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0862A4" w:rsidRDefault="007C26BA" w14:paraId="5E9290EB" w14:textId="31F92E5D">
      <w:pPr>
        <w:tabs>
          <w:tab w:val="center" w:pos="4410"/>
          <w:tab w:val="right" w:pos="9360"/>
        </w:tabs>
        <w:spacing w:line="240" w:lineRule="auto"/>
        <w:ind w:firstLine="0"/>
      </w:pPr>
      <w:r>
        <w:t>COM/CR6/jnf</w:t>
      </w:r>
      <w:r w:rsidR="007E0FEE">
        <w:tab/>
      </w:r>
      <w:r w:rsidR="00DA7B5D">
        <w:tab/>
      </w:r>
      <w:r w:rsidR="00A96E69">
        <w:rPr>
          <w:b/>
        </w:rPr>
        <w:t>Date of Issuance 12/</w:t>
      </w:r>
      <w:r w:rsidR="000639F5">
        <w:rPr>
          <w:b/>
        </w:rPr>
        <w:t>21</w:t>
      </w:r>
      <w:r w:rsidR="00A96E69">
        <w:rPr>
          <w:b/>
        </w:rPr>
        <w:t>/2022</w:t>
      </w:r>
    </w:p>
    <w:p w:rsidRPr="00A96E69" w:rsidR="00DA7B5D" w:rsidP="00A96E69" w:rsidRDefault="00DA7B5D" w14:paraId="0822745A" w14:textId="6C582BA6">
      <w:pPr>
        <w:spacing w:line="240" w:lineRule="auto"/>
        <w:ind w:firstLine="0"/>
        <w:rPr>
          <w:b/>
          <w:bCs/>
        </w:rPr>
      </w:pPr>
    </w:p>
    <w:p w:rsidRPr="00A96E69" w:rsidR="000862A4" w:rsidP="00A96E69" w:rsidRDefault="000862A4" w14:paraId="6FF71533" w14:textId="77777777">
      <w:pPr>
        <w:spacing w:line="240" w:lineRule="auto"/>
        <w:ind w:firstLine="0"/>
        <w:rPr>
          <w:b/>
          <w:bCs/>
        </w:rPr>
      </w:pPr>
    </w:p>
    <w:p w:rsidR="00DA7B5D" w:rsidP="00A96E69" w:rsidRDefault="00DA7B5D" w14:paraId="2CD6597E" w14:textId="7B14DEEE">
      <w:pPr>
        <w:spacing w:line="240" w:lineRule="auto"/>
        <w:ind w:left="900" w:hanging="900"/>
      </w:pPr>
      <w:r>
        <w:t>Decision</w:t>
      </w:r>
      <w:r w:rsidR="007C26BA">
        <w:t> </w:t>
      </w:r>
      <w:r w:rsidRPr="00A96E69" w:rsidR="00A96E69">
        <w:t>22-12-027</w:t>
      </w:r>
      <w:r w:rsidR="00A96E69">
        <w:t>  December 15, 2022</w:t>
      </w:r>
    </w:p>
    <w:p w:rsidR="00A96E69" w:rsidP="00A96E69" w:rsidRDefault="00A96E69" w14:paraId="1C4353D3" w14:textId="208D0E7B">
      <w:pPr>
        <w:spacing w:line="240" w:lineRule="auto"/>
        <w:ind w:firstLine="0"/>
        <w:rPr>
          <w:rFonts w:cs="Times New Roman"/>
          <w:szCs w:val="20"/>
        </w:rPr>
      </w:pPr>
    </w:p>
    <w:p w:rsidRPr="007C26BA" w:rsidR="00A96E69" w:rsidP="00A96E69" w:rsidRDefault="00A96E69" w14:paraId="5E714678" w14:textId="77777777">
      <w:pPr>
        <w:spacing w:line="240" w:lineRule="auto"/>
        <w:ind w:firstLine="0"/>
        <w:rPr>
          <w:rFonts w:cs="Times New Roman"/>
          <w:szCs w:val="20"/>
        </w:rPr>
      </w:pPr>
    </w:p>
    <w:p w:rsidR="00DA7B5D" w:rsidP="00BB0243" w:rsidRDefault="00DA7B5D" w14:paraId="049C7DA9" w14:textId="406DCC54">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28D7EDC"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4C59806E" w14:textId="77777777">
        <w:trPr>
          <w:jc w:val="center"/>
        </w:trPr>
        <w:tc>
          <w:tcPr>
            <w:tcW w:w="5040" w:type="dxa"/>
            <w:tcBorders>
              <w:top w:val="nil"/>
              <w:left w:val="nil"/>
              <w:bottom w:val="single" w:color="auto" w:sz="4" w:space="0"/>
              <w:right w:val="single" w:color="auto" w:sz="4" w:space="0"/>
            </w:tcBorders>
          </w:tcPr>
          <w:p w:rsidRPr="00DA7B5D" w:rsidR="00DA7B5D" w:rsidP="00063EC3" w:rsidRDefault="007C26BA" w14:paraId="2249BAD8" w14:textId="6D5FBC3F">
            <w:pPr>
              <w:spacing w:line="240" w:lineRule="auto"/>
              <w:ind w:firstLine="0"/>
              <w:rPr>
                <w:rFonts w:cs="Arial"/>
                <w:szCs w:val="26"/>
              </w:rPr>
            </w:pPr>
            <w:r w:rsidRPr="007C26BA">
              <w:rPr>
                <w:rFonts w:cs="Arial"/>
                <w:szCs w:val="26"/>
              </w:rPr>
              <w:t>Order Instituting Rulemaking to Further Develop a Risk-Based Decision-Making Framework for Electric and Gas Utilities.</w:t>
            </w:r>
            <w:r w:rsidRPr="00063EC3" w:rsidR="00063EC3">
              <w:rPr>
                <w:rFonts w:cs="Arial"/>
                <w:szCs w:val="26"/>
              </w:rPr>
              <w:t xml:space="preserve"> </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063EC3" w14:paraId="0191AAFE" w14:textId="77777777">
            <w:pPr>
              <w:spacing w:line="240" w:lineRule="auto"/>
              <w:ind w:firstLine="0"/>
              <w:jc w:val="center"/>
              <w:rPr>
                <w:rFonts w:cs="Arial"/>
                <w:szCs w:val="26"/>
              </w:rPr>
            </w:pPr>
            <w:r>
              <w:rPr>
                <w:rFonts w:cs="Arial"/>
                <w:szCs w:val="26"/>
              </w:rPr>
              <w:t>Rulemaking 20-07-013</w:t>
            </w:r>
          </w:p>
        </w:tc>
      </w:tr>
    </w:tbl>
    <w:p w:rsidR="00DA7B5D" w:rsidP="008F0116" w:rsidRDefault="00DA7B5D" w14:paraId="20A0D19B" w14:textId="77777777">
      <w:pPr>
        <w:spacing w:line="240" w:lineRule="auto"/>
        <w:ind w:firstLine="0"/>
        <w:rPr>
          <w:rFonts w:ascii="Arial" w:hAnsi="Arial" w:cs="Arial"/>
          <w:sz w:val="24"/>
          <w:szCs w:val="24"/>
        </w:rPr>
      </w:pPr>
    </w:p>
    <w:p w:rsidR="00DA7B5D" w:rsidP="008F0116" w:rsidRDefault="00DA7B5D" w14:paraId="5495FDDA" w14:textId="77777777">
      <w:pPr>
        <w:spacing w:line="240" w:lineRule="auto"/>
        <w:ind w:firstLine="0"/>
        <w:rPr>
          <w:rFonts w:ascii="Arial" w:hAnsi="Arial" w:cs="Arial"/>
          <w:sz w:val="24"/>
          <w:szCs w:val="24"/>
        </w:rPr>
      </w:pPr>
    </w:p>
    <w:p w:rsidRPr="00F92385" w:rsidR="00F92385" w:rsidP="00B3087D" w:rsidRDefault="00063EC3" w14:paraId="1938662B" w14:textId="564EA632">
      <w:pPr>
        <w:pStyle w:val="Dummy"/>
        <w:jc w:val="center"/>
        <w:sectPr w:rsidRPr="00F92385" w:rsidR="00F92385" w:rsidSect="007C26BA">
          <w:headerReference w:type="first" r:id="rId11"/>
          <w:footerReference w:type="first" r:id="rId12"/>
          <w:pgSz w:w="12240" w:h="15840"/>
          <w:pgMar w:top="1728" w:right="1440" w:bottom="1440" w:left="1440" w:header="720" w:footer="720" w:gutter="0"/>
          <w:pgNumType w:start="1"/>
          <w:cols w:space="720"/>
          <w:titlePg/>
          <w:docGrid w:linePitch="360"/>
        </w:sectPr>
      </w:pPr>
      <w:bookmarkStart w:name="_Toc121821025" w:id="1"/>
      <w:bookmarkStart w:name="_Hlk113461971" w:id="2"/>
      <w:r>
        <w:t>PHASE II</w:t>
      </w:r>
      <w:r w:rsidR="00837999">
        <w:t xml:space="preserve"> DECISION </w:t>
      </w:r>
      <w:r w:rsidR="00B102CD">
        <w:t>ADOPTING MODIFICATIONS TO</w:t>
      </w:r>
      <w:r w:rsidR="007C26BA">
        <w:t xml:space="preserve"> </w:t>
      </w:r>
      <w:r w:rsidR="00E94811">
        <w:t>THE</w:t>
      </w:r>
      <w:r w:rsidR="007C26BA">
        <w:br/>
      </w:r>
      <w:r w:rsidR="00102861">
        <w:t>RISK-BASED DECISION-MAKING FRAMEWORK</w:t>
      </w:r>
      <w:r w:rsidR="007203EA">
        <w:t xml:space="preserve"> </w:t>
      </w:r>
      <w:r w:rsidR="00A761D8">
        <w:t>ADOPTED IN DECISION</w:t>
      </w:r>
      <w:r w:rsidR="007C26BA">
        <w:t> </w:t>
      </w:r>
      <w:r w:rsidR="00A761D8">
        <w:t xml:space="preserve">18-12-014 </w:t>
      </w:r>
      <w:r w:rsidR="007203EA">
        <w:t xml:space="preserve">AND </w:t>
      </w:r>
      <w:r w:rsidR="00AD5CCE">
        <w:t xml:space="preserve">DIRECTING </w:t>
      </w:r>
      <w:r w:rsidR="00287B59">
        <w:t>ENVIR</w:t>
      </w:r>
      <w:r w:rsidR="00A55FCE">
        <w:t>ONMENTAL</w:t>
      </w:r>
      <w:r w:rsidR="007C26BA">
        <w:t xml:space="preserve"> </w:t>
      </w:r>
      <w:r w:rsidR="00A55FCE">
        <w:t>AND</w:t>
      </w:r>
      <w:r w:rsidR="007C26BA">
        <w:br/>
      </w:r>
      <w:r w:rsidR="00A55FCE">
        <w:t xml:space="preserve">SOCIAL JUSTICE </w:t>
      </w:r>
      <w:r w:rsidR="006C013A">
        <w:t>PILOTS</w:t>
      </w:r>
      <w:bookmarkEnd w:id="1"/>
      <w:r w:rsidR="00A55FCE">
        <w:t xml:space="preserve"> </w:t>
      </w:r>
    </w:p>
    <w:bookmarkEnd w:id="2"/>
    <w:p w:rsidRPr="001E2A62" w:rsidR="00D50119" w:rsidP="00F76650" w:rsidRDefault="00D50119" w14:paraId="23B44E86"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5735286B"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52300B" w:rsidP="0052300B" w:rsidRDefault="008C7413" w14:paraId="300753A2" w14:textId="25C7EB97">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21821025">
            <w:r w:rsidRPr="00D34FE9" w:rsidR="0052300B">
              <w:rPr>
                <w:rStyle w:val="Hyperlink"/>
                <w:noProof/>
              </w:rPr>
              <w:t>PHASE II DECISION ADOPTING MODIFICATIONS TO THE RISK-BASED DECISION-MAKING FRAMEWORK ADOPTED IN DECISION 18-12-014 AND DIRECTING ENVIRONMENTAL AND SOCIAL JUSTICE PILOTS</w:t>
            </w:r>
            <w:r w:rsidR="0052300B">
              <w:rPr>
                <w:noProof/>
                <w:webHidden/>
              </w:rPr>
              <w:tab/>
            </w:r>
            <w:r w:rsidR="0052300B">
              <w:rPr>
                <w:noProof/>
                <w:webHidden/>
              </w:rPr>
              <w:fldChar w:fldCharType="begin"/>
            </w:r>
            <w:r w:rsidR="0052300B">
              <w:rPr>
                <w:noProof/>
                <w:webHidden/>
              </w:rPr>
              <w:instrText xml:space="preserve"> PAGEREF _Toc121821025 \h </w:instrText>
            </w:r>
            <w:r w:rsidR="0052300B">
              <w:rPr>
                <w:noProof/>
                <w:webHidden/>
              </w:rPr>
            </w:r>
            <w:r w:rsidR="0052300B">
              <w:rPr>
                <w:noProof/>
                <w:webHidden/>
              </w:rPr>
              <w:fldChar w:fldCharType="separate"/>
            </w:r>
            <w:r w:rsidR="0052300B">
              <w:rPr>
                <w:noProof/>
                <w:webHidden/>
              </w:rPr>
              <w:t>1</w:t>
            </w:r>
            <w:r w:rsidR="0052300B">
              <w:rPr>
                <w:noProof/>
                <w:webHidden/>
              </w:rPr>
              <w:fldChar w:fldCharType="end"/>
            </w:r>
          </w:hyperlink>
        </w:p>
        <w:p w:rsidR="0052300B" w:rsidRDefault="000639F5" w14:paraId="242035EF" w14:textId="57830FE8">
          <w:pPr>
            <w:pStyle w:val="TOC1"/>
            <w:tabs>
              <w:tab w:val="right" w:leader="dot" w:pos="9350"/>
            </w:tabs>
            <w:rPr>
              <w:rFonts w:asciiTheme="minorHAnsi" w:hAnsiTheme="minorHAnsi" w:cstheme="minorBidi"/>
              <w:noProof/>
              <w:sz w:val="22"/>
            </w:rPr>
          </w:pPr>
          <w:hyperlink w:history="1" w:anchor="_Toc121821026">
            <w:r w:rsidRPr="00D34FE9" w:rsidR="0052300B">
              <w:rPr>
                <w:rStyle w:val="Hyperlink"/>
                <w:noProof/>
              </w:rPr>
              <w:t>Summary</w:t>
            </w:r>
            <w:r w:rsidR="0052300B">
              <w:rPr>
                <w:noProof/>
                <w:webHidden/>
              </w:rPr>
              <w:tab/>
            </w:r>
            <w:r w:rsidR="0052300B">
              <w:rPr>
                <w:noProof/>
                <w:webHidden/>
              </w:rPr>
              <w:fldChar w:fldCharType="begin"/>
            </w:r>
            <w:r w:rsidR="0052300B">
              <w:rPr>
                <w:noProof/>
                <w:webHidden/>
              </w:rPr>
              <w:instrText xml:space="preserve"> PAGEREF _Toc121821026 \h </w:instrText>
            </w:r>
            <w:r w:rsidR="0052300B">
              <w:rPr>
                <w:noProof/>
                <w:webHidden/>
              </w:rPr>
            </w:r>
            <w:r w:rsidR="0052300B">
              <w:rPr>
                <w:noProof/>
                <w:webHidden/>
              </w:rPr>
              <w:fldChar w:fldCharType="separate"/>
            </w:r>
            <w:r w:rsidR="0052300B">
              <w:rPr>
                <w:noProof/>
                <w:webHidden/>
              </w:rPr>
              <w:t>1</w:t>
            </w:r>
            <w:r w:rsidR="0052300B">
              <w:rPr>
                <w:noProof/>
                <w:webHidden/>
              </w:rPr>
              <w:fldChar w:fldCharType="end"/>
            </w:r>
          </w:hyperlink>
        </w:p>
        <w:p w:rsidR="0052300B" w:rsidRDefault="000639F5" w14:paraId="02C1E1A0" w14:textId="78287AD5">
          <w:pPr>
            <w:pStyle w:val="TOC1"/>
            <w:tabs>
              <w:tab w:val="right" w:leader="dot" w:pos="9350"/>
            </w:tabs>
            <w:rPr>
              <w:rFonts w:asciiTheme="minorHAnsi" w:hAnsiTheme="minorHAnsi" w:cstheme="minorBidi"/>
              <w:noProof/>
              <w:sz w:val="22"/>
            </w:rPr>
          </w:pPr>
          <w:hyperlink w:history="1" w:anchor="_Toc121821027">
            <w:r w:rsidRPr="00D34FE9" w:rsidR="0052300B">
              <w:rPr>
                <w:rStyle w:val="Hyperlink"/>
                <w:noProof/>
              </w:rPr>
              <w:t>1.</w:t>
            </w:r>
            <w:r w:rsidR="0052300B">
              <w:rPr>
                <w:rFonts w:asciiTheme="minorHAnsi" w:hAnsiTheme="minorHAnsi" w:cstheme="minorBidi"/>
                <w:noProof/>
                <w:sz w:val="22"/>
              </w:rPr>
              <w:tab/>
            </w:r>
            <w:r w:rsidRPr="00D34FE9" w:rsidR="0052300B">
              <w:rPr>
                <w:rStyle w:val="Hyperlink"/>
                <w:noProof/>
              </w:rPr>
              <w:t>Background</w:t>
            </w:r>
            <w:r w:rsidR="0052300B">
              <w:rPr>
                <w:noProof/>
                <w:webHidden/>
              </w:rPr>
              <w:tab/>
            </w:r>
            <w:r w:rsidR="0052300B">
              <w:rPr>
                <w:noProof/>
                <w:webHidden/>
              </w:rPr>
              <w:fldChar w:fldCharType="begin"/>
            </w:r>
            <w:r w:rsidR="0052300B">
              <w:rPr>
                <w:noProof/>
                <w:webHidden/>
              </w:rPr>
              <w:instrText xml:space="preserve"> PAGEREF _Toc121821027 \h </w:instrText>
            </w:r>
            <w:r w:rsidR="0052300B">
              <w:rPr>
                <w:noProof/>
                <w:webHidden/>
              </w:rPr>
            </w:r>
            <w:r w:rsidR="0052300B">
              <w:rPr>
                <w:noProof/>
                <w:webHidden/>
              </w:rPr>
              <w:fldChar w:fldCharType="separate"/>
            </w:r>
            <w:r w:rsidR="0052300B">
              <w:rPr>
                <w:noProof/>
                <w:webHidden/>
              </w:rPr>
              <w:t>1</w:t>
            </w:r>
            <w:r w:rsidR="0052300B">
              <w:rPr>
                <w:noProof/>
                <w:webHidden/>
              </w:rPr>
              <w:fldChar w:fldCharType="end"/>
            </w:r>
          </w:hyperlink>
        </w:p>
        <w:p w:rsidR="0052300B" w:rsidRDefault="000639F5" w14:paraId="62F97BC2" w14:textId="487792F0">
          <w:pPr>
            <w:pStyle w:val="TOC1"/>
            <w:tabs>
              <w:tab w:val="right" w:leader="dot" w:pos="9350"/>
            </w:tabs>
            <w:rPr>
              <w:rFonts w:asciiTheme="minorHAnsi" w:hAnsiTheme="minorHAnsi" w:cstheme="minorBidi"/>
              <w:noProof/>
              <w:sz w:val="22"/>
            </w:rPr>
          </w:pPr>
          <w:hyperlink w:history="1" w:anchor="_Toc121821028">
            <w:r w:rsidRPr="00D34FE9" w:rsidR="0052300B">
              <w:rPr>
                <w:rStyle w:val="Hyperlink"/>
                <w:noProof/>
              </w:rPr>
              <w:t>2.</w:t>
            </w:r>
            <w:r w:rsidR="0052300B">
              <w:rPr>
                <w:rFonts w:asciiTheme="minorHAnsi" w:hAnsiTheme="minorHAnsi" w:cstheme="minorBidi"/>
                <w:noProof/>
                <w:sz w:val="22"/>
              </w:rPr>
              <w:tab/>
            </w:r>
            <w:r w:rsidRPr="00D34FE9" w:rsidR="0052300B">
              <w:rPr>
                <w:rStyle w:val="Hyperlink"/>
                <w:noProof/>
              </w:rPr>
              <w:t>Procedural Background</w:t>
            </w:r>
            <w:r w:rsidR="0052300B">
              <w:rPr>
                <w:noProof/>
                <w:webHidden/>
              </w:rPr>
              <w:tab/>
            </w:r>
            <w:r w:rsidR="0052300B">
              <w:rPr>
                <w:noProof/>
                <w:webHidden/>
              </w:rPr>
              <w:fldChar w:fldCharType="begin"/>
            </w:r>
            <w:r w:rsidR="0052300B">
              <w:rPr>
                <w:noProof/>
                <w:webHidden/>
              </w:rPr>
              <w:instrText xml:space="preserve"> PAGEREF _Toc121821028 \h </w:instrText>
            </w:r>
            <w:r w:rsidR="0052300B">
              <w:rPr>
                <w:noProof/>
                <w:webHidden/>
              </w:rPr>
            </w:r>
            <w:r w:rsidR="0052300B">
              <w:rPr>
                <w:noProof/>
                <w:webHidden/>
              </w:rPr>
              <w:fldChar w:fldCharType="separate"/>
            </w:r>
            <w:r w:rsidR="0052300B">
              <w:rPr>
                <w:noProof/>
                <w:webHidden/>
              </w:rPr>
              <w:t>5</w:t>
            </w:r>
            <w:r w:rsidR="0052300B">
              <w:rPr>
                <w:noProof/>
                <w:webHidden/>
              </w:rPr>
              <w:fldChar w:fldCharType="end"/>
            </w:r>
          </w:hyperlink>
        </w:p>
        <w:p w:rsidR="0052300B" w:rsidRDefault="000639F5" w14:paraId="180DAA02" w14:textId="7F25B2B5">
          <w:pPr>
            <w:pStyle w:val="TOC1"/>
            <w:tabs>
              <w:tab w:val="right" w:leader="dot" w:pos="9350"/>
            </w:tabs>
            <w:rPr>
              <w:rFonts w:asciiTheme="minorHAnsi" w:hAnsiTheme="minorHAnsi" w:cstheme="minorBidi"/>
              <w:noProof/>
              <w:sz w:val="22"/>
            </w:rPr>
          </w:pPr>
          <w:hyperlink w:history="1" w:anchor="_Toc121821029">
            <w:r w:rsidRPr="00D34FE9" w:rsidR="0052300B">
              <w:rPr>
                <w:rStyle w:val="Hyperlink"/>
                <w:noProof/>
              </w:rPr>
              <w:t>3.</w:t>
            </w:r>
            <w:r w:rsidR="0052300B">
              <w:rPr>
                <w:rFonts w:asciiTheme="minorHAnsi" w:hAnsiTheme="minorHAnsi" w:cstheme="minorBidi"/>
                <w:noProof/>
                <w:sz w:val="22"/>
              </w:rPr>
              <w:tab/>
            </w:r>
            <w:r w:rsidRPr="00D34FE9" w:rsidR="0052300B">
              <w:rPr>
                <w:rStyle w:val="Hyperlink"/>
                <w:noProof/>
              </w:rPr>
              <w:t>Jurisdiction</w:t>
            </w:r>
            <w:r w:rsidR="0052300B">
              <w:rPr>
                <w:noProof/>
                <w:webHidden/>
              </w:rPr>
              <w:tab/>
            </w:r>
            <w:r w:rsidR="0052300B">
              <w:rPr>
                <w:noProof/>
                <w:webHidden/>
              </w:rPr>
              <w:fldChar w:fldCharType="begin"/>
            </w:r>
            <w:r w:rsidR="0052300B">
              <w:rPr>
                <w:noProof/>
                <w:webHidden/>
              </w:rPr>
              <w:instrText xml:space="preserve"> PAGEREF _Toc121821029 \h </w:instrText>
            </w:r>
            <w:r w:rsidR="0052300B">
              <w:rPr>
                <w:noProof/>
                <w:webHidden/>
              </w:rPr>
            </w:r>
            <w:r w:rsidR="0052300B">
              <w:rPr>
                <w:noProof/>
                <w:webHidden/>
              </w:rPr>
              <w:fldChar w:fldCharType="separate"/>
            </w:r>
            <w:r w:rsidR="0052300B">
              <w:rPr>
                <w:noProof/>
                <w:webHidden/>
              </w:rPr>
              <w:t>9</w:t>
            </w:r>
            <w:r w:rsidR="0052300B">
              <w:rPr>
                <w:noProof/>
                <w:webHidden/>
              </w:rPr>
              <w:fldChar w:fldCharType="end"/>
            </w:r>
          </w:hyperlink>
        </w:p>
        <w:p w:rsidR="0052300B" w:rsidRDefault="000639F5" w14:paraId="5F3FC1C0" w14:textId="69F875A7">
          <w:pPr>
            <w:pStyle w:val="TOC1"/>
            <w:tabs>
              <w:tab w:val="right" w:leader="dot" w:pos="9350"/>
            </w:tabs>
            <w:rPr>
              <w:rFonts w:asciiTheme="minorHAnsi" w:hAnsiTheme="minorHAnsi" w:cstheme="minorBidi"/>
              <w:noProof/>
              <w:sz w:val="22"/>
            </w:rPr>
          </w:pPr>
          <w:hyperlink w:history="1" w:anchor="_Toc121821030">
            <w:r w:rsidRPr="00D34FE9" w:rsidR="0052300B">
              <w:rPr>
                <w:rStyle w:val="Hyperlink"/>
                <w:noProof/>
              </w:rPr>
              <w:t>4.</w:t>
            </w:r>
            <w:r w:rsidR="0052300B">
              <w:rPr>
                <w:rFonts w:asciiTheme="minorHAnsi" w:hAnsiTheme="minorHAnsi" w:cstheme="minorBidi"/>
                <w:noProof/>
                <w:sz w:val="22"/>
              </w:rPr>
              <w:tab/>
            </w:r>
            <w:r w:rsidRPr="00D34FE9" w:rsidR="0052300B">
              <w:rPr>
                <w:rStyle w:val="Hyperlink"/>
                <w:noProof/>
              </w:rPr>
              <w:t>Issues Before the Commission</w:t>
            </w:r>
            <w:r w:rsidR="0052300B">
              <w:rPr>
                <w:noProof/>
                <w:webHidden/>
              </w:rPr>
              <w:tab/>
            </w:r>
            <w:r w:rsidR="0052300B">
              <w:rPr>
                <w:noProof/>
                <w:webHidden/>
              </w:rPr>
              <w:fldChar w:fldCharType="begin"/>
            </w:r>
            <w:r w:rsidR="0052300B">
              <w:rPr>
                <w:noProof/>
                <w:webHidden/>
              </w:rPr>
              <w:instrText xml:space="preserve"> PAGEREF _Toc121821030 \h </w:instrText>
            </w:r>
            <w:r w:rsidR="0052300B">
              <w:rPr>
                <w:noProof/>
                <w:webHidden/>
              </w:rPr>
            </w:r>
            <w:r w:rsidR="0052300B">
              <w:rPr>
                <w:noProof/>
                <w:webHidden/>
              </w:rPr>
              <w:fldChar w:fldCharType="separate"/>
            </w:r>
            <w:r w:rsidR="0052300B">
              <w:rPr>
                <w:noProof/>
                <w:webHidden/>
              </w:rPr>
              <w:t>9</w:t>
            </w:r>
            <w:r w:rsidR="0052300B">
              <w:rPr>
                <w:noProof/>
                <w:webHidden/>
              </w:rPr>
              <w:fldChar w:fldCharType="end"/>
            </w:r>
          </w:hyperlink>
        </w:p>
        <w:p w:rsidR="0052300B" w:rsidRDefault="000639F5" w14:paraId="2BF8D757" w14:textId="6BD30A4A">
          <w:pPr>
            <w:pStyle w:val="TOC1"/>
            <w:tabs>
              <w:tab w:val="right" w:leader="dot" w:pos="9350"/>
            </w:tabs>
            <w:rPr>
              <w:rFonts w:asciiTheme="minorHAnsi" w:hAnsiTheme="minorHAnsi" w:cstheme="minorBidi"/>
              <w:noProof/>
              <w:sz w:val="22"/>
            </w:rPr>
          </w:pPr>
          <w:hyperlink w:history="1" w:anchor="_Toc121821031">
            <w:r w:rsidRPr="00D34FE9" w:rsidR="0052300B">
              <w:rPr>
                <w:rStyle w:val="Hyperlink"/>
                <w:noProof/>
              </w:rPr>
              <w:t>5.</w:t>
            </w:r>
            <w:r w:rsidR="0052300B">
              <w:rPr>
                <w:rFonts w:asciiTheme="minorHAnsi" w:hAnsiTheme="minorHAnsi" w:cstheme="minorBidi"/>
                <w:noProof/>
                <w:sz w:val="22"/>
              </w:rPr>
              <w:tab/>
            </w:r>
            <w:r w:rsidRPr="00D34FE9" w:rsidR="0052300B">
              <w:rPr>
                <w:rStyle w:val="Hyperlink"/>
                <w:noProof/>
              </w:rPr>
              <w:t>Refining the RDF Adopted in the SA Decision</w:t>
            </w:r>
            <w:r w:rsidR="0052300B">
              <w:rPr>
                <w:noProof/>
                <w:webHidden/>
              </w:rPr>
              <w:tab/>
            </w:r>
            <w:r w:rsidR="0052300B">
              <w:rPr>
                <w:noProof/>
                <w:webHidden/>
              </w:rPr>
              <w:fldChar w:fldCharType="begin"/>
            </w:r>
            <w:r w:rsidR="0052300B">
              <w:rPr>
                <w:noProof/>
                <w:webHidden/>
              </w:rPr>
              <w:instrText xml:space="preserve"> PAGEREF _Toc121821031 \h </w:instrText>
            </w:r>
            <w:r w:rsidR="0052300B">
              <w:rPr>
                <w:noProof/>
                <w:webHidden/>
              </w:rPr>
            </w:r>
            <w:r w:rsidR="0052300B">
              <w:rPr>
                <w:noProof/>
                <w:webHidden/>
              </w:rPr>
              <w:fldChar w:fldCharType="separate"/>
            </w:r>
            <w:r w:rsidR="0052300B">
              <w:rPr>
                <w:noProof/>
                <w:webHidden/>
              </w:rPr>
              <w:t>11</w:t>
            </w:r>
            <w:r w:rsidR="0052300B">
              <w:rPr>
                <w:noProof/>
                <w:webHidden/>
              </w:rPr>
              <w:fldChar w:fldCharType="end"/>
            </w:r>
          </w:hyperlink>
        </w:p>
        <w:p w:rsidR="0052300B" w:rsidRDefault="000639F5" w14:paraId="0469F05D" w14:textId="37F7BD8D">
          <w:pPr>
            <w:pStyle w:val="TOC2"/>
            <w:tabs>
              <w:tab w:val="right" w:leader="dot" w:pos="9350"/>
            </w:tabs>
            <w:rPr>
              <w:rFonts w:asciiTheme="minorHAnsi" w:hAnsiTheme="minorHAnsi" w:cstheme="minorBidi"/>
              <w:noProof/>
              <w:sz w:val="22"/>
            </w:rPr>
          </w:pPr>
          <w:hyperlink w:history="1" w:anchor="_Toc121821032">
            <w:r w:rsidRPr="00D34FE9" w:rsidR="0052300B">
              <w:rPr>
                <w:rStyle w:val="Hyperlink"/>
                <w:noProof/>
              </w:rPr>
              <w:t>5.1.</w:t>
            </w:r>
            <w:r w:rsidR="0052300B">
              <w:rPr>
                <w:rFonts w:asciiTheme="minorHAnsi" w:hAnsiTheme="minorHAnsi" w:cstheme="minorBidi"/>
                <w:noProof/>
                <w:sz w:val="22"/>
              </w:rPr>
              <w:tab/>
            </w:r>
            <w:r w:rsidRPr="00D34FE9" w:rsidR="0052300B">
              <w:rPr>
                <w:rStyle w:val="Hyperlink"/>
                <w:noProof/>
              </w:rPr>
              <w:t>Replacing MAVF Attributes With a Dollar Value</w:t>
            </w:r>
            <w:r w:rsidR="0052300B">
              <w:rPr>
                <w:noProof/>
                <w:webHidden/>
              </w:rPr>
              <w:tab/>
            </w:r>
            <w:r w:rsidR="0052300B">
              <w:rPr>
                <w:noProof/>
                <w:webHidden/>
              </w:rPr>
              <w:fldChar w:fldCharType="begin"/>
            </w:r>
            <w:r w:rsidR="0052300B">
              <w:rPr>
                <w:noProof/>
                <w:webHidden/>
              </w:rPr>
              <w:instrText xml:space="preserve"> PAGEREF _Toc121821032 \h </w:instrText>
            </w:r>
            <w:r w:rsidR="0052300B">
              <w:rPr>
                <w:noProof/>
                <w:webHidden/>
              </w:rPr>
            </w:r>
            <w:r w:rsidR="0052300B">
              <w:rPr>
                <w:noProof/>
                <w:webHidden/>
              </w:rPr>
              <w:fldChar w:fldCharType="separate"/>
            </w:r>
            <w:r w:rsidR="0052300B">
              <w:rPr>
                <w:noProof/>
                <w:webHidden/>
              </w:rPr>
              <w:t>12</w:t>
            </w:r>
            <w:r w:rsidR="0052300B">
              <w:rPr>
                <w:noProof/>
                <w:webHidden/>
              </w:rPr>
              <w:fldChar w:fldCharType="end"/>
            </w:r>
          </w:hyperlink>
        </w:p>
        <w:p w:rsidR="0052300B" w:rsidRDefault="000639F5" w14:paraId="6F36C566" w14:textId="5F7B1F8C">
          <w:pPr>
            <w:pStyle w:val="TOC3"/>
            <w:tabs>
              <w:tab w:val="left" w:pos="1296"/>
              <w:tab w:val="right" w:leader="dot" w:pos="9350"/>
            </w:tabs>
            <w:rPr>
              <w:rFonts w:asciiTheme="minorHAnsi" w:hAnsiTheme="minorHAnsi" w:cstheme="minorBidi"/>
              <w:noProof/>
              <w:sz w:val="22"/>
            </w:rPr>
          </w:pPr>
          <w:hyperlink w:history="1" w:anchor="_Toc121821033">
            <w:r w:rsidRPr="00D34FE9" w:rsidR="0052300B">
              <w:rPr>
                <w:rStyle w:val="Hyperlink"/>
                <w:noProof/>
              </w:rPr>
              <w:t>5.1.1.</w:t>
            </w:r>
            <w:r w:rsidR="0052300B">
              <w:rPr>
                <w:rFonts w:asciiTheme="minorHAnsi" w:hAnsiTheme="minorHAnsi" w:cstheme="minorBidi"/>
                <w:noProof/>
                <w:sz w:val="22"/>
              </w:rPr>
              <w:tab/>
            </w:r>
            <w:r w:rsidRPr="00D34FE9" w:rsidR="0052300B">
              <w:rPr>
                <w:rStyle w:val="Hyperlink"/>
                <w:noProof/>
              </w:rPr>
              <w:t>SA Decision Requirements</w:t>
            </w:r>
            <w:r w:rsidR="0052300B">
              <w:rPr>
                <w:noProof/>
                <w:webHidden/>
              </w:rPr>
              <w:tab/>
            </w:r>
            <w:r w:rsidR="0052300B">
              <w:rPr>
                <w:noProof/>
                <w:webHidden/>
              </w:rPr>
              <w:fldChar w:fldCharType="begin"/>
            </w:r>
            <w:r w:rsidR="0052300B">
              <w:rPr>
                <w:noProof/>
                <w:webHidden/>
              </w:rPr>
              <w:instrText xml:space="preserve"> PAGEREF _Toc121821033 \h </w:instrText>
            </w:r>
            <w:r w:rsidR="0052300B">
              <w:rPr>
                <w:noProof/>
                <w:webHidden/>
              </w:rPr>
            </w:r>
            <w:r w:rsidR="0052300B">
              <w:rPr>
                <w:noProof/>
                <w:webHidden/>
              </w:rPr>
              <w:fldChar w:fldCharType="separate"/>
            </w:r>
            <w:r w:rsidR="0052300B">
              <w:rPr>
                <w:noProof/>
                <w:webHidden/>
              </w:rPr>
              <w:t>12</w:t>
            </w:r>
            <w:r w:rsidR="0052300B">
              <w:rPr>
                <w:noProof/>
                <w:webHidden/>
              </w:rPr>
              <w:fldChar w:fldCharType="end"/>
            </w:r>
          </w:hyperlink>
        </w:p>
        <w:p w:rsidR="0052300B" w:rsidRDefault="000639F5" w14:paraId="233FBAF0" w14:textId="5A310D02">
          <w:pPr>
            <w:pStyle w:val="TOC3"/>
            <w:tabs>
              <w:tab w:val="left" w:pos="1296"/>
              <w:tab w:val="right" w:leader="dot" w:pos="9350"/>
            </w:tabs>
            <w:rPr>
              <w:rFonts w:asciiTheme="minorHAnsi" w:hAnsiTheme="minorHAnsi" w:cstheme="minorBidi"/>
              <w:noProof/>
              <w:sz w:val="22"/>
            </w:rPr>
          </w:pPr>
          <w:hyperlink w:history="1" w:anchor="_Toc121821034">
            <w:r w:rsidRPr="00D34FE9" w:rsidR="0052300B">
              <w:rPr>
                <w:rStyle w:val="Hyperlink"/>
                <w:noProof/>
              </w:rPr>
              <w:t>5.1.2.</w:t>
            </w:r>
            <w:r w:rsidR="0052300B">
              <w:rPr>
                <w:rFonts w:asciiTheme="minorHAnsi" w:hAnsiTheme="minorHAnsi" w:cstheme="minorBidi"/>
                <w:noProof/>
                <w:sz w:val="22"/>
              </w:rPr>
              <w:tab/>
            </w:r>
            <w:r w:rsidRPr="00D34FE9" w:rsidR="0052300B">
              <w:rPr>
                <w:rStyle w:val="Hyperlink"/>
                <w:noProof/>
              </w:rPr>
              <w:t>Staff Proposal</w:t>
            </w:r>
            <w:r w:rsidR="0052300B">
              <w:rPr>
                <w:noProof/>
                <w:webHidden/>
              </w:rPr>
              <w:tab/>
            </w:r>
            <w:r w:rsidR="0052300B">
              <w:rPr>
                <w:noProof/>
                <w:webHidden/>
              </w:rPr>
              <w:fldChar w:fldCharType="begin"/>
            </w:r>
            <w:r w:rsidR="0052300B">
              <w:rPr>
                <w:noProof/>
                <w:webHidden/>
              </w:rPr>
              <w:instrText xml:space="preserve"> PAGEREF _Toc121821034 \h </w:instrText>
            </w:r>
            <w:r w:rsidR="0052300B">
              <w:rPr>
                <w:noProof/>
                <w:webHidden/>
              </w:rPr>
            </w:r>
            <w:r w:rsidR="0052300B">
              <w:rPr>
                <w:noProof/>
                <w:webHidden/>
              </w:rPr>
              <w:fldChar w:fldCharType="separate"/>
            </w:r>
            <w:r w:rsidR="0052300B">
              <w:rPr>
                <w:noProof/>
                <w:webHidden/>
              </w:rPr>
              <w:t>16</w:t>
            </w:r>
            <w:r w:rsidR="0052300B">
              <w:rPr>
                <w:noProof/>
                <w:webHidden/>
              </w:rPr>
              <w:fldChar w:fldCharType="end"/>
            </w:r>
          </w:hyperlink>
        </w:p>
        <w:p w:rsidR="0052300B" w:rsidRDefault="000639F5" w14:paraId="5EF35DC8" w14:textId="59533558">
          <w:pPr>
            <w:pStyle w:val="TOC3"/>
            <w:tabs>
              <w:tab w:val="left" w:pos="1296"/>
              <w:tab w:val="right" w:leader="dot" w:pos="9350"/>
            </w:tabs>
            <w:rPr>
              <w:rFonts w:asciiTheme="minorHAnsi" w:hAnsiTheme="minorHAnsi" w:cstheme="minorBidi"/>
              <w:noProof/>
              <w:sz w:val="22"/>
            </w:rPr>
          </w:pPr>
          <w:hyperlink w:history="1" w:anchor="_Toc121821035">
            <w:r w:rsidRPr="00D34FE9" w:rsidR="0052300B">
              <w:rPr>
                <w:rStyle w:val="Hyperlink"/>
                <w:noProof/>
              </w:rPr>
              <w:t>5.1.3.</w:t>
            </w:r>
            <w:r w:rsidR="0052300B">
              <w:rPr>
                <w:rFonts w:asciiTheme="minorHAnsi" w:hAnsiTheme="minorHAnsi" w:cstheme="minorBidi"/>
                <w:noProof/>
                <w:sz w:val="22"/>
              </w:rPr>
              <w:tab/>
            </w:r>
            <w:r w:rsidRPr="00D34FE9" w:rsidR="0052300B">
              <w:rPr>
                <w:rStyle w:val="Hyperlink"/>
                <w:noProof/>
              </w:rPr>
              <w:t>Party Comments</w:t>
            </w:r>
            <w:r w:rsidR="0052300B">
              <w:rPr>
                <w:noProof/>
                <w:webHidden/>
              </w:rPr>
              <w:tab/>
            </w:r>
            <w:r w:rsidR="0052300B">
              <w:rPr>
                <w:noProof/>
                <w:webHidden/>
              </w:rPr>
              <w:fldChar w:fldCharType="begin"/>
            </w:r>
            <w:r w:rsidR="0052300B">
              <w:rPr>
                <w:noProof/>
                <w:webHidden/>
              </w:rPr>
              <w:instrText xml:space="preserve"> PAGEREF _Toc121821035 \h </w:instrText>
            </w:r>
            <w:r w:rsidR="0052300B">
              <w:rPr>
                <w:noProof/>
                <w:webHidden/>
              </w:rPr>
            </w:r>
            <w:r w:rsidR="0052300B">
              <w:rPr>
                <w:noProof/>
                <w:webHidden/>
              </w:rPr>
              <w:fldChar w:fldCharType="separate"/>
            </w:r>
            <w:r w:rsidR="0052300B">
              <w:rPr>
                <w:noProof/>
                <w:webHidden/>
              </w:rPr>
              <w:t>20</w:t>
            </w:r>
            <w:r w:rsidR="0052300B">
              <w:rPr>
                <w:noProof/>
                <w:webHidden/>
              </w:rPr>
              <w:fldChar w:fldCharType="end"/>
            </w:r>
          </w:hyperlink>
        </w:p>
        <w:p w:rsidR="0052300B" w:rsidRDefault="000639F5" w14:paraId="39619E45" w14:textId="392D247D">
          <w:pPr>
            <w:pStyle w:val="TOC3"/>
            <w:tabs>
              <w:tab w:val="left" w:pos="1296"/>
              <w:tab w:val="right" w:leader="dot" w:pos="9350"/>
            </w:tabs>
            <w:rPr>
              <w:rFonts w:asciiTheme="minorHAnsi" w:hAnsiTheme="minorHAnsi" w:cstheme="minorBidi"/>
              <w:noProof/>
              <w:sz w:val="22"/>
            </w:rPr>
          </w:pPr>
          <w:hyperlink w:history="1" w:anchor="_Toc121821036">
            <w:r w:rsidRPr="00D34FE9" w:rsidR="0052300B">
              <w:rPr>
                <w:rStyle w:val="Hyperlink"/>
                <w:noProof/>
              </w:rPr>
              <w:t>5.1.4.</w:t>
            </w:r>
            <w:r w:rsidR="0052300B">
              <w:rPr>
                <w:rFonts w:asciiTheme="minorHAnsi" w:hAnsiTheme="minorHAnsi" w:cstheme="minorBidi"/>
                <w:noProof/>
                <w:sz w:val="22"/>
              </w:rPr>
              <w:tab/>
            </w:r>
            <w:r w:rsidRPr="00D34FE9" w:rsidR="0052300B">
              <w:rPr>
                <w:rStyle w:val="Hyperlink"/>
                <w:noProof/>
              </w:rPr>
              <w:t>Discussion</w:t>
            </w:r>
            <w:r w:rsidR="0052300B">
              <w:rPr>
                <w:noProof/>
                <w:webHidden/>
              </w:rPr>
              <w:tab/>
            </w:r>
            <w:r w:rsidR="0052300B">
              <w:rPr>
                <w:noProof/>
                <w:webHidden/>
              </w:rPr>
              <w:fldChar w:fldCharType="begin"/>
            </w:r>
            <w:r w:rsidR="0052300B">
              <w:rPr>
                <w:noProof/>
                <w:webHidden/>
              </w:rPr>
              <w:instrText xml:space="preserve"> PAGEREF _Toc121821036 \h </w:instrText>
            </w:r>
            <w:r w:rsidR="0052300B">
              <w:rPr>
                <w:noProof/>
                <w:webHidden/>
              </w:rPr>
            </w:r>
            <w:r w:rsidR="0052300B">
              <w:rPr>
                <w:noProof/>
                <w:webHidden/>
              </w:rPr>
              <w:fldChar w:fldCharType="separate"/>
            </w:r>
            <w:r w:rsidR="0052300B">
              <w:rPr>
                <w:noProof/>
                <w:webHidden/>
              </w:rPr>
              <w:t>23</w:t>
            </w:r>
            <w:r w:rsidR="0052300B">
              <w:rPr>
                <w:noProof/>
                <w:webHidden/>
              </w:rPr>
              <w:fldChar w:fldCharType="end"/>
            </w:r>
          </w:hyperlink>
        </w:p>
        <w:p w:rsidR="0052300B" w:rsidRDefault="000639F5" w14:paraId="71018405" w14:textId="0DC5FF41">
          <w:pPr>
            <w:pStyle w:val="TOC2"/>
            <w:tabs>
              <w:tab w:val="right" w:leader="dot" w:pos="9350"/>
            </w:tabs>
            <w:rPr>
              <w:rFonts w:asciiTheme="minorHAnsi" w:hAnsiTheme="minorHAnsi" w:cstheme="minorBidi"/>
              <w:noProof/>
              <w:sz w:val="22"/>
            </w:rPr>
          </w:pPr>
          <w:hyperlink w:history="1" w:anchor="_Toc121821037">
            <w:r w:rsidRPr="00D34FE9" w:rsidR="0052300B">
              <w:rPr>
                <w:rStyle w:val="Hyperlink"/>
                <w:noProof/>
              </w:rPr>
              <w:t>5.2.</w:t>
            </w:r>
            <w:r w:rsidR="0052300B">
              <w:rPr>
                <w:rFonts w:asciiTheme="minorHAnsi" w:hAnsiTheme="minorHAnsi" w:cstheme="minorBidi"/>
                <w:noProof/>
                <w:sz w:val="22"/>
              </w:rPr>
              <w:tab/>
            </w:r>
            <w:r w:rsidRPr="00D34FE9" w:rsidR="0052300B">
              <w:rPr>
                <w:rStyle w:val="Hyperlink"/>
                <w:noProof/>
              </w:rPr>
              <w:t>Dollar Valuation of Safety and Reliability Consequences</w:t>
            </w:r>
            <w:r w:rsidR="0052300B">
              <w:rPr>
                <w:noProof/>
                <w:webHidden/>
              </w:rPr>
              <w:tab/>
            </w:r>
            <w:r w:rsidR="0052300B">
              <w:rPr>
                <w:noProof/>
                <w:webHidden/>
              </w:rPr>
              <w:fldChar w:fldCharType="begin"/>
            </w:r>
            <w:r w:rsidR="0052300B">
              <w:rPr>
                <w:noProof/>
                <w:webHidden/>
              </w:rPr>
              <w:instrText xml:space="preserve"> PAGEREF _Toc121821037 \h </w:instrText>
            </w:r>
            <w:r w:rsidR="0052300B">
              <w:rPr>
                <w:noProof/>
                <w:webHidden/>
              </w:rPr>
            </w:r>
            <w:r w:rsidR="0052300B">
              <w:rPr>
                <w:noProof/>
                <w:webHidden/>
              </w:rPr>
              <w:fldChar w:fldCharType="separate"/>
            </w:r>
            <w:r w:rsidR="0052300B">
              <w:rPr>
                <w:noProof/>
                <w:webHidden/>
              </w:rPr>
              <w:t>29</w:t>
            </w:r>
            <w:r w:rsidR="0052300B">
              <w:rPr>
                <w:noProof/>
                <w:webHidden/>
              </w:rPr>
              <w:fldChar w:fldCharType="end"/>
            </w:r>
          </w:hyperlink>
        </w:p>
        <w:p w:rsidR="0052300B" w:rsidRDefault="000639F5" w14:paraId="6232B48B" w14:textId="168EBC95">
          <w:pPr>
            <w:pStyle w:val="TOC3"/>
            <w:tabs>
              <w:tab w:val="left" w:pos="1296"/>
              <w:tab w:val="right" w:leader="dot" w:pos="9350"/>
            </w:tabs>
            <w:rPr>
              <w:rFonts w:asciiTheme="minorHAnsi" w:hAnsiTheme="minorHAnsi" w:cstheme="minorBidi"/>
              <w:noProof/>
              <w:sz w:val="22"/>
            </w:rPr>
          </w:pPr>
          <w:hyperlink w:history="1" w:anchor="_Toc121821038">
            <w:r w:rsidRPr="00D34FE9" w:rsidR="0052300B">
              <w:rPr>
                <w:rStyle w:val="Hyperlink"/>
                <w:noProof/>
              </w:rPr>
              <w:t>5.2.1</w:t>
            </w:r>
            <w:r w:rsidR="0052300B">
              <w:rPr>
                <w:rFonts w:asciiTheme="minorHAnsi" w:hAnsiTheme="minorHAnsi" w:cstheme="minorBidi"/>
                <w:noProof/>
                <w:sz w:val="22"/>
              </w:rPr>
              <w:tab/>
            </w:r>
            <w:r w:rsidRPr="00D34FE9" w:rsidR="0052300B">
              <w:rPr>
                <w:rStyle w:val="Hyperlink"/>
                <w:noProof/>
              </w:rPr>
              <w:t>Staff Proposal</w:t>
            </w:r>
            <w:r w:rsidR="0052300B">
              <w:rPr>
                <w:noProof/>
                <w:webHidden/>
              </w:rPr>
              <w:tab/>
            </w:r>
            <w:r w:rsidR="0052300B">
              <w:rPr>
                <w:noProof/>
                <w:webHidden/>
              </w:rPr>
              <w:fldChar w:fldCharType="begin"/>
            </w:r>
            <w:r w:rsidR="0052300B">
              <w:rPr>
                <w:noProof/>
                <w:webHidden/>
              </w:rPr>
              <w:instrText xml:space="preserve"> PAGEREF _Toc121821038 \h </w:instrText>
            </w:r>
            <w:r w:rsidR="0052300B">
              <w:rPr>
                <w:noProof/>
                <w:webHidden/>
              </w:rPr>
            </w:r>
            <w:r w:rsidR="0052300B">
              <w:rPr>
                <w:noProof/>
                <w:webHidden/>
              </w:rPr>
              <w:fldChar w:fldCharType="separate"/>
            </w:r>
            <w:r w:rsidR="0052300B">
              <w:rPr>
                <w:noProof/>
                <w:webHidden/>
              </w:rPr>
              <w:t>29</w:t>
            </w:r>
            <w:r w:rsidR="0052300B">
              <w:rPr>
                <w:noProof/>
                <w:webHidden/>
              </w:rPr>
              <w:fldChar w:fldCharType="end"/>
            </w:r>
          </w:hyperlink>
        </w:p>
        <w:p w:rsidR="0052300B" w:rsidRDefault="000639F5" w14:paraId="4E4514BB" w14:textId="50B3B455">
          <w:pPr>
            <w:pStyle w:val="TOC4"/>
            <w:tabs>
              <w:tab w:val="left" w:pos="1728"/>
              <w:tab w:val="right" w:leader="dot" w:pos="9350"/>
            </w:tabs>
            <w:rPr>
              <w:rFonts w:asciiTheme="minorHAnsi" w:hAnsiTheme="minorHAnsi" w:eastAsiaTheme="minorEastAsia"/>
              <w:noProof/>
              <w:sz w:val="22"/>
            </w:rPr>
          </w:pPr>
          <w:hyperlink w:history="1" w:anchor="_Toc121821039">
            <w:r w:rsidRPr="00D34FE9" w:rsidR="0052300B">
              <w:rPr>
                <w:rStyle w:val="Hyperlink"/>
                <w:noProof/>
              </w:rPr>
              <w:t>5.2.1.1.</w:t>
            </w:r>
            <w:r w:rsidR="0052300B">
              <w:rPr>
                <w:rFonts w:asciiTheme="minorHAnsi" w:hAnsiTheme="minorHAnsi" w:eastAsiaTheme="minorEastAsia"/>
                <w:noProof/>
                <w:sz w:val="22"/>
              </w:rPr>
              <w:tab/>
            </w:r>
            <w:r w:rsidRPr="00D34FE9" w:rsidR="0052300B">
              <w:rPr>
                <w:rStyle w:val="Hyperlink"/>
                <w:noProof/>
              </w:rPr>
              <w:t>Dollar Valuation of Safety Consequences</w:t>
            </w:r>
            <w:r w:rsidR="0052300B">
              <w:rPr>
                <w:noProof/>
                <w:webHidden/>
              </w:rPr>
              <w:tab/>
            </w:r>
            <w:r w:rsidR="0052300B">
              <w:rPr>
                <w:noProof/>
                <w:webHidden/>
              </w:rPr>
              <w:fldChar w:fldCharType="begin"/>
            </w:r>
            <w:r w:rsidR="0052300B">
              <w:rPr>
                <w:noProof/>
                <w:webHidden/>
              </w:rPr>
              <w:instrText xml:space="preserve"> PAGEREF _Toc121821039 \h </w:instrText>
            </w:r>
            <w:r w:rsidR="0052300B">
              <w:rPr>
                <w:noProof/>
                <w:webHidden/>
              </w:rPr>
            </w:r>
            <w:r w:rsidR="0052300B">
              <w:rPr>
                <w:noProof/>
                <w:webHidden/>
              </w:rPr>
              <w:fldChar w:fldCharType="separate"/>
            </w:r>
            <w:r w:rsidR="0052300B">
              <w:rPr>
                <w:noProof/>
                <w:webHidden/>
              </w:rPr>
              <w:t>29</w:t>
            </w:r>
            <w:r w:rsidR="0052300B">
              <w:rPr>
                <w:noProof/>
                <w:webHidden/>
              </w:rPr>
              <w:fldChar w:fldCharType="end"/>
            </w:r>
          </w:hyperlink>
        </w:p>
        <w:p w:rsidR="0052300B" w:rsidRDefault="000639F5" w14:paraId="4B393AC6" w14:textId="0B4DA480">
          <w:pPr>
            <w:pStyle w:val="TOC4"/>
            <w:tabs>
              <w:tab w:val="left" w:pos="1728"/>
              <w:tab w:val="right" w:leader="dot" w:pos="9350"/>
            </w:tabs>
            <w:rPr>
              <w:rFonts w:asciiTheme="minorHAnsi" w:hAnsiTheme="minorHAnsi" w:eastAsiaTheme="minorEastAsia"/>
              <w:noProof/>
              <w:sz w:val="22"/>
            </w:rPr>
          </w:pPr>
          <w:hyperlink w:history="1" w:anchor="_Toc121821040">
            <w:r w:rsidRPr="00D34FE9" w:rsidR="0052300B">
              <w:rPr>
                <w:rStyle w:val="Hyperlink"/>
                <w:noProof/>
              </w:rPr>
              <w:t>5.2.1.2.</w:t>
            </w:r>
            <w:r w:rsidR="0052300B">
              <w:rPr>
                <w:rFonts w:asciiTheme="minorHAnsi" w:hAnsiTheme="minorHAnsi" w:eastAsiaTheme="minorEastAsia"/>
                <w:noProof/>
                <w:sz w:val="22"/>
              </w:rPr>
              <w:tab/>
            </w:r>
            <w:r w:rsidRPr="00D34FE9" w:rsidR="0052300B">
              <w:rPr>
                <w:rStyle w:val="Hyperlink"/>
                <w:noProof/>
              </w:rPr>
              <w:t>Dollar Valuation of Electric Reliability Consequences</w:t>
            </w:r>
            <w:r w:rsidR="0052300B">
              <w:rPr>
                <w:noProof/>
                <w:webHidden/>
              </w:rPr>
              <w:tab/>
            </w:r>
            <w:r w:rsidR="0052300B">
              <w:rPr>
                <w:noProof/>
                <w:webHidden/>
              </w:rPr>
              <w:fldChar w:fldCharType="begin"/>
            </w:r>
            <w:r w:rsidR="0052300B">
              <w:rPr>
                <w:noProof/>
                <w:webHidden/>
              </w:rPr>
              <w:instrText xml:space="preserve"> PAGEREF _Toc121821040 \h </w:instrText>
            </w:r>
            <w:r w:rsidR="0052300B">
              <w:rPr>
                <w:noProof/>
                <w:webHidden/>
              </w:rPr>
            </w:r>
            <w:r w:rsidR="0052300B">
              <w:rPr>
                <w:noProof/>
                <w:webHidden/>
              </w:rPr>
              <w:fldChar w:fldCharType="separate"/>
            </w:r>
            <w:r w:rsidR="0052300B">
              <w:rPr>
                <w:noProof/>
                <w:webHidden/>
              </w:rPr>
              <w:t>30</w:t>
            </w:r>
            <w:r w:rsidR="0052300B">
              <w:rPr>
                <w:noProof/>
                <w:webHidden/>
              </w:rPr>
              <w:fldChar w:fldCharType="end"/>
            </w:r>
          </w:hyperlink>
        </w:p>
        <w:p w:rsidR="0052300B" w:rsidRDefault="000639F5" w14:paraId="6D90ACE5" w14:textId="1E3644D2">
          <w:pPr>
            <w:pStyle w:val="TOC4"/>
            <w:tabs>
              <w:tab w:val="left" w:pos="1728"/>
              <w:tab w:val="right" w:leader="dot" w:pos="9350"/>
            </w:tabs>
            <w:rPr>
              <w:rFonts w:asciiTheme="minorHAnsi" w:hAnsiTheme="minorHAnsi" w:eastAsiaTheme="minorEastAsia"/>
              <w:noProof/>
              <w:sz w:val="22"/>
            </w:rPr>
          </w:pPr>
          <w:hyperlink w:history="1" w:anchor="_Toc121821041">
            <w:r w:rsidRPr="00D34FE9" w:rsidR="0052300B">
              <w:rPr>
                <w:rStyle w:val="Hyperlink"/>
                <w:noProof/>
              </w:rPr>
              <w:t>5.2.1.3.</w:t>
            </w:r>
            <w:r w:rsidR="0052300B">
              <w:rPr>
                <w:rFonts w:asciiTheme="minorHAnsi" w:hAnsiTheme="minorHAnsi" w:eastAsiaTheme="minorEastAsia"/>
                <w:noProof/>
                <w:sz w:val="22"/>
              </w:rPr>
              <w:tab/>
            </w:r>
            <w:r w:rsidRPr="00D34FE9" w:rsidR="0052300B">
              <w:rPr>
                <w:rStyle w:val="Hyperlink"/>
                <w:noProof/>
              </w:rPr>
              <w:t>Dollar Valuation of Gas Reliability Consequences</w:t>
            </w:r>
            <w:r w:rsidR="0052300B">
              <w:rPr>
                <w:noProof/>
                <w:webHidden/>
              </w:rPr>
              <w:tab/>
            </w:r>
            <w:r w:rsidR="0052300B">
              <w:rPr>
                <w:noProof/>
                <w:webHidden/>
              </w:rPr>
              <w:fldChar w:fldCharType="begin"/>
            </w:r>
            <w:r w:rsidR="0052300B">
              <w:rPr>
                <w:noProof/>
                <w:webHidden/>
              </w:rPr>
              <w:instrText xml:space="preserve"> PAGEREF _Toc121821041 \h </w:instrText>
            </w:r>
            <w:r w:rsidR="0052300B">
              <w:rPr>
                <w:noProof/>
                <w:webHidden/>
              </w:rPr>
            </w:r>
            <w:r w:rsidR="0052300B">
              <w:rPr>
                <w:noProof/>
                <w:webHidden/>
              </w:rPr>
              <w:fldChar w:fldCharType="separate"/>
            </w:r>
            <w:r w:rsidR="0052300B">
              <w:rPr>
                <w:noProof/>
                <w:webHidden/>
              </w:rPr>
              <w:t>32</w:t>
            </w:r>
            <w:r w:rsidR="0052300B">
              <w:rPr>
                <w:noProof/>
                <w:webHidden/>
              </w:rPr>
              <w:fldChar w:fldCharType="end"/>
            </w:r>
          </w:hyperlink>
        </w:p>
        <w:p w:rsidR="0052300B" w:rsidRDefault="000639F5" w14:paraId="6245CDC4" w14:textId="272F3403">
          <w:pPr>
            <w:pStyle w:val="TOC3"/>
            <w:tabs>
              <w:tab w:val="left" w:pos="1296"/>
              <w:tab w:val="right" w:leader="dot" w:pos="9350"/>
            </w:tabs>
            <w:rPr>
              <w:rFonts w:asciiTheme="minorHAnsi" w:hAnsiTheme="minorHAnsi" w:cstheme="minorBidi"/>
              <w:noProof/>
              <w:sz w:val="22"/>
            </w:rPr>
          </w:pPr>
          <w:hyperlink w:history="1" w:anchor="_Toc121821042">
            <w:r w:rsidRPr="00D34FE9" w:rsidR="0052300B">
              <w:rPr>
                <w:rStyle w:val="Hyperlink"/>
                <w:noProof/>
              </w:rPr>
              <w:t>5.2.2.</w:t>
            </w:r>
            <w:r w:rsidR="0052300B">
              <w:rPr>
                <w:rFonts w:asciiTheme="minorHAnsi" w:hAnsiTheme="minorHAnsi" w:cstheme="minorBidi"/>
                <w:noProof/>
                <w:sz w:val="22"/>
              </w:rPr>
              <w:tab/>
            </w:r>
            <w:r w:rsidRPr="00D34FE9" w:rsidR="0052300B">
              <w:rPr>
                <w:rStyle w:val="Hyperlink"/>
                <w:noProof/>
              </w:rPr>
              <w:t>Party Comments</w:t>
            </w:r>
            <w:r w:rsidR="0052300B">
              <w:rPr>
                <w:noProof/>
                <w:webHidden/>
              </w:rPr>
              <w:tab/>
            </w:r>
            <w:r w:rsidR="0052300B">
              <w:rPr>
                <w:noProof/>
                <w:webHidden/>
              </w:rPr>
              <w:fldChar w:fldCharType="begin"/>
            </w:r>
            <w:r w:rsidR="0052300B">
              <w:rPr>
                <w:noProof/>
                <w:webHidden/>
              </w:rPr>
              <w:instrText xml:space="preserve"> PAGEREF _Toc121821042 \h </w:instrText>
            </w:r>
            <w:r w:rsidR="0052300B">
              <w:rPr>
                <w:noProof/>
                <w:webHidden/>
              </w:rPr>
            </w:r>
            <w:r w:rsidR="0052300B">
              <w:rPr>
                <w:noProof/>
                <w:webHidden/>
              </w:rPr>
              <w:fldChar w:fldCharType="separate"/>
            </w:r>
            <w:r w:rsidR="0052300B">
              <w:rPr>
                <w:noProof/>
                <w:webHidden/>
              </w:rPr>
              <w:t>32</w:t>
            </w:r>
            <w:r w:rsidR="0052300B">
              <w:rPr>
                <w:noProof/>
                <w:webHidden/>
              </w:rPr>
              <w:fldChar w:fldCharType="end"/>
            </w:r>
          </w:hyperlink>
        </w:p>
        <w:p w:rsidR="0052300B" w:rsidRDefault="000639F5" w14:paraId="2AF3CCB8" w14:textId="51C883DD">
          <w:pPr>
            <w:pStyle w:val="TOC3"/>
            <w:tabs>
              <w:tab w:val="left" w:pos="1296"/>
              <w:tab w:val="right" w:leader="dot" w:pos="9350"/>
            </w:tabs>
            <w:rPr>
              <w:rFonts w:asciiTheme="minorHAnsi" w:hAnsiTheme="minorHAnsi" w:cstheme="minorBidi"/>
              <w:noProof/>
              <w:sz w:val="22"/>
            </w:rPr>
          </w:pPr>
          <w:hyperlink w:history="1" w:anchor="_Toc121821043">
            <w:r w:rsidRPr="00D34FE9" w:rsidR="0052300B">
              <w:rPr>
                <w:rStyle w:val="Hyperlink"/>
                <w:noProof/>
              </w:rPr>
              <w:t>5.2.3.</w:t>
            </w:r>
            <w:r w:rsidR="0052300B">
              <w:rPr>
                <w:rFonts w:asciiTheme="minorHAnsi" w:hAnsiTheme="minorHAnsi" w:cstheme="minorBidi"/>
                <w:noProof/>
                <w:sz w:val="22"/>
              </w:rPr>
              <w:tab/>
            </w:r>
            <w:r w:rsidRPr="00D34FE9" w:rsidR="0052300B">
              <w:rPr>
                <w:rStyle w:val="Hyperlink"/>
                <w:noProof/>
              </w:rPr>
              <w:t>Discussion</w:t>
            </w:r>
            <w:r w:rsidR="0052300B">
              <w:rPr>
                <w:noProof/>
                <w:webHidden/>
              </w:rPr>
              <w:tab/>
            </w:r>
            <w:r w:rsidR="0052300B">
              <w:rPr>
                <w:noProof/>
                <w:webHidden/>
              </w:rPr>
              <w:fldChar w:fldCharType="begin"/>
            </w:r>
            <w:r w:rsidR="0052300B">
              <w:rPr>
                <w:noProof/>
                <w:webHidden/>
              </w:rPr>
              <w:instrText xml:space="preserve"> PAGEREF _Toc121821043 \h </w:instrText>
            </w:r>
            <w:r w:rsidR="0052300B">
              <w:rPr>
                <w:noProof/>
                <w:webHidden/>
              </w:rPr>
            </w:r>
            <w:r w:rsidR="0052300B">
              <w:rPr>
                <w:noProof/>
                <w:webHidden/>
              </w:rPr>
              <w:fldChar w:fldCharType="separate"/>
            </w:r>
            <w:r w:rsidR="0052300B">
              <w:rPr>
                <w:noProof/>
                <w:webHidden/>
              </w:rPr>
              <w:t>34</w:t>
            </w:r>
            <w:r w:rsidR="0052300B">
              <w:rPr>
                <w:noProof/>
                <w:webHidden/>
              </w:rPr>
              <w:fldChar w:fldCharType="end"/>
            </w:r>
          </w:hyperlink>
        </w:p>
        <w:p w:rsidR="0052300B" w:rsidRDefault="000639F5" w14:paraId="660173A0" w14:textId="406C6695">
          <w:pPr>
            <w:pStyle w:val="TOC2"/>
            <w:tabs>
              <w:tab w:val="right" w:leader="dot" w:pos="9350"/>
            </w:tabs>
            <w:rPr>
              <w:rFonts w:asciiTheme="minorHAnsi" w:hAnsiTheme="minorHAnsi" w:cstheme="minorBidi"/>
              <w:noProof/>
              <w:sz w:val="22"/>
            </w:rPr>
          </w:pPr>
          <w:hyperlink w:history="1" w:anchor="_Toc121821044">
            <w:r w:rsidRPr="00D34FE9" w:rsidR="0052300B">
              <w:rPr>
                <w:rStyle w:val="Hyperlink"/>
                <w:noProof/>
              </w:rPr>
              <w:t>5.3.</w:t>
            </w:r>
            <w:r w:rsidR="0052300B">
              <w:rPr>
                <w:rFonts w:asciiTheme="minorHAnsi" w:hAnsiTheme="minorHAnsi" w:cstheme="minorBidi"/>
                <w:noProof/>
                <w:sz w:val="22"/>
              </w:rPr>
              <w:tab/>
            </w:r>
            <w:r w:rsidRPr="00D34FE9" w:rsidR="0052300B">
              <w:rPr>
                <w:rStyle w:val="Hyperlink"/>
                <w:noProof/>
              </w:rPr>
              <w:t>Incorporating Environmental and Social Justice Impacts into the RDF</w:t>
            </w:r>
            <w:r w:rsidR="0052300B">
              <w:rPr>
                <w:noProof/>
                <w:webHidden/>
              </w:rPr>
              <w:tab/>
            </w:r>
            <w:r w:rsidR="0052300B">
              <w:rPr>
                <w:noProof/>
                <w:webHidden/>
              </w:rPr>
              <w:fldChar w:fldCharType="begin"/>
            </w:r>
            <w:r w:rsidR="0052300B">
              <w:rPr>
                <w:noProof/>
                <w:webHidden/>
              </w:rPr>
              <w:instrText xml:space="preserve"> PAGEREF _Toc121821044 \h </w:instrText>
            </w:r>
            <w:r w:rsidR="0052300B">
              <w:rPr>
                <w:noProof/>
                <w:webHidden/>
              </w:rPr>
            </w:r>
            <w:r w:rsidR="0052300B">
              <w:rPr>
                <w:noProof/>
                <w:webHidden/>
              </w:rPr>
              <w:fldChar w:fldCharType="separate"/>
            </w:r>
            <w:r w:rsidR="0052300B">
              <w:rPr>
                <w:noProof/>
                <w:webHidden/>
              </w:rPr>
              <w:t>41</w:t>
            </w:r>
            <w:r w:rsidR="0052300B">
              <w:rPr>
                <w:noProof/>
                <w:webHidden/>
              </w:rPr>
              <w:fldChar w:fldCharType="end"/>
            </w:r>
          </w:hyperlink>
        </w:p>
        <w:p w:rsidR="0052300B" w:rsidRDefault="000639F5" w14:paraId="60BDB796" w14:textId="4BA9156D">
          <w:pPr>
            <w:pStyle w:val="TOC3"/>
            <w:tabs>
              <w:tab w:val="left" w:pos="1296"/>
              <w:tab w:val="right" w:leader="dot" w:pos="9350"/>
            </w:tabs>
            <w:rPr>
              <w:rFonts w:asciiTheme="minorHAnsi" w:hAnsiTheme="minorHAnsi" w:cstheme="minorBidi"/>
              <w:noProof/>
              <w:sz w:val="22"/>
            </w:rPr>
          </w:pPr>
          <w:hyperlink w:history="1" w:anchor="_Toc121821045">
            <w:r w:rsidRPr="00D34FE9" w:rsidR="0052300B">
              <w:rPr>
                <w:rStyle w:val="Hyperlink"/>
                <w:noProof/>
              </w:rPr>
              <w:t>5.3.1.</w:t>
            </w:r>
            <w:r w:rsidR="0052300B">
              <w:rPr>
                <w:rFonts w:asciiTheme="minorHAnsi" w:hAnsiTheme="minorHAnsi" w:cstheme="minorBidi"/>
                <w:noProof/>
                <w:sz w:val="22"/>
              </w:rPr>
              <w:tab/>
            </w:r>
            <w:r w:rsidRPr="00D34FE9" w:rsidR="0052300B">
              <w:rPr>
                <w:rStyle w:val="Hyperlink"/>
                <w:noProof/>
              </w:rPr>
              <w:t>Staff Proposal</w:t>
            </w:r>
            <w:r w:rsidR="0052300B">
              <w:rPr>
                <w:noProof/>
                <w:webHidden/>
              </w:rPr>
              <w:tab/>
            </w:r>
            <w:r w:rsidR="0052300B">
              <w:rPr>
                <w:noProof/>
                <w:webHidden/>
              </w:rPr>
              <w:fldChar w:fldCharType="begin"/>
            </w:r>
            <w:r w:rsidR="0052300B">
              <w:rPr>
                <w:noProof/>
                <w:webHidden/>
              </w:rPr>
              <w:instrText xml:space="preserve"> PAGEREF _Toc121821045 \h </w:instrText>
            </w:r>
            <w:r w:rsidR="0052300B">
              <w:rPr>
                <w:noProof/>
                <w:webHidden/>
              </w:rPr>
            </w:r>
            <w:r w:rsidR="0052300B">
              <w:rPr>
                <w:noProof/>
                <w:webHidden/>
              </w:rPr>
              <w:fldChar w:fldCharType="separate"/>
            </w:r>
            <w:r w:rsidR="0052300B">
              <w:rPr>
                <w:noProof/>
                <w:webHidden/>
              </w:rPr>
              <w:t>42</w:t>
            </w:r>
            <w:r w:rsidR="0052300B">
              <w:rPr>
                <w:noProof/>
                <w:webHidden/>
              </w:rPr>
              <w:fldChar w:fldCharType="end"/>
            </w:r>
          </w:hyperlink>
        </w:p>
        <w:p w:rsidR="0052300B" w:rsidRDefault="000639F5" w14:paraId="6938D5FF" w14:textId="240FE5FC">
          <w:pPr>
            <w:pStyle w:val="TOC3"/>
            <w:tabs>
              <w:tab w:val="left" w:pos="1296"/>
              <w:tab w:val="right" w:leader="dot" w:pos="9350"/>
            </w:tabs>
            <w:rPr>
              <w:rFonts w:asciiTheme="minorHAnsi" w:hAnsiTheme="minorHAnsi" w:cstheme="minorBidi"/>
              <w:noProof/>
              <w:sz w:val="22"/>
            </w:rPr>
          </w:pPr>
          <w:hyperlink w:history="1" w:anchor="_Toc121821046">
            <w:r w:rsidRPr="00D34FE9" w:rsidR="0052300B">
              <w:rPr>
                <w:rStyle w:val="Hyperlink"/>
                <w:noProof/>
              </w:rPr>
              <w:t>5.3.2.</w:t>
            </w:r>
            <w:r w:rsidR="0052300B">
              <w:rPr>
                <w:rFonts w:asciiTheme="minorHAnsi" w:hAnsiTheme="minorHAnsi" w:cstheme="minorBidi"/>
                <w:noProof/>
                <w:sz w:val="22"/>
              </w:rPr>
              <w:tab/>
            </w:r>
            <w:r w:rsidRPr="00D34FE9" w:rsidR="0052300B">
              <w:rPr>
                <w:rStyle w:val="Hyperlink"/>
                <w:noProof/>
              </w:rPr>
              <w:t>Party Comments</w:t>
            </w:r>
            <w:r w:rsidR="0052300B">
              <w:rPr>
                <w:noProof/>
                <w:webHidden/>
              </w:rPr>
              <w:tab/>
            </w:r>
            <w:r w:rsidR="0052300B">
              <w:rPr>
                <w:noProof/>
                <w:webHidden/>
              </w:rPr>
              <w:fldChar w:fldCharType="begin"/>
            </w:r>
            <w:r w:rsidR="0052300B">
              <w:rPr>
                <w:noProof/>
                <w:webHidden/>
              </w:rPr>
              <w:instrText xml:space="preserve"> PAGEREF _Toc121821046 \h </w:instrText>
            </w:r>
            <w:r w:rsidR="0052300B">
              <w:rPr>
                <w:noProof/>
                <w:webHidden/>
              </w:rPr>
            </w:r>
            <w:r w:rsidR="0052300B">
              <w:rPr>
                <w:noProof/>
                <w:webHidden/>
              </w:rPr>
              <w:fldChar w:fldCharType="separate"/>
            </w:r>
            <w:r w:rsidR="0052300B">
              <w:rPr>
                <w:noProof/>
                <w:webHidden/>
              </w:rPr>
              <w:t>43</w:t>
            </w:r>
            <w:r w:rsidR="0052300B">
              <w:rPr>
                <w:noProof/>
                <w:webHidden/>
              </w:rPr>
              <w:fldChar w:fldCharType="end"/>
            </w:r>
          </w:hyperlink>
        </w:p>
        <w:p w:rsidR="0052300B" w:rsidRDefault="000639F5" w14:paraId="4476960A" w14:textId="0E549869">
          <w:pPr>
            <w:pStyle w:val="TOC3"/>
            <w:tabs>
              <w:tab w:val="left" w:pos="1296"/>
              <w:tab w:val="right" w:leader="dot" w:pos="9350"/>
            </w:tabs>
            <w:rPr>
              <w:rFonts w:asciiTheme="minorHAnsi" w:hAnsiTheme="minorHAnsi" w:cstheme="minorBidi"/>
              <w:noProof/>
              <w:sz w:val="22"/>
            </w:rPr>
          </w:pPr>
          <w:hyperlink w:history="1" w:anchor="_Toc121821047">
            <w:r w:rsidRPr="00D34FE9" w:rsidR="0052300B">
              <w:rPr>
                <w:rStyle w:val="Hyperlink"/>
                <w:noProof/>
              </w:rPr>
              <w:t>5.3.3.</w:t>
            </w:r>
            <w:r w:rsidR="0052300B">
              <w:rPr>
                <w:rFonts w:asciiTheme="minorHAnsi" w:hAnsiTheme="minorHAnsi" w:cstheme="minorBidi"/>
                <w:noProof/>
                <w:sz w:val="22"/>
              </w:rPr>
              <w:tab/>
            </w:r>
            <w:r w:rsidRPr="00D34FE9" w:rsidR="0052300B">
              <w:rPr>
                <w:rStyle w:val="Hyperlink"/>
                <w:noProof/>
              </w:rPr>
              <w:t>Discussion</w:t>
            </w:r>
            <w:r w:rsidR="0052300B">
              <w:rPr>
                <w:noProof/>
                <w:webHidden/>
              </w:rPr>
              <w:tab/>
            </w:r>
            <w:r w:rsidR="0052300B">
              <w:rPr>
                <w:noProof/>
                <w:webHidden/>
              </w:rPr>
              <w:fldChar w:fldCharType="begin"/>
            </w:r>
            <w:r w:rsidR="0052300B">
              <w:rPr>
                <w:noProof/>
                <w:webHidden/>
              </w:rPr>
              <w:instrText xml:space="preserve"> PAGEREF _Toc121821047 \h </w:instrText>
            </w:r>
            <w:r w:rsidR="0052300B">
              <w:rPr>
                <w:noProof/>
                <w:webHidden/>
              </w:rPr>
            </w:r>
            <w:r w:rsidR="0052300B">
              <w:rPr>
                <w:noProof/>
                <w:webHidden/>
              </w:rPr>
              <w:fldChar w:fldCharType="separate"/>
            </w:r>
            <w:r w:rsidR="0052300B">
              <w:rPr>
                <w:noProof/>
                <w:webHidden/>
              </w:rPr>
              <w:t>46</w:t>
            </w:r>
            <w:r w:rsidR="0052300B">
              <w:rPr>
                <w:noProof/>
                <w:webHidden/>
              </w:rPr>
              <w:fldChar w:fldCharType="end"/>
            </w:r>
          </w:hyperlink>
        </w:p>
        <w:p w:rsidR="0052300B" w:rsidRDefault="000639F5" w14:paraId="1466E7E2" w14:textId="63DD52B9">
          <w:pPr>
            <w:pStyle w:val="TOC2"/>
            <w:tabs>
              <w:tab w:val="right" w:leader="dot" w:pos="9350"/>
            </w:tabs>
            <w:rPr>
              <w:rFonts w:asciiTheme="minorHAnsi" w:hAnsiTheme="minorHAnsi" w:cstheme="minorBidi"/>
              <w:noProof/>
              <w:sz w:val="22"/>
            </w:rPr>
          </w:pPr>
          <w:hyperlink w:history="1" w:anchor="_Toc121821048">
            <w:r w:rsidRPr="00D34FE9" w:rsidR="0052300B">
              <w:rPr>
                <w:rStyle w:val="Hyperlink"/>
                <w:noProof/>
              </w:rPr>
              <w:t>5.4.</w:t>
            </w:r>
            <w:r w:rsidR="0052300B">
              <w:rPr>
                <w:rFonts w:asciiTheme="minorHAnsi" w:hAnsiTheme="minorHAnsi" w:cstheme="minorBidi"/>
                <w:noProof/>
                <w:sz w:val="22"/>
              </w:rPr>
              <w:tab/>
            </w:r>
            <w:r w:rsidRPr="00D34FE9" w:rsidR="0052300B">
              <w:rPr>
                <w:rStyle w:val="Hyperlink"/>
                <w:noProof/>
              </w:rPr>
              <w:t>Modification of the Settlement Agreement in Appendix B</w:t>
            </w:r>
            <w:r w:rsidR="0052300B">
              <w:rPr>
                <w:noProof/>
                <w:webHidden/>
              </w:rPr>
              <w:tab/>
            </w:r>
            <w:r w:rsidR="0052300B">
              <w:rPr>
                <w:noProof/>
                <w:webHidden/>
              </w:rPr>
              <w:fldChar w:fldCharType="begin"/>
            </w:r>
            <w:r w:rsidR="0052300B">
              <w:rPr>
                <w:noProof/>
                <w:webHidden/>
              </w:rPr>
              <w:instrText xml:space="preserve"> PAGEREF _Toc121821048 \h </w:instrText>
            </w:r>
            <w:r w:rsidR="0052300B">
              <w:rPr>
                <w:noProof/>
                <w:webHidden/>
              </w:rPr>
            </w:r>
            <w:r w:rsidR="0052300B">
              <w:rPr>
                <w:noProof/>
                <w:webHidden/>
              </w:rPr>
              <w:fldChar w:fldCharType="separate"/>
            </w:r>
            <w:r w:rsidR="0052300B">
              <w:rPr>
                <w:noProof/>
                <w:webHidden/>
              </w:rPr>
              <w:t>51</w:t>
            </w:r>
            <w:r w:rsidR="0052300B">
              <w:rPr>
                <w:noProof/>
                <w:webHidden/>
              </w:rPr>
              <w:fldChar w:fldCharType="end"/>
            </w:r>
          </w:hyperlink>
        </w:p>
        <w:p w:rsidR="0052300B" w:rsidRDefault="000639F5" w14:paraId="4ADA924E" w14:textId="07F3CD57">
          <w:pPr>
            <w:pStyle w:val="TOC3"/>
            <w:tabs>
              <w:tab w:val="left" w:pos="1296"/>
              <w:tab w:val="right" w:leader="dot" w:pos="9350"/>
            </w:tabs>
            <w:rPr>
              <w:rFonts w:asciiTheme="minorHAnsi" w:hAnsiTheme="minorHAnsi" w:cstheme="minorBidi"/>
              <w:noProof/>
              <w:sz w:val="22"/>
            </w:rPr>
          </w:pPr>
          <w:hyperlink w:history="1" w:anchor="_Toc121821049">
            <w:r w:rsidRPr="00D34FE9" w:rsidR="0052300B">
              <w:rPr>
                <w:rStyle w:val="Hyperlink"/>
                <w:noProof/>
              </w:rPr>
              <w:t>5.4.1.</w:t>
            </w:r>
            <w:r w:rsidR="0052300B">
              <w:rPr>
                <w:rFonts w:asciiTheme="minorHAnsi" w:hAnsiTheme="minorHAnsi" w:cstheme="minorBidi"/>
                <w:noProof/>
                <w:sz w:val="22"/>
              </w:rPr>
              <w:tab/>
            </w:r>
            <w:r w:rsidRPr="00D34FE9" w:rsidR="0052300B">
              <w:rPr>
                <w:rStyle w:val="Hyperlink"/>
                <w:noProof/>
              </w:rPr>
              <w:t>Party Comments</w:t>
            </w:r>
            <w:r w:rsidR="0052300B">
              <w:rPr>
                <w:noProof/>
                <w:webHidden/>
              </w:rPr>
              <w:tab/>
            </w:r>
            <w:r w:rsidR="0052300B">
              <w:rPr>
                <w:noProof/>
                <w:webHidden/>
              </w:rPr>
              <w:fldChar w:fldCharType="begin"/>
            </w:r>
            <w:r w:rsidR="0052300B">
              <w:rPr>
                <w:noProof/>
                <w:webHidden/>
              </w:rPr>
              <w:instrText xml:space="preserve"> PAGEREF _Toc121821049 \h </w:instrText>
            </w:r>
            <w:r w:rsidR="0052300B">
              <w:rPr>
                <w:noProof/>
                <w:webHidden/>
              </w:rPr>
            </w:r>
            <w:r w:rsidR="0052300B">
              <w:rPr>
                <w:noProof/>
                <w:webHidden/>
              </w:rPr>
              <w:fldChar w:fldCharType="separate"/>
            </w:r>
            <w:r w:rsidR="0052300B">
              <w:rPr>
                <w:noProof/>
                <w:webHidden/>
              </w:rPr>
              <w:t>51</w:t>
            </w:r>
            <w:r w:rsidR="0052300B">
              <w:rPr>
                <w:noProof/>
                <w:webHidden/>
              </w:rPr>
              <w:fldChar w:fldCharType="end"/>
            </w:r>
          </w:hyperlink>
        </w:p>
        <w:p w:rsidR="0052300B" w:rsidRDefault="000639F5" w14:paraId="3E2BA5EF" w14:textId="6507EF5E">
          <w:pPr>
            <w:pStyle w:val="TOC3"/>
            <w:tabs>
              <w:tab w:val="left" w:pos="1296"/>
              <w:tab w:val="right" w:leader="dot" w:pos="9350"/>
            </w:tabs>
            <w:rPr>
              <w:rFonts w:asciiTheme="minorHAnsi" w:hAnsiTheme="minorHAnsi" w:cstheme="minorBidi"/>
              <w:noProof/>
              <w:sz w:val="22"/>
            </w:rPr>
          </w:pPr>
          <w:hyperlink w:history="1" w:anchor="_Toc121821050">
            <w:r w:rsidRPr="00D34FE9" w:rsidR="0052300B">
              <w:rPr>
                <w:rStyle w:val="Hyperlink"/>
                <w:noProof/>
              </w:rPr>
              <w:t>5.4.2.</w:t>
            </w:r>
            <w:r w:rsidR="0052300B">
              <w:rPr>
                <w:rFonts w:asciiTheme="minorHAnsi" w:hAnsiTheme="minorHAnsi" w:cstheme="minorBidi"/>
                <w:noProof/>
                <w:sz w:val="22"/>
              </w:rPr>
              <w:tab/>
            </w:r>
            <w:r w:rsidRPr="00D34FE9" w:rsidR="0052300B">
              <w:rPr>
                <w:rStyle w:val="Hyperlink"/>
                <w:noProof/>
              </w:rPr>
              <w:t>Discussion</w:t>
            </w:r>
            <w:r w:rsidR="0052300B">
              <w:rPr>
                <w:noProof/>
                <w:webHidden/>
              </w:rPr>
              <w:tab/>
            </w:r>
            <w:r w:rsidR="0052300B">
              <w:rPr>
                <w:noProof/>
                <w:webHidden/>
              </w:rPr>
              <w:fldChar w:fldCharType="begin"/>
            </w:r>
            <w:r w:rsidR="0052300B">
              <w:rPr>
                <w:noProof/>
                <w:webHidden/>
              </w:rPr>
              <w:instrText xml:space="preserve"> PAGEREF _Toc121821050 \h </w:instrText>
            </w:r>
            <w:r w:rsidR="0052300B">
              <w:rPr>
                <w:noProof/>
                <w:webHidden/>
              </w:rPr>
            </w:r>
            <w:r w:rsidR="0052300B">
              <w:rPr>
                <w:noProof/>
                <w:webHidden/>
              </w:rPr>
              <w:fldChar w:fldCharType="separate"/>
            </w:r>
            <w:r w:rsidR="0052300B">
              <w:rPr>
                <w:noProof/>
                <w:webHidden/>
              </w:rPr>
              <w:t>52</w:t>
            </w:r>
            <w:r w:rsidR="0052300B">
              <w:rPr>
                <w:noProof/>
                <w:webHidden/>
              </w:rPr>
              <w:fldChar w:fldCharType="end"/>
            </w:r>
          </w:hyperlink>
        </w:p>
        <w:p w:rsidR="0052300B" w:rsidRDefault="000639F5" w14:paraId="2B89955F" w14:textId="4DA90A5F">
          <w:pPr>
            <w:pStyle w:val="TOC1"/>
            <w:tabs>
              <w:tab w:val="right" w:leader="dot" w:pos="9350"/>
            </w:tabs>
            <w:rPr>
              <w:rFonts w:asciiTheme="minorHAnsi" w:hAnsiTheme="minorHAnsi" w:cstheme="minorBidi"/>
              <w:noProof/>
              <w:sz w:val="22"/>
            </w:rPr>
          </w:pPr>
          <w:hyperlink w:history="1" w:anchor="_Toc121821051">
            <w:r w:rsidRPr="00D34FE9" w:rsidR="0052300B">
              <w:rPr>
                <w:rStyle w:val="Hyperlink"/>
                <w:noProof/>
              </w:rPr>
              <w:t>6.</w:t>
            </w:r>
            <w:r w:rsidR="0052300B">
              <w:rPr>
                <w:rFonts w:asciiTheme="minorHAnsi" w:hAnsiTheme="minorHAnsi" w:cstheme="minorBidi"/>
                <w:noProof/>
                <w:sz w:val="22"/>
              </w:rPr>
              <w:tab/>
            </w:r>
            <w:r w:rsidRPr="00D34FE9" w:rsidR="0052300B">
              <w:rPr>
                <w:rStyle w:val="Hyperlink"/>
                <w:noProof/>
              </w:rPr>
              <w:t>Comments on Proposed Decision</w:t>
            </w:r>
            <w:r w:rsidR="0052300B">
              <w:rPr>
                <w:noProof/>
                <w:webHidden/>
              </w:rPr>
              <w:tab/>
            </w:r>
            <w:r w:rsidR="0052300B">
              <w:rPr>
                <w:noProof/>
                <w:webHidden/>
              </w:rPr>
              <w:fldChar w:fldCharType="begin"/>
            </w:r>
            <w:r w:rsidR="0052300B">
              <w:rPr>
                <w:noProof/>
                <w:webHidden/>
              </w:rPr>
              <w:instrText xml:space="preserve"> PAGEREF _Toc121821051 \h </w:instrText>
            </w:r>
            <w:r w:rsidR="0052300B">
              <w:rPr>
                <w:noProof/>
                <w:webHidden/>
              </w:rPr>
            </w:r>
            <w:r w:rsidR="0052300B">
              <w:rPr>
                <w:noProof/>
                <w:webHidden/>
              </w:rPr>
              <w:fldChar w:fldCharType="separate"/>
            </w:r>
            <w:r w:rsidR="0052300B">
              <w:rPr>
                <w:noProof/>
                <w:webHidden/>
              </w:rPr>
              <w:t>53</w:t>
            </w:r>
            <w:r w:rsidR="0052300B">
              <w:rPr>
                <w:noProof/>
                <w:webHidden/>
              </w:rPr>
              <w:fldChar w:fldCharType="end"/>
            </w:r>
          </w:hyperlink>
        </w:p>
        <w:p w:rsidR="0052300B" w:rsidRDefault="000639F5" w14:paraId="5834254B" w14:textId="272D859D">
          <w:pPr>
            <w:pStyle w:val="TOC1"/>
            <w:tabs>
              <w:tab w:val="right" w:leader="dot" w:pos="9350"/>
            </w:tabs>
            <w:rPr>
              <w:rFonts w:asciiTheme="minorHAnsi" w:hAnsiTheme="minorHAnsi" w:cstheme="minorBidi"/>
              <w:noProof/>
              <w:sz w:val="22"/>
            </w:rPr>
          </w:pPr>
          <w:hyperlink w:history="1" w:anchor="_Toc121821052">
            <w:r w:rsidRPr="00D34FE9" w:rsidR="0052300B">
              <w:rPr>
                <w:rStyle w:val="Hyperlink"/>
                <w:noProof/>
              </w:rPr>
              <w:t>7.</w:t>
            </w:r>
            <w:r w:rsidR="0052300B">
              <w:rPr>
                <w:rFonts w:asciiTheme="minorHAnsi" w:hAnsiTheme="minorHAnsi" w:cstheme="minorBidi"/>
                <w:noProof/>
                <w:sz w:val="22"/>
              </w:rPr>
              <w:tab/>
            </w:r>
            <w:r w:rsidRPr="00D34FE9" w:rsidR="0052300B">
              <w:rPr>
                <w:rStyle w:val="Hyperlink"/>
                <w:noProof/>
              </w:rPr>
              <w:t>Assignment of Proceeding</w:t>
            </w:r>
            <w:r w:rsidR="0052300B">
              <w:rPr>
                <w:noProof/>
                <w:webHidden/>
              </w:rPr>
              <w:tab/>
            </w:r>
            <w:r w:rsidR="0052300B">
              <w:rPr>
                <w:noProof/>
                <w:webHidden/>
              </w:rPr>
              <w:fldChar w:fldCharType="begin"/>
            </w:r>
            <w:r w:rsidR="0052300B">
              <w:rPr>
                <w:noProof/>
                <w:webHidden/>
              </w:rPr>
              <w:instrText xml:space="preserve"> PAGEREF _Toc121821052 \h </w:instrText>
            </w:r>
            <w:r w:rsidR="0052300B">
              <w:rPr>
                <w:noProof/>
                <w:webHidden/>
              </w:rPr>
            </w:r>
            <w:r w:rsidR="0052300B">
              <w:rPr>
                <w:noProof/>
                <w:webHidden/>
              </w:rPr>
              <w:fldChar w:fldCharType="separate"/>
            </w:r>
            <w:r w:rsidR="0052300B">
              <w:rPr>
                <w:noProof/>
                <w:webHidden/>
              </w:rPr>
              <w:t>54</w:t>
            </w:r>
            <w:r w:rsidR="0052300B">
              <w:rPr>
                <w:noProof/>
                <w:webHidden/>
              </w:rPr>
              <w:fldChar w:fldCharType="end"/>
            </w:r>
          </w:hyperlink>
        </w:p>
        <w:p w:rsidR="0052300B" w:rsidRDefault="000639F5" w14:paraId="63878888" w14:textId="194C0902">
          <w:pPr>
            <w:pStyle w:val="TOC1"/>
            <w:tabs>
              <w:tab w:val="right" w:leader="dot" w:pos="9350"/>
            </w:tabs>
            <w:rPr>
              <w:rFonts w:asciiTheme="minorHAnsi" w:hAnsiTheme="minorHAnsi" w:cstheme="minorBidi"/>
              <w:noProof/>
              <w:sz w:val="22"/>
            </w:rPr>
          </w:pPr>
          <w:hyperlink w:history="1" w:anchor="_Toc121821053">
            <w:r w:rsidRPr="00D34FE9" w:rsidR="0052300B">
              <w:rPr>
                <w:rStyle w:val="Hyperlink"/>
                <w:noProof/>
              </w:rPr>
              <w:t>Findings of Fact</w:t>
            </w:r>
            <w:r w:rsidR="0052300B">
              <w:rPr>
                <w:noProof/>
                <w:webHidden/>
              </w:rPr>
              <w:tab/>
            </w:r>
            <w:r w:rsidR="0052300B">
              <w:rPr>
                <w:noProof/>
                <w:webHidden/>
              </w:rPr>
              <w:fldChar w:fldCharType="begin"/>
            </w:r>
            <w:r w:rsidR="0052300B">
              <w:rPr>
                <w:noProof/>
                <w:webHidden/>
              </w:rPr>
              <w:instrText xml:space="preserve"> PAGEREF _Toc121821053 \h </w:instrText>
            </w:r>
            <w:r w:rsidR="0052300B">
              <w:rPr>
                <w:noProof/>
                <w:webHidden/>
              </w:rPr>
            </w:r>
            <w:r w:rsidR="0052300B">
              <w:rPr>
                <w:noProof/>
                <w:webHidden/>
              </w:rPr>
              <w:fldChar w:fldCharType="separate"/>
            </w:r>
            <w:r w:rsidR="0052300B">
              <w:rPr>
                <w:noProof/>
                <w:webHidden/>
              </w:rPr>
              <w:t>54</w:t>
            </w:r>
            <w:r w:rsidR="0052300B">
              <w:rPr>
                <w:noProof/>
                <w:webHidden/>
              </w:rPr>
              <w:fldChar w:fldCharType="end"/>
            </w:r>
          </w:hyperlink>
        </w:p>
        <w:p w:rsidR="0052300B" w:rsidRDefault="000639F5" w14:paraId="618DC4E3" w14:textId="5E3695C6">
          <w:pPr>
            <w:pStyle w:val="TOC1"/>
            <w:tabs>
              <w:tab w:val="right" w:leader="dot" w:pos="9350"/>
            </w:tabs>
            <w:rPr>
              <w:rFonts w:asciiTheme="minorHAnsi" w:hAnsiTheme="minorHAnsi" w:cstheme="minorBidi"/>
              <w:noProof/>
              <w:sz w:val="22"/>
            </w:rPr>
          </w:pPr>
          <w:hyperlink w:history="1" w:anchor="_Toc121821054">
            <w:r w:rsidRPr="00D34FE9" w:rsidR="0052300B">
              <w:rPr>
                <w:rStyle w:val="Hyperlink"/>
                <w:noProof/>
              </w:rPr>
              <w:t>Conclusions of Law</w:t>
            </w:r>
            <w:r w:rsidR="0052300B">
              <w:rPr>
                <w:noProof/>
                <w:webHidden/>
              </w:rPr>
              <w:tab/>
            </w:r>
            <w:r w:rsidR="0052300B">
              <w:rPr>
                <w:noProof/>
                <w:webHidden/>
              </w:rPr>
              <w:fldChar w:fldCharType="begin"/>
            </w:r>
            <w:r w:rsidR="0052300B">
              <w:rPr>
                <w:noProof/>
                <w:webHidden/>
              </w:rPr>
              <w:instrText xml:space="preserve"> PAGEREF _Toc121821054 \h </w:instrText>
            </w:r>
            <w:r w:rsidR="0052300B">
              <w:rPr>
                <w:noProof/>
                <w:webHidden/>
              </w:rPr>
            </w:r>
            <w:r w:rsidR="0052300B">
              <w:rPr>
                <w:noProof/>
                <w:webHidden/>
              </w:rPr>
              <w:fldChar w:fldCharType="separate"/>
            </w:r>
            <w:r w:rsidR="0052300B">
              <w:rPr>
                <w:noProof/>
                <w:webHidden/>
              </w:rPr>
              <w:t>57</w:t>
            </w:r>
            <w:r w:rsidR="0052300B">
              <w:rPr>
                <w:noProof/>
                <w:webHidden/>
              </w:rPr>
              <w:fldChar w:fldCharType="end"/>
            </w:r>
          </w:hyperlink>
        </w:p>
        <w:p w:rsidR="0052300B" w:rsidRDefault="000639F5" w14:paraId="16C71F7E" w14:textId="33B3CCE4">
          <w:pPr>
            <w:pStyle w:val="TOC1"/>
            <w:tabs>
              <w:tab w:val="right" w:leader="dot" w:pos="9350"/>
            </w:tabs>
            <w:rPr>
              <w:rFonts w:asciiTheme="minorHAnsi" w:hAnsiTheme="minorHAnsi" w:cstheme="minorBidi"/>
              <w:noProof/>
              <w:sz w:val="22"/>
            </w:rPr>
          </w:pPr>
          <w:hyperlink w:history="1" w:anchor="_Toc121821055">
            <w:r w:rsidRPr="00D34FE9" w:rsidR="0052300B">
              <w:rPr>
                <w:rStyle w:val="Hyperlink"/>
                <w:noProof/>
              </w:rPr>
              <w:t>ORDER</w:t>
            </w:r>
            <w:r w:rsidR="0052300B">
              <w:rPr>
                <w:noProof/>
                <w:webHidden/>
              </w:rPr>
              <w:tab/>
            </w:r>
            <w:r w:rsidR="0052300B">
              <w:rPr>
                <w:noProof/>
                <w:webHidden/>
              </w:rPr>
              <w:fldChar w:fldCharType="begin"/>
            </w:r>
            <w:r w:rsidR="0052300B">
              <w:rPr>
                <w:noProof/>
                <w:webHidden/>
              </w:rPr>
              <w:instrText xml:space="preserve"> PAGEREF _Toc121821055 \h </w:instrText>
            </w:r>
            <w:r w:rsidR="0052300B">
              <w:rPr>
                <w:noProof/>
                <w:webHidden/>
              </w:rPr>
            </w:r>
            <w:r w:rsidR="0052300B">
              <w:rPr>
                <w:noProof/>
                <w:webHidden/>
              </w:rPr>
              <w:fldChar w:fldCharType="separate"/>
            </w:r>
            <w:r w:rsidR="0052300B">
              <w:rPr>
                <w:noProof/>
                <w:webHidden/>
              </w:rPr>
              <w:t>62</w:t>
            </w:r>
            <w:r w:rsidR="0052300B">
              <w:rPr>
                <w:noProof/>
                <w:webHidden/>
              </w:rPr>
              <w:fldChar w:fldCharType="end"/>
            </w:r>
          </w:hyperlink>
        </w:p>
        <w:p w:rsidR="00D82A43" w:rsidP="008C7413" w:rsidRDefault="008C7413" w14:paraId="53D76012" w14:textId="700FF53E">
          <w:pPr>
            <w:pStyle w:val="TOC1"/>
            <w:tabs>
              <w:tab w:val="right" w:leader="dot" w:pos="9350"/>
            </w:tabs>
          </w:pPr>
          <w:r>
            <w:rPr>
              <w:rFonts w:asciiTheme="minorHAnsi" w:hAnsiTheme="minorHAnsi"/>
              <w:sz w:val="22"/>
            </w:rPr>
            <w:fldChar w:fldCharType="end"/>
          </w:r>
        </w:p>
      </w:sdtContent>
    </w:sdt>
    <w:p w:rsidRPr="0098655A" w:rsidR="0098655A" w:rsidP="00A96E69" w:rsidRDefault="0098655A" w14:paraId="088D7BD1" w14:textId="2097B344">
      <w:pPr>
        <w:keepNext/>
        <w:spacing w:line="240" w:lineRule="auto"/>
        <w:ind w:firstLine="0"/>
        <w:rPr>
          <w:rFonts w:cs="Arial"/>
          <w:szCs w:val="26"/>
        </w:rPr>
      </w:pPr>
      <w:bookmarkStart w:name="_Hlk117787405" w:id="3"/>
      <w:r w:rsidRPr="0098655A">
        <w:rPr>
          <w:rFonts w:cs="Arial"/>
          <w:b/>
          <w:szCs w:val="26"/>
        </w:rPr>
        <w:t>Appendix A</w:t>
      </w:r>
      <w:r w:rsidRPr="0098655A">
        <w:rPr>
          <w:rFonts w:cs="Arial"/>
          <w:szCs w:val="26"/>
        </w:rPr>
        <w:t xml:space="preserve"> –</w:t>
      </w:r>
      <w:r w:rsidR="00E23CBB">
        <w:rPr>
          <w:rFonts w:cs="Arial"/>
          <w:szCs w:val="26"/>
        </w:rPr>
        <w:t xml:space="preserve"> </w:t>
      </w:r>
      <w:r w:rsidR="00343E23">
        <w:rPr>
          <w:rFonts w:cs="Arial"/>
          <w:szCs w:val="26"/>
        </w:rPr>
        <w:t xml:space="preserve">The </w:t>
      </w:r>
      <w:r w:rsidRPr="00581EF6" w:rsidR="00581EF6">
        <w:rPr>
          <w:rFonts w:cs="Arial"/>
          <w:szCs w:val="26"/>
        </w:rPr>
        <w:t>Risk-Based Decision-Making Framework</w:t>
      </w:r>
      <w:r w:rsidR="00343E23">
        <w:rPr>
          <w:rFonts w:cs="Arial"/>
          <w:szCs w:val="26"/>
        </w:rPr>
        <w:t xml:space="preserve"> </w:t>
      </w:r>
    </w:p>
    <w:p w:rsidRPr="0098655A" w:rsidR="0098655A" w:rsidP="00A96E69" w:rsidRDefault="0098655A" w14:paraId="36D3BC45" w14:textId="5508346E">
      <w:pPr>
        <w:keepNext/>
        <w:spacing w:line="240" w:lineRule="auto"/>
        <w:ind w:firstLine="0"/>
        <w:rPr>
          <w:rFonts w:cs="Arial"/>
          <w:szCs w:val="26"/>
        </w:rPr>
      </w:pPr>
      <w:r w:rsidRPr="0098655A">
        <w:rPr>
          <w:rFonts w:cs="Arial"/>
          <w:b/>
          <w:szCs w:val="26"/>
        </w:rPr>
        <w:t>Appendix B</w:t>
      </w:r>
      <w:r w:rsidRPr="0098655A">
        <w:rPr>
          <w:rFonts w:cs="Arial"/>
          <w:szCs w:val="26"/>
        </w:rPr>
        <w:t xml:space="preserve"> – </w:t>
      </w:r>
      <w:r w:rsidRPr="00FC7882" w:rsidR="00FC7882">
        <w:rPr>
          <w:rFonts w:cs="Arial"/>
          <w:szCs w:val="26"/>
        </w:rPr>
        <w:t xml:space="preserve">The Risk-Based Decision-Making Framework </w:t>
      </w:r>
      <w:r w:rsidR="00FC7882">
        <w:rPr>
          <w:rFonts w:cs="Arial"/>
          <w:szCs w:val="26"/>
        </w:rPr>
        <w:t>(</w:t>
      </w:r>
      <w:r w:rsidR="00343E23">
        <w:rPr>
          <w:rFonts w:cs="Arial"/>
          <w:szCs w:val="26"/>
        </w:rPr>
        <w:t>Redline</w:t>
      </w:r>
      <w:r w:rsidR="008D058D">
        <w:rPr>
          <w:rFonts w:cs="Arial"/>
          <w:szCs w:val="26"/>
        </w:rPr>
        <w:t>d</w:t>
      </w:r>
      <w:r w:rsidR="00FC7882">
        <w:rPr>
          <w:rFonts w:cs="Arial"/>
          <w:szCs w:val="26"/>
        </w:rPr>
        <w:t xml:space="preserve"> Version)</w:t>
      </w:r>
    </w:p>
    <w:p w:rsidR="00195697" w:rsidP="00A96E69" w:rsidRDefault="0098655A" w14:paraId="1CE5AF32" w14:textId="7D29F12B">
      <w:pPr>
        <w:keepNext/>
        <w:spacing w:line="240" w:lineRule="auto"/>
        <w:ind w:firstLine="0"/>
        <w:rPr>
          <w:rFonts w:cs="Arial"/>
          <w:b/>
          <w:szCs w:val="26"/>
        </w:rPr>
      </w:pPr>
      <w:r w:rsidRPr="0098655A">
        <w:rPr>
          <w:rFonts w:cs="Arial"/>
          <w:b/>
          <w:szCs w:val="26"/>
        </w:rPr>
        <w:t>Appendix C</w:t>
      </w:r>
      <w:r w:rsidRPr="0098655A">
        <w:rPr>
          <w:rFonts w:cs="Arial"/>
          <w:szCs w:val="26"/>
        </w:rPr>
        <w:t xml:space="preserve"> – </w:t>
      </w:r>
      <w:r w:rsidRPr="000F6E3B" w:rsidR="00A000F5">
        <w:rPr>
          <w:rFonts w:cs="Arial"/>
          <w:szCs w:val="26"/>
        </w:rPr>
        <w:t xml:space="preserve">LBNL </w:t>
      </w:r>
      <w:r w:rsidRPr="000F6E3B" w:rsidR="00024835">
        <w:rPr>
          <w:rFonts w:cs="Arial"/>
          <w:szCs w:val="26"/>
        </w:rPr>
        <w:t>Initiative to Update the ICE Calculator, Frequently Asked Questions</w:t>
      </w:r>
      <w:r w:rsidRPr="00195697" w:rsidR="00195697">
        <w:rPr>
          <w:rFonts w:cs="Arial"/>
          <w:b/>
          <w:szCs w:val="26"/>
        </w:rPr>
        <w:t xml:space="preserve"> </w:t>
      </w:r>
    </w:p>
    <w:p w:rsidR="00195697" w:rsidP="00A96E69" w:rsidRDefault="00195697" w14:paraId="5380B9E2" w14:textId="180A0EA2">
      <w:pPr>
        <w:keepNext/>
        <w:spacing w:line="240" w:lineRule="auto"/>
        <w:ind w:firstLine="0"/>
        <w:rPr>
          <w:rFonts w:cs="Arial"/>
          <w:szCs w:val="26"/>
        </w:rPr>
      </w:pPr>
      <w:r w:rsidRPr="0098655A">
        <w:rPr>
          <w:rFonts w:cs="Arial"/>
          <w:b/>
          <w:szCs w:val="26"/>
        </w:rPr>
        <w:t xml:space="preserve">Appendix </w:t>
      </w:r>
      <w:r>
        <w:rPr>
          <w:rFonts w:cs="Arial"/>
          <w:b/>
          <w:szCs w:val="26"/>
        </w:rPr>
        <w:t>D</w:t>
      </w:r>
      <w:r w:rsidRPr="0098655A">
        <w:rPr>
          <w:rFonts w:cs="Arial"/>
          <w:szCs w:val="26"/>
        </w:rPr>
        <w:t xml:space="preserve"> – </w:t>
      </w:r>
      <w:r w:rsidR="005E135F">
        <w:rPr>
          <w:rFonts w:cs="Arial"/>
          <w:szCs w:val="26"/>
        </w:rPr>
        <w:t>List of Acronyms</w:t>
      </w:r>
    </w:p>
    <w:bookmarkEnd w:id="3"/>
    <w:p w:rsidR="00F76650" w:rsidP="00D44DB6" w:rsidRDefault="00F76650" w14:paraId="73EA7782" w14:textId="35338B22">
      <w:pPr>
        <w:spacing w:line="240" w:lineRule="auto"/>
        <w:ind w:firstLine="0"/>
        <w:rPr>
          <w:rFonts w:cs="Arial"/>
          <w:szCs w:val="26"/>
        </w:rPr>
      </w:pPr>
    </w:p>
    <w:p w:rsidR="00D44DB6" w:rsidP="00D44DB6" w:rsidRDefault="00D44DB6" w14:paraId="04F7AB45" w14:textId="77777777">
      <w:pPr>
        <w:spacing w:line="240" w:lineRule="auto"/>
        <w:ind w:firstLine="0"/>
        <w:rPr>
          <w:rFonts w:cs="Arial"/>
          <w:szCs w:val="26"/>
        </w:rPr>
      </w:pPr>
    </w:p>
    <w:p w:rsidRPr="00D44DB6" w:rsidR="00D44DB6" w:rsidP="00D44DB6" w:rsidRDefault="00D44DB6" w14:paraId="2C721F0E" w14:textId="3B3FE29A">
      <w:pPr>
        <w:spacing w:line="240" w:lineRule="auto"/>
        <w:ind w:firstLine="0"/>
        <w:rPr>
          <w:rFonts w:cs="Arial"/>
          <w:i/>
          <w:szCs w:val="26"/>
        </w:rPr>
        <w:sectPr w:rsidRPr="00D44DB6" w:rsidR="00D44DB6" w:rsidSect="00D44DB6">
          <w:headerReference w:type="default" r:id="rId13"/>
          <w:footerReference w:type="default" r:id="rId14"/>
          <w:pgSz w:w="12240" w:h="15840"/>
          <w:pgMar w:top="1728" w:right="1440" w:bottom="1440" w:left="1440" w:header="720" w:footer="720" w:gutter="0"/>
          <w:pgNumType w:fmt="lowerRoman" w:start="1"/>
          <w:cols w:space="720"/>
          <w:docGrid w:linePitch="360"/>
        </w:sectPr>
      </w:pPr>
    </w:p>
    <w:p w:rsidR="0098655A" w:rsidP="00D82A43" w:rsidRDefault="00CC40E2" w14:paraId="311E1D46" w14:textId="099216F2">
      <w:pPr>
        <w:pStyle w:val="Main"/>
        <w:spacing w:after="240"/>
      </w:pPr>
      <w:r w:rsidRPr="00CC40E2">
        <w:t>PHASE II DECISION ADOPTING MODIFICATIONS TO THE</w:t>
      </w:r>
      <w:r w:rsidR="007C26BA">
        <w:br/>
      </w:r>
      <w:r w:rsidR="002A1659">
        <w:t>RISK-BA</w:t>
      </w:r>
      <w:r w:rsidR="004852C9">
        <w:t>SE</w:t>
      </w:r>
      <w:r w:rsidR="002A1659">
        <w:t>D DECISION-MAKING FRAMEWORK ADOPTED IN</w:t>
      </w:r>
      <w:r w:rsidR="007C26BA">
        <w:br/>
      </w:r>
      <w:r w:rsidR="002A1659">
        <w:t xml:space="preserve">DECISION 18-12-014 AND </w:t>
      </w:r>
      <w:r w:rsidRPr="00CC40E2">
        <w:t>DIRECTING ENVIRONMENTA</w:t>
      </w:r>
      <w:r w:rsidR="00A26B14">
        <w:t>l</w:t>
      </w:r>
      <w:r w:rsidR="007C26BA">
        <w:t xml:space="preserve"> </w:t>
      </w:r>
      <w:r w:rsidRPr="00CC40E2">
        <w:t>AND</w:t>
      </w:r>
      <w:r w:rsidR="007C26BA">
        <w:br/>
      </w:r>
      <w:r w:rsidRPr="00CC40E2">
        <w:t xml:space="preserve">SOCIAL JUSTICE PILOTS  </w:t>
      </w:r>
    </w:p>
    <w:p w:rsidRPr="00A13E36" w:rsidR="005A148C" w:rsidP="005A148C" w:rsidRDefault="005A148C" w14:paraId="6B55E151" w14:textId="77777777">
      <w:pPr>
        <w:pStyle w:val="Dummy"/>
      </w:pPr>
      <w:bookmarkStart w:name="_Toc8123714" w:id="4"/>
      <w:bookmarkStart w:name="_Toc121821026" w:id="5"/>
      <w:r w:rsidRPr="00A13E36">
        <w:t>Summary</w:t>
      </w:r>
      <w:bookmarkEnd w:id="4"/>
      <w:bookmarkEnd w:id="5"/>
    </w:p>
    <w:p w:rsidR="00F22FCA" w:rsidP="00697482" w:rsidRDefault="005E5E62" w14:paraId="76FC073C" w14:textId="23506979">
      <w:pPr>
        <w:pStyle w:val="Standard"/>
      </w:pPr>
      <w:r w:rsidRPr="00A13E36">
        <w:t xml:space="preserve">This decision </w:t>
      </w:r>
      <w:r w:rsidR="008E2FEA">
        <w:t xml:space="preserve">modifies </w:t>
      </w:r>
      <w:r w:rsidRPr="00482A0B" w:rsidR="00482A0B">
        <w:t>the Risk-Based Decision-Making Framework (RDF) adopted in D</w:t>
      </w:r>
      <w:r w:rsidR="00482A0B">
        <w:t>ecision (D</w:t>
      </w:r>
      <w:r w:rsidRPr="00482A0B" w:rsidR="00482A0B">
        <w:t>.</w:t>
      </w:r>
      <w:r w:rsidR="00482A0B">
        <w:t>)</w:t>
      </w:r>
      <w:r w:rsidR="004D6E3F">
        <w:t> </w:t>
      </w:r>
      <w:r w:rsidRPr="00482A0B" w:rsidR="00482A0B">
        <w:t>18-12-014</w:t>
      </w:r>
      <w:r w:rsidR="00F53B81">
        <w:t>.</w:t>
      </w:r>
      <w:r w:rsidR="00AB6014">
        <w:t xml:space="preserve">  It replaces </w:t>
      </w:r>
      <w:r w:rsidRPr="006766C5" w:rsidR="00AB6014">
        <w:t xml:space="preserve">the “Multi-Attribute Value Function” adopted in D.18-12-014 with </w:t>
      </w:r>
      <w:r w:rsidR="00C81E45">
        <w:t xml:space="preserve">a Cost-Benefit Approach that </w:t>
      </w:r>
      <w:r w:rsidRPr="006766C5" w:rsidR="00AB6014">
        <w:t xml:space="preserve">includes standardized dollar valuations of </w:t>
      </w:r>
      <w:r w:rsidR="00DD3E53">
        <w:t>S</w:t>
      </w:r>
      <w:r w:rsidRPr="006766C5" w:rsidR="00AB6014">
        <w:t xml:space="preserve">afety, </w:t>
      </w:r>
      <w:r w:rsidR="00DD3E53">
        <w:t>E</w:t>
      </w:r>
      <w:r w:rsidRPr="006766C5" w:rsidR="00AB6014">
        <w:t xml:space="preserve">lectric </w:t>
      </w:r>
      <w:r w:rsidR="00DD3E53">
        <w:t>R</w:t>
      </w:r>
      <w:r w:rsidRPr="006766C5" w:rsidR="00AB6014">
        <w:t xml:space="preserve">eliability and </w:t>
      </w:r>
      <w:r w:rsidR="00DD3E53">
        <w:t>G</w:t>
      </w:r>
      <w:r w:rsidRPr="006766C5" w:rsidR="00AB6014">
        <w:t xml:space="preserve">as </w:t>
      </w:r>
      <w:r w:rsidR="00DD3E53">
        <w:t>R</w:t>
      </w:r>
      <w:r w:rsidRPr="006766C5" w:rsidR="00AB6014">
        <w:t xml:space="preserve">eliability </w:t>
      </w:r>
      <w:r w:rsidR="00197414">
        <w:t>C</w:t>
      </w:r>
      <w:r w:rsidRPr="006766C5" w:rsidR="00AB6014">
        <w:t xml:space="preserve">onsequences from </w:t>
      </w:r>
      <w:r w:rsidR="00197414">
        <w:t>R</w:t>
      </w:r>
      <w:r w:rsidRPr="006766C5" w:rsidR="00AB6014">
        <w:t xml:space="preserve">isk </w:t>
      </w:r>
      <w:r w:rsidR="00197414">
        <w:t>E</w:t>
      </w:r>
      <w:r w:rsidRPr="006766C5" w:rsidR="00AB6014">
        <w:t>vents.</w:t>
      </w:r>
      <w:r w:rsidR="00644F5C">
        <w:t xml:space="preserve">  </w:t>
      </w:r>
      <w:r w:rsidR="00F53B81">
        <w:t xml:space="preserve">It </w:t>
      </w:r>
      <w:r w:rsidRPr="00482A0B" w:rsidR="00482A0B">
        <w:t>requires Pacific Gas and Electric Company</w:t>
      </w:r>
      <w:r w:rsidR="00482A0B">
        <w:t xml:space="preserve"> (PG&amp;E)</w:t>
      </w:r>
      <w:r w:rsidRPr="00482A0B" w:rsidR="00482A0B">
        <w:t xml:space="preserve">, Southern California Gas Company, Southern California Edison Company, and San Diego Gas &amp; Electric Company (collectively investor-owned utilities or IOUs) to </w:t>
      </w:r>
      <w:r w:rsidR="00015F6E">
        <w:t xml:space="preserve">implement </w:t>
      </w:r>
      <w:r w:rsidRPr="00482A0B" w:rsidR="00482A0B">
        <w:t xml:space="preserve">the modified RDF to assess and rank risks and mitigations in their Risk Assessment and Mitigation Phase (RAMP) and </w:t>
      </w:r>
      <w:r w:rsidR="00F104E8">
        <w:t>G</w:t>
      </w:r>
      <w:r w:rsidRPr="00482A0B" w:rsidR="00482A0B">
        <w:t xml:space="preserve">eneral </w:t>
      </w:r>
      <w:r w:rsidR="00F104E8">
        <w:t>R</w:t>
      </w:r>
      <w:r w:rsidRPr="00482A0B" w:rsidR="00482A0B">
        <w:t xml:space="preserve">ate </w:t>
      </w:r>
      <w:r w:rsidR="00F104E8">
        <w:t>C</w:t>
      </w:r>
      <w:r w:rsidRPr="00482A0B" w:rsidR="00482A0B">
        <w:t>ase filings</w:t>
      </w:r>
      <w:r w:rsidR="004919A6">
        <w:t xml:space="preserve">, </w:t>
      </w:r>
      <w:r w:rsidR="00482A0B">
        <w:t xml:space="preserve">starting with PG&amp;E’s 2024 RAMP filing.  </w:t>
      </w:r>
      <w:r w:rsidR="00305ACF">
        <w:t xml:space="preserve">As such, this decision </w:t>
      </w:r>
      <w:r w:rsidR="002C6328">
        <w:t>updates</w:t>
      </w:r>
      <w:r w:rsidR="00305ACF">
        <w:t xml:space="preserve"> the Rate Case Plan most recently modified in D.</w:t>
      </w:r>
      <w:r w:rsidR="00B12E9D">
        <w:t>21-11-009.</w:t>
      </w:r>
      <w:r w:rsidR="00F22FCA">
        <w:t xml:space="preserve">  </w:t>
      </w:r>
      <w:r w:rsidR="00117CC2">
        <w:t>The RDF as</w:t>
      </w:r>
      <w:r w:rsidR="00C1069B">
        <w:t xml:space="preserve"> modified and</w:t>
      </w:r>
      <w:r w:rsidR="00117CC2">
        <w:t xml:space="preserve"> adopted here is included in Appendix A.  </w:t>
      </w:r>
    </w:p>
    <w:p w:rsidRPr="00A13E36" w:rsidR="00F22FCA" w:rsidP="00F22FCA" w:rsidRDefault="00F22FCA" w14:paraId="2CF95972" w14:textId="26619A3A">
      <w:pPr>
        <w:pStyle w:val="Standard"/>
      </w:pPr>
      <w:r>
        <w:t xml:space="preserve">This decision directs the IOUs to undertake Environmental and Social Justice Pilots as part of each IOU’s next RAMP filing and requires the IOUs to consider seven </w:t>
      </w:r>
      <w:r w:rsidR="00735FF3">
        <w:t>A</w:t>
      </w:r>
      <w:r>
        <w:t xml:space="preserve">ction </w:t>
      </w:r>
      <w:r w:rsidR="00735FF3">
        <w:t>I</w:t>
      </w:r>
      <w:r>
        <w:t xml:space="preserve">tems in the pilots.  </w:t>
      </w:r>
      <w:r w:rsidR="008411D1">
        <w:t xml:space="preserve">It </w:t>
      </w:r>
      <w:r>
        <w:t>authorizes continuation of the RDF Technical Working Group authorized in D.21-11-009.</w:t>
      </w:r>
    </w:p>
    <w:p w:rsidR="0073353F" w:rsidP="006E6574" w:rsidRDefault="00BA528E" w14:paraId="491BE7C9" w14:textId="3A93CCEF">
      <w:pPr>
        <w:pStyle w:val="Standard"/>
      </w:pPr>
      <w:r w:rsidRPr="004B772F">
        <w:t>This proceeding remains open.</w:t>
      </w:r>
    </w:p>
    <w:p w:rsidRPr="00121089" w:rsidR="005A148C" w:rsidP="00A55ACD" w:rsidRDefault="002C7FE9" w14:paraId="4E97F132" w14:textId="77777777">
      <w:pPr>
        <w:pStyle w:val="Heading1"/>
        <w:numPr>
          <w:ilvl w:val="0"/>
          <w:numId w:val="1"/>
        </w:numPr>
      </w:pPr>
      <w:bookmarkStart w:name="_Toc8123715" w:id="6"/>
      <w:bookmarkStart w:name="_Toc121821027" w:id="7"/>
      <w:r w:rsidRPr="00121089">
        <w:t>Background</w:t>
      </w:r>
      <w:bookmarkEnd w:id="6"/>
      <w:bookmarkEnd w:id="7"/>
    </w:p>
    <w:p w:rsidR="00487374" w:rsidP="00487374" w:rsidRDefault="00487374" w14:paraId="360CE993" w14:textId="77777777">
      <w:pPr>
        <w:pStyle w:val="Standard"/>
      </w:pPr>
      <w:r>
        <w:t>On November 14, 2013, the California Public Utilities Commission</w:t>
      </w:r>
    </w:p>
    <w:p w:rsidR="00D304A2" w:rsidP="00B12EAD" w:rsidRDefault="00487374" w14:paraId="61837962" w14:textId="714133BC">
      <w:pPr>
        <w:pStyle w:val="Standard"/>
        <w:ind w:firstLine="0"/>
      </w:pPr>
      <w:r>
        <w:t>(Commission) opened Rulemaking (R.) 13-11-006</w:t>
      </w:r>
      <w:r w:rsidR="00B12EAD">
        <w:t>,</w:t>
      </w:r>
      <w:r>
        <w:t xml:space="preserve"> </w:t>
      </w:r>
      <w:r w:rsidRPr="00487374">
        <w:rPr>
          <w:i/>
          <w:iCs/>
        </w:rPr>
        <w:t>Order Instituting Rulemaking to Develop a Risk-Based Decision-Making Framework to Evaluate Safety and Reliability Improvements and Revise the Rate Case Plan for Energy Utilities</w:t>
      </w:r>
      <w:r>
        <w:t xml:space="preserve">.  </w:t>
      </w:r>
      <w:r w:rsidR="00487267">
        <w:t xml:space="preserve">The purpose of R.13-11-006 was to </w:t>
      </w:r>
      <w:r w:rsidR="006C23DA">
        <w:t>develop</w:t>
      </w:r>
      <w:r w:rsidR="001160D7">
        <w:t xml:space="preserve"> a </w:t>
      </w:r>
      <w:r w:rsidR="006172A0">
        <w:t>Risk-Based Decision-Making Framework</w:t>
      </w:r>
      <w:r w:rsidR="00D73A1E">
        <w:t xml:space="preserve"> (RDF)</w:t>
      </w:r>
      <w:r w:rsidR="005567E0">
        <w:t xml:space="preserve"> to evaluate safety and reliability i</w:t>
      </w:r>
      <w:r w:rsidR="004F69F5">
        <w:t>nvestments</w:t>
      </w:r>
      <w:r w:rsidR="005567E0">
        <w:t xml:space="preserve"> presented in </w:t>
      </w:r>
      <w:r w:rsidR="00F76A24">
        <w:t xml:space="preserve">utility </w:t>
      </w:r>
      <w:r w:rsidR="00FC319D">
        <w:t>General Rate Case (GRC)</w:t>
      </w:r>
      <w:r w:rsidR="005567E0">
        <w:t xml:space="preserve"> applications and </w:t>
      </w:r>
      <w:r w:rsidR="00F76A24">
        <w:t xml:space="preserve">to </w:t>
      </w:r>
      <w:r w:rsidR="005567E0">
        <w:t xml:space="preserve">modify the Rate Case Plan </w:t>
      </w:r>
      <w:r w:rsidR="00F76A24">
        <w:t xml:space="preserve">(RCP) </w:t>
      </w:r>
      <w:r w:rsidR="005567E0">
        <w:t>documentation requirements accordingly.</w:t>
      </w:r>
      <w:r w:rsidR="00FC319D">
        <w:t xml:space="preserve"> </w:t>
      </w:r>
      <w:r w:rsidR="001108C7">
        <w:t xml:space="preserve"> </w:t>
      </w:r>
      <w:r w:rsidR="00B12EAD">
        <w:t xml:space="preserve">The RCP guides the type of information presented and the procedural schedule </w:t>
      </w:r>
      <w:r w:rsidR="005930A5">
        <w:t xml:space="preserve">utilities must adhere to when they file </w:t>
      </w:r>
      <w:r w:rsidR="00B12EAD">
        <w:t>GRC</w:t>
      </w:r>
      <w:r w:rsidR="005930A5">
        <w:t xml:space="preserve"> applications</w:t>
      </w:r>
      <w:r w:rsidR="00B826C5">
        <w:t>.</w:t>
      </w:r>
      <w:r w:rsidR="00D304A2">
        <w:t xml:space="preserve"> </w:t>
      </w:r>
    </w:p>
    <w:p w:rsidR="00727AA2" w:rsidP="005B6D9D" w:rsidRDefault="00487267" w14:paraId="386DBB41" w14:textId="47560874">
      <w:pPr>
        <w:pStyle w:val="Standard"/>
      </w:pPr>
      <w:r>
        <w:t>In response to R.13-11-006, and as a result of Senate Bill</w:t>
      </w:r>
      <w:r w:rsidR="000862A4">
        <w:t> </w:t>
      </w:r>
      <w:r>
        <w:t>705</w:t>
      </w:r>
      <w:r w:rsidR="000B301F">
        <w:t xml:space="preserve"> (Leno, 2011)</w:t>
      </w:r>
      <w:r>
        <w:t>,</w:t>
      </w:r>
      <w:r w:rsidR="000B301F">
        <w:rPr>
          <w:rStyle w:val="FootnoteReference"/>
        </w:rPr>
        <w:footnoteReference w:id="2"/>
      </w:r>
      <w:r>
        <w:t xml:space="preserve"> the Commission modified the RCP in Decision (D.)</w:t>
      </w:r>
      <w:r w:rsidR="004D6E3F">
        <w:t> </w:t>
      </w:r>
      <w:r>
        <w:t>14-12-025</w:t>
      </w:r>
      <w:r w:rsidR="00AC3F50">
        <w:t xml:space="preserve"> t</w:t>
      </w:r>
      <w:r w:rsidR="00030FEF">
        <w:t xml:space="preserve">o </w:t>
      </w:r>
      <w:r w:rsidR="00927DDA">
        <w:t xml:space="preserve">establish </w:t>
      </w:r>
      <w:r w:rsidR="001B30AD">
        <w:t>parameters and process</w:t>
      </w:r>
      <w:r w:rsidR="00B66E05">
        <w:t>es</w:t>
      </w:r>
      <w:r w:rsidR="001B30AD">
        <w:t xml:space="preserve"> for integrating risk assessments into the GRCs of large investor</w:t>
      </w:r>
      <w:r w:rsidR="004D6E3F">
        <w:noBreakHyphen/>
      </w:r>
      <w:r w:rsidR="001B30AD">
        <w:t>owned utilities (</w:t>
      </w:r>
      <w:r w:rsidR="00502CB2">
        <w:t>IOUs</w:t>
      </w:r>
      <w:r w:rsidR="00F50FD3">
        <w:t xml:space="preserve"> or utilities</w:t>
      </w:r>
      <w:r w:rsidR="001B30AD">
        <w:t>)</w:t>
      </w:r>
      <w:r w:rsidR="000810AB">
        <w:t>,</w:t>
      </w:r>
      <w:r w:rsidR="001B30AD">
        <w:t xml:space="preserve"> including </w:t>
      </w:r>
      <w:r w:rsidR="00927DDA">
        <w:t xml:space="preserve">Pacific Gas and Electric Company (PG&amp;E), </w:t>
      </w:r>
      <w:r w:rsidR="00305B2F">
        <w:t xml:space="preserve">and </w:t>
      </w:r>
      <w:r w:rsidR="00927DDA">
        <w:t xml:space="preserve">Southern California Edison Company (SCE), </w:t>
      </w:r>
      <w:r w:rsidR="00305B2F">
        <w:t xml:space="preserve">as well as </w:t>
      </w:r>
      <w:r w:rsidR="00165EAD">
        <w:t xml:space="preserve">Southern California Gas Company (SoCalGas), </w:t>
      </w:r>
      <w:r w:rsidR="00927DDA">
        <w:t>and San Diego Gas &amp; Electric Company (SDG&amp;E</w:t>
      </w:r>
      <w:r w:rsidR="007F1C0B">
        <w:t>)</w:t>
      </w:r>
      <w:r w:rsidR="00165EAD">
        <w:t xml:space="preserve"> (col</w:t>
      </w:r>
      <w:r w:rsidR="00305B2F">
        <w:t>lectively Sempra Companies)</w:t>
      </w:r>
      <w:r w:rsidR="002306E4">
        <w:t xml:space="preserve">.  </w:t>
      </w:r>
      <w:r w:rsidR="00BF25F7">
        <w:t>In modifying the RCP, a</w:t>
      </w:r>
      <w:r w:rsidR="00864B22">
        <w:t xml:space="preserve"> primary objective </w:t>
      </w:r>
      <w:r w:rsidR="00BF25F7">
        <w:t xml:space="preserve">was to </w:t>
      </w:r>
      <w:r w:rsidR="00305B2F">
        <w:t xml:space="preserve">promote transparency and </w:t>
      </w:r>
      <w:r w:rsidR="00BF25F7">
        <w:t xml:space="preserve">assist the </w:t>
      </w:r>
      <w:r w:rsidR="002D4D68">
        <w:t>Commission and interested</w:t>
      </w:r>
      <w:r w:rsidR="00727AA2">
        <w:t xml:space="preserve"> </w:t>
      </w:r>
      <w:r w:rsidR="002D4D68">
        <w:t xml:space="preserve">parties in </w:t>
      </w:r>
      <w:r w:rsidR="00787700">
        <w:t>evaluating the various pr</w:t>
      </w:r>
      <w:r w:rsidR="00FE7CD1">
        <w:t>ocesse</w:t>
      </w:r>
      <w:r w:rsidR="00787700">
        <w:t xml:space="preserve">s that the energy utilities use </w:t>
      </w:r>
      <w:r w:rsidR="000B16EC">
        <w:t xml:space="preserve">to </w:t>
      </w:r>
      <w:r w:rsidR="00787700">
        <w:t>assess</w:t>
      </w:r>
      <w:r w:rsidR="000B16EC">
        <w:t xml:space="preserve"> </w:t>
      </w:r>
      <w:r w:rsidR="00787700">
        <w:t>their safety risks and to manage, mitigate, and minimize such risks.</w:t>
      </w:r>
      <w:r w:rsidR="005B6D9D">
        <w:rPr>
          <w:rStyle w:val="FootnoteReference"/>
        </w:rPr>
        <w:footnoteReference w:id="3"/>
      </w:r>
    </w:p>
    <w:p w:rsidR="00747A12" w:rsidP="00E8076A" w:rsidRDefault="003F1C0D" w14:paraId="25CA5EF1" w14:textId="38752F98">
      <w:pPr>
        <w:pStyle w:val="Standard"/>
      </w:pPr>
      <w:r>
        <w:t>D.14-12-</w:t>
      </w:r>
      <w:r w:rsidR="00C47159">
        <w:t>0</w:t>
      </w:r>
      <w:r>
        <w:t>25</w:t>
      </w:r>
      <w:r w:rsidR="0024245F">
        <w:t xml:space="preserve"> </w:t>
      </w:r>
      <w:r w:rsidR="00BE5ADE">
        <w:t>establishe</w:t>
      </w:r>
      <w:r w:rsidR="00C46C30">
        <w:t>d</w:t>
      </w:r>
      <w:r w:rsidR="00BE5ADE">
        <w:t xml:space="preserve"> </w:t>
      </w:r>
      <w:r w:rsidR="002648A3">
        <w:t>two</w:t>
      </w:r>
      <w:r w:rsidDel="00B52CB0" w:rsidR="002648A3">
        <w:t xml:space="preserve"> </w:t>
      </w:r>
      <w:r w:rsidR="002648A3">
        <w:t>proce</w:t>
      </w:r>
      <w:r w:rsidR="00B52CB0">
        <w:t>sses</w:t>
      </w:r>
      <w:r w:rsidR="002648A3">
        <w:t xml:space="preserve"> </w:t>
      </w:r>
      <w:r w:rsidR="00B52CB0">
        <w:t xml:space="preserve">that precede </w:t>
      </w:r>
      <w:r w:rsidDel="00B52CB0" w:rsidR="00D807EB">
        <w:t xml:space="preserve">the </w:t>
      </w:r>
      <w:r w:rsidR="00EC0933">
        <w:t xml:space="preserve">IOU </w:t>
      </w:r>
      <w:r w:rsidR="00D807EB">
        <w:t>GRC applications</w:t>
      </w:r>
      <w:r w:rsidR="002948B6">
        <w:t>:</w:t>
      </w:r>
      <w:r w:rsidR="00D807EB">
        <w:t xml:space="preserve"> </w:t>
      </w:r>
      <w:r w:rsidR="00201934">
        <w:t xml:space="preserve"> </w:t>
      </w:r>
      <w:r w:rsidR="00F00B88">
        <w:t xml:space="preserve">1) </w:t>
      </w:r>
      <w:r w:rsidR="007D6CB0">
        <w:t xml:space="preserve">the filing of a </w:t>
      </w:r>
      <w:r w:rsidRPr="007D6CB0" w:rsidR="007D6CB0">
        <w:t>Safety Model Assessment Proceeding (S-MAP)</w:t>
      </w:r>
      <w:r w:rsidR="007C3324">
        <w:t xml:space="preserve"> application in </w:t>
      </w:r>
      <w:r w:rsidR="008F4619">
        <w:t xml:space="preserve">a </w:t>
      </w:r>
      <w:r w:rsidR="00494E70">
        <w:t>dedicated</w:t>
      </w:r>
      <w:r w:rsidR="00D21D88">
        <w:t xml:space="preserve"> </w:t>
      </w:r>
      <w:r w:rsidR="007C3324">
        <w:t>S</w:t>
      </w:r>
      <w:r w:rsidR="00FB13D4">
        <w:t>-</w:t>
      </w:r>
      <w:r w:rsidR="007C3324">
        <w:t>MAP proceeding</w:t>
      </w:r>
      <w:r w:rsidR="00073ACC">
        <w:t xml:space="preserve"> (</w:t>
      </w:r>
      <w:r w:rsidR="005C0611">
        <w:t xml:space="preserve">e.g., </w:t>
      </w:r>
      <w:r w:rsidR="00073ACC">
        <w:t>Application (A.)</w:t>
      </w:r>
      <w:r w:rsidR="00201934">
        <w:t> </w:t>
      </w:r>
      <w:r w:rsidR="00073ACC">
        <w:t xml:space="preserve">15-05-002 </w:t>
      </w:r>
      <w:r w:rsidRPr="000766F5" w:rsidR="00073ACC">
        <w:rPr>
          <w:i/>
        </w:rPr>
        <w:t>et al</w:t>
      </w:r>
      <w:r w:rsidR="00A64F5B">
        <w:rPr>
          <w:i/>
          <w:iCs/>
        </w:rPr>
        <w:t>)</w:t>
      </w:r>
      <w:r w:rsidR="00146B6A">
        <w:t xml:space="preserve">, </w:t>
      </w:r>
      <w:r w:rsidR="002E427F">
        <w:t>where the</w:t>
      </w:r>
      <w:r w:rsidR="00146B6A">
        <w:t xml:space="preserve"> IOUs present their risk-based</w:t>
      </w:r>
      <w:r w:rsidR="00023CA5">
        <w:t xml:space="preserve"> decision-making models; and 2)</w:t>
      </w:r>
      <w:r w:rsidR="00201934">
        <w:t> </w:t>
      </w:r>
      <w:r w:rsidR="00E53DC3">
        <w:t xml:space="preserve">a subsequent </w:t>
      </w:r>
      <w:r w:rsidRPr="00E53DC3" w:rsidR="00E53DC3">
        <w:t>Risk Assessment Mitigation Phase (RAMP)</w:t>
      </w:r>
      <w:r w:rsidR="00073ACC">
        <w:t>, occurring prior to each GRC</w:t>
      </w:r>
      <w:r w:rsidR="00BC6A06">
        <w:t>,</w:t>
      </w:r>
      <w:r w:rsidRPr="00BC6A06" w:rsidR="00BC6A06">
        <w:t xml:space="preserve"> </w:t>
      </w:r>
      <w:r w:rsidR="00BC6A06">
        <w:t xml:space="preserve">where the </w:t>
      </w:r>
      <w:r w:rsidRPr="00BC6A06" w:rsidR="00BC6A06">
        <w:t xml:space="preserve">IOU </w:t>
      </w:r>
      <w:r w:rsidR="004913FB">
        <w:t>describe</w:t>
      </w:r>
      <w:r w:rsidR="00073ACC">
        <w:t>s</w:t>
      </w:r>
      <w:r w:rsidR="004913FB">
        <w:t xml:space="preserve"> how it plans to assess its risks and to mitigate and minimize such risks, </w:t>
      </w:r>
      <w:r w:rsidR="00E73048">
        <w:t xml:space="preserve">using </w:t>
      </w:r>
      <w:r w:rsidR="00073ACC">
        <w:t xml:space="preserve">a </w:t>
      </w:r>
      <w:r w:rsidR="00E73048">
        <w:t>reporting format</w:t>
      </w:r>
      <w:r w:rsidR="00073ACC">
        <w:t xml:space="preserve"> adopted in the S-MAP proceeding</w:t>
      </w:r>
      <w:r w:rsidR="00E73048">
        <w:t xml:space="preserve">.  </w:t>
      </w:r>
      <w:r w:rsidR="006C1C95">
        <w:t xml:space="preserve">The RAMP </w:t>
      </w:r>
      <w:r w:rsidR="00B62BCA">
        <w:t>application</w:t>
      </w:r>
      <w:r w:rsidR="006C1C95">
        <w:t xml:space="preserve">, as clarified or modified in the RAMP proceeding, </w:t>
      </w:r>
      <w:r w:rsidR="009772DB">
        <w:t xml:space="preserve">is </w:t>
      </w:r>
      <w:r w:rsidR="00A77383">
        <w:t>then</w:t>
      </w:r>
      <w:r w:rsidR="009772DB">
        <w:t xml:space="preserve"> </w:t>
      </w:r>
      <w:r w:rsidR="006C1C95">
        <w:t xml:space="preserve">incorporated into the </w:t>
      </w:r>
      <w:r w:rsidR="00A77383">
        <w:t xml:space="preserve">IOU’s </w:t>
      </w:r>
      <w:r w:rsidR="00DE3DBF">
        <w:t xml:space="preserve">Phase 1 </w:t>
      </w:r>
      <w:r w:rsidR="00132469">
        <w:t xml:space="preserve">GRC </w:t>
      </w:r>
      <w:r w:rsidR="005B6998">
        <w:t>filing</w:t>
      </w:r>
      <w:r w:rsidR="006C1C95">
        <w:t>.</w:t>
      </w:r>
      <w:r w:rsidR="00DE3DBF">
        <w:rPr>
          <w:rStyle w:val="FootnoteReference"/>
        </w:rPr>
        <w:footnoteReference w:id="4"/>
      </w:r>
      <w:r w:rsidR="00A77383">
        <w:t xml:space="preserve">  </w:t>
      </w:r>
    </w:p>
    <w:p w:rsidR="00A32407" w:rsidP="002D007A" w:rsidRDefault="00E63AAB" w14:paraId="0F6326E8" w14:textId="71BF845C">
      <w:pPr>
        <w:pStyle w:val="Standard"/>
      </w:pPr>
      <w:r>
        <w:t xml:space="preserve">On May 15, 2015, the </w:t>
      </w:r>
      <w:r w:rsidR="00FB483E">
        <w:t>large</w:t>
      </w:r>
      <w:r>
        <w:t xml:space="preserve"> IOUs filed </w:t>
      </w:r>
      <w:r w:rsidR="005C0611">
        <w:t>the</w:t>
      </w:r>
      <w:r w:rsidR="00C81E45">
        <w:t>ir</w:t>
      </w:r>
      <w:r>
        <w:t xml:space="preserve"> S-MAP application</w:t>
      </w:r>
      <w:r w:rsidR="005C0611">
        <w:t>s</w:t>
      </w:r>
      <w:r w:rsidR="00C81E45">
        <w:t>,</w:t>
      </w:r>
      <w:r w:rsidR="005C0611">
        <w:t xml:space="preserve"> which w</w:t>
      </w:r>
      <w:r w:rsidR="00C81E45">
        <w:t>ere</w:t>
      </w:r>
      <w:r w:rsidR="005C0611">
        <w:t xml:space="preserve"> consolidated as</w:t>
      </w:r>
      <w:r>
        <w:t xml:space="preserve"> the A.15-05-002 </w:t>
      </w:r>
      <w:r w:rsidRPr="00E63AAB">
        <w:rPr>
          <w:i/>
          <w:iCs/>
        </w:rPr>
        <w:t>et al</w:t>
      </w:r>
      <w:r w:rsidR="00FB483E">
        <w:rPr>
          <w:i/>
          <w:iCs/>
        </w:rPr>
        <w:t>.</w:t>
      </w:r>
      <w:r>
        <w:t xml:space="preserve"> proceeding.  </w:t>
      </w:r>
      <w:r w:rsidRPr="00D107D0" w:rsidR="00D107D0">
        <w:t>On August 18, 2016, the Commission adopted D.16-08-018</w:t>
      </w:r>
      <w:r w:rsidR="00D607CD">
        <w:t>,</w:t>
      </w:r>
      <w:r w:rsidRPr="00D107D0" w:rsidR="00D107D0">
        <w:t xml:space="preserve"> </w:t>
      </w:r>
      <w:r w:rsidRPr="00D607CD" w:rsidR="00D107D0">
        <w:rPr>
          <w:i/>
          <w:iCs/>
        </w:rPr>
        <w:t>Interim Decision Adopting Multi-Attribute Approach (Or Utility Equivalent Features) and Directing Utilities to Take Steps Toward a More Uniform Risk Management Framework</w:t>
      </w:r>
      <w:r w:rsidRPr="00D107D0" w:rsidR="00D107D0">
        <w:t xml:space="preserve"> (Interim Decision)</w:t>
      </w:r>
      <w:r w:rsidR="005C0611">
        <w:t xml:space="preserve"> in the consolidated proceedings</w:t>
      </w:r>
      <w:r w:rsidRPr="00D107D0" w:rsidR="00D107D0">
        <w:t xml:space="preserve">.  </w:t>
      </w:r>
      <w:r w:rsidR="007C41FC">
        <w:t>The</w:t>
      </w:r>
      <w:r w:rsidRPr="00D107D0" w:rsidR="00D107D0">
        <w:t xml:space="preserve"> Interim Decision direct</w:t>
      </w:r>
      <w:r w:rsidR="005C0611">
        <w:t>ed</w:t>
      </w:r>
      <w:r w:rsidRPr="00D107D0" w:rsidR="00D107D0">
        <w:t xml:space="preserve"> the IOUs to take steps to develop a more uniform approach to risk management and to test an approach proposed by intervenors towards this end. </w:t>
      </w:r>
      <w:r w:rsidR="00A77866">
        <w:t xml:space="preserve"> </w:t>
      </w:r>
      <w:r w:rsidR="00274C7E">
        <w:t>The</w:t>
      </w:r>
      <w:r w:rsidRPr="00D107D0" w:rsidDel="00170F18" w:rsidR="00D107D0">
        <w:t xml:space="preserve"> </w:t>
      </w:r>
      <w:r w:rsidRPr="00D107D0" w:rsidR="00D107D0">
        <w:t>Interim Decision</w:t>
      </w:r>
      <w:r w:rsidR="007453D6">
        <w:t xml:space="preserve"> adopt</w:t>
      </w:r>
      <w:r w:rsidR="005C0611">
        <w:t>ed</w:t>
      </w:r>
      <w:r w:rsidR="00B67DD5">
        <w:t xml:space="preserve"> the </w:t>
      </w:r>
      <w:r w:rsidR="00FC3B32">
        <w:t xml:space="preserve">use of the </w:t>
      </w:r>
      <w:r w:rsidR="00D21D88">
        <w:t>“</w:t>
      </w:r>
      <w:r w:rsidR="00FC3B32">
        <w:t>Cycla Corporation 10-Step Evaluation Method</w:t>
      </w:r>
      <w:r w:rsidR="00D21D88">
        <w:t>”</w:t>
      </w:r>
      <w:r w:rsidR="00E309EF">
        <w:t xml:space="preserve"> for </w:t>
      </w:r>
      <w:r w:rsidR="0018525D">
        <w:t>evaluating the IOUs</w:t>
      </w:r>
      <w:r w:rsidR="00D21D88">
        <w:t>’</w:t>
      </w:r>
      <w:r w:rsidR="0018525D">
        <w:t xml:space="preserve"> risk assessment models</w:t>
      </w:r>
      <w:r w:rsidR="00D408A4">
        <w:t>,</w:t>
      </w:r>
      <w:r w:rsidR="0018525D">
        <w:t xml:space="preserve"> </w:t>
      </w:r>
      <w:r w:rsidR="00B67DD5">
        <w:t>specifi</w:t>
      </w:r>
      <w:r w:rsidR="00706C83">
        <w:t>e</w:t>
      </w:r>
      <w:r w:rsidR="005C0611">
        <w:t>d</w:t>
      </w:r>
      <w:r w:rsidR="00706C83">
        <w:t xml:space="preserve"> an</w:t>
      </w:r>
      <w:r w:rsidRPr="00D107D0" w:rsidR="00D107D0">
        <w:t xml:space="preserve"> initial “</w:t>
      </w:r>
      <w:r w:rsidR="0059538A">
        <w:t>l</w:t>
      </w:r>
      <w:r w:rsidRPr="00D107D0" w:rsidR="00D107D0">
        <w:t>exicon” of terms relating to the S</w:t>
      </w:r>
      <w:r w:rsidR="00185B79">
        <w:t>-</w:t>
      </w:r>
      <w:r w:rsidRPr="00D107D0" w:rsidR="00D107D0">
        <w:t>MAP and RAMP frameworks</w:t>
      </w:r>
      <w:r w:rsidR="00D408A4">
        <w:t>,</w:t>
      </w:r>
      <w:r w:rsidRPr="00D107D0" w:rsidR="00D107D0">
        <w:t xml:space="preserve"> </w:t>
      </w:r>
      <w:r w:rsidR="00706C83">
        <w:t>direct</w:t>
      </w:r>
      <w:r w:rsidR="005C0611">
        <w:t>ed</w:t>
      </w:r>
      <w:r w:rsidR="00706C83">
        <w:t xml:space="preserve"> </w:t>
      </w:r>
      <w:r w:rsidR="008245E3">
        <w:t xml:space="preserve">the IOUs to </w:t>
      </w:r>
      <w:r w:rsidR="00E8591B">
        <w:t xml:space="preserve">test drive </w:t>
      </w:r>
      <w:r w:rsidR="00274C7E">
        <w:t>a “</w:t>
      </w:r>
      <w:r w:rsidR="00E64927">
        <w:t>Multi-Attribute Approach</w:t>
      </w:r>
      <w:r w:rsidR="00274C7E">
        <w:t>”</w:t>
      </w:r>
      <w:r w:rsidR="004E27A2">
        <w:t xml:space="preserve"> </w:t>
      </w:r>
      <w:r w:rsidR="004E6B06">
        <w:t>for</w:t>
      </w:r>
      <w:r w:rsidR="004E27A2">
        <w:t xml:space="preserve"> evaluating risk</w:t>
      </w:r>
      <w:r w:rsidR="001859CB">
        <w:t xml:space="preserve"> using real-world problems</w:t>
      </w:r>
      <w:r w:rsidR="00D408A4">
        <w:t>,</w:t>
      </w:r>
      <w:r w:rsidR="00A93746">
        <w:t xml:space="preserve"> </w:t>
      </w:r>
      <w:r w:rsidRPr="00D107D0" w:rsidR="00D107D0">
        <w:t>emphasize</w:t>
      </w:r>
      <w:r w:rsidR="005C0611">
        <w:t>d</w:t>
      </w:r>
      <w:r w:rsidRPr="00D107D0" w:rsidR="00D107D0">
        <w:t xml:space="preserve"> the importance of risk-spend efficiency (RSE) calculations in ranking risks</w:t>
      </w:r>
      <w:r w:rsidR="00D408A4">
        <w:t>,</w:t>
      </w:r>
      <w:r w:rsidRPr="00D107D0" w:rsidR="00D107D0">
        <w:t xml:space="preserve"> adopt</w:t>
      </w:r>
      <w:r w:rsidR="005C0611">
        <w:t>ed</w:t>
      </w:r>
      <w:r w:rsidRPr="00D107D0" w:rsidR="00D107D0">
        <w:t xml:space="preserve"> an interim S-MAP Roadmap to move </w:t>
      </w:r>
      <w:r w:rsidR="00A93746">
        <w:t>towards</w:t>
      </w:r>
      <w:r w:rsidRPr="00D107D0" w:rsidR="00D107D0">
        <w:t xml:space="preserve"> more quantified methods for optimized risk mitigation</w:t>
      </w:r>
      <w:r w:rsidR="00D408A4">
        <w:t>,</w:t>
      </w:r>
      <w:r w:rsidR="00A93746">
        <w:t xml:space="preserve"> </w:t>
      </w:r>
      <w:r w:rsidR="004E6B06">
        <w:t xml:space="preserve">and </w:t>
      </w:r>
      <w:r w:rsidR="00A93746">
        <w:t>adopt</w:t>
      </w:r>
      <w:r w:rsidR="005C0611">
        <w:t>ed</w:t>
      </w:r>
      <w:r w:rsidR="00A93746">
        <w:t xml:space="preserve"> other </w:t>
      </w:r>
      <w:r w:rsidR="00244D3E">
        <w:t xml:space="preserve">guidelines </w:t>
      </w:r>
      <w:r w:rsidR="00E94317">
        <w:t>concerning</w:t>
      </w:r>
      <w:r w:rsidR="00244D3E">
        <w:t xml:space="preserve"> what should be included in the utilities’ RAMP </w:t>
      </w:r>
      <w:r w:rsidR="00415C0E">
        <w:t>applications</w:t>
      </w:r>
      <w:r w:rsidR="0011120B">
        <w:t>, a</w:t>
      </w:r>
      <w:r w:rsidR="004E6B06">
        <w:t xml:space="preserve">s well as </w:t>
      </w:r>
      <w:r w:rsidR="0011120B">
        <w:t xml:space="preserve">what the Commission’s Safety and </w:t>
      </w:r>
      <w:r w:rsidR="004E6B06">
        <w:t>Enforcement</w:t>
      </w:r>
      <w:r w:rsidR="0011120B">
        <w:t xml:space="preserve"> Division (SED</w:t>
      </w:r>
      <w:r w:rsidR="004E6B06">
        <w:t xml:space="preserve">) should look for </w:t>
      </w:r>
      <w:r w:rsidR="00474628">
        <w:t>when</w:t>
      </w:r>
      <w:r w:rsidR="004E6B06">
        <w:t xml:space="preserve"> evaluating </w:t>
      </w:r>
      <w:r w:rsidRPr="004E6B06" w:rsidR="004E6B06">
        <w:t xml:space="preserve">the utilities’ RAMP </w:t>
      </w:r>
      <w:r w:rsidR="00E447DD">
        <w:t>filings</w:t>
      </w:r>
      <w:r w:rsidR="00F50FD3">
        <w:t>.</w:t>
      </w:r>
    </w:p>
    <w:p w:rsidR="007254DB" w:rsidP="00020BEF" w:rsidRDefault="00DD1135" w14:paraId="2297BBE9" w14:textId="1FE91CDD">
      <w:pPr>
        <w:pStyle w:val="Standard"/>
      </w:pPr>
      <w:r>
        <w:t xml:space="preserve">On December 13, 2018, the Commission adopted D.18-12-014, </w:t>
      </w:r>
      <w:r w:rsidRPr="00185B79">
        <w:rPr>
          <w:i/>
          <w:iCs/>
        </w:rPr>
        <w:t xml:space="preserve">Phase Two Decision Adopting Safety Model Assessment Proceeding Settlement Agreement with Modifications </w:t>
      </w:r>
      <w:r>
        <w:t xml:space="preserve">(SA Decision). </w:t>
      </w:r>
      <w:r w:rsidR="00E90313">
        <w:t xml:space="preserve"> </w:t>
      </w:r>
      <w:r>
        <w:t xml:space="preserve">The SA Decision </w:t>
      </w:r>
      <w:r w:rsidR="003542AD">
        <w:t>approve</w:t>
      </w:r>
      <w:r w:rsidR="005C0611">
        <w:t>d,</w:t>
      </w:r>
      <w:r w:rsidR="003542AD">
        <w:t xml:space="preserve"> </w:t>
      </w:r>
      <w:r w:rsidR="00367279">
        <w:t>with modifications</w:t>
      </w:r>
      <w:r w:rsidR="005C0611">
        <w:t>,</w:t>
      </w:r>
      <w:r w:rsidR="00367279">
        <w:t xml:space="preserve"> </w:t>
      </w:r>
      <w:r w:rsidR="003542AD">
        <w:t>an uncontested Settlement Agreement</w:t>
      </w:r>
      <w:r w:rsidR="00A16551">
        <w:t xml:space="preserve"> </w:t>
      </w:r>
      <w:r w:rsidR="00282B1E">
        <w:t>intended to</w:t>
      </w:r>
      <w:r w:rsidR="00A16551">
        <w:t xml:space="preserve"> achieve</w:t>
      </w:r>
      <w:r w:rsidR="00FF4970">
        <w:t xml:space="preserve"> a more uniform and quantitative </w:t>
      </w:r>
      <w:r>
        <w:t>R</w:t>
      </w:r>
      <w:r w:rsidR="0085030C">
        <w:t>DF</w:t>
      </w:r>
      <w:r w:rsidR="00FF4970">
        <w:t>.</w:t>
      </w:r>
      <w:r>
        <w:t xml:space="preserve"> </w:t>
      </w:r>
      <w:r w:rsidR="00A16551">
        <w:t xml:space="preserve"> </w:t>
      </w:r>
      <w:r w:rsidR="00C903D2">
        <w:t xml:space="preserve">The provisions of the </w:t>
      </w:r>
      <w:r w:rsidR="00BF160B">
        <w:t>SA</w:t>
      </w:r>
      <w:r w:rsidR="00201934">
        <w:t> </w:t>
      </w:r>
      <w:r w:rsidR="00BF160B">
        <w:t>Decision</w:t>
      </w:r>
      <w:r w:rsidR="00C903D2">
        <w:t xml:space="preserve"> constitute </w:t>
      </w:r>
      <w:r w:rsidR="00A43E2B">
        <w:t xml:space="preserve">the </w:t>
      </w:r>
      <w:r w:rsidR="00C903D2">
        <w:t xml:space="preserve">minimum required elements for risk and mitigation analysis </w:t>
      </w:r>
      <w:r w:rsidR="002546BF">
        <w:t xml:space="preserve">by the IOUs in their </w:t>
      </w:r>
      <w:r w:rsidR="00BF160B">
        <w:t xml:space="preserve">RAMP </w:t>
      </w:r>
      <w:r w:rsidR="00C903D2">
        <w:t xml:space="preserve">and </w:t>
      </w:r>
      <w:r w:rsidR="000B2CCE">
        <w:t xml:space="preserve">Phase 1 </w:t>
      </w:r>
      <w:r w:rsidR="00BF160B">
        <w:t xml:space="preserve">GRC </w:t>
      </w:r>
      <w:r w:rsidR="00C730A6">
        <w:t xml:space="preserve">filings, </w:t>
      </w:r>
      <w:r w:rsidR="009C3E96">
        <w:t>including</w:t>
      </w:r>
      <w:r w:rsidR="00A80FBD">
        <w:t xml:space="preserve"> the</w:t>
      </w:r>
      <w:r w:rsidR="00DE5315">
        <w:t xml:space="preserve"> </w:t>
      </w:r>
      <w:r w:rsidRPr="00884608" w:rsidR="00DE5315">
        <w:t>specific</w:t>
      </w:r>
      <w:r w:rsidRPr="00884608" w:rsidR="00A80FBD">
        <w:t xml:space="preserve"> “steps” that </w:t>
      </w:r>
      <w:r w:rsidRPr="00884608" w:rsidR="004A0630">
        <w:t>the IOUs must follow to analyze risk an</w:t>
      </w:r>
      <w:r w:rsidRPr="00884608" w:rsidR="00086C2E">
        <w:t>d</w:t>
      </w:r>
      <w:r w:rsidRPr="00884608" w:rsidR="004A0630">
        <w:t xml:space="preserve"> mitigation</w:t>
      </w:r>
      <w:r w:rsidRPr="00884608" w:rsidR="00086C2E">
        <w:t xml:space="preserve"> choices.  Additional information </w:t>
      </w:r>
      <w:r w:rsidRPr="00884608" w:rsidR="00542713">
        <w:t>concerning the RDF adopted in</w:t>
      </w:r>
      <w:r w:rsidRPr="00884608" w:rsidR="00086C2E">
        <w:t xml:space="preserve"> </w:t>
      </w:r>
      <w:r w:rsidR="00B57225">
        <w:t>the</w:t>
      </w:r>
      <w:r w:rsidRPr="00884608" w:rsidR="00086C2E">
        <w:t xml:space="preserve"> </w:t>
      </w:r>
      <w:r w:rsidR="00B57225">
        <w:t xml:space="preserve">SA Decision </w:t>
      </w:r>
      <w:r w:rsidRPr="00884608" w:rsidR="00086C2E">
        <w:t xml:space="preserve">is provided in </w:t>
      </w:r>
      <w:r w:rsidRPr="00476736" w:rsidR="00086C2E">
        <w:t>Section</w:t>
      </w:r>
      <w:r w:rsidR="00201934">
        <w:t> </w:t>
      </w:r>
      <w:r w:rsidRPr="00476736" w:rsidR="00244052">
        <w:t>5</w:t>
      </w:r>
      <w:r w:rsidRPr="00476736" w:rsidR="006924CA">
        <w:t>.1</w:t>
      </w:r>
      <w:r w:rsidRPr="00884608" w:rsidR="00086C2E">
        <w:t>.</w:t>
      </w:r>
      <w:r w:rsidRPr="00244052" w:rsidR="00244052">
        <w:t>1.</w:t>
      </w:r>
      <w:r w:rsidR="00797B81">
        <w:t xml:space="preserve">  </w:t>
      </w:r>
    </w:p>
    <w:p w:rsidR="00A43E2B" w:rsidP="00020BEF" w:rsidRDefault="00E42768" w14:paraId="01EB8225" w14:textId="5B45C112">
      <w:pPr>
        <w:pStyle w:val="Standard"/>
      </w:pPr>
      <w:r>
        <w:t>Each</w:t>
      </w:r>
      <w:r w:rsidR="00171684">
        <w:t xml:space="preserve"> </w:t>
      </w:r>
      <w:r w:rsidRPr="00020BEF" w:rsidR="00171684">
        <w:t>IOU</w:t>
      </w:r>
      <w:r w:rsidR="00171684">
        <w:t xml:space="preserve"> </w:t>
      </w:r>
      <w:r w:rsidR="005C0611">
        <w:t>filed a</w:t>
      </w:r>
      <w:r w:rsidR="000E7936">
        <w:t xml:space="preserve"> RAMP </w:t>
      </w:r>
      <w:r w:rsidR="00F47EBF">
        <w:t>application</w:t>
      </w:r>
      <w:r w:rsidR="000E7936">
        <w:t xml:space="preserve"> </w:t>
      </w:r>
      <w:r w:rsidR="00527158">
        <w:t xml:space="preserve">using the </w:t>
      </w:r>
      <w:r w:rsidR="007C7C30">
        <w:t xml:space="preserve">RDF </w:t>
      </w:r>
      <w:r w:rsidR="00125B7B">
        <w:t xml:space="preserve">adopted in the </w:t>
      </w:r>
      <w:r w:rsidR="00527158">
        <w:t>SA Decision.</w:t>
      </w:r>
      <w:r w:rsidR="007254DB">
        <w:t xml:space="preserve">  PG&amp;E </w:t>
      </w:r>
      <w:r w:rsidR="004E0338">
        <w:t>filed</w:t>
      </w:r>
      <w:r w:rsidR="0075763C">
        <w:t xml:space="preserve"> </w:t>
      </w:r>
      <w:r w:rsidR="00143F11">
        <w:t>a RAMP</w:t>
      </w:r>
      <w:r w:rsidR="00D65BC5">
        <w:t xml:space="preserve"> </w:t>
      </w:r>
      <w:r w:rsidR="009553F0">
        <w:t>application (A.20-06-013)</w:t>
      </w:r>
      <w:r w:rsidR="00143F11">
        <w:t xml:space="preserve"> </w:t>
      </w:r>
      <w:r w:rsidR="004E0338">
        <w:t xml:space="preserve">with the </w:t>
      </w:r>
      <w:r w:rsidR="007C5034">
        <w:t>Commission</w:t>
      </w:r>
      <w:r w:rsidR="004E0338">
        <w:t xml:space="preserve"> </w:t>
      </w:r>
      <w:r w:rsidR="00643AA2">
        <w:t xml:space="preserve">on June 30, </w:t>
      </w:r>
      <w:r w:rsidR="00A82EEE">
        <w:t>2020</w:t>
      </w:r>
      <w:r w:rsidR="00523E3E">
        <w:t>,</w:t>
      </w:r>
      <w:r w:rsidR="00692FDB">
        <w:t xml:space="preserve"> related to </w:t>
      </w:r>
      <w:r w:rsidR="003C3F0B">
        <w:t>its Test Year 2023</w:t>
      </w:r>
      <w:r w:rsidR="00A43B78">
        <w:t xml:space="preserve"> GRC </w:t>
      </w:r>
      <w:r w:rsidR="008E0536">
        <w:t>cycle</w:t>
      </w:r>
      <w:r w:rsidR="005E1E31">
        <w:t>, for which</w:t>
      </w:r>
      <w:r w:rsidR="00A43B78">
        <w:t xml:space="preserve"> </w:t>
      </w:r>
      <w:r w:rsidR="00F945E0">
        <w:t xml:space="preserve">PG&amp;E subsequently filed </w:t>
      </w:r>
      <w:r w:rsidR="00922A26">
        <w:t>a GRC</w:t>
      </w:r>
      <w:r w:rsidR="00643AA2">
        <w:t xml:space="preserve"> application </w:t>
      </w:r>
      <w:r w:rsidR="009F2DAB">
        <w:t>(A.21-06-021)</w:t>
      </w:r>
      <w:r w:rsidR="00643AA2">
        <w:t xml:space="preserve"> </w:t>
      </w:r>
      <w:r w:rsidR="009F2DAB">
        <w:t xml:space="preserve">on </w:t>
      </w:r>
      <w:r w:rsidRPr="009F2DAB" w:rsidR="009F2DAB">
        <w:t>June 30, 2021</w:t>
      </w:r>
      <w:r w:rsidR="009F2DAB">
        <w:t xml:space="preserve">.  </w:t>
      </w:r>
      <w:r w:rsidR="00A40554">
        <w:t xml:space="preserve">SoCalGas and </w:t>
      </w:r>
      <w:r w:rsidR="003A6E09">
        <w:t xml:space="preserve">SDG&amp;E </w:t>
      </w:r>
      <w:r w:rsidR="00056C0E">
        <w:t>each f</w:t>
      </w:r>
      <w:r w:rsidR="004B067D">
        <w:t>iled their respective RAMP applications</w:t>
      </w:r>
      <w:r w:rsidR="00F41F2A">
        <w:t xml:space="preserve"> (A.21</w:t>
      </w:r>
      <w:r w:rsidR="007C0A13">
        <w:noBreakHyphen/>
      </w:r>
      <w:r w:rsidR="00F41F2A">
        <w:t>05</w:t>
      </w:r>
      <w:r w:rsidR="007C0A13">
        <w:noBreakHyphen/>
      </w:r>
      <w:r w:rsidR="00F41F2A">
        <w:t>014 for SoCalGas and A.21-05-011 for SDG&amp;E)</w:t>
      </w:r>
      <w:r w:rsidR="004B067D">
        <w:t xml:space="preserve"> </w:t>
      </w:r>
      <w:r w:rsidR="00DC723B">
        <w:t>on May 15, 202</w:t>
      </w:r>
      <w:r w:rsidR="00523E3E">
        <w:t xml:space="preserve">1, related to their Test Year 2024 GRC cycle, for which </w:t>
      </w:r>
      <w:r w:rsidR="004D1D6F">
        <w:t xml:space="preserve">SoCalGas </w:t>
      </w:r>
      <w:r w:rsidR="00BC258E">
        <w:t xml:space="preserve">filed its GRC application </w:t>
      </w:r>
      <w:r w:rsidR="0082772B">
        <w:t>(</w:t>
      </w:r>
      <w:r w:rsidR="004D1D6F">
        <w:t>A.22-05-015</w:t>
      </w:r>
      <w:r w:rsidR="0082772B">
        <w:t>)</w:t>
      </w:r>
      <w:r w:rsidR="009B4E21">
        <w:t xml:space="preserve"> and SDG&amp;E</w:t>
      </w:r>
      <w:r w:rsidR="0082772B">
        <w:t xml:space="preserve"> </w:t>
      </w:r>
      <w:r w:rsidR="00BD129B">
        <w:t xml:space="preserve">filed its GRC application </w:t>
      </w:r>
      <w:r w:rsidR="003723A5">
        <w:t xml:space="preserve">(A.22-05-016) </w:t>
      </w:r>
      <w:r w:rsidR="001A7FA4">
        <w:t xml:space="preserve">on </w:t>
      </w:r>
      <w:r w:rsidR="00F97DF9">
        <w:t>May</w:t>
      </w:r>
      <w:r w:rsidR="007C0A13">
        <w:t> </w:t>
      </w:r>
      <w:r w:rsidR="00F97DF9">
        <w:t>15,</w:t>
      </w:r>
      <w:r w:rsidR="007C0A13">
        <w:t> </w:t>
      </w:r>
      <w:r w:rsidR="0082772B">
        <w:t>2022</w:t>
      </w:r>
      <w:r w:rsidR="00A87156">
        <w:t>,</w:t>
      </w:r>
      <w:r w:rsidR="00F97DF9">
        <w:t xml:space="preserve"> and May 16, 2022, respectively</w:t>
      </w:r>
      <w:r w:rsidR="0082772B">
        <w:t xml:space="preserve">.  </w:t>
      </w:r>
      <w:r w:rsidR="002477B3">
        <w:t>SCE filed a RAMP application</w:t>
      </w:r>
      <w:r w:rsidR="00686605">
        <w:t xml:space="preserve"> (</w:t>
      </w:r>
      <w:r w:rsidRPr="00905C4E" w:rsidR="00905C4E">
        <w:t>A.22-05-013</w:t>
      </w:r>
      <w:r w:rsidR="00905C4E">
        <w:t>)</w:t>
      </w:r>
      <w:r w:rsidR="002477B3">
        <w:t xml:space="preserve"> </w:t>
      </w:r>
      <w:r w:rsidR="005876E1">
        <w:t>on May 13, 2022</w:t>
      </w:r>
      <w:r w:rsidR="00905C4E">
        <w:t xml:space="preserve">, related to its </w:t>
      </w:r>
      <w:r w:rsidR="008E27C6">
        <w:t xml:space="preserve">Test Year 2025 GRC cycle. </w:t>
      </w:r>
      <w:r w:rsidR="00850F48">
        <w:t xml:space="preserve"> The GRC application for SCE is </w:t>
      </w:r>
      <w:r w:rsidR="00BD129B">
        <w:t xml:space="preserve">scheduled to </w:t>
      </w:r>
      <w:r w:rsidR="00850F48">
        <w:t>be filed May 15, 2023.</w:t>
      </w:r>
    </w:p>
    <w:p w:rsidR="00C80B62" w:rsidP="00020BEF" w:rsidRDefault="00C80B62" w14:paraId="451FC449" w14:textId="3E675A89">
      <w:pPr>
        <w:pStyle w:val="Standard"/>
      </w:pPr>
      <w:r>
        <w:t xml:space="preserve">The central </w:t>
      </w:r>
      <w:r w:rsidRPr="00020BEF" w:rsidR="00C337DA">
        <w:t>element</w:t>
      </w:r>
      <w:r w:rsidR="00C337DA">
        <w:t xml:space="preserve"> of the RDF adopted in the</w:t>
      </w:r>
      <w:r w:rsidDel="00B57225" w:rsidR="00C337DA">
        <w:t xml:space="preserve"> </w:t>
      </w:r>
      <w:r>
        <w:t>SA Decision</w:t>
      </w:r>
      <w:r w:rsidR="00C337DA">
        <w:t xml:space="preserve"> is a Mul</w:t>
      </w:r>
      <w:r w:rsidR="00F5122B">
        <w:t>ti</w:t>
      </w:r>
      <w:r w:rsidR="00C337DA">
        <w:t xml:space="preserve">-Attribute Value Function (MAVF). </w:t>
      </w:r>
      <w:r w:rsidR="00A53636">
        <w:t xml:space="preserve"> </w:t>
      </w:r>
      <w:r w:rsidR="00C337DA">
        <w:t>The MAVF</w:t>
      </w:r>
      <w:r w:rsidR="004C37B1">
        <w:t xml:space="preserve"> </w:t>
      </w:r>
      <w:r w:rsidR="00183413">
        <w:t>is a tool for combining</w:t>
      </w:r>
      <w:r w:rsidR="00810B94">
        <w:t xml:space="preserve"> </w:t>
      </w:r>
      <w:r w:rsidR="00C45814">
        <w:t xml:space="preserve">the </w:t>
      </w:r>
      <w:r w:rsidR="009D59A4">
        <w:t xml:space="preserve">potential </w:t>
      </w:r>
      <w:r w:rsidR="00DD6E9B">
        <w:t>C</w:t>
      </w:r>
      <w:r w:rsidR="009D59A4">
        <w:t>onsequence</w:t>
      </w:r>
      <w:r w:rsidR="00BA2F07">
        <w:t>s</w:t>
      </w:r>
      <w:r w:rsidR="007D5FAC">
        <w:rPr>
          <w:rStyle w:val="FootnoteReference"/>
        </w:rPr>
        <w:footnoteReference w:id="5"/>
      </w:r>
      <w:r w:rsidR="007D5FAC">
        <w:t xml:space="preserve"> </w:t>
      </w:r>
      <w:r w:rsidR="00D5028E">
        <w:t>from unlike</w:t>
      </w:r>
      <w:r w:rsidR="004C37B1">
        <w:t xml:space="preserve"> </w:t>
      </w:r>
      <w:r w:rsidR="004A0CE9">
        <w:t>Attributes</w:t>
      </w:r>
      <w:r w:rsidR="007D5FAC">
        <w:t xml:space="preserve"> </w:t>
      </w:r>
      <w:r w:rsidR="000F7507">
        <w:t xml:space="preserve">into a single </w:t>
      </w:r>
      <w:r w:rsidR="00167958">
        <w:t xml:space="preserve">metric to quantify risk. </w:t>
      </w:r>
      <w:r w:rsidR="004A0CE9">
        <w:t xml:space="preserve"> </w:t>
      </w:r>
      <w:r w:rsidR="00BE5E8E">
        <w:t>Building the MAVF, as described by the SA Decision, is “a fundamental building block for the risk and mitigation analysis agreed to by parties</w:t>
      </w:r>
      <w:r w:rsidR="00BF4B24">
        <w:t>.</w:t>
      </w:r>
      <w:r w:rsidR="00BE5E8E">
        <w:t>”</w:t>
      </w:r>
      <w:r w:rsidR="00BE5E8E">
        <w:rPr>
          <w:rStyle w:val="FootnoteReference"/>
        </w:rPr>
        <w:footnoteReference w:id="6"/>
      </w:r>
      <w:r w:rsidR="00BE5E8E">
        <w:t xml:space="preserve"> </w:t>
      </w:r>
      <w:r w:rsidR="00201934">
        <w:t xml:space="preserve"> </w:t>
      </w:r>
      <w:r w:rsidR="003B3E93">
        <w:t xml:space="preserve">An important </w:t>
      </w:r>
      <w:r w:rsidR="00561BEF">
        <w:t xml:space="preserve">component in building the MAVF is the </w:t>
      </w:r>
      <w:r w:rsidR="00046DE9">
        <w:t xml:space="preserve">assignment of </w:t>
      </w:r>
      <w:r w:rsidR="00EF24ED">
        <w:t xml:space="preserve">relative </w:t>
      </w:r>
      <w:r w:rsidR="00046DE9">
        <w:t xml:space="preserve">weights to each </w:t>
      </w:r>
      <w:r w:rsidR="002B0186">
        <w:t>Attribute</w:t>
      </w:r>
      <w:r w:rsidR="00156040">
        <w:t xml:space="preserve"> based on </w:t>
      </w:r>
      <w:r w:rsidR="00852889">
        <w:t xml:space="preserve">a comparison of </w:t>
      </w:r>
      <w:r w:rsidR="00753174">
        <w:t>the</w:t>
      </w:r>
      <w:r w:rsidR="000A280B">
        <w:t xml:space="preserve"> </w:t>
      </w:r>
      <w:r w:rsidR="00A253DB">
        <w:t xml:space="preserve">ranges </w:t>
      </w:r>
      <w:r w:rsidR="00551AEF">
        <w:t>of each Attribute</w:t>
      </w:r>
      <w:r w:rsidR="00782B89">
        <w:t>,</w:t>
      </w:r>
      <w:r w:rsidR="00C53E91">
        <w:t xml:space="preserve"> </w:t>
      </w:r>
      <w:r w:rsidR="001B134D">
        <w:t>effectively</w:t>
      </w:r>
      <w:r w:rsidR="00C53E91">
        <w:t xml:space="preserve"> </w:t>
      </w:r>
      <w:r w:rsidR="00015A16">
        <w:t>resulting in</w:t>
      </w:r>
      <w:r w:rsidR="00C53E91">
        <w:t xml:space="preserve"> a trade-off </w:t>
      </w:r>
      <w:r w:rsidR="004C078D">
        <w:t xml:space="preserve">in </w:t>
      </w:r>
      <w:r w:rsidR="00C53E91">
        <w:t>value</w:t>
      </w:r>
      <w:r w:rsidR="004C078D">
        <w:t>s</w:t>
      </w:r>
      <w:r w:rsidR="00C53E91">
        <w:t xml:space="preserve"> between Attributes</w:t>
      </w:r>
      <w:r w:rsidR="001B134D">
        <w:t xml:space="preserve">, such as Safety and </w:t>
      </w:r>
      <w:r w:rsidR="00A600B5">
        <w:t>Financial</w:t>
      </w:r>
      <w:r w:rsidR="00551AEF">
        <w:t>.</w:t>
      </w:r>
      <w:r w:rsidR="00753174">
        <w:t xml:space="preserve"> </w:t>
      </w:r>
      <w:r w:rsidR="00CB1847">
        <w:t xml:space="preserve"> </w:t>
      </w:r>
    </w:p>
    <w:p w:rsidR="005A148C" w:rsidP="00B979B8" w:rsidRDefault="00B979B8" w14:paraId="097502D8" w14:textId="4CA705F1">
      <w:pPr>
        <w:pStyle w:val="Heading1"/>
        <w:numPr>
          <w:ilvl w:val="0"/>
          <w:numId w:val="1"/>
        </w:numPr>
      </w:pPr>
      <w:bookmarkStart w:name="_Toc121821028" w:id="8"/>
      <w:bookmarkStart w:name="_Toc8123718" w:id="9"/>
      <w:r>
        <w:t>Procedural Background</w:t>
      </w:r>
      <w:bookmarkEnd w:id="8"/>
      <w:r w:rsidR="0063491C">
        <w:t xml:space="preserve"> </w:t>
      </w:r>
      <w:bookmarkEnd w:id="9"/>
    </w:p>
    <w:p w:rsidR="00A017BA" w:rsidP="00020BEF" w:rsidRDefault="00E94CF5" w14:paraId="73A5010F" w14:textId="28C19DBD">
      <w:pPr>
        <w:pStyle w:val="Standard"/>
      </w:pPr>
      <w:r>
        <w:t xml:space="preserve">On July 16, 2020, the Commission </w:t>
      </w:r>
      <w:r w:rsidR="00E97F39">
        <w:t>issued</w:t>
      </w:r>
      <w:r w:rsidR="004A6086">
        <w:t xml:space="preserve"> </w:t>
      </w:r>
      <w:r w:rsidR="008F06D2">
        <w:t>an</w:t>
      </w:r>
      <w:r w:rsidR="004A6086">
        <w:t xml:space="preserve"> </w:t>
      </w:r>
      <w:r w:rsidRPr="00696553" w:rsidR="00696553">
        <w:rPr>
          <w:i/>
          <w:iCs/>
        </w:rPr>
        <w:t>Order Instituting Rulemaking to Further Develop a Risk-Based Decision-Making Framework for Electric and Gas Utilities</w:t>
      </w:r>
      <w:r w:rsidR="008F06D2">
        <w:rPr>
          <w:i/>
          <w:iCs/>
        </w:rPr>
        <w:t xml:space="preserve">, </w:t>
      </w:r>
      <w:r w:rsidRPr="00457F36" w:rsidR="008F06D2">
        <w:t>thus launching R.20-07-013</w:t>
      </w:r>
      <w:r w:rsidR="00B53782">
        <w:rPr>
          <w:i/>
          <w:iCs/>
        </w:rPr>
        <w:t xml:space="preserve"> </w:t>
      </w:r>
      <w:r w:rsidRPr="00B53782" w:rsidR="00B53782">
        <w:t>(RDF Proceeding)</w:t>
      </w:r>
      <w:r w:rsidRPr="00B53782" w:rsidR="00696553">
        <w:t>.</w:t>
      </w:r>
      <w:r>
        <w:t xml:space="preserve"> </w:t>
      </w:r>
      <w:r w:rsidR="00696553">
        <w:t xml:space="preserve"> </w:t>
      </w:r>
      <w:r w:rsidR="00F63598">
        <w:t>The</w:t>
      </w:r>
      <w:r w:rsidR="00996353">
        <w:t xml:space="preserve"> </w:t>
      </w:r>
      <w:r w:rsidR="004B3AA1">
        <w:t xml:space="preserve">main </w:t>
      </w:r>
      <w:r w:rsidR="006121F7">
        <w:t>objective</w:t>
      </w:r>
      <w:r w:rsidR="00A91C41">
        <w:t>s</w:t>
      </w:r>
      <w:r w:rsidR="006121F7">
        <w:t xml:space="preserve"> </w:t>
      </w:r>
      <w:r w:rsidR="00681857">
        <w:t>of the</w:t>
      </w:r>
      <w:r w:rsidR="00B53782">
        <w:t xml:space="preserve"> RDF Proceeding </w:t>
      </w:r>
      <w:r w:rsidR="00A91C41">
        <w:t>are</w:t>
      </w:r>
      <w:r w:rsidR="00D5732F">
        <w:t xml:space="preserve"> </w:t>
      </w:r>
      <w:r w:rsidRPr="00D5732F" w:rsidR="00D5732F">
        <w:t>to</w:t>
      </w:r>
      <w:r w:rsidR="00A91C41">
        <w:t xml:space="preserve"> further guide and ensure</w:t>
      </w:r>
      <w:r w:rsidRPr="00D5732F" w:rsidR="00D5732F">
        <w:t xml:space="preserve"> electric and gas utilities</w:t>
      </w:r>
      <w:r w:rsidR="00D5732F">
        <w:t xml:space="preserve"> </w:t>
      </w:r>
      <w:bookmarkStart w:name="_Hlk111708863" w:id="10"/>
      <w:r w:rsidR="00884BEE">
        <w:t>prioritize</w:t>
      </w:r>
      <w:r w:rsidR="00A91C41">
        <w:t xml:space="preserve"> safety </w:t>
      </w:r>
      <w:r w:rsidRPr="00E4782D" w:rsidR="00E4782D">
        <w:t xml:space="preserve">consistent with </w:t>
      </w:r>
      <w:r w:rsidRPr="00A017BA" w:rsidR="00A017BA">
        <w:t>California Public Utilities Code (Pub. Util. Code)</w:t>
      </w:r>
      <w:r w:rsidR="00A017BA">
        <w:t xml:space="preserve"> </w:t>
      </w:r>
      <w:r w:rsidRPr="00A017BA" w:rsidR="00A017BA">
        <w:t>§</w:t>
      </w:r>
      <w:r w:rsidR="00201934">
        <w:t> </w:t>
      </w:r>
      <w:r w:rsidRPr="00E4782D" w:rsidR="00E4782D">
        <w:t>451 requirements to ensure just and reasonable rates</w:t>
      </w:r>
      <w:r w:rsidR="00E4782D">
        <w:t>.</w:t>
      </w:r>
      <w:r w:rsidR="00E32974">
        <w:rPr>
          <w:rStyle w:val="FootnoteReference"/>
        </w:rPr>
        <w:footnoteReference w:id="7"/>
      </w:r>
      <w:r w:rsidR="00731287">
        <w:t xml:space="preserve"> </w:t>
      </w:r>
      <w:r w:rsidR="00F63598">
        <w:t xml:space="preserve"> </w:t>
      </w:r>
    </w:p>
    <w:p w:rsidR="00BB4C04" w:rsidP="00020BEF" w:rsidRDefault="004D3DD1" w14:paraId="3D8C9B74" w14:textId="7775D568">
      <w:pPr>
        <w:pStyle w:val="Standard"/>
      </w:pPr>
      <w:r w:rsidRPr="004D3DD1">
        <w:t xml:space="preserve">A prehearing conference was held </w:t>
      </w:r>
      <w:r w:rsidRPr="00020BEF">
        <w:t>on</w:t>
      </w:r>
      <w:r w:rsidRPr="004D3DD1">
        <w:t xml:space="preserve"> </w:t>
      </w:r>
      <w:r w:rsidRPr="003029EE" w:rsidR="003029EE">
        <w:t>September 15, 2020</w:t>
      </w:r>
      <w:r w:rsidRPr="004D3DD1">
        <w:t xml:space="preserve">, to determine parties, discuss the scope, schedule, and other procedural matters.  </w:t>
      </w:r>
    </w:p>
    <w:p w:rsidR="001365A6" w:rsidP="002C7BDB" w:rsidRDefault="003F6564" w14:paraId="7D564583" w14:textId="06143057">
      <w:pPr>
        <w:pStyle w:val="Standard"/>
      </w:pPr>
      <w:r>
        <w:t xml:space="preserve">On November </w:t>
      </w:r>
      <w:r w:rsidR="00AA58CA">
        <w:t>2</w:t>
      </w:r>
      <w:r>
        <w:t>, 202</w:t>
      </w:r>
      <w:r w:rsidR="00AA58CA">
        <w:t>0</w:t>
      </w:r>
      <w:r>
        <w:t>, the assigned Commissioner issued a Scoping Memo and Ruling (</w:t>
      </w:r>
      <w:r w:rsidR="005A1AA5">
        <w:t xml:space="preserve">Phase I </w:t>
      </w:r>
      <w:r>
        <w:t>Scoping Memo</w:t>
      </w:r>
      <w:r w:rsidR="007B199D">
        <w:t>)</w:t>
      </w:r>
      <w:r w:rsidR="00602AC9">
        <w:t xml:space="preserve">, </w:t>
      </w:r>
      <w:r w:rsidR="007B199D">
        <w:t>dividing</w:t>
      </w:r>
      <w:r w:rsidR="00602AC9">
        <w:t xml:space="preserve"> the </w:t>
      </w:r>
      <w:r w:rsidR="003E15C2">
        <w:t xml:space="preserve">proceeding </w:t>
      </w:r>
      <w:r w:rsidR="00602AC9">
        <w:t>schedule into two</w:t>
      </w:r>
      <w:r w:rsidR="00201934">
        <w:t> </w:t>
      </w:r>
      <w:r w:rsidR="00602AC9">
        <w:t>phases</w:t>
      </w:r>
      <w:r w:rsidR="004A0815">
        <w:t xml:space="preserve">. </w:t>
      </w:r>
      <w:r w:rsidR="00B32FB5">
        <w:t xml:space="preserve"> Phase </w:t>
      </w:r>
      <w:r w:rsidR="005A1AA5">
        <w:t>I</w:t>
      </w:r>
      <w:r w:rsidR="003F6E24">
        <w:t xml:space="preserve"> of the proceeding</w:t>
      </w:r>
      <w:r w:rsidR="0003667A">
        <w:t xml:space="preserve"> </w:t>
      </w:r>
      <w:r w:rsidR="00CC700B">
        <w:t xml:space="preserve">includes </w:t>
      </w:r>
      <w:r w:rsidR="00462B84">
        <w:t>the following issues</w:t>
      </w:r>
      <w:r w:rsidR="00D81815">
        <w:t xml:space="preserve">, </w:t>
      </w:r>
      <w:r w:rsidR="00707C06">
        <w:t xml:space="preserve">divided </w:t>
      </w:r>
      <w:r w:rsidR="00D81815">
        <w:t>along four separate tracks</w:t>
      </w:r>
      <w:r w:rsidR="00306FE9">
        <w:t>:</w:t>
      </w:r>
      <w:r w:rsidR="001606DC">
        <w:t xml:space="preserve"> </w:t>
      </w:r>
      <w:r w:rsidR="005074DA">
        <w:t>Track 1</w:t>
      </w:r>
      <w:r w:rsidR="00177684">
        <w:t xml:space="preserve"> -</w:t>
      </w:r>
      <w:r w:rsidR="005074DA">
        <w:t xml:space="preserve"> Clarifying RDF </w:t>
      </w:r>
      <w:r w:rsidR="006266F2">
        <w:t>Technical Requirements</w:t>
      </w:r>
      <w:r w:rsidR="00096430">
        <w:t>; Track 2</w:t>
      </w:r>
      <w:r w:rsidR="00177684">
        <w:t xml:space="preserve"> -</w:t>
      </w:r>
      <w:r w:rsidR="00096430">
        <w:t xml:space="preserve"> </w:t>
      </w:r>
      <w:r w:rsidR="005074DA">
        <w:t>Safety and Operational Metrics</w:t>
      </w:r>
      <w:r w:rsidR="00096430">
        <w:t>; Track 3</w:t>
      </w:r>
      <w:r w:rsidR="00177684">
        <w:t xml:space="preserve"> -</w:t>
      </w:r>
      <w:r w:rsidR="002C7BDB">
        <w:t xml:space="preserve"> </w:t>
      </w:r>
      <w:r w:rsidR="005074DA">
        <w:t xml:space="preserve">Refining </w:t>
      </w:r>
      <w:r w:rsidR="00104FA4">
        <w:t xml:space="preserve">RAMP </w:t>
      </w:r>
      <w:r w:rsidR="005074DA">
        <w:t>and Related Procedural Requirements</w:t>
      </w:r>
      <w:r w:rsidR="002C7BDB">
        <w:t>; and Track 4</w:t>
      </w:r>
      <w:r w:rsidR="00177684">
        <w:t xml:space="preserve"> -</w:t>
      </w:r>
      <w:r w:rsidR="002C7BDB">
        <w:t xml:space="preserve"> </w:t>
      </w:r>
      <w:r w:rsidR="005074DA">
        <w:t>Small and Multijurisdictional Utilities</w:t>
      </w:r>
      <w:r w:rsidR="002C7BDB">
        <w:t>.</w:t>
      </w:r>
      <w:r w:rsidR="00743FFC">
        <w:t xml:space="preserve"> </w:t>
      </w:r>
      <w:r w:rsidR="00CB3C74">
        <w:t xml:space="preserve"> </w:t>
      </w:r>
      <w:r w:rsidRPr="00AC7670" w:rsidR="00AC7670">
        <w:t>The Scoping Memo also identified issues for potential consideration in Phase II, and determined that the scope of Phase II issues would be revisited at the conclusion of Phase I.</w:t>
      </w:r>
    </w:p>
    <w:p w:rsidR="002408F5" w:rsidP="002408F5" w:rsidRDefault="00F82F65" w14:paraId="529C0262" w14:textId="0EF4B4FB">
      <w:pPr>
        <w:pStyle w:val="Standard"/>
      </w:pPr>
      <w:r>
        <w:t xml:space="preserve">On November 9, 2021, the Commission </w:t>
      </w:r>
      <w:r w:rsidR="002A2FCD">
        <w:t>adopted D.21-11-009, addressing the</w:t>
      </w:r>
      <w:r>
        <w:t xml:space="preserve"> </w:t>
      </w:r>
      <w:r w:rsidRPr="009309A8" w:rsidR="00260A69">
        <w:t xml:space="preserve">Phase I, Track 1 </w:t>
      </w:r>
      <w:r w:rsidRPr="009309A8" w:rsidR="009309A8">
        <w:t>a</w:t>
      </w:r>
      <w:r w:rsidRPr="009309A8" w:rsidR="00260A69">
        <w:t>nd 2 Issues</w:t>
      </w:r>
      <w:r w:rsidR="0033403A">
        <w:t xml:space="preserve"> in this proceeding</w:t>
      </w:r>
      <w:r w:rsidR="002A2FCD">
        <w:t xml:space="preserve">. </w:t>
      </w:r>
      <w:r>
        <w:t xml:space="preserve"> </w:t>
      </w:r>
      <w:r w:rsidR="009309A8">
        <w:t>Among other things, D.21</w:t>
      </w:r>
      <w:r w:rsidR="00020BEF">
        <w:noBreakHyphen/>
      </w:r>
      <w:r w:rsidR="009309A8">
        <w:t>11</w:t>
      </w:r>
      <w:r w:rsidR="00020BEF">
        <w:noBreakHyphen/>
      </w:r>
      <w:r w:rsidR="009309A8">
        <w:t xml:space="preserve">009 </w:t>
      </w:r>
      <w:r w:rsidR="00374A57">
        <w:t>clarifie</w:t>
      </w:r>
      <w:r w:rsidR="004A0815">
        <w:t>d</w:t>
      </w:r>
      <w:r w:rsidR="003B696C">
        <w:t xml:space="preserve"> the</w:t>
      </w:r>
      <w:r w:rsidR="00DC18F4">
        <w:t xml:space="preserve"> terms</w:t>
      </w:r>
      <w:r w:rsidR="00FD3144">
        <w:t xml:space="preserve"> </w:t>
      </w:r>
      <w:r w:rsidR="00032118">
        <w:t>“</w:t>
      </w:r>
      <w:r w:rsidR="00144FAF">
        <w:t>M</w:t>
      </w:r>
      <w:r w:rsidR="00032118">
        <w:t>itigations” and “</w:t>
      </w:r>
      <w:r w:rsidR="00144FAF">
        <w:t>C</w:t>
      </w:r>
      <w:r w:rsidR="00032118">
        <w:t>ontrols</w:t>
      </w:r>
      <w:r w:rsidR="00771BCC">
        <w:t>,</w:t>
      </w:r>
      <w:r w:rsidR="00032118">
        <w:t xml:space="preserve">” </w:t>
      </w:r>
      <w:r w:rsidR="00C74A1B">
        <w:t>and adopt</w:t>
      </w:r>
      <w:r w:rsidR="004A0815">
        <w:t>ed</w:t>
      </w:r>
      <w:r w:rsidR="002B6E38">
        <w:t xml:space="preserve"> specific approach to establishing baselines for </w:t>
      </w:r>
      <w:r w:rsidR="00462BEC">
        <w:t>M</w:t>
      </w:r>
      <w:r w:rsidR="002B6E38">
        <w:t xml:space="preserve">itigations and </w:t>
      </w:r>
      <w:r w:rsidR="00462BEC">
        <w:t>C</w:t>
      </w:r>
      <w:r w:rsidR="002B6E38">
        <w:t>ontrols a</w:t>
      </w:r>
      <w:r w:rsidR="00C74A1B">
        <w:t>t the start of a new GRC cycle</w:t>
      </w:r>
      <w:r w:rsidR="003F719E">
        <w:t>,</w:t>
      </w:r>
      <w:r w:rsidR="00D11C87">
        <w:t xml:space="preserve"> </w:t>
      </w:r>
      <w:r w:rsidR="00A05FFB">
        <w:t>determine</w:t>
      </w:r>
      <w:r w:rsidR="004A0815">
        <w:t>d</w:t>
      </w:r>
      <w:r w:rsidR="00910150">
        <w:t xml:space="preserve"> </w:t>
      </w:r>
      <w:r w:rsidR="004C6267">
        <w:t xml:space="preserve">when </w:t>
      </w:r>
      <w:r w:rsidR="00A308BF">
        <w:t>F</w:t>
      </w:r>
      <w:r w:rsidR="004C0350">
        <w:t xml:space="preserve">oundational </w:t>
      </w:r>
      <w:r w:rsidR="00A308BF">
        <w:t>P</w:t>
      </w:r>
      <w:r w:rsidR="004C0350">
        <w:t xml:space="preserve">rograms and/or </w:t>
      </w:r>
      <w:r w:rsidR="00A308BF">
        <w:t>A</w:t>
      </w:r>
      <w:r w:rsidR="004C0350">
        <w:t>ctivities</w:t>
      </w:r>
      <w:r w:rsidR="004C0350">
        <w:rPr>
          <w:rStyle w:val="FootnoteReference"/>
        </w:rPr>
        <w:footnoteReference w:id="8"/>
      </w:r>
      <w:r w:rsidR="00284193">
        <w:t xml:space="preserve"> </w:t>
      </w:r>
      <w:r w:rsidR="00DD62C5">
        <w:t xml:space="preserve">should be included </w:t>
      </w:r>
      <w:r w:rsidR="00284193">
        <w:t>in RSE calculations</w:t>
      </w:r>
      <w:r w:rsidR="003F719E">
        <w:t>,</w:t>
      </w:r>
      <w:r w:rsidR="00A05FFB">
        <w:t xml:space="preserve"> adopt</w:t>
      </w:r>
      <w:r w:rsidR="004A0815">
        <w:t>ed</w:t>
      </w:r>
      <w:r w:rsidR="00A05FFB">
        <w:t xml:space="preserve"> a revised S-MAP lexicon</w:t>
      </w:r>
      <w:r w:rsidR="003F719E">
        <w:t>,</w:t>
      </w:r>
      <w:r w:rsidR="00A05FFB">
        <w:t xml:space="preserve"> </w:t>
      </w:r>
      <w:r w:rsidR="00F22B3B">
        <w:t xml:space="preserve">and </w:t>
      </w:r>
      <w:r w:rsidR="00B440F8">
        <w:t>direct</w:t>
      </w:r>
      <w:r w:rsidR="004A0815">
        <w:t>ed</w:t>
      </w:r>
      <w:r w:rsidR="00B440F8">
        <w:t xml:space="preserve"> the IOUs to</w:t>
      </w:r>
      <w:r w:rsidR="00085D77">
        <w:t xml:space="preserve"> treat Public Safety Power Shutoff (PSPS) events as </w:t>
      </w:r>
      <w:r w:rsidR="00511C71">
        <w:t xml:space="preserve">a </w:t>
      </w:r>
      <w:r w:rsidR="00CD2140">
        <w:t>R</w:t>
      </w:r>
      <w:r w:rsidR="00511C71">
        <w:t xml:space="preserve">isk </w:t>
      </w:r>
      <w:r w:rsidR="00372AD4">
        <w:t xml:space="preserve">to be modeled </w:t>
      </w:r>
      <w:r w:rsidR="00511C71">
        <w:t xml:space="preserve">within the RDF framework, not just as a </w:t>
      </w:r>
      <w:r w:rsidR="00CD2140">
        <w:t>M</w:t>
      </w:r>
      <w:r w:rsidR="00511C71">
        <w:t xml:space="preserve">itigation.  </w:t>
      </w:r>
      <w:r w:rsidRPr="00AC7670" w:rsidR="00AC7670">
        <w:t xml:space="preserve">To assist with developing a Phase II schedule, D.21-11-009 </w:t>
      </w:r>
      <w:r w:rsidR="00AC7670">
        <w:t xml:space="preserve">also </w:t>
      </w:r>
      <w:r w:rsidRPr="00AC7670" w:rsidR="00AC7670">
        <w:t>established a R.20-07-013 Technical Working Group (TWG</w:t>
      </w:r>
      <w:r w:rsidRPr="00AC7670" w:rsidR="42950091">
        <w:t>) and</w:t>
      </w:r>
      <w:r w:rsidRPr="00AC7670" w:rsidR="00AC7670">
        <w:t xml:space="preserve"> directed Safety Policy Division Staff (SPD Staff or Staff) and parties participating in the TWG to collaborate and assemble a draft R.20-07-013 </w:t>
      </w:r>
      <w:r w:rsidR="00AE00A1">
        <w:t xml:space="preserve">Phase II </w:t>
      </w:r>
      <w:r w:rsidRPr="00AC7670" w:rsidR="00AC7670">
        <w:t>Roadmap for consideration.</w:t>
      </w:r>
    </w:p>
    <w:p w:rsidR="007117F5" w:rsidP="002C7BDB" w:rsidRDefault="000026B2" w14:paraId="16B79386" w14:textId="2034F5AC">
      <w:pPr>
        <w:pStyle w:val="Standard"/>
      </w:pPr>
      <w:r>
        <w:t>Phase 1, Track 3 and 4 Issues</w:t>
      </w:r>
      <w:r w:rsidR="00CB3C74">
        <w:t xml:space="preserve"> </w:t>
      </w:r>
      <w:r w:rsidR="000773A9">
        <w:t xml:space="preserve">in this proceeding </w:t>
      </w:r>
      <w:r w:rsidR="00CB3C74">
        <w:t>were considered and addressed</w:t>
      </w:r>
      <w:r w:rsidR="00C1000A">
        <w:t xml:space="preserve"> by the Commission</w:t>
      </w:r>
      <w:r w:rsidR="00CB3C74">
        <w:t xml:space="preserve"> in </w:t>
      </w:r>
      <w:r w:rsidRPr="00273246" w:rsidR="00CB3C74">
        <w:t>D.22</w:t>
      </w:r>
      <w:r w:rsidRPr="00273246" w:rsidR="007B0FDF">
        <w:t>-</w:t>
      </w:r>
      <w:r w:rsidRPr="00273246" w:rsidR="08F0C571">
        <w:t>10-002</w:t>
      </w:r>
      <w:r w:rsidRPr="00273246" w:rsidR="009164E2">
        <w:t>.</w:t>
      </w:r>
      <w:r w:rsidR="009164E2">
        <w:t xml:space="preserve">  Among other things, and </w:t>
      </w:r>
      <w:r w:rsidR="006C4731">
        <w:t xml:space="preserve">as </w:t>
      </w:r>
      <w:r w:rsidR="009164E2">
        <w:t xml:space="preserve">relevant to this decision, </w:t>
      </w:r>
      <w:r w:rsidRPr="00273246" w:rsidR="009164E2">
        <w:t>D.22</w:t>
      </w:r>
      <w:r w:rsidRPr="00273246" w:rsidR="006924CA">
        <w:t>-</w:t>
      </w:r>
      <w:r w:rsidRPr="00273246" w:rsidR="627586F7">
        <w:t>10-002</w:t>
      </w:r>
      <w:r w:rsidR="006924CA">
        <w:t xml:space="preserve"> </w:t>
      </w:r>
      <w:r w:rsidR="0031698E">
        <w:t>further align</w:t>
      </w:r>
      <w:r w:rsidR="004A0815">
        <w:t>ed</w:t>
      </w:r>
      <w:r w:rsidR="0031698E">
        <w:t xml:space="preserve"> the </w:t>
      </w:r>
      <w:r w:rsidR="00913A54">
        <w:t xml:space="preserve">framework </w:t>
      </w:r>
      <w:r w:rsidR="00E25264">
        <w:t xml:space="preserve">for </w:t>
      </w:r>
      <w:r w:rsidR="00913A54">
        <w:t xml:space="preserve">and information </w:t>
      </w:r>
      <w:r w:rsidR="00CE0B33">
        <w:t>presented</w:t>
      </w:r>
      <w:r w:rsidR="002A150C">
        <w:t xml:space="preserve"> across </w:t>
      </w:r>
      <w:r w:rsidR="00CE0B33">
        <w:t>RAMP</w:t>
      </w:r>
      <w:r w:rsidR="00C00CC7">
        <w:t xml:space="preserve">, </w:t>
      </w:r>
      <w:r w:rsidR="00CE0B33">
        <w:t>GRC</w:t>
      </w:r>
      <w:r w:rsidR="00C00CC7">
        <w:t xml:space="preserve">, </w:t>
      </w:r>
      <w:r w:rsidR="00733A03">
        <w:t xml:space="preserve">and </w:t>
      </w:r>
      <w:r w:rsidR="00D32C89">
        <w:t>Risk Spending Accountability Report</w:t>
      </w:r>
      <w:r w:rsidR="00C00CC7">
        <w:t xml:space="preserve"> filings</w:t>
      </w:r>
      <w:r w:rsidR="00CE0B33">
        <w:t xml:space="preserve">, including </w:t>
      </w:r>
      <w:r w:rsidR="00D271C6">
        <w:t xml:space="preserve">the requirement that </w:t>
      </w:r>
      <w:r w:rsidR="00357DA2">
        <w:t xml:space="preserve">the </w:t>
      </w:r>
      <w:r w:rsidR="00D271C6">
        <w:t xml:space="preserve">IOUs </w:t>
      </w:r>
      <w:r w:rsidR="00F606D9">
        <w:t xml:space="preserve">consistently </w:t>
      </w:r>
      <w:r w:rsidR="00C806D3">
        <w:t>map</w:t>
      </w:r>
      <w:r w:rsidR="00357DA2">
        <w:t xml:space="preserve"> </w:t>
      </w:r>
      <w:r w:rsidR="00CD452C">
        <w:t xml:space="preserve">and identify </w:t>
      </w:r>
      <w:r w:rsidR="00FA464B">
        <w:t>mitigation costs</w:t>
      </w:r>
      <w:r w:rsidR="004D41C9">
        <w:t>, variances,</w:t>
      </w:r>
      <w:r w:rsidR="00FA464B">
        <w:t xml:space="preserve"> and party comments</w:t>
      </w:r>
      <w:r w:rsidR="00CD452C">
        <w:t xml:space="preserve"> between </w:t>
      </w:r>
      <w:r w:rsidR="00247684">
        <w:t xml:space="preserve">the various </w:t>
      </w:r>
      <w:r w:rsidR="00CD452C">
        <w:t>filings</w:t>
      </w:r>
      <w:r w:rsidR="00FA464B">
        <w:t>.</w:t>
      </w:r>
      <w:r w:rsidR="00DE209A">
        <w:rPr>
          <w:rStyle w:val="FootnoteReference"/>
        </w:rPr>
        <w:footnoteReference w:id="9"/>
      </w:r>
      <w:r w:rsidR="00FA464B">
        <w:t xml:space="preserve"> </w:t>
      </w:r>
      <w:r w:rsidR="00C806D3">
        <w:t xml:space="preserve"> </w:t>
      </w:r>
      <w:r w:rsidR="009A0B63">
        <w:t xml:space="preserve"> </w:t>
      </w:r>
      <w:r w:rsidR="00D511EE">
        <w:t xml:space="preserve"> </w:t>
      </w:r>
      <w:r w:rsidR="002A150C">
        <w:t xml:space="preserve"> </w:t>
      </w:r>
    </w:p>
    <w:p w:rsidR="00300EDD" w:rsidP="00EF1DA9" w:rsidRDefault="004168C5" w14:paraId="063FFA30" w14:textId="1B81626B">
      <w:pPr>
        <w:pStyle w:val="Standard"/>
      </w:pPr>
      <w:r>
        <w:t xml:space="preserve">On February 16, 2022, </w:t>
      </w:r>
      <w:r w:rsidR="009B5636">
        <w:t>the</w:t>
      </w:r>
      <w:r w:rsidR="00C504B5">
        <w:t xml:space="preserve"> </w:t>
      </w:r>
      <w:r w:rsidR="00201934">
        <w:t>a</w:t>
      </w:r>
      <w:r w:rsidR="001436F5">
        <w:t xml:space="preserve">ssigned </w:t>
      </w:r>
      <w:r w:rsidR="00C504B5">
        <w:t>Commissioner</w:t>
      </w:r>
      <w:r w:rsidR="009B5636">
        <w:t xml:space="preserve"> issued a</w:t>
      </w:r>
      <w:r w:rsidR="00C504B5">
        <w:t xml:space="preserve"> ruling</w:t>
      </w:r>
      <w:r>
        <w:t xml:space="preserve"> providing </w:t>
      </w:r>
      <w:r w:rsidR="00956F28">
        <w:t>Staff’s</w:t>
      </w:r>
      <w:r>
        <w:t xml:space="preserve"> </w:t>
      </w:r>
      <w:r w:rsidR="00896FAD">
        <w:t xml:space="preserve">proposed </w:t>
      </w:r>
      <w:r>
        <w:t>Phase II Roadmap</w:t>
      </w:r>
      <w:r w:rsidR="00956F28">
        <w:t xml:space="preserve"> for comment</w:t>
      </w:r>
      <w:r>
        <w:t xml:space="preserve">. </w:t>
      </w:r>
      <w:r w:rsidR="002E74F6">
        <w:t xml:space="preserve"> </w:t>
      </w:r>
      <w:r w:rsidR="00896FAD">
        <w:t>P</w:t>
      </w:r>
      <w:r w:rsidR="00CC2366">
        <w:t>arty comments</w:t>
      </w:r>
      <w:r>
        <w:t xml:space="preserve"> on the </w:t>
      </w:r>
      <w:r w:rsidR="00DB2185">
        <w:t>Phase II</w:t>
      </w:r>
      <w:r>
        <w:t xml:space="preserve"> Roadmap </w:t>
      </w:r>
      <w:r w:rsidR="00CC2366">
        <w:t xml:space="preserve">were </w:t>
      </w:r>
      <w:r w:rsidR="00111751">
        <w:t>filed</w:t>
      </w:r>
      <w:r w:rsidR="00CC2366">
        <w:t xml:space="preserve"> on</w:t>
      </w:r>
      <w:r>
        <w:t xml:space="preserve"> March 8, 2022</w:t>
      </w:r>
      <w:r w:rsidR="00175F35">
        <w:t>,</w:t>
      </w:r>
      <w:r>
        <w:t xml:space="preserve"> and March 14, 2022.</w:t>
      </w:r>
    </w:p>
    <w:p w:rsidR="00B92A01" w:rsidP="00D90DB0" w:rsidRDefault="00303935" w14:paraId="09E07801" w14:textId="2904958A">
      <w:pPr>
        <w:pStyle w:val="Standard"/>
      </w:pPr>
      <w:r>
        <w:t xml:space="preserve">As part of the </w:t>
      </w:r>
      <w:r w:rsidR="00A4300E">
        <w:t>Phase II Roadmap</w:t>
      </w:r>
      <w:r>
        <w:t xml:space="preserve">, Staff indicated they had engaged </w:t>
      </w:r>
      <w:r w:rsidR="00261646">
        <w:t xml:space="preserve">with </w:t>
      </w:r>
      <w:r w:rsidR="0026426E">
        <w:t>a consulting firm, Level 4</w:t>
      </w:r>
      <w:r w:rsidR="00AA7B50">
        <w:t xml:space="preserve"> </w:t>
      </w:r>
      <w:r w:rsidRPr="00AA7B50" w:rsidR="00AA7B50">
        <w:t>Ventures Inc.</w:t>
      </w:r>
      <w:r w:rsidR="00AA7B50">
        <w:t xml:space="preserve"> (Level 4), to </w:t>
      </w:r>
      <w:r w:rsidR="00FB2B85">
        <w:t xml:space="preserve">prepare an IOU Baseline Assessment Report (Baseline Report) </w:t>
      </w:r>
      <w:r w:rsidR="0098179B">
        <w:t>t</w:t>
      </w:r>
      <w:r w:rsidR="00046456">
        <w:t>hat would</w:t>
      </w:r>
      <w:r w:rsidR="00FB2B85">
        <w:t xml:space="preserve"> summarize the </w:t>
      </w:r>
      <w:r w:rsidR="00791371">
        <w:t xml:space="preserve">risk </w:t>
      </w:r>
      <w:r w:rsidR="00FB2B85">
        <w:t xml:space="preserve">management approach of each of the large IOUs, evaluate and compare their approaches, and make initial recommendations to address </w:t>
      </w:r>
      <w:r w:rsidR="005F5168">
        <w:t xml:space="preserve">R.20-07-013 </w:t>
      </w:r>
      <w:r w:rsidR="00FB2B85">
        <w:t>Phase II priorities</w:t>
      </w:r>
      <w:r w:rsidR="00B84D89">
        <w:t>.</w:t>
      </w:r>
      <w:r w:rsidRPr="00B92A01" w:rsidR="00B92A01">
        <w:t xml:space="preserve">  </w:t>
      </w:r>
      <w:r w:rsidR="00B92A01">
        <w:t xml:space="preserve">On March 3, 2022, Staff convened a workshop as part of TWG activities to discuss the draft Level 4 Baseline Report.  On March 17, 2022, parties </w:t>
      </w:r>
      <w:r w:rsidR="004A0815">
        <w:t>submitted</w:t>
      </w:r>
      <w:r w:rsidR="00B92A01">
        <w:t xml:space="preserve"> informal comments on the draft Baseline Report to Staff.</w:t>
      </w:r>
    </w:p>
    <w:p w:rsidR="00C15648" w:rsidP="00D90DB0" w:rsidRDefault="001C1C6B" w14:paraId="768FB7AC" w14:textId="2FE9A00F">
      <w:pPr>
        <w:pStyle w:val="Standard"/>
      </w:pPr>
      <w:r>
        <w:t xml:space="preserve">On </w:t>
      </w:r>
      <w:r w:rsidR="00F67B40">
        <w:t xml:space="preserve">April 13, 2022, the </w:t>
      </w:r>
      <w:r w:rsidR="00201934">
        <w:t>a</w:t>
      </w:r>
      <w:r w:rsidR="00F67B40">
        <w:t xml:space="preserve">ssigned Commissioner issued a </w:t>
      </w:r>
      <w:r w:rsidRPr="00457F36" w:rsidR="00F67B40">
        <w:rPr>
          <w:i/>
          <w:iCs/>
        </w:rPr>
        <w:t xml:space="preserve">Phase II Scoping Memo and Ruling </w:t>
      </w:r>
      <w:r w:rsidRPr="00457F36" w:rsidR="00787277">
        <w:rPr>
          <w:i/>
          <w:iCs/>
        </w:rPr>
        <w:t>Extending the Statutory Deadline</w:t>
      </w:r>
      <w:r w:rsidR="00787277">
        <w:t xml:space="preserve"> </w:t>
      </w:r>
      <w:r w:rsidR="00F67B40">
        <w:t xml:space="preserve">(Phase </w:t>
      </w:r>
      <w:r w:rsidR="00787277">
        <w:t>II</w:t>
      </w:r>
      <w:r w:rsidR="00F67B40">
        <w:t xml:space="preserve"> Scoping Memo)</w:t>
      </w:r>
      <w:r w:rsidR="007413DE">
        <w:t>.  The Phase II Scoping Memo</w:t>
      </w:r>
      <w:r w:rsidR="009659E5">
        <w:t xml:space="preserve"> set forth the </w:t>
      </w:r>
      <w:r w:rsidR="006700EF">
        <w:t>scope</w:t>
      </w:r>
      <w:r w:rsidR="002B0569">
        <w:t xml:space="preserve">, </w:t>
      </w:r>
      <w:r w:rsidR="009659E5">
        <w:t xml:space="preserve">issues, schedule, and other matters necessary </w:t>
      </w:r>
      <w:r w:rsidR="000A727A">
        <w:t xml:space="preserve">for the fair and timely resolution </w:t>
      </w:r>
      <w:r w:rsidR="004D7131">
        <w:t>of</w:t>
      </w:r>
      <w:r w:rsidR="006700EF">
        <w:t xml:space="preserve"> Phase II of this proceeding.  </w:t>
      </w:r>
      <w:r w:rsidRPr="000774F7" w:rsidR="00A82D7C">
        <w:t xml:space="preserve">A </w:t>
      </w:r>
      <w:r w:rsidR="000774F7">
        <w:t xml:space="preserve">central activity </w:t>
      </w:r>
      <w:r w:rsidR="007409AC">
        <w:t>in</w:t>
      </w:r>
      <w:r w:rsidR="00E17223">
        <w:t xml:space="preserve"> Phase II of the </w:t>
      </w:r>
      <w:r w:rsidR="000774F7">
        <w:t xml:space="preserve">proceeding </w:t>
      </w:r>
      <w:r w:rsidR="00E76E3E">
        <w:t>ha</w:t>
      </w:r>
      <w:r w:rsidR="000774F7">
        <w:t xml:space="preserve">s </w:t>
      </w:r>
      <w:r w:rsidR="00E76E3E">
        <w:t xml:space="preserve">been </w:t>
      </w:r>
      <w:r w:rsidR="000774F7">
        <w:t xml:space="preserve">the development of </w:t>
      </w:r>
      <w:r w:rsidR="001E00A9">
        <w:t xml:space="preserve">a Phase II </w:t>
      </w:r>
      <w:r w:rsidR="00F366BF">
        <w:t>Staff Proposal by SPD Staff</w:t>
      </w:r>
      <w:r w:rsidR="006C7012">
        <w:t xml:space="preserve"> that considers </w:t>
      </w:r>
      <w:r w:rsidR="00A925E6">
        <w:t xml:space="preserve">additional revisions and refinements to the RDF methodology </w:t>
      </w:r>
      <w:r w:rsidR="0032418F">
        <w:t>adopted in the SA Decision</w:t>
      </w:r>
      <w:r w:rsidR="00E76E3E">
        <w:t>.  This i</w:t>
      </w:r>
      <w:r w:rsidR="00C30817">
        <w:t>nclud</w:t>
      </w:r>
      <w:r w:rsidR="00E76E3E">
        <w:t>es</w:t>
      </w:r>
      <w:r w:rsidR="00C30817">
        <w:t xml:space="preserve"> </w:t>
      </w:r>
      <w:r w:rsidR="00A81617">
        <w:t>revisions</w:t>
      </w:r>
      <w:r w:rsidR="00C30817">
        <w:t xml:space="preserve"> to the </w:t>
      </w:r>
      <w:r w:rsidR="00D01B2A">
        <w:t>valuation of risks</w:t>
      </w:r>
      <w:r w:rsidR="00BB2B99">
        <w:t xml:space="preserve">, </w:t>
      </w:r>
      <w:r w:rsidR="004E04C9">
        <w:t>as well as considerations</w:t>
      </w:r>
      <w:r w:rsidR="00B85B77">
        <w:t xml:space="preserve"> for </w:t>
      </w:r>
      <w:r w:rsidR="00E248C0">
        <w:t xml:space="preserve">comparability of </w:t>
      </w:r>
      <w:r w:rsidR="00C4170D">
        <w:t>R</w:t>
      </w:r>
      <w:r w:rsidR="00B6444B">
        <w:t xml:space="preserve">isk </w:t>
      </w:r>
      <w:r w:rsidR="00C4170D">
        <w:t>S</w:t>
      </w:r>
      <w:r w:rsidR="00DE6940">
        <w:t xml:space="preserve">cores and </w:t>
      </w:r>
      <w:r w:rsidR="007046C7">
        <w:t>cost-effectiveness</w:t>
      </w:r>
      <w:r w:rsidR="00DE6940">
        <w:t xml:space="preserve"> values</w:t>
      </w:r>
      <w:r w:rsidR="00B6444B">
        <w:t xml:space="preserve"> across IOUs</w:t>
      </w:r>
      <w:r w:rsidR="00E76E3E">
        <w:t>,</w:t>
      </w:r>
      <w:r w:rsidR="0063470D">
        <w:t xml:space="preserve"> </w:t>
      </w:r>
      <w:r w:rsidR="00E3104A">
        <w:t>i</w:t>
      </w:r>
      <w:r w:rsidR="00EE5AD3">
        <w:t xml:space="preserve">mpacts on </w:t>
      </w:r>
      <w:r w:rsidR="00FA0932">
        <w:t>Environmental and Social Justice (ESJ) communities</w:t>
      </w:r>
      <w:r w:rsidR="00E76E3E">
        <w:t>,</w:t>
      </w:r>
      <w:r w:rsidR="0066681C">
        <w:t xml:space="preserve"> and </w:t>
      </w:r>
      <w:r w:rsidR="00EC07DD">
        <w:t xml:space="preserve">incorporation of climate change related risks in the </w:t>
      </w:r>
      <w:r w:rsidR="00362399">
        <w:t>RDF</w:t>
      </w:r>
      <w:r w:rsidDel="006C7012" w:rsidR="00F366BF">
        <w:t>.</w:t>
      </w:r>
    </w:p>
    <w:p w:rsidR="005E454D" w:rsidP="00D90DB0" w:rsidRDefault="002B1A42" w14:paraId="4845D2A2" w14:textId="13C63714">
      <w:pPr>
        <w:pStyle w:val="Standard"/>
      </w:pPr>
      <w:r>
        <w:t xml:space="preserve">Following </w:t>
      </w:r>
      <w:r w:rsidR="00836E2F">
        <w:t xml:space="preserve">the Phase II Scoping Memo </w:t>
      </w:r>
      <w:r w:rsidR="00F7096A">
        <w:t xml:space="preserve">and in preparation for the development of a </w:t>
      </w:r>
      <w:r w:rsidR="00EF1DA9">
        <w:t xml:space="preserve">Phase II </w:t>
      </w:r>
      <w:r w:rsidR="00F7096A">
        <w:t>Staff Proposal,</w:t>
      </w:r>
      <w:r w:rsidR="00482EAC">
        <w:t xml:space="preserve"> </w:t>
      </w:r>
      <w:r w:rsidR="00B7596A">
        <w:t>SPD Staff</w:t>
      </w:r>
      <w:r w:rsidR="000B7C04">
        <w:t xml:space="preserve"> provided </w:t>
      </w:r>
      <w:r w:rsidR="008C2584">
        <w:t>several</w:t>
      </w:r>
      <w:r w:rsidR="000B7C04">
        <w:t xml:space="preserve"> opportunities</w:t>
      </w:r>
      <w:r w:rsidR="00BD6884">
        <w:t xml:space="preserve"> for parties to</w:t>
      </w:r>
      <w:r w:rsidR="00A4003B">
        <w:t xml:space="preserve"> discuss</w:t>
      </w:r>
      <w:r w:rsidR="00747BCE">
        <w:t xml:space="preserve"> and provide informal comments on</w:t>
      </w:r>
      <w:r w:rsidR="004C1820">
        <w:t xml:space="preserve"> </w:t>
      </w:r>
      <w:r w:rsidR="00747BCE">
        <w:t>initial recommendations provided by Level 4 and SPD Staff</w:t>
      </w:r>
      <w:r w:rsidR="004C1820">
        <w:t xml:space="preserve"> regarding </w:t>
      </w:r>
      <w:r w:rsidR="00D457B3">
        <w:t>the</w:t>
      </w:r>
      <w:r w:rsidR="009F566E">
        <w:t xml:space="preserve"> Phase II issues</w:t>
      </w:r>
      <w:r w:rsidR="00943E7D">
        <w:t xml:space="preserve">.  These </w:t>
      </w:r>
      <w:r w:rsidR="00AC74DF">
        <w:t>address</w:t>
      </w:r>
      <w:r w:rsidR="00943E7D">
        <w:t>ed</w:t>
      </w:r>
      <w:r w:rsidR="00AC74DF">
        <w:t xml:space="preserve"> </w:t>
      </w:r>
      <w:r w:rsidR="00DA59BD">
        <w:t>revisions and refinements to the RDF methodology</w:t>
      </w:r>
      <w:r w:rsidR="005E395D">
        <w:t xml:space="preserve">, </w:t>
      </w:r>
      <w:r w:rsidR="000F0C77">
        <w:t xml:space="preserve">particularly the </w:t>
      </w:r>
      <w:r w:rsidR="00AE630D">
        <w:t xml:space="preserve">dollar valuation of </w:t>
      </w:r>
      <w:r w:rsidR="000125E7">
        <w:t xml:space="preserve">risk </w:t>
      </w:r>
      <w:r w:rsidR="002B36DD">
        <w:t>Attributes</w:t>
      </w:r>
      <w:r w:rsidR="000F0C77">
        <w:t>,</w:t>
      </w:r>
      <w:r w:rsidR="0098629A">
        <w:t xml:space="preserve"> and </w:t>
      </w:r>
      <w:r w:rsidR="00C052B8">
        <w:t xml:space="preserve">incorporation of </w:t>
      </w:r>
      <w:r w:rsidR="00E07AF1">
        <w:t xml:space="preserve">impacts on </w:t>
      </w:r>
      <w:r w:rsidR="00C052B8">
        <w:t xml:space="preserve">ESJ </w:t>
      </w:r>
      <w:r w:rsidR="00E07AF1">
        <w:t>communities</w:t>
      </w:r>
      <w:r w:rsidR="00925ABC">
        <w:t>, including</w:t>
      </w:r>
      <w:r w:rsidR="003E5478">
        <w:t xml:space="preserve"> the following activities</w:t>
      </w:r>
      <w:r w:rsidR="00747BCE">
        <w:t xml:space="preserve">: </w:t>
      </w:r>
    </w:p>
    <w:p w:rsidR="00B500B3" w:rsidP="00864718" w:rsidRDefault="00B500B3" w14:paraId="19A28698" w14:textId="6068F357">
      <w:pPr>
        <w:pStyle w:val="ListBullet"/>
        <w:ind w:left="1080" w:right="1440"/>
      </w:pPr>
      <w:r>
        <w:t xml:space="preserve">April 20, 2022: </w:t>
      </w:r>
      <w:r w:rsidR="007C0A13">
        <w:t xml:space="preserve"> </w:t>
      </w:r>
      <w:r>
        <w:t>Level 4 recommendations presented to TWG for input and discussion</w:t>
      </w:r>
      <w:r w:rsidR="00FA4914">
        <w:t>.</w:t>
      </w:r>
    </w:p>
    <w:p w:rsidR="00B500B3" w:rsidP="00864718" w:rsidRDefault="00B500B3" w14:paraId="357CE7D1" w14:textId="4A82F55B">
      <w:pPr>
        <w:pStyle w:val="ListBullet"/>
        <w:tabs>
          <w:tab w:val="clear" w:pos="360"/>
        </w:tabs>
        <w:ind w:left="1080" w:right="1440"/>
      </w:pPr>
      <w:r>
        <w:t xml:space="preserve">May 20, 2022: </w:t>
      </w:r>
      <w:r w:rsidR="007C0A13">
        <w:t xml:space="preserve"> </w:t>
      </w:r>
      <w:r>
        <w:t>SPD Staff hosted TWG session #2 to discuss Level 4’s recommendation regarding the</w:t>
      </w:r>
      <w:r w:rsidR="00AC6B43">
        <w:t xml:space="preserve"> MAVF </w:t>
      </w:r>
      <w:r>
        <w:t xml:space="preserve">included in the RDF: </w:t>
      </w:r>
      <w:r w:rsidR="007C0A13">
        <w:t xml:space="preserve"> </w:t>
      </w:r>
      <w:r>
        <w:t xml:space="preserve">“With input from the parties involved, the [Commission] should adopt a standard set of parameters/formulas to monetize risk </w:t>
      </w:r>
      <w:r w:rsidR="0034495B">
        <w:t>C</w:t>
      </w:r>
      <w:r>
        <w:t>onsequences, using standard values from other government agencies or industry sources where possible</w:t>
      </w:r>
      <w:r w:rsidR="00175F35">
        <w:t>.</w:t>
      </w:r>
      <w:r>
        <w:t>”</w:t>
      </w:r>
    </w:p>
    <w:p w:rsidR="00B500B3" w:rsidP="00864718" w:rsidRDefault="00B500B3" w14:paraId="383F87C0" w14:textId="1D0B7EA6">
      <w:pPr>
        <w:pStyle w:val="ListBullet"/>
        <w:tabs>
          <w:tab w:val="clear" w:pos="360"/>
        </w:tabs>
        <w:ind w:left="1080" w:right="1440"/>
      </w:pPr>
      <w:r>
        <w:t xml:space="preserve">June 2, 2022: </w:t>
      </w:r>
      <w:r w:rsidR="007C0A13">
        <w:t xml:space="preserve"> </w:t>
      </w:r>
      <w:r>
        <w:t xml:space="preserve">SPD Staff hosted TWG session #3 to discuss Level 4’s “MAVF 3” recommendation: “With input from the parties involved, the </w:t>
      </w:r>
      <w:r w:rsidR="00EB057E">
        <w:t>[Commission]</w:t>
      </w:r>
      <w:r>
        <w:t xml:space="preserve"> should adopt standard metrics for electric and gas reliability, possibly adjusted for regional characteristics, and all IOUs should then use those metrics when estimating MAVF scores</w:t>
      </w:r>
      <w:r w:rsidR="00175F35">
        <w:t>.</w:t>
      </w:r>
      <w:r>
        <w:t>”</w:t>
      </w:r>
    </w:p>
    <w:p w:rsidR="00B500B3" w:rsidP="00864718" w:rsidRDefault="00B500B3" w14:paraId="505740BC" w14:textId="5B27575D">
      <w:pPr>
        <w:pStyle w:val="ListBullet"/>
        <w:tabs>
          <w:tab w:val="clear" w:pos="360"/>
        </w:tabs>
        <w:ind w:left="1080" w:right="1440"/>
      </w:pPr>
      <w:r>
        <w:t xml:space="preserve">June 16, 2022: </w:t>
      </w:r>
      <w:r w:rsidR="007C0A13">
        <w:t xml:space="preserve"> </w:t>
      </w:r>
      <w:r>
        <w:t xml:space="preserve">SPD Staff hosted TWG session #4 to discuss Level 4’s “Risk Modeling 3” recommendation: </w:t>
      </w:r>
      <w:r w:rsidR="007C0A13">
        <w:t xml:space="preserve"> </w:t>
      </w:r>
      <w:r>
        <w:t xml:space="preserve">“With input from the parties involved, the </w:t>
      </w:r>
      <w:r w:rsidR="00EB057E">
        <w:t>[Commission]</w:t>
      </w:r>
      <w:r>
        <w:t xml:space="preserve"> should adopt a standard readability factor to be used for RSE calculations</w:t>
      </w:r>
      <w:r w:rsidR="007C7E2A">
        <w:t>.</w:t>
      </w:r>
      <w:r>
        <w:t>”</w:t>
      </w:r>
    </w:p>
    <w:p w:rsidR="002B1A42" w:rsidP="00864718" w:rsidRDefault="00B500B3" w14:paraId="0BB9C570" w14:textId="0F4F8320">
      <w:pPr>
        <w:pStyle w:val="ListBullet"/>
        <w:tabs>
          <w:tab w:val="clear" w:pos="360"/>
        </w:tabs>
        <w:ind w:left="1080" w:right="1440"/>
      </w:pPr>
      <w:r>
        <w:t xml:space="preserve">June 29, 2022: </w:t>
      </w:r>
      <w:r w:rsidR="007C0A13">
        <w:t xml:space="preserve"> </w:t>
      </w:r>
      <w:r>
        <w:t>SPD Staff hosted a second workshop to present the Staff Recommendations and solicit oral and informal written comments.</w:t>
      </w:r>
    </w:p>
    <w:p w:rsidR="006303E1" w:rsidP="00DD7D62" w:rsidRDefault="00667AC7" w14:paraId="5A55DB71" w14:textId="77777777">
      <w:pPr>
        <w:pStyle w:val="Standard"/>
      </w:pPr>
      <w:r>
        <w:t xml:space="preserve">On </w:t>
      </w:r>
      <w:r w:rsidR="004F058E">
        <w:t xml:space="preserve">August 8, 2022, the assigned </w:t>
      </w:r>
      <w:r w:rsidR="00040D48">
        <w:t xml:space="preserve">Administrative Law Judges (ALJs) issued a ruling </w:t>
      </w:r>
      <w:r w:rsidR="009B4E7C">
        <w:t xml:space="preserve">entering </w:t>
      </w:r>
      <w:r w:rsidR="005617C4">
        <w:t>the</w:t>
      </w:r>
      <w:r w:rsidR="005603A2">
        <w:t xml:space="preserve"> </w:t>
      </w:r>
      <w:r w:rsidR="009122C7">
        <w:rPr>
          <w:i/>
          <w:iCs/>
        </w:rPr>
        <w:t>Administrative Law Judge</w:t>
      </w:r>
      <w:r w:rsidR="007A0A4A">
        <w:rPr>
          <w:i/>
          <w:iCs/>
        </w:rPr>
        <w:t>s’ Ruling Providing Phase II Staff P</w:t>
      </w:r>
      <w:r w:rsidR="00AA2196">
        <w:rPr>
          <w:i/>
          <w:iCs/>
        </w:rPr>
        <w:t>roposal for Comment</w:t>
      </w:r>
      <w:r w:rsidR="005427A2">
        <w:t xml:space="preserve"> (Staff Proposal)</w:t>
      </w:r>
      <w:r w:rsidR="005617C4">
        <w:t xml:space="preserve"> into the </w:t>
      </w:r>
      <w:r w:rsidR="00007816">
        <w:t>record and</w:t>
      </w:r>
      <w:r w:rsidR="005427A2">
        <w:t xml:space="preserve"> inviting parties to </w:t>
      </w:r>
      <w:r w:rsidR="004F3ECD">
        <w:t xml:space="preserve">submit </w:t>
      </w:r>
      <w:r w:rsidR="00FF305C">
        <w:t>written comments.</w:t>
      </w:r>
      <w:r w:rsidR="00EE4C22">
        <w:rPr>
          <w:rStyle w:val="FootnoteReference"/>
        </w:rPr>
        <w:footnoteReference w:id="10"/>
      </w:r>
      <w:r w:rsidR="00FF305C">
        <w:t xml:space="preserve"> </w:t>
      </w:r>
      <w:r w:rsidR="00310922">
        <w:t xml:space="preserve"> </w:t>
      </w:r>
      <w:r w:rsidR="00070C9C">
        <w:t xml:space="preserve">In addition to the Staff Proposal, </w:t>
      </w:r>
      <w:r w:rsidR="00E07A66">
        <w:t xml:space="preserve">the ALJ ruling </w:t>
      </w:r>
      <w:r w:rsidR="00600E66">
        <w:t xml:space="preserve">in Attachment B </w:t>
      </w:r>
      <w:r w:rsidR="00E07A66">
        <w:t xml:space="preserve">provided </w:t>
      </w:r>
      <w:r w:rsidR="00070C9C">
        <w:t>Staff</w:t>
      </w:r>
      <w:r w:rsidR="00E07A66">
        <w:t>’s</w:t>
      </w:r>
      <w:r w:rsidR="00070C9C">
        <w:t xml:space="preserve"> </w:t>
      </w:r>
      <w:r w:rsidR="00873B56">
        <w:t xml:space="preserve">proposed redlines to the Settlement Agreement adopted in </w:t>
      </w:r>
      <w:r w:rsidR="00B57225">
        <w:t xml:space="preserve">the SA Decision </w:t>
      </w:r>
      <w:r w:rsidR="00F33E12">
        <w:t>corresponding to</w:t>
      </w:r>
      <w:r w:rsidR="00200EED">
        <w:t xml:space="preserve"> the </w:t>
      </w:r>
      <w:r w:rsidR="001015EB">
        <w:t>recommendations</w:t>
      </w:r>
      <w:r w:rsidR="00200EED">
        <w:t xml:space="preserve"> in the Staff Proposal</w:t>
      </w:r>
      <w:r w:rsidR="001015EB">
        <w:t xml:space="preserve">.  </w:t>
      </w:r>
    </w:p>
    <w:p w:rsidRPr="00B979B8" w:rsidR="00AA49AF" w:rsidP="00DD7D62" w:rsidRDefault="00C42000" w14:paraId="176202A9" w14:textId="669CD653">
      <w:pPr>
        <w:pStyle w:val="Standard"/>
      </w:pPr>
      <w:r>
        <w:t xml:space="preserve">On August 29, 2022, </w:t>
      </w:r>
      <w:r w:rsidR="005617C4">
        <w:t>comments</w:t>
      </w:r>
      <w:r>
        <w:t xml:space="preserve"> on the Staff Proposal</w:t>
      </w:r>
      <w:r w:rsidR="005617C4">
        <w:t xml:space="preserve"> were filed by</w:t>
      </w:r>
      <w:r w:rsidR="00DD7D62">
        <w:t xml:space="preserve"> </w:t>
      </w:r>
      <w:r w:rsidRPr="0085461D" w:rsidR="0085461D">
        <w:t>Mussey Grade Road Alliance</w:t>
      </w:r>
      <w:r w:rsidR="0085461D">
        <w:t xml:space="preserve"> (</w:t>
      </w:r>
      <w:r w:rsidR="00B5094F">
        <w:t>MGRA</w:t>
      </w:r>
      <w:r w:rsidR="0085461D">
        <w:t>)</w:t>
      </w:r>
      <w:r w:rsidR="00B5094F">
        <w:t xml:space="preserve">, </w:t>
      </w:r>
      <w:r w:rsidR="0085461D">
        <w:t>The Utility Reform Network (</w:t>
      </w:r>
      <w:r w:rsidR="00B5094F">
        <w:t>TURN</w:t>
      </w:r>
      <w:r w:rsidR="0085461D">
        <w:t>)</w:t>
      </w:r>
      <w:r w:rsidR="00B5094F">
        <w:t xml:space="preserve">, </w:t>
      </w:r>
      <w:r w:rsidR="0099712A">
        <w:t>the</w:t>
      </w:r>
      <w:r w:rsidR="00B5094F">
        <w:t xml:space="preserve"> </w:t>
      </w:r>
      <w:r w:rsidRPr="0099712A" w:rsidR="0099712A">
        <w:t xml:space="preserve">Public Advocates Office </w:t>
      </w:r>
      <w:r w:rsidR="0099712A">
        <w:t>(</w:t>
      </w:r>
      <w:r w:rsidR="00BC26A1">
        <w:t>Cal Advocates</w:t>
      </w:r>
      <w:r w:rsidR="0099712A">
        <w:t>)</w:t>
      </w:r>
      <w:r w:rsidR="00BC26A1">
        <w:t>,</w:t>
      </w:r>
      <w:r w:rsidR="007676E3">
        <w:t xml:space="preserve"> Protect Our Communities Foundation (</w:t>
      </w:r>
      <w:r w:rsidR="00E25D6F">
        <w:t>PCF</w:t>
      </w:r>
      <w:r w:rsidR="007676E3">
        <w:t>)</w:t>
      </w:r>
      <w:r w:rsidR="00E25D6F">
        <w:t xml:space="preserve">, </w:t>
      </w:r>
      <w:r w:rsidR="0085461D">
        <w:t xml:space="preserve">SCE, PG&amp;E </w:t>
      </w:r>
      <w:r w:rsidR="00E25D6F">
        <w:t xml:space="preserve">and </w:t>
      </w:r>
      <w:r w:rsidR="00040029">
        <w:t xml:space="preserve">the </w:t>
      </w:r>
      <w:r w:rsidR="00C741DE">
        <w:t xml:space="preserve">Sempra </w:t>
      </w:r>
      <w:r w:rsidR="006303E1">
        <w:t>Companies</w:t>
      </w:r>
      <w:r w:rsidR="00BC26A1">
        <w:t>.</w:t>
      </w:r>
      <w:r w:rsidR="00DD7D62">
        <w:t xml:space="preserve">  On September 6, 2022, reply comments were filed by </w:t>
      </w:r>
      <w:bookmarkEnd w:id="10"/>
      <w:r w:rsidR="006F25E2">
        <w:t xml:space="preserve">MGRA, PG&amp;E, SCE, PCF, and </w:t>
      </w:r>
      <w:r w:rsidR="00C741DE">
        <w:t>the Sempra Companies.</w:t>
      </w:r>
    </w:p>
    <w:p w:rsidRPr="00121089" w:rsidR="00B979B8" w:rsidP="00B979B8" w:rsidRDefault="00B979B8" w14:paraId="01747894" w14:textId="06D287E4">
      <w:pPr>
        <w:pStyle w:val="Heading1"/>
        <w:numPr>
          <w:ilvl w:val="0"/>
          <w:numId w:val="1"/>
        </w:numPr>
      </w:pPr>
      <w:bookmarkStart w:name="_Toc121821029" w:id="11"/>
      <w:r>
        <w:t>Jurisdiction</w:t>
      </w:r>
      <w:bookmarkEnd w:id="11"/>
    </w:p>
    <w:p w:rsidR="00A16512" w:rsidP="00A16512" w:rsidRDefault="00A16512" w14:paraId="4B7E6D02" w14:textId="025B5771">
      <w:pPr>
        <w:pStyle w:val="Standard"/>
      </w:pPr>
      <w:r w:rsidRPr="008249FD">
        <w:t xml:space="preserve">Pub. Util. Code </w:t>
      </w:r>
      <w:r w:rsidRPr="00FB60C2">
        <w:rPr>
          <w:rFonts w:eastAsia="Book Antiqua" w:cs="Book Antiqua"/>
        </w:rPr>
        <w:t>§§ 451 and 454 require electric and gas utilities to</w:t>
      </w:r>
      <w:r>
        <w:t xml:space="preserve"> </w:t>
      </w:r>
      <w:r w:rsidR="00642ED5">
        <w:t>“</w:t>
      </w:r>
      <w:r>
        <w:t xml:space="preserve">promote the safety, health, comfort, and convenience of </w:t>
      </w:r>
      <w:r w:rsidR="00B9366F">
        <w:t>their</w:t>
      </w:r>
      <w:r>
        <w:t xml:space="preserve"> patrons, employees, and the public</w:t>
      </w:r>
      <w:r w:rsidR="00336EDA">
        <w:t>,</w:t>
      </w:r>
      <w:r w:rsidR="00642ED5">
        <w:t>”</w:t>
      </w:r>
      <w:r>
        <w:t xml:space="preserve"> while </w:t>
      </w:r>
      <w:r w:rsidR="00300031">
        <w:t xml:space="preserve">offering </w:t>
      </w:r>
      <w:r>
        <w:t>“just and reasonable</w:t>
      </w:r>
      <w:r w:rsidR="00A61B45">
        <w:t>”</w:t>
      </w:r>
      <w:r>
        <w:t xml:space="preserve"> rates. </w:t>
      </w:r>
    </w:p>
    <w:p w:rsidR="008249FD" w:rsidP="0019074E" w:rsidRDefault="00336EDA" w14:paraId="732CFFB0" w14:textId="0FB9C4C7">
      <w:pPr>
        <w:pStyle w:val="Standard"/>
      </w:pPr>
      <w:r>
        <w:t>Pub. Util. Code</w:t>
      </w:r>
      <w:r w:rsidRPr="00F23C05" w:rsidR="00F23C05">
        <w:t xml:space="preserve"> </w:t>
      </w:r>
      <w:r w:rsidRPr="0019074E" w:rsidR="0019074E">
        <w:rPr>
          <w:rFonts w:eastAsiaTheme="minorEastAsia"/>
        </w:rPr>
        <w:t>§</w:t>
      </w:r>
      <w:r w:rsidR="0019074E">
        <w:rPr>
          <w:rFonts w:eastAsiaTheme="minorEastAsia"/>
        </w:rPr>
        <w:t xml:space="preserve"> </w:t>
      </w:r>
      <w:r w:rsidR="007B7A3A">
        <w:t xml:space="preserve">963(b)(3) states </w:t>
      </w:r>
      <w:r w:rsidR="00D94C66">
        <w:t>“</w:t>
      </w:r>
      <w:r w:rsidR="007B7A3A">
        <w:t xml:space="preserve">it is the policy of the </w:t>
      </w:r>
      <w:r w:rsidR="005D344E">
        <w:t>state</w:t>
      </w:r>
      <w:r w:rsidR="007B7A3A">
        <w:t xml:space="preserve"> that the Commission and each gas corporation place safety of public and gas corporation employees as the top priority</w:t>
      </w:r>
      <w:r w:rsidR="005D60CE">
        <w:t>,</w:t>
      </w:r>
      <w:r w:rsidR="00D94C66">
        <w:t>”</w:t>
      </w:r>
      <w:r w:rsidR="007B7A3A">
        <w:t xml:space="preserve"> and that </w:t>
      </w:r>
      <w:r w:rsidR="00DC56F2">
        <w:t>“</w:t>
      </w:r>
      <w:r w:rsidR="007B7A3A">
        <w:t>the Commission shall take all reasonable and appropriate actions necessary to carry out a safety priority policy consistent with the principle of just and reasonable cost-based rates.</w:t>
      </w:r>
      <w:r w:rsidR="00DC56F2">
        <w:t>”</w:t>
      </w:r>
      <w:r w:rsidR="007B7A3A">
        <w:t xml:space="preserve"> </w:t>
      </w:r>
      <w:r w:rsidR="007C0A13">
        <w:t xml:space="preserve"> </w:t>
      </w:r>
      <w:r w:rsidRPr="00021540" w:rsidR="00021540">
        <w:t>Pub. Util.</w:t>
      </w:r>
      <w:r w:rsidR="002E74F6">
        <w:t xml:space="preserve"> </w:t>
      </w:r>
      <w:r w:rsidRPr="00021540" w:rsidR="00021540">
        <w:t>Code</w:t>
      </w:r>
      <w:r w:rsidR="00021540">
        <w:t xml:space="preserve"> </w:t>
      </w:r>
      <w:r w:rsidRPr="0019074E" w:rsidR="00021540">
        <w:rPr>
          <w:rFonts w:eastAsiaTheme="minorEastAsia"/>
        </w:rPr>
        <w:t>§</w:t>
      </w:r>
      <w:r w:rsidR="00021540">
        <w:rPr>
          <w:rFonts w:eastAsiaTheme="minorEastAsia"/>
        </w:rPr>
        <w:t xml:space="preserve"> </w:t>
      </w:r>
      <w:r w:rsidR="007B7A3A">
        <w:t xml:space="preserve">961(b)(1) requires gas corporations to develop plans for the safe and reliable operation of facilities that implement </w:t>
      </w:r>
      <w:r w:rsidRPr="005E2480" w:rsidR="005E2480">
        <w:t>§</w:t>
      </w:r>
      <w:r w:rsidR="007B7A3A">
        <w:t xml:space="preserve"> 963(b)(3) requirements. </w:t>
      </w:r>
    </w:p>
    <w:p w:rsidR="0042317B" w:rsidP="0019074E" w:rsidRDefault="008249FD" w14:paraId="4C3CE270" w14:textId="6346FDEA">
      <w:pPr>
        <w:pStyle w:val="Standard"/>
      </w:pPr>
      <w:r w:rsidRPr="008249FD">
        <w:t xml:space="preserve">Pub. Util. Code </w:t>
      </w:r>
      <w:r w:rsidRPr="0019074E">
        <w:rPr>
          <w:rFonts w:eastAsiaTheme="minorEastAsia"/>
        </w:rPr>
        <w:t>§</w:t>
      </w:r>
      <w:r w:rsidR="007B7A3A">
        <w:t xml:space="preserve"> 750 requires the Commission to develop formal procedures to consider safety in a rate case application by an electrical corporation or gas corporation. </w:t>
      </w:r>
      <w:r w:rsidR="005F0591">
        <w:t xml:space="preserve"> </w:t>
      </w:r>
      <w:r w:rsidRPr="008249FD" w:rsidR="005F0591">
        <w:t>Pub. Util.</w:t>
      </w:r>
      <w:r w:rsidR="002E74F6">
        <w:t xml:space="preserve"> </w:t>
      </w:r>
      <w:r w:rsidRPr="008249FD" w:rsidR="005F0591">
        <w:t xml:space="preserve">Code </w:t>
      </w:r>
      <w:r w:rsidRPr="0019074E" w:rsidR="005F0591">
        <w:rPr>
          <w:rFonts w:eastAsiaTheme="minorEastAsia"/>
        </w:rPr>
        <w:t>§</w:t>
      </w:r>
      <w:r w:rsidR="005F0591">
        <w:t xml:space="preserve"> </w:t>
      </w:r>
      <w:r w:rsidR="007B7A3A">
        <w:t>321.1(</w:t>
      </w:r>
      <w:r w:rsidR="003C0365">
        <w:t>b</w:t>
      </w:r>
      <w:r w:rsidR="007B7A3A">
        <w:t xml:space="preserve">) requires the Commission to </w:t>
      </w:r>
      <w:r w:rsidR="003C0365">
        <w:t>“</w:t>
      </w:r>
      <w:r w:rsidRPr="003C0365" w:rsidR="003C0365">
        <w:t>take all necessary and appropriate actions to assess the economic effects of its decisions and to assess and mitigate the impacts of its decisions on customer, public, and employee safety</w:t>
      </w:r>
      <w:r w:rsidR="003C0365">
        <w:t>.”</w:t>
      </w:r>
    </w:p>
    <w:p w:rsidR="005939A5" w:rsidP="00B979B8" w:rsidRDefault="00720563" w14:paraId="53D0D7A9" w14:textId="48D2C6D8">
      <w:pPr>
        <w:pStyle w:val="Heading1"/>
        <w:numPr>
          <w:ilvl w:val="0"/>
          <w:numId w:val="1"/>
        </w:numPr>
      </w:pPr>
      <w:bookmarkStart w:name="_Toc8123720" w:id="12"/>
      <w:bookmarkStart w:name="_Toc121821030" w:id="13"/>
      <w:r>
        <w:t xml:space="preserve">Issues Before </w:t>
      </w:r>
      <w:r w:rsidR="00AD5A08">
        <w:t>t</w:t>
      </w:r>
      <w:r>
        <w:t>he Commission</w:t>
      </w:r>
      <w:bookmarkEnd w:id="12"/>
      <w:bookmarkEnd w:id="13"/>
    </w:p>
    <w:p w:rsidR="00B10899" w:rsidP="00B10899" w:rsidRDefault="00B10899" w14:paraId="6689D027" w14:textId="5B0EB6AE">
      <w:r>
        <w:t xml:space="preserve">This decision </w:t>
      </w:r>
      <w:r w:rsidRPr="00D7363A">
        <w:t>addresses</w:t>
      </w:r>
      <w:r>
        <w:t xml:space="preserve"> the following issues identified in the Phase</w:t>
      </w:r>
      <w:r w:rsidR="00201934">
        <w:t> </w:t>
      </w:r>
      <w:r>
        <w:t>II</w:t>
      </w:r>
      <w:r w:rsidR="00201934">
        <w:t> </w:t>
      </w:r>
      <w:r>
        <w:t xml:space="preserve">Scoping Memo:  </w:t>
      </w:r>
    </w:p>
    <w:p w:rsidR="00B10899" w:rsidP="00864718" w:rsidRDefault="00B10899" w14:paraId="500364EC" w14:textId="785448C2">
      <w:pPr>
        <w:pStyle w:val="ListBullet"/>
        <w:ind w:left="1080" w:right="1440"/>
      </w:pPr>
      <w:r w:rsidRPr="008A3454">
        <w:t xml:space="preserve">Should the Commission consider revising or refining the RDF methodology for valuing services, </w:t>
      </w:r>
      <w:r w:rsidR="0063601B">
        <w:t>M</w:t>
      </w:r>
      <w:r w:rsidRPr="008A3454">
        <w:t xml:space="preserve">itigations and/or impacts (such as those related to reliability or safety)? </w:t>
      </w:r>
      <w:r w:rsidR="00201934">
        <w:t xml:space="preserve"> </w:t>
      </w:r>
      <w:r w:rsidRPr="008A3454">
        <w:t xml:space="preserve">If so, should the Commission consider: </w:t>
      </w:r>
      <w:r w:rsidR="007C0A13">
        <w:t xml:space="preserve"> </w:t>
      </w:r>
      <w:r w:rsidRPr="008A3454">
        <w:t>(a)</w:t>
      </w:r>
      <w:r w:rsidR="007C0A13">
        <w:t> </w:t>
      </w:r>
      <w:r w:rsidRPr="008A3454">
        <w:t xml:space="preserve">defining and requiring the use of a consistent </w:t>
      </w:r>
      <w:r w:rsidR="00EF31FC">
        <w:t xml:space="preserve">value of </w:t>
      </w:r>
      <w:r w:rsidR="00075172">
        <w:t xml:space="preserve">a </w:t>
      </w:r>
      <w:r w:rsidR="00EF31FC">
        <w:t>statistical life</w:t>
      </w:r>
      <w:r w:rsidRPr="008A3454">
        <w:t xml:space="preserve"> </w:t>
      </w:r>
      <w:r w:rsidR="00EF31FC">
        <w:t>(</w:t>
      </w:r>
      <w:r w:rsidRPr="008A3454">
        <w:t>VSL); (b)</w:t>
      </w:r>
      <w:r w:rsidR="007C0A13">
        <w:t> </w:t>
      </w:r>
      <w:r w:rsidRPr="008A3454">
        <w:t xml:space="preserve">whether the dollar value of </w:t>
      </w:r>
      <w:r w:rsidR="00447DC8">
        <w:t>Attribute</w:t>
      </w:r>
      <w:r w:rsidRPr="008A3454">
        <w:t>s should be explicitly addressed; and (c)</w:t>
      </w:r>
      <w:r w:rsidR="007C0A13">
        <w:t> </w:t>
      </w:r>
      <w:r w:rsidRPr="008A3454">
        <w:t xml:space="preserve">the valuation of the costs and impacts of PSPS events as both </w:t>
      </w:r>
      <w:r w:rsidR="00CF7BF6">
        <w:t>R</w:t>
      </w:r>
      <w:r w:rsidRPr="008A3454">
        <w:t xml:space="preserve">isks and </w:t>
      </w:r>
      <w:r w:rsidR="00CF7BF6">
        <w:t>R</w:t>
      </w:r>
      <w:r w:rsidRPr="008A3454">
        <w:t xml:space="preserve">isk </w:t>
      </w:r>
      <w:r w:rsidR="00CF7BF6">
        <w:t>M</w:t>
      </w:r>
      <w:r w:rsidRPr="008A3454">
        <w:t>itigations?</w:t>
      </w:r>
    </w:p>
    <w:p w:rsidR="00E76740" w:rsidP="00864718" w:rsidRDefault="00E76740" w14:paraId="7F4DD12B" w14:textId="54782D91">
      <w:pPr>
        <w:pStyle w:val="ListBullet"/>
        <w:ind w:left="1080" w:right="1440"/>
      </w:pPr>
      <w:r>
        <w:t xml:space="preserve">Should the Commission consider refining or revising the methodology adopted in </w:t>
      </w:r>
      <w:r w:rsidR="00206A48">
        <w:t>the SA Decision</w:t>
      </w:r>
      <w:r>
        <w:t xml:space="preserve"> regarding weighting of </w:t>
      </w:r>
      <w:r w:rsidR="00CF7BF6">
        <w:t>R</w:t>
      </w:r>
      <w:r>
        <w:t xml:space="preserve">isk categories and/or the replacement of weights and ranges with direct trade-off values of services and impacts? </w:t>
      </w:r>
    </w:p>
    <w:p w:rsidR="0011394B" w:rsidP="00864718" w:rsidRDefault="0011394B" w14:paraId="3C27F834" w14:textId="7B091C06">
      <w:pPr>
        <w:pStyle w:val="ListBullet"/>
        <w:ind w:left="1080" w:right="1440"/>
      </w:pPr>
      <w:r>
        <w:t xml:space="preserve">Should the Commission consider revising the RDF adopted in </w:t>
      </w:r>
      <w:r w:rsidR="00096C09">
        <w:t>the SA Decision</w:t>
      </w:r>
      <w:r>
        <w:t xml:space="preserve">? </w:t>
      </w:r>
      <w:r w:rsidR="007C0A13">
        <w:t xml:space="preserve"> </w:t>
      </w:r>
      <w:r>
        <w:t xml:space="preserve">What principles or factors should guide consideration of revisions, refinements, or clarifications? </w:t>
      </w:r>
    </w:p>
    <w:p w:rsidR="00BE2460" w:rsidP="00864718" w:rsidRDefault="00BE2460" w14:paraId="72B358CD" w14:textId="27851BE6">
      <w:pPr>
        <w:pStyle w:val="ListBullet"/>
        <w:ind w:left="1080" w:right="1440"/>
      </w:pPr>
      <w:r>
        <w:t xml:space="preserve">Should the Commission consider refining or revising the </w:t>
      </w:r>
      <w:r w:rsidRPr="001B4F5B">
        <w:t xml:space="preserve">requirements for the </w:t>
      </w:r>
      <w:r w:rsidRPr="004932C5">
        <w:t xml:space="preserve">MAVF contained in the RDF? </w:t>
      </w:r>
      <w:r w:rsidR="007C0A13">
        <w:t xml:space="preserve"> </w:t>
      </w:r>
      <w:r w:rsidRPr="004932C5">
        <w:t xml:space="preserve">If so, should this include identifying best practices, minimum requirements </w:t>
      </w:r>
      <w:r w:rsidRPr="00075D5F">
        <w:t xml:space="preserve">(including, potentially, the development of a single risk-attitude function or scaling function), guiding principles, and/or aspirational characteristics for RAMP filings? </w:t>
      </w:r>
    </w:p>
    <w:p w:rsidR="00B10899" w:rsidP="00864718" w:rsidRDefault="00B10899" w14:paraId="2D439C22" w14:textId="56847988">
      <w:pPr>
        <w:pStyle w:val="ListBullet"/>
        <w:ind w:left="1080" w:right="1440"/>
      </w:pPr>
      <w:r>
        <w:t>Should the Commission consider impacts on ESJ communities, including the extent to which action in this proceeding impacts achievement of any of the nine goals of the Commission's ESJ Action Plan?</w:t>
      </w:r>
      <w:r w:rsidRPr="007C0A13" w:rsidR="007E07D4">
        <w:rPr>
          <w:rStyle w:val="FootnoteReference"/>
          <w:sz w:val="20"/>
          <w:szCs w:val="20"/>
        </w:rPr>
        <w:footnoteReference w:id="11"/>
      </w:r>
      <w:r w:rsidRPr="007C0A13">
        <w:rPr>
          <w:sz w:val="20"/>
          <w:szCs w:val="20"/>
          <w:vertAlign w:val="superscript"/>
        </w:rPr>
        <w:t xml:space="preserve"> </w:t>
      </w:r>
    </w:p>
    <w:p w:rsidRPr="00850361" w:rsidR="00850361" w:rsidP="00020BEF" w:rsidRDefault="00680CA2" w14:paraId="484C78DB" w14:textId="378E719D">
      <w:pPr>
        <w:pStyle w:val="Standard"/>
      </w:pPr>
      <w:r>
        <w:t xml:space="preserve">This decision </w:t>
      </w:r>
      <w:r w:rsidR="0039662C">
        <w:t>address</w:t>
      </w:r>
      <w:r w:rsidR="00DD5D0F">
        <w:t>es</w:t>
      </w:r>
      <w:r>
        <w:t xml:space="preserve"> </w:t>
      </w:r>
      <w:r w:rsidR="00F82B4D">
        <w:t xml:space="preserve">the </w:t>
      </w:r>
      <w:r w:rsidR="00A91C41">
        <w:t>recommenda</w:t>
      </w:r>
      <w:r>
        <w:t>tions made in the Staff Proposal</w:t>
      </w:r>
      <w:r w:rsidR="00764EDA">
        <w:t xml:space="preserve"> regarding</w:t>
      </w:r>
      <w:r w:rsidR="00454B85">
        <w:t>:</w:t>
      </w:r>
      <w:r w:rsidR="00764EDA">
        <w:t xml:space="preserve"> the transition from the MAVF to </w:t>
      </w:r>
      <w:r w:rsidR="00C81E45">
        <w:t>the</w:t>
      </w:r>
      <w:r w:rsidR="00764EDA">
        <w:t xml:space="preserve"> Cost-Benefit Approach, </w:t>
      </w:r>
      <w:r w:rsidR="005D717F">
        <w:t xml:space="preserve">obviating the need to assign Attribute weights and ranges in calculating </w:t>
      </w:r>
      <w:r w:rsidR="00E9558F">
        <w:t>R</w:t>
      </w:r>
      <w:r w:rsidR="005D717F">
        <w:t xml:space="preserve">isk </w:t>
      </w:r>
      <w:r w:rsidR="00E9558F">
        <w:t>S</w:t>
      </w:r>
      <w:r w:rsidR="005D717F">
        <w:t>cores</w:t>
      </w:r>
      <w:r w:rsidR="00454B85">
        <w:t>;</w:t>
      </w:r>
      <w:r w:rsidR="005D717F">
        <w:t xml:space="preserve"> </w:t>
      </w:r>
      <w:r w:rsidR="00177CB4">
        <w:t>the dollar valuation of Safety and Reliability Attributes</w:t>
      </w:r>
      <w:r w:rsidR="00454B85">
        <w:t>;</w:t>
      </w:r>
      <w:r w:rsidR="009126AE">
        <w:t xml:space="preserve"> </w:t>
      </w:r>
      <w:r w:rsidR="00FB2CA5">
        <w:t xml:space="preserve">the </w:t>
      </w:r>
      <w:r w:rsidR="009126AE">
        <w:t xml:space="preserve">incorporation </w:t>
      </w:r>
      <w:r w:rsidR="00FB2CA5">
        <w:t xml:space="preserve">of </w:t>
      </w:r>
      <w:r w:rsidR="0094650C">
        <w:t>ESJ</w:t>
      </w:r>
      <w:r w:rsidR="004019E2">
        <w:t xml:space="preserve"> considerations</w:t>
      </w:r>
      <w:r w:rsidR="00FB2CA5">
        <w:t xml:space="preserve"> into</w:t>
      </w:r>
      <w:r w:rsidR="001239EC">
        <w:t xml:space="preserve"> the RDF</w:t>
      </w:r>
      <w:r w:rsidR="00454B85">
        <w:t>;</w:t>
      </w:r>
      <w:r w:rsidR="001239EC">
        <w:t xml:space="preserve"> and</w:t>
      </w:r>
      <w:r w:rsidR="00C81E45">
        <w:t>,</w:t>
      </w:r>
      <w:r w:rsidR="001239EC">
        <w:t xml:space="preserve"> modifications to the Settlement Agreement.</w:t>
      </w:r>
      <w:r w:rsidR="00941F03">
        <w:t xml:space="preserve"> </w:t>
      </w:r>
    </w:p>
    <w:p w:rsidR="00A103D7" w:rsidP="00900CAA" w:rsidRDefault="005030F3" w14:paraId="22DB89AD" w14:textId="0417F372">
      <w:pPr>
        <w:pStyle w:val="Heading1"/>
        <w:numPr>
          <w:ilvl w:val="0"/>
          <w:numId w:val="1"/>
        </w:numPr>
      </w:pPr>
      <w:bookmarkStart w:name="_Toc121821031" w:id="14"/>
      <w:r>
        <w:t>Refining the RDF Adopted in</w:t>
      </w:r>
      <w:r w:rsidR="007C0A13">
        <w:br/>
      </w:r>
      <w:r w:rsidR="009F611E">
        <w:t>the SA Decision</w:t>
      </w:r>
      <w:bookmarkEnd w:id="14"/>
      <w:r w:rsidR="009F611E">
        <w:t xml:space="preserve"> </w:t>
      </w:r>
    </w:p>
    <w:p w:rsidR="002D007A" w:rsidP="00020BEF" w:rsidRDefault="002D007A" w14:paraId="1E9BAF12" w14:textId="679F7657">
      <w:pPr>
        <w:pStyle w:val="Standard"/>
      </w:pPr>
      <w:r>
        <w:t xml:space="preserve">The Commission established the S-MAP and RAMP procedures to incorporate </w:t>
      </w:r>
      <w:r w:rsidRPr="004A4205">
        <w:t xml:space="preserve">additional </w:t>
      </w:r>
      <w:r w:rsidRPr="00900CAA">
        <w:t>transparency</w:t>
      </w:r>
      <w:r w:rsidRPr="00301687">
        <w:t xml:space="preserve"> and </w:t>
      </w:r>
      <w:r w:rsidRPr="00900CAA">
        <w:t>participation</w:t>
      </w:r>
      <w:r w:rsidRPr="00301687">
        <w:t xml:space="preserve"> </w:t>
      </w:r>
      <w:r w:rsidR="000C7A19">
        <w:t xml:space="preserve">opportunities </w:t>
      </w:r>
      <w:r w:rsidR="00CE19E7">
        <w:t>into</w:t>
      </w:r>
      <w:r w:rsidRPr="00301687">
        <w:t xml:space="preserve"> how safety </w:t>
      </w:r>
      <w:r w:rsidR="0036390A">
        <w:t>r</w:t>
      </w:r>
      <w:r w:rsidRPr="002E0112">
        <w:t>isks</w:t>
      </w:r>
      <w:r w:rsidRPr="00301687">
        <w:t xml:space="preserve"> for energy utilities ar</w:t>
      </w:r>
      <w:r w:rsidRPr="003A0C8D">
        <w:t xml:space="preserve">e prioritized by the Commission and the energy utilities and </w:t>
      </w:r>
      <w:r>
        <w:t xml:space="preserve">to </w:t>
      </w:r>
      <w:r w:rsidRPr="003A0C8D">
        <w:t xml:space="preserve">provide </w:t>
      </w:r>
      <w:r w:rsidRPr="00900CAA">
        <w:t>accountability</w:t>
      </w:r>
      <w:r w:rsidRPr="00301687">
        <w:t xml:space="preserve"> </w:t>
      </w:r>
      <w:r w:rsidRPr="003A0C8D">
        <w:t xml:space="preserve">for how these safety </w:t>
      </w:r>
      <w:r w:rsidR="0036390A">
        <w:t>r</w:t>
      </w:r>
      <w:r w:rsidRPr="003A0C8D">
        <w:t>isks are managed, mitigated and minimized</w:t>
      </w:r>
      <w:r>
        <w:t>.</w:t>
      </w:r>
      <w:r>
        <w:rPr>
          <w:rStyle w:val="FootnoteReference"/>
        </w:rPr>
        <w:footnoteReference w:id="12"/>
      </w:r>
      <w:r w:rsidDel="00C420E2">
        <w:t xml:space="preserve">  </w:t>
      </w:r>
      <w:r>
        <w:t>Through a series of decisions,</w:t>
      </w:r>
      <w:r>
        <w:rPr>
          <w:rStyle w:val="FootnoteReference"/>
        </w:rPr>
        <w:footnoteReference w:id="13"/>
      </w:r>
      <w:r>
        <w:t xml:space="preserve"> the Commission refined and improved upon the processes, information, terminology, evaluation approaches, and methodologies required to be included in the S-MAP and RAMP filings.  </w:t>
      </w:r>
    </w:p>
    <w:p w:rsidR="00CE19E7" w:rsidP="007A0EBC" w:rsidRDefault="006A03C2" w14:paraId="2147F808" w14:textId="6B849699">
      <w:r>
        <w:t>This decision</w:t>
      </w:r>
      <w:r w:rsidR="00794F35">
        <w:t xml:space="preserve"> </w:t>
      </w:r>
      <w:r w:rsidR="00F82B4D">
        <w:t>m</w:t>
      </w:r>
      <w:r w:rsidR="009C4E21">
        <w:t>ake</w:t>
      </w:r>
      <w:r w:rsidR="00FA5977">
        <w:t>s</w:t>
      </w:r>
      <w:r w:rsidR="009C4E21">
        <w:t xml:space="preserve"> </w:t>
      </w:r>
      <w:r w:rsidR="009A7B24">
        <w:t xml:space="preserve">additional </w:t>
      </w:r>
      <w:r w:rsidR="003A6A70">
        <w:t>refine</w:t>
      </w:r>
      <w:r w:rsidR="00F82B4D">
        <w:t>ments to</w:t>
      </w:r>
      <w:r w:rsidR="003A6A70">
        <w:t xml:space="preserve"> </w:t>
      </w:r>
      <w:r w:rsidR="00E369C8">
        <w:t>the</w:t>
      </w:r>
      <w:r w:rsidR="000D7756">
        <w:t xml:space="preserve"> </w:t>
      </w:r>
      <w:r w:rsidR="00C0356C">
        <w:t>RDF</w:t>
      </w:r>
      <w:r w:rsidR="005A1D5C">
        <w:t xml:space="preserve"> </w:t>
      </w:r>
      <w:r w:rsidR="00BA6240">
        <w:t>to</w:t>
      </w:r>
      <w:r w:rsidR="006B15D0">
        <w:t xml:space="preserve"> </w:t>
      </w:r>
      <w:r w:rsidR="00F82B4D">
        <w:t xml:space="preserve">further </w:t>
      </w:r>
      <w:r w:rsidR="00FF6CC7">
        <w:t>increas</w:t>
      </w:r>
      <w:r w:rsidR="00F82B4D">
        <w:t>e</w:t>
      </w:r>
      <w:r w:rsidR="00D2052F">
        <w:t xml:space="preserve"> transparency, participation, and accountability</w:t>
      </w:r>
      <w:r w:rsidR="00B74E65">
        <w:t xml:space="preserve">.  </w:t>
      </w:r>
      <w:r w:rsidRPr="00075D5F" w:rsidR="00D2052F">
        <w:t>S</w:t>
      </w:r>
      <w:r w:rsidRPr="00075D5F" w:rsidR="003345ED">
        <w:t>pecifically,</w:t>
      </w:r>
      <w:r w:rsidRPr="00075D5F" w:rsidR="00D2052F">
        <w:t xml:space="preserve"> </w:t>
      </w:r>
      <w:r w:rsidR="00B10A39">
        <w:t>this decision</w:t>
      </w:r>
      <w:r w:rsidR="002A3A58">
        <w:t xml:space="preserve">: </w:t>
      </w:r>
    </w:p>
    <w:p w:rsidR="00CE19E7" w:rsidP="00864718" w:rsidRDefault="007B4532" w14:paraId="286AFD30" w14:textId="6BC2817F">
      <w:pPr>
        <w:pStyle w:val="ListAlpha"/>
        <w:numPr>
          <w:ilvl w:val="0"/>
          <w:numId w:val="13"/>
        </w:numPr>
        <w:ind w:left="1170" w:right="1440" w:hanging="450"/>
      </w:pPr>
      <w:r>
        <w:t>r</w:t>
      </w:r>
      <w:r w:rsidR="006C50F9">
        <w:t xml:space="preserve">eplaces </w:t>
      </w:r>
      <w:r w:rsidR="00986028">
        <w:t>the</w:t>
      </w:r>
      <w:r w:rsidR="008464BD">
        <w:t xml:space="preserve"> MAVF </w:t>
      </w:r>
      <w:r w:rsidR="00C17815">
        <w:t>framework</w:t>
      </w:r>
      <w:r w:rsidR="00107867">
        <w:t xml:space="preserve"> --</w:t>
      </w:r>
      <w:r w:rsidR="00DF5D42">
        <w:t xml:space="preserve"> currently used in the RDF to translate</w:t>
      </w:r>
      <w:r w:rsidR="00514324">
        <w:t xml:space="preserve"> </w:t>
      </w:r>
      <w:r w:rsidRPr="00514324" w:rsidR="00514324">
        <w:t xml:space="preserve">different </w:t>
      </w:r>
      <w:r w:rsidR="00604D12">
        <w:t>r</w:t>
      </w:r>
      <w:r w:rsidRPr="00514324" w:rsidR="00514324">
        <w:t xml:space="preserve">isk </w:t>
      </w:r>
      <w:r w:rsidR="00866679">
        <w:t>C</w:t>
      </w:r>
      <w:r w:rsidRPr="00514324" w:rsidR="00514324">
        <w:t xml:space="preserve">onsequences into unitless </w:t>
      </w:r>
      <w:r w:rsidRPr="00514324" w:rsidR="00DB03D7">
        <w:t>Risk Scores</w:t>
      </w:r>
      <w:r w:rsidR="00DF5D42">
        <w:t xml:space="preserve"> that can be compared and ranked</w:t>
      </w:r>
      <w:r w:rsidR="00107867">
        <w:t xml:space="preserve"> --</w:t>
      </w:r>
      <w:r w:rsidR="00DF5D42">
        <w:t xml:space="preserve"> </w:t>
      </w:r>
      <w:r w:rsidR="003D037F">
        <w:t>with</w:t>
      </w:r>
      <w:r w:rsidR="00DF5D42">
        <w:t xml:space="preserve"> </w:t>
      </w:r>
      <w:r w:rsidR="00C81E45">
        <w:t>the Cost-Benefit Approach, which</w:t>
      </w:r>
      <w:r w:rsidR="00A37E81">
        <w:t xml:space="preserve"> </w:t>
      </w:r>
      <w:r w:rsidR="00DE6B9A">
        <w:t>expresses</w:t>
      </w:r>
      <w:r w:rsidR="002F3EE5">
        <w:t xml:space="preserve"> </w:t>
      </w:r>
      <w:r w:rsidR="00604D12">
        <w:t>r</w:t>
      </w:r>
      <w:r w:rsidR="002F3EE5">
        <w:t>isk</w:t>
      </w:r>
      <w:r w:rsidR="00F850AE">
        <w:t xml:space="preserve"> </w:t>
      </w:r>
      <w:r w:rsidR="00866679">
        <w:t>C</w:t>
      </w:r>
      <w:r w:rsidR="003E192C">
        <w:t>onsequences in</w:t>
      </w:r>
      <w:r w:rsidR="00C66C0E">
        <w:t xml:space="preserve"> dollar values</w:t>
      </w:r>
      <w:r w:rsidR="008B3606">
        <w:t xml:space="preserve"> and provides an indication of the cost</w:t>
      </w:r>
      <w:r w:rsidR="007C0A13">
        <w:noBreakHyphen/>
      </w:r>
      <w:r w:rsidR="008B3606">
        <w:t>effectiveness of proposed mitigations;</w:t>
      </w:r>
      <w:r w:rsidR="00C66C0E">
        <w:t xml:space="preserve"> </w:t>
      </w:r>
    </w:p>
    <w:p w:rsidR="00CE19E7" w:rsidP="00864718" w:rsidRDefault="007B4532" w14:paraId="1CD52007" w14:textId="1FEEDF59">
      <w:pPr>
        <w:pStyle w:val="ListAlpha"/>
        <w:numPr>
          <w:ilvl w:val="0"/>
          <w:numId w:val="13"/>
        </w:numPr>
        <w:ind w:left="1170" w:right="1440" w:hanging="450"/>
      </w:pPr>
      <w:r>
        <w:t>a</w:t>
      </w:r>
      <w:r w:rsidR="00223574">
        <w:t>pproves</w:t>
      </w:r>
      <w:r w:rsidRPr="002A3A58" w:rsidR="002A3A58">
        <w:t xml:space="preserve"> the use of specific methodologies </w:t>
      </w:r>
      <w:r w:rsidR="00DB296B">
        <w:t xml:space="preserve">and </w:t>
      </w:r>
      <w:r w:rsidR="008D75C2">
        <w:t>sources of information</w:t>
      </w:r>
      <w:r w:rsidRPr="002A3A58" w:rsidR="002A3A58">
        <w:t xml:space="preserve"> to determine a standard dollar value of each </w:t>
      </w:r>
      <w:r w:rsidR="00604D12">
        <w:t>r</w:t>
      </w:r>
      <w:r w:rsidR="00A405D5">
        <w:t>isk</w:t>
      </w:r>
      <w:r w:rsidRPr="002A3A58" w:rsidR="002A3A58">
        <w:t xml:space="preserve"> </w:t>
      </w:r>
      <w:r w:rsidR="00447DC8">
        <w:t>Attribute</w:t>
      </w:r>
      <w:r w:rsidR="00A405D5">
        <w:t>; and</w:t>
      </w:r>
      <w:r w:rsidR="00C81E45">
        <w:t>,</w:t>
      </w:r>
      <w:r w:rsidR="00A405D5">
        <w:t xml:space="preserve"> </w:t>
      </w:r>
    </w:p>
    <w:p w:rsidR="00CE19E7" w:rsidP="00864718" w:rsidRDefault="007B4532" w14:paraId="4FAB8D7A" w14:textId="29FB16B3">
      <w:pPr>
        <w:pStyle w:val="ListAlpha"/>
        <w:numPr>
          <w:ilvl w:val="0"/>
          <w:numId w:val="13"/>
        </w:numPr>
        <w:ind w:left="1170" w:right="1440" w:hanging="450"/>
      </w:pPr>
      <w:r>
        <w:t>r</w:t>
      </w:r>
      <w:r w:rsidR="00C61FBA">
        <w:t>equires PG&amp;E</w:t>
      </w:r>
      <w:r w:rsidR="00FB638C">
        <w:t>, SCE,</w:t>
      </w:r>
      <w:r w:rsidR="00C61FBA">
        <w:t xml:space="preserve"> and </w:t>
      </w:r>
      <w:r w:rsidR="00C91AC6">
        <w:t>the Sempra Companies</w:t>
      </w:r>
      <w:r w:rsidR="00C61FBA">
        <w:t xml:space="preserve"> to </w:t>
      </w:r>
      <w:r w:rsidR="00C81E45">
        <w:t xml:space="preserve">each </w:t>
      </w:r>
      <w:r w:rsidR="00C61FBA">
        <w:t xml:space="preserve">conduct an </w:t>
      </w:r>
      <w:r w:rsidR="006C549C">
        <w:t xml:space="preserve">ESJ </w:t>
      </w:r>
      <w:r w:rsidR="00C61FBA">
        <w:t>Pilot Study</w:t>
      </w:r>
      <w:r w:rsidR="00C81E45">
        <w:t xml:space="preserve">, the results of which will </w:t>
      </w:r>
      <w:r w:rsidR="005723C7">
        <w:t xml:space="preserve">be filed </w:t>
      </w:r>
      <w:r w:rsidR="00C61FBA">
        <w:t xml:space="preserve">with </w:t>
      </w:r>
      <w:r w:rsidR="00C81E45">
        <w:t xml:space="preserve">each utility’s </w:t>
      </w:r>
      <w:r w:rsidR="00C61FBA">
        <w:t xml:space="preserve">next </w:t>
      </w:r>
      <w:r w:rsidR="005723C7">
        <w:t>RAMP</w:t>
      </w:r>
      <w:r w:rsidR="00C61FBA">
        <w:t xml:space="preserve"> </w:t>
      </w:r>
      <w:r w:rsidR="00415C0E">
        <w:t>application</w:t>
      </w:r>
      <w:r w:rsidR="005723C7">
        <w:t xml:space="preserve">.  </w:t>
      </w:r>
    </w:p>
    <w:p w:rsidR="000B769E" w:rsidP="007A0EBC" w:rsidRDefault="005723C7" w14:paraId="5244F481" w14:textId="7D8E1AEA">
      <w:r>
        <w:t xml:space="preserve">Each of these </w:t>
      </w:r>
      <w:r w:rsidR="00C6724A">
        <w:t xml:space="preserve">actions are described in greater </w:t>
      </w:r>
      <w:r w:rsidR="0065317B">
        <w:t>detail</w:t>
      </w:r>
      <w:r w:rsidR="00C6724A">
        <w:t xml:space="preserve"> below.  </w:t>
      </w:r>
    </w:p>
    <w:p w:rsidR="0087537A" w:rsidP="0087537A" w:rsidRDefault="008B5A1B" w14:paraId="75A2D4DE" w14:textId="2BCCD6F3">
      <w:pPr>
        <w:pStyle w:val="Heading2"/>
        <w:numPr>
          <w:ilvl w:val="1"/>
          <w:numId w:val="1"/>
        </w:numPr>
      </w:pPr>
      <w:bookmarkStart w:name="_Toc121821032" w:id="15"/>
      <w:r>
        <w:t>Replacing</w:t>
      </w:r>
      <w:r w:rsidR="009460B3">
        <w:t xml:space="preserve"> </w:t>
      </w:r>
      <w:r w:rsidR="00B51A06">
        <w:t xml:space="preserve">MAVF </w:t>
      </w:r>
      <w:r w:rsidR="0089332F">
        <w:t>Attributes</w:t>
      </w:r>
      <w:r w:rsidR="00B51A06">
        <w:t xml:space="preserve"> </w:t>
      </w:r>
      <w:r w:rsidR="007C0A13">
        <w:t>W</w:t>
      </w:r>
      <w:r w:rsidR="00B51A06">
        <w:t>ith</w:t>
      </w:r>
      <w:r w:rsidR="00020BEF">
        <w:br/>
      </w:r>
      <w:r w:rsidR="002C4A31">
        <w:t xml:space="preserve">a </w:t>
      </w:r>
      <w:r w:rsidR="00B51A06">
        <w:t>Dollar Value</w:t>
      </w:r>
      <w:bookmarkEnd w:id="15"/>
    </w:p>
    <w:p w:rsidRPr="00E96CB3" w:rsidR="00E96CB3" w:rsidP="007B0D0D" w:rsidRDefault="00E96CB3" w14:paraId="31BA48B3" w14:textId="509B4F74">
      <w:pPr>
        <w:pStyle w:val="Standard"/>
      </w:pPr>
      <w:r>
        <w:t>Th</w:t>
      </w:r>
      <w:r w:rsidR="001577A6">
        <w:t xml:space="preserve">is </w:t>
      </w:r>
      <w:r w:rsidR="00653561">
        <w:t>s</w:t>
      </w:r>
      <w:r>
        <w:t xml:space="preserve">ection </w:t>
      </w:r>
      <w:r w:rsidR="001577A6">
        <w:t xml:space="preserve">starts </w:t>
      </w:r>
      <w:r w:rsidR="00F82B4D">
        <w:t xml:space="preserve">with a </w:t>
      </w:r>
      <w:r w:rsidR="00B10899">
        <w:t>s</w:t>
      </w:r>
      <w:r>
        <w:t>ummar</w:t>
      </w:r>
      <w:r w:rsidR="00F82B4D">
        <w:t>y of</w:t>
      </w:r>
      <w:r>
        <w:t xml:space="preserve"> existing </w:t>
      </w:r>
      <w:r w:rsidR="005A7286">
        <w:t xml:space="preserve">requirements for the assessment of </w:t>
      </w:r>
      <w:r w:rsidR="007D693F">
        <w:t>R</w:t>
      </w:r>
      <w:r w:rsidR="005A7286">
        <w:t>isk</w:t>
      </w:r>
      <w:r w:rsidR="00D606A8">
        <w:t xml:space="preserve"> as adopted in the SA Decision.  We then </w:t>
      </w:r>
      <w:r w:rsidR="005A7286">
        <w:t xml:space="preserve">introduce Staff’s proposal to modify </w:t>
      </w:r>
      <w:r w:rsidR="00D606A8">
        <w:t xml:space="preserve">the SA Decision requirements </w:t>
      </w:r>
      <w:r w:rsidR="00653561">
        <w:t xml:space="preserve">and summarize party comments.  </w:t>
      </w:r>
      <w:r w:rsidR="00693FFE">
        <w:t>We conclude this section by adopting modifications to the SA Decision.</w:t>
      </w:r>
    </w:p>
    <w:p w:rsidR="0099657D" w:rsidP="0087537A" w:rsidRDefault="00A92EA2" w14:paraId="4DF124A9" w14:textId="46DA9B56">
      <w:pPr>
        <w:pStyle w:val="Heading3"/>
        <w:numPr>
          <w:ilvl w:val="2"/>
          <w:numId w:val="1"/>
        </w:numPr>
      </w:pPr>
      <w:bookmarkStart w:name="_Toc121821033" w:id="16"/>
      <w:r>
        <w:t>SA Decision Requirements</w:t>
      </w:r>
      <w:bookmarkEnd w:id="16"/>
      <w:r w:rsidR="00A56AE1">
        <w:t xml:space="preserve"> </w:t>
      </w:r>
    </w:p>
    <w:p w:rsidR="00786182" w:rsidP="00B43684" w:rsidRDefault="00DE2166" w14:paraId="2916DAA1" w14:textId="50F6542E">
      <w:r>
        <w:t xml:space="preserve">The </w:t>
      </w:r>
      <w:r w:rsidR="00A92EA2">
        <w:t xml:space="preserve">Commission in the SA Decision </w:t>
      </w:r>
      <w:r w:rsidR="009C5884">
        <w:t>adopted</w:t>
      </w:r>
      <w:r w:rsidR="00A92EA2">
        <w:t xml:space="preserve"> </w:t>
      </w:r>
      <w:r w:rsidR="00BF2364">
        <w:t>a</w:t>
      </w:r>
      <w:r w:rsidR="00A92EA2">
        <w:t xml:space="preserve"> </w:t>
      </w:r>
      <w:r w:rsidR="002443F8">
        <w:t>step</w:t>
      </w:r>
      <w:r w:rsidR="00D5455B">
        <w:t>-wise</w:t>
      </w:r>
      <w:r w:rsidR="002443F8">
        <w:t xml:space="preserve"> </w:t>
      </w:r>
      <w:r w:rsidR="00A47BB5">
        <w:t xml:space="preserve">methodology </w:t>
      </w:r>
      <w:r w:rsidR="00E275CC">
        <w:t xml:space="preserve">that </w:t>
      </w:r>
      <w:r w:rsidR="00AD0428">
        <w:t>each IOU</w:t>
      </w:r>
      <w:r w:rsidR="00A22F5D">
        <w:t xml:space="preserve"> must </w:t>
      </w:r>
      <w:r w:rsidR="0095210E">
        <w:t>follow to analyze</w:t>
      </w:r>
      <w:r w:rsidR="00983276">
        <w:t xml:space="preserve"> </w:t>
      </w:r>
      <w:r w:rsidR="0082411D">
        <w:t xml:space="preserve">the </w:t>
      </w:r>
      <w:r w:rsidR="0095210E">
        <w:t xml:space="preserve">risk and mitigation </w:t>
      </w:r>
      <w:r w:rsidR="00983276">
        <w:t xml:space="preserve">choices </w:t>
      </w:r>
      <w:r w:rsidR="008675AC">
        <w:t xml:space="preserve">presented </w:t>
      </w:r>
      <w:r w:rsidR="00AC3FB2">
        <w:t xml:space="preserve">in their RAMP </w:t>
      </w:r>
      <w:r w:rsidR="00674C75">
        <w:t>Report</w:t>
      </w:r>
      <w:r w:rsidR="00A92EA2">
        <w:t xml:space="preserve">.  </w:t>
      </w:r>
      <w:r w:rsidR="002C2895">
        <w:t>Utilities are required to follow th</w:t>
      </w:r>
      <w:r w:rsidR="00D5455B">
        <w:t>ree</w:t>
      </w:r>
      <w:r w:rsidR="002C2895">
        <w:t xml:space="preserve"> steps </w:t>
      </w:r>
      <w:r w:rsidR="00921595">
        <w:t xml:space="preserve">to identify </w:t>
      </w:r>
      <w:r w:rsidR="00D759AA">
        <w:t>their</w:t>
      </w:r>
      <w:r w:rsidR="00270E3D">
        <w:t xml:space="preserve"> </w:t>
      </w:r>
      <w:r w:rsidR="00302488">
        <w:t xml:space="preserve">top </w:t>
      </w:r>
      <w:r w:rsidR="00105CE1">
        <w:t>safety</w:t>
      </w:r>
      <w:r w:rsidR="00071911">
        <w:t>, reliability, and financial</w:t>
      </w:r>
      <w:r w:rsidR="00105CE1">
        <w:t xml:space="preserve"> </w:t>
      </w:r>
      <w:r w:rsidR="00302488">
        <w:t>risks</w:t>
      </w:r>
      <w:r w:rsidR="0074272D">
        <w:t xml:space="preserve">. </w:t>
      </w:r>
      <w:r w:rsidR="00201934">
        <w:t xml:space="preserve"> </w:t>
      </w:r>
      <w:r w:rsidR="0074272D">
        <w:t xml:space="preserve">The SA Decision requires </w:t>
      </w:r>
      <w:r w:rsidR="009347D4">
        <w:t>each utility</w:t>
      </w:r>
      <w:r w:rsidR="0074272D">
        <w:t xml:space="preserve"> to explain how </w:t>
      </w:r>
      <w:r w:rsidR="00FE0591">
        <w:t>it</w:t>
      </w:r>
      <w:r w:rsidR="0074272D">
        <w:t xml:space="preserve"> </w:t>
      </w:r>
      <w:r w:rsidR="00302488">
        <w:t>analyzes and prioritizes each risk</w:t>
      </w:r>
      <w:r w:rsidR="0040699A">
        <w:t>,</w:t>
      </w:r>
      <w:r w:rsidR="002E637B">
        <w:t xml:space="preserve"> and </w:t>
      </w:r>
      <w:r w:rsidR="00914D2F">
        <w:t xml:space="preserve">to </w:t>
      </w:r>
      <w:r w:rsidR="002E637B">
        <w:t xml:space="preserve">evaluate </w:t>
      </w:r>
      <w:r w:rsidR="00EA0BC2">
        <w:t xml:space="preserve">proposed </w:t>
      </w:r>
      <w:r w:rsidR="002E637B">
        <w:t>mitigation activities for each risk</w:t>
      </w:r>
      <w:r w:rsidR="005E33F9">
        <w:t>.</w:t>
      </w:r>
      <w:r w:rsidR="00A92EA2">
        <w:t xml:space="preserve">  </w:t>
      </w:r>
      <w:r w:rsidR="00786182">
        <w:t xml:space="preserve">A central component of the </w:t>
      </w:r>
      <w:r w:rsidR="00251A11">
        <w:t xml:space="preserve">RDF adopted in the </w:t>
      </w:r>
      <w:r w:rsidR="00786182">
        <w:t>SA Decision requirements is the construction of a</w:t>
      </w:r>
      <w:r w:rsidR="002355FB">
        <w:t>n</w:t>
      </w:r>
      <w:r w:rsidR="00786182">
        <w:t xml:space="preserve"> MAVF.  </w:t>
      </w:r>
    </w:p>
    <w:p w:rsidR="00B43684" w:rsidP="00B43684" w:rsidRDefault="00F82B4D" w14:paraId="45085BA0" w14:textId="55ACCAEF">
      <w:r>
        <w:t>T</w:t>
      </w:r>
      <w:r w:rsidR="00541922">
        <w:t>he</w:t>
      </w:r>
      <w:r w:rsidR="00786182">
        <w:t xml:space="preserve"> SA Decision </w:t>
      </w:r>
      <w:r w:rsidR="00413748">
        <w:t xml:space="preserve">RDF </w:t>
      </w:r>
      <w:r w:rsidR="00786182">
        <w:t>requirements</w:t>
      </w:r>
      <w:r w:rsidR="00541922">
        <w:t xml:space="preserve"> </w:t>
      </w:r>
      <w:r w:rsidR="00883E04">
        <w:t>are</w:t>
      </w:r>
      <w:r>
        <w:t xml:space="preserve"> </w:t>
      </w:r>
      <w:r w:rsidR="00541922">
        <w:t xml:space="preserve">briefly </w:t>
      </w:r>
      <w:r>
        <w:t xml:space="preserve">described </w:t>
      </w:r>
      <w:r w:rsidR="00541922">
        <w:t>below.</w:t>
      </w:r>
      <w:r w:rsidR="00541922">
        <w:rPr>
          <w:rStyle w:val="FootnoteReference"/>
        </w:rPr>
        <w:footnoteReference w:id="14"/>
      </w:r>
      <w:r w:rsidR="00541922">
        <w:t xml:space="preserve">  </w:t>
      </w:r>
    </w:p>
    <w:p w:rsidR="002A12EA" w:rsidP="00D92714" w:rsidRDefault="00B43684" w14:paraId="44C61B7B" w14:textId="439F8B6C">
      <w:pPr>
        <w:spacing w:after="120" w:line="240" w:lineRule="auto"/>
      </w:pPr>
      <w:r w:rsidRPr="00457F36">
        <w:rPr>
          <w:b/>
          <w:bCs/>
          <w:u w:val="single"/>
        </w:rPr>
        <w:t>Step 1</w:t>
      </w:r>
      <w:r w:rsidRPr="00457F36" w:rsidR="00D31169">
        <w:rPr>
          <w:b/>
          <w:bCs/>
          <w:u w:val="single"/>
        </w:rPr>
        <w:t>A</w:t>
      </w:r>
      <w:r w:rsidRPr="00457F36">
        <w:rPr>
          <w:b/>
          <w:bCs/>
          <w:u w:val="single"/>
        </w:rPr>
        <w:t xml:space="preserve"> </w:t>
      </w:r>
      <w:r w:rsidRPr="00457F36" w:rsidR="007A15D3">
        <w:rPr>
          <w:b/>
          <w:bCs/>
          <w:u w:val="single"/>
        </w:rPr>
        <w:t>–</w:t>
      </w:r>
      <w:r w:rsidRPr="00457F36">
        <w:rPr>
          <w:b/>
          <w:bCs/>
          <w:u w:val="single"/>
        </w:rPr>
        <w:t xml:space="preserve"> </w:t>
      </w:r>
      <w:r w:rsidRPr="00457F36" w:rsidR="007A15D3">
        <w:rPr>
          <w:b/>
          <w:bCs/>
          <w:u w:val="single"/>
        </w:rPr>
        <w:t>Building a</w:t>
      </w:r>
      <w:r w:rsidR="002355FB">
        <w:rPr>
          <w:b/>
          <w:bCs/>
          <w:u w:val="single"/>
        </w:rPr>
        <w:t>n</w:t>
      </w:r>
      <w:r w:rsidRPr="00457F36" w:rsidR="007A15D3">
        <w:rPr>
          <w:b/>
          <w:bCs/>
          <w:u w:val="single"/>
        </w:rPr>
        <w:t xml:space="preserve"> MAVF</w:t>
      </w:r>
      <w:r w:rsidRPr="00457F36" w:rsidR="00D31169">
        <w:rPr>
          <w:u w:val="single"/>
        </w:rPr>
        <w:t>:</w:t>
      </w:r>
      <w:r w:rsidRPr="003A654D" w:rsidR="003A654D">
        <w:t xml:space="preserve"> </w:t>
      </w:r>
      <w:r w:rsidR="00170630">
        <w:t xml:space="preserve"> </w:t>
      </w:r>
    </w:p>
    <w:p w:rsidR="008318FF" w:rsidP="002A12EA" w:rsidRDefault="003A654D" w14:paraId="1193611D" w14:textId="396CDAA6">
      <w:pPr>
        <w:pStyle w:val="Standard"/>
      </w:pPr>
      <w:r>
        <w:t xml:space="preserve">The </w:t>
      </w:r>
      <w:r w:rsidR="00D351DB">
        <w:t xml:space="preserve">SA Decision directs the IOUs to use </w:t>
      </w:r>
      <w:r w:rsidR="003330AE">
        <w:t>a</w:t>
      </w:r>
      <w:r w:rsidR="002355FB">
        <w:t>n</w:t>
      </w:r>
      <w:r w:rsidR="003330AE">
        <w:t xml:space="preserve"> </w:t>
      </w:r>
      <w:r>
        <w:t xml:space="preserve">MAVF framework to combine different </w:t>
      </w:r>
      <w:r w:rsidR="00866679">
        <w:t>C</w:t>
      </w:r>
      <w:r>
        <w:t xml:space="preserve">onsequences </w:t>
      </w:r>
      <w:r w:rsidR="002D61A3">
        <w:t xml:space="preserve">stemming </w:t>
      </w:r>
      <w:r w:rsidR="007942AB">
        <w:t xml:space="preserve">from the occurrence of a </w:t>
      </w:r>
      <w:r w:rsidR="00464067">
        <w:t>R</w:t>
      </w:r>
      <w:r w:rsidR="007942AB">
        <w:t xml:space="preserve">isk </w:t>
      </w:r>
      <w:r w:rsidR="00464067">
        <w:t>E</w:t>
      </w:r>
      <w:r w:rsidR="007942AB">
        <w:t>vent</w:t>
      </w:r>
      <w:r w:rsidR="00186951">
        <w:rPr>
          <w:rStyle w:val="FootnoteReference"/>
        </w:rPr>
        <w:footnoteReference w:id="15"/>
      </w:r>
      <w:r w:rsidR="00186951">
        <w:t xml:space="preserve"> </w:t>
      </w:r>
      <w:r w:rsidR="002D61A3">
        <w:t xml:space="preserve">into a generic unitless </w:t>
      </w:r>
      <w:r w:rsidR="0089701B">
        <w:t>R</w:t>
      </w:r>
      <w:r w:rsidR="002D61A3">
        <w:t xml:space="preserve">isk </w:t>
      </w:r>
      <w:r w:rsidR="0089701B">
        <w:t>S</w:t>
      </w:r>
      <w:r w:rsidR="002D61A3">
        <w:t>core so that risks and mitigation alternatives can be compared on a uniform scale.</w:t>
      </w:r>
      <w:r w:rsidR="00E76818">
        <w:rPr>
          <w:rStyle w:val="FootnoteReference"/>
        </w:rPr>
        <w:footnoteReference w:id="16"/>
      </w:r>
      <w:r w:rsidR="00982FF5">
        <w:t xml:space="preserve"> </w:t>
      </w:r>
      <w:r w:rsidR="0029582E">
        <w:t xml:space="preserve"> </w:t>
      </w:r>
      <w:r w:rsidR="00DE7D6E">
        <w:t xml:space="preserve">The </w:t>
      </w:r>
      <w:r w:rsidR="002C2550">
        <w:t xml:space="preserve">unitless </w:t>
      </w:r>
      <w:r w:rsidR="00E26903">
        <w:t>R</w:t>
      </w:r>
      <w:r w:rsidR="002C2550">
        <w:t xml:space="preserve">isk </w:t>
      </w:r>
      <w:r w:rsidR="00E26903">
        <w:t>S</w:t>
      </w:r>
      <w:r w:rsidR="002C2550">
        <w:t xml:space="preserve">core </w:t>
      </w:r>
      <w:r w:rsidR="00AF73DE">
        <w:t xml:space="preserve">generated from the MAVF scoring framework is </w:t>
      </w:r>
      <w:r w:rsidR="00663DBB">
        <w:t>referred to as</w:t>
      </w:r>
      <w:r w:rsidR="00AF73DE">
        <w:t xml:space="preserve"> the Multi</w:t>
      </w:r>
      <w:r w:rsidR="00663DBB">
        <w:t xml:space="preserve">-Attribute Risk Score (MARS).  </w:t>
      </w:r>
    </w:p>
    <w:p w:rsidR="0072545D" w:rsidP="00457F36" w:rsidRDefault="00710A10" w14:paraId="1B81C9EC" w14:textId="7CAA6C63">
      <w:pPr>
        <w:pStyle w:val="Standard"/>
      </w:pPr>
      <w:r>
        <w:t xml:space="preserve">The </w:t>
      </w:r>
      <w:r w:rsidR="001A2442">
        <w:t xml:space="preserve">MAVF process begins </w:t>
      </w:r>
      <w:r w:rsidR="006511A2">
        <w:t>with an IOU</w:t>
      </w:r>
      <w:r w:rsidDel="006511A2" w:rsidR="00064135">
        <w:t xml:space="preserve"> </w:t>
      </w:r>
      <w:r w:rsidR="002E6CA4">
        <w:t xml:space="preserve">developing an </w:t>
      </w:r>
      <w:r w:rsidR="00447DC8">
        <w:t>Attribute</w:t>
      </w:r>
      <w:r w:rsidR="002E6CA4">
        <w:rPr>
          <w:rStyle w:val="FootnoteReference"/>
        </w:rPr>
        <w:footnoteReference w:id="17"/>
      </w:r>
      <w:r w:rsidR="002E6CA4">
        <w:t xml:space="preserve"> hierarchy,</w:t>
      </w:r>
      <w:r w:rsidR="00AE3D9F">
        <w:t xml:space="preserve"> with </w:t>
      </w:r>
      <w:r w:rsidR="00447DC8">
        <w:t>primary</w:t>
      </w:r>
      <w:r w:rsidR="00AE3D9F">
        <w:t xml:space="preserve"> </w:t>
      </w:r>
      <w:r w:rsidR="00447DC8">
        <w:t>A</w:t>
      </w:r>
      <w:r w:rsidR="00AE3D9F">
        <w:t xml:space="preserve">ttributes </w:t>
      </w:r>
      <w:r w:rsidR="00E275CC">
        <w:t>(</w:t>
      </w:r>
      <w:r w:rsidR="0077662C">
        <w:t>typically</w:t>
      </w:r>
      <w:r w:rsidR="00AE3D9F">
        <w:t xml:space="preserve"> labels or categories</w:t>
      </w:r>
      <w:r w:rsidR="006A1525">
        <w:t xml:space="preserve"> such as </w:t>
      </w:r>
      <w:r w:rsidR="00AB65D6">
        <w:t>S</w:t>
      </w:r>
      <w:r w:rsidR="00D74AFE">
        <w:t xml:space="preserve">afety and </w:t>
      </w:r>
      <w:r w:rsidR="00AB65D6">
        <w:t>R</w:t>
      </w:r>
      <w:r w:rsidR="00D74AFE">
        <w:t>eliability)</w:t>
      </w:r>
      <w:r w:rsidR="00AE3D9F">
        <w:t xml:space="preserve"> and </w:t>
      </w:r>
      <w:r w:rsidR="00BD5AD5">
        <w:t xml:space="preserve">associated </w:t>
      </w:r>
      <w:r w:rsidR="00447DC8">
        <w:t>sub-A</w:t>
      </w:r>
      <w:r w:rsidR="00AE3D9F">
        <w:t xml:space="preserve">ttributes </w:t>
      </w:r>
      <w:r w:rsidR="00BD5AD5">
        <w:t xml:space="preserve">that </w:t>
      </w:r>
      <w:r w:rsidR="00AE3D9F">
        <w:t>are observable and measurable</w:t>
      </w:r>
      <w:r w:rsidR="00D74AFE">
        <w:t xml:space="preserve"> (such as </w:t>
      </w:r>
      <w:r w:rsidR="005049B3">
        <w:t xml:space="preserve">fatalities </w:t>
      </w:r>
      <w:r w:rsidR="00E275CC">
        <w:t>or</w:t>
      </w:r>
      <w:r w:rsidR="005049B3">
        <w:t xml:space="preserve"> </w:t>
      </w:r>
      <w:r w:rsidR="00765FFB">
        <w:t>Customer Minutes of Interruption</w:t>
      </w:r>
      <w:r w:rsidR="00E60C16">
        <w:t xml:space="preserve"> (CMI)</w:t>
      </w:r>
      <w:r w:rsidR="00765FFB">
        <w:t>).</w:t>
      </w:r>
      <w:r w:rsidR="00E60C16">
        <w:rPr>
          <w:rStyle w:val="FootnoteReference"/>
        </w:rPr>
        <w:footnoteReference w:id="18"/>
      </w:r>
      <w:r w:rsidR="00AE3D9F">
        <w:t xml:space="preserve"> </w:t>
      </w:r>
      <w:r w:rsidR="00ED6452">
        <w:t xml:space="preserve"> </w:t>
      </w:r>
      <w:r w:rsidR="002D49FF">
        <w:t xml:space="preserve">Step 1A requires each </w:t>
      </w:r>
      <w:r w:rsidR="00AE0E9F">
        <w:t xml:space="preserve">IOU </w:t>
      </w:r>
      <w:r w:rsidR="002D49FF">
        <w:t xml:space="preserve">to </w:t>
      </w:r>
      <w:r w:rsidR="00AE0E9F">
        <w:t>use th</w:t>
      </w:r>
      <w:r w:rsidR="00381C9F">
        <w:t>ree</w:t>
      </w:r>
      <w:r w:rsidR="00907C17">
        <w:t xml:space="preserve"> </w:t>
      </w:r>
      <w:r w:rsidR="003300C1">
        <w:t>key</w:t>
      </w:r>
      <w:r w:rsidR="0060262B">
        <w:t xml:space="preserve"> </w:t>
      </w:r>
      <w:r w:rsidR="008B3A14">
        <w:t xml:space="preserve">functions </w:t>
      </w:r>
      <w:r w:rsidR="00BD4762">
        <w:t xml:space="preserve">to </w:t>
      </w:r>
      <w:r w:rsidR="00A27110">
        <w:t>translate</w:t>
      </w:r>
      <w:r w:rsidR="00BD4762">
        <w:t xml:space="preserve"> a </w:t>
      </w:r>
      <w:r w:rsidR="00C765AE">
        <w:t>C</w:t>
      </w:r>
      <w:r w:rsidR="00A27110">
        <w:t xml:space="preserve">onsequence </w:t>
      </w:r>
      <w:r w:rsidR="006A43A6">
        <w:t xml:space="preserve">of a Risk Event </w:t>
      </w:r>
      <w:r w:rsidR="00A27110">
        <w:t xml:space="preserve">into </w:t>
      </w:r>
      <w:r w:rsidR="00706BF9">
        <w:t>a</w:t>
      </w:r>
      <w:r w:rsidR="0046413A">
        <w:t xml:space="preserve"> </w:t>
      </w:r>
      <w:r w:rsidR="00D6535A">
        <w:t>MARS:</w:t>
      </w:r>
      <w:r w:rsidR="0007663F">
        <w:t xml:space="preserve"> </w:t>
      </w:r>
    </w:p>
    <w:p w:rsidR="0072545D" w:rsidP="00F23583" w:rsidRDefault="0007663F" w14:paraId="1606D997" w14:textId="73B0F04F">
      <w:pPr>
        <w:pStyle w:val="ListBullet"/>
        <w:tabs>
          <w:tab w:val="clear" w:pos="360"/>
          <w:tab w:val="num" w:pos="990"/>
        </w:tabs>
        <w:ind w:left="990" w:right="1080" w:hanging="270"/>
      </w:pPr>
      <w:r>
        <w:t xml:space="preserve">First, </w:t>
      </w:r>
      <w:r w:rsidR="00C40CA3">
        <w:t xml:space="preserve">the IOU develops </w:t>
      </w:r>
      <w:r w:rsidR="001B7A8D">
        <w:t>a range</w:t>
      </w:r>
      <w:r w:rsidR="009335B6">
        <w:t>, expressed</w:t>
      </w:r>
      <w:r w:rsidR="00BC5AA0">
        <w:t xml:space="preserve"> in</w:t>
      </w:r>
      <w:r w:rsidR="009335B6">
        <w:t xml:space="preserve"> natural units,</w:t>
      </w:r>
      <w:r w:rsidR="001B7A8D">
        <w:t xml:space="preserve"> </w:t>
      </w:r>
      <w:r w:rsidR="00C40CA3">
        <w:t>f</w:t>
      </w:r>
      <w:r w:rsidR="001B7A8D">
        <w:t xml:space="preserve">or </w:t>
      </w:r>
      <w:r w:rsidR="00022F26">
        <w:t xml:space="preserve">each </w:t>
      </w:r>
      <w:r w:rsidR="00447DC8">
        <w:t>sub-A</w:t>
      </w:r>
      <w:r w:rsidR="00022F26">
        <w:t>ttribute</w:t>
      </w:r>
      <w:r w:rsidR="000A6CC8">
        <w:t xml:space="preserve">.  The </w:t>
      </w:r>
      <w:r w:rsidR="00BE7906">
        <w:t xml:space="preserve">lower and </w:t>
      </w:r>
      <w:r w:rsidR="00E57992">
        <w:t>upper bound</w:t>
      </w:r>
      <w:r w:rsidR="00BE7906">
        <w:t xml:space="preserve"> </w:t>
      </w:r>
      <w:r w:rsidR="00E57992">
        <w:t>of a</w:t>
      </w:r>
      <w:r w:rsidR="00A018F4">
        <w:t xml:space="preserve"> </w:t>
      </w:r>
      <w:r w:rsidR="000A6CC8">
        <w:t>range</w:t>
      </w:r>
      <w:r w:rsidR="00357F84">
        <w:t xml:space="preserve"> </w:t>
      </w:r>
      <w:r w:rsidR="00685635">
        <w:t>generally</w:t>
      </w:r>
      <w:r w:rsidR="007904AB">
        <w:t xml:space="preserve"> correspond</w:t>
      </w:r>
      <w:r w:rsidR="004D326B">
        <w:t>s</w:t>
      </w:r>
      <w:r w:rsidR="007904AB">
        <w:t xml:space="preserve"> with</w:t>
      </w:r>
      <w:r w:rsidR="00357F84">
        <w:t xml:space="preserve"> </w:t>
      </w:r>
      <w:r w:rsidR="00A755E6">
        <w:t xml:space="preserve">the </w:t>
      </w:r>
      <w:r w:rsidR="00357F84">
        <w:t>smallest and largest value</w:t>
      </w:r>
      <w:r w:rsidR="00A755E6">
        <w:t>s</w:t>
      </w:r>
      <w:r w:rsidR="00A23B51">
        <w:t xml:space="preserve"> </w:t>
      </w:r>
      <w:r w:rsidR="00906493">
        <w:t>observ</w:t>
      </w:r>
      <w:r w:rsidR="00814CFE">
        <w:t>able during ordinary operations</w:t>
      </w:r>
      <w:r w:rsidR="00730A47">
        <w:t xml:space="preserve"> and as a consequence of the occurrence of a Risk Event</w:t>
      </w:r>
      <w:r w:rsidR="00854755">
        <w:t>.</w:t>
      </w:r>
      <w:r w:rsidR="00870680">
        <w:rPr>
          <w:rStyle w:val="FootnoteReference"/>
        </w:rPr>
        <w:footnoteReference w:id="19"/>
      </w:r>
      <w:r w:rsidR="00E01CAF">
        <w:t xml:space="preserve">  </w:t>
      </w:r>
    </w:p>
    <w:p w:rsidRPr="00C8272C" w:rsidR="00247F92" w:rsidP="00F23583" w:rsidRDefault="001E3A91" w14:paraId="3F8E0318" w14:textId="32491739">
      <w:pPr>
        <w:pStyle w:val="ListBullet"/>
        <w:tabs>
          <w:tab w:val="clear" w:pos="360"/>
          <w:tab w:val="num" w:pos="990"/>
        </w:tabs>
        <w:ind w:left="990" w:right="1080" w:hanging="270"/>
      </w:pPr>
      <w:r>
        <w:t xml:space="preserve">Second, </w:t>
      </w:r>
      <w:r w:rsidR="00C40CA3">
        <w:t xml:space="preserve">the IOU applies </w:t>
      </w:r>
      <w:r w:rsidR="008913B7">
        <w:t>a scaling function to conver</w:t>
      </w:r>
      <w:r w:rsidR="00E43533">
        <w:t xml:space="preserve">t </w:t>
      </w:r>
      <w:r w:rsidR="00DB02C7">
        <w:t xml:space="preserve">the range </w:t>
      </w:r>
      <w:r w:rsidR="00266337">
        <w:t>of</w:t>
      </w:r>
      <w:r w:rsidR="003337F3">
        <w:t xml:space="preserve"> natural units to scaled units, </w:t>
      </w:r>
      <w:r w:rsidR="004D2B0B">
        <w:t xml:space="preserve">ranging </w:t>
      </w:r>
      <w:r w:rsidR="003337F3">
        <w:t>from</w:t>
      </w:r>
      <w:r w:rsidR="00170630">
        <w:t> </w:t>
      </w:r>
      <w:r w:rsidR="003337F3">
        <w:t>0-100</w:t>
      </w:r>
      <w:r w:rsidR="000E47C4">
        <w:t xml:space="preserve">, </w:t>
      </w:r>
      <w:r w:rsidR="00FB1A29">
        <w:t xml:space="preserve">in order to </w:t>
      </w:r>
      <w:r w:rsidR="00C61CFB">
        <w:t xml:space="preserve">specify </w:t>
      </w:r>
      <w:r w:rsidR="000E47C4">
        <w:t xml:space="preserve">the relative value of changes within the range.  </w:t>
      </w:r>
      <w:r w:rsidR="00892FBA">
        <w:t xml:space="preserve">The scaling function </w:t>
      </w:r>
      <w:r w:rsidR="0058206E">
        <w:t>describes a stakeholder’s</w:t>
      </w:r>
      <w:r w:rsidR="00060664">
        <w:t xml:space="preserve"> – </w:t>
      </w:r>
      <w:r w:rsidR="00D009EA">
        <w:t>typically the IOU’s</w:t>
      </w:r>
      <w:r w:rsidR="00060664">
        <w:t xml:space="preserve"> – </w:t>
      </w:r>
      <w:r w:rsidR="004424DD">
        <w:t>R</w:t>
      </w:r>
      <w:r w:rsidR="00C42DD1">
        <w:t xml:space="preserve">isk </w:t>
      </w:r>
      <w:r w:rsidR="00CA06EA">
        <w:t>A</w:t>
      </w:r>
      <w:r w:rsidR="00C42DD1">
        <w:t xml:space="preserve">ttitude and </w:t>
      </w:r>
      <w:r w:rsidR="00CA06EA">
        <w:t>T</w:t>
      </w:r>
      <w:r w:rsidR="00C42DD1">
        <w:t>olerance for uncertainty</w:t>
      </w:r>
      <w:r w:rsidR="00332D04">
        <w:t>.  It</w:t>
      </w:r>
      <w:r w:rsidR="006967A8">
        <w:t xml:space="preserve"> can either be linear</w:t>
      </w:r>
      <w:r w:rsidR="00A72C03">
        <w:t xml:space="preserve">, </w:t>
      </w:r>
      <w:r w:rsidRPr="00C8272C" w:rsidR="00A72C03">
        <w:t xml:space="preserve">reflecting that each incremental </w:t>
      </w:r>
      <w:r w:rsidR="007938AD">
        <w:t>R</w:t>
      </w:r>
      <w:r w:rsidR="00D37058">
        <w:t>isk</w:t>
      </w:r>
      <w:r w:rsidRPr="00C8272C" w:rsidR="00D37058">
        <w:t xml:space="preserve"> </w:t>
      </w:r>
      <w:r w:rsidR="007938AD">
        <w:t>E</w:t>
      </w:r>
      <w:r w:rsidRPr="00C8272C" w:rsidR="00A72C03">
        <w:t>vent is valued the same as the previous one, or non-linear</w:t>
      </w:r>
      <w:r w:rsidRPr="00C8272C" w:rsidR="00C8272C">
        <w:t>.</w:t>
      </w:r>
    </w:p>
    <w:p w:rsidR="00397D19" w:rsidP="00F23583" w:rsidRDefault="00EF2087" w14:paraId="0067006C" w14:textId="2BEA2E68">
      <w:pPr>
        <w:pStyle w:val="ListBullet"/>
        <w:tabs>
          <w:tab w:val="clear" w:pos="360"/>
          <w:tab w:val="num" w:pos="990"/>
        </w:tabs>
        <w:ind w:left="990" w:right="1080" w:hanging="270"/>
      </w:pPr>
      <w:r w:rsidRPr="00C8272C">
        <w:t>Finally</w:t>
      </w:r>
      <w:r w:rsidRPr="00C8272C" w:rsidR="00E01CAF">
        <w:t xml:space="preserve">, </w:t>
      </w:r>
      <w:r w:rsidR="00C40CA3">
        <w:t xml:space="preserve">the IOU </w:t>
      </w:r>
      <w:r w:rsidR="00C27895">
        <w:t xml:space="preserve">assigns </w:t>
      </w:r>
      <w:r w:rsidRPr="00C8272C" w:rsidR="006F6E05">
        <w:t xml:space="preserve">each </w:t>
      </w:r>
      <w:r w:rsidR="00447DC8">
        <w:t>Attribute</w:t>
      </w:r>
      <w:r w:rsidRPr="00C8272C" w:rsidR="006F6E05">
        <w:t xml:space="preserve"> a </w:t>
      </w:r>
      <w:r w:rsidRPr="00C8272C" w:rsidR="00406F90">
        <w:t xml:space="preserve">percentage </w:t>
      </w:r>
      <w:r w:rsidRPr="00C8272C" w:rsidR="006F6E05">
        <w:t>weight</w:t>
      </w:r>
      <w:r w:rsidR="001E6A56">
        <w:t xml:space="preserve"> </w:t>
      </w:r>
      <w:r w:rsidR="006F6E05">
        <w:t>reflecting</w:t>
      </w:r>
      <w:r w:rsidR="00F34B29">
        <w:t xml:space="preserve"> </w:t>
      </w:r>
      <w:r w:rsidR="00406F90">
        <w:t>its</w:t>
      </w:r>
      <w:r w:rsidR="00F34B29">
        <w:t xml:space="preserve"> </w:t>
      </w:r>
      <w:r w:rsidR="006F6E05">
        <w:t xml:space="preserve">relative importance to other </w:t>
      </w:r>
      <w:r w:rsidR="00447DC8">
        <w:t>Attribute</w:t>
      </w:r>
      <w:r w:rsidR="006F6E05">
        <w:t>s</w:t>
      </w:r>
      <w:r w:rsidR="009E64CC">
        <w:t xml:space="preserve"> defined in the MAVF.  </w:t>
      </w:r>
      <w:r w:rsidR="00F077ED">
        <w:t>Pursuant to</w:t>
      </w:r>
      <w:r w:rsidR="00271200">
        <w:t xml:space="preserve"> the SA</w:t>
      </w:r>
      <w:r w:rsidR="00170630">
        <w:t> </w:t>
      </w:r>
      <w:r w:rsidR="00271200">
        <w:t>Decision</w:t>
      </w:r>
      <w:r w:rsidR="00397D19">
        <w:t xml:space="preserve">, </w:t>
      </w:r>
      <w:r w:rsidR="00E62734">
        <w:t>each IOU</w:t>
      </w:r>
      <w:r w:rsidR="00CB58C7">
        <w:t xml:space="preserve"> must </w:t>
      </w:r>
      <w:r w:rsidR="00230D8C">
        <w:t>assign</w:t>
      </w:r>
      <w:r w:rsidR="00756879">
        <w:t xml:space="preserve"> a </w:t>
      </w:r>
      <w:r w:rsidR="00C90883">
        <w:t xml:space="preserve">minimum </w:t>
      </w:r>
      <w:r w:rsidR="00CB58C7">
        <w:t>weight of 40</w:t>
      </w:r>
      <w:r w:rsidR="00170630">
        <w:t> </w:t>
      </w:r>
      <w:r w:rsidR="005800A0">
        <w:t>percent</w:t>
      </w:r>
      <w:r w:rsidR="00C4111B">
        <w:t xml:space="preserve"> to safety impacts</w:t>
      </w:r>
      <w:r w:rsidR="00CB58C7">
        <w:t>.</w:t>
      </w:r>
      <w:r w:rsidR="00CB58C7">
        <w:rPr>
          <w:rStyle w:val="FootnoteReference"/>
        </w:rPr>
        <w:footnoteReference w:id="20"/>
      </w:r>
      <w:r w:rsidR="00CB58C7">
        <w:t xml:space="preserve"> </w:t>
      </w:r>
    </w:p>
    <w:p w:rsidR="00E275CC" w:rsidP="00BE2400" w:rsidRDefault="003F690C" w14:paraId="4DFB978E" w14:textId="310D1637">
      <w:r>
        <w:t xml:space="preserve">The </w:t>
      </w:r>
      <w:r w:rsidR="00D73FAF">
        <w:t xml:space="preserve">steps for building the MAVF allow </w:t>
      </w:r>
      <w:r w:rsidR="00A23064">
        <w:t>the IOU</w:t>
      </w:r>
      <w:r w:rsidR="007E6DAA">
        <w:t xml:space="preserve">s to </w:t>
      </w:r>
      <w:r w:rsidR="007229B5">
        <w:t xml:space="preserve">express </w:t>
      </w:r>
      <w:r w:rsidR="0055790F">
        <w:t>risk Attributes</w:t>
      </w:r>
      <w:r w:rsidR="00E81328">
        <w:t xml:space="preserve"> </w:t>
      </w:r>
      <w:r w:rsidR="00C044AC">
        <w:t xml:space="preserve">with </w:t>
      </w:r>
      <w:r w:rsidR="002723AA">
        <w:t xml:space="preserve">dissimilar </w:t>
      </w:r>
      <w:r w:rsidR="00AF6B30">
        <w:t xml:space="preserve">natural units </w:t>
      </w:r>
      <w:r w:rsidR="00F37995">
        <w:t>in</w:t>
      </w:r>
      <w:r w:rsidR="00C7703B">
        <w:t>to</w:t>
      </w:r>
      <w:r w:rsidR="007229B5">
        <w:t xml:space="preserve"> </w:t>
      </w:r>
      <w:r w:rsidR="00681B80">
        <w:t>dimensionless</w:t>
      </w:r>
      <w:r w:rsidR="00A43A7B">
        <w:t xml:space="preserve"> </w:t>
      </w:r>
      <w:r w:rsidR="00B82BBF">
        <w:t>Risk Score</w:t>
      </w:r>
      <w:r w:rsidR="00681B80">
        <w:t xml:space="preserve"> values</w:t>
      </w:r>
      <w:r w:rsidR="00E275CC">
        <w:t>.  These dimensionless Risk Score values</w:t>
      </w:r>
      <w:r w:rsidR="00985D7E">
        <w:t xml:space="preserve"> can then be combined into a single Risk Score</w:t>
      </w:r>
      <w:r w:rsidR="00B82BBF">
        <w:t>.</w:t>
      </w:r>
      <w:r w:rsidR="00D72F35">
        <w:rPr>
          <w:rStyle w:val="FootnoteReference"/>
        </w:rPr>
        <w:footnoteReference w:id="21"/>
      </w:r>
      <w:r w:rsidR="0055790F">
        <w:t xml:space="preserve"> </w:t>
      </w:r>
    </w:p>
    <w:p w:rsidRPr="00F83973" w:rsidR="00CF3B61" w:rsidP="002A12EA" w:rsidRDefault="00C64803" w14:paraId="3CC2BFC1" w14:textId="2B8ADA2E">
      <w:r>
        <w:t>Table 1</w:t>
      </w:r>
      <w:r w:rsidR="008D070B">
        <w:t xml:space="preserve"> illustrate</w:t>
      </w:r>
      <w:r>
        <w:t>s</w:t>
      </w:r>
      <w:r w:rsidR="008D070B">
        <w:t xml:space="preserve"> these concepts</w:t>
      </w:r>
      <w:r w:rsidR="00E275CC">
        <w:t xml:space="preserve">.  </w:t>
      </w:r>
      <w:r>
        <w:t xml:space="preserve">Table 1 </w:t>
      </w:r>
      <w:r w:rsidR="00E275CC">
        <w:t>a</w:t>
      </w:r>
      <w:r w:rsidR="008D070B">
        <w:t>ssume</w:t>
      </w:r>
      <w:r>
        <w:t>s</w:t>
      </w:r>
      <w:r w:rsidR="008D070B">
        <w:t xml:space="preserve"> </w:t>
      </w:r>
      <w:r w:rsidR="00082186">
        <w:t xml:space="preserve">that the </w:t>
      </w:r>
      <w:r w:rsidR="00447DC8">
        <w:t>F</w:t>
      </w:r>
      <w:r w:rsidR="00082186">
        <w:t xml:space="preserve">inancial </w:t>
      </w:r>
      <w:r w:rsidR="00447DC8">
        <w:t>A</w:t>
      </w:r>
      <w:r w:rsidR="00082186">
        <w:t>ttribute in a</w:t>
      </w:r>
      <w:r w:rsidR="003215AD">
        <w:t xml:space="preserve"> utility’s MAVF scoring framework </w:t>
      </w:r>
      <w:r w:rsidR="00135A49">
        <w:t>include</w:t>
      </w:r>
      <w:r w:rsidR="00CF3B61">
        <w:t>s</w:t>
      </w:r>
      <w:r w:rsidR="00135A49">
        <w:t xml:space="preserve"> </w:t>
      </w:r>
      <w:r w:rsidR="00082186">
        <w:t>an associated</w:t>
      </w:r>
      <w:r w:rsidR="005D7438">
        <w:t xml:space="preserve"> range of $0</w:t>
      </w:r>
      <w:r w:rsidR="00082186">
        <w:t xml:space="preserve"> </w:t>
      </w:r>
      <w:r w:rsidR="005D7438">
        <w:t>-</w:t>
      </w:r>
      <w:r w:rsidR="00082186">
        <w:t xml:space="preserve"> </w:t>
      </w:r>
      <w:r w:rsidR="005D7438">
        <w:t>$5 billion, a linear scaling function, and a weight of 25</w:t>
      </w:r>
      <w:r w:rsidR="00201934">
        <w:t> </w:t>
      </w:r>
      <w:r w:rsidR="007E44ED">
        <w:t>percent</w:t>
      </w:r>
      <w:r w:rsidR="005D7438">
        <w:t xml:space="preserve">.  </w:t>
      </w:r>
      <w:r w:rsidR="0001710C">
        <w:t>T</w:t>
      </w:r>
      <w:r w:rsidR="007E39F2">
        <w:t>able 1 illustrates how a utility would</w:t>
      </w:r>
      <w:r w:rsidR="0001710C">
        <w:t xml:space="preserve"> translate a</w:t>
      </w:r>
      <w:r w:rsidR="000541F1">
        <w:t xml:space="preserve"> </w:t>
      </w:r>
      <w:r w:rsidR="00DD6E9B">
        <w:t>F</w:t>
      </w:r>
      <w:r w:rsidR="00777658">
        <w:t xml:space="preserve">inancial </w:t>
      </w:r>
      <w:r w:rsidR="00DD6E9B">
        <w:t>C</w:t>
      </w:r>
      <w:r w:rsidRPr="00F83973" w:rsidR="00777658">
        <w:t>onsequence</w:t>
      </w:r>
      <w:r w:rsidRPr="00F83973" w:rsidR="00A94F76">
        <w:t xml:space="preserve"> </w:t>
      </w:r>
      <w:r w:rsidRPr="00F83973" w:rsidR="00082186">
        <w:t xml:space="preserve">of $2 </w:t>
      </w:r>
      <w:r w:rsidR="002D19DF">
        <w:t>b</w:t>
      </w:r>
      <w:r w:rsidRPr="00F83973" w:rsidR="002D19DF">
        <w:t xml:space="preserve">illion </w:t>
      </w:r>
      <w:r w:rsidRPr="00F83973" w:rsidR="007648CC">
        <w:t xml:space="preserve">into a </w:t>
      </w:r>
      <w:r w:rsidRPr="00F83973" w:rsidR="007745BF">
        <w:t xml:space="preserve">unitless </w:t>
      </w:r>
      <w:r w:rsidRPr="00F83973" w:rsidR="00A77310">
        <w:t>Risk Score</w:t>
      </w:r>
      <w:r w:rsidR="00835CC9">
        <w:t xml:space="preserve"> that could then be compared with a unitless Risk Score for a </w:t>
      </w:r>
      <w:r w:rsidR="00CE71E9">
        <w:t>Reliability Consequence</w:t>
      </w:r>
      <w:r w:rsidR="00835CC9">
        <w:t xml:space="preserve">, for instance.  </w:t>
      </w:r>
    </w:p>
    <w:p w:rsidR="008D070B" w:rsidP="00170630" w:rsidRDefault="0026395C" w14:paraId="43BC7F5B" w14:textId="716547EA">
      <w:pPr>
        <w:ind w:firstLine="0"/>
        <w:jc w:val="center"/>
        <w:rPr>
          <w:b/>
          <w:bCs/>
        </w:rPr>
      </w:pPr>
      <w:r w:rsidRPr="00F83973">
        <w:rPr>
          <w:b/>
          <w:bCs/>
        </w:rPr>
        <w:t xml:space="preserve">Table </w:t>
      </w:r>
      <w:r w:rsidRPr="00F83973" w:rsidR="00F83973">
        <w:rPr>
          <w:b/>
          <w:bCs/>
        </w:rPr>
        <w:t>1</w:t>
      </w:r>
      <w:r w:rsidRPr="00F83973">
        <w:rPr>
          <w:b/>
          <w:bCs/>
        </w:rPr>
        <w:t>:</w:t>
      </w:r>
      <w:r w:rsidRPr="00F83973" w:rsidR="00700BBF">
        <w:rPr>
          <w:b/>
          <w:bCs/>
        </w:rPr>
        <w:t xml:space="preserve"> </w:t>
      </w:r>
      <w:r w:rsidRPr="00F83973" w:rsidR="0084631E">
        <w:rPr>
          <w:b/>
          <w:bCs/>
        </w:rPr>
        <w:t xml:space="preserve">Example </w:t>
      </w:r>
      <w:r w:rsidRPr="00F83973" w:rsidR="00236A84">
        <w:rPr>
          <w:b/>
          <w:bCs/>
        </w:rPr>
        <w:t>MAVF</w:t>
      </w:r>
      <w:r w:rsidRPr="00F83973" w:rsidR="00700BBF">
        <w:rPr>
          <w:b/>
          <w:bCs/>
        </w:rPr>
        <w:t xml:space="preserve"> </w:t>
      </w:r>
      <w:r w:rsidRPr="00F83973" w:rsidR="00CE5C31">
        <w:rPr>
          <w:b/>
          <w:bCs/>
        </w:rPr>
        <w:t>for Financial Attribute</w:t>
      </w:r>
    </w:p>
    <w:tbl>
      <w:tblPr>
        <w:tblStyle w:val="TableGrid"/>
        <w:tblpPr w:leftFromText="180" w:rightFromText="180" w:vertAnchor="text" w:horzAnchor="page" w:tblpX="5893" w:tblpY="24"/>
        <w:tblW w:w="0" w:type="auto"/>
        <w:tblLook w:val="04A0" w:firstRow="1" w:lastRow="0" w:firstColumn="1" w:lastColumn="0" w:noHBand="0" w:noVBand="1"/>
      </w:tblPr>
      <w:tblGrid>
        <w:gridCol w:w="3235"/>
        <w:gridCol w:w="1620"/>
      </w:tblGrid>
      <w:tr w:rsidR="00610A99" w:rsidTr="003B60D6" w14:paraId="45F3FBD5" w14:textId="77777777">
        <w:tc>
          <w:tcPr>
            <w:tcW w:w="3235" w:type="dxa"/>
            <w:shd w:val="clear" w:color="auto" w:fill="AEAAAA" w:themeFill="background2" w:themeFillShade="BF"/>
          </w:tcPr>
          <w:p w:rsidR="00610A99" w:rsidP="00610A99" w:rsidRDefault="00610A99" w14:paraId="4407095E" w14:textId="77777777">
            <w:pPr>
              <w:ind w:firstLine="0"/>
              <w:rPr>
                <w:b/>
                <w:bCs/>
              </w:rPr>
            </w:pPr>
            <w:r>
              <w:rPr>
                <w:b/>
                <w:bCs/>
              </w:rPr>
              <w:t>Action</w:t>
            </w:r>
          </w:p>
        </w:tc>
        <w:tc>
          <w:tcPr>
            <w:tcW w:w="1620" w:type="dxa"/>
            <w:shd w:val="clear" w:color="auto" w:fill="AEAAAA" w:themeFill="background2" w:themeFillShade="BF"/>
          </w:tcPr>
          <w:p w:rsidR="00610A99" w:rsidP="00610A99" w:rsidRDefault="00610A99" w14:paraId="5CFF3729" w14:textId="77777777">
            <w:pPr>
              <w:ind w:firstLine="0"/>
              <w:rPr>
                <w:b/>
                <w:bCs/>
              </w:rPr>
            </w:pPr>
            <w:r>
              <w:rPr>
                <w:b/>
                <w:bCs/>
              </w:rPr>
              <w:t>Value</w:t>
            </w:r>
          </w:p>
        </w:tc>
      </w:tr>
      <w:tr w:rsidR="00610A99" w:rsidTr="005E6420" w14:paraId="5158C1F3" w14:textId="77777777">
        <w:tc>
          <w:tcPr>
            <w:tcW w:w="3235" w:type="dxa"/>
            <w:vAlign w:val="center"/>
          </w:tcPr>
          <w:p w:rsidRPr="005E6420" w:rsidR="00610A99" w:rsidP="00000979" w:rsidRDefault="00610A99" w14:paraId="3C10EF59" w14:textId="77777777">
            <w:pPr>
              <w:spacing w:line="240" w:lineRule="auto"/>
              <w:ind w:firstLine="0"/>
              <w:rPr>
                <w:sz w:val="24"/>
                <w:szCs w:val="20"/>
              </w:rPr>
            </w:pPr>
            <w:r w:rsidRPr="005E6420">
              <w:rPr>
                <w:sz w:val="24"/>
                <w:szCs w:val="20"/>
              </w:rPr>
              <w:t>Identify Consequence Value</w:t>
            </w:r>
          </w:p>
        </w:tc>
        <w:tc>
          <w:tcPr>
            <w:tcW w:w="1620" w:type="dxa"/>
            <w:vAlign w:val="center"/>
          </w:tcPr>
          <w:p w:rsidRPr="005E6420" w:rsidR="00610A99" w:rsidP="00000979" w:rsidRDefault="00610A99" w14:paraId="70BB026B" w14:textId="0774AC30">
            <w:pPr>
              <w:spacing w:line="240" w:lineRule="auto"/>
              <w:ind w:firstLine="0"/>
              <w:rPr>
                <w:sz w:val="24"/>
                <w:szCs w:val="20"/>
              </w:rPr>
            </w:pPr>
            <w:r w:rsidRPr="005E6420">
              <w:rPr>
                <w:sz w:val="24"/>
                <w:szCs w:val="20"/>
              </w:rPr>
              <w:t xml:space="preserve">$2 </w:t>
            </w:r>
            <w:r w:rsidR="00B371E5">
              <w:rPr>
                <w:sz w:val="24"/>
                <w:szCs w:val="20"/>
              </w:rPr>
              <w:t>b</w:t>
            </w:r>
            <w:r w:rsidRPr="005E6420">
              <w:rPr>
                <w:sz w:val="24"/>
                <w:szCs w:val="20"/>
              </w:rPr>
              <w:t>illion</w:t>
            </w:r>
          </w:p>
        </w:tc>
      </w:tr>
      <w:tr w:rsidR="00610A99" w:rsidTr="005E6420" w14:paraId="40802FEE" w14:textId="77777777">
        <w:tc>
          <w:tcPr>
            <w:tcW w:w="3235" w:type="dxa"/>
            <w:vAlign w:val="center"/>
          </w:tcPr>
          <w:p w:rsidRPr="005E6420" w:rsidR="00610A99" w:rsidP="00000979" w:rsidRDefault="00610A99" w14:paraId="55156383" w14:textId="77777777">
            <w:pPr>
              <w:spacing w:line="240" w:lineRule="auto"/>
              <w:ind w:firstLine="0"/>
              <w:rPr>
                <w:sz w:val="24"/>
                <w:szCs w:val="20"/>
              </w:rPr>
            </w:pPr>
            <w:r w:rsidRPr="005E6420">
              <w:rPr>
                <w:sz w:val="24"/>
                <w:szCs w:val="20"/>
              </w:rPr>
              <w:t>Determine Scaled Score</w:t>
            </w:r>
          </w:p>
        </w:tc>
        <w:tc>
          <w:tcPr>
            <w:tcW w:w="1620" w:type="dxa"/>
            <w:vAlign w:val="center"/>
          </w:tcPr>
          <w:p w:rsidRPr="005E6420" w:rsidR="00610A99" w:rsidP="00000979" w:rsidRDefault="00610A99" w14:paraId="3097896F" w14:textId="77777777">
            <w:pPr>
              <w:spacing w:line="240" w:lineRule="auto"/>
              <w:ind w:firstLine="0"/>
              <w:rPr>
                <w:sz w:val="24"/>
                <w:szCs w:val="20"/>
              </w:rPr>
            </w:pPr>
            <w:r w:rsidRPr="005E6420">
              <w:rPr>
                <w:sz w:val="24"/>
                <w:szCs w:val="20"/>
              </w:rPr>
              <w:t>40</w:t>
            </w:r>
          </w:p>
        </w:tc>
      </w:tr>
      <w:tr w:rsidR="00610A99" w:rsidTr="005E6420" w14:paraId="02A542CA" w14:textId="77777777">
        <w:tc>
          <w:tcPr>
            <w:tcW w:w="3235" w:type="dxa"/>
            <w:vAlign w:val="center"/>
          </w:tcPr>
          <w:p w:rsidRPr="005E6420" w:rsidR="00610A99" w:rsidP="00000979" w:rsidRDefault="00610A99" w14:paraId="10BB97AE" w14:textId="77777777">
            <w:pPr>
              <w:spacing w:line="240" w:lineRule="auto"/>
              <w:ind w:firstLine="0"/>
              <w:rPr>
                <w:sz w:val="24"/>
                <w:szCs w:val="20"/>
              </w:rPr>
            </w:pPr>
            <w:r w:rsidRPr="005E6420">
              <w:rPr>
                <w:sz w:val="24"/>
                <w:szCs w:val="20"/>
              </w:rPr>
              <w:t>Identify Attribute Weight (Financial)</w:t>
            </w:r>
          </w:p>
        </w:tc>
        <w:tc>
          <w:tcPr>
            <w:tcW w:w="1620" w:type="dxa"/>
            <w:vAlign w:val="center"/>
          </w:tcPr>
          <w:p w:rsidRPr="005E6420" w:rsidR="00610A99" w:rsidP="00000979" w:rsidRDefault="00610A99" w14:paraId="07B69600" w14:textId="77777777">
            <w:pPr>
              <w:spacing w:line="240" w:lineRule="auto"/>
              <w:ind w:firstLine="0"/>
              <w:rPr>
                <w:sz w:val="24"/>
                <w:szCs w:val="20"/>
              </w:rPr>
            </w:pPr>
            <w:r w:rsidRPr="005E6420">
              <w:rPr>
                <w:sz w:val="24"/>
                <w:szCs w:val="20"/>
              </w:rPr>
              <w:t>25%</w:t>
            </w:r>
          </w:p>
        </w:tc>
      </w:tr>
      <w:tr w:rsidR="00610A99" w:rsidTr="005E6420" w14:paraId="6B78F8D3" w14:textId="77777777">
        <w:tc>
          <w:tcPr>
            <w:tcW w:w="3235" w:type="dxa"/>
            <w:vAlign w:val="center"/>
          </w:tcPr>
          <w:p w:rsidRPr="005E6420" w:rsidR="00610A99" w:rsidP="00000979" w:rsidRDefault="00610A99" w14:paraId="18FFE91F" w14:textId="77777777">
            <w:pPr>
              <w:spacing w:line="240" w:lineRule="auto"/>
              <w:ind w:firstLine="0"/>
              <w:rPr>
                <w:sz w:val="24"/>
                <w:szCs w:val="20"/>
              </w:rPr>
            </w:pPr>
            <w:r w:rsidRPr="005E6420">
              <w:rPr>
                <w:sz w:val="24"/>
                <w:szCs w:val="20"/>
              </w:rPr>
              <w:t>Apply Weight to Scaled Score</w:t>
            </w:r>
          </w:p>
        </w:tc>
        <w:tc>
          <w:tcPr>
            <w:tcW w:w="1620" w:type="dxa"/>
            <w:vAlign w:val="center"/>
          </w:tcPr>
          <w:p w:rsidRPr="005E6420" w:rsidR="00610A99" w:rsidP="00000979" w:rsidRDefault="00610A99" w14:paraId="2C9F0469" w14:textId="77777777">
            <w:pPr>
              <w:spacing w:line="240" w:lineRule="auto"/>
              <w:ind w:firstLine="0"/>
              <w:rPr>
                <w:sz w:val="24"/>
                <w:szCs w:val="20"/>
              </w:rPr>
            </w:pPr>
            <w:r w:rsidRPr="005E6420">
              <w:rPr>
                <w:sz w:val="24"/>
                <w:szCs w:val="20"/>
              </w:rPr>
              <w:t>10 = 25% * 40</w:t>
            </w:r>
          </w:p>
        </w:tc>
      </w:tr>
      <w:tr w:rsidR="00610A99" w:rsidTr="005E6420" w14:paraId="16CA6EF6" w14:textId="77777777">
        <w:tc>
          <w:tcPr>
            <w:tcW w:w="3235" w:type="dxa"/>
            <w:vAlign w:val="center"/>
          </w:tcPr>
          <w:p w:rsidRPr="005E6420" w:rsidR="00610A99" w:rsidP="005E6420" w:rsidRDefault="005A5F58" w14:paraId="1AEE97D6" w14:textId="0EF224CC">
            <w:pPr>
              <w:tabs>
                <w:tab w:val="center" w:pos="1509"/>
              </w:tabs>
              <w:spacing w:line="240" w:lineRule="auto"/>
              <w:ind w:firstLine="0"/>
              <w:rPr>
                <w:b/>
                <w:bCs/>
                <w:sz w:val="24"/>
                <w:szCs w:val="20"/>
              </w:rPr>
            </w:pPr>
            <w:r>
              <w:rPr>
                <w:b/>
                <w:bCs/>
                <w:sz w:val="24"/>
                <w:szCs w:val="20"/>
              </w:rPr>
              <w:t>Financial</w:t>
            </w:r>
            <w:r w:rsidRPr="005E6420" w:rsidR="001907B5">
              <w:rPr>
                <w:b/>
                <w:bCs/>
                <w:sz w:val="24"/>
                <w:szCs w:val="20"/>
              </w:rPr>
              <w:t xml:space="preserve"> Risk Score</w:t>
            </w:r>
          </w:p>
        </w:tc>
        <w:tc>
          <w:tcPr>
            <w:tcW w:w="1620" w:type="dxa"/>
            <w:vAlign w:val="center"/>
          </w:tcPr>
          <w:p w:rsidRPr="005E6420" w:rsidR="00610A99" w:rsidP="00000979" w:rsidRDefault="00610A99" w14:paraId="4E43B6D9" w14:textId="77777777">
            <w:pPr>
              <w:spacing w:line="240" w:lineRule="auto"/>
              <w:ind w:firstLine="0"/>
              <w:rPr>
                <w:b/>
                <w:bCs/>
                <w:sz w:val="24"/>
                <w:szCs w:val="20"/>
              </w:rPr>
            </w:pPr>
            <w:r w:rsidRPr="005E6420">
              <w:rPr>
                <w:b/>
                <w:bCs/>
                <w:sz w:val="24"/>
                <w:szCs w:val="20"/>
              </w:rPr>
              <w:t>10</w:t>
            </w:r>
          </w:p>
        </w:tc>
      </w:tr>
    </w:tbl>
    <w:p w:rsidR="000035B5" w:rsidP="008D070B" w:rsidRDefault="00610A99" w14:paraId="67D2F26D" w14:textId="366F9217">
      <w:r>
        <w:rPr>
          <w:noProof/>
        </w:rPr>
        <w:drawing>
          <wp:anchor distT="0" distB="0" distL="114300" distR="114300" simplePos="0" relativeHeight="251658240" behindDoc="0" locked="0" layoutInCell="1" allowOverlap="1" wp14:editId="2A3A9708" wp14:anchorId="59DC2752">
            <wp:simplePos x="0" y="0"/>
            <wp:positionH relativeFrom="margin">
              <wp:align>left</wp:align>
            </wp:positionH>
            <wp:positionV relativeFrom="paragraph">
              <wp:posOffset>6985</wp:posOffset>
            </wp:positionV>
            <wp:extent cx="2553424" cy="1876876"/>
            <wp:effectExtent l="0" t="0" r="0" b="9525"/>
            <wp:wrapNone/>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3424" cy="1876876"/>
                    </a:xfrm>
                    <a:prstGeom prst="rect">
                      <a:avLst/>
                    </a:prstGeom>
                  </pic:spPr>
                </pic:pic>
              </a:graphicData>
            </a:graphic>
            <wp14:sizeRelH relativeFrom="page">
              <wp14:pctWidth>0</wp14:pctWidth>
            </wp14:sizeRelH>
            <wp14:sizeRelV relativeFrom="page">
              <wp14:pctHeight>0</wp14:pctHeight>
            </wp14:sizeRelV>
          </wp:anchor>
        </w:drawing>
      </w:r>
    </w:p>
    <w:p w:rsidR="000035B5" w:rsidP="008D070B" w:rsidRDefault="000035B5" w14:paraId="1A65F612" w14:textId="22B2FD61"/>
    <w:p w:rsidR="000035B5" w:rsidP="008D070B" w:rsidRDefault="000035B5" w14:paraId="44B4B0C5" w14:textId="591EE18C"/>
    <w:p w:rsidR="000035B5" w:rsidP="008D070B" w:rsidRDefault="000035B5" w14:paraId="6BC7F62F" w14:textId="460D3F7A"/>
    <w:p w:rsidR="000035B5" w:rsidP="008D070B" w:rsidRDefault="000035B5" w14:paraId="326C5F79" w14:textId="02977D9A"/>
    <w:p w:rsidR="000035B5" w:rsidP="008D070B" w:rsidRDefault="000035B5" w14:paraId="08BA2BDB" w14:textId="693118CC"/>
    <w:p w:rsidR="000035B5" w:rsidP="008D070B" w:rsidRDefault="000035B5" w14:paraId="1B912956" w14:textId="2EB5F20E"/>
    <w:p w:rsidR="002A12EA" w:rsidP="000862A4" w:rsidRDefault="0028040E" w14:paraId="65E4D43F" w14:textId="77777777">
      <w:pPr>
        <w:keepNext/>
        <w:spacing w:after="120" w:line="240" w:lineRule="auto"/>
        <w:ind w:left="1080" w:right="1440" w:hanging="360"/>
        <w:rPr>
          <w:b/>
          <w:bCs/>
        </w:rPr>
      </w:pPr>
      <w:r w:rsidRPr="00457F36">
        <w:rPr>
          <w:b/>
          <w:bCs/>
          <w:u w:val="single"/>
        </w:rPr>
        <w:t>Step 1B</w:t>
      </w:r>
      <w:r w:rsidRPr="00457F36" w:rsidR="005C4116">
        <w:rPr>
          <w:b/>
          <w:bCs/>
          <w:u w:val="single"/>
        </w:rPr>
        <w:t xml:space="preserve"> -</w:t>
      </w:r>
      <w:r w:rsidRPr="00457F36">
        <w:rPr>
          <w:b/>
          <w:bCs/>
          <w:u w:val="single"/>
        </w:rPr>
        <w:t xml:space="preserve"> </w:t>
      </w:r>
      <w:r w:rsidRPr="00457F36" w:rsidR="006A1DC1">
        <w:rPr>
          <w:b/>
          <w:bCs/>
          <w:u w:val="single"/>
        </w:rPr>
        <w:t>Identifying Risks for the Enterprise Risk Register</w:t>
      </w:r>
      <w:r w:rsidRPr="00457F36" w:rsidR="005518EB">
        <w:rPr>
          <w:b/>
          <w:bCs/>
          <w:u w:val="single"/>
        </w:rPr>
        <w:t>:</w:t>
      </w:r>
      <w:r w:rsidRPr="00D72F35" w:rsidR="00BB5870">
        <w:rPr>
          <w:b/>
          <w:bCs/>
        </w:rPr>
        <w:t xml:space="preserve">  </w:t>
      </w:r>
    </w:p>
    <w:p w:rsidRPr="00D72F35" w:rsidR="0028040E" w:rsidP="00457F36" w:rsidRDefault="00B25A33" w14:paraId="42BE59F2" w14:textId="27306AB2">
      <w:pPr>
        <w:pStyle w:val="Standard"/>
        <w:rPr>
          <w:b/>
          <w:bCs/>
        </w:rPr>
      </w:pPr>
      <w:r>
        <w:t>The E</w:t>
      </w:r>
      <w:r w:rsidR="000008B7">
        <w:t>nterprise Risk Register</w:t>
      </w:r>
      <w:r>
        <w:t xml:space="preserve"> </w:t>
      </w:r>
      <w:r w:rsidR="002B6D6E">
        <w:t xml:space="preserve">is an inventory </w:t>
      </w:r>
      <w:r w:rsidR="009C32F0">
        <w:t xml:space="preserve">of risks </w:t>
      </w:r>
      <w:r w:rsidR="002C325F">
        <w:t xml:space="preserve">that a utility may face </w:t>
      </w:r>
      <w:r w:rsidR="009C32F0">
        <w:t xml:space="preserve">at a </w:t>
      </w:r>
      <w:r w:rsidR="003C1C3B">
        <w:t>specific period</w:t>
      </w:r>
      <w:r w:rsidR="009C32F0">
        <w:t xml:space="preserve"> in time</w:t>
      </w:r>
      <w:r w:rsidR="00F109FD">
        <w:t xml:space="preserve"> and</w:t>
      </w:r>
      <w:r w:rsidR="00491245">
        <w:t xml:space="preserve"> </w:t>
      </w:r>
      <w:r w:rsidR="00A1790F">
        <w:t>provides</w:t>
      </w:r>
      <w:r w:rsidR="00134AFB">
        <w:t xml:space="preserve"> a</w:t>
      </w:r>
      <w:r w:rsidR="00B00465">
        <w:t xml:space="preserve"> starting point for </w:t>
      </w:r>
      <w:r w:rsidR="005945D3">
        <w:t xml:space="preserve">the </w:t>
      </w:r>
      <w:r w:rsidR="00B00465">
        <w:t xml:space="preserve">risks that may be included in </w:t>
      </w:r>
      <w:r w:rsidR="00961782">
        <w:t>a utility’s</w:t>
      </w:r>
      <w:r w:rsidR="0000527B">
        <w:t xml:space="preserve"> RAMP</w:t>
      </w:r>
      <w:r w:rsidR="00961782">
        <w:t xml:space="preserve"> Report</w:t>
      </w:r>
      <w:r w:rsidR="00B27024">
        <w:t>.</w:t>
      </w:r>
      <w:r w:rsidR="00D5455B">
        <w:t xml:space="preserve">  </w:t>
      </w:r>
      <w:r w:rsidR="00F14ACE">
        <w:t>Step 1B</w:t>
      </w:r>
      <w:r w:rsidR="00F961EC">
        <w:t xml:space="preserve"> of the SA Decision</w:t>
      </w:r>
      <w:r w:rsidR="00F14ACE">
        <w:t xml:space="preserve"> requires t</w:t>
      </w:r>
      <w:r w:rsidR="00D5455B">
        <w:t xml:space="preserve">he utility to identify risks to include in its Enterprise Risk Register. </w:t>
      </w:r>
    </w:p>
    <w:p w:rsidR="002A12EA" w:rsidP="000862A4" w:rsidRDefault="00DF439B" w14:paraId="1D42ECA4" w14:textId="77777777">
      <w:pPr>
        <w:keepNext/>
        <w:spacing w:after="120" w:line="240" w:lineRule="auto"/>
        <w:ind w:left="720" w:right="1440" w:firstLine="0"/>
      </w:pPr>
      <w:r w:rsidRPr="00457F36">
        <w:rPr>
          <w:b/>
          <w:bCs/>
          <w:u w:val="single"/>
        </w:rPr>
        <w:t>Step 2</w:t>
      </w:r>
      <w:r w:rsidRPr="00457F36" w:rsidR="00DE02E5">
        <w:rPr>
          <w:b/>
          <w:bCs/>
          <w:u w:val="single"/>
        </w:rPr>
        <w:t>A</w:t>
      </w:r>
      <w:r w:rsidRPr="00457F36" w:rsidR="005C4116">
        <w:rPr>
          <w:b/>
          <w:bCs/>
          <w:u w:val="single"/>
        </w:rPr>
        <w:t xml:space="preserve"> - </w:t>
      </w:r>
      <w:r w:rsidRPr="00457F36" w:rsidR="00DE02E5">
        <w:rPr>
          <w:b/>
          <w:bCs/>
          <w:u w:val="single"/>
        </w:rPr>
        <w:t>Risk Assessment and Risk Ranking</w:t>
      </w:r>
      <w:r w:rsidRPr="00457F36" w:rsidR="007F3B87">
        <w:rPr>
          <w:b/>
          <w:bCs/>
          <w:u w:val="single"/>
        </w:rPr>
        <w:t xml:space="preserve"> in Preparation for RAMP</w:t>
      </w:r>
      <w:r w:rsidRPr="00457F36" w:rsidR="005518EB">
        <w:rPr>
          <w:u w:val="single"/>
        </w:rPr>
        <w:t>:</w:t>
      </w:r>
      <w:r w:rsidR="00855E3A">
        <w:t xml:space="preserve"> </w:t>
      </w:r>
      <w:r w:rsidR="00170630">
        <w:t xml:space="preserve"> </w:t>
      </w:r>
    </w:p>
    <w:p w:rsidR="00C434F9" w:rsidP="00457F36" w:rsidRDefault="004D1B35" w14:paraId="1A840758" w14:textId="1AA50F3E">
      <w:pPr>
        <w:pStyle w:val="Standard"/>
      </w:pPr>
      <w:r>
        <w:t>U</w:t>
      </w:r>
      <w:r w:rsidRPr="004D1B35">
        <w:t>sing actual results, available data, and subject matter experts</w:t>
      </w:r>
      <w:r>
        <w:t xml:space="preserve">, </w:t>
      </w:r>
      <w:r w:rsidR="0025784A">
        <w:t>Step 2A</w:t>
      </w:r>
      <w:r w:rsidR="00F961EC">
        <w:t xml:space="preserve"> of the SA Decision</w:t>
      </w:r>
      <w:r w:rsidR="0025784A">
        <w:t xml:space="preserve"> requires </w:t>
      </w:r>
      <w:r w:rsidR="00F84798">
        <w:t xml:space="preserve">the utility </w:t>
      </w:r>
      <w:r w:rsidR="0025784A">
        <w:t xml:space="preserve">to </w:t>
      </w:r>
      <w:r w:rsidR="00F52B21">
        <w:t>identif</w:t>
      </w:r>
      <w:r w:rsidR="0025784A">
        <w:t>y</w:t>
      </w:r>
      <w:r w:rsidR="00F52B21">
        <w:t xml:space="preserve"> the potential</w:t>
      </w:r>
      <w:r w:rsidR="00852207">
        <w:t xml:space="preserve"> </w:t>
      </w:r>
      <w:r w:rsidR="00DD6E9B">
        <w:t>C</w:t>
      </w:r>
      <w:r w:rsidR="00852207">
        <w:t xml:space="preserve">onsequences </w:t>
      </w:r>
      <w:r w:rsidRPr="0053593D" w:rsidR="0053593D">
        <w:t>and the</w:t>
      </w:r>
      <w:r w:rsidR="00C449F2">
        <w:t xml:space="preserve"> </w:t>
      </w:r>
      <w:r w:rsidR="00A115B3">
        <w:t xml:space="preserve">likely </w:t>
      </w:r>
      <w:r w:rsidRPr="0053593D" w:rsidR="0053593D">
        <w:t xml:space="preserve">frequency of </w:t>
      </w:r>
      <w:r w:rsidR="00A115B3">
        <w:t xml:space="preserve">potential </w:t>
      </w:r>
      <w:r w:rsidR="00F82CB6">
        <w:t>R</w:t>
      </w:r>
      <w:r w:rsidRPr="0053593D" w:rsidR="0053593D">
        <w:t xml:space="preserve">isk </w:t>
      </w:r>
      <w:r w:rsidR="00F82CB6">
        <w:t>E</w:t>
      </w:r>
      <w:r w:rsidRPr="0053593D" w:rsidR="0053593D">
        <w:t>vents</w:t>
      </w:r>
      <w:r w:rsidR="0020060C">
        <w:t>.  Step 2A then requires the IOU</w:t>
      </w:r>
      <w:r w:rsidR="005605F9">
        <w:t>s</w:t>
      </w:r>
      <w:r w:rsidR="0020060C">
        <w:t xml:space="preserve"> to </w:t>
      </w:r>
      <w:r w:rsidR="006B254B">
        <w:t xml:space="preserve">compute a </w:t>
      </w:r>
      <w:r w:rsidR="003D1067">
        <w:t>Safety Risk Score for each risk in the E</w:t>
      </w:r>
      <w:r w:rsidR="000008B7">
        <w:t>nterprise Risk Register</w:t>
      </w:r>
      <w:r w:rsidR="008B35DD">
        <w:t xml:space="preserve"> using </w:t>
      </w:r>
      <w:r w:rsidR="009733E5">
        <w:t xml:space="preserve">only </w:t>
      </w:r>
      <w:r w:rsidR="008B35DD">
        <w:t xml:space="preserve">the </w:t>
      </w:r>
      <w:r w:rsidR="00447DC8">
        <w:t>S</w:t>
      </w:r>
      <w:r w:rsidR="008B35DD">
        <w:t xml:space="preserve">afety </w:t>
      </w:r>
      <w:r w:rsidR="00447DC8">
        <w:t>Attribute</w:t>
      </w:r>
      <w:r w:rsidR="000F302B">
        <w:t xml:space="preserve"> </w:t>
      </w:r>
      <w:r w:rsidR="009733E5">
        <w:t>in</w:t>
      </w:r>
      <w:r w:rsidR="00BA5C8A">
        <w:t xml:space="preserve"> the</w:t>
      </w:r>
      <w:r w:rsidR="000F302B">
        <w:t xml:space="preserve"> MAVF</w:t>
      </w:r>
      <w:r w:rsidR="009733E5">
        <w:t>.</w:t>
      </w:r>
      <w:r w:rsidR="0031579C">
        <w:rPr>
          <w:rStyle w:val="FootnoteReference"/>
        </w:rPr>
        <w:footnoteReference w:id="22"/>
      </w:r>
      <w:r w:rsidR="00BA5C8A">
        <w:t xml:space="preserve"> </w:t>
      </w:r>
      <w:r w:rsidR="00197783">
        <w:t xml:space="preserve"> </w:t>
      </w:r>
      <w:r w:rsidR="00750EEB">
        <w:t xml:space="preserve">For the risks </w:t>
      </w:r>
      <w:r w:rsidR="00364506">
        <w:t>in</w:t>
      </w:r>
      <w:r w:rsidR="00750EEB">
        <w:t xml:space="preserve"> the top 40</w:t>
      </w:r>
      <w:r w:rsidR="00BA3B9B">
        <w:t xml:space="preserve"> percent</w:t>
      </w:r>
      <w:r w:rsidR="00750EEB">
        <w:t xml:space="preserve"> </w:t>
      </w:r>
      <w:r w:rsidR="00364506">
        <w:t xml:space="preserve">of </w:t>
      </w:r>
      <w:r w:rsidR="00750EEB">
        <w:t>Safety Risk Score</w:t>
      </w:r>
      <w:r w:rsidR="00364506">
        <w:t>s</w:t>
      </w:r>
      <w:r w:rsidR="00750EEB">
        <w:t>,</w:t>
      </w:r>
      <w:r w:rsidR="00364506">
        <w:t xml:space="preserve"> Step 2A</w:t>
      </w:r>
      <w:r w:rsidR="008C717B">
        <w:t xml:space="preserve"> of the SA Decision</w:t>
      </w:r>
      <w:r w:rsidR="00364506">
        <w:t xml:space="preserve"> requires </w:t>
      </w:r>
      <w:r w:rsidR="00750EEB">
        <w:t xml:space="preserve">the utility </w:t>
      </w:r>
      <w:r w:rsidR="00364506">
        <w:t xml:space="preserve">to </w:t>
      </w:r>
      <w:r w:rsidR="00750EEB">
        <w:t xml:space="preserve">also compute a </w:t>
      </w:r>
      <w:r w:rsidR="00480DFC">
        <w:t>MARS</w:t>
      </w:r>
      <w:r w:rsidR="005665F1">
        <w:t xml:space="preserve"> </w:t>
      </w:r>
      <w:r w:rsidR="00750EEB">
        <w:t xml:space="preserve">using at least the </w:t>
      </w:r>
      <w:r w:rsidR="00447DC8">
        <w:t>S</w:t>
      </w:r>
      <w:r w:rsidR="00750EEB">
        <w:t xml:space="preserve">afety, </w:t>
      </w:r>
      <w:r w:rsidR="00447DC8">
        <w:t>R</w:t>
      </w:r>
      <w:r w:rsidR="00750EEB">
        <w:t>eliability</w:t>
      </w:r>
      <w:r w:rsidR="00C132BD">
        <w:t>,</w:t>
      </w:r>
      <w:r w:rsidR="00750EEB">
        <w:t xml:space="preserve"> and </w:t>
      </w:r>
      <w:r w:rsidR="00447DC8">
        <w:t>F</w:t>
      </w:r>
      <w:r w:rsidR="00750EEB">
        <w:t xml:space="preserve">inancial </w:t>
      </w:r>
      <w:r w:rsidR="00447DC8">
        <w:t>Attribute</w:t>
      </w:r>
      <w:r w:rsidR="00750EEB">
        <w:t>s of its MAVF.</w:t>
      </w:r>
      <w:r w:rsidR="008A4995">
        <w:t xml:space="preserve"> </w:t>
      </w:r>
      <w:r w:rsidR="006E3B07">
        <w:t xml:space="preserve">  </w:t>
      </w:r>
    </w:p>
    <w:p w:rsidR="00364506" w:rsidP="000862A4" w:rsidRDefault="001E675B" w14:paraId="1BF698E9" w14:textId="77777777">
      <w:pPr>
        <w:keepNext/>
        <w:spacing w:after="120" w:line="240" w:lineRule="auto"/>
        <w:ind w:left="720" w:right="1440" w:firstLine="0"/>
      </w:pPr>
      <w:r w:rsidRPr="00457F36">
        <w:rPr>
          <w:b/>
          <w:bCs/>
          <w:u w:val="single"/>
        </w:rPr>
        <w:t xml:space="preserve">Step </w:t>
      </w:r>
      <w:r w:rsidRPr="00457F36" w:rsidR="00174CFA">
        <w:rPr>
          <w:b/>
          <w:bCs/>
          <w:u w:val="single"/>
        </w:rPr>
        <w:t>2B</w:t>
      </w:r>
      <w:r w:rsidRPr="00457F36" w:rsidR="005C4116">
        <w:rPr>
          <w:b/>
          <w:bCs/>
          <w:u w:val="single"/>
        </w:rPr>
        <w:t xml:space="preserve"> - </w:t>
      </w:r>
      <w:r w:rsidRPr="00457F36" w:rsidR="00044D7D">
        <w:rPr>
          <w:b/>
          <w:bCs/>
          <w:u w:val="single"/>
        </w:rPr>
        <w:t>Selecting Enterprise Risks for the RAMP</w:t>
      </w:r>
      <w:r w:rsidR="005518EB">
        <w:t>:</w:t>
      </w:r>
      <w:r w:rsidR="00044D7D">
        <w:t xml:space="preserve"> </w:t>
      </w:r>
      <w:r w:rsidR="00170630">
        <w:t xml:space="preserve"> </w:t>
      </w:r>
    </w:p>
    <w:p w:rsidR="00044D7D" w:rsidP="00457F36" w:rsidRDefault="00364506" w14:paraId="172483DC" w14:textId="397CCB32">
      <w:pPr>
        <w:pStyle w:val="Standard"/>
      </w:pPr>
      <w:r>
        <w:t>S</w:t>
      </w:r>
      <w:r w:rsidR="00AB2C9E">
        <w:t>tep</w:t>
      </w:r>
      <w:r>
        <w:t xml:space="preserve"> 2B </w:t>
      </w:r>
      <w:r w:rsidR="008C717B">
        <w:t xml:space="preserve">of the SA Decision </w:t>
      </w:r>
      <w:r>
        <w:t xml:space="preserve">requires </w:t>
      </w:r>
      <w:r w:rsidR="00AB2C9E">
        <w:t xml:space="preserve">the utility </w:t>
      </w:r>
      <w:r>
        <w:t xml:space="preserve">to </w:t>
      </w:r>
      <w:r w:rsidR="00AB2C9E">
        <w:t xml:space="preserve">solicit </w:t>
      </w:r>
      <w:r w:rsidR="00DF6843">
        <w:t>input</w:t>
      </w:r>
      <w:r w:rsidR="0088600D">
        <w:t xml:space="preserve"> from interested parties and </w:t>
      </w:r>
      <w:r w:rsidR="00BA3B9B">
        <w:t>S</w:t>
      </w:r>
      <w:r w:rsidR="0088600D">
        <w:t>taff</w:t>
      </w:r>
      <w:r w:rsidR="00AB2C9E">
        <w:t xml:space="preserve"> </w:t>
      </w:r>
      <w:r w:rsidR="00EF2F85">
        <w:t>before</w:t>
      </w:r>
      <w:r w:rsidR="00AB2C9E">
        <w:t xml:space="preserve"> determining</w:t>
      </w:r>
      <w:r w:rsidR="005928C2">
        <w:t xml:space="preserve"> </w:t>
      </w:r>
      <w:r w:rsidR="006A2286">
        <w:t xml:space="preserve">the final list of risks to </w:t>
      </w:r>
      <w:r w:rsidR="00216D1F">
        <w:t>be addressed in</w:t>
      </w:r>
      <w:r w:rsidR="006A2286">
        <w:t xml:space="preserve"> its RAMP Report.</w:t>
      </w:r>
    </w:p>
    <w:p w:rsidR="00364506" w:rsidP="000862A4" w:rsidRDefault="00A045A8" w14:paraId="465CE4A2" w14:textId="77777777">
      <w:pPr>
        <w:keepNext/>
        <w:spacing w:after="120" w:line="240" w:lineRule="auto"/>
        <w:ind w:left="720" w:right="1440" w:firstLine="0"/>
      </w:pPr>
      <w:r w:rsidRPr="00457F36">
        <w:rPr>
          <w:b/>
          <w:bCs/>
          <w:u w:val="single"/>
        </w:rPr>
        <w:t>Step 3</w:t>
      </w:r>
      <w:r w:rsidRPr="00457F36" w:rsidR="003408E4">
        <w:rPr>
          <w:b/>
          <w:bCs/>
          <w:u w:val="single"/>
        </w:rPr>
        <w:t xml:space="preserve"> </w:t>
      </w:r>
      <w:r w:rsidRPr="00457F36" w:rsidR="005C4116">
        <w:rPr>
          <w:b/>
          <w:bCs/>
          <w:u w:val="single"/>
        </w:rPr>
        <w:t>– Mitigation Analysis for Risks in RAMP</w:t>
      </w:r>
      <w:r w:rsidR="005C4116">
        <w:t>:</w:t>
      </w:r>
      <w:r w:rsidR="003408E4">
        <w:t xml:space="preserve"> </w:t>
      </w:r>
      <w:r w:rsidR="00ED531C">
        <w:t xml:space="preserve"> </w:t>
      </w:r>
    </w:p>
    <w:p w:rsidR="002760EE" w:rsidP="00457F36" w:rsidRDefault="00364506" w14:paraId="5E389049" w14:textId="3F34014F">
      <w:pPr>
        <w:pStyle w:val="Standard"/>
      </w:pPr>
      <w:r>
        <w:t xml:space="preserve">Step 3 </w:t>
      </w:r>
      <w:r w:rsidR="008C717B">
        <w:t xml:space="preserve">of the SA Decision </w:t>
      </w:r>
      <w:r w:rsidR="002E756B">
        <w:t xml:space="preserve">sets the requirements </w:t>
      </w:r>
      <w:r w:rsidR="00E14FD8">
        <w:t xml:space="preserve">each </w:t>
      </w:r>
      <w:r w:rsidR="007B262C">
        <w:t>utility must follow to assess</w:t>
      </w:r>
      <w:r w:rsidR="002E756B">
        <w:t xml:space="preserve"> </w:t>
      </w:r>
      <w:r w:rsidR="00A47B41">
        <w:t>M</w:t>
      </w:r>
      <w:r w:rsidR="002E756B">
        <w:t xml:space="preserve">itigations for each of the </w:t>
      </w:r>
      <w:r w:rsidR="006162DD">
        <w:t xml:space="preserve">selected </w:t>
      </w:r>
      <w:r w:rsidR="002E756B">
        <w:t xml:space="preserve">RAMP risks.  </w:t>
      </w:r>
      <w:r>
        <w:t xml:space="preserve">Step </w:t>
      </w:r>
      <w:r w:rsidR="00364D3A">
        <w:t xml:space="preserve">3 requires each </w:t>
      </w:r>
      <w:r w:rsidR="00567823">
        <w:t xml:space="preserve">IOU </w:t>
      </w:r>
      <w:r w:rsidR="00364D3A">
        <w:t xml:space="preserve">to </w:t>
      </w:r>
      <w:r w:rsidR="00567823">
        <w:t>develop a</w:t>
      </w:r>
      <w:r w:rsidR="004E7B3E">
        <w:t xml:space="preserve"> detailed pre- and post-mitigation analysis to determine the </w:t>
      </w:r>
      <w:r w:rsidR="00D24ECF">
        <w:t xml:space="preserve">estimated </w:t>
      </w:r>
      <w:r w:rsidR="004E7B3E">
        <w:t>risk reduction from</w:t>
      </w:r>
      <w:r w:rsidR="00C464F1">
        <w:t xml:space="preserve"> </w:t>
      </w:r>
      <w:r w:rsidR="00B22B85">
        <w:t>a</w:t>
      </w:r>
      <w:r w:rsidR="00F82CB6">
        <w:t xml:space="preserve"> proposed</w:t>
      </w:r>
      <w:r w:rsidR="004E7B3E">
        <w:t xml:space="preserve"> </w:t>
      </w:r>
      <w:r w:rsidR="00A47B41">
        <w:t>M</w:t>
      </w:r>
      <w:r w:rsidR="004E7B3E">
        <w:t>itigation.</w:t>
      </w:r>
      <w:r w:rsidR="009909A5">
        <w:t xml:space="preserve"> </w:t>
      </w:r>
      <w:r w:rsidR="00C464F1">
        <w:t xml:space="preserve"> </w:t>
      </w:r>
      <w:r w:rsidR="009909A5">
        <w:t xml:space="preserve">In order to provide a granular view of how </w:t>
      </w:r>
      <w:r w:rsidR="00BB47E4">
        <w:t>M</w:t>
      </w:r>
      <w:r w:rsidR="009909A5">
        <w:t xml:space="preserve">itigations </w:t>
      </w:r>
      <w:r w:rsidR="00D24ECF">
        <w:t>may</w:t>
      </w:r>
      <w:r w:rsidR="00C464F1">
        <w:t xml:space="preserve"> </w:t>
      </w:r>
      <w:r w:rsidR="009909A5">
        <w:t xml:space="preserve">reduce </w:t>
      </w:r>
      <w:r w:rsidR="00BB47E4">
        <w:t>R</w:t>
      </w:r>
      <w:r w:rsidR="009909A5">
        <w:t xml:space="preserve">isk, </w:t>
      </w:r>
      <w:r w:rsidR="00364D3A">
        <w:t xml:space="preserve">Step 3 </w:t>
      </w:r>
      <w:r w:rsidR="00567823">
        <w:t xml:space="preserve">requires </w:t>
      </w:r>
      <w:r w:rsidR="00364D3A">
        <w:t xml:space="preserve">each </w:t>
      </w:r>
      <w:r w:rsidR="00567823">
        <w:t xml:space="preserve">IOU to </w:t>
      </w:r>
      <w:r w:rsidR="00364D3A">
        <w:t xml:space="preserve">conduct its </w:t>
      </w:r>
      <w:r w:rsidR="009909A5">
        <w:t>analysis b</w:t>
      </w:r>
      <w:r w:rsidR="009B7C03">
        <w:t>y</w:t>
      </w:r>
      <w:r w:rsidR="009909A5">
        <w:t xml:space="preserve"> “</w:t>
      </w:r>
      <w:r w:rsidR="00BB47E4">
        <w:t>T</w:t>
      </w:r>
      <w:r w:rsidR="009909A5">
        <w:t>ranches</w:t>
      </w:r>
      <w:r w:rsidR="009B7C03">
        <w:t>,</w:t>
      </w:r>
      <w:r w:rsidR="009909A5">
        <w:t>”</w:t>
      </w:r>
      <w:r w:rsidR="009B7C03">
        <w:t xml:space="preserve"> or subgroups of assets or systems with like characteristics. </w:t>
      </w:r>
      <w:r w:rsidR="00A556AF">
        <w:t xml:space="preserve"> </w:t>
      </w:r>
      <w:r w:rsidR="00364D3A">
        <w:t xml:space="preserve">Step 3 requires each </w:t>
      </w:r>
      <w:r w:rsidR="00567823">
        <w:t xml:space="preserve">IOU </w:t>
      </w:r>
      <w:r w:rsidR="00364D3A">
        <w:t xml:space="preserve">to </w:t>
      </w:r>
      <w:r w:rsidR="00567823">
        <w:t xml:space="preserve">calculate </w:t>
      </w:r>
      <w:r w:rsidR="00A556AF">
        <w:t xml:space="preserve">pre-and post-mitigation </w:t>
      </w:r>
      <w:r w:rsidR="00A8285E">
        <w:t>Risk Scores</w:t>
      </w:r>
      <w:r w:rsidR="00B11B7B">
        <w:t xml:space="preserve"> as the product of </w:t>
      </w:r>
      <w:r w:rsidR="00320374">
        <w:t xml:space="preserve">the </w:t>
      </w:r>
      <w:r w:rsidR="007E3631">
        <w:t>L</w:t>
      </w:r>
      <w:r w:rsidR="00320374">
        <w:t xml:space="preserve">ikelihood and </w:t>
      </w:r>
      <w:r w:rsidR="007E3631">
        <w:t>C</w:t>
      </w:r>
      <w:r w:rsidR="00320374">
        <w:t xml:space="preserve">onsequence </w:t>
      </w:r>
      <w:r w:rsidR="00F752EC">
        <w:t xml:space="preserve">for each </w:t>
      </w:r>
      <w:r w:rsidR="007E3631">
        <w:t>T</w:t>
      </w:r>
      <w:r w:rsidR="00F752EC">
        <w:t xml:space="preserve">ranche subject to the identified Risk Event. </w:t>
      </w:r>
      <w:r w:rsidR="00794391">
        <w:t xml:space="preserve"> </w:t>
      </w:r>
      <w:r w:rsidR="003C4399">
        <w:t xml:space="preserve">For each of the </w:t>
      </w:r>
      <w:r w:rsidR="007E3631">
        <w:t>M</w:t>
      </w:r>
      <w:r w:rsidR="003C4399">
        <w:t xml:space="preserve">itigations, </w:t>
      </w:r>
      <w:r w:rsidR="00364D3A">
        <w:t xml:space="preserve">Step 3 </w:t>
      </w:r>
      <w:r w:rsidR="00D606A8">
        <w:t>of the SA</w:t>
      </w:r>
      <w:r w:rsidR="000862A4">
        <w:t> </w:t>
      </w:r>
      <w:r w:rsidR="00D606A8">
        <w:t xml:space="preserve">Decision </w:t>
      </w:r>
      <w:r w:rsidR="00364D3A">
        <w:t xml:space="preserve">requires </w:t>
      </w:r>
      <w:r w:rsidR="003C4399">
        <w:t xml:space="preserve">the </w:t>
      </w:r>
      <w:r w:rsidR="00567823">
        <w:t>IOU</w:t>
      </w:r>
      <w:r w:rsidDel="0099112C" w:rsidR="003C4399">
        <w:t xml:space="preserve"> </w:t>
      </w:r>
      <w:r w:rsidR="00364D3A">
        <w:t xml:space="preserve">to </w:t>
      </w:r>
      <w:r w:rsidR="00794391">
        <w:t>perform a</w:t>
      </w:r>
      <w:r w:rsidR="0098686A">
        <w:t>n</w:t>
      </w:r>
      <w:r w:rsidR="00794391">
        <w:t xml:space="preserve"> RSE calculation to </w:t>
      </w:r>
      <w:r w:rsidR="00A005DE">
        <w:t xml:space="preserve">estimate the risk reduction per dollar spent on the </w:t>
      </w:r>
      <w:r w:rsidR="004B6B4C">
        <w:t>M</w:t>
      </w:r>
      <w:r w:rsidR="00A005DE">
        <w:t>itigation.</w:t>
      </w:r>
    </w:p>
    <w:p w:rsidR="007156B9" w:rsidP="00B979B8" w:rsidRDefault="009B4FAF" w14:paraId="65A63153" w14:textId="1D3C7E66">
      <w:pPr>
        <w:pStyle w:val="Heading3"/>
        <w:numPr>
          <w:ilvl w:val="2"/>
          <w:numId w:val="1"/>
        </w:numPr>
      </w:pPr>
      <w:bookmarkStart w:name="_Toc116314210" w:id="17"/>
      <w:bookmarkStart w:name="_Toc121821034" w:id="18"/>
      <w:bookmarkEnd w:id="17"/>
      <w:r>
        <w:t>Staff Proposal</w:t>
      </w:r>
      <w:bookmarkEnd w:id="18"/>
    </w:p>
    <w:p w:rsidR="00F0691D" w:rsidP="000E270A" w:rsidRDefault="00BC0C5F" w14:paraId="5CCDF412" w14:textId="4F2F40B2">
      <w:pPr>
        <w:pStyle w:val="Standard"/>
      </w:pPr>
      <w:r>
        <w:t xml:space="preserve">The </w:t>
      </w:r>
      <w:r w:rsidR="00640432">
        <w:t xml:space="preserve">Staff </w:t>
      </w:r>
      <w:r>
        <w:t xml:space="preserve">Proposal </w:t>
      </w:r>
      <w:r w:rsidR="00640432">
        <w:t>recommend</w:t>
      </w:r>
      <w:r>
        <w:t>s</w:t>
      </w:r>
      <w:r w:rsidR="000116AD">
        <w:t xml:space="preserve"> that the </w:t>
      </w:r>
      <w:r w:rsidR="002D4A8B">
        <w:t xml:space="preserve">Commission </w:t>
      </w:r>
      <w:r w:rsidR="005F79D9">
        <w:t>shift</w:t>
      </w:r>
      <w:r w:rsidR="0074152C">
        <w:t xml:space="preserve"> from </w:t>
      </w:r>
      <w:r w:rsidR="00A52DB2">
        <w:t>a</w:t>
      </w:r>
      <w:r w:rsidR="002355FB">
        <w:t>n</w:t>
      </w:r>
      <w:r w:rsidR="00A52DB2">
        <w:t xml:space="preserve"> RDF that includes a</w:t>
      </w:r>
      <w:r w:rsidR="002355FB">
        <w:t>n</w:t>
      </w:r>
      <w:r w:rsidR="00A52DB2">
        <w:t xml:space="preserve"> </w:t>
      </w:r>
      <w:r w:rsidR="0074152C">
        <w:t>MAVF approach</w:t>
      </w:r>
      <w:r w:rsidR="00A52DB2">
        <w:t xml:space="preserve">, as </w:t>
      </w:r>
      <w:r w:rsidR="00875A94">
        <w:t xml:space="preserve">adopted in </w:t>
      </w:r>
      <w:r w:rsidR="00271200">
        <w:t>the SA Decision</w:t>
      </w:r>
      <w:r w:rsidR="00A52DB2">
        <w:t>,</w:t>
      </w:r>
      <w:r w:rsidR="00271200">
        <w:t xml:space="preserve"> </w:t>
      </w:r>
      <w:r w:rsidR="0074152C">
        <w:t>to a</w:t>
      </w:r>
      <w:r w:rsidR="00700DB7">
        <w:t>n</w:t>
      </w:r>
      <w:r w:rsidR="0074152C">
        <w:t xml:space="preserve"> </w:t>
      </w:r>
      <w:r w:rsidR="00A52DB2">
        <w:t xml:space="preserve">RDF using </w:t>
      </w:r>
      <w:r w:rsidR="00C81E45">
        <w:t xml:space="preserve">the Cost-Benefit Approach. </w:t>
      </w:r>
      <w:r w:rsidR="0074152C">
        <w:t xml:space="preserve">  To do this, Staff recommend the Commission </w:t>
      </w:r>
      <w:r w:rsidR="002D4A8B">
        <w:t xml:space="preserve">require </w:t>
      </w:r>
      <w:r w:rsidR="004F2768">
        <w:t xml:space="preserve">the </w:t>
      </w:r>
      <w:r w:rsidR="002D4A8B">
        <w:t>IOUs</w:t>
      </w:r>
      <w:r w:rsidR="0074152C">
        <w:t xml:space="preserve">, when using the RDF, </w:t>
      </w:r>
      <w:r w:rsidR="002D4A8B">
        <w:t xml:space="preserve">to represent the </w:t>
      </w:r>
      <w:r w:rsidR="00291983">
        <w:t xml:space="preserve">value of combined risk </w:t>
      </w:r>
      <w:r w:rsidR="00447DC8">
        <w:t>Attribute</w:t>
      </w:r>
      <w:r w:rsidR="00291983">
        <w:t xml:space="preserve">s </w:t>
      </w:r>
      <w:r w:rsidR="0067749B">
        <w:t xml:space="preserve">in dollars </w:t>
      </w:r>
      <w:r w:rsidR="00564860">
        <w:t>rather than</w:t>
      </w:r>
      <w:r w:rsidR="0067749B">
        <w:t xml:space="preserve"> </w:t>
      </w:r>
      <w:r w:rsidR="00CF3A8E">
        <w:t xml:space="preserve">unitless </w:t>
      </w:r>
      <w:r w:rsidR="00FE6DE1">
        <w:t>Risk Scores</w:t>
      </w:r>
      <w:r w:rsidR="00F73C22">
        <w:t>.</w:t>
      </w:r>
      <w:r w:rsidR="0074152C">
        <w:t xml:space="preserve">  </w:t>
      </w:r>
      <w:r w:rsidR="00BF7639">
        <w:t xml:space="preserve">Staff propose to leave </w:t>
      </w:r>
      <w:r w:rsidR="004C7BDB">
        <w:t xml:space="preserve">unchanged </w:t>
      </w:r>
      <w:r w:rsidR="00BF7639">
        <w:t xml:space="preserve">the </w:t>
      </w:r>
      <w:r w:rsidR="001E128B">
        <w:t xml:space="preserve">RDF </w:t>
      </w:r>
      <w:r w:rsidR="00BF7639">
        <w:t xml:space="preserve">scaling function requirements used to reflect </w:t>
      </w:r>
      <w:r w:rsidR="00E14B1F">
        <w:t>Risk A</w:t>
      </w:r>
      <w:r w:rsidR="00BF7639">
        <w:t>ttitude.</w:t>
      </w:r>
      <w:r w:rsidR="00BF7639">
        <w:rPr>
          <w:rStyle w:val="FootnoteReference"/>
        </w:rPr>
        <w:footnoteReference w:id="23"/>
      </w:r>
      <w:r w:rsidR="00BF7639">
        <w:t xml:space="preserve">  </w:t>
      </w:r>
      <w:r w:rsidR="00013CB6">
        <w:t xml:space="preserve">Staff also propose the Commission should provide the </w:t>
      </w:r>
      <w:r w:rsidRPr="00B335B8" w:rsidR="00013CB6">
        <w:t xml:space="preserve">IOUs </w:t>
      </w:r>
      <w:r w:rsidR="00013CB6">
        <w:t xml:space="preserve">with the </w:t>
      </w:r>
      <w:r w:rsidR="000B51CB">
        <w:t xml:space="preserve">same </w:t>
      </w:r>
      <w:r w:rsidR="00013CB6">
        <w:t>f</w:t>
      </w:r>
      <w:r w:rsidRPr="00B335B8" w:rsidR="00013CB6">
        <w:t xml:space="preserve">lexibility to incorporate Risk Attitude and Risk Tolerance into </w:t>
      </w:r>
      <w:r w:rsidR="004C7BDB">
        <w:t xml:space="preserve">an RDF using </w:t>
      </w:r>
      <w:r w:rsidR="00C81E45">
        <w:t xml:space="preserve">the Cost-Benefit Approach </w:t>
      </w:r>
      <w:r w:rsidRPr="00B335B8" w:rsidR="00013CB6">
        <w:t xml:space="preserve">as they would under the current </w:t>
      </w:r>
      <w:r w:rsidR="004C7BDB">
        <w:t xml:space="preserve">RDF using </w:t>
      </w:r>
      <w:r w:rsidR="00C81E45">
        <w:t>the</w:t>
      </w:r>
      <w:r w:rsidR="004C7BDB">
        <w:t xml:space="preserve"> </w:t>
      </w:r>
      <w:r w:rsidRPr="00B335B8" w:rsidR="00013CB6">
        <w:t xml:space="preserve">MAVF </w:t>
      </w:r>
      <w:r w:rsidR="004C7BDB">
        <w:t>approach</w:t>
      </w:r>
      <w:r w:rsidR="00013CB6">
        <w:t>.</w:t>
      </w:r>
      <w:r w:rsidR="003826D8">
        <w:rPr>
          <w:rStyle w:val="FootnoteReference"/>
        </w:rPr>
        <w:footnoteReference w:id="24"/>
      </w:r>
      <w:r w:rsidR="00013CB6">
        <w:t xml:space="preserve">  </w:t>
      </w:r>
      <w:r w:rsidR="001E128B">
        <w:t>Staff assert that</w:t>
      </w:r>
      <w:r w:rsidR="0014411A">
        <w:t xml:space="preserve"> </w:t>
      </w:r>
      <w:r w:rsidR="003826D8">
        <w:t xml:space="preserve">Staff’s proposed </w:t>
      </w:r>
      <w:r w:rsidR="004C7BDB">
        <w:t xml:space="preserve">modifications </w:t>
      </w:r>
      <w:r w:rsidR="0051510F">
        <w:t>result</w:t>
      </w:r>
      <w:r w:rsidR="006751FA">
        <w:t xml:space="preserve"> in </w:t>
      </w:r>
      <w:r w:rsidR="00BF1E1F">
        <w:t xml:space="preserve">only </w:t>
      </w:r>
      <w:r w:rsidR="006751FA">
        <w:t>limited</w:t>
      </w:r>
      <w:r w:rsidR="00427502">
        <w:t xml:space="preserve"> change</w:t>
      </w:r>
      <w:r w:rsidR="0014411A">
        <w:t>s</w:t>
      </w:r>
      <w:r w:rsidR="00B30C2F">
        <w:t>, specifically the elimination of</w:t>
      </w:r>
      <w:r w:rsidR="00427502">
        <w:t xml:space="preserve"> the </w:t>
      </w:r>
      <w:r w:rsidR="00C10402">
        <w:t>application</w:t>
      </w:r>
      <w:r w:rsidR="0035422D">
        <w:t xml:space="preserve"> of </w:t>
      </w:r>
      <w:r w:rsidR="00C662CD">
        <w:t xml:space="preserve">ranges and weights in </w:t>
      </w:r>
      <w:r w:rsidR="00C740C2">
        <w:t>Step 1A</w:t>
      </w:r>
      <w:r w:rsidR="000E77A8">
        <w:t xml:space="preserve"> of the RDF</w:t>
      </w:r>
      <w:r w:rsidR="00FC41FB">
        <w:t>,</w:t>
      </w:r>
      <w:r w:rsidR="00BF1E1F">
        <w:t xml:space="preserve"> but </w:t>
      </w:r>
      <w:r w:rsidR="00B40394">
        <w:t xml:space="preserve">would </w:t>
      </w:r>
      <w:r w:rsidR="00BF1E1F">
        <w:t>positively</w:t>
      </w:r>
      <w:r w:rsidR="00B40394">
        <w:t xml:space="preserve"> impact </w:t>
      </w:r>
      <w:r w:rsidR="001D7ED9">
        <w:t>analys</w:t>
      </w:r>
      <w:r w:rsidR="00413748">
        <w:t>e</w:t>
      </w:r>
      <w:r w:rsidR="001D7ED9">
        <w:t xml:space="preserve">s </w:t>
      </w:r>
      <w:r w:rsidR="00EB3D67">
        <w:t xml:space="preserve">conducted in </w:t>
      </w:r>
      <w:r w:rsidR="00692E49">
        <w:t>subsequent steps</w:t>
      </w:r>
      <w:r w:rsidR="00B40394">
        <w:t xml:space="preserve"> of the RDF.</w:t>
      </w:r>
      <w:r w:rsidR="00B335B8">
        <w:t xml:space="preserve">  </w:t>
      </w:r>
    </w:p>
    <w:p w:rsidR="00B34222" w:rsidP="00B31369" w:rsidRDefault="00B024B1" w14:paraId="44258418" w14:textId="13C3C4A8">
      <w:pPr>
        <w:pStyle w:val="Standard"/>
      </w:pPr>
      <w:r>
        <w:t xml:space="preserve">To </w:t>
      </w:r>
      <w:r w:rsidR="00413748">
        <w:t>demonstrate proposed modifications</w:t>
      </w:r>
      <w:r w:rsidR="00692E49">
        <w:t xml:space="preserve">, </w:t>
      </w:r>
      <w:r w:rsidR="00045CC2">
        <w:t>the Staff Proposal</w:t>
      </w:r>
      <w:r w:rsidR="00DB4F4B">
        <w:t xml:space="preserve"> </w:t>
      </w:r>
      <w:r w:rsidR="000B3E86">
        <w:t>includes</w:t>
      </w:r>
      <w:r w:rsidR="00DB4F4B">
        <w:t xml:space="preserve"> </w:t>
      </w:r>
      <w:r w:rsidR="00C65B43">
        <w:t>example</w:t>
      </w:r>
      <w:r w:rsidR="009B6BFE">
        <w:t xml:space="preserve"> calculations of</w:t>
      </w:r>
      <w:r w:rsidR="00384AB6">
        <w:t xml:space="preserve"> </w:t>
      </w:r>
      <w:r w:rsidR="00FE6475">
        <w:t xml:space="preserve">the </w:t>
      </w:r>
      <w:r w:rsidR="00447DC8">
        <w:t>S</w:t>
      </w:r>
      <w:r w:rsidR="008D0D40">
        <w:t xml:space="preserve">afety, </w:t>
      </w:r>
      <w:r w:rsidR="00447DC8">
        <w:t>R</w:t>
      </w:r>
      <w:r w:rsidR="008D0D40">
        <w:t xml:space="preserve">eliability, and </w:t>
      </w:r>
      <w:r w:rsidR="00447DC8">
        <w:t>F</w:t>
      </w:r>
      <w:r w:rsidR="008D0D40">
        <w:t xml:space="preserve">inancial </w:t>
      </w:r>
      <w:r w:rsidR="00447DC8">
        <w:t>Attribute</w:t>
      </w:r>
      <w:r w:rsidR="008D0D40">
        <w:t xml:space="preserve">s under the </w:t>
      </w:r>
      <w:r w:rsidRPr="00852450" w:rsidR="008D0D40">
        <w:t xml:space="preserve">MAVF approach </w:t>
      </w:r>
      <w:r w:rsidR="00413748">
        <w:t xml:space="preserve">adopted in the SA Decision </w:t>
      </w:r>
      <w:r w:rsidR="00752DD6">
        <w:t xml:space="preserve">as </w:t>
      </w:r>
      <w:r w:rsidR="00AB4635">
        <w:t>compared to</w:t>
      </w:r>
      <w:r w:rsidRPr="00852450" w:rsidR="008D0D40">
        <w:t xml:space="preserve"> </w:t>
      </w:r>
      <w:r w:rsidR="00413748">
        <w:t xml:space="preserve">Staff’s proposed </w:t>
      </w:r>
      <w:r w:rsidR="002B2FA9">
        <w:t>Cost-Benefit Approach</w:t>
      </w:r>
      <w:r w:rsidR="00972BA5">
        <w:t xml:space="preserve">.  We provide </w:t>
      </w:r>
      <w:r w:rsidR="00426209">
        <w:t xml:space="preserve">Staff’s example calculations </w:t>
      </w:r>
      <w:r w:rsidR="00972BA5">
        <w:t>in</w:t>
      </w:r>
      <w:r w:rsidR="00E32080">
        <w:t xml:space="preserve"> Table 2 and Table 3 below.</w:t>
      </w:r>
      <w:r w:rsidR="00ED1AFE">
        <w:rPr>
          <w:rStyle w:val="FootnoteReference"/>
        </w:rPr>
        <w:footnoteReference w:id="25"/>
      </w:r>
      <w:r w:rsidR="00E32080">
        <w:t xml:space="preserve">  </w:t>
      </w:r>
    </w:p>
    <w:p w:rsidR="001A3A66" w:rsidP="00B31369" w:rsidRDefault="00565439" w14:paraId="3A956E79" w14:textId="6C2581BF">
      <w:pPr>
        <w:pStyle w:val="Standard"/>
      </w:pPr>
      <w:r>
        <w:t>B</w:t>
      </w:r>
      <w:r w:rsidR="00B31369">
        <w:t xml:space="preserve">oth </w:t>
      </w:r>
      <w:r>
        <w:t xml:space="preserve">examples provided by Staff </w:t>
      </w:r>
      <w:r w:rsidR="00B31369">
        <w:t xml:space="preserve">assume initial unit </w:t>
      </w:r>
      <w:r w:rsidR="00900A6C">
        <w:t>values</w:t>
      </w:r>
      <w:r w:rsidR="00D35A7C">
        <w:t xml:space="preserve"> (</w:t>
      </w:r>
      <w:r w:rsidRPr="00491ACB" w:rsidR="00D35A7C">
        <w:t>or</w:t>
      </w:r>
      <w:r w:rsidR="00D35A7C">
        <w:t xml:space="preserve"> </w:t>
      </w:r>
      <w:r w:rsidR="00A52EA0">
        <w:t>L</w:t>
      </w:r>
      <w:r w:rsidRPr="00491ACB" w:rsidR="00A52EA0">
        <w:t>evels</w:t>
      </w:r>
      <w:r w:rsidR="00D35A7C">
        <w:t>)</w:t>
      </w:r>
      <w:r w:rsidR="00900A6C">
        <w:t xml:space="preserve"> of </w:t>
      </w:r>
      <w:r w:rsidRPr="00900A6C" w:rsidR="00900A6C">
        <w:t>20 fatalities, 500 CMI, and $1 billion of financial loss</w:t>
      </w:r>
      <w:r w:rsidR="00B31369">
        <w:t xml:space="preserve">, </w:t>
      </w:r>
      <w:r w:rsidR="00BC647A">
        <w:t xml:space="preserve">and </w:t>
      </w:r>
      <w:r w:rsidR="00180D2B">
        <w:t>use a</w:t>
      </w:r>
      <w:r w:rsidR="00B31369">
        <w:t xml:space="preserve"> </w:t>
      </w:r>
      <w:r w:rsidR="00BC647A">
        <w:t>linear scaling function</w:t>
      </w:r>
      <w:r w:rsidR="000649F7">
        <w:t xml:space="preserve"> for all </w:t>
      </w:r>
      <w:r w:rsidR="00447DC8">
        <w:t>Attribute</w:t>
      </w:r>
      <w:r w:rsidR="000649F7">
        <w:t>s</w:t>
      </w:r>
      <w:r w:rsidR="00BC647A">
        <w:t xml:space="preserve">.  </w:t>
      </w:r>
      <w:r w:rsidR="000649F7">
        <w:t>Wh</w:t>
      </w:r>
      <w:r w:rsidR="00326A11">
        <w:t xml:space="preserve">ile </w:t>
      </w:r>
      <w:r w:rsidR="000649F7">
        <w:t>the</w:t>
      </w:r>
      <w:r w:rsidR="001663F4">
        <w:t xml:space="preserve"> MAVF approach relies upon the sum of weighted scores </w:t>
      </w:r>
      <w:r w:rsidR="0060340E">
        <w:t xml:space="preserve">for each </w:t>
      </w:r>
      <w:r w:rsidR="00447DC8">
        <w:t>Attribute</w:t>
      </w:r>
      <w:r w:rsidR="0060340E">
        <w:t xml:space="preserve">, </w:t>
      </w:r>
      <w:r w:rsidR="00627BCE">
        <w:t xml:space="preserve">each </w:t>
      </w:r>
      <w:r w:rsidR="00122E6D">
        <w:t>with its</w:t>
      </w:r>
      <w:r w:rsidR="00627BCE">
        <w:t xml:space="preserve"> own</w:t>
      </w:r>
      <w:r w:rsidR="004851B8">
        <w:t xml:space="preserve"> </w:t>
      </w:r>
      <w:r w:rsidR="00146DDD">
        <w:t xml:space="preserve">stated </w:t>
      </w:r>
      <w:r w:rsidR="004851B8">
        <w:t>range, sc</w:t>
      </w:r>
      <w:r w:rsidR="00146DDD">
        <w:t xml:space="preserve">aling function, and weight parameter, </w:t>
      </w:r>
      <w:r w:rsidR="0097537C">
        <w:t xml:space="preserve">Staff’s proposed </w:t>
      </w:r>
      <w:r w:rsidR="001D62FB">
        <w:t>C</w:t>
      </w:r>
      <w:r w:rsidR="00B2384B">
        <w:t>ost</w:t>
      </w:r>
      <w:r w:rsidR="00180D2B">
        <w:t>-</w:t>
      </w:r>
      <w:r w:rsidR="0045516F">
        <w:t>B</w:t>
      </w:r>
      <w:r w:rsidR="00B2384B">
        <w:t xml:space="preserve">enefit </w:t>
      </w:r>
      <w:r w:rsidR="001D62FB">
        <w:t>A</w:t>
      </w:r>
      <w:r w:rsidR="00180D2B">
        <w:t xml:space="preserve">pproach </w:t>
      </w:r>
      <w:r w:rsidR="00B34222">
        <w:t>uses dollar values taken from independent government and industry sources</w:t>
      </w:r>
      <w:r w:rsidR="008C463D">
        <w:t>,</w:t>
      </w:r>
      <w:r w:rsidR="00EE7469">
        <w:t xml:space="preserve"> which makes </w:t>
      </w:r>
      <w:r w:rsidR="001F6050">
        <w:t xml:space="preserve">the assignment of </w:t>
      </w:r>
      <w:r w:rsidR="00447DC8">
        <w:t>A</w:t>
      </w:r>
      <w:r w:rsidR="001F6050">
        <w:t xml:space="preserve">ttribute ranges and weights </w:t>
      </w:r>
      <w:r w:rsidR="004F2927">
        <w:t>no longer applicable.</w:t>
      </w:r>
      <w:r w:rsidR="001F6050">
        <w:t xml:space="preserve"> </w:t>
      </w:r>
      <w:r w:rsidDel="00B34222" w:rsidR="00DF54C1">
        <w:t xml:space="preserve"> </w:t>
      </w:r>
    </w:p>
    <w:p w:rsidR="00CD4E65" w:rsidP="00F23583" w:rsidRDefault="00711812" w14:paraId="1AEFF002" w14:textId="1FF1FC51">
      <w:pPr>
        <w:keepNext/>
        <w:spacing w:before="240" w:after="120"/>
        <w:ind w:firstLine="0"/>
        <w:jc w:val="center"/>
        <w:rPr>
          <w:b/>
          <w:bCs/>
        </w:rPr>
      </w:pPr>
      <w:r w:rsidRPr="00700BBF">
        <w:rPr>
          <w:b/>
          <w:bCs/>
        </w:rPr>
        <w:t xml:space="preserve">Table </w:t>
      </w:r>
      <w:r w:rsidR="009016FC">
        <w:rPr>
          <w:b/>
          <w:bCs/>
        </w:rPr>
        <w:t>2</w:t>
      </w:r>
      <w:r w:rsidRPr="00700BBF">
        <w:rPr>
          <w:b/>
          <w:bCs/>
        </w:rPr>
        <w:t xml:space="preserve">: </w:t>
      </w:r>
      <w:r w:rsidRPr="008C4822" w:rsidR="008C4822">
        <w:rPr>
          <w:b/>
          <w:bCs/>
        </w:rPr>
        <w:t>Use of MAVF Approach to Calculate a Risk Score</w:t>
      </w:r>
      <w:r w:rsidR="00030AA2">
        <w:rPr>
          <w:rStyle w:val="FootnoteReference"/>
          <w:b/>
          <w:bCs/>
        </w:rPr>
        <w:footnoteReference w:id="26"/>
      </w:r>
    </w:p>
    <w:tbl>
      <w:tblPr>
        <w:tblW w:w="9463" w:type="dxa"/>
        <w:jc w:val="center"/>
        <w:tblLook w:val="04A0" w:firstRow="1" w:lastRow="0" w:firstColumn="1" w:lastColumn="0" w:noHBand="0" w:noVBand="1"/>
      </w:tblPr>
      <w:tblGrid>
        <w:gridCol w:w="1108"/>
        <w:gridCol w:w="895"/>
        <w:gridCol w:w="1101"/>
        <w:gridCol w:w="812"/>
        <w:gridCol w:w="912"/>
        <w:gridCol w:w="1080"/>
        <w:gridCol w:w="1220"/>
        <w:gridCol w:w="727"/>
        <w:gridCol w:w="794"/>
        <w:gridCol w:w="1124"/>
      </w:tblGrid>
      <w:tr w:rsidRPr="00BD5ECB" w:rsidR="00BC5CB6" w:rsidTr="00170630" w14:paraId="291E2A92" w14:textId="77777777">
        <w:trPr>
          <w:trHeight w:val="908"/>
          <w:jc w:val="center"/>
        </w:trPr>
        <w:tc>
          <w:tcPr>
            <w:tcW w:w="1108" w:type="dxa"/>
            <w:tcBorders>
              <w:top w:val="single" w:color="auto" w:sz="4" w:space="0"/>
              <w:left w:val="single" w:color="auto" w:sz="4" w:space="0"/>
              <w:bottom w:val="double" w:color="auto" w:sz="6" w:space="0"/>
              <w:right w:val="single" w:color="auto" w:sz="4" w:space="0"/>
            </w:tcBorders>
            <w:shd w:val="clear" w:color="auto" w:fill="FFC000" w:themeFill="accent4"/>
            <w:noWrap/>
            <w:vAlign w:val="center"/>
            <w:hideMark/>
          </w:tcPr>
          <w:p w:rsidRPr="00BD5ECB" w:rsidR="00BD5ECB" w:rsidP="00F23583" w:rsidRDefault="00BD5ECB" w14:paraId="0036C1A5"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Attributes</w:t>
            </w:r>
          </w:p>
        </w:tc>
        <w:tc>
          <w:tcPr>
            <w:tcW w:w="895"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4FAF8D57"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Natural </w:t>
            </w:r>
            <w:r w:rsidRPr="00BD5ECB">
              <w:rPr>
                <w:rFonts w:ascii="Times New Roman" w:hAnsi="Times New Roman" w:eastAsia="Times New Roman" w:cs="Times New Roman"/>
                <w:b/>
                <w:color w:val="000000"/>
                <w:sz w:val="18"/>
                <w:szCs w:val="18"/>
              </w:rPr>
              <w:br/>
              <w:t>Units</w:t>
            </w:r>
          </w:p>
        </w:tc>
        <w:tc>
          <w:tcPr>
            <w:tcW w:w="803" w:type="dxa"/>
            <w:tcBorders>
              <w:top w:val="single" w:color="auto" w:sz="4" w:space="0"/>
              <w:left w:val="nil"/>
              <w:bottom w:val="double" w:color="auto" w:sz="6" w:space="0"/>
              <w:right w:val="single" w:color="auto" w:sz="4" w:space="0"/>
            </w:tcBorders>
            <w:shd w:val="clear" w:color="auto" w:fill="FFC000" w:themeFill="accent4"/>
            <w:noWrap/>
            <w:vAlign w:val="center"/>
            <w:hideMark/>
          </w:tcPr>
          <w:p w:rsidRPr="00BD5ECB" w:rsidR="00BD5ECB" w:rsidP="00F23583" w:rsidRDefault="00BD5ECB" w14:paraId="1CCE1781"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Value</w:t>
            </w:r>
          </w:p>
        </w:tc>
        <w:tc>
          <w:tcPr>
            <w:tcW w:w="812"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29686A02"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Lower </w:t>
            </w:r>
            <w:r w:rsidRPr="00BD5ECB">
              <w:rPr>
                <w:rFonts w:ascii="Times New Roman" w:hAnsi="Times New Roman" w:eastAsia="Times New Roman" w:cs="Times New Roman"/>
                <w:b/>
                <w:color w:val="000000"/>
                <w:sz w:val="18"/>
                <w:szCs w:val="18"/>
              </w:rPr>
              <w:br/>
              <w:t>Bound</w:t>
            </w:r>
          </w:p>
        </w:tc>
        <w:tc>
          <w:tcPr>
            <w:tcW w:w="900"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25B7A6C5"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Upper </w:t>
            </w:r>
            <w:r w:rsidRPr="00BD5ECB">
              <w:rPr>
                <w:rFonts w:ascii="Times New Roman" w:hAnsi="Times New Roman" w:eastAsia="Times New Roman" w:cs="Times New Roman"/>
                <w:b/>
                <w:color w:val="000000"/>
                <w:sz w:val="18"/>
                <w:szCs w:val="18"/>
              </w:rPr>
              <w:br/>
              <w:t>Bound</w:t>
            </w:r>
          </w:p>
        </w:tc>
        <w:tc>
          <w:tcPr>
            <w:tcW w:w="1080"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11859774" w14:textId="65C4312D">
            <w:pPr>
              <w:keepNext/>
              <w:spacing w:line="240" w:lineRule="auto"/>
              <w:ind w:firstLine="0"/>
              <w:jc w:val="center"/>
              <w:rPr>
                <w:rFonts w:ascii="Times New Roman" w:hAnsi="Times New Roman" w:eastAsia="Times New Roman" w:cs="Times New Roman"/>
                <w:b/>
                <w:color w:val="000000"/>
                <w:sz w:val="18"/>
                <w:szCs w:val="18"/>
              </w:rPr>
            </w:pPr>
            <w:r w:rsidRPr="2882D095">
              <w:rPr>
                <w:rFonts w:ascii="Times New Roman" w:hAnsi="Times New Roman" w:eastAsia="Times New Roman" w:cs="Times New Roman"/>
                <w:b/>
                <w:color w:val="000000" w:themeColor="text1"/>
                <w:sz w:val="18"/>
                <w:szCs w:val="18"/>
              </w:rPr>
              <w:t xml:space="preserve">Percent of </w:t>
            </w:r>
            <w:r>
              <w:br/>
            </w:r>
            <w:r w:rsidRPr="2882D095">
              <w:rPr>
                <w:rFonts w:ascii="Times New Roman" w:hAnsi="Times New Roman" w:eastAsia="Times New Roman" w:cs="Times New Roman"/>
                <w:b/>
                <w:color w:val="000000" w:themeColor="text1"/>
                <w:sz w:val="18"/>
                <w:szCs w:val="18"/>
              </w:rPr>
              <w:t>Range</w:t>
            </w:r>
          </w:p>
        </w:tc>
        <w:tc>
          <w:tcPr>
            <w:tcW w:w="1220"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4D100658"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Scaling </w:t>
            </w:r>
            <w:r w:rsidRPr="00BD5ECB">
              <w:rPr>
                <w:rFonts w:ascii="Times New Roman" w:hAnsi="Times New Roman" w:eastAsia="Times New Roman" w:cs="Times New Roman"/>
                <w:b/>
                <w:color w:val="000000"/>
                <w:sz w:val="18"/>
                <w:szCs w:val="18"/>
              </w:rPr>
              <w:br/>
              <w:t>Function</w:t>
            </w:r>
          </w:p>
        </w:tc>
        <w:tc>
          <w:tcPr>
            <w:tcW w:w="727"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7AD04990"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Scaled </w:t>
            </w:r>
            <w:r w:rsidRPr="00BD5ECB">
              <w:rPr>
                <w:rFonts w:ascii="Times New Roman" w:hAnsi="Times New Roman" w:eastAsia="Times New Roman" w:cs="Times New Roman"/>
                <w:b/>
                <w:color w:val="000000"/>
                <w:sz w:val="18"/>
                <w:szCs w:val="18"/>
              </w:rPr>
              <w:br/>
              <w:t>Score</w:t>
            </w:r>
          </w:p>
        </w:tc>
        <w:tc>
          <w:tcPr>
            <w:tcW w:w="794" w:type="dxa"/>
            <w:tcBorders>
              <w:top w:val="single" w:color="auto" w:sz="4" w:space="0"/>
              <w:left w:val="nil"/>
              <w:bottom w:val="double" w:color="auto" w:sz="6" w:space="0"/>
              <w:right w:val="single" w:color="auto" w:sz="4" w:space="0"/>
            </w:tcBorders>
            <w:shd w:val="clear" w:color="auto" w:fill="FFC000" w:themeFill="accent4"/>
            <w:noWrap/>
            <w:vAlign w:val="center"/>
            <w:hideMark/>
          </w:tcPr>
          <w:p w:rsidRPr="00BD5ECB" w:rsidR="00BD5ECB" w:rsidP="00F23583" w:rsidRDefault="00BD5ECB" w14:paraId="23A31339" w14:textId="77777777">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Weight</w:t>
            </w:r>
          </w:p>
        </w:tc>
        <w:tc>
          <w:tcPr>
            <w:tcW w:w="1124" w:type="dxa"/>
            <w:tcBorders>
              <w:top w:val="single" w:color="auto" w:sz="4" w:space="0"/>
              <w:left w:val="nil"/>
              <w:bottom w:val="double" w:color="auto" w:sz="6" w:space="0"/>
              <w:right w:val="single" w:color="auto" w:sz="4" w:space="0"/>
            </w:tcBorders>
            <w:shd w:val="clear" w:color="auto" w:fill="FFC000" w:themeFill="accent4"/>
            <w:vAlign w:val="center"/>
            <w:hideMark/>
          </w:tcPr>
          <w:p w:rsidRPr="00BD5ECB" w:rsidR="00BD5ECB" w:rsidP="00F23583" w:rsidRDefault="00BD5ECB" w14:paraId="42253990" w14:textId="7700D7A3">
            <w:pPr>
              <w:keepNext/>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Weighted</w:t>
            </w:r>
            <w:r w:rsidRPr="00BD5ECB">
              <w:rPr>
                <w:rFonts w:ascii="Times New Roman" w:hAnsi="Times New Roman" w:eastAsia="Times New Roman" w:cs="Times New Roman"/>
                <w:b/>
                <w:color w:val="000000"/>
                <w:sz w:val="18"/>
                <w:szCs w:val="18"/>
              </w:rPr>
              <w:br/>
            </w:r>
            <w:r w:rsidR="007A1689">
              <w:rPr>
                <w:rFonts w:ascii="Times New Roman" w:hAnsi="Times New Roman" w:eastAsia="Times New Roman" w:cs="Times New Roman"/>
                <w:b/>
                <w:color w:val="000000"/>
                <w:sz w:val="18"/>
                <w:szCs w:val="18"/>
              </w:rPr>
              <w:t xml:space="preserve">Risk </w:t>
            </w:r>
            <w:r w:rsidRPr="00BD5ECB">
              <w:rPr>
                <w:rFonts w:ascii="Times New Roman" w:hAnsi="Times New Roman" w:eastAsia="Times New Roman" w:cs="Times New Roman"/>
                <w:b/>
                <w:color w:val="000000"/>
                <w:sz w:val="18"/>
                <w:szCs w:val="18"/>
              </w:rPr>
              <w:t>Score*</w:t>
            </w:r>
          </w:p>
        </w:tc>
      </w:tr>
      <w:tr w:rsidRPr="00BD5ECB" w:rsidR="00E273FD" w:rsidTr="00170630" w14:paraId="3255AD50" w14:textId="77777777">
        <w:trPr>
          <w:trHeight w:val="660"/>
          <w:jc w:val="center"/>
        </w:trPr>
        <w:tc>
          <w:tcPr>
            <w:tcW w:w="1108" w:type="dxa"/>
            <w:tcBorders>
              <w:top w:val="nil"/>
              <w:left w:val="single" w:color="auto" w:sz="4" w:space="0"/>
              <w:bottom w:val="single" w:color="auto" w:sz="4" w:space="0"/>
              <w:right w:val="single" w:color="auto" w:sz="4" w:space="0"/>
            </w:tcBorders>
            <w:shd w:val="clear" w:color="auto" w:fill="auto"/>
            <w:noWrap/>
            <w:vAlign w:val="center"/>
            <w:hideMark/>
          </w:tcPr>
          <w:p w:rsidRPr="00BD5ECB" w:rsidR="00BD5ECB" w:rsidP="00F23583" w:rsidRDefault="00BD5ECB" w14:paraId="0553F40A" w14:textId="77777777">
            <w:pPr>
              <w:keepNext/>
              <w:spacing w:line="240" w:lineRule="auto"/>
              <w:ind w:firstLine="0"/>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Safety</w:t>
            </w:r>
          </w:p>
        </w:tc>
        <w:tc>
          <w:tcPr>
            <w:tcW w:w="895"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00C5E4AD"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Fatalities</w:t>
            </w:r>
          </w:p>
        </w:tc>
        <w:tc>
          <w:tcPr>
            <w:tcW w:w="803"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42E26770"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20</w:t>
            </w:r>
          </w:p>
        </w:tc>
        <w:tc>
          <w:tcPr>
            <w:tcW w:w="812"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02A6FC13"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5B210F4F"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100</w:t>
            </w:r>
          </w:p>
        </w:tc>
        <w:tc>
          <w:tcPr>
            <w:tcW w:w="1080"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1E554290"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20%</w:t>
            </w:r>
          </w:p>
        </w:tc>
        <w:tc>
          <w:tcPr>
            <w:tcW w:w="1220"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47E75844"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Linear</w:t>
            </w:r>
          </w:p>
        </w:tc>
        <w:tc>
          <w:tcPr>
            <w:tcW w:w="727"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11320D43"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20</w:t>
            </w:r>
          </w:p>
        </w:tc>
        <w:tc>
          <w:tcPr>
            <w:tcW w:w="794"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48336DAD"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50%</w:t>
            </w:r>
          </w:p>
        </w:tc>
        <w:tc>
          <w:tcPr>
            <w:tcW w:w="1124" w:type="dxa"/>
            <w:tcBorders>
              <w:top w:val="nil"/>
              <w:left w:val="nil"/>
              <w:bottom w:val="single" w:color="auto" w:sz="4" w:space="0"/>
              <w:right w:val="single" w:color="auto" w:sz="4" w:space="0"/>
            </w:tcBorders>
            <w:shd w:val="clear" w:color="auto" w:fill="auto"/>
            <w:noWrap/>
            <w:vAlign w:val="center"/>
            <w:hideMark/>
          </w:tcPr>
          <w:p w:rsidRPr="00BD5ECB" w:rsidR="00BD5ECB" w:rsidP="00F23583" w:rsidRDefault="00BD5ECB" w14:paraId="7803515F" w14:textId="77777777">
            <w:pPr>
              <w:keepNext/>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10</w:t>
            </w:r>
          </w:p>
        </w:tc>
      </w:tr>
      <w:tr w:rsidRPr="00BD5ECB" w:rsidR="00E273FD" w:rsidTr="00170630" w14:paraId="147E655E" w14:textId="77777777">
        <w:trPr>
          <w:trHeight w:val="660"/>
          <w:jc w:val="center"/>
        </w:trPr>
        <w:tc>
          <w:tcPr>
            <w:tcW w:w="1108" w:type="dxa"/>
            <w:tcBorders>
              <w:top w:val="nil"/>
              <w:left w:val="single" w:color="auto" w:sz="4" w:space="0"/>
              <w:bottom w:val="single" w:color="auto" w:sz="4" w:space="0"/>
              <w:right w:val="single" w:color="auto" w:sz="4" w:space="0"/>
            </w:tcBorders>
            <w:shd w:val="clear" w:color="auto" w:fill="auto"/>
            <w:noWrap/>
            <w:vAlign w:val="center"/>
            <w:hideMark/>
          </w:tcPr>
          <w:p w:rsidRPr="00BD5ECB" w:rsidR="00BD5ECB" w:rsidP="00BD5ECB" w:rsidRDefault="00BD5ECB" w14:paraId="1BE69D06" w14:textId="77777777">
            <w:pPr>
              <w:spacing w:line="240" w:lineRule="auto"/>
              <w:ind w:firstLine="0"/>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Reliability</w:t>
            </w:r>
          </w:p>
        </w:tc>
        <w:tc>
          <w:tcPr>
            <w:tcW w:w="895"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7922A32D"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CMI</w:t>
            </w:r>
          </w:p>
        </w:tc>
        <w:tc>
          <w:tcPr>
            <w:tcW w:w="803"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40DAF7CC" w14:textId="73F436D3">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500</w:t>
            </w:r>
            <w:r w:rsidR="00170630">
              <w:rPr>
                <w:rFonts w:ascii="Times New Roman" w:hAnsi="Times New Roman" w:eastAsia="Times New Roman" w:cs="Times New Roman"/>
                <w:color w:val="000000"/>
                <w:sz w:val="18"/>
                <w:szCs w:val="18"/>
              </w:rPr>
              <w:t> </w:t>
            </w:r>
            <w:r w:rsidR="00E122A5">
              <w:rPr>
                <w:rFonts w:ascii="Times New Roman" w:hAnsi="Times New Roman" w:eastAsia="Times New Roman" w:cs="Times New Roman"/>
                <w:color w:val="000000"/>
                <w:sz w:val="18"/>
                <w:szCs w:val="18"/>
              </w:rPr>
              <w:t>minutes</w:t>
            </w:r>
          </w:p>
        </w:tc>
        <w:tc>
          <w:tcPr>
            <w:tcW w:w="812"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2B613017"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4A7EBA2C" w14:textId="5EABBF96">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w:t>
            </w:r>
            <w:r w:rsidR="00170630">
              <w:rPr>
                <w:rFonts w:ascii="Times New Roman" w:hAnsi="Times New Roman" w:eastAsia="Times New Roman" w:cs="Times New Roman"/>
                <w:color w:val="000000"/>
                <w:sz w:val="18"/>
                <w:szCs w:val="18"/>
              </w:rPr>
              <w:t> </w:t>
            </w:r>
            <w:r w:rsidRPr="00BD5ECB">
              <w:rPr>
                <w:rFonts w:ascii="Times New Roman" w:hAnsi="Times New Roman" w:eastAsia="Times New Roman" w:cs="Times New Roman"/>
                <w:color w:val="000000"/>
                <w:sz w:val="18"/>
                <w:szCs w:val="18"/>
              </w:rPr>
              <w:t>billion</w:t>
            </w:r>
          </w:p>
        </w:tc>
        <w:tc>
          <w:tcPr>
            <w:tcW w:w="1080"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7AB8FF53"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25%</w:t>
            </w:r>
          </w:p>
        </w:tc>
        <w:tc>
          <w:tcPr>
            <w:tcW w:w="1220"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26280F16"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Linear</w:t>
            </w:r>
          </w:p>
        </w:tc>
        <w:tc>
          <w:tcPr>
            <w:tcW w:w="727"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69D78340"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25</w:t>
            </w:r>
          </w:p>
        </w:tc>
        <w:tc>
          <w:tcPr>
            <w:tcW w:w="794"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0BD31A4D"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25%</w:t>
            </w:r>
          </w:p>
        </w:tc>
        <w:tc>
          <w:tcPr>
            <w:tcW w:w="1124" w:type="dxa"/>
            <w:tcBorders>
              <w:top w:val="nil"/>
              <w:left w:val="nil"/>
              <w:bottom w:val="single" w:color="auto" w:sz="4" w:space="0"/>
              <w:right w:val="single" w:color="auto" w:sz="4" w:space="0"/>
            </w:tcBorders>
            <w:shd w:val="clear" w:color="auto" w:fill="auto"/>
            <w:noWrap/>
            <w:vAlign w:val="center"/>
            <w:hideMark/>
          </w:tcPr>
          <w:p w:rsidRPr="00BD5ECB" w:rsidR="00BD5ECB" w:rsidP="00BD5ECB" w:rsidRDefault="00BD5ECB" w14:paraId="3CA4AC9A"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6.25</w:t>
            </w:r>
          </w:p>
        </w:tc>
      </w:tr>
      <w:tr w:rsidRPr="00BD5ECB" w:rsidR="00E273FD" w:rsidTr="00170630" w14:paraId="3AF3895E" w14:textId="77777777">
        <w:trPr>
          <w:trHeight w:val="660"/>
          <w:jc w:val="center"/>
        </w:trPr>
        <w:tc>
          <w:tcPr>
            <w:tcW w:w="1108" w:type="dxa"/>
            <w:tcBorders>
              <w:top w:val="nil"/>
              <w:left w:val="single" w:color="auto" w:sz="4" w:space="0"/>
              <w:bottom w:val="double" w:color="auto" w:sz="6" w:space="0"/>
              <w:right w:val="single" w:color="auto" w:sz="4" w:space="0"/>
            </w:tcBorders>
            <w:shd w:val="clear" w:color="auto" w:fill="auto"/>
            <w:noWrap/>
            <w:vAlign w:val="center"/>
            <w:hideMark/>
          </w:tcPr>
          <w:p w:rsidRPr="00BD5ECB" w:rsidR="00BD5ECB" w:rsidP="00BD5ECB" w:rsidRDefault="00BD5ECB" w14:paraId="50037D52" w14:textId="77777777">
            <w:pPr>
              <w:spacing w:line="240" w:lineRule="auto"/>
              <w:ind w:firstLine="0"/>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Financial</w:t>
            </w:r>
          </w:p>
        </w:tc>
        <w:tc>
          <w:tcPr>
            <w:tcW w:w="895"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30EB9924"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Dollars ($)</w:t>
            </w:r>
          </w:p>
        </w:tc>
        <w:tc>
          <w:tcPr>
            <w:tcW w:w="803"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595ED890" w14:textId="3A5512B2">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$1</w:t>
            </w:r>
            <w:r w:rsidR="00170630">
              <w:rPr>
                <w:rFonts w:ascii="Times New Roman" w:hAnsi="Times New Roman" w:eastAsia="Times New Roman" w:cs="Times New Roman"/>
                <w:color w:val="000000"/>
                <w:sz w:val="18"/>
                <w:szCs w:val="18"/>
              </w:rPr>
              <w:t> </w:t>
            </w:r>
            <w:r w:rsidRPr="00BD5ECB">
              <w:rPr>
                <w:rFonts w:ascii="Times New Roman" w:hAnsi="Times New Roman" w:eastAsia="Times New Roman" w:cs="Times New Roman"/>
                <w:color w:val="000000"/>
                <w:sz w:val="18"/>
                <w:szCs w:val="18"/>
              </w:rPr>
              <w:t>billion</w:t>
            </w:r>
          </w:p>
        </w:tc>
        <w:tc>
          <w:tcPr>
            <w:tcW w:w="812"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26A6E807"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 xml:space="preserve">$0 </w:t>
            </w:r>
          </w:p>
        </w:tc>
        <w:tc>
          <w:tcPr>
            <w:tcW w:w="900"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6C20149B" w14:textId="00EC4B2D">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w:t>
            </w:r>
            <w:r w:rsidR="00170630">
              <w:rPr>
                <w:rFonts w:ascii="Times New Roman" w:hAnsi="Times New Roman" w:eastAsia="Times New Roman" w:cs="Times New Roman"/>
                <w:color w:val="000000"/>
                <w:sz w:val="18"/>
                <w:szCs w:val="18"/>
              </w:rPr>
              <w:t> </w:t>
            </w:r>
            <w:r w:rsidRPr="00BD5ECB">
              <w:rPr>
                <w:rFonts w:ascii="Times New Roman" w:hAnsi="Times New Roman" w:eastAsia="Times New Roman" w:cs="Times New Roman"/>
                <w:color w:val="000000"/>
                <w:sz w:val="18"/>
                <w:szCs w:val="18"/>
              </w:rPr>
              <w:t>billion</w:t>
            </w:r>
          </w:p>
        </w:tc>
        <w:tc>
          <w:tcPr>
            <w:tcW w:w="1080"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ED1AFE" w14:paraId="25C363C3" w14:textId="3C5D620C">
            <w:pPr>
              <w:spacing w:line="240" w:lineRule="auto"/>
              <w:ind w:firstLine="0"/>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w:t>
            </w:r>
            <w:r w:rsidRPr="00BD5ECB" w:rsidR="00BD5ECB">
              <w:rPr>
                <w:rFonts w:ascii="Times New Roman" w:hAnsi="Times New Roman" w:eastAsia="Times New Roman" w:cs="Times New Roman"/>
                <w:color w:val="000000"/>
                <w:sz w:val="18"/>
                <w:szCs w:val="18"/>
              </w:rPr>
              <w:t>0%</w:t>
            </w:r>
          </w:p>
        </w:tc>
        <w:tc>
          <w:tcPr>
            <w:tcW w:w="1220"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53D70794"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Linear</w:t>
            </w:r>
          </w:p>
        </w:tc>
        <w:tc>
          <w:tcPr>
            <w:tcW w:w="727"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ED1AFE" w14:paraId="7B4AAD80" w14:textId="100D1DD5">
            <w:pPr>
              <w:spacing w:line="240" w:lineRule="auto"/>
              <w:ind w:firstLine="0"/>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w:t>
            </w:r>
            <w:r w:rsidRPr="00BD5ECB" w:rsidR="00BD5ECB">
              <w:rPr>
                <w:rFonts w:ascii="Times New Roman" w:hAnsi="Times New Roman" w:eastAsia="Times New Roman" w:cs="Times New Roman"/>
                <w:color w:val="000000"/>
                <w:sz w:val="18"/>
                <w:szCs w:val="18"/>
              </w:rPr>
              <w:t>0</w:t>
            </w:r>
          </w:p>
        </w:tc>
        <w:tc>
          <w:tcPr>
            <w:tcW w:w="794"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7AEF078D"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25%</w:t>
            </w:r>
          </w:p>
        </w:tc>
        <w:tc>
          <w:tcPr>
            <w:tcW w:w="1124" w:type="dxa"/>
            <w:tcBorders>
              <w:top w:val="nil"/>
              <w:left w:val="nil"/>
              <w:bottom w:val="double" w:color="auto" w:sz="6" w:space="0"/>
              <w:right w:val="single" w:color="auto" w:sz="4" w:space="0"/>
            </w:tcBorders>
            <w:shd w:val="clear" w:color="auto" w:fill="auto"/>
            <w:noWrap/>
            <w:vAlign w:val="center"/>
            <w:hideMark/>
          </w:tcPr>
          <w:p w:rsidRPr="00BD5ECB" w:rsidR="00BD5ECB" w:rsidP="00BD5ECB" w:rsidRDefault="00BD5ECB" w14:paraId="3F019665" w14:textId="77777777">
            <w:pPr>
              <w:spacing w:line="240" w:lineRule="auto"/>
              <w:ind w:firstLine="0"/>
              <w:jc w:val="center"/>
              <w:rPr>
                <w:rFonts w:ascii="Times New Roman" w:hAnsi="Times New Roman" w:eastAsia="Times New Roman" w:cs="Times New Roman"/>
                <w:color w:val="000000"/>
                <w:sz w:val="18"/>
                <w:szCs w:val="18"/>
              </w:rPr>
            </w:pPr>
            <w:r w:rsidRPr="00BD5ECB">
              <w:rPr>
                <w:rFonts w:ascii="Times New Roman" w:hAnsi="Times New Roman" w:eastAsia="Times New Roman" w:cs="Times New Roman"/>
                <w:color w:val="000000"/>
                <w:sz w:val="18"/>
                <w:szCs w:val="18"/>
              </w:rPr>
              <w:t>12.5</w:t>
            </w:r>
          </w:p>
        </w:tc>
      </w:tr>
      <w:tr w:rsidRPr="00BD5ECB" w:rsidR="00B37404" w:rsidTr="00170630" w14:paraId="1FC6E868" w14:textId="77777777">
        <w:trPr>
          <w:trHeight w:val="369"/>
          <w:jc w:val="center"/>
        </w:trPr>
        <w:tc>
          <w:tcPr>
            <w:tcW w:w="8339" w:type="dxa"/>
            <w:gridSpan w:val="9"/>
            <w:tcBorders>
              <w:top w:val="nil"/>
              <w:left w:val="single" w:color="auto" w:sz="4" w:space="0"/>
              <w:bottom w:val="single" w:color="auto" w:sz="4" w:space="0"/>
              <w:right w:val="single" w:color="000000" w:themeColor="text1" w:sz="4" w:space="0"/>
            </w:tcBorders>
            <w:shd w:val="clear" w:color="auto" w:fill="FFC000" w:themeFill="accent4"/>
            <w:noWrap/>
            <w:vAlign w:val="center"/>
            <w:hideMark/>
          </w:tcPr>
          <w:p w:rsidRPr="00BD5ECB" w:rsidR="00BD5ECB" w:rsidP="00BD5ECB" w:rsidRDefault="00BD5ECB" w14:paraId="2BE9AB79" w14:textId="77777777">
            <w:pPr>
              <w:spacing w:line="240" w:lineRule="auto"/>
              <w:ind w:firstLine="0"/>
              <w:jc w:val="right"/>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 xml:space="preserve">Total Weighted Risk Score  </w:t>
            </w:r>
          </w:p>
        </w:tc>
        <w:tc>
          <w:tcPr>
            <w:tcW w:w="1124" w:type="dxa"/>
            <w:tcBorders>
              <w:top w:val="nil"/>
              <w:left w:val="nil"/>
              <w:bottom w:val="single" w:color="auto" w:sz="4" w:space="0"/>
              <w:right w:val="single" w:color="auto" w:sz="4" w:space="0"/>
            </w:tcBorders>
            <w:shd w:val="clear" w:color="auto" w:fill="FFC000" w:themeFill="accent4"/>
            <w:noWrap/>
            <w:vAlign w:val="center"/>
            <w:hideMark/>
          </w:tcPr>
          <w:p w:rsidRPr="00BD5ECB" w:rsidR="00BD5ECB" w:rsidP="00BD5ECB" w:rsidRDefault="00BD5ECB" w14:paraId="3E641002" w14:textId="77777777">
            <w:pPr>
              <w:spacing w:line="240" w:lineRule="auto"/>
              <w:ind w:firstLine="0"/>
              <w:jc w:val="center"/>
              <w:rPr>
                <w:rFonts w:ascii="Times New Roman" w:hAnsi="Times New Roman" w:eastAsia="Times New Roman" w:cs="Times New Roman"/>
                <w:b/>
                <w:color w:val="000000"/>
                <w:sz w:val="18"/>
                <w:szCs w:val="18"/>
              </w:rPr>
            </w:pPr>
            <w:r w:rsidRPr="00BD5ECB">
              <w:rPr>
                <w:rFonts w:ascii="Times New Roman" w:hAnsi="Times New Roman" w:eastAsia="Times New Roman" w:cs="Times New Roman"/>
                <w:b/>
                <w:color w:val="000000"/>
                <w:sz w:val="18"/>
                <w:szCs w:val="18"/>
              </w:rPr>
              <w:t>28.75</w:t>
            </w:r>
          </w:p>
        </w:tc>
      </w:tr>
    </w:tbl>
    <w:p w:rsidRPr="00AD293B" w:rsidR="001D533E" w:rsidP="001F64FB" w:rsidRDefault="001D533E" w14:paraId="0166AAEF" w14:textId="1DED5F2E">
      <w:pPr>
        <w:pStyle w:val="RASADocuments"/>
        <w:ind w:left="0"/>
        <w:rPr>
          <w:sz w:val="18"/>
          <w:szCs w:val="14"/>
        </w:rPr>
      </w:pPr>
      <w:r w:rsidRPr="00AD293B">
        <w:rPr>
          <w:sz w:val="18"/>
          <w:szCs w:val="14"/>
        </w:rPr>
        <w:t>* Weighted Score = Scaled Score x Weight</w:t>
      </w:r>
    </w:p>
    <w:p w:rsidR="008C4822" w:rsidP="008C4822" w:rsidRDefault="008C4822" w14:paraId="3AF6994B" w14:textId="4D46AA8C">
      <w:pPr>
        <w:rPr>
          <w:b/>
          <w:bCs/>
        </w:rPr>
      </w:pPr>
    </w:p>
    <w:p w:rsidR="008C4822" w:rsidP="00F23583" w:rsidRDefault="008C4822" w14:paraId="067D48CD" w14:textId="4ED58169">
      <w:pPr>
        <w:keepNext/>
        <w:spacing w:after="120" w:line="240" w:lineRule="auto"/>
        <w:ind w:firstLine="0"/>
        <w:jc w:val="center"/>
      </w:pPr>
      <w:r>
        <w:rPr>
          <w:b/>
          <w:bCs/>
        </w:rPr>
        <w:t xml:space="preserve">Table </w:t>
      </w:r>
      <w:r w:rsidR="009016FC">
        <w:rPr>
          <w:b/>
          <w:bCs/>
        </w:rPr>
        <w:t>3</w:t>
      </w:r>
      <w:r>
        <w:rPr>
          <w:b/>
          <w:bCs/>
        </w:rPr>
        <w:t xml:space="preserve">: </w:t>
      </w:r>
      <w:r w:rsidR="00DE26FE">
        <w:rPr>
          <w:b/>
          <w:bCs/>
        </w:rPr>
        <w:t xml:space="preserve">Use of Cost-Benefit Approach to Calculate a </w:t>
      </w:r>
      <w:r w:rsidR="0092047A">
        <w:rPr>
          <w:b/>
          <w:bCs/>
        </w:rPr>
        <w:t>Monetized Risk Value</w:t>
      </w:r>
      <w:r w:rsidR="00030AA2">
        <w:rPr>
          <w:rStyle w:val="FootnoteReference"/>
          <w:b/>
          <w:bCs/>
        </w:rPr>
        <w:footnoteReference w:id="27"/>
      </w:r>
    </w:p>
    <w:tbl>
      <w:tblPr>
        <w:tblW w:w="4810" w:type="pct"/>
        <w:jc w:val="center"/>
        <w:tblLook w:val="04A0" w:firstRow="1" w:lastRow="0" w:firstColumn="1" w:lastColumn="0" w:noHBand="0" w:noVBand="1"/>
      </w:tblPr>
      <w:tblGrid>
        <w:gridCol w:w="1024"/>
        <w:gridCol w:w="1592"/>
        <w:gridCol w:w="1594"/>
        <w:gridCol w:w="1284"/>
        <w:gridCol w:w="1912"/>
        <w:gridCol w:w="1589"/>
      </w:tblGrid>
      <w:tr w:rsidRPr="003E5E98" w:rsidR="003F4EB9" w:rsidTr="00170630" w14:paraId="1A6B422C" w14:textId="77777777">
        <w:trPr>
          <w:trHeight w:val="710"/>
          <w:jc w:val="center"/>
        </w:trPr>
        <w:tc>
          <w:tcPr>
            <w:tcW w:w="569" w:type="pct"/>
            <w:tcBorders>
              <w:top w:val="single" w:color="auto" w:sz="4" w:space="0"/>
              <w:left w:val="single" w:color="auto" w:sz="4" w:space="0"/>
              <w:bottom w:val="double" w:color="auto" w:sz="6" w:space="0"/>
              <w:right w:val="single" w:color="auto" w:sz="4" w:space="0"/>
            </w:tcBorders>
            <w:shd w:val="clear" w:color="000000" w:fill="FFC000"/>
            <w:noWrap/>
            <w:vAlign w:val="center"/>
            <w:hideMark/>
          </w:tcPr>
          <w:p w:rsidRPr="003E5E98" w:rsidR="00D460CD" w:rsidP="00F23583" w:rsidRDefault="00D460CD" w14:paraId="7D6BE8B5" w14:textId="77777777">
            <w:pPr>
              <w:keepNext/>
              <w:spacing w:line="240" w:lineRule="auto"/>
              <w:ind w:firstLine="0"/>
              <w:jc w:val="center"/>
              <w:rPr>
                <w:rFonts w:ascii="Calibri" w:hAnsi="Calibri" w:eastAsia="Times New Roman" w:cs="Calibri"/>
                <w:b/>
                <w:color w:val="000000"/>
                <w:sz w:val="18"/>
                <w:szCs w:val="18"/>
              </w:rPr>
            </w:pPr>
            <w:r w:rsidRPr="003E5E98">
              <w:rPr>
                <w:rFonts w:ascii="Calibri" w:hAnsi="Calibri" w:eastAsia="Times New Roman" w:cs="Calibri"/>
                <w:b/>
                <w:color w:val="000000"/>
                <w:sz w:val="18"/>
                <w:szCs w:val="18"/>
              </w:rPr>
              <w:t>Attributes</w:t>
            </w:r>
          </w:p>
        </w:tc>
        <w:tc>
          <w:tcPr>
            <w:tcW w:w="885" w:type="pct"/>
            <w:tcBorders>
              <w:top w:val="single" w:color="auto" w:sz="4" w:space="0"/>
              <w:left w:val="nil"/>
              <w:bottom w:val="double" w:color="auto" w:sz="6" w:space="0"/>
              <w:right w:val="single" w:color="auto" w:sz="4" w:space="0"/>
            </w:tcBorders>
            <w:shd w:val="clear" w:color="000000" w:fill="FFC000"/>
            <w:vAlign w:val="center"/>
            <w:hideMark/>
          </w:tcPr>
          <w:p w:rsidRPr="003E5E98" w:rsidR="00D460CD" w:rsidP="00F23583" w:rsidRDefault="00D460CD" w14:paraId="2FCB5B72" w14:textId="77777777">
            <w:pPr>
              <w:keepNext/>
              <w:spacing w:line="240" w:lineRule="auto"/>
              <w:ind w:firstLine="0"/>
              <w:jc w:val="center"/>
              <w:rPr>
                <w:rFonts w:ascii="Calibri" w:hAnsi="Calibri" w:eastAsia="Times New Roman" w:cs="Calibri"/>
                <w:b/>
                <w:color w:val="000000"/>
                <w:sz w:val="18"/>
                <w:szCs w:val="18"/>
              </w:rPr>
            </w:pPr>
            <w:r w:rsidRPr="003E5E98">
              <w:rPr>
                <w:rFonts w:ascii="Calibri" w:hAnsi="Calibri" w:eastAsia="Times New Roman" w:cs="Calibri"/>
                <w:b/>
                <w:color w:val="000000"/>
                <w:sz w:val="18"/>
                <w:szCs w:val="18"/>
              </w:rPr>
              <w:t xml:space="preserve">Natural </w:t>
            </w:r>
            <w:r w:rsidRPr="003E5E98">
              <w:rPr>
                <w:rFonts w:ascii="Calibri" w:hAnsi="Calibri" w:eastAsia="Times New Roman" w:cs="Calibri"/>
                <w:b/>
                <w:color w:val="000000"/>
                <w:sz w:val="18"/>
                <w:szCs w:val="18"/>
              </w:rPr>
              <w:br/>
              <w:t>Units</w:t>
            </w:r>
          </w:p>
        </w:tc>
        <w:tc>
          <w:tcPr>
            <w:tcW w:w="886" w:type="pct"/>
            <w:tcBorders>
              <w:top w:val="single" w:color="auto" w:sz="4" w:space="0"/>
              <w:left w:val="nil"/>
              <w:bottom w:val="double" w:color="auto" w:sz="6" w:space="0"/>
              <w:right w:val="single" w:color="auto" w:sz="4" w:space="0"/>
            </w:tcBorders>
            <w:shd w:val="clear" w:color="000000" w:fill="FFC000"/>
            <w:noWrap/>
            <w:vAlign w:val="center"/>
            <w:hideMark/>
          </w:tcPr>
          <w:p w:rsidRPr="003E5E98" w:rsidR="00D460CD" w:rsidP="00F23583" w:rsidRDefault="00D460CD" w14:paraId="277FE946" w14:textId="56F7E888">
            <w:pPr>
              <w:keepNext/>
              <w:spacing w:line="240" w:lineRule="auto"/>
              <w:ind w:firstLine="0"/>
              <w:jc w:val="center"/>
              <w:rPr>
                <w:rFonts w:ascii="Calibri" w:hAnsi="Calibri" w:eastAsia="Times New Roman" w:cs="Calibri"/>
                <w:b/>
                <w:color w:val="000000"/>
                <w:sz w:val="18"/>
                <w:szCs w:val="18"/>
              </w:rPr>
            </w:pPr>
            <w:r w:rsidRPr="003E5E98">
              <w:rPr>
                <w:rFonts w:ascii="Calibri" w:hAnsi="Calibri" w:eastAsia="Times New Roman" w:cs="Calibri"/>
                <w:b/>
                <w:color w:val="000000"/>
                <w:sz w:val="18"/>
                <w:szCs w:val="18"/>
              </w:rPr>
              <w:t>Value</w:t>
            </w:r>
            <w:r w:rsidR="00611F2B">
              <w:rPr>
                <w:rFonts w:ascii="Calibri" w:hAnsi="Calibri" w:eastAsia="Times New Roman" w:cs="Calibri"/>
                <w:b/>
                <w:color w:val="000000"/>
                <w:sz w:val="18"/>
                <w:szCs w:val="18"/>
                <w:vertAlign w:val="superscript"/>
              </w:rPr>
              <w:t>a</w:t>
            </w:r>
          </w:p>
        </w:tc>
        <w:tc>
          <w:tcPr>
            <w:tcW w:w="714" w:type="pct"/>
            <w:tcBorders>
              <w:top w:val="single" w:color="auto" w:sz="4" w:space="0"/>
              <w:left w:val="nil"/>
              <w:bottom w:val="double" w:color="auto" w:sz="6" w:space="0"/>
              <w:right w:val="single" w:color="auto" w:sz="4" w:space="0"/>
            </w:tcBorders>
            <w:shd w:val="clear" w:color="000000" w:fill="FFC000"/>
            <w:vAlign w:val="center"/>
          </w:tcPr>
          <w:p w:rsidRPr="003E5E98" w:rsidR="00D460CD" w:rsidP="00F23583" w:rsidRDefault="00D460CD" w14:paraId="2480B6E4" w14:textId="015B0EAB">
            <w:pPr>
              <w:keepNext/>
              <w:spacing w:line="240" w:lineRule="auto"/>
              <w:ind w:firstLine="0"/>
              <w:jc w:val="center"/>
              <w:rPr>
                <w:rFonts w:ascii="Calibri" w:hAnsi="Calibri" w:eastAsia="Times New Roman" w:cs="Calibri"/>
                <w:b/>
                <w:color w:val="000000"/>
                <w:sz w:val="18"/>
                <w:szCs w:val="18"/>
              </w:rPr>
            </w:pPr>
            <w:r>
              <w:rPr>
                <w:rFonts w:ascii="Calibri" w:hAnsi="Calibri" w:eastAsia="Times New Roman" w:cs="Calibri"/>
                <w:b/>
                <w:color w:val="000000"/>
                <w:sz w:val="18"/>
                <w:szCs w:val="18"/>
              </w:rPr>
              <w:t>Scaling Function</w:t>
            </w:r>
          </w:p>
        </w:tc>
        <w:tc>
          <w:tcPr>
            <w:tcW w:w="1063" w:type="pct"/>
            <w:tcBorders>
              <w:top w:val="single" w:color="auto" w:sz="4" w:space="0"/>
              <w:left w:val="single" w:color="auto" w:sz="4" w:space="0"/>
              <w:bottom w:val="double" w:color="auto" w:sz="6" w:space="0"/>
              <w:right w:val="single" w:color="auto" w:sz="4" w:space="0"/>
            </w:tcBorders>
            <w:shd w:val="clear" w:color="000000" w:fill="FFC000"/>
            <w:vAlign w:val="center"/>
            <w:hideMark/>
          </w:tcPr>
          <w:p w:rsidRPr="003E5E98" w:rsidR="00D460CD" w:rsidP="00F23583" w:rsidRDefault="00D460CD" w14:paraId="7124F97E" w14:textId="59B7944E">
            <w:pPr>
              <w:keepNext/>
              <w:spacing w:line="240" w:lineRule="auto"/>
              <w:ind w:firstLine="0"/>
              <w:jc w:val="center"/>
              <w:rPr>
                <w:rFonts w:ascii="Calibri" w:hAnsi="Calibri" w:eastAsia="Times New Roman" w:cs="Calibri"/>
                <w:b/>
                <w:color w:val="000000"/>
                <w:sz w:val="18"/>
                <w:szCs w:val="18"/>
              </w:rPr>
            </w:pPr>
            <w:r w:rsidRPr="003E5E98">
              <w:rPr>
                <w:rFonts w:ascii="Calibri" w:hAnsi="Calibri" w:eastAsia="Times New Roman" w:cs="Calibri"/>
                <w:b/>
                <w:color w:val="000000"/>
                <w:sz w:val="18"/>
                <w:szCs w:val="18"/>
              </w:rPr>
              <w:t>Dollar</w:t>
            </w:r>
            <w:r w:rsidRPr="003E5E98">
              <w:rPr>
                <w:rFonts w:ascii="Calibri" w:hAnsi="Calibri" w:eastAsia="Times New Roman" w:cs="Calibri"/>
                <w:b/>
                <w:color w:val="000000"/>
                <w:sz w:val="18"/>
                <w:szCs w:val="18"/>
              </w:rPr>
              <w:br/>
              <w:t>Value of Attributes*</w:t>
            </w:r>
          </w:p>
        </w:tc>
        <w:tc>
          <w:tcPr>
            <w:tcW w:w="884" w:type="pct"/>
            <w:tcBorders>
              <w:top w:val="single" w:color="auto" w:sz="4" w:space="0"/>
              <w:left w:val="nil"/>
              <w:bottom w:val="double" w:color="auto" w:sz="6" w:space="0"/>
              <w:right w:val="single" w:color="auto" w:sz="4" w:space="0"/>
            </w:tcBorders>
            <w:shd w:val="clear" w:color="000000" w:fill="FFC000"/>
            <w:vAlign w:val="center"/>
            <w:hideMark/>
          </w:tcPr>
          <w:p w:rsidRPr="003E5E98" w:rsidR="00D460CD" w:rsidP="00F23583" w:rsidRDefault="00D460CD" w14:paraId="32845986" w14:textId="732619CF">
            <w:pPr>
              <w:keepNext/>
              <w:spacing w:line="240" w:lineRule="auto"/>
              <w:ind w:firstLine="0"/>
              <w:jc w:val="center"/>
              <w:rPr>
                <w:rFonts w:ascii="Calibri" w:hAnsi="Calibri" w:eastAsia="Times New Roman" w:cs="Calibri"/>
                <w:b/>
                <w:color w:val="000000"/>
                <w:sz w:val="18"/>
                <w:szCs w:val="18"/>
              </w:rPr>
            </w:pPr>
            <w:r w:rsidRPr="003E5E98">
              <w:rPr>
                <w:rFonts w:ascii="Calibri" w:hAnsi="Calibri" w:eastAsia="Times New Roman" w:cs="Calibri"/>
                <w:b/>
                <w:color w:val="000000"/>
                <w:sz w:val="18"/>
                <w:szCs w:val="18"/>
              </w:rPr>
              <w:t xml:space="preserve">Monetized </w:t>
            </w:r>
            <w:r w:rsidRPr="003E5E98">
              <w:rPr>
                <w:rFonts w:ascii="Calibri" w:hAnsi="Calibri" w:eastAsia="Times New Roman" w:cs="Calibri"/>
                <w:b/>
                <w:color w:val="000000"/>
                <w:sz w:val="18"/>
                <w:szCs w:val="18"/>
              </w:rPr>
              <w:br/>
              <w:t>Risk Value**</w:t>
            </w:r>
          </w:p>
        </w:tc>
      </w:tr>
      <w:tr w:rsidRPr="003E5E98" w:rsidR="002C0005" w:rsidTr="00170630" w14:paraId="2C59013D" w14:textId="77777777">
        <w:trPr>
          <w:trHeight w:val="660"/>
          <w:jc w:val="center"/>
        </w:trPr>
        <w:tc>
          <w:tcPr>
            <w:tcW w:w="569" w:type="pct"/>
            <w:tcBorders>
              <w:top w:val="nil"/>
              <w:left w:val="single" w:color="auto" w:sz="4" w:space="0"/>
              <w:bottom w:val="single" w:color="auto" w:sz="4" w:space="0"/>
              <w:right w:val="single" w:color="auto" w:sz="4" w:space="0"/>
            </w:tcBorders>
            <w:shd w:val="clear" w:color="auto" w:fill="auto"/>
            <w:noWrap/>
            <w:vAlign w:val="center"/>
            <w:hideMark/>
          </w:tcPr>
          <w:p w:rsidRPr="003E5E98" w:rsidR="00D460CD" w:rsidP="00F23583" w:rsidRDefault="00D460CD" w14:paraId="1FD65952" w14:textId="77777777">
            <w:pPr>
              <w:keepNext/>
              <w:spacing w:line="240" w:lineRule="auto"/>
              <w:ind w:firstLine="0"/>
              <w:rPr>
                <w:rFonts w:ascii="Calibri" w:hAnsi="Calibri" w:eastAsia="Times New Roman" w:cs="Calibri"/>
                <w:color w:val="000000"/>
                <w:sz w:val="18"/>
                <w:szCs w:val="18"/>
              </w:rPr>
            </w:pPr>
            <w:r w:rsidRPr="003E5E98">
              <w:rPr>
                <w:rFonts w:ascii="Calibri" w:hAnsi="Calibri" w:eastAsia="Times New Roman" w:cs="Calibri"/>
                <w:color w:val="000000"/>
                <w:sz w:val="18"/>
                <w:szCs w:val="18"/>
              </w:rPr>
              <w:t>Safety</w:t>
            </w:r>
          </w:p>
        </w:tc>
        <w:tc>
          <w:tcPr>
            <w:tcW w:w="885" w:type="pct"/>
            <w:tcBorders>
              <w:top w:val="nil"/>
              <w:left w:val="nil"/>
              <w:bottom w:val="single" w:color="auto" w:sz="4" w:space="0"/>
              <w:right w:val="single" w:color="auto" w:sz="4" w:space="0"/>
            </w:tcBorders>
            <w:shd w:val="clear" w:color="auto" w:fill="auto"/>
            <w:noWrap/>
            <w:vAlign w:val="center"/>
            <w:hideMark/>
          </w:tcPr>
          <w:p w:rsidRPr="003E5E98" w:rsidR="00D460CD" w:rsidP="00F23583" w:rsidRDefault="00D460CD" w14:paraId="7D2D4F44" w14:textId="77777777">
            <w:pPr>
              <w:keepNext/>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Fatalities</w:t>
            </w:r>
          </w:p>
        </w:tc>
        <w:tc>
          <w:tcPr>
            <w:tcW w:w="886" w:type="pct"/>
            <w:tcBorders>
              <w:top w:val="nil"/>
              <w:left w:val="nil"/>
              <w:bottom w:val="single" w:color="auto" w:sz="4" w:space="0"/>
              <w:right w:val="single" w:color="auto" w:sz="4" w:space="0"/>
            </w:tcBorders>
            <w:shd w:val="clear" w:color="auto" w:fill="auto"/>
            <w:noWrap/>
            <w:vAlign w:val="center"/>
            <w:hideMark/>
          </w:tcPr>
          <w:p w:rsidRPr="003E5E98" w:rsidR="00D460CD" w:rsidP="00F23583" w:rsidRDefault="00D460CD" w14:paraId="4E46D18C" w14:textId="77777777">
            <w:pPr>
              <w:keepNext/>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20</w:t>
            </w:r>
          </w:p>
        </w:tc>
        <w:tc>
          <w:tcPr>
            <w:tcW w:w="714" w:type="pct"/>
            <w:tcBorders>
              <w:top w:val="nil"/>
              <w:left w:val="nil"/>
              <w:bottom w:val="single" w:color="auto" w:sz="4" w:space="0"/>
              <w:right w:val="single" w:color="auto" w:sz="4" w:space="0"/>
            </w:tcBorders>
            <w:vAlign w:val="center"/>
          </w:tcPr>
          <w:p w:rsidRPr="003E5E98" w:rsidR="00D460CD" w:rsidP="00F23583" w:rsidRDefault="00D460CD" w14:paraId="64E4E2BF" w14:textId="00020DE0">
            <w:pPr>
              <w:keepNext/>
              <w:spacing w:line="240" w:lineRule="auto"/>
              <w:ind w:firstLine="0"/>
              <w:jc w:val="center"/>
              <w:rPr>
                <w:rFonts w:ascii="Calibri" w:hAnsi="Calibri" w:eastAsia="Times New Roman" w:cs="Calibri"/>
                <w:color w:val="000000"/>
                <w:sz w:val="18"/>
                <w:szCs w:val="18"/>
              </w:rPr>
            </w:pPr>
            <w:r>
              <w:rPr>
                <w:rFonts w:ascii="Calibri" w:hAnsi="Calibri" w:eastAsia="Times New Roman" w:cs="Calibri"/>
                <w:color w:val="000000"/>
                <w:sz w:val="18"/>
                <w:szCs w:val="18"/>
              </w:rPr>
              <w:t>Linear</w:t>
            </w:r>
          </w:p>
        </w:tc>
        <w:tc>
          <w:tcPr>
            <w:tcW w:w="1063" w:type="pct"/>
            <w:tcBorders>
              <w:top w:val="nil"/>
              <w:left w:val="single" w:color="auto" w:sz="4" w:space="0"/>
              <w:bottom w:val="single" w:color="auto" w:sz="4" w:space="0"/>
              <w:right w:val="single" w:color="auto" w:sz="4" w:space="0"/>
            </w:tcBorders>
            <w:shd w:val="clear" w:color="auto" w:fill="auto"/>
            <w:noWrap/>
            <w:vAlign w:val="center"/>
            <w:hideMark/>
          </w:tcPr>
          <w:p w:rsidRPr="003E5E98" w:rsidR="00D460CD" w:rsidP="00F23583" w:rsidRDefault="00D460CD" w14:paraId="0DE1CCCB" w14:textId="3CC4CC78">
            <w:pPr>
              <w:keepNext/>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$10 M/fatality</w:t>
            </w:r>
          </w:p>
        </w:tc>
        <w:tc>
          <w:tcPr>
            <w:tcW w:w="884" w:type="pct"/>
            <w:tcBorders>
              <w:top w:val="nil"/>
              <w:left w:val="nil"/>
              <w:bottom w:val="single" w:color="auto" w:sz="4" w:space="0"/>
              <w:right w:val="single" w:color="auto" w:sz="4" w:space="0"/>
            </w:tcBorders>
            <w:shd w:val="clear" w:color="auto" w:fill="auto"/>
            <w:noWrap/>
            <w:vAlign w:val="center"/>
            <w:hideMark/>
          </w:tcPr>
          <w:p w:rsidRPr="003E5E98" w:rsidR="00D460CD" w:rsidP="00F23583" w:rsidRDefault="00D460CD" w14:paraId="2A7A2E90" w14:textId="7F5C9633">
            <w:pPr>
              <w:keepNext/>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 xml:space="preserve">$200 M </w:t>
            </w:r>
          </w:p>
        </w:tc>
      </w:tr>
      <w:tr w:rsidRPr="003E5E98" w:rsidR="002C0005" w:rsidTr="00170630" w14:paraId="2FFA120B" w14:textId="77777777">
        <w:trPr>
          <w:trHeight w:val="660"/>
          <w:jc w:val="center"/>
        </w:trPr>
        <w:tc>
          <w:tcPr>
            <w:tcW w:w="569" w:type="pct"/>
            <w:tcBorders>
              <w:top w:val="nil"/>
              <w:left w:val="single" w:color="auto" w:sz="4" w:space="0"/>
              <w:bottom w:val="single" w:color="auto" w:sz="4" w:space="0"/>
              <w:right w:val="single" w:color="auto" w:sz="4" w:space="0"/>
            </w:tcBorders>
            <w:shd w:val="clear" w:color="auto" w:fill="auto"/>
            <w:noWrap/>
            <w:vAlign w:val="center"/>
            <w:hideMark/>
          </w:tcPr>
          <w:p w:rsidRPr="003E5E98" w:rsidR="00D460CD" w:rsidP="003E5E98" w:rsidRDefault="00D460CD" w14:paraId="6D913A1A" w14:textId="77777777">
            <w:pPr>
              <w:spacing w:line="240" w:lineRule="auto"/>
              <w:ind w:firstLine="0"/>
              <w:rPr>
                <w:rFonts w:ascii="Calibri" w:hAnsi="Calibri" w:eastAsia="Times New Roman" w:cs="Calibri"/>
                <w:color w:val="000000"/>
                <w:sz w:val="18"/>
                <w:szCs w:val="18"/>
              </w:rPr>
            </w:pPr>
            <w:r w:rsidRPr="003E5E98">
              <w:rPr>
                <w:rFonts w:ascii="Calibri" w:hAnsi="Calibri" w:eastAsia="Times New Roman" w:cs="Calibri"/>
                <w:color w:val="000000"/>
                <w:sz w:val="18"/>
                <w:szCs w:val="18"/>
              </w:rPr>
              <w:t>Reliability</w:t>
            </w:r>
          </w:p>
        </w:tc>
        <w:tc>
          <w:tcPr>
            <w:tcW w:w="885" w:type="pct"/>
            <w:tcBorders>
              <w:top w:val="nil"/>
              <w:left w:val="nil"/>
              <w:bottom w:val="single" w:color="auto" w:sz="4" w:space="0"/>
              <w:right w:val="single" w:color="auto" w:sz="4" w:space="0"/>
            </w:tcBorders>
            <w:shd w:val="clear" w:color="auto" w:fill="auto"/>
            <w:noWrap/>
            <w:vAlign w:val="center"/>
            <w:hideMark/>
          </w:tcPr>
          <w:p w:rsidRPr="003E5E98" w:rsidR="00D460CD" w:rsidP="003E5E98" w:rsidRDefault="00D460CD" w14:paraId="776EF971" w14:textId="77777777">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CMI</w:t>
            </w:r>
          </w:p>
        </w:tc>
        <w:tc>
          <w:tcPr>
            <w:tcW w:w="886" w:type="pct"/>
            <w:tcBorders>
              <w:top w:val="nil"/>
              <w:left w:val="nil"/>
              <w:bottom w:val="single" w:color="auto" w:sz="4" w:space="0"/>
              <w:right w:val="single" w:color="auto" w:sz="4" w:space="0"/>
            </w:tcBorders>
            <w:shd w:val="clear" w:color="auto" w:fill="auto"/>
            <w:noWrap/>
            <w:vAlign w:val="center"/>
            <w:hideMark/>
          </w:tcPr>
          <w:p w:rsidRPr="003E5E98" w:rsidR="00D460CD" w:rsidP="003E5E98" w:rsidRDefault="00D460CD" w14:paraId="776469F2" w14:textId="3FD23CBD">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 xml:space="preserve">500 </w:t>
            </w:r>
            <w:r>
              <w:rPr>
                <w:rFonts w:ascii="Calibri" w:hAnsi="Calibri" w:eastAsia="Times New Roman" w:cs="Calibri"/>
                <w:color w:val="000000"/>
                <w:sz w:val="18"/>
                <w:szCs w:val="18"/>
              </w:rPr>
              <w:t>minutes</w:t>
            </w:r>
          </w:p>
        </w:tc>
        <w:tc>
          <w:tcPr>
            <w:tcW w:w="714" w:type="pct"/>
            <w:tcBorders>
              <w:top w:val="nil"/>
              <w:left w:val="nil"/>
              <w:bottom w:val="single" w:color="auto" w:sz="4" w:space="0"/>
              <w:right w:val="single" w:color="auto" w:sz="4" w:space="0"/>
            </w:tcBorders>
            <w:vAlign w:val="center"/>
          </w:tcPr>
          <w:p w:rsidRPr="003E5E98" w:rsidR="00D460CD" w:rsidP="00D460CD" w:rsidRDefault="00D460CD" w14:paraId="569C2EFF" w14:textId="025D2509">
            <w:pPr>
              <w:spacing w:line="240" w:lineRule="auto"/>
              <w:ind w:firstLine="0"/>
              <w:jc w:val="center"/>
              <w:rPr>
                <w:rFonts w:ascii="Calibri" w:hAnsi="Calibri" w:eastAsia="Times New Roman" w:cs="Calibri"/>
                <w:color w:val="000000"/>
                <w:sz w:val="18"/>
                <w:szCs w:val="18"/>
              </w:rPr>
            </w:pPr>
            <w:r>
              <w:rPr>
                <w:rFonts w:ascii="Calibri" w:hAnsi="Calibri" w:eastAsia="Times New Roman" w:cs="Calibri"/>
                <w:color w:val="000000"/>
                <w:sz w:val="18"/>
                <w:szCs w:val="18"/>
              </w:rPr>
              <w:t>Linear</w:t>
            </w:r>
          </w:p>
        </w:tc>
        <w:tc>
          <w:tcPr>
            <w:tcW w:w="1063" w:type="pct"/>
            <w:tcBorders>
              <w:top w:val="nil"/>
              <w:left w:val="single" w:color="auto" w:sz="4" w:space="0"/>
              <w:bottom w:val="single" w:color="auto" w:sz="4" w:space="0"/>
              <w:right w:val="single" w:color="auto" w:sz="4" w:space="0"/>
            </w:tcBorders>
            <w:shd w:val="clear" w:color="auto" w:fill="auto"/>
            <w:noWrap/>
            <w:vAlign w:val="center"/>
            <w:hideMark/>
          </w:tcPr>
          <w:p w:rsidRPr="003E5E98" w:rsidR="00D460CD" w:rsidP="003E5E98" w:rsidRDefault="00D460CD" w14:paraId="62415988" w14:textId="21EA7EAF">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$2.50</w:t>
            </w:r>
            <w:r w:rsidR="006209F3">
              <w:rPr>
                <w:rFonts w:ascii="Calibri" w:hAnsi="Calibri" w:eastAsia="Times New Roman" w:cs="Calibri"/>
                <w:color w:val="000000"/>
                <w:sz w:val="18"/>
                <w:szCs w:val="18"/>
              </w:rPr>
              <w:t xml:space="preserve"> M</w:t>
            </w:r>
            <w:r w:rsidRPr="003E5E98">
              <w:rPr>
                <w:rFonts w:ascii="Calibri" w:hAnsi="Calibri" w:eastAsia="Times New Roman" w:cs="Calibri"/>
                <w:color w:val="000000"/>
                <w:sz w:val="18"/>
                <w:szCs w:val="18"/>
              </w:rPr>
              <w:t>/CMI</w:t>
            </w:r>
          </w:p>
        </w:tc>
        <w:tc>
          <w:tcPr>
            <w:tcW w:w="884" w:type="pct"/>
            <w:tcBorders>
              <w:top w:val="nil"/>
              <w:left w:val="nil"/>
              <w:bottom w:val="single" w:color="auto" w:sz="4" w:space="0"/>
              <w:right w:val="single" w:color="auto" w:sz="4" w:space="0"/>
            </w:tcBorders>
            <w:shd w:val="clear" w:color="auto" w:fill="auto"/>
            <w:noWrap/>
            <w:vAlign w:val="center"/>
            <w:hideMark/>
          </w:tcPr>
          <w:p w:rsidRPr="003E5E98" w:rsidR="00D460CD" w:rsidP="003E5E98" w:rsidRDefault="00D460CD" w14:paraId="0014908D" w14:textId="77777777">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 xml:space="preserve">$1.25 B </w:t>
            </w:r>
          </w:p>
        </w:tc>
      </w:tr>
      <w:tr w:rsidRPr="003E5E98" w:rsidR="002C0005" w:rsidTr="00170630" w14:paraId="4D3B446C" w14:textId="77777777">
        <w:trPr>
          <w:trHeight w:val="660"/>
          <w:jc w:val="center"/>
        </w:trPr>
        <w:tc>
          <w:tcPr>
            <w:tcW w:w="569" w:type="pct"/>
            <w:tcBorders>
              <w:top w:val="nil"/>
              <w:left w:val="single" w:color="auto" w:sz="4" w:space="0"/>
              <w:bottom w:val="double" w:color="auto" w:sz="6" w:space="0"/>
              <w:right w:val="single" w:color="auto" w:sz="4" w:space="0"/>
            </w:tcBorders>
            <w:shd w:val="clear" w:color="auto" w:fill="auto"/>
            <w:noWrap/>
            <w:vAlign w:val="center"/>
            <w:hideMark/>
          </w:tcPr>
          <w:p w:rsidRPr="003E5E98" w:rsidR="00D460CD" w:rsidP="003E5E98" w:rsidRDefault="00D460CD" w14:paraId="2792F8E8" w14:textId="77777777">
            <w:pPr>
              <w:spacing w:line="240" w:lineRule="auto"/>
              <w:ind w:firstLine="0"/>
              <w:rPr>
                <w:rFonts w:ascii="Calibri" w:hAnsi="Calibri" w:eastAsia="Times New Roman" w:cs="Calibri"/>
                <w:color w:val="000000"/>
                <w:sz w:val="18"/>
                <w:szCs w:val="18"/>
              </w:rPr>
            </w:pPr>
            <w:r w:rsidRPr="003E5E98">
              <w:rPr>
                <w:rFonts w:ascii="Calibri" w:hAnsi="Calibri" w:eastAsia="Times New Roman" w:cs="Calibri"/>
                <w:color w:val="000000"/>
                <w:sz w:val="18"/>
                <w:szCs w:val="18"/>
              </w:rPr>
              <w:t>Financial</w:t>
            </w:r>
          </w:p>
        </w:tc>
        <w:tc>
          <w:tcPr>
            <w:tcW w:w="885" w:type="pct"/>
            <w:tcBorders>
              <w:top w:val="nil"/>
              <w:left w:val="nil"/>
              <w:bottom w:val="double" w:color="auto" w:sz="6" w:space="0"/>
              <w:right w:val="single" w:color="auto" w:sz="4" w:space="0"/>
            </w:tcBorders>
            <w:shd w:val="clear" w:color="auto" w:fill="auto"/>
            <w:noWrap/>
            <w:vAlign w:val="center"/>
            <w:hideMark/>
          </w:tcPr>
          <w:p w:rsidRPr="003E5E98" w:rsidR="00D460CD" w:rsidP="003E5E98" w:rsidRDefault="00D460CD" w14:paraId="4C639347" w14:textId="77777777">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Dollars ($)</w:t>
            </w:r>
          </w:p>
        </w:tc>
        <w:tc>
          <w:tcPr>
            <w:tcW w:w="886" w:type="pct"/>
            <w:tcBorders>
              <w:top w:val="nil"/>
              <w:left w:val="nil"/>
              <w:bottom w:val="double" w:color="auto" w:sz="6" w:space="0"/>
              <w:right w:val="single" w:color="auto" w:sz="4" w:space="0"/>
            </w:tcBorders>
            <w:shd w:val="clear" w:color="auto" w:fill="auto"/>
            <w:noWrap/>
            <w:vAlign w:val="center"/>
            <w:hideMark/>
          </w:tcPr>
          <w:p w:rsidRPr="003E5E98" w:rsidR="00D460CD" w:rsidP="003E5E98" w:rsidRDefault="00D460CD" w14:paraId="2315F112" w14:textId="13666CB9">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$1</w:t>
            </w:r>
            <w:r w:rsidR="00170630">
              <w:rPr>
                <w:rFonts w:ascii="Calibri" w:hAnsi="Calibri" w:eastAsia="Times New Roman" w:cs="Calibri"/>
                <w:color w:val="000000"/>
                <w:sz w:val="18"/>
                <w:szCs w:val="18"/>
              </w:rPr>
              <w:t> </w:t>
            </w:r>
            <w:r>
              <w:rPr>
                <w:rFonts w:ascii="Calibri" w:hAnsi="Calibri" w:eastAsia="Times New Roman" w:cs="Calibri"/>
                <w:color w:val="000000"/>
                <w:sz w:val="18"/>
                <w:szCs w:val="18"/>
              </w:rPr>
              <w:t>billion</w:t>
            </w:r>
          </w:p>
        </w:tc>
        <w:tc>
          <w:tcPr>
            <w:tcW w:w="714" w:type="pct"/>
            <w:tcBorders>
              <w:top w:val="nil"/>
              <w:left w:val="nil"/>
              <w:bottom w:val="double" w:color="auto" w:sz="6" w:space="0"/>
              <w:right w:val="single" w:color="auto" w:sz="4" w:space="0"/>
            </w:tcBorders>
            <w:vAlign w:val="center"/>
          </w:tcPr>
          <w:p w:rsidRPr="003E5E98" w:rsidR="00D460CD" w:rsidP="00D460CD" w:rsidRDefault="00D460CD" w14:paraId="473352DC" w14:textId="45E75A35">
            <w:pPr>
              <w:spacing w:line="240" w:lineRule="auto"/>
              <w:ind w:firstLine="0"/>
              <w:jc w:val="center"/>
              <w:rPr>
                <w:rFonts w:ascii="Calibri" w:hAnsi="Calibri" w:eastAsia="Times New Roman" w:cs="Calibri"/>
                <w:color w:val="000000"/>
                <w:sz w:val="18"/>
                <w:szCs w:val="18"/>
              </w:rPr>
            </w:pPr>
            <w:r>
              <w:rPr>
                <w:rFonts w:ascii="Calibri" w:hAnsi="Calibri" w:eastAsia="Times New Roman" w:cs="Calibri"/>
                <w:color w:val="000000"/>
                <w:sz w:val="18"/>
                <w:szCs w:val="18"/>
              </w:rPr>
              <w:t>Linear</w:t>
            </w:r>
          </w:p>
        </w:tc>
        <w:tc>
          <w:tcPr>
            <w:tcW w:w="1063" w:type="pct"/>
            <w:tcBorders>
              <w:top w:val="nil"/>
              <w:left w:val="single" w:color="auto" w:sz="4" w:space="0"/>
              <w:bottom w:val="double" w:color="auto" w:sz="6" w:space="0"/>
              <w:right w:val="single" w:color="auto" w:sz="4" w:space="0"/>
            </w:tcBorders>
            <w:shd w:val="clear" w:color="auto" w:fill="auto"/>
            <w:noWrap/>
            <w:vAlign w:val="center"/>
            <w:hideMark/>
          </w:tcPr>
          <w:p w:rsidRPr="003E5E98" w:rsidR="00D460CD" w:rsidP="003E5E98" w:rsidRDefault="00D460CD" w14:paraId="1BCE170F" w14:textId="4DB8D795">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 xml:space="preserve">$1 </w:t>
            </w:r>
          </w:p>
        </w:tc>
        <w:tc>
          <w:tcPr>
            <w:tcW w:w="884" w:type="pct"/>
            <w:tcBorders>
              <w:top w:val="nil"/>
              <w:left w:val="nil"/>
              <w:bottom w:val="double" w:color="auto" w:sz="6" w:space="0"/>
              <w:right w:val="single" w:color="auto" w:sz="4" w:space="0"/>
            </w:tcBorders>
            <w:shd w:val="clear" w:color="auto" w:fill="auto"/>
            <w:noWrap/>
            <w:vAlign w:val="center"/>
            <w:hideMark/>
          </w:tcPr>
          <w:p w:rsidRPr="003E5E98" w:rsidR="00D460CD" w:rsidP="003E5E98" w:rsidRDefault="00D460CD" w14:paraId="4C5753EB" w14:textId="5A2E67ED">
            <w:pPr>
              <w:spacing w:line="240" w:lineRule="auto"/>
              <w:ind w:firstLine="0"/>
              <w:jc w:val="center"/>
              <w:rPr>
                <w:rFonts w:ascii="Calibri" w:hAnsi="Calibri" w:eastAsia="Times New Roman" w:cs="Calibri"/>
                <w:color w:val="000000"/>
                <w:sz w:val="18"/>
                <w:szCs w:val="18"/>
              </w:rPr>
            </w:pPr>
            <w:r w:rsidRPr="003E5E98">
              <w:rPr>
                <w:rFonts w:ascii="Calibri" w:hAnsi="Calibri" w:eastAsia="Times New Roman" w:cs="Calibri"/>
                <w:color w:val="000000"/>
                <w:sz w:val="18"/>
                <w:szCs w:val="18"/>
              </w:rPr>
              <w:t>$1</w:t>
            </w:r>
            <w:r w:rsidR="00170630">
              <w:rPr>
                <w:rFonts w:ascii="Calibri" w:hAnsi="Calibri" w:eastAsia="Times New Roman" w:cs="Calibri"/>
                <w:color w:val="000000"/>
                <w:sz w:val="18"/>
                <w:szCs w:val="18"/>
              </w:rPr>
              <w:t> </w:t>
            </w:r>
            <w:r w:rsidRPr="003E5E98">
              <w:rPr>
                <w:rFonts w:ascii="Calibri" w:hAnsi="Calibri" w:eastAsia="Times New Roman" w:cs="Calibri"/>
                <w:color w:val="000000"/>
                <w:sz w:val="18"/>
                <w:szCs w:val="18"/>
              </w:rPr>
              <w:t xml:space="preserve">B </w:t>
            </w:r>
          </w:p>
        </w:tc>
      </w:tr>
      <w:tr w:rsidRPr="003E5E98" w:rsidR="00E273FD" w:rsidTr="00170630" w14:paraId="125895B5" w14:textId="77777777">
        <w:trPr>
          <w:trHeight w:val="405"/>
          <w:jc w:val="center"/>
        </w:trPr>
        <w:tc>
          <w:tcPr>
            <w:tcW w:w="4116" w:type="pct"/>
            <w:gridSpan w:val="5"/>
            <w:tcBorders>
              <w:top w:val="nil"/>
              <w:left w:val="single" w:color="auto" w:sz="4" w:space="0"/>
              <w:bottom w:val="single" w:color="auto" w:sz="4" w:space="0"/>
              <w:right w:val="nil"/>
            </w:tcBorders>
            <w:shd w:val="clear" w:color="auto" w:fill="FFC000"/>
            <w:vAlign w:val="center"/>
          </w:tcPr>
          <w:p w:rsidRPr="003E5E98" w:rsidR="0092157A" w:rsidP="003E5E98" w:rsidRDefault="0092157A" w14:paraId="75BCCC35" w14:textId="42F0C336">
            <w:pPr>
              <w:spacing w:line="240" w:lineRule="auto"/>
              <w:ind w:firstLine="0"/>
              <w:jc w:val="right"/>
              <w:rPr>
                <w:rFonts w:ascii="Times New Roman" w:hAnsi="Times New Roman" w:eastAsia="Times New Roman" w:cs="Times New Roman"/>
                <w:b/>
                <w:color w:val="000000"/>
                <w:sz w:val="18"/>
                <w:szCs w:val="18"/>
              </w:rPr>
            </w:pPr>
            <w:r w:rsidRPr="003E5E98">
              <w:rPr>
                <w:rFonts w:ascii="Times New Roman" w:hAnsi="Times New Roman" w:eastAsia="Times New Roman" w:cs="Times New Roman"/>
                <w:b/>
                <w:color w:val="000000"/>
                <w:sz w:val="18"/>
                <w:szCs w:val="18"/>
              </w:rPr>
              <w:t xml:space="preserve">Total Monetized Risk Value  </w:t>
            </w:r>
          </w:p>
        </w:tc>
        <w:tc>
          <w:tcPr>
            <w:tcW w:w="884" w:type="pct"/>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3E5E98" w:rsidR="0092157A" w:rsidP="003E5E98" w:rsidRDefault="0092157A" w14:paraId="66F2F973" w14:textId="77777777">
            <w:pPr>
              <w:spacing w:line="240" w:lineRule="auto"/>
              <w:ind w:firstLine="0"/>
              <w:jc w:val="center"/>
              <w:rPr>
                <w:rFonts w:ascii="Times New Roman" w:hAnsi="Times New Roman" w:eastAsia="Times New Roman" w:cs="Times New Roman"/>
                <w:b/>
                <w:color w:val="000000"/>
                <w:sz w:val="18"/>
                <w:szCs w:val="18"/>
              </w:rPr>
            </w:pPr>
            <w:r w:rsidRPr="003E5E98">
              <w:rPr>
                <w:rFonts w:ascii="Times New Roman" w:hAnsi="Times New Roman" w:eastAsia="Times New Roman" w:cs="Times New Roman"/>
                <w:b/>
                <w:color w:val="000000"/>
                <w:sz w:val="18"/>
                <w:szCs w:val="18"/>
              </w:rPr>
              <w:t>$2.45 B</w:t>
            </w:r>
          </w:p>
        </w:tc>
      </w:tr>
    </w:tbl>
    <w:p w:rsidR="00C37889" w:rsidP="00026C8C" w:rsidRDefault="00C37889" w14:paraId="5869346E" w14:textId="2D3CE0F2">
      <w:pPr>
        <w:pStyle w:val="RASADocuments"/>
        <w:ind w:left="0"/>
        <w:rPr>
          <w:sz w:val="18"/>
          <w:szCs w:val="14"/>
        </w:rPr>
      </w:pPr>
      <w:r w:rsidRPr="00224BCC">
        <w:rPr>
          <w:b/>
          <w:bCs/>
          <w:sz w:val="18"/>
          <w:szCs w:val="14"/>
        </w:rPr>
        <w:t>*</w:t>
      </w:r>
      <w:r w:rsidRPr="003A4C74">
        <w:rPr>
          <w:b/>
          <w:bCs/>
          <w:sz w:val="18"/>
          <w:szCs w:val="14"/>
        </w:rPr>
        <w:t xml:space="preserve"> </w:t>
      </w:r>
      <w:r w:rsidRPr="003A4C74">
        <w:rPr>
          <w:sz w:val="18"/>
          <w:szCs w:val="14"/>
        </w:rPr>
        <w:t xml:space="preserve">The </w:t>
      </w:r>
      <w:r>
        <w:rPr>
          <w:sz w:val="18"/>
          <w:szCs w:val="14"/>
        </w:rPr>
        <w:t>Dollar Value of Attributes</w:t>
      </w:r>
      <w:r w:rsidRPr="003A4C74">
        <w:rPr>
          <w:sz w:val="18"/>
          <w:szCs w:val="14"/>
        </w:rPr>
        <w:t xml:space="preserve"> is also referred to as the </w:t>
      </w:r>
      <w:r>
        <w:rPr>
          <w:sz w:val="18"/>
          <w:szCs w:val="14"/>
        </w:rPr>
        <w:t>T</w:t>
      </w:r>
      <w:r w:rsidRPr="003A4C74">
        <w:rPr>
          <w:sz w:val="18"/>
          <w:szCs w:val="14"/>
        </w:rPr>
        <w:t xml:space="preserve">rade-off </w:t>
      </w:r>
      <w:r>
        <w:rPr>
          <w:sz w:val="18"/>
          <w:szCs w:val="14"/>
        </w:rPr>
        <w:t>V</w:t>
      </w:r>
      <w:r w:rsidRPr="003A4C74">
        <w:rPr>
          <w:sz w:val="18"/>
          <w:szCs w:val="14"/>
        </w:rPr>
        <w:t>alue.</w:t>
      </w:r>
    </w:p>
    <w:p w:rsidR="00C37889" w:rsidP="00026C8C" w:rsidRDefault="00C37889" w14:paraId="570D3A8C" w14:textId="15F8F2BD">
      <w:pPr>
        <w:pStyle w:val="RASADocuments"/>
        <w:ind w:left="0"/>
        <w:rPr>
          <w:sz w:val="18"/>
          <w:szCs w:val="14"/>
        </w:rPr>
      </w:pPr>
      <w:r w:rsidRPr="00AD293B">
        <w:rPr>
          <w:sz w:val="18"/>
          <w:szCs w:val="14"/>
        </w:rPr>
        <w:t>*</w:t>
      </w:r>
      <w:r>
        <w:rPr>
          <w:sz w:val="18"/>
          <w:szCs w:val="14"/>
        </w:rPr>
        <w:t>*</w:t>
      </w:r>
      <w:r w:rsidRPr="00AD293B">
        <w:rPr>
          <w:sz w:val="18"/>
          <w:szCs w:val="14"/>
        </w:rPr>
        <w:t xml:space="preserve"> </w:t>
      </w:r>
      <w:r>
        <w:rPr>
          <w:sz w:val="18"/>
          <w:szCs w:val="14"/>
        </w:rPr>
        <w:t xml:space="preserve">Monetized Risk Value </w:t>
      </w:r>
      <w:r w:rsidRPr="00AD293B">
        <w:rPr>
          <w:sz w:val="18"/>
          <w:szCs w:val="14"/>
        </w:rPr>
        <w:t xml:space="preserve">= </w:t>
      </w:r>
      <w:r>
        <w:rPr>
          <w:sz w:val="18"/>
          <w:szCs w:val="14"/>
        </w:rPr>
        <w:t xml:space="preserve">Value x Dollar Value of Attributes. </w:t>
      </w:r>
    </w:p>
    <w:p w:rsidR="00A43210" w:rsidP="00201934" w:rsidRDefault="001B13F3" w14:paraId="4B66F2A8" w14:textId="4DD3549F">
      <w:pPr>
        <w:pStyle w:val="Standard"/>
        <w:spacing w:before="240"/>
      </w:pPr>
      <w:r>
        <w:t>T</w:t>
      </w:r>
      <w:r w:rsidR="00FD4215">
        <w:t>he Staff Proposal</w:t>
      </w:r>
      <w:r>
        <w:t xml:space="preserve"> </w:t>
      </w:r>
      <w:r w:rsidR="00D45953">
        <w:t>assert</w:t>
      </w:r>
      <w:r>
        <w:t>s that</w:t>
      </w:r>
      <w:r w:rsidR="00D45953">
        <w:t xml:space="preserve"> </w:t>
      </w:r>
      <w:r w:rsidR="006E3B67">
        <w:t xml:space="preserve">the </w:t>
      </w:r>
      <w:r>
        <w:t xml:space="preserve">MAVF approach requirement that utilities </w:t>
      </w:r>
      <w:r w:rsidR="00E010BC">
        <w:t>establish</w:t>
      </w:r>
      <w:r>
        <w:t xml:space="preserve"> </w:t>
      </w:r>
      <w:r w:rsidR="00E010BC">
        <w:t xml:space="preserve">weights, ranges, and scales for conversion of natural risk values </w:t>
      </w:r>
      <w:r w:rsidR="00CC3FB0">
        <w:t>into unitless scores</w:t>
      </w:r>
      <w:r>
        <w:t xml:space="preserve"> </w:t>
      </w:r>
      <w:r w:rsidR="00E010BC">
        <w:t xml:space="preserve">makes </w:t>
      </w:r>
      <w:r>
        <w:t xml:space="preserve">it </w:t>
      </w:r>
      <w:r w:rsidR="00E010BC">
        <w:t xml:space="preserve">challenging </w:t>
      </w:r>
      <w:r w:rsidR="00D153C5">
        <w:t xml:space="preserve">for the Commission and parties </w:t>
      </w:r>
      <w:r w:rsidR="00E010BC">
        <w:t>to interpret</w:t>
      </w:r>
      <w:r>
        <w:t xml:space="preserve"> </w:t>
      </w:r>
      <w:r w:rsidR="00EE2572">
        <w:t>the results of this risk assessment</w:t>
      </w:r>
      <w:r w:rsidR="00096914">
        <w:t xml:space="preserve">.  Staff assert </w:t>
      </w:r>
      <w:r w:rsidR="00807EDD">
        <w:t xml:space="preserve">that this </w:t>
      </w:r>
      <w:r w:rsidR="00E010BC">
        <w:t xml:space="preserve">lack of understandability </w:t>
      </w:r>
      <w:r w:rsidR="00096914">
        <w:t xml:space="preserve">reduces the </w:t>
      </w:r>
      <w:r w:rsidR="00E010BC">
        <w:t xml:space="preserve">transparency </w:t>
      </w:r>
      <w:r w:rsidR="00096914">
        <w:t xml:space="preserve">of IOU risk models </w:t>
      </w:r>
      <w:r w:rsidR="00E010BC">
        <w:t xml:space="preserve">for many stakeholders </w:t>
      </w:r>
      <w:r w:rsidDel="00D153C5" w:rsidR="00E010BC">
        <w:t xml:space="preserve">and </w:t>
      </w:r>
      <w:r w:rsidR="00B7186C">
        <w:t xml:space="preserve">constrains the Commission’s ability to prioritize safety while evaluating proposed rate increases. </w:t>
      </w:r>
      <w:r w:rsidR="00720207">
        <w:t xml:space="preserve"> </w:t>
      </w:r>
      <w:r w:rsidR="00096914">
        <w:t>Staff contend that t</w:t>
      </w:r>
      <w:r w:rsidR="0082380F">
        <w:t xml:space="preserve">he unitless </w:t>
      </w:r>
      <w:r w:rsidR="00085B4D">
        <w:t>Risk Scores</w:t>
      </w:r>
      <w:r w:rsidR="0082380F">
        <w:t xml:space="preserve"> lack readily accessible, tangible meaning.  </w:t>
      </w:r>
      <w:r w:rsidR="00A43210">
        <w:t>In contrast,</w:t>
      </w:r>
      <w:r w:rsidR="00D502E6">
        <w:t xml:space="preserve"> </w:t>
      </w:r>
      <w:r w:rsidR="00096914">
        <w:t xml:space="preserve">Staff propose </w:t>
      </w:r>
      <w:r w:rsidR="00D153C5">
        <w:t xml:space="preserve">that </w:t>
      </w:r>
      <w:r w:rsidR="00D502E6">
        <w:t xml:space="preserve">quantifying </w:t>
      </w:r>
      <w:r w:rsidR="009B7AF2">
        <w:t>R</w:t>
      </w:r>
      <w:r w:rsidR="00D502E6">
        <w:t xml:space="preserve">isk in dollars </w:t>
      </w:r>
      <w:r w:rsidR="00D153C5">
        <w:t xml:space="preserve">in </w:t>
      </w:r>
      <w:r w:rsidR="00C81E45">
        <w:t xml:space="preserve">the Cost-Benefit Approach </w:t>
      </w:r>
      <w:r w:rsidR="00D153C5">
        <w:t xml:space="preserve">would </w:t>
      </w:r>
      <w:r w:rsidR="00D502E6">
        <w:t xml:space="preserve">provide </w:t>
      </w:r>
      <w:r w:rsidR="00A43210">
        <w:t xml:space="preserve">a </w:t>
      </w:r>
      <w:r w:rsidR="007A03E9">
        <w:t>familiar</w:t>
      </w:r>
      <w:r w:rsidDel="00D1765E" w:rsidR="00A43210">
        <w:t xml:space="preserve"> and </w:t>
      </w:r>
      <w:r w:rsidR="00D1765E">
        <w:t>intuitive</w:t>
      </w:r>
      <w:r w:rsidR="00A43210">
        <w:t xml:space="preserve"> valuation for </w:t>
      </w:r>
      <w:r w:rsidR="00895AC9">
        <w:t>R</w:t>
      </w:r>
      <w:r w:rsidR="00A43210">
        <w:t>isk.</w:t>
      </w:r>
      <w:r w:rsidR="00EE2572">
        <w:rPr>
          <w:rStyle w:val="FootnoteReference"/>
        </w:rPr>
        <w:footnoteReference w:id="28"/>
      </w:r>
      <w:r w:rsidR="00A43210">
        <w:t xml:space="preserve"> </w:t>
      </w:r>
    </w:p>
    <w:p w:rsidR="004E5C41" w:rsidP="0000521B" w:rsidRDefault="00E05AF9" w14:paraId="25EF5C5D" w14:textId="2CCE0453">
      <w:pPr>
        <w:pStyle w:val="Standard"/>
      </w:pPr>
      <w:r>
        <w:t>Staff a</w:t>
      </w:r>
      <w:r w:rsidR="007C2121">
        <w:t>ssert</w:t>
      </w:r>
      <w:r>
        <w:t xml:space="preserve"> the </w:t>
      </w:r>
      <w:r w:rsidR="00D153C5">
        <w:t xml:space="preserve">Commission’s </w:t>
      </w:r>
      <w:r>
        <w:t>require</w:t>
      </w:r>
      <w:r w:rsidR="00D153C5">
        <w:t>ment that the IOUs place a</w:t>
      </w:r>
      <w:r>
        <w:t xml:space="preserve"> 40</w:t>
      </w:r>
      <w:r w:rsidR="000E47F4">
        <w:t xml:space="preserve"> percent</w:t>
      </w:r>
      <w:r>
        <w:t xml:space="preserve"> </w:t>
      </w:r>
      <w:r w:rsidR="00E86FAB">
        <w:t>minimum w</w:t>
      </w:r>
      <w:r w:rsidR="00FF2858">
        <w:t>e</w:t>
      </w:r>
      <w:r w:rsidR="00E86FAB">
        <w:t xml:space="preserve">ight on the </w:t>
      </w:r>
      <w:r w:rsidR="00890066">
        <w:t>S</w:t>
      </w:r>
      <w:r w:rsidR="00E86FAB">
        <w:t xml:space="preserve">afety </w:t>
      </w:r>
      <w:r w:rsidR="00447DC8">
        <w:t>Attribute</w:t>
      </w:r>
      <w:r w:rsidR="00E86FAB">
        <w:rPr>
          <w:rStyle w:val="FootnoteReference"/>
        </w:rPr>
        <w:footnoteReference w:id="29"/>
      </w:r>
      <w:r w:rsidR="008B423A">
        <w:t xml:space="preserve"> </w:t>
      </w:r>
      <w:r w:rsidR="0048720B">
        <w:t>with</w:t>
      </w:r>
      <w:r w:rsidR="008B423A">
        <w:t>in the MAVF</w:t>
      </w:r>
      <w:r w:rsidR="00E86FAB">
        <w:t xml:space="preserve"> </w:t>
      </w:r>
      <w:r w:rsidR="0048720B">
        <w:t xml:space="preserve">calculation </w:t>
      </w:r>
      <w:r w:rsidR="00EE2572">
        <w:t xml:space="preserve">has the impact of </w:t>
      </w:r>
      <w:r w:rsidR="00E86FAB">
        <w:t>inflat</w:t>
      </w:r>
      <w:r w:rsidR="00EE2572">
        <w:t>ing</w:t>
      </w:r>
      <w:r w:rsidR="0048720B">
        <w:t xml:space="preserve"> the</w:t>
      </w:r>
      <w:r w:rsidR="00E86FAB">
        <w:t xml:space="preserve"> </w:t>
      </w:r>
      <w:r w:rsidR="00700813">
        <w:t xml:space="preserve">value of </w:t>
      </w:r>
      <w:r w:rsidR="004013B1">
        <w:t>safety</w:t>
      </w:r>
      <w:r w:rsidR="00E86FAB">
        <w:t xml:space="preserve"> </w:t>
      </w:r>
      <w:r w:rsidR="008734A3">
        <w:t>risk mitigation measures</w:t>
      </w:r>
      <w:r w:rsidR="001343B1">
        <w:t xml:space="preserve">.  Staff state </w:t>
      </w:r>
      <w:r w:rsidR="00EE2572">
        <w:t xml:space="preserve">that </w:t>
      </w:r>
      <w:r w:rsidR="001343B1">
        <w:t xml:space="preserve">the 40 percent minimum weight requirement can </w:t>
      </w:r>
      <w:r w:rsidR="0003266F">
        <w:t>le</w:t>
      </w:r>
      <w:r w:rsidR="005539B4">
        <w:t>a</w:t>
      </w:r>
      <w:r w:rsidR="0003266F">
        <w:t>d to</w:t>
      </w:r>
      <w:r w:rsidR="002107F8">
        <w:t xml:space="preserve"> manipulation of the </w:t>
      </w:r>
      <w:r w:rsidR="00532B87">
        <w:t>S</w:t>
      </w:r>
      <w:r w:rsidR="002107F8">
        <w:t xml:space="preserve">afety </w:t>
      </w:r>
      <w:r w:rsidR="00532B87">
        <w:t>Attribute’s</w:t>
      </w:r>
      <w:r w:rsidR="002107F8">
        <w:t xml:space="preserve"> range </w:t>
      </w:r>
      <w:r w:rsidR="00D757D9">
        <w:t xml:space="preserve">of </w:t>
      </w:r>
      <w:r w:rsidR="004F5A56">
        <w:t xml:space="preserve">outcomes </w:t>
      </w:r>
      <w:r w:rsidR="002107F8">
        <w:t>to align the implied value with a generally accepted</w:t>
      </w:r>
      <w:r w:rsidR="00DC6AFA">
        <w:t>, reasonable</w:t>
      </w:r>
      <w:r w:rsidR="002107F8">
        <w:t xml:space="preserve"> estimate</w:t>
      </w:r>
      <w:r w:rsidR="00DC6AFA">
        <w:t xml:space="preserve"> of </w:t>
      </w:r>
      <w:r w:rsidR="002D38E9">
        <w:t xml:space="preserve">the </w:t>
      </w:r>
      <w:r w:rsidR="00A423AD">
        <w:t>B</w:t>
      </w:r>
      <w:r w:rsidR="001D0B3C">
        <w:t xml:space="preserve">enefit of </w:t>
      </w:r>
      <w:r w:rsidR="005C5D9D">
        <w:t>proposed mitigations</w:t>
      </w:r>
      <w:r w:rsidR="002107F8">
        <w:t>.</w:t>
      </w:r>
      <w:r w:rsidR="00D61DE8">
        <w:rPr>
          <w:rStyle w:val="FootnoteReference"/>
        </w:rPr>
        <w:footnoteReference w:id="30"/>
      </w:r>
      <w:r w:rsidR="002107F8">
        <w:t xml:space="preserve"> </w:t>
      </w:r>
      <w:r w:rsidR="004E32DA">
        <w:t xml:space="preserve"> </w:t>
      </w:r>
    </w:p>
    <w:p w:rsidR="00E010BC" w:rsidP="0000521B" w:rsidRDefault="004E32DA" w14:paraId="5260884C" w14:textId="60C38037">
      <w:pPr>
        <w:pStyle w:val="Standard"/>
      </w:pPr>
      <w:r w:rsidRPr="004E32DA">
        <w:t xml:space="preserve">Staff </w:t>
      </w:r>
      <w:r w:rsidR="007C614C">
        <w:t>contend that</w:t>
      </w:r>
      <w:r w:rsidRPr="004E32DA">
        <w:t xml:space="preserve"> the </w:t>
      </w:r>
      <w:r w:rsidR="00054570">
        <w:t xml:space="preserve">RSE produced by </w:t>
      </w:r>
      <w:r w:rsidR="0048720B">
        <w:t xml:space="preserve">the </w:t>
      </w:r>
      <w:r w:rsidRPr="004E32DA">
        <w:t>MAVF</w:t>
      </w:r>
      <w:r w:rsidR="0048720B">
        <w:t xml:space="preserve"> a</w:t>
      </w:r>
      <w:r w:rsidR="00054570">
        <w:t xml:space="preserve">pproach </w:t>
      </w:r>
      <w:r w:rsidR="007C614C">
        <w:t xml:space="preserve">has </w:t>
      </w:r>
      <w:r w:rsidRPr="004E32DA">
        <w:t>limited usefulness</w:t>
      </w:r>
      <w:r w:rsidR="00A34069">
        <w:t xml:space="preserve">. </w:t>
      </w:r>
      <w:r w:rsidRPr="004E32DA">
        <w:t xml:space="preserve"> </w:t>
      </w:r>
      <w:r w:rsidR="00EA6C46">
        <w:t>Staff state that w</w:t>
      </w:r>
      <w:r w:rsidR="00655772">
        <w:t xml:space="preserve">hile </w:t>
      </w:r>
      <w:r w:rsidR="00EA6C46">
        <w:t>the RSE</w:t>
      </w:r>
      <w:r w:rsidR="00655772">
        <w:t xml:space="preserve"> </w:t>
      </w:r>
      <w:r w:rsidR="0048720B">
        <w:t xml:space="preserve">value </w:t>
      </w:r>
      <w:r w:rsidR="001F0D81">
        <w:t xml:space="preserve">allows for </w:t>
      </w:r>
      <w:r w:rsidR="0048720B">
        <w:t xml:space="preserve">IOUs and stakeholders to </w:t>
      </w:r>
      <w:r w:rsidR="00EA6C46">
        <w:t>compar</w:t>
      </w:r>
      <w:r w:rsidR="0048720B">
        <w:t xml:space="preserve">e </w:t>
      </w:r>
      <w:r w:rsidR="00EA6C46">
        <w:t xml:space="preserve">the </w:t>
      </w:r>
      <w:r w:rsidR="0005515E">
        <w:t>cost-effectiveness</w:t>
      </w:r>
      <w:r w:rsidR="008E2032">
        <w:t xml:space="preserve"> of </w:t>
      </w:r>
      <w:r w:rsidR="0005515E">
        <w:t>various mitigation measur</w:t>
      </w:r>
      <w:r w:rsidR="00EA6C46">
        <w:t>es</w:t>
      </w:r>
      <w:r w:rsidR="00655772">
        <w:t>, it does not</w:t>
      </w:r>
      <w:r w:rsidRPr="004E32DA">
        <w:t xml:space="preserve"> </w:t>
      </w:r>
      <w:r w:rsidRPr="00991A07" w:rsidR="00E601F7">
        <w:t xml:space="preserve">convey </w:t>
      </w:r>
      <w:r w:rsidRPr="00991A07">
        <w:t xml:space="preserve">whether </w:t>
      </w:r>
      <w:r w:rsidRPr="00991A07" w:rsidR="003F5AE1">
        <w:t xml:space="preserve">the </w:t>
      </w:r>
      <w:r w:rsidRPr="00991A07" w:rsidR="00431867">
        <w:t>B</w:t>
      </w:r>
      <w:r w:rsidRPr="00991A07">
        <w:t xml:space="preserve">enefits </w:t>
      </w:r>
      <w:r w:rsidRPr="00991A07" w:rsidR="003F5AE1">
        <w:t xml:space="preserve">of a </w:t>
      </w:r>
      <w:r w:rsidRPr="00991A07" w:rsidR="00650C53">
        <w:t xml:space="preserve">proposed </w:t>
      </w:r>
      <w:r w:rsidRPr="00991A07" w:rsidR="00E4422F">
        <w:t xml:space="preserve">mitigation </w:t>
      </w:r>
      <w:r w:rsidRPr="00991A07" w:rsidR="00E601F7">
        <w:t xml:space="preserve">measure </w:t>
      </w:r>
      <w:r w:rsidRPr="00991A07">
        <w:t xml:space="preserve">outweigh </w:t>
      </w:r>
      <w:r w:rsidRPr="00991A07" w:rsidR="00650C53">
        <w:t>the</w:t>
      </w:r>
      <w:r w:rsidRPr="00991A07" w:rsidR="00E4422F">
        <w:t xml:space="preserve"> </w:t>
      </w:r>
      <w:r w:rsidRPr="00991A07">
        <w:t>costs.</w:t>
      </w:r>
      <w:r w:rsidRPr="00991A07" w:rsidR="001F2CA4">
        <w:rPr>
          <w:rStyle w:val="FootnoteReference"/>
        </w:rPr>
        <w:footnoteReference w:id="31"/>
      </w:r>
      <w:r w:rsidRPr="004E32DA">
        <w:t xml:space="preserve">  </w:t>
      </w:r>
    </w:p>
    <w:p w:rsidR="001926AB" w:rsidP="009072C3" w:rsidRDefault="00262688" w14:paraId="759BC2AF" w14:textId="2371D4DD">
      <w:pPr>
        <w:pStyle w:val="Standard"/>
      </w:pPr>
      <w:r>
        <w:t xml:space="preserve">Staff </w:t>
      </w:r>
      <w:r w:rsidR="00EA6C46">
        <w:t>contend</w:t>
      </w:r>
      <w:r>
        <w:t xml:space="preserve"> </w:t>
      </w:r>
      <w:r w:rsidR="0048720B">
        <w:t xml:space="preserve">that </w:t>
      </w:r>
      <w:r w:rsidR="00145C11">
        <w:t xml:space="preserve">requiring use of </w:t>
      </w:r>
      <w:r w:rsidR="00C81E45">
        <w:t>the Cost-Benefit Approach, which</w:t>
      </w:r>
      <w:r w:rsidR="00145C11">
        <w:t xml:space="preserve"> </w:t>
      </w:r>
      <w:r>
        <w:t>monetiz</w:t>
      </w:r>
      <w:r w:rsidR="00145C11">
        <w:t xml:space="preserve">es </w:t>
      </w:r>
      <w:r w:rsidR="001F2CA4">
        <w:t xml:space="preserve">risk </w:t>
      </w:r>
      <w:r w:rsidR="00447DC8">
        <w:t>Attribute</w:t>
      </w:r>
      <w:r>
        <w:t>s</w:t>
      </w:r>
      <w:r w:rsidR="00C81E45">
        <w:t>,</w:t>
      </w:r>
      <w:r w:rsidDel="00145C11" w:rsidR="001926AB">
        <w:t xml:space="preserve"> </w:t>
      </w:r>
      <w:r w:rsidR="001926AB">
        <w:t>would provide a</w:t>
      </w:r>
      <w:r w:rsidR="00D0436D">
        <w:t xml:space="preserve"> </w:t>
      </w:r>
      <w:r w:rsidR="00081EC6">
        <w:t xml:space="preserve">more </w:t>
      </w:r>
      <w:r w:rsidR="001926AB">
        <w:t xml:space="preserve">straightforward </w:t>
      </w:r>
      <w:r w:rsidR="00D470D0">
        <w:t xml:space="preserve">and transparent </w:t>
      </w:r>
      <w:r w:rsidR="00D37F16">
        <w:t xml:space="preserve">way </w:t>
      </w:r>
      <w:r w:rsidR="00145C11">
        <w:t xml:space="preserve">for the IOUs </w:t>
      </w:r>
      <w:r w:rsidR="00D37F16">
        <w:t xml:space="preserve">to calculate </w:t>
      </w:r>
      <w:r w:rsidR="0001343F">
        <w:t>R</w:t>
      </w:r>
      <w:r w:rsidR="005D1E52">
        <w:t xml:space="preserve">isk and risk reduction </w:t>
      </w:r>
      <w:r w:rsidR="00C977EA">
        <w:t>B</w:t>
      </w:r>
      <w:r w:rsidR="00145C11">
        <w:t>enefi</w:t>
      </w:r>
      <w:r w:rsidR="00081EC6">
        <w:t xml:space="preserve">ts </w:t>
      </w:r>
      <w:r w:rsidR="00C81E45">
        <w:t>as compared to</w:t>
      </w:r>
      <w:r w:rsidR="00081EC6">
        <w:t xml:space="preserve"> </w:t>
      </w:r>
      <w:r w:rsidR="00EB090E">
        <w:t>the</w:t>
      </w:r>
      <w:r w:rsidR="00145C11">
        <w:t xml:space="preserve"> </w:t>
      </w:r>
      <w:r w:rsidR="005D1E52">
        <w:t>MAVF approach</w:t>
      </w:r>
      <w:r w:rsidR="00EB090E">
        <w:t xml:space="preserve"> adopted in the SA Decision</w:t>
      </w:r>
      <w:r w:rsidR="00AF76B1">
        <w:t xml:space="preserve">. </w:t>
      </w:r>
      <w:r w:rsidR="000E47F4">
        <w:t xml:space="preserve"> </w:t>
      </w:r>
      <w:r w:rsidR="00EA6C46">
        <w:t>Staff state that th</w:t>
      </w:r>
      <w:r w:rsidR="00AF76B1">
        <w:t>is proposed change w</w:t>
      </w:r>
      <w:r w:rsidR="00BE5D7C">
        <w:t>ould</w:t>
      </w:r>
      <w:r w:rsidR="00AF76B1">
        <w:t xml:space="preserve"> result </w:t>
      </w:r>
      <w:r w:rsidR="00643CE4">
        <w:t xml:space="preserve">in </w:t>
      </w:r>
      <w:r w:rsidR="00CA3A9D">
        <w:t>an RDF calculation that is</w:t>
      </w:r>
      <w:r w:rsidR="00815967">
        <w:t xml:space="preserve"> </w:t>
      </w:r>
      <w:r w:rsidRPr="00643CE4" w:rsidR="00643CE4">
        <w:t xml:space="preserve">more understandable </w:t>
      </w:r>
      <w:r w:rsidR="00970F1A">
        <w:t xml:space="preserve">and useful </w:t>
      </w:r>
      <w:r w:rsidR="00E979A7">
        <w:t xml:space="preserve">to the </w:t>
      </w:r>
      <w:r w:rsidR="00081EC6">
        <w:t>Commission and parties</w:t>
      </w:r>
      <w:r w:rsidR="00E979A7">
        <w:t xml:space="preserve"> when </w:t>
      </w:r>
      <w:r w:rsidR="00970F1A">
        <w:t>review</w:t>
      </w:r>
      <w:r w:rsidR="00E979A7">
        <w:t>ing</w:t>
      </w:r>
      <w:r w:rsidR="00970F1A">
        <w:t xml:space="preserve"> </w:t>
      </w:r>
      <w:r w:rsidR="00E92006">
        <w:t>RAMP and GRC filings.</w:t>
      </w:r>
      <w:r w:rsidR="00E979A7">
        <w:rPr>
          <w:rStyle w:val="FootnoteReference"/>
        </w:rPr>
        <w:footnoteReference w:id="32"/>
      </w:r>
      <w:r w:rsidR="00E92006">
        <w:t xml:space="preserve"> </w:t>
      </w:r>
      <w:r w:rsidR="000A66C8">
        <w:t xml:space="preserve"> </w:t>
      </w:r>
      <w:r w:rsidR="00123D86">
        <w:t xml:space="preserve">Staff </w:t>
      </w:r>
      <w:r w:rsidR="008021FE">
        <w:t xml:space="preserve">also </w:t>
      </w:r>
      <w:r w:rsidR="00AF76B1">
        <w:t>observe</w:t>
      </w:r>
      <w:r w:rsidR="008021FE">
        <w:t xml:space="preserve"> that</w:t>
      </w:r>
      <w:r w:rsidR="00123D86">
        <w:t xml:space="preserve"> </w:t>
      </w:r>
      <w:r w:rsidR="00EB090E">
        <w:t xml:space="preserve">use of a </w:t>
      </w:r>
      <w:r w:rsidR="00123D86">
        <w:t>dollar valuation is common</w:t>
      </w:r>
      <w:r w:rsidRPr="00123D86" w:rsidR="00123D86">
        <w:t xml:space="preserve"> practice in risk assessment across various industries</w:t>
      </w:r>
      <w:r w:rsidR="00862F09">
        <w:t>.</w:t>
      </w:r>
      <w:r w:rsidR="00123D86">
        <w:rPr>
          <w:rStyle w:val="FootnoteReference"/>
        </w:rPr>
        <w:footnoteReference w:id="33"/>
      </w:r>
      <w:r w:rsidR="00705D1D">
        <w:t xml:space="preserve"> </w:t>
      </w:r>
      <w:r w:rsidR="00F31367">
        <w:t xml:space="preserve"> </w:t>
      </w:r>
      <w:r w:rsidR="00705D1D">
        <w:t>U</w:t>
      </w:r>
      <w:r w:rsidR="00CF71D9">
        <w:t>nlike</w:t>
      </w:r>
      <w:r w:rsidR="00E7444B">
        <w:t xml:space="preserve"> RSE values, a </w:t>
      </w:r>
      <w:r w:rsidR="00FF7A03">
        <w:t>Cost-Benefit Ratio</w:t>
      </w:r>
      <w:r w:rsidR="00E7444B">
        <w:t xml:space="preserve"> </w:t>
      </w:r>
      <w:r w:rsidR="002352EC">
        <w:t>provide</w:t>
      </w:r>
      <w:r w:rsidR="00E979A7">
        <w:t>s</w:t>
      </w:r>
      <w:r w:rsidR="002352EC">
        <w:t xml:space="preserve"> </w:t>
      </w:r>
      <w:r w:rsidR="003E26A4">
        <w:t>information on</w:t>
      </w:r>
      <w:r w:rsidR="00EF4030">
        <w:t xml:space="preserve"> whether </w:t>
      </w:r>
      <w:r w:rsidR="001E2ECD">
        <w:t xml:space="preserve">the </w:t>
      </w:r>
      <w:r w:rsidR="00431867">
        <w:t>B</w:t>
      </w:r>
      <w:r w:rsidR="001E2ECD">
        <w:t xml:space="preserve">enefits from </w:t>
      </w:r>
      <w:r w:rsidR="00F70E45">
        <w:t xml:space="preserve">a </w:t>
      </w:r>
      <w:r w:rsidR="001E2ECD">
        <w:t xml:space="preserve">proposed mitigation </w:t>
      </w:r>
      <w:r w:rsidR="00F70E45">
        <w:t xml:space="preserve">measure </w:t>
      </w:r>
      <w:r w:rsidR="001E2ECD">
        <w:t>exceed</w:t>
      </w:r>
      <w:r w:rsidR="00991BAF">
        <w:t>s</w:t>
      </w:r>
      <w:r w:rsidR="001E2ECD">
        <w:t xml:space="preserve"> its costs</w:t>
      </w:r>
      <w:r w:rsidR="00E979A7">
        <w:t>, Staff note</w:t>
      </w:r>
      <w:r w:rsidR="001E2ECD">
        <w:t>.</w:t>
      </w:r>
      <w:r w:rsidR="00472B42">
        <w:rPr>
          <w:rStyle w:val="FootnoteReference"/>
        </w:rPr>
        <w:footnoteReference w:id="34"/>
      </w:r>
    </w:p>
    <w:p w:rsidR="0051377D" w:rsidP="009072C3" w:rsidRDefault="0049287A" w14:paraId="203648AB" w14:textId="5DCAC3D0">
      <w:pPr>
        <w:pStyle w:val="Standard"/>
      </w:pPr>
      <w:r>
        <w:t>Regarding implementation, Staff recommend</w:t>
      </w:r>
      <w:r w:rsidR="008854DC">
        <w:t xml:space="preserve"> that </w:t>
      </w:r>
      <w:r w:rsidR="00E7756C">
        <w:t xml:space="preserve">the </w:t>
      </w:r>
      <w:r w:rsidR="00401E09">
        <w:t xml:space="preserve">Commission require </w:t>
      </w:r>
      <w:r w:rsidR="00430DB8">
        <w:t xml:space="preserve">the IOUs to </w:t>
      </w:r>
      <w:r w:rsidR="00E7756C">
        <w:t xml:space="preserve">transition to </w:t>
      </w:r>
      <w:r w:rsidR="00C81E45">
        <w:t xml:space="preserve">the Cost-Benefit Approach </w:t>
      </w:r>
      <w:r w:rsidRPr="008854DC" w:rsidR="008854DC">
        <w:t>in the next GRC cycle, beginning with PG&amp;E’s 2024 RAMP.</w:t>
      </w:r>
      <w:r w:rsidR="00E7756C">
        <w:rPr>
          <w:rStyle w:val="FootnoteReference"/>
        </w:rPr>
        <w:footnoteReference w:id="35"/>
      </w:r>
    </w:p>
    <w:p w:rsidRPr="002B0592" w:rsidR="009B4FAF" w:rsidP="009B4FAF" w:rsidRDefault="009B4FAF" w14:paraId="427DF971" w14:textId="2FE07CFC">
      <w:pPr>
        <w:pStyle w:val="Heading3"/>
        <w:numPr>
          <w:ilvl w:val="2"/>
          <w:numId w:val="1"/>
        </w:numPr>
      </w:pPr>
      <w:bookmarkStart w:name="_Toc121821035" w:id="19"/>
      <w:r w:rsidRPr="002B0592">
        <w:t>Party Comments</w:t>
      </w:r>
      <w:bookmarkEnd w:id="19"/>
    </w:p>
    <w:p w:rsidR="001F1A56" w:rsidP="009B4FAF" w:rsidRDefault="00E333DD" w14:paraId="6E448040" w14:textId="35B63A6D">
      <w:pPr>
        <w:pStyle w:val="Standard"/>
      </w:pPr>
      <w:r>
        <w:t xml:space="preserve">MGRA, </w:t>
      </w:r>
      <w:r w:rsidR="00614737">
        <w:t>PG&amp;E, TURN, and PCF</w:t>
      </w:r>
      <w:r w:rsidRPr="00AC440D" w:rsidR="00AC440D">
        <w:t xml:space="preserve"> support Staff’s proposed transition to </w:t>
      </w:r>
      <w:r w:rsidR="00C81E45">
        <w:t xml:space="preserve">the Cost-Benefit Approach. </w:t>
      </w:r>
      <w:r w:rsidRPr="00AC440D" w:rsidR="00AC440D">
        <w:t xml:space="preserve"> </w:t>
      </w:r>
      <w:r w:rsidR="00614737">
        <w:t xml:space="preserve"> </w:t>
      </w:r>
      <w:r w:rsidR="00CE341B">
        <w:t>MGRA notes that</w:t>
      </w:r>
      <w:r w:rsidR="004927BF">
        <w:t xml:space="preserve"> the </w:t>
      </w:r>
      <w:r w:rsidR="008208B3">
        <w:t>changes</w:t>
      </w:r>
      <w:r w:rsidR="001B15A4">
        <w:t xml:space="preserve"> outlined in the Staff Proposal</w:t>
      </w:r>
      <w:r w:rsidR="006975DC">
        <w:t xml:space="preserve"> are </w:t>
      </w:r>
      <w:r w:rsidR="00C92C40">
        <w:t>“</w:t>
      </w:r>
      <w:r w:rsidR="006975DC">
        <w:t>relatively minor”</w:t>
      </w:r>
      <w:r w:rsidR="003262C9">
        <w:t xml:space="preserve"> and that “incremental change can be helpful.”</w:t>
      </w:r>
      <w:r w:rsidR="003262C9">
        <w:rPr>
          <w:rStyle w:val="FootnoteReference"/>
        </w:rPr>
        <w:footnoteReference w:id="36"/>
      </w:r>
      <w:r w:rsidR="00A64063">
        <w:t xml:space="preserve">  </w:t>
      </w:r>
      <w:r w:rsidR="00D64E95">
        <w:t xml:space="preserve">Although supporting the Cost-Benefit Approach proposed by Staff, </w:t>
      </w:r>
      <w:r w:rsidR="00A64063">
        <w:t>TURN notes</w:t>
      </w:r>
      <w:r w:rsidR="00C62ACC">
        <w:t xml:space="preserve"> that</w:t>
      </w:r>
      <w:r w:rsidR="00955556">
        <w:t>,</w:t>
      </w:r>
      <w:r w:rsidR="00C62ACC">
        <w:t xml:space="preserve"> </w:t>
      </w:r>
      <w:r w:rsidR="00D57027">
        <w:t xml:space="preserve">the MAVF framework </w:t>
      </w:r>
      <w:r w:rsidR="00955556">
        <w:t xml:space="preserve">has </w:t>
      </w:r>
      <w:r w:rsidR="00D64E95">
        <w:t>an</w:t>
      </w:r>
      <w:r w:rsidR="00955556">
        <w:t xml:space="preserve"> advantage in that it allows for </w:t>
      </w:r>
      <w:r w:rsidR="00A77D0D">
        <w:t>t</w:t>
      </w:r>
      <w:r w:rsidR="003664CF">
        <w:t xml:space="preserve">he inclusion of </w:t>
      </w:r>
      <w:r w:rsidR="00D82F7C">
        <w:t>A</w:t>
      </w:r>
      <w:r w:rsidR="003664CF">
        <w:t xml:space="preserve">ttributes </w:t>
      </w:r>
      <w:r w:rsidR="00E36636">
        <w:t xml:space="preserve">in the risk model </w:t>
      </w:r>
      <w:r w:rsidR="00573D5E">
        <w:t>and calculate</w:t>
      </w:r>
      <w:r w:rsidR="00105419">
        <w:t>s</w:t>
      </w:r>
      <w:r w:rsidR="00573D5E">
        <w:t xml:space="preserve"> </w:t>
      </w:r>
      <w:r w:rsidR="006D7F93">
        <w:t xml:space="preserve">their </w:t>
      </w:r>
      <w:r w:rsidR="00904E83">
        <w:t>Risk Scores</w:t>
      </w:r>
      <w:r w:rsidR="00573D5E">
        <w:t xml:space="preserve"> </w:t>
      </w:r>
      <w:r w:rsidR="007F06C5">
        <w:t>without</w:t>
      </w:r>
      <w:r w:rsidR="00F771E5">
        <w:t xml:space="preserve"> </w:t>
      </w:r>
      <w:r w:rsidR="008D13DD">
        <w:t xml:space="preserve">needing to </w:t>
      </w:r>
      <w:r w:rsidR="004958C1">
        <w:t xml:space="preserve">first </w:t>
      </w:r>
      <w:r w:rsidR="00747C94">
        <w:t>determin</w:t>
      </w:r>
      <w:r w:rsidR="008D13DD">
        <w:t>e</w:t>
      </w:r>
      <w:r w:rsidR="00747C94">
        <w:t xml:space="preserve"> a dollar </w:t>
      </w:r>
      <w:r w:rsidR="004958C1">
        <w:t>equivalent</w:t>
      </w:r>
      <w:r w:rsidR="002E6589">
        <w:t xml:space="preserve">, which </w:t>
      </w:r>
      <w:r w:rsidR="000F3B33">
        <w:t xml:space="preserve">TURN states </w:t>
      </w:r>
      <w:r w:rsidR="002E6589">
        <w:t xml:space="preserve">may be difficult </w:t>
      </w:r>
      <w:r w:rsidR="00D733DA">
        <w:t>and/</w:t>
      </w:r>
      <w:r w:rsidR="002E6589">
        <w:t>or impractical</w:t>
      </w:r>
      <w:r w:rsidR="0088429D">
        <w:t xml:space="preserve">. </w:t>
      </w:r>
      <w:r w:rsidR="004B75AE">
        <w:t xml:space="preserve"> </w:t>
      </w:r>
      <w:r w:rsidR="00375D10">
        <w:t xml:space="preserve">However, </w:t>
      </w:r>
      <w:r w:rsidR="00EB5255">
        <w:t xml:space="preserve">TURN </w:t>
      </w:r>
      <w:r w:rsidR="003D793B">
        <w:t>states</w:t>
      </w:r>
      <w:r w:rsidRPr="00C43FE1" w:rsidR="00C43FE1">
        <w:t xml:space="preserve"> that </w:t>
      </w:r>
      <w:r w:rsidR="0088429D">
        <w:t>“</w:t>
      </w:r>
      <w:r w:rsidRPr="00C43FE1" w:rsidR="00C43FE1">
        <w:t xml:space="preserve">together, the Commission, utilities and intervenors can identify reasonable ranges of values for any new </w:t>
      </w:r>
      <w:r w:rsidR="0088429D">
        <w:t>[A]</w:t>
      </w:r>
      <w:r w:rsidRPr="00C43FE1" w:rsidR="00C43FE1">
        <w:t>ttribute identified</w:t>
      </w:r>
      <w:r w:rsidR="00C43FE1">
        <w:t>”</w:t>
      </w:r>
      <w:r w:rsidR="00472D22">
        <w:t xml:space="preserve"> and </w:t>
      </w:r>
      <w:r w:rsidR="002214B0">
        <w:t xml:space="preserve">subject to </w:t>
      </w:r>
      <w:r w:rsidR="00C81E45">
        <w:t>the</w:t>
      </w:r>
      <w:r w:rsidR="00E975AA">
        <w:t xml:space="preserve"> Cost-Benefit Approach.</w:t>
      </w:r>
      <w:r w:rsidR="00A81D65">
        <w:rPr>
          <w:rStyle w:val="FootnoteReference"/>
        </w:rPr>
        <w:footnoteReference w:id="37"/>
      </w:r>
      <w:r w:rsidR="00C43FE1">
        <w:t xml:space="preserve"> </w:t>
      </w:r>
    </w:p>
    <w:p w:rsidR="009C513B" w:rsidP="009B4FAF" w:rsidRDefault="00060176" w14:paraId="0DDEC869" w14:textId="64F758D7">
      <w:pPr>
        <w:pStyle w:val="Standard"/>
      </w:pPr>
      <w:r>
        <w:t>Cal Advocates</w:t>
      </w:r>
      <w:r w:rsidR="009B462A">
        <w:t xml:space="preserve"> </w:t>
      </w:r>
      <w:r w:rsidR="00E070CF">
        <w:t>s</w:t>
      </w:r>
      <w:r w:rsidR="00FB43C4">
        <w:t>upport</w:t>
      </w:r>
      <w:r w:rsidR="00825E23">
        <w:t>s</w:t>
      </w:r>
      <w:r w:rsidR="00FB43C4">
        <w:t xml:space="preserve"> the </w:t>
      </w:r>
      <w:r w:rsidR="00C7020C">
        <w:t xml:space="preserve">shift to </w:t>
      </w:r>
      <w:r w:rsidR="00C81E45">
        <w:t xml:space="preserve">the Cost-Benefit Approach </w:t>
      </w:r>
      <w:r w:rsidR="00E30BE2">
        <w:t>but</w:t>
      </w:r>
      <w:r w:rsidR="00C7020C">
        <w:t xml:space="preserve"> </w:t>
      </w:r>
      <w:r w:rsidR="0097585A">
        <w:t>raise</w:t>
      </w:r>
      <w:r w:rsidR="000F3B33">
        <w:t>s</w:t>
      </w:r>
      <w:r w:rsidR="0097585A">
        <w:t xml:space="preserve"> </w:t>
      </w:r>
      <w:r w:rsidR="005917F1">
        <w:t xml:space="preserve">a </w:t>
      </w:r>
      <w:r w:rsidR="0097585A">
        <w:t>concern</w:t>
      </w:r>
      <w:r w:rsidR="007F2C56">
        <w:t xml:space="preserve"> that, without a </w:t>
      </w:r>
      <w:r w:rsidR="007D3F18">
        <w:t>test drive phase by utilities prior to final adoption</w:t>
      </w:r>
      <w:r w:rsidR="00DD271F">
        <w:t xml:space="preserve"> of</w:t>
      </w:r>
      <w:r w:rsidR="00983C6B">
        <w:t xml:space="preserve"> the Staff Proposal’s recommendations</w:t>
      </w:r>
      <w:r w:rsidR="00E23297">
        <w:t xml:space="preserve">, </w:t>
      </w:r>
      <w:r w:rsidR="00110D00">
        <w:t xml:space="preserve">the </w:t>
      </w:r>
      <w:r w:rsidR="00121E1B">
        <w:t xml:space="preserve">intended improvements </w:t>
      </w:r>
      <w:r w:rsidR="00BB17AC">
        <w:t xml:space="preserve">to the current RDF may </w:t>
      </w:r>
      <w:r w:rsidR="00C360E2">
        <w:t xml:space="preserve">ultimately </w:t>
      </w:r>
      <w:r w:rsidR="00FF3CDC">
        <w:t>prove “ineffective</w:t>
      </w:r>
      <w:r w:rsidR="005E4E1B">
        <w:t>.</w:t>
      </w:r>
      <w:r w:rsidR="00FF3CDC">
        <w:t>”</w:t>
      </w:r>
      <w:r w:rsidR="00B4178D">
        <w:rPr>
          <w:rStyle w:val="FootnoteReference"/>
        </w:rPr>
        <w:footnoteReference w:id="38"/>
      </w:r>
      <w:r w:rsidR="00C7020C">
        <w:t xml:space="preserve">  </w:t>
      </w:r>
      <w:r w:rsidRPr="00F90AD4" w:rsidR="009C513B">
        <w:t>Cal Advocates recommend</w:t>
      </w:r>
      <w:r w:rsidR="00825E23">
        <w:t>s</w:t>
      </w:r>
      <w:r w:rsidRPr="00F90AD4" w:rsidR="009C513B">
        <w:t xml:space="preserve"> the Commission require utilities </w:t>
      </w:r>
      <w:r w:rsidR="009C513B">
        <w:t xml:space="preserve">to </w:t>
      </w:r>
      <w:r w:rsidRPr="00F90AD4" w:rsidR="009C513B">
        <w:t xml:space="preserve">implement the Staff Proposal’s recommendations in a test drive phase before the Commission adopts a </w:t>
      </w:r>
      <w:r w:rsidR="009C513B">
        <w:t>shift to the Cost-Benefit Approach</w:t>
      </w:r>
      <w:r w:rsidRPr="00F90AD4" w:rsidR="009C513B">
        <w:t xml:space="preserve">. </w:t>
      </w:r>
      <w:r w:rsidR="001021DD">
        <w:t xml:space="preserve"> </w:t>
      </w:r>
      <w:r w:rsidR="009C513B">
        <w:t>According to Cal Advocates, the</w:t>
      </w:r>
      <w:r w:rsidRPr="00F90AD4" w:rsidR="009C513B">
        <w:t xml:space="preserve"> test drive phase should include time for sensitivity analyses to provide a better understanding of how dollar valuation impacts utility risk assessment and mitigation proposals. </w:t>
      </w:r>
      <w:r w:rsidR="001021DD">
        <w:t xml:space="preserve"> </w:t>
      </w:r>
      <w:r w:rsidR="009C513B">
        <w:t>Cal Advocates assert</w:t>
      </w:r>
      <w:r w:rsidR="009651DE">
        <w:t>s</w:t>
      </w:r>
      <w:r w:rsidR="009C513B">
        <w:t xml:space="preserve"> that </w:t>
      </w:r>
      <w:r w:rsidR="00760937">
        <w:t xml:space="preserve">a </w:t>
      </w:r>
      <w:r w:rsidRPr="00F90AD4" w:rsidR="009C513B">
        <w:t xml:space="preserve">test drive phase would also aid the decision-making process by allowing the Commission and parties to understand utility-proposed safety mitigations. </w:t>
      </w:r>
    </w:p>
    <w:p w:rsidR="00050263" w:rsidP="009B4FAF" w:rsidRDefault="00050263" w14:paraId="7FBB714D" w14:textId="11D3FD03">
      <w:pPr>
        <w:pStyle w:val="Standard"/>
      </w:pPr>
      <w:r>
        <w:t xml:space="preserve">In comments on the proposed decision, Cal Advocates recommends the Commission require all IOUs to conduct pre-RAMP workshops demonstrating the </w:t>
      </w:r>
      <w:r w:rsidR="00C235D5">
        <w:t xml:space="preserve">Cost-Benefit Approach adopted here.  Cal Advocates also recommends the Commission </w:t>
      </w:r>
      <w:r w:rsidR="00295CDF">
        <w:t>prescribe additional a</w:t>
      </w:r>
      <w:r w:rsidR="00E935C3">
        <w:t xml:space="preserve">reas for IOU analysis and presentation during these workshops. </w:t>
      </w:r>
    </w:p>
    <w:p w:rsidR="0061397C" w:rsidP="009B4FAF" w:rsidRDefault="00CA2FA8" w14:paraId="33065CBE" w14:textId="29CAE107">
      <w:pPr>
        <w:pStyle w:val="Standard"/>
      </w:pPr>
      <w:r>
        <w:t>T</w:t>
      </w:r>
      <w:r w:rsidR="00F80AFC">
        <w:t>he Sempra Companie</w:t>
      </w:r>
      <w:r w:rsidR="0072791E">
        <w:t xml:space="preserve">s </w:t>
      </w:r>
      <w:r w:rsidR="002332D3">
        <w:t>comm</w:t>
      </w:r>
      <w:r w:rsidR="00AA6B4A">
        <w:t>ent that they are</w:t>
      </w:r>
      <w:r w:rsidRPr="00CC27B3" w:rsidR="00CC27B3">
        <w:t xml:space="preserve"> “not necessarily opposed” to a shift to </w:t>
      </w:r>
      <w:r w:rsidR="00C81E45">
        <w:t xml:space="preserve">the Cost-Benefit Approach </w:t>
      </w:r>
      <w:r w:rsidRPr="00CC27B3" w:rsidR="00CC27B3">
        <w:t xml:space="preserve">but have concerns that </w:t>
      </w:r>
      <w:r w:rsidR="008325A9">
        <w:t xml:space="preserve">a discussion about </w:t>
      </w:r>
      <w:r w:rsidR="007228D4">
        <w:t>R</w:t>
      </w:r>
      <w:r w:rsidRPr="00CC27B3" w:rsidR="007228D4">
        <w:t xml:space="preserve">isk </w:t>
      </w:r>
      <w:r w:rsidR="00633DB0">
        <w:t>A</w:t>
      </w:r>
      <w:r w:rsidRPr="00CC27B3" w:rsidR="00CC27B3">
        <w:t xml:space="preserve">ttitude and </w:t>
      </w:r>
      <w:r w:rsidR="00633DB0">
        <w:t>R</w:t>
      </w:r>
      <w:r w:rsidRPr="00CC27B3" w:rsidR="007228D4">
        <w:t xml:space="preserve">isk </w:t>
      </w:r>
      <w:r w:rsidR="00633DB0">
        <w:t>T</w:t>
      </w:r>
      <w:r w:rsidRPr="00CC27B3" w:rsidR="007228D4">
        <w:t xml:space="preserve">olerance </w:t>
      </w:r>
      <w:r w:rsidRPr="00CC27B3" w:rsidR="00CC27B3">
        <w:t xml:space="preserve">have </w:t>
      </w:r>
      <w:r w:rsidR="00D84A7F">
        <w:t>n</w:t>
      </w:r>
      <w:r w:rsidR="00AB6AB5">
        <w:t>ot</w:t>
      </w:r>
      <w:r w:rsidRPr="00CC27B3" w:rsidR="00CC27B3">
        <w:t xml:space="preserve"> yet</w:t>
      </w:r>
      <w:r w:rsidR="00AB6AB5">
        <w:t xml:space="preserve"> </w:t>
      </w:r>
      <w:r w:rsidR="00CC27B3">
        <w:t>taken place</w:t>
      </w:r>
      <w:r w:rsidR="008325A9">
        <w:t xml:space="preserve"> in this </w:t>
      </w:r>
      <w:r w:rsidRPr="005C2CFE" w:rsidR="005C2CFE">
        <w:t>proceeding</w:t>
      </w:r>
      <w:r w:rsidR="00CC27B3">
        <w:t>.</w:t>
      </w:r>
      <w:r w:rsidRPr="00CC27B3" w:rsidR="00CC27B3">
        <w:t xml:space="preserve">  According to Sempra Companies, </w:t>
      </w:r>
      <w:r w:rsidR="00002F75">
        <w:t>“</w:t>
      </w:r>
      <w:r w:rsidR="007228D4">
        <w:t>[R]</w:t>
      </w:r>
      <w:r w:rsidRPr="00CC27B3" w:rsidR="00CC27B3">
        <w:t xml:space="preserve">isk </w:t>
      </w:r>
      <w:r w:rsidR="00E946E2">
        <w:t>[A]</w:t>
      </w:r>
      <w:r w:rsidRPr="00CC27B3" w:rsidR="00E946E2">
        <w:t xml:space="preserve">ttitudes </w:t>
      </w:r>
      <w:r w:rsidRPr="00CC27B3" w:rsidR="00CC27B3">
        <w:t xml:space="preserve">and </w:t>
      </w:r>
      <w:r w:rsidR="00E946E2">
        <w:t>[T]</w:t>
      </w:r>
      <w:r w:rsidRPr="00CC27B3" w:rsidR="00CC27B3">
        <w:t>olerance should be part of the current conversation to prevent wasted effort and additional significant rework in 2023.</w:t>
      </w:r>
      <w:r w:rsidR="00002F75">
        <w:t>”</w:t>
      </w:r>
      <w:r w:rsidR="00002F75">
        <w:rPr>
          <w:rStyle w:val="FootnoteReference"/>
        </w:rPr>
        <w:footnoteReference w:id="39"/>
      </w:r>
      <w:r w:rsidRPr="00CC27B3" w:rsidR="00CC27B3">
        <w:t xml:space="preserve"> </w:t>
      </w:r>
      <w:r w:rsidR="00EB090E">
        <w:t xml:space="preserve"> </w:t>
      </w:r>
      <w:r w:rsidR="00784567">
        <w:t xml:space="preserve">The </w:t>
      </w:r>
      <w:r w:rsidR="00E4762D">
        <w:t xml:space="preserve">Sempra </w:t>
      </w:r>
      <w:r w:rsidR="00784567">
        <w:t xml:space="preserve">Companies </w:t>
      </w:r>
      <w:r w:rsidR="00E4762D">
        <w:t xml:space="preserve">support </w:t>
      </w:r>
      <w:r w:rsidR="00924516">
        <w:t>a test drive</w:t>
      </w:r>
      <w:r w:rsidR="0025146A">
        <w:t xml:space="preserve"> of the </w:t>
      </w:r>
      <w:r w:rsidR="002B2FA9">
        <w:t>Cost-Benefit Approach</w:t>
      </w:r>
      <w:r w:rsidR="00043BA2">
        <w:t xml:space="preserve"> </w:t>
      </w:r>
      <w:r w:rsidR="008E3D8F">
        <w:t>and state that</w:t>
      </w:r>
      <w:r w:rsidR="00EB090E">
        <w:t xml:space="preserve"> </w:t>
      </w:r>
      <w:r w:rsidR="00BD0E5B">
        <w:t>“</w:t>
      </w:r>
      <w:r w:rsidRPr="00C84C6A" w:rsidR="008D5E72">
        <w:t>the Commission should create a new document to reflect the risk-informed decision-making framework they are adopting in its entirety.</w:t>
      </w:r>
      <w:r w:rsidRPr="00C84C6A" w:rsidR="008E3D8F">
        <w:t>”</w:t>
      </w:r>
      <w:r w:rsidR="008E3D8F">
        <w:rPr>
          <w:rStyle w:val="FootnoteReference"/>
        </w:rPr>
        <w:footnoteReference w:id="40"/>
      </w:r>
      <w:r w:rsidR="00784567">
        <w:t xml:space="preserve">  </w:t>
      </w:r>
    </w:p>
    <w:p w:rsidR="008D5E72" w:rsidP="009B4FAF" w:rsidRDefault="00784567" w14:paraId="48F12367" w14:textId="6727A1F5">
      <w:pPr>
        <w:pStyle w:val="Standard"/>
        <w:rPr>
          <w:shd w:val="clear" w:color="auto" w:fill="282828"/>
        </w:rPr>
      </w:pPr>
      <w:r>
        <w:t xml:space="preserve">In comments on the proposed decision, the Sempra Companies underscore </w:t>
      </w:r>
      <w:r w:rsidR="00A80B20">
        <w:t xml:space="preserve">that they prefer a “fresh start,” meaning a </w:t>
      </w:r>
      <w:r w:rsidR="00AA0A89">
        <w:t xml:space="preserve">departure from </w:t>
      </w:r>
      <w:r w:rsidR="0061397C">
        <w:t>building upon and refining</w:t>
      </w:r>
      <w:r w:rsidR="00AA0A89">
        <w:t xml:space="preserve"> the Settlement Agreement adopted in the SA Decision</w:t>
      </w:r>
      <w:r w:rsidR="00D11C64">
        <w:t>, as this decision does,</w:t>
      </w:r>
      <w:r w:rsidR="00C01A84">
        <w:t xml:space="preserve"> and a more collaborative </w:t>
      </w:r>
      <w:r w:rsidR="00D11C64">
        <w:t xml:space="preserve">process going forward.  </w:t>
      </w:r>
      <w:r w:rsidR="006C0844">
        <w:t>In comments on the proposed decision, t</w:t>
      </w:r>
      <w:r w:rsidR="00D11C64">
        <w:t xml:space="preserve">he Sempra Companies </w:t>
      </w:r>
      <w:r w:rsidR="00111F48">
        <w:t xml:space="preserve">further </w:t>
      </w:r>
      <w:r w:rsidR="00D11C64">
        <w:t xml:space="preserve">note that “RSEs have been a data point for the [Sempra] Companies to consider, but they are not the deciding factor for mitigation selections, due to various fact-dependent RSE shortcomings, such as lack of data, frequency of incidents, reliance on [Subject Matter Expert] (SME) </w:t>
      </w:r>
      <w:r w:rsidR="00720425">
        <w:t>judgement, changing conditions, non-asset mitigations, lack of a common view on risk tolerance, and other factors that cannot be captured in an RSE, such as public and Commission priorities.”</w:t>
      </w:r>
      <w:r w:rsidR="006C0844">
        <w:rPr>
          <w:rStyle w:val="FootnoteReference"/>
        </w:rPr>
        <w:footnoteReference w:id="41"/>
      </w:r>
      <w:r w:rsidR="00F31954">
        <w:t xml:space="preserve"> </w:t>
      </w:r>
      <w:r w:rsidR="003B72FD">
        <w:t xml:space="preserve"> </w:t>
      </w:r>
    </w:p>
    <w:p w:rsidR="00AD4A09" w:rsidP="002D50B8" w:rsidRDefault="006F42D0" w14:paraId="1A2CA5EA" w14:textId="7B0FD10E">
      <w:pPr>
        <w:pStyle w:val="Standard"/>
      </w:pPr>
      <w:r>
        <w:t xml:space="preserve">The Sempra Companies, </w:t>
      </w:r>
      <w:r w:rsidR="0079147E">
        <w:t>MGRA</w:t>
      </w:r>
      <w:r w:rsidR="00167446">
        <w:t>,</w:t>
      </w:r>
      <w:r w:rsidR="0079147E">
        <w:t xml:space="preserve"> and PCF </w:t>
      </w:r>
      <w:r w:rsidR="00AC1230">
        <w:t>submitted</w:t>
      </w:r>
      <w:r w:rsidR="00C20F97">
        <w:t xml:space="preserve"> reply comments in </w:t>
      </w:r>
      <w:r w:rsidRPr="00F90AD4" w:rsidR="00F90AD4">
        <w:t xml:space="preserve">support of </w:t>
      </w:r>
      <w:r w:rsidR="00D9488B">
        <w:t xml:space="preserve">Cal Advocates’ </w:t>
      </w:r>
      <w:r w:rsidR="00F56DE0">
        <w:t>suggestion of</w:t>
      </w:r>
      <w:r w:rsidR="00D9488B">
        <w:t xml:space="preserve"> </w:t>
      </w:r>
      <w:r w:rsidRPr="00F90AD4" w:rsidR="00F90AD4">
        <w:t xml:space="preserve">a test drive.  </w:t>
      </w:r>
      <w:r w:rsidRPr="00AD4A09" w:rsidR="00AD4A09">
        <w:t xml:space="preserve">However, PG&amp;E </w:t>
      </w:r>
      <w:r w:rsidR="00C20F97">
        <w:t>argues</w:t>
      </w:r>
      <w:r w:rsidRPr="00AD4A09" w:rsidR="00AD4A09">
        <w:t xml:space="preserve"> that a test drive is not necessary.  PG&amp;E </w:t>
      </w:r>
      <w:r w:rsidR="004E5F32">
        <w:t>“</w:t>
      </w:r>
      <w:r w:rsidRPr="00AD4A09" w:rsidR="00AD4A09">
        <w:t xml:space="preserve">supports the adoption of the </w:t>
      </w:r>
      <w:r w:rsidR="000F3136">
        <w:t xml:space="preserve">Staff Proposal and Phase II requirements </w:t>
      </w:r>
      <w:r w:rsidRPr="00AD4A09" w:rsidR="00AD4A09">
        <w:t>with the understanding that Phase III will be dedicated to discussing and testing key issues.</w:t>
      </w:r>
      <w:r w:rsidR="005328E8">
        <w:t>”</w:t>
      </w:r>
      <w:r w:rsidR="005328E8">
        <w:rPr>
          <w:rStyle w:val="FootnoteReference"/>
        </w:rPr>
        <w:footnoteReference w:id="42"/>
      </w:r>
      <w:r w:rsidRPr="00AD4A09" w:rsidR="00AD4A09">
        <w:t xml:space="preserve"> </w:t>
      </w:r>
      <w:r w:rsidR="00105C2B">
        <w:t xml:space="preserve"> </w:t>
      </w:r>
      <w:r w:rsidR="00DB19D3">
        <w:t>PG&amp;E</w:t>
      </w:r>
      <w:r w:rsidR="000B57A8">
        <w:t xml:space="preserve"> </w:t>
      </w:r>
      <w:r w:rsidR="00112CF9">
        <w:t>comment</w:t>
      </w:r>
      <w:r w:rsidR="003F626C">
        <w:t>s</w:t>
      </w:r>
      <w:r w:rsidR="00112CF9">
        <w:t xml:space="preserve"> that key topics such as </w:t>
      </w:r>
      <w:r w:rsidR="00E946E2">
        <w:t>Risk</w:t>
      </w:r>
      <w:r w:rsidDel="00E946E2" w:rsidR="00112CF9">
        <w:t xml:space="preserve"> </w:t>
      </w:r>
      <w:r w:rsidR="00E946E2">
        <w:t>Tolerance</w:t>
      </w:r>
      <w:r w:rsidR="00112CF9">
        <w:t xml:space="preserve"> and </w:t>
      </w:r>
      <w:r w:rsidR="00E946E2">
        <w:t>Risk</w:t>
      </w:r>
      <w:r w:rsidDel="00E946E2" w:rsidR="00112CF9">
        <w:t xml:space="preserve"> </w:t>
      </w:r>
      <w:r w:rsidR="00E946E2">
        <w:t>Attitude</w:t>
      </w:r>
      <w:r w:rsidR="00112CF9">
        <w:t xml:space="preserve"> should be def</w:t>
      </w:r>
      <w:r w:rsidR="00C20F97">
        <w:t>er</w:t>
      </w:r>
      <w:r w:rsidR="00112CF9">
        <w:t>red to Phase III</w:t>
      </w:r>
      <w:r w:rsidR="00810A58">
        <w:t xml:space="preserve"> but also note</w:t>
      </w:r>
      <w:r w:rsidR="003F626C">
        <w:t>s</w:t>
      </w:r>
      <w:r w:rsidR="00810A58">
        <w:t xml:space="preserve"> that this would </w:t>
      </w:r>
      <w:r w:rsidR="003B28D8">
        <w:t xml:space="preserve">not afford PG&amp;E sufficient </w:t>
      </w:r>
      <w:r w:rsidR="00C9464F">
        <w:t>time</w:t>
      </w:r>
      <w:r w:rsidR="003B28D8">
        <w:t xml:space="preserve"> to implement </w:t>
      </w:r>
      <w:r w:rsidR="00283E03">
        <w:t xml:space="preserve">any resulting </w:t>
      </w:r>
      <w:r w:rsidR="003B28D8">
        <w:t>changes in its Test-Year 2027 GRC cycle</w:t>
      </w:r>
      <w:r w:rsidR="00C9464F">
        <w:t xml:space="preserve">, beginning with </w:t>
      </w:r>
      <w:r w:rsidR="003F626C">
        <w:t>its</w:t>
      </w:r>
      <w:r w:rsidR="00C9464F">
        <w:t xml:space="preserve"> 2024 RAMP application. </w:t>
      </w:r>
      <w:r w:rsidR="003F626C">
        <w:t xml:space="preserve"> </w:t>
      </w:r>
      <w:r w:rsidR="00C9464F">
        <w:t xml:space="preserve">Therefore, PG&amp;E </w:t>
      </w:r>
      <w:r w:rsidR="00283E03">
        <w:t xml:space="preserve">argues that it </w:t>
      </w:r>
      <w:r w:rsidR="00C9464F">
        <w:t xml:space="preserve">should not be </w:t>
      </w:r>
      <w:r w:rsidR="002F1164">
        <w:t xml:space="preserve">deemed out of compliance if it cannot implement any recommendations </w:t>
      </w:r>
      <w:r w:rsidR="003F626C">
        <w:t xml:space="preserve">adopted </w:t>
      </w:r>
      <w:r w:rsidR="00D34778">
        <w:t>in</w:t>
      </w:r>
      <w:r w:rsidR="002F1164">
        <w:t xml:space="preserve"> a subsequent phase of this proceeding</w:t>
      </w:r>
      <w:r w:rsidR="006E44E0">
        <w:t xml:space="preserve"> </w:t>
      </w:r>
      <w:r w:rsidR="003A7DAE">
        <w:t>prior to</w:t>
      </w:r>
      <w:r w:rsidR="006E44E0">
        <w:t xml:space="preserve"> its Test-Year 2027 GRC cycle</w:t>
      </w:r>
      <w:r w:rsidR="002F1164">
        <w:t>.</w:t>
      </w:r>
      <w:r w:rsidR="005A5786">
        <w:t xml:space="preserve">  In comments on the proposed decision, PG&amp;E seeks clarification regarding use of the </w:t>
      </w:r>
      <w:bookmarkStart w:name="_Hlk121130939" w:id="20"/>
      <w:r w:rsidR="005A5786">
        <w:t>Cost-Benefit Approach in its 2024 Wildfire Mitigation Plan filing to the Office of Energy Infrastructure Safety</w:t>
      </w:r>
      <w:r w:rsidR="0077653B">
        <w:t>.</w:t>
      </w:r>
      <w:r w:rsidR="005747DB">
        <w:t xml:space="preserve">  </w:t>
      </w:r>
      <w:bookmarkEnd w:id="20"/>
      <w:r w:rsidR="005747DB">
        <w:t>PG&amp;E states that it previous</w:t>
      </w:r>
      <w:r w:rsidR="005E7A38">
        <w:t xml:space="preserve">ly suggested </w:t>
      </w:r>
      <w:r w:rsidR="005747DB">
        <w:t xml:space="preserve">that </w:t>
      </w:r>
      <w:r w:rsidR="005E7A38">
        <w:t xml:space="preserve">implementation of the Cost-Benefit Approach in its Wildfire Mitigation Plan filings should commence in 2025. </w:t>
      </w:r>
      <w:r w:rsidR="005A5786">
        <w:t xml:space="preserve"> </w:t>
      </w:r>
    </w:p>
    <w:p w:rsidR="00283D13" w:rsidP="009B4FAF" w:rsidRDefault="00C16A11" w14:paraId="2AFBCDDD" w14:textId="17586C57">
      <w:pPr>
        <w:pStyle w:val="Standard"/>
      </w:pPr>
      <w:r>
        <w:t>SCE</w:t>
      </w:r>
      <w:r w:rsidR="00E76184">
        <w:t xml:space="preserve"> opposes</w:t>
      </w:r>
      <w:r w:rsidDel="007F7A29" w:rsidR="00E76184">
        <w:t xml:space="preserve"> </w:t>
      </w:r>
      <w:r w:rsidR="007F7A29">
        <w:t>Staff’s</w:t>
      </w:r>
      <w:r w:rsidR="00E76184">
        <w:t xml:space="preserve"> recommended shift away from the MAVF to </w:t>
      </w:r>
      <w:r w:rsidR="00C81E45">
        <w:t xml:space="preserve">the Cost-Benefit Approach. </w:t>
      </w:r>
      <w:r w:rsidR="00E76184">
        <w:t xml:space="preserve"> </w:t>
      </w:r>
      <w:r w:rsidR="004C5C71">
        <w:t xml:space="preserve">According to SCE, </w:t>
      </w:r>
      <w:r w:rsidR="00EF294B">
        <w:t xml:space="preserve">the recommendations in the Staff Proposal </w:t>
      </w:r>
      <w:r w:rsidR="00FB6986">
        <w:t>“</w:t>
      </w:r>
      <w:r w:rsidR="00EF294B">
        <w:t>simply update</w:t>
      </w:r>
      <w:r w:rsidR="00104AB4">
        <w:t xml:space="preserve"> the current flawed methodology and would provide no real incremental benefits to the parties.</w:t>
      </w:r>
      <w:r w:rsidR="00FB6986">
        <w:t>”</w:t>
      </w:r>
      <w:r w:rsidR="00FB6986">
        <w:rPr>
          <w:rStyle w:val="FootnoteReference"/>
        </w:rPr>
        <w:footnoteReference w:id="43"/>
      </w:r>
      <w:r w:rsidR="00104AB4">
        <w:t xml:space="preserve">  </w:t>
      </w:r>
      <w:r w:rsidR="00EF519E">
        <w:t xml:space="preserve">SCE also asserts that the changes in the Staff Proposal are </w:t>
      </w:r>
      <w:r w:rsidR="006B25F7">
        <w:t>un</w:t>
      </w:r>
      <w:r w:rsidR="00EF519E">
        <w:t xml:space="preserve">necessary, </w:t>
      </w:r>
      <w:r w:rsidR="00E9331D">
        <w:t>with parties bein</w:t>
      </w:r>
      <w:r w:rsidR="00157FF1">
        <w:t>g</w:t>
      </w:r>
      <w:r w:rsidR="00E9331D">
        <w:t xml:space="preserve"> able to request or calculate </w:t>
      </w:r>
      <w:r w:rsidR="00D51341">
        <w:t xml:space="preserve">a conversion from RSEs to </w:t>
      </w:r>
      <w:r w:rsidR="00FF7A03">
        <w:t>Cost-Benefit Ratios</w:t>
      </w:r>
      <w:r w:rsidR="00D51341">
        <w:t xml:space="preserve">. </w:t>
      </w:r>
      <w:r w:rsidR="00BD601B">
        <w:t xml:space="preserve"> </w:t>
      </w:r>
      <w:r w:rsidR="00054CA5">
        <w:t xml:space="preserve">SCE </w:t>
      </w:r>
      <w:r w:rsidR="006B25F7">
        <w:t>contends</w:t>
      </w:r>
      <w:r w:rsidR="00F538CD">
        <w:t xml:space="preserve"> it is essential</w:t>
      </w:r>
      <w:r w:rsidR="00236CB4">
        <w:t xml:space="preserve"> to </w:t>
      </w:r>
      <w:r w:rsidR="006B25F7">
        <w:t xml:space="preserve">address questions about </w:t>
      </w:r>
      <w:r w:rsidR="00E465D0">
        <w:t>R</w:t>
      </w:r>
      <w:r w:rsidR="006B25F7">
        <w:t xml:space="preserve">isk </w:t>
      </w:r>
      <w:r w:rsidR="00E465D0">
        <w:t>T</w:t>
      </w:r>
      <w:r w:rsidR="006B25F7">
        <w:t xml:space="preserve">olerance, </w:t>
      </w:r>
      <w:r w:rsidR="00E465D0">
        <w:t>R</w:t>
      </w:r>
      <w:r w:rsidR="006B25F7">
        <w:t xml:space="preserve">isk </w:t>
      </w:r>
      <w:r w:rsidR="00E465D0">
        <w:t>A</w:t>
      </w:r>
      <w:r w:rsidR="006B25F7">
        <w:t xml:space="preserve">ttitude, surrogate metrics, uncertainty, tail risk, and other issues before </w:t>
      </w:r>
      <w:r w:rsidR="006E1131">
        <w:t>adopting the recommendations in the Staff Proposal</w:t>
      </w:r>
      <w:r w:rsidR="00C855D9">
        <w:t>.</w:t>
      </w:r>
      <w:r w:rsidR="0061397C">
        <w:t xml:space="preserve">  </w:t>
      </w:r>
      <w:r w:rsidR="0034002F">
        <w:t>In comments and reply comments on the proposed decision, the Sempra Companies also emphasize the importance</w:t>
      </w:r>
      <w:r w:rsidR="002234F1">
        <w:t xml:space="preserve"> to IOUs</w:t>
      </w:r>
      <w:r w:rsidR="0034002F">
        <w:t xml:space="preserve"> of </w:t>
      </w:r>
      <w:r w:rsidR="00EA1694">
        <w:t>addressing issues of tail ris</w:t>
      </w:r>
      <w:r w:rsidR="00FC1235">
        <w:t xml:space="preserve">k, </w:t>
      </w:r>
      <w:r w:rsidR="00EA1694">
        <w:t>Risk Tolerance</w:t>
      </w:r>
      <w:r w:rsidR="00FC1235">
        <w:t xml:space="preserve"> and Risk Attitude</w:t>
      </w:r>
      <w:r w:rsidR="00EA1694">
        <w:t xml:space="preserve">. </w:t>
      </w:r>
    </w:p>
    <w:p w:rsidR="00AB665F" w:rsidP="009B4FAF" w:rsidRDefault="00AB665F" w14:paraId="2ACB5A83" w14:textId="2639D1F6">
      <w:pPr>
        <w:pStyle w:val="Standard"/>
      </w:pPr>
      <w:r>
        <w:t xml:space="preserve">In comments on the proposed decision, PCF requests </w:t>
      </w:r>
      <w:r w:rsidR="00C52622">
        <w:t xml:space="preserve">the Commission </w:t>
      </w:r>
      <w:r>
        <w:t>clarif</w:t>
      </w:r>
      <w:r w:rsidR="00C52622">
        <w:t>y that we expect</w:t>
      </w:r>
      <w:r>
        <w:t xml:space="preserve"> </w:t>
      </w:r>
      <w:r w:rsidR="00C52622">
        <w:t xml:space="preserve">full IOU compliance with the SA Decision during the transition period to the Cost-Benefit Approach adopted in this decision. </w:t>
      </w:r>
    </w:p>
    <w:p w:rsidRPr="00C56AA5" w:rsidR="009B4FAF" w:rsidP="009B4FAF" w:rsidRDefault="009B4FAF" w14:paraId="06EE5803" w14:textId="397CF4F4">
      <w:pPr>
        <w:pStyle w:val="Heading3"/>
        <w:numPr>
          <w:ilvl w:val="2"/>
          <w:numId w:val="1"/>
        </w:numPr>
      </w:pPr>
      <w:bookmarkStart w:name="_Toc121821036" w:id="21"/>
      <w:r w:rsidRPr="00C56AA5">
        <w:t>Discussion</w:t>
      </w:r>
      <w:bookmarkEnd w:id="21"/>
    </w:p>
    <w:p w:rsidR="00555157" w:rsidP="00555157" w:rsidRDefault="0006194B" w14:paraId="0C1CBCEB" w14:textId="38886FC7">
      <w:pPr>
        <w:pStyle w:val="Standard"/>
      </w:pPr>
      <w:r w:rsidRPr="0006194B">
        <w:t xml:space="preserve">We </w:t>
      </w:r>
      <w:r w:rsidR="00471854">
        <w:t xml:space="preserve">adopt Staff’s proposal and </w:t>
      </w:r>
      <w:r w:rsidRPr="0006194B">
        <w:t xml:space="preserve">direct the IOUs to </w:t>
      </w:r>
      <w:r w:rsidR="004D456E">
        <w:t xml:space="preserve">implement </w:t>
      </w:r>
      <w:r w:rsidR="00C81E45">
        <w:t xml:space="preserve">the Cost-Benefit Approach </w:t>
      </w:r>
      <w:r w:rsidR="004D456E">
        <w:t xml:space="preserve">in the RDF </w:t>
      </w:r>
      <w:r w:rsidRPr="0006194B">
        <w:t xml:space="preserve">by implementing </w:t>
      </w:r>
      <w:r w:rsidR="006714DC">
        <w:t>a</w:t>
      </w:r>
      <w:r w:rsidRPr="0006194B">
        <w:t xml:space="preserve"> dollar valuation of </w:t>
      </w:r>
      <w:r w:rsidR="00447DC8">
        <w:t>Attribute</w:t>
      </w:r>
      <w:r w:rsidRPr="0006194B">
        <w:t>s</w:t>
      </w:r>
      <w:r w:rsidR="00DA06D8">
        <w:t xml:space="preserve"> rather than </w:t>
      </w:r>
      <w:r w:rsidR="00C81E45">
        <w:t>the</w:t>
      </w:r>
      <w:r w:rsidR="00DA06D8">
        <w:t xml:space="preserve"> MAVF approach.  This </w:t>
      </w:r>
      <w:r w:rsidRPr="0006194B">
        <w:t>replac</w:t>
      </w:r>
      <w:r w:rsidR="006714DC">
        <w:t>es</w:t>
      </w:r>
      <w:r w:rsidRPr="0006194B">
        <w:t xml:space="preserve"> the need </w:t>
      </w:r>
      <w:r w:rsidR="00667D97">
        <w:t xml:space="preserve">for the utilities </w:t>
      </w:r>
      <w:r w:rsidRPr="0006194B">
        <w:t xml:space="preserve">to determine </w:t>
      </w:r>
      <w:r w:rsidR="00447DC8">
        <w:t>Attribute</w:t>
      </w:r>
      <w:r w:rsidRPr="0006194B">
        <w:t xml:space="preserve"> weights and ranges </w:t>
      </w:r>
      <w:r w:rsidR="00667D97">
        <w:t xml:space="preserve">as </w:t>
      </w:r>
      <w:r w:rsidR="003F5429">
        <w:t>entailed</w:t>
      </w:r>
      <w:r w:rsidR="00667D97">
        <w:t xml:space="preserve"> in the </w:t>
      </w:r>
      <w:r w:rsidRPr="0006194B">
        <w:t>MAVF framework</w:t>
      </w:r>
      <w:r w:rsidR="00667D97">
        <w:t xml:space="preserve"> adopted in the SA Decision</w:t>
      </w:r>
      <w:r w:rsidRPr="0006194B">
        <w:t xml:space="preserve">.  </w:t>
      </w:r>
      <w:r w:rsidRPr="00A054E5" w:rsidR="00555157">
        <w:t xml:space="preserve">We direct the IOUs to implement </w:t>
      </w:r>
      <w:r w:rsidR="00C22C6C">
        <w:t>the</w:t>
      </w:r>
      <w:r w:rsidRPr="00A054E5" w:rsidR="00555157">
        <w:t xml:space="preserve"> </w:t>
      </w:r>
      <w:r w:rsidR="00555157">
        <w:t>Cost-Benefit Approach</w:t>
      </w:r>
      <w:r w:rsidRPr="00A054E5" w:rsidR="00555157">
        <w:t xml:space="preserve"> in their next respective GRC cycles, beginning with PG&amp;E’s 2024</w:t>
      </w:r>
      <w:r w:rsidR="00D92714">
        <w:t> </w:t>
      </w:r>
      <w:r w:rsidRPr="00A054E5" w:rsidR="00555157">
        <w:t xml:space="preserve">RAMP application.  </w:t>
      </w:r>
      <w:r w:rsidR="003079B2">
        <w:t>These change</w:t>
      </w:r>
      <w:r w:rsidR="006D6CFA">
        <w:t>s</w:t>
      </w:r>
      <w:r w:rsidR="00E55245">
        <w:t xml:space="preserve"> are embodied in the modified Risk-Based Decision-Making Framework contained in Appendix A of this decision. </w:t>
      </w:r>
    </w:p>
    <w:p w:rsidR="000C6A29" w:rsidP="00170630" w:rsidRDefault="00883153" w14:paraId="76AEAA33" w14:textId="312E5E4E">
      <w:pPr>
        <w:pStyle w:val="Standard"/>
      </w:pPr>
      <w:r>
        <w:t xml:space="preserve">This </w:t>
      </w:r>
      <w:r w:rsidR="0049307A">
        <w:t xml:space="preserve">modification </w:t>
      </w:r>
      <w:r w:rsidR="00B3065C">
        <w:t xml:space="preserve">of the </w:t>
      </w:r>
      <w:r w:rsidR="0049307A">
        <w:t xml:space="preserve">SA Decision </w:t>
      </w:r>
      <w:r w:rsidR="009A4C17">
        <w:t>has</w:t>
      </w:r>
      <w:r>
        <w:t xml:space="preserve"> several </w:t>
      </w:r>
      <w:r w:rsidR="009A4C17">
        <w:t>benefits</w:t>
      </w:r>
      <w:r>
        <w:t xml:space="preserve">.  First, </w:t>
      </w:r>
      <w:r w:rsidR="000E7CC5">
        <w:t xml:space="preserve">adopting </w:t>
      </w:r>
      <w:r w:rsidR="00C81E45">
        <w:t xml:space="preserve">the Cost-Benefit Approach </w:t>
      </w:r>
      <w:r w:rsidR="000E7CC5">
        <w:t xml:space="preserve">means that </w:t>
      </w:r>
      <w:r w:rsidR="00084951">
        <w:t>comparable value</w:t>
      </w:r>
      <w:r w:rsidR="00C22C6C">
        <w:t>s</w:t>
      </w:r>
      <w:r w:rsidR="00084951">
        <w:t xml:space="preserve"> and </w:t>
      </w:r>
      <w:r w:rsidRPr="00883153">
        <w:t>trade-off</w:t>
      </w:r>
      <w:r w:rsidR="00084951">
        <w:t>s</w:t>
      </w:r>
      <w:r w:rsidRPr="00883153">
        <w:t xml:space="preserve"> in dollars for each </w:t>
      </w:r>
      <w:r w:rsidR="008051B3">
        <w:t>A</w:t>
      </w:r>
      <w:r w:rsidRPr="00883153">
        <w:t xml:space="preserve">ttribute </w:t>
      </w:r>
      <w:r w:rsidR="00365BD0">
        <w:t xml:space="preserve">will </w:t>
      </w:r>
      <w:r w:rsidRPr="00883153">
        <w:t>replace the current weight</w:t>
      </w:r>
      <w:r w:rsidR="0092158D">
        <w:t>s</w:t>
      </w:r>
      <w:r w:rsidRPr="00883153">
        <w:t xml:space="preserve"> and range</w:t>
      </w:r>
      <w:r w:rsidR="0092158D">
        <w:t>s</w:t>
      </w:r>
      <w:r w:rsidRPr="00883153">
        <w:t xml:space="preserve"> in the MAVF approach</w:t>
      </w:r>
      <w:r w:rsidR="00E25CD3">
        <w:t>.  This s</w:t>
      </w:r>
      <w:r w:rsidRPr="00883153">
        <w:t>implif</w:t>
      </w:r>
      <w:r w:rsidR="00E25CD3">
        <w:t>ies</w:t>
      </w:r>
      <w:r w:rsidRPr="00883153">
        <w:t xml:space="preserve"> the RDF calculation</w:t>
      </w:r>
      <w:r w:rsidR="00084951">
        <w:t>s we require of IOUs</w:t>
      </w:r>
      <w:r w:rsidR="00036297">
        <w:t>, as shown in Table</w:t>
      </w:r>
      <w:r w:rsidR="006162A2">
        <w:t>s</w:t>
      </w:r>
      <w:r w:rsidR="00036297">
        <w:t xml:space="preserve"> 2 and 3 </w:t>
      </w:r>
      <w:r w:rsidR="00084951">
        <w:t xml:space="preserve">above, </w:t>
      </w:r>
      <w:r w:rsidR="005D68FD">
        <w:t xml:space="preserve">and </w:t>
      </w:r>
      <w:r w:rsidR="00E25CD3">
        <w:t>provides</w:t>
      </w:r>
      <w:r w:rsidR="009F516E">
        <w:t xml:space="preserve"> </w:t>
      </w:r>
      <w:r w:rsidR="00084951">
        <w:t xml:space="preserve">for </w:t>
      </w:r>
      <w:r w:rsidR="009F516E">
        <w:t>greater clarity and transparency</w:t>
      </w:r>
      <w:r w:rsidR="00C22C6C">
        <w:t xml:space="preserve"> when assessing risks and mitigations</w:t>
      </w:r>
      <w:r w:rsidR="00036297">
        <w:t>.</w:t>
      </w:r>
      <w:r>
        <w:t xml:space="preserve"> </w:t>
      </w:r>
      <w:r w:rsidR="00723BD2">
        <w:t xml:space="preserve"> </w:t>
      </w:r>
    </w:p>
    <w:p w:rsidR="00234798" w:rsidP="007E4566" w:rsidRDefault="00766292" w14:paraId="14F427C2" w14:textId="07D5CEAF">
      <w:r>
        <w:t xml:space="preserve">Second, </w:t>
      </w:r>
      <w:r w:rsidR="00C22C6C">
        <w:t xml:space="preserve">this modification eliminates </w:t>
      </w:r>
      <w:r w:rsidR="00E86D07">
        <w:t xml:space="preserve">the need </w:t>
      </w:r>
      <w:r w:rsidR="00296A3C">
        <w:t xml:space="preserve">for IOUs </w:t>
      </w:r>
      <w:r w:rsidR="00E86D07">
        <w:t xml:space="preserve">to assign </w:t>
      </w:r>
      <w:r w:rsidRPr="004F3F8A" w:rsidR="004F3F8A">
        <w:t>weight</w:t>
      </w:r>
      <w:r w:rsidR="00E86D07">
        <w:t>s and ranges to</w:t>
      </w:r>
      <w:r w:rsidRPr="004F3F8A" w:rsidR="004F3F8A">
        <w:t xml:space="preserve"> </w:t>
      </w:r>
      <w:r w:rsidR="000A7705">
        <w:t>Attributes</w:t>
      </w:r>
      <w:r w:rsidR="003D0EE1">
        <w:t xml:space="preserve"> in </w:t>
      </w:r>
      <w:r w:rsidR="00C22C6C">
        <w:t xml:space="preserve">when performing risk assessments.  </w:t>
      </w:r>
      <w:r w:rsidR="00725F70">
        <w:t>This in turn allows us to e</w:t>
      </w:r>
      <w:r w:rsidR="00757DA9">
        <w:t xml:space="preserve">liminate the requirement </w:t>
      </w:r>
      <w:r w:rsidR="00084951">
        <w:t>of</w:t>
      </w:r>
      <w:r w:rsidR="00757DA9">
        <w:t xml:space="preserve"> Ordering Paragraph</w:t>
      </w:r>
      <w:r w:rsidR="00A1255B">
        <w:t> </w:t>
      </w:r>
      <w:r w:rsidR="00757DA9">
        <w:t>2 of the SA Decision that</w:t>
      </w:r>
      <w:r w:rsidR="00457C87">
        <w:t xml:space="preserve"> </w:t>
      </w:r>
      <w:r w:rsidR="00084951">
        <w:t>I</w:t>
      </w:r>
      <w:r w:rsidR="0067401E">
        <w:t xml:space="preserve">OUs </w:t>
      </w:r>
      <w:r w:rsidR="00084951">
        <w:t xml:space="preserve">must </w:t>
      </w:r>
      <w:r w:rsidR="0067401E">
        <w:t xml:space="preserve">set a </w:t>
      </w:r>
      <w:r w:rsidRPr="004F3F8A" w:rsidR="004F3F8A">
        <w:t>40</w:t>
      </w:r>
      <w:r w:rsidR="007B6F9C">
        <w:t> </w:t>
      </w:r>
      <w:r w:rsidRPr="004F3F8A" w:rsidR="004F3F8A">
        <w:t xml:space="preserve">percent minimum weight </w:t>
      </w:r>
      <w:r w:rsidR="00084951">
        <w:t xml:space="preserve">to </w:t>
      </w:r>
      <w:r w:rsidRPr="004F3F8A" w:rsidR="004F3F8A">
        <w:t xml:space="preserve">the Safety </w:t>
      </w:r>
      <w:r w:rsidR="00105F84">
        <w:t>A</w:t>
      </w:r>
      <w:r w:rsidRPr="004F3F8A" w:rsidR="004F3F8A">
        <w:t>ttribute</w:t>
      </w:r>
      <w:r w:rsidR="00084951">
        <w:t xml:space="preserve"> in all of their risk calculations</w:t>
      </w:r>
      <w:r w:rsidRPr="004F3F8A" w:rsidR="004F3F8A">
        <w:t xml:space="preserve">. </w:t>
      </w:r>
      <w:r w:rsidR="0023734F">
        <w:t xml:space="preserve"> </w:t>
      </w:r>
      <w:r w:rsidR="00725F70">
        <w:t>We acknowledge that t</w:t>
      </w:r>
      <w:r w:rsidRPr="004F3F8A" w:rsidR="004F3F8A">
        <w:t>h</w:t>
      </w:r>
      <w:r w:rsidR="00BA0088">
        <w:t>e</w:t>
      </w:r>
      <w:r w:rsidRPr="004F3F8A" w:rsidR="004F3F8A">
        <w:t xml:space="preserve"> 40 percent minimum weighting represent</w:t>
      </w:r>
      <w:r w:rsidR="00725F70">
        <w:t>ed</w:t>
      </w:r>
      <w:r w:rsidRPr="004F3F8A" w:rsidR="004F3F8A">
        <w:t xml:space="preserve"> </w:t>
      </w:r>
      <w:r w:rsidR="00295F78">
        <w:t>the idea</w:t>
      </w:r>
      <w:r w:rsidRPr="004F3F8A" w:rsidR="004F3F8A">
        <w:t xml:space="preserve"> of weights as a reflection of </w:t>
      </w:r>
      <w:r w:rsidR="002A3401">
        <w:t xml:space="preserve">the </w:t>
      </w:r>
      <w:r w:rsidR="00FC1235">
        <w:t>“</w:t>
      </w:r>
      <w:r w:rsidRPr="004F3F8A" w:rsidR="004F3F8A">
        <w:t>general importance</w:t>
      </w:r>
      <w:r w:rsidR="00FC1235">
        <w:t>”</w:t>
      </w:r>
      <w:r w:rsidRPr="004F3F8A" w:rsidR="004F3F8A">
        <w:t xml:space="preserve"> </w:t>
      </w:r>
      <w:r w:rsidR="002A3401">
        <w:t xml:space="preserve">of risks </w:t>
      </w:r>
      <w:r w:rsidRPr="004F3F8A" w:rsidR="004F3F8A">
        <w:t xml:space="preserve">rather than </w:t>
      </w:r>
      <w:r w:rsidR="002A3401">
        <w:t>the concept of the</w:t>
      </w:r>
      <w:r w:rsidR="00295F78">
        <w:t xml:space="preserve"> </w:t>
      </w:r>
      <w:r w:rsidR="002A3401">
        <w:t>“</w:t>
      </w:r>
      <w:r w:rsidRPr="004F3F8A" w:rsidR="004F3F8A">
        <w:t>relative importance</w:t>
      </w:r>
      <w:r w:rsidR="002A3401">
        <w:t>” of risks</w:t>
      </w:r>
      <w:r w:rsidRPr="004F3F8A" w:rsidR="004F3F8A">
        <w:t xml:space="preserve"> based on </w:t>
      </w:r>
      <w:r w:rsidR="00105F84">
        <w:t>A</w:t>
      </w:r>
      <w:r w:rsidRPr="004F3F8A" w:rsidR="004F3F8A">
        <w:t>ttribute ranges</w:t>
      </w:r>
      <w:r w:rsidR="00973F22">
        <w:t>, which is what the Settlement Agreement</w:t>
      </w:r>
      <w:r w:rsidR="003C2455">
        <w:t xml:space="preserve"> provides for</w:t>
      </w:r>
      <w:r w:rsidRPr="00991A07" w:rsidR="009A4C17">
        <w:t>.</w:t>
      </w:r>
      <w:r w:rsidRPr="00991A07" w:rsidR="00723BD2">
        <w:rPr>
          <w:rStyle w:val="FootnoteReference"/>
        </w:rPr>
        <w:footnoteReference w:id="44"/>
      </w:r>
      <w:r w:rsidRPr="00991A07" w:rsidR="00F71FEF">
        <w:t xml:space="preserve">  </w:t>
      </w:r>
      <w:r w:rsidRPr="00991A07" w:rsidR="005B5D95">
        <w:t>We agree with Staff that</w:t>
      </w:r>
      <w:r w:rsidRPr="00991A07" w:rsidR="006C590D">
        <w:t xml:space="preserve"> </w:t>
      </w:r>
      <w:r w:rsidRPr="00991A07" w:rsidR="005B5D95">
        <w:t>a</w:t>
      </w:r>
      <w:r w:rsidRPr="00991A07" w:rsidR="002B495E">
        <w:t xml:space="preserve">pplication of </w:t>
      </w:r>
      <w:r w:rsidRPr="00991A07" w:rsidR="005B5D95">
        <w:t xml:space="preserve">a </w:t>
      </w:r>
      <w:r w:rsidRPr="00991A07" w:rsidR="004A4957">
        <w:t>40</w:t>
      </w:r>
      <w:r w:rsidRPr="00991A07" w:rsidR="007B6F9C">
        <w:t> </w:t>
      </w:r>
      <w:r w:rsidRPr="00991A07" w:rsidR="004A4957">
        <w:t xml:space="preserve">percent Safety weighting </w:t>
      </w:r>
      <w:r w:rsidRPr="00991A07" w:rsidR="005B5D95">
        <w:t xml:space="preserve">tends to </w:t>
      </w:r>
      <w:r w:rsidRPr="00991A07" w:rsidR="004A4957">
        <w:t>obscure a range of improbable assumptions with</w:t>
      </w:r>
      <w:r w:rsidRPr="00991A07" w:rsidR="006C590D">
        <w:t>in</w:t>
      </w:r>
      <w:r w:rsidRPr="00991A07" w:rsidR="004A4957">
        <w:t xml:space="preserve"> a utility’s RDF. </w:t>
      </w:r>
      <w:r w:rsidRPr="00991A07" w:rsidR="00104ED8">
        <w:t xml:space="preserve"> It is appropriate</w:t>
      </w:r>
      <w:r w:rsidRPr="00991A07" w:rsidR="002A3401">
        <w:t xml:space="preserve"> </w:t>
      </w:r>
      <w:r w:rsidRPr="00991A07" w:rsidR="00104ED8">
        <w:t>to eliminate the 40 percent Safety weighting requirement here.</w:t>
      </w:r>
    </w:p>
    <w:p w:rsidR="0010660A" w:rsidP="007E4566" w:rsidRDefault="00F71FEF" w14:paraId="1714DDCF" w14:textId="309B544B">
      <w:r>
        <w:t>T</w:t>
      </w:r>
      <w:r w:rsidR="00025A95">
        <w:t xml:space="preserve">hird, </w:t>
      </w:r>
      <w:r w:rsidR="003C6C57">
        <w:t xml:space="preserve">replacing the MAVF approach with </w:t>
      </w:r>
      <w:r w:rsidR="00C81E45">
        <w:t xml:space="preserve">the Cost-Benefit Approach </w:t>
      </w:r>
      <w:r w:rsidR="003C6C57">
        <w:t xml:space="preserve">means that utilities, when using the RDF, will </w:t>
      </w:r>
      <w:r w:rsidR="004E5D8C">
        <w:t>express</w:t>
      </w:r>
      <w:r w:rsidR="003C6C57">
        <w:t xml:space="preserve"> </w:t>
      </w:r>
      <w:r w:rsidR="0050482F">
        <w:t>R</w:t>
      </w:r>
      <w:r w:rsidR="004E5D8C">
        <w:t xml:space="preserve">isk </w:t>
      </w:r>
      <w:r w:rsidR="001015BD">
        <w:t xml:space="preserve">and </w:t>
      </w:r>
      <w:r w:rsidR="00DC7BB2">
        <w:t>M</w:t>
      </w:r>
      <w:r w:rsidR="00DF3DA8">
        <w:t>itigation Benefit</w:t>
      </w:r>
      <w:r w:rsidR="001015BD">
        <w:t>s</w:t>
      </w:r>
      <w:r w:rsidR="00DF3DA8">
        <w:t xml:space="preserve"> </w:t>
      </w:r>
      <w:r w:rsidR="00DE7BAC">
        <w:t>in dollar</w:t>
      </w:r>
      <w:r w:rsidR="00B40C32">
        <w:t>s</w:t>
      </w:r>
      <w:r w:rsidR="001015BD">
        <w:t xml:space="preserve">.  Utilities will calculate </w:t>
      </w:r>
      <w:r w:rsidR="00454892">
        <w:t>C</w:t>
      </w:r>
      <w:r w:rsidR="006A1547">
        <w:t>ost</w:t>
      </w:r>
      <w:r w:rsidR="007B6F9C">
        <w:noBreakHyphen/>
      </w:r>
      <w:r w:rsidR="00060F78">
        <w:t>B</w:t>
      </w:r>
      <w:r w:rsidR="006A1547">
        <w:t xml:space="preserve">enefit </w:t>
      </w:r>
      <w:r w:rsidR="00060F78">
        <w:t>R</w:t>
      </w:r>
      <w:r w:rsidR="006A1547">
        <w:t>atio</w:t>
      </w:r>
      <w:r w:rsidR="00D91BA0">
        <w:t xml:space="preserve">s for Mitigations by computing </w:t>
      </w:r>
      <w:r w:rsidR="0059029D">
        <w:t xml:space="preserve">the dollar value of </w:t>
      </w:r>
      <w:r w:rsidR="00D91BA0">
        <w:t xml:space="preserve">a </w:t>
      </w:r>
      <w:r w:rsidR="0059029D">
        <w:t xml:space="preserve">Mitigation Benefit divided by </w:t>
      </w:r>
      <w:r w:rsidR="00C02F05">
        <w:t xml:space="preserve">a </w:t>
      </w:r>
      <w:r w:rsidR="0059029D">
        <w:t>Mitigation cost estimate</w:t>
      </w:r>
      <w:r w:rsidR="00D91BA0">
        <w:t xml:space="preserve">.  </w:t>
      </w:r>
      <w:r w:rsidR="00EE3C37">
        <w:t xml:space="preserve">A </w:t>
      </w:r>
      <w:r w:rsidR="00D91BA0">
        <w:t xml:space="preserve">Cost-Benefit Approach </w:t>
      </w:r>
      <w:r w:rsidR="00EE3C37">
        <w:t xml:space="preserve">with these elements </w:t>
      </w:r>
      <w:r w:rsidR="00D91BA0">
        <w:t>will be</w:t>
      </w:r>
      <w:r w:rsidR="00643FDF">
        <w:t xml:space="preserve"> </w:t>
      </w:r>
      <w:r w:rsidR="00FA0082">
        <w:t>more intuitively understandable</w:t>
      </w:r>
      <w:r w:rsidR="00E023CE">
        <w:t xml:space="preserve"> and useful</w:t>
      </w:r>
      <w:r w:rsidR="00FA0082">
        <w:t xml:space="preserve"> </w:t>
      </w:r>
      <w:r w:rsidR="00F95EC1">
        <w:t xml:space="preserve">than </w:t>
      </w:r>
      <w:r w:rsidR="00EE3C37">
        <w:t xml:space="preserve">utility </w:t>
      </w:r>
      <w:r w:rsidR="003C419C">
        <w:t xml:space="preserve">computation of </w:t>
      </w:r>
      <w:r w:rsidR="0050482F">
        <w:t>R</w:t>
      </w:r>
      <w:r w:rsidR="00F95EC1">
        <w:t>isk</w:t>
      </w:r>
      <w:r w:rsidR="008423F0">
        <w:t xml:space="preserve"> and </w:t>
      </w:r>
      <w:r w:rsidR="00162BB0">
        <w:t xml:space="preserve">risk reduction </w:t>
      </w:r>
      <w:r w:rsidR="007609E4">
        <w:t xml:space="preserve"> scores, and RSE</w:t>
      </w:r>
      <w:r w:rsidR="008423F0">
        <w:t xml:space="preserve"> values</w:t>
      </w:r>
      <w:r w:rsidR="003C419C">
        <w:t>, as required</w:t>
      </w:r>
      <w:r w:rsidR="007609E4">
        <w:t xml:space="preserve"> </w:t>
      </w:r>
      <w:r w:rsidR="000B5F49">
        <w:t xml:space="preserve">currently in </w:t>
      </w:r>
      <w:r w:rsidR="00EE3C37">
        <w:t xml:space="preserve">the </w:t>
      </w:r>
      <w:r w:rsidR="000B5F49">
        <w:t>MAVF framework.</w:t>
      </w:r>
      <w:r w:rsidR="001767C7">
        <w:t xml:space="preserve"> </w:t>
      </w:r>
      <w:r w:rsidR="00122DBE">
        <w:t xml:space="preserve"> </w:t>
      </w:r>
    </w:p>
    <w:p w:rsidR="00202CEF" w:rsidP="0010660A" w:rsidRDefault="00AE0940" w14:paraId="2C1E9E0D" w14:textId="51FD8CD9">
      <w:pPr>
        <w:pStyle w:val="Standard"/>
      </w:pPr>
      <w:r>
        <w:t>W</w:t>
      </w:r>
      <w:r w:rsidR="00A025C8">
        <w:t xml:space="preserve">e </w:t>
      </w:r>
      <w:r>
        <w:t>agree with Staff</w:t>
      </w:r>
      <w:r w:rsidR="0010660A">
        <w:t xml:space="preserve"> </w:t>
      </w:r>
      <w:r w:rsidR="004C6BDB">
        <w:t xml:space="preserve">that </w:t>
      </w:r>
      <w:r w:rsidR="00F9073C">
        <w:t xml:space="preserve">utility presentation of </w:t>
      </w:r>
      <w:r w:rsidR="004C6BDB">
        <w:t xml:space="preserve">unitless </w:t>
      </w:r>
      <w:r w:rsidR="00A74323">
        <w:t>R</w:t>
      </w:r>
      <w:r w:rsidR="004C6BDB">
        <w:t xml:space="preserve">isk </w:t>
      </w:r>
      <w:r w:rsidR="00A74323">
        <w:t>S</w:t>
      </w:r>
      <w:r w:rsidR="004C6BDB">
        <w:t>cores</w:t>
      </w:r>
      <w:r w:rsidR="00F9073C">
        <w:t xml:space="preserve">, as required in the </w:t>
      </w:r>
      <w:r w:rsidR="004C6BDB">
        <w:t>MAVF approach</w:t>
      </w:r>
      <w:r w:rsidR="00F9073C">
        <w:t>,</w:t>
      </w:r>
      <w:r w:rsidR="004C6BDB">
        <w:t xml:space="preserve"> </w:t>
      </w:r>
      <w:r w:rsidR="00BF6EA5">
        <w:t>ha</w:t>
      </w:r>
      <w:r w:rsidR="006D6CFA">
        <w:t>s</w:t>
      </w:r>
      <w:r w:rsidR="00F9073C">
        <w:t xml:space="preserve"> complicated </w:t>
      </w:r>
      <w:r w:rsidR="00444052">
        <w:t>interpret</w:t>
      </w:r>
      <w:r w:rsidR="00F9073C">
        <w:t>ation of the</w:t>
      </w:r>
      <w:r w:rsidR="00444052">
        <w:t xml:space="preserve"> IOUs’ RAMP filings</w:t>
      </w:r>
      <w:r w:rsidR="00220787">
        <w:t xml:space="preserve"> and thus </w:t>
      </w:r>
      <w:r w:rsidR="00BF6EA5">
        <w:t xml:space="preserve">have </w:t>
      </w:r>
      <w:r w:rsidR="00220787">
        <w:t xml:space="preserve">not </w:t>
      </w:r>
      <w:r w:rsidR="003349AA">
        <w:t>support</w:t>
      </w:r>
      <w:r w:rsidR="00BF6EA5">
        <w:t>ed</w:t>
      </w:r>
      <w:r w:rsidR="003349AA">
        <w:t xml:space="preserve"> transparency.</w:t>
      </w:r>
      <w:r w:rsidR="00A7624B">
        <w:t xml:space="preserve">  We concur </w:t>
      </w:r>
      <w:r w:rsidR="00F9073C">
        <w:t xml:space="preserve">with Staff </w:t>
      </w:r>
      <w:r w:rsidR="00A7624B">
        <w:t xml:space="preserve">that the </w:t>
      </w:r>
      <w:r w:rsidR="00E74C2E">
        <w:t>RSE value</w:t>
      </w:r>
      <w:r w:rsidR="00202CEF">
        <w:t>s</w:t>
      </w:r>
      <w:r w:rsidR="00E74C2E">
        <w:t xml:space="preserve"> produced by the MAVF approach </w:t>
      </w:r>
      <w:r w:rsidR="004F55C4">
        <w:t>ha</w:t>
      </w:r>
      <w:r w:rsidR="00202CEF">
        <w:t>ve</w:t>
      </w:r>
      <w:r w:rsidR="004F55C4">
        <w:t xml:space="preserve"> </w:t>
      </w:r>
      <w:r w:rsidR="0077679B">
        <w:t xml:space="preserve">had </w:t>
      </w:r>
      <w:r w:rsidR="00E74C2E">
        <w:t xml:space="preserve">limited </w:t>
      </w:r>
      <w:r w:rsidR="004F55C4">
        <w:t>utility</w:t>
      </w:r>
      <w:r w:rsidR="00F9073C">
        <w:t>.  While the RSE value</w:t>
      </w:r>
      <w:r w:rsidR="006D6CFA">
        <w:t>s</w:t>
      </w:r>
      <w:r w:rsidR="00F9073C">
        <w:t xml:space="preserve"> produced by the MAVF approach</w:t>
      </w:r>
      <w:r w:rsidR="00497AD9">
        <w:t xml:space="preserve"> </w:t>
      </w:r>
      <w:r w:rsidRPr="00497AD9" w:rsidR="00497AD9">
        <w:t>allow</w:t>
      </w:r>
      <w:r w:rsidR="00202CEF">
        <w:t xml:space="preserve"> </w:t>
      </w:r>
      <w:r w:rsidRPr="00497AD9" w:rsidR="00497AD9">
        <w:t>for compar</w:t>
      </w:r>
      <w:r w:rsidR="00202CEF">
        <w:t xml:space="preserve">ison of </w:t>
      </w:r>
      <w:r w:rsidRPr="00497AD9" w:rsidR="00497AD9">
        <w:t xml:space="preserve">the </w:t>
      </w:r>
      <w:r w:rsidR="00F9073C">
        <w:t xml:space="preserve">relative </w:t>
      </w:r>
      <w:r w:rsidRPr="00497AD9" w:rsidR="00497AD9">
        <w:t xml:space="preserve">cost-effectiveness of various mitigation measures, </w:t>
      </w:r>
      <w:r w:rsidR="00202CEF">
        <w:t>the</w:t>
      </w:r>
      <w:r w:rsidR="00F9073C">
        <w:t xml:space="preserve"> RSE values </w:t>
      </w:r>
      <w:r w:rsidRPr="00497AD9" w:rsidR="00497AD9">
        <w:t>do</w:t>
      </w:r>
      <w:r w:rsidR="00A7624B">
        <w:t xml:space="preserve"> </w:t>
      </w:r>
      <w:r w:rsidRPr="00497AD9" w:rsidR="00497AD9">
        <w:t xml:space="preserve">not </w:t>
      </w:r>
      <w:r w:rsidR="00F9073C">
        <w:t>indicate</w:t>
      </w:r>
      <w:r w:rsidRPr="00497AD9" w:rsidR="00497AD9">
        <w:t xml:space="preserve"> whether the </w:t>
      </w:r>
      <w:r w:rsidR="004728EC">
        <w:t>B</w:t>
      </w:r>
      <w:r w:rsidRPr="00497AD9" w:rsidR="00497AD9">
        <w:t xml:space="preserve">enefits of a proposed mitigation measure outweigh </w:t>
      </w:r>
      <w:r w:rsidR="00F9073C">
        <w:t>its</w:t>
      </w:r>
      <w:r w:rsidRPr="00497AD9" w:rsidR="00497AD9">
        <w:t xml:space="preserve"> costs. </w:t>
      </w:r>
      <w:r w:rsidR="003349AA">
        <w:t xml:space="preserve"> </w:t>
      </w:r>
      <w:r w:rsidR="00E459C8">
        <w:t xml:space="preserve">We </w:t>
      </w:r>
      <w:r w:rsidR="000C6A29">
        <w:t xml:space="preserve">also </w:t>
      </w:r>
      <w:r w:rsidR="00A7624B">
        <w:t xml:space="preserve">concur </w:t>
      </w:r>
      <w:r w:rsidR="00F9073C">
        <w:t xml:space="preserve">with Staff </w:t>
      </w:r>
      <w:r w:rsidRPr="00E459C8" w:rsidR="00E459C8">
        <w:t>that requiring</w:t>
      </w:r>
      <w:r w:rsidR="00F9073C">
        <w:t xml:space="preserve"> the IOUs to implement </w:t>
      </w:r>
      <w:r w:rsidR="00C81E45">
        <w:t xml:space="preserve">the Cost-Benefit Approach </w:t>
      </w:r>
      <w:r w:rsidRPr="00E459C8" w:rsidR="00E459C8">
        <w:t xml:space="preserve">that monetizes Attributes </w:t>
      </w:r>
      <w:r w:rsidR="00A32A76">
        <w:t xml:space="preserve">will </w:t>
      </w:r>
      <w:r w:rsidRPr="00E459C8" w:rsidR="00E459C8">
        <w:t xml:space="preserve">result </w:t>
      </w:r>
      <w:r w:rsidR="00667DD0">
        <w:t xml:space="preserve">in utility </w:t>
      </w:r>
      <w:r w:rsidR="00D76956">
        <w:t xml:space="preserve">risk </w:t>
      </w:r>
      <w:r w:rsidR="00667DD0">
        <w:t xml:space="preserve">and </w:t>
      </w:r>
      <w:r w:rsidRPr="00991A07" w:rsidR="00667DD0">
        <w:t>Mitigation Benefit</w:t>
      </w:r>
      <w:r w:rsidR="00667DD0">
        <w:t xml:space="preserve"> </w:t>
      </w:r>
      <w:r w:rsidR="00D76956">
        <w:t>c</w:t>
      </w:r>
      <w:r w:rsidRPr="00E459C8" w:rsidR="00E459C8">
        <w:t>alculation</w:t>
      </w:r>
      <w:r w:rsidR="00667DD0">
        <w:t>s</w:t>
      </w:r>
      <w:r w:rsidRPr="00E459C8" w:rsidR="00E459C8">
        <w:t xml:space="preserve"> that </w:t>
      </w:r>
      <w:r w:rsidR="00667DD0">
        <w:t xml:space="preserve">are </w:t>
      </w:r>
      <w:r w:rsidRPr="00E459C8" w:rsidR="00E459C8">
        <w:t xml:space="preserve">more </w:t>
      </w:r>
      <w:r w:rsidR="00667DD0">
        <w:t xml:space="preserve">useful </w:t>
      </w:r>
      <w:r w:rsidR="000F5CFC">
        <w:t xml:space="preserve">during </w:t>
      </w:r>
      <w:r w:rsidRPr="00E459C8" w:rsidR="00E459C8">
        <w:t xml:space="preserve">review and consideration of RAMP and GRC filings.  </w:t>
      </w:r>
    </w:p>
    <w:p w:rsidR="005246E8" w:rsidP="0010660A" w:rsidRDefault="00202CEF" w14:paraId="5E25345B" w14:textId="4B07D8B1">
      <w:pPr>
        <w:pStyle w:val="Standard"/>
      </w:pPr>
      <w:r>
        <w:t>We concur with Staff</w:t>
      </w:r>
      <w:r w:rsidR="00A52F2B">
        <w:t>, and the majority of parties in this proceeding</w:t>
      </w:r>
      <w:r w:rsidR="00F540A4">
        <w:t>,</w:t>
      </w:r>
      <w:r w:rsidRPr="00204CCE" w:rsidDel="00F23DD1" w:rsidR="00DE3DEE">
        <w:t xml:space="preserve"> </w:t>
      </w:r>
      <w:r w:rsidR="00495882">
        <w:t xml:space="preserve">that shifting to </w:t>
      </w:r>
      <w:r w:rsidR="00C81E45">
        <w:t xml:space="preserve">the Cost-Benefit Approach </w:t>
      </w:r>
      <w:r w:rsidR="00C1507D">
        <w:t>w</w:t>
      </w:r>
      <w:r w:rsidR="00944A93">
        <w:t>ill</w:t>
      </w:r>
      <w:r w:rsidR="00C1507D">
        <w:t xml:space="preserve"> improve the</w:t>
      </w:r>
      <w:r w:rsidR="00862DD9">
        <w:t xml:space="preserve"> </w:t>
      </w:r>
      <w:r w:rsidR="009A33C5">
        <w:t xml:space="preserve">overall </w:t>
      </w:r>
      <w:r w:rsidR="00734F9B">
        <w:t xml:space="preserve">value of the </w:t>
      </w:r>
      <w:r w:rsidR="008358B5">
        <w:t>RDF</w:t>
      </w:r>
      <w:r w:rsidR="004653B9">
        <w:t xml:space="preserve"> </w:t>
      </w:r>
      <w:r w:rsidR="00786C24">
        <w:t>while providing</w:t>
      </w:r>
      <w:r w:rsidR="00FC378B">
        <w:t xml:space="preserve"> </w:t>
      </w:r>
      <w:r w:rsidR="00A84CE5">
        <w:t xml:space="preserve">additional </w:t>
      </w:r>
      <w:r w:rsidR="00FC378B">
        <w:t xml:space="preserve">information on whether the </w:t>
      </w:r>
      <w:r w:rsidRPr="00204CCE" w:rsidR="00C977EA">
        <w:t>B</w:t>
      </w:r>
      <w:r w:rsidRPr="00204CCE" w:rsidR="00FC378B">
        <w:t>enefits</w:t>
      </w:r>
      <w:r w:rsidR="00FC378B">
        <w:t xml:space="preserve"> </w:t>
      </w:r>
      <w:r w:rsidR="007D3110">
        <w:t xml:space="preserve">from a proposed </w:t>
      </w:r>
      <w:r w:rsidR="002550A8">
        <w:t>m</w:t>
      </w:r>
      <w:r w:rsidR="007D3110">
        <w:t xml:space="preserve">itigation exceed its costs.  Further, </w:t>
      </w:r>
      <w:r w:rsidR="00B23537">
        <w:t>shifting to</w:t>
      </w:r>
      <w:r w:rsidR="00FF1F99">
        <w:t xml:space="preserve"> </w:t>
      </w:r>
      <w:r w:rsidR="00C81E45">
        <w:t xml:space="preserve">the Cost-Benefit Approach </w:t>
      </w:r>
      <w:r w:rsidR="00FF1F99">
        <w:t xml:space="preserve">now does not preclude the Commission from considering further refinements to </w:t>
      </w:r>
      <w:r w:rsidR="00557BFE">
        <w:t>the RDF</w:t>
      </w:r>
      <w:r w:rsidR="0048172A">
        <w:t>,</w:t>
      </w:r>
      <w:r w:rsidR="00466C66">
        <w:t xml:space="preserve"> in </w:t>
      </w:r>
      <w:r w:rsidR="004667E0">
        <w:t xml:space="preserve">the </w:t>
      </w:r>
      <w:r w:rsidR="00D75050">
        <w:t xml:space="preserve">near </w:t>
      </w:r>
      <w:r w:rsidR="004667E0">
        <w:t xml:space="preserve">future, which may include </w:t>
      </w:r>
      <w:r w:rsidR="0048172A">
        <w:t>o</w:t>
      </w:r>
      <w:r w:rsidR="004667E0">
        <w:t>the</w:t>
      </w:r>
      <w:r w:rsidR="0048172A">
        <w:t>r</w:t>
      </w:r>
      <w:r w:rsidR="004667E0">
        <w:t xml:space="preserve"> </w:t>
      </w:r>
      <w:r w:rsidR="009F03E1">
        <w:t>issues</w:t>
      </w:r>
      <w:r w:rsidR="004667E0">
        <w:t xml:space="preserve"> raised by </w:t>
      </w:r>
      <w:r w:rsidR="00150C2C">
        <w:t>parties</w:t>
      </w:r>
      <w:r w:rsidR="004667E0">
        <w:t>.</w:t>
      </w:r>
      <w:r w:rsidR="00F93E2E">
        <w:t xml:space="preserve">  </w:t>
      </w:r>
    </w:p>
    <w:p w:rsidR="000C6A29" w:rsidP="0010660A" w:rsidRDefault="00F95DC8" w14:paraId="11918F86" w14:textId="0B762533">
      <w:pPr>
        <w:pStyle w:val="Standard"/>
      </w:pPr>
      <w:bookmarkStart w:name="_Hlk121476205" w:id="22"/>
      <w:r>
        <w:t>Although we adopt Staff’s proposed Cost-Benefit Approach, we</w:t>
      </w:r>
      <w:r w:rsidR="00EC3481">
        <w:t xml:space="preserve"> </w:t>
      </w:r>
      <w:r w:rsidR="0048172A">
        <w:t xml:space="preserve">do </w:t>
      </w:r>
      <w:r w:rsidR="00EC3481">
        <w:t xml:space="preserve">not intend that </w:t>
      </w:r>
      <w:r w:rsidR="008B6032">
        <w:t xml:space="preserve">the </w:t>
      </w:r>
      <w:r w:rsidRPr="008B6032" w:rsidR="008B6032">
        <w:t xml:space="preserve">Cost-Benefit Ratios </w:t>
      </w:r>
      <w:r w:rsidR="00673063">
        <w:t xml:space="preserve">produced </w:t>
      </w:r>
      <w:r w:rsidR="00EE6728">
        <w:t xml:space="preserve">using this method </w:t>
      </w:r>
      <w:r>
        <w:t xml:space="preserve">must </w:t>
      </w:r>
      <w:r w:rsidR="00673063">
        <w:t xml:space="preserve">serve as </w:t>
      </w:r>
      <w:r w:rsidRPr="008B6032" w:rsidR="008B6032">
        <w:t>the sole determinant</w:t>
      </w:r>
      <w:r>
        <w:t>s of</w:t>
      </w:r>
      <w:r w:rsidRPr="008B6032" w:rsidR="008B6032">
        <w:t xml:space="preserve"> </w:t>
      </w:r>
      <w:r>
        <w:t xml:space="preserve">IOU proposals or Commission </w:t>
      </w:r>
      <w:r w:rsidRPr="008B6032" w:rsidR="008B6032">
        <w:t xml:space="preserve">decisions on </w:t>
      </w:r>
      <w:r w:rsidR="008E3F05">
        <w:t xml:space="preserve">risk </w:t>
      </w:r>
      <w:r w:rsidR="00EE6728">
        <w:t>M</w:t>
      </w:r>
      <w:r>
        <w:t>itigation</w:t>
      </w:r>
      <w:r w:rsidR="00EE6728">
        <w:t xml:space="preserve">s.  </w:t>
      </w:r>
      <w:r w:rsidR="000F406B">
        <w:t xml:space="preserve">Instead, as with the </w:t>
      </w:r>
      <w:r w:rsidR="004949AD">
        <w:t xml:space="preserve">RSE values produced by the MAVF approach, </w:t>
      </w:r>
      <w:r w:rsidR="007253AE">
        <w:t xml:space="preserve">while </w:t>
      </w:r>
      <w:r w:rsidR="00447746">
        <w:t xml:space="preserve">Cost-Benefit Ratios </w:t>
      </w:r>
      <w:r w:rsidR="00B348C4">
        <w:t xml:space="preserve">must be used by the IOUs to </w:t>
      </w:r>
      <w:r w:rsidR="00146C1B">
        <w:t>rank</w:t>
      </w:r>
      <w:r w:rsidR="00B348C4">
        <w:t xml:space="preserve"> </w:t>
      </w:r>
      <w:r w:rsidR="008805D2">
        <w:t xml:space="preserve">risk </w:t>
      </w:r>
      <w:r w:rsidR="002550A8">
        <w:t>m</w:t>
      </w:r>
      <w:r w:rsidR="008805D2">
        <w:t>itigations</w:t>
      </w:r>
      <w:r w:rsidR="00B348C4">
        <w:t xml:space="preserve"> in GRC applications</w:t>
      </w:r>
      <w:r w:rsidR="007253AE">
        <w:t xml:space="preserve">, they </w:t>
      </w:r>
      <w:r w:rsidR="00EE6728">
        <w:t xml:space="preserve">need </w:t>
      </w:r>
      <w:r w:rsidR="003B6CD4">
        <w:t xml:space="preserve">not </w:t>
      </w:r>
      <w:r w:rsidR="008805D2">
        <w:t xml:space="preserve">be </w:t>
      </w:r>
      <w:r w:rsidR="003B6CD4">
        <w:t>the only consideration</w:t>
      </w:r>
      <w:r w:rsidR="007C1D86">
        <w:t xml:space="preserve"> in </w:t>
      </w:r>
      <w:r w:rsidR="008805D2">
        <w:t xml:space="preserve">the </w:t>
      </w:r>
      <w:r w:rsidR="00B348C4">
        <w:t xml:space="preserve">utility’s </w:t>
      </w:r>
      <w:r w:rsidR="008805D2">
        <w:t xml:space="preserve">selection of Mitigations.  </w:t>
      </w:r>
      <w:r w:rsidR="008109A6">
        <w:t xml:space="preserve">To reflect this nuance, we </w:t>
      </w:r>
      <w:r w:rsidR="001A2766">
        <w:t xml:space="preserve">retain language included in the Settlement Agreement in </w:t>
      </w:r>
      <w:r w:rsidR="00520135">
        <w:t xml:space="preserve">our </w:t>
      </w:r>
      <w:r w:rsidR="007253AE">
        <w:t xml:space="preserve">modified </w:t>
      </w:r>
      <w:r w:rsidR="00520135">
        <w:t>RDF requirements</w:t>
      </w:r>
      <w:r w:rsidR="007253AE">
        <w:t>, as illustrated</w:t>
      </w:r>
      <w:r w:rsidR="005D5DC2">
        <w:t xml:space="preserve"> </w:t>
      </w:r>
      <w:r w:rsidR="00520135">
        <w:t xml:space="preserve">in </w:t>
      </w:r>
      <w:r w:rsidR="008E3F05">
        <w:t xml:space="preserve">Step No. 26 of </w:t>
      </w:r>
      <w:r w:rsidR="00520135">
        <w:t>the</w:t>
      </w:r>
      <w:r w:rsidR="008109A6">
        <w:t xml:space="preserve"> Risk-Based Decision-Making Framework contained</w:t>
      </w:r>
      <w:r w:rsidR="00520135">
        <w:t xml:space="preserve"> </w:t>
      </w:r>
      <w:r w:rsidR="00A470F1">
        <w:t>in Appendix A</w:t>
      </w:r>
      <w:r w:rsidR="008109A6">
        <w:t xml:space="preserve"> of this decision</w:t>
      </w:r>
      <w:r w:rsidR="001D0EE0">
        <w:t>,</w:t>
      </w:r>
      <w:r w:rsidR="008805D2">
        <w:t xml:space="preserve"> as follows</w:t>
      </w:r>
      <w:r w:rsidR="00A470F1">
        <w:t xml:space="preserve">: </w:t>
      </w:r>
    </w:p>
    <w:bookmarkEnd w:id="22"/>
    <w:p w:rsidR="00A470F1" w:rsidP="00F64042" w:rsidRDefault="00A470F1" w14:paraId="5BE990AB" w14:textId="77777777">
      <w:pPr>
        <w:pStyle w:val="BlockQuote"/>
      </w:pPr>
      <w:r>
        <w:t>In the RAMP and GRC, the utility will clearly and transparently explain its rationale for selecting Mitigations for each risk and for its selection of its overall portfolio of Mitigations. The utility is not bound to select its Mitigation strategy based solely on the Cost-Benefit Ratios produced by the Cost-Benefit Approach.</w:t>
      </w:r>
    </w:p>
    <w:p w:rsidR="00A470F1" w:rsidP="00F64042" w:rsidRDefault="00A470F1" w14:paraId="5E8CF401" w14:textId="396621EF">
      <w:pPr>
        <w:pStyle w:val="BlockQuote"/>
      </w:pPr>
      <w:r>
        <w:t>Mitigation selection can be influenced by other factors including, but not limited to, funding, labor resources, technology, planning and construction lead time, compliance requirements, Risk Tolerance thresholds, operational and execution considerations, and modeling limitations and/or uncertainties affecting the analysis. In the GRC, the utility will explain whether and how any such factors affected the utility’s Mitigation selections.</w:t>
      </w:r>
    </w:p>
    <w:p w:rsidR="006377AA" w:rsidP="009B4FAF" w:rsidRDefault="006377AA" w14:paraId="3EA1CB50" w14:textId="1EFD1ED5">
      <w:pPr>
        <w:pStyle w:val="Standard"/>
      </w:pPr>
      <w:r w:rsidRPr="004B1815">
        <w:t>We agree with TURN</w:t>
      </w:r>
      <w:r w:rsidR="00760B56">
        <w:t xml:space="preserve"> that </w:t>
      </w:r>
      <w:r w:rsidR="00857CEE">
        <w:t xml:space="preserve">an advantage of the </w:t>
      </w:r>
      <w:r w:rsidR="00760B56">
        <w:t xml:space="preserve">MAVF framework </w:t>
      </w:r>
      <w:r w:rsidR="00502735">
        <w:t>over the Cost-Benefit Approach i</w:t>
      </w:r>
      <w:r w:rsidR="00862629">
        <w:t xml:space="preserve">s that the MAVF framework allows for the inclusion of </w:t>
      </w:r>
      <w:r w:rsidR="004D43B7">
        <w:t>r</w:t>
      </w:r>
      <w:r w:rsidR="00923714">
        <w:t xml:space="preserve">isk Attributes without the need to have a dollar valuation associated with that </w:t>
      </w:r>
      <w:r w:rsidR="004D43B7">
        <w:t>r</w:t>
      </w:r>
      <w:r w:rsidR="00844EF3">
        <w:t xml:space="preserve">isk Attribute. </w:t>
      </w:r>
      <w:r w:rsidR="00BB7867">
        <w:t xml:space="preserve"> </w:t>
      </w:r>
      <w:r w:rsidR="0048172A">
        <w:t>W</w:t>
      </w:r>
      <w:r w:rsidR="00203300">
        <w:t>e</w:t>
      </w:r>
      <w:r w:rsidR="00BB7867">
        <w:t xml:space="preserve"> also agree with TURN that </w:t>
      </w:r>
      <w:r w:rsidR="003032D3">
        <w:t xml:space="preserve">the Commission and parties </w:t>
      </w:r>
      <w:r w:rsidR="005B0001">
        <w:t xml:space="preserve">should be able to </w:t>
      </w:r>
      <w:r w:rsidR="004721A0">
        <w:t xml:space="preserve">develop </w:t>
      </w:r>
      <w:r w:rsidR="00B51D68">
        <w:t xml:space="preserve">a </w:t>
      </w:r>
      <w:r w:rsidR="004721A0">
        <w:t xml:space="preserve">reasonable </w:t>
      </w:r>
      <w:r w:rsidR="00B51D68">
        <w:t xml:space="preserve">standard dollar valuation for </w:t>
      </w:r>
      <w:r w:rsidR="003452A0">
        <w:t>the Attributes</w:t>
      </w:r>
      <w:r w:rsidR="00203300">
        <w:t xml:space="preserve"> for use in the Cost-Benefit Approach we adopt here</w:t>
      </w:r>
      <w:r w:rsidR="003452A0">
        <w:t>.</w:t>
      </w:r>
    </w:p>
    <w:p w:rsidR="001E61D8" w:rsidP="009B4FAF" w:rsidRDefault="001E61D8" w14:paraId="2A47C4F6" w14:textId="1FBCED87">
      <w:pPr>
        <w:pStyle w:val="Standard"/>
      </w:pPr>
      <w:r>
        <w:t>We</w:t>
      </w:r>
      <w:r w:rsidR="00A03489">
        <w:t xml:space="preserve"> agree with MGRA that the transition from a</w:t>
      </w:r>
      <w:r w:rsidR="002355FB">
        <w:t>n</w:t>
      </w:r>
      <w:r w:rsidR="00A03489">
        <w:t xml:space="preserve"> MAVF framework to </w:t>
      </w:r>
      <w:r w:rsidR="00C81E45">
        <w:t xml:space="preserve">the Cost-Benefit Approach </w:t>
      </w:r>
      <w:r w:rsidR="00A03489">
        <w:t xml:space="preserve">is </w:t>
      </w:r>
      <w:r w:rsidR="00EF73E1">
        <w:t>an incremental change</w:t>
      </w:r>
      <w:r w:rsidR="008C165A">
        <w:t xml:space="preserve">, but one that </w:t>
      </w:r>
      <w:r w:rsidR="00176995">
        <w:t xml:space="preserve">will </w:t>
      </w:r>
      <w:r w:rsidR="0042219F">
        <w:t>dramatically increase</w:t>
      </w:r>
      <w:r w:rsidR="00500656">
        <w:t xml:space="preserve"> the</w:t>
      </w:r>
      <w:r w:rsidR="0042219F">
        <w:t xml:space="preserve"> </w:t>
      </w:r>
      <w:r w:rsidR="00D87762">
        <w:t xml:space="preserve">transparency and usefulness </w:t>
      </w:r>
      <w:r w:rsidR="00500656">
        <w:t xml:space="preserve">of </w:t>
      </w:r>
      <w:r w:rsidR="00D87762">
        <w:t>the RDF</w:t>
      </w:r>
      <w:r w:rsidR="00500656">
        <w:t xml:space="preserve">.  </w:t>
      </w:r>
      <w:r w:rsidR="007741AA">
        <w:t>Section</w:t>
      </w:r>
      <w:r w:rsidR="007B6F9C">
        <w:t> </w:t>
      </w:r>
      <w:r w:rsidR="007741AA">
        <w:t xml:space="preserve">5.4 and Appendix A of this decision </w:t>
      </w:r>
      <w:r w:rsidR="00E24C83">
        <w:t xml:space="preserve">summarize </w:t>
      </w:r>
      <w:r w:rsidR="002B59F5">
        <w:t xml:space="preserve">our adopted modifications </w:t>
      </w:r>
      <w:r w:rsidR="00722A5A">
        <w:t xml:space="preserve">from </w:t>
      </w:r>
      <w:r w:rsidR="002B59F5">
        <w:t xml:space="preserve">moving from </w:t>
      </w:r>
      <w:r w:rsidR="00722A5A">
        <w:t xml:space="preserve">the current MAVF framework to </w:t>
      </w:r>
      <w:r w:rsidRPr="00604550" w:rsidR="00C81E45">
        <w:t>the</w:t>
      </w:r>
      <w:r w:rsidR="00722A5A">
        <w:t xml:space="preserve"> Cost-Benefit Approach.</w:t>
      </w:r>
    </w:p>
    <w:p w:rsidR="002D5F66" w:rsidP="009B4FAF" w:rsidRDefault="002D5F66" w14:paraId="2492B322" w14:textId="56767B83">
      <w:pPr>
        <w:pStyle w:val="Standard"/>
      </w:pPr>
      <w:r>
        <w:t xml:space="preserve">We disagree with SCE </w:t>
      </w:r>
      <w:r w:rsidR="009B1764">
        <w:t xml:space="preserve">that </w:t>
      </w:r>
      <w:r w:rsidR="00AE5DE2">
        <w:t xml:space="preserve">adopting </w:t>
      </w:r>
      <w:r w:rsidR="00C81E45">
        <w:t>the</w:t>
      </w:r>
      <w:r w:rsidR="00AE5DE2">
        <w:t xml:space="preserve"> Cost-Benefit Approach </w:t>
      </w:r>
      <w:r w:rsidR="00FF2515">
        <w:t>will not provide incremental benefits in terms of transparency</w:t>
      </w:r>
      <w:r w:rsidR="00AB56BE">
        <w:t xml:space="preserve"> to parties.  </w:t>
      </w:r>
      <w:r w:rsidR="0024357A">
        <w:t xml:space="preserve">To the contrary, shifting to </w:t>
      </w:r>
      <w:r w:rsidR="00C81E45">
        <w:t xml:space="preserve">the Cost-Benefit Approach </w:t>
      </w:r>
      <w:r w:rsidR="0024357A">
        <w:t xml:space="preserve">will improve the overall value of the RDF while providing additional information on whether the </w:t>
      </w:r>
      <w:r w:rsidRPr="00204CCE" w:rsidR="0024357A">
        <w:t>Benefits</w:t>
      </w:r>
      <w:r w:rsidR="0024357A">
        <w:t xml:space="preserve"> from a proposed </w:t>
      </w:r>
      <w:r w:rsidR="00D964AA">
        <w:t>m</w:t>
      </w:r>
      <w:r w:rsidR="0024357A">
        <w:t xml:space="preserve">itigation exceed its costs.  Although we intend to examine the additional </w:t>
      </w:r>
      <w:r w:rsidR="00F777A7">
        <w:t>issues</w:t>
      </w:r>
      <w:r w:rsidR="0024357A">
        <w:t xml:space="preserve"> SCE </w:t>
      </w:r>
      <w:r w:rsidR="008C6ED5">
        <w:t xml:space="preserve">and the Sempra Companies </w:t>
      </w:r>
      <w:r w:rsidR="0024357A">
        <w:t>identif</w:t>
      </w:r>
      <w:r w:rsidR="008C6ED5">
        <w:t>y</w:t>
      </w:r>
      <w:r w:rsidR="0024357A">
        <w:t xml:space="preserve"> </w:t>
      </w:r>
      <w:r w:rsidR="005448F6">
        <w:t>(</w:t>
      </w:r>
      <w:r w:rsidRPr="003E325A" w:rsidR="005448F6">
        <w:rPr>
          <w:i/>
          <w:iCs/>
        </w:rPr>
        <w:t>i.e.</w:t>
      </w:r>
      <w:r w:rsidR="005448F6">
        <w:t xml:space="preserve"> Risk Tolerance, Risk Attitude, uncertainty,</w:t>
      </w:r>
      <w:r w:rsidRPr="00991A07" w:rsidR="005448F6">
        <w:t xml:space="preserve"> </w:t>
      </w:r>
      <w:r w:rsidR="005448F6">
        <w:t xml:space="preserve">tail risk and other issues) </w:t>
      </w:r>
      <w:r w:rsidR="00FC1235">
        <w:t xml:space="preserve">early </w:t>
      </w:r>
      <w:r w:rsidR="0024357A">
        <w:t xml:space="preserve">in Phase III of this proceeding, it is not necessary to do so before adopting the Cost-Benefit Approach.  </w:t>
      </w:r>
      <w:r w:rsidRPr="00991A07" w:rsidR="0024357A">
        <w:t>The</w:t>
      </w:r>
      <w:r w:rsidR="005448F6">
        <w:t>se</w:t>
      </w:r>
      <w:r w:rsidRPr="00991A07" w:rsidR="0024357A">
        <w:t xml:space="preserve"> issues pertain </w:t>
      </w:r>
      <w:r w:rsidRPr="00991A07" w:rsidR="00F777A7">
        <w:t xml:space="preserve">also </w:t>
      </w:r>
      <w:r w:rsidRPr="00991A07" w:rsidR="0024357A">
        <w:t>to the MAVF approach</w:t>
      </w:r>
      <w:r w:rsidRPr="00991A07" w:rsidR="00F777A7">
        <w:t xml:space="preserve"> and require our attention more generally</w:t>
      </w:r>
      <w:r w:rsidR="0024357A">
        <w:t>.</w:t>
      </w:r>
      <w:r w:rsidR="00D15B14">
        <w:t xml:space="preserve">  However, we agree with SCE and the Sempra Companies that </w:t>
      </w:r>
      <w:r w:rsidR="00025211">
        <w:t xml:space="preserve">Phase III of this proceeding should prioritize addressing these </w:t>
      </w:r>
      <w:r w:rsidR="00D15B14">
        <w:t>issues</w:t>
      </w:r>
      <w:r w:rsidR="009634C1">
        <w:t xml:space="preserve"> as key further refinements</w:t>
      </w:r>
      <w:r w:rsidR="00D15B14">
        <w:t xml:space="preserve">. </w:t>
      </w:r>
    </w:p>
    <w:p w:rsidR="003C3904" w:rsidP="003C3904" w:rsidRDefault="003C3904" w14:paraId="47479385" w14:textId="72FF4069">
      <w:pPr>
        <w:pStyle w:val="Standard"/>
      </w:pPr>
      <w:r w:rsidRPr="00185708">
        <w:t xml:space="preserve">We disagree with party comments regarding the need for a test drive of the </w:t>
      </w:r>
      <w:r>
        <w:t>Cost-Benefit Approach</w:t>
      </w:r>
      <w:r w:rsidRPr="00185708">
        <w:t xml:space="preserve"> before adopting it.  As</w:t>
      </w:r>
      <w:r>
        <w:t xml:space="preserve"> MGRA</w:t>
      </w:r>
      <w:r w:rsidRPr="00185708" w:rsidDel="00796514">
        <w:t xml:space="preserve"> </w:t>
      </w:r>
      <w:r w:rsidRPr="00185708">
        <w:t>comment</w:t>
      </w:r>
      <w:r>
        <w:t>s</w:t>
      </w:r>
      <w:r w:rsidRPr="00185708">
        <w:t xml:space="preserve">, the revisions to the current RDF framework are incremental.  </w:t>
      </w:r>
      <w:r w:rsidRPr="00505D33">
        <w:t xml:space="preserve">With every RAMP filing, parties learn </w:t>
      </w:r>
      <w:r w:rsidR="0048172A">
        <w:t>ways to</w:t>
      </w:r>
      <w:r w:rsidRPr="00505D33">
        <w:t xml:space="preserve"> improve </w:t>
      </w:r>
      <w:r w:rsidR="0048172A">
        <w:t xml:space="preserve">upon </w:t>
      </w:r>
      <w:r w:rsidRPr="00505D33">
        <w:t xml:space="preserve">the risk analysis.  Each RAMP effectively serves as a </w:t>
      </w:r>
      <w:r>
        <w:t xml:space="preserve">learning exercise </w:t>
      </w:r>
      <w:r w:rsidRPr="00505D33">
        <w:t>with new ideas, lessons learned, and additional incremental changes.</w:t>
      </w:r>
      <w:r w:rsidRPr="00185708">
        <w:t xml:space="preserve">  </w:t>
      </w:r>
    </w:p>
    <w:p w:rsidR="00DA3247" w:rsidP="000F0C80" w:rsidRDefault="00C61119" w14:paraId="49C02DB5" w14:textId="22B49329">
      <w:pPr>
        <w:pStyle w:val="Standard"/>
      </w:pPr>
      <w:r>
        <w:t xml:space="preserve">Rather than a test drive, we direct PG&amp;E to conduct at least </w:t>
      </w:r>
      <w:r w:rsidR="00C13DF0">
        <w:t xml:space="preserve">one </w:t>
      </w:r>
      <w:r>
        <w:t xml:space="preserve">workshop </w:t>
      </w:r>
      <w:r w:rsidR="0010637C">
        <w:t>that demonstrates</w:t>
      </w:r>
      <w:r w:rsidR="00632AD4">
        <w:t xml:space="preserve"> </w:t>
      </w:r>
      <w:r>
        <w:t xml:space="preserve">implementation of </w:t>
      </w:r>
      <w:r w:rsidR="00FE09BB">
        <w:t>the</w:t>
      </w:r>
      <w:r>
        <w:t xml:space="preserve"> </w:t>
      </w:r>
      <w:r w:rsidR="002B2FA9">
        <w:t>Cost-Benefit Approach</w:t>
      </w:r>
      <w:r>
        <w:t xml:space="preserve"> in the RDF. </w:t>
      </w:r>
      <w:r w:rsidR="0010637C">
        <w:t xml:space="preserve"> </w:t>
      </w:r>
      <w:r w:rsidR="00C7242A">
        <w:t xml:space="preserve"> The workshop should</w:t>
      </w:r>
      <w:r w:rsidR="0009094A">
        <w:t xml:space="preserve"> </w:t>
      </w:r>
      <w:r w:rsidR="00C7242A">
        <w:t xml:space="preserve">occur at least 30 days prior to PG&amp;E’s filing </w:t>
      </w:r>
      <w:r w:rsidR="0048172A">
        <w:t xml:space="preserve">of </w:t>
      </w:r>
      <w:r w:rsidR="00C7242A">
        <w:t>its 2024</w:t>
      </w:r>
      <w:r w:rsidR="00D92714">
        <w:t> </w:t>
      </w:r>
      <w:r w:rsidR="00C7242A">
        <w:t>RAMP application</w:t>
      </w:r>
      <w:r w:rsidR="0009094A">
        <w:t xml:space="preserve"> and should occur separate</w:t>
      </w:r>
      <w:r w:rsidR="00D61873">
        <w:t>ly</w:t>
      </w:r>
      <w:r w:rsidR="0009094A">
        <w:t xml:space="preserve"> from </w:t>
      </w:r>
      <w:r w:rsidR="00F2103B">
        <w:t xml:space="preserve">its </w:t>
      </w:r>
      <w:r w:rsidR="0009094A">
        <w:t>pre-RAMP workshop required of all IOUs in Step 12 of the RD</w:t>
      </w:r>
      <w:r w:rsidR="00FF6F19">
        <w:t>F</w:t>
      </w:r>
      <w:r w:rsidR="0009094A">
        <w:t xml:space="preserve"> adopted here (see Appendix</w:t>
      </w:r>
      <w:r w:rsidR="00D92714">
        <w:t> </w:t>
      </w:r>
      <w:r w:rsidR="0009094A">
        <w:t xml:space="preserve">A).  </w:t>
      </w:r>
    </w:p>
    <w:p w:rsidR="00E27C67" w:rsidP="000F0C80" w:rsidRDefault="00C61119" w14:paraId="10C1DF4C" w14:textId="56392220">
      <w:pPr>
        <w:pStyle w:val="Standard"/>
      </w:pPr>
      <w:r>
        <w:t>At th</w:t>
      </w:r>
      <w:r w:rsidR="002B69E9">
        <w:t xml:space="preserve">e </w:t>
      </w:r>
      <w:r>
        <w:t>workshop</w:t>
      </w:r>
      <w:r w:rsidR="0009094A">
        <w:t xml:space="preserve"> </w:t>
      </w:r>
      <w:r w:rsidR="00917D8D">
        <w:t xml:space="preserve">providing a demonstration of the </w:t>
      </w:r>
      <w:r w:rsidR="000B62CA">
        <w:t>Cost-Benefit Approach (“C</w:t>
      </w:r>
      <w:r w:rsidR="000F0C80">
        <w:t xml:space="preserve">ost-Benefit Approach Demonstration Workshop”), </w:t>
      </w:r>
      <w:r>
        <w:t xml:space="preserve">PG&amp;E </w:t>
      </w:r>
      <w:r w:rsidR="0010637C">
        <w:t xml:space="preserve">should </w:t>
      </w:r>
      <w:r>
        <w:t xml:space="preserve">illustrate how </w:t>
      </w:r>
      <w:r w:rsidR="0025289C">
        <w:t xml:space="preserve">a </w:t>
      </w:r>
      <w:r>
        <w:t xml:space="preserve">dollar valuation </w:t>
      </w:r>
      <w:r w:rsidR="0025289C">
        <w:t xml:space="preserve">approach </w:t>
      </w:r>
      <w:r>
        <w:t xml:space="preserve">impacts </w:t>
      </w:r>
      <w:r w:rsidR="00550718">
        <w:t>its</w:t>
      </w:r>
      <w:r w:rsidR="00822345">
        <w:t xml:space="preserve"> </w:t>
      </w:r>
      <w:r>
        <w:t xml:space="preserve">risk assessment and </w:t>
      </w:r>
      <w:r w:rsidR="00C7242A">
        <w:t>M</w:t>
      </w:r>
      <w:r>
        <w:t>itigation proposals</w:t>
      </w:r>
      <w:r w:rsidR="00DF7B2B">
        <w:t xml:space="preserve"> using an example from at least one high-priority risk.  PG&amp;E shall serve</w:t>
      </w:r>
      <w:r w:rsidR="00A45AA9">
        <w:t xml:space="preserve"> presentation materials at least one week in advance</w:t>
      </w:r>
      <w:r w:rsidR="00DF7B2B">
        <w:t xml:space="preserve"> </w:t>
      </w:r>
      <w:r w:rsidR="00A45AA9">
        <w:t xml:space="preserve">of the Cost-Benefit Approach Demonstration Workshop </w:t>
      </w:r>
      <w:r w:rsidR="008E5964">
        <w:t xml:space="preserve">to </w:t>
      </w:r>
      <w:r w:rsidR="00C5173F">
        <w:t xml:space="preserve">parties </w:t>
      </w:r>
      <w:r w:rsidR="002C7796">
        <w:t xml:space="preserve">to </w:t>
      </w:r>
      <w:r w:rsidR="00C5173F">
        <w:t>this proceeding</w:t>
      </w:r>
      <w:r w:rsidR="00A45AA9">
        <w:t xml:space="preserve"> </w:t>
      </w:r>
      <w:r w:rsidR="00C5173F">
        <w:t xml:space="preserve">and </w:t>
      </w:r>
      <w:r w:rsidR="00A45AA9">
        <w:t xml:space="preserve">to </w:t>
      </w:r>
      <w:r w:rsidR="00C5173F">
        <w:t xml:space="preserve">the service list of </w:t>
      </w:r>
      <w:r w:rsidR="00A45AA9">
        <w:t>PG&amp;E’s</w:t>
      </w:r>
      <w:r w:rsidR="00C5173F">
        <w:t xml:space="preserve"> 202</w:t>
      </w:r>
      <w:r w:rsidR="003A706F">
        <w:t>0</w:t>
      </w:r>
      <w:r w:rsidR="00C5173F">
        <w:t xml:space="preserve"> RAMP proceeding</w:t>
      </w:r>
      <w:r>
        <w:t xml:space="preserve">. </w:t>
      </w:r>
      <w:r w:rsidR="00CB2D8E">
        <w:t xml:space="preserve"> </w:t>
      </w:r>
      <w:r w:rsidR="00B050A1">
        <w:t xml:space="preserve">We do not adopt Cal Advocates’ recommendations regarding additional and specific </w:t>
      </w:r>
      <w:r w:rsidR="007B22DA">
        <w:t>analyses</w:t>
      </w:r>
      <w:r w:rsidR="00B050A1">
        <w:t xml:space="preserve"> </w:t>
      </w:r>
      <w:r w:rsidR="00E0698A">
        <w:t xml:space="preserve">because the Cost-Benefit Approach Demonstration Workshop and the additional </w:t>
      </w:r>
      <w:r w:rsidR="00DF5F7C">
        <w:t xml:space="preserve">pre-RAMP workshops required in Step 12 of the RDF </w:t>
      </w:r>
      <w:r w:rsidR="00D211B1">
        <w:t xml:space="preserve">will </w:t>
      </w:r>
      <w:r w:rsidR="00DF5F7C">
        <w:t>provide sufficient breadth of information</w:t>
      </w:r>
      <w:r w:rsidR="00D61873">
        <w:t xml:space="preserve"> prior to </w:t>
      </w:r>
      <w:r w:rsidR="006555F3">
        <w:t xml:space="preserve">PG&amp;E’s formal </w:t>
      </w:r>
      <w:r w:rsidR="00D61873">
        <w:t>RAMP filing</w:t>
      </w:r>
      <w:r w:rsidR="00D211B1">
        <w:t>,</w:t>
      </w:r>
      <w:r w:rsidR="00D61873">
        <w:t xml:space="preserve"> where more detailed review and comment opportunities are provided</w:t>
      </w:r>
      <w:r w:rsidR="007B22DA">
        <w:t>.</w:t>
      </w:r>
      <w:r w:rsidR="00B5137C">
        <w:t xml:space="preserve"> </w:t>
      </w:r>
      <w:r w:rsidR="00D424DB">
        <w:t xml:space="preserve"> </w:t>
      </w:r>
      <w:r w:rsidR="00B5137C">
        <w:t xml:space="preserve">We further note that improvements to the pre-RAMP workshops required of all IOUs </w:t>
      </w:r>
      <w:r w:rsidR="00292A63">
        <w:t xml:space="preserve">have not been </w:t>
      </w:r>
      <w:r w:rsidR="001E41DB">
        <w:t xml:space="preserve">under </w:t>
      </w:r>
      <w:r w:rsidR="00E173C7">
        <w:t>consider</w:t>
      </w:r>
      <w:r w:rsidR="001E41DB">
        <w:t>ation</w:t>
      </w:r>
      <w:r w:rsidR="00E173C7">
        <w:t xml:space="preserve"> in this decision</w:t>
      </w:r>
      <w:r w:rsidR="00B5137C">
        <w:t xml:space="preserve">. </w:t>
      </w:r>
    </w:p>
    <w:p w:rsidR="000628A0" w:rsidP="009B4FAF" w:rsidRDefault="000628A0" w14:paraId="5B1BC441" w14:textId="384C237E">
      <w:pPr>
        <w:pStyle w:val="Standard"/>
      </w:pPr>
      <w:r w:rsidRPr="000628A0">
        <w:t>We agree with the</w:t>
      </w:r>
      <w:r>
        <w:t xml:space="preserve"> recommendation in the</w:t>
      </w:r>
      <w:r w:rsidRPr="000628A0">
        <w:t xml:space="preserve"> Staff </w:t>
      </w:r>
      <w:r>
        <w:t>P</w:t>
      </w:r>
      <w:r w:rsidRPr="000628A0">
        <w:t xml:space="preserve">roposal that </w:t>
      </w:r>
      <w:bookmarkStart w:name="_Hlk116910965" w:id="23"/>
      <w:r w:rsidRPr="000628A0">
        <w:t>IOUs</w:t>
      </w:r>
      <w:r w:rsidR="009041FB">
        <w:t xml:space="preserve"> </w:t>
      </w:r>
      <w:r w:rsidR="0010637C">
        <w:t>should be afforded</w:t>
      </w:r>
      <w:r w:rsidR="009041FB">
        <w:t xml:space="preserve"> </w:t>
      </w:r>
      <w:r w:rsidRPr="000628A0">
        <w:t xml:space="preserve">the same flexibility to incorporate </w:t>
      </w:r>
      <w:r w:rsidR="00E465D0">
        <w:t>R</w:t>
      </w:r>
      <w:r w:rsidRPr="000628A0">
        <w:t xml:space="preserve">isk </w:t>
      </w:r>
      <w:r w:rsidR="00E465D0">
        <w:t>A</w:t>
      </w:r>
      <w:r w:rsidRPr="000628A0">
        <w:t xml:space="preserve">ttitude and </w:t>
      </w:r>
      <w:r w:rsidR="00E465D0">
        <w:t>R</w:t>
      </w:r>
      <w:r w:rsidRPr="000628A0">
        <w:t xml:space="preserve">isk </w:t>
      </w:r>
      <w:r w:rsidR="00E465D0">
        <w:t>T</w:t>
      </w:r>
      <w:r w:rsidRPr="000628A0">
        <w:t xml:space="preserve">olerance </w:t>
      </w:r>
      <w:r w:rsidR="00803FAA">
        <w:t xml:space="preserve">into the Cost-Benefit Approach </w:t>
      </w:r>
      <w:r w:rsidRPr="000628A0">
        <w:t>as they would under the current MAVF structure</w:t>
      </w:r>
      <w:r w:rsidR="00156CF7">
        <w:t xml:space="preserve">.  </w:t>
      </w:r>
      <w:r w:rsidR="00B8472B">
        <w:t xml:space="preserve">However, we </w:t>
      </w:r>
      <w:bookmarkEnd w:id="23"/>
      <w:r w:rsidR="00803FAA">
        <w:t>intend to</w:t>
      </w:r>
      <w:r w:rsidR="0055241A">
        <w:t xml:space="preserve"> </w:t>
      </w:r>
      <w:r w:rsidR="00165FD0">
        <w:t xml:space="preserve">further </w:t>
      </w:r>
      <w:r w:rsidRPr="00551C2D" w:rsidR="00551C2D">
        <w:t xml:space="preserve">explore the application of </w:t>
      </w:r>
      <w:r w:rsidR="00E465D0">
        <w:t>R</w:t>
      </w:r>
      <w:r w:rsidRPr="00551C2D" w:rsidR="00551C2D">
        <w:t xml:space="preserve">isk </w:t>
      </w:r>
      <w:r w:rsidR="00E465D0">
        <w:t>A</w:t>
      </w:r>
      <w:r w:rsidRPr="00551C2D" w:rsidR="00551C2D">
        <w:t xml:space="preserve">ttitude, </w:t>
      </w:r>
      <w:r w:rsidR="00E465D0">
        <w:t>R</w:t>
      </w:r>
      <w:r w:rsidRPr="00551C2D" w:rsidR="00551C2D">
        <w:t xml:space="preserve">isk </w:t>
      </w:r>
      <w:r w:rsidR="00E465D0">
        <w:t>T</w:t>
      </w:r>
      <w:r w:rsidRPr="00551C2D" w:rsidR="00551C2D">
        <w:t>olerance, uncertainty, and tail risks</w:t>
      </w:r>
      <w:r w:rsidR="00CD7DD3">
        <w:t xml:space="preserve"> later in this or a successor proceeding</w:t>
      </w:r>
      <w:r w:rsidRPr="00551C2D" w:rsidR="00551C2D">
        <w:t xml:space="preserve">.  </w:t>
      </w:r>
      <w:r w:rsidR="00772E31">
        <w:t>To support th</w:t>
      </w:r>
      <w:r w:rsidR="00165FD0">
        <w:t>is</w:t>
      </w:r>
      <w:r w:rsidR="00772E31">
        <w:t>, we authorize</w:t>
      </w:r>
      <w:r w:rsidRPr="000B4AE0" w:rsidR="000B4AE0">
        <w:t xml:space="preserve"> continuation of the TWG established in D.21-11-009</w:t>
      </w:r>
      <w:r w:rsidR="00B8472B">
        <w:t xml:space="preserve">.  We </w:t>
      </w:r>
      <w:r w:rsidRPr="006F44AF" w:rsidR="006F44AF">
        <w:t xml:space="preserve">authorize </w:t>
      </w:r>
      <w:r w:rsidR="006F44AF">
        <w:t xml:space="preserve">Staff and parties participating in the </w:t>
      </w:r>
      <w:r w:rsidRPr="006F44AF" w:rsidR="006F44AF">
        <w:t>TWG to</w:t>
      </w:r>
      <w:r w:rsidR="00165FD0">
        <w:t xml:space="preserve"> </w:t>
      </w:r>
      <w:r w:rsidRPr="006F44AF" w:rsidR="006F44AF">
        <w:t xml:space="preserve">prepare and propose recommendations regarding the application of Risk Attitude, Risk Tolerance, uncertainty, and tail risks in the RDF </w:t>
      </w:r>
      <w:r w:rsidR="006F44AF">
        <w:t xml:space="preserve">for consideration. </w:t>
      </w:r>
      <w:r w:rsidR="00370235">
        <w:t xml:space="preserve"> IOUs will also be afforded the opportunity to </w:t>
      </w:r>
      <w:r w:rsidR="002878D4">
        <w:t xml:space="preserve">formally </w:t>
      </w:r>
      <w:r w:rsidR="00370235">
        <w:t xml:space="preserve">propose methodologies for </w:t>
      </w:r>
      <w:r w:rsidR="002878D4">
        <w:t xml:space="preserve">addressing </w:t>
      </w:r>
      <w:r w:rsidR="00370235">
        <w:t>these issues</w:t>
      </w:r>
      <w:r w:rsidR="009B27A8">
        <w:t>.  O</w:t>
      </w:r>
      <w:r w:rsidR="002878D4">
        <w:t xml:space="preserve">pportunities for </w:t>
      </w:r>
      <w:r w:rsidR="009B27A8">
        <w:t xml:space="preserve">workshop discussions and </w:t>
      </w:r>
      <w:r w:rsidR="002878D4">
        <w:t xml:space="preserve">formal comment on all proposals will be provided. </w:t>
      </w:r>
    </w:p>
    <w:p w:rsidR="002E62DE" w:rsidP="002E62DE" w:rsidRDefault="002E62DE" w14:paraId="24E544F6" w14:textId="7923C2B7">
      <w:pPr>
        <w:pStyle w:val="Standard"/>
      </w:pPr>
      <w:r w:rsidRPr="000E39AA">
        <w:t xml:space="preserve">We adopt </w:t>
      </w:r>
      <w:r w:rsidRPr="000E39AA" w:rsidR="00B8472B">
        <w:t xml:space="preserve">Staff’s suggestion </w:t>
      </w:r>
      <w:r w:rsidRPr="000E39AA">
        <w:t>to replace the</w:t>
      </w:r>
      <w:r w:rsidRPr="000E39AA" w:rsidR="004C5EEC">
        <w:t xml:space="preserve"> </w:t>
      </w:r>
      <w:r w:rsidRPr="000E39AA">
        <w:t xml:space="preserve">Settlement Agreement </w:t>
      </w:r>
      <w:r w:rsidRPr="000E39AA" w:rsidR="004C5EEC">
        <w:t>adopted in the SA De</w:t>
      </w:r>
      <w:r w:rsidRPr="000E39AA" w:rsidR="00930DDA">
        <w:t xml:space="preserve">cision </w:t>
      </w:r>
      <w:r w:rsidRPr="000E39AA">
        <w:t xml:space="preserve">with a new document </w:t>
      </w:r>
      <w:r w:rsidRPr="000E39AA" w:rsidR="005A20BC">
        <w:t xml:space="preserve">we call </w:t>
      </w:r>
      <w:r w:rsidRPr="000E39AA">
        <w:t xml:space="preserve">the </w:t>
      </w:r>
      <w:r w:rsidRPr="000E39AA" w:rsidR="00930DDA">
        <w:t>“</w:t>
      </w:r>
      <w:r w:rsidRPr="000E39AA">
        <w:t>Risk-Based Decision-Making Framework</w:t>
      </w:r>
      <w:r w:rsidRPr="000E39AA" w:rsidR="00B8472B">
        <w:t>.</w:t>
      </w:r>
      <w:r w:rsidRPr="000E39AA" w:rsidR="005A20BC">
        <w:t>”</w:t>
      </w:r>
      <w:r w:rsidRPr="000E39AA" w:rsidR="00B8472B">
        <w:t xml:space="preserve">  This document is</w:t>
      </w:r>
      <w:r w:rsidRPr="000E39AA" w:rsidR="005A20BC">
        <w:t xml:space="preserve"> </w:t>
      </w:r>
      <w:r w:rsidRPr="000E39AA" w:rsidR="00CA63FE">
        <w:t>contained in Appendix A</w:t>
      </w:r>
      <w:r w:rsidRPr="000E39AA" w:rsidR="003B7BF9">
        <w:t xml:space="preserve"> of this decision</w:t>
      </w:r>
      <w:r w:rsidRPr="000E39AA">
        <w:t xml:space="preserve">.  The Risk-Based Decision-Making Framework </w:t>
      </w:r>
      <w:r w:rsidRPr="000E39AA" w:rsidR="00CA63FE">
        <w:t xml:space="preserve">in Appendix A </w:t>
      </w:r>
      <w:r w:rsidRPr="000E39AA">
        <w:t xml:space="preserve">includes the entirety of the changes </w:t>
      </w:r>
      <w:r w:rsidRPr="000E39AA" w:rsidR="00930DDA">
        <w:t xml:space="preserve">we </w:t>
      </w:r>
      <w:r w:rsidRPr="000E39AA">
        <w:t>adopt</w:t>
      </w:r>
      <w:r w:rsidRPr="000E39AA" w:rsidR="00930DDA">
        <w:t xml:space="preserve"> </w:t>
      </w:r>
      <w:r w:rsidRPr="000E39AA" w:rsidR="00B8472B">
        <w:t>in this decision</w:t>
      </w:r>
      <w:r w:rsidRPr="000E39AA" w:rsidR="00930DDA">
        <w:t xml:space="preserve"> </w:t>
      </w:r>
      <w:r w:rsidRPr="000E39AA">
        <w:t>(</w:t>
      </w:r>
      <w:r w:rsidRPr="000E39AA">
        <w:rPr>
          <w:i/>
          <w:iCs/>
        </w:rPr>
        <w:t>see</w:t>
      </w:r>
      <w:r w:rsidRPr="000E39AA">
        <w:t xml:space="preserve"> Section 5.4).</w:t>
      </w:r>
      <w:r w:rsidR="00A710F9">
        <w:t xml:space="preserve">  Although our adopted RDF is based on </w:t>
      </w:r>
      <w:r w:rsidR="00606BF3">
        <w:t xml:space="preserve">an earlier-agreed Settlement Agreement, </w:t>
      </w:r>
      <w:r w:rsidR="00265A34">
        <w:t>un</w:t>
      </w:r>
      <w:r w:rsidR="00606BF3">
        <w:t xml:space="preserve">like a Settlement Agreement, </w:t>
      </w:r>
      <w:r w:rsidR="00265A34">
        <w:t xml:space="preserve">it does not </w:t>
      </w:r>
      <w:r w:rsidR="00606BF3">
        <w:t xml:space="preserve">necessarily reflect full party support for all elements adopted here. </w:t>
      </w:r>
    </w:p>
    <w:p w:rsidR="00606BF3" w:rsidP="002E62DE" w:rsidRDefault="00606BF3" w14:paraId="63C69047" w14:textId="5692438E">
      <w:pPr>
        <w:pStyle w:val="Standard"/>
      </w:pPr>
      <w:r>
        <w:t xml:space="preserve">Our adopted RDF will be implemented by PG&amp;E first in </w:t>
      </w:r>
      <w:r w:rsidR="006D1274">
        <w:t xml:space="preserve">its </w:t>
      </w:r>
      <w:r>
        <w:t>2024</w:t>
      </w:r>
      <w:r w:rsidR="00D92714">
        <w:t> </w:t>
      </w:r>
      <w:r w:rsidR="006D1274">
        <w:t>RAMP filing</w:t>
      </w:r>
      <w:r>
        <w:t xml:space="preserve">, then by the Sempra Companies </w:t>
      </w:r>
      <w:r w:rsidR="00E070E0">
        <w:t xml:space="preserve">in </w:t>
      </w:r>
      <w:r w:rsidR="006D1274">
        <w:t xml:space="preserve">their </w:t>
      </w:r>
      <w:r w:rsidR="00E070E0">
        <w:t xml:space="preserve">2025 </w:t>
      </w:r>
      <w:r w:rsidR="006D1274">
        <w:t xml:space="preserve">RAMP filing </w:t>
      </w:r>
      <w:r>
        <w:t xml:space="preserve">and SCE in </w:t>
      </w:r>
      <w:r w:rsidR="00E070E0">
        <w:t>2026</w:t>
      </w:r>
      <w:r w:rsidR="00D92714">
        <w:t> </w:t>
      </w:r>
      <w:r w:rsidR="006D1274">
        <w:t>RAMP filing</w:t>
      </w:r>
      <w:r w:rsidR="00E070E0">
        <w:t xml:space="preserve"> </w:t>
      </w:r>
      <w:r>
        <w:t>respectively.  W</w:t>
      </w:r>
      <w:r w:rsidRPr="00606BF3">
        <w:t>e expect full IOU compliance with the SA</w:t>
      </w:r>
      <w:r w:rsidR="00D92714">
        <w:t> </w:t>
      </w:r>
      <w:r w:rsidRPr="00606BF3">
        <w:t>Decision during th</w:t>
      </w:r>
      <w:r w:rsidR="00337300">
        <w:t>is</w:t>
      </w:r>
      <w:r w:rsidRPr="00606BF3">
        <w:t xml:space="preserve"> transition period</w:t>
      </w:r>
      <w:r>
        <w:t xml:space="preserve">. </w:t>
      </w:r>
    </w:p>
    <w:p w:rsidRPr="009B4FAF" w:rsidR="000C670F" w:rsidP="002E62DE" w:rsidRDefault="000C670F" w14:paraId="508F54EF" w14:textId="0461CC36">
      <w:pPr>
        <w:pStyle w:val="Standard"/>
      </w:pPr>
      <w:r>
        <w:t xml:space="preserve">Regarding implementation of a </w:t>
      </w:r>
      <w:r w:rsidRPr="000C670F">
        <w:t xml:space="preserve">Cost-Benefit Approach in </w:t>
      </w:r>
      <w:r>
        <w:t>the IOUs’</w:t>
      </w:r>
      <w:r w:rsidRPr="000C670F">
        <w:t xml:space="preserve"> Wildfire Mitigation Plan</w:t>
      </w:r>
      <w:r>
        <w:t xml:space="preserve">s, the decision on whether or when </w:t>
      </w:r>
      <w:r w:rsidR="00BF6278">
        <w:t xml:space="preserve">to require this rests with the </w:t>
      </w:r>
      <w:r w:rsidRPr="000C670F">
        <w:t>Office of Energy Infrastructure Safety</w:t>
      </w:r>
      <w:r w:rsidR="00BF6278">
        <w:t>, not this Commission</w:t>
      </w:r>
      <w:r w:rsidR="00100139">
        <w:t xml:space="preserve">.  </w:t>
      </w:r>
      <w:r w:rsidR="000E336E">
        <w:t xml:space="preserve"> </w:t>
      </w:r>
    </w:p>
    <w:p w:rsidR="006D3A63" w:rsidP="006D3A63" w:rsidRDefault="006D3A63" w14:paraId="1E66EF4A" w14:textId="4F8DEDAF">
      <w:pPr>
        <w:pStyle w:val="Heading2"/>
        <w:numPr>
          <w:ilvl w:val="1"/>
          <w:numId w:val="1"/>
        </w:numPr>
      </w:pPr>
      <w:bookmarkStart w:name="_Toc121821037" w:id="24"/>
      <w:r>
        <w:t>Dollar Valuation of Safety and</w:t>
      </w:r>
      <w:r w:rsidR="00A1255B">
        <w:br/>
      </w:r>
      <w:r>
        <w:t>Reliability Consequences</w:t>
      </w:r>
      <w:bookmarkEnd w:id="24"/>
    </w:p>
    <w:p w:rsidRPr="009C3237" w:rsidR="009C3237" w:rsidP="00FE070E" w:rsidRDefault="009C3237" w14:paraId="6A3010CC" w14:textId="6855781E">
      <w:pPr>
        <w:pStyle w:val="Heading3"/>
      </w:pPr>
      <w:bookmarkStart w:name="_Toc121821038" w:id="25"/>
      <w:r>
        <w:t>5.2.1</w:t>
      </w:r>
      <w:r>
        <w:tab/>
        <w:t>Staff Proposal</w:t>
      </w:r>
      <w:bookmarkEnd w:id="25"/>
      <w:r>
        <w:t xml:space="preserve"> </w:t>
      </w:r>
    </w:p>
    <w:p w:rsidRPr="003152CE" w:rsidR="009C3CE8" w:rsidP="003152CE" w:rsidRDefault="00097D87" w14:paraId="706D7169" w14:textId="077204CA">
      <w:pPr>
        <w:pStyle w:val="Standard"/>
      </w:pPr>
      <w:r>
        <w:t xml:space="preserve">As part of </w:t>
      </w:r>
      <w:r w:rsidR="0021714B">
        <w:t xml:space="preserve">a </w:t>
      </w:r>
      <w:r w:rsidR="00A20ABB">
        <w:t xml:space="preserve">shift to </w:t>
      </w:r>
      <w:r w:rsidR="00C81E45">
        <w:t xml:space="preserve">the Cost-Benefit Approach </w:t>
      </w:r>
      <w:r w:rsidR="001B45E4">
        <w:t>to risk assessment using the RDF</w:t>
      </w:r>
      <w:r w:rsidR="00A20ABB">
        <w:t xml:space="preserve">, Staff recommend the Commission </w:t>
      </w:r>
      <w:r w:rsidR="002A2EE8">
        <w:t xml:space="preserve">require the IOUs to use </w:t>
      </w:r>
      <w:r w:rsidR="00A20ABB">
        <w:t>a standard set of parameters</w:t>
      </w:r>
      <w:r w:rsidR="008F542A">
        <w:t xml:space="preserve"> and </w:t>
      </w:r>
      <w:r w:rsidR="008E0769">
        <w:t xml:space="preserve">formulas to monetize </w:t>
      </w:r>
      <w:r w:rsidR="001B45E4">
        <w:t xml:space="preserve">the </w:t>
      </w:r>
      <w:r w:rsidR="0096191D">
        <w:t>C</w:t>
      </w:r>
      <w:r w:rsidR="008E0769">
        <w:t>onsequences</w:t>
      </w:r>
      <w:r w:rsidR="001B45E4">
        <w:t xml:space="preserve"> of risks</w:t>
      </w:r>
      <w:r w:rsidR="008E0769">
        <w:t xml:space="preserve">. </w:t>
      </w:r>
      <w:r w:rsidR="00D85730">
        <w:t xml:space="preserve"> </w:t>
      </w:r>
      <w:r w:rsidR="00752BEC">
        <w:t xml:space="preserve">Staff’s proposed monetization methods </w:t>
      </w:r>
      <w:r w:rsidR="0092398D">
        <w:t xml:space="preserve">generally </w:t>
      </w:r>
      <w:r w:rsidR="00752BEC">
        <w:t xml:space="preserve">rely upon </w:t>
      </w:r>
      <w:r w:rsidRPr="0092398D" w:rsidR="0092398D">
        <w:t>government or industry sources</w:t>
      </w:r>
      <w:r w:rsidR="0092398D">
        <w:t>,</w:t>
      </w:r>
      <w:r w:rsidRPr="0092398D" w:rsidR="0092398D">
        <w:t xml:space="preserve"> where</w:t>
      </w:r>
      <w:r w:rsidR="0092398D">
        <w:t xml:space="preserve"> available</w:t>
      </w:r>
      <w:r w:rsidR="001B45E4">
        <w:t xml:space="preserve">.  However, Staff propose the Commission </w:t>
      </w:r>
      <w:r w:rsidR="00FB62FF">
        <w:t xml:space="preserve">allow an IOU to deviate from a </w:t>
      </w:r>
      <w:r w:rsidR="001B45E4">
        <w:t xml:space="preserve">government or industry </w:t>
      </w:r>
      <w:r w:rsidR="00FB62FF">
        <w:t>standard</w:t>
      </w:r>
      <w:r w:rsidR="002A5F08">
        <w:t xml:space="preserve"> </w:t>
      </w:r>
      <w:r w:rsidR="006F2077">
        <w:t xml:space="preserve">by </w:t>
      </w:r>
      <w:r w:rsidR="008303DC">
        <w:t>us</w:t>
      </w:r>
      <w:r w:rsidR="006F2077">
        <w:t>ing</w:t>
      </w:r>
      <w:r w:rsidR="008303DC">
        <w:t xml:space="preserve"> a</w:t>
      </w:r>
      <w:r w:rsidR="00FB62FF">
        <w:t xml:space="preserve"> different dollar value</w:t>
      </w:r>
      <w:r w:rsidR="000F10CC">
        <w:t xml:space="preserve"> so</w:t>
      </w:r>
      <w:r w:rsidR="00FB62FF">
        <w:t xml:space="preserve"> long as the IOU can offer a reasonable justification supported by research and data. </w:t>
      </w:r>
    </w:p>
    <w:p w:rsidR="00232684" w:rsidP="00020BEF" w:rsidRDefault="00232684" w14:paraId="5BAAF33C" w14:textId="42FF7B43">
      <w:pPr>
        <w:pStyle w:val="Heading4"/>
        <w:numPr>
          <w:ilvl w:val="3"/>
          <w:numId w:val="1"/>
        </w:numPr>
      </w:pPr>
      <w:bookmarkStart w:name="_Toc121821039" w:id="26"/>
      <w:r>
        <w:t>Dollar Valuation of Safety Consequ</w:t>
      </w:r>
      <w:r w:rsidR="00063CE1">
        <w:t>ences</w:t>
      </w:r>
      <w:bookmarkEnd w:id="26"/>
    </w:p>
    <w:p w:rsidR="00D75132" w:rsidP="00D75132" w:rsidRDefault="000110D7" w14:paraId="59103AC5" w14:textId="6ECD3725">
      <w:pPr>
        <w:pStyle w:val="Standard"/>
      </w:pPr>
      <w:r>
        <w:t xml:space="preserve">Staff </w:t>
      </w:r>
      <w:r w:rsidR="00D75132">
        <w:t>recommend</w:t>
      </w:r>
      <w:r w:rsidR="00CF61D0">
        <w:t xml:space="preserve"> </w:t>
      </w:r>
      <w:r w:rsidR="002A2EE8">
        <w:t xml:space="preserve">the Commission require the IOUs to use </w:t>
      </w:r>
      <w:r w:rsidR="00CF61D0">
        <w:t xml:space="preserve">U.S. </w:t>
      </w:r>
      <w:r w:rsidR="00D75132">
        <w:t xml:space="preserve">DOT </w:t>
      </w:r>
      <w:r w:rsidR="00CF61D0">
        <w:t xml:space="preserve">guidance </w:t>
      </w:r>
      <w:r w:rsidR="00D75132">
        <w:t>on the VSL</w:t>
      </w:r>
      <w:r>
        <w:rPr>
          <w:rStyle w:val="FootnoteReference"/>
        </w:rPr>
        <w:footnoteReference w:id="45"/>
      </w:r>
      <w:r w:rsidR="00D75132">
        <w:t xml:space="preserve"> to </w:t>
      </w:r>
      <w:r w:rsidR="001B45E4">
        <w:t xml:space="preserve">identify </w:t>
      </w:r>
      <w:r w:rsidR="009D62C5">
        <w:t xml:space="preserve">the </w:t>
      </w:r>
      <w:r w:rsidR="00D75132">
        <w:t xml:space="preserve">dollar value </w:t>
      </w:r>
      <w:r w:rsidR="009D62C5">
        <w:t>of</w:t>
      </w:r>
      <w:r w:rsidR="00D75132">
        <w:t xml:space="preserve"> </w:t>
      </w:r>
      <w:r w:rsidR="0096191D">
        <w:t>S</w:t>
      </w:r>
      <w:r w:rsidR="00D75132">
        <w:t xml:space="preserve">afety </w:t>
      </w:r>
      <w:r w:rsidR="0096191D">
        <w:t>C</w:t>
      </w:r>
      <w:r w:rsidR="00D75132">
        <w:t xml:space="preserve">onsequences. </w:t>
      </w:r>
      <w:r>
        <w:t xml:space="preserve"> </w:t>
      </w:r>
      <w:r w:rsidR="002A2EE8">
        <w:t xml:space="preserve">Staff </w:t>
      </w:r>
      <w:r w:rsidR="009D62C5">
        <w:t>state</w:t>
      </w:r>
      <w:r w:rsidR="002A2EE8">
        <w:t xml:space="preserve"> that t</w:t>
      </w:r>
      <w:r w:rsidR="00D75132">
        <w:t xml:space="preserve">he DOT updates </w:t>
      </w:r>
      <w:r w:rsidR="00BE4097">
        <w:t>the</w:t>
      </w:r>
      <w:r w:rsidR="00AA3C95">
        <w:t xml:space="preserve"> </w:t>
      </w:r>
      <w:r w:rsidR="00D75132">
        <w:t xml:space="preserve">VSL annually based on changes to income and inflation. </w:t>
      </w:r>
      <w:r w:rsidR="000E3827">
        <w:t xml:space="preserve"> </w:t>
      </w:r>
      <w:r w:rsidR="00D75132">
        <w:t xml:space="preserve">DOT guidance on </w:t>
      </w:r>
      <w:r w:rsidR="000E3827">
        <w:t xml:space="preserve">the </w:t>
      </w:r>
      <w:r w:rsidR="00D75132">
        <w:t>VSL for 2021 is $11.8 million.</w:t>
      </w:r>
      <w:r w:rsidR="009A5613">
        <w:rPr>
          <w:rStyle w:val="FootnoteReference"/>
        </w:rPr>
        <w:footnoteReference w:id="46"/>
      </w:r>
      <w:r w:rsidR="00596108">
        <w:t xml:space="preserve"> </w:t>
      </w:r>
    </w:p>
    <w:p w:rsidR="00D75132" w:rsidP="00D75132" w:rsidRDefault="00204FBA" w14:paraId="5EAB7706" w14:textId="65AB2C33">
      <w:pPr>
        <w:pStyle w:val="Standard"/>
      </w:pPr>
      <w:r>
        <w:t>As an alternative to the DOT VSL, Staff recommend the IOUs be allowed to</w:t>
      </w:r>
      <w:r w:rsidR="00D75132">
        <w:t xml:space="preserve"> choose a VSL value between the high and low ranges provided by the </w:t>
      </w:r>
      <w:r>
        <w:t xml:space="preserve">U.S. </w:t>
      </w:r>
      <w:r w:rsidR="00D75132">
        <w:t>HHS.</w:t>
      </w:r>
      <w:r w:rsidR="004F7138">
        <w:rPr>
          <w:rStyle w:val="FootnoteReference"/>
        </w:rPr>
        <w:footnoteReference w:id="47"/>
      </w:r>
      <w:r>
        <w:t xml:space="preserve"> </w:t>
      </w:r>
      <w:r w:rsidR="00D75132">
        <w:t xml:space="preserve"> </w:t>
      </w:r>
      <w:r w:rsidR="00F20554">
        <w:t xml:space="preserve">Staff recommend that </w:t>
      </w:r>
      <w:r w:rsidR="002A2EE8">
        <w:t xml:space="preserve">the Commission require </w:t>
      </w:r>
      <w:r w:rsidR="00D75132">
        <w:t xml:space="preserve">an IOU </w:t>
      </w:r>
      <w:r w:rsidR="00F20554">
        <w:t>choosing</w:t>
      </w:r>
      <w:r w:rsidR="00D75132">
        <w:t xml:space="preserve"> this approach</w:t>
      </w:r>
      <w:r w:rsidDel="002A2EE8" w:rsidR="00B84CDA">
        <w:t xml:space="preserve"> </w:t>
      </w:r>
      <w:r w:rsidR="00B84CDA">
        <w:t>to</w:t>
      </w:r>
      <w:r w:rsidR="00D75132">
        <w:t xml:space="preserve"> justify its choice and </w:t>
      </w:r>
      <w:r w:rsidR="002A2EE8">
        <w:t xml:space="preserve">to </w:t>
      </w:r>
      <w:r w:rsidR="00D75132">
        <w:t xml:space="preserve">provide a sensitivity analysis for the </w:t>
      </w:r>
      <w:r w:rsidR="00FF7A03">
        <w:t>Cost-Benefit Ratio</w:t>
      </w:r>
      <w:r w:rsidR="00D75132">
        <w:t xml:space="preserve"> impact of its choice as compared to the standard DOT VSL. </w:t>
      </w:r>
      <w:r w:rsidR="00F27990">
        <w:t xml:space="preserve"> </w:t>
      </w:r>
      <w:r w:rsidR="00D75132">
        <w:t>The high and low VSL estimates provided by HHS for the base year 2021 are $5.4 and $17.5 million.</w:t>
      </w:r>
      <w:r w:rsidR="009A5613">
        <w:rPr>
          <w:rStyle w:val="FootnoteReference"/>
        </w:rPr>
        <w:footnoteReference w:id="48"/>
      </w:r>
    </w:p>
    <w:p w:rsidR="00D75132" w:rsidP="00D75132" w:rsidRDefault="00D75132" w14:paraId="73020AC0" w14:textId="5C7D60CF">
      <w:pPr>
        <w:pStyle w:val="Standard"/>
      </w:pPr>
      <w:r>
        <w:t>Staff</w:t>
      </w:r>
      <w:r w:rsidR="00BA50FE">
        <w:t xml:space="preserve"> propose</w:t>
      </w:r>
      <w:r>
        <w:t xml:space="preserve"> two methods </w:t>
      </w:r>
      <w:r w:rsidR="002A2EE8">
        <w:t xml:space="preserve">for the IOUs to use </w:t>
      </w:r>
      <w:r w:rsidDel="002A2EE8">
        <w:t>to</w:t>
      </w:r>
      <w:r>
        <w:t xml:space="preserve"> </w:t>
      </w:r>
      <w:r w:rsidR="00BA50FE">
        <w:t>derive</w:t>
      </w:r>
      <w:r>
        <w:t xml:space="preserve"> a monetary value </w:t>
      </w:r>
      <w:r w:rsidR="007A43EA">
        <w:t>for</w:t>
      </w:r>
      <w:r>
        <w:t xml:space="preserve"> injury prevention</w:t>
      </w:r>
      <w:r w:rsidR="007A43EA">
        <w:t>.</w:t>
      </w:r>
      <w:r w:rsidR="006E3A20">
        <w:t xml:space="preserve"> </w:t>
      </w:r>
      <w:r w:rsidR="00557517">
        <w:t xml:space="preserve"> </w:t>
      </w:r>
      <w:r>
        <w:t xml:space="preserve">The first method is consistent with all of the </w:t>
      </w:r>
      <w:r w:rsidR="002948B6">
        <w:t xml:space="preserve">IOUs’ </w:t>
      </w:r>
      <w:r>
        <w:t xml:space="preserve">previous </w:t>
      </w:r>
      <w:r w:rsidR="00735DC8">
        <w:t>RAMP filings</w:t>
      </w:r>
      <w:r w:rsidR="002A2EE8">
        <w:t xml:space="preserve"> </w:t>
      </w:r>
      <w:r>
        <w:t xml:space="preserve">and values a serious injury as 0.25 of a fatality. </w:t>
      </w:r>
      <w:r w:rsidR="00735DC8">
        <w:t xml:space="preserve"> </w:t>
      </w:r>
      <w:r>
        <w:t xml:space="preserve">The second method involves using more granular data at the injury severity level if data is available.  </w:t>
      </w:r>
      <w:r w:rsidR="002A2EE8">
        <w:t xml:space="preserve">Staff </w:t>
      </w:r>
      <w:r w:rsidR="00202939">
        <w:t xml:space="preserve">state </w:t>
      </w:r>
      <w:r w:rsidR="002A2EE8">
        <w:t xml:space="preserve">that </w:t>
      </w:r>
      <w:r>
        <w:t xml:space="preserve">DOT provides a table detailing what fraction of the VSL should apply to an injury based on the </w:t>
      </w:r>
      <w:r w:rsidR="002948B6">
        <w:t xml:space="preserve">injury’s </w:t>
      </w:r>
      <w:r>
        <w:t>severity level.</w:t>
      </w:r>
      <w:r w:rsidR="007A5D0D">
        <w:rPr>
          <w:rStyle w:val="FootnoteReference"/>
        </w:rPr>
        <w:footnoteReference w:id="49"/>
      </w:r>
    </w:p>
    <w:p w:rsidR="009876E1" w:rsidP="00D75132" w:rsidRDefault="00526C89" w14:paraId="641A59EE" w14:textId="58B0283E">
      <w:pPr>
        <w:pStyle w:val="Standard"/>
      </w:pPr>
      <w:r>
        <w:t>With</w:t>
      </w:r>
      <w:r w:rsidR="00D75132">
        <w:t xml:space="preserve"> respect to wildfire risk, </w:t>
      </w:r>
      <w:r>
        <w:t xml:space="preserve">Staff note </w:t>
      </w:r>
      <w:r w:rsidR="00D75132">
        <w:t>that the use of the DOT VSL is applicable to death and injury caused by direct exposure to wildfire</w:t>
      </w:r>
      <w:r w:rsidR="00A3134F">
        <w:t xml:space="preserve"> </w:t>
      </w:r>
      <w:r w:rsidR="00AF6B61">
        <w:t>but</w:t>
      </w:r>
      <w:r w:rsidR="00633894">
        <w:t xml:space="preserve"> is not</w:t>
      </w:r>
      <w:r w:rsidR="00D75132">
        <w:t xml:space="preserve"> </w:t>
      </w:r>
      <w:r w:rsidR="00AF6B61">
        <w:t xml:space="preserve">well </w:t>
      </w:r>
      <w:r w:rsidR="00D75132">
        <w:t>designed to handle injury from wildfire smoke.</w:t>
      </w:r>
      <w:r w:rsidR="006523B6">
        <w:t xml:space="preserve"> </w:t>
      </w:r>
      <w:r w:rsidR="00D75132">
        <w:t xml:space="preserve"> As </w:t>
      </w:r>
      <w:r w:rsidR="00692A56">
        <w:t xml:space="preserve">the Commission </w:t>
      </w:r>
      <w:r w:rsidR="00B87E9A">
        <w:t>ha</w:t>
      </w:r>
      <w:r w:rsidR="00692A56">
        <w:t>s yet to consider</w:t>
      </w:r>
      <w:r w:rsidR="00EA595A">
        <w:t xml:space="preserve"> valuation of </w:t>
      </w:r>
      <w:r w:rsidR="00D75132">
        <w:t>smoke-related injuries</w:t>
      </w:r>
      <w:r w:rsidR="00B73DD9">
        <w:t>,</w:t>
      </w:r>
      <w:r w:rsidR="00D75132">
        <w:t xml:space="preserve"> Staff </w:t>
      </w:r>
      <w:r w:rsidR="0002025A">
        <w:t xml:space="preserve">propose </w:t>
      </w:r>
      <w:r w:rsidR="00EA595A">
        <w:t xml:space="preserve">that, for now, </w:t>
      </w:r>
      <w:r w:rsidR="0002025A">
        <w:t>the</w:t>
      </w:r>
      <w:r w:rsidR="00D75132">
        <w:t xml:space="preserve"> IOUs </w:t>
      </w:r>
      <w:r w:rsidR="00EA595A">
        <w:t>should</w:t>
      </w:r>
      <w:r w:rsidR="00D75132">
        <w:t xml:space="preserve"> </w:t>
      </w:r>
      <w:r w:rsidR="0002025A">
        <w:t xml:space="preserve">include </w:t>
      </w:r>
      <w:r w:rsidR="00D75132">
        <w:t>research-based estimates of the impacts of wildfire smoke in their risk assessments</w:t>
      </w:r>
      <w:r w:rsidR="00664260">
        <w:t>, rather than use the VSL</w:t>
      </w:r>
      <w:r w:rsidR="00D75132">
        <w:t>.</w:t>
      </w:r>
      <w:r w:rsidR="00EA7C54">
        <w:rPr>
          <w:rStyle w:val="FootnoteReference"/>
        </w:rPr>
        <w:footnoteReference w:id="50"/>
      </w:r>
    </w:p>
    <w:p w:rsidR="0039231D" w:rsidP="00020BEF" w:rsidRDefault="0039231D" w14:paraId="1BCD5474" w14:textId="0AD53963">
      <w:pPr>
        <w:pStyle w:val="Heading4"/>
        <w:numPr>
          <w:ilvl w:val="3"/>
          <w:numId w:val="1"/>
        </w:numPr>
      </w:pPr>
      <w:bookmarkStart w:name="_Toc121821040" w:id="27"/>
      <w:r>
        <w:t xml:space="preserve">Dollar Valuation of </w:t>
      </w:r>
      <w:r w:rsidR="00D63A51">
        <w:t>Electric</w:t>
      </w:r>
      <w:r w:rsidR="00A1255B">
        <w:br/>
      </w:r>
      <w:r>
        <w:t>Reliability Consequences</w:t>
      </w:r>
      <w:bookmarkEnd w:id="27"/>
    </w:p>
    <w:p w:rsidR="00C81593" w:rsidP="00C81593" w:rsidRDefault="00C81593" w14:paraId="300A9790" w14:textId="546D5C9E">
      <w:pPr>
        <w:pStyle w:val="Standard"/>
      </w:pPr>
      <w:r w:rsidRPr="00C81593">
        <w:t>Staff recommend</w:t>
      </w:r>
      <w:r w:rsidR="002A2EE8">
        <w:t xml:space="preserve"> the Commission require the IOUs to</w:t>
      </w:r>
      <w:r w:rsidRPr="00C81593">
        <w:t xml:space="preserve"> us</w:t>
      </w:r>
      <w:r w:rsidR="002A2EE8">
        <w:t>e</w:t>
      </w:r>
      <w:r w:rsidRPr="00C81593">
        <w:t xml:space="preserve"> the Lawrence Berkeley National Laboratory (LBNL) Interruption Cost Estimate </w:t>
      </w:r>
      <w:r>
        <w:t>(ICE) Calculator as the first step toward dollar-valued quantification of electric reliability ris</w:t>
      </w:r>
      <w:r w:rsidR="00731C71">
        <w:t>k</w:t>
      </w:r>
      <w:r>
        <w:t>.</w:t>
      </w:r>
      <w:r w:rsidR="00127891">
        <w:rPr>
          <w:rStyle w:val="FootnoteReference"/>
        </w:rPr>
        <w:footnoteReference w:id="51"/>
      </w:r>
      <w:r w:rsidR="00731C71">
        <w:t xml:space="preserve"> </w:t>
      </w:r>
      <w:r w:rsidR="002A2EE8">
        <w:t xml:space="preserve"> Staff assert that t</w:t>
      </w:r>
      <w:r>
        <w:t>he ICE Calculator produces a dollar estimate of the cost to customers from electric service outages</w:t>
      </w:r>
      <w:r w:rsidR="001B2C41">
        <w:t xml:space="preserve">, </w:t>
      </w:r>
      <w:r w:rsidR="005E6E40">
        <w:t>with results that are differentiated by customer type</w:t>
      </w:r>
      <w:r>
        <w:t xml:space="preserve"> (</w:t>
      </w:r>
      <w:r w:rsidRPr="007B6F9C" w:rsidR="00F949B0">
        <w:rPr>
          <w:i/>
          <w:iCs/>
        </w:rPr>
        <w:t>i.e</w:t>
      </w:r>
      <w:r w:rsidR="00F949B0">
        <w:t xml:space="preserve">., </w:t>
      </w:r>
      <w:r>
        <w:t>residential</w:t>
      </w:r>
      <w:r w:rsidR="00F949B0">
        <w:t>, commercial, and industrial</w:t>
      </w:r>
      <w:r>
        <w:t xml:space="preserve">) </w:t>
      </w:r>
      <w:r w:rsidR="00FE07B4">
        <w:t>and</w:t>
      </w:r>
      <w:r w:rsidR="005E6E40">
        <w:t xml:space="preserve"> the </w:t>
      </w:r>
      <w:r w:rsidR="00FE07B4">
        <w:t xml:space="preserve">duration </w:t>
      </w:r>
      <w:r w:rsidR="005E6E40">
        <w:t>of the outage</w:t>
      </w:r>
      <w:r>
        <w:t xml:space="preserve">. </w:t>
      </w:r>
      <w:r w:rsidR="001B2C41">
        <w:t xml:space="preserve"> </w:t>
      </w:r>
      <w:r w:rsidR="002A2EE8">
        <w:t>Staff state that w</w:t>
      </w:r>
      <w:r w:rsidR="00AD35E8">
        <w:t xml:space="preserve">hile </w:t>
      </w:r>
      <w:r w:rsidR="003006D9">
        <w:t>the</w:t>
      </w:r>
      <w:r>
        <w:t xml:space="preserve"> ICE Calculator </w:t>
      </w:r>
      <w:r w:rsidR="009F2431">
        <w:t xml:space="preserve">is currently unable to accurately calculate the </w:t>
      </w:r>
      <w:r>
        <w:t xml:space="preserve">impacts </w:t>
      </w:r>
      <w:r w:rsidR="008D54F4">
        <w:t>from</w:t>
      </w:r>
      <w:r>
        <w:t xml:space="preserve"> </w:t>
      </w:r>
      <w:r w:rsidR="00C33AE6">
        <w:t>outages</w:t>
      </w:r>
      <w:r>
        <w:t xml:space="preserve"> lasting longer than </w:t>
      </w:r>
      <w:r w:rsidR="00F949B0">
        <w:t xml:space="preserve">sixteen </w:t>
      </w:r>
      <w:r>
        <w:t>hours</w:t>
      </w:r>
      <w:r w:rsidR="00C33AE6">
        <w:t>,</w:t>
      </w:r>
      <w:r w:rsidDel="002A2EE8" w:rsidR="00F949B0">
        <w:t xml:space="preserve"> </w:t>
      </w:r>
      <w:r w:rsidR="00F949B0">
        <w:t>the</w:t>
      </w:r>
      <w:r>
        <w:t xml:space="preserve"> ICE</w:t>
      </w:r>
      <w:r w:rsidR="00F949B0">
        <w:t xml:space="preserve"> </w:t>
      </w:r>
      <w:r w:rsidR="00202939">
        <w:t xml:space="preserve">Calculator </w:t>
      </w:r>
      <w:r w:rsidR="002A2EE8">
        <w:t xml:space="preserve">nonetheless </w:t>
      </w:r>
      <w:r>
        <w:t xml:space="preserve">represents an improvement </w:t>
      </w:r>
      <w:r w:rsidR="00F949B0">
        <w:t xml:space="preserve">over the </w:t>
      </w:r>
      <w:r w:rsidR="00E15E1B">
        <w:t>CMI method</w:t>
      </w:r>
      <w:r w:rsidR="00202939">
        <w:t xml:space="preserve"> currently used by IOUs</w:t>
      </w:r>
      <w:r w:rsidR="00E15E1B">
        <w:t>, which</w:t>
      </w:r>
      <w:r>
        <w:t xml:space="preserve"> assumes </w:t>
      </w:r>
      <w:r w:rsidR="00202939">
        <w:t xml:space="preserve">that </w:t>
      </w:r>
      <w:r>
        <w:t xml:space="preserve">all customer impacts are </w:t>
      </w:r>
      <w:r w:rsidR="00E15E1B">
        <w:t>equal regardless of the outage duration or customer type.</w:t>
      </w:r>
      <w:r w:rsidR="004E55F7">
        <w:rPr>
          <w:rStyle w:val="FootnoteReference"/>
        </w:rPr>
        <w:footnoteReference w:id="52"/>
      </w:r>
      <w:r w:rsidR="00E15E1B">
        <w:t xml:space="preserve"> </w:t>
      </w:r>
      <w:r>
        <w:t xml:space="preserve"> </w:t>
      </w:r>
    </w:p>
    <w:p w:rsidR="00C81593" w:rsidP="00C81593" w:rsidRDefault="00C81593" w14:paraId="44443F65" w14:textId="36E3E1A0">
      <w:pPr>
        <w:pStyle w:val="Standard"/>
      </w:pPr>
      <w:r w:rsidRPr="00A748D0">
        <w:t xml:space="preserve">Staff </w:t>
      </w:r>
      <w:r w:rsidRPr="00A748D0" w:rsidR="007E5C2E">
        <w:t>suggest</w:t>
      </w:r>
      <w:r w:rsidRPr="00A748D0">
        <w:t xml:space="preserve"> that </w:t>
      </w:r>
      <w:r w:rsidR="002A2EE8">
        <w:t xml:space="preserve">the Commission could consider </w:t>
      </w:r>
      <w:r w:rsidRPr="00A748D0" w:rsidR="006F41F5">
        <w:t xml:space="preserve">future </w:t>
      </w:r>
      <w:r w:rsidRPr="00A748D0">
        <w:t xml:space="preserve">improvements to the valuation </w:t>
      </w:r>
      <w:r w:rsidR="00202939">
        <w:t>of electric reliability risks</w:t>
      </w:r>
      <w:r w:rsidRPr="00A748D0">
        <w:t xml:space="preserve">, </w:t>
      </w:r>
      <w:r w:rsidRPr="00A748D0" w:rsidR="00A95571">
        <w:t xml:space="preserve">including </w:t>
      </w:r>
      <w:r w:rsidRPr="00A748D0" w:rsidR="00044119">
        <w:t>the availability of the</w:t>
      </w:r>
      <w:r w:rsidRPr="00A748D0" w:rsidR="00A95571">
        <w:t xml:space="preserve"> </w:t>
      </w:r>
      <w:r w:rsidRPr="00A748D0">
        <w:t>ICE</w:t>
      </w:r>
      <w:r w:rsidR="00D92714">
        <w:t> </w:t>
      </w:r>
      <w:r w:rsidRPr="00A748D0">
        <w:t xml:space="preserve">2.0 </w:t>
      </w:r>
      <w:r w:rsidRPr="00A748D0" w:rsidR="008C5F85">
        <w:t>C</w:t>
      </w:r>
      <w:r w:rsidRPr="00A748D0">
        <w:t>alculator,</w:t>
      </w:r>
      <w:r w:rsidRPr="00A748D0" w:rsidDel="002A2EE8">
        <w:t xml:space="preserve"> </w:t>
      </w:r>
      <w:r w:rsidRPr="00A748D0">
        <w:t xml:space="preserve">in </w:t>
      </w:r>
      <w:r w:rsidRPr="00A748D0" w:rsidR="006F41F5">
        <w:t>later</w:t>
      </w:r>
      <w:r w:rsidRPr="00A748D0">
        <w:t xml:space="preserve"> phases of this rulemaking</w:t>
      </w:r>
      <w:r w:rsidRPr="00A748D0" w:rsidR="00A95571">
        <w:t>.</w:t>
      </w:r>
      <w:r w:rsidR="005C038E">
        <w:rPr>
          <w:rStyle w:val="FootnoteReference"/>
        </w:rPr>
        <w:footnoteReference w:id="53"/>
      </w:r>
      <w:r w:rsidRPr="00A748D0" w:rsidR="00A95571">
        <w:t xml:space="preserve">  In the meantime, Staff</w:t>
      </w:r>
      <w:r w:rsidRPr="00A748D0" w:rsidR="004F547E">
        <w:t xml:space="preserve"> recommend </w:t>
      </w:r>
      <w:r w:rsidRPr="00A748D0" w:rsidR="0036757D">
        <w:t xml:space="preserve">the </w:t>
      </w:r>
      <w:r w:rsidR="002A2EE8">
        <w:t xml:space="preserve">Commission direct the </w:t>
      </w:r>
      <w:r w:rsidRPr="00A748D0" w:rsidR="0036757D">
        <w:t xml:space="preserve">IOUs to participate in the </w:t>
      </w:r>
      <w:r w:rsidRPr="00A748D0" w:rsidR="008C5F85">
        <w:t>development of the</w:t>
      </w:r>
      <w:r w:rsidRPr="00A748D0" w:rsidR="003169BE">
        <w:t xml:space="preserve"> </w:t>
      </w:r>
      <w:r w:rsidRPr="00A748D0" w:rsidR="0036757D">
        <w:t>ICE</w:t>
      </w:r>
      <w:r w:rsidR="007B6F9C">
        <w:t> </w:t>
      </w:r>
      <w:r w:rsidRPr="00A748D0">
        <w:t>2.0</w:t>
      </w:r>
      <w:r w:rsidR="007B6F9C">
        <w:t> </w:t>
      </w:r>
      <w:r w:rsidRPr="00A748D0" w:rsidR="008C5F85">
        <w:t xml:space="preserve">Calculator </w:t>
      </w:r>
      <w:r w:rsidRPr="00A748D0" w:rsidR="00672A32">
        <w:t xml:space="preserve">to make the </w:t>
      </w:r>
      <w:r w:rsidRPr="00A748D0" w:rsidR="000F0B44">
        <w:t>c</w:t>
      </w:r>
      <w:r w:rsidRPr="00A748D0" w:rsidR="00672A32">
        <w:t xml:space="preserve">alculator more </w:t>
      </w:r>
      <w:r w:rsidRPr="00D240CA" w:rsidR="00672A32">
        <w:t>applicable</w:t>
      </w:r>
      <w:r w:rsidRPr="00D240CA" w:rsidR="000F0B44">
        <w:t>.</w:t>
      </w:r>
      <w:r w:rsidRPr="00D240CA" w:rsidR="006B6EE7">
        <w:t xml:space="preserve"> </w:t>
      </w:r>
      <w:r w:rsidRPr="00D240CA" w:rsidR="00A748D0">
        <w:t xml:space="preserve"> </w:t>
      </w:r>
      <w:r w:rsidR="008118FE">
        <w:t>T</w:t>
      </w:r>
      <w:r w:rsidRPr="00B46C31" w:rsidR="00734A4D">
        <w:t xml:space="preserve">he cost of participating in development of the ICE 2.0 Calculator </w:t>
      </w:r>
      <w:r w:rsidR="00340C7C">
        <w:t xml:space="preserve">is </w:t>
      </w:r>
      <w:r w:rsidRPr="00B46C31" w:rsidR="00734A4D">
        <w:t>$600,000.</w:t>
      </w:r>
      <w:r w:rsidRPr="00B46C31" w:rsidR="00734A4D">
        <w:rPr>
          <w:rStyle w:val="FootnoteReference"/>
        </w:rPr>
        <w:footnoteReference w:id="54"/>
      </w:r>
      <w:r w:rsidRPr="00D240CA" w:rsidR="006B6EE7">
        <w:t xml:space="preserve"> </w:t>
      </w:r>
      <w:r w:rsidRPr="00D240CA" w:rsidR="00A748D0">
        <w:t xml:space="preserve"> </w:t>
      </w:r>
      <w:r w:rsidRPr="00D240CA">
        <w:t xml:space="preserve">Staff also note that LBNL is </w:t>
      </w:r>
      <w:r w:rsidRPr="00D240CA" w:rsidR="00A748D0">
        <w:t xml:space="preserve">currently </w:t>
      </w:r>
      <w:r w:rsidRPr="00D240CA">
        <w:t>studying the impacts of more prolonged outages in its Power Outage Economic Tool (POET) project with Commonwealth Edison Company in Illinois</w:t>
      </w:r>
      <w:r w:rsidR="009C0BDE">
        <w:t xml:space="preserve"> </w:t>
      </w:r>
      <w:r w:rsidRPr="00D240CA" w:rsidR="00D240CA">
        <w:t>and that t</w:t>
      </w:r>
      <w:r w:rsidRPr="00D240CA">
        <w:t>his project could be the basis for a future study t</w:t>
      </w:r>
      <w:r w:rsidR="008E37BF">
        <w:t>hat could</w:t>
      </w:r>
      <w:r w:rsidRPr="00D240CA">
        <w:t xml:space="preserve"> include California utilities</w:t>
      </w:r>
      <w:r w:rsidR="008E37BF">
        <w:t xml:space="preserve"> and study </w:t>
      </w:r>
      <w:r w:rsidR="006171DE">
        <w:t>the effects of longer duration and consecutive outages such as experienced in some PSPS events, amongst other issues</w:t>
      </w:r>
      <w:r w:rsidRPr="00D240CA">
        <w:t>.</w:t>
      </w:r>
      <w:r w:rsidR="003D2927">
        <w:rPr>
          <w:rStyle w:val="FootnoteReference"/>
        </w:rPr>
        <w:footnoteReference w:id="55"/>
      </w:r>
      <w:r w:rsidR="000946A7">
        <w:t xml:space="preserve">  </w:t>
      </w:r>
    </w:p>
    <w:p w:rsidR="00D63A51" w:rsidP="00020BEF" w:rsidRDefault="00D63A51" w14:paraId="201ED14D" w14:textId="3C8F6826">
      <w:pPr>
        <w:pStyle w:val="Heading4"/>
        <w:numPr>
          <w:ilvl w:val="3"/>
          <w:numId w:val="1"/>
        </w:numPr>
      </w:pPr>
      <w:bookmarkStart w:name="_Toc121821041" w:id="28"/>
      <w:r>
        <w:t xml:space="preserve">Dollar Valuation of </w:t>
      </w:r>
      <w:r w:rsidR="0052106A">
        <w:t>Gas</w:t>
      </w:r>
      <w:r w:rsidR="00A1255B">
        <w:br/>
      </w:r>
      <w:r>
        <w:t>Reliability Consequences</w:t>
      </w:r>
      <w:bookmarkEnd w:id="28"/>
    </w:p>
    <w:p w:rsidR="0009401F" w:rsidP="0009401F" w:rsidRDefault="0009401F" w14:paraId="6C599527" w14:textId="65E008E4">
      <w:pPr>
        <w:pStyle w:val="Standard"/>
      </w:pPr>
      <w:r>
        <w:t xml:space="preserve">Staff </w:t>
      </w:r>
      <w:r w:rsidR="00C91EC8">
        <w:t>state</w:t>
      </w:r>
      <w:r w:rsidR="008E0FA2">
        <w:t xml:space="preserve"> that they</w:t>
      </w:r>
      <w:r>
        <w:t xml:space="preserve"> </w:t>
      </w:r>
      <w:r w:rsidR="00587F07">
        <w:t xml:space="preserve">have been unable to find a suitable </w:t>
      </w:r>
      <w:r w:rsidR="00B65B49">
        <w:t xml:space="preserve">and currently available </w:t>
      </w:r>
      <w:r w:rsidR="00587F07">
        <w:t>standard</w:t>
      </w:r>
      <w:r w:rsidR="0048319A">
        <w:t xml:space="preserve"> </w:t>
      </w:r>
      <w:r w:rsidR="00587F07">
        <w:t xml:space="preserve">that </w:t>
      </w:r>
      <w:r w:rsidR="00B65B49">
        <w:t xml:space="preserve">the </w:t>
      </w:r>
      <w:r w:rsidR="003D59BD">
        <w:t xml:space="preserve">IOUs </w:t>
      </w:r>
      <w:r w:rsidR="00B65B49">
        <w:t xml:space="preserve">could use </w:t>
      </w:r>
      <w:r w:rsidR="003D59BD">
        <w:t xml:space="preserve">to </w:t>
      </w:r>
      <w:r w:rsidR="00B65B49">
        <w:t xml:space="preserve">identify a </w:t>
      </w:r>
      <w:r w:rsidR="002C3DB9">
        <w:t>dollar valu</w:t>
      </w:r>
      <w:r w:rsidR="00B65B49">
        <w:t>e for</w:t>
      </w:r>
      <w:r w:rsidR="002C3DB9">
        <w:t xml:space="preserve"> </w:t>
      </w:r>
      <w:r w:rsidR="00587F07">
        <w:t xml:space="preserve">gas reliability.  Until such a standard is developed, Staff recommend the IOUs </w:t>
      </w:r>
      <w:r w:rsidR="00500807">
        <w:t xml:space="preserve">apply </w:t>
      </w:r>
      <w:r w:rsidR="001E0691">
        <w:t xml:space="preserve">a dollar value </w:t>
      </w:r>
      <w:r w:rsidR="00B65B49">
        <w:t xml:space="preserve">for gas reliability </w:t>
      </w:r>
      <w:r w:rsidR="00335C40">
        <w:t xml:space="preserve">using the Cost-Benefit Approach </w:t>
      </w:r>
      <w:r w:rsidR="00253488">
        <w:t xml:space="preserve">based on the implied value </w:t>
      </w:r>
      <w:r w:rsidR="00500807">
        <w:t>from</w:t>
      </w:r>
      <w:r w:rsidR="002C3DB9">
        <w:t xml:space="preserve"> </w:t>
      </w:r>
      <w:r w:rsidR="00B65B49">
        <w:t>each utility’s</w:t>
      </w:r>
      <w:r w:rsidRPr="00500807" w:rsidR="00500807">
        <w:t xml:space="preserve"> most recent RAMP filing</w:t>
      </w:r>
      <w:r w:rsidR="004312AE">
        <w:t xml:space="preserve">.  The implied gas reliability </w:t>
      </w:r>
      <w:r w:rsidR="001D7295">
        <w:t xml:space="preserve">dollar value in each utility’s most recent RAMP filing was </w:t>
      </w:r>
      <w:r w:rsidRPr="00500807" w:rsidR="00500807">
        <w:t xml:space="preserve">produced </w:t>
      </w:r>
      <w:r w:rsidR="004312AE">
        <w:t>using a</w:t>
      </w:r>
      <w:r w:rsidR="002355FB">
        <w:t>n</w:t>
      </w:r>
      <w:r w:rsidR="004312AE">
        <w:t xml:space="preserve"> </w:t>
      </w:r>
      <w:r w:rsidRPr="00500807" w:rsidR="00500807">
        <w:t xml:space="preserve">MAVF </w:t>
      </w:r>
      <w:r w:rsidRPr="00500807" w:rsidR="00160C64">
        <w:t>Risk Score</w:t>
      </w:r>
      <w:r w:rsidRPr="00500807" w:rsidR="00500807">
        <w:t xml:space="preserve"> calculation</w:t>
      </w:r>
      <w:r w:rsidR="00730460">
        <w:t xml:space="preserve">. </w:t>
      </w:r>
      <w:r w:rsidR="00D92714">
        <w:t xml:space="preserve"> </w:t>
      </w:r>
      <w:r w:rsidR="00730460">
        <w:t>T</w:t>
      </w:r>
      <w:r w:rsidR="001D7295">
        <w:t xml:space="preserve">he most recent RAMP filing for each IOU is </w:t>
      </w:r>
      <w:r w:rsidR="00CE6566">
        <w:t>the 2020 RAMP filing for PG&amp;E, the 2021 RAMP filing for the Sempra Companies, and the 2022 RAMP filing for SCE</w:t>
      </w:r>
      <w:r w:rsidRPr="00500807" w:rsidR="00500807">
        <w:t>.</w:t>
      </w:r>
      <w:r w:rsidRPr="00253488" w:rsidR="00253488">
        <w:t xml:space="preserve"> </w:t>
      </w:r>
      <w:r w:rsidR="00253488">
        <w:t xml:space="preserve"> </w:t>
      </w:r>
      <w:r w:rsidR="00553E73">
        <w:t>I</w:t>
      </w:r>
      <w:r w:rsidRPr="00253488" w:rsidR="00253488">
        <w:t xml:space="preserve">f </w:t>
      </w:r>
      <w:r w:rsidR="00253488">
        <w:t>a</w:t>
      </w:r>
      <w:r w:rsidR="00335C40">
        <w:t xml:space="preserve"> utility</w:t>
      </w:r>
      <w:r w:rsidRPr="00253488" w:rsidR="00253488">
        <w:t xml:space="preserve"> can provide a</w:t>
      </w:r>
      <w:r w:rsidR="00553E73">
        <w:t>n alternative</w:t>
      </w:r>
      <w:r w:rsidRPr="00253488" w:rsidR="00253488">
        <w:t xml:space="preserve"> </w:t>
      </w:r>
      <w:r w:rsidR="00335C40">
        <w:t xml:space="preserve">gas reliability </w:t>
      </w:r>
      <w:r w:rsidRPr="00253488" w:rsidR="00253488">
        <w:t xml:space="preserve">value based on research, </w:t>
      </w:r>
      <w:r w:rsidR="00253488">
        <w:t xml:space="preserve">Staff recommend </w:t>
      </w:r>
      <w:r w:rsidR="00335C40">
        <w:t xml:space="preserve">the Commission allow the IOU to use this value, if it </w:t>
      </w:r>
      <w:r w:rsidR="00CC6E27">
        <w:t xml:space="preserve">includes </w:t>
      </w:r>
      <w:r w:rsidR="00ED3B3A">
        <w:t xml:space="preserve">this </w:t>
      </w:r>
      <w:r w:rsidR="00CC6E27">
        <w:t xml:space="preserve">research to support the alternative </w:t>
      </w:r>
      <w:r w:rsidR="00D0755F">
        <w:t>value</w:t>
      </w:r>
      <w:r w:rsidR="00CC6E27">
        <w:t xml:space="preserve"> </w:t>
      </w:r>
      <w:r w:rsidR="00B46993">
        <w:t>in</w:t>
      </w:r>
      <w:r w:rsidR="00CC6E27">
        <w:t xml:space="preserve"> </w:t>
      </w:r>
      <w:r w:rsidR="00335C40">
        <w:t xml:space="preserve">its </w:t>
      </w:r>
      <w:r w:rsidR="00CC6E27">
        <w:t>RAMP filing.</w:t>
      </w:r>
      <w:r w:rsidR="00F460DA">
        <w:rPr>
          <w:rStyle w:val="FootnoteReference"/>
        </w:rPr>
        <w:footnoteReference w:id="56"/>
      </w:r>
      <w:r w:rsidR="00CC6E27">
        <w:t xml:space="preserve"> </w:t>
      </w:r>
    </w:p>
    <w:p w:rsidRPr="00747C06" w:rsidR="009E0E68" w:rsidP="00E76994" w:rsidRDefault="009E0E68" w14:paraId="77869DA1" w14:textId="5CA344C6">
      <w:pPr>
        <w:pStyle w:val="Heading3"/>
        <w:numPr>
          <w:ilvl w:val="2"/>
          <w:numId w:val="1"/>
        </w:numPr>
      </w:pPr>
      <w:bookmarkStart w:name="_Toc121821042" w:id="29"/>
      <w:r w:rsidRPr="00CA2B5E">
        <w:t xml:space="preserve">Party </w:t>
      </w:r>
      <w:r w:rsidRPr="00747C06">
        <w:t>Comments</w:t>
      </w:r>
      <w:bookmarkEnd w:id="29"/>
    </w:p>
    <w:p w:rsidR="00AC495D" w:rsidP="00AC495D" w:rsidRDefault="00705191" w14:paraId="579A3681" w14:textId="00C953C5">
      <w:pPr>
        <w:pStyle w:val="Standard"/>
      </w:pPr>
      <w:r>
        <w:t xml:space="preserve">Regarding </w:t>
      </w:r>
      <w:r w:rsidR="00195B5E">
        <w:t xml:space="preserve">the </w:t>
      </w:r>
      <w:r w:rsidR="00390248">
        <w:t xml:space="preserve">dollar valuation </w:t>
      </w:r>
      <w:r w:rsidR="00195B5E">
        <w:t xml:space="preserve">of </w:t>
      </w:r>
      <w:r w:rsidR="00CB610C">
        <w:t xml:space="preserve">Safety </w:t>
      </w:r>
      <w:r w:rsidR="0096191D">
        <w:t>C</w:t>
      </w:r>
      <w:r w:rsidR="00CB610C">
        <w:t xml:space="preserve">onsequences, </w:t>
      </w:r>
      <w:r w:rsidR="00C41411">
        <w:t>MGRA, TURN, and PG&amp;E</w:t>
      </w:r>
      <w:r w:rsidR="00CB610C">
        <w:t xml:space="preserve"> </w:t>
      </w:r>
      <w:r w:rsidR="000A3C33">
        <w:t>support</w:t>
      </w:r>
      <w:r w:rsidR="00B42B29">
        <w:t xml:space="preserve"> </w:t>
      </w:r>
      <w:r w:rsidR="00F03125">
        <w:t xml:space="preserve">the Staff </w:t>
      </w:r>
      <w:r w:rsidR="00B42B29">
        <w:t xml:space="preserve">Proposal.  </w:t>
      </w:r>
      <w:r w:rsidR="00AC495D">
        <w:t>PCF also supports Staff’s proposal to utilize DOT VSL as guidance</w:t>
      </w:r>
      <w:r w:rsidR="00F03125">
        <w:t xml:space="preserve">.  </w:t>
      </w:r>
      <w:r w:rsidR="00195B5E">
        <w:t>H</w:t>
      </w:r>
      <w:r w:rsidR="00AC495D">
        <w:t xml:space="preserve">owever, </w:t>
      </w:r>
      <w:r w:rsidRPr="003C60CA" w:rsidR="00AC495D">
        <w:t xml:space="preserve">PCF has concerns </w:t>
      </w:r>
      <w:r w:rsidR="00AC495D">
        <w:t>that</w:t>
      </w:r>
      <w:r w:rsidRPr="003C60CA" w:rsidR="00AC495D">
        <w:t xml:space="preserve"> allowing </w:t>
      </w:r>
      <w:r w:rsidR="00AC495D">
        <w:t xml:space="preserve">the </w:t>
      </w:r>
      <w:r w:rsidRPr="003C60CA" w:rsidR="00AC495D">
        <w:t xml:space="preserve">IOUs to use a range of VSL values </w:t>
      </w:r>
      <w:r w:rsidR="00AC495D">
        <w:t xml:space="preserve">opens the door to </w:t>
      </w:r>
      <w:r w:rsidRPr="003C60CA" w:rsidR="00AC495D">
        <w:t>manipulat</w:t>
      </w:r>
      <w:r w:rsidR="00AC495D">
        <w:t>ion of</w:t>
      </w:r>
      <w:r w:rsidRPr="003C60CA" w:rsidR="00AC495D">
        <w:t xml:space="preserve"> </w:t>
      </w:r>
      <w:r w:rsidR="00AC495D">
        <w:t>those</w:t>
      </w:r>
      <w:r w:rsidRPr="003C60CA" w:rsidR="00AC495D">
        <w:t xml:space="preserve"> values, which renders the </w:t>
      </w:r>
      <w:r w:rsidR="00AC495D">
        <w:t xml:space="preserve">RDF </w:t>
      </w:r>
      <w:r w:rsidRPr="003C60CA" w:rsidR="00AC495D">
        <w:t>process and results less transparent and potentially less accurate.</w:t>
      </w:r>
      <w:r w:rsidR="00AC495D">
        <w:rPr>
          <w:rStyle w:val="FootnoteReference"/>
        </w:rPr>
        <w:footnoteReference w:id="57"/>
      </w:r>
      <w:r w:rsidR="00AC495D">
        <w:t xml:space="preserve">  </w:t>
      </w:r>
    </w:p>
    <w:p w:rsidR="00103D0F" w:rsidP="009E0E68" w:rsidRDefault="00B42B29" w14:paraId="4AD7C66D" w14:textId="6B7674B1">
      <w:pPr>
        <w:pStyle w:val="Standard"/>
      </w:pPr>
      <w:r>
        <w:t>T</w:t>
      </w:r>
      <w:r w:rsidR="00EA6B57">
        <w:t xml:space="preserve">he Sempra Companies </w:t>
      </w:r>
      <w:r w:rsidR="00DF5C72">
        <w:t xml:space="preserve">comment that </w:t>
      </w:r>
      <w:r w:rsidR="00024E41">
        <w:t>they do not</w:t>
      </w:r>
      <w:r w:rsidR="00CC4DCD">
        <w:t xml:space="preserve"> </w:t>
      </w:r>
      <w:r w:rsidR="00024E41">
        <w:t>oppose a Commission-specified VSL, as long as utilities are able to incorporate aversion to catastrophic risks</w:t>
      </w:r>
      <w:r w:rsidR="00DA6E89">
        <w:t xml:space="preserve"> using </w:t>
      </w:r>
      <w:r w:rsidR="00F51222">
        <w:t>Risk Attitude Functions</w:t>
      </w:r>
      <w:r w:rsidR="00DA6E89">
        <w:t xml:space="preserve"> and </w:t>
      </w:r>
      <w:r w:rsidR="00DC2B13">
        <w:t>tail risk estimation.</w:t>
      </w:r>
      <w:r w:rsidR="00CF067D">
        <w:rPr>
          <w:rStyle w:val="FootnoteReference"/>
        </w:rPr>
        <w:footnoteReference w:id="58"/>
      </w:r>
      <w:r w:rsidR="00DC2B13">
        <w:t xml:space="preserve"> </w:t>
      </w:r>
      <w:r w:rsidR="00AC495D">
        <w:t xml:space="preserve"> </w:t>
      </w:r>
    </w:p>
    <w:p w:rsidR="009E0E68" w:rsidP="009E0E68" w:rsidRDefault="00B523B4" w14:paraId="42411975" w14:textId="1919B634">
      <w:pPr>
        <w:pStyle w:val="Standard"/>
      </w:pPr>
      <w:r>
        <w:t>SCE</w:t>
      </w:r>
      <w:r w:rsidR="00577C86">
        <w:t xml:space="preserve"> opposes </w:t>
      </w:r>
      <w:r w:rsidR="009A09A4">
        <w:t>Staff’s</w:t>
      </w:r>
      <w:r w:rsidR="00577C86">
        <w:t xml:space="preserve"> VSL </w:t>
      </w:r>
      <w:r w:rsidR="003A1A0F">
        <w:t xml:space="preserve">recommendation due to its general </w:t>
      </w:r>
      <w:r w:rsidR="000C6269">
        <w:t xml:space="preserve">opposition to the </w:t>
      </w:r>
      <w:r w:rsidR="002B2FA9">
        <w:t>Cost-Benefit Approach</w:t>
      </w:r>
      <w:r w:rsidR="004D7591">
        <w:t xml:space="preserve">. </w:t>
      </w:r>
      <w:r w:rsidR="00195921">
        <w:t xml:space="preserve"> SCE states that VSL does not directly consider</w:t>
      </w:r>
      <w:r w:rsidR="0004542D">
        <w:t xml:space="preserve"> how </w:t>
      </w:r>
      <w:r w:rsidR="00165672">
        <w:t>SCE</w:t>
      </w:r>
      <w:r w:rsidR="0004542D">
        <w:t xml:space="preserve"> makes business decisions and</w:t>
      </w:r>
      <w:r w:rsidR="00A64117">
        <w:t xml:space="preserve"> </w:t>
      </w:r>
      <w:r w:rsidR="005813AB">
        <w:t xml:space="preserve">that </w:t>
      </w:r>
      <w:r w:rsidR="00A64117">
        <w:t xml:space="preserve">placing a specific value on life </w:t>
      </w:r>
      <w:r w:rsidR="006E24F0">
        <w:t>brings up ethical issues.</w:t>
      </w:r>
      <w:r w:rsidR="00CF7C31">
        <w:t xml:space="preserve"> </w:t>
      </w:r>
    </w:p>
    <w:p w:rsidR="00C844AA" w:rsidP="009E0E68" w:rsidRDefault="00884B9A" w14:paraId="3CD05CF2" w14:textId="651A9D80">
      <w:pPr>
        <w:pStyle w:val="Standard"/>
      </w:pPr>
      <w:r>
        <w:t xml:space="preserve">Regarding the dollar </w:t>
      </w:r>
      <w:r w:rsidR="3944AA55">
        <w:t>valuation</w:t>
      </w:r>
      <w:r>
        <w:t xml:space="preserve"> of </w:t>
      </w:r>
      <w:r w:rsidR="00D76720">
        <w:t xml:space="preserve">electric reliability, </w:t>
      </w:r>
      <w:r w:rsidR="00F12985">
        <w:t xml:space="preserve">PG&amp;E </w:t>
      </w:r>
      <w:r w:rsidR="00D852DC">
        <w:t xml:space="preserve">supports </w:t>
      </w:r>
      <w:r w:rsidR="00CC6AE5">
        <w:t>Staff</w:t>
      </w:r>
      <w:r w:rsidR="00A1584A">
        <w:t xml:space="preserve">’s recommendation that the Commission adopt </w:t>
      </w:r>
      <w:r w:rsidR="009D1B8D">
        <w:t xml:space="preserve">a </w:t>
      </w:r>
      <w:r w:rsidR="00865700">
        <w:t>standard value for electric reliability</w:t>
      </w:r>
      <w:r w:rsidR="00A1584A">
        <w:t xml:space="preserve">.  PG&amp;E also </w:t>
      </w:r>
      <w:r w:rsidR="003829A4">
        <w:t>stresses th</w:t>
      </w:r>
      <w:r w:rsidR="00A1584A">
        <w:t>at</w:t>
      </w:r>
      <w:r w:rsidR="003829A4">
        <w:t xml:space="preserve"> </w:t>
      </w:r>
      <w:r w:rsidR="00820D4D">
        <w:t xml:space="preserve">additional </w:t>
      </w:r>
      <w:r w:rsidR="00626FC1">
        <w:t xml:space="preserve">work </w:t>
      </w:r>
      <w:r w:rsidR="00A23C18">
        <w:t xml:space="preserve">is </w:t>
      </w:r>
      <w:r w:rsidR="003829A4">
        <w:t xml:space="preserve">needed to </w:t>
      </w:r>
      <w:r w:rsidR="00626FC1">
        <w:t>imple</w:t>
      </w:r>
      <w:r w:rsidR="00820D4D">
        <w:t xml:space="preserve">ment </w:t>
      </w:r>
      <w:r w:rsidR="008F5474">
        <w:t>Staff</w:t>
      </w:r>
      <w:r w:rsidR="00820D4D">
        <w:t>’s</w:t>
      </w:r>
      <w:r w:rsidR="008F5474">
        <w:t xml:space="preserve"> </w:t>
      </w:r>
      <w:r w:rsidR="00A1584A">
        <w:t xml:space="preserve">recommendation, </w:t>
      </w:r>
      <w:r w:rsidR="00C844AA">
        <w:t xml:space="preserve">including </w:t>
      </w:r>
      <w:r w:rsidR="00D20A86">
        <w:t>maintaining consistency across proceedings</w:t>
      </w:r>
      <w:r w:rsidR="00B72B45">
        <w:t xml:space="preserve"> and</w:t>
      </w:r>
      <w:r w:rsidR="00D20A86">
        <w:t xml:space="preserve"> </w:t>
      </w:r>
      <w:r w:rsidR="009B619F">
        <w:t>addressing</w:t>
      </w:r>
      <w:r w:rsidR="00C844AA">
        <w:t xml:space="preserve"> </w:t>
      </w:r>
      <w:r w:rsidR="00CE3C35">
        <w:t xml:space="preserve">changes that may occur </w:t>
      </w:r>
      <w:r w:rsidR="005F7DDB">
        <w:t xml:space="preserve">from </w:t>
      </w:r>
      <w:r w:rsidR="00CF331F">
        <w:t>the use of the</w:t>
      </w:r>
      <w:r w:rsidR="002401BB">
        <w:t xml:space="preserve"> </w:t>
      </w:r>
      <w:r w:rsidR="004873D8">
        <w:t>ICE Calculator</w:t>
      </w:r>
      <w:r w:rsidR="00463A0A">
        <w:t>.</w:t>
      </w:r>
      <w:r w:rsidR="00771B22">
        <w:t xml:space="preserve"> </w:t>
      </w:r>
      <w:r w:rsidR="00FD0FFB">
        <w:t xml:space="preserve"> </w:t>
      </w:r>
      <w:r w:rsidR="00771B22">
        <w:t xml:space="preserve">PG&amp;E requests the Commission establish appropriate </w:t>
      </w:r>
      <w:r w:rsidR="00820D4D">
        <w:t>b</w:t>
      </w:r>
      <w:r w:rsidR="00771B22">
        <w:t xml:space="preserve">alancing </w:t>
      </w:r>
      <w:r w:rsidR="00820D4D">
        <w:t>a</w:t>
      </w:r>
      <w:r w:rsidR="00771B22">
        <w:t>ccount treatment for the funds necessary to participate</w:t>
      </w:r>
      <w:r w:rsidR="00FB7A7A">
        <w:t xml:space="preserve"> in ICE 2.0 and </w:t>
      </w:r>
      <w:r w:rsidR="00D2798E">
        <w:t xml:space="preserve">the </w:t>
      </w:r>
      <w:r w:rsidR="00C844AA">
        <w:t xml:space="preserve">potential </w:t>
      </w:r>
      <w:r w:rsidR="00D2798E">
        <w:t xml:space="preserve">development of </w:t>
      </w:r>
      <w:r w:rsidR="0011010C">
        <w:t xml:space="preserve">the POET </w:t>
      </w:r>
      <w:r w:rsidR="070956C5">
        <w:t>project</w:t>
      </w:r>
      <w:r w:rsidR="0011010C">
        <w:t xml:space="preserve">. </w:t>
      </w:r>
      <w:r w:rsidR="00626FC1">
        <w:t xml:space="preserve"> </w:t>
      </w:r>
    </w:p>
    <w:p w:rsidR="00884B9A" w:rsidP="009E0E68" w:rsidRDefault="00B707CC" w14:paraId="5EC9B7AC" w14:textId="6C6174CF">
      <w:pPr>
        <w:pStyle w:val="Standard"/>
      </w:pPr>
      <w:r>
        <w:t>TURN</w:t>
      </w:r>
      <w:r w:rsidR="00EC0A67">
        <w:t xml:space="preserve"> supports Staff</w:t>
      </w:r>
      <w:r w:rsidR="00C844AA">
        <w:t xml:space="preserve">’s recommendation </w:t>
      </w:r>
      <w:r w:rsidR="00EC0A67">
        <w:t xml:space="preserve">on </w:t>
      </w:r>
      <w:r w:rsidR="00C844AA">
        <w:t xml:space="preserve">monetizing the value of </w:t>
      </w:r>
      <w:r w:rsidR="006A1B88">
        <w:t>electric reliability</w:t>
      </w:r>
      <w:r w:rsidR="00C844AA">
        <w:t xml:space="preserve"> </w:t>
      </w:r>
      <w:r w:rsidR="00E8302F">
        <w:t>but</w:t>
      </w:r>
      <w:r w:rsidR="00635936">
        <w:t xml:space="preserve"> </w:t>
      </w:r>
      <w:r w:rsidR="009A3280">
        <w:t xml:space="preserve">recommends </w:t>
      </w:r>
      <w:r w:rsidR="006A1B88">
        <w:t xml:space="preserve">that </w:t>
      </w:r>
      <w:r w:rsidR="009C0971">
        <w:t>if</w:t>
      </w:r>
      <w:r w:rsidR="006A1B88">
        <w:t xml:space="preserve"> a </w:t>
      </w:r>
      <w:r w:rsidR="006F6227">
        <w:t xml:space="preserve">utility </w:t>
      </w:r>
      <w:r w:rsidR="009C0971">
        <w:t xml:space="preserve">relies </w:t>
      </w:r>
      <w:r w:rsidR="006F6227">
        <w:t>on its own model</w:t>
      </w:r>
      <w:r w:rsidR="003B73BF">
        <w:t>,</w:t>
      </w:r>
      <w:r w:rsidR="006F6227">
        <w:t xml:space="preserve"> </w:t>
      </w:r>
      <w:r w:rsidR="00C844AA">
        <w:t xml:space="preserve">the Commission should also require the utility to provide </w:t>
      </w:r>
      <w:r w:rsidR="006F6227">
        <w:t>an analysis compar</w:t>
      </w:r>
      <w:r w:rsidR="00C844AA">
        <w:t>ing</w:t>
      </w:r>
      <w:r w:rsidR="006F6227">
        <w:t xml:space="preserve"> the results of its “equivalent or better” cost model </w:t>
      </w:r>
      <w:r w:rsidR="003A5A19">
        <w:t xml:space="preserve">to </w:t>
      </w:r>
      <w:r w:rsidR="006F6227">
        <w:t xml:space="preserve">the ICE </w:t>
      </w:r>
      <w:r w:rsidR="00C844AA">
        <w:t xml:space="preserve">Calculator </w:t>
      </w:r>
      <w:r w:rsidR="006F6227">
        <w:t>approach</w:t>
      </w:r>
      <w:r w:rsidR="006F1ED8">
        <w:t>.</w:t>
      </w:r>
      <w:r w:rsidR="00A334DF">
        <w:t xml:space="preserve"> </w:t>
      </w:r>
      <w:r w:rsidR="006F1ED8">
        <w:t xml:space="preserve"> </w:t>
      </w:r>
      <w:r w:rsidR="00760292">
        <w:t>MGRA</w:t>
      </w:r>
      <w:r w:rsidR="00C844AA">
        <w:t xml:space="preserve"> </w:t>
      </w:r>
      <w:r w:rsidR="00267C68">
        <w:t xml:space="preserve">stresses the Commission should ensure that </w:t>
      </w:r>
      <w:r w:rsidR="00E07C60">
        <w:t xml:space="preserve">PSPS is properly characterized and quantified in </w:t>
      </w:r>
      <w:r w:rsidR="00EB5B7C">
        <w:t xml:space="preserve">terms of both </w:t>
      </w:r>
      <w:r w:rsidR="006570BA">
        <w:t>R</w:t>
      </w:r>
      <w:r w:rsidR="00EB5B7C">
        <w:t xml:space="preserve">isk and </w:t>
      </w:r>
      <w:r w:rsidR="006570BA">
        <w:t>B</w:t>
      </w:r>
      <w:r w:rsidR="00EB5B7C">
        <w:t>enefits in a future phase of the proceeding.</w:t>
      </w:r>
      <w:r w:rsidR="00FB48BD">
        <w:t xml:space="preserve"> </w:t>
      </w:r>
      <w:r w:rsidR="00B72E0D">
        <w:t xml:space="preserve"> </w:t>
      </w:r>
      <w:r w:rsidR="00FB48BD">
        <w:t xml:space="preserve">SCE </w:t>
      </w:r>
      <w:r w:rsidR="00313C4B">
        <w:t>generally does not</w:t>
      </w:r>
      <w:r w:rsidRPr="00313C4B" w:rsidR="00313C4B">
        <w:t xml:space="preserve"> support using the ICE Calculator</w:t>
      </w:r>
      <w:r w:rsidR="009D6215">
        <w:t xml:space="preserve"> </w:t>
      </w:r>
      <w:r w:rsidR="00021903">
        <w:t xml:space="preserve">due to its general opposition to the Cost-Benefit Approach.  </w:t>
      </w:r>
    </w:p>
    <w:p w:rsidR="00635AEE" w:rsidP="009E0E68" w:rsidRDefault="00435078" w14:paraId="4F70769A" w14:textId="0CB83EDE">
      <w:pPr>
        <w:pStyle w:val="Standard"/>
      </w:pPr>
      <w:r>
        <w:t xml:space="preserve">Regarding the dollar </w:t>
      </w:r>
      <w:r w:rsidR="212C326F">
        <w:t>valuation</w:t>
      </w:r>
      <w:r>
        <w:t xml:space="preserve"> of gas reliability</w:t>
      </w:r>
      <w:r w:rsidR="00911FF5">
        <w:t xml:space="preserve">, PG&amp;E and TURN support </w:t>
      </w:r>
      <w:r w:rsidR="00A0383C">
        <w:t>Staff</w:t>
      </w:r>
      <w:r w:rsidR="00816925">
        <w:t>’s</w:t>
      </w:r>
      <w:r w:rsidR="00A0383C">
        <w:t xml:space="preserve"> </w:t>
      </w:r>
      <w:r w:rsidR="00816925">
        <w:t>recommendation</w:t>
      </w:r>
      <w:r w:rsidR="00A0383C">
        <w:t xml:space="preserve">. </w:t>
      </w:r>
      <w:r w:rsidR="00187876">
        <w:t xml:space="preserve"> </w:t>
      </w:r>
      <w:r w:rsidR="00A0383C">
        <w:t xml:space="preserve">PG&amp;E </w:t>
      </w:r>
      <w:r w:rsidR="00963C3C">
        <w:t xml:space="preserve">points out that </w:t>
      </w:r>
      <w:r w:rsidR="00FB32AF">
        <w:t xml:space="preserve">additional work needs to take place to implement </w:t>
      </w:r>
      <w:r w:rsidR="00054D86">
        <w:t xml:space="preserve">Staff guidance, including </w:t>
      </w:r>
      <w:r w:rsidR="0017074B">
        <w:t xml:space="preserve">calibration of </w:t>
      </w:r>
      <w:r w:rsidR="00B913FF">
        <w:t>g</w:t>
      </w:r>
      <w:r w:rsidR="0017074B">
        <w:t xml:space="preserve">as </w:t>
      </w:r>
      <w:r w:rsidR="00B913FF">
        <w:t>r</w:t>
      </w:r>
      <w:r w:rsidR="0017074B">
        <w:t xml:space="preserve">eliability valuations </w:t>
      </w:r>
      <w:r w:rsidR="009D01F3">
        <w:t>tested for reasonable results across a wide range of scenarios.</w:t>
      </w:r>
      <w:r w:rsidR="00462F4D">
        <w:t xml:space="preserve"> </w:t>
      </w:r>
      <w:r w:rsidR="00B03721">
        <w:t xml:space="preserve"> </w:t>
      </w:r>
      <w:r w:rsidR="00635AEE">
        <w:t xml:space="preserve">In comments on the proposed decision, PG&amp;E requests IOUs be afforded the flexibility to use </w:t>
      </w:r>
      <w:r w:rsidR="007244AE">
        <w:t xml:space="preserve">an alternative value </w:t>
      </w:r>
      <w:r w:rsidR="00B708C6">
        <w:t xml:space="preserve">for gas reliability </w:t>
      </w:r>
      <w:r w:rsidR="00AA253A">
        <w:t xml:space="preserve">based on research </w:t>
      </w:r>
      <w:r w:rsidR="00BF0946">
        <w:t xml:space="preserve">if </w:t>
      </w:r>
      <w:r w:rsidR="00AA253A">
        <w:t xml:space="preserve">justified </w:t>
      </w:r>
      <w:r w:rsidR="00BF0946">
        <w:t>by comparing</w:t>
      </w:r>
      <w:r w:rsidR="00AA253A">
        <w:t xml:space="preserve"> the results of its preferred</w:t>
      </w:r>
      <w:r w:rsidR="00B708C6">
        <w:t xml:space="preserve"> model to the results using the gas </w:t>
      </w:r>
      <w:r w:rsidR="001056D6">
        <w:t xml:space="preserve">reliability </w:t>
      </w:r>
      <w:r w:rsidR="00B708C6">
        <w:t>implied value</w:t>
      </w:r>
      <w:r w:rsidR="0012088F">
        <w:t xml:space="preserve"> from its most recent RAMP filing</w:t>
      </w:r>
      <w:r w:rsidR="00B708C6">
        <w:t xml:space="preserve">. </w:t>
      </w:r>
    </w:p>
    <w:p w:rsidR="00435078" w:rsidP="009E0E68" w:rsidRDefault="00462F4D" w14:paraId="3248325B" w14:textId="4A654E63">
      <w:pPr>
        <w:pStyle w:val="Standard"/>
      </w:pPr>
      <w:r>
        <w:t>TURN states that further development and research on this issue should be prioritized</w:t>
      </w:r>
      <w:r w:rsidR="00D93F80">
        <w:t xml:space="preserve"> and</w:t>
      </w:r>
      <w:r w:rsidR="004A4771">
        <w:t>,</w:t>
      </w:r>
      <w:r w:rsidR="00D93F80">
        <w:t xml:space="preserve"> at minimum, parties should work to identify a </w:t>
      </w:r>
      <w:r w:rsidR="00CE6744">
        <w:t xml:space="preserve">reasonable range for this value. </w:t>
      </w:r>
      <w:r w:rsidR="00705A69">
        <w:t xml:space="preserve"> PCF opposes </w:t>
      </w:r>
      <w:r w:rsidR="00296EAF">
        <w:t>the Staff recommendation</w:t>
      </w:r>
      <w:r w:rsidDel="00A177A8" w:rsidR="00296EAF">
        <w:t xml:space="preserve"> </w:t>
      </w:r>
      <w:r w:rsidR="00A177A8">
        <w:t xml:space="preserve">on the basis </w:t>
      </w:r>
      <w:r w:rsidR="00770B65">
        <w:t xml:space="preserve">of alleged deficiencies in </w:t>
      </w:r>
      <w:r w:rsidR="00DB6B1C">
        <w:t xml:space="preserve">MAVF </w:t>
      </w:r>
      <w:r w:rsidR="0018043C">
        <w:t>Risk Score</w:t>
      </w:r>
      <w:r w:rsidR="008A2C14">
        <w:t xml:space="preserve"> calculation</w:t>
      </w:r>
      <w:r w:rsidR="0018043C">
        <w:t>s</w:t>
      </w:r>
      <w:r w:rsidR="00DB6B1C">
        <w:t xml:space="preserve"> </w:t>
      </w:r>
      <w:r w:rsidR="00593EEA">
        <w:t xml:space="preserve">included in Sempra Companies’ </w:t>
      </w:r>
      <w:r w:rsidR="00117616">
        <w:t xml:space="preserve">earlier RAMP filings. </w:t>
      </w:r>
      <w:r w:rsidR="000A4FBF">
        <w:t xml:space="preserve">  </w:t>
      </w:r>
    </w:p>
    <w:p w:rsidRPr="00D11D48" w:rsidR="00F9783B" w:rsidP="009E0E68" w:rsidRDefault="00F9783B" w14:paraId="03CA1DB7" w14:textId="62B0D431">
      <w:pPr>
        <w:pStyle w:val="Standard"/>
      </w:pPr>
      <w:r>
        <w:t xml:space="preserve">In comments on the proposed decision, SCE requests that the Commission authorize IOUs to submit </w:t>
      </w:r>
      <w:r w:rsidR="00E84156">
        <w:t xml:space="preserve">Tier 1 </w:t>
      </w:r>
      <w:r>
        <w:t>advice letters establishing a memorandum account to</w:t>
      </w:r>
      <w:r w:rsidR="00060CEF">
        <w:t xml:space="preserve"> track expenditures of participating in the development of the ICE 2.0 </w:t>
      </w:r>
      <w:r w:rsidR="00EC3D86">
        <w:t>C</w:t>
      </w:r>
      <w:r w:rsidR="00060CEF">
        <w:t xml:space="preserve">alculator. </w:t>
      </w:r>
      <w:r w:rsidR="00543E5B">
        <w:t xml:space="preserve"> SCE observes that costs for participating in ICE 2.0 </w:t>
      </w:r>
      <w:r w:rsidR="00EC3D86">
        <w:t xml:space="preserve">Calculator </w:t>
      </w:r>
      <w:r w:rsidR="00543E5B">
        <w:t xml:space="preserve">development will likely be incurred before SCE files its </w:t>
      </w:r>
      <w:r w:rsidR="00A643AA">
        <w:t>GRC application for Test Year</w:t>
      </w:r>
      <w:r w:rsidR="00D92714">
        <w:t> </w:t>
      </w:r>
      <w:r w:rsidR="00A643AA">
        <w:t xml:space="preserve">2025.  SCE also states that the IOUs may incur </w:t>
      </w:r>
      <w:r w:rsidR="00E32658">
        <w:t xml:space="preserve">incremental costs beyond </w:t>
      </w:r>
      <w:r w:rsidR="00A643AA">
        <w:t>the $600,000 for ICE</w:t>
      </w:r>
      <w:r w:rsidR="00D92714">
        <w:t> </w:t>
      </w:r>
      <w:r w:rsidR="00A643AA">
        <w:t xml:space="preserve">2.0 </w:t>
      </w:r>
      <w:r w:rsidR="00EC3D86">
        <w:t xml:space="preserve">Calculator </w:t>
      </w:r>
      <w:r w:rsidR="00A643AA">
        <w:t>development</w:t>
      </w:r>
      <w:r w:rsidR="00836427">
        <w:t xml:space="preserve">, for instance for analysis related to PSPS events, </w:t>
      </w:r>
      <w:r w:rsidR="007F65D2">
        <w:t>and should be accorded some flexibility</w:t>
      </w:r>
      <w:r w:rsidR="002F77D1">
        <w:t xml:space="preserve"> to recover</w:t>
      </w:r>
      <w:r w:rsidR="00E32658">
        <w:t xml:space="preserve"> these</w:t>
      </w:r>
      <w:r w:rsidR="00955364">
        <w:t xml:space="preserve"> costs</w:t>
      </w:r>
      <w:r w:rsidR="00A643AA">
        <w:t xml:space="preserve">. </w:t>
      </w:r>
    </w:p>
    <w:p w:rsidRPr="00747C06" w:rsidR="009E0E68" w:rsidP="00E76994" w:rsidRDefault="009E0E68" w14:paraId="37805BE0" w14:textId="7B28968D">
      <w:pPr>
        <w:pStyle w:val="Heading3"/>
        <w:numPr>
          <w:ilvl w:val="2"/>
          <w:numId w:val="1"/>
        </w:numPr>
      </w:pPr>
      <w:bookmarkStart w:name="_Toc121821043" w:id="30"/>
      <w:r w:rsidRPr="00747C06">
        <w:t>Discussion</w:t>
      </w:r>
      <w:bookmarkEnd w:id="30"/>
    </w:p>
    <w:p w:rsidR="0066598C" w:rsidP="00850E4C" w:rsidRDefault="00DB0915" w14:paraId="51E55759" w14:textId="57322E38">
      <w:pPr>
        <w:pStyle w:val="Standard"/>
      </w:pPr>
      <w:r w:rsidRPr="000947F6">
        <w:t>We adopt Staff’s recommendation</w:t>
      </w:r>
      <w:r w:rsidRPr="000947F6" w:rsidR="00624AFB">
        <w:t xml:space="preserve"> to</w:t>
      </w:r>
      <w:r w:rsidRPr="000947F6">
        <w:t xml:space="preserve"> </w:t>
      </w:r>
      <w:r w:rsidR="00E8480F">
        <w:t xml:space="preserve">require </w:t>
      </w:r>
      <w:r w:rsidRPr="000947F6" w:rsidR="00E247B0">
        <w:t xml:space="preserve">a </w:t>
      </w:r>
      <w:r w:rsidRPr="000947F6" w:rsidR="00974FC1">
        <w:t>dollar valuation of</w:t>
      </w:r>
      <w:r w:rsidRPr="000947F6" w:rsidR="00571E7E">
        <w:t xml:space="preserve"> the </w:t>
      </w:r>
      <w:r w:rsidRPr="000947F6" w:rsidR="0027191F">
        <w:t xml:space="preserve">Safety Attribute </w:t>
      </w:r>
      <w:r w:rsidRPr="000947F6" w:rsidR="00CF77A2">
        <w:t>in</w:t>
      </w:r>
      <w:r w:rsidRPr="000947F6" w:rsidR="00872C76">
        <w:t xml:space="preserve"> </w:t>
      </w:r>
      <w:r w:rsidR="00816925">
        <w:t>the</w:t>
      </w:r>
      <w:r w:rsidRPr="000947F6" w:rsidR="00872C76">
        <w:t xml:space="preserve"> Cost-Benefit Approach</w:t>
      </w:r>
      <w:r w:rsidRPr="000947F6" w:rsidR="00324C64">
        <w:t xml:space="preserve"> </w:t>
      </w:r>
      <w:r w:rsidR="00E8480F">
        <w:t xml:space="preserve">in the RDF </w:t>
      </w:r>
      <w:r w:rsidRPr="000947F6" w:rsidR="00324C64">
        <w:t>using the DOT VSL</w:t>
      </w:r>
      <w:r w:rsidRPr="000947F6" w:rsidR="00175CB0">
        <w:t xml:space="preserve"> as the standard </w:t>
      </w:r>
      <w:r w:rsidRPr="000947F6" w:rsidR="00A37DA3">
        <w:t>value</w:t>
      </w:r>
      <w:r w:rsidR="00816925">
        <w:t xml:space="preserve">.  </w:t>
      </w:r>
      <w:r w:rsidRPr="00D81BC4" w:rsidR="00650C00">
        <w:t xml:space="preserve">We direct the IOUs to apply the published DOT VSL as the standard value </w:t>
      </w:r>
      <w:r w:rsidR="00E8480F">
        <w:t xml:space="preserve">to </w:t>
      </w:r>
      <w:r w:rsidRPr="00D81BC4" w:rsidR="00650C00">
        <w:t>express the Safety Attribute</w:t>
      </w:r>
      <w:r w:rsidR="00E8480F">
        <w:t>,</w:t>
      </w:r>
      <w:r w:rsidRPr="00E8480F" w:rsidR="00E8480F">
        <w:t xml:space="preserve"> </w:t>
      </w:r>
      <w:r w:rsidRPr="00D81BC4" w:rsidR="00E8480F">
        <w:t>adjusted for the base year of their respective RAMP filing</w:t>
      </w:r>
      <w:r w:rsidR="00E8480F">
        <w:t>s</w:t>
      </w:r>
      <w:r w:rsidRPr="00D81BC4" w:rsidR="00650C00">
        <w:t xml:space="preserve">.  </w:t>
      </w:r>
      <w:r w:rsidR="001D425F">
        <w:t xml:space="preserve">For example, </w:t>
      </w:r>
      <w:r w:rsidR="00D267AB">
        <w:t>in 2021, the published DOT VSL is $11.8</w:t>
      </w:r>
      <w:r w:rsidR="007B6F9C">
        <w:t> </w:t>
      </w:r>
      <w:r w:rsidR="00D267AB">
        <w:t>mi</w:t>
      </w:r>
      <w:r w:rsidR="00E87CE3">
        <w:t>l</w:t>
      </w:r>
      <w:r w:rsidR="00D267AB">
        <w:t>lion.</w:t>
      </w:r>
      <w:r w:rsidR="00E87CE3">
        <w:rPr>
          <w:rStyle w:val="FootnoteReference"/>
        </w:rPr>
        <w:footnoteReference w:id="59"/>
      </w:r>
      <w:r w:rsidR="00D267AB">
        <w:t xml:space="preserve">  </w:t>
      </w:r>
    </w:p>
    <w:p w:rsidR="00F42A93" w:rsidP="00850E4C" w:rsidRDefault="00DB0915" w14:paraId="73A2A863" w14:textId="2B7D1ADC">
      <w:pPr>
        <w:pStyle w:val="Standard"/>
      </w:pPr>
      <w:r w:rsidRPr="000947F6">
        <w:t xml:space="preserve">This </w:t>
      </w:r>
      <w:r w:rsidR="0066598C">
        <w:t>change</w:t>
      </w:r>
      <w:r w:rsidRPr="000947F6">
        <w:t xml:space="preserve"> </w:t>
      </w:r>
      <w:r w:rsidR="00E8480F">
        <w:t xml:space="preserve">will result in a number of improvements.  First, the change </w:t>
      </w:r>
      <w:r w:rsidRPr="000947F6">
        <w:t>is warranted because</w:t>
      </w:r>
      <w:r w:rsidRPr="00D81BC4" w:rsidR="00F6642C">
        <w:t xml:space="preserve"> </w:t>
      </w:r>
      <w:r w:rsidRPr="00D81BC4" w:rsidR="000D7D9E">
        <w:t>the</w:t>
      </w:r>
      <w:r w:rsidR="000D7D9E">
        <w:t xml:space="preserve"> </w:t>
      </w:r>
      <w:r w:rsidR="006A02EB">
        <w:t>use</w:t>
      </w:r>
      <w:r w:rsidR="00936876">
        <w:t xml:space="preserve"> of weights and ranges in the current MAVF approach</w:t>
      </w:r>
      <w:r w:rsidR="00AD00CF">
        <w:t xml:space="preserve"> has </w:t>
      </w:r>
      <w:r w:rsidR="00E8480F">
        <w:t xml:space="preserve">at times </w:t>
      </w:r>
      <w:r w:rsidR="00AD00CF">
        <w:t xml:space="preserve">produced </w:t>
      </w:r>
      <w:r w:rsidR="00CE556F">
        <w:t>very high</w:t>
      </w:r>
      <w:r w:rsidR="00AD00CF">
        <w:t xml:space="preserve"> </w:t>
      </w:r>
      <w:r w:rsidR="00FE01DD">
        <w:t>“</w:t>
      </w:r>
      <w:r w:rsidR="00AD00CF">
        <w:t xml:space="preserve">implied </w:t>
      </w:r>
      <w:r w:rsidR="00105B3D">
        <w:t>VSL</w:t>
      </w:r>
      <w:r w:rsidR="00E8480F">
        <w:t>s</w:t>
      </w:r>
      <w:r w:rsidR="00FE01DD">
        <w:t>”</w:t>
      </w:r>
      <w:r w:rsidR="00AD00CF">
        <w:t xml:space="preserve"> in </w:t>
      </w:r>
      <w:r w:rsidR="004868C1">
        <w:t xml:space="preserve">utility </w:t>
      </w:r>
      <w:r w:rsidR="00AD00CF">
        <w:t xml:space="preserve">RAMP </w:t>
      </w:r>
      <w:r w:rsidR="00921B97">
        <w:t>filings</w:t>
      </w:r>
      <w:r w:rsidR="004868C1">
        <w:t xml:space="preserve">.  For instance, the Staff Proposal states that </w:t>
      </w:r>
      <w:r w:rsidR="00FE01DD">
        <w:t>recent RAMP filings contained implied VSLs</w:t>
      </w:r>
      <w:r w:rsidR="003E48C2">
        <w:t xml:space="preserve"> of </w:t>
      </w:r>
      <w:r w:rsidR="00FE01DD">
        <w:t xml:space="preserve">approximately </w:t>
      </w:r>
      <w:r w:rsidR="003E48C2">
        <w:t>$100 million</w:t>
      </w:r>
      <w:r w:rsidR="00FE01DD">
        <w:t xml:space="preserve">.  This amount is </w:t>
      </w:r>
      <w:r w:rsidR="006D5079">
        <w:t xml:space="preserve">approximately ten times higher than </w:t>
      </w:r>
      <w:r w:rsidR="009F4EB2">
        <w:t xml:space="preserve">any VSL </w:t>
      </w:r>
      <w:r w:rsidR="00FE01DD">
        <w:t xml:space="preserve">contained in </w:t>
      </w:r>
      <w:r w:rsidR="009F4EB2">
        <w:t>published in guidance documents across government and industry sources</w:t>
      </w:r>
      <w:r w:rsidR="00921B97">
        <w:t>.</w:t>
      </w:r>
      <w:r w:rsidR="00921B97">
        <w:rPr>
          <w:rStyle w:val="FootnoteReference"/>
        </w:rPr>
        <w:footnoteReference w:id="60"/>
      </w:r>
      <w:r w:rsidR="005D186C">
        <w:t xml:space="preserve">  </w:t>
      </w:r>
      <w:r w:rsidR="00FE01DD">
        <w:t xml:space="preserve">The impact of an </w:t>
      </w:r>
      <w:r w:rsidR="00105B3D">
        <w:t>implied VSL</w:t>
      </w:r>
      <w:r w:rsidR="003508AE">
        <w:t xml:space="preserve"> </w:t>
      </w:r>
      <w:r w:rsidR="00473D9D">
        <w:t>of this level</w:t>
      </w:r>
      <w:r w:rsidR="00FE01DD">
        <w:t xml:space="preserve"> is that it</w:t>
      </w:r>
      <w:r w:rsidR="00473D9D">
        <w:t xml:space="preserve"> makes certain </w:t>
      </w:r>
      <w:r w:rsidR="00E655BA">
        <w:t>M</w:t>
      </w:r>
      <w:r w:rsidR="00473D9D">
        <w:t xml:space="preserve">itigations appear more </w:t>
      </w:r>
      <w:r w:rsidR="00CC7E5E">
        <w:t>beneficial than they would otherwise</w:t>
      </w:r>
      <w:r w:rsidR="009446E1">
        <w:t xml:space="preserve">.  </w:t>
      </w:r>
      <w:r w:rsidR="00141C2D">
        <w:t xml:space="preserve">By requiring use of the DOT VSL, the utilities will henceforth </w:t>
      </w:r>
      <w:r w:rsidR="00374F10">
        <w:t>d</w:t>
      </w:r>
      <w:r w:rsidRPr="005F48EC" w:rsidR="005F48EC">
        <w:t xml:space="preserve">irectly express the Safety </w:t>
      </w:r>
      <w:r w:rsidR="000947F6">
        <w:t>A</w:t>
      </w:r>
      <w:r w:rsidRPr="005F48EC" w:rsidR="005F48EC">
        <w:t>ttribute in dollars</w:t>
      </w:r>
      <w:r w:rsidR="00374F10">
        <w:t xml:space="preserve">.  This will add transparency and accountability to our review processes.  </w:t>
      </w:r>
    </w:p>
    <w:p w:rsidR="00335071" w:rsidP="00335071" w:rsidRDefault="00110C23" w14:paraId="36ADDACD" w14:textId="01E3F081">
      <w:pPr>
        <w:pStyle w:val="Standard"/>
      </w:pPr>
      <w:r>
        <w:t xml:space="preserve">We </w:t>
      </w:r>
      <w:r w:rsidR="004F6482">
        <w:t xml:space="preserve">disagree with SCE’s assertion that </w:t>
      </w:r>
      <w:r w:rsidR="00374F10">
        <w:t xml:space="preserve">adopting use of the DOT VSL </w:t>
      </w:r>
      <w:r w:rsidR="008B6493">
        <w:t xml:space="preserve">raises unresolvable </w:t>
      </w:r>
      <w:r w:rsidRPr="002400A8" w:rsidR="002400A8">
        <w:t>ethical issues</w:t>
      </w:r>
      <w:r w:rsidR="00C17462">
        <w:t>.</w:t>
      </w:r>
      <w:r w:rsidR="00C61CF4">
        <w:t xml:space="preserve">  </w:t>
      </w:r>
      <w:r w:rsidRPr="00D73E82" w:rsidR="00D73E82">
        <w:t xml:space="preserve">VSL is a concept from economics - an estimate of how much people are willing to pay for a reduction in the risk of death.  While the MAVF framework does not explicitly address the VSL concept, estimates of risk reduction efficacy, the RSEs, implicitly place a value on </w:t>
      </w:r>
      <w:r w:rsidR="0023201A">
        <w:t xml:space="preserve">the </w:t>
      </w:r>
      <w:r w:rsidRPr="00D73E82" w:rsidR="00D73E82">
        <w:t>risk mitigation</w:t>
      </w:r>
      <w:r w:rsidR="0023201A">
        <w:t xml:space="preserve"> benefit</w:t>
      </w:r>
      <w:r w:rsidRPr="00D73E82" w:rsidR="00D73E82">
        <w:t xml:space="preserve"> associated with decreasing the likelihood of mortalities. </w:t>
      </w:r>
      <w:r w:rsidR="0023201A">
        <w:t xml:space="preserve"> </w:t>
      </w:r>
      <w:r w:rsidRPr="00D73E82" w:rsidR="00D73E82">
        <w:t>A</w:t>
      </w:r>
      <w:r w:rsidR="00083186">
        <w:t>dding</w:t>
      </w:r>
      <w:r w:rsidRPr="00D73E82" w:rsidR="00D73E82">
        <w:t xml:space="preserve"> the VSL makes this explicit rather than obfuscating the issue. </w:t>
      </w:r>
      <w:r w:rsidR="00083186">
        <w:t xml:space="preserve"> </w:t>
      </w:r>
      <w:r w:rsidR="00D22373">
        <w:t>I</w:t>
      </w:r>
      <w:r w:rsidR="008B6493">
        <w:t xml:space="preserve">ts use here </w:t>
      </w:r>
      <w:r w:rsidR="00232C0D">
        <w:t>benefits risk assessment processes</w:t>
      </w:r>
      <w:r w:rsidR="0014130E">
        <w:t xml:space="preserve"> by promoting transparency and consistency across utilities</w:t>
      </w:r>
      <w:r w:rsidR="00232C0D">
        <w:t xml:space="preserve">. </w:t>
      </w:r>
    </w:p>
    <w:p w:rsidR="00CF74BB" w:rsidP="007815B3" w:rsidRDefault="007815B3" w14:paraId="3CF87F9F" w14:textId="208E2828">
      <w:pPr>
        <w:pStyle w:val="Standard"/>
      </w:pPr>
      <w:r w:rsidRPr="008D22F3">
        <w:t xml:space="preserve">We agree with Staff that </w:t>
      </w:r>
      <w:r w:rsidR="00DB0915">
        <w:t xml:space="preserve">the </w:t>
      </w:r>
      <w:r w:rsidRPr="008D22F3">
        <w:t xml:space="preserve">IOUs </w:t>
      </w:r>
      <w:r w:rsidR="00DB0915">
        <w:t>should be afforded</w:t>
      </w:r>
      <w:r w:rsidRPr="008D22F3">
        <w:t xml:space="preserve"> some flexibility </w:t>
      </w:r>
      <w:r w:rsidR="00DB0915">
        <w:t>to</w:t>
      </w:r>
      <w:r w:rsidRPr="008D22F3">
        <w:t xml:space="preserve"> choos</w:t>
      </w:r>
      <w:r w:rsidR="00DB0915">
        <w:t>e</w:t>
      </w:r>
      <w:r w:rsidRPr="008D22F3">
        <w:t xml:space="preserve"> a different dollar valuation for the Safety </w:t>
      </w:r>
      <w:r w:rsidR="00447DC8">
        <w:t>Attribute</w:t>
      </w:r>
      <w:r w:rsidR="00073AB9">
        <w:t xml:space="preserve"> other than the DOT VSL for a given year</w:t>
      </w:r>
      <w:r w:rsidRPr="008D22F3">
        <w:t>.</w:t>
      </w:r>
      <w:r w:rsidR="00C61CF4">
        <w:t xml:space="preserve">  </w:t>
      </w:r>
      <w:r w:rsidR="00EE41A0">
        <w:t xml:space="preserve">We recognize that </w:t>
      </w:r>
      <w:r w:rsidR="00766EEF">
        <w:t>an</w:t>
      </w:r>
      <w:r w:rsidR="009968AB">
        <w:t xml:space="preserve"> IOU </w:t>
      </w:r>
      <w:r w:rsidR="00AD37D1">
        <w:t xml:space="preserve">may </w:t>
      </w:r>
      <w:r w:rsidR="003F0F8E">
        <w:t xml:space="preserve">find </w:t>
      </w:r>
      <w:r w:rsidR="00AD37D1">
        <w:t xml:space="preserve">that </w:t>
      </w:r>
      <w:r w:rsidR="00B57F0E">
        <w:t xml:space="preserve">a VSL </w:t>
      </w:r>
      <w:r w:rsidR="00600364">
        <w:t xml:space="preserve">estimation methodology </w:t>
      </w:r>
      <w:r w:rsidR="000D1D70">
        <w:t xml:space="preserve">from a </w:t>
      </w:r>
      <w:r w:rsidR="005207F4">
        <w:t xml:space="preserve">source </w:t>
      </w:r>
      <w:r w:rsidR="00073AB9">
        <w:t xml:space="preserve">other </w:t>
      </w:r>
      <w:r w:rsidR="00B57F0E">
        <w:t>than DOT</w:t>
      </w:r>
      <w:r w:rsidR="00AD37D1">
        <w:t xml:space="preserve"> </w:t>
      </w:r>
      <w:r w:rsidR="00EE6A38">
        <w:t>present</w:t>
      </w:r>
      <w:r w:rsidR="00AD37D1">
        <w:t>s</w:t>
      </w:r>
      <w:r w:rsidR="00EE6A38">
        <w:t xml:space="preserve"> a more accurate representation of its </w:t>
      </w:r>
      <w:r w:rsidR="00785DE9">
        <w:t>customers</w:t>
      </w:r>
      <w:r w:rsidR="00F53F70">
        <w:t xml:space="preserve">.  </w:t>
      </w:r>
      <w:r w:rsidR="00C20C45">
        <w:t xml:space="preserve">However, this flexibility should also be bounded to some degree.  </w:t>
      </w:r>
    </w:p>
    <w:p w:rsidR="007815B3" w:rsidP="007815B3" w:rsidRDefault="00AD37D1" w14:paraId="4F432285" w14:textId="39AABA16">
      <w:pPr>
        <w:pStyle w:val="Standard"/>
      </w:pPr>
      <w:r>
        <w:t xml:space="preserve">We authorize the </w:t>
      </w:r>
      <w:r w:rsidRPr="008D22F3" w:rsidR="007815B3">
        <w:t xml:space="preserve">IOUs </w:t>
      </w:r>
      <w:r>
        <w:t xml:space="preserve">to </w:t>
      </w:r>
      <w:r w:rsidR="0057043C">
        <w:t>choose</w:t>
      </w:r>
      <w:r w:rsidRPr="008D22F3" w:rsidR="007815B3">
        <w:t xml:space="preserve"> a different dollar valuation for the Safety </w:t>
      </w:r>
      <w:r w:rsidR="00447DC8">
        <w:t>Attribute</w:t>
      </w:r>
      <w:r>
        <w:t xml:space="preserve"> from the DOT VSL source adopted here</w:t>
      </w:r>
      <w:r w:rsidRPr="00991A07">
        <w:t xml:space="preserve">.  However, </w:t>
      </w:r>
      <w:r w:rsidRPr="00991A07" w:rsidR="00CF74BB">
        <w:t xml:space="preserve">if an IOU makes this choice, it must </w:t>
      </w:r>
      <w:r w:rsidRPr="00991A07" w:rsidR="007815B3">
        <w:t xml:space="preserve">choose a </w:t>
      </w:r>
      <w:r w:rsidRPr="00991A07" w:rsidR="00D77DC3">
        <w:t>VSL</w:t>
      </w:r>
      <w:r w:rsidRPr="00991A07" w:rsidR="007815B3">
        <w:t xml:space="preserve"> that sits between the high and low ranges provided by the HHS, adjusted for the base year of</w:t>
      </w:r>
      <w:r w:rsidRPr="00991A07" w:rsidR="00CF74BB">
        <w:t xml:space="preserve"> the relevant </w:t>
      </w:r>
      <w:r w:rsidRPr="00991A07" w:rsidR="007815B3">
        <w:t>RAMP filing.</w:t>
      </w:r>
      <w:r w:rsidRPr="008D22F3" w:rsidR="007815B3">
        <w:t xml:space="preserve">  </w:t>
      </w:r>
      <w:r w:rsidR="00CF74BB">
        <w:t xml:space="preserve">The </w:t>
      </w:r>
      <w:r w:rsidRPr="008D22F3" w:rsidR="007815B3">
        <w:t>IOU</w:t>
      </w:r>
      <w:r w:rsidR="00CF74BB">
        <w:t xml:space="preserve"> must also </w:t>
      </w:r>
      <w:r w:rsidRPr="008D22F3" w:rsidR="007815B3">
        <w:t xml:space="preserve">justify </w:t>
      </w:r>
      <w:r w:rsidR="00CF74BB">
        <w:t>its</w:t>
      </w:r>
      <w:r w:rsidRPr="008D22F3" w:rsidR="0087581D">
        <w:t xml:space="preserve"> </w:t>
      </w:r>
      <w:r w:rsidRPr="008D22F3" w:rsidR="007815B3">
        <w:t xml:space="preserve">choice of </w:t>
      </w:r>
      <w:r w:rsidR="00CF74BB">
        <w:t>an</w:t>
      </w:r>
      <w:r w:rsidRPr="008D22F3" w:rsidR="007815B3">
        <w:t xml:space="preserve"> alternative VSL and provide a sensitivity analysis for the </w:t>
      </w:r>
      <w:r w:rsidRPr="008D22F3" w:rsidR="00FF7A03">
        <w:t>Cost</w:t>
      </w:r>
      <w:r w:rsidR="00FF7A03">
        <w:t>-Benefit</w:t>
      </w:r>
      <w:r w:rsidRPr="008D22F3" w:rsidR="00FF7A03">
        <w:t xml:space="preserve"> Ratio</w:t>
      </w:r>
      <w:r w:rsidRPr="008D22F3" w:rsidR="007815B3">
        <w:t xml:space="preserve"> impact of its choice compared to the standard DOT VSL.</w:t>
      </w:r>
      <w:r w:rsidR="00C20C45">
        <w:t xml:space="preserve">  </w:t>
      </w:r>
      <w:r w:rsidR="008061AF">
        <w:t>Requiring these additional elements adds transparency</w:t>
      </w:r>
      <w:r w:rsidR="00CF74BB">
        <w:t xml:space="preserve">, </w:t>
      </w:r>
      <w:r w:rsidR="00601AE6">
        <w:t xml:space="preserve">supports Commission review and helps ensure that the IOUs employ reasonable dollar values in their calculations. </w:t>
      </w:r>
    </w:p>
    <w:p w:rsidR="008736F1" w:rsidP="007815B3" w:rsidRDefault="007815B3" w14:paraId="38248867" w14:textId="1DFF0FC8">
      <w:pPr>
        <w:pStyle w:val="Standard"/>
      </w:pPr>
      <w:r w:rsidRPr="00847E76">
        <w:t>We direct the IOUs to apply one of two following methods for the dollar valuation of injury prevention</w:t>
      </w:r>
      <w:r w:rsidR="00CF74BB">
        <w:t xml:space="preserve"> when implementing the Cost-Benefit Approach</w:t>
      </w:r>
      <w:r w:rsidRPr="00847E76">
        <w:t xml:space="preserve">.  </w:t>
      </w:r>
      <w:r w:rsidR="006D33EA">
        <w:t xml:space="preserve">For the </w:t>
      </w:r>
      <w:r w:rsidRPr="00847E76">
        <w:t>first method</w:t>
      </w:r>
      <w:r w:rsidR="006D33EA">
        <w:t xml:space="preserve">, the IOU shall </w:t>
      </w:r>
      <w:r w:rsidRPr="00847E76">
        <w:t>weigh</w:t>
      </w:r>
      <w:r w:rsidR="006D33EA">
        <w:t xml:space="preserve"> </w:t>
      </w:r>
      <w:r w:rsidRPr="00847E76">
        <w:t>a serious injury as 0.25</w:t>
      </w:r>
      <w:r w:rsidR="007B6F9C">
        <w:t> </w:t>
      </w:r>
      <w:r w:rsidRPr="00847E76">
        <w:t>of a fatality</w:t>
      </w:r>
      <w:r w:rsidR="00802958">
        <w:t xml:space="preserve"> consistent with all IOUs’ prior RAMP filings</w:t>
      </w:r>
      <w:r w:rsidRPr="00847E76">
        <w:t xml:space="preserve">.  </w:t>
      </w:r>
      <w:r w:rsidR="00BD0472">
        <w:t>For th</w:t>
      </w:r>
      <w:r w:rsidRPr="00847E76">
        <w:t>e second method</w:t>
      </w:r>
      <w:r w:rsidR="00BD0472">
        <w:t xml:space="preserve">, which </w:t>
      </w:r>
      <w:r w:rsidRPr="00847E76">
        <w:t>involves more granularity at the injury severity level</w:t>
      </w:r>
      <w:r w:rsidR="00A93412">
        <w:t>,</w:t>
      </w:r>
      <w:r w:rsidRPr="00847E76">
        <w:t xml:space="preserve"> if the data is available</w:t>
      </w:r>
      <w:r w:rsidR="00FD340F">
        <w:t>,</w:t>
      </w:r>
      <w:r w:rsidRPr="00847E76">
        <w:t xml:space="preserve"> </w:t>
      </w:r>
      <w:r w:rsidR="00BD0472">
        <w:t xml:space="preserve">the IOU shall </w:t>
      </w:r>
      <w:r w:rsidRPr="00847E76">
        <w:t>us</w:t>
      </w:r>
      <w:r w:rsidR="00A93412">
        <w:t>e</w:t>
      </w:r>
      <w:r w:rsidRPr="00847E76">
        <w:t xml:space="preserve"> </w:t>
      </w:r>
      <w:r w:rsidR="00C3081A">
        <w:t xml:space="preserve">the following </w:t>
      </w:r>
      <w:r w:rsidRPr="00847E76">
        <w:t>DOT estimates for the value of injury prevention</w:t>
      </w:r>
      <w:r w:rsidR="00F00EB0">
        <w:t xml:space="preserve"> corresponding to a fraction of a fatality</w:t>
      </w:r>
      <w:r w:rsidRPr="00847E76">
        <w:t>:</w:t>
      </w:r>
    </w:p>
    <w:p w:rsidRPr="003049E0" w:rsidR="007815B3" w:rsidP="007B6F9C" w:rsidRDefault="007815B3" w14:paraId="067E3FD7" w14:textId="60463834">
      <w:pPr>
        <w:keepNext/>
        <w:spacing w:after="120" w:line="240" w:lineRule="auto"/>
        <w:ind w:firstLine="0"/>
        <w:jc w:val="center"/>
        <w:rPr>
          <w:b/>
          <w:bCs/>
          <w:sz w:val="23"/>
          <w:szCs w:val="23"/>
        </w:rPr>
      </w:pPr>
      <w:r w:rsidRPr="003049E0">
        <w:rPr>
          <w:b/>
          <w:bCs/>
          <w:sz w:val="23"/>
          <w:szCs w:val="23"/>
        </w:rPr>
        <w:t xml:space="preserve">Table </w:t>
      </w:r>
      <w:r w:rsidR="00187876">
        <w:rPr>
          <w:b/>
          <w:bCs/>
          <w:sz w:val="23"/>
          <w:szCs w:val="23"/>
        </w:rPr>
        <w:t>4</w:t>
      </w:r>
      <w:r w:rsidRPr="003049E0">
        <w:rPr>
          <w:b/>
          <w:bCs/>
          <w:sz w:val="23"/>
          <w:szCs w:val="23"/>
        </w:rPr>
        <w:t xml:space="preserve">: </w:t>
      </w:r>
      <w:r w:rsidR="00E84C44">
        <w:rPr>
          <w:b/>
          <w:bCs/>
          <w:sz w:val="23"/>
          <w:szCs w:val="23"/>
        </w:rPr>
        <w:t>Value of Preventing Injuries</w:t>
      </w:r>
      <w:r w:rsidRPr="003049E0">
        <w:rPr>
          <w:b/>
          <w:bCs/>
          <w:sz w:val="23"/>
          <w:szCs w:val="23"/>
        </w:rPr>
        <w:t xml:space="preserve"> </w:t>
      </w:r>
      <w:r w:rsidR="00155D67">
        <w:rPr>
          <w:b/>
          <w:bCs/>
          <w:sz w:val="23"/>
          <w:szCs w:val="23"/>
        </w:rPr>
        <w:t>as a</w:t>
      </w:r>
      <w:r w:rsidR="007B6F9C">
        <w:rPr>
          <w:b/>
          <w:bCs/>
          <w:sz w:val="23"/>
          <w:szCs w:val="23"/>
        </w:rPr>
        <w:br/>
      </w:r>
      <w:r w:rsidR="00155D67">
        <w:rPr>
          <w:b/>
          <w:bCs/>
          <w:sz w:val="23"/>
          <w:szCs w:val="23"/>
        </w:rPr>
        <w:t>Fraction of VSL,</w:t>
      </w:r>
      <w:r w:rsidRPr="003049E0">
        <w:rPr>
          <w:b/>
          <w:bCs/>
          <w:sz w:val="23"/>
          <w:szCs w:val="23"/>
        </w:rPr>
        <w:t xml:space="preserve"> by Injury Severity Level</w:t>
      </w:r>
      <w:r w:rsidR="00CF21DE">
        <w:rPr>
          <w:rStyle w:val="FootnoteReference"/>
          <w:b/>
          <w:bCs/>
          <w:sz w:val="23"/>
          <w:szCs w:val="23"/>
        </w:rPr>
        <w:footnoteReference w:id="61"/>
      </w:r>
    </w:p>
    <w:tbl>
      <w:tblPr>
        <w:tblW w:w="6475" w:type="dxa"/>
        <w:jc w:val="center"/>
        <w:tblLayout w:type="fixed"/>
        <w:tblLook w:val="04A0" w:firstRow="1" w:lastRow="0" w:firstColumn="1" w:lastColumn="0" w:noHBand="0" w:noVBand="1"/>
      </w:tblPr>
      <w:tblGrid>
        <w:gridCol w:w="3237"/>
        <w:gridCol w:w="3238"/>
      </w:tblGrid>
      <w:tr w:rsidRPr="00B96777" w:rsidR="00B96777" w:rsidTr="00EC1266" w14:paraId="07C0365D" w14:textId="77777777">
        <w:trPr>
          <w:trHeight w:val="510"/>
          <w:jc w:val="center"/>
        </w:trPr>
        <w:tc>
          <w:tcPr>
            <w:tcW w:w="3237" w:type="dxa"/>
            <w:tcBorders>
              <w:top w:val="single" w:color="auto" w:sz="4" w:space="0"/>
              <w:left w:val="single" w:color="auto" w:sz="4" w:space="0"/>
              <w:bottom w:val="double" w:color="auto" w:sz="6" w:space="0"/>
              <w:right w:val="single" w:color="auto" w:sz="4" w:space="0"/>
            </w:tcBorders>
            <w:shd w:val="clear" w:color="000000" w:fill="FFC000"/>
            <w:noWrap/>
            <w:vAlign w:val="center"/>
            <w:hideMark/>
          </w:tcPr>
          <w:p w:rsidRPr="006128A5" w:rsidR="00B96777" w:rsidP="00B96777" w:rsidRDefault="00B96777" w14:paraId="18B912A6" w14:textId="77777777">
            <w:pPr>
              <w:spacing w:line="240" w:lineRule="auto"/>
              <w:ind w:firstLine="0"/>
              <w:rPr>
                <w:rFonts w:eastAsia="Times New Roman" w:cs="Calibri"/>
                <w:b/>
                <w:color w:val="000000"/>
                <w:sz w:val="22"/>
              </w:rPr>
            </w:pPr>
            <w:r w:rsidRPr="006128A5">
              <w:rPr>
                <w:rFonts w:eastAsia="Times New Roman" w:cs="Calibri"/>
                <w:b/>
                <w:sz w:val="22"/>
              </w:rPr>
              <w:t>Injury Severity</w:t>
            </w:r>
          </w:p>
        </w:tc>
        <w:tc>
          <w:tcPr>
            <w:tcW w:w="3238" w:type="dxa"/>
            <w:tcBorders>
              <w:top w:val="single" w:color="auto" w:sz="4" w:space="0"/>
              <w:left w:val="nil"/>
              <w:bottom w:val="double" w:color="auto" w:sz="6" w:space="0"/>
              <w:right w:val="single" w:color="auto" w:sz="4" w:space="0"/>
            </w:tcBorders>
            <w:shd w:val="clear" w:color="000000" w:fill="FFC000"/>
            <w:noWrap/>
            <w:vAlign w:val="center"/>
            <w:hideMark/>
          </w:tcPr>
          <w:p w:rsidRPr="006128A5" w:rsidR="00B96777" w:rsidP="00B96777" w:rsidRDefault="00B96777" w14:paraId="0F0D2E91" w14:textId="77777777">
            <w:pPr>
              <w:spacing w:line="240" w:lineRule="auto"/>
              <w:ind w:firstLine="0"/>
              <w:jc w:val="center"/>
              <w:rPr>
                <w:rFonts w:eastAsia="Times New Roman" w:cs="Calibri"/>
                <w:b/>
                <w:color w:val="000000"/>
                <w:sz w:val="22"/>
              </w:rPr>
            </w:pPr>
            <w:r w:rsidRPr="006128A5">
              <w:rPr>
                <w:rFonts w:eastAsia="Times New Roman" w:cs="Calibri"/>
                <w:b/>
                <w:sz w:val="22"/>
              </w:rPr>
              <w:t>Fraction of VSL</w:t>
            </w:r>
          </w:p>
        </w:tc>
      </w:tr>
      <w:tr w:rsidRPr="00B96777" w:rsidR="00B96777" w:rsidTr="00EC1266" w14:paraId="5AC189A2"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73F23E69" w14:textId="77777777">
            <w:pPr>
              <w:spacing w:line="240" w:lineRule="auto"/>
              <w:ind w:firstLine="0"/>
              <w:rPr>
                <w:rFonts w:eastAsia="Times New Roman" w:cs="Calibri"/>
                <w:color w:val="000000"/>
                <w:sz w:val="22"/>
              </w:rPr>
            </w:pPr>
            <w:r w:rsidRPr="006128A5">
              <w:rPr>
                <w:rFonts w:eastAsia="Times New Roman" w:cs="Calibri"/>
                <w:color w:val="000000"/>
                <w:sz w:val="22"/>
              </w:rPr>
              <w:t>Minor</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2F513DED"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0.003</w:t>
            </w:r>
          </w:p>
        </w:tc>
      </w:tr>
      <w:tr w:rsidRPr="00B96777" w:rsidR="00B96777" w:rsidTr="00EC1266" w14:paraId="3BEBA596"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4DC9F234" w14:textId="77777777">
            <w:pPr>
              <w:spacing w:line="240" w:lineRule="auto"/>
              <w:ind w:firstLine="0"/>
              <w:rPr>
                <w:rFonts w:eastAsia="Times New Roman" w:cs="Calibri"/>
                <w:color w:val="000000"/>
                <w:sz w:val="22"/>
              </w:rPr>
            </w:pPr>
            <w:r w:rsidRPr="006128A5">
              <w:rPr>
                <w:rFonts w:eastAsia="Times New Roman" w:cs="Calibri"/>
                <w:color w:val="000000"/>
                <w:sz w:val="22"/>
              </w:rPr>
              <w:t>Moderate</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575D9360"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0.047</w:t>
            </w:r>
          </w:p>
        </w:tc>
      </w:tr>
      <w:tr w:rsidRPr="00B96777" w:rsidR="00B96777" w:rsidTr="00EC1266" w14:paraId="6FF73B3E"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5A3C51EB" w14:textId="77777777">
            <w:pPr>
              <w:spacing w:line="240" w:lineRule="auto"/>
              <w:ind w:firstLine="0"/>
              <w:rPr>
                <w:rFonts w:eastAsia="Times New Roman" w:cs="Calibri"/>
                <w:color w:val="000000"/>
                <w:sz w:val="22"/>
              </w:rPr>
            </w:pPr>
            <w:r w:rsidRPr="006128A5">
              <w:rPr>
                <w:rFonts w:eastAsia="Times New Roman" w:cs="Calibri"/>
                <w:color w:val="000000"/>
                <w:sz w:val="22"/>
              </w:rPr>
              <w:t>Serious</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571F89D3"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0.105</w:t>
            </w:r>
          </w:p>
        </w:tc>
      </w:tr>
      <w:tr w:rsidRPr="00B96777" w:rsidR="00B96777" w:rsidTr="00EC1266" w14:paraId="61F4790D"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7AA8A052" w14:textId="77777777">
            <w:pPr>
              <w:spacing w:line="240" w:lineRule="auto"/>
              <w:ind w:firstLine="0"/>
              <w:rPr>
                <w:rFonts w:eastAsia="Times New Roman" w:cs="Calibri"/>
                <w:color w:val="000000"/>
                <w:sz w:val="22"/>
              </w:rPr>
            </w:pPr>
            <w:r w:rsidRPr="006128A5">
              <w:rPr>
                <w:rFonts w:eastAsia="Times New Roman" w:cs="Calibri"/>
                <w:color w:val="000000"/>
                <w:sz w:val="22"/>
              </w:rPr>
              <w:t>Severe</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321B7216"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0.266</w:t>
            </w:r>
          </w:p>
        </w:tc>
      </w:tr>
      <w:tr w:rsidRPr="00B96777" w:rsidR="00B96777" w:rsidTr="00EC1266" w14:paraId="6E423531"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7AD4D75D" w14:textId="77777777">
            <w:pPr>
              <w:spacing w:line="240" w:lineRule="auto"/>
              <w:ind w:firstLine="0"/>
              <w:rPr>
                <w:rFonts w:eastAsia="Times New Roman" w:cs="Calibri"/>
                <w:color w:val="000000"/>
                <w:sz w:val="22"/>
              </w:rPr>
            </w:pPr>
            <w:r w:rsidRPr="006128A5">
              <w:rPr>
                <w:rFonts w:eastAsia="Times New Roman" w:cs="Calibri"/>
                <w:color w:val="000000"/>
                <w:sz w:val="22"/>
              </w:rPr>
              <w:t>Critical</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5256FD5A"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0.593</w:t>
            </w:r>
          </w:p>
        </w:tc>
      </w:tr>
      <w:tr w:rsidRPr="00B96777" w:rsidR="00B96777" w:rsidTr="00EC1266" w14:paraId="41E3455F" w14:textId="77777777">
        <w:trPr>
          <w:trHeight w:val="51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6128A5" w:rsidR="00B96777" w:rsidP="00B96777" w:rsidRDefault="00B96777" w14:paraId="7CFF8E49" w14:textId="77777777">
            <w:pPr>
              <w:spacing w:line="240" w:lineRule="auto"/>
              <w:ind w:firstLine="0"/>
              <w:rPr>
                <w:rFonts w:eastAsia="Times New Roman" w:cs="Calibri"/>
                <w:color w:val="000000"/>
                <w:sz w:val="22"/>
              </w:rPr>
            </w:pPr>
            <w:r w:rsidRPr="006128A5">
              <w:rPr>
                <w:rFonts w:eastAsia="Times New Roman" w:cs="Calibri"/>
                <w:color w:val="000000"/>
                <w:sz w:val="22"/>
              </w:rPr>
              <w:t>Unsurvivable</w:t>
            </w:r>
          </w:p>
        </w:tc>
        <w:tc>
          <w:tcPr>
            <w:tcW w:w="3238" w:type="dxa"/>
            <w:tcBorders>
              <w:top w:val="nil"/>
              <w:left w:val="nil"/>
              <w:bottom w:val="single" w:color="auto" w:sz="4" w:space="0"/>
              <w:right w:val="single" w:color="auto" w:sz="4" w:space="0"/>
            </w:tcBorders>
            <w:shd w:val="clear" w:color="auto" w:fill="auto"/>
            <w:noWrap/>
            <w:vAlign w:val="center"/>
            <w:hideMark/>
          </w:tcPr>
          <w:p w:rsidRPr="006128A5" w:rsidR="00B96777" w:rsidP="00B96777" w:rsidRDefault="00B96777" w14:paraId="73027F87" w14:textId="77777777">
            <w:pPr>
              <w:spacing w:line="240" w:lineRule="auto"/>
              <w:ind w:firstLine="0"/>
              <w:jc w:val="center"/>
              <w:rPr>
                <w:rFonts w:eastAsia="Times New Roman" w:cs="Calibri"/>
                <w:color w:val="000000"/>
                <w:sz w:val="22"/>
              </w:rPr>
            </w:pPr>
            <w:r w:rsidRPr="006128A5">
              <w:rPr>
                <w:rFonts w:eastAsia="Times New Roman" w:cs="Calibri"/>
                <w:color w:val="000000"/>
                <w:sz w:val="22"/>
              </w:rPr>
              <w:t>1.000</w:t>
            </w:r>
          </w:p>
        </w:tc>
      </w:tr>
    </w:tbl>
    <w:p w:rsidRPr="00862DEC" w:rsidR="007815B3" w:rsidP="00EC1266" w:rsidRDefault="00862DEC" w14:paraId="3463BC4D" w14:textId="7C2FC6DC">
      <w:pPr>
        <w:pStyle w:val="ListParagraph"/>
        <w:ind w:left="1440" w:firstLine="0"/>
        <w:rPr>
          <w:sz w:val="20"/>
          <w:szCs w:val="16"/>
        </w:rPr>
      </w:pPr>
      <w:r w:rsidRPr="00862DEC">
        <w:rPr>
          <w:sz w:val="20"/>
          <w:szCs w:val="16"/>
        </w:rPr>
        <w:t>Source: DOT, Valuation of a Statistical Life Guidance, at 10.</w:t>
      </w:r>
    </w:p>
    <w:p w:rsidR="00E245CB" w:rsidP="00F23583" w:rsidRDefault="00E245CB" w14:paraId="4547A246" w14:textId="08A74F38">
      <w:pPr>
        <w:pStyle w:val="Standard"/>
        <w:spacing w:before="120"/>
      </w:pPr>
      <w:r w:rsidRPr="006B277F">
        <w:t>Requ</w:t>
      </w:r>
      <w:r w:rsidR="00D51F95">
        <w:t>i</w:t>
      </w:r>
      <w:r w:rsidRPr="006B277F">
        <w:t>ring use of these value</w:t>
      </w:r>
      <w:r w:rsidR="00D51F95">
        <w:t>s</w:t>
      </w:r>
      <w:r w:rsidR="00DF3781">
        <w:t xml:space="preserve"> provides </w:t>
      </w:r>
      <w:r w:rsidR="00E90CF0">
        <w:t>consistent</w:t>
      </w:r>
      <w:r w:rsidR="009D4612">
        <w:t xml:space="preserve"> </w:t>
      </w:r>
      <w:r w:rsidR="00DF3781">
        <w:t xml:space="preserve">standard </w:t>
      </w:r>
      <w:r w:rsidR="00E92380">
        <w:t>dollar valuations</w:t>
      </w:r>
      <w:r w:rsidR="00D428FF">
        <w:t xml:space="preserve"> as a fraction of VSL</w:t>
      </w:r>
      <w:r w:rsidR="00DF3781">
        <w:t xml:space="preserve"> for </w:t>
      </w:r>
      <w:r w:rsidR="00FA48F9">
        <w:t>injuries</w:t>
      </w:r>
      <w:r w:rsidR="006C380C">
        <w:t xml:space="preserve">, </w:t>
      </w:r>
      <w:r w:rsidR="00D97DB3">
        <w:t xml:space="preserve">which </w:t>
      </w:r>
      <w:r w:rsidR="00820B62">
        <w:t>increases transparency.</w:t>
      </w:r>
    </w:p>
    <w:p w:rsidR="007815B3" w:rsidP="007815B3" w:rsidRDefault="007815B3" w14:paraId="16C3D38B" w14:textId="260E144F">
      <w:pPr>
        <w:pStyle w:val="Standard"/>
      </w:pPr>
      <w:r w:rsidRPr="00F942C3">
        <w:t xml:space="preserve">We direct the IOUs to use the </w:t>
      </w:r>
      <w:r w:rsidR="00E245CB">
        <w:t xml:space="preserve">most current version of the </w:t>
      </w:r>
      <w:r w:rsidRPr="00F942C3">
        <w:t xml:space="preserve">LBNL ICE Calculator to determine a standard dollar valuation of electric reliability </w:t>
      </w:r>
      <w:r w:rsidRPr="00F942C3" w:rsidDel="0047013A">
        <w:t xml:space="preserve">risk </w:t>
      </w:r>
      <w:r w:rsidRPr="00F942C3">
        <w:t xml:space="preserve">for the Reliability </w:t>
      </w:r>
      <w:r w:rsidR="00447DC8">
        <w:t>Attribute</w:t>
      </w:r>
      <w:r w:rsidR="002A7429">
        <w:t xml:space="preserve"> </w:t>
      </w:r>
      <w:r w:rsidR="00012189">
        <w:t xml:space="preserve">or to justify its choice of an alternative model by providing </w:t>
      </w:r>
      <w:r w:rsidRPr="002A7429" w:rsidR="002A7429">
        <w:t>an analysis comparing the results using its preferred electric reliability risk dollar valuation model to the results using the ICE Calculator</w:t>
      </w:r>
      <w:r w:rsidRPr="00F942C3">
        <w:t>.</w:t>
      </w:r>
      <w:r w:rsidR="00E245CB">
        <w:t xml:space="preserve">  </w:t>
      </w:r>
      <w:r w:rsidR="00A72B13">
        <w:t xml:space="preserve">Utility quantification of </w:t>
      </w:r>
      <w:r w:rsidRPr="00F942C3" w:rsidR="00C9554F">
        <w:t xml:space="preserve">electric reliability </w:t>
      </w:r>
      <w:r w:rsidRPr="00F942C3" w:rsidDel="0047013A" w:rsidR="00C9554F">
        <w:t xml:space="preserve">risk </w:t>
      </w:r>
      <w:r w:rsidR="00570393">
        <w:t xml:space="preserve">in the current </w:t>
      </w:r>
      <w:r w:rsidR="00D2495F">
        <w:t xml:space="preserve">MAVF framework </w:t>
      </w:r>
      <w:r w:rsidR="005725EE">
        <w:t xml:space="preserve">does not address </w:t>
      </w:r>
      <w:r w:rsidR="00A11A9F">
        <w:t xml:space="preserve">central considerations </w:t>
      </w:r>
      <w:r w:rsidR="00AF5C98">
        <w:t>i</w:t>
      </w:r>
      <w:r w:rsidR="00C9554F">
        <w:t>f</w:t>
      </w:r>
      <w:r w:rsidR="00AF5C98">
        <w:t xml:space="preserve"> </w:t>
      </w:r>
      <w:r w:rsidR="005725EE">
        <w:t>electric service</w:t>
      </w:r>
      <w:r w:rsidR="00A11A9F">
        <w:t xml:space="preserve"> is lost,</w:t>
      </w:r>
      <w:r w:rsidR="005725EE">
        <w:t xml:space="preserve"> such as </w:t>
      </w:r>
      <w:r w:rsidR="00A11A9F">
        <w:t xml:space="preserve">the </w:t>
      </w:r>
      <w:r w:rsidR="00AF5C98">
        <w:t xml:space="preserve">categories of </w:t>
      </w:r>
      <w:r w:rsidR="005725EE">
        <w:t>customer</w:t>
      </w:r>
      <w:r w:rsidR="00AF5C98">
        <w:t xml:space="preserve">s affected and </w:t>
      </w:r>
      <w:r w:rsidR="000B4DC1">
        <w:t xml:space="preserve">varying </w:t>
      </w:r>
      <w:r w:rsidR="005725EE">
        <w:t>outage duration</w:t>
      </w:r>
      <w:r w:rsidR="000B4DC1">
        <w:t>s</w:t>
      </w:r>
      <w:r w:rsidR="005725EE">
        <w:t xml:space="preserve">. </w:t>
      </w:r>
      <w:r w:rsidR="00E13E41">
        <w:t xml:space="preserve"> </w:t>
      </w:r>
      <w:r w:rsidR="00781242">
        <w:t xml:space="preserve">The </w:t>
      </w:r>
      <w:r w:rsidRPr="00A408EC" w:rsidR="00A408EC">
        <w:t>ICE</w:t>
      </w:r>
      <w:r w:rsidR="00781242">
        <w:t xml:space="preserve"> Calculator</w:t>
      </w:r>
      <w:r w:rsidR="00AF5C98">
        <w:t xml:space="preserve"> </w:t>
      </w:r>
      <w:r w:rsidRPr="00A408EC" w:rsidR="00A408EC">
        <w:t>accounts for the different impacts on three customer categories (residential, commercial, industrial) and models the effects of varying outage durations</w:t>
      </w:r>
      <w:r w:rsidR="00344D27">
        <w:t xml:space="preserve"> based on </w:t>
      </w:r>
      <w:r w:rsidR="00993E95">
        <w:t xml:space="preserve">inputs </w:t>
      </w:r>
      <w:r w:rsidR="00D417FB">
        <w:t xml:space="preserve">such as </w:t>
      </w:r>
      <w:r w:rsidR="009C46B0">
        <w:t>System Average Interruption Duration Index, System Average Interruption Frequency Index</w:t>
      </w:r>
      <w:r w:rsidR="00BB2D63">
        <w:t xml:space="preserve">, </w:t>
      </w:r>
      <w:r w:rsidR="00AF5C98">
        <w:t xml:space="preserve">and </w:t>
      </w:r>
      <w:r w:rsidR="00BB2D63">
        <w:t>the number of customers for each customer category</w:t>
      </w:r>
      <w:r w:rsidR="00AF5C98">
        <w:t xml:space="preserve">.  The ICE Calculator is also </w:t>
      </w:r>
      <w:r w:rsidR="00941EBD">
        <w:t>specific to C</w:t>
      </w:r>
      <w:r w:rsidR="00DF0684">
        <w:t>alifornia</w:t>
      </w:r>
      <w:r w:rsidRPr="00A408EC" w:rsidR="00A408EC">
        <w:t xml:space="preserve">. </w:t>
      </w:r>
      <w:r w:rsidR="003174C3">
        <w:t xml:space="preserve"> </w:t>
      </w:r>
      <w:r w:rsidR="00AF5C98">
        <w:t xml:space="preserve">Utility </w:t>
      </w:r>
      <w:r w:rsidR="0098312C">
        <w:t>use of the ICE Calculator</w:t>
      </w:r>
      <w:r w:rsidR="00AF5C98">
        <w:t xml:space="preserve"> in the Cost-Benefit Approach </w:t>
      </w:r>
      <w:r w:rsidR="000871E9">
        <w:t xml:space="preserve">offers a </w:t>
      </w:r>
      <w:r w:rsidR="00E13E41">
        <w:t xml:space="preserve">first step </w:t>
      </w:r>
      <w:r w:rsidR="00245582">
        <w:t>toward</w:t>
      </w:r>
      <w:r w:rsidR="007357E0">
        <w:t xml:space="preserve">s </w:t>
      </w:r>
      <w:r w:rsidR="00AF5C98">
        <w:t xml:space="preserve">improving </w:t>
      </w:r>
      <w:r w:rsidR="00771CA9">
        <w:t xml:space="preserve">the </w:t>
      </w:r>
      <w:r w:rsidR="00C53ABC">
        <w:t>quantification</w:t>
      </w:r>
      <w:r w:rsidR="007357E0">
        <w:t xml:space="preserve"> </w:t>
      </w:r>
      <w:r w:rsidR="00771CA9">
        <w:t xml:space="preserve">of </w:t>
      </w:r>
      <w:r w:rsidR="00E83BBE">
        <w:t xml:space="preserve">electric </w:t>
      </w:r>
      <w:r w:rsidR="00E720B5">
        <w:t>r</w:t>
      </w:r>
      <w:r w:rsidR="00E83BBE">
        <w:t xml:space="preserve">eliability </w:t>
      </w:r>
      <w:r w:rsidR="00E720B5">
        <w:t>r</w:t>
      </w:r>
      <w:r w:rsidR="00E83BBE">
        <w:t xml:space="preserve">isk. </w:t>
      </w:r>
      <w:r w:rsidR="0029277F">
        <w:t xml:space="preserve"> </w:t>
      </w:r>
      <w:r w:rsidR="00E83BBE">
        <w:t xml:space="preserve">   </w:t>
      </w:r>
    </w:p>
    <w:p w:rsidR="004468C4" w:rsidP="007815B3" w:rsidRDefault="004406C3" w14:paraId="5169EB6E" w14:textId="7DA51AE5">
      <w:pPr>
        <w:pStyle w:val="Standard"/>
      </w:pPr>
      <w:r>
        <w:t>A</w:t>
      </w:r>
      <w:r w:rsidR="0005648C">
        <w:t>uthoriz</w:t>
      </w:r>
      <w:r w:rsidR="004468C4">
        <w:t>ing</w:t>
      </w:r>
      <w:r w:rsidRPr="000E0862" w:rsidR="0005648C">
        <w:t xml:space="preserve"> the IOUs </w:t>
      </w:r>
      <w:r w:rsidR="0005648C">
        <w:t>to use</w:t>
      </w:r>
      <w:r w:rsidRPr="000E0862" w:rsidR="0005648C">
        <w:t xml:space="preserve"> a different dollar valuation for </w:t>
      </w:r>
      <w:r w:rsidRPr="00F942C3" w:rsidR="00C9554F">
        <w:t xml:space="preserve">electric reliability </w:t>
      </w:r>
      <w:r w:rsidRPr="00F942C3" w:rsidDel="0047013A" w:rsidR="00C9554F">
        <w:t xml:space="preserve">risk </w:t>
      </w:r>
      <w:r w:rsidR="00771CA9">
        <w:t>to that included in the ICE Calculator</w:t>
      </w:r>
      <w:r w:rsidRPr="000E0862" w:rsidR="0005648C">
        <w:t xml:space="preserve"> </w:t>
      </w:r>
      <w:r w:rsidR="004F11A5">
        <w:t>if they prefer</w:t>
      </w:r>
      <w:r w:rsidR="0019663F">
        <w:t xml:space="preserve"> appropriately allows for IOU flexibility</w:t>
      </w:r>
      <w:r w:rsidR="004213AC">
        <w:t xml:space="preserve">.  If an IOU makes this choice, it shall </w:t>
      </w:r>
      <w:r w:rsidRPr="000E0862" w:rsidR="0005648C">
        <w:t xml:space="preserve">provide an analysis comparing the results </w:t>
      </w:r>
      <w:r w:rsidR="00436486">
        <w:t>using</w:t>
      </w:r>
      <w:r w:rsidRPr="000E0862" w:rsidR="0005648C">
        <w:t xml:space="preserve"> </w:t>
      </w:r>
      <w:r w:rsidR="00436486">
        <w:t>its</w:t>
      </w:r>
      <w:r w:rsidRPr="000E0862" w:rsidR="0005648C">
        <w:t xml:space="preserve"> preferred </w:t>
      </w:r>
      <w:r w:rsidR="00C9554F">
        <w:t xml:space="preserve">electric reliability risk </w:t>
      </w:r>
      <w:r w:rsidR="00436486">
        <w:t xml:space="preserve">dollar valuation </w:t>
      </w:r>
      <w:r w:rsidR="009444BC">
        <w:t xml:space="preserve">model </w:t>
      </w:r>
      <w:r w:rsidRPr="000E0862" w:rsidR="0005648C">
        <w:t>to the results using the ICE Calculator</w:t>
      </w:r>
      <w:r w:rsidR="009444BC">
        <w:t xml:space="preserve">.  This flexibility is </w:t>
      </w:r>
      <w:r w:rsidR="003E672D">
        <w:t xml:space="preserve">warranted as the ICE Calculator may not </w:t>
      </w:r>
      <w:r w:rsidR="00D86E0D">
        <w:t xml:space="preserve">offer an accurate </w:t>
      </w:r>
      <w:r w:rsidR="00EE4BA5">
        <w:t xml:space="preserve">enough </w:t>
      </w:r>
      <w:r w:rsidR="002D3B8B">
        <w:t xml:space="preserve">representation of </w:t>
      </w:r>
      <w:r w:rsidR="00AE21EF">
        <w:t xml:space="preserve">outages unique to </w:t>
      </w:r>
      <w:r w:rsidR="00EE4BA5">
        <w:t xml:space="preserve">an IOU’s specific </w:t>
      </w:r>
      <w:r w:rsidR="00AE21EF">
        <w:t>customer</w:t>
      </w:r>
      <w:r w:rsidR="00097B7F">
        <w:t>-base</w:t>
      </w:r>
      <w:r w:rsidR="00AE21EF">
        <w:t xml:space="preserve"> and service territory</w:t>
      </w:r>
      <w:r w:rsidR="002D3B8B">
        <w:t xml:space="preserve">.  </w:t>
      </w:r>
    </w:p>
    <w:p w:rsidR="007815B3" w:rsidP="007815B3" w:rsidRDefault="007815B3" w14:paraId="71973B1C" w14:textId="648B5C89">
      <w:pPr>
        <w:pStyle w:val="Standard"/>
      </w:pPr>
      <w:r w:rsidRPr="000E0862">
        <w:t xml:space="preserve">We also agree with TURN that </w:t>
      </w:r>
      <w:r w:rsidR="00BA736B">
        <w:t xml:space="preserve">if an IOU </w:t>
      </w:r>
      <w:r w:rsidRPr="000E0862">
        <w:t>use</w:t>
      </w:r>
      <w:r w:rsidR="00BA736B">
        <w:t>s</w:t>
      </w:r>
      <w:r w:rsidRPr="000E0862">
        <w:t xml:space="preserve"> a different model to determine the dollar valuation of electric reliability risk</w:t>
      </w:r>
      <w:r w:rsidR="00BA736B">
        <w:t xml:space="preserve">, it must </w:t>
      </w:r>
      <w:r w:rsidR="006476E0">
        <w:t>include</w:t>
      </w:r>
      <w:r w:rsidR="001F554D">
        <w:t>,</w:t>
      </w:r>
      <w:r w:rsidR="006476E0">
        <w:t xml:space="preserve"> in its RAMP filing</w:t>
      </w:r>
      <w:r w:rsidR="001F554D">
        <w:t>,</w:t>
      </w:r>
      <w:r w:rsidR="006476E0">
        <w:t xml:space="preserve"> </w:t>
      </w:r>
      <w:r w:rsidRPr="000E0862">
        <w:t>an analysis comparing the results of its “equivalent or better” cost model against the results from the ICE Calculator</w:t>
      </w:r>
      <w:r w:rsidR="006476E0">
        <w:t xml:space="preserve"> and include the model used</w:t>
      </w:r>
      <w:r w:rsidR="009D26D8">
        <w:t>, or links to it</w:t>
      </w:r>
      <w:r w:rsidRPr="000E0862">
        <w:t xml:space="preserve">.  </w:t>
      </w:r>
    </w:p>
    <w:p w:rsidR="00AA3952" w:rsidP="007815B3" w:rsidRDefault="00BC4C51" w14:paraId="53812A52" w14:textId="466C23D2">
      <w:pPr>
        <w:pStyle w:val="Standard"/>
      </w:pPr>
      <w:r>
        <w:t>As recommended by Staff, w</w:t>
      </w:r>
      <w:r w:rsidRPr="00C242DC" w:rsidR="007815B3">
        <w:t xml:space="preserve">e direct the IOUs to participate in the </w:t>
      </w:r>
      <w:r w:rsidR="006000AD">
        <w:t xml:space="preserve">LBNL </w:t>
      </w:r>
      <w:r w:rsidRPr="00C242DC" w:rsidR="007815B3">
        <w:t>customer survey process</w:t>
      </w:r>
      <w:r w:rsidRPr="00C242DC" w:rsidR="00ED293C">
        <w:t xml:space="preserve"> </w:t>
      </w:r>
      <w:r w:rsidRPr="00C242DC" w:rsidR="007815B3">
        <w:t>needed to incorporate California data in</w:t>
      </w:r>
      <w:r w:rsidR="006000AD">
        <w:t>to</w:t>
      </w:r>
      <w:r w:rsidRPr="00C242DC" w:rsidR="007815B3">
        <w:t xml:space="preserve"> the ICE</w:t>
      </w:r>
      <w:r w:rsidR="00D92714">
        <w:t> </w:t>
      </w:r>
      <w:r w:rsidRPr="00C242DC" w:rsidR="007815B3">
        <w:t>2.0 model</w:t>
      </w:r>
      <w:r w:rsidR="00FE50B2">
        <w:t>.</w:t>
      </w:r>
      <w:r w:rsidR="00ED293C">
        <w:rPr>
          <w:rStyle w:val="FootnoteReference"/>
        </w:rPr>
        <w:footnoteReference w:id="62"/>
      </w:r>
      <w:r w:rsidR="00F72CC7">
        <w:t xml:space="preserve"> </w:t>
      </w:r>
      <w:r w:rsidR="00FE50B2">
        <w:t xml:space="preserve"> The LBNL customer survey process seeks to</w:t>
      </w:r>
      <w:r w:rsidR="00F72CC7">
        <w:t xml:space="preserve"> more accurately value reliability investments that reduce</w:t>
      </w:r>
      <w:r w:rsidR="00FE50B2">
        <w:t xml:space="preserve"> or </w:t>
      </w:r>
      <w:r w:rsidR="00F72CC7">
        <w:t>avoid interruptions lasting up to 24</w:t>
      </w:r>
      <w:r w:rsidR="00D92714">
        <w:t> </w:t>
      </w:r>
      <w:r w:rsidR="00F72CC7">
        <w:t>h</w:t>
      </w:r>
      <w:r w:rsidR="00176B30">
        <w:t>ours</w:t>
      </w:r>
      <w:r w:rsidR="00016A74">
        <w:t xml:space="preserve"> and </w:t>
      </w:r>
      <w:r w:rsidR="003F7862">
        <w:t xml:space="preserve">seeks to </w:t>
      </w:r>
      <w:r w:rsidR="00016A74">
        <w:t>reflect utility recommendations that improve the tool’s design and performance.</w:t>
      </w:r>
      <w:r w:rsidR="0023444C">
        <w:rPr>
          <w:rStyle w:val="FootnoteReference"/>
        </w:rPr>
        <w:footnoteReference w:id="63"/>
      </w:r>
      <w:r w:rsidRPr="00C242DC" w:rsidR="0023444C">
        <w:t xml:space="preserve"> </w:t>
      </w:r>
      <w:r w:rsidRPr="00C242DC" w:rsidR="007815B3">
        <w:t xml:space="preserve"> </w:t>
      </w:r>
      <w:r w:rsidR="00AA3952">
        <w:t>D</w:t>
      </w:r>
      <w:r w:rsidRPr="00005464" w:rsidR="005C1893">
        <w:t>evelop</w:t>
      </w:r>
      <w:r w:rsidR="00AA3952">
        <w:t>ing</w:t>
      </w:r>
      <w:r w:rsidRPr="00005464" w:rsidR="005C1893">
        <w:t xml:space="preserve"> a </w:t>
      </w:r>
      <w:r w:rsidRPr="00005464" w:rsidR="007B3992">
        <w:t xml:space="preserve">reasonable </w:t>
      </w:r>
      <w:r w:rsidRPr="00005464" w:rsidR="004D387D">
        <w:t xml:space="preserve">valuation of electric reliability </w:t>
      </w:r>
      <w:r w:rsidRPr="00005464" w:rsidR="007B75B1">
        <w:t>r</w:t>
      </w:r>
      <w:r w:rsidRPr="00005464" w:rsidR="004D387D">
        <w:t xml:space="preserve">isk is </w:t>
      </w:r>
      <w:r w:rsidRPr="00005464" w:rsidR="00366D4A">
        <w:t xml:space="preserve">an </w:t>
      </w:r>
      <w:r w:rsidRPr="00005464" w:rsidR="00337580">
        <w:t xml:space="preserve">ongoing </w:t>
      </w:r>
      <w:r w:rsidRPr="00005464" w:rsidR="00366D4A">
        <w:t>process</w:t>
      </w:r>
      <w:r w:rsidRPr="00005464" w:rsidR="00597F91">
        <w:t xml:space="preserve"> and </w:t>
      </w:r>
      <w:r w:rsidRPr="00005464" w:rsidR="008E33F0">
        <w:t xml:space="preserve">participation in the survey by the IOUs will contribute to </w:t>
      </w:r>
      <w:r w:rsidRPr="00005464" w:rsidR="00E70352">
        <w:t xml:space="preserve">a more precise </w:t>
      </w:r>
      <w:r w:rsidRPr="00005464" w:rsidR="00A35553">
        <w:t>valuation of electric reliability.</w:t>
      </w:r>
      <w:r w:rsidRPr="00005464" w:rsidR="00BA736B">
        <w:t xml:space="preserve"> </w:t>
      </w:r>
      <w:r w:rsidRPr="009D6570" w:rsidR="009D6570">
        <w:t xml:space="preserve"> </w:t>
      </w:r>
    </w:p>
    <w:p w:rsidR="00D47A87" w:rsidP="007815B3" w:rsidRDefault="00BA736B" w14:paraId="32617BA2" w14:textId="3318C768">
      <w:pPr>
        <w:pStyle w:val="Standard"/>
      </w:pPr>
      <w:r>
        <w:t xml:space="preserve">However, because such participation has costs, we authorize </w:t>
      </w:r>
      <w:r w:rsidRPr="00C242DC" w:rsidR="007815B3">
        <w:t xml:space="preserve">the IOUs to </w:t>
      </w:r>
      <w:r w:rsidR="0008755C">
        <w:t xml:space="preserve">submit a Tier 1 advice letter to establish a memorandum account to track and subsequently seek recovery of </w:t>
      </w:r>
      <w:r w:rsidRPr="00C242DC" w:rsidR="007815B3">
        <w:t xml:space="preserve">ICE 2.0 </w:t>
      </w:r>
      <w:r w:rsidR="0008755C">
        <w:t xml:space="preserve">Calculator participation costs.  </w:t>
      </w:r>
      <w:r w:rsidR="002B7861">
        <w:t xml:space="preserve">We authorize IOUs to track </w:t>
      </w:r>
      <w:r w:rsidR="00986353">
        <w:t xml:space="preserve">and seek recovery for </w:t>
      </w:r>
      <w:r w:rsidR="002B7861">
        <w:t xml:space="preserve">costs up to 15 percent more than the estimated </w:t>
      </w:r>
      <w:r w:rsidR="00986353">
        <w:t xml:space="preserve">$600,000 </w:t>
      </w:r>
      <w:r w:rsidR="002B7861">
        <w:t>cost of participation in ICE 2.0 Calculator developm</w:t>
      </w:r>
      <w:r w:rsidR="00986353">
        <w:t>ent</w:t>
      </w:r>
      <w:r w:rsidR="009072CC">
        <w:t>.</w:t>
      </w:r>
      <w:r w:rsidR="00347307">
        <w:rPr>
          <w:rStyle w:val="FootnoteReference"/>
        </w:rPr>
        <w:footnoteReference w:id="64"/>
      </w:r>
      <w:r>
        <w:t xml:space="preserve"> </w:t>
      </w:r>
      <w:r w:rsidRPr="00C242DC" w:rsidR="007815B3">
        <w:t xml:space="preserve"> </w:t>
      </w:r>
    </w:p>
    <w:p w:rsidR="007815B3" w:rsidP="007815B3" w:rsidRDefault="009D6570" w14:paraId="51C3832D" w14:textId="296C2E24">
      <w:pPr>
        <w:pStyle w:val="Standard"/>
      </w:pPr>
      <w:r>
        <w:t xml:space="preserve">We </w:t>
      </w:r>
      <w:r w:rsidR="00A85E11">
        <w:t>also</w:t>
      </w:r>
      <w:r>
        <w:t xml:space="preserve"> </w:t>
      </w:r>
      <w:r w:rsidR="00650DA3">
        <w:t>understand</w:t>
      </w:r>
      <w:r>
        <w:t xml:space="preserve"> </w:t>
      </w:r>
      <w:r w:rsidR="009444BC">
        <w:t xml:space="preserve">from Staff </w:t>
      </w:r>
      <w:r>
        <w:t>that a</w:t>
      </w:r>
      <w:r w:rsidR="00012189">
        <w:t>n</w:t>
      </w:r>
      <w:r w:rsidR="009F4716">
        <w:t xml:space="preserve"> LBNL</w:t>
      </w:r>
      <w:r w:rsidR="00BD23A3">
        <w:t xml:space="preserve"> ICE</w:t>
      </w:r>
      <w:r>
        <w:t xml:space="preserve"> project similar to the ongoing POET project for Midwestern utilities may become available for participation by California utilities, </w:t>
      </w:r>
      <w:r w:rsidR="00A85E11">
        <w:t>although</w:t>
      </w:r>
      <w:r>
        <w:t xml:space="preserve"> the timing and costs are unknown.  </w:t>
      </w:r>
      <w:r w:rsidR="00342E6F">
        <w:t xml:space="preserve">As described by Staff, </w:t>
      </w:r>
      <w:r w:rsidR="005A475A">
        <w:t xml:space="preserve">an LBNL </w:t>
      </w:r>
      <w:r w:rsidR="00F55A1B">
        <w:t xml:space="preserve">POET </w:t>
      </w:r>
      <w:r w:rsidR="00342E6F">
        <w:t xml:space="preserve">project </w:t>
      </w:r>
      <w:r w:rsidR="009F4716">
        <w:t xml:space="preserve">would </w:t>
      </w:r>
      <w:r w:rsidR="00F55A1B">
        <w:t>capture the economic impacts associated with longer term duration</w:t>
      </w:r>
      <w:r w:rsidR="006E5230">
        <w:t xml:space="preserve"> outages</w:t>
      </w:r>
      <w:r w:rsidR="0078430D">
        <w:t xml:space="preserve"> </w:t>
      </w:r>
      <w:r w:rsidR="00082560">
        <w:t xml:space="preserve">of </w:t>
      </w:r>
      <w:r w:rsidR="00F55A1B">
        <w:t>more than 24</w:t>
      </w:r>
      <w:r w:rsidR="00D92714">
        <w:t> </w:t>
      </w:r>
      <w:r w:rsidR="00F55A1B">
        <w:t>hours and/or consecutive outages that have similar cumulative impacts</w:t>
      </w:r>
      <w:r w:rsidR="00362BE6">
        <w:t xml:space="preserve">, </w:t>
      </w:r>
      <w:r w:rsidR="000E005F">
        <w:t xml:space="preserve">outage durations </w:t>
      </w:r>
      <w:r w:rsidR="00082560">
        <w:t xml:space="preserve">and dynamics </w:t>
      </w:r>
      <w:r w:rsidR="000E005F">
        <w:t xml:space="preserve">that reflect those experienced in </w:t>
      </w:r>
      <w:r w:rsidR="001B64D1">
        <w:t xml:space="preserve">some </w:t>
      </w:r>
      <w:r w:rsidR="000E005F">
        <w:t>PSPS events to date</w:t>
      </w:r>
      <w:r w:rsidR="00F55A1B">
        <w:t>.</w:t>
      </w:r>
      <w:r w:rsidR="009F4716">
        <w:rPr>
          <w:rStyle w:val="FootnoteReference"/>
        </w:rPr>
        <w:footnoteReference w:id="65"/>
      </w:r>
      <w:r>
        <w:t xml:space="preserve">  </w:t>
      </w:r>
      <w:r w:rsidR="005F0BC7">
        <w:t xml:space="preserve">If </w:t>
      </w:r>
      <w:r w:rsidR="005A475A">
        <w:t>LBNL</w:t>
      </w:r>
      <w:r w:rsidR="003844AB">
        <w:t xml:space="preserve"> </w:t>
      </w:r>
      <w:r w:rsidR="000E005F">
        <w:t xml:space="preserve">initiates a </w:t>
      </w:r>
      <w:r w:rsidR="00A82CE2">
        <w:t xml:space="preserve">California </w:t>
      </w:r>
      <w:r w:rsidR="003844AB">
        <w:t xml:space="preserve">project </w:t>
      </w:r>
      <w:r w:rsidR="0012088F">
        <w:t>similar to the Midwest</w:t>
      </w:r>
      <w:r w:rsidR="009242DA">
        <w:t>ern utility</w:t>
      </w:r>
      <w:r w:rsidR="0012088F">
        <w:t xml:space="preserve"> POET project that </w:t>
      </w:r>
      <w:r w:rsidR="00A82CE2">
        <w:t>consider</w:t>
      </w:r>
      <w:r w:rsidR="0012088F">
        <w:t xml:space="preserve">s longer duration </w:t>
      </w:r>
      <w:r w:rsidR="00082560">
        <w:t xml:space="preserve">or consecutive </w:t>
      </w:r>
      <w:r w:rsidR="0012088F">
        <w:t xml:space="preserve">outages </w:t>
      </w:r>
      <w:r w:rsidR="00E65A3E">
        <w:t xml:space="preserve">at a future date, the Commission will consider IOU participation and cost recovery at </w:t>
      </w:r>
      <w:r w:rsidR="00347ED8">
        <w:t>that time</w:t>
      </w:r>
      <w:r w:rsidR="003844AB">
        <w:t xml:space="preserve">. </w:t>
      </w:r>
    </w:p>
    <w:p w:rsidR="007815B3" w:rsidP="007815B3" w:rsidRDefault="007815B3" w14:paraId="548C45AA" w14:textId="1F2A10D6">
      <w:pPr>
        <w:pStyle w:val="Standard"/>
      </w:pPr>
      <w:r w:rsidRPr="00725F65">
        <w:t xml:space="preserve">We agree with MGRA and others that there are limitations </w:t>
      </w:r>
      <w:r w:rsidR="005A3CD3">
        <w:t>to</w:t>
      </w:r>
      <w:r w:rsidR="001A35FE">
        <w:t xml:space="preserve"> </w:t>
      </w:r>
      <w:r w:rsidRPr="00725F65">
        <w:t>use of the ICE Calculator with regards to PSPS and that the proper quantification of PSPS</w:t>
      </w:r>
      <w:r w:rsidR="007B6F9C">
        <w:t> </w:t>
      </w:r>
      <w:r w:rsidRPr="00725F65">
        <w:t xml:space="preserve">risk and </w:t>
      </w:r>
      <w:r w:rsidR="00200331">
        <w:t>B</w:t>
      </w:r>
      <w:r w:rsidRPr="00725F65">
        <w:t xml:space="preserve">enefits should be explored further in </w:t>
      </w:r>
      <w:r w:rsidRPr="000C7003">
        <w:t>a future phase of this proceeding</w:t>
      </w:r>
      <w:r w:rsidR="00E55456">
        <w:t xml:space="preserve"> or in a successor proceeding</w:t>
      </w:r>
      <w:r w:rsidRPr="00725F65">
        <w:t>.</w:t>
      </w:r>
    </w:p>
    <w:p w:rsidR="007815B3" w:rsidP="007815B3" w:rsidRDefault="007815B3" w14:paraId="24596F50" w14:textId="3632DD8A">
      <w:pPr>
        <w:pStyle w:val="Standard"/>
      </w:pPr>
      <w:r w:rsidRPr="001F5437">
        <w:t xml:space="preserve">We direct </w:t>
      </w:r>
      <w:r w:rsidR="00032A15">
        <w:t xml:space="preserve">each </w:t>
      </w:r>
      <w:r w:rsidRPr="001F5437">
        <w:t>IOU</w:t>
      </w:r>
      <w:r w:rsidR="00032A15">
        <w:t xml:space="preserve"> </w:t>
      </w:r>
      <w:r w:rsidRPr="001F5437">
        <w:t xml:space="preserve">to apply a dollar value for gas reliability </w:t>
      </w:r>
      <w:r w:rsidR="00032A15">
        <w:t xml:space="preserve">in the Cost-Benefit Approach </w:t>
      </w:r>
      <w:r w:rsidRPr="001F5437">
        <w:t>based on the implied value from the</w:t>
      </w:r>
      <w:r w:rsidR="0058018A">
        <w:t xml:space="preserve"> </w:t>
      </w:r>
      <w:r w:rsidR="00032A15">
        <w:t xml:space="preserve">IOU’s </w:t>
      </w:r>
      <w:r w:rsidRPr="001F5437">
        <w:t xml:space="preserve">MAVF </w:t>
      </w:r>
      <w:r w:rsidRPr="001F5437" w:rsidR="0018043C">
        <w:t>Risk Score</w:t>
      </w:r>
      <w:r w:rsidRPr="001F5437">
        <w:t xml:space="preserve"> calculation</w:t>
      </w:r>
      <w:r w:rsidR="0058018A">
        <w:t xml:space="preserve"> included in </w:t>
      </w:r>
      <w:r w:rsidR="00032A15">
        <w:t xml:space="preserve">its </w:t>
      </w:r>
      <w:r w:rsidR="0058018A">
        <w:t>most recent RAMP filing</w:t>
      </w:r>
      <w:r w:rsidR="00EB2657">
        <w:t xml:space="preserve">, or, </w:t>
      </w:r>
      <w:r w:rsidR="005F43BA">
        <w:t>to justify its choice of an alternative model by providing an analysis comparing the results of its preferred alternative model to the results using the implied values</w:t>
      </w:r>
      <w:r w:rsidR="00032A15">
        <w:t>.</w:t>
      </w:r>
      <w:r w:rsidR="009242DA">
        <w:t xml:space="preserve">  </w:t>
      </w:r>
      <w:r w:rsidR="00032A15">
        <w:t xml:space="preserve">The IOUs’ most recent RAMP filings are </w:t>
      </w:r>
      <w:r w:rsidR="00D10894">
        <w:t>the 2020</w:t>
      </w:r>
      <w:r w:rsidR="007B6F9C">
        <w:t> </w:t>
      </w:r>
      <w:r w:rsidR="00D10894">
        <w:t>RAMP filing for PG&amp;E, the 2021 RAMP filing for the Sempra Companies, and the 2022 R</w:t>
      </w:r>
      <w:r w:rsidR="00A05471">
        <w:t>AMP</w:t>
      </w:r>
      <w:r w:rsidR="00D10894">
        <w:t xml:space="preserve"> filing for SCE</w:t>
      </w:r>
      <w:r w:rsidR="00DA7A85">
        <w:t xml:space="preserve">.  The IOUs should continue to use these implied </w:t>
      </w:r>
      <w:r w:rsidRPr="001F5437" w:rsidR="00F52070">
        <w:t>dollar value</w:t>
      </w:r>
      <w:r w:rsidR="00F52070">
        <w:t>s</w:t>
      </w:r>
      <w:r w:rsidRPr="001F5437" w:rsidR="00F52070">
        <w:t xml:space="preserve"> for gas reliability</w:t>
      </w:r>
      <w:r w:rsidRPr="001F5437">
        <w:t xml:space="preserve"> until </w:t>
      </w:r>
      <w:r w:rsidR="00DA7A85">
        <w:t xml:space="preserve">such time as </w:t>
      </w:r>
      <w:r w:rsidR="00184358">
        <w:t>we adopt an alternate</w:t>
      </w:r>
      <w:r w:rsidRPr="001F5437">
        <w:t xml:space="preserve"> standard dollar valuation </w:t>
      </w:r>
      <w:r w:rsidR="00184358">
        <w:t>in th</w:t>
      </w:r>
      <w:r w:rsidR="00F52070">
        <w:t>is or a successor proceeding</w:t>
      </w:r>
      <w:r w:rsidRPr="001F5437">
        <w:t>.</w:t>
      </w:r>
    </w:p>
    <w:p w:rsidRPr="009E0E68" w:rsidR="00DF5F55" w:rsidP="007815B3" w:rsidRDefault="00032A15" w14:paraId="7AF87E21" w14:textId="1132DCEE">
      <w:pPr>
        <w:pStyle w:val="Standard"/>
      </w:pPr>
      <w:r>
        <w:t>S</w:t>
      </w:r>
      <w:r w:rsidR="00772E31">
        <w:t xml:space="preserve">ection </w:t>
      </w:r>
      <w:r w:rsidR="007D2289">
        <w:t>5.1.4</w:t>
      </w:r>
      <w:r>
        <w:t xml:space="preserve"> </w:t>
      </w:r>
      <w:r w:rsidR="00AE53B5">
        <w:t>authorize</w:t>
      </w:r>
      <w:r>
        <w:t>s</w:t>
      </w:r>
      <w:r w:rsidR="00AE53B5">
        <w:t xml:space="preserve"> continuation of the TWG established in </w:t>
      </w:r>
      <w:r w:rsidRPr="00AC7670" w:rsidR="00AE53B5">
        <w:t>D.21</w:t>
      </w:r>
      <w:r w:rsidR="00FE21E2">
        <w:noBreakHyphen/>
      </w:r>
      <w:r w:rsidRPr="00AC7670" w:rsidR="00AE53B5">
        <w:t>11</w:t>
      </w:r>
      <w:r w:rsidR="00FE21E2">
        <w:noBreakHyphen/>
      </w:r>
      <w:r w:rsidRPr="00AC7670" w:rsidR="00AE53B5">
        <w:t>009</w:t>
      </w:r>
      <w:r>
        <w:t xml:space="preserve"> and identifies one task in scope</w:t>
      </w:r>
      <w:r w:rsidR="00AE53B5">
        <w:t xml:space="preserve">.  </w:t>
      </w:r>
      <w:r w:rsidR="00251580">
        <w:t xml:space="preserve">Here we additionally </w:t>
      </w:r>
      <w:r w:rsidR="00A1492F">
        <w:t>authorize</w:t>
      </w:r>
      <w:r w:rsidRPr="007815B3" w:rsidR="007815B3">
        <w:t xml:space="preserve"> </w:t>
      </w:r>
      <w:r w:rsidR="00AE53B5">
        <w:t xml:space="preserve">the TWG </w:t>
      </w:r>
      <w:r w:rsidRPr="007815B3" w:rsidR="007815B3">
        <w:t>to explore ways to identify a suitable standard that could be used for establishing a dollar valuation for gas reliability</w:t>
      </w:r>
      <w:r w:rsidR="003F060F">
        <w:t xml:space="preserve"> and, if feasible, to </w:t>
      </w:r>
      <w:r w:rsidR="00B64A70">
        <w:t xml:space="preserve">recommend </w:t>
      </w:r>
      <w:r w:rsidR="003B6411">
        <w:t>such a standard</w:t>
      </w:r>
      <w:r w:rsidRPr="007815B3" w:rsidR="007815B3">
        <w:t>.</w:t>
      </w:r>
      <w:r w:rsidR="00AE53B5">
        <w:t xml:space="preserve">  </w:t>
      </w:r>
      <w:r w:rsidRPr="000C7003" w:rsidR="00AE53B5">
        <w:t xml:space="preserve">We </w:t>
      </w:r>
      <w:r w:rsidRPr="000C7003" w:rsidR="00B244E6">
        <w:t>also</w:t>
      </w:r>
      <w:r w:rsidRPr="000C7003" w:rsidDel="00E64EB3" w:rsidR="00DF5F55">
        <w:t xml:space="preserve"> </w:t>
      </w:r>
      <w:r w:rsidR="00A1492F">
        <w:t>authorize</w:t>
      </w:r>
      <w:r w:rsidRPr="000C7003" w:rsidR="00251580">
        <w:t xml:space="preserve"> the</w:t>
      </w:r>
      <w:r w:rsidRPr="000C7003" w:rsidR="00AE53B5">
        <w:t xml:space="preserve"> TWG </w:t>
      </w:r>
      <w:r w:rsidRPr="000C7003" w:rsidR="00DF5F55">
        <w:t xml:space="preserve">to </w:t>
      </w:r>
      <w:r w:rsidRPr="000C7003" w:rsidR="00AE53B5">
        <w:t xml:space="preserve">explore </w:t>
      </w:r>
      <w:r w:rsidRPr="000C7003" w:rsidR="003174C3">
        <w:t xml:space="preserve">if there is a need for </w:t>
      </w:r>
      <w:r w:rsidRPr="000C7003" w:rsidR="00FA6F34">
        <w:t xml:space="preserve">the Commission to </w:t>
      </w:r>
      <w:r w:rsidRPr="000C7003" w:rsidR="003174C3">
        <w:t xml:space="preserve">adopt a process to formally </w:t>
      </w:r>
      <w:r w:rsidR="00BB1C01">
        <w:t xml:space="preserve">review and </w:t>
      </w:r>
      <w:r w:rsidRPr="000C7003" w:rsidR="00DF5F55">
        <w:t>authoriz</w:t>
      </w:r>
      <w:r w:rsidRPr="000C7003" w:rsidR="00FA6F34">
        <w:t>e</w:t>
      </w:r>
      <w:r w:rsidRPr="000C7003" w:rsidR="00DF5F55">
        <w:t xml:space="preserve"> </w:t>
      </w:r>
      <w:r w:rsidR="00BB1C01">
        <w:t xml:space="preserve">IOUs’ proposed </w:t>
      </w:r>
      <w:r w:rsidRPr="000C7003" w:rsidR="00DF5F55">
        <w:t>exception</w:t>
      </w:r>
      <w:r w:rsidRPr="000C7003" w:rsidR="00FA6F34">
        <w:t>s</w:t>
      </w:r>
      <w:r w:rsidRPr="000C7003" w:rsidR="00DF5F55">
        <w:t xml:space="preserve"> to</w:t>
      </w:r>
      <w:r w:rsidRPr="000C7003" w:rsidR="00FA6F34">
        <w:t xml:space="preserve"> </w:t>
      </w:r>
      <w:r w:rsidRPr="000C7003" w:rsidR="003E04B0">
        <w:t xml:space="preserve">the </w:t>
      </w:r>
      <w:r w:rsidRPr="000C7003" w:rsidR="00DF5F55">
        <w:t>standard</w:t>
      </w:r>
      <w:r w:rsidRPr="00DF5F55" w:rsidR="00DF5F55">
        <w:t xml:space="preserve"> dollar valuations</w:t>
      </w:r>
      <w:r w:rsidR="00B564CB">
        <w:t xml:space="preserve"> </w:t>
      </w:r>
      <w:r w:rsidR="000D722E">
        <w:t xml:space="preserve">we adopt here </w:t>
      </w:r>
      <w:r w:rsidR="00B564CB">
        <w:t>and</w:t>
      </w:r>
      <w:r w:rsidR="000D722E">
        <w:t xml:space="preserve">, </w:t>
      </w:r>
      <w:r w:rsidR="00B564CB">
        <w:t xml:space="preserve">if so, to provide recommendations on this issue </w:t>
      </w:r>
      <w:r w:rsidR="003E04B0">
        <w:t xml:space="preserve">for consideration </w:t>
      </w:r>
      <w:r w:rsidRPr="00DF5F55" w:rsidR="00DF5F55">
        <w:t>in a future phase of this proceeding</w:t>
      </w:r>
      <w:r w:rsidR="00DB1550">
        <w:t xml:space="preserve"> or in a successor proceeding</w:t>
      </w:r>
      <w:r w:rsidRPr="00DF5F55" w:rsidR="00DF5F55">
        <w:t>.</w:t>
      </w:r>
      <w:r w:rsidR="00092CC4">
        <w:t xml:space="preserve">  In addition to TWG recommendations, </w:t>
      </w:r>
      <w:r w:rsidR="0020139E">
        <w:t xml:space="preserve">the </w:t>
      </w:r>
      <w:r w:rsidR="00092CC4">
        <w:t>IOUs will be afforded the opportunity to offer formal proposals in these areas</w:t>
      </w:r>
      <w:r w:rsidR="00432975">
        <w:t xml:space="preserve"> in future phases of this rulemaking</w:t>
      </w:r>
      <w:r w:rsidR="0020139E">
        <w:t xml:space="preserve">, which </w:t>
      </w:r>
      <w:r w:rsidR="00092CC4">
        <w:t xml:space="preserve">will then be subject to party comment. </w:t>
      </w:r>
    </w:p>
    <w:p w:rsidR="00D77BD1" w:rsidP="00D77BD1" w:rsidRDefault="00172531" w14:paraId="27D034C7" w14:textId="66B14E3A">
      <w:pPr>
        <w:pStyle w:val="Heading2"/>
        <w:numPr>
          <w:ilvl w:val="1"/>
          <w:numId w:val="1"/>
        </w:numPr>
      </w:pPr>
      <w:bookmarkStart w:name="_Toc121821044" w:id="32"/>
      <w:r>
        <w:t>Incorp</w:t>
      </w:r>
      <w:r w:rsidR="00C42ADA">
        <w:t>orating Environmental and</w:t>
      </w:r>
      <w:r w:rsidR="00FE21E2">
        <w:br/>
      </w:r>
      <w:r w:rsidR="00C42ADA">
        <w:t>So</w:t>
      </w:r>
      <w:r w:rsidR="00EA4CB2">
        <w:t>cial Justice Impacts into the RDF</w:t>
      </w:r>
      <w:bookmarkEnd w:id="32"/>
    </w:p>
    <w:p w:rsidR="00A315A0" w:rsidP="00CB7C4C" w:rsidRDefault="007A300D" w14:paraId="1AFD0583" w14:textId="3F858E83">
      <w:pPr>
        <w:pStyle w:val="Standard"/>
      </w:pPr>
      <w:r w:rsidRPr="00D5691F">
        <w:t xml:space="preserve">The </w:t>
      </w:r>
      <w:r w:rsidR="00435D2F">
        <w:t xml:space="preserve">Phase II </w:t>
      </w:r>
      <w:r w:rsidRPr="00D5691F">
        <w:t xml:space="preserve">Scoping Memo asks if the Commission should consider impacts on </w:t>
      </w:r>
      <w:r w:rsidR="00265014">
        <w:t>ESJ</w:t>
      </w:r>
      <w:r w:rsidR="00FE21E2">
        <w:t> </w:t>
      </w:r>
      <w:r w:rsidRPr="00D5691F">
        <w:t>communities</w:t>
      </w:r>
      <w:r w:rsidR="00573EA2">
        <w:t xml:space="preserve"> of decisions and activities in this proceeding</w:t>
      </w:r>
      <w:r w:rsidRPr="00D5691F">
        <w:t>, including the extent to which actio</w:t>
      </w:r>
      <w:r w:rsidR="005F1E87">
        <w:t xml:space="preserve">ns </w:t>
      </w:r>
      <w:r w:rsidR="00A315A0">
        <w:t xml:space="preserve">taken </w:t>
      </w:r>
      <w:r w:rsidR="005F1E87">
        <w:t>here</w:t>
      </w:r>
      <w:r w:rsidRPr="00D5691F">
        <w:t xml:space="preserve"> impact achievement of any of the nine goals of the Commission’s </w:t>
      </w:r>
      <w:r w:rsidR="00265014">
        <w:t xml:space="preserve">ESJ </w:t>
      </w:r>
      <w:r w:rsidRPr="00D5691F">
        <w:t>Action Plan</w:t>
      </w:r>
      <w:r w:rsidR="00DC4458">
        <w:t>.</w:t>
      </w:r>
      <w:r w:rsidRPr="00D5691F">
        <w:rPr>
          <w:rStyle w:val="FootnoteReference"/>
        </w:rPr>
        <w:footnoteReference w:id="66"/>
      </w:r>
      <w:r w:rsidRPr="00D5691F">
        <w:t xml:space="preserve"> </w:t>
      </w:r>
      <w:r w:rsidR="00A315A0">
        <w:t xml:space="preserve"> </w:t>
      </w:r>
    </w:p>
    <w:p w:rsidR="008F12C1" w:rsidP="00CB7C4C" w:rsidRDefault="009E786A" w14:paraId="464053BA" w14:textId="77777777">
      <w:pPr>
        <w:pStyle w:val="Standard"/>
      </w:pPr>
      <w:r w:rsidRPr="00D5691F">
        <w:t>In February 2019,</w:t>
      </w:r>
      <w:r w:rsidRPr="009E786A">
        <w:t xml:space="preserve"> the Commission adopted its ESJ Action Plan as a comprehensive strategy and framework for addressing ESJ issues in each proceeding.</w:t>
      </w:r>
      <w:r w:rsidR="003562B5">
        <w:t xml:space="preserve">  </w:t>
      </w:r>
      <w:r w:rsidR="002F3D92">
        <w:t>Version 2.0 of the ESJ Action Plan was approved by the Commission on April 7, 2022.</w:t>
      </w:r>
      <w:r>
        <w:rPr>
          <w:rStyle w:val="FootnoteReference"/>
        </w:rPr>
        <w:footnoteReference w:id="67"/>
      </w:r>
      <w:r w:rsidR="003562B5">
        <w:t xml:space="preserve">  </w:t>
      </w:r>
      <w:r w:rsidR="00FC540C">
        <w:t xml:space="preserve">The most recent update to the </w:t>
      </w:r>
      <w:hyperlink w:history="1" r:id="rId16">
        <w:r w:rsidRPr="00214061" w:rsidR="00FC540C">
          <w:rPr>
            <w:rFonts w:cs="Times New Roman"/>
          </w:rPr>
          <w:t>ESJ Action Plan</w:t>
        </w:r>
      </w:hyperlink>
      <w:r w:rsidR="00FC540C">
        <w:t xml:space="preserve"> </w:t>
      </w:r>
      <w:r w:rsidR="0013093E">
        <w:t xml:space="preserve">reinforces </w:t>
      </w:r>
      <w:r w:rsidR="00F12A28">
        <w:t>its</w:t>
      </w:r>
      <w:r w:rsidDel="0013093E" w:rsidR="00FC540C">
        <w:t xml:space="preserve"> </w:t>
      </w:r>
      <w:r w:rsidR="00FC540C">
        <w:t>focus on equity, defined as “increasing access to power, redistributing and providing additional resources, and eliminating barriers to opportunity, to empower low-income communities of color to thrive and reach full potential.”</w:t>
      </w:r>
      <w:r w:rsidRPr="0F2713CD" w:rsidR="00FC540C">
        <w:rPr>
          <w:rStyle w:val="FootnoteReference"/>
        </w:rPr>
        <w:footnoteReference w:id="68"/>
      </w:r>
      <w:r w:rsidRPr="0D0DF702" w:rsidR="00FC540C">
        <w:rPr>
          <w:rStyle w:val="FootnoteReference"/>
        </w:rPr>
        <w:t xml:space="preserve"> </w:t>
      </w:r>
    </w:p>
    <w:p w:rsidR="00D77BD1" w:rsidP="00CB7C4C" w:rsidRDefault="007A300D" w14:paraId="32CE1A35" w14:textId="7D2BD4E9">
      <w:pPr>
        <w:pStyle w:val="Standard"/>
      </w:pPr>
      <w:bookmarkStart w:name="_Hlk118046960" w:id="33"/>
      <w:r w:rsidRPr="00D5691F">
        <w:t xml:space="preserve">The </w:t>
      </w:r>
      <w:r w:rsidR="008F12C1">
        <w:t xml:space="preserve">ESJ </w:t>
      </w:r>
      <w:r w:rsidRPr="00D5691F">
        <w:t>Action Plan</w:t>
      </w:r>
      <w:r w:rsidRPr="00D5691F" w:rsidDel="001A5953">
        <w:t xml:space="preserve"> </w:t>
      </w:r>
      <w:r w:rsidR="001A5953">
        <w:t>includes</w:t>
      </w:r>
      <w:r w:rsidRPr="00D5691F">
        <w:t xml:space="preserve"> one action item that is directly related to risk assessment</w:t>
      </w:r>
      <w:r w:rsidR="002D7526">
        <w:t>.  Action Item 4.1.4</w:t>
      </w:r>
      <w:r w:rsidRPr="00D5691F">
        <w:t xml:space="preserve"> “require</w:t>
      </w:r>
      <w:r w:rsidR="00D132D3">
        <w:t>[s]</w:t>
      </w:r>
      <w:r w:rsidRPr="00D5691F">
        <w:t xml:space="preserve"> IOUs to overlay planned infrastructure mitigations on the CalEnviroScreen</w:t>
      </w:r>
      <w:r w:rsidRPr="00D5691F">
        <w:rPr>
          <w:vertAlign w:val="superscript"/>
        </w:rPr>
        <w:footnoteReference w:id="69"/>
      </w:r>
      <w:r w:rsidRPr="00D5691F">
        <w:t xml:space="preserve"> map to identify what portions of the mitigations would occur within disadvantaged communities when geographic locations of proposed mitigations are known.”</w:t>
      </w:r>
      <w:r w:rsidRPr="00D5691F">
        <w:rPr>
          <w:rStyle w:val="FootnoteReference"/>
        </w:rPr>
        <w:footnoteReference w:id="70"/>
      </w:r>
    </w:p>
    <w:p w:rsidRPr="000C267B" w:rsidR="0078680F" w:rsidP="002A2CE5" w:rsidRDefault="0078680F" w14:paraId="4646039D" w14:textId="06602400">
      <w:pPr>
        <w:pStyle w:val="Heading3"/>
        <w:numPr>
          <w:ilvl w:val="2"/>
          <w:numId w:val="1"/>
        </w:numPr>
      </w:pPr>
      <w:bookmarkStart w:name="_Toc121821045" w:id="34"/>
      <w:bookmarkEnd w:id="33"/>
      <w:r w:rsidRPr="000C267B">
        <w:t>Staff Proposal</w:t>
      </w:r>
      <w:bookmarkEnd w:id="34"/>
    </w:p>
    <w:p w:rsidR="0078680F" w:rsidP="0078680F" w:rsidRDefault="0078680F" w14:paraId="0A4F637F" w14:textId="7505D11E">
      <w:pPr>
        <w:pStyle w:val="Standard"/>
      </w:pPr>
      <w:r>
        <w:t xml:space="preserve">To begin incorporating ESJ impacts into the RDF, the Staff Proposal recommends </w:t>
      </w:r>
      <w:r w:rsidR="00B315E6">
        <w:t xml:space="preserve">the Commission direct </w:t>
      </w:r>
      <w:r>
        <w:t xml:space="preserve">PG&amp;E to </w:t>
      </w:r>
      <w:r w:rsidR="00400067">
        <w:t>p</w:t>
      </w:r>
      <w:r w:rsidR="00201F59">
        <w:t>ilot</w:t>
      </w:r>
      <w:r>
        <w:t xml:space="preserve"> incorporati</w:t>
      </w:r>
      <w:r w:rsidR="00E2025C">
        <w:t>ng use</w:t>
      </w:r>
      <w:r>
        <w:t xml:space="preserve"> of CalEnviroScreen</w:t>
      </w:r>
      <w:r w:rsidR="00E2025C">
        <w:t xml:space="preserve"> into the RDF</w:t>
      </w:r>
      <w:r>
        <w:t xml:space="preserve">, </w:t>
      </w:r>
      <w:r w:rsidDel="00E907E2">
        <w:t>including consideration of</w:t>
      </w:r>
      <w:r>
        <w:t xml:space="preserve"> </w:t>
      </w:r>
      <w:r w:rsidRPr="007A39EB">
        <w:t>Disadvantaged and Vulnerable Communities</w:t>
      </w:r>
      <w:r>
        <w:t xml:space="preserve"> (DVC),</w:t>
      </w:r>
      <w:r>
        <w:rPr>
          <w:rStyle w:val="FootnoteReference"/>
        </w:rPr>
        <w:footnoteReference w:id="71"/>
      </w:r>
      <w:r>
        <w:t xml:space="preserve"> with the </w:t>
      </w:r>
      <w:r w:rsidR="00400067">
        <w:t>p</w:t>
      </w:r>
      <w:r w:rsidR="00201F59">
        <w:t>ilot</w:t>
      </w:r>
      <w:r>
        <w:t xml:space="preserve"> results to be included in PG&amp;E’s 2024 RAMP </w:t>
      </w:r>
      <w:r w:rsidR="00A5603F">
        <w:t>filing</w:t>
      </w:r>
      <w:r>
        <w:t>.</w:t>
      </w:r>
      <w:r>
        <w:rPr>
          <w:rStyle w:val="FootnoteReference"/>
        </w:rPr>
        <w:footnoteReference w:id="72"/>
      </w:r>
      <w:r>
        <w:t xml:space="preserve">  Specifically, Staff recommend </w:t>
      </w:r>
      <w:r w:rsidR="00400067">
        <w:t>an IOU p</w:t>
      </w:r>
      <w:r w:rsidR="00201F59">
        <w:t>ilot</w:t>
      </w:r>
      <w:r>
        <w:t xml:space="preserve"> be designed to:</w:t>
      </w:r>
    </w:p>
    <w:p w:rsidRPr="00074C2B" w:rsidR="0078680F" w:rsidP="00864718" w:rsidRDefault="00C93057" w14:paraId="22A8BDEE" w14:textId="2BCC3E80">
      <w:pPr>
        <w:pStyle w:val="ListBullet"/>
        <w:ind w:left="1080" w:right="1440"/>
      </w:pPr>
      <w:r w:rsidRPr="00EA6EF2">
        <w:rPr>
          <w:u w:val="single"/>
        </w:rPr>
        <w:t>Action Item #1</w:t>
      </w:r>
      <w:r>
        <w:t xml:space="preserve">: </w:t>
      </w:r>
      <w:r w:rsidR="00FE21E2">
        <w:t xml:space="preserve"> </w:t>
      </w:r>
      <w:r w:rsidRPr="00F15EB7" w:rsidR="0078680F">
        <w:t>Consider equity in the evaluation of consequences and risk mitigation using CalEnviroScreen or other data sources to better understand how risks may disproportionately impact some communities more than others</w:t>
      </w:r>
      <w:r w:rsidR="0078680F">
        <w:t>;</w:t>
      </w:r>
    </w:p>
    <w:p w:rsidR="0078680F" w:rsidP="00864718" w:rsidRDefault="00C93057" w14:paraId="3E8B0F2E" w14:textId="55867D08">
      <w:pPr>
        <w:pStyle w:val="ListBullet"/>
        <w:ind w:left="1080" w:right="1440"/>
      </w:pPr>
      <w:r w:rsidRPr="00C50A91">
        <w:rPr>
          <w:u w:val="single"/>
        </w:rPr>
        <w:t>Action Item #</w:t>
      </w:r>
      <w:r>
        <w:rPr>
          <w:u w:val="single"/>
        </w:rPr>
        <w:t>2</w:t>
      </w:r>
      <w:r>
        <w:t xml:space="preserve">: </w:t>
      </w:r>
      <w:r w:rsidR="00FE21E2">
        <w:t xml:space="preserve"> </w:t>
      </w:r>
      <w:r w:rsidRPr="00FE21E2" w:rsidR="0078680F">
        <w:t>Consider</w:t>
      </w:r>
      <w:r w:rsidRPr="00756693" w:rsidR="0078680F">
        <w:t xml:space="preserve"> investments in clean energy resources to improve safety and reliability and mitigate risks in ESJ communities</w:t>
      </w:r>
      <w:r w:rsidR="0078680F">
        <w:t>;</w:t>
      </w:r>
    </w:p>
    <w:p w:rsidR="0078680F" w:rsidP="00864718" w:rsidRDefault="00C93057" w14:paraId="77D228A1" w14:textId="23776F27">
      <w:pPr>
        <w:pStyle w:val="ListBullet"/>
        <w:ind w:left="1080" w:right="1440"/>
      </w:pPr>
      <w:r w:rsidRPr="00C50A91">
        <w:rPr>
          <w:u w:val="single"/>
        </w:rPr>
        <w:t>Action Item #</w:t>
      </w:r>
      <w:r>
        <w:rPr>
          <w:u w:val="single"/>
        </w:rPr>
        <w:t>3</w:t>
      </w:r>
      <w:r>
        <w:t xml:space="preserve">: </w:t>
      </w:r>
      <w:r w:rsidR="00FE21E2">
        <w:t xml:space="preserve"> </w:t>
      </w:r>
      <w:r w:rsidR="0078680F">
        <w:t xml:space="preserve">Consider </w:t>
      </w:r>
      <w:r w:rsidR="00B46DC2">
        <w:t>M</w:t>
      </w:r>
      <w:r w:rsidRPr="00615865" w:rsidR="0078680F">
        <w:t xml:space="preserve">itigations that improve local air quality and public health, </w:t>
      </w:r>
      <w:r w:rsidRPr="00457F36" w:rsidR="0078680F">
        <w:t>including</w:t>
      </w:r>
      <w:r w:rsidRPr="00615865" w:rsidR="0078680F">
        <w:t xml:space="preserve"> observations from Assembly Bill (AB) 617 community air protection program</w:t>
      </w:r>
      <w:r w:rsidR="0078680F">
        <w:t>;</w:t>
      </w:r>
    </w:p>
    <w:p w:rsidR="0078680F" w:rsidP="00864718" w:rsidRDefault="00C93057" w14:paraId="546DAF49" w14:textId="37EFFD71">
      <w:pPr>
        <w:pStyle w:val="ListBullet"/>
        <w:ind w:left="1080" w:right="1440"/>
      </w:pPr>
      <w:r w:rsidRPr="00C50A91">
        <w:rPr>
          <w:u w:val="single"/>
        </w:rPr>
        <w:t>Action Item #</w:t>
      </w:r>
      <w:r>
        <w:rPr>
          <w:u w:val="single"/>
        </w:rPr>
        <w:t>4</w:t>
      </w:r>
      <w:r>
        <w:t xml:space="preserve">: </w:t>
      </w:r>
      <w:r w:rsidR="00FE21E2">
        <w:t xml:space="preserve"> </w:t>
      </w:r>
      <w:r w:rsidRPr="00FE21E2" w:rsidR="0078680F">
        <w:t>Evaluate</w:t>
      </w:r>
      <w:r w:rsidRPr="006B7EAF" w:rsidR="0078680F">
        <w:t xml:space="preserve"> how proposed mitigations may increase climate resiliency in ESJ communities</w:t>
      </w:r>
      <w:r w:rsidR="0078680F">
        <w:t>;</w:t>
      </w:r>
    </w:p>
    <w:p w:rsidR="0078680F" w:rsidP="00864718" w:rsidRDefault="00C93057" w14:paraId="0EEA54AC" w14:textId="5D514029">
      <w:pPr>
        <w:pStyle w:val="ListBullet"/>
        <w:ind w:left="1080" w:right="1440"/>
      </w:pPr>
      <w:r w:rsidRPr="00C50A91">
        <w:rPr>
          <w:u w:val="single"/>
        </w:rPr>
        <w:t>Action Item #</w:t>
      </w:r>
      <w:r>
        <w:rPr>
          <w:u w:val="single"/>
        </w:rPr>
        <w:t>5</w:t>
      </w:r>
      <w:r>
        <w:t xml:space="preserve">: </w:t>
      </w:r>
      <w:r w:rsidR="00FE21E2">
        <w:t xml:space="preserve"> </w:t>
      </w:r>
      <w:r w:rsidRPr="006B7EAF" w:rsidR="0078680F">
        <w:t>Evaluate if estimated impacts from wildfire smoke disproportionately impact ESJ</w:t>
      </w:r>
      <w:r w:rsidR="00FE21E2">
        <w:t> </w:t>
      </w:r>
      <w:r w:rsidRPr="006B7EAF" w:rsidR="0078680F">
        <w:t>communities</w:t>
      </w:r>
      <w:r w:rsidR="0078680F">
        <w:t>;</w:t>
      </w:r>
    </w:p>
    <w:p w:rsidR="0078680F" w:rsidP="00864718" w:rsidRDefault="004C1546" w14:paraId="4EBEF318" w14:textId="04C3FE2C">
      <w:pPr>
        <w:pStyle w:val="ListBullet"/>
        <w:ind w:left="1080" w:right="1440"/>
      </w:pPr>
      <w:r w:rsidRPr="00C50A91">
        <w:rPr>
          <w:u w:val="single"/>
        </w:rPr>
        <w:t>Action Item #</w:t>
      </w:r>
      <w:r>
        <w:rPr>
          <w:u w:val="single"/>
        </w:rPr>
        <w:t>6</w:t>
      </w:r>
      <w:r>
        <w:t xml:space="preserve">: </w:t>
      </w:r>
      <w:r w:rsidR="00FE21E2">
        <w:t xml:space="preserve"> </w:t>
      </w:r>
      <w:r w:rsidRPr="00947D30" w:rsidR="0078680F">
        <w:t xml:space="preserve">Estimate the extent to which risk mitigation investments </w:t>
      </w:r>
      <w:r w:rsidRPr="00947D30" w:rsidDel="008C3223" w:rsidR="0078680F">
        <w:t xml:space="preserve">disproportionately </w:t>
      </w:r>
      <w:r w:rsidRPr="00947D30" w:rsidR="0078680F">
        <w:t xml:space="preserve">benefit populations </w:t>
      </w:r>
      <w:r w:rsidRPr="00947D30" w:rsidDel="007F3EED" w:rsidR="0078680F">
        <w:t>outside of</w:t>
      </w:r>
      <w:r w:rsidR="007F3EED">
        <w:t xml:space="preserve"> </w:t>
      </w:r>
      <w:r w:rsidRPr="00947D30" w:rsidR="0078680F">
        <w:t>ESJ communities</w:t>
      </w:r>
      <w:r w:rsidR="0078680F">
        <w:t>;</w:t>
      </w:r>
      <w:r w:rsidR="007B6F9C">
        <w:t xml:space="preserve"> and</w:t>
      </w:r>
    </w:p>
    <w:p w:rsidR="0078680F" w:rsidP="00864718" w:rsidRDefault="004C1546" w14:paraId="0E80CACB" w14:textId="46284AA3">
      <w:pPr>
        <w:pStyle w:val="ListBullet"/>
        <w:ind w:left="1080" w:right="1440"/>
      </w:pPr>
      <w:r w:rsidRPr="00C50A91">
        <w:rPr>
          <w:u w:val="single"/>
        </w:rPr>
        <w:t>Action Item #</w:t>
      </w:r>
      <w:r>
        <w:rPr>
          <w:u w:val="single"/>
        </w:rPr>
        <w:t>7</w:t>
      </w:r>
      <w:r>
        <w:t xml:space="preserve">: </w:t>
      </w:r>
      <w:r w:rsidR="00FE21E2">
        <w:t xml:space="preserve"> </w:t>
      </w:r>
      <w:r w:rsidRPr="00947D30" w:rsidR="0078680F">
        <w:t xml:space="preserve">Enhance outreach and public participation opportunities for ESJ </w:t>
      </w:r>
      <w:r w:rsidRPr="00FE21E2" w:rsidR="0078680F">
        <w:t>communities</w:t>
      </w:r>
      <w:r w:rsidRPr="00947D30" w:rsidR="0078680F">
        <w:t xml:space="preserve"> to meaningfully participate in risk mitigation and climate adaptation activities consistent with D.20</w:t>
      </w:r>
      <w:r w:rsidR="00FE21E2">
        <w:noBreakHyphen/>
      </w:r>
      <w:r w:rsidRPr="00947D30" w:rsidR="0078680F">
        <w:t>08</w:t>
      </w:r>
      <w:r w:rsidR="00FE21E2">
        <w:noBreakHyphen/>
      </w:r>
      <w:r w:rsidRPr="00947D30" w:rsidR="0078680F">
        <w:t>046.</w:t>
      </w:r>
    </w:p>
    <w:p w:rsidR="0078680F" w:rsidP="0078680F" w:rsidRDefault="0078680F" w14:paraId="11D8F402" w14:textId="44EB1256">
      <w:pPr>
        <w:pStyle w:val="Standard"/>
      </w:pPr>
      <w:r>
        <w:t xml:space="preserve">Staff recommend PG&amp;E produce a </w:t>
      </w:r>
      <w:r w:rsidR="00B13A42">
        <w:t>W</w:t>
      </w:r>
      <w:r>
        <w:t xml:space="preserve">hite </w:t>
      </w:r>
      <w:r w:rsidR="00B13A42">
        <w:t>P</w:t>
      </w:r>
      <w:r>
        <w:t>aper</w:t>
      </w:r>
      <w:r w:rsidR="001B5857">
        <w:t xml:space="preserve">: </w:t>
      </w:r>
      <w:r w:rsidR="00D30068">
        <w:t xml:space="preserve"> </w:t>
      </w:r>
      <w:r w:rsidR="001B5857">
        <w:t>(a)</w:t>
      </w:r>
      <w:r>
        <w:t xml:space="preserve"> </w:t>
      </w:r>
      <w:r w:rsidR="00F11C0F">
        <w:t xml:space="preserve">identifying </w:t>
      </w:r>
      <w:r>
        <w:t>areas for further exploration</w:t>
      </w:r>
      <w:r w:rsidR="001B5857">
        <w:t xml:space="preserve">; (b) </w:t>
      </w:r>
      <w:r w:rsidR="00F11C0F">
        <w:t xml:space="preserve">identifying </w:t>
      </w:r>
      <w:r>
        <w:t xml:space="preserve">challenges faced incorporating </w:t>
      </w:r>
      <w:r w:rsidR="00BC54A1">
        <w:t xml:space="preserve">ESJ issues </w:t>
      </w:r>
      <w:r>
        <w:t xml:space="preserve">into </w:t>
      </w:r>
      <w:r w:rsidR="00BA6D36">
        <w:t>the RDF</w:t>
      </w:r>
      <w:r w:rsidR="00F11C0F">
        <w:t>;</w:t>
      </w:r>
      <w:r w:rsidR="00045F31">
        <w:t xml:space="preserve"> </w:t>
      </w:r>
      <w:r>
        <w:t>and</w:t>
      </w:r>
      <w:r w:rsidR="00F11C0F">
        <w:t xml:space="preserve"> (c)</w:t>
      </w:r>
      <w:r>
        <w:t xml:space="preserve"> </w:t>
      </w:r>
      <w:r w:rsidR="00BA6D36">
        <w:t xml:space="preserve">discussing </w:t>
      </w:r>
      <w:r>
        <w:t xml:space="preserve">how to better target </w:t>
      </w:r>
      <w:r w:rsidR="001D71DB">
        <w:t>M</w:t>
      </w:r>
      <w:r>
        <w:t xml:space="preserve">itigations that improve local air quality and climate resilience in </w:t>
      </w:r>
      <w:r w:rsidR="005C5C85">
        <w:t>DVCs</w:t>
      </w:r>
      <w:r>
        <w:t xml:space="preserve">.  </w:t>
      </w:r>
      <w:r w:rsidR="00F11C0F">
        <w:t xml:space="preserve">Staff suggest PG&amp;E’s </w:t>
      </w:r>
      <w:r w:rsidR="00B13A42">
        <w:t>W</w:t>
      </w:r>
      <w:r>
        <w:t xml:space="preserve">hite </w:t>
      </w:r>
      <w:r w:rsidR="00B13A42">
        <w:t>P</w:t>
      </w:r>
      <w:r>
        <w:t xml:space="preserve">aper </w:t>
      </w:r>
      <w:r w:rsidR="00F11C0F">
        <w:t>b</w:t>
      </w:r>
      <w:r>
        <w:t xml:space="preserve">e </w:t>
      </w:r>
      <w:r w:rsidR="00A5603F">
        <w:t>fil</w:t>
      </w:r>
      <w:r>
        <w:t xml:space="preserve">ed </w:t>
      </w:r>
      <w:r w:rsidRPr="00722357">
        <w:t xml:space="preserve">concurrently with </w:t>
      </w:r>
      <w:r w:rsidR="00F11C0F">
        <w:t>its</w:t>
      </w:r>
      <w:r w:rsidRPr="00722357">
        <w:t xml:space="preserve"> RAMP </w:t>
      </w:r>
      <w:r w:rsidR="00A5603F">
        <w:t>filing</w:t>
      </w:r>
      <w:r w:rsidR="00D96E39">
        <w:t>.</w:t>
      </w:r>
      <w:r>
        <w:t xml:space="preserve"> </w:t>
      </w:r>
      <w:r w:rsidR="00731725">
        <w:t xml:space="preserve"> </w:t>
      </w:r>
      <w:r>
        <w:t xml:space="preserve">Staff also recommend that </w:t>
      </w:r>
      <w:r w:rsidR="00A03DBB">
        <w:t>the Sempra Companies</w:t>
      </w:r>
      <w:r>
        <w:t xml:space="preserve"> conduct their own </w:t>
      </w:r>
      <w:r w:rsidR="00F11C0F">
        <w:t xml:space="preserve">ESJ </w:t>
      </w:r>
      <w:r w:rsidR="001B32E0">
        <w:t>P</w:t>
      </w:r>
      <w:r>
        <w:t xml:space="preserve">ilot </w:t>
      </w:r>
      <w:r w:rsidR="001B32E0">
        <w:t>S</w:t>
      </w:r>
      <w:r>
        <w:t xml:space="preserve">tudy and </w:t>
      </w:r>
      <w:r w:rsidR="00B13A42">
        <w:t>W</w:t>
      </w:r>
      <w:r>
        <w:t xml:space="preserve">hite </w:t>
      </w:r>
      <w:r w:rsidR="00B13A42">
        <w:t>P</w:t>
      </w:r>
      <w:r>
        <w:t xml:space="preserve">aper for </w:t>
      </w:r>
      <w:r w:rsidR="00A5603F">
        <w:t>filing</w:t>
      </w:r>
      <w:r>
        <w:t xml:space="preserve"> with their 2025 RAMP </w:t>
      </w:r>
      <w:r w:rsidR="00A5603F">
        <w:t>filing</w:t>
      </w:r>
      <w:r>
        <w:t>, unless different requirements are developed in the intervening time.</w:t>
      </w:r>
      <w:r>
        <w:rPr>
          <w:rStyle w:val="FootnoteReference"/>
        </w:rPr>
        <w:footnoteReference w:id="73"/>
      </w:r>
    </w:p>
    <w:p w:rsidRPr="000C267B" w:rsidR="00985B2C" w:rsidP="002A2CE5" w:rsidRDefault="00985B2C" w14:paraId="33C9B332" w14:textId="3339AA46">
      <w:pPr>
        <w:pStyle w:val="Heading3"/>
        <w:numPr>
          <w:ilvl w:val="2"/>
          <w:numId w:val="1"/>
        </w:numPr>
      </w:pPr>
      <w:bookmarkStart w:name="_Toc121821046" w:id="35"/>
      <w:r w:rsidRPr="000C267B">
        <w:t>Party Comments</w:t>
      </w:r>
      <w:bookmarkEnd w:id="35"/>
    </w:p>
    <w:p w:rsidR="00F11C0F" w:rsidP="007A300D" w:rsidRDefault="00F5377A" w14:paraId="218D283D" w14:textId="77777777">
      <w:pPr>
        <w:pStyle w:val="Standard"/>
      </w:pPr>
      <w:r>
        <w:t xml:space="preserve">Parties generally support Staff’s ESJ </w:t>
      </w:r>
      <w:r w:rsidR="006B28C9">
        <w:t>P</w:t>
      </w:r>
      <w:r>
        <w:t xml:space="preserve">ilot proposal.  </w:t>
      </w:r>
    </w:p>
    <w:p w:rsidR="007A300D" w:rsidP="007A300D" w:rsidRDefault="00805ADE" w14:paraId="4AD90742" w14:textId="67B5B4A9">
      <w:pPr>
        <w:pStyle w:val="Standard"/>
      </w:pPr>
      <w:r>
        <w:t>SCE</w:t>
      </w:r>
      <w:r w:rsidR="00C43676">
        <w:t xml:space="preserve"> states its</w:t>
      </w:r>
      <w:r w:rsidR="005D604D">
        <w:t xml:space="preserve"> support </w:t>
      </w:r>
      <w:r w:rsidR="00C43676">
        <w:t xml:space="preserve">for </w:t>
      </w:r>
      <w:r w:rsidR="005D604D">
        <w:t>the ESJ Pilot effort</w:t>
      </w:r>
      <w:r w:rsidR="00F11C0F">
        <w:t xml:space="preserve"> and </w:t>
      </w:r>
      <w:r w:rsidR="00845E17">
        <w:t>recommend</w:t>
      </w:r>
      <w:r w:rsidR="00F64D10">
        <w:t>s</w:t>
      </w:r>
      <w:r w:rsidR="00845E17">
        <w:t xml:space="preserve"> the creation of an IOU advisory panel to ensure</w:t>
      </w:r>
      <w:r w:rsidR="00F64D10">
        <w:t xml:space="preserve"> “the pilots can be designed and carried out in a way that is applicable to and consistent across all the IOUs’ service territories.”</w:t>
      </w:r>
      <w:r w:rsidR="00F64D10">
        <w:rPr>
          <w:rStyle w:val="FootnoteReference"/>
        </w:rPr>
        <w:footnoteReference w:id="74"/>
      </w:r>
      <w:r w:rsidR="005D604D">
        <w:t xml:space="preserve"> </w:t>
      </w:r>
      <w:r w:rsidR="0020333E">
        <w:t xml:space="preserve"> </w:t>
      </w:r>
      <w:r w:rsidRPr="000C267B" w:rsidR="007A300D">
        <w:t xml:space="preserve">Because there are multiple overlapping </w:t>
      </w:r>
      <w:r w:rsidR="19458FD4">
        <w:t xml:space="preserve">community </w:t>
      </w:r>
      <w:r w:rsidRPr="000C267B" w:rsidR="007A300D">
        <w:t>definitions</w:t>
      </w:r>
      <w:r w:rsidR="0BE6ECC3">
        <w:t>, including</w:t>
      </w:r>
      <w:r w:rsidRPr="000C267B" w:rsidR="007A300D">
        <w:t xml:space="preserve"> </w:t>
      </w:r>
      <w:r w:rsidR="006B28C9">
        <w:t>“</w:t>
      </w:r>
      <w:r w:rsidRPr="000C267B" w:rsidR="007A300D">
        <w:t>DVC</w:t>
      </w:r>
      <w:r w:rsidR="006B28C9">
        <w:t xml:space="preserve"> communities”</w:t>
      </w:r>
      <w:r w:rsidRPr="000C267B" w:rsidR="007A300D">
        <w:t xml:space="preserve"> and </w:t>
      </w:r>
      <w:r w:rsidR="006B28C9">
        <w:t>“</w:t>
      </w:r>
      <w:r w:rsidRPr="000C267B" w:rsidR="007A300D">
        <w:t>ESJ communit</w:t>
      </w:r>
      <w:r w:rsidR="006B28C9">
        <w:t>ies</w:t>
      </w:r>
      <w:r w:rsidRPr="005664BB" w:rsidR="007A300D">
        <w:t>,</w:t>
      </w:r>
      <w:r w:rsidRPr="005664BB" w:rsidR="006B28C9">
        <w:t>”</w:t>
      </w:r>
      <w:r w:rsidRPr="005664BB" w:rsidR="007A300D">
        <w:t xml:space="preserve"> SCE recommends </w:t>
      </w:r>
      <w:r w:rsidRPr="005664BB" w:rsidR="004313F3">
        <w:t xml:space="preserve">the Commission clarify </w:t>
      </w:r>
      <w:r w:rsidRPr="005664BB" w:rsidR="007A300D">
        <w:t xml:space="preserve">which geographic areas and demographics </w:t>
      </w:r>
      <w:r w:rsidRPr="005664BB" w:rsidR="004313F3">
        <w:t xml:space="preserve">should </w:t>
      </w:r>
      <w:r w:rsidRPr="005664BB" w:rsidR="007A300D">
        <w:t xml:space="preserve">be included in </w:t>
      </w:r>
      <w:r w:rsidRPr="005664BB" w:rsidR="004313F3">
        <w:t>the ESJ Pilot.</w:t>
      </w:r>
      <w:r w:rsidR="004313F3">
        <w:t xml:space="preserve"> </w:t>
      </w:r>
      <w:r w:rsidR="007658EC">
        <w:t xml:space="preserve"> In comments on the proposed decision, SCE observes there </w:t>
      </w:r>
      <w:r w:rsidR="00453CC0">
        <w:t xml:space="preserve">may be </w:t>
      </w:r>
      <w:r w:rsidR="007658EC">
        <w:t>opportunities for coordination on the ESJ Pilots with activities directed in other proceedings</w:t>
      </w:r>
      <w:r w:rsidR="00453CC0">
        <w:t>, including opportunities to avoid duplicate work efforts</w:t>
      </w:r>
      <w:r w:rsidR="007658EC">
        <w:t xml:space="preserve">. </w:t>
      </w:r>
    </w:p>
    <w:p w:rsidRPr="000C267B" w:rsidR="007A300D" w:rsidP="007A300D" w:rsidRDefault="00650629" w14:paraId="779F6F15" w14:textId="1A105DBD">
      <w:pPr>
        <w:pStyle w:val="Standard"/>
      </w:pPr>
      <w:r>
        <w:t xml:space="preserve">MGRA and </w:t>
      </w:r>
      <w:r w:rsidRPr="000C267B" w:rsidR="007A300D">
        <w:t xml:space="preserve">TURN argue that the Commission should </w:t>
      </w:r>
      <w:r w:rsidR="000542D3">
        <w:t>require util</w:t>
      </w:r>
      <w:r w:rsidR="002362B6">
        <w:t xml:space="preserve">ities </w:t>
      </w:r>
      <w:r w:rsidR="006B28C9">
        <w:t xml:space="preserve">in ESJ </w:t>
      </w:r>
      <w:r w:rsidR="000535B7">
        <w:t>P</w:t>
      </w:r>
      <w:r w:rsidR="006B28C9">
        <w:t xml:space="preserve">ilots </w:t>
      </w:r>
      <w:r w:rsidR="002362B6">
        <w:t>to cons</w:t>
      </w:r>
      <w:r w:rsidRPr="000C267B" w:rsidR="007A300D">
        <w:t xml:space="preserve">ider the risks that unaffordable rates pose to human health in the RAMP filing. </w:t>
      </w:r>
      <w:r w:rsidR="002362B6">
        <w:t xml:space="preserve"> </w:t>
      </w:r>
      <w:r w:rsidR="00E10BA2">
        <w:t xml:space="preserve">MGRA emphasizes </w:t>
      </w:r>
      <w:r w:rsidR="00F375DE">
        <w:t xml:space="preserve">in </w:t>
      </w:r>
      <w:r w:rsidR="00505CFB">
        <w:t xml:space="preserve">reply comments </w:t>
      </w:r>
      <w:r w:rsidR="00E10BA2">
        <w:t xml:space="preserve">that </w:t>
      </w:r>
      <w:r w:rsidR="00554D8A">
        <w:t xml:space="preserve">issues surrounding </w:t>
      </w:r>
      <w:r w:rsidR="00373C4D">
        <w:t xml:space="preserve">affordability </w:t>
      </w:r>
      <w:r w:rsidR="00554D8A">
        <w:t xml:space="preserve">relate to </w:t>
      </w:r>
      <w:r w:rsidR="0036005B">
        <w:t>choices surrounding</w:t>
      </w:r>
      <w:r w:rsidR="005B18B0">
        <w:t xml:space="preserve"> </w:t>
      </w:r>
      <w:r w:rsidR="00C14592">
        <w:t>Risk Tolerance</w:t>
      </w:r>
      <w:r w:rsidR="006835F7">
        <w:t xml:space="preserve"> </w:t>
      </w:r>
      <w:r w:rsidR="00BE54EB">
        <w:t xml:space="preserve">since </w:t>
      </w:r>
      <w:r w:rsidR="00C14592">
        <w:t>Risk Tolerance</w:t>
      </w:r>
      <w:r w:rsidR="0045646E">
        <w:t xml:space="preserve"> </w:t>
      </w:r>
      <w:r w:rsidR="00447CAA">
        <w:t xml:space="preserve">should be considered at the societal </w:t>
      </w:r>
      <w:r w:rsidR="00195E08">
        <w:t>scale</w:t>
      </w:r>
      <w:r w:rsidR="0082344D">
        <w:t>.</w:t>
      </w:r>
      <w:r w:rsidRPr="000C267B" w:rsidR="007A300D">
        <w:t xml:space="preserve">  SCE does not believe th</w:t>
      </w:r>
      <w:r w:rsidR="006F7CDF">
        <w:t>at</w:t>
      </w:r>
      <w:r w:rsidRPr="000C267B" w:rsidR="007A300D">
        <w:t xml:space="preserve"> RAMP is the appropriate forum to evaluate general customer affordability issues.</w:t>
      </w:r>
    </w:p>
    <w:p w:rsidRPr="000C267B" w:rsidR="007A300D" w:rsidP="007A300D" w:rsidRDefault="007A300D" w14:paraId="3A756606" w14:textId="5C75819C">
      <w:pPr>
        <w:pStyle w:val="Standard"/>
      </w:pPr>
      <w:r w:rsidRPr="000C267B">
        <w:t xml:space="preserve">Regarding ESJ Pilot Action Item #5, PG&amp;E recommends </w:t>
      </w:r>
      <w:r w:rsidR="004313F3">
        <w:t xml:space="preserve">the Commission </w:t>
      </w:r>
      <w:r w:rsidRPr="000C267B">
        <w:t>amend</w:t>
      </w:r>
      <w:r w:rsidR="004313F3">
        <w:t xml:space="preserve"> this action item to </w:t>
      </w:r>
      <w:r w:rsidRPr="000C267B">
        <w:t xml:space="preserve">clarify that the evaluation should only consider the impacts of wildfire smoke from utility-caused wildfires </w:t>
      </w:r>
      <w:r w:rsidRPr="00FA5AFD">
        <w:t>within</w:t>
      </w:r>
      <w:r w:rsidRPr="000C267B">
        <w:t xml:space="preserve"> </w:t>
      </w:r>
      <w:r w:rsidR="0010137D">
        <w:t>a</w:t>
      </w:r>
      <w:r w:rsidRPr="000C267B" w:rsidR="0010137D">
        <w:t xml:space="preserve"> </w:t>
      </w:r>
      <w:r w:rsidRPr="000C267B">
        <w:t xml:space="preserve">utility’s service territory.  PG&amp;E </w:t>
      </w:r>
      <w:r w:rsidR="004313F3">
        <w:t xml:space="preserve">states that it </w:t>
      </w:r>
      <w:r w:rsidRPr="000C267B">
        <w:t xml:space="preserve">does not consider itself as the appropriate entity to </w:t>
      </w:r>
      <w:r w:rsidR="00432B69">
        <w:t>conduct</w:t>
      </w:r>
      <w:r w:rsidRPr="000C267B" w:rsidR="00432B69">
        <w:t xml:space="preserve"> </w:t>
      </w:r>
      <w:r w:rsidR="00432B69">
        <w:t xml:space="preserve">studies about the health </w:t>
      </w:r>
      <w:r w:rsidRPr="000C267B" w:rsidR="00432B69">
        <w:t>impact</w:t>
      </w:r>
      <w:r w:rsidR="00432B69">
        <w:t>s of</w:t>
      </w:r>
      <w:r w:rsidRPr="000C267B" w:rsidR="00432B69">
        <w:t xml:space="preserve"> wildfire smoke.</w:t>
      </w:r>
      <w:r w:rsidRPr="000C267B">
        <w:t xml:space="preserve">  PG&amp;E suggests </w:t>
      </w:r>
      <w:r w:rsidR="00D525EC">
        <w:t xml:space="preserve">that </w:t>
      </w:r>
      <w:r w:rsidR="00012D2A">
        <w:t>a program managed by</w:t>
      </w:r>
      <w:r w:rsidRPr="000C267B">
        <w:t xml:space="preserve"> the California Air Resource</w:t>
      </w:r>
      <w:r w:rsidR="00725700">
        <w:t>s</w:t>
      </w:r>
      <w:r w:rsidRPr="000C267B">
        <w:t xml:space="preserve"> Board (CARB) </w:t>
      </w:r>
      <w:r w:rsidR="00D525EC">
        <w:t>may be appropriate as a source of information</w:t>
      </w:r>
      <w:r w:rsidR="006B28C9">
        <w:t xml:space="preserve"> </w:t>
      </w:r>
      <w:r w:rsidR="00B4249F">
        <w:t xml:space="preserve">to </w:t>
      </w:r>
      <w:r w:rsidRPr="000C267B">
        <w:t>examine the health impacts of short-term repeated exposure to wildfire smoke.</w:t>
      </w:r>
      <w:r w:rsidRPr="000C267B">
        <w:rPr>
          <w:rStyle w:val="FootnoteReference"/>
        </w:rPr>
        <w:footnoteReference w:id="75"/>
      </w:r>
      <w:r w:rsidRPr="000C267B">
        <w:t xml:space="preserve"> </w:t>
      </w:r>
      <w:r w:rsidR="00410767">
        <w:t xml:space="preserve"> </w:t>
      </w:r>
      <w:r w:rsidRPr="000C267B">
        <w:t xml:space="preserve">PG&amp;E </w:t>
      </w:r>
      <w:r w:rsidR="000B0356">
        <w:t>asserts</w:t>
      </w:r>
      <w:r w:rsidRPr="000C267B">
        <w:t xml:space="preserve"> it will only be able to use public studies available in 2023</w:t>
      </w:r>
      <w:r w:rsidR="00B4249F">
        <w:t xml:space="preserve"> for such an effort</w:t>
      </w:r>
      <w:r w:rsidR="003F6270">
        <w:t>.</w:t>
      </w:r>
      <w:r w:rsidRPr="000C267B">
        <w:t xml:space="preserve">  SCE argues that ESJ Pilot Action Item #5 should be considered in a forum with all of the IOUs and parties</w:t>
      </w:r>
      <w:r w:rsidR="00BB1003">
        <w:t>,</w:t>
      </w:r>
      <w:r w:rsidRPr="000C267B">
        <w:t xml:space="preserve"> and not in a </w:t>
      </w:r>
      <w:r w:rsidR="00201F59">
        <w:t>P</w:t>
      </w:r>
      <w:r w:rsidRPr="000C267B">
        <w:t>ilot that only targets a subsection of the population.</w:t>
      </w:r>
    </w:p>
    <w:p w:rsidRPr="000C267B" w:rsidR="007A300D" w:rsidP="007A300D" w:rsidRDefault="007A300D" w14:paraId="44D7D583" w14:textId="092B4BE2">
      <w:pPr>
        <w:pStyle w:val="Standard"/>
      </w:pPr>
      <w:r w:rsidRPr="000C267B">
        <w:t xml:space="preserve">PG&amp;E objects to the way the ESJ Pilot Action Item #6 is written </w:t>
      </w:r>
      <w:r w:rsidR="00844AE7">
        <w:t>since</w:t>
      </w:r>
      <w:r w:rsidRPr="000C267B" w:rsidR="00844AE7">
        <w:t xml:space="preserve"> </w:t>
      </w:r>
      <w:r w:rsidRPr="000C267B">
        <w:t>it appears to assume that mitigation investments disproportionately benefit populations outside of ESJ communities.</w:t>
      </w:r>
      <w:r>
        <w:t xml:space="preserve"> </w:t>
      </w:r>
      <w:r w:rsidRPr="000C267B">
        <w:rPr>
          <w:rFonts w:asciiTheme="minorHAnsi" w:hAnsiTheme="minorHAnsi"/>
          <w:sz w:val="22"/>
        </w:rPr>
        <w:t xml:space="preserve"> </w:t>
      </w:r>
      <w:r w:rsidRPr="000C267B">
        <w:t xml:space="preserve">Accordingly, PG&amp;E recommends that ESJ Pilot Action Item #6 be re-formulated as follows: </w:t>
      </w:r>
      <w:r w:rsidR="00D30068">
        <w:t xml:space="preserve"> </w:t>
      </w:r>
      <w:r w:rsidRPr="000C267B">
        <w:t>“Estimate the extent to which risk mitigation investments impact ESJ communities.”</w:t>
      </w:r>
      <w:r w:rsidR="0020796D">
        <w:rPr>
          <w:rStyle w:val="FootnoteReference"/>
        </w:rPr>
        <w:footnoteReference w:id="76"/>
      </w:r>
    </w:p>
    <w:p w:rsidRPr="000C267B" w:rsidR="007A300D" w:rsidP="007A300D" w:rsidRDefault="007A300D" w14:paraId="2726DA8F" w14:textId="5F56C986">
      <w:pPr>
        <w:pStyle w:val="Standard"/>
      </w:pPr>
      <w:r w:rsidRPr="000C267B">
        <w:t xml:space="preserve">To ensure the IOUs utilize CalEnviroScreen, TURN requests the words “or other data sources” be removed from ESJ Pilot Action Item #1. </w:t>
      </w:r>
    </w:p>
    <w:p w:rsidRPr="000C267B" w:rsidR="007A300D" w:rsidP="007A300D" w:rsidRDefault="007A300D" w14:paraId="189B5CDE" w14:textId="249DC0A5">
      <w:pPr>
        <w:pStyle w:val="Standard"/>
      </w:pPr>
      <w:r w:rsidRPr="000C267B">
        <w:t xml:space="preserve">TURN recommends the utilities be required to consult with the Commission’s </w:t>
      </w:r>
      <w:r w:rsidR="00A3120B">
        <w:t>D</w:t>
      </w:r>
      <w:r w:rsidRPr="000C267B">
        <w:t xml:space="preserve">isadvantaged </w:t>
      </w:r>
      <w:r w:rsidR="00A3120B">
        <w:t>C</w:t>
      </w:r>
      <w:r w:rsidRPr="000C267B">
        <w:t xml:space="preserve">ommunities’ </w:t>
      </w:r>
      <w:r w:rsidR="00A3120B">
        <w:t>A</w:t>
      </w:r>
      <w:r w:rsidRPr="000C267B">
        <w:t xml:space="preserve">dvisory </w:t>
      </w:r>
      <w:r w:rsidR="00A3120B">
        <w:t>G</w:t>
      </w:r>
      <w:r w:rsidRPr="000C267B">
        <w:t xml:space="preserve">roup (DACAG) and the </w:t>
      </w:r>
      <w:r w:rsidR="00A3120B">
        <w:t>C</w:t>
      </w:r>
      <w:r w:rsidRPr="000C267B">
        <w:t xml:space="preserve">ommunity-based </w:t>
      </w:r>
      <w:r w:rsidR="00A3120B">
        <w:t>O</w:t>
      </w:r>
      <w:r w:rsidRPr="000C267B">
        <w:t xml:space="preserve">rganization </w:t>
      </w:r>
      <w:r w:rsidR="00A3120B">
        <w:t>W</w:t>
      </w:r>
      <w:r w:rsidRPr="000C267B">
        <w:t xml:space="preserve">orking </w:t>
      </w:r>
      <w:r w:rsidR="00A3120B">
        <w:t>G</w:t>
      </w:r>
      <w:r w:rsidRPr="000C267B">
        <w:t xml:space="preserve">roup (CBOWG) prior to the IOUs finalizing their ESJ </w:t>
      </w:r>
      <w:r w:rsidR="00201B28">
        <w:t>P</w:t>
      </w:r>
      <w:r w:rsidRPr="000C267B">
        <w:t xml:space="preserve">ilot </w:t>
      </w:r>
      <w:r w:rsidR="00201B28">
        <w:t>S</w:t>
      </w:r>
      <w:r w:rsidRPr="000C267B">
        <w:t>tudy plans.</w:t>
      </w:r>
      <w:r w:rsidR="00586896">
        <w:rPr>
          <w:rStyle w:val="FootnoteReference"/>
        </w:rPr>
        <w:footnoteReference w:id="77"/>
      </w:r>
    </w:p>
    <w:p w:rsidR="00AD4148" w:rsidP="007A300D" w:rsidRDefault="007A300D" w14:paraId="3B5E0542" w14:textId="0C3D8148">
      <w:pPr>
        <w:pStyle w:val="Standard"/>
      </w:pPr>
      <w:r w:rsidRPr="000C267B">
        <w:t xml:space="preserve">PCF requests </w:t>
      </w:r>
      <w:r w:rsidR="00ED1B02">
        <w:t>the Commission</w:t>
      </w:r>
      <w:r w:rsidRPr="000C267B">
        <w:t xml:space="preserve"> </w:t>
      </w:r>
      <w:r w:rsidR="00AC1117">
        <w:t>clarify</w:t>
      </w:r>
      <w:r w:rsidRPr="000C267B">
        <w:t xml:space="preserve"> that the requirements listed as applicable to PG&amp;E’s </w:t>
      </w:r>
      <w:r w:rsidR="00AD4148">
        <w:t xml:space="preserve">ESJ </w:t>
      </w:r>
      <w:r w:rsidR="00201F59">
        <w:t>Pilot</w:t>
      </w:r>
      <w:r w:rsidRPr="000C267B">
        <w:t xml:space="preserve"> apply to all </w:t>
      </w:r>
      <w:r w:rsidR="00AD4148">
        <w:t xml:space="preserve">ESJ </w:t>
      </w:r>
      <w:r w:rsidR="00201F59">
        <w:t>Pilot</w:t>
      </w:r>
      <w:r w:rsidRPr="000C267B">
        <w:t xml:space="preserve">s, including </w:t>
      </w:r>
      <w:r w:rsidR="00AD4148">
        <w:t xml:space="preserve">any ESJ </w:t>
      </w:r>
      <w:r w:rsidR="00201F59">
        <w:t>Pilot</w:t>
      </w:r>
      <w:r w:rsidRPr="000C267B">
        <w:t xml:space="preserve">s conducted by </w:t>
      </w:r>
      <w:r w:rsidR="00062058">
        <w:t xml:space="preserve">the </w:t>
      </w:r>
      <w:r w:rsidR="00911052">
        <w:t>Sempra Companies</w:t>
      </w:r>
      <w:r w:rsidRPr="000C267B">
        <w:t>.</w:t>
      </w:r>
      <w:r w:rsidR="003E5E05">
        <w:t xml:space="preserve"> </w:t>
      </w:r>
      <w:r w:rsidR="00134197">
        <w:t xml:space="preserve"> In comments on the proposed decision, PCF </w:t>
      </w:r>
      <w:r w:rsidR="006D4CA5">
        <w:t>requests the Commission provide a public comment opportunity</w:t>
      </w:r>
      <w:r w:rsidR="00EF6696">
        <w:t xml:space="preserve">, reiterating </w:t>
      </w:r>
      <w:r w:rsidR="003E23AD">
        <w:t>earlier comments that the public should be provided an opportunity to submit ideas to the Commission’s DACAG for potential inclusion by the DACAG in the DACAG’s recommendations.</w:t>
      </w:r>
    </w:p>
    <w:p w:rsidRPr="000C267B" w:rsidR="007A300D" w:rsidP="007A300D" w:rsidRDefault="003E5E05" w14:paraId="508317A3" w14:textId="5518C2E7">
      <w:pPr>
        <w:pStyle w:val="Standard"/>
      </w:pPr>
      <w:r>
        <w:t xml:space="preserve"> </w:t>
      </w:r>
      <w:r w:rsidRPr="003E5E05">
        <w:t>PG&amp;E requests</w:t>
      </w:r>
      <w:r w:rsidR="00AD4148">
        <w:t xml:space="preserve"> that</w:t>
      </w:r>
      <w:r w:rsidRPr="003E5E05">
        <w:t xml:space="preserve"> the due date for the White Paper be revised to two months after the 2024 RAMP</w:t>
      </w:r>
      <w:r w:rsidR="00A5603F">
        <w:t xml:space="preserve"> filing due date</w:t>
      </w:r>
      <w:r w:rsidRPr="003E5E05">
        <w:t xml:space="preserve">.  Since the White Paper is intended to address the ESJ challenges associated with the filing as </w:t>
      </w:r>
      <w:r w:rsidR="00A5603F">
        <w:t>it</w:t>
      </w:r>
      <w:r w:rsidRPr="003E5E05">
        <w:t xml:space="preserve"> occur</w:t>
      </w:r>
      <w:r w:rsidR="00A5603F">
        <w:t>s</w:t>
      </w:r>
      <w:r w:rsidRPr="003E5E05">
        <w:t>, PG&amp;E asserts there would not be sufficient time to properly review those challenges</w:t>
      </w:r>
      <w:r w:rsidR="00AD4148">
        <w:t xml:space="preserve"> if the White Paper is submitted currently with the RAMP filing</w:t>
      </w:r>
      <w:r w:rsidRPr="003E5E05">
        <w:t>.</w:t>
      </w:r>
    </w:p>
    <w:p w:rsidRPr="007E30C4" w:rsidR="00985B2C" w:rsidP="008035AA" w:rsidRDefault="00985B2C" w14:paraId="11932E40" w14:textId="00C89F56">
      <w:pPr>
        <w:pStyle w:val="Heading3"/>
        <w:numPr>
          <w:ilvl w:val="2"/>
          <w:numId w:val="1"/>
        </w:numPr>
      </w:pPr>
      <w:bookmarkStart w:name="_Toc121821047" w:id="36"/>
      <w:r w:rsidRPr="007E30C4">
        <w:t>Discussion</w:t>
      </w:r>
      <w:bookmarkEnd w:id="36"/>
    </w:p>
    <w:p w:rsidR="00A5603F" w:rsidP="00FE21E2" w:rsidRDefault="000C267B" w14:paraId="2BCDE286" w14:textId="77777777">
      <w:pPr>
        <w:pStyle w:val="Standard"/>
      </w:pPr>
      <w:r w:rsidRPr="007E30C4">
        <w:t xml:space="preserve">We adopt Staff’s proposal </w:t>
      </w:r>
      <w:r w:rsidR="00DE39FC">
        <w:t xml:space="preserve">for an </w:t>
      </w:r>
      <w:r w:rsidRPr="007E30C4">
        <w:t>ESJ Pilot</w:t>
      </w:r>
      <w:r w:rsidR="00A5603F">
        <w:t>,</w:t>
      </w:r>
      <w:r w:rsidR="0077578F">
        <w:t xml:space="preserve"> </w:t>
      </w:r>
      <w:r w:rsidR="004D2701">
        <w:t>with modifications</w:t>
      </w:r>
      <w:r w:rsidRPr="007E30C4">
        <w:t xml:space="preserve">. </w:t>
      </w:r>
      <w:r w:rsidR="00FE21E2">
        <w:t xml:space="preserve"> </w:t>
      </w:r>
      <w:r w:rsidR="00101176">
        <w:t xml:space="preserve">We agree with SCE that </w:t>
      </w:r>
      <w:r w:rsidR="0066083A">
        <w:t xml:space="preserve">implementation of the ESJ Pilot should be consistent across all of the IOU service territories so that </w:t>
      </w:r>
      <w:r w:rsidR="00957755">
        <w:t xml:space="preserve">lessons learned can be </w:t>
      </w:r>
      <w:r w:rsidR="00834578">
        <w:t>relevant to all the IOUs</w:t>
      </w:r>
      <w:r w:rsidR="0066083A">
        <w:t xml:space="preserve">. </w:t>
      </w:r>
      <w:r w:rsidR="00FE21E2">
        <w:t xml:space="preserve"> </w:t>
      </w:r>
      <w:r w:rsidR="00834578">
        <w:t>Therefore, w</w:t>
      </w:r>
      <w:r w:rsidR="001D5F51">
        <w:t xml:space="preserve">e </w:t>
      </w:r>
      <w:r w:rsidR="00DF20E4">
        <w:t>d</w:t>
      </w:r>
      <w:r w:rsidR="001D5F51">
        <w:t xml:space="preserve">irect </w:t>
      </w:r>
      <w:r w:rsidR="00F05335">
        <w:t>PG</w:t>
      </w:r>
      <w:r w:rsidR="00FF5480">
        <w:t xml:space="preserve">&amp;E, </w:t>
      </w:r>
      <w:r w:rsidR="00795ABC">
        <w:t>the Sempra Companies</w:t>
      </w:r>
      <w:r w:rsidR="009C29F0">
        <w:t>,</w:t>
      </w:r>
      <w:r w:rsidR="00795ABC">
        <w:t xml:space="preserve"> and SCE</w:t>
      </w:r>
      <w:r w:rsidR="00D161F6">
        <w:t xml:space="preserve"> to implement</w:t>
      </w:r>
      <w:r w:rsidR="00451E08">
        <w:t xml:space="preserve"> the ESJ Pilot Study as </w:t>
      </w:r>
      <w:r w:rsidR="00834578">
        <w:t>specified</w:t>
      </w:r>
      <w:r w:rsidR="00451E08">
        <w:t xml:space="preserve"> below.</w:t>
      </w:r>
      <w:r w:rsidRPr="007E30C4">
        <w:t xml:space="preserve"> </w:t>
      </w:r>
      <w:r w:rsidR="00FE21E2">
        <w:t xml:space="preserve"> </w:t>
      </w:r>
    </w:p>
    <w:p w:rsidR="001D5F51" w:rsidP="00FE21E2" w:rsidRDefault="00D96088" w14:paraId="32AC55F7" w14:textId="4F28B1DE">
      <w:pPr>
        <w:pStyle w:val="Standard"/>
      </w:pPr>
      <w:r>
        <w:t xml:space="preserve">The ESJ Pilots </w:t>
      </w:r>
      <w:r w:rsidR="0095318B">
        <w:t>begin the process of ensuring</w:t>
      </w:r>
      <w:r>
        <w:t xml:space="preserve"> the IOU’s risk assessments and risk mitigations address issues of equity and the needs of the most vulnerable</w:t>
      </w:r>
      <w:r w:rsidRPr="008038DD">
        <w:t>.</w:t>
      </w:r>
      <w:r w:rsidR="0021471A">
        <w:t xml:space="preserve">  </w:t>
      </w:r>
      <w:r w:rsidR="00033D01">
        <w:t xml:space="preserve">Although </w:t>
      </w:r>
      <w:r w:rsidR="00C6136F">
        <w:t xml:space="preserve">the </w:t>
      </w:r>
      <w:r w:rsidR="00D402F3">
        <w:t xml:space="preserve">Staff </w:t>
      </w:r>
      <w:r w:rsidR="00C6136F">
        <w:t xml:space="preserve">Proposal </w:t>
      </w:r>
      <w:r w:rsidR="00D402F3">
        <w:t xml:space="preserve">did not </w:t>
      </w:r>
      <w:r w:rsidR="00C6136F">
        <w:t xml:space="preserve">include a </w:t>
      </w:r>
      <w:r w:rsidR="00984C78">
        <w:t>recommend</w:t>
      </w:r>
      <w:r w:rsidR="00C6136F">
        <w:t>ation</w:t>
      </w:r>
      <w:r w:rsidR="00984C78">
        <w:t xml:space="preserve"> that </w:t>
      </w:r>
      <w:r w:rsidR="00701484">
        <w:t xml:space="preserve">SCE </w:t>
      </w:r>
      <w:r w:rsidR="00271680">
        <w:t>par</w:t>
      </w:r>
      <w:r w:rsidR="00984C78">
        <w:t>ticipate in</w:t>
      </w:r>
      <w:r w:rsidR="00271680">
        <w:t xml:space="preserve"> the ESJ Pilot </w:t>
      </w:r>
      <w:r w:rsidR="00984C78">
        <w:t>effort</w:t>
      </w:r>
      <w:r w:rsidR="00271680">
        <w:t xml:space="preserve">, </w:t>
      </w:r>
      <w:r w:rsidR="004A09F8">
        <w:t>we are confident that SCE</w:t>
      </w:r>
      <w:r w:rsidR="007B6F9C">
        <w:t> </w:t>
      </w:r>
      <w:r w:rsidR="004A09F8">
        <w:t xml:space="preserve">can </w:t>
      </w:r>
      <w:r w:rsidR="003D0127">
        <w:t xml:space="preserve">ably </w:t>
      </w:r>
      <w:r w:rsidR="00D402F3">
        <w:t>do so</w:t>
      </w:r>
      <w:r w:rsidR="00C81E45">
        <w:t xml:space="preserve"> and will contribute important insights</w:t>
      </w:r>
      <w:r w:rsidR="00984C78">
        <w:t xml:space="preserve"> </w:t>
      </w:r>
      <w:r w:rsidR="00D402F3">
        <w:t xml:space="preserve">since SCE’s </w:t>
      </w:r>
      <w:r w:rsidR="00B703A9">
        <w:t>P</w:t>
      </w:r>
      <w:r w:rsidR="00D402F3">
        <w:t xml:space="preserve">ilot </w:t>
      </w:r>
      <w:r w:rsidR="00B703A9">
        <w:t xml:space="preserve">results </w:t>
      </w:r>
      <w:r w:rsidR="00D402F3">
        <w:t>w</w:t>
      </w:r>
      <w:r w:rsidR="00026351">
        <w:t>ill</w:t>
      </w:r>
      <w:r w:rsidR="00D402F3">
        <w:t xml:space="preserve"> not be </w:t>
      </w:r>
      <w:r w:rsidR="009E0C9A">
        <w:t xml:space="preserve">filed until </w:t>
      </w:r>
      <w:r w:rsidR="005664BB">
        <w:t>2026</w:t>
      </w:r>
      <w:r w:rsidR="009E0C9A">
        <w:t>.</w:t>
      </w:r>
      <w:r w:rsidR="00D402F3">
        <w:t xml:space="preserve"> </w:t>
      </w:r>
    </w:p>
    <w:p w:rsidR="00CE724A" w:rsidP="00F21DE9" w:rsidRDefault="000C267B" w14:paraId="7D70CB11" w14:textId="77777777">
      <w:pPr>
        <w:pStyle w:val="Standard"/>
      </w:pPr>
      <w:r w:rsidRPr="007E30C4">
        <w:t xml:space="preserve">We direct the utilities to </w:t>
      </w:r>
      <w:r w:rsidR="51FE2135">
        <w:t xml:space="preserve">provide timely </w:t>
      </w:r>
      <w:r w:rsidR="00E13E0C">
        <w:t xml:space="preserve">information </w:t>
      </w:r>
      <w:r w:rsidR="51FE2135">
        <w:t xml:space="preserve">to </w:t>
      </w:r>
      <w:r w:rsidR="00BD3993">
        <w:t xml:space="preserve">Commission </w:t>
      </w:r>
      <w:r w:rsidR="51FE2135">
        <w:t xml:space="preserve">Energy Division </w:t>
      </w:r>
      <w:r w:rsidR="00D5250A">
        <w:t>S</w:t>
      </w:r>
      <w:r w:rsidR="51FE2135">
        <w:t>taff</w:t>
      </w:r>
      <w:r w:rsidR="00C81E45">
        <w:t>, who</w:t>
      </w:r>
      <w:r w:rsidR="51FE2135">
        <w:t xml:space="preserve"> will </w:t>
      </w:r>
      <w:r w:rsidRPr="007E30C4" w:rsidR="007A300D">
        <w:t>consult with the DACAG and the CBOWG</w:t>
      </w:r>
      <w:r w:rsidR="001D4F39">
        <w:t xml:space="preserve"> </w:t>
      </w:r>
      <w:r w:rsidR="19D884A1">
        <w:t xml:space="preserve">or </w:t>
      </w:r>
      <w:r w:rsidR="001D4F39">
        <w:t>their</w:t>
      </w:r>
      <w:r w:rsidR="19D884A1">
        <w:t xml:space="preserve"> designees</w:t>
      </w:r>
      <w:r w:rsidR="00C81E45">
        <w:t xml:space="preserve">, </w:t>
      </w:r>
      <w:r w:rsidRPr="007E30C4" w:rsidR="007A300D">
        <w:t xml:space="preserve">prior to finalizing their ESJ Pilot </w:t>
      </w:r>
      <w:r w:rsidR="008122E7">
        <w:t>S</w:t>
      </w:r>
      <w:r w:rsidRPr="007E30C4" w:rsidR="007A300D">
        <w:t xml:space="preserve">tudy plans.  </w:t>
      </w:r>
      <w:r w:rsidR="7B012691">
        <w:t xml:space="preserve">The scope of </w:t>
      </w:r>
      <w:r w:rsidR="006D3878">
        <w:t xml:space="preserve">the Commission’s Energy Division Staff’s </w:t>
      </w:r>
      <w:r w:rsidR="7B012691">
        <w:t xml:space="preserve">consultation with the DACAG </w:t>
      </w:r>
      <w:r w:rsidR="004E6549">
        <w:t xml:space="preserve">and the CBOWG </w:t>
      </w:r>
      <w:r w:rsidR="7B012691">
        <w:t xml:space="preserve">should include Pilot design, metrics, and methodology. </w:t>
      </w:r>
      <w:r w:rsidR="00E915CF">
        <w:t xml:space="preserve"> </w:t>
      </w:r>
      <w:r w:rsidRPr="007E30C4" w:rsidR="007A300D">
        <w:t xml:space="preserve">The IOUs shall </w:t>
      </w:r>
      <w:r w:rsidR="00C81E45">
        <w:t xml:space="preserve">also </w:t>
      </w:r>
      <w:r w:rsidRPr="007E30C4" w:rsidR="007A300D">
        <w:t xml:space="preserve">work with </w:t>
      </w:r>
      <w:r w:rsidR="007247AD">
        <w:t xml:space="preserve">Commission </w:t>
      </w:r>
      <w:r w:rsidR="00243D54">
        <w:t>Energy Division</w:t>
      </w:r>
      <w:r w:rsidRPr="007E30C4" w:rsidR="007A300D">
        <w:t xml:space="preserve"> </w:t>
      </w:r>
      <w:r w:rsidR="007364E0">
        <w:t>Staff</w:t>
      </w:r>
      <w:r w:rsidRPr="007E30C4" w:rsidR="007A300D">
        <w:t xml:space="preserve"> responsible for</w:t>
      </w:r>
      <w:r w:rsidR="00E55433">
        <w:t xml:space="preserve"> coordinating with</w:t>
      </w:r>
      <w:r w:rsidRPr="007E30C4" w:rsidR="007A300D">
        <w:t xml:space="preserve"> the DACAG and CBOWG to make sure th</w:t>
      </w:r>
      <w:r w:rsidR="00C81E45">
        <w:t>e ESJ Pilot Study i</w:t>
      </w:r>
      <w:r w:rsidRPr="007E30C4" w:rsidR="007A300D">
        <w:t xml:space="preserve">s on an appropriate DACAG and CBOWG meeting agenda in time for </w:t>
      </w:r>
      <w:r w:rsidR="00190566">
        <w:t xml:space="preserve">these </w:t>
      </w:r>
      <w:r w:rsidR="004D0A07">
        <w:t>group</w:t>
      </w:r>
      <w:r w:rsidR="00190566">
        <w:t xml:space="preserve">s to provide </w:t>
      </w:r>
      <w:r w:rsidRPr="007E30C4" w:rsidR="007A300D">
        <w:t xml:space="preserve">meaningful </w:t>
      </w:r>
      <w:r w:rsidR="00694426">
        <w:t xml:space="preserve">feedback on </w:t>
      </w:r>
      <w:r w:rsidRPr="007E30C4" w:rsidR="007A300D">
        <w:t xml:space="preserve">the ESJ Pilot </w:t>
      </w:r>
      <w:r w:rsidR="00946351">
        <w:t>S</w:t>
      </w:r>
      <w:r w:rsidRPr="007E30C4" w:rsidR="007A300D">
        <w:t xml:space="preserve">tudy plans. </w:t>
      </w:r>
      <w:r w:rsidR="00F14FF2">
        <w:t xml:space="preserve"> This will help ensure that the experience reflected in these groups informs </w:t>
      </w:r>
      <w:r w:rsidR="0033505F">
        <w:t>P</w:t>
      </w:r>
      <w:r w:rsidR="00F14FF2">
        <w:t>ilot design and execution.</w:t>
      </w:r>
      <w:r w:rsidR="00724B9E">
        <w:t xml:space="preserve">  Commission Staff shall notify parties to R.20-07-013 of the </w:t>
      </w:r>
      <w:r w:rsidR="006611E6">
        <w:t xml:space="preserve">DACAG and CBOWG meetings </w:t>
      </w:r>
      <w:r w:rsidR="003C2CA0">
        <w:t xml:space="preserve">during </w:t>
      </w:r>
      <w:r w:rsidR="006611E6">
        <w:t>which Staff will consult on this pilot</w:t>
      </w:r>
      <w:r w:rsidR="008C4639">
        <w:t>.</w:t>
      </w:r>
      <w:r w:rsidR="00F21DE9">
        <w:t xml:space="preserve">  </w:t>
      </w:r>
      <w:r w:rsidR="008C4639">
        <w:t xml:space="preserve">Any party to R.20-07-013 may provide a public comment </w:t>
      </w:r>
      <w:r w:rsidR="00EA3BA9">
        <w:t xml:space="preserve">to the DACAG regarding the ESJ Pilot Study at the </w:t>
      </w:r>
      <w:r w:rsidR="00C84517">
        <w:t>meeting</w:t>
      </w:r>
      <w:r w:rsidR="001D6E9B">
        <w:t>s</w:t>
      </w:r>
      <w:r w:rsidR="00C84517">
        <w:t xml:space="preserve"> </w:t>
      </w:r>
      <w:r w:rsidR="00EA3BA9">
        <w:t>scheduled</w:t>
      </w:r>
      <w:r w:rsidR="00C84517">
        <w:t xml:space="preserve"> to discuss the ESJ Pilot Study,</w:t>
      </w:r>
      <w:r w:rsidR="00EA3BA9">
        <w:t xml:space="preserve"> or a</w:t>
      </w:r>
      <w:r w:rsidR="006B0E83">
        <w:t>ny other DACAG meeting.</w:t>
      </w:r>
      <w:r w:rsidR="004F049D">
        <w:t xml:space="preserve">  </w:t>
      </w:r>
    </w:p>
    <w:p w:rsidR="006D3878" w:rsidP="00F21DE9" w:rsidRDefault="00CE724A" w14:paraId="656DFEC5" w14:textId="6752546D">
      <w:pPr>
        <w:pStyle w:val="Standard"/>
      </w:pPr>
      <w:bookmarkStart w:name="_Hlk121475025" w:id="37"/>
      <w:bookmarkStart w:name="_Hlk121474908" w:id="38"/>
      <w:r>
        <w:t>Additionally, we direct each IOU to hold a public webinar on its ESJ Pilot Study during the planning phase of the pilot.  This may occur prior to or after discussion of the ESJ Pilot at the DACAG.  Each IOU shall serve a notice of the ESJ Pilot webinar to the service list of R.20-07-013</w:t>
      </w:r>
      <w:r w:rsidR="009F05F5">
        <w:t xml:space="preserve"> </w:t>
      </w:r>
      <w:r>
        <w:t>or a successor proceeding</w:t>
      </w:r>
      <w:r w:rsidR="009F05F5">
        <w:t xml:space="preserve"> </w:t>
      </w:r>
      <w:r w:rsidR="00D305EE">
        <w:t xml:space="preserve">and </w:t>
      </w:r>
      <w:r w:rsidR="009170FC">
        <w:t>the service list of R.1</w:t>
      </w:r>
      <w:r w:rsidR="00D305EE">
        <w:t>8-04-019 (</w:t>
      </w:r>
      <w:r w:rsidRPr="0052300B" w:rsidR="001C4B7A">
        <w:rPr>
          <w:i/>
          <w:iCs/>
        </w:rPr>
        <w:t>Rulemaking to Consider Strategies and Guidance for Climate Change Adaptation</w:t>
      </w:r>
      <w:r w:rsidR="001C4B7A">
        <w:t xml:space="preserve">) </w:t>
      </w:r>
      <w:r>
        <w:t>at least 10 days in advance and may serve a notice of the webinar to additional service lists, particularly those relevant for coordination on this topic, also 10 days in advance.  The webinar shall include ample opportunity for participants to comment and ask questions.  Adding this public comment opportunity will increase awareness of the pilot and may result in improvements to the study design.</w:t>
      </w:r>
      <w:bookmarkEnd w:id="37"/>
    </w:p>
    <w:bookmarkEnd w:id="38"/>
    <w:p w:rsidR="00831017" w:rsidP="007A300D" w:rsidRDefault="007A300D" w14:paraId="0E0F4270" w14:textId="4F99D699">
      <w:pPr>
        <w:pStyle w:val="Standard"/>
      </w:pPr>
      <w:r w:rsidRPr="007E30C4">
        <w:t>We direct PG&amp;E to file the results of the ESJ Pilot with its 2024 RAMP</w:t>
      </w:r>
      <w:r w:rsidR="009A1673">
        <w:t xml:space="preserve"> </w:t>
      </w:r>
      <w:r w:rsidR="004D0A07">
        <w:t>filing</w:t>
      </w:r>
      <w:r w:rsidR="00076FB7">
        <w:t>.</w:t>
      </w:r>
      <w:r w:rsidRPr="007E30C4">
        <w:t xml:space="preserve"> </w:t>
      </w:r>
      <w:r w:rsidR="007B6F9C">
        <w:t xml:space="preserve"> </w:t>
      </w:r>
      <w:r w:rsidR="00D25749">
        <w:rPr>
          <w:rFonts w:eastAsia="Book Antiqua" w:cs="Book Antiqua"/>
        </w:rPr>
        <w:t>For all IOUs, ESJ Pilot r</w:t>
      </w:r>
      <w:r w:rsidR="00076FB7">
        <w:rPr>
          <w:rFonts w:eastAsia="Book Antiqua" w:cs="Book Antiqua"/>
        </w:rPr>
        <w:t>esults should include</w:t>
      </w:r>
      <w:r w:rsidRPr="08530096" w:rsidR="009A1673">
        <w:rPr>
          <w:rFonts w:eastAsia="Book Antiqua" w:cs="Book Antiqua"/>
        </w:rPr>
        <w:t xml:space="preserve"> </w:t>
      </w:r>
      <w:r w:rsidR="00076FB7">
        <w:rPr>
          <w:rFonts w:eastAsia="Book Antiqua" w:cs="Book Antiqua"/>
        </w:rPr>
        <w:t>implementation</w:t>
      </w:r>
      <w:r w:rsidR="00190566">
        <w:rPr>
          <w:rFonts w:eastAsia="Book Antiqua" w:cs="Book Antiqua"/>
        </w:rPr>
        <w:t xml:space="preserve"> details</w:t>
      </w:r>
      <w:r w:rsidR="00076FB7">
        <w:rPr>
          <w:rFonts w:eastAsia="Book Antiqua" w:cs="Book Antiqua"/>
        </w:rPr>
        <w:t>, output</w:t>
      </w:r>
      <w:r w:rsidR="00190566">
        <w:rPr>
          <w:rFonts w:eastAsia="Book Antiqua" w:cs="Book Antiqua"/>
        </w:rPr>
        <w:t>s</w:t>
      </w:r>
      <w:r w:rsidR="00D76FD9">
        <w:rPr>
          <w:rFonts w:eastAsia="Book Antiqua" w:cs="Book Antiqua"/>
        </w:rPr>
        <w:t>,</w:t>
      </w:r>
      <w:r w:rsidR="00076FB7">
        <w:rPr>
          <w:rFonts w:eastAsia="Book Antiqua" w:cs="Book Antiqua"/>
        </w:rPr>
        <w:t xml:space="preserve"> and outcomes</w:t>
      </w:r>
      <w:r w:rsidRPr="08530096" w:rsidR="009A1673">
        <w:rPr>
          <w:rFonts w:eastAsia="Book Antiqua" w:cs="Book Antiqua"/>
        </w:rPr>
        <w:t xml:space="preserve"> </w:t>
      </w:r>
      <w:r w:rsidR="00190566">
        <w:rPr>
          <w:rFonts w:eastAsia="Book Antiqua" w:cs="Book Antiqua"/>
        </w:rPr>
        <w:t>from</w:t>
      </w:r>
      <w:r w:rsidR="000F27B7">
        <w:rPr>
          <w:rFonts w:eastAsia="Book Antiqua" w:cs="Book Antiqua"/>
        </w:rPr>
        <w:t xml:space="preserve"> our adopted</w:t>
      </w:r>
      <w:r w:rsidRPr="08530096" w:rsidR="06C48992">
        <w:rPr>
          <w:rFonts w:eastAsia="Book Antiqua" w:cs="Book Antiqua"/>
        </w:rPr>
        <w:t xml:space="preserve"> </w:t>
      </w:r>
      <w:r w:rsidR="00E0780D">
        <w:rPr>
          <w:rFonts w:eastAsia="Book Antiqua" w:cs="Book Antiqua"/>
        </w:rPr>
        <w:t xml:space="preserve">seven </w:t>
      </w:r>
      <w:r w:rsidR="000F27B7">
        <w:rPr>
          <w:rFonts w:eastAsia="Book Antiqua" w:cs="Book Antiqua"/>
        </w:rPr>
        <w:t xml:space="preserve">ESJ Pilot </w:t>
      </w:r>
      <w:r w:rsidR="00E0780D">
        <w:rPr>
          <w:rFonts w:eastAsia="Book Antiqua" w:cs="Book Antiqua"/>
        </w:rPr>
        <w:t xml:space="preserve">Action Items </w:t>
      </w:r>
      <w:r w:rsidR="000501EE">
        <w:rPr>
          <w:rFonts w:eastAsia="Book Antiqua" w:cs="Book Antiqua"/>
        </w:rPr>
        <w:t xml:space="preserve">listed below </w:t>
      </w:r>
      <w:r w:rsidR="00E0780D">
        <w:rPr>
          <w:rFonts w:eastAsia="Book Antiqua" w:cs="Book Antiqua"/>
        </w:rPr>
        <w:t xml:space="preserve">and </w:t>
      </w:r>
      <w:r w:rsidR="00D25749">
        <w:rPr>
          <w:rFonts w:eastAsia="Book Antiqua" w:cs="Book Antiqua"/>
        </w:rPr>
        <w:t xml:space="preserve">should summarize </w:t>
      </w:r>
      <w:r w:rsidRPr="08530096" w:rsidR="06C48992">
        <w:rPr>
          <w:rFonts w:eastAsia="Book Antiqua" w:cs="Book Antiqua"/>
        </w:rPr>
        <w:t>how</w:t>
      </w:r>
      <w:r w:rsidR="00D25749">
        <w:rPr>
          <w:rFonts w:eastAsia="Book Antiqua" w:cs="Book Antiqua"/>
        </w:rPr>
        <w:t xml:space="preserve"> the IOU incorporated</w:t>
      </w:r>
      <w:r w:rsidRPr="08530096" w:rsidR="06C48992">
        <w:rPr>
          <w:rFonts w:eastAsia="Book Antiqua" w:cs="Book Antiqua"/>
        </w:rPr>
        <w:t xml:space="preserve"> feedback </w:t>
      </w:r>
      <w:r w:rsidR="00584733">
        <w:rPr>
          <w:rFonts w:eastAsia="Book Antiqua" w:cs="Book Antiqua"/>
        </w:rPr>
        <w:t xml:space="preserve">from </w:t>
      </w:r>
      <w:r w:rsidRPr="08530096" w:rsidR="06C48992">
        <w:rPr>
          <w:rFonts w:eastAsia="Book Antiqua" w:cs="Book Antiqua"/>
        </w:rPr>
        <w:t>DACAG and CBOWG</w:t>
      </w:r>
      <w:r w:rsidR="00D25749">
        <w:rPr>
          <w:rFonts w:eastAsia="Book Antiqua" w:cs="Book Antiqua"/>
        </w:rPr>
        <w:t xml:space="preserve"> </w:t>
      </w:r>
      <w:r w:rsidRPr="08530096" w:rsidR="06C48992">
        <w:rPr>
          <w:rFonts w:eastAsia="Book Antiqua" w:cs="Book Antiqua"/>
        </w:rPr>
        <w:t xml:space="preserve">into </w:t>
      </w:r>
      <w:r w:rsidR="00D25749">
        <w:rPr>
          <w:rFonts w:eastAsia="Book Antiqua" w:cs="Book Antiqua"/>
        </w:rPr>
        <w:t>its</w:t>
      </w:r>
      <w:r w:rsidRPr="08530096" w:rsidR="06C48992">
        <w:rPr>
          <w:rFonts w:eastAsia="Book Antiqua" w:cs="Book Antiqua"/>
        </w:rPr>
        <w:t xml:space="preserve"> final ESJ Pilot design and implementation</w:t>
      </w:r>
      <w:r>
        <w:t>.</w:t>
      </w:r>
      <w:r w:rsidRPr="007E30C4">
        <w:t xml:space="preserve"> </w:t>
      </w:r>
      <w:r w:rsidR="00F14FF2">
        <w:t xml:space="preserve"> </w:t>
      </w:r>
      <w:r w:rsidRPr="007E30C4">
        <w:t xml:space="preserve">Similarly, we direct </w:t>
      </w:r>
      <w:r w:rsidRPr="001C4D6E" w:rsidR="001C4D6E">
        <w:t>the Sempra Companies</w:t>
      </w:r>
      <w:r w:rsidRPr="007E30C4">
        <w:t xml:space="preserve"> to file the results of their ESJ Pilot with their 2025</w:t>
      </w:r>
      <w:r w:rsidR="00F23583">
        <w:t> </w:t>
      </w:r>
      <w:r w:rsidRPr="007E30C4">
        <w:t xml:space="preserve">RAMP </w:t>
      </w:r>
      <w:r w:rsidR="004D0A07">
        <w:t>filing</w:t>
      </w:r>
      <w:r w:rsidR="00811506">
        <w:t xml:space="preserve"> and</w:t>
      </w:r>
      <w:r w:rsidR="00BD1B2C">
        <w:t xml:space="preserve"> direct SCE to </w:t>
      </w:r>
      <w:r w:rsidR="00D215A0">
        <w:t>file the results of their ESJ Pilot with their 2026</w:t>
      </w:r>
      <w:r w:rsidR="00F23583">
        <w:t> </w:t>
      </w:r>
      <w:r w:rsidR="00D215A0">
        <w:t xml:space="preserve">RAMP </w:t>
      </w:r>
      <w:r w:rsidR="004D0A07">
        <w:t>filing</w:t>
      </w:r>
      <w:r w:rsidR="00D215A0">
        <w:t>.</w:t>
      </w:r>
      <w:r w:rsidRPr="007E30C4">
        <w:t xml:space="preserve"> </w:t>
      </w:r>
      <w:r w:rsidR="00B92FDD">
        <w:t xml:space="preserve"> </w:t>
      </w:r>
    </w:p>
    <w:p w:rsidR="00F16760" w:rsidP="007B6F9C" w:rsidRDefault="007A300D" w14:paraId="21422A9A" w14:textId="7E436A91">
      <w:pPr>
        <w:pStyle w:val="Standard"/>
        <w:keepNext/>
      </w:pPr>
      <w:r w:rsidRPr="007E30C4">
        <w:t xml:space="preserve">We concur with Staff that the ESJ </w:t>
      </w:r>
      <w:r w:rsidR="008D0511">
        <w:t>P</w:t>
      </w:r>
      <w:r w:rsidRPr="007E30C4">
        <w:t xml:space="preserve">ilot </w:t>
      </w:r>
      <w:r w:rsidR="001D5977">
        <w:t>should</w:t>
      </w:r>
      <w:r w:rsidRPr="007E30C4" w:rsidR="001D5977">
        <w:t xml:space="preserve"> </w:t>
      </w:r>
      <w:r w:rsidR="00811506">
        <w:t xml:space="preserve">define and </w:t>
      </w:r>
      <w:r w:rsidR="009E062B">
        <w:t xml:space="preserve">consider </w:t>
      </w:r>
      <w:r w:rsidRPr="007E30C4">
        <w:t xml:space="preserve">DVCs </w:t>
      </w:r>
      <w:r w:rsidR="007F598E">
        <w:t xml:space="preserve">as defined </w:t>
      </w:r>
      <w:r w:rsidR="002F1C28">
        <w:t>in</w:t>
      </w:r>
      <w:r w:rsidR="004F743B">
        <w:t xml:space="preserve"> </w:t>
      </w:r>
      <w:r w:rsidRPr="007E30C4">
        <w:t>D.20-08-046</w:t>
      </w:r>
      <w:r w:rsidR="004B524D">
        <w:t>, namely</w:t>
      </w:r>
      <w:r w:rsidR="000D1A53">
        <w:t xml:space="preserve"> as</w:t>
      </w:r>
      <w:r w:rsidR="00F16760">
        <w:t xml:space="preserve">: </w:t>
      </w:r>
    </w:p>
    <w:p w:rsidR="007441AB" w:rsidP="00864718" w:rsidRDefault="00F16760" w14:paraId="2462568F" w14:textId="2EB5F20E">
      <w:pPr>
        <w:pStyle w:val="ListBullet"/>
        <w:ind w:left="1080" w:right="1440"/>
      </w:pPr>
      <w:r w:rsidRPr="00F16760">
        <w:t>the 25</w:t>
      </w:r>
      <w:r>
        <w:t xml:space="preserve"> percent</w:t>
      </w:r>
      <w:r w:rsidRPr="00F16760">
        <w:t xml:space="preserve"> highest scoring census tracts according to the most current version of CalEnviroScreen</w:t>
      </w:r>
      <w:r w:rsidR="007441AB">
        <w:t>;</w:t>
      </w:r>
    </w:p>
    <w:p w:rsidR="00374452" w:rsidP="00864718" w:rsidRDefault="00F16760" w14:paraId="123F4CA6" w14:textId="2EB5F20E">
      <w:pPr>
        <w:pStyle w:val="ListBullet"/>
        <w:ind w:left="1080" w:right="1440"/>
      </w:pPr>
      <w:r w:rsidRPr="00F16760">
        <w:t>all California tribal lands</w:t>
      </w:r>
      <w:r w:rsidR="00374452">
        <w:t>;</w:t>
      </w:r>
    </w:p>
    <w:p w:rsidR="00374452" w:rsidP="00864718" w:rsidRDefault="00F16760" w14:paraId="4D6EA7ED" w14:textId="2EB5F20E">
      <w:pPr>
        <w:pStyle w:val="ListBullet"/>
        <w:ind w:left="1080" w:right="1440"/>
      </w:pPr>
      <w:r w:rsidRPr="00F16760">
        <w:t>census tracts that score in the highest</w:t>
      </w:r>
      <w:r w:rsidR="00374452">
        <w:t xml:space="preserve"> five percent</w:t>
      </w:r>
      <w:r w:rsidRPr="00F16760">
        <w:t xml:space="preserve"> of Pollution Burden within CalEnviroScreen, but do not receive an overall CalEnviroScreen score due to unreliable public health and socioeconomic data</w:t>
      </w:r>
      <w:r w:rsidR="00374452">
        <w:t xml:space="preserve">; and, </w:t>
      </w:r>
    </w:p>
    <w:p w:rsidR="00F16760" w:rsidP="00864718" w:rsidRDefault="00F16760" w14:paraId="4C1576EB" w14:textId="6B22C0DA">
      <w:pPr>
        <w:pStyle w:val="ListBullet"/>
        <w:ind w:left="1080" w:right="1440"/>
      </w:pPr>
      <w:r w:rsidRPr="00F16760">
        <w:t>census tracts with median household incomes less than 60</w:t>
      </w:r>
      <w:r w:rsidR="007B6F9C">
        <w:t> </w:t>
      </w:r>
      <w:r w:rsidR="00374452">
        <w:t>percent</w:t>
      </w:r>
      <w:r w:rsidRPr="00F16760">
        <w:t xml:space="preserve"> of state median income.</w:t>
      </w:r>
      <w:r w:rsidRPr="007E30C4" w:rsidR="00374452">
        <w:rPr>
          <w:rStyle w:val="FootnoteReference"/>
        </w:rPr>
        <w:footnoteReference w:id="78"/>
      </w:r>
    </w:p>
    <w:p w:rsidRPr="007E30C4" w:rsidR="007A300D" w:rsidP="007A300D" w:rsidRDefault="007B0AFD" w14:paraId="77CAC85E" w14:textId="5D0AC869">
      <w:pPr>
        <w:pStyle w:val="Standard"/>
      </w:pPr>
      <w:r>
        <w:t xml:space="preserve"> </w:t>
      </w:r>
      <w:r w:rsidRPr="007E30C4" w:rsidR="007A300D">
        <w:t xml:space="preserve">For clarity, we change references of “ESJ communities” to “DVCs” within the ESJ Pilot </w:t>
      </w:r>
      <w:r w:rsidR="00735FF3">
        <w:t>A</w:t>
      </w:r>
      <w:r w:rsidRPr="007E30C4" w:rsidR="007A300D">
        <w:t xml:space="preserve">ction </w:t>
      </w:r>
      <w:r w:rsidR="00735FF3">
        <w:t>I</w:t>
      </w:r>
      <w:r w:rsidRPr="007E30C4" w:rsidR="007A300D">
        <w:t>tems.</w:t>
      </w:r>
      <w:r w:rsidR="00374452">
        <w:t xml:space="preserve"> </w:t>
      </w:r>
      <w:r w:rsidR="00D30068">
        <w:t xml:space="preserve"> </w:t>
      </w:r>
      <w:r w:rsidR="00374452">
        <w:t xml:space="preserve">Using </w:t>
      </w:r>
      <w:r w:rsidR="006D5FE0">
        <w:t>the narrow</w:t>
      </w:r>
      <w:r w:rsidR="00A97DCB">
        <w:t>er</w:t>
      </w:r>
      <w:r w:rsidR="00374452">
        <w:t xml:space="preserve"> definition </w:t>
      </w:r>
      <w:r w:rsidR="006D5FE0">
        <w:t>of DVC</w:t>
      </w:r>
      <w:r w:rsidR="00374452">
        <w:t xml:space="preserve"> for the ESJ </w:t>
      </w:r>
      <w:r w:rsidR="008D0511">
        <w:t>P</w:t>
      </w:r>
      <w:r w:rsidR="00374452">
        <w:t>ilots is important because</w:t>
      </w:r>
      <w:r w:rsidR="00A91F7D">
        <w:t xml:space="preserve"> it will ensure that the resources directed towards the ESJ </w:t>
      </w:r>
      <w:r w:rsidR="008D0511">
        <w:t>P</w:t>
      </w:r>
      <w:r w:rsidR="00A91F7D">
        <w:t>ilot add</w:t>
      </w:r>
      <w:r w:rsidR="00CC489C">
        <w:t>resses the needs of the most vulnerable.</w:t>
      </w:r>
      <w:r w:rsidR="00374452">
        <w:t xml:space="preserve"> </w:t>
      </w:r>
    </w:p>
    <w:p w:rsidR="007E5EEB" w:rsidP="007E5EEB" w:rsidRDefault="007E5EEB" w14:paraId="666403DE" w14:textId="0F8D3DDB">
      <w:pPr>
        <w:pStyle w:val="Standard"/>
      </w:pPr>
      <w:r w:rsidRPr="007E30C4">
        <w:t xml:space="preserve">We direct </w:t>
      </w:r>
      <w:r>
        <w:t>the IOUs</w:t>
      </w:r>
      <w:r w:rsidRPr="007E30C4">
        <w:t xml:space="preserve"> to</w:t>
      </w:r>
      <w:r>
        <w:t xml:space="preserve"> each</w:t>
      </w:r>
      <w:r w:rsidRPr="007E30C4">
        <w:t xml:space="preserve"> file a </w:t>
      </w:r>
      <w:r>
        <w:t>W</w:t>
      </w:r>
      <w:r w:rsidRPr="007E30C4">
        <w:t xml:space="preserve">hite </w:t>
      </w:r>
      <w:r>
        <w:t>P</w:t>
      </w:r>
      <w:r w:rsidRPr="007E30C4">
        <w:t xml:space="preserve">aper </w:t>
      </w:r>
      <w:r w:rsidR="005D120B">
        <w:t>that</w:t>
      </w:r>
      <w:r>
        <w:t>:</w:t>
      </w:r>
    </w:p>
    <w:p w:rsidR="007E5EEB" w:rsidP="00864718" w:rsidRDefault="005D120B" w14:paraId="25F5490C" w14:textId="0988A657">
      <w:pPr>
        <w:pStyle w:val="Standard"/>
        <w:numPr>
          <w:ilvl w:val="0"/>
          <w:numId w:val="12"/>
        </w:numPr>
        <w:spacing w:after="120" w:line="240" w:lineRule="auto"/>
        <w:ind w:right="1440"/>
      </w:pPr>
      <w:bookmarkStart w:name="_Hlk116987571" w:id="39"/>
      <w:r>
        <w:t xml:space="preserve">identifies </w:t>
      </w:r>
      <w:r w:rsidRPr="007E30C4" w:rsidR="007E5EEB">
        <w:t>areas for further exploration</w:t>
      </w:r>
      <w:r w:rsidR="007E5EEB">
        <w:t xml:space="preserve"> and </w:t>
      </w:r>
      <w:r w:rsidRPr="007E30C4" w:rsidR="007E5EEB">
        <w:t xml:space="preserve">challenges they faced incorporating ESJ into </w:t>
      </w:r>
      <w:r w:rsidR="007E5EEB">
        <w:t>the RDF;</w:t>
      </w:r>
      <w:r w:rsidRPr="007E30C4" w:rsidR="007E5EEB">
        <w:t xml:space="preserve"> </w:t>
      </w:r>
    </w:p>
    <w:p w:rsidR="007E5EEB" w:rsidP="00864718" w:rsidRDefault="007E5EEB" w14:paraId="4E000C54" w14:textId="388AB83A">
      <w:pPr>
        <w:pStyle w:val="Standard"/>
        <w:numPr>
          <w:ilvl w:val="0"/>
          <w:numId w:val="12"/>
        </w:numPr>
        <w:spacing w:after="120" w:line="240" w:lineRule="auto"/>
        <w:ind w:right="1440"/>
      </w:pPr>
      <w:r>
        <w:t>discuss</w:t>
      </w:r>
      <w:r w:rsidR="005D120B">
        <w:t xml:space="preserve">es </w:t>
      </w:r>
      <w:r w:rsidRPr="007E30C4">
        <w:t xml:space="preserve">how to better target </w:t>
      </w:r>
      <w:r w:rsidR="00245E34">
        <w:t>M</w:t>
      </w:r>
      <w:r w:rsidRPr="007E30C4">
        <w:t>itigations that improve local air quality</w:t>
      </w:r>
      <w:r>
        <w:t>;</w:t>
      </w:r>
      <w:r w:rsidRPr="007E30C4">
        <w:t xml:space="preserve"> </w:t>
      </w:r>
      <w:r w:rsidR="00FE21E2">
        <w:t xml:space="preserve">and </w:t>
      </w:r>
    </w:p>
    <w:p w:rsidR="007E5EEB" w:rsidP="00864718" w:rsidRDefault="00762703" w14:paraId="72E5CA7B" w14:textId="3CCA4F5B">
      <w:pPr>
        <w:pStyle w:val="Standard"/>
        <w:numPr>
          <w:ilvl w:val="0"/>
          <w:numId w:val="12"/>
        </w:numPr>
        <w:spacing w:after="120" w:line="240" w:lineRule="auto"/>
        <w:ind w:right="1440"/>
      </w:pPr>
      <w:r>
        <w:t xml:space="preserve">explores </w:t>
      </w:r>
      <w:r w:rsidRPr="007E30C4" w:rsidR="007E5EEB">
        <w:t xml:space="preserve">how to better target </w:t>
      </w:r>
      <w:r w:rsidR="00245E34">
        <w:t>M</w:t>
      </w:r>
      <w:r w:rsidRPr="007E30C4" w:rsidR="007E5EEB">
        <w:t>itigations that improve</w:t>
      </w:r>
      <w:r w:rsidRPr="007E30C4" w:rsidDel="002F4496" w:rsidR="007E5EEB">
        <w:t xml:space="preserve"> </w:t>
      </w:r>
      <w:r w:rsidRPr="007E30C4" w:rsidR="007E5EEB">
        <w:t xml:space="preserve">climate resilience in disadvantaged and vulnerable communities. </w:t>
      </w:r>
      <w:r w:rsidR="007E5EEB">
        <w:t xml:space="preserve"> </w:t>
      </w:r>
    </w:p>
    <w:bookmarkEnd w:id="39"/>
    <w:p w:rsidRPr="007E30C4" w:rsidR="007A300D" w:rsidP="007A300D" w:rsidRDefault="006A1A1F" w14:paraId="3975AF11" w14:textId="257363F1">
      <w:pPr>
        <w:pStyle w:val="Standard"/>
      </w:pPr>
      <w:r>
        <w:t xml:space="preserve">The due date for each IOU’s </w:t>
      </w:r>
      <w:r w:rsidR="00B13A42">
        <w:t>W</w:t>
      </w:r>
      <w:r>
        <w:t xml:space="preserve">hite </w:t>
      </w:r>
      <w:r w:rsidR="00B13A42">
        <w:t>P</w:t>
      </w:r>
      <w:r>
        <w:t xml:space="preserve">aper is two months after its </w:t>
      </w:r>
      <w:r w:rsidR="00EA4BB9">
        <w:t xml:space="preserve">next </w:t>
      </w:r>
      <w:r>
        <w:t>RAMP filing</w:t>
      </w:r>
      <w:r w:rsidR="009235BF">
        <w:t xml:space="preserve"> deadline</w:t>
      </w:r>
      <w:r>
        <w:t xml:space="preserve">.  </w:t>
      </w:r>
      <w:r w:rsidR="00DB1005">
        <w:t xml:space="preserve">These dates are reasonable and allow each IOU </w:t>
      </w:r>
      <w:r w:rsidR="002E2CB2">
        <w:t xml:space="preserve">the time to reflect RAMP considerations into the </w:t>
      </w:r>
      <w:r w:rsidR="00EA4BB9">
        <w:t xml:space="preserve">ESJ </w:t>
      </w:r>
      <w:r w:rsidR="00201F59">
        <w:t>Pilot</w:t>
      </w:r>
      <w:r w:rsidR="002E2CB2">
        <w:t xml:space="preserve"> results.</w:t>
      </w:r>
      <w:r w:rsidR="00DB1005">
        <w:t xml:space="preserve"> </w:t>
      </w:r>
      <w:r>
        <w:t xml:space="preserve"> </w:t>
      </w:r>
      <w:r w:rsidRPr="0034511E" w:rsidR="0034511E">
        <w:t>The completion of an ESJ Pilot Study White Paper by each IOU supports the long-term goal of advancing equity and resiliency throughout California.</w:t>
      </w:r>
    </w:p>
    <w:p w:rsidRPr="0084698A" w:rsidR="007A300D" w:rsidP="007A300D" w:rsidRDefault="007A300D" w14:paraId="72C9EED2" w14:textId="1F7FB231">
      <w:pPr>
        <w:pStyle w:val="Standard"/>
      </w:pPr>
      <w:r w:rsidRPr="0084698A">
        <w:t>W</w:t>
      </w:r>
      <w:r w:rsidR="00B962FA">
        <w:t>e do not require</w:t>
      </w:r>
      <w:r w:rsidRPr="0084698A">
        <w:t xml:space="preserve"> the </w:t>
      </w:r>
      <w:r w:rsidR="00B962FA">
        <w:t xml:space="preserve">IOUs to </w:t>
      </w:r>
      <w:r w:rsidRPr="0084698A">
        <w:t>address</w:t>
      </w:r>
      <w:r w:rsidR="00B962FA">
        <w:t xml:space="preserve"> </w:t>
      </w:r>
      <w:r w:rsidRPr="0084698A">
        <w:t>issue</w:t>
      </w:r>
      <w:r w:rsidR="00B962FA">
        <w:t>s surrounding</w:t>
      </w:r>
      <w:r w:rsidRPr="0084698A">
        <w:t xml:space="preserve"> </w:t>
      </w:r>
      <w:r w:rsidR="00B962FA">
        <w:t>the</w:t>
      </w:r>
      <w:r w:rsidRPr="0084698A">
        <w:t xml:space="preserve"> affordability </w:t>
      </w:r>
      <w:r w:rsidR="00B962FA">
        <w:t>of rates or</w:t>
      </w:r>
      <w:r w:rsidRPr="0084698A" w:rsidDel="00B962FA">
        <w:t xml:space="preserve"> </w:t>
      </w:r>
      <w:r w:rsidRPr="0084698A">
        <w:t xml:space="preserve">risk mitigation </w:t>
      </w:r>
      <w:r w:rsidR="00B962FA">
        <w:t xml:space="preserve">in their </w:t>
      </w:r>
      <w:r w:rsidRPr="0084698A">
        <w:t>ESJ Pilot</w:t>
      </w:r>
      <w:r w:rsidR="00B962FA">
        <w:t>s, as suggested by MGRA and TURN.  However,</w:t>
      </w:r>
      <w:r w:rsidRPr="0084698A">
        <w:t xml:space="preserve"> accounting for the </w:t>
      </w:r>
      <w:r w:rsidRPr="0084698A" w:rsidR="001500A9">
        <w:t xml:space="preserve">health and </w:t>
      </w:r>
      <w:r w:rsidRPr="0084698A">
        <w:t xml:space="preserve">safety impacts of rate increases </w:t>
      </w:r>
      <w:r w:rsidR="00234E8E">
        <w:t>may be a</w:t>
      </w:r>
      <w:r w:rsidR="004B4497">
        <w:t>n</w:t>
      </w:r>
      <w:r w:rsidR="00234E8E">
        <w:t xml:space="preserve"> appropriate way for this Commission to consider </w:t>
      </w:r>
      <w:r w:rsidRPr="0084698A" w:rsidR="001500A9">
        <w:t xml:space="preserve">the </w:t>
      </w:r>
      <w:r w:rsidRPr="0084698A">
        <w:t xml:space="preserve">financial hardships </w:t>
      </w:r>
      <w:r w:rsidR="004B4497">
        <w:t xml:space="preserve">caused </w:t>
      </w:r>
      <w:r w:rsidR="002D4D78">
        <w:t>by</w:t>
      </w:r>
      <w:r w:rsidR="007272F2">
        <w:t xml:space="preserve"> </w:t>
      </w:r>
      <w:r w:rsidR="00234E8E">
        <w:t>rate increases</w:t>
      </w:r>
      <w:r w:rsidRPr="0084698A" w:rsidR="00071E45">
        <w:t xml:space="preserve">, which disproportionately </w:t>
      </w:r>
      <w:r w:rsidR="007272F2">
        <w:t xml:space="preserve">impact </w:t>
      </w:r>
      <w:r w:rsidRPr="0084698A" w:rsidR="00071E45">
        <w:t>lower-income Californians</w:t>
      </w:r>
      <w:r w:rsidRPr="0084698A">
        <w:t>.  The</w:t>
      </w:r>
      <w:r w:rsidR="004B4497">
        <w:t>refore, we encourage the</w:t>
      </w:r>
      <w:r w:rsidRPr="0084698A">
        <w:t xml:space="preserve"> IOUs </w:t>
      </w:r>
      <w:r w:rsidR="004B4497">
        <w:t>to</w:t>
      </w:r>
      <w:r w:rsidRPr="0084698A">
        <w:t xml:space="preserve"> use the ESJ Pilots as an opportunity to consider </w:t>
      </w:r>
      <w:r w:rsidR="00E66950">
        <w:t xml:space="preserve">the connections between </w:t>
      </w:r>
      <w:r w:rsidR="004B4497">
        <w:t xml:space="preserve">the intertwined </w:t>
      </w:r>
      <w:r w:rsidRPr="0084698A">
        <w:t>issues of affordability</w:t>
      </w:r>
      <w:r w:rsidR="00E66950">
        <w:t xml:space="preserve">, </w:t>
      </w:r>
      <w:r w:rsidRPr="0084698A">
        <w:t>risk mitigation</w:t>
      </w:r>
      <w:r w:rsidR="00E66950">
        <w:t xml:space="preserve">, and societal Risk Tolerance </w:t>
      </w:r>
      <w:r w:rsidR="00FE502C">
        <w:t xml:space="preserve">and possible methods to </w:t>
      </w:r>
      <w:r w:rsidRPr="0084698A" w:rsidR="00FE502C">
        <w:t xml:space="preserve">address </w:t>
      </w:r>
      <w:r w:rsidR="00FE502C">
        <w:t>the</w:t>
      </w:r>
      <w:r w:rsidR="0071262E">
        <w:t>se issues</w:t>
      </w:r>
      <w:r w:rsidR="00FE502C">
        <w:t xml:space="preserve"> </w:t>
      </w:r>
      <w:r w:rsidRPr="0084698A">
        <w:t xml:space="preserve">in the future. </w:t>
      </w:r>
      <w:r w:rsidR="004B4497">
        <w:t xml:space="preserve"> </w:t>
      </w:r>
      <w:r w:rsidRPr="0084698A">
        <w:t xml:space="preserve"> </w:t>
      </w:r>
    </w:p>
    <w:p w:rsidRPr="007E30C4" w:rsidR="009459DA" w:rsidP="006621D1" w:rsidRDefault="009459DA" w14:paraId="2CC1BC23" w14:textId="69777993">
      <w:pPr>
        <w:pStyle w:val="Standard"/>
      </w:pPr>
      <w:r w:rsidRPr="007E30C4">
        <w:t>We agree with TURN that the phrase “other data sources”</w:t>
      </w:r>
      <w:r w:rsidR="00E66950">
        <w:t xml:space="preserve"> </w:t>
      </w:r>
      <w:r w:rsidRPr="007E30C4">
        <w:t>should be removed from ESJ Pilot Action Item #1.</w:t>
      </w:r>
    </w:p>
    <w:p w:rsidRPr="007E30C4" w:rsidR="007A300D" w:rsidP="007A300D" w:rsidRDefault="007A300D" w14:paraId="47DBF1B7" w14:textId="6F08D449">
      <w:pPr>
        <w:pStyle w:val="Standard"/>
      </w:pPr>
      <w:r w:rsidRPr="007E30C4">
        <w:t>We agree with Staff that the ESJ Pilot Action Item #5</w:t>
      </w:r>
      <w:r w:rsidR="00A70EDD">
        <w:t xml:space="preserve">, </w:t>
      </w:r>
      <w:r w:rsidRPr="00D343F5" w:rsidR="00A70EDD">
        <w:t xml:space="preserve">addressing </w:t>
      </w:r>
      <w:r w:rsidR="00D343F5">
        <w:t xml:space="preserve">the </w:t>
      </w:r>
      <w:r w:rsidRPr="00ED1A1E" w:rsidR="00D343F5">
        <w:t xml:space="preserve">estimated impacts </w:t>
      </w:r>
      <w:r w:rsidR="00D343F5">
        <w:t>of</w:t>
      </w:r>
      <w:r w:rsidRPr="00ED1A1E" w:rsidR="00D343F5">
        <w:t xml:space="preserve"> wildfire smoke</w:t>
      </w:r>
      <w:r w:rsidR="00A70EDD">
        <w:t xml:space="preserve">, </w:t>
      </w:r>
      <w:r w:rsidRPr="007E30C4">
        <w:t xml:space="preserve">is within scope of the </w:t>
      </w:r>
      <w:r w:rsidR="00B13A42">
        <w:t>ESJ P</w:t>
      </w:r>
      <w:r w:rsidRPr="007E30C4">
        <w:t xml:space="preserve">ilot </w:t>
      </w:r>
      <w:r w:rsidR="00B13A42">
        <w:t>S</w:t>
      </w:r>
      <w:r w:rsidRPr="007E30C4">
        <w:t>tudy</w:t>
      </w:r>
      <w:r w:rsidR="002D4D78">
        <w:t xml:space="preserve"> and retain this element in the ESJ </w:t>
      </w:r>
      <w:r w:rsidR="00E0684D">
        <w:t>P</w:t>
      </w:r>
      <w:r w:rsidR="002D4D78">
        <w:t>ilots we require here</w:t>
      </w:r>
      <w:r w:rsidRPr="007E30C4">
        <w:t xml:space="preserve">.  We also agree with PG&amp;E that the </w:t>
      </w:r>
      <w:r w:rsidR="009A7F43">
        <w:t>P</w:t>
      </w:r>
      <w:r w:rsidRPr="007E30C4">
        <w:t xml:space="preserve">ilot </w:t>
      </w:r>
      <w:r w:rsidR="009A7F43">
        <w:t>S</w:t>
      </w:r>
      <w:r w:rsidRPr="007E30C4">
        <w:t xml:space="preserve">tudy should focus its evaluation of the impact of wildfire smoke on DVCs </w:t>
      </w:r>
      <w:r w:rsidR="00667BDA">
        <w:t>with</w:t>
      </w:r>
      <w:r w:rsidR="002D4D78">
        <w:t>in</w:t>
      </w:r>
      <w:r w:rsidR="00C50E05">
        <w:t xml:space="preserve"> a utility’s service territory and </w:t>
      </w:r>
      <w:r w:rsidRPr="007E30C4">
        <w:t>based</w:t>
      </w:r>
      <w:r w:rsidR="00C50E05">
        <w:t xml:space="preserve"> </w:t>
      </w:r>
      <w:r w:rsidRPr="007E30C4">
        <w:t xml:space="preserve">on utility-caused wildfires within the service territory. </w:t>
      </w:r>
      <w:r w:rsidR="00C50E05">
        <w:t xml:space="preserve"> </w:t>
      </w:r>
      <w:r w:rsidR="00667BDA">
        <w:t xml:space="preserve">We authorize the IOUs to </w:t>
      </w:r>
      <w:r w:rsidRPr="007E30C4">
        <w:t>use public studies of the health impacts of wildfire smoke available in 2023 and thereafter to structure the risk methodology</w:t>
      </w:r>
      <w:r w:rsidR="00606A5B">
        <w:t xml:space="preserve"> in their </w:t>
      </w:r>
      <w:r w:rsidR="00951355">
        <w:t xml:space="preserve">ESJ </w:t>
      </w:r>
      <w:r w:rsidR="00201F59">
        <w:t>Pilot</w:t>
      </w:r>
      <w:r w:rsidR="00606A5B">
        <w:t>s</w:t>
      </w:r>
      <w:r w:rsidR="00D53F23">
        <w:t xml:space="preserve">, which ensures the IOUs efforts to address the health impacts </w:t>
      </w:r>
      <w:r w:rsidR="008F34B3">
        <w:t xml:space="preserve">of wildfires </w:t>
      </w:r>
      <w:r w:rsidR="00D53F23">
        <w:t xml:space="preserve">are based on </w:t>
      </w:r>
      <w:r w:rsidR="00D31EAB">
        <w:t xml:space="preserve">the best available </w:t>
      </w:r>
      <w:r w:rsidR="00D53F23">
        <w:t>scien</w:t>
      </w:r>
      <w:r w:rsidR="00D31EAB">
        <w:t>tific analysis</w:t>
      </w:r>
      <w:r w:rsidRPr="008038DD" w:rsidR="00D53F23">
        <w:t>.</w:t>
      </w:r>
      <w:r w:rsidRPr="007E30C4">
        <w:t xml:space="preserve"> </w:t>
      </w:r>
      <w:r w:rsidR="00C50E05">
        <w:t xml:space="preserve"> </w:t>
      </w:r>
      <w:r w:rsidRPr="007E30C4" w:rsidDel="00606A5B">
        <w:t>W</w:t>
      </w:r>
      <w:r w:rsidRPr="007E30C4">
        <w:t xml:space="preserve">e </w:t>
      </w:r>
      <w:r w:rsidR="00606A5B">
        <w:t>also</w:t>
      </w:r>
      <w:r w:rsidRPr="007E30C4">
        <w:t xml:space="preserve"> encourage the IOUs to draw upon the research results from CARB’s 2021</w:t>
      </w:r>
      <w:r w:rsidR="007B6F9C">
        <w:noBreakHyphen/>
      </w:r>
      <w:r w:rsidRPr="007E30C4">
        <w:t>2022</w:t>
      </w:r>
      <w:r w:rsidR="007B6F9C">
        <w:t> </w:t>
      </w:r>
      <w:r w:rsidRPr="007E30C4">
        <w:t xml:space="preserve">solicitation </w:t>
      </w:r>
      <w:r w:rsidR="00125B7B">
        <w:t>regarding health impacts of short-term exposure to wildfire smoke, identified by PG&amp;E.</w:t>
      </w:r>
      <w:r w:rsidR="00125B7B">
        <w:rPr>
          <w:rStyle w:val="FootnoteReference"/>
        </w:rPr>
        <w:footnoteReference w:id="79"/>
      </w:r>
      <w:r w:rsidR="00125B7B">
        <w:t xml:space="preserve"> </w:t>
      </w:r>
      <w:r w:rsidRPr="007E30C4">
        <w:t xml:space="preserve"> </w:t>
      </w:r>
    </w:p>
    <w:p w:rsidRPr="007E30C4" w:rsidR="00DB1016" w:rsidP="009459DA" w:rsidRDefault="007A300D" w14:paraId="5F5E3F8D" w14:textId="63416284">
      <w:pPr>
        <w:pStyle w:val="Standard"/>
      </w:pPr>
      <w:r w:rsidRPr="007E30C4">
        <w:t>We accept PG&amp;E’s proposed change of wording to ESJ Pilot Action Item</w:t>
      </w:r>
      <w:r w:rsidR="00D30068">
        <w:t> </w:t>
      </w:r>
      <w:r w:rsidRPr="007E30C4">
        <w:t>#6</w:t>
      </w:r>
      <w:r w:rsidR="00CD07D7">
        <w:t xml:space="preserve"> but stress that IOU analysis related to this</w:t>
      </w:r>
      <w:r w:rsidRPr="007E30C4">
        <w:t xml:space="preserve"> action item should emphasize impacts and benefits. </w:t>
      </w:r>
      <w:r w:rsidR="00CD07D7">
        <w:t xml:space="preserve"> We adopt ESJ Pilot </w:t>
      </w:r>
      <w:r w:rsidR="00D20E12">
        <w:t>A</w:t>
      </w:r>
      <w:r w:rsidR="00CD07D7">
        <w:t xml:space="preserve">ction Item #6 as </w:t>
      </w:r>
      <w:r w:rsidRPr="007E30C4">
        <w:t>“</w:t>
      </w:r>
      <w:r w:rsidR="00D31EAB">
        <w:t>[e]</w:t>
      </w:r>
      <w:r w:rsidRPr="007E30C4">
        <w:t>stimate the extent to which risk mitigation investments impact and benefit DVCs</w:t>
      </w:r>
      <w:bookmarkStart w:name="_I._f._Edit" w:id="40"/>
      <w:bookmarkEnd w:id="40"/>
      <w:r w:rsidR="31F98691">
        <w:t xml:space="preserve"> independently and in relation to non-DVCs in the IOU service territory</w:t>
      </w:r>
      <w:r w:rsidR="3F27EC8D">
        <w:t>.”</w:t>
      </w:r>
      <w:r w:rsidRPr="007E30C4">
        <w:t xml:space="preserve"> </w:t>
      </w:r>
    </w:p>
    <w:p w:rsidRPr="007E30C4" w:rsidR="00DD70EB" w:rsidP="009459DA" w:rsidRDefault="00716EFE" w14:paraId="188CFA67" w14:textId="797D5745">
      <w:pPr>
        <w:pStyle w:val="Standard"/>
      </w:pPr>
      <w:r>
        <w:t xml:space="preserve">After incorporating </w:t>
      </w:r>
      <w:r w:rsidR="00712FE0">
        <w:t>the</w:t>
      </w:r>
      <w:r w:rsidR="00945CB0">
        <w:t xml:space="preserve"> modifications </w:t>
      </w:r>
      <w:r w:rsidR="004D0A07">
        <w:t xml:space="preserve">discussed </w:t>
      </w:r>
      <w:r w:rsidR="00945CB0">
        <w:t xml:space="preserve">above, </w:t>
      </w:r>
      <w:r w:rsidR="009776F7">
        <w:t xml:space="preserve">we direct </w:t>
      </w:r>
      <w:r w:rsidR="00BB11DC">
        <w:t xml:space="preserve">the IOUs </w:t>
      </w:r>
      <w:r w:rsidR="009F046B">
        <w:t>to</w:t>
      </w:r>
      <w:r w:rsidR="00311354">
        <w:t xml:space="preserve"> </w:t>
      </w:r>
      <w:r w:rsidR="00D575EA">
        <w:t>address the following Action Items in their Pilot Study:</w:t>
      </w:r>
    </w:p>
    <w:p w:rsidRPr="00ED1A1E" w:rsidR="00E85F14" w:rsidP="00864718" w:rsidRDefault="00E85F14" w14:paraId="262C62F9" w14:textId="00A6C9EE">
      <w:pPr>
        <w:pStyle w:val="ListBullet"/>
        <w:ind w:left="1080" w:right="1440"/>
      </w:pPr>
      <w:r w:rsidRPr="009107FA">
        <w:rPr>
          <w:u w:val="single"/>
        </w:rPr>
        <w:t>Action Item #1</w:t>
      </w:r>
      <w:r>
        <w:t xml:space="preserve">: </w:t>
      </w:r>
      <w:r w:rsidR="007B6F9C">
        <w:t xml:space="preserve"> </w:t>
      </w:r>
      <w:r w:rsidRPr="00ED1A1E">
        <w:t xml:space="preserve">Consider equity in the evaluation of </w:t>
      </w:r>
      <w:r w:rsidR="00CF40AA">
        <w:t>C</w:t>
      </w:r>
      <w:r w:rsidRPr="00ED1A1E">
        <w:t xml:space="preserve">onsequences and risk mitigation </w:t>
      </w:r>
      <w:r>
        <w:t>within the RDF,</w:t>
      </w:r>
      <w:r w:rsidRPr="00ED1A1E">
        <w:t xml:space="preserve"> using </w:t>
      </w:r>
      <w:r>
        <w:t>the most current version of</w:t>
      </w:r>
      <w:r w:rsidRPr="00ED1A1E">
        <w:t xml:space="preserve"> CalEnviroScreen</w:t>
      </w:r>
      <w:r w:rsidR="0E6B53DC">
        <w:t xml:space="preserve"> </w:t>
      </w:r>
      <w:r w:rsidRPr="00ED1A1E">
        <w:t>to better understand how risks may disproportionately impact some communities more than others;</w:t>
      </w:r>
    </w:p>
    <w:p w:rsidRPr="00ED1A1E" w:rsidR="00E85F14" w:rsidP="00864718" w:rsidRDefault="00E85F14" w14:paraId="0FDDAFD8" w14:textId="199D4EA2">
      <w:pPr>
        <w:pStyle w:val="ListBullet"/>
        <w:ind w:left="1080" w:right="1440"/>
      </w:pPr>
      <w:r w:rsidRPr="00C50A91">
        <w:rPr>
          <w:u w:val="single"/>
        </w:rPr>
        <w:t>Action Item #</w:t>
      </w:r>
      <w:r>
        <w:rPr>
          <w:u w:val="single"/>
        </w:rPr>
        <w:t>2</w:t>
      </w:r>
      <w:r>
        <w:t xml:space="preserve">: </w:t>
      </w:r>
      <w:r w:rsidR="007B6F9C">
        <w:t xml:space="preserve"> </w:t>
      </w:r>
      <w:r w:rsidRPr="00ED1A1E">
        <w:t xml:space="preserve">Consider investments in clean energy resources </w:t>
      </w:r>
      <w:r>
        <w:t xml:space="preserve">in the RDF, as </w:t>
      </w:r>
      <w:r w:rsidRPr="007B6F9C">
        <w:t>possible</w:t>
      </w:r>
      <w:r>
        <w:t xml:space="preserve"> means </w:t>
      </w:r>
      <w:r w:rsidRPr="00ED1A1E">
        <w:t>to improve safety and reliability and mitigate risks in DVCs;</w:t>
      </w:r>
    </w:p>
    <w:p w:rsidRPr="00ED1A1E" w:rsidR="00E85F14" w:rsidP="00864718" w:rsidRDefault="00E85F14" w14:paraId="46AFAC96" w14:textId="15B47EA6">
      <w:pPr>
        <w:pStyle w:val="ListBullet"/>
        <w:ind w:left="1080" w:right="1440"/>
      </w:pPr>
      <w:r w:rsidRPr="00C50A91">
        <w:rPr>
          <w:u w:val="single"/>
        </w:rPr>
        <w:t>Action Item #</w:t>
      </w:r>
      <w:r>
        <w:rPr>
          <w:u w:val="single"/>
        </w:rPr>
        <w:t>3</w:t>
      </w:r>
      <w:r>
        <w:t xml:space="preserve">: </w:t>
      </w:r>
      <w:r w:rsidR="007B6F9C">
        <w:t xml:space="preserve"> </w:t>
      </w:r>
      <w:r w:rsidRPr="00ED1A1E">
        <w:t xml:space="preserve">Consider </w:t>
      </w:r>
      <w:r w:rsidR="000C0BE0">
        <w:t>M</w:t>
      </w:r>
      <w:r w:rsidRPr="00ED1A1E">
        <w:t xml:space="preserve">itigations that improve local air quality and public </w:t>
      </w:r>
      <w:r w:rsidRPr="007B6F9C">
        <w:t>health</w:t>
      </w:r>
      <w:r>
        <w:t xml:space="preserve"> in the RDF</w:t>
      </w:r>
      <w:r w:rsidRPr="00ED1A1E">
        <w:t xml:space="preserve">, including </w:t>
      </w:r>
      <w:r>
        <w:t>supporting data collection efforts associated with</w:t>
      </w:r>
      <w:r w:rsidRPr="00ED1A1E">
        <w:t xml:space="preserve"> </w:t>
      </w:r>
      <w:r w:rsidR="006950D9">
        <w:t>AB</w:t>
      </w:r>
      <w:r w:rsidR="007B6F9C">
        <w:t> </w:t>
      </w:r>
      <w:r w:rsidRPr="00ED1A1E">
        <w:t xml:space="preserve">617 </w:t>
      </w:r>
      <w:r>
        <w:t xml:space="preserve">regarding </w:t>
      </w:r>
      <w:r w:rsidRPr="00ED1A1E">
        <w:t>community air protection program;</w:t>
      </w:r>
    </w:p>
    <w:p w:rsidRPr="00ED1A1E" w:rsidR="00E85F14" w:rsidP="00864718" w:rsidRDefault="00E85F14" w14:paraId="5C7CDC65" w14:textId="68F85E71">
      <w:pPr>
        <w:pStyle w:val="ListBullet"/>
        <w:ind w:left="1080" w:right="1440"/>
      </w:pPr>
      <w:r w:rsidRPr="00C50A91">
        <w:rPr>
          <w:u w:val="single"/>
        </w:rPr>
        <w:t>Action Item #</w:t>
      </w:r>
      <w:r>
        <w:rPr>
          <w:u w:val="single"/>
        </w:rPr>
        <w:t>4</w:t>
      </w:r>
      <w:r>
        <w:t xml:space="preserve">: </w:t>
      </w:r>
      <w:r w:rsidR="007B6F9C">
        <w:t xml:space="preserve"> </w:t>
      </w:r>
      <w:r w:rsidRPr="00ED1A1E">
        <w:t xml:space="preserve">Evaluate how </w:t>
      </w:r>
      <w:r>
        <w:t xml:space="preserve">the selection of </w:t>
      </w:r>
      <w:r w:rsidRPr="00ED1A1E">
        <w:t xml:space="preserve">proposed mitigations </w:t>
      </w:r>
      <w:r>
        <w:t>in the RDF</w:t>
      </w:r>
      <w:r w:rsidRPr="00ED1A1E">
        <w:t xml:space="preserve"> may </w:t>
      </w:r>
      <w:r>
        <w:t>impact</w:t>
      </w:r>
      <w:r w:rsidRPr="00ED1A1E">
        <w:t xml:space="preserve"> climate resiliency in DVCs;</w:t>
      </w:r>
    </w:p>
    <w:p w:rsidRPr="00ED1A1E" w:rsidR="00E85F14" w:rsidP="00864718" w:rsidRDefault="00E85F14" w14:paraId="3D1FE9BB" w14:textId="1B4BFF74">
      <w:pPr>
        <w:pStyle w:val="ListBullet"/>
        <w:ind w:left="1080" w:right="1440"/>
      </w:pPr>
      <w:r w:rsidRPr="00C50A91">
        <w:rPr>
          <w:u w:val="single"/>
        </w:rPr>
        <w:t>Action Item #</w:t>
      </w:r>
      <w:r>
        <w:rPr>
          <w:u w:val="single"/>
        </w:rPr>
        <w:t>5</w:t>
      </w:r>
      <w:r>
        <w:t xml:space="preserve">: </w:t>
      </w:r>
      <w:r w:rsidR="007B6F9C">
        <w:t xml:space="preserve"> </w:t>
      </w:r>
      <w:r w:rsidRPr="00ED1A1E">
        <w:t xml:space="preserve">Evaluate if estimated impacts </w:t>
      </w:r>
      <w:r>
        <w:t>of</w:t>
      </w:r>
      <w:r w:rsidRPr="00ED1A1E">
        <w:t xml:space="preserve"> wildfire smoke </w:t>
      </w:r>
      <w:r>
        <w:t xml:space="preserve">included in the RDF </w:t>
      </w:r>
      <w:r w:rsidRPr="00ED1A1E">
        <w:t>disproportionately impact DVCs;</w:t>
      </w:r>
    </w:p>
    <w:p w:rsidRPr="00ED1A1E" w:rsidR="00E85F14" w:rsidP="00864718" w:rsidRDefault="00E85F14" w14:paraId="0C567903" w14:textId="5DC9FF63">
      <w:pPr>
        <w:pStyle w:val="ListBullet"/>
        <w:ind w:left="1080" w:right="1440"/>
      </w:pPr>
      <w:r w:rsidRPr="00C50A91">
        <w:rPr>
          <w:u w:val="single"/>
        </w:rPr>
        <w:t>Action Item #</w:t>
      </w:r>
      <w:r>
        <w:rPr>
          <w:u w:val="single"/>
        </w:rPr>
        <w:t>6</w:t>
      </w:r>
      <w:r>
        <w:t xml:space="preserve">: </w:t>
      </w:r>
      <w:r w:rsidRPr="00ED1A1E">
        <w:t xml:space="preserve">Estimate the extent to which risk mitigation investments </w:t>
      </w:r>
      <w:r>
        <w:t xml:space="preserve">included in the RDF </w:t>
      </w:r>
      <w:r w:rsidRPr="00ED1A1E">
        <w:t>impact and benefit DVCs</w:t>
      </w:r>
      <w:r w:rsidR="00204D67">
        <w:t xml:space="preserve"> independently and in relation to </w:t>
      </w:r>
      <w:r w:rsidRPr="007B6F9C" w:rsidR="00204D67">
        <w:t>non</w:t>
      </w:r>
      <w:r w:rsidR="00204D67">
        <w:t>-DVCs in the IOU service territory</w:t>
      </w:r>
      <w:r w:rsidRPr="00ED1A1E">
        <w:t>;</w:t>
      </w:r>
      <w:r w:rsidR="007B6F9C">
        <w:t xml:space="preserve"> and</w:t>
      </w:r>
    </w:p>
    <w:p w:rsidRPr="00ED1A1E" w:rsidR="00E85F14" w:rsidP="00864718" w:rsidRDefault="00E85F14" w14:paraId="6C6D25E7" w14:textId="2EB5F20E">
      <w:pPr>
        <w:pStyle w:val="ListBullet"/>
        <w:ind w:left="1080" w:right="1440"/>
      </w:pPr>
      <w:r w:rsidRPr="00C50A91">
        <w:rPr>
          <w:u w:val="single"/>
        </w:rPr>
        <w:t>Action Item #</w:t>
      </w:r>
      <w:r>
        <w:rPr>
          <w:u w:val="single"/>
        </w:rPr>
        <w:t>7</w:t>
      </w:r>
      <w:r>
        <w:t xml:space="preserve">: </w:t>
      </w:r>
      <w:r w:rsidRPr="00ED1A1E">
        <w:t xml:space="preserve">Enhance outreach and public participation opportunities for </w:t>
      </w:r>
      <w:r>
        <w:t>DVCs</w:t>
      </w:r>
      <w:r w:rsidRPr="00ED1A1E">
        <w:t xml:space="preserve"> to </w:t>
      </w:r>
      <w:r w:rsidRPr="00FE21E2">
        <w:rPr>
          <w:u w:val="single"/>
        </w:rPr>
        <w:t>meaningfully</w:t>
      </w:r>
      <w:r w:rsidRPr="00ED1A1E">
        <w:t xml:space="preserve"> participate in risk mitigation and climate adaptation activities consistent with D.20-08-046.</w:t>
      </w:r>
    </w:p>
    <w:p w:rsidR="009F046B" w:rsidP="00A42676" w:rsidRDefault="009F3759" w14:paraId="51D7135B" w14:textId="204A1873">
      <w:pPr>
        <w:pStyle w:val="Standard"/>
      </w:pPr>
      <w:r>
        <w:t>C</w:t>
      </w:r>
      <w:r w:rsidRPr="009F3759">
        <w:t xml:space="preserve">onsistency </w:t>
      </w:r>
      <w:r>
        <w:t xml:space="preserve">in the required Action Items </w:t>
      </w:r>
      <w:r w:rsidR="00F1021B">
        <w:t xml:space="preserve">across the IOUs </w:t>
      </w:r>
      <w:r w:rsidRPr="009F3759">
        <w:t>will allow for comparison of results across utilities and will allow for broad insights by the Commission and parties.</w:t>
      </w:r>
      <w:r>
        <w:t xml:space="preserve">  Additionally, w</w:t>
      </w:r>
      <w:r w:rsidR="009F046B">
        <w:t xml:space="preserve">hile this decision establishes clear parameters for the IOUs to follow in their </w:t>
      </w:r>
      <w:r w:rsidR="00201F59">
        <w:t>Pilot</w:t>
      </w:r>
      <w:r w:rsidR="009F046B">
        <w:t xml:space="preserve">s, our intent is also to provide the IOUs with some flexibility to structure the </w:t>
      </w:r>
      <w:r w:rsidR="00201F59">
        <w:t>Pilot</w:t>
      </w:r>
      <w:r w:rsidR="009F046B">
        <w:t xml:space="preserve">s in a manner that is most beneficial to addressing ESJ issues within their service territory.  </w:t>
      </w:r>
    </w:p>
    <w:p w:rsidR="007658EC" w:rsidP="00A42676" w:rsidRDefault="007658EC" w14:paraId="45211F4F" w14:textId="5E6D5EC8">
      <w:pPr>
        <w:pStyle w:val="Standard"/>
      </w:pPr>
      <w:r>
        <w:t xml:space="preserve">As mentioned </w:t>
      </w:r>
      <w:r w:rsidR="00CE3095">
        <w:t xml:space="preserve">by SCE </w:t>
      </w:r>
      <w:r>
        <w:t xml:space="preserve">in comments on the proposed decision, we encourage all IOUs to identify coordination opportunities </w:t>
      </w:r>
      <w:r w:rsidR="00CE3095">
        <w:t xml:space="preserve">between the ESJ Pilots ordered here and </w:t>
      </w:r>
      <w:r>
        <w:t>activities directed in related proceedings</w:t>
      </w:r>
      <w:r w:rsidR="003F5478">
        <w:t>, including ways to avoid duplicat</w:t>
      </w:r>
      <w:r w:rsidR="00453CC0">
        <w:t>ing efforts</w:t>
      </w:r>
      <w:r>
        <w:t xml:space="preserve">. </w:t>
      </w:r>
      <w:r w:rsidR="00F21DE9">
        <w:t xml:space="preserve"> </w:t>
      </w:r>
    </w:p>
    <w:p w:rsidR="00F21DE9" w:rsidP="00A42676" w:rsidRDefault="00F21DE9" w14:paraId="7F4EB7A4" w14:textId="5CA58933">
      <w:pPr>
        <w:pStyle w:val="Standard"/>
      </w:pPr>
      <w:r w:rsidRPr="00F21DE9">
        <w:t>We require Commission Staff to post</w:t>
      </w:r>
      <w:r w:rsidR="00C83E6A">
        <w:t xml:space="preserve"> to</w:t>
      </w:r>
      <w:r w:rsidRPr="00F21DE9">
        <w:t xml:space="preserve"> the Commission website for this or a successor rulemaking </w:t>
      </w:r>
      <w:r>
        <w:t>link</w:t>
      </w:r>
      <w:r w:rsidR="00C01479">
        <w:t>s</w:t>
      </w:r>
      <w:r>
        <w:t xml:space="preserve"> to a summary of </w:t>
      </w:r>
      <w:r w:rsidR="00C01479">
        <w:t xml:space="preserve">each </w:t>
      </w:r>
      <w:r>
        <w:t>IOU</w:t>
      </w:r>
      <w:r w:rsidR="00C01479">
        <w:t>’</w:t>
      </w:r>
      <w:r>
        <w:t xml:space="preserve">s ESJ Pilot findings as well as </w:t>
      </w:r>
      <w:r w:rsidR="00960440">
        <w:t xml:space="preserve">each </w:t>
      </w:r>
      <w:r w:rsidR="00CC2222">
        <w:t>IOU</w:t>
      </w:r>
      <w:r w:rsidR="00960440">
        <w:t>’</w:t>
      </w:r>
      <w:r w:rsidR="00CC2222">
        <w:t>s</w:t>
      </w:r>
      <w:r>
        <w:t xml:space="preserve"> ESJ Pilot W</w:t>
      </w:r>
      <w:r w:rsidRPr="00F21DE9">
        <w:t>hite Paper.</w:t>
      </w:r>
    </w:p>
    <w:p w:rsidRPr="007E30C4" w:rsidR="00E26B70" w:rsidP="00E26B70" w:rsidRDefault="00405EFF" w14:paraId="6BF27BA6" w14:textId="241CA8B1">
      <w:pPr>
        <w:pStyle w:val="Heading2"/>
        <w:numPr>
          <w:ilvl w:val="1"/>
          <w:numId w:val="1"/>
        </w:numPr>
      </w:pPr>
      <w:bookmarkStart w:name="_Toc121821048" w:id="41"/>
      <w:r w:rsidRPr="007E30C4">
        <w:t>Modification of the</w:t>
      </w:r>
      <w:r w:rsidR="00FE21E2">
        <w:br/>
      </w:r>
      <w:r w:rsidRPr="007E30C4">
        <w:t>Settlement Agreement in</w:t>
      </w:r>
      <w:r w:rsidR="00FE21E2">
        <w:br/>
      </w:r>
      <w:r w:rsidRPr="007E30C4">
        <w:t>Appendix B</w:t>
      </w:r>
      <w:bookmarkEnd w:id="41"/>
    </w:p>
    <w:p w:rsidRPr="007E30C4" w:rsidR="00613687" w:rsidP="00613687" w:rsidRDefault="00405EFF" w14:paraId="75190CA9" w14:textId="09C07D10">
      <w:pPr>
        <w:pStyle w:val="Standard"/>
      </w:pPr>
      <w:r w:rsidRPr="007E30C4">
        <w:t xml:space="preserve">The Staff Proposal </w:t>
      </w:r>
      <w:r w:rsidRPr="007E30C4" w:rsidR="00925A5E">
        <w:t xml:space="preserve">suggests that the integration of </w:t>
      </w:r>
      <w:r w:rsidR="00C81E45">
        <w:t xml:space="preserve">the Cost-Benefit Approach </w:t>
      </w:r>
      <w:r w:rsidR="00A55F18">
        <w:t>in</w:t>
      </w:r>
      <w:r w:rsidRPr="007E30C4" w:rsidR="00925A5E">
        <w:t xml:space="preserve">to the RDF would require modifications to the Settlement Agreement. </w:t>
      </w:r>
      <w:r w:rsidR="00A55F18">
        <w:t xml:space="preserve"> </w:t>
      </w:r>
      <w:r w:rsidRPr="007E30C4" w:rsidR="00925A5E">
        <w:t xml:space="preserve">A redlined version of the Settlement Agreement appended to the Staff Proposal exhibits these modifications. </w:t>
      </w:r>
      <w:r w:rsidR="00A55F18">
        <w:t xml:space="preserve"> </w:t>
      </w:r>
      <w:r w:rsidRPr="007E30C4" w:rsidR="00925A5E">
        <w:t xml:space="preserve">Staff modifications include </w:t>
      </w:r>
      <w:r w:rsidR="00F750D6">
        <w:t xml:space="preserve">the </w:t>
      </w:r>
      <w:r w:rsidRPr="007E30C4" w:rsidR="00925A5E">
        <w:t>concept</w:t>
      </w:r>
      <w:r w:rsidR="00F750D6">
        <w:t xml:space="preserve"> we have adopted here</w:t>
      </w:r>
      <w:r w:rsidRPr="007E30C4" w:rsidR="00925A5E">
        <w:t xml:space="preserve">, </w:t>
      </w:r>
      <w:r w:rsidR="00A55F18">
        <w:t xml:space="preserve">the </w:t>
      </w:r>
      <w:r w:rsidRPr="007E30C4" w:rsidR="00925A5E">
        <w:t xml:space="preserve">Cost-Benefit </w:t>
      </w:r>
      <w:r w:rsidR="00AE00E7">
        <w:t>Approach</w:t>
      </w:r>
      <w:r w:rsidRPr="007E30C4" w:rsidR="00925A5E">
        <w:t xml:space="preserve">, and a new step </w:t>
      </w:r>
      <w:r w:rsidR="0060242B">
        <w:t xml:space="preserve">added </w:t>
      </w:r>
      <w:r w:rsidRPr="007E30C4" w:rsidR="00925A5E">
        <w:t>t</w:t>
      </w:r>
      <w:r w:rsidR="0060242B">
        <w:t xml:space="preserve">o the </w:t>
      </w:r>
      <w:r w:rsidRPr="007E30C4" w:rsidR="00925A5E">
        <w:t xml:space="preserve">risk analysis </w:t>
      </w:r>
      <w:r w:rsidR="0060242B">
        <w:t xml:space="preserve">the IOUs must </w:t>
      </w:r>
      <w:r w:rsidRPr="007E30C4" w:rsidR="00925A5E">
        <w:t>conduct</w:t>
      </w:r>
      <w:r w:rsidR="0060242B">
        <w:t xml:space="preserve"> as part of their </w:t>
      </w:r>
      <w:r w:rsidRPr="007E30C4" w:rsidR="00925A5E">
        <w:t>RAMP and GRC</w:t>
      </w:r>
      <w:r w:rsidR="0060242B">
        <w:t xml:space="preserve"> filings</w:t>
      </w:r>
      <w:r w:rsidRPr="007E30C4" w:rsidR="00925A5E">
        <w:t xml:space="preserve">, which </w:t>
      </w:r>
      <w:r w:rsidR="00431306">
        <w:t>Staff</w:t>
      </w:r>
      <w:r w:rsidRPr="007E30C4" w:rsidR="00925A5E">
        <w:t xml:space="preserve"> call</w:t>
      </w:r>
      <w:r w:rsidR="00431306">
        <w:t>s</w:t>
      </w:r>
      <w:r w:rsidRPr="007E30C4" w:rsidR="00925A5E">
        <w:t xml:space="preserve"> </w:t>
      </w:r>
      <w:r w:rsidR="0060242B">
        <w:t>“</w:t>
      </w:r>
      <w:r w:rsidRPr="007E30C4" w:rsidR="00925A5E">
        <w:t>Principle 5- Monetized Value of Attributes.</w:t>
      </w:r>
      <w:r w:rsidR="0060242B">
        <w:t>”</w:t>
      </w:r>
    </w:p>
    <w:p w:rsidRPr="007E30C4" w:rsidR="00AF2786" w:rsidP="008035AA" w:rsidRDefault="00266290" w14:paraId="0CA61A5B" w14:textId="69CDF9B1">
      <w:pPr>
        <w:pStyle w:val="Heading3"/>
        <w:numPr>
          <w:ilvl w:val="2"/>
          <w:numId w:val="1"/>
        </w:numPr>
      </w:pPr>
      <w:bookmarkStart w:name="_Toc121821049" w:id="42"/>
      <w:r w:rsidRPr="007E30C4">
        <w:t>Party Comments</w:t>
      </w:r>
      <w:bookmarkEnd w:id="42"/>
    </w:p>
    <w:p w:rsidRPr="007E30C4" w:rsidR="00EE0F52" w:rsidP="00EE0F52" w:rsidRDefault="00266290" w14:paraId="7423B098" w14:textId="3327CF30">
      <w:r w:rsidRPr="007E30C4">
        <w:t xml:space="preserve">PG&amp;E </w:t>
      </w:r>
      <w:r w:rsidRPr="007E30C4" w:rsidR="00680339">
        <w:t xml:space="preserve">provides detailed comments on the modifications </w:t>
      </w:r>
      <w:r w:rsidR="00A55F18">
        <w:t>to</w:t>
      </w:r>
      <w:r w:rsidRPr="007E30C4" w:rsidR="00680339">
        <w:t xml:space="preserve"> the Settlement Agreement</w:t>
      </w:r>
      <w:r w:rsidR="00A55F18">
        <w:t xml:space="preserve"> proposed by Staff</w:t>
      </w:r>
      <w:r w:rsidRPr="007E30C4" w:rsidR="00680339">
        <w:t>.</w:t>
      </w:r>
      <w:r w:rsidRPr="007E30C4" w:rsidR="00680339">
        <w:rPr>
          <w:rStyle w:val="FootnoteReference"/>
        </w:rPr>
        <w:footnoteReference w:id="80"/>
      </w:r>
      <w:r w:rsidRPr="007E30C4" w:rsidR="00680339">
        <w:t xml:space="preserve"> </w:t>
      </w:r>
      <w:r w:rsidR="004F1BF1">
        <w:t xml:space="preserve"> PG&amp;E’s </w:t>
      </w:r>
      <w:r w:rsidRPr="007E30C4" w:rsidR="00680339">
        <w:t>comments focus on developing additional terms and definitions for concepts central to the RDF.</w:t>
      </w:r>
      <w:r w:rsidR="00DD3615">
        <w:t xml:space="preserve">  The </w:t>
      </w:r>
      <w:r w:rsidR="005F48B9">
        <w:t>Sempra Companies</w:t>
      </w:r>
      <w:r w:rsidRPr="007E30C4" w:rsidR="00680339">
        <w:t xml:space="preserve"> suggest that the Commission should replace a redlined Settlement Agreement with a new document that better reflects the RDF.</w:t>
      </w:r>
    </w:p>
    <w:p w:rsidRPr="0031435E" w:rsidR="00A95A2D" w:rsidP="008035AA" w:rsidRDefault="0031435E" w14:paraId="586A85C5" w14:textId="3CC3BCB7">
      <w:pPr>
        <w:pStyle w:val="Heading3"/>
        <w:numPr>
          <w:ilvl w:val="2"/>
          <w:numId w:val="1"/>
        </w:numPr>
      </w:pPr>
      <w:bookmarkStart w:name="_Toc121821050" w:id="43"/>
      <w:r w:rsidRPr="0031435E">
        <w:t>Discussion</w:t>
      </w:r>
      <w:bookmarkEnd w:id="43"/>
    </w:p>
    <w:p w:rsidRPr="0031435E" w:rsidR="0031435E" w:rsidP="0031435E" w:rsidRDefault="004F1BF1" w14:paraId="59E585B1" w14:textId="00E3D1D4">
      <w:r>
        <w:t xml:space="preserve">We adopt Staff’s proposed </w:t>
      </w:r>
      <w:r w:rsidRPr="0031435E" w:rsidR="0031435E">
        <w:t xml:space="preserve">modifications to the Settlement Agreement </w:t>
      </w:r>
      <w:r>
        <w:t>adopted in the SA Decision with some additional refinements</w:t>
      </w:r>
      <w:r w:rsidR="00211289">
        <w:t xml:space="preserve">.  </w:t>
      </w:r>
      <w:r w:rsidRPr="0031435E" w:rsidR="0031435E">
        <w:t xml:space="preserve">We agree with </w:t>
      </w:r>
      <w:r>
        <w:t>Staff,</w:t>
      </w:r>
      <w:r w:rsidRPr="0031435E" w:rsidR="0031435E">
        <w:t xml:space="preserve"> </w:t>
      </w:r>
      <w:r w:rsidRPr="001C4D6E" w:rsidR="00375983">
        <w:t xml:space="preserve">the Sempra </w:t>
      </w:r>
      <w:r w:rsidR="685A6FB9">
        <w:t>Companies</w:t>
      </w:r>
      <w:r w:rsidR="00974EC5">
        <w:t>,</w:t>
      </w:r>
      <w:r w:rsidRPr="0031435E" w:rsidR="0031435E">
        <w:t xml:space="preserve"> </w:t>
      </w:r>
      <w:r w:rsidR="00C022C4">
        <w:t xml:space="preserve">and PG&amp;E that we should adopt a </w:t>
      </w:r>
      <w:r w:rsidR="0052466B">
        <w:t>new document, entitled t</w:t>
      </w:r>
      <w:r w:rsidRPr="0031435E" w:rsidR="0052466B">
        <w:t xml:space="preserve">he </w:t>
      </w:r>
      <w:r w:rsidR="0052466B">
        <w:t>“</w:t>
      </w:r>
      <w:r w:rsidRPr="0031435E" w:rsidR="0052466B">
        <w:t>Risk-Based Decision-Making Framework</w:t>
      </w:r>
      <w:r w:rsidR="00F56A30">
        <w:t xml:space="preserve">,” to encapsulate the modifications to the </w:t>
      </w:r>
      <w:r w:rsidRPr="0031435E" w:rsidR="0031435E">
        <w:t xml:space="preserve">Settlement Agreement </w:t>
      </w:r>
      <w:r w:rsidR="00F56A30">
        <w:t>adopt</w:t>
      </w:r>
      <w:r w:rsidR="00B335BF">
        <w:t>ed</w:t>
      </w:r>
      <w:r w:rsidR="00F56A30">
        <w:t xml:space="preserve"> here</w:t>
      </w:r>
      <w:r w:rsidRPr="0031435E" w:rsidR="0031435E">
        <w:t>.</w:t>
      </w:r>
      <w:r w:rsidR="00F56A30">
        <w:t xml:space="preserve">  </w:t>
      </w:r>
      <w:r w:rsidRPr="000E39AA" w:rsidR="00F56A30">
        <w:t xml:space="preserve">This </w:t>
      </w:r>
      <w:r w:rsidRPr="000E39AA" w:rsidR="00974EC5">
        <w:t>RDF</w:t>
      </w:r>
      <w:r w:rsidRPr="000E39AA" w:rsidR="00AC170F">
        <w:t>, contained in Appendi</w:t>
      </w:r>
      <w:r w:rsidR="00527F88">
        <w:t>x</w:t>
      </w:r>
      <w:r w:rsidRPr="000E39AA" w:rsidR="00AC170F">
        <w:t xml:space="preserve"> A, </w:t>
      </w:r>
      <w:r w:rsidRPr="000E39AA" w:rsidR="004D0A07">
        <w:t xml:space="preserve">supersedes and </w:t>
      </w:r>
      <w:r w:rsidRPr="000E39AA" w:rsidR="00AC170F">
        <w:t>replaces the Settlement Agreement adopted in the SA Decision in its entirety.</w:t>
      </w:r>
      <w:r w:rsidRPr="001B23D9" w:rsidR="00AC170F">
        <w:t xml:space="preserve"> </w:t>
      </w:r>
      <w:r w:rsidRPr="0027551C" w:rsidR="0031435E">
        <w:t xml:space="preserve"> </w:t>
      </w:r>
      <w:r w:rsidR="00ED4C37">
        <w:t>S</w:t>
      </w:r>
      <w:r w:rsidRPr="0031435E" w:rsidR="0031435E">
        <w:t>pecific</w:t>
      </w:r>
      <w:r w:rsidR="00ED4C37">
        <w:t>ally, we adopt the following</w:t>
      </w:r>
      <w:r w:rsidRPr="0031435E" w:rsidR="0031435E">
        <w:t xml:space="preserve"> modifications</w:t>
      </w:r>
      <w:r w:rsidR="00414656">
        <w:t xml:space="preserve">: </w:t>
      </w:r>
    </w:p>
    <w:p w:rsidRPr="0031435E" w:rsidR="0031435E" w:rsidP="00864718" w:rsidRDefault="0031435E" w14:paraId="68660372" w14:textId="1C75F28E">
      <w:pPr>
        <w:pStyle w:val="ListParagraph"/>
        <w:numPr>
          <w:ilvl w:val="0"/>
          <w:numId w:val="8"/>
        </w:numPr>
        <w:spacing w:after="120" w:line="240" w:lineRule="auto"/>
        <w:ind w:left="1080" w:right="1440"/>
        <w:contextualSpacing w:val="0"/>
      </w:pPr>
      <w:r w:rsidRPr="0031435E">
        <w:t>We incorporate D.21-11-009 Appendix D:  2021 S-MAP Revised Lexicon”</w:t>
      </w:r>
      <w:r w:rsidRPr="0031435E">
        <w:rPr>
          <w:rStyle w:val="FootnoteReference"/>
        </w:rPr>
        <w:footnoteReference w:id="81"/>
      </w:r>
      <w:r w:rsidRPr="0031435E">
        <w:t xml:space="preserve"> into the Definitions section of the document. </w:t>
      </w:r>
      <w:r w:rsidR="00437485">
        <w:t xml:space="preserve"> </w:t>
      </w:r>
      <w:r w:rsidR="00144206">
        <w:t xml:space="preserve">In some </w:t>
      </w:r>
      <w:r w:rsidR="000037AC">
        <w:t>instances,</w:t>
      </w:r>
      <w:r w:rsidR="00144206">
        <w:t xml:space="preserve"> we have</w:t>
      </w:r>
      <w:r w:rsidR="00D71554">
        <w:t xml:space="preserve"> adjusted the language</w:t>
      </w:r>
      <w:r w:rsidR="00C86E32">
        <w:t xml:space="preserve"> of the</w:t>
      </w:r>
      <w:r w:rsidR="00257D55">
        <w:t xml:space="preserve"> older</w:t>
      </w:r>
      <w:r w:rsidR="00C86E32">
        <w:t xml:space="preserve"> </w:t>
      </w:r>
      <w:r w:rsidR="000037AC">
        <w:t>d</w:t>
      </w:r>
      <w:r w:rsidR="00C86E32">
        <w:t>efinitions</w:t>
      </w:r>
      <w:r w:rsidR="00E509CC">
        <w:t xml:space="preserve"> </w:t>
      </w:r>
      <w:r w:rsidR="00257D55">
        <w:t>so that they are</w:t>
      </w:r>
      <w:r w:rsidR="00E509CC">
        <w:t xml:space="preserve"> more accurate.</w:t>
      </w:r>
      <w:r w:rsidRPr="0031435E">
        <w:t xml:space="preserve"> </w:t>
      </w:r>
      <w:r w:rsidR="00FE21E2">
        <w:t xml:space="preserve"> </w:t>
      </w:r>
      <w:r w:rsidRPr="0031435E">
        <w:t>This clarifies the pre-existing language used in the RDF.</w:t>
      </w:r>
    </w:p>
    <w:p w:rsidRPr="0031435E" w:rsidR="0031435E" w:rsidP="00864718" w:rsidRDefault="0031435E" w14:paraId="2C9F17DD" w14:textId="32EF2BF4">
      <w:pPr>
        <w:pStyle w:val="ListParagraph"/>
        <w:numPr>
          <w:ilvl w:val="0"/>
          <w:numId w:val="8"/>
        </w:numPr>
        <w:spacing w:after="120" w:line="240" w:lineRule="auto"/>
        <w:ind w:left="1080" w:right="1440"/>
        <w:contextualSpacing w:val="0"/>
      </w:pPr>
      <w:r w:rsidRPr="0031435E">
        <w:t>We change all references to the MAVF to “</w:t>
      </w:r>
      <w:r w:rsidR="008350C3">
        <w:t>C</w:t>
      </w:r>
      <w:r w:rsidRPr="0031435E">
        <w:t>ost-</w:t>
      </w:r>
      <w:r w:rsidR="008350C3">
        <w:t>B</w:t>
      </w:r>
      <w:r w:rsidRPr="0031435E">
        <w:t xml:space="preserve">enefit </w:t>
      </w:r>
      <w:r w:rsidR="008350C3">
        <w:t>A</w:t>
      </w:r>
      <w:r w:rsidRPr="0031435E">
        <w:t>pproach</w:t>
      </w:r>
      <w:r w:rsidR="000037AC">
        <w:t>.</w:t>
      </w:r>
      <w:r w:rsidRPr="0031435E">
        <w:t xml:space="preserve">” </w:t>
      </w:r>
      <w:r w:rsidR="00FE21E2">
        <w:t xml:space="preserve"> </w:t>
      </w:r>
      <w:r w:rsidRPr="0031435E">
        <w:t xml:space="preserve">This term is a more accurate description of the analytical tool now used in the RDF. </w:t>
      </w:r>
    </w:p>
    <w:p w:rsidRPr="0031435E" w:rsidR="0053298A" w:rsidP="00864718" w:rsidRDefault="005E28EE" w14:paraId="0CC83D7C" w14:textId="01119749">
      <w:pPr>
        <w:pStyle w:val="ListParagraph"/>
        <w:numPr>
          <w:ilvl w:val="0"/>
          <w:numId w:val="8"/>
        </w:numPr>
        <w:spacing w:after="120" w:line="240" w:lineRule="auto"/>
        <w:ind w:left="1080" w:right="1440"/>
        <w:contextualSpacing w:val="0"/>
      </w:pPr>
      <w:r>
        <w:t xml:space="preserve">We remove </w:t>
      </w:r>
      <w:r w:rsidR="00DC2434">
        <w:t xml:space="preserve">the definitions of the Settlement Agreement </w:t>
      </w:r>
      <w:r w:rsidR="009B39A4">
        <w:t>and</w:t>
      </w:r>
      <w:r w:rsidR="00DC2434">
        <w:t xml:space="preserve"> Settling Parties because </w:t>
      </w:r>
      <w:r w:rsidR="000F1DE8">
        <w:t>they</w:t>
      </w:r>
      <w:r w:rsidR="00DC2434">
        <w:t xml:space="preserve"> are no longer relevant </w:t>
      </w:r>
      <w:r w:rsidR="000F1DE8">
        <w:t>to the new document.</w:t>
      </w:r>
    </w:p>
    <w:p w:rsidRPr="0031435E" w:rsidR="0031435E" w:rsidP="00864718" w:rsidRDefault="0031435E" w14:paraId="6E633EE4" w14:textId="7CCAC211">
      <w:pPr>
        <w:pStyle w:val="ListParagraph"/>
        <w:numPr>
          <w:ilvl w:val="0"/>
          <w:numId w:val="8"/>
        </w:numPr>
        <w:spacing w:after="120" w:line="240" w:lineRule="auto"/>
        <w:ind w:left="1080" w:right="1440"/>
        <w:contextualSpacing w:val="0"/>
      </w:pPr>
      <w:r w:rsidRPr="0031435E">
        <w:t xml:space="preserve">We add Step 1A No. 6, which details </w:t>
      </w:r>
      <w:r w:rsidR="00A35659">
        <w:t xml:space="preserve">requirements for </w:t>
      </w:r>
      <w:r w:rsidRPr="0031435E">
        <w:t xml:space="preserve">the monetization of natural units. </w:t>
      </w:r>
      <w:r w:rsidR="00FE21E2">
        <w:t xml:space="preserve"> </w:t>
      </w:r>
      <w:r w:rsidRPr="0031435E">
        <w:t>This change is consistent with a shift to using a “</w:t>
      </w:r>
      <w:r w:rsidR="002B2FA9">
        <w:t>Cost-Benefit Approach</w:t>
      </w:r>
      <w:r w:rsidR="00C03A1D">
        <w:t>,</w:t>
      </w:r>
      <w:r w:rsidRPr="0031435E">
        <w:t>” which creates a single measurement of value represented in dollars.</w:t>
      </w:r>
    </w:p>
    <w:p w:rsidRPr="0031435E" w:rsidR="0031435E" w:rsidP="00864718" w:rsidRDefault="0031435E" w14:paraId="7070A736" w14:textId="6323FA26">
      <w:pPr>
        <w:pStyle w:val="ListParagraph"/>
        <w:numPr>
          <w:ilvl w:val="0"/>
          <w:numId w:val="8"/>
        </w:numPr>
        <w:spacing w:after="120" w:line="240" w:lineRule="auto"/>
        <w:ind w:left="1080" w:right="1440"/>
        <w:contextualSpacing w:val="0"/>
      </w:pPr>
      <w:r w:rsidRPr="0031435E">
        <w:t xml:space="preserve">We change Step 3 No. 25 from calculating Risk Spend Efficiencies to calculating a </w:t>
      </w:r>
      <w:r w:rsidR="000431B8">
        <w:t>Cost</w:t>
      </w:r>
      <w:r w:rsidRPr="0031435E">
        <w:t>-</w:t>
      </w:r>
      <w:r w:rsidR="000431B8">
        <w:t>Benefit</w:t>
      </w:r>
      <w:r w:rsidRPr="0031435E" w:rsidR="000431B8">
        <w:t xml:space="preserve"> </w:t>
      </w:r>
      <w:r w:rsidRPr="0031435E">
        <w:t xml:space="preserve">Ratio. </w:t>
      </w:r>
      <w:r w:rsidR="00FE21E2">
        <w:t xml:space="preserve"> </w:t>
      </w:r>
      <w:r w:rsidRPr="0031435E">
        <w:t>We also change all references to “RSEs” in Step 3 No. 26 and</w:t>
      </w:r>
      <w:r w:rsidR="00FE21E2">
        <w:br/>
      </w:r>
      <w:r w:rsidRPr="0031435E">
        <w:t>No. 27 to “</w:t>
      </w:r>
      <w:r w:rsidR="00FF7A03">
        <w:t>Cost-</w:t>
      </w:r>
      <w:r w:rsidRPr="0031435E" w:rsidR="00FF7A03">
        <w:t>Benefit Ratios</w:t>
      </w:r>
      <w:r w:rsidR="00C03A1D">
        <w:t>.</w:t>
      </w:r>
      <w:r w:rsidRPr="0031435E">
        <w:t>”</w:t>
      </w:r>
      <w:r w:rsidR="00C03A1D">
        <w:t xml:space="preserve"> </w:t>
      </w:r>
      <w:r w:rsidRPr="0031435E">
        <w:t xml:space="preserve"> This term more accurately describes the </w:t>
      </w:r>
      <w:r w:rsidR="00752747">
        <w:t xml:space="preserve">RDF </w:t>
      </w:r>
      <w:r w:rsidRPr="0031435E">
        <w:t xml:space="preserve">process </w:t>
      </w:r>
      <w:r w:rsidR="00752747">
        <w:t xml:space="preserve">we require here. </w:t>
      </w:r>
      <w:r w:rsidRPr="0031435E">
        <w:t xml:space="preserve"> </w:t>
      </w:r>
    </w:p>
    <w:p w:rsidRPr="0031435E" w:rsidR="0031435E" w:rsidP="00864718" w:rsidRDefault="0031435E" w14:paraId="2CCBC285" w14:textId="76406043">
      <w:pPr>
        <w:pStyle w:val="ListParagraph"/>
        <w:numPr>
          <w:ilvl w:val="0"/>
          <w:numId w:val="8"/>
        </w:numPr>
        <w:spacing w:after="120" w:line="240" w:lineRule="auto"/>
        <w:ind w:left="1080" w:right="1440"/>
        <w:contextualSpacing w:val="0"/>
      </w:pPr>
      <w:r w:rsidRPr="0031435E">
        <w:t xml:space="preserve">We accept many suggested modifications for the Settlement Agreement made by PG&amp;E </w:t>
      </w:r>
      <w:r w:rsidR="00241E6B">
        <w:t xml:space="preserve">and, based on this, add </w:t>
      </w:r>
      <w:r w:rsidR="00752747">
        <w:t xml:space="preserve">and </w:t>
      </w:r>
      <w:r w:rsidRPr="0031435E">
        <w:t>define</w:t>
      </w:r>
      <w:r w:rsidR="00752747">
        <w:t xml:space="preserve"> new</w:t>
      </w:r>
      <w:r w:rsidRPr="0031435E">
        <w:t xml:space="preserve"> concepts such as “Risk Adjusted Levels of an Attribute</w:t>
      </w:r>
      <w:r w:rsidR="007F3B9A">
        <w:t>,</w:t>
      </w:r>
      <w:r w:rsidRPr="0031435E">
        <w:t>” “Risk-Adjusted Attribute Value</w:t>
      </w:r>
      <w:r w:rsidR="007F3B9A">
        <w:t>,</w:t>
      </w:r>
      <w:r w:rsidRPr="0031435E">
        <w:t>” and “Risk Attitude Function</w:t>
      </w:r>
      <w:r w:rsidR="007F3B9A">
        <w:t>.</w:t>
      </w:r>
      <w:r w:rsidRPr="0031435E">
        <w:t xml:space="preserve">” </w:t>
      </w:r>
      <w:r w:rsidR="00FE21E2">
        <w:t xml:space="preserve"> </w:t>
      </w:r>
      <w:r w:rsidRPr="0031435E">
        <w:t xml:space="preserve">These changes clarify and properly articulate the processes </w:t>
      </w:r>
      <w:r w:rsidR="00752747">
        <w:t>included</w:t>
      </w:r>
      <w:r w:rsidRPr="0031435E">
        <w:t xml:space="preserve"> in the </w:t>
      </w:r>
      <w:r w:rsidR="00752747">
        <w:t xml:space="preserve">refined </w:t>
      </w:r>
      <w:r w:rsidRPr="0031435E">
        <w:t xml:space="preserve">RDF. </w:t>
      </w:r>
    </w:p>
    <w:p w:rsidRPr="0031435E" w:rsidR="0031435E" w:rsidP="00864718" w:rsidRDefault="0031435E" w14:paraId="1FF2448E" w14:textId="2E3A7561">
      <w:pPr>
        <w:pStyle w:val="ListParagraph"/>
        <w:numPr>
          <w:ilvl w:val="0"/>
          <w:numId w:val="8"/>
        </w:numPr>
        <w:spacing w:after="120" w:line="240" w:lineRule="auto"/>
        <w:ind w:left="1080" w:right="1440"/>
        <w:contextualSpacing w:val="0"/>
      </w:pPr>
      <w:r w:rsidRPr="0031435E">
        <w:t xml:space="preserve">In some cases, we </w:t>
      </w:r>
      <w:r w:rsidR="00A35659">
        <w:t xml:space="preserve">only </w:t>
      </w:r>
      <w:r w:rsidRPr="0031435E">
        <w:t xml:space="preserve">partially accept or reject PG&amp;E’s suggestions. For instance, we partially accept the definition of “Cost-Benefit Analysis” suggested by PG&amp;E but </w:t>
      </w:r>
      <w:r w:rsidR="00241E6B">
        <w:t xml:space="preserve">apply this </w:t>
      </w:r>
      <w:r w:rsidRPr="0031435E">
        <w:t xml:space="preserve">to </w:t>
      </w:r>
      <w:r w:rsidR="00241E6B">
        <w:t>the term</w:t>
      </w:r>
      <w:r w:rsidRPr="0031435E">
        <w:t xml:space="preserve"> “Cost-Benefit Approach</w:t>
      </w:r>
      <w:r w:rsidR="00752747">
        <w:t>.</w:t>
      </w:r>
      <w:r w:rsidRPr="0031435E">
        <w:t xml:space="preserve">” </w:t>
      </w:r>
      <w:r w:rsidR="00FE21E2">
        <w:t xml:space="preserve"> </w:t>
      </w:r>
      <w:r w:rsidRPr="0031435E">
        <w:t xml:space="preserve">PG&amp;E’s suggestion improves upon Staff’s definition but </w:t>
      </w:r>
      <w:r w:rsidR="00752747">
        <w:t>contains</w:t>
      </w:r>
      <w:r w:rsidRPr="0031435E">
        <w:t xml:space="preserve"> a grammatical error that we corrected. </w:t>
      </w:r>
      <w:r w:rsidR="00241E6B">
        <w:t xml:space="preserve"> </w:t>
      </w:r>
      <w:r w:rsidRPr="0031435E">
        <w:t>Similarly, with regard to Step 1A No. 7 as well as Step 3 No. 13, No. 18 and No. 21, PG&amp;E’s suggestions improve upon Staff’s explanation of these steps</w:t>
      </w:r>
      <w:r w:rsidR="00241E6B">
        <w:t xml:space="preserve">.  </w:t>
      </w:r>
      <w:r w:rsidRPr="0031435E">
        <w:t xml:space="preserve">We reject PG&amp;E’s suggested </w:t>
      </w:r>
      <w:r w:rsidR="00EC6E62">
        <w:t xml:space="preserve">term, the </w:t>
      </w:r>
      <w:r w:rsidRPr="0031435E">
        <w:t>“Monetary Risk Equivalent Approach</w:t>
      </w:r>
      <w:r w:rsidR="00EC6E62">
        <w:t>,</w:t>
      </w:r>
      <w:r w:rsidRPr="0031435E">
        <w:t xml:space="preserve">” </w:t>
      </w:r>
      <w:r w:rsidR="00241E6B">
        <w:t xml:space="preserve">and </w:t>
      </w:r>
      <w:r w:rsidR="00EC6E62">
        <w:t xml:space="preserve">the associated </w:t>
      </w:r>
      <w:r w:rsidR="00241E6B">
        <w:t xml:space="preserve">definition </w:t>
      </w:r>
      <w:r w:rsidRPr="0031435E">
        <w:t xml:space="preserve">because </w:t>
      </w:r>
      <w:r w:rsidR="00241E6B">
        <w:t>this is</w:t>
      </w:r>
      <w:r w:rsidRPr="0031435E">
        <w:t xml:space="preserve"> not an easily understandable phrase</w:t>
      </w:r>
      <w:r w:rsidR="00EC6E62">
        <w:t xml:space="preserve">.  Using it would </w:t>
      </w:r>
      <w:r w:rsidRPr="0031435E">
        <w:t xml:space="preserve">obscure the </w:t>
      </w:r>
      <w:r w:rsidRPr="0031435E" w:rsidR="00FF7A03">
        <w:t>Cost-Benefit</w:t>
      </w:r>
      <w:r w:rsidRPr="0031435E">
        <w:t xml:space="preserve"> </w:t>
      </w:r>
      <w:r w:rsidR="00FF7A03">
        <w:t>Approach</w:t>
      </w:r>
      <w:r w:rsidRPr="0031435E" w:rsidR="00FF7A03">
        <w:t xml:space="preserve"> </w:t>
      </w:r>
      <w:r w:rsidRPr="0031435E">
        <w:t xml:space="preserve">that </w:t>
      </w:r>
      <w:r w:rsidR="002A6A36">
        <w:t xml:space="preserve">we require here in </w:t>
      </w:r>
      <w:r w:rsidRPr="0031435E">
        <w:t xml:space="preserve">the RDF. </w:t>
      </w:r>
    </w:p>
    <w:p w:rsidRPr="0031435E" w:rsidR="0031435E" w:rsidP="0027551C" w:rsidRDefault="0031435E" w14:paraId="2C3CC611" w14:textId="20585991">
      <w:pPr>
        <w:pStyle w:val="Standard"/>
        <w:rPr>
          <w:rFonts w:eastAsiaTheme="minorEastAsia"/>
        </w:rPr>
      </w:pPr>
      <w:r w:rsidRPr="0031435E">
        <w:t xml:space="preserve">To smooth the transition to these new definitions, we clarify that in case of conflict with other usages of these terms, the revised or new definitions supersede those other usages and definitions. </w:t>
      </w:r>
      <w:r w:rsidR="005028D8">
        <w:t xml:space="preserve"> </w:t>
      </w:r>
      <w:r w:rsidRPr="0031435E">
        <w:t>The definitions and transition approach we adopt are reasonable and practicable.</w:t>
      </w:r>
    </w:p>
    <w:p w:rsidR="005939A5" w:rsidP="00B979B8" w:rsidRDefault="005939A5" w14:paraId="2725B2AF" w14:textId="77777777">
      <w:pPr>
        <w:pStyle w:val="Heading1"/>
        <w:numPr>
          <w:ilvl w:val="0"/>
          <w:numId w:val="1"/>
        </w:numPr>
      </w:pPr>
      <w:bookmarkStart w:name="_Toc8123723" w:id="44"/>
      <w:bookmarkStart w:name="_Toc121821051" w:id="45"/>
      <w:r>
        <w:t>Comments on Proposed Decision</w:t>
      </w:r>
      <w:bookmarkEnd w:id="44"/>
      <w:bookmarkEnd w:id="45"/>
    </w:p>
    <w:p w:rsidR="00B348C4" w:rsidP="00B348C4" w:rsidRDefault="005C58FA" w14:paraId="43FA21B9" w14:textId="28D9ADC0">
      <w:pPr>
        <w:pStyle w:val="Standard"/>
      </w:pPr>
      <w:r w:rsidRPr="00F1443C">
        <w:t xml:space="preserve">The proposed decision of Commissioner </w:t>
      </w:r>
      <w:r w:rsidRPr="00F1443C" w:rsidR="00F1443C">
        <w:t xml:space="preserve">Clifford Rechtschaffen </w:t>
      </w:r>
      <w:r w:rsidRPr="00F1443C">
        <w:t>in this matter was mailed to the parties in accordance</w:t>
      </w:r>
      <w:r>
        <w:t xml:space="preserve"> with Section 311 of the Public Utilities Code and comments were allowed under Rule 14.3 of the Commission’s Rules of Practice and Procedure.  </w:t>
      </w:r>
      <w:r w:rsidR="005B738A">
        <w:t>PG&amp;E, SCE, the Sempra companies, Cal Advocates, PCF, and TURN filed opening comments on November 23, 2022.  PG&amp;E</w:t>
      </w:r>
      <w:r w:rsidR="005615E1">
        <w:t xml:space="preserve">, TURN, </w:t>
      </w:r>
      <w:r w:rsidR="00AB2E71">
        <w:t xml:space="preserve">MGRA, </w:t>
      </w:r>
      <w:r w:rsidR="00B348C4">
        <w:t xml:space="preserve">SCE, </w:t>
      </w:r>
      <w:r w:rsidR="005615E1">
        <w:t xml:space="preserve">and the Sempra companies filed reply comments on December 1, 2022. </w:t>
      </w:r>
      <w:r w:rsidRPr="00C878D5" w:rsidR="00C878D5">
        <w:t xml:space="preserve"> </w:t>
      </w:r>
    </w:p>
    <w:p w:rsidR="00B348C4" w:rsidP="006C6218" w:rsidRDefault="00B348C4" w14:paraId="6C49C82D" w14:textId="00645735">
      <w:pPr>
        <w:pStyle w:val="Standard"/>
      </w:pPr>
      <w:r>
        <w:t xml:space="preserve">The final decision contains clarifications based on party comments in </w:t>
      </w:r>
      <w:r w:rsidR="00D30068">
        <w:t>S</w:t>
      </w:r>
      <w:r>
        <w:t xml:space="preserve">ections </w:t>
      </w:r>
      <w:r w:rsidRPr="006C6218" w:rsidR="006C6218">
        <w:t>2, 5.1.1, 5.1.3, 5.14, 5.2.1, 5.2.2, 5.2.3, 5.3.2, and 5.3.3, several Findings of Fact (2, 3, 11, 13, and 15, and a new Finding of Fact, 19), several Conclusions of Law (3, 7, 8, 13, 18, 19, and new Conclusion of Law 23) and Ordering Paragraphs</w:t>
      </w:r>
      <w:r w:rsidR="00D30068">
        <w:t> </w:t>
      </w:r>
      <w:r w:rsidRPr="006C6218" w:rsidR="006C6218">
        <w:t xml:space="preserve">2.b.iii, 2.c, 3, and 5.  </w:t>
      </w:r>
      <w:r>
        <w:t xml:space="preserve"> </w:t>
      </w:r>
    </w:p>
    <w:p w:rsidR="005939A5" w:rsidP="00B979B8" w:rsidRDefault="005939A5" w14:paraId="225D319E" w14:textId="77777777">
      <w:pPr>
        <w:pStyle w:val="Heading1"/>
        <w:numPr>
          <w:ilvl w:val="0"/>
          <w:numId w:val="1"/>
        </w:numPr>
      </w:pPr>
      <w:bookmarkStart w:name="_Toc8123724" w:id="46"/>
      <w:bookmarkStart w:name="_Toc121821052" w:id="47"/>
      <w:r>
        <w:t>Assignment of Proceeding</w:t>
      </w:r>
      <w:bookmarkEnd w:id="46"/>
      <w:bookmarkEnd w:id="47"/>
    </w:p>
    <w:p w:rsidR="005939A5" w:rsidP="006E6574" w:rsidRDefault="00F1443C" w14:paraId="6C452C60" w14:textId="4B3ADAAE">
      <w:pPr>
        <w:pStyle w:val="Standard"/>
      </w:pPr>
      <w:r w:rsidRPr="00F1443C">
        <w:t>Clifford Rechtschaffen</w:t>
      </w:r>
      <w:r w:rsidR="005939A5">
        <w:t xml:space="preserve"> is the assigned Commissioner and </w:t>
      </w:r>
      <w:r w:rsidR="00EB4A2A">
        <w:t>Cathleen</w:t>
      </w:r>
      <w:r w:rsidR="00D30068">
        <w:t> </w:t>
      </w:r>
      <w:r w:rsidR="00EB4A2A">
        <w:t>A.</w:t>
      </w:r>
      <w:r w:rsidR="00D30068">
        <w:t> </w:t>
      </w:r>
      <w:r w:rsidR="00EB4A2A">
        <w:t xml:space="preserve">Fogel and </w:t>
      </w:r>
      <w:r>
        <w:t>Ehren D. Seybert are</w:t>
      </w:r>
      <w:r w:rsidR="005939A5">
        <w:t xml:space="preserve"> the assigned ALJ</w:t>
      </w:r>
      <w:r>
        <w:t>s</w:t>
      </w:r>
      <w:r w:rsidR="005939A5">
        <w:t xml:space="preserve"> in this proceeding.</w:t>
      </w:r>
    </w:p>
    <w:p w:rsidR="005939A5" w:rsidP="005939A5" w:rsidRDefault="00224B27" w14:paraId="34C43EA2" w14:textId="171B0404">
      <w:pPr>
        <w:pStyle w:val="Dummy"/>
      </w:pPr>
      <w:bookmarkStart w:name="_Toc8123725" w:id="48"/>
      <w:r>
        <w:t xml:space="preserve"> </w:t>
      </w:r>
      <w:bookmarkStart w:name="_Toc121821053" w:id="49"/>
      <w:r w:rsidR="005939A5">
        <w:t>Findings of Fact</w:t>
      </w:r>
      <w:bookmarkEnd w:id="48"/>
      <w:bookmarkEnd w:id="49"/>
    </w:p>
    <w:p w:rsidR="004425FB" w:rsidP="00864718" w:rsidRDefault="00776731" w14:paraId="10EEA8A4" w14:textId="7A3AF637">
      <w:pPr>
        <w:pStyle w:val="ListParagraph"/>
        <w:numPr>
          <w:ilvl w:val="0"/>
          <w:numId w:val="11"/>
        </w:numPr>
      </w:pPr>
      <w:r>
        <w:t xml:space="preserve">The Commission adopted </w:t>
      </w:r>
      <w:r w:rsidR="008E6A77">
        <w:t>the</w:t>
      </w:r>
      <w:r w:rsidR="00BB48DA">
        <w:t xml:space="preserve"> </w:t>
      </w:r>
      <w:r w:rsidR="00461756">
        <w:t xml:space="preserve">RDF in the SA Decision </w:t>
      </w:r>
      <w:r w:rsidR="00CA4BF6">
        <w:t xml:space="preserve">and directed the large IOUs to use the RDF to </w:t>
      </w:r>
      <w:r w:rsidR="00295D6E">
        <w:t>identify, assess</w:t>
      </w:r>
      <w:r w:rsidR="0029278D">
        <w:t>,</w:t>
      </w:r>
      <w:r w:rsidR="00295D6E">
        <w:t xml:space="preserve"> and rank </w:t>
      </w:r>
      <w:r w:rsidR="004425FB">
        <w:t xml:space="preserve">safety </w:t>
      </w:r>
      <w:r w:rsidR="00CE7A38">
        <w:t>r</w:t>
      </w:r>
      <w:r w:rsidR="00295D6E">
        <w:t>isks</w:t>
      </w:r>
      <w:r w:rsidR="000D37D5">
        <w:t xml:space="preserve"> and potential </w:t>
      </w:r>
      <w:r w:rsidR="00CE7A38">
        <w:t>m</w:t>
      </w:r>
      <w:r w:rsidR="004425FB">
        <w:t>itigations</w:t>
      </w:r>
      <w:r w:rsidR="000D37D5">
        <w:t>.</w:t>
      </w:r>
      <w:r w:rsidR="0087681F">
        <w:t xml:space="preserve">  A central component of the RDF </w:t>
      </w:r>
      <w:r w:rsidR="00C54F10">
        <w:t xml:space="preserve">was </w:t>
      </w:r>
      <w:r w:rsidR="008E6A77">
        <w:t>the</w:t>
      </w:r>
      <w:r w:rsidR="00C54F10">
        <w:t xml:space="preserve"> MAVF approach. </w:t>
      </w:r>
    </w:p>
    <w:p w:rsidR="00AE10EE" w:rsidP="00864718" w:rsidRDefault="00093EE0" w14:paraId="1BA666A6" w14:textId="2BE41F34">
      <w:pPr>
        <w:pStyle w:val="ListParagraph"/>
        <w:numPr>
          <w:ilvl w:val="0"/>
          <w:numId w:val="11"/>
        </w:numPr>
      </w:pPr>
      <w:r>
        <w:t>The</w:t>
      </w:r>
      <w:r w:rsidRPr="00A7624B" w:rsidR="00A7624B">
        <w:t xml:space="preserve"> unitless </w:t>
      </w:r>
      <w:r w:rsidR="002F1BD2">
        <w:t>R</w:t>
      </w:r>
      <w:r w:rsidRPr="00A7624B" w:rsidR="00A7624B">
        <w:t xml:space="preserve">isk </w:t>
      </w:r>
      <w:r w:rsidR="002F1BD2">
        <w:t>S</w:t>
      </w:r>
      <w:r w:rsidRPr="00A7624B" w:rsidR="00A7624B">
        <w:t xml:space="preserve">cores </w:t>
      </w:r>
      <w:r w:rsidR="00A6110E">
        <w:t xml:space="preserve">required </w:t>
      </w:r>
      <w:r w:rsidRPr="00A7624B" w:rsidR="00A7624B">
        <w:t xml:space="preserve">in the MAVF approach </w:t>
      </w:r>
      <w:r w:rsidR="008229CF">
        <w:t xml:space="preserve">made it possible to compare and rank mitigation measures based on their RSE </w:t>
      </w:r>
      <w:r w:rsidR="00F513A9">
        <w:t>scores</w:t>
      </w:r>
      <w:r w:rsidR="00457125">
        <w:t xml:space="preserve"> but </w:t>
      </w:r>
      <w:r w:rsidR="00AE10EE">
        <w:t>have</w:t>
      </w:r>
      <w:r w:rsidR="00457125">
        <w:t xml:space="preserve"> also </w:t>
      </w:r>
      <w:r w:rsidR="000A343C">
        <w:t xml:space="preserve">sometimes </w:t>
      </w:r>
      <w:r w:rsidRPr="00A7624B" w:rsidR="00A7624B">
        <w:t>ma</w:t>
      </w:r>
      <w:r w:rsidR="00AE10EE">
        <w:t xml:space="preserve">de </w:t>
      </w:r>
      <w:r w:rsidRPr="00A7624B" w:rsidR="00A7624B">
        <w:t xml:space="preserve">it difficult to interpret IOUs’ RAMP filings and </w:t>
      </w:r>
      <w:r w:rsidR="00457125">
        <w:t xml:space="preserve">as such </w:t>
      </w:r>
      <w:r w:rsidR="00AE10EE">
        <w:t xml:space="preserve">have </w:t>
      </w:r>
      <w:r w:rsidRPr="00A7624B" w:rsidR="00A7624B">
        <w:t xml:space="preserve">not </w:t>
      </w:r>
      <w:r w:rsidR="006B45C8">
        <w:t xml:space="preserve">adequately </w:t>
      </w:r>
      <w:r w:rsidRPr="00A7624B" w:rsidR="00A7624B">
        <w:t>support</w:t>
      </w:r>
      <w:r w:rsidR="00AE10EE">
        <w:t>ed</w:t>
      </w:r>
      <w:r w:rsidRPr="00A7624B" w:rsidR="00A7624B">
        <w:t xml:space="preserve"> transparency.</w:t>
      </w:r>
    </w:p>
    <w:p w:rsidR="009A1530" w:rsidP="00864718" w:rsidRDefault="003E4714" w14:paraId="16BDC63C" w14:textId="7BC57195">
      <w:pPr>
        <w:pStyle w:val="ListParagraph"/>
        <w:numPr>
          <w:ilvl w:val="0"/>
          <w:numId w:val="11"/>
        </w:numPr>
      </w:pPr>
      <w:r>
        <w:t>While t</w:t>
      </w:r>
      <w:r w:rsidR="00AE10EE">
        <w:t xml:space="preserve">he </w:t>
      </w:r>
      <w:r w:rsidRPr="00A7624B" w:rsidR="00A7624B">
        <w:t>RSE values produced by the MAVF approach</w:t>
      </w:r>
      <w:r>
        <w:t xml:space="preserve"> </w:t>
      </w:r>
      <w:r w:rsidRPr="00A7624B" w:rsidR="00A7624B">
        <w:t xml:space="preserve">allow for comparison of the cost-effectiveness of various mitigation measures, they do not </w:t>
      </w:r>
      <w:r w:rsidR="008E6A77">
        <w:t>show</w:t>
      </w:r>
      <w:r w:rsidRPr="00A7624B" w:rsidR="00A7624B">
        <w:t xml:space="preserve"> whether the </w:t>
      </w:r>
      <w:r w:rsidR="001860AA">
        <w:t>B</w:t>
      </w:r>
      <w:r w:rsidRPr="00A7624B" w:rsidR="00A7624B">
        <w:t xml:space="preserve">enefits of a proposed mitigation measure outweigh the costs.  </w:t>
      </w:r>
    </w:p>
    <w:p w:rsidR="00F44CF5" w:rsidP="00864718" w:rsidRDefault="009A1530" w14:paraId="7C05D087" w14:textId="4866C96A">
      <w:pPr>
        <w:pStyle w:val="ListParagraph"/>
        <w:numPr>
          <w:ilvl w:val="0"/>
          <w:numId w:val="11"/>
        </w:numPr>
      </w:pPr>
      <w:r>
        <w:t>R</w:t>
      </w:r>
      <w:r w:rsidRPr="00A7624B" w:rsidR="00A7624B">
        <w:t xml:space="preserve">equiring </w:t>
      </w:r>
      <w:r w:rsidR="00E401E9">
        <w:t xml:space="preserve">the IOUs to </w:t>
      </w:r>
      <w:r w:rsidRPr="00A7624B" w:rsidR="00A7624B">
        <w:t xml:space="preserve">use </w:t>
      </w:r>
      <w:r w:rsidR="00C81E45">
        <w:t xml:space="preserve">the Cost-Benefit Approach, which </w:t>
      </w:r>
      <w:r w:rsidRPr="00A7624B" w:rsidR="00A7624B">
        <w:t>monetizes Attributes</w:t>
      </w:r>
      <w:r w:rsidR="00C81E45">
        <w:t>,</w:t>
      </w:r>
      <w:r w:rsidRPr="00A7624B" w:rsidR="00A7624B">
        <w:t xml:space="preserve"> provides a more transparent way for the IOUs to calculate Risk and risk reduction Benefits</w:t>
      </w:r>
      <w:r w:rsidR="00C81E45">
        <w:t xml:space="preserve"> in the RDF</w:t>
      </w:r>
      <w:r w:rsidRPr="00A7624B" w:rsidR="00A7624B">
        <w:t xml:space="preserve"> as compared to the MAVF approach adopted in the SA Decision</w:t>
      </w:r>
      <w:r w:rsidR="004D15C1">
        <w:t xml:space="preserve">.  </w:t>
      </w:r>
      <w:r w:rsidRPr="00A7624B" w:rsidR="00A7624B">
        <w:t xml:space="preserve"> </w:t>
      </w:r>
    </w:p>
    <w:p w:rsidRPr="00F44CF5" w:rsidR="0039438A" w:rsidP="00864718" w:rsidRDefault="0039438A" w14:paraId="404BDA46" w14:textId="3AFB105F">
      <w:pPr>
        <w:pStyle w:val="ListParagraph"/>
        <w:numPr>
          <w:ilvl w:val="0"/>
          <w:numId w:val="11"/>
        </w:numPr>
      </w:pPr>
      <w:r>
        <w:t>D</w:t>
      </w:r>
      <w:r w:rsidRPr="00093EE0">
        <w:t xml:space="preserve">ollar valuation </w:t>
      </w:r>
      <w:r>
        <w:t xml:space="preserve">of risks </w:t>
      </w:r>
      <w:r w:rsidRPr="00093EE0">
        <w:t>is common practice in risk assessment across various industries</w:t>
      </w:r>
      <w:r>
        <w:t>.</w:t>
      </w:r>
    </w:p>
    <w:p w:rsidRPr="003771C6" w:rsidR="003771C6" w:rsidP="00864718" w:rsidRDefault="00572E64" w14:paraId="3E6782C3" w14:textId="60A35F15">
      <w:pPr>
        <w:pStyle w:val="ListParagraph"/>
        <w:numPr>
          <w:ilvl w:val="0"/>
          <w:numId w:val="11"/>
        </w:numPr>
      </w:pPr>
      <w:r>
        <w:t>Requiring a standard d</w:t>
      </w:r>
      <w:r w:rsidRPr="007D6347">
        <w:t xml:space="preserve">ollar valuation </w:t>
      </w:r>
      <w:r>
        <w:t xml:space="preserve">of Attributes </w:t>
      </w:r>
      <w:r w:rsidR="00776731">
        <w:t xml:space="preserve">in the RDF </w:t>
      </w:r>
      <w:r>
        <w:t>eliminates the need to assign weights and ranges to Attributes</w:t>
      </w:r>
      <w:r w:rsidR="0039438A">
        <w:t>.</w:t>
      </w:r>
    </w:p>
    <w:p w:rsidR="004D7110" w:rsidP="00864718" w:rsidRDefault="004D7110" w14:paraId="359075B4" w14:textId="76838F81">
      <w:pPr>
        <w:pStyle w:val="ListParagraph"/>
        <w:numPr>
          <w:ilvl w:val="0"/>
          <w:numId w:val="11"/>
        </w:numPr>
      </w:pPr>
      <w:r>
        <w:t>Requiring a standard d</w:t>
      </w:r>
      <w:r w:rsidRPr="007D6347">
        <w:t xml:space="preserve">ollar valuation </w:t>
      </w:r>
      <w:r>
        <w:t xml:space="preserve">of Attributes eliminates the </w:t>
      </w:r>
      <w:r w:rsidR="00000532">
        <w:t xml:space="preserve">need for </w:t>
      </w:r>
      <w:r w:rsidR="005D5E53">
        <w:t>a</w:t>
      </w:r>
      <w:r w:rsidR="005B4B75">
        <w:t xml:space="preserve"> </w:t>
      </w:r>
      <w:r>
        <w:t>minimum 40 percent Safety weight</w:t>
      </w:r>
      <w:r w:rsidR="008C545D">
        <w:t>ing</w:t>
      </w:r>
      <w:r w:rsidR="005D5E53">
        <w:t xml:space="preserve"> found in the SA Decision Ordering Paragraph</w:t>
      </w:r>
      <w:r w:rsidR="00D30068">
        <w:t> </w:t>
      </w:r>
      <w:r w:rsidR="005D5E53">
        <w:t>2</w:t>
      </w:r>
      <w:r w:rsidR="006F6EF4">
        <w:t xml:space="preserve">, </w:t>
      </w:r>
      <w:r w:rsidR="0095007B">
        <w:t xml:space="preserve">which did not </w:t>
      </w:r>
      <w:r w:rsidR="00187FB4">
        <w:t xml:space="preserve">reflect </w:t>
      </w:r>
      <w:r w:rsidR="00DC6FDE">
        <w:t xml:space="preserve">the relative </w:t>
      </w:r>
      <w:r w:rsidR="003620B2">
        <w:t xml:space="preserve">nature of </w:t>
      </w:r>
      <w:r w:rsidR="00697CB6">
        <w:t xml:space="preserve">value </w:t>
      </w:r>
      <w:r w:rsidR="00B86989">
        <w:t>weighting</w:t>
      </w:r>
      <w:r w:rsidR="0089408A">
        <w:t xml:space="preserve"> within</w:t>
      </w:r>
      <w:r w:rsidR="00B86989">
        <w:t xml:space="preserve"> the MAVF</w:t>
      </w:r>
      <w:r w:rsidR="004A4957">
        <w:t xml:space="preserve"> </w:t>
      </w:r>
      <w:r w:rsidR="00B86989">
        <w:t xml:space="preserve">and </w:t>
      </w:r>
      <w:r w:rsidR="00C346A5">
        <w:t xml:space="preserve">could obscure </w:t>
      </w:r>
      <w:r w:rsidR="002622A4">
        <w:t xml:space="preserve">a range of </w:t>
      </w:r>
      <w:r w:rsidR="004A4957">
        <w:t xml:space="preserve">improbable assumptions with a utility’s RDF. </w:t>
      </w:r>
    </w:p>
    <w:p w:rsidRPr="00A14C07" w:rsidR="00A14C07" w:rsidP="00864718" w:rsidRDefault="00C81E45" w14:paraId="4C6CA0E4" w14:textId="1DED001C">
      <w:pPr>
        <w:pStyle w:val="ListParagraph"/>
        <w:numPr>
          <w:ilvl w:val="0"/>
          <w:numId w:val="11"/>
        </w:numPr>
      </w:pPr>
      <w:r>
        <w:t xml:space="preserve">The Cost-Benefit Approach </w:t>
      </w:r>
      <w:r w:rsidR="00C70DF7">
        <w:t xml:space="preserve">expresses </w:t>
      </w:r>
      <w:r w:rsidR="009F3051">
        <w:t>Risk in dollars</w:t>
      </w:r>
      <w:r>
        <w:t xml:space="preserve"> and </w:t>
      </w:r>
      <w:r w:rsidR="009F3051">
        <w:t xml:space="preserve">is </w:t>
      </w:r>
      <w:r w:rsidR="00B20C9A">
        <w:t xml:space="preserve">more intuitively understandable </w:t>
      </w:r>
      <w:r w:rsidR="00987D2F">
        <w:t>than the unitless Risk Score value in the</w:t>
      </w:r>
      <w:r w:rsidRPr="00A14C07" w:rsidR="00A14C07">
        <w:t xml:space="preserve"> MAVF framework</w:t>
      </w:r>
      <w:r w:rsidR="000C6AA5">
        <w:t>.</w:t>
      </w:r>
    </w:p>
    <w:p w:rsidR="00B44AA8" w:rsidP="00864718" w:rsidRDefault="00DC393C" w14:paraId="7DEF54A4" w14:textId="6BD4BAA2">
      <w:pPr>
        <w:pStyle w:val="ListParagraph"/>
        <w:numPr>
          <w:ilvl w:val="0"/>
          <w:numId w:val="11"/>
        </w:numPr>
      </w:pPr>
      <w:r>
        <w:t xml:space="preserve">Requiring </w:t>
      </w:r>
      <w:r w:rsidR="00C81E45">
        <w:t xml:space="preserve">the Cost-Benefit Approach </w:t>
      </w:r>
      <w:r w:rsidRPr="00463ADF" w:rsidR="000A0224">
        <w:t xml:space="preserve">produces a </w:t>
      </w:r>
      <w:r w:rsidRPr="00463ADF" w:rsidR="00FF7A03">
        <w:t>Cost-Benefit Ratio</w:t>
      </w:r>
      <w:r w:rsidRPr="00463ADF" w:rsidR="000A0224">
        <w:t xml:space="preserve"> </w:t>
      </w:r>
      <w:r w:rsidR="00F303C6">
        <w:t>for</w:t>
      </w:r>
      <w:r w:rsidR="00662D66">
        <w:t xml:space="preserve"> </w:t>
      </w:r>
      <w:r w:rsidR="00114BCF">
        <w:t>a</w:t>
      </w:r>
      <w:r w:rsidR="001C0253">
        <w:t xml:space="preserve"> Mitigation </w:t>
      </w:r>
      <w:r w:rsidRPr="00463ADF" w:rsidR="000A0224">
        <w:t>(</w:t>
      </w:r>
      <w:r w:rsidR="00F91476">
        <w:t>M</w:t>
      </w:r>
      <w:r w:rsidRPr="00463ADF" w:rsidR="00445AB5">
        <w:t xml:space="preserve">itigation </w:t>
      </w:r>
      <w:r w:rsidR="00F91476">
        <w:t>B</w:t>
      </w:r>
      <w:r w:rsidRPr="00463ADF" w:rsidR="00445AB5">
        <w:t xml:space="preserve">enefits </w:t>
      </w:r>
      <w:r w:rsidRPr="00463ADF" w:rsidR="00E73147">
        <w:t xml:space="preserve">expressed in dollars divided by the cost of the </w:t>
      </w:r>
      <w:r w:rsidR="00F91476">
        <w:t>M</w:t>
      </w:r>
      <w:r w:rsidRPr="00463ADF" w:rsidR="00E73147">
        <w:t>itigation)</w:t>
      </w:r>
      <w:r w:rsidR="000C6AA5">
        <w:t xml:space="preserve"> that</w:t>
      </w:r>
      <w:r w:rsidR="008E772C">
        <w:t xml:space="preserve"> </w:t>
      </w:r>
      <w:r w:rsidR="00AD7329">
        <w:t>can be ranked</w:t>
      </w:r>
      <w:r w:rsidR="00C76E53">
        <w:t xml:space="preserve"> against </w:t>
      </w:r>
      <w:r w:rsidR="001325DA">
        <w:t>other Mitigation</w:t>
      </w:r>
      <w:r w:rsidR="00F65BF9">
        <w:t xml:space="preserve"> Cost-Benefit Ratios</w:t>
      </w:r>
      <w:r w:rsidR="00AD7329">
        <w:t xml:space="preserve"> </w:t>
      </w:r>
      <w:r w:rsidR="000C6AA5">
        <w:t xml:space="preserve">and </w:t>
      </w:r>
      <w:r w:rsidR="00C81E45">
        <w:t xml:space="preserve">that </w:t>
      </w:r>
      <w:r w:rsidR="00B54AB6">
        <w:t>provide</w:t>
      </w:r>
      <w:r w:rsidR="00C81E45">
        <w:t>s</w:t>
      </w:r>
      <w:r w:rsidR="00B54AB6">
        <w:t xml:space="preserve"> insight </w:t>
      </w:r>
      <w:r w:rsidR="00AF5739">
        <w:t>as</w:t>
      </w:r>
      <w:r w:rsidR="00207DFD">
        <w:t xml:space="preserve"> standalone cost-efficiency metric</w:t>
      </w:r>
      <w:r w:rsidR="000C6AA5">
        <w:t>.</w:t>
      </w:r>
    </w:p>
    <w:p w:rsidR="00C26842" w:rsidP="00864718" w:rsidRDefault="00F42CEE" w14:paraId="436953BB" w14:textId="78A87DF8">
      <w:pPr>
        <w:pStyle w:val="ListParagraph"/>
        <w:numPr>
          <w:ilvl w:val="0"/>
          <w:numId w:val="11"/>
        </w:numPr>
      </w:pPr>
      <w:r>
        <w:t>Req</w:t>
      </w:r>
      <w:r w:rsidR="0091137D">
        <w:t>uiring a shift</w:t>
      </w:r>
      <w:r w:rsidR="00C04A7C">
        <w:t xml:space="preserve"> from the MAVF framework</w:t>
      </w:r>
      <w:r w:rsidR="00E504C0">
        <w:t xml:space="preserve"> to </w:t>
      </w:r>
      <w:r w:rsidR="00C81E45">
        <w:t xml:space="preserve">the Cost-Benefit Approach </w:t>
      </w:r>
      <w:r w:rsidR="00397CCA">
        <w:t>leave</w:t>
      </w:r>
      <w:r w:rsidR="000C6AA5">
        <w:t>s</w:t>
      </w:r>
      <w:r w:rsidR="00397CCA">
        <w:t xml:space="preserve"> </w:t>
      </w:r>
      <w:r w:rsidR="00E504C0">
        <w:t>most</w:t>
      </w:r>
      <w:r w:rsidRPr="00C26842" w:rsidR="00C26842">
        <w:t xml:space="preserve"> RDF elements</w:t>
      </w:r>
      <w:r w:rsidR="0091137D">
        <w:t xml:space="preserve"> intact, </w:t>
      </w:r>
      <w:r w:rsidR="002E28AB">
        <w:t>resulting in an incremental</w:t>
      </w:r>
      <w:r w:rsidR="00F35F9A">
        <w:t xml:space="preserve"> but important </w:t>
      </w:r>
      <w:r w:rsidR="002B4351">
        <w:t xml:space="preserve">increase in clarity and </w:t>
      </w:r>
      <w:r w:rsidR="00BC4432">
        <w:t>understandability</w:t>
      </w:r>
      <w:r w:rsidRPr="00C26842" w:rsidR="00C26842">
        <w:t xml:space="preserve">.  </w:t>
      </w:r>
    </w:p>
    <w:p w:rsidR="00B5068A" w:rsidP="00864718" w:rsidRDefault="00E17999" w14:paraId="47BDB5DF" w14:textId="31923520">
      <w:pPr>
        <w:pStyle w:val="ListParagraph"/>
        <w:numPr>
          <w:ilvl w:val="0"/>
          <w:numId w:val="11"/>
        </w:numPr>
      </w:pPr>
      <w:r>
        <w:t xml:space="preserve">Row No. 26 of the RDF contained in Appendix A of this decision requires each IOU to rank mitigation options by Cost-Benefit Ratios in its GRC, states that the utility is not bound to select its mitigation strategy based solely on Cost-Benefit Ratio ranking, and requires the utility to explain in its GRC whether and how other factors affected its mitigation selections, including factors such as funding, labor resources, technology, planning and construction lead time, compliance requirements, and operational and execution considerations. </w:t>
      </w:r>
    </w:p>
    <w:p w:rsidR="00153B25" w:rsidP="00864718" w:rsidRDefault="00C60114" w14:paraId="35F674F7" w14:textId="395FB11F">
      <w:pPr>
        <w:pStyle w:val="CoL"/>
        <w:numPr>
          <w:ilvl w:val="0"/>
          <w:numId w:val="11"/>
        </w:numPr>
      </w:pPr>
      <w:r w:rsidRPr="00C60114">
        <w:t xml:space="preserve">The </w:t>
      </w:r>
      <w:r w:rsidR="007B64F0">
        <w:t>DOT</w:t>
      </w:r>
      <w:r w:rsidRPr="00C60114">
        <w:t xml:space="preserve"> VSL </w:t>
      </w:r>
      <w:r w:rsidR="00E504C0">
        <w:t xml:space="preserve">represents </w:t>
      </w:r>
      <w:r w:rsidRPr="00C60114">
        <w:t xml:space="preserve">an estimate of </w:t>
      </w:r>
      <w:r w:rsidR="00E504C0">
        <w:t xml:space="preserve">society’s </w:t>
      </w:r>
      <w:r w:rsidRPr="00C60114">
        <w:t>willing</w:t>
      </w:r>
      <w:r w:rsidR="00E504C0">
        <w:t>ness</w:t>
      </w:r>
      <w:r w:rsidRPr="00C60114">
        <w:t xml:space="preserve"> to pay for small reductions in the risk of </w:t>
      </w:r>
      <w:r w:rsidR="00E504C0">
        <w:t xml:space="preserve">death </w:t>
      </w:r>
      <w:r w:rsidRPr="00C60114">
        <w:t>from adverse health conditions.</w:t>
      </w:r>
    </w:p>
    <w:p w:rsidR="00153B25" w:rsidP="00864718" w:rsidRDefault="003074F4" w14:paraId="491DE925" w14:textId="085FB7D3">
      <w:pPr>
        <w:pStyle w:val="CoL"/>
        <w:numPr>
          <w:ilvl w:val="0"/>
          <w:numId w:val="11"/>
        </w:numPr>
      </w:pPr>
      <w:r>
        <w:t xml:space="preserve">Requiring </w:t>
      </w:r>
      <w:r w:rsidR="00674FEE">
        <w:t xml:space="preserve">the IOUs </w:t>
      </w:r>
      <w:r w:rsidR="00E40D96">
        <w:t xml:space="preserve">to use the current ICE Calculator to </w:t>
      </w:r>
      <w:r w:rsidR="008C4EB4">
        <w:t xml:space="preserve">determine a standard dollar valuation of electric </w:t>
      </w:r>
      <w:r w:rsidR="00077D75">
        <w:t>reliability risk</w:t>
      </w:r>
      <w:r w:rsidR="00E40D96">
        <w:t xml:space="preserve">, unless the IOU proposes and justifies an </w:t>
      </w:r>
      <w:r w:rsidR="006F613C">
        <w:t>alternate method to determine a</w:t>
      </w:r>
      <w:r w:rsidR="00C35BC2">
        <w:t xml:space="preserve">n </w:t>
      </w:r>
      <w:r w:rsidR="006F613C">
        <w:t xml:space="preserve">electric reliability risk </w:t>
      </w:r>
      <w:r w:rsidR="00C35BC2">
        <w:t xml:space="preserve">dollar </w:t>
      </w:r>
      <w:r w:rsidR="006F613C">
        <w:t>valuation,</w:t>
      </w:r>
      <w:r w:rsidR="00077D75">
        <w:t xml:space="preserve"> </w:t>
      </w:r>
      <w:r w:rsidR="00F8275D">
        <w:t>offers a first step towards solving the quantification and dollar valuation challenge</w:t>
      </w:r>
      <w:r w:rsidR="00C7069E">
        <w:t xml:space="preserve"> of the Reliability Attribute</w:t>
      </w:r>
      <w:r w:rsidR="00EB6E82">
        <w:t xml:space="preserve"> while increasing </w:t>
      </w:r>
      <w:r w:rsidR="00194955">
        <w:t>clarity, transparency, and usefulness.</w:t>
      </w:r>
    </w:p>
    <w:p w:rsidR="00A84215" w:rsidP="00864718" w:rsidRDefault="00A84215" w14:paraId="19214B94" w14:textId="5B1BDB5D">
      <w:pPr>
        <w:pStyle w:val="CoL"/>
        <w:numPr>
          <w:ilvl w:val="0"/>
          <w:numId w:val="11"/>
        </w:numPr>
      </w:pPr>
      <w:r>
        <w:t xml:space="preserve">Requiring the </w:t>
      </w:r>
      <w:r w:rsidR="00B53993">
        <w:t xml:space="preserve">IOUs to participate in </w:t>
      </w:r>
      <w:r w:rsidR="002D4A50">
        <w:t xml:space="preserve">the </w:t>
      </w:r>
      <w:r w:rsidR="003C45BC">
        <w:t xml:space="preserve">customer survey process of the </w:t>
      </w:r>
      <w:r w:rsidR="002D4A50">
        <w:t xml:space="preserve">ICE 2.0 </w:t>
      </w:r>
      <w:r w:rsidR="0040488B">
        <w:t>Calculator</w:t>
      </w:r>
      <w:r w:rsidR="002D4A50">
        <w:t xml:space="preserve"> ensures continued </w:t>
      </w:r>
      <w:r w:rsidR="00F35F9A">
        <w:t>progress</w:t>
      </w:r>
      <w:r w:rsidR="002D4A50">
        <w:t xml:space="preserve"> in the development of</w:t>
      </w:r>
      <w:r w:rsidR="009E65FE">
        <w:t xml:space="preserve"> a standard dollar valuation for the Reliability Attribute</w:t>
      </w:r>
      <w:r w:rsidR="00F35F9A">
        <w:t xml:space="preserve"> used in the RDF</w:t>
      </w:r>
      <w:r w:rsidR="009E65FE">
        <w:t>.</w:t>
      </w:r>
    </w:p>
    <w:p w:rsidR="00AB6F0A" w:rsidP="00864718" w:rsidRDefault="00AB6F0A" w14:paraId="529EAA8D" w14:textId="68383130">
      <w:pPr>
        <w:pStyle w:val="CoL"/>
        <w:numPr>
          <w:ilvl w:val="0"/>
          <w:numId w:val="11"/>
        </w:numPr>
      </w:pPr>
      <w:r>
        <w:t xml:space="preserve">Requiring the IOUs to </w:t>
      </w:r>
      <w:r w:rsidR="00351D64">
        <w:t xml:space="preserve">apply a dollar value for gas </w:t>
      </w:r>
      <w:r w:rsidR="00D81113">
        <w:t>r</w:t>
      </w:r>
      <w:r w:rsidR="00351D64">
        <w:t xml:space="preserve">eliability based on the implied value from </w:t>
      </w:r>
      <w:r w:rsidR="007404F1">
        <w:t>their most recent MAVF Risk Score calculations</w:t>
      </w:r>
      <w:r w:rsidR="002E3118">
        <w:t xml:space="preserve"> – the 2020</w:t>
      </w:r>
      <w:r w:rsidR="000E33B1">
        <w:t> </w:t>
      </w:r>
      <w:r w:rsidR="002E3118">
        <w:t xml:space="preserve">RAMP filing for PG&amp;E, the 2021 RAMP filing for the Sempra Companies, and the 2022 RAMP filing for SCE </w:t>
      </w:r>
      <w:r w:rsidR="004B0D7F">
        <w:t>–</w:t>
      </w:r>
      <w:r w:rsidR="002E3118">
        <w:t xml:space="preserve"> </w:t>
      </w:r>
      <w:r w:rsidRPr="0040488B" w:rsidR="0040488B">
        <w:t xml:space="preserve">unless the IOU proposes and justifies an alternate method to determine a </w:t>
      </w:r>
      <w:r w:rsidR="00C35BC2">
        <w:t>gas</w:t>
      </w:r>
      <w:r w:rsidRPr="0040488B" w:rsidR="0040488B">
        <w:t xml:space="preserve"> reliability risk </w:t>
      </w:r>
      <w:r w:rsidR="00C35BC2">
        <w:t xml:space="preserve">dollar </w:t>
      </w:r>
      <w:r w:rsidRPr="0040488B" w:rsidR="0040488B">
        <w:t>valuation</w:t>
      </w:r>
      <w:r w:rsidR="00AE2BB4">
        <w:t xml:space="preserve"> - </w:t>
      </w:r>
      <w:r w:rsidR="00C35BC2">
        <w:t xml:space="preserve"> </w:t>
      </w:r>
      <w:r w:rsidR="004F08BA">
        <w:t xml:space="preserve">increases clarity and transparency and provides a </w:t>
      </w:r>
      <w:r w:rsidR="006707ED">
        <w:t xml:space="preserve">reasonable </w:t>
      </w:r>
      <w:r w:rsidR="004F08BA">
        <w:t>transition to</w:t>
      </w:r>
      <w:r w:rsidR="002F3656">
        <w:t>wards</w:t>
      </w:r>
      <w:r w:rsidR="004F08BA">
        <w:t xml:space="preserve"> development of an alternate</w:t>
      </w:r>
      <w:r w:rsidR="004B0D7F">
        <w:t xml:space="preserve"> standard dollar va</w:t>
      </w:r>
      <w:r w:rsidR="00733B9B">
        <w:t>luation</w:t>
      </w:r>
      <w:r w:rsidR="00CE5C47">
        <w:t xml:space="preserve">. </w:t>
      </w:r>
    </w:p>
    <w:p w:rsidRPr="008038DD" w:rsidR="00153B25" w:rsidP="00864718" w:rsidRDefault="00201F59" w14:paraId="5D8AE4C1" w14:textId="3EF56531">
      <w:pPr>
        <w:pStyle w:val="CoL"/>
        <w:numPr>
          <w:ilvl w:val="0"/>
          <w:numId w:val="11"/>
        </w:numPr>
      </w:pPr>
      <w:r>
        <w:t>Requiring the IOUs to</w:t>
      </w:r>
      <w:r w:rsidRPr="008038DD" w:rsidR="00D83BF7">
        <w:t xml:space="preserve"> begin incorporating ESJ impacts into the RDF through a</w:t>
      </w:r>
      <w:r w:rsidR="00674FEE">
        <w:t>n ESJ</w:t>
      </w:r>
      <w:r w:rsidRPr="008038DD" w:rsidR="00D83BF7">
        <w:t xml:space="preserve"> </w:t>
      </w:r>
      <w:r w:rsidR="009A7F43">
        <w:t>P</w:t>
      </w:r>
      <w:r w:rsidRPr="008038DD" w:rsidR="00D83BF7">
        <w:t xml:space="preserve">ilot </w:t>
      </w:r>
      <w:r w:rsidR="009A7F43">
        <w:t>S</w:t>
      </w:r>
      <w:r w:rsidRPr="008038DD" w:rsidR="00D83BF7">
        <w:t>tudy that includes consideration of DVCs</w:t>
      </w:r>
      <w:r w:rsidR="00674FEE">
        <w:t xml:space="preserve"> </w:t>
      </w:r>
      <w:r w:rsidR="00833CC5">
        <w:t xml:space="preserve">advances the goal </w:t>
      </w:r>
      <w:r w:rsidR="00674FEE">
        <w:t xml:space="preserve">of </w:t>
      </w:r>
      <w:r>
        <w:t>ensur</w:t>
      </w:r>
      <w:r w:rsidR="00674FEE">
        <w:t>ing that</w:t>
      </w:r>
      <w:r w:rsidR="00041346">
        <w:t xml:space="preserve"> IOUs</w:t>
      </w:r>
      <w:r w:rsidR="00674FEE">
        <w:t>’</w:t>
      </w:r>
      <w:r>
        <w:t xml:space="preserve"> risk assessments</w:t>
      </w:r>
      <w:r w:rsidR="00F969E5">
        <w:t xml:space="preserve"> and mitigation</w:t>
      </w:r>
      <w:r w:rsidR="00041346">
        <w:t>s</w:t>
      </w:r>
      <w:r w:rsidR="004166E3">
        <w:t xml:space="preserve"> address</w:t>
      </w:r>
      <w:r w:rsidR="00F969E5">
        <w:t xml:space="preserve"> </w:t>
      </w:r>
      <w:r w:rsidR="00674FEE">
        <w:t xml:space="preserve">equity </w:t>
      </w:r>
      <w:r w:rsidR="00F969E5">
        <w:t xml:space="preserve">issues and </w:t>
      </w:r>
      <w:r w:rsidR="00EA26C8">
        <w:t>the needs of the most vulnerable</w:t>
      </w:r>
      <w:r w:rsidRPr="008038DD" w:rsidR="00D83BF7">
        <w:t>.</w:t>
      </w:r>
    </w:p>
    <w:p w:rsidRPr="008038DD" w:rsidR="00153B25" w:rsidP="00864718" w:rsidRDefault="005944CB" w14:paraId="7C0D2A06" w14:textId="6737E4F6">
      <w:pPr>
        <w:pStyle w:val="CoL"/>
        <w:numPr>
          <w:ilvl w:val="0"/>
          <w:numId w:val="11"/>
        </w:numPr>
      </w:pPr>
      <w:r>
        <w:t>R</w:t>
      </w:r>
      <w:r w:rsidR="00437341">
        <w:t>equir</w:t>
      </w:r>
      <w:r>
        <w:t>ing</w:t>
      </w:r>
      <w:r w:rsidR="00372D20">
        <w:t xml:space="preserve"> the IOUs</w:t>
      </w:r>
      <w:r w:rsidR="00C24F10">
        <w:t xml:space="preserve">, in coordination with </w:t>
      </w:r>
      <w:r w:rsidR="004E4765">
        <w:t xml:space="preserve">Commission </w:t>
      </w:r>
      <w:r w:rsidR="00C24F10">
        <w:t xml:space="preserve">Energy Division </w:t>
      </w:r>
      <w:r w:rsidR="004E4765">
        <w:t>S</w:t>
      </w:r>
      <w:r w:rsidR="00C24F10">
        <w:t>taff,</w:t>
      </w:r>
      <w:r w:rsidRPr="00ED1A1E" w:rsidR="00C24F10">
        <w:t xml:space="preserve"> </w:t>
      </w:r>
      <w:r w:rsidRPr="008038DD" w:rsidR="00D83BF7">
        <w:t xml:space="preserve">to </w:t>
      </w:r>
      <w:r w:rsidR="00270A99">
        <w:t xml:space="preserve">solicit feedback from </w:t>
      </w:r>
      <w:r w:rsidRPr="008038DD" w:rsidR="00D83BF7">
        <w:t>the DACAG and the CBOWG prior to finalizing their ESJ</w:t>
      </w:r>
      <w:r w:rsidR="000E33B1">
        <w:t> </w:t>
      </w:r>
      <w:r w:rsidR="009A7F43">
        <w:t>P</w:t>
      </w:r>
      <w:r w:rsidRPr="008038DD" w:rsidR="00D83BF7">
        <w:t xml:space="preserve">ilot </w:t>
      </w:r>
      <w:r w:rsidR="009A7F43">
        <w:t>S</w:t>
      </w:r>
      <w:r w:rsidRPr="008038DD" w:rsidR="00D83BF7">
        <w:t>tudy plans</w:t>
      </w:r>
      <w:r w:rsidR="00CF6B14">
        <w:t xml:space="preserve"> ensures the experience reflected in these groups informs</w:t>
      </w:r>
      <w:r w:rsidR="00375B2A">
        <w:t xml:space="preserve"> </w:t>
      </w:r>
      <w:r w:rsidR="00674FEE">
        <w:t xml:space="preserve">ESJ </w:t>
      </w:r>
      <w:r w:rsidR="00CF6B14">
        <w:t>Pilot design and execution</w:t>
      </w:r>
      <w:r w:rsidR="00C80F9D">
        <w:t>.</w:t>
      </w:r>
    </w:p>
    <w:p w:rsidRPr="008038DD" w:rsidR="00153B25" w:rsidP="00864718" w:rsidRDefault="00172B49" w14:paraId="63CE6CBD" w14:textId="0A57ED08">
      <w:pPr>
        <w:pStyle w:val="CoL"/>
        <w:numPr>
          <w:ilvl w:val="0"/>
          <w:numId w:val="11"/>
        </w:numPr>
      </w:pPr>
      <w:r>
        <w:t>R</w:t>
      </w:r>
      <w:r w:rsidR="00437341">
        <w:t>equir</w:t>
      </w:r>
      <w:r>
        <w:t>ing</w:t>
      </w:r>
      <w:r w:rsidRPr="008038DD" w:rsidR="00D83BF7">
        <w:t xml:space="preserve"> </w:t>
      </w:r>
      <w:r w:rsidRPr="001C4D6E" w:rsidR="00375983">
        <w:t xml:space="preserve">the </w:t>
      </w:r>
      <w:r w:rsidR="00372D20">
        <w:t>IOUs</w:t>
      </w:r>
      <w:r w:rsidRPr="008038DD" w:rsidR="00D83BF7">
        <w:t xml:space="preserve"> to file a </w:t>
      </w:r>
      <w:r w:rsidR="00437341">
        <w:t>W</w:t>
      </w:r>
      <w:r w:rsidRPr="008038DD" w:rsidR="00D83BF7">
        <w:t xml:space="preserve">hite </w:t>
      </w:r>
      <w:r w:rsidR="00437341">
        <w:t>P</w:t>
      </w:r>
      <w:r w:rsidRPr="008038DD" w:rsidR="00D83BF7">
        <w:t xml:space="preserve">aper about their ESJ Pilot that identifies areas for further exploration and challenges related to incorporating ESJ </w:t>
      </w:r>
      <w:r w:rsidR="008D364A">
        <w:t xml:space="preserve">considerations </w:t>
      </w:r>
      <w:r w:rsidRPr="008038DD" w:rsidR="00D83BF7">
        <w:t>into risk-based decision-making</w:t>
      </w:r>
      <w:r w:rsidR="00B242D1">
        <w:t xml:space="preserve"> </w:t>
      </w:r>
      <w:r w:rsidR="00E5190A">
        <w:t>supports</w:t>
      </w:r>
      <w:r w:rsidR="00FC19AA">
        <w:t xml:space="preserve"> the long-term </w:t>
      </w:r>
      <w:r w:rsidR="006F4C87">
        <w:t>goal</w:t>
      </w:r>
      <w:r w:rsidR="005D4D09">
        <w:t xml:space="preserve"> of advancing equity</w:t>
      </w:r>
      <w:r w:rsidR="00F739F4">
        <w:t xml:space="preserve"> and resiliency</w:t>
      </w:r>
      <w:r w:rsidR="001C5F3D">
        <w:t xml:space="preserve"> throughout California</w:t>
      </w:r>
      <w:r w:rsidRPr="008038DD" w:rsidR="00D83BF7">
        <w:t>.</w:t>
      </w:r>
    </w:p>
    <w:p w:rsidR="00E17999" w:rsidP="00864718" w:rsidRDefault="00E17999" w14:paraId="23EC39A1" w14:textId="7A4EF620">
      <w:pPr>
        <w:pStyle w:val="CoL"/>
        <w:numPr>
          <w:ilvl w:val="0"/>
          <w:numId w:val="11"/>
        </w:numPr>
      </w:pPr>
      <w:r>
        <w:t>Requiring each IOU to hold a public webinar on its ESJ Pilot Study during the planning phase of the pilot will increase awareness of the pilot and may result in improvements to the study design.</w:t>
      </w:r>
    </w:p>
    <w:p w:rsidRPr="008038DD" w:rsidR="00153B25" w:rsidP="00864718" w:rsidRDefault="00F739F4" w14:paraId="35584F5C" w14:textId="442D964F">
      <w:pPr>
        <w:pStyle w:val="CoL"/>
        <w:numPr>
          <w:ilvl w:val="0"/>
          <w:numId w:val="11"/>
        </w:numPr>
      </w:pPr>
      <w:r>
        <w:t>R</w:t>
      </w:r>
      <w:r w:rsidR="00EB1FB6">
        <w:t>equir</w:t>
      </w:r>
      <w:r>
        <w:t>ing</w:t>
      </w:r>
      <w:r w:rsidRPr="008038DD" w:rsidR="00D83BF7">
        <w:t xml:space="preserve"> the IOUs </w:t>
      </w:r>
      <w:r w:rsidR="00EB1FB6">
        <w:t xml:space="preserve">to </w:t>
      </w:r>
      <w:r w:rsidRPr="008038DD" w:rsidR="00D83BF7">
        <w:t xml:space="preserve">use public studies </w:t>
      </w:r>
      <w:r w:rsidR="00ED7819">
        <w:t>on</w:t>
      </w:r>
      <w:r w:rsidRPr="008038DD" w:rsidR="00ED7819">
        <w:t xml:space="preserve"> </w:t>
      </w:r>
      <w:r w:rsidRPr="008038DD" w:rsidR="00D83BF7">
        <w:t>the health impacts of wildfire smoke available in 2023 and thereafter to structure their risk methodology related to evaluating the estimated impacts from wildfire smoke</w:t>
      </w:r>
      <w:r w:rsidR="00A859CC">
        <w:t xml:space="preserve"> ensures</w:t>
      </w:r>
      <w:r w:rsidR="00F078E5">
        <w:t xml:space="preserve"> the IOUs efforts to address</w:t>
      </w:r>
      <w:r w:rsidR="006B52E3">
        <w:t xml:space="preserve"> these health impacts are based on</w:t>
      </w:r>
      <w:r w:rsidR="00CD6BD4">
        <w:t xml:space="preserve"> the best available scientific analysis</w:t>
      </w:r>
      <w:r w:rsidRPr="008038DD" w:rsidR="00D83BF7">
        <w:t>.</w:t>
      </w:r>
    </w:p>
    <w:p w:rsidRPr="00153B25" w:rsidR="000A41D1" w:rsidP="00864718" w:rsidRDefault="00D83BF7" w14:paraId="7DD8D5D1" w14:textId="2040998A">
      <w:pPr>
        <w:pStyle w:val="CoL"/>
        <w:numPr>
          <w:ilvl w:val="0"/>
          <w:numId w:val="11"/>
        </w:numPr>
        <w:rPr>
          <w:rFonts w:eastAsiaTheme="minorEastAsia"/>
        </w:rPr>
      </w:pPr>
      <w:r w:rsidRPr="00153B25">
        <w:rPr>
          <w:rFonts w:eastAsiaTheme="minorEastAsia"/>
        </w:rPr>
        <w:t>The title “</w:t>
      </w:r>
      <w:r w:rsidRPr="008038DD">
        <w:t xml:space="preserve">Risk-Based Decision-Making Framework” accurately describes the processes and procedures discussed in this </w:t>
      </w:r>
      <w:r w:rsidR="00C30AF3">
        <w:t xml:space="preserve">decision. </w:t>
      </w:r>
    </w:p>
    <w:p w:rsidRPr="000A41D1" w:rsidR="000A41D1" w:rsidP="00864718" w:rsidRDefault="00D83BF7" w14:paraId="1A34280A" w14:textId="35040898">
      <w:pPr>
        <w:pStyle w:val="CoL"/>
        <w:numPr>
          <w:ilvl w:val="0"/>
          <w:numId w:val="11"/>
        </w:numPr>
        <w:rPr>
          <w:rFonts w:eastAsiaTheme="minorEastAsia"/>
        </w:rPr>
      </w:pPr>
      <w:r w:rsidRPr="000A41D1">
        <w:rPr>
          <w:rFonts w:eastAsiaTheme="minorEastAsia"/>
        </w:rPr>
        <w:t>The term “</w:t>
      </w:r>
      <w:r w:rsidR="002B2FA9">
        <w:rPr>
          <w:rFonts w:eastAsiaTheme="minorEastAsia"/>
        </w:rPr>
        <w:t>Cost-Benefit Approach</w:t>
      </w:r>
      <w:r w:rsidRPr="000A41D1">
        <w:rPr>
          <w:rFonts w:eastAsiaTheme="minorEastAsia"/>
        </w:rPr>
        <w:t xml:space="preserve">” </w:t>
      </w:r>
      <w:r w:rsidRPr="008038DD">
        <w:t>accurate</w:t>
      </w:r>
      <w:r w:rsidR="00C30AF3">
        <w:t xml:space="preserve">ly </w:t>
      </w:r>
      <w:r w:rsidRPr="008038DD">
        <w:t>descri</w:t>
      </w:r>
      <w:r w:rsidR="00C30AF3">
        <w:t xml:space="preserve">bes </w:t>
      </w:r>
      <w:r w:rsidRPr="008038DD">
        <w:t xml:space="preserve">the </w:t>
      </w:r>
      <w:r w:rsidRPr="008038DD" w:rsidR="004670D8">
        <w:t xml:space="preserve">process </w:t>
      </w:r>
      <w:r w:rsidR="004670D8">
        <w:t>we require the IOUs to use i</w:t>
      </w:r>
      <w:r w:rsidRPr="008038DD" w:rsidR="004670D8">
        <w:t xml:space="preserve">n the </w:t>
      </w:r>
      <w:r w:rsidR="004670D8">
        <w:t xml:space="preserve">refined </w:t>
      </w:r>
      <w:r w:rsidRPr="008038DD" w:rsidR="004670D8">
        <w:t>RDF</w:t>
      </w:r>
      <w:r w:rsidR="004670D8">
        <w:t>.</w:t>
      </w:r>
      <w:r w:rsidRPr="008038DD" w:rsidR="004670D8">
        <w:t xml:space="preserve"> </w:t>
      </w:r>
    </w:p>
    <w:p w:rsidRPr="008038DD" w:rsidR="003F3B8A" w:rsidP="000F0FE6" w:rsidRDefault="00D83BF7" w14:paraId="2427E098" w14:textId="08C5536C">
      <w:pPr>
        <w:pStyle w:val="CoL"/>
        <w:numPr>
          <w:ilvl w:val="0"/>
          <w:numId w:val="11"/>
        </w:numPr>
      </w:pPr>
      <w:r w:rsidRPr="008038DD">
        <w:t>The term “</w:t>
      </w:r>
      <w:r w:rsidRPr="008038DD" w:rsidR="00FF7A03">
        <w:t>Cost</w:t>
      </w:r>
      <w:r w:rsidR="00FF7A03">
        <w:t>-Benefit</w:t>
      </w:r>
      <w:r w:rsidRPr="008038DD" w:rsidR="00FF7A03">
        <w:t xml:space="preserve"> Ratios</w:t>
      </w:r>
      <w:r w:rsidRPr="008038DD">
        <w:t xml:space="preserve">” accurately </w:t>
      </w:r>
      <w:r w:rsidR="004670D8">
        <w:t>descr</w:t>
      </w:r>
      <w:r w:rsidR="00BF2A2C">
        <w:t>i</w:t>
      </w:r>
      <w:r w:rsidRPr="008038DD">
        <w:t>bes the</w:t>
      </w:r>
      <w:r w:rsidR="000F0FE6">
        <w:t xml:space="preserve"> </w:t>
      </w:r>
      <w:r w:rsidRPr="008038DD" w:rsidR="004670D8">
        <w:t xml:space="preserve">analytical tool </w:t>
      </w:r>
      <w:r w:rsidR="004670D8">
        <w:t xml:space="preserve">we require the IOUs to use in the refined </w:t>
      </w:r>
      <w:r w:rsidRPr="008038DD" w:rsidR="004670D8">
        <w:t>RDF</w:t>
      </w:r>
      <w:r w:rsidR="004670D8">
        <w:t>.</w:t>
      </w:r>
    </w:p>
    <w:p w:rsidR="005939A5" w:rsidP="005939A5" w:rsidRDefault="005939A5" w14:paraId="53F353A8" w14:textId="77777777">
      <w:pPr>
        <w:pStyle w:val="Dummy"/>
      </w:pPr>
      <w:bookmarkStart w:name="_Toc8123726" w:id="50"/>
      <w:bookmarkStart w:name="_Toc121821054" w:id="51"/>
      <w:r>
        <w:t>Conclusions of Law</w:t>
      </w:r>
      <w:bookmarkEnd w:id="50"/>
      <w:bookmarkEnd w:id="51"/>
    </w:p>
    <w:p w:rsidR="00524C3D" w:rsidP="00864718" w:rsidRDefault="00524C3D" w14:paraId="54C5E785" w14:textId="6ACA6EB1">
      <w:pPr>
        <w:pStyle w:val="CoL"/>
        <w:numPr>
          <w:ilvl w:val="0"/>
          <w:numId w:val="9"/>
        </w:numPr>
      </w:pPr>
      <w:r>
        <w:t>Public Utilities Code Section 750 requires the Commission to develop formal procedures to consider safety in a rate case application by an electrical corporation or gas corporation.</w:t>
      </w:r>
    </w:p>
    <w:p w:rsidR="00524C3D" w:rsidP="00864718" w:rsidRDefault="00524C3D" w14:paraId="474FC6B6" w14:textId="3BA85DCB">
      <w:pPr>
        <w:pStyle w:val="CoL"/>
        <w:numPr>
          <w:ilvl w:val="0"/>
          <w:numId w:val="9"/>
        </w:numPr>
      </w:pPr>
      <w:r>
        <w:t>Public Utilities Code Section 321.1(a) requires the Commission to assess and mitigate the impacts of its decisions on customer, public and employee safety.</w:t>
      </w:r>
    </w:p>
    <w:p w:rsidRPr="003519F8" w:rsidR="00524C3D" w:rsidP="00864718" w:rsidRDefault="00524C3D" w14:paraId="5A871573" w14:textId="6DFB9002">
      <w:pPr>
        <w:pStyle w:val="CoL"/>
        <w:numPr>
          <w:ilvl w:val="0"/>
          <w:numId w:val="9"/>
        </w:numPr>
      </w:pPr>
      <w:r>
        <w:t xml:space="preserve">Public Utilities Code Section 451 </w:t>
      </w:r>
      <w:r w:rsidR="007345E2">
        <w:t>establishe</w:t>
      </w:r>
      <w:r w:rsidR="009D59CD">
        <w:t>s</w:t>
      </w:r>
      <w:r w:rsidR="007345E2">
        <w:t xml:space="preserve"> a duty for gas and electric utilities to furnish and maintain such adequate, efficient, just, and reasonable service, instrumentalities, equipment and facilities</w:t>
      </w:r>
      <w:r w:rsidR="009D59CD">
        <w:t xml:space="preserve"> </w:t>
      </w:r>
      <w:r w:rsidR="00575F52">
        <w:t xml:space="preserve">as are necessary to promote the safety, health, comfort, and convenience of its patrons, employees, and the public, and to do so at </w:t>
      </w:r>
      <w:r w:rsidR="009D59CD">
        <w:t>j</w:t>
      </w:r>
      <w:r>
        <w:t>ust and reasonable rates.</w:t>
      </w:r>
    </w:p>
    <w:p w:rsidR="005B74E0" w:rsidP="00864718" w:rsidRDefault="00A372D4" w14:paraId="5E5D7639" w14:textId="797C037F">
      <w:pPr>
        <w:pStyle w:val="ListParagraph"/>
        <w:numPr>
          <w:ilvl w:val="0"/>
          <w:numId w:val="9"/>
        </w:numPr>
      </w:pPr>
      <w:r w:rsidRPr="00A372D4">
        <w:t xml:space="preserve">The Commission should </w:t>
      </w:r>
      <w:r w:rsidR="006720F5">
        <w:t xml:space="preserve">revise the </w:t>
      </w:r>
      <w:r w:rsidR="00375B2A">
        <w:t>Settlement Agreement</w:t>
      </w:r>
      <w:r w:rsidR="006720F5">
        <w:t xml:space="preserve"> adopted in the SA Decision</w:t>
      </w:r>
      <w:r w:rsidR="00BD368F">
        <w:t xml:space="preserve"> and adopt th</w:t>
      </w:r>
      <w:r w:rsidR="007E7508">
        <w:t xml:space="preserve">e resulting </w:t>
      </w:r>
      <w:r w:rsidR="00375B2A">
        <w:t>“</w:t>
      </w:r>
      <w:r w:rsidR="007E7508">
        <w:t>Risk-Based Decision-Making Framework,</w:t>
      </w:r>
      <w:r w:rsidR="00375B2A">
        <w:t>”</w:t>
      </w:r>
      <w:r w:rsidR="007E7508">
        <w:t xml:space="preserve"> appended to this decision in Appendix A</w:t>
      </w:r>
      <w:r w:rsidR="005B74E0">
        <w:t xml:space="preserve">. </w:t>
      </w:r>
    </w:p>
    <w:p w:rsidRPr="00A372D4" w:rsidR="00A372D4" w:rsidP="00864718" w:rsidRDefault="003C2303" w14:paraId="180F5052" w14:textId="559A87FF">
      <w:pPr>
        <w:pStyle w:val="ListParagraph"/>
        <w:numPr>
          <w:ilvl w:val="0"/>
          <w:numId w:val="9"/>
        </w:numPr>
      </w:pPr>
      <w:r>
        <w:t xml:space="preserve">The Commission should </w:t>
      </w:r>
      <w:r w:rsidRPr="00A372D4" w:rsidR="00A372D4">
        <w:t xml:space="preserve">require IOUs to </w:t>
      </w:r>
      <w:r w:rsidR="00D10704">
        <w:t>implement</w:t>
      </w:r>
      <w:r w:rsidRPr="00A372D4" w:rsidR="00A372D4">
        <w:t xml:space="preserve"> </w:t>
      </w:r>
      <w:r w:rsidR="00C81E45">
        <w:t xml:space="preserve">the Cost-Benefit Approach </w:t>
      </w:r>
      <w:r w:rsidR="00D10704">
        <w:t xml:space="preserve">in the RDF </w:t>
      </w:r>
      <w:r w:rsidRPr="00A372D4" w:rsidR="00A372D4">
        <w:t xml:space="preserve">by implementing </w:t>
      </w:r>
      <w:r w:rsidR="00FA37B0">
        <w:t>a</w:t>
      </w:r>
      <w:r w:rsidRPr="00A372D4" w:rsidR="00A372D4">
        <w:t xml:space="preserve"> dollar valuation of </w:t>
      </w:r>
      <w:r w:rsidR="00447DC8">
        <w:t>Attribute</w:t>
      </w:r>
      <w:r w:rsidRPr="00A372D4" w:rsidR="00A372D4">
        <w:t>s</w:t>
      </w:r>
      <w:r w:rsidR="00FA37B0">
        <w:t xml:space="preserve"> as described in this decision</w:t>
      </w:r>
      <w:r w:rsidRPr="00A372D4" w:rsidR="00A372D4">
        <w:t xml:space="preserve">. </w:t>
      </w:r>
    </w:p>
    <w:p w:rsidRPr="002F5A23" w:rsidR="002F5A23" w:rsidP="00864718" w:rsidRDefault="002F5A23" w14:paraId="66EDE2C0" w14:textId="259F1E4B">
      <w:pPr>
        <w:pStyle w:val="ListParagraph"/>
        <w:numPr>
          <w:ilvl w:val="0"/>
          <w:numId w:val="9"/>
        </w:numPr>
      </w:pPr>
      <w:r w:rsidRPr="002F5A23">
        <w:t xml:space="preserve">The Commission should require the </w:t>
      </w:r>
      <w:r w:rsidR="00603905">
        <w:t xml:space="preserve">IOUs to </w:t>
      </w:r>
      <w:r w:rsidRPr="002F5A23">
        <w:t xml:space="preserve">implement </w:t>
      </w:r>
      <w:r w:rsidR="00EE34AE">
        <w:t xml:space="preserve">the </w:t>
      </w:r>
      <w:r w:rsidR="00404CC1">
        <w:t xml:space="preserve">refined RDF including the </w:t>
      </w:r>
      <w:r w:rsidR="002B2FA9">
        <w:t>Cost-Benefit Approach</w:t>
      </w:r>
      <w:r w:rsidRPr="002F5A23">
        <w:t xml:space="preserve"> </w:t>
      </w:r>
      <w:r w:rsidR="00603905">
        <w:t>in each</w:t>
      </w:r>
      <w:r w:rsidRPr="002F5A23">
        <w:t xml:space="preserve"> </w:t>
      </w:r>
      <w:r w:rsidR="00404CC1">
        <w:t>utility’s n</w:t>
      </w:r>
      <w:r w:rsidRPr="002F5A23">
        <w:t>ext respective GRC cycle, beginning with PG&amp;E’s 2024 RAMP application.</w:t>
      </w:r>
    </w:p>
    <w:p w:rsidRPr="002F5A23" w:rsidR="004D5B64" w:rsidP="00864718" w:rsidRDefault="00A62F0E" w14:paraId="0A43B3B8" w14:textId="7D4027E8">
      <w:pPr>
        <w:pStyle w:val="ListParagraph"/>
        <w:numPr>
          <w:ilvl w:val="0"/>
          <w:numId w:val="9"/>
        </w:numPr>
      </w:pPr>
      <w:r>
        <w:t xml:space="preserve">While </w:t>
      </w:r>
      <w:r w:rsidR="00E17999">
        <w:t xml:space="preserve">utilities must use </w:t>
      </w:r>
      <w:r w:rsidRPr="00707E76" w:rsidR="00FF7A03">
        <w:t>Cost-Benefit Ratios</w:t>
      </w:r>
      <w:r w:rsidR="00E17999">
        <w:t xml:space="preserve"> to </w:t>
      </w:r>
      <w:r w:rsidR="00FA35FC">
        <w:t>rank</w:t>
      </w:r>
      <w:r w:rsidR="00E17999">
        <w:t xml:space="preserve"> </w:t>
      </w:r>
      <w:r>
        <w:t>mitigations</w:t>
      </w:r>
      <w:r w:rsidR="00E17999">
        <w:t xml:space="preserve"> in their GRCs</w:t>
      </w:r>
      <w:r>
        <w:t xml:space="preserve">, </w:t>
      </w:r>
      <w:r w:rsidR="00E17999">
        <w:t xml:space="preserve">mitigation Cost-Benefit Ratio rankings </w:t>
      </w:r>
      <w:r>
        <w:t xml:space="preserve">need not be the only consideration in the </w:t>
      </w:r>
      <w:r w:rsidR="00E17999">
        <w:t>utility’s selec</w:t>
      </w:r>
      <w:r>
        <w:t xml:space="preserve">tion of Mitigations, as explained in Row No. 26 of the RDF contained in Appendix A of this decision. </w:t>
      </w:r>
    </w:p>
    <w:p w:rsidRPr="001E0B2A" w:rsidR="001E0B2A" w:rsidP="00864718" w:rsidRDefault="001E0B2A" w14:paraId="636AFBF5" w14:textId="438E4303">
      <w:pPr>
        <w:pStyle w:val="ListParagraph"/>
        <w:numPr>
          <w:ilvl w:val="0"/>
          <w:numId w:val="9"/>
        </w:numPr>
      </w:pPr>
      <w:r w:rsidRPr="001E0B2A">
        <w:t>The Commission should require PG&amp;E</w:t>
      </w:r>
      <w:r w:rsidR="00F63830">
        <w:t xml:space="preserve"> </w:t>
      </w:r>
      <w:r w:rsidR="00C81E45">
        <w:t xml:space="preserve">to </w:t>
      </w:r>
      <w:r w:rsidR="00BF7915">
        <w:t xml:space="preserve">conduct a </w:t>
      </w:r>
      <w:r w:rsidR="00C81E45">
        <w:t xml:space="preserve">Cost-Benefit Approach </w:t>
      </w:r>
      <w:r w:rsidR="00BF7915">
        <w:t>Demonstration W</w:t>
      </w:r>
      <w:r w:rsidR="00F63830">
        <w:t xml:space="preserve">orkshop </w:t>
      </w:r>
      <w:r w:rsidR="00B5068A">
        <w:t xml:space="preserve">at least </w:t>
      </w:r>
      <w:r w:rsidR="003E5CCE">
        <w:t>30</w:t>
      </w:r>
      <w:r w:rsidR="00F23583">
        <w:t> </w:t>
      </w:r>
      <w:r w:rsidR="003E5CCE">
        <w:t>days</w:t>
      </w:r>
      <w:r w:rsidR="00530929">
        <w:t xml:space="preserve"> </w:t>
      </w:r>
      <w:r w:rsidR="00F63830">
        <w:t xml:space="preserve">prior to </w:t>
      </w:r>
      <w:r w:rsidR="00C71E85">
        <w:t xml:space="preserve">the date of </w:t>
      </w:r>
      <w:r w:rsidR="00B5068A">
        <w:t>PG&amp;E’s</w:t>
      </w:r>
      <w:r w:rsidR="00F63830">
        <w:t xml:space="preserve"> 2024 RAMP filing.</w:t>
      </w:r>
    </w:p>
    <w:p w:rsidR="00BF7BBA" w:rsidP="00864718" w:rsidRDefault="005158F7" w14:paraId="36B6B861" w14:textId="01DF4C3B">
      <w:pPr>
        <w:pStyle w:val="ListParagraph"/>
        <w:numPr>
          <w:ilvl w:val="0"/>
          <w:numId w:val="9"/>
        </w:numPr>
      </w:pPr>
      <w:r w:rsidRPr="005158F7">
        <w:t xml:space="preserve">The Commission should </w:t>
      </w:r>
      <w:r w:rsidR="00F42353">
        <w:t>authorize</w:t>
      </w:r>
      <w:r w:rsidRPr="005158F7">
        <w:t xml:space="preserve"> the </w:t>
      </w:r>
      <w:r w:rsidR="00F42353">
        <w:t>RDF TWG established in D</w:t>
      </w:r>
      <w:r w:rsidR="00CC34B2">
        <w:t>.</w:t>
      </w:r>
      <w:r w:rsidRPr="00CC34B2" w:rsidR="00CC34B2">
        <w:t>21</w:t>
      </w:r>
      <w:r w:rsidR="004D6E3F">
        <w:noBreakHyphen/>
      </w:r>
      <w:r w:rsidRPr="00CC34B2" w:rsidR="00CC34B2">
        <w:t>11</w:t>
      </w:r>
      <w:r w:rsidR="004D6E3F">
        <w:noBreakHyphen/>
      </w:r>
      <w:r w:rsidRPr="00CC34B2" w:rsidR="00CC34B2">
        <w:t>009</w:t>
      </w:r>
      <w:r w:rsidR="00F42353">
        <w:t xml:space="preserve"> to</w:t>
      </w:r>
      <w:r w:rsidR="00BF7BBA">
        <w:t xml:space="preserve">: </w:t>
      </w:r>
      <w:r w:rsidR="00D30068">
        <w:t xml:space="preserve"> </w:t>
      </w:r>
      <w:r w:rsidR="00BF7BBA">
        <w:t xml:space="preserve">(a) prepare and propose recommendations regarding the application of Risk Attitude, Risk Tolerance, uncertainty, and tail risks in the RDF; (b) explore ways to identify a suitable standard that could be used for establishing a dollar valuation for gas reliability; and (c) explore if there is a need for, and, if so, recommend a formal process for authorizing exceptions to the recommended standard dollar valuations for consideration later in this proceeding. </w:t>
      </w:r>
    </w:p>
    <w:p w:rsidRPr="00464787" w:rsidR="00464787" w:rsidP="00864718" w:rsidRDefault="00464787" w14:paraId="56A3C30B" w14:textId="308505EE">
      <w:pPr>
        <w:pStyle w:val="ListParagraph"/>
        <w:numPr>
          <w:ilvl w:val="0"/>
          <w:numId w:val="9"/>
        </w:numPr>
      </w:pPr>
      <w:r w:rsidRPr="00464787">
        <w:t xml:space="preserve">The Commission should require the IOUs to apply the </w:t>
      </w:r>
      <w:r w:rsidR="00F42353">
        <w:t xml:space="preserve">most current </w:t>
      </w:r>
      <w:r w:rsidRPr="00464787">
        <w:t>published DOT VSL</w:t>
      </w:r>
      <w:r w:rsidR="008035E7">
        <w:t>,</w:t>
      </w:r>
      <w:r w:rsidRPr="00464787">
        <w:t xml:space="preserve"> adjusted for the base year of their respective RAMP filing, as the standard value in expressing the Safety </w:t>
      </w:r>
      <w:r w:rsidR="00447DC8">
        <w:t>Attribute</w:t>
      </w:r>
      <w:r w:rsidRPr="00464787">
        <w:t xml:space="preserve"> in dollars.  </w:t>
      </w:r>
    </w:p>
    <w:p w:rsidRPr="00916DB4" w:rsidR="00916DB4" w:rsidP="00864718" w:rsidRDefault="00916DB4" w14:paraId="6B73182A" w14:textId="211CBE29">
      <w:pPr>
        <w:pStyle w:val="ListParagraph"/>
        <w:numPr>
          <w:ilvl w:val="0"/>
          <w:numId w:val="9"/>
        </w:numPr>
      </w:pPr>
      <w:r w:rsidRPr="00916DB4">
        <w:t xml:space="preserve">The Commission should </w:t>
      </w:r>
      <w:r w:rsidR="005242C2">
        <w:t xml:space="preserve">authorize </w:t>
      </w:r>
      <w:r w:rsidR="008C393F">
        <w:t xml:space="preserve">the IOUs to </w:t>
      </w:r>
      <w:r w:rsidRPr="00916DB4">
        <w:t>cho</w:t>
      </w:r>
      <w:r w:rsidR="008C393F">
        <w:t xml:space="preserve">ose </w:t>
      </w:r>
      <w:r w:rsidR="29C8FAEB">
        <w:t xml:space="preserve">an </w:t>
      </w:r>
      <w:r>
        <w:t>alternative</w:t>
      </w:r>
      <w:r w:rsidRPr="00916DB4">
        <w:t xml:space="preserve"> VSL within the high and low ranges provided by the HHS</w:t>
      </w:r>
      <w:r w:rsidR="00742656">
        <w:t xml:space="preserve"> </w:t>
      </w:r>
      <w:r w:rsidR="006D6D5C">
        <w:t xml:space="preserve">but </w:t>
      </w:r>
      <w:r w:rsidR="00742656">
        <w:t xml:space="preserve">should </w:t>
      </w:r>
      <w:r w:rsidR="006D6D5C">
        <w:t xml:space="preserve">then </w:t>
      </w:r>
      <w:r w:rsidRPr="00742656" w:rsidR="00742656">
        <w:t xml:space="preserve">require the IOUs to justify </w:t>
      </w:r>
      <w:r w:rsidR="00742656">
        <w:t xml:space="preserve">this </w:t>
      </w:r>
      <w:r w:rsidRPr="00916DB4">
        <w:t xml:space="preserve">and provide a sensitivity analysis for the </w:t>
      </w:r>
      <w:r w:rsidR="00FF7A03">
        <w:t>Cost-Benefit</w:t>
      </w:r>
      <w:r w:rsidRPr="00916DB4" w:rsidR="00FF7A03">
        <w:t xml:space="preserve"> Ratio</w:t>
      </w:r>
      <w:r w:rsidRPr="00916DB4">
        <w:t xml:space="preserve"> impact of its choice </w:t>
      </w:r>
      <w:r w:rsidR="00965A0B">
        <w:t xml:space="preserve">as </w:t>
      </w:r>
      <w:r w:rsidRPr="00916DB4">
        <w:t>compared to the standard DOT VSL</w:t>
      </w:r>
      <w:r w:rsidR="00965A0B">
        <w:t xml:space="preserve"> in its RAMP filing</w:t>
      </w:r>
      <w:r w:rsidRPr="00916DB4">
        <w:t>.</w:t>
      </w:r>
    </w:p>
    <w:p w:rsidRPr="00615496" w:rsidR="001534EE" w:rsidP="00F23583" w:rsidRDefault="00615496" w14:paraId="2E7B7B1E" w14:textId="43ADB443">
      <w:pPr>
        <w:pStyle w:val="ListParagraph"/>
        <w:keepNext/>
        <w:keepLines/>
        <w:numPr>
          <w:ilvl w:val="0"/>
          <w:numId w:val="9"/>
        </w:numPr>
        <w:ind w:firstLine="547"/>
      </w:pPr>
      <w:r w:rsidRPr="00615496">
        <w:t>The Commission should require IOUs to apply one of two following methods for the dollar valuation of injury prevention, depending on the availability of data:</w:t>
      </w:r>
      <w:r w:rsidR="000E33B1">
        <w:t xml:space="preserve"> </w:t>
      </w:r>
      <w:r w:rsidR="00D30068">
        <w:t xml:space="preserve"> </w:t>
      </w:r>
      <w:r w:rsidRPr="00615496">
        <w:t>(1) a serious injury as 0.25 of a fatality, or (2) the injury severity level using DOT estimates for the value of injury prevention:</w:t>
      </w:r>
      <w:r w:rsidR="005D069C">
        <w:t xml:space="preserve"> </w:t>
      </w:r>
    </w:p>
    <w:tbl>
      <w:tblPr>
        <w:tblW w:w="6475" w:type="dxa"/>
        <w:jc w:val="center"/>
        <w:tblLayout w:type="fixed"/>
        <w:tblLook w:val="04A0" w:firstRow="1" w:lastRow="0" w:firstColumn="1" w:lastColumn="0" w:noHBand="0" w:noVBand="1"/>
      </w:tblPr>
      <w:tblGrid>
        <w:gridCol w:w="3237"/>
        <w:gridCol w:w="3238"/>
      </w:tblGrid>
      <w:tr w:rsidRPr="00EB26A3" w:rsidR="001534EE" w:rsidTr="000E33B1" w14:paraId="7EECB29B" w14:textId="77777777">
        <w:trPr>
          <w:trHeight w:val="323"/>
          <w:jc w:val="center"/>
        </w:trPr>
        <w:tc>
          <w:tcPr>
            <w:tcW w:w="3237" w:type="dxa"/>
            <w:tcBorders>
              <w:top w:val="single" w:color="auto" w:sz="4" w:space="0"/>
              <w:left w:val="single" w:color="auto" w:sz="4" w:space="0"/>
              <w:bottom w:val="double" w:color="auto" w:sz="6" w:space="0"/>
              <w:right w:val="single" w:color="auto" w:sz="4" w:space="0"/>
            </w:tcBorders>
            <w:shd w:val="clear" w:color="000000" w:fill="FFC000"/>
            <w:noWrap/>
            <w:vAlign w:val="center"/>
            <w:hideMark/>
          </w:tcPr>
          <w:p w:rsidRPr="00EB26A3" w:rsidR="001534EE" w:rsidP="00F23583" w:rsidRDefault="001534EE" w14:paraId="522EFE98" w14:textId="77777777">
            <w:pPr>
              <w:keepNext/>
              <w:keepLines/>
              <w:spacing w:line="240" w:lineRule="auto"/>
              <w:ind w:firstLine="0"/>
              <w:rPr>
                <w:rFonts w:eastAsia="Times New Roman" w:cs="Calibri"/>
                <w:b/>
                <w:color w:val="000000"/>
                <w:sz w:val="24"/>
                <w:szCs w:val="24"/>
              </w:rPr>
            </w:pPr>
            <w:r w:rsidRPr="00EB26A3">
              <w:rPr>
                <w:rFonts w:eastAsia="Times New Roman" w:cs="Calibri"/>
                <w:b/>
                <w:sz w:val="24"/>
                <w:szCs w:val="24"/>
              </w:rPr>
              <w:t>Injury Severity</w:t>
            </w:r>
          </w:p>
        </w:tc>
        <w:tc>
          <w:tcPr>
            <w:tcW w:w="3238" w:type="dxa"/>
            <w:tcBorders>
              <w:top w:val="single" w:color="auto" w:sz="4" w:space="0"/>
              <w:left w:val="nil"/>
              <w:bottom w:val="double" w:color="auto" w:sz="6" w:space="0"/>
              <w:right w:val="single" w:color="auto" w:sz="4" w:space="0"/>
            </w:tcBorders>
            <w:shd w:val="clear" w:color="000000" w:fill="FFC000"/>
            <w:noWrap/>
            <w:vAlign w:val="center"/>
            <w:hideMark/>
          </w:tcPr>
          <w:p w:rsidRPr="00EB26A3" w:rsidR="001534EE" w:rsidP="00F23583" w:rsidRDefault="001534EE" w14:paraId="6FE9FF1B" w14:textId="77777777">
            <w:pPr>
              <w:keepNext/>
              <w:keepLines/>
              <w:spacing w:line="240" w:lineRule="auto"/>
              <w:ind w:firstLine="0"/>
              <w:jc w:val="center"/>
              <w:rPr>
                <w:rFonts w:eastAsia="Times New Roman" w:cs="Calibri"/>
                <w:b/>
                <w:color w:val="000000"/>
                <w:sz w:val="24"/>
                <w:szCs w:val="24"/>
              </w:rPr>
            </w:pPr>
            <w:r w:rsidRPr="00EB26A3">
              <w:rPr>
                <w:rFonts w:eastAsia="Times New Roman" w:cs="Calibri"/>
                <w:b/>
                <w:sz w:val="24"/>
                <w:szCs w:val="24"/>
              </w:rPr>
              <w:t>Fraction of VSL</w:t>
            </w:r>
          </w:p>
        </w:tc>
      </w:tr>
      <w:tr w:rsidRPr="00EB26A3" w:rsidR="001534EE" w:rsidTr="000E33B1" w14:paraId="29985228" w14:textId="77777777">
        <w:trPr>
          <w:trHeight w:val="315"/>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598CD1A1"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Minor</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0A52E7EE"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0.003</w:t>
            </w:r>
          </w:p>
        </w:tc>
      </w:tr>
      <w:tr w:rsidRPr="00EB26A3" w:rsidR="001534EE" w:rsidTr="000E33B1" w14:paraId="129CB13B" w14:textId="77777777">
        <w:trPr>
          <w:trHeight w:val="35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539480F4"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Moderate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0323E1DE"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0.047</w:t>
            </w:r>
          </w:p>
        </w:tc>
      </w:tr>
      <w:tr w:rsidRPr="00EB26A3" w:rsidR="001534EE" w:rsidTr="000E33B1" w14:paraId="420FF2FA" w14:textId="77777777">
        <w:trPr>
          <w:trHeight w:val="35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2047E507"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Serious</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0129F7B1"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0.105</w:t>
            </w:r>
          </w:p>
        </w:tc>
      </w:tr>
      <w:tr w:rsidRPr="00EB26A3" w:rsidR="001534EE" w:rsidTr="000E33B1" w14:paraId="5E4DC2FB" w14:textId="77777777">
        <w:trPr>
          <w:trHeight w:val="35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78E94B11"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Severe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28F1C636"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0.266</w:t>
            </w:r>
          </w:p>
        </w:tc>
      </w:tr>
      <w:tr w:rsidRPr="00EB26A3" w:rsidR="001534EE" w:rsidTr="000E33B1" w14:paraId="486DF3D5" w14:textId="77777777">
        <w:trPr>
          <w:trHeight w:val="35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683E0E51"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Critical</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2FB83249"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0.593</w:t>
            </w:r>
          </w:p>
        </w:tc>
      </w:tr>
      <w:tr w:rsidRPr="00EB26A3" w:rsidR="001534EE" w:rsidTr="000E33B1" w14:paraId="47F8AFFA" w14:textId="77777777">
        <w:trPr>
          <w:trHeight w:val="35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1534EE" w:rsidP="000E33B1" w:rsidRDefault="001534EE" w14:paraId="3D302000" w14:textId="77777777">
            <w:pPr>
              <w:keepNext/>
              <w:spacing w:line="240" w:lineRule="auto"/>
              <w:ind w:firstLine="0"/>
              <w:rPr>
                <w:rFonts w:eastAsia="Times New Roman" w:cs="Calibri"/>
                <w:color w:val="000000"/>
                <w:sz w:val="24"/>
                <w:szCs w:val="24"/>
              </w:rPr>
            </w:pPr>
            <w:r w:rsidRPr="00EB26A3">
              <w:rPr>
                <w:rFonts w:eastAsia="Times New Roman" w:cs="Calibri"/>
                <w:color w:val="000000"/>
                <w:sz w:val="24"/>
                <w:szCs w:val="24"/>
              </w:rPr>
              <w:t>Unsurvivable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1534EE" w:rsidP="000E33B1" w:rsidRDefault="001534EE" w14:paraId="7A486FDF" w14:textId="77777777">
            <w:pPr>
              <w:keepNext/>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1.000</w:t>
            </w:r>
          </w:p>
        </w:tc>
      </w:tr>
    </w:tbl>
    <w:p w:rsidRPr="00D30068" w:rsidR="00AE343D" w:rsidP="000E33B1" w:rsidRDefault="00AE343D" w14:paraId="3873385D" w14:textId="234D37EE">
      <w:pPr>
        <w:pStyle w:val="ListParagraph"/>
        <w:spacing w:before="40"/>
        <w:ind w:left="1440" w:firstLine="0"/>
        <w:rPr>
          <w:sz w:val="20"/>
          <w:szCs w:val="20"/>
        </w:rPr>
      </w:pPr>
      <w:r w:rsidRPr="00D30068">
        <w:rPr>
          <w:sz w:val="20"/>
          <w:szCs w:val="20"/>
        </w:rPr>
        <w:t>Source: DOT, Valuation of a Statistical Life Guidance, at 10.</w:t>
      </w:r>
    </w:p>
    <w:p w:rsidR="001B70BE" w:rsidP="00864718" w:rsidRDefault="001B70BE" w14:paraId="605BE9CE" w14:textId="789EE3D5">
      <w:pPr>
        <w:pStyle w:val="ListParagraph"/>
        <w:numPr>
          <w:ilvl w:val="0"/>
          <w:numId w:val="9"/>
        </w:numPr>
        <w:spacing w:before="120"/>
        <w:ind w:firstLine="547"/>
        <w:contextualSpacing w:val="0"/>
      </w:pPr>
      <w:r w:rsidRPr="001B70BE">
        <w:t xml:space="preserve">The Commission should </w:t>
      </w:r>
      <w:r w:rsidR="00452191">
        <w:t xml:space="preserve">require </w:t>
      </w:r>
      <w:r w:rsidRPr="001B70BE">
        <w:t>the IOUs to adopt the use of the LBNL ICE</w:t>
      </w:r>
      <w:r w:rsidR="00D30068">
        <w:t> </w:t>
      </w:r>
      <w:r w:rsidRPr="001B70BE">
        <w:t xml:space="preserve">Calculator to determine a standard dollar valuation of electric reliability risk for the Reliability </w:t>
      </w:r>
      <w:r w:rsidR="00447DC8">
        <w:t>Attribut</w:t>
      </w:r>
      <w:r w:rsidR="00452191">
        <w:t xml:space="preserve">e </w:t>
      </w:r>
      <w:r w:rsidRPr="00452191" w:rsidR="00452191">
        <w:t xml:space="preserve">unless </w:t>
      </w:r>
      <w:r w:rsidR="00452191">
        <w:t xml:space="preserve">an </w:t>
      </w:r>
      <w:r w:rsidRPr="00452191" w:rsidR="00452191">
        <w:t xml:space="preserve">IOU proposes and justifies an alternate method to determine electric reliability risk </w:t>
      </w:r>
      <w:r w:rsidR="00452191">
        <w:t xml:space="preserve">dollar </w:t>
      </w:r>
      <w:r w:rsidRPr="00452191" w:rsidR="00452191">
        <w:t>valuation</w:t>
      </w:r>
      <w:r w:rsidR="00452191">
        <w:t>.</w:t>
      </w:r>
      <w:r w:rsidRPr="00452191" w:rsidDel="00452191" w:rsidR="00452191">
        <w:t xml:space="preserve"> </w:t>
      </w:r>
    </w:p>
    <w:p w:rsidR="00CF6733" w:rsidP="00CF6733" w:rsidRDefault="00CF6733" w14:paraId="557DC093" w14:textId="77777777">
      <w:pPr>
        <w:pStyle w:val="ListParagraph"/>
        <w:numPr>
          <w:ilvl w:val="0"/>
          <w:numId w:val="9"/>
        </w:numPr>
        <w:spacing w:before="120"/>
      </w:pPr>
      <w:r>
        <w:t>It is reasonable to afford the IOUs the same flexibility to incorporate Risk Attitude and Risk Tolerance into the Cost-Benefit Approach as they would under the current MAVF structure until further RDF refinements are adopted.</w:t>
      </w:r>
    </w:p>
    <w:p w:rsidRPr="001B70BE" w:rsidR="00CF6733" w:rsidP="00604550" w:rsidRDefault="00CF6733" w14:paraId="63B5B806" w14:textId="0E8E9BBA">
      <w:pPr>
        <w:pStyle w:val="ListParagraph"/>
        <w:numPr>
          <w:ilvl w:val="0"/>
          <w:numId w:val="9"/>
        </w:numPr>
        <w:spacing w:before="120"/>
      </w:pPr>
      <w:r>
        <w:t>Requiring the adoption of the DOT VSL as a standard dollar valuation of the Safety Attribute is practicable and transparent.</w:t>
      </w:r>
    </w:p>
    <w:p w:rsidRPr="003E622C" w:rsidR="003E622C" w:rsidP="00864718" w:rsidRDefault="003E622C" w14:paraId="54C800F1" w14:textId="2C856F79">
      <w:pPr>
        <w:pStyle w:val="ListParagraph"/>
        <w:numPr>
          <w:ilvl w:val="0"/>
          <w:numId w:val="9"/>
        </w:numPr>
      </w:pPr>
      <w:r w:rsidRPr="003E622C">
        <w:t xml:space="preserve">The Commission should </w:t>
      </w:r>
      <w:r w:rsidR="000371C0">
        <w:t xml:space="preserve">authorize the IOUs to use a different dollar valuation for the Reliability Attribute, if they prefer, </w:t>
      </w:r>
      <w:r w:rsidR="00443DA0">
        <w:t xml:space="preserve">and </w:t>
      </w:r>
      <w:r w:rsidR="006D7DB6">
        <w:t xml:space="preserve">direct the IOUs, in this case, </w:t>
      </w:r>
      <w:r w:rsidRPr="003E622C">
        <w:t xml:space="preserve">to provide </w:t>
      </w:r>
      <w:r w:rsidR="00333F2C">
        <w:t xml:space="preserve">in its RAMP filing </w:t>
      </w:r>
      <w:r w:rsidRPr="003E622C">
        <w:t xml:space="preserve">an analysis comparing the results of </w:t>
      </w:r>
      <w:r w:rsidR="006D7DB6">
        <w:t xml:space="preserve">its </w:t>
      </w:r>
      <w:r w:rsidRPr="003E622C">
        <w:t>preferred</w:t>
      </w:r>
      <w:r w:rsidR="00B72E6E">
        <w:t xml:space="preserve"> valuation</w:t>
      </w:r>
      <w:r w:rsidRPr="003E622C">
        <w:t xml:space="preserve"> model to the results using the ICE Calculator.</w:t>
      </w:r>
    </w:p>
    <w:p w:rsidR="009E6498" w:rsidP="00864718" w:rsidRDefault="009E6498" w14:paraId="21B1F7C6" w14:textId="37D99569">
      <w:pPr>
        <w:pStyle w:val="ListParagraph"/>
        <w:numPr>
          <w:ilvl w:val="0"/>
          <w:numId w:val="9"/>
        </w:numPr>
      </w:pPr>
      <w:r w:rsidRPr="009E6498">
        <w:t xml:space="preserve">The Commission should require the IOUs to participate in the customer survey process needed to incorporate California data in the </w:t>
      </w:r>
      <w:r w:rsidR="00746716">
        <w:t xml:space="preserve">LBNL </w:t>
      </w:r>
      <w:r w:rsidRPr="009E6498">
        <w:t>ICE 2.0 model</w:t>
      </w:r>
      <w:r w:rsidR="00A467CE">
        <w:t xml:space="preserve">, </w:t>
      </w:r>
      <w:r w:rsidRPr="00A467CE" w:rsidR="00A467CE">
        <w:t xml:space="preserve">which is intended to capture the economic impacts of outages of up </w:t>
      </w:r>
      <w:r w:rsidR="00A467CE">
        <w:t xml:space="preserve">to 24 hours </w:t>
      </w:r>
      <w:r w:rsidRPr="00A467CE" w:rsidR="00A467CE">
        <w:t>more accurately</w:t>
      </w:r>
      <w:r w:rsidRPr="009E6498">
        <w:t xml:space="preserve">.  </w:t>
      </w:r>
    </w:p>
    <w:p w:rsidRPr="00CA3BB4" w:rsidR="00CA3BB4" w:rsidP="00864718" w:rsidRDefault="00CA3BB4" w14:paraId="46E1F424" w14:textId="4B186C0A">
      <w:pPr>
        <w:pStyle w:val="ListParagraph"/>
        <w:numPr>
          <w:ilvl w:val="0"/>
          <w:numId w:val="9"/>
        </w:numPr>
      </w:pPr>
      <w:r w:rsidRPr="00CA3BB4">
        <w:t xml:space="preserve">The Commission should </w:t>
      </w:r>
      <w:r w:rsidR="00404E3B">
        <w:t>authorize</w:t>
      </w:r>
      <w:r w:rsidRPr="00CA3BB4">
        <w:t xml:space="preserve"> the IOUs to </w:t>
      </w:r>
      <w:r w:rsidR="00E870E3">
        <w:t xml:space="preserve">each </w:t>
      </w:r>
      <w:r w:rsidR="00F81B19">
        <w:t xml:space="preserve">submit a Tier 1 </w:t>
      </w:r>
      <w:r w:rsidR="00EB26A3">
        <w:t>A</w:t>
      </w:r>
      <w:r w:rsidR="00F81B19">
        <w:t xml:space="preserve">dvice </w:t>
      </w:r>
      <w:r w:rsidR="00EB26A3">
        <w:t>L</w:t>
      </w:r>
      <w:r w:rsidR="00F81B19">
        <w:t xml:space="preserve">etter to establish </w:t>
      </w:r>
      <w:r w:rsidR="00E870E3">
        <w:t xml:space="preserve">a </w:t>
      </w:r>
      <w:r w:rsidR="00F81B19">
        <w:t xml:space="preserve">memorandum account to track and later seek recovery for </w:t>
      </w:r>
      <w:r w:rsidRPr="00CA3BB4">
        <w:t>costs for participati</w:t>
      </w:r>
      <w:r w:rsidR="00404E3B">
        <w:t>ng</w:t>
      </w:r>
      <w:r w:rsidRPr="00CA3BB4">
        <w:t xml:space="preserve"> in</w:t>
      </w:r>
      <w:r w:rsidR="00404E3B">
        <w:t xml:space="preserve"> </w:t>
      </w:r>
      <w:r w:rsidR="00F81B19">
        <w:t xml:space="preserve">the development of the </w:t>
      </w:r>
      <w:r w:rsidR="00404E3B">
        <w:t>LBNL</w:t>
      </w:r>
      <w:r w:rsidRPr="00CA3BB4">
        <w:t xml:space="preserve"> ICE 2.0 </w:t>
      </w:r>
      <w:r w:rsidR="00F81B19">
        <w:t xml:space="preserve">Calculator of </w:t>
      </w:r>
      <w:r w:rsidRPr="00CA3BB4">
        <w:t>up to $600,000</w:t>
      </w:r>
      <w:r w:rsidR="00EC105E">
        <w:t>,</w:t>
      </w:r>
      <w:r w:rsidR="00D504E5">
        <w:t xml:space="preserve"> plus an additional 15 percent for potential incremental costs</w:t>
      </w:r>
      <w:r w:rsidR="00EC105E">
        <w:t>, per utility</w:t>
      </w:r>
      <w:r w:rsidRPr="00CA3BB4">
        <w:t>.</w:t>
      </w:r>
    </w:p>
    <w:p w:rsidRPr="00496B82" w:rsidR="00496B82" w:rsidP="00864718" w:rsidRDefault="00496B82" w14:paraId="43B9E2BA" w14:textId="072D7B80">
      <w:pPr>
        <w:pStyle w:val="ListParagraph"/>
        <w:numPr>
          <w:ilvl w:val="0"/>
          <w:numId w:val="9"/>
        </w:numPr>
      </w:pPr>
      <w:r w:rsidRPr="00496B82">
        <w:t xml:space="preserve">The Commission should require the IOUs to apply a dollar value for gas reliability based on the implied value from their current MAVF </w:t>
      </w:r>
      <w:r w:rsidRPr="00496B82" w:rsidR="00666D27">
        <w:t>Risk Score</w:t>
      </w:r>
      <w:r w:rsidRPr="00496B82">
        <w:t xml:space="preserve"> calculation, until a standard for dollar valuation is developed</w:t>
      </w:r>
      <w:r w:rsidRPr="00AE50A4" w:rsidR="00AE50A4">
        <w:t xml:space="preserve"> or</w:t>
      </w:r>
      <w:r w:rsidR="00CF7EFC">
        <w:t xml:space="preserve"> </w:t>
      </w:r>
      <w:r w:rsidRPr="00AE50A4" w:rsidR="00AE50A4">
        <w:t>justify its choice of an alternative model by providing an analysis comparing the results of its preferred alternative model to the results using the implied values.</w:t>
      </w:r>
    </w:p>
    <w:p w:rsidRPr="008038DD" w:rsidR="008038DD" w:rsidP="00864718" w:rsidRDefault="008038DD" w14:paraId="2D450697" w14:textId="4C1C82C7">
      <w:pPr>
        <w:pStyle w:val="CoL"/>
        <w:numPr>
          <w:ilvl w:val="0"/>
          <w:numId w:val="9"/>
        </w:numPr>
      </w:pPr>
      <w:r w:rsidRPr="008038DD">
        <w:t xml:space="preserve">The Commission should require </w:t>
      </w:r>
      <w:r w:rsidR="009852EE">
        <w:t>the IOUs</w:t>
      </w:r>
      <w:r w:rsidRPr="008038DD">
        <w:t xml:space="preserve"> to conduct a</w:t>
      </w:r>
      <w:r w:rsidR="00746716">
        <w:t>n ESJ</w:t>
      </w:r>
      <w:r w:rsidRPr="008038DD">
        <w:t xml:space="preserve"> </w:t>
      </w:r>
      <w:r w:rsidR="009A7F43">
        <w:t>P</w:t>
      </w:r>
      <w:r w:rsidRPr="008038DD">
        <w:t xml:space="preserve">ilot </w:t>
      </w:r>
      <w:r w:rsidR="009A7F43">
        <w:t>S</w:t>
      </w:r>
      <w:r w:rsidRPr="008038DD">
        <w:t xml:space="preserve">tudy about incorporating ESJ impacts into the RDF </w:t>
      </w:r>
      <w:bookmarkStart w:name="_Hlk115354277" w:id="52"/>
      <w:r w:rsidRPr="008038DD">
        <w:t xml:space="preserve">that includes consideration of DVCs </w:t>
      </w:r>
      <w:bookmarkEnd w:id="52"/>
      <w:r w:rsidRPr="008038DD">
        <w:t>and address</w:t>
      </w:r>
      <w:r w:rsidR="00C941DB">
        <w:t>es</w:t>
      </w:r>
      <w:r w:rsidRPr="008038DD">
        <w:t xml:space="preserve"> the following</w:t>
      </w:r>
      <w:r w:rsidR="00D04BF6">
        <w:t xml:space="preserve"> </w:t>
      </w:r>
      <w:r w:rsidR="00735FF3">
        <w:t>A</w:t>
      </w:r>
      <w:r w:rsidR="00D04BF6">
        <w:t xml:space="preserve">ction </w:t>
      </w:r>
      <w:r w:rsidR="00735FF3">
        <w:t>I</w:t>
      </w:r>
      <w:r w:rsidR="00D04BF6">
        <w:t>tems</w:t>
      </w:r>
      <w:r w:rsidRPr="008038DD">
        <w:t>:</w:t>
      </w:r>
    </w:p>
    <w:p w:rsidRPr="00ED1A1E" w:rsidR="00E85F14" w:rsidP="00864718" w:rsidRDefault="00E85F14" w14:paraId="1FE9500C" w14:textId="785DD72A">
      <w:pPr>
        <w:pStyle w:val="OP"/>
        <w:numPr>
          <w:ilvl w:val="1"/>
          <w:numId w:val="9"/>
        </w:numPr>
        <w:spacing w:after="120" w:line="240" w:lineRule="auto"/>
        <w:ind w:left="1170" w:right="1440" w:hanging="180"/>
      </w:pPr>
      <w:r w:rsidRPr="00C50A91">
        <w:rPr>
          <w:u w:val="single"/>
        </w:rPr>
        <w:t>Action Item #1</w:t>
      </w:r>
      <w:r>
        <w:t xml:space="preserve">: </w:t>
      </w:r>
      <w:r w:rsidR="000E33B1">
        <w:t xml:space="preserve"> </w:t>
      </w:r>
      <w:r w:rsidRPr="00ED1A1E">
        <w:t xml:space="preserve">Consider equity in the evaluation of </w:t>
      </w:r>
      <w:r w:rsidR="00CF40AA">
        <w:t>C</w:t>
      </w:r>
      <w:r w:rsidRPr="00ED1A1E">
        <w:t xml:space="preserve">onsequences and risk mitigation </w:t>
      </w:r>
      <w:r>
        <w:t>within the RDF,</w:t>
      </w:r>
      <w:r w:rsidRPr="00ED1A1E">
        <w:t xml:space="preserve"> using </w:t>
      </w:r>
      <w:r>
        <w:t>the most current version of</w:t>
      </w:r>
      <w:r w:rsidRPr="00ED1A1E">
        <w:t xml:space="preserve"> CalEnviroScreen to better understand how risks may disproportionately impact some communities more than others;</w:t>
      </w:r>
    </w:p>
    <w:p w:rsidRPr="00ED1A1E" w:rsidR="00E85F14" w:rsidP="00864718" w:rsidRDefault="00E85F14" w14:paraId="54B0A052" w14:textId="43146E1A">
      <w:pPr>
        <w:pStyle w:val="OP"/>
        <w:numPr>
          <w:ilvl w:val="1"/>
          <w:numId w:val="9"/>
        </w:numPr>
        <w:spacing w:after="120" w:line="240" w:lineRule="auto"/>
        <w:ind w:left="1170" w:right="1440" w:hanging="180"/>
      </w:pPr>
      <w:r w:rsidRPr="00C50A91">
        <w:rPr>
          <w:u w:val="single"/>
        </w:rPr>
        <w:t>Action Item #</w:t>
      </w:r>
      <w:r>
        <w:rPr>
          <w:u w:val="single"/>
        </w:rPr>
        <w:t>2</w:t>
      </w:r>
      <w:r>
        <w:t xml:space="preserve">: </w:t>
      </w:r>
      <w:r w:rsidR="000E33B1">
        <w:t xml:space="preserve"> </w:t>
      </w:r>
      <w:r w:rsidRPr="00ED1A1E">
        <w:t xml:space="preserve">Consider investments in clean energy resources </w:t>
      </w:r>
      <w:r>
        <w:t xml:space="preserve">in the RDF, as possible means </w:t>
      </w:r>
      <w:r w:rsidRPr="00ED1A1E">
        <w:t>to improve safety and reliability and mitigate risks in DVCs;</w:t>
      </w:r>
    </w:p>
    <w:p w:rsidRPr="00ED1A1E" w:rsidR="00E85F14" w:rsidP="00864718" w:rsidRDefault="00E85F14" w14:paraId="170339F7" w14:textId="25FBB371">
      <w:pPr>
        <w:pStyle w:val="OP"/>
        <w:numPr>
          <w:ilvl w:val="1"/>
          <w:numId w:val="9"/>
        </w:numPr>
        <w:spacing w:after="120" w:line="240" w:lineRule="auto"/>
        <w:ind w:left="1170" w:right="1440" w:hanging="180"/>
      </w:pPr>
      <w:r w:rsidRPr="00C50A91">
        <w:rPr>
          <w:u w:val="single"/>
        </w:rPr>
        <w:t>Action Item #</w:t>
      </w:r>
      <w:r>
        <w:rPr>
          <w:u w:val="single"/>
        </w:rPr>
        <w:t>3</w:t>
      </w:r>
      <w:r>
        <w:t xml:space="preserve">: </w:t>
      </w:r>
      <w:r w:rsidR="000E33B1">
        <w:t xml:space="preserve"> </w:t>
      </w:r>
      <w:r w:rsidRPr="00ED1A1E">
        <w:t xml:space="preserve">Consider </w:t>
      </w:r>
      <w:r w:rsidR="00E5151D">
        <w:t>M</w:t>
      </w:r>
      <w:r w:rsidRPr="00ED1A1E">
        <w:t xml:space="preserve">itigations that improve local air </w:t>
      </w:r>
      <w:r w:rsidRPr="000E33B1">
        <w:t>quality</w:t>
      </w:r>
      <w:r w:rsidRPr="00ED1A1E">
        <w:t xml:space="preserve"> and public health</w:t>
      </w:r>
      <w:r>
        <w:t xml:space="preserve"> in the RDF</w:t>
      </w:r>
      <w:r w:rsidRPr="00ED1A1E">
        <w:t xml:space="preserve">, including </w:t>
      </w:r>
      <w:r>
        <w:t>supporting data collection efforts associated with</w:t>
      </w:r>
      <w:r w:rsidRPr="00ED1A1E">
        <w:t xml:space="preserve"> </w:t>
      </w:r>
      <w:r w:rsidR="003B5899">
        <w:t>AB</w:t>
      </w:r>
      <w:r w:rsidR="00EB26A3">
        <w:t> </w:t>
      </w:r>
      <w:r w:rsidRPr="00ED1A1E">
        <w:t xml:space="preserve">617 </w:t>
      </w:r>
      <w:r>
        <w:t xml:space="preserve">regarding </w:t>
      </w:r>
      <w:r w:rsidRPr="00ED1A1E">
        <w:t>community air protection program;</w:t>
      </w:r>
    </w:p>
    <w:p w:rsidRPr="00ED1A1E" w:rsidR="00E85F14" w:rsidP="00864718" w:rsidRDefault="00E85F14" w14:paraId="71D379D7" w14:textId="40992E3E">
      <w:pPr>
        <w:pStyle w:val="OP"/>
        <w:numPr>
          <w:ilvl w:val="1"/>
          <w:numId w:val="9"/>
        </w:numPr>
        <w:spacing w:after="120" w:line="240" w:lineRule="auto"/>
        <w:ind w:left="1170" w:right="1440" w:hanging="180"/>
      </w:pPr>
      <w:r w:rsidRPr="00C50A91">
        <w:rPr>
          <w:u w:val="single"/>
        </w:rPr>
        <w:t>Action Item #</w:t>
      </w:r>
      <w:r>
        <w:rPr>
          <w:u w:val="single"/>
        </w:rPr>
        <w:t>4</w:t>
      </w:r>
      <w:r>
        <w:t xml:space="preserve">: </w:t>
      </w:r>
      <w:r w:rsidR="000E33B1">
        <w:t xml:space="preserve"> </w:t>
      </w:r>
      <w:r w:rsidRPr="00ED1A1E">
        <w:t xml:space="preserve">Evaluate how </w:t>
      </w:r>
      <w:r>
        <w:t xml:space="preserve">the selection of </w:t>
      </w:r>
      <w:r w:rsidRPr="00ED1A1E">
        <w:t xml:space="preserve">proposed </w:t>
      </w:r>
      <w:r w:rsidRPr="000E33B1">
        <w:t>mitigations</w:t>
      </w:r>
      <w:r w:rsidRPr="00ED1A1E">
        <w:t xml:space="preserve"> </w:t>
      </w:r>
      <w:r>
        <w:t>in the RDF</w:t>
      </w:r>
      <w:r w:rsidRPr="00ED1A1E">
        <w:t xml:space="preserve"> may </w:t>
      </w:r>
      <w:r>
        <w:t>impact</w:t>
      </w:r>
      <w:r w:rsidRPr="00ED1A1E">
        <w:t xml:space="preserve"> climate resiliency in DVCs;</w:t>
      </w:r>
    </w:p>
    <w:p w:rsidRPr="00ED1A1E" w:rsidR="00E85F14" w:rsidP="00864718" w:rsidRDefault="00E85F14" w14:paraId="58F62763" w14:textId="77777777">
      <w:pPr>
        <w:pStyle w:val="OP"/>
        <w:numPr>
          <w:ilvl w:val="1"/>
          <w:numId w:val="9"/>
        </w:numPr>
        <w:spacing w:after="120" w:line="240" w:lineRule="auto"/>
        <w:ind w:left="1170" w:right="1440" w:hanging="180"/>
      </w:pPr>
      <w:r w:rsidRPr="00C50A91">
        <w:rPr>
          <w:u w:val="single"/>
        </w:rPr>
        <w:t>Action Item #</w:t>
      </w:r>
      <w:r>
        <w:rPr>
          <w:u w:val="single"/>
        </w:rPr>
        <w:t>5</w:t>
      </w:r>
      <w:r>
        <w:t xml:space="preserve">: </w:t>
      </w:r>
      <w:r w:rsidRPr="00ED1A1E">
        <w:t xml:space="preserve">Evaluate if estimated impacts </w:t>
      </w:r>
      <w:r>
        <w:t>of</w:t>
      </w:r>
      <w:r w:rsidRPr="00ED1A1E">
        <w:t xml:space="preserve"> wildfire </w:t>
      </w:r>
      <w:r w:rsidRPr="004D6E3F">
        <w:rPr>
          <w:u w:val="single"/>
        </w:rPr>
        <w:t>smoke</w:t>
      </w:r>
      <w:r w:rsidRPr="00ED1A1E">
        <w:t xml:space="preserve"> </w:t>
      </w:r>
      <w:r>
        <w:t xml:space="preserve">included in the RDF </w:t>
      </w:r>
      <w:r w:rsidRPr="00ED1A1E">
        <w:t>disproportionately impact DVCs;</w:t>
      </w:r>
    </w:p>
    <w:p w:rsidRPr="00ED1A1E" w:rsidR="00E85F14" w:rsidP="00864718" w:rsidRDefault="00E85F14" w14:paraId="7651EB96" w14:textId="207AB8DE">
      <w:pPr>
        <w:pStyle w:val="OP"/>
        <w:numPr>
          <w:ilvl w:val="1"/>
          <w:numId w:val="9"/>
        </w:numPr>
        <w:spacing w:after="120" w:line="240" w:lineRule="auto"/>
        <w:ind w:left="1170" w:right="1440" w:hanging="180"/>
      </w:pPr>
      <w:r w:rsidRPr="00C50A91">
        <w:rPr>
          <w:u w:val="single"/>
        </w:rPr>
        <w:t>Action Item #</w:t>
      </w:r>
      <w:r>
        <w:rPr>
          <w:u w:val="single"/>
        </w:rPr>
        <w:t>6</w:t>
      </w:r>
      <w:r>
        <w:t xml:space="preserve">: </w:t>
      </w:r>
      <w:r w:rsidRPr="00ED1A1E">
        <w:t xml:space="preserve">Estimate the extent to which risk mitigation investments </w:t>
      </w:r>
      <w:r>
        <w:t xml:space="preserve">included in the RDF </w:t>
      </w:r>
      <w:r w:rsidRPr="00ED1A1E">
        <w:t xml:space="preserve">impact and benefit </w:t>
      </w:r>
      <w:r w:rsidRPr="000E33B1">
        <w:t>DVCs</w:t>
      </w:r>
      <w:r w:rsidR="00204D67">
        <w:t xml:space="preserve"> independently and in relation to non-DVCs in the IOU service territory</w:t>
      </w:r>
      <w:r w:rsidRPr="00ED1A1E">
        <w:t>;</w:t>
      </w:r>
      <w:r w:rsidR="000E33B1">
        <w:t xml:space="preserve"> and</w:t>
      </w:r>
    </w:p>
    <w:p w:rsidRPr="008038DD" w:rsidR="008038DD" w:rsidP="00864718" w:rsidRDefault="006E323A" w14:paraId="3FC7C58A" w14:textId="77777777">
      <w:pPr>
        <w:pStyle w:val="OP"/>
        <w:numPr>
          <w:ilvl w:val="1"/>
          <w:numId w:val="9"/>
        </w:numPr>
        <w:spacing w:after="120" w:line="240" w:lineRule="auto"/>
        <w:ind w:left="1170" w:right="1440" w:hanging="180"/>
      </w:pPr>
      <w:r w:rsidRPr="00C50A91">
        <w:rPr>
          <w:u w:val="single"/>
        </w:rPr>
        <w:t>Action Item #</w:t>
      </w:r>
      <w:r>
        <w:rPr>
          <w:u w:val="single"/>
        </w:rPr>
        <w:t>7</w:t>
      </w:r>
      <w:r>
        <w:t xml:space="preserve">: </w:t>
      </w:r>
      <w:r w:rsidRPr="008038DD" w:rsidR="008038DD">
        <w:t xml:space="preserve">Enhance outreach and public participation opportunities for </w:t>
      </w:r>
      <w:r w:rsidR="00F65D83">
        <w:t>DVCs</w:t>
      </w:r>
      <w:r w:rsidRPr="008038DD" w:rsidR="008038DD">
        <w:t xml:space="preserve"> to meaningfully participate in risk mitigation and climate adaptation activities consistent with D.20-08-046.</w:t>
      </w:r>
    </w:p>
    <w:p w:rsidRPr="008038DD" w:rsidR="00F75AF7" w:rsidP="00864718" w:rsidRDefault="006959AC" w14:paraId="560122B5" w14:textId="01F55902">
      <w:pPr>
        <w:pStyle w:val="CoL"/>
        <w:numPr>
          <w:ilvl w:val="0"/>
          <w:numId w:val="9"/>
        </w:numPr>
      </w:pPr>
      <w:r w:rsidRPr="008038DD">
        <w:t xml:space="preserve">The Commission should require </w:t>
      </w:r>
      <w:r>
        <w:t>the IOUs</w:t>
      </w:r>
      <w:r w:rsidRPr="007E30C4" w:rsidR="00C56795">
        <w:t xml:space="preserve"> to </w:t>
      </w:r>
      <w:r w:rsidR="00C56795">
        <w:t xml:space="preserve">provide timely information to </w:t>
      </w:r>
      <w:r w:rsidR="005D0A61">
        <w:t xml:space="preserve">Commission </w:t>
      </w:r>
      <w:r w:rsidR="00C56795">
        <w:t xml:space="preserve">Energy Division Staff, who will </w:t>
      </w:r>
      <w:r w:rsidRPr="007E30C4" w:rsidR="00C56795">
        <w:t>consult with the DACAG and the CBOWG</w:t>
      </w:r>
      <w:r w:rsidR="00C56795">
        <w:t xml:space="preserve"> or their designees,</w:t>
      </w:r>
      <w:r w:rsidRPr="007E30C4" w:rsidR="00C56795">
        <w:t xml:space="preserve"> prior to finalizing their ESJ Pilot </w:t>
      </w:r>
      <w:r w:rsidR="00C56795">
        <w:t>S</w:t>
      </w:r>
      <w:r w:rsidRPr="007E30C4" w:rsidR="00C56795">
        <w:t>tudy plans.</w:t>
      </w:r>
    </w:p>
    <w:p w:rsidRPr="008038DD" w:rsidR="008038DD" w:rsidP="00864718" w:rsidRDefault="008038DD" w14:paraId="6CAE4D94" w14:textId="473491AF">
      <w:pPr>
        <w:pStyle w:val="CoL"/>
        <w:numPr>
          <w:ilvl w:val="0"/>
          <w:numId w:val="9"/>
        </w:numPr>
      </w:pPr>
      <w:r w:rsidRPr="008038DD">
        <w:t xml:space="preserve">The Commission should require </w:t>
      </w:r>
      <w:r w:rsidR="00097774">
        <w:t xml:space="preserve">the </w:t>
      </w:r>
      <w:r w:rsidR="0051163D">
        <w:t>IOUs</w:t>
      </w:r>
      <w:r w:rsidRPr="008038DD">
        <w:t xml:space="preserve"> to work with </w:t>
      </w:r>
      <w:r w:rsidR="005D0A61">
        <w:t xml:space="preserve">Commission </w:t>
      </w:r>
      <w:r w:rsidR="0035212F">
        <w:t>Energy Division</w:t>
      </w:r>
      <w:r w:rsidRPr="008038DD">
        <w:t xml:space="preserve"> </w:t>
      </w:r>
      <w:r w:rsidR="00D20577">
        <w:t>S</w:t>
      </w:r>
      <w:r w:rsidR="0035212F">
        <w:t>taff</w:t>
      </w:r>
      <w:r w:rsidRPr="008038DD">
        <w:t xml:space="preserve"> to make sure the IOU’s ESJ </w:t>
      </w:r>
      <w:r w:rsidR="00201B28">
        <w:t>P</w:t>
      </w:r>
      <w:r w:rsidRPr="008038DD">
        <w:t xml:space="preserve">ilot </w:t>
      </w:r>
      <w:r w:rsidR="00201B28">
        <w:t>S</w:t>
      </w:r>
      <w:r w:rsidRPr="008038DD">
        <w:t xml:space="preserve">tudy plan is on an appropriate DACAG and CBOWG meeting agenda in time for </w:t>
      </w:r>
      <w:r w:rsidR="00704E91">
        <w:t xml:space="preserve">these </w:t>
      </w:r>
      <w:r w:rsidR="00CF6733">
        <w:t>group</w:t>
      </w:r>
      <w:r w:rsidR="00704E91">
        <w:t xml:space="preserve">s to provide </w:t>
      </w:r>
      <w:r w:rsidRPr="008038DD">
        <w:t xml:space="preserve">meaningful </w:t>
      </w:r>
      <w:r w:rsidR="00AF66AF">
        <w:t>feedback</w:t>
      </w:r>
      <w:r w:rsidRPr="008038DD">
        <w:t xml:space="preserve"> o</w:t>
      </w:r>
      <w:r w:rsidR="00704E91">
        <w:t>n</w:t>
      </w:r>
      <w:r w:rsidRPr="008038DD">
        <w:t xml:space="preserve"> the plans.</w:t>
      </w:r>
    </w:p>
    <w:p w:rsidR="00E17999" w:rsidP="00864718" w:rsidRDefault="00E17999" w14:paraId="4E7A6619" w14:textId="15033017">
      <w:pPr>
        <w:pStyle w:val="CoL"/>
        <w:numPr>
          <w:ilvl w:val="0"/>
          <w:numId w:val="9"/>
        </w:numPr>
      </w:pPr>
      <w:r>
        <w:t xml:space="preserve">The Commission should require each IOU to hold a public webinar on its ESJ Pilot study during the planning phase of the pilot. </w:t>
      </w:r>
    </w:p>
    <w:p w:rsidRPr="008038DD" w:rsidR="00CF6733" w:rsidP="00864718" w:rsidRDefault="008038DD" w14:paraId="7C14447E" w14:textId="18E97000">
      <w:pPr>
        <w:pStyle w:val="CoL"/>
        <w:numPr>
          <w:ilvl w:val="0"/>
          <w:numId w:val="9"/>
        </w:numPr>
      </w:pPr>
      <w:r w:rsidRPr="008038DD">
        <w:t xml:space="preserve">The Commission should require </w:t>
      </w:r>
      <w:r w:rsidR="00567FF9">
        <w:t>the IOUs</w:t>
      </w:r>
      <w:r w:rsidRPr="008038DD">
        <w:t xml:space="preserve"> to include the results of their ESJ</w:t>
      </w:r>
      <w:r w:rsidR="000E33B1">
        <w:t> </w:t>
      </w:r>
      <w:r w:rsidR="002021F8">
        <w:t>P</w:t>
      </w:r>
      <w:r w:rsidRPr="008038DD">
        <w:t xml:space="preserve">ilot </w:t>
      </w:r>
      <w:r w:rsidR="002021F8">
        <w:t>S</w:t>
      </w:r>
      <w:r w:rsidRPr="008038DD">
        <w:t xml:space="preserve">tudy within their next RAMP </w:t>
      </w:r>
      <w:r w:rsidR="00CF6733">
        <w:t>filing</w:t>
      </w:r>
      <w:r w:rsidRPr="008038DD">
        <w:t>s.</w:t>
      </w:r>
    </w:p>
    <w:p w:rsidR="00DC3C9A" w:rsidP="00CF6733" w:rsidRDefault="008038DD" w14:paraId="29D04FEA" w14:textId="446FEF32">
      <w:pPr>
        <w:pStyle w:val="CoL"/>
        <w:numPr>
          <w:ilvl w:val="0"/>
          <w:numId w:val="9"/>
        </w:numPr>
      </w:pPr>
      <w:r w:rsidRPr="008038DD">
        <w:t xml:space="preserve">The Commission should require </w:t>
      </w:r>
      <w:r w:rsidR="00EF3FA1">
        <w:t xml:space="preserve">each </w:t>
      </w:r>
      <w:r w:rsidR="006C1258">
        <w:t>IOU</w:t>
      </w:r>
      <w:r w:rsidRPr="008038DD">
        <w:t xml:space="preserve"> to file a </w:t>
      </w:r>
      <w:r w:rsidR="00323A6A">
        <w:t>W</w:t>
      </w:r>
      <w:r w:rsidRPr="008038DD">
        <w:t xml:space="preserve">hite </w:t>
      </w:r>
      <w:r w:rsidR="00323A6A">
        <w:t>P</w:t>
      </w:r>
      <w:r w:rsidRPr="008038DD">
        <w:t xml:space="preserve">aper about </w:t>
      </w:r>
      <w:r w:rsidR="00EF3FA1">
        <w:t xml:space="preserve">its </w:t>
      </w:r>
      <w:r w:rsidRPr="008038DD">
        <w:t xml:space="preserve">ESJ Pilot two months after </w:t>
      </w:r>
      <w:r w:rsidR="00EF3FA1">
        <w:t xml:space="preserve">its </w:t>
      </w:r>
      <w:r w:rsidRPr="008038DD">
        <w:t xml:space="preserve">next RAMP </w:t>
      </w:r>
      <w:r w:rsidR="00CF6733">
        <w:t>filing</w:t>
      </w:r>
      <w:r w:rsidR="005D0A61">
        <w:t xml:space="preserve"> deadline</w:t>
      </w:r>
      <w:r w:rsidRPr="008038DD">
        <w:t>.</w:t>
      </w:r>
    </w:p>
    <w:p w:rsidR="00DC3C9A" w:rsidP="00864718" w:rsidRDefault="00DC3C9A" w14:paraId="76B1324D" w14:textId="38B8EFB2">
      <w:pPr>
        <w:pStyle w:val="CoL"/>
        <w:numPr>
          <w:ilvl w:val="0"/>
          <w:numId w:val="9"/>
        </w:numPr>
      </w:pPr>
      <w:r>
        <w:t>The proceeding should remain open.</w:t>
      </w:r>
    </w:p>
    <w:p w:rsidR="00BB0243" w:rsidP="004D6E3F" w:rsidRDefault="005939A5" w14:paraId="28B61B64" w14:textId="77777777">
      <w:pPr>
        <w:pStyle w:val="Mainex"/>
        <w:spacing w:before="120" w:after="120"/>
      </w:pPr>
      <w:bookmarkStart w:name="_Toc121821055" w:id="53"/>
      <w:r>
        <w:t>O</w:t>
      </w:r>
      <w:r w:rsidR="00722850">
        <w:t>RDER</w:t>
      </w:r>
      <w:bookmarkEnd w:id="53"/>
    </w:p>
    <w:p w:rsidR="00BB0243" w:rsidP="000A6E05" w:rsidRDefault="00BB0243" w14:paraId="6D45932F" w14:textId="77777777">
      <w:pPr>
        <w:keepNext/>
      </w:pPr>
      <w:r w:rsidRPr="00BB0243">
        <w:rPr>
          <w:b/>
        </w:rPr>
        <w:t>IT IS ORDERED</w:t>
      </w:r>
      <w:r>
        <w:t xml:space="preserve"> that:</w:t>
      </w:r>
    </w:p>
    <w:p w:rsidRPr="000E39AA" w:rsidR="008430AE" w:rsidP="00864718" w:rsidRDefault="002B3AB5" w14:paraId="1683F349" w14:textId="128A9522">
      <w:pPr>
        <w:pStyle w:val="OP"/>
        <w:numPr>
          <w:ilvl w:val="0"/>
          <w:numId w:val="7"/>
        </w:numPr>
      </w:pPr>
      <w:r w:rsidRPr="000E39AA">
        <w:t xml:space="preserve">The </w:t>
      </w:r>
      <w:r w:rsidRPr="000E39AA" w:rsidR="008430AE">
        <w:t>Risk-</w:t>
      </w:r>
      <w:r w:rsidRPr="000E39AA" w:rsidR="003B09EC">
        <w:t>B</w:t>
      </w:r>
      <w:r w:rsidRPr="000E39AA" w:rsidR="008430AE">
        <w:t>ased Decision-</w:t>
      </w:r>
      <w:r w:rsidRPr="000E39AA" w:rsidR="003B09EC">
        <w:t>M</w:t>
      </w:r>
      <w:r w:rsidRPr="000E39AA" w:rsidR="008430AE">
        <w:t xml:space="preserve">aking Framework </w:t>
      </w:r>
      <w:r w:rsidRPr="000E39AA" w:rsidR="00CF6733">
        <w:t>set forth</w:t>
      </w:r>
      <w:r w:rsidRPr="000E39AA" w:rsidR="008430AE">
        <w:t xml:space="preserve"> in Appendix A</w:t>
      </w:r>
      <w:r w:rsidRPr="000E39AA">
        <w:t xml:space="preserve"> is adopted</w:t>
      </w:r>
      <w:r w:rsidRPr="000E39AA" w:rsidR="00CF6733">
        <w:t>; it supersedes</w:t>
      </w:r>
      <w:r w:rsidRPr="000E39AA">
        <w:t xml:space="preserve"> and replaces in its entirety the Settlement Agreement adopted in Decision</w:t>
      </w:r>
      <w:r w:rsidRPr="000E39AA" w:rsidR="004D6E3F">
        <w:t> </w:t>
      </w:r>
      <w:r w:rsidRPr="000E39AA">
        <w:t>18-12-014</w:t>
      </w:r>
      <w:r w:rsidRPr="000E39AA" w:rsidR="008430AE">
        <w:t xml:space="preserve">. </w:t>
      </w:r>
      <w:r w:rsidRPr="000E39AA">
        <w:t xml:space="preserve"> </w:t>
      </w:r>
    </w:p>
    <w:p w:rsidR="00932865" w:rsidP="00864718" w:rsidRDefault="00D81543" w14:paraId="212C5355" w14:textId="2C58C655">
      <w:pPr>
        <w:pStyle w:val="OP"/>
        <w:numPr>
          <w:ilvl w:val="0"/>
          <w:numId w:val="7"/>
        </w:numPr>
      </w:pPr>
      <w:r>
        <w:t>Pacific Gas and Electric Company (PG&amp;E), Southern California Edison</w:t>
      </w:r>
      <w:r w:rsidR="004C6E68">
        <w:t xml:space="preserve"> </w:t>
      </w:r>
      <w:r>
        <w:t>Company (SCE), Southern California Gas Company (SoCalGas), and San Diego</w:t>
      </w:r>
      <w:r w:rsidR="004C6E68">
        <w:t xml:space="preserve"> </w:t>
      </w:r>
      <w:r>
        <w:t>Gas &amp; Electric Company (SDG&amp;E) (collectively IOUs)</w:t>
      </w:r>
      <w:r w:rsidR="004C6E68">
        <w:t xml:space="preserve"> </w:t>
      </w:r>
      <w:r>
        <w:t xml:space="preserve">shall implement </w:t>
      </w:r>
      <w:r w:rsidR="000B22DE">
        <w:t>in their</w:t>
      </w:r>
      <w:r>
        <w:t xml:space="preserve"> Risk Assessment Mitigation Phase (RAMP) filings</w:t>
      </w:r>
      <w:r w:rsidR="00457404">
        <w:t xml:space="preserve"> </w:t>
      </w:r>
      <w:r w:rsidRPr="008A2B15" w:rsidR="008A2B15">
        <w:t>the Risk-Based Decision-Making Framework (RDF)</w:t>
      </w:r>
      <w:r w:rsidR="00EA2D5C">
        <w:t xml:space="preserve"> </w:t>
      </w:r>
      <w:r w:rsidR="00076573">
        <w:t xml:space="preserve">contained </w:t>
      </w:r>
      <w:r w:rsidR="00EA2D5C">
        <w:t xml:space="preserve">in Appendix A to this decision, </w:t>
      </w:r>
      <w:r w:rsidR="00DD3739">
        <w:t xml:space="preserve">starting with PG&amp;E’s </w:t>
      </w:r>
      <w:r w:rsidRPr="00C762BE" w:rsidR="00DD3739">
        <w:t>2024 RAMP filing and continuing with subsequent filings</w:t>
      </w:r>
      <w:r w:rsidR="00DD3739">
        <w:t xml:space="preserve">, and </w:t>
      </w:r>
      <w:r w:rsidR="00076573">
        <w:t xml:space="preserve">including </w:t>
      </w:r>
      <w:r w:rsidR="00F57ED5">
        <w:t>the following</w:t>
      </w:r>
      <w:r w:rsidR="00076573">
        <w:t xml:space="preserve"> specific elements</w:t>
      </w:r>
      <w:r w:rsidR="00F57ED5">
        <w:t>:</w:t>
      </w:r>
      <w:r>
        <w:t xml:space="preserve"> </w:t>
      </w:r>
    </w:p>
    <w:p w:rsidR="00C94C74" w:rsidP="00864718" w:rsidRDefault="00907560" w14:paraId="34B5AF01" w14:textId="64A568ED">
      <w:pPr>
        <w:pStyle w:val="OP"/>
        <w:numPr>
          <w:ilvl w:val="1"/>
          <w:numId w:val="7"/>
        </w:numPr>
        <w:spacing w:after="120" w:line="240" w:lineRule="auto"/>
        <w:ind w:left="1170" w:right="1440" w:hanging="180"/>
      </w:pPr>
      <w:r>
        <w:t xml:space="preserve">Each IOU shall </w:t>
      </w:r>
      <w:r w:rsidRPr="00BF79F4" w:rsidR="00BF79F4">
        <w:t xml:space="preserve">apply the </w:t>
      </w:r>
      <w:r w:rsidR="002042D0">
        <w:t xml:space="preserve">most </w:t>
      </w:r>
      <w:r w:rsidR="00D01E69">
        <w:t xml:space="preserve">current </w:t>
      </w:r>
      <w:r w:rsidRPr="00BF79F4" w:rsidR="00BF79F4">
        <w:t xml:space="preserve">published </w:t>
      </w:r>
      <w:r w:rsidR="00BF1A15">
        <w:t xml:space="preserve">United States </w:t>
      </w:r>
      <w:r w:rsidR="000445AC">
        <w:t>Department of Transportation</w:t>
      </w:r>
      <w:r w:rsidR="00D55D77">
        <w:t xml:space="preserve"> </w:t>
      </w:r>
      <w:r w:rsidR="00C81880">
        <w:t>(</w:t>
      </w:r>
      <w:r w:rsidRPr="00BF79F4" w:rsidR="00BF79F4">
        <w:t>DOT</w:t>
      </w:r>
      <w:r w:rsidR="00C81880">
        <w:t xml:space="preserve">) value of </w:t>
      </w:r>
      <w:r w:rsidR="00F052CD">
        <w:t xml:space="preserve">a </w:t>
      </w:r>
      <w:r w:rsidR="00C81880">
        <w:t>statistical life (</w:t>
      </w:r>
      <w:r w:rsidRPr="00BF79F4" w:rsidR="00BF79F4">
        <w:t>VSL</w:t>
      </w:r>
      <w:r w:rsidR="00C81880">
        <w:t>)</w:t>
      </w:r>
      <w:r w:rsidRPr="00BF79F4" w:rsidR="00BF79F4">
        <w:t xml:space="preserve">, adjusted for the base year of their respective RAMP filing, as the standard value in expressing the Safety </w:t>
      </w:r>
      <w:r w:rsidR="00447DC8">
        <w:t>Attribute</w:t>
      </w:r>
      <w:r w:rsidRPr="00BF79F4" w:rsidR="00BF79F4">
        <w:t xml:space="preserve"> </w:t>
      </w:r>
      <w:r w:rsidR="009E76A3">
        <w:t xml:space="preserve">described in Appendix A </w:t>
      </w:r>
      <w:r w:rsidRPr="00BF79F4" w:rsidR="00BF79F4">
        <w:t>in dollars.</w:t>
      </w:r>
    </w:p>
    <w:p w:rsidR="00C94C74" w:rsidP="00864718" w:rsidRDefault="00FF0531" w14:paraId="6D5405CA" w14:textId="415E81BA">
      <w:pPr>
        <w:pStyle w:val="OP"/>
        <w:numPr>
          <w:ilvl w:val="0"/>
          <w:numId w:val="10"/>
        </w:numPr>
        <w:spacing w:after="120" w:line="240" w:lineRule="auto"/>
        <w:ind w:left="1526" w:right="1440" w:hanging="259"/>
      </w:pPr>
      <w:r>
        <w:t xml:space="preserve">If applicable, each IOU shall </w:t>
      </w:r>
      <w:r w:rsidRPr="00FF0531">
        <w:t xml:space="preserve">justify its choice of </w:t>
      </w:r>
      <w:r w:rsidR="00DC6103">
        <w:t>an</w:t>
      </w:r>
      <w:r w:rsidRPr="00FF0531">
        <w:t xml:space="preserve"> alternative VSL within the high and low ranges provided by the </w:t>
      </w:r>
      <w:r w:rsidR="005D4A1B">
        <w:t>United States Department of Health and Human Services</w:t>
      </w:r>
      <w:r w:rsidRPr="00FF0531">
        <w:t xml:space="preserve"> and provide a sensitivity analysis for the </w:t>
      </w:r>
      <w:r w:rsidR="00FF7A03">
        <w:t>Cost-Benefit</w:t>
      </w:r>
      <w:r w:rsidRPr="00FF0531" w:rsidR="00FF7A03">
        <w:t xml:space="preserve"> Ratio</w:t>
      </w:r>
      <w:r w:rsidRPr="00FF0531">
        <w:t xml:space="preserve"> impact of its choice compared to the standard DOT VSL.</w:t>
      </w:r>
    </w:p>
    <w:p w:rsidR="00D253C2" w:rsidP="00864718" w:rsidRDefault="00D253C2" w14:paraId="7A982A5F" w14:textId="0ECC7D3F">
      <w:pPr>
        <w:pStyle w:val="OP"/>
        <w:numPr>
          <w:ilvl w:val="0"/>
          <w:numId w:val="10"/>
        </w:numPr>
        <w:spacing w:after="120" w:line="240" w:lineRule="auto"/>
        <w:ind w:left="1526" w:right="1440" w:hanging="259"/>
      </w:pPr>
      <w:r>
        <w:t>Each IOU shall</w:t>
      </w:r>
      <w:r w:rsidRPr="00D253C2">
        <w:t xml:space="preserve"> apply one of two following methods for the dollar valuation of injury prevention, </w:t>
      </w:r>
      <w:r w:rsidR="00AC18AA">
        <w:t>as d</w:t>
      </w:r>
      <w:r w:rsidR="00E2174D">
        <w:t xml:space="preserve">efined in Appendix A, </w:t>
      </w:r>
      <w:r w:rsidRPr="00D253C2">
        <w:t xml:space="preserve">depending on the availability of data: </w:t>
      </w:r>
      <w:r w:rsidR="000E33B1">
        <w:t xml:space="preserve"> </w:t>
      </w:r>
      <w:r w:rsidRPr="00D253C2">
        <w:t>(1)</w:t>
      </w:r>
      <w:r w:rsidR="000E33B1">
        <w:t> </w:t>
      </w:r>
      <w:r w:rsidRPr="00D253C2">
        <w:t>a serious injury as 0.25 of a fatality, or (2)</w:t>
      </w:r>
      <w:r w:rsidR="000E33B1">
        <w:t> </w:t>
      </w:r>
      <w:r w:rsidRPr="00D253C2">
        <w:t>the injury severity level using DOT estimates for the value of injury prevention</w:t>
      </w:r>
      <w:r w:rsidR="00DD3739">
        <w:t xml:space="preserve"> as indicated here:</w:t>
      </w:r>
    </w:p>
    <w:tbl>
      <w:tblPr>
        <w:tblW w:w="6475" w:type="dxa"/>
        <w:jc w:val="center"/>
        <w:tblLayout w:type="fixed"/>
        <w:tblLook w:val="04A0" w:firstRow="1" w:lastRow="0" w:firstColumn="1" w:lastColumn="0" w:noHBand="0" w:noVBand="1"/>
      </w:tblPr>
      <w:tblGrid>
        <w:gridCol w:w="3237"/>
        <w:gridCol w:w="3238"/>
      </w:tblGrid>
      <w:tr w:rsidRPr="00EB26A3" w:rsidR="00AF20AF" w:rsidTr="000E33B1" w14:paraId="78168D56" w14:textId="77777777">
        <w:trPr>
          <w:trHeight w:val="386"/>
          <w:jc w:val="center"/>
        </w:trPr>
        <w:tc>
          <w:tcPr>
            <w:tcW w:w="3237" w:type="dxa"/>
            <w:tcBorders>
              <w:top w:val="single" w:color="auto" w:sz="4" w:space="0"/>
              <w:left w:val="single" w:color="auto" w:sz="4" w:space="0"/>
              <w:bottom w:val="double" w:color="auto" w:sz="6" w:space="0"/>
              <w:right w:val="single" w:color="auto" w:sz="4" w:space="0"/>
            </w:tcBorders>
            <w:shd w:val="clear" w:color="000000" w:fill="FFC000"/>
            <w:noWrap/>
            <w:vAlign w:val="center"/>
            <w:hideMark/>
          </w:tcPr>
          <w:p w:rsidRPr="00EB26A3" w:rsidR="00AF20AF" w:rsidRDefault="00AF20AF" w14:paraId="028BF5CA" w14:textId="77777777">
            <w:pPr>
              <w:spacing w:line="240" w:lineRule="auto"/>
              <w:ind w:firstLine="0"/>
              <w:rPr>
                <w:rFonts w:eastAsia="Times New Roman" w:cs="Calibri"/>
                <w:b/>
                <w:bCs/>
                <w:color w:val="000000"/>
                <w:sz w:val="24"/>
                <w:szCs w:val="24"/>
              </w:rPr>
            </w:pPr>
            <w:r w:rsidRPr="00EB26A3">
              <w:rPr>
                <w:rFonts w:eastAsia="Times New Roman" w:cs="Calibri"/>
                <w:b/>
                <w:bCs/>
                <w:sz w:val="24"/>
                <w:szCs w:val="24"/>
              </w:rPr>
              <w:t>Injury Severity</w:t>
            </w:r>
          </w:p>
        </w:tc>
        <w:tc>
          <w:tcPr>
            <w:tcW w:w="3238" w:type="dxa"/>
            <w:tcBorders>
              <w:top w:val="single" w:color="auto" w:sz="4" w:space="0"/>
              <w:left w:val="nil"/>
              <w:bottom w:val="double" w:color="auto" w:sz="6" w:space="0"/>
              <w:right w:val="single" w:color="auto" w:sz="4" w:space="0"/>
            </w:tcBorders>
            <w:shd w:val="clear" w:color="000000" w:fill="FFC000"/>
            <w:noWrap/>
            <w:vAlign w:val="center"/>
            <w:hideMark/>
          </w:tcPr>
          <w:p w:rsidRPr="00EB26A3" w:rsidR="00AF20AF" w:rsidRDefault="00AF20AF" w14:paraId="4E60F151" w14:textId="77777777">
            <w:pPr>
              <w:spacing w:line="240" w:lineRule="auto"/>
              <w:ind w:firstLine="0"/>
              <w:jc w:val="center"/>
              <w:rPr>
                <w:rFonts w:eastAsia="Times New Roman" w:cs="Calibri"/>
                <w:b/>
                <w:bCs/>
                <w:color w:val="000000"/>
                <w:sz w:val="24"/>
                <w:szCs w:val="24"/>
              </w:rPr>
            </w:pPr>
            <w:r w:rsidRPr="00EB26A3">
              <w:rPr>
                <w:rFonts w:eastAsia="Times New Roman" w:cs="Calibri"/>
                <w:b/>
                <w:bCs/>
                <w:sz w:val="24"/>
                <w:szCs w:val="24"/>
              </w:rPr>
              <w:t>Fraction of VSL</w:t>
            </w:r>
          </w:p>
        </w:tc>
      </w:tr>
      <w:tr w:rsidRPr="00EB26A3" w:rsidR="00AF20AF" w:rsidTr="000E33B1" w14:paraId="365EA36B" w14:textId="77777777">
        <w:trPr>
          <w:trHeight w:val="405"/>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14391614"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Minor</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6D10BE3A"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0.003</w:t>
            </w:r>
          </w:p>
        </w:tc>
      </w:tr>
      <w:tr w:rsidRPr="00EB26A3" w:rsidR="00AF20AF" w:rsidTr="000E33B1" w14:paraId="2E754E04" w14:textId="77777777">
        <w:trPr>
          <w:trHeight w:val="44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67B00C85"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Moderate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67DD438C"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0.047</w:t>
            </w:r>
          </w:p>
        </w:tc>
      </w:tr>
      <w:tr w:rsidRPr="00EB26A3" w:rsidR="00AF20AF" w:rsidTr="000E33B1" w14:paraId="17AB6AF7" w14:textId="77777777">
        <w:trPr>
          <w:trHeight w:val="44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653EC877"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Serious</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349D7557"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0.105</w:t>
            </w:r>
          </w:p>
        </w:tc>
      </w:tr>
      <w:tr w:rsidRPr="00EB26A3" w:rsidR="00AF20AF" w:rsidTr="000E33B1" w14:paraId="73E48377" w14:textId="77777777">
        <w:trPr>
          <w:trHeight w:val="44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26334FD6"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Severe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198A90DF"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0.266</w:t>
            </w:r>
          </w:p>
        </w:tc>
      </w:tr>
      <w:tr w:rsidRPr="00EB26A3" w:rsidR="00AF20AF" w:rsidTr="000E33B1" w14:paraId="1879848F" w14:textId="77777777">
        <w:trPr>
          <w:trHeight w:val="44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20945EDF"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Critical</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7708678D"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0.593</w:t>
            </w:r>
          </w:p>
        </w:tc>
      </w:tr>
      <w:tr w:rsidRPr="00EB26A3" w:rsidR="00AF20AF" w:rsidTr="000E33B1" w14:paraId="22591039" w14:textId="77777777">
        <w:trPr>
          <w:trHeight w:val="440"/>
          <w:jc w:val="center"/>
        </w:trPr>
        <w:tc>
          <w:tcPr>
            <w:tcW w:w="3237" w:type="dxa"/>
            <w:tcBorders>
              <w:top w:val="nil"/>
              <w:left w:val="single" w:color="auto" w:sz="4" w:space="0"/>
              <w:bottom w:val="single" w:color="auto" w:sz="4" w:space="0"/>
              <w:right w:val="single" w:color="auto" w:sz="4" w:space="0"/>
            </w:tcBorders>
            <w:shd w:val="clear" w:color="auto" w:fill="auto"/>
            <w:noWrap/>
            <w:vAlign w:val="center"/>
            <w:hideMark/>
          </w:tcPr>
          <w:p w:rsidRPr="00EB26A3" w:rsidR="00AF20AF" w:rsidRDefault="00AF20AF" w14:paraId="08DF3101" w14:textId="77777777">
            <w:pPr>
              <w:spacing w:line="240" w:lineRule="auto"/>
              <w:ind w:firstLine="0"/>
              <w:rPr>
                <w:rFonts w:eastAsia="Times New Roman" w:cs="Calibri"/>
                <w:color w:val="000000"/>
                <w:sz w:val="24"/>
                <w:szCs w:val="24"/>
              </w:rPr>
            </w:pPr>
            <w:r w:rsidRPr="00EB26A3">
              <w:rPr>
                <w:rFonts w:eastAsia="Times New Roman" w:cs="Calibri"/>
                <w:color w:val="000000"/>
                <w:sz w:val="24"/>
                <w:szCs w:val="24"/>
              </w:rPr>
              <w:t>Unsurvivable</w:t>
            </w:r>
          </w:p>
        </w:tc>
        <w:tc>
          <w:tcPr>
            <w:tcW w:w="3238" w:type="dxa"/>
            <w:tcBorders>
              <w:top w:val="nil"/>
              <w:left w:val="nil"/>
              <w:bottom w:val="single" w:color="auto" w:sz="4" w:space="0"/>
              <w:right w:val="single" w:color="auto" w:sz="4" w:space="0"/>
            </w:tcBorders>
            <w:shd w:val="clear" w:color="auto" w:fill="auto"/>
            <w:noWrap/>
            <w:vAlign w:val="center"/>
            <w:hideMark/>
          </w:tcPr>
          <w:p w:rsidRPr="00EB26A3" w:rsidR="00AF20AF" w:rsidRDefault="00AF20AF" w14:paraId="756798AD" w14:textId="77777777">
            <w:pPr>
              <w:spacing w:line="240" w:lineRule="auto"/>
              <w:ind w:firstLine="0"/>
              <w:jc w:val="center"/>
              <w:rPr>
                <w:rFonts w:eastAsia="Times New Roman" w:cs="Calibri"/>
                <w:color w:val="000000"/>
                <w:sz w:val="24"/>
                <w:szCs w:val="24"/>
              </w:rPr>
            </w:pPr>
            <w:r w:rsidRPr="00EB26A3">
              <w:rPr>
                <w:rFonts w:eastAsia="Times New Roman" w:cs="Calibri"/>
                <w:color w:val="000000"/>
                <w:sz w:val="24"/>
                <w:szCs w:val="24"/>
              </w:rPr>
              <w:t>1.000</w:t>
            </w:r>
          </w:p>
        </w:tc>
      </w:tr>
    </w:tbl>
    <w:p w:rsidRPr="000E33B1" w:rsidR="001C02FC" w:rsidP="000E33B1" w:rsidRDefault="00262213" w14:paraId="20BE8C27" w14:textId="68774B31">
      <w:pPr>
        <w:pStyle w:val="ListParagraph"/>
        <w:spacing w:before="40"/>
        <w:ind w:left="1440" w:firstLine="0"/>
        <w:rPr>
          <w:sz w:val="20"/>
          <w:szCs w:val="16"/>
        </w:rPr>
      </w:pPr>
      <w:r w:rsidRPr="00862DEC">
        <w:rPr>
          <w:sz w:val="20"/>
          <w:szCs w:val="16"/>
        </w:rPr>
        <w:t>Source: DOT, Valuation of a Statistical Life Guidance, at 10.</w:t>
      </w:r>
    </w:p>
    <w:p w:rsidR="00223FCB" w:rsidP="00864718" w:rsidRDefault="00144617" w14:paraId="7ED6FAB5" w14:textId="73AD44BB">
      <w:pPr>
        <w:pStyle w:val="OP"/>
        <w:numPr>
          <w:ilvl w:val="1"/>
          <w:numId w:val="7"/>
        </w:numPr>
        <w:spacing w:before="120" w:after="120" w:line="240" w:lineRule="auto"/>
        <w:ind w:left="1181" w:right="1440" w:hanging="187"/>
      </w:pPr>
      <w:r>
        <w:t xml:space="preserve">Each IOU shall </w:t>
      </w:r>
      <w:r w:rsidRPr="00144617">
        <w:t xml:space="preserve">use the </w:t>
      </w:r>
      <w:r w:rsidR="00F40B9B">
        <w:t xml:space="preserve">most current version </w:t>
      </w:r>
      <w:r w:rsidRPr="00144617">
        <w:t xml:space="preserve">of the </w:t>
      </w:r>
      <w:r w:rsidRPr="00C81593" w:rsidR="00CA2374">
        <w:t>Lawrence Berkeley National Laboratory</w:t>
      </w:r>
      <w:r w:rsidRPr="00144617">
        <w:t xml:space="preserve"> </w:t>
      </w:r>
      <w:r w:rsidR="00CA2374">
        <w:t>(</w:t>
      </w:r>
      <w:r w:rsidRPr="00144617">
        <w:t>LBNL</w:t>
      </w:r>
      <w:r w:rsidR="00CA2374">
        <w:t>)</w:t>
      </w:r>
      <w:r w:rsidRPr="00144617">
        <w:t xml:space="preserve"> </w:t>
      </w:r>
      <w:r w:rsidR="0046425A">
        <w:t>Interruption Cost Estimate (</w:t>
      </w:r>
      <w:r w:rsidRPr="00144617">
        <w:t>ICE</w:t>
      </w:r>
      <w:r w:rsidR="0046425A">
        <w:t>)</w:t>
      </w:r>
      <w:r w:rsidRPr="00144617">
        <w:t xml:space="preserve"> Calculator to determine a standard dollar valuation of electric reliability risk for the Reliability </w:t>
      </w:r>
      <w:r w:rsidR="00447DC8">
        <w:t>Attribute</w:t>
      </w:r>
      <w:r w:rsidR="00F40B9B">
        <w:t xml:space="preserve"> included in Appendix A</w:t>
      </w:r>
      <w:r w:rsidRPr="00144617">
        <w:t>.</w:t>
      </w:r>
    </w:p>
    <w:p w:rsidR="00144617" w:rsidP="00864718" w:rsidRDefault="00946B83" w14:paraId="4F021AED" w14:textId="7F8C655E">
      <w:pPr>
        <w:pStyle w:val="OP"/>
        <w:numPr>
          <w:ilvl w:val="0"/>
          <w:numId w:val="14"/>
        </w:numPr>
        <w:spacing w:after="120" w:line="240" w:lineRule="auto"/>
        <w:ind w:right="1440" w:hanging="252"/>
      </w:pPr>
      <w:r>
        <w:t xml:space="preserve">If applicable, each IOU shall justify its choice </w:t>
      </w:r>
      <w:r w:rsidR="006D3B26">
        <w:t>of</w:t>
      </w:r>
      <w:r>
        <w:t xml:space="preserve"> </w:t>
      </w:r>
      <w:r w:rsidR="00470EE0">
        <w:t xml:space="preserve">an alternative model </w:t>
      </w:r>
      <w:r w:rsidR="00FA1271">
        <w:t xml:space="preserve">by providing an analysis </w:t>
      </w:r>
      <w:r w:rsidR="00223FCB">
        <w:t xml:space="preserve">comparing the results of </w:t>
      </w:r>
      <w:r w:rsidR="00D359D3">
        <w:t>its</w:t>
      </w:r>
      <w:r w:rsidR="00223FCB">
        <w:t xml:space="preserve"> preferred alternative model to the results using the ICE Calculator.</w:t>
      </w:r>
    </w:p>
    <w:p w:rsidRPr="00B5681C" w:rsidR="00EA1C53" w:rsidP="00864718" w:rsidRDefault="00EB4002" w14:paraId="78C98894" w14:textId="2E96B011">
      <w:pPr>
        <w:pStyle w:val="OP"/>
        <w:numPr>
          <w:ilvl w:val="0"/>
          <w:numId w:val="14"/>
        </w:numPr>
        <w:spacing w:after="120" w:line="240" w:lineRule="auto"/>
        <w:ind w:right="1440" w:hanging="252"/>
        <w:rPr>
          <w:rStyle w:val="normaltextrun"/>
        </w:rPr>
      </w:pPr>
      <w:r>
        <w:t xml:space="preserve">Each IOU shall </w:t>
      </w:r>
      <w:r>
        <w:rPr>
          <w:rStyle w:val="normaltextrun"/>
          <w:color w:val="000000"/>
          <w:szCs w:val="26"/>
          <w:bdr w:val="none" w:color="auto" w:sz="0" w:space="0" w:frame="1"/>
        </w:rPr>
        <w:t xml:space="preserve">participate in the customer survey process </w:t>
      </w:r>
      <w:r w:rsidRPr="004D6E3F">
        <w:t>needed</w:t>
      </w:r>
      <w:r>
        <w:rPr>
          <w:rStyle w:val="normaltextrun"/>
          <w:color w:val="000000"/>
          <w:szCs w:val="26"/>
          <w:bdr w:val="none" w:color="auto" w:sz="0" w:space="0" w:frame="1"/>
        </w:rPr>
        <w:t xml:space="preserve"> to </w:t>
      </w:r>
      <w:r w:rsidRPr="004D6E3F">
        <w:t>incorporate</w:t>
      </w:r>
      <w:r>
        <w:rPr>
          <w:rStyle w:val="normaltextrun"/>
          <w:color w:val="000000"/>
          <w:szCs w:val="26"/>
          <w:bdr w:val="none" w:color="auto" w:sz="0" w:space="0" w:frame="1"/>
        </w:rPr>
        <w:t xml:space="preserve"> California data in</w:t>
      </w:r>
      <w:r w:rsidR="007F7E3B">
        <w:rPr>
          <w:rStyle w:val="normaltextrun"/>
          <w:color w:val="000000"/>
          <w:szCs w:val="26"/>
          <w:bdr w:val="none" w:color="auto" w:sz="0" w:space="0" w:frame="1"/>
        </w:rPr>
        <w:t>to</w:t>
      </w:r>
      <w:r>
        <w:rPr>
          <w:rStyle w:val="normaltextrun"/>
          <w:color w:val="000000"/>
          <w:szCs w:val="26"/>
          <w:bdr w:val="none" w:color="auto" w:sz="0" w:space="0" w:frame="1"/>
        </w:rPr>
        <w:t xml:space="preserve"> the ICE 2.0 model</w:t>
      </w:r>
      <w:r w:rsidR="00A467CE">
        <w:rPr>
          <w:rStyle w:val="normaltextrun"/>
          <w:color w:val="000000"/>
          <w:szCs w:val="26"/>
          <w:bdr w:val="none" w:color="auto" w:sz="0" w:space="0" w:frame="1"/>
        </w:rPr>
        <w:t xml:space="preserve">. </w:t>
      </w:r>
    </w:p>
    <w:p w:rsidR="00B5681C" w:rsidP="00864718" w:rsidRDefault="00B5681C" w14:paraId="47876B4B" w14:textId="20A7AA61">
      <w:pPr>
        <w:pStyle w:val="OP"/>
        <w:numPr>
          <w:ilvl w:val="0"/>
          <w:numId w:val="14"/>
        </w:numPr>
        <w:spacing w:after="120" w:line="240" w:lineRule="auto"/>
        <w:ind w:right="1440" w:hanging="252"/>
      </w:pPr>
      <w:r>
        <w:rPr>
          <w:rStyle w:val="normaltextrun"/>
          <w:color w:val="000000"/>
          <w:szCs w:val="26"/>
          <w:bdr w:val="none" w:color="auto" w:sz="0" w:space="0" w:frame="1"/>
        </w:rPr>
        <w:t xml:space="preserve">Each IOU </w:t>
      </w:r>
      <w:r w:rsidR="00A467CE">
        <w:rPr>
          <w:rStyle w:val="normaltextrun"/>
          <w:color w:val="000000"/>
          <w:szCs w:val="26"/>
          <w:bdr w:val="none" w:color="auto" w:sz="0" w:space="0" w:frame="1"/>
        </w:rPr>
        <w:t>is authorized to</w:t>
      </w:r>
      <w:r>
        <w:rPr>
          <w:rStyle w:val="normaltextrun"/>
          <w:color w:val="000000"/>
          <w:szCs w:val="26"/>
          <w:bdr w:val="none" w:color="auto" w:sz="0" w:space="0" w:frame="1"/>
        </w:rPr>
        <w:t xml:space="preserve"> </w:t>
      </w:r>
      <w:r w:rsidR="00EC105E">
        <w:rPr>
          <w:rStyle w:val="normaltextrun"/>
          <w:color w:val="000000"/>
          <w:szCs w:val="26"/>
          <w:bdr w:val="none" w:color="auto" w:sz="0" w:space="0" w:frame="1"/>
        </w:rPr>
        <w:t xml:space="preserve">submit a Tier 1 advice letter establishing a memorandum account </w:t>
      </w:r>
      <w:r w:rsidR="00D41874">
        <w:rPr>
          <w:rStyle w:val="normaltextrun"/>
          <w:color w:val="000000"/>
          <w:szCs w:val="26"/>
          <w:bdr w:val="none" w:color="auto" w:sz="0" w:space="0" w:frame="1"/>
        </w:rPr>
        <w:t xml:space="preserve">to track the costs of </w:t>
      </w:r>
      <w:r w:rsidR="00EC105E">
        <w:t>p</w:t>
      </w:r>
      <w:r w:rsidRPr="004D6E3F">
        <w:t>articipati</w:t>
      </w:r>
      <w:r w:rsidR="00D41874">
        <w:t>ng</w:t>
      </w:r>
      <w:r w:rsidRPr="00B5681C">
        <w:rPr>
          <w:rStyle w:val="normaltextrun"/>
          <w:color w:val="000000"/>
          <w:szCs w:val="26"/>
          <w:bdr w:val="none" w:color="auto" w:sz="0" w:space="0" w:frame="1"/>
        </w:rPr>
        <w:t xml:space="preserve"> in ICE 2.0 </w:t>
      </w:r>
      <w:r w:rsidR="003E1945">
        <w:rPr>
          <w:rStyle w:val="normaltextrun"/>
          <w:color w:val="000000"/>
          <w:szCs w:val="26"/>
          <w:bdr w:val="none" w:color="auto" w:sz="0" w:space="0" w:frame="1"/>
        </w:rPr>
        <w:t xml:space="preserve">Calculator </w:t>
      </w:r>
      <w:r w:rsidR="00EC105E">
        <w:rPr>
          <w:rStyle w:val="normaltextrun"/>
          <w:color w:val="000000"/>
          <w:szCs w:val="26"/>
          <w:bdr w:val="none" w:color="auto" w:sz="0" w:space="0" w:frame="1"/>
        </w:rPr>
        <w:t>development</w:t>
      </w:r>
      <w:r w:rsidR="006B352F">
        <w:rPr>
          <w:rStyle w:val="normaltextrun"/>
          <w:color w:val="000000"/>
          <w:szCs w:val="26"/>
          <w:bdr w:val="none" w:color="auto" w:sz="0" w:space="0" w:frame="1"/>
        </w:rPr>
        <w:t xml:space="preserve"> for costs </w:t>
      </w:r>
      <w:r w:rsidRPr="00B5681C">
        <w:rPr>
          <w:rStyle w:val="normaltextrun"/>
          <w:color w:val="000000"/>
          <w:szCs w:val="26"/>
          <w:bdr w:val="none" w:color="auto" w:sz="0" w:space="0" w:frame="1"/>
        </w:rPr>
        <w:t>up to $600,000</w:t>
      </w:r>
      <w:r w:rsidR="00BD2024">
        <w:rPr>
          <w:rStyle w:val="normaltextrun"/>
          <w:color w:val="000000"/>
          <w:szCs w:val="26"/>
          <w:bdr w:val="none" w:color="auto" w:sz="0" w:space="0" w:frame="1"/>
        </w:rPr>
        <w:t>,</w:t>
      </w:r>
      <w:r w:rsidR="00EC105E">
        <w:rPr>
          <w:rStyle w:val="normaltextrun"/>
          <w:color w:val="000000"/>
          <w:szCs w:val="26"/>
          <w:bdr w:val="none" w:color="auto" w:sz="0" w:space="0" w:frame="1"/>
        </w:rPr>
        <w:t xml:space="preserve"> plus an additional 15</w:t>
      </w:r>
      <w:r w:rsidR="006B352F">
        <w:rPr>
          <w:rStyle w:val="normaltextrun"/>
          <w:color w:val="000000"/>
          <w:szCs w:val="26"/>
          <w:bdr w:val="none" w:color="auto" w:sz="0" w:space="0" w:frame="1"/>
        </w:rPr>
        <w:t xml:space="preserve"> percent for potential incremental costs, and to seek recovery of these costs at a later date</w:t>
      </w:r>
      <w:r w:rsidRPr="00B5681C">
        <w:rPr>
          <w:rStyle w:val="normaltextrun"/>
          <w:color w:val="000000"/>
          <w:szCs w:val="26"/>
          <w:bdr w:val="none" w:color="auto" w:sz="0" w:space="0" w:frame="1"/>
        </w:rPr>
        <w:t>.</w:t>
      </w:r>
    </w:p>
    <w:p w:rsidR="002630CB" w:rsidP="00864718" w:rsidRDefault="001E455B" w14:paraId="71E5922E" w14:textId="1E23C3C9">
      <w:pPr>
        <w:pStyle w:val="OP"/>
        <w:numPr>
          <w:ilvl w:val="1"/>
          <w:numId w:val="7"/>
        </w:numPr>
        <w:spacing w:after="120" w:line="240" w:lineRule="auto"/>
        <w:ind w:left="1170" w:right="1440" w:hanging="180"/>
      </w:pPr>
      <w:r>
        <w:t xml:space="preserve">Each IOU shall </w:t>
      </w:r>
      <w:r w:rsidRPr="001E455B">
        <w:t xml:space="preserve">apply a dollar value for gas reliability based on the implied value from their </w:t>
      </w:r>
      <w:r w:rsidR="00AB70D1">
        <w:t>most recent</w:t>
      </w:r>
      <w:r w:rsidR="0046425A">
        <w:t xml:space="preserve"> </w:t>
      </w:r>
      <w:r w:rsidR="00447DC8">
        <w:t>Multi-Attribute Value Function</w:t>
      </w:r>
      <w:r w:rsidRPr="001E455B">
        <w:t xml:space="preserve"> </w:t>
      </w:r>
      <w:r w:rsidRPr="001E455B" w:rsidR="00D4349C">
        <w:t>Risk Score</w:t>
      </w:r>
      <w:r w:rsidRPr="001E455B">
        <w:t xml:space="preserve"> calculation</w:t>
      </w:r>
      <w:r w:rsidR="006C1C0D">
        <w:t xml:space="preserve"> presented in their most recent RAMP</w:t>
      </w:r>
      <w:r w:rsidR="00FA4985">
        <w:t xml:space="preserve"> or shall </w:t>
      </w:r>
      <w:r w:rsidRPr="00FA4985" w:rsidR="00FA4985">
        <w:t>justify its choice of an alternative model by providing an analysis comparing the results of its preferred alternative model to the results using the implied values</w:t>
      </w:r>
      <w:r w:rsidR="0055295A">
        <w:t>. If using the implied value from its most recent RAMP</w:t>
      </w:r>
      <w:r w:rsidR="00A4032E">
        <w:t>:</w:t>
      </w:r>
    </w:p>
    <w:p w:rsidR="00965197" w:rsidP="00864718" w:rsidRDefault="00965197" w14:paraId="753E13A5" w14:textId="77777777">
      <w:pPr>
        <w:pStyle w:val="OP"/>
        <w:numPr>
          <w:ilvl w:val="0"/>
          <w:numId w:val="15"/>
        </w:numPr>
        <w:spacing w:after="120" w:line="240" w:lineRule="auto"/>
        <w:ind w:right="1440" w:hanging="252"/>
      </w:pPr>
      <w:r>
        <w:t>For PG&amp;E, use the 2020 RAMP filing;</w:t>
      </w:r>
    </w:p>
    <w:p w:rsidR="00965197" w:rsidP="00864718" w:rsidRDefault="00965197" w14:paraId="69849F45" w14:textId="77777777">
      <w:pPr>
        <w:pStyle w:val="OP"/>
        <w:numPr>
          <w:ilvl w:val="0"/>
          <w:numId w:val="15"/>
        </w:numPr>
        <w:spacing w:after="120" w:line="240" w:lineRule="auto"/>
        <w:ind w:right="1440" w:hanging="252"/>
      </w:pPr>
      <w:r>
        <w:t>For SDG&amp;E and SoCalGas, use the 2021 RAMP filings; and</w:t>
      </w:r>
    </w:p>
    <w:p w:rsidR="00965197" w:rsidP="00864718" w:rsidRDefault="00965197" w14:paraId="1FDEFD80" w14:textId="77777777">
      <w:pPr>
        <w:pStyle w:val="OP"/>
        <w:numPr>
          <w:ilvl w:val="0"/>
          <w:numId w:val="15"/>
        </w:numPr>
        <w:spacing w:after="120" w:line="240" w:lineRule="auto"/>
        <w:ind w:right="1440" w:hanging="252"/>
      </w:pPr>
      <w:r>
        <w:t>For SCE, use the 2022 RAMP filing.</w:t>
      </w:r>
    </w:p>
    <w:p w:rsidR="00F22BD6" w:rsidP="00864718" w:rsidRDefault="00F22BD6" w14:paraId="789F2E58" w14:textId="5A89B32F">
      <w:pPr>
        <w:pStyle w:val="OP"/>
        <w:numPr>
          <w:ilvl w:val="1"/>
          <w:numId w:val="7"/>
        </w:numPr>
        <w:spacing w:after="120" w:line="240" w:lineRule="auto"/>
        <w:ind w:left="1170" w:right="1440" w:hanging="180"/>
      </w:pPr>
      <w:r>
        <w:t xml:space="preserve">Each IOU </w:t>
      </w:r>
      <w:r w:rsidR="005349D2">
        <w:t xml:space="preserve">shall </w:t>
      </w:r>
      <w:r w:rsidR="00EE1967">
        <w:t>no longer a</w:t>
      </w:r>
      <w:r w:rsidR="00593364">
        <w:t xml:space="preserve">ssign weights and ranges to </w:t>
      </w:r>
      <w:r w:rsidRPr="005349D2" w:rsidR="005349D2">
        <w:t>Attributes</w:t>
      </w:r>
      <w:r w:rsidR="00047191">
        <w:t xml:space="preserve"> in the RDF</w:t>
      </w:r>
      <w:r w:rsidR="00593364">
        <w:t xml:space="preserve">, which </w:t>
      </w:r>
      <w:r w:rsidRPr="005349D2" w:rsidR="005349D2">
        <w:t xml:space="preserve">eliminates </w:t>
      </w:r>
      <w:r w:rsidR="00A67ED9">
        <w:t xml:space="preserve">application of the </w:t>
      </w:r>
      <w:r w:rsidRPr="005349D2" w:rsidR="005349D2">
        <w:t xml:space="preserve">minimum 40 percent Safety weighting found in the </w:t>
      </w:r>
      <w:r w:rsidR="002B0A15">
        <w:t>D</w:t>
      </w:r>
      <w:r w:rsidR="000E33B1">
        <w:t>ecision </w:t>
      </w:r>
      <w:r w:rsidR="002B0A15">
        <w:t>18</w:t>
      </w:r>
      <w:r w:rsidR="000E33B1">
        <w:noBreakHyphen/>
      </w:r>
      <w:r w:rsidR="002B0A15">
        <w:t>12-014</w:t>
      </w:r>
      <w:r w:rsidRPr="005349D2" w:rsidR="005349D2">
        <w:t xml:space="preserve"> Ordering Paragraph</w:t>
      </w:r>
      <w:r w:rsidR="000E33B1">
        <w:t> </w:t>
      </w:r>
      <w:r w:rsidRPr="005349D2" w:rsidR="005349D2">
        <w:t>2</w:t>
      </w:r>
      <w:r w:rsidR="00047191">
        <w:t>.</w:t>
      </w:r>
    </w:p>
    <w:p w:rsidR="00E30CCF" w:rsidP="00864718" w:rsidRDefault="00DC2D93" w14:paraId="5606417C" w14:textId="2ACECCBF">
      <w:pPr>
        <w:pStyle w:val="CoL"/>
        <w:numPr>
          <w:ilvl w:val="0"/>
          <w:numId w:val="7"/>
        </w:numPr>
      </w:pPr>
      <w:r>
        <w:t xml:space="preserve">Pacific Gas and Electric Company </w:t>
      </w:r>
      <w:r w:rsidR="00993669">
        <w:t xml:space="preserve">shall </w:t>
      </w:r>
      <w:r w:rsidR="00D407BD">
        <w:t xml:space="preserve">conduct a </w:t>
      </w:r>
      <w:r w:rsidR="00C81E45">
        <w:t>Cost-Benefit Approach</w:t>
      </w:r>
      <w:r w:rsidR="00D407BD">
        <w:t xml:space="preserve"> Demonstration Workshop</w:t>
      </w:r>
      <w:r w:rsidR="003A2D62">
        <w:t xml:space="preserve"> as described in this decision </w:t>
      </w:r>
      <w:r w:rsidR="00A67ED9">
        <w:t xml:space="preserve">at least </w:t>
      </w:r>
      <w:r w:rsidR="003E5CCE">
        <w:t>30</w:t>
      </w:r>
      <w:r w:rsidR="000E33B1">
        <w:t> </w:t>
      </w:r>
      <w:r w:rsidR="003E5CCE">
        <w:t>days</w:t>
      </w:r>
      <w:r w:rsidR="00EB1FF7">
        <w:t xml:space="preserve"> prior to </w:t>
      </w:r>
      <w:r>
        <w:t>its</w:t>
      </w:r>
      <w:r w:rsidR="00EB1FF7">
        <w:t xml:space="preserve"> 2024 </w:t>
      </w:r>
      <w:r w:rsidR="00CE12B9">
        <w:t xml:space="preserve">Risk Assessment and Mitigation Phase </w:t>
      </w:r>
      <w:r w:rsidR="00EB1FF7">
        <w:t>filing.</w:t>
      </w:r>
    </w:p>
    <w:p w:rsidR="006505F2" w:rsidP="00864718" w:rsidRDefault="00D976D4" w14:paraId="032D68C1" w14:textId="4CB9D57C">
      <w:pPr>
        <w:pStyle w:val="CoL"/>
        <w:numPr>
          <w:ilvl w:val="0"/>
          <w:numId w:val="7"/>
        </w:numPr>
      </w:pPr>
      <w:r>
        <w:t>The</w:t>
      </w:r>
      <w:r w:rsidR="00A10262">
        <w:t xml:space="preserve"> </w:t>
      </w:r>
      <w:r w:rsidR="009C6A5A">
        <w:t>Risk-Based Decision-Making Framework (RDF) Technical Working</w:t>
      </w:r>
      <w:r w:rsidR="00E04DC7">
        <w:t xml:space="preserve"> </w:t>
      </w:r>
      <w:r w:rsidR="009C6A5A">
        <w:t>Group (TWG)</w:t>
      </w:r>
      <w:r w:rsidR="003F5A58">
        <w:t xml:space="preserve"> </w:t>
      </w:r>
      <w:r>
        <w:t xml:space="preserve">authorized </w:t>
      </w:r>
      <w:r w:rsidR="003F5A58">
        <w:t xml:space="preserve">in </w:t>
      </w:r>
      <w:r>
        <w:t>D</w:t>
      </w:r>
      <w:r w:rsidR="000E33B1">
        <w:t>ecision </w:t>
      </w:r>
      <w:r w:rsidRPr="00CC34B2" w:rsidR="007127B6">
        <w:t>21</w:t>
      </w:r>
      <w:r w:rsidR="000E33B1">
        <w:noBreakHyphen/>
      </w:r>
      <w:r w:rsidRPr="00CC34B2" w:rsidR="007127B6">
        <w:t>11</w:t>
      </w:r>
      <w:r w:rsidR="000E33B1">
        <w:noBreakHyphen/>
      </w:r>
      <w:r w:rsidRPr="00CC34B2" w:rsidR="007127B6">
        <w:t>009</w:t>
      </w:r>
      <w:r w:rsidR="001A7AD9">
        <w:t xml:space="preserve"> </w:t>
      </w:r>
      <w:r>
        <w:t>Ordering Paragraph</w:t>
      </w:r>
      <w:r w:rsidR="000E33B1">
        <w:t> </w:t>
      </w:r>
      <w:r w:rsidR="00B207EE">
        <w:t>2</w:t>
      </w:r>
      <w:r>
        <w:t>,</w:t>
      </w:r>
      <w:r w:rsidR="009C6A5A">
        <w:t xml:space="preserve"> is authorized to:</w:t>
      </w:r>
    </w:p>
    <w:p w:rsidRPr="00E06253" w:rsidR="00E06253" w:rsidP="00864718" w:rsidRDefault="00BC56A0" w14:paraId="248E7D14" w14:textId="4EF0F57B">
      <w:pPr>
        <w:pStyle w:val="CoL"/>
        <w:numPr>
          <w:ilvl w:val="1"/>
          <w:numId w:val="7"/>
        </w:numPr>
        <w:spacing w:after="120" w:line="240" w:lineRule="auto"/>
        <w:ind w:left="1170" w:right="1440" w:hanging="180"/>
        <w:rPr>
          <w:rStyle w:val="normaltextrun"/>
        </w:rPr>
      </w:pPr>
      <w:r>
        <w:rPr>
          <w:rStyle w:val="normaltextrun"/>
        </w:rPr>
        <w:t xml:space="preserve">Prepare and propose </w:t>
      </w:r>
      <w:r w:rsidR="003F5A58">
        <w:rPr>
          <w:rStyle w:val="normaltextrun"/>
        </w:rPr>
        <w:t>recommendations regarding</w:t>
      </w:r>
      <w:r w:rsidR="007A0DD0">
        <w:rPr>
          <w:rStyle w:val="normaltextrun"/>
        </w:rPr>
        <w:t xml:space="preserve"> </w:t>
      </w:r>
      <w:r w:rsidRPr="00E06253" w:rsidR="00E06253">
        <w:rPr>
          <w:rStyle w:val="normaltextrun"/>
        </w:rPr>
        <w:t xml:space="preserve">the application of </w:t>
      </w:r>
      <w:r w:rsidR="00E465D0">
        <w:rPr>
          <w:rStyle w:val="normaltextrun"/>
        </w:rPr>
        <w:t>R</w:t>
      </w:r>
      <w:r w:rsidRPr="00E06253" w:rsidR="00E06253">
        <w:rPr>
          <w:rStyle w:val="normaltextrun"/>
        </w:rPr>
        <w:t xml:space="preserve">isk </w:t>
      </w:r>
      <w:r w:rsidR="00E465D0">
        <w:rPr>
          <w:rStyle w:val="normaltextrun"/>
        </w:rPr>
        <w:t>A</w:t>
      </w:r>
      <w:r w:rsidRPr="00E06253" w:rsidR="00E06253">
        <w:rPr>
          <w:rStyle w:val="normaltextrun"/>
        </w:rPr>
        <w:t xml:space="preserve">ttitude, </w:t>
      </w:r>
      <w:r w:rsidR="00E465D0">
        <w:rPr>
          <w:rStyle w:val="normaltextrun"/>
        </w:rPr>
        <w:t>R</w:t>
      </w:r>
      <w:r w:rsidRPr="00E06253" w:rsidR="00E06253">
        <w:rPr>
          <w:rStyle w:val="normaltextrun"/>
        </w:rPr>
        <w:t xml:space="preserve">isk </w:t>
      </w:r>
      <w:r w:rsidR="00E465D0">
        <w:rPr>
          <w:rStyle w:val="normaltextrun"/>
        </w:rPr>
        <w:t>T</w:t>
      </w:r>
      <w:r w:rsidRPr="00E06253" w:rsidR="00E06253">
        <w:rPr>
          <w:rStyle w:val="normaltextrun"/>
        </w:rPr>
        <w:t>olerance, uncertainty, and tail risks</w:t>
      </w:r>
      <w:r w:rsidR="00D56D53">
        <w:rPr>
          <w:rStyle w:val="normaltextrun"/>
        </w:rPr>
        <w:t xml:space="preserve"> in the RDF</w:t>
      </w:r>
      <w:r w:rsidR="00BF1A15">
        <w:rPr>
          <w:rStyle w:val="normaltextrun"/>
        </w:rPr>
        <w:t>;</w:t>
      </w:r>
    </w:p>
    <w:p w:rsidRPr="00E04DC7" w:rsidR="00E04DC7" w:rsidP="00864718" w:rsidRDefault="004F6034" w14:paraId="4FC15A73" w14:textId="43B2BD33">
      <w:pPr>
        <w:pStyle w:val="CoL"/>
        <w:numPr>
          <w:ilvl w:val="1"/>
          <w:numId w:val="7"/>
        </w:numPr>
        <w:spacing w:after="120" w:line="240" w:lineRule="auto"/>
        <w:ind w:left="1170" w:right="1440" w:hanging="180"/>
        <w:rPr>
          <w:rStyle w:val="eop"/>
        </w:rPr>
      </w:pPr>
      <w:r>
        <w:rPr>
          <w:rStyle w:val="normaltextrun"/>
          <w:color w:val="000000"/>
          <w:szCs w:val="26"/>
          <w:shd w:val="clear" w:color="auto" w:fill="FFFFFF"/>
        </w:rPr>
        <w:t>E</w:t>
      </w:r>
      <w:r w:rsidR="00E04DC7">
        <w:rPr>
          <w:rStyle w:val="normaltextrun"/>
          <w:color w:val="000000"/>
          <w:szCs w:val="26"/>
          <w:shd w:val="clear" w:color="auto" w:fill="FFFFFF"/>
        </w:rPr>
        <w:t xml:space="preserve">xplore ways to identify a suitable standard that could be used for </w:t>
      </w:r>
      <w:r w:rsidRPr="004D6E3F" w:rsidR="00E04DC7">
        <w:rPr>
          <w:rStyle w:val="normaltextrun"/>
        </w:rPr>
        <w:t>establishing</w:t>
      </w:r>
      <w:r w:rsidR="00E04DC7">
        <w:rPr>
          <w:rStyle w:val="normaltextrun"/>
          <w:color w:val="000000"/>
          <w:szCs w:val="26"/>
          <w:shd w:val="clear" w:color="auto" w:fill="FFFFFF"/>
        </w:rPr>
        <w:t xml:space="preserve"> a dollar valuation for gas reliability</w:t>
      </w:r>
      <w:r w:rsidR="00BF1A15">
        <w:rPr>
          <w:rStyle w:val="eop"/>
          <w:color w:val="000000"/>
          <w:szCs w:val="26"/>
          <w:shd w:val="clear" w:color="auto" w:fill="FFFFFF"/>
        </w:rPr>
        <w:t>; and</w:t>
      </w:r>
    </w:p>
    <w:p w:rsidR="00E04DC7" w:rsidP="00864718" w:rsidRDefault="00134E05" w14:paraId="5C027BF9" w14:textId="4BBB5AED">
      <w:pPr>
        <w:pStyle w:val="CoL"/>
        <w:numPr>
          <w:ilvl w:val="1"/>
          <w:numId w:val="7"/>
        </w:numPr>
        <w:spacing w:after="120" w:line="240" w:lineRule="auto"/>
        <w:ind w:left="1170" w:right="1440" w:hanging="180"/>
      </w:pPr>
      <w:r>
        <w:rPr>
          <w:rStyle w:val="normaltextrun"/>
          <w:color w:val="000000"/>
          <w:szCs w:val="26"/>
          <w:shd w:val="clear" w:color="auto" w:fill="FFFFFF"/>
        </w:rPr>
        <w:t>Explore</w:t>
      </w:r>
      <w:r w:rsidR="00883951">
        <w:rPr>
          <w:rStyle w:val="normaltextrun"/>
          <w:color w:val="000000"/>
          <w:szCs w:val="26"/>
          <w:shd w:val="clear" w:color="auto" w:fill="FFFFFF"/>
        </w:rPr>
        <w:t xml:space="preserve"> if there is a need for, and, if so, </w:t>
      </w:r>
      <w:r>
        <w:rPr>
          <w:rStyle w:val="normaltextrun"/>
          <w:color w:val="000000"/>
          <w:szCs w:val="26"/>
          <w:shd w:val="clear" w:color="auto" w:fill="FFFFFF"/>
        </w:rPr>
        <w:t xml:space="preserve">develop </w:t>
      </w:r>
      <w:r w:rsidRPr="004D6E3F" w:rsidR="005E29FD">
        <w:rPr>
          <w:rStyle w:val="normaltextrun"/>
        </w:rPr>
        <w:t>recommend</w:t>
      </w:r>
      <w:r w:rsidRPr="004D6E3F">
        <w:rPr>
          <w:rStyle w:val="normaltextrun"/>
        </w:rPr>
        <w:t>ations</w:t>
      </w:r>
      <w:r>
        <w:rPr>
          <w:rStyle w:val="normaltextrun"/>
          <w:color w:val="000000"/>
          <w:szCs w:val="26"/>
          <w:shd w:val="clear" w:color="auto" w:fill="FFFFFF"/>
        </w:rPr>
        <w:t xml:space="preserve"> for</w:t>
      </w:r>
      <w:r w:rsidR="006B00A0">
        <w:rPr>
          <w:rStyle w:val="normaltextrun"/>
          <w:color w:val="000000"/>
          <w:szCs w:val="26"/>
          <w:shd w:val="clear" w:color="auto" w:fill="FFFFFF"/>
        </w:rPr>
        <w:t xml:space="preserve"> a formal </w:t>
      </w:r>
      <w:r w:rsidRPr="004D6E3F" w:rsidR="006B00A0">
        <w:rPr>
          <w:rStyle w:val="normaltextrun"/>
        </w:rPr>
        <w:t>process</w:t>
      </w:r>
      <w:r w:rsidR="006B00A0">
        <w:rPr>
          <w:rStyle w:val="normaltextrun"/>
          <w:color w:val="000000"/>
          <w:szCs w:val="26"/>
          <w:shd w:val="clear" w:color="auto" w:fill="FFFFFF"/>
        </w:rPr>
        <w:t xml:space="preserve"> for authorizing exception</w:t>
      </w:r>
      <w:r w:rsidR="00BF7BBA">
        <w:rPr>
          <w:rStyle w:val="normaltextrun"/>
          <w:color w:val="000000"/>
          <w:szCs w:val="26"/>
          <w:shd w:val="clear" w:color="auto" w:fill="FFFFFF"/>
        </w:rPr>
        <w:t>s</w:t>
      </w:r>
      <w:r w:rsidR="006B00A0">
        <w:rPr>
          <w:rStyle w:val="normaltextrun"/>
          <w:color w:val="000000"/>
          <w:szCs w:val="26"/>
          <w:shd w:val="clear" w:color="auto" w:fill="FFFFFF"/>
        </w:rPr>
        <w:t xml:space="preserve"> </w:t>
      </w:r>
      <w:r w:rsidRPr="004D6E3F" w:rsidR="006B00A0">
        <w:rPr>
          <w:rStyle w:val="normaltextrun"/>
        </w:rPr>
        <w:t>to</w:t>
      </w:r>
      <w:r w:rsidR="006B00A0">
        <w:rPr>
          <w:rStyle w:val="normaltextrun"/>
          <w:color w:val="000000"/>
          <w:szCs w:val="26"/>
          <w:shd w:val="clear" w:color="auto" w:fill="FFFFFF"/>
        </w:rPr>
        <w:t xml:space="preserve"> the </w:t>
      </w:r>
      <w:r>
        <w:rPr>
          <w:rStyle w:val="normaltextrun"/>
          <w:color w:val="000000"/>
          <w:szCs w:val="26"/>
          <w:shd w:val="clear" w:color="auto" w:fill="FFFFFF"/>
        </w:rPr>
        <w:t>required</w:t>
      </w:r>
      <w:r w:rsidR="006B00A0">
        <w:rPr>
          <w:rStyle w:val="normaltextrun"/>
          <w:color w:val="000000"/>
          <w:szCs w:val="26"/>
          <w:shd w:val="clear" w:color="auto" w:fill="FFFFFF"/>
        </w:rPr>
        <w:t xml:space="preserve"> standard dollar valuations </w:t>
      </w:r>
      <w:r w:rsidR="00E71667">
        <w:rPr>
          <w:rStyle w:val="normaltextrun"/>
          <w:color w:val="000000"/>
          <w:szCs w:val="26"/>
          <w:shd w:val="clear" w:color="auto" w:fill="FFFFFF"/>
        </w:rPr>
        <w:t xml:space="preserve">for consideration later in </w:t>
      </w:r>
      <w:r w:rsidR="006B00A0">
        <w:rPr>
          <w:rStyle w:val="normaltextrun"/>
          <w:color w:val="000000"/>
          <w:szCs w:val="26"/>
          <w:shd w:val="clear" w:color="auto" w:fill="FFFFFF"/>
        </w:rPr>
        <w:t xml:space="preserve">this </w:t>
      </w:r>
      <w:r w:rsidR="00F57A5F">
        <w:rPr>
          <w:rStyle w:val="normaltextrun"/>
          <w:color w:val="000000"/>
          <w:szCs w:val="26"/>
          <w:shd w:val="clear" w:color="auto" w:fill="FFFFFF"/>
        </w:rPr>
        <w:t xml:space="preserve">or a successor </w:t>
      </w:r>
      <w:r w:rsidR="006B00A0">
        <w:rPr>
          <w:rStyle w:val="normaltextrun"/>
          <w:color w:val="000000"/>
          <w:szCs w:val="26"/>
          <w:shd w:val="clear" w:color="auto" w:fill="FFFFFF"/>
        </w:rPr>
        <w:t>proceeding.</w:t>
      </w:r>
      <w:r w:rsidR="006B00A0">
        <w:rPr>
          <w:rStyle w:val="eop"/>
          <w:color w:val="000000"/>
          <w:szCs w:val="26"/>
          <w:shd w:val="clear" w:color="auto" w:fill="FFFFFF"/>
        </w:rPr>
        <w:t> </w:t>
      </w:r>
    </w:p>
    <w:p w:rsidRPr="00ED1A1E" w:rsidR="008038DD" w:rsidP="00864718" w:rsidRDefault="00AD74F3" w14:paraId="229BDF48" w14:textId="2D2492CC">
      <w:pPr>
        <w:pStyle w:val="CoL"/>
        <w:numPr>
          <w:ilvl w:val="0"/>
          <w:numId w:val="7"/>
        </w:numPr>
      </w:pPr>
      <w:r>
        <w:t xml:space="preserve">Pacific Gas and Electric Company (PG&amp;E), Southern California Edison Company (SCE), Southern California Gas Company (SoCalGas), and San Diego Gas &amp; Electric Company (SDG&amp;E) (collectively investor-owned utilities or IOUs) </w:t>
      </w:r>
      <w:r w:rsidRPr="00ED1A1E" w:rsidR="008038DD">
        <w:t xml:space="preserve"> shall </w:t>
      </w:r>
      <w:r w:rsidR="00BF1A15">
        <w:t xml:space="preserve">each </w:t>
      </w:r>
      <w:r w:rsidRPr="00ED1A1E" w:rsidR="008038DD">
        <w:t xml:space="preserve">conduct an Environmental and Social Justice </w:t>
      </w:r>
      <w:r w:rsidR="00F92F9B">
        <w:t>(ESJ)</w:t>
      </w:r>
      <w:r w:rsidRPr="00ED1A1E" w:rsidR="008038DD">
        <w:t xml:space="preserve"> Pilot Study that includes consideration of Disadvantaged and Vulnerable Communities (DVCs)</w:t>
      </w:r>
      <w:r w:rsidR="00277885">
        <w:t xml:space="preserve"> </w:t>
      </w:r>
      <w:r w:rsidR="00AD5B3B">
        <w:t xml:space="preserve">as defined in this decision and </w:t>
      </w:r>
      <w:r w:rsidRPr="00ED1A1E" w:rsidR="00AD5B3B">
        <w:t xml:space="preserve">shall </w:t>
      </w:r>
      <w:r w:rsidR="00AD5B3B">
        <w:t>file t</w:t>
      </w:r>
      <w:r w:rsidRPr="00ED1A1E" w:rsidR="00AD5B3B">
        <w:t>he results of the</w:t>
      </w:r>
      <w:r w:rsidR="00AD5B3B">
        <w:t>ir</w:t>
      </w:r>
      <w:r w:rsidRPr="00ED1A1E" w:rsidR="00AD5B3B">
        <w:t xml:space="preserve"> </w:t>
      </w:r>
      <w:r w:rsidR="00201F59">
        <w:t>Pilot</w:t>
      </w:r>
      <w:r w:rsidRPr="00ED1A1E" w:rsidR="00AD5B3B">
        <w:t xml:space="preserve"> stud</w:t>
      </w:r>
      <w:r w:rsidR="00AD5B3B">
        <w:t>ies</w:t>
      </w:r>
      <w:r w:rsidRPr="00ED1A1E" w:rsidR="00AD5B3B">
        <w:t xml:space="preserve"> </w:t>
      </w:r>
      <w:r w:rsidR="003F439D">
        <w:t xml:space="preserve">as described in this decision </w:t>
      </w:r>
      <w:r w:rsidRPr="00ED1A1E" w:rsidR="00AD5B3B">
        <w:t xml:space="preserve">with their next </w:t>
      </w:r>
      <w:r w:rsidR="00A32ACB">
        <w:t>Risk Assessment Mitigation Phase</w:t>
      </w:r>
      <w:r w:rsidRPr="00ED1A1E" w:rsidR="00AD5B3B">
        <w:t xml:space="preserve"> </w:t>
      </w:r>
      <w:r w:rsidR="00A32ACB">
        <w:t>(</w:t>
      </w:r>
      <w:r w:rsidRPr="00ED1A1E" w:rsidR="00AD5B3B">
        <w:t>RAMP</w:t>
      </w:r>
      <w:r w:rsidR="00A32ACB">
        <w:t>)</w:t>
      </w:r>
      <w:r w:rsidRPr="00ED1A1E" w:rsidR="00AD5B3B">
        <w:t xml:space="preserve"> </w:t>
      </w:r>
      <w:r w:rsidR="00BF1A15">
        <w:t>filing</w:t>
      </w:r>
      <w:r w:rsidRPr="00ED1A1E" w:rsidR="008038DD">
        <w:t xml:space="preserve">. </w:t>
      </w:r>
      <w:r w:rsidR="0050403E">
        <w:t xml:space="preserve"> </w:t>
      </w:r>
      <w:r w:rsidR="006959AC">
        <w:t>The IOUs</w:t>
      </w:r>
      <w:r w:rsidRPr="007E30C4" w:rsidR="006959AC">
        <w:t xml:space="preserve"> </w:t>
      </w:r>
      <w:r w:rsidR="006959AC">
        <w:t>shall</w:t>
      </w:r>
      <w:r w:rsidRPr="007E30C4" w:rsidR="006959AC">
        <w:t xml:space="preserve"> </w:t>
      </w:r>
      <w:r w:rsidR="006959AC">
        <w:t xml:space="preserve">provide timely information to </w:t>
      </w:r>
      <w:r w:rsidR="005D0A61">
        <w:t xml:space="preserve">Commission </w:t>
      </w:r>
      <w:r w:rsidR="007267D3">
        <w:t xml:space="preserve">Energy Division </w:t>
      </w:r>
      <w:r w:rsidR="006959AC">
        <w:t>Staff, who will</w:t>
      </w:r>
      <w:r w:rsidRPr="008038DD" w:rsidR="007267D3">
        <w:t xml:space="preserve"> consult with the</w:t>
      </w:r>
      <w:r w:rsidR="007267D3">
        <w:t xml:space="preserve"> </w:t>
      </w:r>
      <w:r w:rsidRPr="00ED1A1E" w:rsidR="007267D3">
        <w:t>Disadvantaged Communities Advisory Group</w:t>
      </w:r>
      <w:r w:rsidRPr="008038DD" w:rsidR="007267D3">
        <w:t xml:space="preserve"> </w:t>
      </w:r>
      <w:r w:rsidR="007267D3">
        <w:t>(</w:t>
      </w:r>
      <w:r w:rsidRPr="008038DD" w:rsidR="007267D3">
        <w:t>DACAG</w:t>
      </w:r>
      <w:r w:rsidR="007267D3">
        <w:t>)</w:t>
      </w:r>
      <w:r w:rsidRPr="008038DD" w:rsidR="007267D3">
        <w:t xml:space="preserve"> and the</w:t>
      </w:r>
      <w:r w:rsidR="007267D3">
        <w:t xml:space="preserve"> </w:t>
      </w:r>
      <w:r w:rsidRPr="00ED1A1E" w:rsidR="007267D3">
        <w:t>Community-</w:t>
      </w:r>
      <w:r w:rsidR="007267D3">
        <w:t>B</w:t>
      </w:r>
      <w:r w:rsidRPr="00ED1A1E" w:rsidR="007267D3">
        <w:t>ased Organization Working Group</w:t>
      </w:r>
      <w:r w:rsidRPr="008038DD" w:rsidR="007267D3">
        <w:t xml:space="preserve"> </w:t>
      </w:r>
      <w:r w:rsidR="007267D3">
        <w:t>(</w:t>
      </w:r>
      <w:r w:rsidRPr="008038DD" w:rsidR="007267D3">
        <w:t>CBOWG</w:t>
      </w:r>
      <w:r w:rsidR="007267D3">
        <w:t>)</w:t>
      </w:r>
      <w:r w:rsidRPr="008038DD" w:rsidR="007267D3">
        <w:t xml:space="preserve"> </w:t>
      </w:r>
      <w:r w:rsidR="006959AC">
        <w:t>or their designees,</w:t>
      </w:r>
      <w:r w:rsidR="006E28E6">
        <w:t xml:space="preserve"> </w:t>
      </w:r>
      <w:r w:rsidRPr="00ED1A1E" w:rsidR="008038DD">
        <w:t xml:space="preserve">prior to finalizing their ESJ </w:t>
      </w:r>
      <w:r w:rsidR="003B62E4">
        <w:t>P</w:t>
      </w:r>
      <w:r w:rsidRPr="00ED1A1E" w:rsidR="008038DD">
        <w:t xml:space="preserve">ilot </w:t>
      </w:r>
      <w:r w:rsidR="003B62E4">
        <w:t>S</w:t>
      </w:r>
      <w:r w:rsidRPr="00ED1A1E" w:rsidR="008038DD">
        <w:t xml:space="preserve">tudy plans. </w:t>
      </w:r>
      <w:r w:rsidR="0050403E">
        <w:t xml:space="preserve"> </w:t>
      </w:r>
      <w:r w:rsidR="00947401">
        <w:t>The IOUs</w:t>
      </w:r>
      <w:r w:rsidRPr="00ED1A1E" w:rsidDel="00947401" w:rsidR="008038DD">
        <w:t xml:space="preserve"> </w:t>
      </w:r>
      <w:r w:rsidRPr="00ED1A1E" w:rsidR="008038DD">
        <w:t xml:space="preserve">shall work with </w:t>
      </w:r>
      <w:r w:rsidR="006D330A">
        <w:t xml:space="preserve">Commission </w:t>
      </w:r>
      <w:r w:rsidR="00D20577">
        <w:t>Energy Division</w:t>
      </w:r>
      <w:r w:rsidR="00224648">
        <w:t xml:space="preserve"> </w:t>
      </w:r>
      <w:r w:rsidRPr="00ED1A1E" w:rsidR="008038DD">
        <w:t xml:space="preserve">Staff to make sure </w:t>
      </w:r>
      <w:r w:rsidR="00444A3F">
        <w:t xml:space="preserve">each utility’s </w:t>
      </w:r>
      <w:r w:rsidRPr="00ED1A1E" w:rsidR="008038DD">
        <w:t xml:space="preserve">ESJ </w:t>
      </w:r>
      <w:r w:rsidR="000262A3">
        <w:t>P</w:t>
      </w:r>
      <w:r w:rsidRPr="00ED1A1E" w:rsidR="008038DD">
        <w:t xml:space="preserve">ilot </w:t>
      </w:r>
      <w:r w:rsidR="003B62E4">
        <w:t>S</w:t>
      </w:r>
      <w:r w:rsidRPr="00ED1A1E" w:rsidR="008038DD">
        <w:t xml:space="preserve">tudy plan is on an appropriate DACAG and CBOWG meeting agenda in time for </w:t>
      </w:r>
      <w:r w:rsidR="00B83EDA">
        <w:t xml:space="preserve">these </w:t>
      </w:r>
      <w:r w:rsidR="00BF1A15">
        <w:t>group</w:t>
      </w:r>
      <w:r w:rsidR="00B83EDA">
        <w:t xml:space="preserve">s to provide </w:t>
      </w:r>
      <w:r w:rsidRPr="00ED1A1E" w:rsidR="008038DD">
        <w:t xml:space="preserve">meaningful </w:t>
      </w:r>
      <w:r w:rsidR="00947401">
        <w:t>feedback on</w:t>
      </w:r>
      <w:r w:rsidRPr="00ED1A1E" w:rsidR="008038DD">
        <w:t xml:space="preserve"> the plans. </w:t>
      </w:r>
      <w:r w:rsidR="00902F52">
        <w:t xml:space="preserve"> </w:t>
      </w:r>
      <w:r w:rsidR="00E17999">
        <w:t xml:space="preserve">The IOUs shall each hold a public webinar on their ESJ Pilot Study during the planning phase of the pilot as described in this decision. </w:t>
      </w:r>
      <w:r w:rsidR="00C1593E">
        <w:t>The IOUs</w:t>
      </w:r>
      <w:r w:rsidRPr="00ED1A1E" w:rsidR="008038DD">
        <w:t xml:space="preserve"> shall </w:t>
      </w:r>
      <w:r w:rsidR="00902F52">
        <w:t xml:space="preserve">address the following </w:t>
      </w:r>
      <w:r w:rsidR="00735FF3">
        <w:t>A</w:t>
      </w:r>
      <w:r w:rsidR="00902F52">
        <w:t xml:space="preserve">ction </w:t>
      </w:r>
      <w:r w:rsidR="00735FF3">
        <w:t>I</w:t>
      </w:r>
      <w:r w:rsidR="00902F52">
        <w:t xml:space="preserve">tems in their </w:t>
      </w:r>
      <w:r w:rsidR="0018419C">
        <w:t>ESJ</w:t>
      </w:r>
      <w:r w:rsidRPr="00ED1A1E" w:rsidR="008038DD">
        <w:t xml:space="preserve"> </w:t>
      </w:r>
      <w:r w:rsidR="000262A3">
        <w:t>P</w:t>
      </w:r>
      <w:r w:rsidRPr="00ED1A1E" w:rsidR="008038DD">
        <w:t xml:space="preserve">ilot </w:t>
      </w:r>
      <w:r w:rsidR="00641101">
        <w:t>S</w:t>
      </w:r>
      <w:r w:rsidRPr="00ED1A1E" w:rsidR="008038DD">
        <w:t>tudies:</w:t>
      </w:r>
    </w:p>
    <w:p w:rsidRPr="00ED1A1E" w:rsidR="008038DD" w:rsidP="00864718" w:rsidRDefault="00961E23" w14:paraId="50D1A1AD" w14:textId="06449E92">
      <w:pPr>
        <w:pStyle w:val="CoL"/>
        <w:numPr>
          <w:ilvl w:val="1"/>
          <w:numId w:val="7"/>
        </w:numPr>
        <w:spacing w:after="120" w:line="240" w:lineRule="auto"/>
        <w:ind w:left="1170" w:right="1440" w:hanging="180"/>
      </w:pPr>
      <w:r w:rsidRPr="00C50A91">
        <w:rPr>
          <w:u w:val="single"/>
        </w:rPr>
        <w:t>Action Item #1</w:t>
      </w:r>
      <w:r>
        <w:t xml:space="preserve">: </w:t>
      </w:r>
      <w:r w:rsidR="004D6E3F">
        <w:t xml:space="preserve"> </w:t>
      </w:r>
      <w:r w:rsidRPr="00ED1A1E" w:rsidR="008038DD">
        <w:t xml:space="preserve">Consider equity in the evaluation of </w:t>
      </w:r>
      <w:r w:rsidR="00CF40AA">
        <w:t>C</w:t>
      </w:r>
      <w:r w:rsidRPr="00ED1A1E" w:rsidR="008038DD">
        <w:t xml:space="preserve">onsequences and risk mitigation </w:t>
      </w:r>
      <w:r w:rsidR="00A3380F">
        <w:t>within</w:t>
      </w:r>
      <w:r w:rsidR="00902F52">
        <w:t xml:space="preserve"> the </w:t>
      </w:r>
      <w:r w:rsidR="00A3380F">
        <w:t>Risk-Based Decision-Making Framework (RDF),</w:t>
      </w:r>
      <w:r w:rsidRPr="00ED1A1E" w:rsidR="008038DD">
        <w:t xml:space="preserve"> using </w:t>
      </w:r>
      <w:r w:rsidR="0018419C">
        <w:t>the most current version of</w:t>
      </w:r>
      <w:r w:rsidRPr="00ED1A1E" w:rsidR="008038DD">
        <w:t xml:space="preserve"> CalEnviroScreen to better understand how risks may disproportionately impact some communities more than others;</w:t>
      </w:r>
    </w:p>
    <w:p w:rsidRPr="00ED1A1E" w:rsidR="008038DD" w:rsidP="00864718" w:rsidRDefault="00961E23" w14:paraId="15343F7E" w14:textId="1184077B">
      <w:pPr>
        <w:pStyle w:val="CoL"/>
        <w:numPr>
          <w:ilvl w:val="1"/>
          <w:numId w:val="7"/>
        </w:numPr>
        <w:spacing w:after="120" w:line="240" w:lineRule="auto"/>
        <w:ind w:left="1170" w:right="1440" w:hanging="180"/>
      </w:pPr>
      <w:r w:rsidRPr="00C50A91">
        <w:rPr>
          <w:u w:val="single"/>
        </w:rPr>
        <w:t>Action Item #</w:t>
      </w:r>
      <w:r>
        <w:rPr>
          <w:u w:val="single"/>
        </w:rPr>
        <w:t>2</w:t>
      </w:r>
      <w:r>
        <w:t xml:space="preserve">: </w:t>
      </w:r>
      <w:r w:rsidR="004D6E3F">
        <w:t xml:space="preserve"> </w:t>
      </w:r>
      <w:r w:rsidRPr="00ED1A1E" w:rsidR="008038DD">
        <w:t xml:space="preserve">Consider investments in clean energy resources </w:t>
      </w:r>
      <w:r w:rsidR="00A3380F">
        <w:t xml:space="preserve">in the RDF, </w:t>
      </w:r>
      <w:r w:rsidR="00C80C21">
        <w:t xml:space="preserve">as possible means </w:t>
      </w:r>
      <w:r w:rsidRPr="00ED1A1E" w:rsidR="008038DD">
        <w:t>to improve safety and reliability and mitigate risks in DVCs;</w:t>
      </w:r>
    </w:p>
    <w:p w:rsidRPr="00ED1A1E" w:rsidR="008038DD" w:rsidP="00864718" w:rsidRDefault="00961E23" w14:paraId="10748FDB" w14:textId="12021985">
      <w:pPr>
        <w:pStyle w:val="CoL"/>
        <w:numPr>
          <w:ilvl w:val="1"/>
          <w:numId w:val="7"/>
        </w:numPr>
        <w:spacing w:after="120" w:line="240" w:lineRule="auto"/>
        <w:ind w:left="1170" w:right="1440" w:hanging="180"/>
      </w:pPr>
      <w:r w:rsidRPr="00604550">
        <w:rPr>
          <w:u w:val="single"/>
        </w:rPr>
        <w:t xml:space="preserve">Action </w:t>
      </w:r>
      <w:r w:rsidRPr="00604550">
        <w:rPr>
          <w:rStyle w:val="normaltextrun"/>
          <w:u w:val="single"/>
        </w:rPr>
        <w:t>Item</w:t>
      </w:r>
      <w:r w:rsidRPr="00604550">
        <w:rPr>
          <w:u w:val="single"/>
        </w:rPr>
        <w:t xml:space="preserve"> #3</w:t>
      </w:r>
      <w:r>
        <w:t xml:space="preserve">: </w:t>
      </w:r>
      <w:r w:rsidR="004D6E3F">
        <w:t xml:space="preserve"> </w:t>
      </w:r>
      <w:r w:rsidRPr="00ED1A1E" w:rsidR="008038DD">
        <w:t xml:space="preserve">Consider </w:t>
      </w:r>
      <w:r w:rsidR="00E5151D">
        <w:t>M</w:t>
      </w:r>
      <w:r w:rsidRPr="00ED1A1E" w:rsidR="008038DD">
        <w:t>itigations that improve local air quality and public health</w:t>
      </w:r>
      <w:r w:rsidR="00C80C21">
        <w:t xml:space="preserve"> in the RDF</w:t>
      </w:r>
      <w:r w:rsidRPr="00ED1A1E" w:rsidR="008038DD">
        <w:t xml:space="preserve">, including </w:t>
      </w:r>
      <w:r w:rsidR="000C0B1F">
        <w:t>supporting data collection efforts associated with</w:t>
      </w:r>
      <w:r w:rsidRPr="00ED1A1E" w:rsidR="008038DD">
        <w:t xml:space="preserve"> </w:t>
      </w:r>
      <w:r w:rsidR="00F31970">
        <w:t>A</w:t>
      </w:r>
      <w:r w:rsidR="0050403E">
        <w:t xml:space="preserve">ssembly </w:t>
      </w:r>
      <w:r w:rsidR="00F31970">
        <w:t>B</w:t>
      </w:r>
      <w:r w:rsidR="0050403E">
        <w:t>ill </w:t>
      </w:r>
      <w:r w:rsidRPr="00ED1A1E" w:rsidR="008038DD">
        <w:t xml:space="preserve">617 </w:t>
      </w:r>
      <w:r w:rsidR="00C80C21">
        <w:t xml:space="preserve">regarding </w:t>
      </w:r>
      <w:r w:rsidRPr="00ED1A1E" w:rsidR="008038DD">
        <w:t>community air protection program;</w:t>
      </w:r>
    </w:p>
    <w:p w:rsidRPr="00ED1A1E" w:rsidR="008038DD" w:rsidP="00864718" w:rsidRDefault="00961E23" w14:paraId="62BF782F" w14:textId="0879419A">
      <w:pPr>
        <w:pStyle w:val="CoL"/>
        <w:numPr>
          <w:ilvl w:val="1"/>
          <w:numId w:val="7"/>
        </w:numPr>
        <w:spacing w:after="120" w:line="240" w:lineRule="auto"/>
        <w:ind w:left="1170" w:right="1440" w:hanging="180"/>
      </w:pPr>
      <w:r w:rsidRPr="00604550">
        <w:rPr>
          <w:u w:val="single"/>
        </w:rPr>
        <w:t xml:space="preserve">Action </w:t>
      </w:r>
      <w:r w:rsidRPr="00604550">
        <w:rPr>
          <w:rStyle w:val="normaltextrun"/>
          <w:u w:val="single"/>
        </w:rPr>
        <w:t>Item</w:t>
      </w:r>
      <w:r w:rsidRPr="00604550">
        <w:rPr>
          <w:u w:val="single"/>
        </w:rPr>
        <w:t xml:space="preserve"> #4</w:t>
      </w:r>
      <w:r>
        <w:t xml:space="preserve">: </w:t>
      </w:r>
      <w:r w:rsidR="004D6E3F">
        <w:t xml:space="preserve"> </w:t>
      </w:r>
      <w:r w:rsidRPr="00ED1A1E" w:rsidR="008038DD">
        <w:t xml:space="preserve">Evaluate how </w:t>
      </w:r>
      <w:r w:rsidR="00054915">
        <w:t xml:space="preserve">the selection of </w:t>
      </w:r>
      <w:r w:rsidRPr="00ED1A1E" w:rsidR="008038DD">
        <w:t xml:space="preserve">proposed mitigations </w:t>
      </w:r>
      <w:r w:rsidR="00054915">
        <w:t>in the RDF</w:t>
      </w:r>
      <w:r w:rsidRPr="00ED1A1E" w:rsidR="008038DD">
        <w:t xml:space="preserve"> may </w:t>
      </w:r>
      <w:r w:rsidR="003A2B1A">
        <w:t>impact</w:t>
      </w:r>
      <w:r w:rsidRPr="00ED1A1E" w:rsidR="008038DD">
        <w:t xml:space="preserve"> climate resiliency in DVCs;</w:t>
      </w:r>
    </w:p>
    <w:p w:rsidRPr="00ED1A1E" w:rsidR="008038DD" w:rsidP="00864718" w:rsidRDefault="00961E23" w14:paraId="667282AE" w14:textId="2ED67342">
      <w:pPr>
        <w:pStyle w:val="CoL"/>
        <w:numPr>
          <w:ilvl w:val="1"/>
          <w:numId w:val="7"/>
        </w:numPr>
        <w:spacing w:after="120" w:line="240" w:lineRule="auto"/>
        <w:ind w:left="1170" w:right="1440" w:hanging="180"/>
      </w:pPr>
      <w:r w:rsidRPr="004D6E3F">
        <w:rPr>
          <w:u w:val="single"/>
        </w:rPr>
        <w:t xml:space="preserve">Action </w:t>
      </w:r>
      <w:r w:rsidRPr="004D6E3F">
        <w:rPr>
          <w:rStyle w:val="normaltextrun"/>
          <w:u w:val="single"/>
        </w:rPr>
        <w:t>Item</w:t>
      </w:r>
      <w:r w:rsidRPr="004D6E3F">
        <w:rPr>
          <w:u w:val="single"/>
        </w:rPr>
        <w:t xml:space="preserve"> #5</w:t>
      </w:r>
      <w:r>
        <w:t xml:space="preserve">: </w:t>
      </w:r>
      <w:r w:rsidR="004D6E3F">
        <w:t xml:space="preserve"> </w:t>
      </w:r>
      <w:r w:rsidRPr="00ED1A1E" w:rsidR="008038DD">
        <w:t xml:space="preserve">Evaluate if estimated impacts </w:t>
      </w:r>
      <w:r w:rsidR="008E5A62">
        <w:t>of</w:t>
      </w:r>
      <w:r w:rsidRPr="00ED1A1E" w:rsidR="008038DD">
        <w:t xml:space="preserve"> wildfire smoke </w:t>
      </w:r>
      <w:r w:rsidR="00EF3F78">
        <w:t xml:space="preserve">included in the RDF </w:t>
      </w:r>
      <w:r w:rsidRPr="00ED1A1E" w:rsidR="008038DD">
        <w:t>disproportionately impact DVCs;</w:t>
      </w:r>
    </w:p>
    <w:p w:rsidRPr="00ED1A1E" w:rsidR="008038DD" w:rsidP="00864718" w:rsidRDefault="00961E23" w14:paraId="520C44B9" w14:textId="578BA6BF">
      <w:pPr>
        <w:pStyle w:val="CoL"/>
        <w:keepNext/>
        <w:keepLines/>
        <w:numPr>
          <w:ilvl w:val="1"/>
          <w:numId w:val="7"/>
        </w:numPr>
        <w:spacing w:after="120" w:line="240" w:lineRule="auto"/>
        <w:ind w:left="1181" w:right="1440" w:hanging="187"/>
      </w:pPr>
      <w:r w:rsidRPr="00FC21D0">
        <w:rPr>
          <w:u w:val="single"/>
        </w:rPr>
        <w:t xml:space="preserve">Action </w:t>
      </w:r>
      <w:r w:rsidRPr="00FC21D0">
        <w:rPr>
          <w:rStyle w:val="normaltextrun"/>
          <w:u w:val="single"/>
        </w:rPr>
        <w:t>Item</w:t>
      </w:r>
      <w:r w:rsidRPr="00FC21D0">
        <w:rPr>
          <w:u w:val="single"/>
        </w:rPr>
        <w:t xml:space="preserve"> #6</w:t>
      </w:r>
      <w:r>
        <w:t xml:space="preserve">: </w:t>
      </w:r>
      <w:r w:rsidR="004D6E3F">
        <w:t xml:space="preserve"> </w:t>
      </w:r>
      <w:r w:rsidRPr="00ED1A1E" w:rsidR="008038DD">
        <w:t xml:space="preserve">Estimate the extent to which risk mitigation investments </w:t>
      </w:r>
      <w:r w:rsidR="004671E6">
        <w:t xml:space="preserve">included in the RDF </w:t>
      </w:r>
      <w:r w:rsidRPr="00ED1A1E" w:rsidR="008038DD">
        <w:t>impact and benefit DVCs</w:t>
      </w:r>
      <w:r w:rsidR="00204D67">
        <w:t xml:space="preserve"> independently and in relation to non-DVCs in the IOU service territory</w:t>
      </w:r>
      <w:r w:rsidRPr="00ED1A1E" w:rsidR="008038DD">
        <w:t>;</w:t>
      </w:r>
      <w:r w:rsidR="00BF1A15">
        <w:t xml:space="preserve"> and</w:t>
      </w:r>
    </w:p>
    <w:p w:rsidRPr="00ED1A1E" w:rsidR="008038DD" w:rsidP="00864718" w:rsidRDefault="00961E23" w14:paraId="3BB53C2F" w14:textId="2B7E2F44">
      <w:pPr>
        <w:pStyle w:val="CoL"/>
        <w:numPr>
          <w:ilvl w:val="1"/>
          <w:numId w:val="7"/>
        </w:numPr>
        <w:spacing w:after="120" w:line="240" w:lineRule="auto"/>
        <w:ind w:left="1170" w:right="1440" w:hanging="180"/>
      </w:pPr>
      <w:r w:rsidRPr="00FC21D0">
        <w:rPr>
          <w:u w:val="single"/>
        </w:rPr>
        <w:t xml:space="preserve">Action </w:t>
      </w:r>
      <w:r w:rsidRPr="00FC21D0">
        <w:rPr>
          <w:rStyle w:val="normaltextrun"/>
          <w:u w:val="single"/>
        </w:rPr>
        <w:t>Item</w:t>
      </w:r>
      <w:r w:rsidRPr="00FC21D0">
        <w:rPr>
          <w:u w:val="single"/>
        </w:rPr>
        <w:t xml:space="preserve"> #7</w:t>
      </w:r>
      <w:r>
        <w:t xml:space="preserve">: </w:t>
      </w:r>
      <w:r w:rsidR="004D6E3F">
        <w:t xml:space="preserve"> </w:t>
      </w:r>
      <w:r w:rsidRPr="00ED1A1E" w:rsidR="008038DD">
        <w:t xml:space="preserve">Enhance outreach and public participation opportunities for </w:t>
      </w:r>
      <w:r w:rsidR="00BC7C4E">
        <w:t>DVCs</w:t>
      </w:r>
      <w:r w:rsidRPr="00ED1A1E" w:rsidR="008038DD">
        <w:t xml:space="preserve"> to meaningfully participate in risk mitigation and climate adaptation activities consistent with D</w:t>
      </w:r>
      <w:r w:rsidR="003F439D">
        <w:t xml:space="preserve">ecision </w:t>
      </w:r>
      <w:r w:rsidRPr="00ED1A1E" w:rsidR="008038DD">
        <w:t>20-08-046.</w:t>
      </w:r>
    </w:p>
    <w:p w:rsidR="00D12664" w:rsidP="00864718" w:rsidRDefault="008038DD" w14:paraId="40027A76" w14:textId="0F34499C">
      <w:pPr>
        <w:pStyle w:val="OP"/>
        <w:numPr>
          <w:ilvl w:val="0"/>
          <w:numId w:val="7"/>
        </w:numPr>
      </w:pPr>
      <w:r w:rsidRPr="00ED1A1E">
        <w:t xml:space="preserve">Pacific Gas and Electric Company, </w:t>
      </w:r>
      <w:r w:rsidR="002242D0">
        <w:t>Southern California Edison Company,</w:t>
      </w:r>
      <w:r w:rsidRPr="00ED1A1E" w:rsidR="002242D0">
        <w:t xml:space="preserve"> </w:t>
      </w:r>
      <w:r w:rsidRPr="00ED1A1E">
        <w:t>San Diego Gas &amp; Electric Company</w:t>
      </w:r>
      <w:r w:rsidR="002242D0">
        <w:t>,</w:t>
      </w:r>
      <w:r w:rsidRPr="00ED1A1E">
        <w:t xml:space="preserve"> and Southern California Gas Company</w:t>
      </w:r>
      <w:r w:rsidR="002242D0">
        <w:t xml:space="preserve"> </w:t>
      </w:r>
      <w:r w:rsidRPr="00ED1A1E">
        <w:t xml:space="preserve">shall </w:t>
      </w:r>
      <w:r w:rsidR="00E85F14">
        <w:t>each</w:t>
      </w:r>
      <w:r w:rsidRPr="00ED1A1E">
        <w:t xml:space="preserve"> file a </w:t>
      </w:r>
      <w:r w:rsidR="00AF6166">
        <w:t>W</w:t>
      </w:r>
      <w:r w:rsidRPr="00ED1A1E">
        <w:t xml:space="preserve">hite </w:t>
      </w:r>
      <w:r w:rsidR="00AF6166">
        <w:t>P</w:t>
      </w:r>
      <w:r w:rsidRPr="00ED1A1E">
        <w:t xml:space="preserve">aper </w:t>
      </w:r>
      <w:r w:rsidR="00AF6166">
        <w:t>summarizing</w:t>
      </w:r>
      <w:r w:rsidRPr="00ED1A1E">
        <w:t xml:space="preserve"> their </w:t>
      </w:r>
      <w:r w:rsidR="00503E39">
        <w:t>Environmental and Social Justice (</w:t>
      </w:r>
      <w:r w:rsidRPr="00ED1A1E">
        <w:t>ESJ</w:t>
      </w:r>
      <w:r w:rsidR="00503E39">
        <w:t>)</w:t>
      </w:r>
      <w:r w:rsidRPr="00ED1A1E">
        <w:t xml:space="preserve"> Pilot </w:t>
      </w:r>
      <w:r w:rsidR="009F5998">
        <w:t>Study</w:t>
      </w:r>
      <w:r w:rsidRPr="00ED1A1E">
        <w:t xml:space="preserve"> </w:t>
      </w:r>
      <w:r w:rsidR="00BF1A15">
        <w:t xml:space="preserve">by no later than </w:t>
      </w:r>
      <w:r w:rsidRPr="00ED1A1E">
        <w:t xml:space="preserve">two months after their </w:t>
      </w:r>
      <w:r w:rsidR="00BF1A15">
        <w:t xml:space="preserve">respective </w:t>
      </w:r>
      <w:r w:rsidRPr="00ED1A1E">
        <w:t xml:space="preserve">next </w:t>
      </w:r>
      <w:r w:rsidR="00C20B11">
        <w:t>Risk Assessment Mitigation Phase</w:t>
      </w:r>
      <w:r w:rsidRPr="00ED1A1E" w:rsidR="00C20B11">
        <w:t xml:space="preserve"> </w:t>
      </w:r>
      <w:r w:rsidR="00C20B11">
        <w:t>(</w:t>
      </w:r>
      <w:r w:rsidRPr="00ED1A1E">
        <w:t>RAMP</w:t>
      </w:r>
      <w:r w:rsidR="00C20B11">
        <w:t>)</w:t>
      </w:r>
      <w:r w:rsidRPr="00ED1A1E">
        <w:t xml:space="preserve"> </w:t>
      </w:r>
      <w:r w:rsidR="00BF1A15">
        <w:t>filing</w:t>
      </w:r>
      <w:r w:rsidR="005D0A61">
        <w:t xml:space="preserve"> deadline</w:t>
      </w:r>
      <w:r w:rsidRPr="00ED1A1E">
        <w:t xml:space="preserve">. </w:t>
      </w:r>
      <w:r w:rsidR="00AF6166">
        <w:t xml:space="preserve"> </w:t>
      </w:r>
      <w:r w:rsidRPr="00ED1A1E">
        <w:t>Th</w:t>
      </w:r>
      <w:r w:rsidR="00AF6166">
        <w:t>e W</w:t>
      </w:r>
      <w:r w:rsidRPr="00ED1A1E">
        <w:t xml:space="preserve">hite </w:t>
      </w:r>
      <w:r w:rsidR="00AF6166">
        <w:t>P</w:t>
      </w:r>
      <w:r w:rsidRPr="00ED1A1E">
        <w:t>aper shall</w:t>
      </w:r>
      <w:r w:rsidR="0060406D">
        <w:t>:</w:t>
      </w:r>
      <w:r w:rsidRPr="00ED1A1E">
        <w:t xml:space="preserve"> </w:t>
      </w:r>
    </w:p>
    <w:p w:rsidRPr="009043DA" w:rsidR="009043DA" w:rsidP="00864718" w:rsidRDefault="006D330A" w14:paraId="1C8A5800" w14:textId="418CE03D">
      <w:pPr>
        <w:pStyle w:val="CoL"/>
        <w:numPr>
          <w:ilvl w:val="1"/>
          <w:numId w:val="7"/>
        </w:numPr>
        <w:spacing w:after="120" w:line="240" w:lineRule="auto"/>
        <w:ind w:left="1170" w:right="1440" w:hanging="180"/>
      </w:pPr>
      <w:r>
        <w:t>i</w:t>
      </w:r>
      <w:r w:rsidR="00403FAB">
        <w:t xml:space="preserve">dentify </w:t>
      </w:r>
      <w:r w:rsidRPr="00ED1A1E" w:rsidR="008038DD">
        <w:t>areas for further exploration</w:t>
      </w:r>
      <w:r w:rsidRPr="009043DA" w:rsidR="009043DA">
        <w:t xml:space="preserve"> and </w:t>
      </w:r>
      <w:r w:rsidRPr="00ED1A1E" w:rsidR="008038DD">
        <w:t xml:space="preserve">challenges </w:t>
      </w:r>
      <w:r w:rsidRPr="009043DA" w:rsidR="009043DA">
        <w:t>they</w:t>
      </w:r>
      <w:r w:rsidRPr="00ED1A1E" w:rsidR="008038DD">
        <w:t xml:space="preserve"> faced incorporating </w:t>
      </w:r>
      <w:r w:rsidR="00503E39">
        <w:t>ESJ</w:t>
      </w:r>
      <w:r w:rsidRPr="00ED1A1E" w:rsidR="008038DD">
        <w:t xml:space="preserve"> into </w:t>
      </w:r>
      <w:r w:rsidR="003022A0">
        <w:t xml:space="preserve">the </w:t>
      </w:r>
      <w:r w:rsidRPr="009043DA" w:rsidR="009043DA">
        <w:t>R</w:t>
      </w:r>
      <w:r w:rsidR="008F5407">
        <w:t>isk-Based Decision-Making Framework</w:t>
      </w:r>
      <w:r w:rsidRPr="009043DA" w:rsidR="009043DA">
        <w:t xml:space="preserve">; </w:t>
      </w:r>
    </w:p>
    <w:p w:rsidRPr="009043DA" w:rsidR="009043DA" w:rsidP="00864718" w:rsidRDefault="00403FAB" w14:paraId="025EA76F" w14:textId="63F89CAB">
      <w:pPr>
        <w:pStyle w:val="CoL"/>
        <w:numPr>
          <w:ilvl w:val="1"/>
          <w:numId w:val="7"/>
        </w:numPr>
        <w:spacing w:after="120" w:line="240" w:lineRule="auto"/>
        <w:ind w:left="1170" w:right="1440" w:hanging="180"/>
      </w:pPr>
      <w:r>
        <w:t>discuss</w:t>
      </w:r>
      <w:r w:rsidRPr="00ED1A1E" w:rsidR="008038DD">
        <w:t xml:space="preserve"> how to better target </w:t>
      </w:r>
      <w:r w:rsidR="00F23DA8">
        <w:t>M</w:t>
      </w:r>
      <w:r w:rsidRPr="00ED1A1E" w:rsidR="008038DD">
        <w:t>itigations that improve local air quality</w:t>
      </w:r>
      <w:r w:rsidRPr="009043DA" w:rsidR="009043DA">
        <w:t xml:space="preserve">; </w:t>
      </w:r>
      <w:r w:rsidR="00BF1A15">
        <w:t>and</w:t>
      </w:r>
      <w:r w:rsidR="00C81E45">
        <w:t>,</w:t>
      </w:r>
    </w:p>
    <w:p w:rsidR="002B3AB5" w:rsidP="00864718" w:rsidRDefault="00403FAB" w14:paraId="3D30CDD0" w14:textId="1D5D4A93">
      <w:pPr>
        <w:pStyle w:val="CoL"/>
        <w:numPr>
          <w:ilvl w:val="1"/>
          <w:numId w:val="7"/>
        </w:numPr>
        <w:spacing w:after="120" w:line="240" w:lineRule="auto"/>
        <w:ind w:left="1170" w:right="1440" w:hanging="180"/>
      </w:pPr>
      <w:r>
        <w:t>explore</w:t>
      </w:r>
      <w:r w:rsidRPr="009043DA" w:rsidR="009043DA">
        <w:t xml:space="preserve"> how to better target </w:t>
      </w:r>
      <w:r w:rsidR="00F23DA8">
        <w:t>M</w:t>
      </w:r>
      <w:r w:rsidRPr="009043DA" w:rsidR="009043DA">
        <w:t>itigations that improve</w:t>
      </w:r>
      <w:r w:rsidRPr="00ED1A1E" w:rsidR="008038DD">
        <w:t xml:space="preserve"> climate resilience in disadvantaged and vulnerable communities.</w:t>
      </w:r>
      <w:r w:rsidRPr="009043DA" w:rsidR="009043DA">
        <w:t xml:space="preserve">  </w:t>
      </w:r>
    </w:p>
    <w:p w:rsidR="00D1215B" w:rsidP="00864718" w:rsidRDefault="00D1215B" w14:paraId="63C151B1" w14:textId="60541CBF">
      <w:pPr>
        <w:pStyle w:val="OP"/>
        <w:numPr>
          <w:ilvl w:val="0"/>
          <w:numId w:val="7"/>
        </w:numPr>
      </w:pPr>
      <w:r w:rsidRPr="00ED1A1E">
        <w:t xml:space="preserve">Pacific Gas and Electric Company, </w:t>
      </w:r>
      <w:r w:rsidR="002242D0">
        <w:t>Southern California Edison Company,</w:t>
      </w:r>
      <w:r w:rsidRPr="00ED1A1E" w:rsidR="002242D0">
        <w:t xml:space="preserve"> </w:t>
      </w:r>
      <w:r w:rsidRPr="00ED1A1E">
        <w:t>San Diego Gas &amp; Electric Company</w:t>
      </w:r>
      <w:r w:rsidR="002242D0">
        <w:t>,</w:t>
      </w:r>
      <w:r w:rsidRPr="00ED1A1E">
        <w:t xml:space="preserve"> and Southern California Gas Company shall </w:t>
      </w:r>
      <w:r w:rsidRPr="008038DD">
        <w:t>use public studies of the health impacts of wildfire smoke available in 2023 and thereafter to structure their risk methodology related to evaluating the estimated impacts from wildfire smoke</w:t>
      </w:r>
      <w:r w:rsidR="00035033">
        <w:t xml:space="preserve"> in the</w:t>
      </w:r>
      <w:r w:rsidR="00DE18B5">
        <w:t>ir</w:t>
      </w:r>
      <w:r w:rsidR="00035033">
        <w:t xml:space="preserve"> </w:t>
      </w:r>
      <w:r w:rsidR="00DA73F6">
        <w:t>Envi</w:t>
      </w:r>
      <w:r w:rsidR="00C95C63">
        <w:t>ronmental and Social Justice</w:t>
      </w:r>
      <w:r w:rsidR="00035033">
        <w:t xml:space="preserve"> Pilot Studies</w:t>
      </w:r>
      <w:r w:rsidRPr="008038DD">
        <w:t>.</w:t>
      </w:r>
    </w:p>
    <w:p w:rsidRPr="00ED1A1E" w:rsidR="008038DD" w:rsidP="00864718" w:rsidRDefault="00C81E45" w14:paraId="32D29BC9" w14:textId="31896786">
      <w:pPr>
        <w:pStyle w:val="OP"/>
        <w:numPr>
          <w:ilvl w:val="0"/>
          <w:numId w:val="7"/>
        </w:numPr>
      </w:pPr>
      <w:r>
        <w:t>For the purposes of this proceeding, i</w:t>
      </w:r>
      <w:r w:rsidRPr="00ED1A1E" w:rsidR="002B3AB5">
        <w:t>n case of conflict</w:t>
      </w:r>
      <w:r w:rsidR="004155E8">
        <w:t xml:space="preserve">s with </w:t>
      </w:r>
      <w:r w:rsidRPr="00ED1A1E" w:rsidR="002B3AB5">
        <w:t>new definitions for terms adopted in this decision</w:t>
      </w:r>
      <w:r w:rsidR="004155E8">
        <w:t xml:space="preserve"> </w:t>
      </w:r>
      <w:r w:rsidRPr="00ED1A1E" w:rsidR="002B3AB5">
        <w:t>with other usages of these terms</w:t>
      </w:r>
      <w:r w:rsidR="00173A78">
        <w:t>,</w:t>
      </w:r>
      <w:r>
        <w:t xml:space="preserve"> </w:t>
      </w:r>
      <w:r w:rsidRPr="00ED1A1E" w:rsidR="002B3AB5">
        <w:t>the revised or new definitions adopted</w:t>
      </w:r>
      <w:r w:rsidR="00BF1A15">
        <w:t xml:space="preserve"> </w:t>
      </w:r>
      <w:r>
        <w:t>in this decision as contained in Appendix</w:t>
      </w:r>
      <w:r w:rsidR="003E325A">
        <w:t> </w:t>
      </w:r>
      <w:r>
        <w:t xml:space="preserve">A </w:t>
      </w:r>
      <w:r w:rsidRPr="00ED1A1E" w:rsidR="002B3AB5">
        <w:t>supersede those other usages and definitions.</w:t>
      </w:r>
    </w:p>
    <w:p w:rsidR="0042693F" w:rsidP="00864718" w:rsidRDefault="0072695E" w14:paraId="0167B4AD" w14:textId="77777777">
      <w:pPr>
        <w:pStyle w:val="OP"/>
        <w:keepNext/>
        <w:numPr>
          <w:ilvl w:val="0"/>
          <w:numId w:val="7"/>
        </w:numPr>
      </w:pPr>
      <w:r w:rsidRPr="0072695E">
        <w:t>Rulemaking 20-07-013 remains open.</w:t>
      </w:r>
      <w:r w:rsidRPr="0072695E" w:rsidDel="0072695E">
        <w:t xml:space="preserve"> </w:t>
      </w:r>
    </w:p>
    <w:p w:rsidR="008F0116" w:rsidP="00864718" w:rsidRDefault="008F0116" w14:paraId="707E9C84" w14:textId="72033DD3">
      <w:pPr>
        <w:pStyle w:val="OP"/>
        <w:keepNext/>
        <w:ind w:left="540" w:firstLine="180"/>
      </w:pPr>
      <w:r>
        <w:t>This order is effective today.</w:t>
      </w:r>
    </w:p>
    <w:p w:rsidR="00714CF2" w:rsidP="00864718" w:rsidRDefault="008F0116" w14:paraId="44475F07" w14:textId="331B1FA9">
      <w:pPr>
        <w:keepNext/>
      </w:pPr>
      <w:r>
        <w:t xml:space="preserve">Dated </w:t>
      </w:r>
      <w:r w:rsidR="00A96E69">
        <w:t xml:space="preserve">December 15, 2022, </w:t>
      </w:r>
      <w:r>
        <w:t>at San Francisco, California</w:t>
      </w:r>
      <w:r w:rsidR="00864718">
        <w:t>.</w:t>
      </w:r>
    </w:p>
    <w:p w:rsidR="00864718" w:rsidP="00864718" w:rsidRDefault="00864718" w14:paraId="6566C350" w14:textId="64416EA7">
      <w:pPr>
        <w:keepNext/>
      </w:pPr>
    </w:p>
    <w:p w:rsidRPr="00A96E69" w:rsidR="00A96E69" w:rsidP="00A96E69" w:rsidRDefault="00A96E69" w14:paraId="59BE63A8" w14:textId="77777777">
      <w:pPr>
        <w:keepNext/>
        <w:autoSpaceDE w:val="0"/>
        <w:autoSpaceDN w:val="0"/>
        <w:adjustRightInd w:val="0"/>
        <w:spacing w:line="240" w:lineRule="auto"/>
        <w:ind w:left="5040" w:firstLine="0"/>
        <w:jc w:val="both"/>
        <w:rPr>
          <w:rFonts w:ascii="Palatino" w:hAnsi="Palatino" w:eastAsia="Times New Roman" w:cs="Palatino"/>
          <w:szCs w:val="26"/>
        </w:rPr>
      </w:pPr>
      <w:bookmarkStart w:name="_Hlk17215919" w:id="54"/>
      <w:r w:rsidRPr="00A96E69">
        <w:rPr>
          <w:rFonts w:ascii="Palatino" w:hAnsi="Palatino" w:eastAsia="Times New Roman" w:cs="Courier New"/>
          <w:szCs w:val="26"/>
        </w:rPr>
        <w:t>ALICE REYNOLDS</w:t>
      </w:r>
    </w:p>
    <w:p w:rsidRPr="00A96E69" w:rsidR="00A96E69" w:rsidP="00A96E69" w:rsidRDefault="00A96E69" w14:paraId="7801FE64" w14:textId="77777777">
      <w:pPr>
        <w:keepNext/>
        <w:autoSpaceDE w:val="0"/>
        <w:autoSpaceDN w:val="0"/>
        <w:adjustRightInd w:val="0"/>
        <w:spacing w:line="240" w:lineRule="auto"/>
        <w:ind w:left="5040" w:firstLine="1080"/>
        <w:jc w:val="both"/>
        <w:rPr>
          <w:rFonts w:ascii="Palatino" w:hAnsi="Palatino" w:eastAsia="Times New Roman" w:cs="Palatino"/>
          <w:szCs w:val="26"/>
        </w:rPr>
      </w:pPr>
      <w:r w:rsidRPr="00A96E69">
        <w:rPr>
          <w:rFonts w:ascii="Palatino" w:hAnsi="Palatino" w:eastAsia="Times New Roman" w:cs="Palatino"/>
          <w:szCs w:val="26"/>
        </w:rPr>
        <w:t>President</w:t>
      </w:r>
    </w:p>
    <w:p w:rsidRPr="00A96E69" w:rsidR="00A96E69" w:rsidP="00A96E69" w:rsidRDefault="00A96E69" w14:paraId="7F8944C6"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CLIFFORD RECHTSCHAFFEN</w:t>
      </w:r>
    </w:p>
    <w:p w:rsidRPr="00A96E69" w:rsidR="00A96E69" w:rsidP="00A96E69" w:rsidRDefault="00A96E69" w14:paraId="50206946"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GENEVIEVE SHIROMA</w:t>
      </w:r>
    </w:p>
    <w:p w:rsidRPr="00A96E69" w:rsidR="00A96E69" w:rsidP="00A96E69" w:rsidRDefault="00A96E69" w14:paraId="06737A53"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DARCIE L. HOUCK</w:t>
      </w:r>
    </w:p>
    <w:p w:rsidRPr="00A96E69" w:rsidR="00A96E69" w:rsidP="00A96E69" w:rsidRDefault="00A96E69" w14:paraId="1728781B"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JOHN REYNOLDS</w:t>
      </w:r>
    </w:p>
    <w:p w:rsidR="00864718" w:rsidP="00A96E69" w:rsidRDefault="00A96E69" w14:paraId="3D3EF78D" w14:textId="37CF4906">
      <w:pPr>
        <w:keepNext/>
        <w:keepLines/>
        <w:spacing w:line="240" w:lineRule="auto"/>
        <w:ind w:left="5400" w:firstLine="270"/>
        <w:rPr>
          <w:rFonts w:eastAsia="Calibri" w:cs="Times New Roman"/>
          <w:szCs w:val="20"/>
        </w:rPr>
      </w:pPr>
      <w:r w:rsidRPr="00A96E69">
        <w:rPr>
          <w:rFonts w:eastAsia="Times New Roman" w:cs="Palatino"/>
          <w:szCs w:val="26"/>
        </w:rPr>
        <w:t>Commissioners</w:t>
      </w:r>
      <w:bookmarkEnd w:id="54"/>
    </w:p>
    <w:p w:rsidRPr="00A96E69" w:rsidR="00A96E69" w:rsidP="00A96E69" w:rsidRDefault="00A96E69" w14:paraId="26314F23" w14:textId="77777777">
      <w:pPr>
        <w:keepNext/>
        <w:keepLines/>
        <w:spacing w:line="240" w:lineRule="auto"/>
        <w:ind w:left="5400" w:firstLine="270"/>
        <w:rPr>
          <w:rFonts w:eastAsia="Calibri" w:cs="Times New Roman"/>
          <w:szCs w:val="20"/>
        </w:rPr>
      </w:pPr>
    </w:p>
    <w:p w:rsidR="00864718" w:rsidP="00864718" w:rsidRDefault="00864718" w14:paraId="1CFB18F2" w14:textId="67F8AF03">
      <w:pPr>
        <w:keepNext/>
      </w:pPr>
    </w:p>
    <w:p w:rsidR="00864718" w:rsidRDefault="00864718" w14:paraId="756B9164" w14:textId="3AB59C7E">
      <w:pPr>
        <w:spacing w:after="160" w:line="259" w:lineRule="auto"/>
        <w:ind w:firstLine="0"/>
        <w:sectPr w:rsidR="00864718" w:rsidSect="00A96E69">
          <w:headerReference w:type="default" r:id="rId17"/>
          <w:footerReference w:type="default" r:id="rId18"/>
          <w:pgSz w:w="12240" w:h="15840"/>
          <w:pgMar w:top="1728" w:right="1440" w:bottom="1440" w:left="1440" w:header="720" w:footer="720" w:gutter="0"/>
          <w:pgNumType w:start="2"/>
          <w:cols w:space="720"/>
          <w:docGrid w:linePitch="360"/>
        </w:sectPr>
      </w:pPr>
    </w:p>
    <w:p w:rsidR="00864718" w:rsidP="00864718" w:rsidRDefault="00864718" w14:paraId="4A5F01A5" w14:textId="39CF04F0">
      <w:pPr>
        <w:spacing w:after="160" w:line="259" w:lineRule="auto"/>
        <w:ind w:firstLine="0"/>
        <w:jc w:val="center"/>
      </w:pPr>
    </w:p>
    <w:p w:rsidR="00864718" w:rsidP="00864718" w:rsidRDefault="00864718" w14:paraId="24CFB1B6" w14:textId="2FA5B0DD">
      <w:pPr>
        <w:keepNext/>
        <w:ind w:firstLine="0"/>
        <w:jc w:val="center"/>
        <w:rPr>
          <w:sz w:val="48"/>
          <w:szCs w:val="48"/>
        </w:rPr>
      </w:pPr>
    </w:p>
    <w:p w:rsidR="00864718" w:rsidP="00864718" w:rsidRDefault="00864718" w14:paraId="027EE7FA" w14:textId="5996258E">
      <w:pPr>
        <w:keepNext/>
        <w:ind w:firstLine="0"/>
        <w:jc w:val="center"/>
        <w:rPr>
          <w:sz w:val="48"/>
          <w:szCs w:val="48"/>
        </w:rPr>
      </w:pPr>
    </w:p>
    <w:p w:rsidR="00864718" w:rsidP="00864718" w:rsidRDefault="00864718" w14:paraId="702B9A38" w14:textId="53C83AD2">
      <w:pPr>
        <w:keepNext/>
        <w:ind w:firstLine="0"/>
        <w:jc w:val="center"/>
        <w:rPr>
          <w:sz w:val="48"/>
          <w:szCs w:val="48"/>
        </w:rPr>
      </w:pPr>
    </w:p>
    <w:p w:rsidR="00864718" w:rsidP="00864718" w:rsidRDefault="00864718" w14:paraId="43857A75" w14:textId="72B7B11E">
      <w:pPr>
        <w:keepNext/>
        <w:ind w:firstLine="0"/>
        <w:jc w:val="center"/>
        <w:rPr>
          <w:sz w:val="48"/>
          <w:szCs w:val="48"/>
        </w:rPr>
      </w:pPr>
    </w:p>
    <w:p w:rsidRPr="00864718" w:rsidR="00864718" w:rsidP="00864718" w:rsidRDefault="00864718" w14:paraId="0C12CB35" w14:textId="77777777">
      <w:pPr>
        <w:keepNext/>
        <w:ind w:firstLine="0"/>
        <w:jc w:val="center"/>
        <w:rPr>
          <w:sz w:val="48"/>
          <w:szCs w:val="48"/>
        </w:rPr>
      </w:pPr>
    </w:p>
    <w:p w:rsidRPr="00864718" w:rsidR="00864718" w:rsidP="00864718" w:rsidRDefault="00864718" w14:paraId="6D96BE08" w14:textId="2DAEEEDA">
      <w:pPr>
        <w:keepNext/>
        <w:spacing w:line="240" w:lineRule="auto"/>
        <w:ind w:firstLine="0"/>
        <w:jc w:val="center"/>
        <w:rPr>
          <w:rFonts w:cs="Arial"/>
          <w:sz w:val="40"/>
          <w:szCs w:val="40"/>
        </w:rPr>
      </w:pPr>
      <w:r w:rsidRPr="00864718">
        <w:rPr>
          <w:rFonts w:cs="Arial"/>
          <w:b/>
          <w:sz w:val="48"/>
          <w:szCs w:val="48"/>
        </w:rPr>
        <w:t>Appendix A</w:t>
      </w:r>
      <w:r w:rsidRPr="00864718">
        <w:rPr>
          <w:rFonts w:cs="Arial"/>
          <w:b/>
          <w:sz w:val="48"/>
          <w:szCs w:val="48"/>
        </w:rPr>
        <w:br/>
      </w:r>
      <w:r w:rsidRPr="00864718">
        <w:rPr>
          <w:rFonts w:cs="Arial"/>
          <w:sz w:val="40"/>
          <w:szCs w:val="40"/>
        </w:rPr>
        <w:t>The Risk-Based Decision-Making Framework</w:t>
      </w:r>
    </w:p>
    <w:p w:rsidRPr="00864718" w:rsidR="00864718" w:rsidP="00864718" w:rsidRDefault="00864718" w14:paraId="37E472C6" w14:textId="77777777">
      <w:pPr>
        <w:keepNext/>
        <w:rPr>
          <w:sz w:val="40"/>
          <w:szCs w:val="40"/>
        </w:rPr>
      </w:pPr>
    </w:p>
    <w:p w:rsidR="00864718" w:rsidP="00864718" w:rsidRDefault="00864718" w14:paraId="60249E48" w14:textId="3FCD9DB3">
      <w:pPr>
        <w:keepNext/>
      </w:pPr>
    </w:p>
    <w:p w:rsidR="00864718" w:rsidP="00864718" w:rsidRDefault="00864718" w14:paraId="4E27B591" w14:textId="77777777">
      <w:pPr>
        <w:keepNext/>
      </w:pPr>
    </w:p>
    <w:p w:rsidR="00864718" w:rsidP="00864718" w:rsidRDefault="00864718" w14:paraId="54491C64" w14:textId="5213E427">
      <w:pPr>
        <w:keepNext/>
        <w:sectPr w:rsidR="00864718" w:rsidSect="00D44DB6">
          <w:footerReference w:type="default" r:id="rId19"/>
          <w:pgSz w:w="12240" w:h="15840"/>
          <w:pgMar w:top="1728" w:right="1440" w:bottom="1440" w:left="1440" w:header="720" w:footer="720" w:gutter="0"/>
          <w:pgNumType w:start="1"/>
          <w:cols w:space="720"/>
          <w:docGrid w:linePitch="360"/>
        </w:sectPr>
      </w:pPr>
    </w:p>
    <w:p w:rsidR="00864718" w:rsidP="00864718" w:rsidRDefault="00864718" w14:paraId="161C6950" w14:textId="77777777">
      <w:pPr>
        <w:keepNext/>
        <w:spacing w:line="240" w:lineRule="auto"/>
        <w:ind w:firstLine="0"/>
        <w:jc w:val="center"/>
        <w:rPr>
          <w:rFonts w:cs="Arial"/>
          <w:b/>
          <w:sz w:val="48"/>
          <w:szCs w:val="48"/>
        </w:rPr>
      </w:pPr>
    </w:p>
    <w:p w:rsidR="00864718" w:rsidP="00864718" w:rsidRDefault="00864718" w14:paraId="4B0F952A" w14:textId="77777777">
      <w:pPr>
        <w:keepNext/>
        <w:spacing w:line="240" w:lineRule="auto"/>
        <w:ind w:firstLine="0"/>
        <w:jc w:val="center"/>
        <w:rPr>
          <w:rFonts w:cs="Arial"/>
          <w:b/>
          <w:sz w:val="48"/>
          <w:szCs w:val="48"/>
        </w:rPr>
      </w:pPr>
    </w:p>
    <w:p w:rsidR="00864718" w:rsidP="00864718" w:rsidRDefault="00864718" w14:paraId="6597698B" w14:textId="77777777">
      <w:pPr>
        <w:keepNext/>
        <w:spacing w:line="240" w:lineRule="auto"/>
        <w:ind w:firstLine="0"/>
        <w:jc w:val="center"/>
        <w:rPr>
          <w:rFonts w:cs="Arial"/>
          <w:b/>
          <w:sz w:val="48"/>
          <w:szCs w:val="48"/>
        </w:rPr>
      </w:pPr>
    </w:p>
    <w:p w:rsidR="00864718" w:rsidP="00864718" w:rsidRDefault="00864718" w14:paraId="5BB28357" w14:textId="77777777">
      <w:pPr>
        <w:keepNext/>
        <w:spacing w:line="240" w:lineRule="auto"/>
        <w:ind w:firstLine="0"/>
        <w:jc w:val="center"/>
        <w:rPr>
          <w:rFonts w:cs="Arial"/>
          <w:b/>
          <w:sz w:val="48"/>
          <w:szCs w:val="48"/>
        </w:rPr>
      </w:pPr>
    </w:p>
    <w:p w:rsidR="00864718" w:rsidP="00864718" w:rsidRDefault="00864718" w14:paraId="556A12CE" w14:textId="77777777">
      <w:pPr>
        <w:keepNext/>
        <w:spacing w:line="240" w:lineRule="auto"/>
        <w:ind w:firstLine="0"/>
        <w:jc w:val="center"/>
        <w:rPr>
          <w:rFonts w:cs="Arial"/>
          <w:b/>
          <w:sz w:val="48"/>
          <w:szCs w:val="48"/>
        </w:rPr>
      </w:pPr>
    </w:p>
    <w:p w:rsidR="00864718" w:rsidP="00864718" w:rsidRDefault="00864718" w14:paraId="46046BD8" w14:textId="77777777">
      <w:pPr>
        <w:keepNext/>
        <w:spacing w:line="240" w:lineRule="auto"/>
        <w:ind w:firstLine="0"/>
        <w:jc w:val="center"/>
        <w:rPr>
          <w:rFonts w:cs="Arial"/>
          <w:b/>
          <w:sz w:val="48"/>
          <w:szCs w:val="48"/>
        </w:rPr>
      </w:pPr>
    </w:p>
    <w:p w:rsidR="00864718" w:rsidP="00864718" w:rsidRDefault="00864718" w14:paraId="44F364DA" w14:textId="77777777">
      <w:pPr>
        <w:keepNext/>
        <w:spacing w:line="240" w:lineRule="auto"/>
        <w:ind w:firstLine="0"/>
        <w:jc w:val="center"/>
        <w:rPr>
          <w:rFonts w:cs="Arial"/>
          <w:b/>
          <w:sz w:val="48"/>
          <w:szCs w:val="48"/>
        </w:rPr>
      </w:pPr>
    </w:p>
    <w:p w:rsidR="00864718" w:rsidP="00864718" w:rsidRDefault="00864718" w14:paraId="2A2C57FF" w14:textId="77777777">
      <w:pPr>
        <w:keepNext/>
        <w:spacing w:line="240" w:lineRule="auto"/>
        <w:ind w:firstLine="0"/>
        <w:jc w:val="center"/>
        <w:rPr>
          <w:rFonts w:cs="Arial"/>
          <w:b/>
          <w:sz w:val="48"/>
          <w:szCs w:val="48"/>
        </w:rPr>
      </w:pPr>
    </w:p>
    <w:p w:rsidRPr="00864718" w:rsidR="00864718" w:rsidP="00864718" w:rsidRDefault="00864718" w14:paraId="23D1F821" w14:textId="4870CB19">
      <w:pPr>
        <w:keepNext/>
        <w:spacing w:line="240" w:lineRule="auto"/>
        <w:ind w:firstLine="0"/>
        <w:jc w:val="center"/>
        <w:rPr>
          <w:rFonts w:cs="Arial"/>
          <w:sz w:val="40"/>
          <w:szCs w:val="40"/>
        </w:rPr>
      </w:pPr>
      <w:r w:rsidRPr="00864718">
        <w:rPr>
          <w:rFonts w:cs="Arial"/>
          <w:b/>
          <w:sz w:val="48"/>
          <w:szCs w:val="48"/>
        </w:rPr>
        <w:t xml:space="preserve">Appendix </w:t>
      </w:r>
      <w:r>
        <w:rPr>
          <w:rFonts w:cs="Arial"/>
          <w:b/>
          <w:sz w:val="48"/>
          <w:szCs w:val="48"/>
        </w:rPr>
        <w:t>B</w:t>
      </w:r>
      <w:r w:rsidRPr="00864718">
        <w:rPr>
          <w:rFonts w:cs="Arial"/>
          <w:b/>
          <w:sz w:val="48"/>
          <w:szCs w:val="48"/>
        </w:rPr>
        <w:br/>
      </w:r>
      <w:r w:rsidRPr="00864718">
        <w:rPr>
          <w:rFonts w:cs="Arial"/>
          <w:sz w:val="40"/>
          <w:szCs w:val="40"/>
        </w:rPr>
        <w:t>The Risk-Based Decision-Making Framework (Redlined Version)</w:t>
      </w:r>
    </w:p>
    <w:p w:rsidR="00864718" w:rsidP="00864718" w:rsidRDefault="00864718" w14:paraId="7A202F90" w14:textId="77777777">
      <w:pPr>
        <w:keepNext/>
      </w:pPr>
    </w:p>
    <w:p w:rsidR="00864718" w:rsidP="00864718" w:rsidRDefault="00864718" w14:paraId="51CF969D" w14:textId="77777777">
      <w:pPr>
        <w:keepNext/>
      </w:pPr>
    </w:p>
    <w:p w:rsidR="00864718" w:rsidP="00864718" w:rsidRDefault="00864718" w14:paraId="77D9227E" w14:textId="646D57D6">
      <w:pPr>
        <w:keepNext/>
        <w:sectPr w:rsidR="00864718" w:rsidSect="00D44DB6">
          <w:pgSz w:w="12240" w:h="15840"/>
          <w:pgMar w:top="1728" w:right="1440" w:bottom="1440" w:left="1440" w:header="720" w:footer="720" w:gutter="0"/>
          <w:pgNumType w:start="1"/>
          <w:cols w:space="720"/>
          <w:docGrid w:linePitch="360"/>
        </w:sectPr>
      </w:pPr>
    </w:p>
    <w:p w:rsidR="00864718" w:rsidP="00864718" w:rsidRDefault="00864718" w14:paraId="11EFCF52" w14:textId="77777777">
      <w:pPr>
        <w:spacing w:line="240" w:lineRule="auto"/>
        <w:ind w:firstLine="0"/>
        <w:jc w:val="center"/>
        <w:rPr>
          <w:rFonts w:cs="Arial"/>
          <w:b/>
          <w:sz w:val="48"/>
          <w:szCs w:val="48"/>
        </w:rPr>
      </w:pPr>
    </w:p>
    <w:p w:rsidR="00864718" w:rsidP="00864718" w:rsidRDefault="00864718" w14:paraId="3C791F7E" w14:textId="28E2E617">
      <w:pPr>
        <w:spacing w:line="240" w:lineRule="auto"/>
        <w:ind w:firstLine="0"/>
        <w:jc w:val="center"/>
        <w:rPr>
          <w:rFonts w:cs="Arial"/>
          <w:b/>
          <w:sz w:val="48"/>
          <w:szCs w:val="48"/>
        </w:rPr>
      </w:pPr>
    </w:p>
    <w:p w:rsidR="00864718" w:rsidP="00864718" w:rsidRDefault="00864718" w14:paraId="23A1BC4D" w14:textId="0EC19571">
      <w:pPr>
        <w:spacing w:line="240" w:lineRule="auto"/>
        <w:ind w:firstLine="0"/>
        <w:jc w:val="center"/>
        <w:rPr>
          <w:rFonts w:cs="Arial"/>
          <w:b/>
          <w:sz w:val="48"/>
          <w:szCs w:val="48"/>
        </w:rPr>
      </w:pPr>
    </w:p>
    <w:p w:rsidR="00864718" w:rsidP="00864718" w:rsidRDefault="00864718" w14:paraId="338EBDC2" w14:textId="06128DAD">
      <w:pPr>
        <w:spacing w:line="240" w:lineRule="auto"/>
        <w:ind w:firstLine="0"/>
        <w:jc w:val="center"/>
        <w:rPr>
          <w:rFonts w:cs="Arial"/>
          <w:b/>
          <w:sz w:val="48"/>
          <w:szCs w:val="48"/>
        </w:rPr>
      </w:pPr>
    </w:p>
    <w:p w:rsidR="00864718" w:rsidP="00864718" w:rsidRDefault="00864718" w14:paraId="10D1E34B" w14:textId="5F09659F">
      <w:pPr>
        <w:spacing w:line="240" w:lineRule="auto"/>
        <w:ind w:firstLine="0"/>
        <w:jc w:val="center"/>
        <w:rPr>
          <w:rFonts w:cs="Arial"/>
          <w:b/>
          <w:sz w:val="48"/>
          <w:szCs w:val="48"/>
        </w:rPr>
      </w:pPr>
    </w:p>
    <w:p w:rsidR="00864718" w:rsidP="00864718" w:rsidRDefault="00864718" w14:paraId="068C7981" w14:textId="561DFD30">
      <w:pPr>
        <w:spacing w:line="240" w:lineRule="auto"/>
        <w:ind w:firstLine="0"/>
        <w:jc w:val="center"/>
        <w:rPr>
          <w:rFonts w:cs="Arial"/>
          <w:b/>
          <w:sz w:val="48"/>
          <w:szCs w:val="48"/>
        </w:rPr>
      </w:pPr>
    </w:p>
    <w:p w:rsidR="00864718" w:rsidP="00864718" w:rsidRDefault="00864718" w14:paraId="4ECB85E5" w14:textId="77777777">
      <w:pPr>
        <w:spacing w:line="240" w:lineRule="auto"/>
        <w:ind w:firstLine="0"/>
        <w:jc w:val="center"/>
        <w:rPr>
          <w:rFonts w:cs="Arial"/>
          <w:b/>
          <w:sz w:val="48"/>
          <w:szCs w:val="48"/>
        </w:rPr>
      </w:pPr>
    </w:p>
    <w:p w:rsidR="00864718" w:rsidP="00864718" w:rsidRDefault="00864718" w14:paraId="352A0A88" w14:textId="77777777">
      <w:pPr>
        <w:spacing w:line="240" w:lineRule="auto"/>
        <w:ind w:firstLine="0"/>
        <w:jc w:val="center"/>
        <w:rPr>
          <w:rFonts w:cs="Arial"/>
          <w:b/>
          <w:sz w:val="48"/>
          <w:szCs w:val="48"/>
        </w:rPr>
      </w:pPr>
    </w:p>
    <w:p w:rsidRPr="00864718" w:rsidR="00864718" w:rsidP="00864718" w:rsidRDefault="00864718" w14:paraId="0E2A1FD9" w14:textId="0DBA0A4E">
      <w:pPr>
        <w:spacing w:line="240" w:lineRule="auto"/>
        <w:ind w:firstLine="0"/>
        <w:jc w:val="center"/>
        <w:rPr>
          <w:rFonts w:cs="Arial"/>
          <w:b/>
          <w:sz w:val="36"/>
          <w:szCs w:val="36"/>
        </w:rPr>
      </w:pPr>
      <w:r w:rsidRPr="00864718">
        <w:rPr>
          <w:rFonts w:cs="Arial"/>
          <w:b/>
          <w:sz w:val="48"/>
          <w:szCs w:val="48"/>
        </w:rPr>
        <w:t xml:space="preserve">Appendix </w:t>
      </w:r>
      <w:r>
        <w:rPr>
          <w:rFonts w:cs="Arial"/>
          <w:b/>
          <w:sz w:val="48"/>
          <w:szCs w:val="48"/>
        </w:rPr>
        <w:t>C</w:t>
      </w:r>
      <w:r w:rsidRPr="00864718">
        <w:rPr>
          <w:rFonts w:cs="Arial"/>
          <w:b/>
          <w:sz w:val="48"/>
          <w:szCs w:val="48"/>
        </w:rPr>
        <w:br/>
      </w:r>
      <w:r w:rsidRPr="00864718">
        <w:rPr>
          <w:rFonts w:cs="Arial"/>
          <w:sz w:val="36"/>
          <w:szCs w:val="36"/>
        </w:rPr>
        <w:t xml:space="preserve">LBNL Initiative to Update the ICE Calculator, </w:t>
      </w:r>
      <w:r w:rsidRPr="00864718">
        <w:rPr>
          <w:rFonts w:cs="Arial"/>
          <w:sz w:val="36"/>
          <w:szCs w:val="36"/>
        </w:rPr>
        <w:br/>
        <w:t>Frequently Asked Questions</w:t>
      </w:r>
    </w:p>
    <w:p w:rsidR="00864718" w:rsidP="00864718" w:rsidRDefault="00864718" w14:paraId="55FD378A" w14:textId="54869C7A">
      <w:pPr>
        <w:keepNext/>
        <w:jc w:val="center"/>
        <w:rPr>
          <w:b/>
          <w:bCs/>
        </w:rPr>
      </w:pPr>
      <w:r>
        <w:rPr>
          <w:b/>
          <w:bCs/>
        </w:rPr>
        <w:br w:type="page"/>
      </w:r>
    </w:p>
    <w:p w:rsidR="00864718" w:rsidP="00864718" w:rsidRDefault="00864718" w14:paraId="7CCF3194" w14:textId="77777777">
      <w:pPr>
        <w:keepNext/>
        <w:spacing w:line="240" w:lineRule="auto"/>
        <w:ind w:firstLine="0"/>
        <w:jc w:val="center"/>
        <w:rPr>
          <w:rFonts w:cs="Arial"/>
          <w:b/>
          <w:sz w:val="48"/>
          <w:szCs w:val="48"/>
        </w:rPr>
      </w:pPr>
    </w:p>
    <w:p w:rsidR="00864718" w:rsidP="00864718" w:rsidRDefault="00864718" w14:paraId="33BB76D7" w14:textId="77777777">
      <w:pPr>
        <w:keepNext/>
        <w:spacing w:line="240" w:lineRule="auto"/>
        <w:ind w:firstLine="0"/>
        <w:jc w:val="center"/>
        <w:rPr>
          <w:rFonts w:cs="Arial"/>
          <w:b/>
          <w:sz w:val="48"/>
          <w:szCs w:val="48"/>
        </w:rPr>
      </w:pPr>
    </w:p>
    <w:p w:rsidR="00864718" w:rsidP="00864718" w:rsidRDefault="00864718" w14:paraId="3808183C" w14:textId="77777777">
      <w:pPr>
        <w:keepNext/>
        <w:spacing w:line="240" w:lineRule="auto"/>
        <w:ind w:firstLine="0"/>
        <w:jc w:val="center"/>
        <w:rPr>
          <w:rFonts w:cs="Arial"/>
          <w:b/>
          <w:sz w:val="48"/>
          <w:szCs w:val="48"/>
        </w:rPr>
      </w:pPr>
    </w:p>
    <w:p w:rsidR="00864718" w:rsidP="00864718" w:rsidRDefault="00864718" w14:paraId="0FFD12CC" w14:textId="77777777">
      <w:pPr>
        <w:keepNext/>
        <w:spacing w:line="240" w:lineRule="auto"/>
        <w:ind w:firstLine="0"/>
        <w:jc w:val="center"/>
        <w:rPr>
          <w:rFonts w:cs="Arial"/>
          <w:b/>
          <w:sz w:val="48"/>
          <w:szCs w:val="48"/>
        </w:rPr>
      </w:pPr>
    </w:p>
    <w:p w:rsidR="00864718" w:rsidP="00864718" w:rsidRDefault="00864718" w14:paraId="3698305E" w14:textId="77777777">
      <w:pPr>
        <w:keepNext/>
        <w:spacing w:line="240" w:lineRule="auto"/>
        <w:ind w:firstLine="0"/>
        <w:jc w:val="center"/>
        <w:rPr>
          <w:rFonts w:cs="Arial"/>
          <w:b/>
          <w:sz w:val="48"/>
          <w:szCs w:val="48"/>
        </w:rPr>
      </w:pPr>
    </w:p>
    <w:p w:rsidR="00864718" w:rsidP="00864718" w:rsidRDefault="00864718" w14:paraId="1BFBD898" w14:textId="77777777">
      <w:pPr>
        <w:keepNext/>
        <w:spacing w:line="240" w:lineRule="auto"/>
        <w:ind w:firstLine="0"/>
        <w:rPr>
          <w:rFonts w:cs="Arial"/>
          <w:b/>
          <w:sz w:val="48"/>
          <w:szCs w:val="48"/>
        </w:rPr>
      </w:pPr>
    </w:p>
    <w:p w:rsidR="00864718" w:rsidP="00864718" w:rsidRDefault="00864718" w14:paraId="4ED654BC" w14:textId="77777777">
      <w:pPr>
        <w:keepNext/>
        <w:spacing w:line="240" w:lineRule="auto"/>
        <w:ind w:firstLine="0"/>
        <w:jc w:val="center"/>
        <w:rPr>
          <w:rFonts w:cs="Arial"/>
          <w:b/>
          <w:sz w:val="48"/>
          <w:szCs w:val="48"/>
        </w:rPr>
      </w:pPr>
    </w:p>
    <w:p w:rsidR="00864718" w:rsidP="00864718" w:rsidRDefault="00864718" w14:paraId="5EE409FB" w14:textId="77777777">
      <w:pPr>
        <w:keepNext/>
        <w:spacing w:line="240" w:lineRule="auto"/>
        <w:ind w:firstLine="0"/>
        <w:jc w:val="center"/>
        <w:rPr>
          <w:rFonts w:cs="Arial"/>
          <w:b/>
          <w:sz w:val="48"/>
          <w:szCs w:val="48"/>
        </w:rPr>
      </w:pPr>
    </w:p>
    <w:p w:rsidR="00864718" w:rsidP="00864718" w:rsidRDefault="00864718" w14:paraId="4F3E6289" w14:textId="0F7D8F02">
      <w:pPr>
        <w:keepNext/>
        <w:spacing w:line="240" w:lineRule="auto"/>
        <w:ind w:firstLine="0"/>
        <w:jc w:val="center"/>
        <w:rPr>
          <w:rFonts w:cs="Arial"/>
          <w:b/>
          <w:sz w:val="48"/>
          <w:szCs w:val="48"/>
        </w:rPr>
      </w:pPr>
      <w:r w:rsidRPr="00864718">
        <w:rPr>
          <w:rFonts w:cs="Arial"/>
          <w:b/>
          <w:sz w:val="48"/>
          <w:szCs w:val="48"/>
        </w:rPr>
        <w:t xml:space="preserve">Appendix </w:t>
      </w:r>
      <w:r>
        <w:rPr>
          <w:rFonts w:cs="Arial"/>
          <w:b/>
          <w:sz w:val="48"/>
          <w:szCs w:val="48"/>
        </w:rPr>
        <w:t>D</w:t>
      </w:r>
    </w:p>
    <w:p w:rsidRPr="00864718" w:rsidR="00864718" w:rsidP="00864718" w:rsidRDefault="00864718" w14:paraId="2756FE62" w14:textId="77777777">
      <w:pPr>
        <w:spacing w:line="240" w:lineRule="auto"/>
        <w:ind w:firstLine="0"/>
        <w:jc w:val="center"/>
        <w:rPr>
          <w:rFonts w:cs="Arial"/>
          <w:sz w:val="40"/>
          <w:szCs w:val="40"/>
        </w:rPr>
      </w:pPr>
      <w:r w:rsidRPr="00864718">
        <w:rPr>
          <w:rFonts w:cs="Arial"/>
          <w:sz w:val="40"/>
          <w:szCs w:val="40"/>
        </w:rPr>
        <w:t>List of Acronyms</w:t>
      </w:r>
    </w:p>
    <w:p w:rsidRPr="00864718" w:rsidR="00864718" w:rsidP="00864718" w:rsidRDefault="00864718" w14:paraId="4B2DC95D" w14:textId="1EC6E4A5">
      <w:pPr>
        <w:keepNext/>
        <w:spacing w:line="240" w:lineRule="auto"/>
        <w:ind w:firstLine="0"/>
        <w:jc w:val="center"/>
        <w:rPr>
          <w:b/>
          <w:bCs/>
        </w:rPr>
      </w:pPr>
      <w:r w:rsidRPr="00864718">
        <w:rPr>
          <w:rFonts w:cs="Arial"/>
          <w:b/>
          <w:sz w:val="48"/>
          <w:szCs w:val="48"/>
        </w:rPr>
        <w:br/>
      </w:r>
    </w:p>
    <w:sectPr w:rsidRPr="00864718" w:rsidR="00864718" w:rsidSect="00D44DB6">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F4CC" w14:textId="77777777" w:rsidR="001B321F" w:rsidRDefault="001B321F" w:rsidP="0098138E">
      <w:pPr>
        <w:spacing w:line="240" w:lineRule="auto"/>
      </w:pPr>
      <w:r>
        <w:separator/>
      </w:r>
    </w:p>
  </w:endnote>
  <w:endnote w:type="continuationSeparator" w:id="0">
    <w:p w14:paraId="2F0254C5" w14:textId="77777777" w:rsidR="001B321F" w:rsidRDefault="001B321F" w:rsidP="0098138E">
      <w:pPr>
        <w:spacing w:line="240" w:lineRule="auto"/>
      </w:pPr>
      <w:r>
        <w:continuationSeparator/>
      </w:r>
    </w:p>
  </w:endnote>
  <w:endnote w:type="continuationNotice" w:id="1">
    <w:p w14:paraId="0F6D4A3A" w14:textId="77777777" w:rsidR="001B321F" w:rsidRDefault="001B32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9DEC" w14:textId="65FA4135" w:rsidR="007C26BA" w:rsidRPr="007C26BA" w:rsidRDefault="00A96E69" w:rsidP="007C26BA">
    <w:pPr>
      <w:pStyle w:val="Footer"/>
      <w:ind w:firstLine="0"/>
    </w:pPr>
    <w:bookmarkStart w:id="0" w:name="_Hlk122173942"/>
    <w:r w:rsidRPr="00A96E69">
      <w:rPr>
        <w:sz w:val="16"/>
        <w:szCs w:val="16"/>
      </w:rPr>
      <w:t>500014668</w:t>
    </w:r>
    <w:bookmarkEnd w:id="0"/>
    <w:r w:rsidR="007C26BA">
      <w:rPr>
        <w:sz w:val="20"/>
        <w:szCs w:val="20"/>
      </w:rPr>
      <w:tab/>
      <w:t xml:space="preserve">- </w:t>
    </w:r>
    <w:r w:rsidR="007C26BA">
      <w:fldChar w:fldCharType="begin"/>
    </w:r>
    <w:r w:rsidR="007C26BA">
      <w:instrText xml:space="preserve"> PAGE   \* MERGEFORMAT </w:instrText>
    </w:r>
    <w:r w:rsidR="007C26BA">
      <w:fldChar w:fldCharType="separate"/>
    </w:r>
    <w:r w:rsidR="007C26BA">
      <w:rPr>
        <w:noProof/>
      </w:rPr>
      <w:t>1</w:t>
    </w:r>
    <w:r w:rsidR="007C26BA">
      <w:rPr>
        <w:noProof/>
      </w:rPr>
      <w:fldChar w:fldCharType="end"/>
    </w:r>
    <w:r w:rsidR="007C26BA">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31C0" w14:textId="77777777" w:rsidR="00E23CBB" w:rsidRDefault="00E23CBB" w:rsidP="00A96E69">
    <w:pPr>
      <w:spacing w:line="240" w:lineRule="auto"/>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0442" w14:textId="621E0250" w:rsidR="00E23CBB" w:rsidRDefault="00E23CBB" w:rsidP="00864718">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rsidR="00A96E69">
          <w:fldChar w:fldCharType="begin"/>
        </w:r>
        <w:r w:rsidR="00A96E69">
          <w:instrText xml:space="preserve"> PAGE   \* MERGEFORMAT </w:instrText>
        </w:r>
        <w:r w:rsidR="00A96E69">
          <w:fldChar w:fldCharType="separate"/>
        </w:r>
        <w:r w:rsidR="00A96E69">
          <w:rPr>
            <w:noProof/>
          </w:rPr>
          <w:t>1</w:t>
        </w:r>
        <w:r w:rsidR="00A96E69">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AF0F" w14:textId="78B7DFC9" w:rsidR="00864718" w:rsidRPr="00864718" w:rsidRDefault="00864718" w:rsidP="0086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5407" w14:textId="77777777" w:rsidR="001B321F" w:rsidRDefault="001B321F" w:rsidP="00DF58E7">
      <w:pPr>
        <w:spacing w:line="240" w:lineRule="auto"/>
        <w:ind w:firstLine="0"/>
      </w:pPr>
      <w:r>
        <w:separator/>
      </w:r>
    </w:p>
  </w:footnote>
  <w:footnote w:type="continuationSeparator" w:id="0">
    <w:p w14:paraId="74E0AB0C" w14:textId="77777777" w:rsidR="001B321F" w:rsidRDefault="001B321F" w:rsidP="00DF58E7">
      <w:pPr>
        <w:spacing w:line="240" w:lineRule="auto"/>
        <w:ind w:firstLine="0"/>
      </w:pPr>
      <w:r>
        <w:continuationSeparator/>
      </w:r>
    </w:p>
  </w:footnote>
  <w:footnote w:type="continuationNotice" w:id="1">
    <w:p w14:paraId="5AA07759" w14:textId="77777777" w:rsidR="001B321F" w:rsidRPr="00DF58E7" w:rsidRDefault="001B321F" w:rsidP="00DF58E7">
      <w:pPr>
        <w:spacing w:line="240" w:lineRule="auto"/>
        <w:ind w:firstLine="0"/>
        <w:jc w:val="right"/>
        <w:rPr>
          <w:i/>
          <w:sz w:val="22"/>
        </w:rPr>
      </w:pPr>
      <w:r w:rsidRPr="00DF58E7">
        <w:rPr>
          <w:i/>
          <w:sz w:val="22"/>
        </w:rPr>
        <w:t>Footnote continued on next page.</w:t>
      </w:r>
    </w:p>
  </w:footnote>
  <w:footnote w:id="2">
    <w:p w14:paraId="4D15DD8C" w14:textId="03483281" w:rsidR="000B301F" w:rsidRDefault="000B301F">
      <w:pPr>
        <w:pStyle w:val="FootnoteText"/>
      </w:pPr>
      <w:r>
        <w:rPr>
          <w:rStyle w:val="FootnoteReference"/>
        </w:rPr>
        <w:footnoteRef/>
      </w:r>
      <w:r>
        <w:t xml:space="preserve"> </w:t>
      </w:r>
      <w:r w:rsidR="00CD32D1">
        <w:t>SB 705 was codified into Pub. Util. Code Section 961 and 963 in Chapter 522 of the Statutes of 2011.</w:t>
      </w:r>
    </w:p>
  </w:footnote>
  <w:footnote w:id="3">
    <w:p w14:paraId="09C0CCE9" w14:textId="75AEEA32" w:rsidR="005B6D9D" w:rsidRPr="005B6D9D" w:rsidRDefault="005B6D9D">
      <w:pPr>
        <w:pStyle w:val="FootnoteText"/>
        <w:rPr>
          <w:lang w:val="en-ZW"/>
        </w:rPr>
      </w:pPr>
      <w:r>
        <w:rPr>
          <w:rStyle w:val="FootnoteReference"/>
        </w:rPr>
        <w:footnoteRef/>
      </w:r>
      <w:r>
        <w:t xml:space="preserve"> </w:t>
      </w:r>
      <w:r w:rsidR="00D35260" w:rsidRPr="00D35260">
        <w:t>D.14-12-025</w:t>
      </w:r>
      <w:r w:rsidR="00D45C95">
        <w:t>,</w:t>
      </w:r>
      <w:r w:rsidR="00D35260" w:rsidRPr="00D35260">
        <w:t xml:space="preserve"> F</w:t>
      </w:r>
      <w:r w:rsidR="00C81E45">
        <w:t>inding of Fact</w:t>
      </w:r>
      <w:r w:rsidR="00D35260" w:rsidRPr="00D35260">
        <w:t>s 19 and 26</w:t>
      </w:r>
      <w:r w:rsidR="007315B6">
        <w:t>.</w:t>
      </w:r>
    </w:p>
  </w:footnote>
  <w:footnote w:id="4">
    <w:p w14:paraId="2A99D7D3" w14:textId="73859D9E" w:rsidR="00DE3DBF" w:rsidRPr="00DE3DBF" w:rsidRDefault="00DE3DBF" w:rsidP="00F20610">
      <w:pPr>
        <w:pStyle w:val="FootnoteText"/>
        <w:rPr>
          <w:lang w:val="en-ZW"/>
        </w:rPr>
      </w:pPr>
      <w:r>
        <w:rPr>
          <w:rStyle w:val="FootnoteReference"/>
        </w:rPr>
        <w:footnoteRef/>
      </w:r>
      <w:r>
        <w:t xml:space="preserve"> </w:t>
      </w:r>
      <w:r w:rsidR="00D51F1D">
        <w:rPr>
          <w:lang w:val="en-ZW"/>
        </w:rPr>
        <w:t>For</w:t>
      </w:r>
      <w:r>
        <w:rPr>
          <w:lang w:val="en-ZW"/>
        </w:rPr>
        <w:t xml:space="preserve"> </w:t>
      </w:r>
      <w:r w:rsidR="00D51F1D">
        <w:rPr>
          <w:lang w:val="en-ZW"/>
        </w:rPr>
        <w:t xml:space="preserve">the </w:t>
      </w:r>
      <w:r>
        <w:rPr>
          <w:lang w:val="en-ZW"/>
        </w:rPr>
        <w:t>large IOUs</w:t>
      </w:r>
      <w:r w:rsidR="003612D4">
        <w:rPr>
          <w:lang w:val="en-ZW"/>
        </w:rPr>
        <w:t>, GRC</w:t>
      </w:r>
      <w:r w:rsidR="00D51F1D">
        <w:rPr>
          <w:lang w:val="en-ZW"/>
        </w:rPr>
        <w:t xml:space="preserve"> proceedings</w:t>
      </w:r>
      <w:r w:rsidR="003612D4">
        <w:rPr>
          <w:lang w:val="en-ZW"/>
        </w:rPr>
        <w:t xml:space="preserve"> are </w:t>
      </w:r>
      <w:r w:rsidR="005C4205">
        <w:rPr>
          <w:lang w:val="en-ZW"/>
        </w:rPr>
        <w:t>divided</w:t>
      </w:r>
      <w:r w:rsidR="003612D4">
        <w:rPr>
          <w:lang w:val="en-ZW"/>
        </w:rPr>
        <w:t xml:space="preserve"> into two phases: </w:t>
      </w:r>
      <w:r w:rsidR="00D51F1D">
        <w:rPr>
          <w:lang w:val="en-ZW"/>
        </w:rPr>
        <w:t>In Phase 1, the Commission</w:t>
      </w:r>
      <w:r w:rsidR="00F20610" w:rsidRPr="00F20610">
        <w:t xml:space="preserve"> </w:t>
      </w:r>
      <w:r w:rsidR="00F20610">
        <w:rPr>
          <w:lang w:val="en-ZW"/>
        </w:rPr>
        <w:t>reviews and authorizes the revenue requirement necessary for</w:t>
      </w:r>
      <w:r w:rsidR="00C57975">
        <w:rPr>
          <w:lang w:val="en-ZW"/>
        </w:rPr>
        <w:t xml:space="preserve"> a</w:t>
      </w:r>
      <w:r w:rsidR="00F20610">
        <w:rPr>
          <w:lang w:val="en-ZW"/>
        </w:rPr>
        <w:t xml:space="preserve"> utility to </w:t>
      </w:r>
      <w:r w:rsidR="00B90D55">
        <w:rPr>
          <w:lang w:val="en-ZW"/>
        </w:rPr>
        <w:t xml:space="preserve">operate and maintain its facilities and equipment in a safe and reliable manner.  In </w:t>
      </w:r>
      <w:r w:rsidR="006910D3">
        <w:rPr>
          <w:lang w:val="en-ZW"/>
        </w:rPr>
        <w:t>a later</w:t>
      </w:r>
      <w:r w:rsidR="008E5C96">
        <w:rPr>
          <w:lang w:val="en-ZW"/>
        </w:rPr>
        <w:t xml:space="preserve"> and</w:t>
      </w:r>
      <w:r w:rsidR="006910D3">
        <w:rPr>
          <w:lang w:val="en-ZW"/>
        </w:rPr>
        <w:t xml:space="preserve"> </w:t>
      </w:r>
      <w:r w:rsidR="006910D3" w:rsidDel="004A6CC6">
        <w:rPr>
          <w:lang w:val="en-ZW"/>
        </w:rPr>
        <w:t>separately</w:t>
      </w:r>
      <w:r w:rsidR="004A6CC6">
        <w:rPr>
          <w:lang w:val="en-ZW"/>
        </w:rPr>
        <w:t xml:space="preserve"> filed</w:t>
      </w:r>
      <w:r w:rsidR="006910D3">
        <w:rPr>
          <w:lang w:val="en-ZW"/>
        </w:rPr>
        <w:t xml:space="preserve"> Phase 2 of the GRC, </w:t>
      </w:r>
      <w:r w:rsidR="00A040BA">
        <w:rPr>
          <w:lang w:val="en-ZW"/>
        </w:rPr>
        <w:t>the Commission considers</w:t>
      </w:r>
      <w:r w:rsidR="00F20610" w:rsidRPr="00F20610">
        <w:rPr>
          <w:lang w:val="en-ZW"/>
        </w:rPr>
        <w:t xml:space="preserve"> </w:t>
      </w:r>
      <w:r w:rsidR="00A040BA" w:rsidRPr="00A040BA">
        <w:rPr>
          <w:lang w:val="en-ZW"/>
        </w:rPr>
        <w:t xml:space="preserve">how the revenue </w:t>
      </w:r>
      <w:r w:rsidR="00FC7E3B">
        <w:rPr>
          <w:lang w:val="en-ZW"/>
        </w:rPr>
        <w:t>requirement</w:t>
      </w:r>
      <w:r w:rsidR="008E5C96">
        <w:rPr>
          <w:lang w:val="en-ZW"/>
        </w:rPr>
        <w:t xml:space="preserve"> authorized in Phase 1 should be allocated among customers classes and collected from those customers in rates. </w:t>
      </w:r>
    </w:p>
  </w:footnote>
  <w:footnote w:id="5">
    <w:p w14:paraId="319C9FB0" w14:textId="7D341D79" w:rsidR="007D5FAC" w:rsidRDefault="007D5FAC" w:rsidP="007D5FAC">
      <w:pPr>
        <w:pStyle w:val="FootnoteText"/>
      </w:pPr>
      <w:r>
        <w:rPr>
          <w:rStyle w:val="FootnoteReference"/>
        </w:rPr>
        <w:footnoteRef/>
      </w:r>
      <w:r>
        <w:t xml:space="preserve"> This decision</w:t>
      </w:r>
      <w:r w:rsidR="00906028">
        <w:t xml:space="preserve"> </w:t>
      </w:r>
      <w:r>
        <w:t>capitalize</w:t>
      </w:r>
      <w:r w:rsidR="00906028">
        <w:t>s</w:t>
      </w:r>
      <w:r>
        <w:t xml:space="preserve"> terms included and defined in Appendix A. </w:t>
      </w:r>
    </w:p>
  </w:footnote>
  <w:footnote w:id="6">
    <w:p w14:paraId="6C12199C" w14:textId="7E446562" w:rsidR="00BE5E8E" w:rsidRDefault="00BE5E8E" w:rsidP="00BE5E8E">
      <w:pPr>
        <w:pStyle w:val="FootnoteText"/>
      </w:pPr>
      <w:r>
        <w:rPr>
          <w:rStyle w:val="FootnoteReference"/>
        </w:rPr>
        <w:footnoteRef/>
      </w:r>
      <w:r>
        <w:t xml:space="preserve"> </w:t>
      </w:r>
      <w:r w:rsidR="009402AE">
        <w:t>SA Decision</w:t>
      </w:r>
      <w:r>
        <w:t xml:space="preserve"> at </w:t>
      </w:r>
      <w:r w:rsidR="00BF4B24">
        <w:t>22.</w:t>
      </w:r>
    </w:p>
  </w:footnote>
  <w:footnote w:id="7">
    <w:p w14:paraId="640CD89C" w14:textId="531800A0" w:rsidR="00E32974" w:rsidRPr="00E32974" w:rsidRDefault="00E32974">
      <w:pPr>
        <w:pStyle w:val="FootnoteText"/>
        <w:rPr>
          <w:lang w:val="en-ZW"/>
        </w:rPr>
      </w:pPr>
      <w:r>
        <w:rPr>
          <w:rStyle w:val="FootnoteReference"/>
        </w:rPr>
        <w:footnoteRef/>
      </w:r>
      <w:r>
        <w:t xml:space="preserve"> </w:t>
      </w:r>
      <w:r w:rsidRPr="00E32974">
        <w:t>Hereafter, all references to code are to the Public Utilities Code unless otherwise stated</w:t>
      </w:r>
      <w:r>
        <w:t>.</w:t>
      </w:r>
    </w:p>
  </w:footnote>
  <w:footnote w:id="8">
    <w:p w14:paraId="7889F834" w14:textId="66BCB6A7" w:rsidR="004C0350" w:rsidRPr="004C0350" w:rsidRDefault="004C0350" w:rsidP="004A2450">
      <w:pPr>
        <w:pStyle w:val="FootnoteText"/>
        <w:rPr>
          <w:lang w:val="en-ZW"/>
        </w:rPr>
      </w:pPr>
      <w:r>
        <w:rPr>
          <w:rStyle w:val="FootnoteReference"/>
        </w:rPr>
        <w:footnoteRef/>
      </w:r>
      <w:r>
        <w:t xml:space="preserve"> F</w:t>
      </w:r>
      <w:r w:rsidRPr="004C0350">
        <w:t xml:space="preserve">oundational </w:t>
      </w:r>
      <w:r w:rsidR="00A308BF">
        <w:t>P</w:t>
      </w:r>
      <w:r w:rsidRPr="004C0350">
        <w:t xml:space="preserve">rograms and/or </w:t>
      </w:r>
      <w:r w:rsidR="00A308BF">
        <w:t>A</w:t>
      </w:r>
      <w:r w:rsidRPr="004C0350">
        <w:t>ctivities a</w:t>
      </w:r>
      <w:r>
        <w:t>re defined as</w:t>
      </w:r>
      <w:r w:rsidRPr="004C0350">
        <w:t xml:space="preserve"> “</w:t>
      </w:r>
      <w:r w:rsidR="004A2450">
        <w:t xml:space="preserve">initiatives that support or enable two or more </w:t>
      </w:r>
      <w:r w:rsidR="00A308BF">
        <w:t>M</w:t>
      </w:r>
      <w:r w:rsidR="004A2450">
        <w:t xml:space="preserve">itigation programs or two or more </w:t>
      </w:r>
      <w:r w:rsidR="00D77B56">
        <w:t>R</w:t>
      </w:r>
      <w:r w:rsidR="004A2450">
        <w:t xml:space="preserve">isks but do not directly reduce the </w:t>
      </w:r>
      <w:r w:rsidR="00D77B56">
        <w:t>C</w:t>
      </w:r>
      <w:r w:rsidR="004A2450">
        <w:t xml:space="preserve">onsequences or reduce the </w:t>
      </w:r>
      <w:r w:rsidR="00D77B56">
        <w:t>L</w:t>
      </w:r>
      <w:r w:rsidR="004A2450">
        <w:t xml:space="preserve">ikelihood of safety </w:t>
      </w:r>
      <w:r w:rsidR="00D77B56">
        <w:t>R</w:t>
      </w:r>
      <w:r w:rsidR="004A2450">
        <w:t xml:space="preserve">isk </w:t>
      </w:r>
      <w:r w:rsidR="00D77B56">
        <w:t>E</w:t>
      </w:r>
      <w:r w:rsidR="004A2450">
        <w:t>vents.”</w:t>
      </w:r>
      <w:r>
        <w:t xml:space="preserve"> </w:t>
      </w:r>
      <w:r w:rsidR="007C0A13">
        <w:t xml:space="preserve"> </w:t>
      </w:r>
      <w:r>
        <w:t>(</w:t>
      </w:r>
      <w:r w:rsidRPr="004A2450">
        <w:rPr>
          <w:i/>
          <w:iCs/>
        </w:rPr>
        <w:t xml:space="preserve">See </w:t>
      </w:r>
      <w:r>
        <w:t xml:space="preserve">D.21-11-009 at </w:t>
      </w:r>
      <w:r w:rsidR="004A2450">
        <w:t>22.)</w:t>
      </w:r>
    </w:p>
  </w:footnote>
  <w:footnote w:id="9">
    <w:p w14:paraId="334FDBC6" w14:textId="70B810C9" w:rsidR="00DE209A" w:rsidRDefault="00DE209A">
      <w:pPr>
        <w:pStyle w:val="FootnoteText"/>
      </w:pPr>
      <w:r>
        <w:rPr>
          <w:rStyle w:val="FootnoteReference"/>
        </w:rPr>
        <w:footnoteRef/>
      </w:r>
      <w:r w:rsidR="009201F1" w:rsidRPr="002D6870">
        <w:t xml:space="preserve"> Risk Spending Accountability Reports</w:t>
      </w:r>
      <w:r w:rsidR="009201F1">
        <w:t xml:space="preserve"> refer to </w:t>
      </w:r>
      <w:r w:rsidR="009201F1" w:rsidRPr="009201F1">
        <w:t>reporting requirements in which the IOUs report on deviations between approved and actual IOU risk mitigation and maintenance spending and activities.</w:t>
      </w:r>
      <w:r w:rsidR="009201F1">
        <w:t xml:space="preserve"> </w:t>
      </w:r>
      <w:r w:rsidR="007C0A13">
        <w:t xml:space="preserve"> </w:t>
      </w:r>
      <w:r w:rsidR="009201F1" w:rsidRPr="007C0A13">
        <w:rPr>
          <w:i/>
          <w:iCs/>
        </w:rPr>
        <w:t>See</w:t>
      </w:r>
      <w:r w:rsidR="009201F1">
        <w:t xml:space="preserve"> </w:t>
      </w:r>
      <w:r>
        <w:t>D.19-04-020</w:t>
      </w:r>
      <w:r w:rsidR="009201F1">
        <w:t xml:space="preserve"> at 2.</w:t>
      </w:r>
    </w:p>
  </w:footnote>
  <w:footnote w:id="10">
    <w:p w14:paraId="7130E4C5" w14:textId="48C41A8E" w:rsidR="00EE4C22" w:rsidRDefault="00EE4C22">
      <w:pPr>
        <w:pStyle w:val="FootnoteText"/>
      </w:pPr>
      <w:r>
        <w:rPr>
          <w:rStyle w:val="FootnoteReference"/>
        </w:rPr>
        <w:footnoteRef/>
      </w:r>
      <w:r>
        <w:t xml:space="preserve"> </w:t>
      </w:r>
      <w:r w:rsidR="009F760A">
        <w:t>R.20-07-013</w:t>
      </w:r>
      <w:r w:rsidR="00E74015">
        <w:t xml:space="preserve">, Staff Proposal at </w:t>
      </w:r>
      <w:hyperlink r:id="rId1" w:history="1">
        <w:r w:rsidR="0057746C" w:rsidRPr="00954E76">
          <w:rPr>
            <w:rStyle w:val="Hyperlink"/>
          </w:rPr>
          <w:t>https://docs.cpuc.ca.gov/PublishedDocs/Efile/G000/M496/K415/496415725.PDF</w:t>
        </w:r>
      </w:hyperlink>
    </w:p>
  </w:footnote>
  <w:footnote w:id="11">
    <w:p w14:paraId="022355B2" w14:textId="07BC500D" w:rsidR="007E07D4" w:rsidRDefault="007E07D4">
      <w:pPr>
        <w:pStyle w:val="FootnoteText"/>
      </w:pPr>
      <w:r>
        <w:rPr>
          <w:rStyle w:val="FootnoteReference"/>
        </w:rPr>
        <w:footnoteRef/>
      </w:r>
      <w:r>
        <w:t xml:space="preserve"> </w:t>
      </w:r>
      <w:r w:rsidRPr="00666B3F">
        <w:t>The E</w:t>
      </w:r>
      <w:r w:rsidR="00A315A0">
        <w:t>SJ</w:t>
      </w:r>
      <w:r w:rsidRPr="00666B3F">
        <w:t xml:space="preserve"> Action plan is available on the Commission’s website</w:t>
      </w:r>
      <w:r>
        <w:t>, available as of September</w:t>
      </w:r>
      <w:r w:rsidR="00020BEF">
        <w:t> </w:t>
      </w:r>
      <w:r>
        <w:t>7,</w:t>
      </w:r>
      <w:r w:rsidR="00020BEF">
        <w:t> </w:t>
      </w:r>
      <w:r>
        <w:t>2022 at</w:t>
      </w:r>
      <w:r w:rsidRPr="00666B3F">
        <w:t xml:space="preserve">: </w:t>
      </w:r>
      <w:hyperlink r:id="rId2" w:history="1">
        <w:r w:rsidRPr="00F237B4">
          <w:rPr>
            <w:rStyle w:val="Hyperlink"/>
          </w:rPr>
          <w:t>https://www.cpuc.ca.gov/news-and-updates/newsroom/environmental-and-social-justice-action-plan</w:t>
        </w:r>
      </w:hyperlink>
      <w:r>
        <w:rPr>
          <w:rStyle w:val="Hyperlink"/>
        </w:rPr>
        <w:t xml:space="preserve"> </w:t>
      </w:r>
    </w:p>
  </w:footnote>
  <w:footnote w:id="12">
    <w:p w14:paraId="5597F950" w14:textId="34D73A02" w:rsidR="002D007A" w:rsidRPr="00401EE5" w:rsidRDefault="002D007A" w:rsidP="002D007A">
      <w:pPr>
        <w:pStyle w:val="FootnoteText"/>
        <w:rPr>
          <w:lang w:val="en-ZW"/>
        </w:rPr>
      </w:pPr>
      <w:r>
        <w:rPr>
          <w:rStyle w:val="FootnoteReference"/>
        </w:rPr>
        <w:footnoteRef/>
      </w:r>
      <w:r>
        <w:t xml:space="preserve"> </w:t>
      </w:r>
      <w:r w:rsidR="00245E37">
        <w:t>Interim Decision</w:t>
      </w:r>
      <w:r>
        <w:t xml:space="preserve"> at 6; also, D.14-12-025 at 3, 10.</w:t>
      </w:r>
    </w:p>
  </w:footnote>
  <w:footnote w:id="13">
    <w:p w14:paraId="42445F9C" w14:textId="071AD278" w:rsidR="002D007A" w:rsidRPr="00401EE5" w:rsidRDefault="002D007A" w:rsidP="002D007A">
      <w:pPr>
        <w:pStyle w:val="FootnoteText"/>
        <w:rPr>
          <w:lang w:val="en-ZW"/>
        </w:rPr>
      </w:pPr>
      <w:r>
        <w:rPr>
          <w:rStyle w:val="FootnoteReference"/>
        </w:rPr>
        <w:footnoteRef/>
      </w:r>
      <w:r>
        <w:t xml:space="preserve"> </w:t>
      </w:r>
      <w:r w:rsidRPr="00377E1B">
        <w:rPr>
          <w:i/>
          <w:iCs/>
        </w:rPr>
        <w:t>See</w:t>
      </w:r>
      <w:r w:rsidRPr="00377E1B">
        <w:t xml:space="preserve"> </w:t>
      </w:r>
      <w:r w:rsidR="00637558">
        <w:t>Interim Decision</w:t>
      </w:r>
      <w:r w:rsidRPr="00377E1B">
        <w:t xml:space="preserve">, </w:t>
      </w:r>
      <w:r w:rsidR="00637558">
        <w:t>SA Decision</w:t>
      </w:r>
      <w:r w:rsidRPr="00377E1B">
        <w:t>, and D.21-11-009</w:t>
      </w:r>
      <w:r>
        <w:t>.</w:t>
      </w:r>
    </w:p>
  </w:footnote>
  <w:footnote w:id="14">
    <w:p w14:paraId="0A59F2DE" w14:textId="2884AFA5" w:rsidR="00541922" w:rsidRPr="00E834FB" w:rsidRDefault="00541922" w:rsidP="00541922">
      <w:pPr>
        <w:pStyle w:val="FootnoteText"/>
        <w:rPr>
          <w:lang w:val="en-ZW"/>
        </w:rPr>
      </w:pPr>
      <w:r>
        <w:rPr>
          <w:rStyle w:val="FootnoteReference"/>
        </w:rPr>
        <w:footnoteRef/>
      </w:r>
      <w:r>
        <w:t xml:space="preserve"> </w:t>
      </w:r>
      <w:r w:rsidRPr="00E834FB">
        <w:t xml:space="preserve">This section </w:t>
      </w:r>
      <w:r>
        <w:t xml:space="preserve">is intended to provide </w:t>
      </w:r>
      <w:r w:rsidRPr="00E834FB">
        <w:t>a</w:t>
      </w:r>
      <w:r>
        <w:t xml:space="preserve"> broad,</w:t>
      </w:r>
      <w:r w:rsidRPr="00E834FB">
        <w:t xml:space="preserve"> condensed summary of the Settlement Agreement</w:t>
      </w:r>
      <w:r>
        <w:t xml:space="preserve"> adopted in </w:t>
      </w:r>
      <w:r w:rsidR="00625E7D">
        <w:t>the SA Decision</w:t>
      </w:r>
      <w:r>
        <w:t xml:space="preserve">.  Additional detail and the specific provisions of the Settlement Agreement may be found in Attachment A to </w:t>
      </w:r>
      <w:r w:rsidR="00625E7D">
        <w:t>the SA Decision (</w:t>
      </w:r>
      <w:r>
        <w:t>D.18-12-014</w:t>
      </w:r>
      <w:r w:rsidR="00625E7D">
        <w:t>)</w:t>
      </w:r>
      <w:r>
        <w:t>.</w:t>
      </w:r>
    </w:p>
  </w:footnote>
  <w:footnote w:id="15">
    <w:p w14:paraId="490A4DF2" w14:textId="1E1F5744" w:rsidR="00186951" w:rsidRPr="00186951" w:rsidRDefault="00186951" w:rsidP="00113D2F">
      <w:pPr>
        <w:pStyle w:val="FootnoteText"/>
        <w:rPr>
          <w:lang w:val="en-ZW"/>
        </w:rPr>
      </w:pPr>
      <w:r>
        <w:rPr>
          <w:rStyle w:val="FootnoteReference"/>
        </w:rPr>
        <w:footnoteRef/>
      </w:r>
      <w:r>
        <w:t xml:space="preserve"> </w:t>
      </w:r>
      <w:r>
        <w:rPr>
          <w:lang w:val="en-ZW"/>
        </w:rPr>
        <w:t xml:space="preserve">A Risk Event is </w:t>
      </w:r>
      <w:r w:rsidR="00113D2F">
        <w:rPr>
          <w:lang w:val="en-ZW"/>
        </w:rPr>
        <w:t>“</w:t>
      </w:r>
      <w:r w:rsidR="00C27895">
        <w:rPr>
          <w:lang w:val="en-ZW"/>
        </w:rPr>
        <w:t>[a]</w:t>
      </w:r>
      <w:r w:rsidR="00113D2F" w:rsidRPr="00113D2F">
        <w:rPr>
          <w:lang w:val="en-ZW"/>
        </w:rPr>
        <w:t>n occurrence or change of a particular set of circumstances</w:t>
      </w:r>
      <w:r w:rsidR="00113D2F">
        <w:rPr>
          <w:lang w:val="en-ZW"/>
        </w:rPr>
        <w:t xml:space="preserve"> </w:t>
      </w:r>
      <w:r w:rsidR="00113D2F" w:rsidRPr="00113D2F">
        <w:rPr>
          <w:lang w:val="en-ZW"/>
        </w:rPr>
        <w:t>that may have potentially adverse consequences and may</w:t>
      </w:r>
      <w:r w:rsidR="00113D2F">
        <w:rPr>
          <w:lang w:val="en-ZW"/>
        </w:rPr>
        <w:t xml:space="preserve"> </w:t>
      </w:r>
      <w:r w:rsidR="00113D2F" w:rsidRPr="00113D2F">
        <w:rPr>
          <w:lang w:val="en-ZW"/>
        </w:rPr>
        <w:t>require action to address.</w:t>
      </w:r>
      <w:r w:rsidR="00113D2F">
        <w:rPr>
          <w:lang w:val="en-ZW"/>
        </w:rPr>
        <w:t>”  (</w:t>
      </w:r>
      <w:r w:rsidR="00113D2F" w:rsidRPr="00606012">
        <w:rPr>
          <w:i/>
          <w:iCs/>
          <w:lang w:val="en-ZW"/>
        </w:rPr>
        <w:t>See</w:t>
      </w:r>
      <w:r w:rsidR="00113D2F">
        <w:rPr>
          <w:lang w:val="en-ZW"/>
        </w:rPr>
        <w:t xml:space="preserve"> </w:t>
      </w:r>
      <w:r w:rsidR="00113D2F" w:rsidRPr="00113D2F">
        <w:rPr>
          <w:lang w:val="en-ZW"/>
        </w:rPr>
        <w:t xml:space="preserve">D.21-11-009, Appendix D at </w:t>
      </w:r>
      <w:r w:rsidR="00113D2F">
        <w:rPr>
          <w:lang w:val="en-ZW"/>
        </w:rPr>
        <w:t>3</w:t>
      </w:r>
      <w:r w:rsidR="00113D2F" w:rsidRPr="00113D2F">
        <w:rPr>
          <w:lang w:val="en-ZW"/>
        </w:rPr>
        <w:t>.)</w:t>
      </w:r>
    </w:p>
  </w:footnote>
  <w:footnote w:id="16">
    <w:p w14:paraId="2182CB0B" w14:textId="009C603B" w:rsidR="00E76818" w:rsidRPr="00E76818" w:rsidRDefault="00E76818" w:rsidP="00094605">
      <w:pPr>
        <w:pStyle w:val="FootnoteText"/>
        <w:rPr>
          <w:lang w:val="en-ZW"/>
        </w:rPr>
      </w:pPr>
      <w:r>
        <w:rPr>
          <w:rStyle w:val="FootnoteReference"/>
        </w:rPr>
        <w:footnoteRef/>
      </w:r>
      <w:r>
        <w:t xml:space="preserve"> </w:t>
      </w:r>
      <w:r>
        <w:rPr>
          <w:lang w:val="en-ZW"/>
        </w:rPr>
        <w:t>For example,</w:t>
      </w:r>
      <w:r w:rsidR="00B01F9F">
        <w:rPr>
          <w:lang w:val="en-ZW"/>
        </w:rPr>
        <w:t xml:space="preserve"> to</w:t>
      </w:r>
      <w:r w:rsidR="00875ADA">
        <w:rPr>
          <w:lang w:val="en-ZW"/>
        </w:rPr>
        <w:t xml:space="preserve"> </w:t>
      </w:r>
      <w:r w:rsidR="008E222F">
        <w:rPr>
          <w:lang w:val="en-ZW"/>
        </w:rPr>
        <w:t>compare</w:t>
      </w:r>
      <w:r w:rsidR="003F5A61">
        <w:rPr>
          <w:lang w:val="en-ZW"/>
        </w:rPr>
        <w:t xml:space="preserve"> the</w:t>
      </w:r>
      <w:r w:rsidR="00274467" w:rsidRPr="00274467">
        <w:rPr>
          <w:lang w:val="en-ZW"/>
        </w:rPr>
        <w:t xml:space="preserve"> </w:t>
      </w:r>
      <w:r w:rsidR="008634F8">
        <w:rPr>
          <w:lang w:val="en-ZW"/>
        </w:rPr>
        <w:t xml:space="preserve">full range of potential </w:t>
      </w:r>
      <w:r w:rsidR="00F0373B">
        <w:rPr>
          <w:lang w:val="en-ZW"/>
        </w:rPr>
        <w:t>F</w:t>
      </w:r>
      <w:r w:rsidR="008634F8">
        <w:rPr>
          <w:lang w:val="en-ZW"/>
        </w:rPr>
        <w:t xml:space="preserve">inancial </w:t>
      </w:r>
      <w:r w:rsidR="008056B1">
        <w:rPr>
          <w:lang w:val="en-ZW"/>
        </w:rPr>
        <w:t>C</w:t>
      </w:r>
      <w:r w:rsidR="008634F8">
        <w:rPr>
          <w:lang w:val="en-ZW"/>
        </w:rPr>
        <w:t xml:space="preserve">onsequences </w:t>
      </w:r>
      <w:r w:rsidR="008E222F">
        <w:rPr>
          <w:lang w:val="en-ZW"/>
        </w:rPr>
        <w:t xml:space="preserve">with </w:t>
      </w:r>
      <w:r w:rsidR="0018546B">
        <w:rPr>
          <w:lang w:val="en-ZW"/>
        </w:rPr>
        <w:t xml:space="preserve">the potential </w:t>
      </w:r>
      <w:r w:rsidR="00F0373B">
        <w:rPr>
          <w:lang w:val="en-ZW"/>
        </w:rPr>
        <w:t>R</w:t>
      </w:r>
      <w:r w:rsidR="006130B2">
        <w:rPr>
          <w:lang w:val="en-ZW"/>
        </w:rPr>
        <w:t>eliability</w:t>
      </w:r>
      <w:r w:rsidR="008634F8">
        <w:rPr>
          <w:lang w:val="en-ZW"/>
        </w:rPr>
        <w:t xml:space="preserve"> </w:t>
      </w:r>
      <w:r w:rsidR="008056B1">
        <w:rPr>
          <w:lang w:val="en-ZW"/>
        </w:rPr>
        <w:t>C</w:t>
      </w:r>
      <w:r w:rsidR="008634F8">
        <w:rPr>
          <w:lang w:val="en-ZW"/>
        </w:rPr>
        <w:t xml:space="preserve">onsequences </w:t>
      </w:r>
      <w:r w:rsidR="00DF6A28">
        <w:rPr>
          <w:lang w:val="en-ZW"/>
        </w:rPr>
        <w:t>resulting</w:t>
      </w:r>
      <w:r w:rsidR="008634F8">
        <w:rPr>
          <w:lang w:val="en-ZW"/>
        </w:rPr>
        <w:t xml:space="preserve"> from a particular </w:t>
      </w:r>
      <w:r w:rsidR="008056B1">
        <w:rPr>
          <w:lang w:val="en-ZW"/>
        </w:rPr>
        <w:t>R</w:t>
      </w:r>
      <w:r w:rsidR="008634F8">
        <w:rPr>
          <w:lang w:val="en-ZW"/>
        </w:rPr>
        <w:t xml:space="preserve">isk </w:t>
      </w:r>
      <w:r w:rsidR="008056B1">
        <w:rPr>
          <w:lang w:val="en-ZW"/>
        </w:rPr>
        <w:t>E</w:t>
      </w:r>
      <w:r w:rsidR="008634F8">
        <w:rPr>
          <w:lang w:val="en-ZW"/>
        </w:rPr>
        <w:t xml:space="preserve">vent, </w:t>
      </w:r>
      <w:r w:rsidR="001B6EA9">
        <w:rPr>
          <w:lang w:val="en-ZW"/>
        </w:rPr>
        <w:t xml:space="preserve">the </w:t>
      </w:r>
      <w:r w:rsidR="00F0373B">
        <w:rPr>
          <w:lang w:val="en-ZW"/>
        </w:rPr>
        <w:t>F</w:t>
      </w:r>
      <w:r w:rsidR="00EE00A8">
        <w:rPr>
          <w:lang w:val="en-ZW"/>
        </w:rPr>
        <w:t xml:space="preserve">inancial </w:t>
      </w:r>
      <w:r w:rsidR="008056B1">
        <w:rPr>
          <w:lang w:val="en-ZW"/>
        </w:rPr>
        <w:t>C</w:t>
      </w:r>
      <w:r w:rsidR="00EE00A8">
        <w:rPr>
          <w:lang w:val="en-ZW"/>
        </w:rPr>
        <w:t>onsequences (</w:t>
      </w:r>
      <w:r w:rsidR="008328B3">
        <w:rPr>
          <w:lang w:val="en-ZW"/>
        </w:rPr>
        <w:t>assuming a</w:t>
      </w:r>
      <w:r w:rsidR="001B6EA9">
        <w:rPr>
          <w:lang w:val="en-ZW"/>
        </w:rPr>
        <w:t xml:space="preserve"> natural unit of dollars) and </w:t>
      </w:r>
      <w:r w:rsidR="002118B5">
        <w:rPr>
          <w:lang w:val="en-ZW"/>
        </w:rPr>
        <w:t>R</w:t>
      </w:r>
      <w:r w:rsidR="006130B2">
        <w:rPr>
          <w:lang w:val="en-ZW"/>
        </w:rPr>
        <w:t>eliability</w:t>
      </w:r>
      <w:r w:rsidR="001B6EA9">
        <w:rPr>
          <w:lang w:val="en-ZW"/>
        </w:rPr>
        <w:t xml:space="preserve"> </w:t>
      </w:r>
      <w:r w:rsidR="008056B1">
        <w:rPr>
          <w:lang w:val="en-ZW"/>
        </w:rPr>
        <w:t>C</w:t>
      </w:r>
      <w:r w:rsidR="001B6EA9">
        <w:rPr>
          <w:lang w:val="en-ZW"/>
        </w:rPr>
        <w:t>onsequences (</w:t>
      </w:r>
      <w:r w:rsidR="008328B3">
        <w:rPr>
          <w:lang w:val="en-ZW"/>
        </w:rPr>
        <w:t>assuming a</w:t>
      </w:r>
      <w:r w:rsidR="00875ADA">
        <w:rPr>
          <w:lang w:val="en-ZW"/>
        </w:rPr>
        <w:t xml:space="preserve"> natural unit of </w:t>
      </w:r>
      <w:r w:rsidR="00094605" w:rsidRPr="003E39F6">
        <w:rPr>
          <w:lang w:val="en-ZW"/>
        </w:rPr>
        <w:t>Customer Minutes of Interruption</w:t>
      </w:r>
      <w:r w:rsidR="003E39F6" w:rsidRPr="003E39F6">
        <w:rPr>
          <w:lang w:val="en-ZW"/>
        </w:rPr>
        <w:t xml:space="preserve"> </w:t>
      </w:r>
      <w:r w:rsidR="00875ADA">
        <w:rPr>
          <w:lang w:val="en-ZW"/>
        </w:rPr>
        <w:t xml:space="preserve">would </w:t>
      </w:r>
      <w:r w:rsidR="004D1D0F">
        <w:rPr>
          <w:lang w:val="en-ZW"/>
        </w:rPr>
        <w:t xml:space="preserve">first </w:t>
      </w:r>
      <w:r w:rsidR="00875ADA">
        <w:rPr>
          <w:lang w:val="en-ZW"/>
        </w:rPr>
        <w:t xml:space="preserve">need to </w:t>
      </w:r>
      <w:r w:rsidR="00880401">
        <w:rPr>
          <w:lang w:val="en-ZW"/>
        </w:rPr>
        <w:t xml:space="preserve">be </w:t>
      </w:r>
      <w:r w:rsidR="001A6F45">
        <w:rPr>
          <w:lang w:val="en-ZW"/>
        </w:rPr>
        <w:t>converted</w:t>
      </w:r>
      <w:r w:rsidR="004373E6">
        <w:rPr>
          <w:lang w:val="en-ZW"/>
        </w:rPr>
        <w:t xml:space="preserve"> into a generic unitless </w:t>
      </w:r>
      <w:r w:rsidR="000C2BCB">
        <w:rPr>
          <w:lang w:val="en-ZW"/>
        </w:rPr>
        <w:t>Risk S</w:t>
      </w:r>
      <w:r w:rsidR="004373E6">
        <w:rPr>
          <w:lang w:val="en-ZW"/>
        </w:rPr>
        <w:t>cor</w:t>
      </w:r>
      <w:r w:rsidR="003004B7">
        <w:rPr>
          <w:lang w:val="en-ZW"/>
        </w:rPr>
        <w:t>e</w:t>
      </w:r>
      <w:r w:rsidR="000F7927">
        <w:rPr>
          <w:lang w:val="en-ZW"/>
        </w:rPr>
        <w:t>, or MARS</w:t>
      </w:r>
      <w:r w:rsidR="00424390">
        <w:rPr>
          <w:lang w:val="en-ZW"/>
        </w:rPr>
        <w:t>.  The</w:t>
      </w:r>
      <w:r w:rsidR="00424390" w:rsidRPr="00424390">
        <w:rPr>
          <w:lang w:val="en-ZW"/>
        </w:rPr>
        <w:t xml:space="preserve"> same unitless </w:t>
      </w:r>
      <w:r w:rsidR="000C2BCB">
        <w:rPr>
          <w:lang w:val="en-ZW"/>
        </w:rPr>
        <w:t>R</w:t>
      </w:r>
      <w:r w:rsidR="00424390" w:rsidRPr="00424390">
        <w:rPr>
          <w:lang w:val="en-ZW"/>
        </w:rPr>
        <w:t xml:space="preserve">isk </w:t>
      </w:r>
      <w:r w:rsidR="000C2BCB">
        <w:rPr>
          <w:lang w:val="en-ZW"/>
        </w:rPr>
        <w:t>S</w:t>
      </w:r>
      <w:r w:rsidR="00424390" w:rsidRPr="00424390">
        <w:rPr>
          <w:lang w:val="en-ZW"/>
        </w:rPr>
        <w:t>core could then be used</w:t>
      </w:r>
      <w:r w:rsidR="006448F4">
        <w:rPr>
          <w:lang w:val="en-ZW"/>
        </w:rPr>
        <w:t xml:space="preserve"> to </w:t>
      </w:r>
      <w:r w:rsidR="00424390" w:rsidRPr="00424390">
        <w:rPr>
          <w:lang w:val="en-ZW"/>
        </w:rPr>
        <w:t xml:space="preserve">compare different </w:t>
      </w:r>
      <w:r w:rsidR="000C2BCB">
        <w:rPr>
          <w:lang w:val="en-ZW"/>
        </w:rPr>
        <w:t>R</w:t>
      </w:r>
      <w:r w:rsidR="00424390" w:rsidRPr="00424390">
        <w:rPr>
          <w:lang w:val="en-ZW"/>
        </w:rPr>
        <w:t xml:space="preserve">isks and their respective </w:t>
      </w:r>
      <w:r w:rsidR="00C50294">
        <w:rPr>
          <w:lang w:val="en-ZW"/>
        </w:rPr>
        <w:t>M</w:t>
      </w:r>
      <w:r w:rsidR="00424390" w:rsidRPr="00424390">
        <w:rPr>
          <w:lang w:val="en-ZW"/>
        </w:rPr>
        <w:t xml:space="preserve">itigations.  </w:t>
      </w:r>
    </w:p>
  </w:footnote>
  <w:footnote w:id="17">
    <w:p w14:paraId="46FAD92F" w14:textId="0393EDCB" w:rsidR="002E6CA4" w:rsidRPr="002E6CA4" w:rsidRDefault="002E6CA4">
      <w:pPr>
        <w:pStyle w:val="FootnoteText"/>
        <w:rPr>
          <w:lang w:val="en-ZW"/>
        </w:rPr>
      </w:pPr>
      <w:r>
        <w:rPr>
          <w:rStyle w:val="FootnoteReference"/>
        </w:rPr>
        <w:footnoteRef/>
      </w:r>
      <w:r>
        <w:t xml:space="preserve"> </w:t>
      </w:r>
      <w:r>
        <w:rPr>
          <w:lang w:val="en-ZW"/>
        </w:rPr>
        <w:t>A</w:t>
      </w:r>
      <w:r w:rsidR="0065301E">
        <w:rPr>
          <w:lang w:val="en-ZW"/>
        </w:rPr>
        <w:t xml:space="preserve">n </w:t>
      </w:r>
      <w:r w:rsidR="000C3C51">
        <w:rPr>
          <w:lang w:val="en-ZW"/>
        </w:rPr>
        <w:t>A</w:t>
      </w:r>
      <w:r>
        <w:rPr>
          <w:lang w:val="en-ZW"/>
        </w:rPr>
        <w:t>ttribute</w:t>
      </w:r>
      <w:r w:rsidR="0065301E">
        <w:rPr>
          <w:lang w:val="en-ZW"/>
        </w:rPr>
        <w:t xml:space="preserve"> is </w:t>
      </w:r>
      <w:r w:rsidR="00E5484A">
        <w:rPr>
          <w:lang w:val="en-ZW"/>
        </w:rPr>
        <w:t>“an observable aspect of a risky situation that has value or reflects a utility objective</w:t>
      </w:r>
      <w:r w:rsidR="005E33BB">
        <w:rPr>
          <w:lang w:val="en-ZW"/>
        </w:rPr>
        <w:t xml:space="preserve">, such as safety or reliability.  Changes in the </w:t>
      </w:r>
      <w:r w:rsidR="000C3C51">
        <w:rPr>
          <w:lang w:val="en-ZW"/>
        </w:rPr>
        <w:t>L</w:t>
      </w:r>
      <w:r w:rsidR="005E33BB">
        <w:rPr>
          <w:lang w:val="en-ZW"/>
        </w:rPr>
        <w:t>evel of</w:t>
      </w:r>
      <w:r w:rsidR="00EB05EA">
        <w:rPr>
          <w:lang w:val="en-ZW"/>
        </w:rPr>
        <w:t xml:space="preserve"> </w:t>
      </w:r>
      <w:r w:rsidR="000C3C51">
        <w:rPr>
          <w:lang w:val="en-ZW"/>
        </w:rPr>
        <w:t>A</w:t>
      </w:r>
      <w:r w:rsidR="00EB05EA">
        <w:rPr>
          <w:lang w:val="en-ZW"/>
        </w:rPr>
        <w:t xml:space="preserve">ttributes are used to determine the </w:t>
      </w:r>
      <w:r w:rsidR="000C3C51">
        <w:rPr>
          <w:lang w:val="en-ZW"/>
        </w:rPr>
        <w:t>C</w:t>
      </w:r>
      <w:r w:rsidR="00EB05EA">
        <w:rPr>
          <w:lang w:val="en-ZW"/>
        </w:rPr>
        <w:t xml:space="preserve">onsequences of a Risk Event.  The </w:t>
      </w:r>
      <w:r w:rsidR="000C3C51">
        <w:rPr>
          <w:lang w:val="en-ZW"/>
        </w:rPr>
        <w:t>A</w:t>
      </w:r>
      <w:r w:rsidR="00EB05EA">
        <w:rPr>
          <w:lang w:val="en-ZW"/>
        </w:rPr>
        <w:t>ttributes in a</w:t>
      </w:r>
      <w:r w:rsidR="002355FB">
        <w:rPr>
          <w:lang w:val="en-ZW"/>
        </w:rPr>
        <w:t>n</w:t>
      </w:r>
      <w:r w:rsidR="00EB05EA">
        <w:rPr>
          <w:lang w:val="en-ZW"/>
        </w:rPr>
        <w:t xml:space="preserve"> MAVF </w:t>
      </w:r>
      <w:r w:rsidR="008E1703">
        <w:rPr>
          <w:lang w:val="en-ZW"/>
        </w:rPr>
        <w:t>should cover the reasons that a utility would undertake risk mitigation activities.”  (</w:t>
      </w:r>
      <w:r w:rsidR="008E1703" w:rsidRPr="00C00385">
        <w:rPr>
          <w:i/>
          <w:iCs/>
          <w:lang w:val="en-ZW"/>
        </w:rPr>
        <w:t>See</w:t>
      </w:r>
      <w:r w:rsidR="008E1703">
        <w:rPr>
          <w:lang w:val="en-ZW"/>
        </w:rPr>
        <w:t xml:space="preserve"> </w:t>
      </w:r>
      <w:r w:rsidR="00C00385">
        <w:rPr>
          <w:lang w:val="en-ZW"/>
        </w:rPr>
        <w:t>D.21-11-009, Appendix D at 1.)</w:t>
      </w:r>
    </w:p>
  </w:footnote>
  <w:footnote w:id="18">
    <w:p w14:paraId="206AC3E2" w14:textId="77777777" w:rsidR="00E60C16" w:rsidRPr="00E60C16" w:rsidRDefault="00E60C16">
      <w:pPr>
        <w:pStyle w:val="FootnoteText"/>
        <w:rPr>
          <w:lang w:val="en-ZW"/>
        </w:rPr>
      </w:pPr>
      <w:r>
        <w:rPr>
          <w:rStyle w:val="FootnoteReference"/>
        </w:rPr>
        <w:footnoteRef/>
      </w:r>
      <w:r>
        <w:t xml:space="preserve"> </w:t>
      </w:r>
      <w:r>
        <w:rPr>
          <w:lang w:val="en-ZW"/>
        </w:rPr>
        <w:t>CMI</w:t>
      </w:r>
      <w:r w:rsidR="00657617">
        <w:rPr>
          <w:lang w:val="en-ZW"/>
        </w:rPr>
        <w:t xml:space="preserve"> </w:t>
      </w:r>
      <w:r w:rsidR="00C7031F">
        <w:rPr>
          <w:lang w:val="en-ZW"/>
        </w:rPr>
        <w:t xml:space="preserve">is the </w:t>
      </w:r>
      <w:r w:rsidR="00C7031F" w:rsidRPr="00C7031F">
        <w:rPr>
          <w:lang w:val="en-ZW"/>
        </w:rPr>
        <w:t>number of minutes of interrupted customer electric service, defined in IEEE Standard P1366.</w:t>
      </w:r>
      <w:r w:rsidR="00C7031F">
        <w:rPr>
          <w:lang w:val="en-ZW"/>
        </w:rPr>
        <w:t xml:space="preserve">  (</w:t>
      </w:r>
      <w:r w:rsidR="00C7031F" w:rsidRPr="000368C0">
        <w:rPr>
          <w:i/>
          <w:iCs/>
          <w:lang w:val="en-ZW"/>
        </w:rPr>
        <w:t>See</w:t>
      </w:r>
      <w:r w:rsidR="00C7031F">
        <w:rPr>
          <w:lang w:val="en-ZW"/>
        </w:rPr>
        <w:t xml:space="preserve"> Staff Proposal </w:t>
      </w:r>
      <w:r w:rsidR="000368C0">
        <w:rPr>
          <w:lang w:val="en-ZW"/>
        </w:rPr>
        <w:t>at iv, footnote 9.)</w:t>
      </w:r>
    </w:p>
  </w:footnote>
  <w:footnote w:id="19">
    <w:p w14:paraId="24F83DFA" w14:textId="55CE6B31" w:rsidR="00870680" w:rsidRPr="00870680" w:rsidRDefault="00870680">
      <w:pPr>
        <w:pStyle w:val="FootnoteText"/>
        <w:rPr>
          <w:lang w:val="en-ZW"/>
        </w:rPr>
      </w:pPr>
      <w:r>
        <w:rPr>
          <w:rStyle w:val="FootnoteReference"/>
        </w:rPr>
        <w:footnoteRef/>
      </w:r>
      <w:r>
        <w:t xml:space="preserve"> </w:t>
      </w:r>
      <w:r w:rsidR="00934E3C">
        <w:rPr>
          <w:lang w:val="en-ZW"/>
        </w:rPr>
        <w:t xml:space="preserve">MAVF Principle 3 addresses </w:t>
      </w:r>
      <w:r w:rsidR="002A0162">
        <w:rPr>
          <w:lang w:val="en-ZW"/>
        </w:rPr>
        <w:t>A</w:t>
      </w:r>
      <w:r w:rsidR="00BE7BF0">
        <w:rPr>
          <w:lang w:val="en-ZW"/>
        </w:rPr>
        <w:t xml:space="preserve">ttributes that are necessary but </w:t>
      </w:r>
      <w:r w:rsidR="00160858">
        <w:rPr>
          <w:lang w:val="en-ZW"/>
        </w:rPr>
        <w:t xml:space="preserve">are </w:t>
      </w:r>
      <w:r w:rsidR="00BE7BF0">
        <w:rPr>
          <w:lang w:val="en-ZW"/>
        </w:rPr>
        <w:t xml:space="preserve">not </w:t>
      </w:r>
      <w:r w:rsidR="00CF5CCE">
        <w:rPr>
          <w:lang w:val="en-ZW"/>
        </w:rPr>
        <w:t xml:space="preserve">directly measurable. </w:t>
      </w:r>
    </w:p>
  </w:footnote>
  <w:footnote w:id="20">
    <w:p w14:paraId="1AAF3D53" w14:textId="183200E7" w:rsidR="00CB58C7" w:rsidRPr="00CB58C7" w:rsidRDefault="00CB58C7">
      <w:pPr>
        <w:pStyle w:val="FootnoteText"/>
        <w:rPr>
          <w:lang w:val="en-ZW"/>
        </w:rPr>
      </w:pPr>
      <w:r>
        <w:rPr>
          <w:rStyle w:val="FootnoteReference"/>
        </w:rPr>
        <w:footnoteRef/>
      </w:r>
      <w:r>
        <w:t xml:space="preserve"> </w:t>
      </w:r>
      <w:r w:rsidR="00C62A2B">
        <w:t>SA Decision</w:t>
      </w:r>
      <w:r w:rsidR="00A761DA">
        <w:t xml:space="preserve"> </w:t>
      </w:r>
      <w:r w:rsidR="00EC0971">
        <w:t>O</w:t>
      </w:r>
      <w:r w:rsidR="00E275CC">
        <w:t xml:space="preserve">rdering </w:t>
      </w:r>
      <w:r w:rsidR="00EC0971">
        <w:t>P</w:t>
      </w:r>
      <w:r w:rsidR="00E275CC">
        <w:t>aragraph</w:t>
      </w:r>
      <w:r w:rsidR="00EC0971">
        <w:t xml:space="preserve"> 2.</w:t>
      </w:r>
      <w:r w:rsidR="00E275CC">
        <w:t xml:space="preserve"> </w:t>
      </w:r>
    </w:p>
  </w:footnote>
  <w:footnote w:id="21">
    <w:p w14:paraId="2736CBA3" w14:textId="7BD4790D" w:rsidR="00D72F35" w:rsidRDefault="00D72F35">
      <w:pPr>
        <w:pStyle w:val="FootnoteText"/>
      </w:pPr>
      <w:r>
        <w:rPr>
          <w:rStyle w:val="FootnoteReference"/>
        </w:rPr>
        <w:footnoteRef/>
      </w:r>
      <w:r>
        <w:t xml:space="preserve"> </w:t>
      </w:r>
      <w:r w:rsidR="009137A5">
        <w:t xml:space="preserve">Staff Proposal at 19. </w:t>
      </w:r>
    </w:p>
  </w:footnote>
  <w:footnote w:id="22">
    <w:p w14:paraId="7625CE4C" w14:textId="0FBD0CA3" w:rsidR="0031579C" w:rsidRPr="0031579C" w:rsidRDefault="0031579C" w:rsidP="00C909A9">
      <w:pPr>
        <w:pStyle w:val="FootnoteText"/>
        <w:rPr>
          <w:lang w:val="en-ZW"/>
        </w:rPr>
      </w:pPr>
      <w:r>
        <w:rPr>
          <w:rStyle w:val="FootnoteReference"/>
        </w:rPr>
        <w:footnoteRef/>
      </w:r>
      <w:r>
        <w:t xml:space="preserve"> </w:t>
      </w:r>
      <w:r w:rsidR="005C1E43">
        <w:rPr>
          <w:lang w:val="en-ZW"/>
        </w:rPr>
        <w:t xml:space="preserve">To facilitate the risk calculation, a </w:t>
      </w:r>
      <w:r w:rsidR="00886E46">
        <w:rPr>
          <w:lang w:val="en-ZW"/>
        </w:rPr>
        <w:t>B</w:t>
      </w:r>
      <w:r w:rsidR="005C1E43">
        <w:rPr>
          <w:lang w:val="en-ZW"/>
        </w:rPr>
        <w:t xml:space="preserve">ow </w:t>
      </w:r>
      <w:r w:rsidR="00886E46">
        <w:rPr>
          <w:lang w:val="en-ZW"/>
        </w:rPr>
        <w:t>T</w:t>
      </w:r>
      <w:r w:rsidR="005C1E43">
        <w:rPr>
          <w:lang w:val="en-ZW"/>
        </w:rPr>
        <w:t xml:space="preserve">ie analysis is used.  The </w:t>
      </w:r>
      <w:r w:rsidR="00886E46">
        <w:rPr>
          <w:lang w:val="en-ZW"/>
        </w:rPr>
        <w:t>B</w:t>
      </w:r>
      <w:r w:rsidR="00C909A9">
        <w:rPr>
          <w:lang w:val="en-ZW"/>
        </w:rPr>
        <w:t xml:space="preserve">ow </w:t>
      </w:r>
      <w:r w:rsidR="00886E46">
        <w:rPr>
          <w:lang w:val="en-ZW"/>
        </w:rPr>
        <w:t>T</w:t>
      </w:r>
      <w:r w:rsidR="00C909A9">
        <w:rPr>
          <w:lang w:val="en-ZW"/>
        </w:rPr>
        <w:t xml:space="preserve">ie </w:t>
      </w:r>
      <w:r w:rsidR="00A27CD9">
        <w:rPr>
          <w:lang w:val="en-ZW"/>
        </w:rPr>
        <w:t>consists</w:t>
      </w:r>
      <w:r w:rsidR="007E1F4C">
        <w:rPr>
          <w:lang w:val="en-ZW"/>
        </w:rPr>
        <w:t xml:space="preserve"> of </w:t>
      </w:r>
      <w:r w:rsidR="00F82CB6">
        <w:rPr>
          <w:lang w:val="en-ZW"/>
        </w:rPr>
        <w:t>“</w:t>
      </w:r>
      <w:r w:rsidR="00A27CD9">
        <w:rPr>
          <w:lang w:val="en-ZW"/>
        </w:rPr>
        <w:t>a</w:t>
      </w:r>
      <w:r w:rsidR="00C909A9" w:rsidRPr="00C909A9">
        <w:rPr>
          <w:lang w:val="en-ZW"/>
        </w:rPr>
        <w:t xml:space="preserve"> </w:t>
      </w:r>
      <w:r w:rsidR="00F82CB6">
        <w:rPr>
          <w:lang w:val="en-ZW"/>
        </w:rPr>
        <w:t>R</w:t>
      </w:r>
      <w:r w:rsidR="00C909A9" w:rsidRPr="00C909A9">
        <w:rPr>
          <w:lang w:val="en-ZW"/>
        </w:rPr>
        <w:t xml:space="preserve">isk </w:t>
      </w:r>
      <w:r w:rsidR="00F82CB6">
        <w:rPr>
          <w:lang w:val="en-ZW"/>
        </w:rPr>
        <w:t>E</w:t>
      </w:r>
      <w:r w:rsidR="00C909A9" w:rsidRPr="00C909A9">
        <w:rPr>
          <w:lang w:val="en-ZW"/>
        </w:rPr>
        <w:t>vent in the center, a listing of</w:t>
      </w:r>
      <w:r w:rsidR="00C909A9">
        <w:rPr>
          <w:lang w:val="en-ZW"/>
        </w:rPr>
        <w:t xml:space="preserve"> </w:t>
      </w:r>
      <w:r w:rsidR="007B259F">
        <w:rPr>
          <w:lang w:val="en-ZW"/>
        </w:rPr>
        <w:t>D</w:t>
      </w:r>
      <w:r w:rsidR="00C909A9" w:rsidRPr="00C909A9">
        <w:rPr>
          <w:lang w:val="en-ZW"/>
        </w:rPr>
        <w:t xml:space="preserve">rivers on the left side that potentially lead to the </w:t>
      </w:r>
      <w:r w:rsidR="00F82CB6">
        <w:rPr>
          <w:lang w:val="en-ZW"/>
        </w:rPr>
        <w:t>R</w:t>
      </w:r>
      <w:r w:rsidR="00C909A9" w:rsidRPr="00C909A9">
        <w:rPr>
          <w:lang w:val="en-ZW"/>
        </w:rPr>
        <w:t xml:space="preserve">isk </w:t>
      </w:r>
      <w:r w:rsidR="00F82CB6">
        <w:rPr>
          <w:lang w:val="en-ZW"/>
        </w:rPr>
        <w:t>E</w:t>
      </w:r>
      <w:r w:rsidR="00C909A9" w:rsidRPr="00C909A9">
        <w:rPr>
          <w:lang w:val="en-ZW"/>
        </w:rPr>
        <w:t>vent</w:t>
      </w:r>
      <w:r w:rsidR="00C909A9">
        <w:rPr>
          <w:lang w:val="en-ZW"/>
        </w:rPr>
        <w:t xml:space="preserve"> </w:t>
      </w:r>
      <w:r w:rsidR="00C909A9" w:rsidRPr="00C909A9">
        <w:rPr>
          <w:lang w:val="en-ZW"/>
        </w:rPr>
        <w:t xml:space="preserve">occurring, and a listing of </w:t>
      </w:r>
      <w:r w:rsidR="007B259F">
        <w:rPr>
          <w:lang w:val="en-ZW"/>
        </w:rPr>
        <w:t>C</w:t>
      </w:r>
      <w:r w:rsidR="00C909A9" w:rsidRPr="00C909A9">
        <w:rPr>
          <w:lang w:val="en-ZW"/>
        </w:rPr>
        <w:t>onsequences on the right side</w:t>
      </w:r>
      <w:r w:rsidR="00C909A9">
        <w:rPr>
          <w:lang w:val="en-ZW"/>
        </w:rPr>
        <w:t xml:space="preserve"> </w:t>
      </w:r>
      <w:r w:rsidR="00C909A9" w:rsidRPr="00C909A9">
        <w:rPr>
          <w:lang w:val="en-ZW"/>
        </w:rPr>
        <w:t xml:space="preserve">that show the potential </w:t>
      </w:r>
      <w:r w:rsidR="007B259F">
        <w:rPr>
          <w:lang w:val="en-ZW"/>
        </w:rPr>
        <w:t>O</w:t>
      </w:r>
      <w:r w:rsidR="00C909A9" w:rsidRPr="00C909A9">
        <w:rPr>
          <w:lang w:val="en-ZW"/>
        </w:rPr>
        <w:t xml:space="preserve">utcomes if the </w:t>
      </w:r>
      <w:r w:rsidR="00F82CB6">
        <w:rPr>
          <w:lang w:val="en-ZW"/>
        </w:rPr>
        <w:t>R</w:t>
      </w:r>
      <w:r w:rsidR="00C909A9" w:rsidRPr="00C909A9">
        <w:rPr>
          <w:lang w:val="en-ZW"/>
        </w:rPr>
        <w:t xml:space="preserve">isk </w:t>
      </w:r>
      <w:r w:rsidR="00F82CB6">
        <w:rPr>
          <w:lang w:val="en-ZW"/>
        </w:rPr>
        <w:t>E</w:t>
      </w:r>
      <w:r w:rsidR="00C909A9" w:rsidRPr="00C909A9">
        <w:rPr>
          <w:lang w:val="en-ZW"/>
        </w:rPr>
        <w:t>vent occurs.</w:t>
      </w:r>
      <w:r w:rsidR="00F82CB6">
        <w:rPr>
          <w:lang w:val="en-ZW"/>
        </w:rPr>
        <w:t>”</w:t>
      </w:r>
      <w:r w:rsidR="00A92A38">
        <w:rPr>
          <w:lang w:val="en-ZW"/>
        </w:rPr>
        <w:t xml:space="preserve"> </w:t>
      </w:r>
      <w:r w:rsidR="00170630">
        <w:rPr>
          <w:lang w:val="en-ZW"/>
        </w:rPr>
        <w:t xml:space="preserve"> </w:t>
      </w:r>
      <w:r w:rsidR="00A92A38">
        <w:rPr>
          <w:lang w:val="en-ZW"/>
        </w:rPr>
        <w:t>(</w:t>
      </w:r>
      <w:r w:rsidR="00A92A38" w:rsidRPr="007C1778">
        <w:rPr>
          <w:i/>
          <w:iCs/>
          <w:lang w:val="en-ZW"/>
        </w:rPr>
        <w:t xml:space="preserve">See </w:t>
      </w:r>
      <w:r w:rsidR="00FE1C4B">
        <w:rPr>
          <w:lang w:val="en-ZW"/>
        </w:rPr>
        <w:t>D.21-11-009, Appendix D at 1</w:t>
      </w:r>
      <w:r w:rsidR="007C1778">
        <w:rPr>
          <w:lang w:val="en-ZW"/>
        </w:rPr>
        <w:t>.</w:t>
      </w:r>
      <w:r w:rsidR="00FE1C4B">
        <w:rPr>
          <w:lang w:val="en-ZW"/>
        </w:rPr>
        <w:t>)</w:t>
      </w:r>
    </w:p>
  </w:footnote>
  <w:footnote w:id="23">
    <w:p w14:paraId="544B20B2" w14:textId="77777777" w:rsidR="00BF7639" w:rsidRPr="007E6916" w:rsidRDefault="00BF7639" w:rsidP="00BF7639">
      <w:pPr>
        <w:pStyle w:val="FootnoteText"/>
        <w:rPr>
          <w:lang w:val="en-ZW"/>
        </w:rPr>
      </w:pPr>
      <w:r>
        <w:rPr>
          <w:rStyle w:val="FootnoteReference"/>
        </w:rPr>
        <w:footnoteRef/>
      </w:r>
      <w:r>
        <w:t xml:space="preserve"> </w:t>
      </w:r>
      <w:r>
        <w:rPr>
          <w:lang w:val="en-ZW"/>
        </w:rPr>
        <w:t>Staff Proposal at i-iii.</w:t>
      </w:r>
    </w:p>
  </w:footnote>
  <w:footnote w:id="24">
    <w:p w14:paraId="312FCE57" w14:textId="18EB83D5" w:rsidR="003826D8" w:rsidRDefault="003826D8">
      <w:pPr>
        <w:pStyle w:val="FootnoteText"/>
      </w:pPr>
      <w:r>
        <w:rPr>
          <w:rStyle w:val="FootnoteReference"/>
        </w:rPr>
        <w:footnoteRef/>
      </w:r>
      <w:r>
        <w:t xml:space="preserve"> </w:t>
      </w:r>
      <w:r w:rsidR="00D45C95">
        <w:rPr>
          <w:i/>
          <w:iCs/>
        </w:rPr>
        <w:t>Id.</w:t>
      </w:r>
      <w:r>
        <w:t xml:space="preserve"> at 27. </w:t>
      </w:r>
    </w:p>
  </w:footnote>
  <w:footnote w:id="25">
    <w:p w14:paraId="076BD8A3" w14:textId="1E2D442B" w:rsidR="00ED1AFE" w:rsidRPr="00ED1AFE" w:rsidRDefault="00ED1AFE">
      <w:pPr>
        <w:pStyle w:val="FootnoteText"/>
        <w:rPr>
          <w:lang w:val="en-ZW"/>
        </w:rPr>
      </w:pPr>
      <w:r>
        <w:rPr>
          <w:rStyle w:val="FootnoteReference"/>
        </w:rPr>
        <w:footnoteRef/>
      </w:r>
      <w:r>
        <w:t xml:space="preserve"> </w:t>
      </w:r>
      <w:r w:rsidR="00D45C95">
        <w:rPr>
          <w:i/>
          <w:iCs/>
        </w:rPr>
        <w:t>Id.</w:t>
      </w:r>
      <w:r w:rsidR="00565439">
        <w:rPr>
          <w:lang w:val="en-ZW"/>
        </w:rPr>
        <w:t xml:space="preserve"> </w:t>
      </w:r>
      <w:r w:rsidR="00472B42">
        <w:rPr>
          <w:lang w:val="en-ZW"/>
        </w:rPr>
        <w:t>at</w:t>
      </w:r>
      <w:r>
        <w:rPr>
          <w:lang w:val="en-ZW"/>
        </w:rPr>
        <w:t xml:space="preserve"> </w:t>
      </w:r>
      <w:r w:rsidR="00904BD6">
        <w:rPr>
          <w:lang w:val="en-ZW"/>
        </w:rPr>
        <w:t xml:space="preserve">6-7.  Table 2 </w:t>
      </w:r>
      <w:r w:rsidR="00557B31">
        <w:rPr>
          <w:lang w:val="en-ZW"/>
        </w:rPr>
        <w:t xml:space="preserve">includes </w:t>
      </w:r>
      <w:r w:rsidR="00904BD6">
        <w:rPr>
          <w:lang w:val="en-ZW"/>
        </w:rPr>
        <w:t>minor mathematical corrections</w:t>
      </w:r>
      <w:r w:rsidR="00557B31">
        <w:rPr>
          <w:lang w:val="en-ZW"/>
        </w:rPr>
        <w:t xml:space="preserve"> </w:t>
      </w:r>
      <w:r w:rsidR="009F0839">
        <w:rPr>
          <w:lang w:val="en-ZW"/>
        </w:rPr>
        <w:t xml:space="preserve">to the </w:t>
      </w:r>
      <w:r w:rsidR="0053459E">
        <w:rPr>
          <w:lang w:val="en-ZW"/>
        </w:rPr>
        <w:t>F</w:t>
      </w:r>
      <w:r w:rsidR="009F0839">
        <w:rPr>
          <w:lang w:val="en-ZW"/>
        </w:rPr>
        <w:t xml:space="preserve">inancial </w:t>
      </w:r>
      <w:r w:rsidR="0053459E">
        <w:rPr>
          <w:lang w:val="en-ZW"/>
        </w:rPr>
        <w:t>A</w:t>
      </w:r>
      <w:r w:rsidR="009F0839">
        <w:rPr>
          <w:lang w:val="en-ZW"/>
        </w:rPr>
        <w:t>ttribute calculation</w:t>
      </w:r>
      <w:r w:rsidR="009372EA">
        <w:rPr>
          <w:lang w:val="en-ZW"/>
        </w:rPr>
        <w:t>.</w:t>
      </w:r>
      <w:r w:rsidR="00557B31">
        <w:rPr>
          <w:lang w:val="en-ZW"/>
        </w:rPr>
        <w:t xml:space="preserve"> </w:t>
      </w:r>
    </w:p>
  </w:footnote>
  <w:footnote w:id="26">
    <w:p w14:paraId="216977A9" w14:textId="499CEB87" w:rsidR="00030AA2" w:rsidRDefault="00030AA2">
      <w:pPr>
        <w:pStyle w:val="FootnoteText"/>
      </w:pPr>
      <w:r>
        <w:rPr>
          <w:rStyle w:val="FootnoteReference"/>
        </w:rPr>
        <w:footnoteRef/>
      </w:r>
      <w:r>
        <w:t xml:space="preserve"> </w:t>
      </w:r>
      <w:r w:rsidR="00D45C95" w:rsidRPr="00604550">
        <w:rPr>
          <w:i/>
          <w:iCs/>
        </w:rPr>
        <w:t>Id.</w:t>
      </w:r>
      <w:r>
        <w:t xml:space="preserve"> at 6. </w:t>
      </w:r>
    </w:p>
  </w:footnote>
  <w:footnote w:id="27">
    <w:p w14:paraId="6FD27F32" w14:textId="240485F1" w:rsidR="00030AA2" w:rsidRDefault="00030AA2">
      <w:pPr>
        <w:pStyle w:val="FootnoteText"/>
      </w:pPr>
      <w:r>
        <w:rPr>
          <w:rStyle w:val="FootnoteReference"/>
        </w:rPr>
        <w:footnoteRef/>
      </w:r>
      <w:r>
        <w:t xml:space="preserve"> </w:t>
      </w:r>
      <w:r w:rsidR="00D45C95" w:rsidRPr="00604550">
        <w:rPr>
          <w:i/>
          <w:iCs/>
        </w:rPr>
        <w:t>Id.</w:t>
      </w:r>
      <w:r>
        <w:t xml:space="preserve"> at 7.</w:t>
      </w:r>
    </w:p>
  </w:footnote>
  <w:footnote w:id="28">
    <w:p w14:paraId="5C381225" w14:textId="5C93379B" w:rsidR="00EE2572" w:rsidRDefault="00EE2572">
      <w:pPr>
        <w:pStyle w:val="FootnoteText"/>
      </w:pPr>
      <w:r>
        <w:rPr>
          <w:rStyle w:val="FootnoteReference"/>
        </w:rPr>
        <w:footnoteRef/>
      </w:r>
      <w:r>
        <w:t xml:space="preserve"> </w:t>
      </w:r>
      <w:r w:rsidR="00D45C95" w:rsidRPr="00604550">
        <w:rPr>
          <w:i/>
          <w:iCs/>
        </w:rPr>
        <w:t>Id.</w:t>
      </w:r>
      <w:r>
        <w:t xml:space="preserve"> at 6-8.</w:t>
      </w:r>
    </w:p>
  </w:footnote>
  <w:footnote w:id="29">
    <w:p w14:paraId="4355E7A1" w14:textId="64F3AD5A" w:rsidR="00E86FAB" w:rsidRPr="00E86FAB" w:rsidRDefault="00E86FAB">
      <w:pPr>
        <w:pStyle w:val="FootnoteText"/>
        <w:rPr>
          <w:lang w:val="en-ZW"/>
        </w:rPr>
      </w:pPr>
      <w:r>
        <w:rPr>
          <w:rStyle w:val="FootnoteReference"/>
        </w:rPr>
        <w:footnoteRef/>
      </w:r>
      <w:r>
        <w:t xml:space="preserve"> </w:t>
      </w:r>
      <w:r w:rsidRPr="00E86FAB">
        <w:rPr>
          <w:i/>
          <w:iCs/>
          <w:lang w:val="en-ZW"/>
        </w:rPr>
        <w:t>See</w:t>
      </w:r>
      <w:r>
        <w:rPr>
          <w:lang w:val="en-ZW"/>
        </w:rPr>
        <w:t xml:space="preserve"> </w:t>
      </w:r>
      <w:r w:rsidR="00290A61">
        <w:rPr>
          <w:lang w:val="en-ZW"/>
        </w:rPr>
        <w:t>SA Decision</w:t>
      </w:r>
      <w:r>
        <w:rPr>
          <w:lang w:val="en-ZW"/>
        </w:rPr>
        <w:t xml:space="preserve"> O</w:t>
      </w:r>
      <w:r w:rsidR="00E275CC">
        <w:rPr>
          <w:lang w:val="en-ZW"/>
        </w:rPr>
        <w:t xml:space="preserve">rdering </w:t>
      </w:r>
      <w:r>
        <w:rPr>
          <w:lang w:val="en-ZW"/>
        </w:rPr>
        <w:t>P</w:t>
      </w:r>
      <w:r w:rsidR="00E275CC">
        <w:rPr>
          <w:lang w:val="en-ZW"/>
        </w:rPr>
        <w:t>arag</w:t>
      </w:r>
      <w:r w:rsidR="00DE236A">
        <w:rPr>
          <w:lang w:val="en-ZW"/>
        </w:rPr>
        <w:t>r</w:t>
      </w:r>
      <w:r w:rsidR="00E275CC">
        <w:rPr>
          <w:lang w:val="en-ZW"/>
        </w:rPr>
        <w:t>aph</w:t>
      </w:r>
      <w:r>
        <w:rPr>
          <w:lang w:val="en-ZW"/>
        </w:rPr>
        <w:t xml:space="preserve"> 2.</w:t>
      </w:r>
    </w:p>
  </w:footnote>
  <w:footnote w:id="30">
    <w:p w14:paraId="2CC94FF1" w14:textId="5E2E7097" w:rsidR="00D61DE8" w:rsidRPr="00D61DE8" w:rsidRDefault="00D61DE8">
      <w:pPr>
        <w:pStyle w:val="FootnoteText"/>
        <w:rPr>
          <w:lang w:val="en-ZW"/>
        </w:rPr>
      </w:pPr>
      <w:r>
        <w:rPr>
          <w:rStyle w:val="FootnoteReference"/>
        </w:rPr>
        <w:footnoteRef/>
      </w:r>
      <w:r>
        <w:t xml:space="preserve"> </w:t>
      </w:r>
      <w:r w:rsidR="004A51B6">
        <w:t xml:space="preserve">Staff </w:t>
      </w:r>
      <w:r w:rsidR="004A57F6">
        <w:t>Proposal at 11</w:t>
      </w:r>
      <w:r w:rsidR="00F86A3C">
        <w:t xml:space="preserve">.  The Staff Proposal at 11 </w:t>
      </w:r>
      <w:r w:rsidR="004A51B6">
        <w:t>point</w:t>
      </w:r>
      <w:r w:rsidR="004A57F6">
        <w:t>s</w:t>
      </w:r>
      <w:r w:rsidR="004A51B6">
        <w:t xml:space="preserve"> to recent IOU RAMP filings </w:t>
      </w:r>
      <w:r w:rsidR="0092793D">
        <w:t>in A.20</w:t>
      </w:r>
      <w:r w:rsidR="00F23583">
        <w:noBreakHyphen/>
      </w:r>
      <w:r w:rsidR="0092793D">
        <w:t>06</w:t>
      </w:r>
      <w:r w:rsidR="00F23583">
        <w:noBreakHyphen/>
      </w:r>
      <w:r w:rsidR="0092793D">
        <w:t xml:space="preserve">012 and A.21-05-011 </w:t>
      </w:r>
      <w:r w:rsidR="00B112C6">
        <w:t>which</w:t>
      </w:r>
      <w:r w:rsidR="001F3E98">
        <w:t xml:space="preserve"> contain</w:t>
      </w:r>
      <w:r w:rsidR="00826BEB">
        <w:t xml:space="preserve"> an implied </w:t>
      </w:r>
      <w:r w:rsidR="0067221D">
        <w:t xml:space="preserve">VSL </w:t>
      </w:r>
      <w:r w:rsidR="00191F2D">
        <w:t xml:space="preserve">nearly </w:t>
      </w:r>
      <w:r w:rsidR="00156A1D">
        <w:t>10</w:t>
      </w:r>
      <w:r w:rsidR="00191F2D">
        <w:t xml:space="preserve"> times higher </w:t>
      </w:r>
      <w:r w:rsidR="00C07A0A">
        <w:t>than the methodology suggested by the U.S. Department of Transportation</w:t>
      </w:r>
      <w:r w:rsidR="008338A0">
        <w:t xml:space="preserve"> (DOT)</w:t>
      </w:r>
      <w:r w:rsidR="00C07A0A">
        <w:t xml:space="preserve">, </w:t>
      </w:r>
      <w:r w:rsidR="0067221D" w:rsidRPr="0067221D">
        <w:t>a</w:t>
      </w:r>
      <w:r w:rsidR="0067221D">
        <w:t xml:space="preserve">nd between </w:t>
      </w:r>
      <w:r w:rsidR="0067221D" w:rsidRPr="0067221D">
        <w:t xml:space="preserve">six to </w:t>
      </w:r>
      <w:r w:rsidR="0067221D">
        <w:t>eighteen</w:t>
      </w:r>
      <w:r w:rsidR="0067221D" w:rsidRPr="0067221D">
        <w:t xml:space="preserve"> times higher than the top and bottom of the VSL range suggested by </w:t>
      </w:r>
      <w:r w:rsidR="00426C76">
        <w:t xml:space="preserve">the </w:t>
      </w:r>
      <w:r w:rsidR="00426C76" w:rsidRPr="00426C76">
        <w:t>U.S. Department of Health &amp; Human Services</w:t>
      </w:r>
      <w:r w:rsidR="00694E16">
        <w:t xml:space="preserve"> (HHS)</w:t>
      </w:r>
      <w:r w:rsidR="00426C76">
        <w:t xml:space="preserve">. </w:t>
      </w:r>
    </w:p>
  </w:footnote>
  <w:footnote w:id="31">
    <w:p w14:paraId="21FE7EF2" w14:textId="141DFC0E" w:rsidR="001F2CA4" w:rsidRDefault="001F2CA4">
      <w:pPr>
        <w:pStyle w:val="FootnoteText"/>
      </w:pPr>
      <w:r>
        <w:rPr>
          <w:rStyle w:val="FootnoteReference"/>
        </w:rPr>
        <w:footnoteRef/>
      </w:r>
      <w:r>
        <w:t xml:space="preserve"> Staff Proposal at 8. </w:t>
      </w:r>
    </w:p>
  </w:footnote>
  <w:footnote w:id="32">
    <w:p w14:paraId="0EB34A7E" w14:textId="16C912F9" w:rsidR="00E979A7" w:rsidRDefault="00E979A7">
      <w:pPr>
        <w:pStyle w:val="FootnoteText"/>
      </w:pPr>
      <w:r>
        <w:rPr>
          <w:rStyle w:val="FootnoteReference"/>
        </w:rPr>
        <w:footnoteRef/>
      </w:r>
      <w:r>
        <w:t xml:space="preserve"> </w:t>
      </w:r>
      <w:r w:rsidR="00D45C95" w:rsidRPr="00604550">
        <w:rPr>
          <w:i/>
          <w:iCs/>
        </w:rPr>
        <w:t>Ibid</w:t>
      </w:r>
      <w:r>
        <w:t xml:space="preserve">. </w:t>
      </w:r>
    </w:p>
  </w:footnote>
  <w:footnote w:id="33">
    <w:p w14:paraId="2C33F86F" w14:textId="4CCF1E7F" w:rsidR="00123D86" w:rsidRPr="00123D86" w:rsidRDefault="00123D86">
      <w:pPr>
        <w:pStyle w:val="FootnoteText"/>
        <w:rPr>
          <w:lang w:val="en-ZW"/>
        </w:rPr>
      </w:pPr>
      <w:r>
        <w:rPr>
          <w:rStyle w:val="FootnoteReference"/>
        </w:rPr>
        <w:footnoteRef/>
      </w:r>
      <w:r>
        <w:t xml:space="preserve"> </w:t>
      </w:r>
      <w:r>
        <w:rPr>
          <w:lang w:val="en-ZW"/>
        </w:rPr>
        <w:t xml:space="preserve">For example, </w:t>
      </w:r>
      <w:r w:rsidR="006D2E76" w:rsidRPr="006D2E76">
        <w:rPr>
          <w:lang w:val="en-ZW"/>
        </w:rPr>
        <w:t>actuarial tables and insurance policies, among others, attach a dollar amount to property damage, the loss of life, and injuries (with gradations of injury having different monetary values)</w:t>
      </w:r>
      <w:r w:rsidR="006D2E76">
        <w:rPr>
          <w:lang w:val="en-ZW"/>
        </w:rPr>
        <w:t>.  (</w:t>
      </w:r>
      <w:r w:rsidR="006D2E76" w:rsidRPr="0035534C">
        <w:rPr>
          <w:i/>
          <w:iCs/>
          <w:lang w:val="en-ZW"/>
        </w:rPr>
        <w:t>See</w:t>
      </w:r>
      <w:r w:rsidR="006D2E76">
        <w:rPr>
          <w:lang w:val="en-ZW"/>
        </w:rPr>
        <w:t xml:space="preserve"> Staff Proposal at </w:t>
      </w:r>
      <w:r w:rsidR="000D6A5E">
        <w:rPr>
          <w:lang w:val="en-ZW"/>
        </w:rPr>
        <w:t>ii</w:t>
      </w:r>
      <w:r w:rsidR="0035534C">
        <w:rPr>
          <w:lang w:val="en-ZW"/>
        </w:rPr>
        <w:t>.</w:t>
      </w:r>
      <w:r w:rsidR="006D2E76">
        <w:rPr>
          <w:lang w:val="en-ZW"/>
        </w:rPr>
        <w:t>)</w:t>
      </w:r>
    </w:p>
  </w:footnote>
  <w:footnote w:id="34">
    <w:p w14:paraId="554CD5B9" w14:textId="7C77CCF3" w:rsidR="00472B42" w:rsidRPr="00472B42" w:rsidRDefault="00472B42">
      <w:pPr>
        <w:pStyle w:val="FootnoteText"/>
        <w:rPr>
          <w:lang w:val="en-ZW"/>
        </w:rPr>
      </w:pPr>
      <w:r>
        <w:rPr>
          <w:rStyle w:val="FootnoteReference"/>
        </w:rPr>
        <w:footnoteRef/>
      </w:r>
      <w:r>
        <w:t xml:space="preserve"> </w:t>
      </w:r>
      <w:r>
        <w:rPr>
          <w:lang w:val="en-ZW"/>
        </w:rPr>
        <w:t xml:space="preserve">Staff Proposal at </w:t>
      </w:r>
      <w:r w:rsidR="0030029E">
        <w:rPr>
          <w:lang w:val="en-ZW"/>
        </w:rPr>
        <w:t>5-10.</w:t>
      </w:r>
    </w:p>
  </w:footnote>
  <w:footnote w:id="35">
    <w:p w14:paraId="35AA40FB" w14:textId="6D2AAA72" w:rsidR="00E7756C" w:rsidRPr="00E7756C" w:rsidRDefault="00E7756C">
      <w:pPr>
        <w:pStyle w:val="FootnoteText"/>
        <w:rPr>
          <w:lang w:val="en-ZW"/>
        </w:rPr>
      </w:pPr>
      <w:r>
        <w:rPr>
          <w:rStyle w:val="FootnoteReference"/>
        </w:rPr>
        <w:footnoteRef/>
      </w:r>
      <w:r w:rsidRPr="004D7D9B">
        <w:rPr>
          <w:i/>
          <w:iCs/>
        </w:rPr>
        <w:t xml:space="preserve"> </w:t>
      </w:r>
      <w:r w:rsidR="004D7D9B" w:rsidRPr="004D7D9B">
        <w:rPr>
          <w:i/>
          <w:iCs/>
          <w:lang w:val="en-ZW"/>
        </w:rPr>
        <w:t>Id</w:t>
      </w:r>
      <w:r w:rsidR="004D7D9B">
        <w:rPr>
          <w:lang w:val="en-ZW"/>
        </w:rPr>
        <w:t>.</w:t>
      </w:r>
      <w:r>
        <w:rPr>
          <w:lang w:val="en-ZW"/>
        </w:rPr>
        <w:t xml:space="preserve"> at </w:t>
      </w:r>
      <w:r w:rsidR="00547B91">
        <w:rPr>
          <w:lang w:val="en-ZW"/>
        </w:rPr>
        <w:t>V.</w:t>
      </w:r>
    </w:p>
  </w:footnote>
  <w:footnote w:id="36">
    <w:p w14:paraId="3E8A8A05" w14:textId="0A8EC583" w:rsidR="003262C9" w:rsidRDefault="003262C9">
      <w:pPr>
        <w:pStyle w:val="FootnoteText"/>
      </w:pPr>
      <w:r>
        <w:rPr>
          <w:rStyle w:val="FootnoteReference"/>
        </w:rPr>
        <w:footnoteRef/>
      </w:r>
      <w:r>
        <w:t xml:space="preserve"> MGRA </w:t>
      </w:r>
      <w:r w:rsidR="00043E8C">
        <w:t>Reply Comments at 2.</w:t>
      </w:r>
    </w:p>
  </w:footnote>
  <w:footnote w:id="37">
    <w:p w14:paraId="4CE5FA6B" w14:textId="5C59F920" w:rsidR="00A81D65" w:rsidRDefault="00A81D65">
      <w:pPr>
        <w:pStyle w:val="FootnoteText"/>
      </w:pPr>
      <w:r>
        <w:rPr>
          <w:rStyle w:val="FootnoteReference"/>
        </w:rPr>
        <w:footnoteRef/>
      </w:r>
      <w:r>
        <w:t xml:space="preserve"> </w:t>
      </w:r>
      <w:r w:rsidR="00105384">
        <w:t>TURN Opening Comments at 6.</w:t>
      </w:r>
    </w:p>
  </w:footnote>
  <w:footnote w:id="38">
    <w:p w14:paraId="26CA0C06" w14:textId="756CC92C" w:rsidR="00B4178D" w:rsidRDefault="00B4178D">
      <w:pPr>
        <w:pStyle w:val="FootnoteText"/>
      </w:pPr>
      <w:r>
        <w:rPr>
          <w:rStyle w:val="FootnoteReference"/>
        </w:rPr>
        <w:footnoteRef/>
      </w:r>
      <w:r>
        <w:t xml:space="preserve"> </w:t>
      </w:r>
      <w:r w:rsidR="00A05CA0">
        <w:t>Cal Advocates Opening Comments at 2</w:t>
      </w:r>
      <w:r w:rsidR="00453727">
        <w:t>-3.</w:t>
      </w:r>
    </w:p>
  </w:footnote>
  <w:footnote w:id="39">
    <w:p w14:paraId="641C43C6" w14:textId="55CD4EBB" w:rsidR="00002F75" w:rsidRDefault="00002F75">
      <w:pPr>
        <w:pStyle w:val="FootnoteText"/>
      </w:pPr>
      <w:r>
        <w:rPr>
          <w:rStyle w:val="FootnoteReference"/>
        </w:rPr>
        <w:footnoteRef/>
      </w:r>
      <w:r>
        <w:t xml:space="preserve"> </w:t>
      </w:r>
      <w:r w:rsidRPr="0058741F">
        <w:t xml:space="preserve">Sempra </w:t>
      </w:r>
      <w:r w:rsidR="0045233A" w:rsidRPr="0058741F">
        <w:t>O</w:t>
      </w:r>
      <w:r w:rsidRPr="0058741F">
        <w:t xml:space="preserve">pening </w:t>
      </w:r>
      <w:r w:rsidR="0045233A" w:rsidRPr="0058741F">
        <w:t>C</w:t>
      </w:r>
      <w:r w:rsidRPr="0058741F">
        <w:t>omments at 12.</w:t>
      </w:r>
    </w:p>
  </w:footnote>
  <w:footnote w:id="40">
    <w:p w14:paraId="57A29079" w14:textId="3AE98FE2" w:rsidR="008E3D8F" w:rsidRDefault="008E3D8F">
      <w:pPr>
        <w:pStyle w:val="FootnoteText"/>
      </w:pPr>
      <w:r w:rsidRPr="00604550">
        <w:rPr>
          <w:rStyle w:val="FootnoteReference"/>
          <w:i/>
          <w:iCs/>
        </w:rPr>
        <w:footnoteRef/>
      </w:r>
      <w:r>
        <w:t xml:space="preserve"> </w:t>
      </w:r>
      <w:r w:rsidR="00D45C95">
        <w:rPr>
          <w:i/>
          <w:iCs/>
        </w:rPr>
        <w:t>Id.</w:t>
      </w:r>
      <w:r w:rsidR="00C30EE8">
        <w:t xml:space="preserve"> at 11.</w:t>
      </w:r>
    </w:p>
  </w:footnote>
  <w:footnote w:id="41">
    <w:p w14:paraId="3E00C120" w14:textId="4DB59B20" w:rsidR="006C0844" w:rsidRDefault="006C0844">
      <w:pPr>
        <w:pStyle w:val="FootnoteText"/>
      </w:pPr>
      <w:r>
        <w:rPr>
          <w:rStyle w:val="FootnoteReference"/>
        </w:rPr>
        <w:footnoteRef/>
      </w:r>
      <w:r>
        <w:t xml:space="preserve"> Sempra Companies Comments on Proposed Decision at 5.</w:t>
      </w:r>
    </w:p>
  </w:footnote>
  <w:footnote w:id="42">
    <w:p w14:paraId="12536DD8" w14:textId="6C548E73" w:rsidR="005328E8" w:rsidRDefault="005328E8">
      <w:pPr>
        <w:pStyle w:val="FootnoteText"/>
      </w:pPr>
      <w:r>
        <w:rPr>
          <w:rStyle w:val="FootnoteReference"/>
        </w:rPr>
        <w:footnoteRef/>
      </w:r>
      <w:r>
        <w:t xml:space="preserve"> PG&amp;E Reply Comments at 2-3</w:t>
      </w:r>
      <w:r w:rsidR="00691533">
        <w:t>.</w:t>
      </w:r>
    </w:p>
  </w:footnote>
  <w:footnote w:id="43">
    <w:p w14:paraId="44F2BD78" w14:textId="3C6F4B7A" w:rsidR="00FB6986" w:rsidRDefault="00FB6986">
      <w:pPr>
        <w:pStyle w:val="FootnoteText"/>
      </w:pPr>
      <w:r>
        <w:rPr>
          <w:rStyle w:val="FootnoteReference"/>
        </w:rPr>
        <w:footnoteRef/>
      </w:r>
      <w:r>
        <w:t xml:space="preserve"> SCE Opening Comments at 3.</w:t>
      </w:r>
    </w:p>
  </w:footnote>
  <w:footnote w:id="44">
    <w:p w14:paraId="17587042" w14:textId="6A4BB092" w:rsidR="00723BD2" w:rsidRDefault="00723BD2" w:rsidP="00723BD2">
      <w:pPr>
        <w:pStyle w:val="FootnoteText"/>
      </w:pPr>
      <w:r>
        <w:rPr>
          <w:rStyle w:val="FootnoteReference"/>
        </w:rPr>
        <w:footnoteRef/>
      </w:r>
      <w:r>
        <w:t xml:space="preserve"> </w:t>
      </w:r>
      <w:r w:rsidR="00D12825">
        <w:rPr>
          <w:lang w:val="en-ZW"/>
        </w:rPr>
        <w:t>SA Decision</w:t>
      </w:r>
      <w:r>
        <w:rPr>
          <w:lang w:val="en-ZW"/>
        </w:rPr>
        <w:t xml:space="preserve"> at A-6</w:t>
      </w:r>
      <w:r w:rsidR="00D12825">
        <w:rPr>
          <w:lang w:val="en-ZW"/>
        </w:rPr>
        <w:t xml:space="preserve"> states </w:t>
      </w:r>
      <w:r w:rsidR="00D12825" w:rsidRPr="00D12825">
        <w:rPr>
          <w:lang w:val="en-ZW"/>
        </w:rPr>
        <w:t>“[w]eights are assigned based on actual Attribute measurement ranges, not a fixed weight arbitrarily assigned to an Attribute</w:t>
      </w:r>
      <w:r>
        <w:rPr>
          <w:lang w:val="en-ZW"/>
        </w:rPr>
        <w:t>.</w:t>
      </w:r>
      <w:r w:rsidR="00EF6C02">
        <w:rPr>
          <w:lang w:val="en-ZW"/>
        </w:rPr>
        <w:t>”</w:t>
      </w:r>
      <w:r w:rsidR="00D12825">
        <w:rPr>
          <w:lang w:val="en-ZW"/>
        </w:rPr>
        <w:t xml:space="preserve"> </w:t>
      </w:r>
    </w:p>
  </w:footnote>
  <w:footnote w:id="45">
    <w:p w14:paraId="34B45881" w14:textId="5E2EB06C" w:rsidR="000110D7" w:rsidRPr="000110D7" w:rsidRDefault="000110D7">
      <w:pPr>
        <w:pStyle w:val="FootnoteText"/>
        <w:rPr>
          <w:lang w:val="en-ZW"/>
        </w:rPr>
      </w:pPr>
      <w:r>
        <w:rPr>
          <w:rStyle w:val="FootnoteReference"/>
        </w:rPr>
        <w:footnoteRef/>
      </w:r>
      <w:r>
        <w:t xml:space="preserve"> Also</w:t>
      </w:r>
      <w:r w:rsidRPr="000110D7">
        <w:t xml:space="preserve"> referred to as the value of mortality reduction.</w:t>
      </w:r>
    </w:p>
  </w:footnote>
  <w:footnote w:id="46">
    <w:p w14:paraId="3C9DB3BC" w14:textId="6135CAF5" w:rsidR="009A5613" w:rsidRPr="009A5613" w:rsidRDefault="009A5613">
      <w:pPr>
        <w:pStyle w:val="FootnoteText"/>
        <w:rPr>
          <w:lang w:val="en-ZW"/>
        </w:rPr>
      </w:pPr>
      <w:r>
        <w:rPr>
          <w:rStyle w:val="FootnoteReference"/>
        </w:rPr>
        <w:footnoteRef/>
      </w:r>
      <w:r>
        <w:t xml:space="preserve"> </w:t>
      </w:r>
      <w:r w:rsidR="00D82A6A">
        <w:t>Staff Proposal at 13-14.</w:t>
      </w:r>
    </w:p>
  </w:footnote>
  <w:footnote w:id="47">
    <w:p w14:paraId="546672DB" w14:textId="7F932D59" w:rsidR="004F7138" w:rsidRDefault="004F7138">
      <w:pPr>
        <w:pStyle w:val="FootnoteText"/>
      </w:pPr>
      <w:r>
        <w:rPr>
          <w:rStyle w:val="FootnoteReference"/>
        </w:rPr>
        <w:footnoteRef/>
      </w:r>
      <w:r>
        <w:t xml:space="preserve"> </w:t>
      </w:r>
      <w:r w:rsidR="007A43EA" w:rsidRPr="007B6F9C">
        <w:rPr>
          <w:i/>
          <w:iCs/>
        </w:rPr>
        <w:t>See</w:t>
      </w:r>
      <w:r w:rsidR="007A43EA">
        <w:t xml:space="preserve"> HHS:  “Updating Value per Statistical Life Estimates for Inflation and Changes in Real Income,” April 2021, available as of October 17, 2022 at:</w:t>
      </w:r>
      <w:r>
        <w:t xml:space="preserve"> </w:t>
      </w:r>
      <w:hyperlink r:id="rId3" w:history="1">
        <w:r w:rsidR="00E559A1" w:rsidRPr="00F54DC9">
          <w:rPr>
            <w:rStyle w:val="Hyperlink"/>
          </w:rPr>
          <w:t>https://aspe.hhs.gov/sites/default/files/2021-07/hhs-guidelines-appendix-d-vsl-update.pdf</w:t>
        </w:r>
      </w:hyperlink>
      <w:r w:rsidR="00E559A1">
        <w:t xml:space="preserve"> </w:t>
      </w:r>
    </w:p>
  </w:footnote>
  <w:footnote w:id="48">
    <w:p w14:paraId="76D2C6A5" w14:textId="03366C19" w:rsidR="009A5613" w:rsidRPr="009A5613" w:rsidRDefault="009A5613">
      <w:pPr>
        <w:pStyle w:val="FootnoteText"/>
        <w:rPr>
          <w:lang w:val="en-ZW"/>
        </w:rPr>
      </w:pPr>
      <w:r>
        <w:rPr>
          <w:rStyle w:val="FootnoteReference"/>
        </w:rPr>
        <w:footnoteRef/>
      </w:r>
      <w:r>
        <w:t xml:space="preserve"> </w:t>
      </w:r>
      <w:r w:rsidR="003B5E05" w:rsidRPr="003B5E05">
        <w:rPr>
          <w:i/>
          <w:iCs/>
        </w:rPr>
        <w:t>Ibid</w:t>
      </w:r>
      <w:r w:rsidR="003B5E05">
        <w:t>.</w:t>
      </w:r>
      <w:r w:rsidR="00D82A6A">
        <w:t xml:space="preserve"> </w:t>
      </w:r>
    </w:p>
  </w:footnote>
  <w:footnote w:id="49">
    <w:p w14:paraId="1FB668E2" w14:textId="1FEEFD52" w:rsidR="007A5D0D" w:rsidRDefault="007A5D0D">
      <w:pPr>
        <w:pStyle w:val="FootnoteText"/>
      </w:pPr>
      <w:r>
        <w:rPr>
          <w:rStyle w:val="FootnoteReference"/>
        </w:rPr>
        <w:footnoteRef/>
      </w:r>
      <w:r w:rsidRPr="00943735">
        <w:rPr>
          <w:szCs w:val="22"/>
        </w:rPr>
        <w:t xml:space="preserve"> </w:t>
      </w:r>
      <w:r w:rsidR="00827FE8" w:rsidRPr="00943735">
        <w:rPr>
          <w:szCs w:val="22"/>
        </w:rPr>
        <w:t>DOT VSL</w:t>
      </w:r>
      <w:r w:rsidR="00943735" w:rsidRPr="00943735">
        <w:rPr>
          <w:szCs w:val="22"/>
        </w:rPr>
        <w:t xml:space="preserve"> Guidance – 2021 Update</w:t>
      </w:r>
      <w:r w:rsidR="00827FE8" w:rsidRPr="00943735">
        <w:rPr>
          <w:szCs w:val="22"/>
        </w:rPr>
        <w:t xml:space="preserve"> at 10.</w:t>
      </w:r>
      <w:r w:rsidR="00943735" w:rsidRPr="00943735">
        <w:rPr>
          <w:szCs w:val="22"/>
        </w:rPr>
        <w:t xml:space="preserve"> </w:t>
      </w:r>
      <w:r w:rsidR="007B6F9C">
        <w:rPr>
          <w:szCs w:val="22"/>
        </w:rPr>
        <w:t xml:space="preserve"> </w:t>
      </w:r>
      <w:r w:rsidR="00943735">
        <w:rPr>
          <w:szCs w:val="22"/>
        </w:rPr>
        <w:t xml:space="preserve">Available as of October 17, 2022 at: </w:t>
      </w:r>
      <w:hyperlink r:id="rId4" w:history="1">
        <w:r w:rsidR="005D5328" w:rsidRPr="005759BE">
          <w:rPr>
            <w:rStyle w:val="Hyperlink"/>
          </w:rPr>
          <w:t>https://www.transportation.gov/resources/value-of-a-statistical-life-guidance</w:t>
        </w:r>
      </w:hyperlink>
      <w:r w:rsidR="00943735" w:rsidRPr="00E87CE3">
        <w:t>.</w:t>
      </w:r>
    </w:p>
  </w:footnote>
  <w:footnote w:id="50">
    <w:p w14:paraId="3D501738" w14:textId="46BDF678" w:rsidR="00EA7C54" w:rsidRPr="004D7D9B" w:rsidRDefault="00EA7C54" w:rsidP="00EA7C54">
      <w:pPr>
        <w:pStyle w:val="FootnoteText"/>
        <w:rPr>
          <w:lang w:val="en-ZW"/>
        </w:rPr>
      </w:pPr>
      <w:r>
        <w:rPr>
          <w:rStyle w:val="FootnoteReference"/>
        </w:rPr>
        <w:footnoteRef/>
      </w:r>
      <w:r>
        <w:t xml:space="preserve"> </w:t>
      </w:r>
      <w:r w:rsidR="0086079B" w:rsidRPr="00271938">
        <w:rPr>
          <w:lang w:val="en-ZW"/>
        </w:rPr>
        <w:t>Staff Proposal</w:t>
      </w:r>
      <w:r>
        <w:rPr>
          <w:lang w:val="en-ZW"/>
        </w:rPr>
        <w:t xml:space="preserve"> at iii, 11-15.</w:t>
      </w:r>
    </w:p>
  </w:footnote>
  <w:footnote w:id="51">
    <w:p w14:paraId="1B5C8641" w14:textId="2D03F784" w:rsidR="00127891" w:rsidRDefault="00127891">
      <w:pPr>
        <w:pStyle w:val="FootnoteText"/>
      </w:pPr>
      <w:r w:rsidRPr="00271938">
        <w:rPr>
          <w:rStyle w:val="FootnoteReference"/>
        </w:rPr>
        <w:footnoteRef/>
      </w:r>
      <w:r w:rsidRPr="00271938">
        <w:t xml:space="preserve"> </w:t>
      </w:r>
      <w:r w:rsidR="00A44A23">
        <w:t xml:space="preserve">LBNL ICE Calculator, available as of October 28, 2022 at: </w:t>
      </w:r>
      <w:hyperlink r:id="rId5" w:history="1">
        <w:r w:rsidR="000454AE" w:rsidRPr="000454AE">
          <w:rPr>
            <w:rStyle w:val="Hyperlink"/>
            <w:szCs w:val="22"/>
          </w:rPr>
          <w:t>https://icecalculator.com/home</w:t>
        </w:r>
      </w:hyperlink>
    </w:p>
  </w:footnote>
  <w:footnote w:id="52">
    <w:p w14:paraId="03E8F0AD" w14:textId="1AF44936" w:rsidR="004E55F7" w:rsidRDefault="004E55F7">
      <w:pPr>
        <w:pStyle w:val="FootnoteText"/>
      </w:pPr>
      <w:r>
        <w:rPr>
          <w:rStyle w:val="FootnoteReference"/>
        </w:rPr>
        <w:footnoteRef/>
      </w:r>
      <w:r>
        <w:t xml:space="preserve"> Staff Proposal at iv. </w:t>
      </w:r>
    </w:p>
  </w:footnote>
  <w:footnote w:id="53">
    <w:p w14:paraId="5D3827C7" w14:textId="715296BB" w:rsidR="005C038E" w:rsidRDefault="005C038E">
      <w:pPr>
        <w:pStyle w:val="FootnoteText"/>
      </w:pPr>
      <w:r>
        <w:rPr>
          <w:rStyle w:val="FootnoteReference"/>
        </w:rPr>
        <w:footnoteRef/>
      </w:r>
      <w:r>
        <w:t xml:space="preserve"> For updates on ICE 2.0 </w:t>
      </w:r>
      <w:r w:rsidRPr="00A1255B">
        <w:rPr>
          <w:i/>
          <w:iCs/>
        </w:rPr>
        <w:t>see</w:t>
      </w:r>
      <w:r>
        <w:t xml:space="preserve">: </w:t>
      </w:r>
      <w:hyperlink r:id="rId6" w:history="1">
        <w:r w:rsidRPr="00F54DC9">
          <w:rPr>
            <w:rStyle w:val="Hyperlink"/>
          </w:rPr>
          <w:t>https://icecalculator.com/recent-updates</w:t>
        </w:r>
      </w:hyperlink>
    </w:p>
  </w:footnote>
  <w:footnote w:id="54">
    <w:p w14:paraId="2A17AAD2" w14:textId="6B7F81A4" w:rsidR="00734A4D" w:rsidRDefault="00734A4D">
      <w:pPr>
        <w:pStyle w:val="FootnoteText"/>
      </w:pPr>
      <w:r>
        <w:rPr>
          <w:rStyle w:val="FootnoteReference"/>
        </w:rPr>
        <w:footnoteRef/>
      </w:r>
      <w:r>
        <w:t xml:space="preserve"> </w:t>
      </w:r>
      <w:r w:rsidR="00CB4EA5" w:rsidRPr="00FD79DE">
        <w:rPr>
          <w:i/>
          <w:iCs/>
        </w:rPr>
        <w:t>LBNL Initiative to Update the Interruption Cost Estimate Calculator, Frequently Asked Questions</w:t>
      </w:r>
      <w:r w:rsidR="00CB4EA5" w:rsidRPr="00CB4EA5">
        <w:t xml:space="preserve"> (ICE FAQ)</w:t>
      </w:r>
      <w:r w:rsidR="0077480F">
        <w:t xml:space="preserve"> </w:t>
      </w:r>
      <w:r w:rsidR="00BA3635">
        <w:t xml:space="preserve">at 3 (Appendix </w:t>
      </w:r>
      <w:r w:rsidR="00BA3635" w:rsidRPr="00035723">
        <w:t>C</w:t>
      </w:r>
      <w:r w:rsidR="00BA3635">
        <w:t xml:space="preserve"> of this decision</w:t>
      </w:r>
      <w:r w:rsidR="00BA3635" w:rsidRPr="00035723">
        <w:t>).</w:t>
      </w:r>
    </w:p>
  </w:footnote>
  <w:footnote w:id="55">
    <w:p w14:paraId="5BBFF014" w14:textId="4E0A5D33" w:rsidR="003D2927" w:rsidRPr="003D2927" w:rsidRDefault="003D2927">
      <w:pPr>
        <w:pStyle w:val="FootnoteText"/>
        <w:rPr>
          <w:lang w:val="en-ZW"/>
        </w:rPr>
      </w:pPr>
      <w:r>
        <w:rPr>
          <w:rStyle w:val="FootnoteReference"/>
        </w:rPr>
        <w:footnoteRef/>
      </w:r>
      <w:r>
        <w:t xml:space="preserve"> </w:t>
      </w:r>
      <w:r>
        <w:rPr>
          <w:lang w:val="en-ZW"/>
        </w:rPr>
        <w:t xml:space="preserve">Staff Proposal at </w:t>
      </w:r>
      <w:r w:rsidR="007122CC">
        <w:rPr>
          <w:lang w:val="en-ZW"/>
        </w:rPr>
        <w:t xml:space="preserve">iii-iv, </w:t>
      </w:r>
      <w:r w:rsidR="00F460DA">
        <w:rPr>
          <w:lang w:val="en-ZW"/>
        </w:rPr>
        <w:t>16-18.</w:t>
      </w:r>
    </w:p>
  </w:footnote>
  <w:footnote w:id="56">
    <w:p w14:paraId="4F9EC9B2" w14:textId="795481DA" w:rsidR="00F460DA" w:rsidRPr="00F460DA" w:rsidRDefault="00F460DA">
      <w:pPr>
        <w:pStyle w:val="FootnoteText"/>
        <w:rPr>
          <w:lang w:val="en-ZW"/>
        </w:rPr>
      </w:pPr>
      <w:r>
        <w:rPr>
          <w:rStyle w:val="FootnoteReference"/>
        </w:rPr>
        <w:footnoteRef/>
      </w:r>
      <w:r>
        <w:t xml:space="preserve"> </w:t>
      </w:r>
      <w:r w:rsidR="00981F63" w:rsidRPr="00981F63">
        <w:rPr>
          <w:i/>
          <w:iCs/>
          <w:lang w:val="en-ZW"/>
        </w:rPr>
        <w:t>Id</w:t>
      </w:r>
      <w:r w:rsidR="00981F63">
        <w:rPr>
          <w:lang w:val="en-ZW"/>
        </w:rPr>
        <w:t xml:space="preserve">. at </w:t>
      </w:r>
      <w:r w:rsidR="00DE64A0">
        <w:rPr>
          <w:lang w:val="en-ZW"/>
        </w:rPr>
        <w:t xml:space="preserve">iv, </w:t>
      </w:r>
      <w:r w:rsidR="00981F63">
        <w:rPr>
          <w:lang w:val="en-ZW"/>
        </w:rPr>
        <w:t>19-21</w:t>
      </w:r>
      <w:r w:rsidR="00DE64A0">
        <w:rPr>
          <w:lang w:val="en-ZW"/>
        </w:rPr>
        <w:t>.</w:t>
      </w:r>
    </w:p>
  </w:footnote>
  <w:footnote w:id="57">
    <w:p w14:paraId="2C509C84" w14:textId="0C79B24E" w:rsidR="00AC495D" w:rsidRPr="009B15BB" w:rsidRDefault="00AC495D" w:rsidP="00AC495D">
      <w:pPr>
        <w:pStyle w:val="FootnoteText"/>
        <w:rPr>
          <w:lang w:val="en-ZW"/>
        </w:rPr>
      </w:pPr>
      <w:r>
        <w:rPr>
          <w:rStyle w:val="FootnoteReference"/>
        </w:rPr>
        <w:footnoteRef/>
      </w:r>
      <w:r>
        <w:t xml:space="preserve"> </w:t>
      </w:r>
      <w:r>
        <w:rPr>
          <w:lang w:val="en-ZW"/>
        </w:rPr>
        <w:t>PCF Comments at 4</w:t>
      </w:r>
      <w:r w:rsidR="00334744">
        <w:rPr>
          <w:lang w:val="en-ZW"/>
        </w:rPr>
        <w:t>.</w:t>
      </w:r>
    </w:p>
  </w:footnote>
  <w:footnote w:id="58">
    <w:p w14:paraId="77CD6FB5" w14:textId="00912FD7" w:rsidR="00CF067D" w:rsidRPr="009B15BB" w:rsidRDefault="00CF067D">
      <w:pPr>
        <w:pStyle w:val="FootnoteText"/>
        <w:rPr>
          <w:lang w:val="en-ZW"/>
        </w:rPr>
      </w:pPr>
      <w:r>
        <w:rPr>
          <w:rStyle w:val="FootnoteReference"/>
        </w:rPr>
        <w:footnoteRef/>
      </w:r>
      <w:r>
        <w:t xml:space="preserve"> </w:t>
      </w:r>
      <w:r>
        <w:rPr>
          <w:lang w:val="en-ZW"/>
        </w:rPr>
        <w:t>Sempra Companies Comments at</w:t>
      </w:r>
      <w:r w:rsidR="00FA0AB4">
        <w:rPr>
          <w:lang w:val="en-ZW"/>
        </w:rPr>
        <w:t xml:space="preserve"> 9-10</w:t>
      </w:r>
      <w:r w:rsidR="00334744">
        <w:rPr>
          <w:lang w:val="en-ZW"/>
        </w:rPr>
        <w:t>.</w:t>
      </w:r>
    </w:p>
  </w:footnote>
  <w:footnote w:id="59">
    <w:p w14:paraId="23896FC9" w14:textId="2688427F" w:rsidR="00E5321C" w:rsidRDefault="00E87CE3">
      <w:pPr>
        <w:pStyle w:val="FootnoteText"/>
      </w:pPr>
      <w:r>
        <w:rPr>
          <w:rStyle w:val="FootnoteReference"/>
        </w:rPr>
        <w:footnoteRef/>
      </w:r>
      <w:r>
        <w:t xml:space="preserve"> </w:t>
      </w:r>
      <w:r w:rsidRPr="00E87CE3">
        <w:t>DOT VSL</w:t>
      </w:r>
      <w:r w:rsidR="00E5321C">
        <w:t xml:space="preserve"> </w:t>
      </w:r>
      <w:r w:rsidR="006140C3">
        <w:t>Gui</w:t>
      </w:r>
      <w:r w:rsidR="001A2E3C">
        <w:t xml:space="preserve">dance – </w:t>
      </w:r>
      <w:bookmarkStart w:id="31" w:name="_Hlk116913702"/>
      <w:r w:rsidR="001A2E3C">
        <w:t xml:space="preserve">2021 Update </w:t>
      </w:r>
      <w:r w:rsidR="00E5321C">
        <w:t>at 7-8</w:t>
      </w:r>
      <w:r w:rsidRPr="00E87CE3">
        <w:t xml:space="preserve">. </w:t>
      </w:r>
      <w:bookmarkEnd w:id="31"/>
      <w:r w:rsidRPr="00E87CE3">
        <w:t>Available here</w:t>
      </w:r>
      <w:r w:rsidR="00650DA3">
        <w:t xml:space="preserve"> as of October 28, 2022</w:t>
      </w:r>
      <w:r w:rsidRPr="00E87CE3">
        <w:t xml:space="preserve">: </w:t>
      </w:r>
      <w:hyperlink r:id="rId7" w:history="1">
        <w:r w:rsidR="00E5321C" w:rsidRPr="004B08E4">
          <w:rPr>
            <w:rStyle w:val="Hyperlink"/>
          </w:rPr>
          <w:t>https://www.transportation.gov/resources/value-of-a-statistical-life-guidance</w:t>
        </w:r>
      </w:hyperlink>
      <w:r w:rsidRPr="00E87CE3">
        <w:t>.</w:t>
      </w:r>
    </w:p>
  </w:footnote>
  <w:footnote w:id="60">
    <w:p w14:paraId="77E73B93" w14:textId="42411652" w:rsidR="00921B97" w:rsidRDefault="00921B97">
      <w:pPr>
        <w:pStyle w:val="FootnoteText"/>
      </w:pPr>
      <w:r>
        <w:rPr>
          <w:rStyle w:val="FootnoteReference"/>
        </w:rPr>
        <w:footnoteRef/>
      </w:r>
      <w:r>
        <w:t xml:space="preserve"> </w:t>
      </w:r>
      <w:r w:rsidRPr="00A1255B">
        <w:rPr>
          <w:i/>
          <w:iCs/>
        </w:rPr>
        <w:t>See</w:t>
      </w:r>
      <w:r w:rsidRPr="00921B97">
        <w:t xml:space="preserve"> </w:t>
      </w:r>
      <w:r w:rsidR="004D251B">
        <w:t>examples:</w:t>
      </w:r>
      <w:r w:rsidR="00705FB7">
        <w:t xml:space="preserve"> </w:t>
      </w:r>
      <w:r w:rsidR="00705FB7" w:rsidRPr="000947F6">
        <w:rPr>
          <w:i/>
        </w:rPr>
        <w:t>SPD Staff Evaluation of PG&amp;E’s</w:t>
      </w:r>
      <w:r w:rsidR="00F05781" w:rsidRPr="000947F6">
        <w:rPr>
          <w:i/>
        </w:rPr>
        <w:t xml:space="preserve"> 2020</w:t>
      </w:r>
      <w:r w:rsidR="00705FB7" w:rsidRPr="000947F6">
        <w:rPr>
          <w:i/>
        </w:rPr>
        <w:t xml:space="preserve"> RAMP</w:t>
      </w:r>
      <w:r w:rsidRPr="00921B97">
        <w:t xml:space="preserve"> (A.20-06-012) at 17</w:t>
      </w:r>
      <w:r w:rsidR="00F05781">
        <w:t xml:space="preserve"> </w:t>
      </w:r>
      <w:r w:rsidR="00F05781" w:rsidRPr="004D251B">
        <w:t>and</w:t>
      </w:r>
      <w:r w:rsidRPr="000947F6">
        <w:rPr>
          <w:i/>
        </w:rPr>
        <w:t xml:space="preserve"> SPD Staff Evaluation of SDG&amp;E and SoCal Gas RAMP</w:t>
      </w:r>
      <w:r w:rsidRPr="00921B97">
        <w:t xml:space="preserve"> (A-21-05-011) at 8.</w:t>
      </w:r>
    </w:p>
  </w:footnote>
  <w:footnote w:id="61">
    <w:p w14:paraId="52E13F68" w14:textId="5F1C1BEA" w:rsidR="00CF21DE" w:rsidRDefault="00CF21DE">
      <w:pPr>
        <w:pStyle w:val="FootnoteText"/>
      </w:pPr>
      <w:r w:rsidRPr="006F738F">
        <w:rPr>
          <w:rStyle w:val="FootnoteReference"/>
        </w:rPr>
        <w:footnoteRef/>
      </w:r>
      <w:r w:rsidRPr="006F738F">
        <w:t xml:space="preserve"> </w:t>
      </w:r>
      <w:r w:rsidR="005D5328" w:rsidRPr="006F738F">
        <w:t>DOT VSL Guidance - 2021 Update at</w:t>
      </w:r>
      <w:r w:rsidRPr="006F738F">
        <w:t xml:space="preserve"> </w:t>
      </w:r>
      <w:r w:rsidR="00D21100" w:rsidRPr="006F738F">
        <w:t>9-10</w:t>
      </w:r>
      <w:r w:rsidRPr="006F738F">
        <w:t xml:space="preserve">. </w:t>
      </w:r>
      <w:r w:rsidR="005D5328" w:rsidRPr="006F738F">
        <w:t xml:space="preserve"> Available here</w:t>
      </w:r>
      <w:r w:rsidR="00650DA3">
        <w:t xml:space="preserve"> as of October 28, 2022</w:t>
      </w:r>
      <w:r w:rsidR="005D5328" w:rsidRPr="006F738F">
        <w:t xml:space="preserve">: </w:t>
      </w:r>
      <w:hyperlink r:id="rId8" w:history="1">
        <w:r w:rsidR="006F738F" w:rsidRPr="00E44C85">
          <w:rPr>
            <w:rStyle w:val="Hyperlink"/>
          </w:rPr>
          <w:t>https://www.transportation.gov/sites/dot.gov/files/2021-03/DOT%20VSL%20Guidance%20-%202021%20Update.pdf</w:t>
        </w:r>
      </w:hyperlink>
    </w:p>
  </w:footnote>
  <w:footnote w:id="62">
    <w:p w14:paraId="45D6AE3E" w14:textId="00E8D38A" w:rsidR="00ED293C" w:rsidRDefault="00ED293C">
      <w:pPr>
        <w:pStyle w:val="FootnoteText"/>
      </w:pPr>
      <w:r>
        <w:rPr>
          <w:rStyle w:val="FootnoteReference"/>
        </w:rPr>
        <w:footnoteRef/>
      </w:r>
      <w:r w:rsidR="00C02208">
        <w:t xml:space="preserve"> </w:t>
      </w:r>
      <w:r w:rsidR="00234E63" w:rsidRPr="00F23583">
        <w:rPr>
          <w:i/>
          <w:iCs/>
        </w:rPr>
        <w:t>See</w:t>
      </w:r>
      <w:r w:rsidR="00234E63">
        <w:t xml:space="preserve"> LBNL </w:t>
      </w:r>
      <w:r w:rsidR="00C02208">
        <w:t>ICE 2.0 Survey Design Memorandum</w:t>
      </w:r>
      <w:r w:rsidR="007A4A5E">
        <w:t xml:space="preserve"> (August 26, 2022), available as of October</w:t>
      </w:r>
      <w:r w:rsidR="00F23583">
        <w:t> </w:t>
      </w:r>
      <w:r w:rsidR="007A4A5E">
        <w:t>28,</w:t>
      </w:r>
      <w:r w:rsidR="00F23583">
        <w:t> </w:t>
      </w:r>
      <w:r w:rsidR="007A4A5E">
        <w:t>2022</w:t>
      </w:r>
      <w:r w:rsidR="00C02208">
        <w:t xml:space="preserve"> at</w:t>
      </w:r>
      <w:r w:rsidR="007A4A5E">
        <w:t>:</w:t>
      </w:r>
      <w:r>
        <w:t xml:space="preserve"> </w:t>
      </w:r>
      <w:hyperlink r:id="rId9" w:history="1">
        <w:r w:rsidR="00C02208">
          <w:rPr>
            <w:rStyle w:val="Hyperlink"/>
          </w:rPr>
          <w:t>ICE-2.0-Survey-Design-Memo.pdf (icecalculator.com)</w:t>
        </w:r>
      </w:hyperlink>
      <w:r w:rsidR="007A4A5E">
        <w:rPr>
          <w:rStyle w:val="Hyperlink"/>
        </w:rPr>
        <w:t xml:space="preserve">. </w:t>
      </w:r>
    </w:p>
  </w:footnote>
  <w:footnote w:id="63">
    <w:p w14:paraId="737F2840" w14:textId="499233B1" w:rsidR="0023444C" w:rsidRPr="00044C6D" w:rsidRDefault="0023444C" w:rsidP="0023444C">
      <w:pPr>
        <w:pStyle w:val="FootnoteText"/>
      </w:pPr>
      <w:r>
        <w:rPr>
          <w:rStyle w:val="FootnoteReference"/>
        </w:rPr>
        <w:footnoteRef/>
      </w:r>
      <w:r>
        <w:t xml:space="preserve"> ICE FAQ</w:t>
      </w:r>
      <w:r w:rsidR="00CB4EA5">
        <w:t xml:space="preserve"> </w:t>
      </w:r>
      <w:r>
        <w:t>at 2</w:t>
      </w:r>
      <w:r w:rsidR="007751D9">
        <w:t xml:space="preserve"> (Appendix C of this decision):</w:t>
      </w:r>
      <w:r>
        <w:t xml:space="preserve"> “</w:t>
      </w:r>
      <w:r w:rsidRPr="00711DD2">
        <w:t xml:space="preserve">Berkeley Lab envisions a sequential and overlapping set of survey activities – each survey will be initiated based on the date that a contract with Berkeley Lab is signed. </w:t>
      </w:r>
      <w:r w:rsidR="00FE21E2">
        <w:t xml:space="preserve"> </w:t>
      </w:r>
      <w:r w:rsidRPr="00711DD2">
        <w:t xml:space="preserve">Specifically, Berkeley Lab expects to execute contracts with sponsoring utilities starting in late 2021 and into early 2022. </w:t>
      </w:r>
      <w:r w:rsidR="007B6F9C">
        <w:t xml:space="preserve"> </w:t>
      </w:r>
      <w:r w:rsidRPr="00711DD2">
        <w:t xml:space="preserve">Survey redesign, including pre-testing, is expected to be completed in the second half of 2022. </w:t>
      </w:r>
      <w:r w:rsidR="00FE21E2">
        <w:t xml:space="preserve"> </w:t>
      </w:r>
      <w:r w:rsidRPr="00711DD2">
        <w:t xml:space="preserve">Survey administration will begin at the start of 2023 with the majority of the surveys completed by the end of 2023. </w:t>
      </w:r>
      <w:r w:rsidR="00FE21E2">
        <w:t xml:space="preserve"> </w:t>
      </w:r>
      <w:r w:rsidRPr="00711DD2">
        <w:t xml:space="preserve">The updated ICE Calculator is planned for release in 2024 (subject to the scope of participation in the Initiative, discussed below). </w:t>
      </w:r>
      <w:r w:rsidR="00FE21E2">
        <w:t xml:space="preserve"> </w:t>
      </w:r>
      <w:r w:rsidRPr="00711DD2">
        <w:t>Along with the release, Berkeley Lab will publish a final technical report documenting all phases of the initiative.</w:t>
      </w:r>
      <w:r>
        <w:t xml:space="preserve">”  </w:t>
      </w:r>
    </w:p>
  </w:footnote>
  <w:footnote w:id="64">
    <w:p w14:paraId="36BD12E9" w14:textId="120856A2" w:rsidR="00347307" w:rsidRDefault="00347307">
      <w:pPr>
        <w:pStyle w:val="FootnoteText"/>
      </w:pPr>
      <w:r>
        <w:rPr>
          <w:rStyle w:val="FootnoteReference"/>
        </w:rPr>
        <w:footnoteRef/>
      </w:r>
      <w:r>
        <w:t xml:space="preserve"> </w:t>
      </w:r>
      <w:r w:rsidR="00195CD9">
        <w:t>ICE FAQ</w:t>
      </w:r>
      <w:r w:rsidR="00C20E5D">
        <w:t xml:space="preserve"> at </w:t>
      </w:r>
      <w:r w:rsidR="001A5220">
        <w:t>3</w:t>
      </w:r>
      <w:r w:rsidR="00940017">
        <w:t xml:space="preserve"> (Appendix </w:t>
      </w:r>
      <w:r w:rsidR="00940017" w:rsidRPr="00035723">
        <w:t>C</w:t>
      </w:r>
      <w:r w:rsidR="00FB485E">
        <w:t xml:space="preserve"> of this decision</w:t>
      </w:r>
      <w:r w:rsidR="00940017" w:rsidRPr="00035723">
        <w:t>).</w:t>
      </w:r>
    </w:p>
  </w:footnote>
  <w:footnote w:id="65">
    <w:p w14:paraId="3D76DFC8" w14:textId="7A57BFD1" w:rsidR="009F4716" w:rsidRDefault="009F4716">
      <w:pPr>
        <w:pStyle w:val="FootnoteText"/>
      </w:pPr>
      <w:r>
        <w:rPr>
          <w:rStyle w:val="FootnoteReference"/>
        </w:rPr>
        <w:footnoteRef/>
      </w:r>
      <w:r>
        <w:t xml:space="preserve"> Staff Proposal at 18. </w:t>
      </w:r>
    </w:p>
  </w:footnote>
  <w:footnote w:id="66">
    <w:p w14:paraId="30C3A325" w14:textId="64F02EBC" w:rsidR="007A300D" w:rsidRDefault="007A300D" w:rsidP="007A300D">
      <w:pPr>
        <w:pStyle w:val="FootnoteText"/>
      </w:pPr>
      <w:r>
        <w:rPr>
          <w:rStyle w:val="FootnoteReference"/>
        </w:rPr>
        <w:footnoteRef/>
      </w:r>
      <w:r>
        <w:t xml:space="preserve"> </w:t>
      </w:r>
      <w:r w:rsidR="0044325E">
        <w:t xml:space="preserve">Phase II </w:t>
      </w:r>
      <w:r>
        <w:t>Scoping Memo</w:t>
      </w:r>
      <w:r w:rsidR="0044325E">
        <w:t xml:space="preserve"> </w:t>
      </w:r>
      <w:r>
        <w:t>at 5</w:t>
      </w:r>
      <w:r w:rsidR="0044325E">
        <w:t>.</w:t>
      </w:r>
    </w:p>
  </w:footnote>
  <w:footnote w:id="67">
    <w:p w14:paraId="54084878" w14:textId="7DE0030A" w:rsidR="009E786A" w:rsidRPr="009E786A" w:rsidRDefault="009E786A">
      <w:pPr>
        <w:pStyle w:val="FootnoteText"/>
        <w:rPr>
          <w:lang w:val="en-ZW"/>
        </w:rPr>
      </w:pPr>
      <w:r>
        <w:rPr>
          <w:rStyle w:val="FootnoteReference"/>
        </w:rPr>
        <w:footnoteRef/>
      </w:r>
      <w:r>
        <w:t xml:space="preserve"> </w:t>
      </w:r>
      <w:r w:rsidR="00666B3F" w:rsidRPr="00666B3F">
        <w:t>The E</w:t>
      </w:r>
      <w:r w:rsidR="00A87C75">
        <w:t>SJ</w:t>
      </w:r>
      <w:r w:rsidR="00666B3F" w:rsidRPr="00666B3F">
        <w:t xml:space="preserve"> Action plan is available on the Commission’s website</w:t>
      </w:r>
      <w:r w:rsidR="00666B3F">
        <w:t>, available as of September</w:t>
      </w:r>
      <w:r w:rsidR="00FE21E2">
        <w:t> </w:t>
      </w:r>
      <w:r w:rsidR="00666B3F">
        <w:t>7,</w:t>
      </w:r>
      <w:r w:rsidR="00FE21E2">
        <w:t> </w:t>
      </w:r>
      <w:r w:rsidR="00666B3F">
        <w:t>2022 at</w:t>
      </w:r>
      <w:r w:rsidR="00666B3F" w:rsidRPr="00666B3F">
        <w:t xml:space="preserve">: </w:t>
      </w:r>
      <w:hyperlink r:id="rId10" w:history="1">
        <w:r w:rsidR="00666B3F" w:rsidRPr="00F237B4">
          <w:rPr>
            <w:rStyle w:val="Hyperlink"/>
          </w:rPr>
          <w:t>https://www.cpuc.ca.gov/news-and-updates/newsroom/environmental-and-social-justice-action-plan</w:t>
        </w:r>
      </w:hyperlink>
      <w:r w:rsidR="0044325E">
        <w:rPr>
          <w:rStyle w:val="Hyperlink"/>
        </w:rPr>
        <w:t xml:space="preserve">. </w:t>
      </w:r>
    </w:p>
  </w:footnote>
  <w:footnote w:id="68">
    <w:p w14:paraId="1AF6FFEE" w14:textId="777DD8D2" w:rsidR="00FC540C" w:rsidRDefault="00FC540C" w:rsidP="00FC540C">
      <w:pPr>
        <w:pStyle w:val="FootnoteText"/>
      </w:pPr>
      <w:r w:rsidRPr="0F2713CD">
        <w:rPr>
          <w:rStyle w:val="FootnoteReference"/>
        </w:rPr>
        <w:footnoteRef/>
      </w:r>
      <w:r w:rsidRPr="0F2713CD">
        <w:t xml:space="preserve"> </w:t>
      </w:r>
      <w:r>
        <w:t>E</w:t>
      </w:r>
      <w:r w:rsidR="006F2751">
        <w:t xml:space="preserve">SJ </w:t>
      </w:r>
      <w:r>
        <w:t>Action Plan version 2.0. at 8.</w:t>
      </w:r>
    </w:p>
  </w:footnote>
  <w:footnote w:id="69">
    <w:p w14:paraId="6C19FB28" w14:textId="20B36A13" w:rsidR="007A300D" w:rsidRPr="003A7552" w:rsidRDefault="007A300D" w:rsidP="007A300D">
      <w:pPr>
        <w:pStyle w:val="FootnoteText"/>
      </w:pPr>
      <w:r w:rsidRPr="003A7552">
        <w:rPr>
          <w:rStyle w:val="FootnoteReference"/>
        </w:rPr>
        <w:footnoteRef/>
      </w:r>
      <w:r w:rsidRPr="003A7552">
        <w:t xml:space="preserve"> </w:t>
      </w:r>
      <w:r w:rsidRPr="0078232F">
        <w:t xml:space="preserve">CalEnviroScreen refers to the Office of Environmental Health Hazards Assessment California Communities Environmental Health Screening Tool. </w:t>
      </w:r>
      <w:r>
        <w:t xml:space="preserve"> Additional</w:t>
      </w:r>
      <w:r w:rsidRPr="0078232F">
        <w:t xml:space="preserve"> information available </w:t>
      </w:r>
      <w:r>
        <w:t>as of September</w:t>
      </w:r>
      <w:r w:rsidR="00FE21E2">
        <w:t> </w:t>
      </w:r>
      <w:r>
        <w:t>7,</w:t>
      </w:r>
      <w:r w:rsidR="00FE21E2">
        <w:t> </w:t>
      </w:r>
      <w:r>
        <w:t>2022 here</w:t>
      </w:r>
      <w:r w:rsidRPr="0078232F">
        <w:t xml:space="preserve">: </w:t>
      </w:r>
      <w:hyperlink r:id="rId11" w:history="1">
        <w:r w:rsidR="007B6F9C" w:rsidRPr="007F651D">
          <w:rPr>
            <w:rStyle w:val="Hyperlink"/>
          </w:rPr>
          <w:t>https://oehha.ca.gov/calenviroscreen/report/calenviroscreen-40</w:t>
        </w:r>
      </w:hyperlink>
      <w:r w:rsidR="0044325E">
        <w:rPr>
          <w:rStyle w:val="Hyperlink"/>
        </w:rPr>
        <w:t xml:space="preserve">. </w:t>
      </w:r>
      <w:r w:rsidRPr="003A7552">
        <w:t xml:space="preserve"> </w:t>
      </w:r>
    </w:p>
  </w:footnote>
  <w:footnote w:id="70">
    <w:p w14:paraId="3BC51CE0" w14:textId="31F3DB5D" w:rsidR="007A300D" w:rsidRDefault="007A300D" w:rsidP="007A300D">
      <w:pPr>
        <w:pStyle w:val="FootnoteText"/>
      </w:pPr>
      <w:r>
        <w:rPr>
          <w:rStyle w:val="FootnoteReference"/>
        </w:rPr>
        <w:footnoteRef/>
      </w:r>
      <w:r>
        <w:t xml:space="preserve"> E</w:t>
      </w:r>
      <w:r w:rsidR="006F2751">
        <w:t xml:space="preserve">SJ </w:t>
      </w:r>
      <w:r>
        <w:t>Action Plan version 2.0. at 43</w:t>
      </w:r>
      <w:r w:rsidR="004D3959">
        <w:t>, Action Item 4.1.4</w:t>
      </w:r>
      <w:r>
        <w:t>.</w:t>
      </w:r>
    </w:p>
  </w:footnote>
  <w:footnote w:id="71">
    <w:p w14:paraId="4B15A21B" w14:textId="6DFA95CE" w:rsidR="0078680F" w:rsidRPr="00EF6306" w:rsidRDefault="0078680F" w:rsidP="0078680F">
      <w:pPr>
        <w:pStyle w:val="FootnoteText"/>
        <w:rPr>
          <w:lang w:val="en-ZW"/>
        </w:rPr>
      </w:pPr>
      <w:r>
        <w:rPr>
          <w:rStyle w:val="FootnoteReference"/>
        </w:rPr>
        <w:footnoteRef/>
      </w:r>
      <w:r>
        <w:t xml:space="preserve"> </w:t>
      </w:r>
      <w:r w:rsidR="00045F31" w:rsidRPr="00817E59">
        <w:rPr>
          <w:i/>
          <w:iCs/>
          <w:lang w:val="en-ZW"/>
        </w:rPr>
        <w:t>See</w:t>
      </w:r>
      <w:r>
        <w:rPr>
          <w:lang w:val="en-ZW"/>
        </w:rPr>
        <w:t xml:space="preserve"> D.20-08-046</w:t>
      </w:r>
      <w:r w:rsidR="00045F31">
        <w:rPr>
          <w:lang w:val="en-ZW"/>
        </w:rPr>
        <w:t xml:space="preserve"> at 13</w:t>
      </w:r>
      <w:r>
        <w:rPr>
          <w:lang w:val="en-ZW"/>
        </w:rPr>
        <w:t xml:space="preserve">, the Commission’s </w:t>
      </w:r>
      <w:r w:rsidRPr="00EF6306">
        <w:rPr>
          <w:i/>
          <w:iCs/>
          <w:lang w:val="en-ZW"/>
        </w:rPr>
        <w:t>Decision on Energy Utility Climate Change Vulnerability Assessments and Climate Adaptation in Disadvantaged Communities (Phase 1, Topics 4 and 5)</w:t>
      </w:r>
      <w:r>
        <w:rPr>
          <w:lang w:val="en-ZW"/>
        </w:rPr>
        <w:t>.</w:t>
      </w:r>
      <w:r w:rsidR="00E2025C">
        <w:rPr>
          <w:lang w:val="en-ZW"/>
        </w:rPr>
        <w:t xml:space="preserve"> </w:t>
      </w:r>
      <w:r w:rsidR="007B6F9C">
        <w:rPr>
          <w:lang w:val="en-ZW"/>
        </w:rPr>
        <w:t xml:space="preserve"> </w:t>
      </w:r>
      <w:r w:rsidR="00810C28">
        <w:rPr>
          <w:lang w:val="en-ZW"/>
        </w:rPr>
        <w:t>“</w:t>
      </w:r>
      <w:r w:rsidR="00810C28" w:rsidRPr="00810C28">
        <w:rPr>
          <w:lang w:val="en-ZW"/>
        </w:rPr>
        <w:t>A DVC for purposes of this proceeding consists of communities in the 25% highest scoring census tracts according to the most current versions of the California Communities Environmental Health Screening Tool (CalEnviroScreen), as well as all California tribal lands, census tracts that score in the highest 5% of Pollution Burden within CalEnviroScreen, but do not receive an overall CalEnviroScreen score due to unreliable public health and socioeconomic data, and census tracts with median household incomes less than 60% of state median income.</w:t>
      </w:r>
      <w:r w:rsidR="00A64712">
        <w:rPr>
          <w:lang w:val="en-ZW"/>
        </w:rPr>
        <w:t>”</w:t>
      </w:r>
    </w:p>
  </w:footnote>
  <w:footnote w:id="72">
    <w:p w14:paraId="17F8B430" w14:textId="77777777" w:rsidR="0078680F" w:rsidRDefault="0078680F" w:rsidP="0078680F">
      <w:pPr>
        <w:pStyle w:val="FootnoteText"/>
      </w:pPr>
      <w:r>
        <w:rPr>
          <w:rStyle w:val="FootnoteReference"/>
        </w:rPr>
        <w:footnoteRef/>
      </w:r>
      <w:r>
        <w:t xml:space="preserve"> Staff Recommendations at 25.</w:t>
      </w:r>
    </w:p>
  </w:footnote>
  <w:footnote w:id="73">
    <w:p w14:paraId="3B2548C4" w14:textId="77777777" w:rsidR="0078680F" w:rsidRPr="00A37825" w:rsidRDefault="0078680F" w:rsidP="0078680F">
      <w:pPr>
        <w:pStyle w:val="FootnoteText"/>
        <w:rPr>
          <w:lang w:val="en-ZW"/>
        </w:rPr>
      </w:pPr>
      <w:r>
        <w:rPr>
          <w:rStyle w:val="FootnoteReference"/>
        </w:rPr>
        <w:footnoteRef/>
      </w:r>
      <w:r>
        <w:t xml:space="preserve"> </w:t>
      </w:r>
      <w:r>
        <w:rPr>
          <w:lang w:val="en-ZW"/>
        </w:rPr>
        <w:t>Staff Proposal at iv-v, 22-26.</w:t>
      </w:r>
    </w:p>
  </w:footnote>
  <w:footnote w:id="74">
    <w:p w14:paraId="7CF71623" w14:textId="59FACDE8" w:rsidR="00F64D10" w:rsidRDefault="00F64D10">
      <w:pPr>
        <w:pStyle w:val="FootnoteText"/>
      </w:pPr>
      <w:r>
        <w:rPr>
          <w:rStyle w:val="FootnoteReference"/>
        </w:rPr>
        <w:footnoteRef/>
      </w:r>
      <w:r>
        <w:t xml:space="preserve"> SCE Opening Comments at </w:t>
      </w:r>
      <w:r w:rsidR="0025424C">
        <w:t>12.</w:t>
      </w:r>
    </w:p>
  </w:footnote>
  <w:footnote w:id="75">
    <w:p w14:paraId="1B467DFA" w14:textId="09371D78" w:rsidR="007A300D" w:rsidRDefault="007A300D" w:rsidP="007A300D">
      <w:pPr>
        <w:pStyle w:val="FootnoteText"/>
      </w:pPr>
      <w:r>
        <w:rPr>
          <w:rStyle w:val="FootnoteReference"/>
        </w:rPr>
        <w:footnoteRef/>
      </w:r>
      <w:r w:rsidR="004F0F94">
        <w:t xml:space="preserve"> PG&amp;E Opening Comments at </w:t>
      </w:r>
      <w:r w:rsidR="009C7AB3">
        <w:t>6</w:t>
      </w:r>
      <w:r w:rsidR="009A5A0E">
        <w:t xml:space="preserve">, citing </w:t>
      </w:r>
      <w:r w:rsidR="00532066">
        <w:t xml:space="preserve">CARB, “Examining the health impacts of short-term repeated exposure to wildfire smoke: </w:t>
      </w:r>
      <w:r w:rsidR="00FE21E2">
        <w:t xml:space="preserve"> </w:t>
      </w:r>
      <w:r w:rsidR="00532066">
        <w:t>Funding Year 2021 – 2022 Proposal Solicitation.” Available as of October 17, 2022 at:</w:t>
      </w:r>
      <w:r>
        <w:t xml:space="preserve"> </w:t>
      </w:r>
      <w:hyperlink r:id="rId12" w:history="1">
        <w:r w:rsidRPr="00EC3681">
          <w:rPr>
            <w:rStyle w:val="Hyperlink"/>
          </w:rPr>
          <w:t>https://ww2.arb.ca.gov/resources/documents/examining-health-impacts-short-term-repeated-exposure-wildfire-smoke</w:t>
        </w:r>
      </w:hyperlink>
      <w:r>
        <w:t xml:space="preserve"> </w:t>
      </w:r>
    </w:p>
  </w:footnote>
  <w:footnote w:id="76">
    <w:p w14:paraId="1A81C496" w14:textId="7AD7CD49" w:rsidR="0020796D" w:rsidRDefault="0020796D">
      <w:pPr>
        <w:pStyle w:val="FootnoteText"/>
      </w:pPr>
      <w:r>
        <w:rPr>
          <w:rStyle w:val="FootnoteReference"/>
        </w:rPr>
        <w:footnoteRef/>
      </w:r>
      <w:r>
        <w:t xml:space="preserve"> PG&amp;E Opening Comments at 7.</w:t>
      </w:r>
    </w:p>
  </w:footnote>
  <w:footnote w:id="77">
    <w:p w14:paraId="7E94D8D8" w14:textId="2E4DC0BF" w:rsidR="00586896" w:rsidRDefault="00586896">
      <w:pPr>
        <w:pStyle w:val="FootnoteText"/>
      </w:pPr>
      <w:r>
        <w:rPr>
          <w:rStyle w:val="FootnoteReference"/>
        </w:rPr>
        <w:footnoteRef/>
      </w:r>
      <w:r>
        <w:t xml:space="preserve"> </w:t>
      </w:r>
      <w:r w:rsidR="00F72C4A">
        <w:t>Details</w:t>
      </w:r>
      <w:r>
        <w:t xml:space="preserve"> about the CBOWG can be found</w:t>
      </w:r>
      <w:r w:rsidR="00F72C4A">
        <w:t xml:space="preserve"> in </w:t>
      </w:r>
      <w:r w:rsidR="00EB133E">
        <w:t xml:space="preserve">the </w:t>
      </w:r>
      <w:r w:rsidR="00EB133E" w:rsidRPr="00034881">
        <w:rPr>
          <w:i/>
        </w:rPr>
        <w:t>Decision Requiring Development of Community Based Organization Case Management Pilot Program to Reduce Arrearages Associated with the Covid</w:t>
      </w:r>
      <w:r w:rsidR="00FE21E2">
        <w:rPr>
          <w:i/>
        </w:rPr>
        <w:noBreakHyphen/>
      </w:r>
      <w:r w:rsidR="00EB133E" w:rsidRPr="00034881">
        <w:rPr>
          <w:i/>
        </w:rPr>
        <w:t>19 Pandemic</w:t>
      </w:r>
      <w:r w:rsidR="00FE21E2">
        <w:rPr>
          <w:i/>
        </w:rPr>
        <w:t>.</w:t>
      </w:r>
      <w:r w:rsidR="00EB133E" w:rsidRPr="00034881">
        <w:rPr>
          <w:i/>
        </w:rPr>
        <w:t xml:space="preserve"> </w:t>
      </w:r>
      <w:r w:rsidR="00FE21E2">
        <w:rPr>
          <w:i/>
        </w:rPr>
        <w:t xml:space="preserve"> </w:t>
      </w:r>
      <w:r w:rsidR="00EB133E">
        <w:t>(D.</w:t>
      </w:r>
      <w:r w:rsidR="00CC6284" w:rsidRPr="00CC6284">
        <w:t xml:space="preserve"> 22-04-037</w:t>
      </w:r>
      <w:r w:rsidR="00CC6284">
        <w:t xml:space="preserve">). </w:t>
      </w:r>
    </w:p>
  </w:footnote>
  <w:footnote w:id="78">
    <w:p w14:paraId="60C07A46" w14:textId="39D0DAC9" w:rsidR="00374452" w:rsidRDefault="00374452" w:rsidP="00374452">
      <w:pPr>
        <w:pStyle w:val="FootnoteText"/>
      </w:pPr>
      <w:r>
        <w:rPr>
          <w:rStyle w:val="FootnoteReference"/>
        </w:rPr>
        <w:footnoteRef/>
      </w:r>
      <w:r>
        <w:t xml:space="preserve"> D.20-08-046 </w:t>
      </w:r>
      <w:r w:rsidRPr="00020C1A">
        <w:t xml:space="preserve">at </w:t>
      </w:r>
      <w:r w:rsidR="00020C1A" w:rsidRPr="00020C1A">
        <w:t>13</w:t>
      </w:r>
      <w:r w:rsidRPr="00020C1A">
        <w:t>.</w:t>
      </w:r>
      <w:r>
        <w:t xml:space="preserve"> </w:t>
      </w:r>
    </w:p>
  </w:footnote>
  <w:footnote w:id="79">
    <w:p w14:paraId="779076D6" w14:textId="2046DD0E" w:rsidR="00125B7B" w:rsidRDefault="00125B7B">
      <w:pPr>
        <w:pStyle w:val="FootnoteText"/>
      </w:pPr>
      <w:r>
        <w:rPr>
          <w:rStyle w:val="FootnoteReference"/>
        </w:rPr>
        <w:footnoteRef/>
      </w:r>
      <w:r>
        <w:t xml:space="preserve"> </w:t>
      </w:r>
      <w:r w:rsidRPr="000E33B1">
        <w:rPr>
          <w:i/>
          <w:iCs/>
        </w:rPr>
        <w:t>See</w:t>
      </w:r>
      <w:r>
        <w:t xml:space="preserve"> footnote 70.</w:t>
      </w:r>
    </w:p>
  </w:footnote>
  <w:footnote w:id="80">
    <w:p w14:paraId="183ABAA6" w14:textId="631D69B6" w:rsidR="00680339" w:rsidRDefault="00680339" w:rsidP="00680339">
      <w:pPr>
        <w:pStyle w:val="FootnoteText"/>
      </w:pPr>
      <w:r>
        <w:rPr>
          <w:rStyle w:val="FootnoteReference"/>
        </w:rPr>
        <w:footnoteRef/>
      </w:r>
      <w:r>
        <w:t xml:space="preserve"> </w:t>
      </w:r>
      <w:r w:rsidR="004F1BF1">
        <w:t>PG&amp;E Comments on Staff Proposal</w:t>
      </w:r>
      <w:r w:rsidR="00552569">
        <w:t xml:space="preserve"> at </w:t>
      </w:r>
      <w:r w:rsidR="00825746">
        <w:t>Attachment</w:t>
      </w:r>
      <w:r w:rsidR="00552569">
        <w:t xml:space="preserve"> 1. </w:t>
      </w:r>
      <w:r w:rsidR="00211289" w:rsidDel="00211289">
        <w:t xml:space="preserve"> </w:t>
      </w:r>
    </w:p>
  </w:footnote>
  <w:footnote w:id="81">
    <w:p w14:paraId="328742C8" w14:textId="36DB08C0" w:rsidR="0031435E" w:rsidRDefault="0031435E" w:rsidP="0031435E">
      <w:pPr>
        <w:pStyle w:val="FootnoteText"/>
      </w:pPr>
      <w:r>
        <w:rPr>
          <w:rStyle w:val="FootnoteReference"/>
        </w:rPr>
        <w:footnoteRef/>
      </w:r>
      <w:r>
        <w:t xml:space="preserve"> </w:t>
      </w:r>
      <w:r w:rsidR="00A02C7B" w:rsidRPr="0031435E">
        <w:t>D.21-11-009</w:t>
      </w:r>
      <w:r w:rsidR="003C7DA0">
        <w:t xml:space="preserve"> at </w:t>
      </w:r>
      <w:r w:rsidR="00A02C7B" w:rsidRPr="0031435E">
        <w:t>Appendix D: 2021 S-MAP Revised Lexicon</w:t>
      </w:r>
      <w:r>
        <w:t xml:space="preserve"> </w:t>
      </w:r>
      <w:hyperlink r:id="rId13" w:history="1">
        <w:r w:rsidRPr="001060C8">
          <w:rPr>
            <w:rStyle w:val="Hyperlink"/>
          </w:rPr>
          <w:t>https://docs.cpuc.ca.gov/PublishedDocs/Efile/G000/M407/K950/407950875.PDF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2CE4" w14:textId="06A1B695" w:rsidR="007C26BA" w:rsidRPr="00F92385" w:rsidRDefault="007C26BA"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B4A" w14:textId="28D033E7" w:rsidR="004C328E" w:rsidRPr="00F23583" w:rsidRDefault="007C26BA" w:rsidP="00B3087D">
    <w:pPr>
      <w:pStyle w:val="Header"/>
      <w:tabs>
        <w:tab w:val="clear" w:pos="4680"/>
      </w:tabs>
      <w:ind w:firstLine="0"/>
      <w:rPr>
        <w:b/>
      </w:rPr>
    </w:pPr>
    <w:r>
      <w:t>R.20-07-013  COM/CR6/jnf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B081" w14:textId="057C8714" w:rsidR="004C328E" w:rsidRPr="00F23583" w:rsidRDefault="007C26BA" w:rsidP="00B3087D">
    <w:pPr>
      <w:pStyle w:val="Header"/>
      <w:tabs>
        <w:tab w:val="clear" w:pos="4680"/>
      </w:tabs>
      <w:ind w:firstLine="0"/>
      <w:rPr>
        <w:b/>
      </w:rPr>
    </w:pPr>
    <w:r>
      <w:t>R.20-07-013  COM/CR6/jnf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32D4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E2CB9"/>
    <w:multiLevelType w:val="hybridMultilevel"/>
    <w:tmpl w:val="E6282D1E"/>
    <w:lvl w:ilvl="0" w:tplc="FFFFFFFF">
      <w:start w:val="1"/>
      <w:numFmt w:val="lowerRoman"/>
      <w:lvlText w:val="%1."/>
      <w:lvlJc w:val="righ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E640EBF"/>
    <w:multiLevelType w:val="hybridMultilevel"/>
    <w:tmpl w:val="E6282D1E"/>
    <w:lvl w:ilvl="0" w:tplc="0409001B">
      <w:start w:val="1"/>
      <w:numFmt w:val="lowerRoman"/>
      <w:lvlText w:val="%1."/>
      <w:lvlJc w:val="righ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296A727C"/>
    <w:multiLevelType w:val="hybridMultilevel"/>
    <w:tmpl w:val="806E7FEC"/>
    <w:lvl w:ilvl="0" w:tplc="CC9AA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2357CB"/>
    <w:multiLevelType w:val="hybridMultilevel"/>
    <w:tmpl w:val="46801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8" w15:restartNumberingAfterBreak="0">
    <w:nsid w:val="379D3306"/>
    <w:multiLevelType w:val="hybridMultilevel"/>
    <w:tmpl w:val="E6282D1E"/>
    <w:lvl w:ilvl="0" w:tplc="FFFFFFFF">
      <w:start w:val="1"/>
      <w:numFmt w:val="lowerRoman"/>
      <w:lvlText w:val="%1."/>
      <w:lvlJc w:val="righ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3DAF1282"/>
    <w:multiLevelType w:val="multilevel"/>
    <w:tmpl w:val="21F635FA"/>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0" w15:restartNumberingAfterBreak="0">
    <w:nsid w:val="5AA77641"/>
    <w:multiLevelType w:val="hybridMultilevel"/>
    <w:tmpl w:val="7278EEA4"/>
    <w:lvl w:ilvl="0" w:tplc="EB08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2D1D8D"/>
    <w:multiLevelType w:val="hybridMultilevel"/>
    <w:tmpl w:val="3F808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A25780"/>
    <w:multiLevelType w:val="multilevel"/>
    <w:tmpl w:val="3C526EDE"/>
    <w:numStyleLink w:val="Headings"/>
  </w:abstractNum>
  <w:abstractNum w:abstractNumId="13" w15:restartNumberingAfterBreak="0">
    <w:nsid w:val="661B76C1"/>
    <w:multiLevelType w:val="multilevel"/>
    <w:tmpl w:val="F642D43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4" w15:restartNumberingAfterBreak="0">
    <w:nsid w:val="6C985FB6"/>
    <w:multiLevelType w:val="hybridMultilevel"/>
    <w:tmpl w:val="3048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349346">
    <w:abstractNumId w:val="12"/>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 w16cid:durableId="806095910">
    <w:abstractNumId w:val="2"/>
  </w:num>
  <w:num w:numId="3" w16cid:durableId="416026756">
    <w:abstractNumId w:val="7"/>
  </w:num>
  <w:num w:numId="4" w16cid:durableId="1088581593">
    <w:abstractNumId w:val="0"/>
  </w:num>
  <w:num w:numId="5" w16cid:durableId="81805238">
    <w:abstractNumId w:val="14"/>
  </w:num>
  <w:num w:numId="6" w16cid:durableId="166334923">
    <w:abstractNumId w:val="6"/>
  </w:num>
  <w:num w:numId="7" w16cid:durableId="2012023157">
    <w:abstractNumId w:val="3"/>
  </w:num>
  <w:num w:numId="8" w16cid:durableId="1141265581">
    <w:abstractNumId w:val="11"/>
  </w:num>
  <w:num w:numId="9" w16cid:durableId="1480996868">
    <w:abstractNumId w:val="9"/>
  </w:num>
  <w:num w:numId="10" w16cid:durableId="1272785127">
    <w:abstractNumId w:val="4"/>
  </w:num>
  <w:num w:numId="11" w16cid:durableId="1701583861">
    <w:abstractNumId w:val="13"/>
  </w:num>
  <w:num w:numId="12" w16cid:durableId="591088820">
    <w:abstractNumId w:val="10"/>
  </w:num>
  <w:num w:numId="13" w16cid:durableId="333537947">
    <w:abstractNumId w:val="5"/>
  </w:num>
  <w:num w:numId="14" w16cid:durableId="219295679">
    <w:abstractNumId w:val="8"/>
  </w:num>
  <w:num w:numId="15" w16cid:durableId="1736931354">
    <w:abstractNumId w:val="1"/>
  </w:num>
  <w:num w:numId="16" w16cid:durableId="1752773773">
    <w:abstractNumId w:val="0"/>
  </w:num>
  <w:num w:numId="17" w16cid:durableId="458379625">
    <w:abstractNumId w:val="0"/>
  </w:num>
  <w:num w:numId="18" w16cid:durableId="122429774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B1"/>
    <w:rsid w:val="0000020F"/>
    <w:rsid w:val="00000532"/>
    <w:rsid w:val="000008B7"/>
    <w:rsid w:val="00000979"/>
    <w:rsid w:val="000009B2"/>
    <w:rsid w:val="000009EF"/>
    <w:rsid w:val="00000A99"/>
    <w:rsid w:val="00000C4E"/>
    <w:rsid w:val="00000F6A"/>
    <w:rsid w:val="00001226"/>
    <w:rsid w:val="000016C3"/>
    <w:rsid w:val="00001B38"/>
    <w:rsid w:val="00001CCD"/>
    <w:rsid w:val="00001DE9"/>
    <w:rsid w:val="00002108"/>
    <w:rsid w:val="000026B2"/>
    <w:rsid w:val="00002C05"/>
    <w:rsid w:val="00002D0E"/>
    <w:rsid w:val="00002DC3"/>
    <w:rsid w:val="00002E9C"/>
    <w:rsid w:val="00002F75"/>
    <w:rsid w:val="00003087"/>
    <w:rsid w:val="0000350D"/>
    <w:rsid w:val="000035B5"/>
    <w:rsid w:val="000036ED"/>
    <w:rsid w:val="000037AC"/>
    <w:rsid w:val="000037CA"/>
    <w:rsid w:val="00003829"/>
    <w:rsid w:val="00003D75"/>
    <w:rsid w:val="00003E15"/>
    <w:rsid w:val="00003E7C"/>
    <w:rsid w:val="00004431"/>
    <w:rsid w:val="0000504A"/>
    <w:rsid w:val="000050A7"/>
    <w:rsid w:val="00005115"/>
    <w:rsid w:val="000051DD"/>
    <w:rsid w:val="0000521B"/>
    <w:rsid w:val="0000527B"/>
    <w:rsid w:val="00005464"/>
    <w:rsid w:val="00005716"/>
    <w:rsid w:val="0000582C"/>
    <w:rsid w:val="0000596A"/>
    <w:rsid w:val="00005A50"/>
    <w:rsid w:val="00005A7E"/>
    <w:rsid w:val="00006384"/>
    <w:rsid w:val="00006555"/>
    <w:rsid w:val="00006D6A"/>
    <w:rsid w:val="00007009"/>
    <w:rsid w:val="00007377"/>
    <w:rsid w:val="00007816"/>
    <w:rsid w:val="00007FBE"/>
    <w:rsid w:val="0001002C"/>
    <w:rsid w:val="000103CE"/>
    <w:rsid w:val="00010D14"/>
    <w:rsid w:val="00010FBA"/>
    <w:rsid w:val="000110D7"/>
    <w:rsid w:val="00011397"/>
    <w:rsid w:val="000116AD"/>
    <w:rsid w:val="00011F95"/>
    <w:rsid w:val="00012189"/>
    <w:rsid w:val="00012477"/>
    <w:rsid w:val="000125E7"/>
    <w:rsid w:val="00012D2A"/>
    <w:rsid w:val="0001343F"/>
    <w:rsid w:val="00013927"/>
    <w:rsid w:val="00013ABD"/>
    <w:rsid w:val="00013B0B"/>
    <w:rsid w:val="00013C02"/>
    <w:rsid w:val="00013CB6"/>
    <w:rsid w:val="00013D36"/>
    <w:rsid w:val="00013E74"/>
    <w:rsid w:val="000142AB"/>
    <w:rsid w:val="0001442B"/>
    <w:rsid w:val="00014568"/>
    <w:rsid w:val="00014793"/>
    <w:rsid w:val="00014796"/>
    <w:rsid w:val="000149B0"/>
    <w:rsid w:val="00014A90"/>
    <w:rsid w:val="00014ACD"/>
    <w:rsid w:val="000153A2"/>
    <w:rsid w:val="00015A16"/>
    <w:rsid w:val="00015F6E"/>
    <w:rsid w:val="00015FF0"/>
    <w:rsid w:val="000164C9"/>
    <w:rsid w:val="00016A74"/>
    <w:rsid w:val="00016BF1"/>
    <w:rsid w:val="00016C10"/>
    <w:rsid w:val="00016EC2"/>
    <w:rsid w:val="0001710C"/>
    <w:rsid w:val="00017ADE"/>
    <w:rsid w:val="00017D76"/>
    <w:rsid w:val="0002025A"/>
    <w:rsid w:val="000202BD"/>
    <w:rsid w:val="0002033B"/>
    <w:rsid w:val="0002058A"/>
    <w:rsid w:val="00020624"/>
    <w:rsid w:val="000206AD"/>
    <w:rsid w:val="000206E2"/>
    <w:rsid w:val="00020B64"/>
    <w:rsid w:val="00020BEF"/>
    <w:rsid w:val="00020C1A"/>
    <w:rsid w:val="00021226"/>
    <w:rsid w:val="00021262"/>
    <w:rsid w:val="000214BF"/>
    <w:rsid w:val="00021540"/>
    <w:rsid w:val="000217DE"/>
    <w:rsid w:val="00021903"/>
    <w:rsid w:val="00021B70"/>
    <w:rsid w:val="00021D25"/>
    <w:rsid w:val="00022169"/>
    <w:rsid w:val="00022231"/>
    <w:rsid w:val="00022A5E"/>
    <w:rsid w:val="00022F26"/>
    <w:rsid w:val="00023147"/>
    <w:rsid w:val="00023BA4"/>
    <w:rsid w:val="00023C66"/>
    <w:rsid w:val="00023CA5"/>
    <w:rsid w:val="00023D83"/>
    <w:rsid w:val="00024073"/>
    <w:rsid w:val="00024158"/>
    <w:rsid w:val="0002419A"/>
    <w:rsid w:val="0002429B"/>
    <w:rsid w:val="00024835"/>
    <w:rsid w:val="00024BB6"/>
    <w:rsid w:val="00024E41"/>
    <w:rsid w:val="00025211"/>
    <w:rsid w:val="000256AC"/>
    <w:rsid w:val="0002599A"/>
    <w:rsid w:val="00025A95"/>
    <w:rsid w:val="0002609A"/>
    <w:rsid w:val="0002621F"/>
    <w:rsid w:val="000262A3"/>
    <w:rsid w:val="00026351"/>
    <w:rsid w:val="000263B4"/>
    <w:rsid w:val="0002675C"/>
    <w:rsid w:val="00026C8C"/>
    <w:rsid w:val="00026DEC"/>
    <w:rsid w:val="00026EB3"/>
    <w:rsid w:val="00027535"/>
    <w:rsid w:val="0002786A"/>
    <w:rsid w:val="00027D90"/>
    <w:rsid w:val="00027F06"/>
    <w:rsid w:val="000309B7"/>
    <w:rsid w:val="00030AA2"/>
    <w:rsid w:val="00030B12"/>
    <w:rsid w:val="00030BEF"/>
    <w:rsid w:val="00030FEF"/>
    <w:rsid w:val="00031669"/>
    <w:rsid w:val="0003173D"/>
    <w:rsid w:val="000318AA"/>
    <w:rsid w:val="00032118"/>
    <w:rsid w:val="00032614"/>
    <w:rsid w:val="0003266F"/>
    <w:rsid w:val="00032A15"/>
    <w:rsid w:val="00032E11"/>
    <w:rsid w:val="00032F10"/>
    <w:rsid w:val="0003312D"/>
    <w:rsid w:val="000332D2"/>
    <w:rsid w:val="000337F5"/>
    <w:rsid w:val="00033B94"/>
    <w:rsid w:val="00033D01"/>
    <w:rsid w:val="00033E7A"/>
    <w:rsid w:val="00034376"/>
    <w:rsid w:val="0003439D"/>
    <w:rsid w:val="0003458B"/>
    <w:rsid w:val="00034881"/>
    <w:rsid w:val="00034D00"/>
    <w:rsid w:val="00034E14"/>
    <w:rsid w:val="00035033"/>
    <w:rsid w:val="00035070"/>
    <w:rsid w:val="0003511C"/>
    <w:rsid w:val="00035723"/>
    <w:rsid w:val="00035A36"/>
    <w:rsid w:val="00035E39"/>
    <w:rsid w:val="00036297"/>
    <w:rsid w:val="000365B1"/>
    <w:rsid w:val="0003667A"/>
    <w:rsid w:val="00036787"/>
    <w:rsid w:val="000368C0"/>
    <w:rsid w:val="00036CA4"/>
    <w:rsid w:val="000371C0"/>
    <w:rsid w:val="000374B7"/>
    <w:rsid w:val="000378E7"/>
    <w:rsid w:val="00037B7A"/>
    <w:rsid w:val="00040029"/>
    <w:rsid w:val="00040B26"/>
    <w:rsid w:val="00040D48"/>
    <w:rsid w:val="000411B1"/>
    <w:rsid w:val="000412A0"/>
    <w:rsid w:val="00041344"/>
    <w:rsid w:val="00041346"/>
    <w:rsid w:val="0004168C"/>
    <w:rsid w:val="0004174E"/>
    <w:rsid w:val="00041C68"/>
    <w:rsid w:val="00041DDB"/>
    <w:rsid w:val="000429F9"/>
    <w:rsid w:val="00042A76"/>
    <w:rsid w:val="00042C43"/>
    <w:rsid w:val="00042F70"/>
    <w:rsid w:val="00042FB9"/>
    <w:rsid w:val="00042FD7"/>
    <w:rsid w:val="00042FFB"/>
    <w:rsid w:val="000431B8"/>
    <w:rsid w:val="000434CD"/>
    <w:rsid w:val="000434F1"/>
    <w:rsid w:val="00043BA2"/>
    <w:rsid w:val="00043E8C"/>
    <w:rsid w:val="00044119"/>
    <w:rsid w:val="000445AC"/>
    <w:rsid w:val="00044850"/>
    <w:rsid w:val="00044A2A"/>
    <w:rsid w:val="00044C6D"/>
    <w:rsid w:val="00044D7D"/>
    <w:rsid w:val="00044E51"/>
    <w:rsid w:val="00044F97"/>
    <w:rsid w:val="0004542D"/>
    <w:rsid w:val="000454AE"/>
    <w:rsid w:val="00045CB9"/>
    <w:rsid w:val="00045CC2"/>
    <w:rsid w:val="00045F1E"/>
    <w:rsid w:val="00045F31"/>
    <w:rsid w:val="00046274"/>
    <w:rsid w:val="00046456"/>
    <w:rsid w:val="00046847"/>
    <w:rsid w:val="00046DE9"/>
    <w:rsid w:val="0004710C"/>
    <w:rsid w:val="00047191"/>
    <w:rsid w:val="000476DF"/>
    <w:rsid w:val="000479A9"/>
    <w:rsid w:val="00047D7A"/>
    <w:rsid w:val="000501EE"/>
    <w:rsid w:val="00050263"/>
    <w:rsid w:val="00050430"/>
    <w:rsid w:val="0005077E"/>
    <w:rsid w:val="00050E79"/>
    <w:rsid w:val="00051386"/>
    <w:rsid w:val="00051AD0"/>
    <w:rsid w:val="00051E1E"/>
    <w:rsid w:val="0005238D"/>
    <w:rsid w:val="000523C1"/>
    <w:rsid w:val="00052FB1"/>
    <w:rsid w:val="00052FFE"/>
    <w:rsid w:val="0005304F"/>
    <w:rsid w:val="000535B7"/>
    <w:rsid w:val="00053911"/>
    <w:rsid w:val="00053D16"/>
    <w:rsid w:val="00053D23"/>
    <w:rsid w:val="00053DE9"/>
    <w:rsid w:val="00053F63"/>
    <w:rsid w:val="000541F1"/>
    <w:rsid w:val="000542D3"/>
    <w:rsid w:val="00054570"/>
    <w:rsid w:val="00054915"/>
    <w:rsid w:val="00054BBB"/>
    <w:rsid w:val="00054C17"/>
    <w:rsid w:val="00054CA5"/>
    <w:rsid w:val="00054D86"/>
    <w:rsid w:val="0005515E"/>
    <w:rsid w:val="000551A1"/>
    <w:rsid w:val="00055743"/>
    <w:rsid w:val="00055819"/>
    <w:rsid w:val="00055C5C"/>
    <w:rsid w:val="00055E58"/>
    <w:rsid w:val="00055ED4"/>
    <w:rsid w:val="00056466"/>
    <w:rsid w:val="0005648C"/>
    <w:rsid w:val="000567FA"/>
    <w:rsid w:val="00056C0E"/>
    <w:rsid w:val="00056C3E"/>
    <w:rsid w:val="00056DC3"/>
    <w:rsid w:val="00056E56"/>
    <w:rsid w:val="00056EE2"/>
    <w:rsid w:val="00057452"/>
    <w:rsid w:val="00057E84"/>
    <w:rsid w:val="00060176"/>
    <w:rsid w:val="000601FF"/>
    <w:rsid w:val="00060664"/>
    <w:rsid w:val="000606E2"/>
    <w:rsid w:val="000606E9"/>
    <w:rsid w:val="00060C60"/>
    <w:rsid w:val="00060CEF"/>
    <w:rsid w:val="00060D86"/>
    <w:rsid w:val="00060EEC"/>
    <w:rsid w:val="00060F78"/>
    <w:rsid w:val="00060F82"/>
    <w:rsid w:val="000613F1"/>
    <w:rsid w:val="000617F1"/>
    <w:rsid w:val="0006194B"/>
    <w:rsid w:val="00062058"/>
    <w:rsid w:val="0006213E"/>
    <w:rsid w:val="00062743"/>
    <w:rsid w:val="000628A0"/>
    <w:rsid w:val="00062EA8"/>
    <w:rsid w:val="00063043"/>
    <w:rsid w:val="00063194"/>
    <w:rsid w:val="0006330B"/>
    <w:rsid w:val="0006344D"/>
    <w:rsid w:val="0006348B"/>
    <w:rsid w:val="000639F5"/>
    <w:rsid w:val="00063AF0"/>
    <w:rsid w:val="00063C5B"/>
    <w:rsid w:val="00063CE1"/>
    <w:rsid w:val="00063EC3"/>
    <w:rsid w:val="00064135"/>
    <w:rsid w:val="00064155"/>
    <w:rsid w:val="000641FC"/>
    <w:rsid w:val="00064682"/>
    <w:rsid w:val="00064896"/>
    <w:rsid w:val="000649F7"/>
    <w:rsid w:val="00064E01"/>
    <w:rsid w:val="00064E1C"/>
    <w:rsid w:val="00064E78"/>
    <w:rsid w:val="00064EF9"/>
    <w:rsid w:val="00065246"/>
    <w:rsid w:val="000656C1"/>
    <w:rsid w:val="00065707"/>
    <w:rsid w:val="00065C8B"/>
    <w:rsid w:val="00065D88"/>
    <w:rsid w:val="00065FC7"/>
    <w:rsid w:val="0006609C"/>
    <w:rsid w:val="00066BB9"/>
    <w:rsid w:val="0006745A"/>
    <w:rsid w:val="00067497"/>
    <w:rsid w:val="000677AA"/>
    <w:rsid w:val="00067888"/>
    <w:rsid w:val="00067907"/>
    <w:rsid w:val="0007029A"/>
    <w:rsid w:val="00070461"/>
    <w:rsid w:val="000705E4"/>
    <w:rsid w:val="00070C9C"/>
    <w:rsid w:val="0007115A"/>
    <w:rsid w:val="0007159B"/>
    <w:rsid w:val="000715E1"/>
    <w:rsid w:val="000716E9"/>
    <w:rsid w:val="0007189E"/>
    <w:rsid w:val="00071911"/>
    <w:rsid w:val="00071E45"/>
    <w:rsid w:val="000721F5"/>
    <w:rsid w:val="00072230"/>
    <w:rsid w:val="000726CD"/>
    <w:rsid w:val="000728DB"/>
    <w:rsid w:val="00072AE1"/>
    <w:rsid w:val="00072E07"/>
    <w:rsid w:val="000733F5"/>
    <w:rsid w:val="00073661"/>
    <w:rsid w:val="000738FD"/>
    <w:rsid w:val="00073AB9"/>
    <w:rsid w:val="00073ACC"/>
    <w:rsid w:val="00073B40"/>
    <w:rsid w:val="0007409D"/>
    <w:rsid w:val="00074697"/>
    <w:rsid w:val="00074C2B"/>
    <w:rsid w:val="00074E35"/>
    <w:rsid w:val="00074E52"/>
    <w:rsid w:val="00074ED7"/>
    <w:rsid w:val="00074F61"/>
    <w:rsid w:val="000750AC"/>
    <w:rsid w:val="00075172"/>
    <w:rsid w:val="00075372"/>
    <w:rsid w:val="0007552F"/>
    <w:rsid w:val="00075725"/>
    <w:rsid w:val="00075D59"/>
    <w:rsid w:val="00075D5F"/>
    <w:rsid w:val="0007619C"/>
    <w:rsid w:val="000763B7"/>
    <w:rsid w:val="0007647A"/>
    <w:rsid w:val="00076573"/>
    <w:rsid w:val="00076580"/>
    <w:rsid w:val="0007663F"/>
    <w:rsid w:val="000766F5"/>
    <w:rsid w:val="00076746"/>
    <w:rsid w:val="00076D1C"/>
    <w:rsid w:val="00076FB7"/>
    <w:rsid w:val="00077326"/>
    <w:rsid w:val="000773A9"/>
    <w:rsid w:val="0007741A"/>
    <w:rsid w:val="000774F7"/>
    <w:rsid w:val="00077884"/>
    <w:rsid w:val="0007794E"/>
    <w:rsid w:val="00077A25"/>
    <w:rsid w:val="00077CFF"/>
    <w:rsid w:val="00077D75"/>
    <w:rsid w:val="00077DC7"/>
    <w:rsid w:val="00077FF3"/>
    <w:rsid w:val="000805B5"/>
    <w:rsid w:val="0008091F"/>
    <w:rsid w:val="00080BC3"/>
    <w:rsid w:val="00080C67"/>
    <w:rsid w:val="00080FBE"/>
    <w:rsid w:val="000810AB"/>
    <w:rsid w:val="00081853"/>
    <w:rsid w:val="000819DF"/>
    <w:rsid w:val="00081A4E"/>
    <w:rsid w:val="00081EC6"/>
    <w:rsid w:val="00082186"/>
    <w:rsid w:val="000821AF"/>
    <w:rsid w:val="00082418"/>
    <w:rsid w:val="00082560"/>
    <w:rsid w:val="000827FF"/>
    <w:rsid w:val="000828FC"/>
    <w:rsid w:val="000830AD"/>
    <w:rsid w:val="00083186"/>
    <w:rsid w:val="0008364C"/>
    <w:rsid w:val="0008378F"/>
    <w:rsid w:val="000838DD"/>
    <w:rsid w:val="00083A99"/>
    <w:rsid w:val="00083CB2"/>
    <w:rsid w:val="00084491"/>
    <w:rsid w:val="00084557"/>
    <w:rsid w:val="000846D1"/>
    <w:rsid w:val="00084843"/>
    <w:rsid w:val="00084951"/>
    <w:rsid w:val="00084FE9"/>
    <w:rsid w:val="0008596D"/>
    <w:rsid w:val="00085B4D"/>
    <w:rsid w:val="00085D77"/>
    <w:rsid w:val="00085F7C"/>
    <w:rsid w:val="00086026"/>
    <w:rsid w:val="000862A4"/>
    <w:rsid w:val="00086302"/>
    <w:rsid w:val="0008653B"/>
    <w:rsid w:val="0008659C"/>
    <w:rsid w:val="00086A9E"/>
    <w:rsid w:val="00086B37"/>
    <w:rsid w:val="00086C2E"/>
    <w:rsid w:val="00086EC3"/>
    <w:rsid w:val="000871E9"/>
    <w:rsid w:val="00087419"/>
    <w:rsid w:val="0008755C"/>
    <w:rsid w:val="000879B1"/>
    <w:rsid w:val="00087A4B"/>
    <w:rsid w:val="00087A63"/>
    <w:rsid w:val="00087C2C"/>
    <w:rsid w:val="00087E17"/>
    <w:rsid w:val="00087F81"/>
    <w:rsid w:val="00090052"/>
    <w:rsid w:val="000900EC"/>
    <w:rsid w:val="000901E7"/>
    <w:rsid w:val="0009094A"/>
    <w:rsid w:val="0009115D"/>
    <w:rsid w:val="000917C9"/>
    <w:rsid w:val="000919A4"/>
    <w:rsid w:val="00091A3A"/>
    <w:rsid w:val="00091E29"/>
    <w:rsid w:val="00091EC9"/>
    <w:rsid w:val="00092215"/>
    <w:rsid w:val="0009237B"/>
    <w:rsid w:val="00092CC4"/>
    <w:rsid w:val="00093245"/>
    <w:rsid w:val="00093589"/>
    <w:rsid w:val="00093E59"/>
    <w:rsid w:val="00093EC5"/>
    <w:rsid w:val="00093EE0"/>
    <w:rsid w:val="0009401F"/>
    <w:rsid w:val="00094605"/>
    <w:rsid w:val="00094640"/>
    <w:rsid w:val="000946A7"/>
    <w:rsid w:val="000946AA"/>
    <w:rsid w:val="000947F6"/>
    <w:rsid w:val="00094C5B"/>
    <w:rsid w:val="0009558B"/>
    <w:rsid w:val="000958D0"/>
    <w:rsid w:val="00095B8C"/>
    <w:rsid w:val="00096430"/>
    <w:rsid w:val="00096914"/>
    <w:rsid w:val="00096969"/>
    <w:rsid w:val="00096C09"/>
    <w:rsid w:val="00096D2E"/>
    <w:rsid w:val="00096D42"/>
    <w:rsid w:val="000973C8"/>
    <w:rsid w:val="000975FD"/>
    <w:rsid w:val="00097774"/>
    <w:rsid w:val="00097B7F"/>
    <w:rsid w:val="00097D87"/>
    <w:rsid w:val="000A0069"/>
    <w:rsid w:val="000A0224"/>
    <w:rsid w:val="000A08A4"/>
    <w:rsid w:val="000A0EB7"/>
    <w:rsid w:val="000A1752"/>
    <w:rsid w:val="000A1999"/>
    <w:rsid w:val="000A1DE4"/>
    <w:rsid w:val="000A223D"/>
    <w:rsid w:val="000A234A"/>
    <w:rsid w:val="000A27C2"/>
    <w:rsid w:val="000A280B"/>
    <w:rsid w:val="000A2830"/>
    <w:rsid w:val="000A2931"/>
    <w:rsid w:val="000A2AA9"/>
    <w:rsid w:val="000A2E23"/>
    <w:rsid w:val="000A2FDC"/>
    <w:rsid w:val="000A313A"/>
    <w:rsid w:val="000A320D"/>
    <w:rsid w:val="000A343C"/>
    <w:rsid w:val="000A3499"/>
    <w:rsid w:val="000A359B"/>
    <w:rsid w:val="000A35B0"/>
    <w:rsid w:val="000A3C33"/>
    <w:rsid w:val="000A3E4A"/>
    <w:rsid w:val="000A4096"/>
    <w:rsid w:val="000A41A4"/>
    <w:rsid w:val="000A41D1"/>
    <w:rsid w:val="000A444D"/>
    <w:rsid w:val="000A46B5"/>
    <w:rsid w:val="000A4FBF"/>
    <w:rsid w:val="000A56F2"/>
    <w:rsid w:val="000A5DD0"/>
    <w:rsid w:val="000A66C8"/>
    <w:rsid w:val="000A6819"/>
    <w:rsid w:val="000A6947"/>
    <w:rsid w:val="000A6CC8"/>
    <w:rsid w:val="000A6E05"/>
    <w:rsid w:val="000A727A"/>
    <w:rsid w:val="000A7587"/>
    <w:rsid w:val="000A7705"/>
    <w:rsid w:val="000A7D0D"/>
    <w:rsid w:val="000B0356"/>
    <w:rsid w:val="000B0ABF"/>
    <w:rsid w:val="000B113F"/>
    <w:rsid w:val="000B12FA"/>
    <w:rsid w:val="000B15D8"/>
    <w:rsid w:val="000B168E"/>
    <w:rsid w:val="000B16EC"/>
    <w:rsid w:val="000B19AE"/>
    <w:rsid w:val="000B1A51"/>
    <w:rsid w:val="000B1B3A"/>
    <w:rsid w:val="000B1C24"/>
    <w:rsid w:val="000B1C51"/>
    <w:rsid w:val="000B1E79"/>
    <w:rsid w:val="000B1F8F"/>
    <w:rsid w:val="000B22DE"/>
    <w:rsid w:val="000B2611"/>
    <w:rsid w:val="000B27BF"/>
    <w:rsid w:val="000B288F"/>
    <w:rsid w:val="000B2A11"/>
    <w:rsid w:val="000B2AFE"/>
    <w:rsid w:val="000B2B4B"/>
    <w:rsid w:val="000B2CCE"/>
    <w:rsid w:val="000B301F"/>
    <w:rsid w:val="000B3322"/>
    <w:rsid w:val="000B3662"/>
    <w:rsid w:val="000B3E56"/>
    <w:rsid w:val="000B3E86"/>
    <w:rsid w:val="000B3F63"/>
    <w:rsid w:val="000B4126"/>
    <w:rsid w:val="000B4847"/>
    <w:rsid w:val="000B49EB"/>
    <w:rsid w:val="000B4AE0"/>
    <w:rsid w:val="000B4B89"/>
    <w:rsid w:val="000B4DC1"/>
    <w:rsid w:val="000B4EA4"/>
    <w:rsid w:val="000B51CB"/>
    <w:rsid w:val="000B5335"/>
    <w:rsid w:val="000B5507"/>
    <w:rsid w:val="000B5539"/>
    <w:rsid w:val="000B57A8"/>
    <w:rsid w:val="000B5CFD"/>
    <w:rsid w:val="000B5F49"/>
    <w:rsid w:val="000B62CA"/>
    <w:rsid w:val="000B647A"/>
    <w:rsid w:val="000B6F45"/>
    <w:rsid w:val="000B769E"/>
    <w:rsid w:val="000B7C04"/>
    <w:rsid w:val="000B7D99"/>
    <w:rsid w:val="000B7EEF"/>
    <w:rsid w:val="000C00CE"/>
    <w:rsid w:val="000C02C1"/>
    <w:rsid w:val="000C0319"/>
    <w:rsid w:val="000C08BF"/>
    <w:rsid w:val="000C08D9"/>
    <w:rsid w:val="000C0B1F"/>
    <w:rsid w:val="000C0BE0"/>
    <w:rsid w:val="000C0CD1"/>
    <w:rsid w:val="000C0E5A"/>
    <w:rsid w:val="000C0E90"/>
    <w:rsid w:val="000C1080"/>
    <w:rsid w:val="000C20F5"/>
    <w:rsid w:val="000C2333"/>
    <w:rsid w:val="000C267B"/>
    <w:rsid w:val="000C27BE"/>
    <w:rsid w:val="000C2829"/>
    <w:rsid w:val="000C2958"/>
    <w:rsid w:val="000C2BBC"/>
    <w:rsid w:val="000C2BCB"/>
    <w:rsid w:val="000C3078"/>
    <w:rsid w:val="000C3205"/>
    <w:rsid w:val="000C33B8"/>
    <w:rsid w:val="000C3B9A"/>
    <w:rsid w:val="000C3C51"/>
    <w:rsid w:val="000C3F6E"/>
    <w:rsid w:val="000C417C"/>
    <w:rsid w:val="000C4227"/>
    <w:rsid w:val="000C4384"/>
    <w:rsid w:val="000C4599"/>
    <w:rsid w:val="000C4C29"/>
    <w:rsid w:val="000C4DF2"/>
    <w:rsid w:val="000C5010"/>
    <w:rsid w:val="000C51C7"/>
    <w:rsid w:val="000C53E6"/>
    <w:rsid w:val="000C5900"/>
    <w:rsid w:val="000C599C"/>
    <w:rsid w:val="000C5E5A"/>
    <w:rsid w:val="000C60AF"/>
    <w:rsid w:val="000C6269"/>
    <w:rsid w:val="000C6599"/>
    <w:rsid w:val="000C670F"/>
    <w:rsid w:val="000C6A29"/>
    <w:rsid w:val="000C6A6A"/>
    <w:rsid w:val="000C6AA5"/>
    <w:rsid w:val="000C6C84"/>
    <w:rsid w:val="000C7003"/>
    <w:rsid w:val="000C70D0"/>
    <w:rsid w:val="000C73C9"/>
    <w:rsid w:val="000C77FD"/>
    <w:rsid w:val="000C7947"/>
    <w:rsid w:val="000C7A19"/>
    <w:rsid w:val="000C7EFF"/>
    <w:rsid w:val="000D0008"/>
    <w:rsid w:val="000D01E3"/>
    <w:rsid w:val="000D07A3"/>
    <w:rsid w:val="000D0910"/>
    <w:rsid w:val="000D0917"/>
    <w:rsid w:val="000D102F"/>
    <w:rsid w:val="000D139C"/>
    <w:rsid w:val="000D1456"/>
    <w:rsid w:val="000D173A"/>
    <w:rsid w:val="000D190A"/>
    <w:rsid w:val="000D1A53"/>
    <w:rsid w:val="000D1BB4"/>
    <w:rsid w:val="000D1C41"/>
    <w:rsid w:val="000D1D70"/>
    <w:rsid w:val="000D1EFF"/>
    <w:rsid w:val="000D2188"/>
    <w:rsid w:val="000D25A8"/>
    <w:rsid w:val="000D2771"/>
    <w:rsid w:val="000D2A77"/>
    <w:rsid w:val="000D2BA8"/>
    <w:rsid w:val="000D2BB5"/>
    <w:rsid w:val="000D33AA"/>
    <w:rsid w:val="000D341D"/>
    <w:rsid w:val="000D3730"/>
    <w:rsid w:val="000D373C"/>
    <w:rsid w:val="000D37D5"/>
    <w:rsid w:val="000D442E"/>
    <w:rsid w:val="000D4905"/>
    <w:rsid w:val="000D4A1C"/>
    <w:rsid w:val="000D4B32"/>
    <w:rsid w:val="000D4E55"/>
    <w:rsid w:val="000D5258"/>
    <w:rsid w:val="000D5D0B"/>
    <w:rsid w:val="000D61E8"/>
    <w:rsid w:val="000D62F0"/>
    <w:rsid w:val="000D635C"/>
    <w:rsid w:val="000D69F3"/>
    <w:rsid w:val="000D6A5E"/>
    <w:rsid w:val="000D6B7C"/>
    <w:rsid w:val="000D6DCD"/>
    <w:rsid w:val="000D722E"/>
    <w:rsid w:val="000D73FD"/>
    <w:rsid w:val="000D7756"/>
    <w:rsid w:val="000D78A8"/>
    <w:rsid w:val="000D79E7"/>
    <w:rsid w:val="000D7A03"/>
    <w:rsid w:val="000D7D47"/>
    <w:rsid w:val="000D7D9E"/>
    <w:rsid w:val="000E005F"/>
    <w:rsid w:val="000E0862"/>
    <w:rsid w:val="000E11B6"/>
    <w:rsid w:val="000E172E"/>
    <w:rsid w:val="000E18F1"/>
    <w:rsid w:val="000E1B75"/>
    <w:rsid w:val="000E1B90"/>
    <w:rsid w:val="000E1BCC"/>
    <w:rsid w:val="000E270A"/>
    <w:rsid w:val="000E2ACE"/>
    <w:rsid w:val="000E2BD3"/>
    <w:rsid w:val="000E30A6"/>
    <w:rsid w:val="000E30C4"/>
    <w:rsid w:val="000E30E2"/>
    <w:rsid w:val="000E336E"/>
    <w:rsid w:val="000E33B1"/>
    <w:rsid w:val="000E3827"/>
    <w:rsid w:val="000E39AA"/>
    <w:rsid w:val="000E3C95"/>
    <w:rsid w:val="000E46C7"/>
    <w:rsid w:val="000E47C4"/>
    <w:rsid w:val="000E47F4"/>
    <w:rsid w:val="000E4C4A"/>
    <w:rsid w:val="000E4C53"/>
    <w:rsid w:val="000E4D43"/>
    <w:rsid w:val="000E5712"/>
    <w:rsid w:val="000E5ACF"/>
    <w:rsid w:val="000E5DFB"/>
    <w:rsid w:val="000E5FE6"/>
    <w:rsid w:val="000E6437"/>
    <w:rsid w:val="000E674A"/>
    <w:rsid w:val="000E72A5"/>
    <w:rsid w:val="000E72D4"/>
    <w:rsid w:val="000E77A8"/>
    <w:rsid w:val="000E7936"/>
    <w:rsid w:val="000E7CC5"/>
    <w:rsid w:val="000E7FFE"/>
    <w:rsid w:val="000F03A4"/>
    <w:rsid w:val="000F0779"/>
    <w:rsid w:val="000F0953"/>
    <w:rsid w:val="000F0A7B"/>
    <w:rsid w:val="000F0B44"/>
    <w:rsid w:val="000F0B6D"/>
    <w:rsid w:val="000F0C77"/>
    <w:rsid w:val="000F0C80"/>
    <w:rsid w:val="000F0E92"/>
    <w:rsid w:val="000F0F5D"/>
    <w:rsid w:val="000F0FE6"/>
    <w:rsid w:val="000F10CC"/>
    <w:rsid w:val="000F1BBD"/>
    <w:rsid w:val="000F1DE8"/>
    <w:rsid w:val="000F227A"/>
    <w:rsid w:val="000F24CE"/>
    <w:rsid w:val="000F27B7"/>
    <w:rsid w:val="000F295E"/>
    <w:rsid w:val="000F29EB"/>
    <w:rsid w:val="000F302B"/>
    <w:rsid w:val="000F305E"/>
    <w:rsid w:val="000F3136"/>
    <w:rsid w:val="000F3214"/>
    <w:rsid w:val="000F37F4"/>
    <w:rsid w:val="000F38A3"/>
    <w:rsid w:val="000F3B33"/>
    <w:rsid w:val="000F406B"/>
    <w:rsid w:val="000F4360"/>
    <w:rsid w:val="000F4A00"/>
    <w:rsid w:val="000F4E0B"/>
    <w:rsid w:val="000F4F41"/>
    <w:rsid w:val="000F51AF"/>
    <w:rsid w:val="000F566D"/>
    <w:rsid w:val="000F59A0"/>
    <w:rsid w:val="000F5AC8"/>
    <w:rsid w:val="000F5CFC"/>
    <w:rsid w:val="000F5DD3"/>
    <w:rsid w:val="000F6055"/>
    <w:rsid w:val="000F613D"/>
    <w:rsid w:val="000F6325"/>
    <w:rsid w:val="000F6377"/>
    <w:rsid w:val="000F644E"/>
    <w:rsid w:val="000F67EB"/>
    <w:rsid w:val="000F6E3B"/>
    <w:rsid w:val="000F6F32"/>
    <w:rsid w:val="000F7507"/>
    <w:rsid w:val="000F7521"/>
    <w:rsid w:val="000F7682"/>
    <w:rsid w:val="000F7927"/>
    <w:rsid w:val="000F796C"/>
    <w:rsid w:val="000F7DDA"/>
    <w:rsid w:val="00100139"/>
    <w:rsid w:val="0010019F"/>
    <w:rsid w:val="001001C4"/>
    <w:rsid w:val="001003D1"/>
    <w:rsid w:val="001003DF"/>
    <w:rsid w:val="00100D71"/>
    <w:rsid w:val="00101176"/>
    <w:rsid w:val="00101324"/>
    <w:rsid w:val="0010137D"/>
    <w:rsid w:val="001015BD"/>
    <w:rsid w:val="001015EB"/>
    <w:rsid w:val="001017F3"/>
    <w:rsid w:val="00101C13"/>
    <w:rsid w:val="00101D5F"/>
    <w:rsid w:val="001020A3"/>
    <w:rsid w:val="001021DD"/>
    <w:rsid w:val="0010241F"/>
    <w:rsid w:val="00102816"/>
    <w:rsid w:val="00102861"/>
    <w:rsid w:val="00102A57"/>
    <w:rsid w:val="00102C3A"/>
    <w:rsid w:val="00102C3D"/>
    <w:rsid w:val="0010319A"/>
    <w:rsid w:val="001035A8"/>
    <w:rsid w:val="0010371D"/>
    <w:rsid w:val="001039F3"/>
    <w:rsid w:val="00103BE7"/>
    <w:rsid w:val="00103D0F"/>
    <w:rsid w:val="0010409B"/>
    <w:rsid w:val="001042B7"/>
    <w:rsid w:val="00104778"/>
    <w:rsid w:val="00104782"/>
    <w:rsid w:val="001047DE"/>
    <w:rsid w:val="00104A57"/>
    <w:rsid w:val="00104AB4"/>
    <w:rsid w:val="00104ED8"/>
    <w:rsid w:val="00104FA4"/>
    <w:rsid w:val="001052B1"/>
    <w:rsid w:val="00105384"/>
    <w:rsid w:val="00105419"/>
    <w:rsid w:val="00105668"/>
    <w:rsid w:val="0010569B"/>
    <w:rsid w:val="001056D6"/>
    <w:rsid w:val="00105964"/>
    <w:rsid w:val="00105B3D"/>
    <w:rsid w:val="00105C2B"/>
    <w:rsid w:val="00105CE1"/>
    <w:rsid w:val="00105E3A"/>
    <w:rsid w:val="00105E49"/>
    <w:rsid w:val="00105F84"/>
    <w:rsid w:val="001060D4"/>
    <w:rsid w:val="001062D6"/>
    <w:rsid w:val="001062E4"/>
    <w:rsid w:val="00106316"/>
    <w:rsid w:val="0010637C"/>
    <w:rsid w:val="0010660A"/>
    <w:rsid w:val="00106903"/>
    <w:rsid w:val="0010698B"/>
    <w:rsid w:val="00106AE8"/>
    <w:rsid w:val="00106E90"/>
    <w:rsid w:val="00106EB1"/>
    <w:rsid w:val="0010713C"/>
    <w:rsid w:val="00107722"/>
    <w:rsid w:val="001077E5"/>
    <w:rsid w:val="00107867"/>
    <w:rsid w:val="00110090"/>
    <w:rsid w:val="001100CB"/>
    <w:rsid w:val="0011010C"/>
    <w:rsid w:val="0011016C"/>
    <w:rsid w:val="00110798"/>
    <w:rsid w:val="001108C7"/>
    <w:rsid w:val="001109AF"/>
    <w:rsid w:val="00110C1A"/>
    <w:rsid w:val="00110C23"/>
    <w:rsid w:val="00110D00"/>
    <w:rsid w:val="0011120B"/>
    <w:rsid w:val="00111546"/>
    <w:rsid w:val="00111606"/>
    <w:rsid w:val="00111751"/>
    <w:rsid w:val="0011176B"/>
    <w:rsid w:val="0011196A"/>
    <w:rsid w:val="00111F48"/>
    <w:rsid w:val="00111F91"/>
    <w:rsid w:val="00112241"/>
    <w:rsid w:val="001124FA"/>
    <w:rsid w:val="00112644"/>
    <w:rsid w:val="001129A9"/>
    <w:rsid w:val="00112C14"/>
    <w:rsid w:val="00112CF6"/>
    <w:rsid w:val="00112CF9"/>
    <w:rsid w:val="00113443"/>
    <w:rsid w:val="001134B7"/>
    <w:rsid w:val="001136F2"/>
    <w:rsid w:val="0011394B"/>
    <w:rsid w:val="0011399E"/>
    <w:rsid w:val="00113D2F"/>
    <w:rsid w:val="00113E1B"/>
    <w:rsid w:val="00113E58"/>
    <w:rsid w:val="001141F6"/>
    <w:rsid w:val="00114207"/>
    <w:rsid w:val="00114302"/>
    <w:rsid w:val="00114BCF"/>
    <w:rsid w:val="00114C28"/>
    <w:rsid w:val="00114DAA"/>
    <w:rsid w:val="00115620"/>
    <w:rsid w:val="00115705"/>
    <w:rsid w:val="001157F8"/>
    <w:rsid w:val="00115803"/>
    <w:rsid w:val="00115A62"/>
    <w:rsid w:val="00115E0C"/>
    <w:rsid w:val="001160D7"/>
    <w:rsid w:val="001162D1"/>
    <w:rsid w:val="001163BE"/>
    <w:rsid w:val="0011684E"/>
    <w:rsid w:val="0011708F"/>
    <w:rsid w:val="0011758C"/>
    <w:rsid w:val="00117616"/>
    <w:rsid w:val="00117671"/>
    <w:rsid w:val="001179F9"/>
    <w:rsid w:val="00117CC2"/>
    <w:rsid w:val="00117DC0"/>
    <w:rsid w:val="0012088F"/>
    <w:rsid w:val="00120A78"/>
    <w:rsid w:val="00120B69"/>
    <w:rsid w:val="00120D1B"/>
    <w:rsid w:val="00120DEC"/>
    <w:rsid w:val="00120F1B"/>
    <w:rsid w:val="00121089"/>
    <w:rsid w:val="00121307"/>
    <w:rsid w:val="00121856"/>
    <w:rsid w:val="00121947"/>
    <w:rsid w:val="00121B1D"/>
    <w:rsid w:val="00121E1B"/>
    <w:rsid w:val="00122833"/>
    <w:rsid w:val="0012299E"/>
    <w:rsid w:val="00122DBE"/>
    <w:rsid w:val="00122E6D"/>
    <w:rsid w:val="0012300F"/>
    <w:rsid w:val="0012306B"/>
    <w:rsid w:val="0012336B"/>
    <w:rsid w:val="0012386E"/>
    <w:rsid w:val="001239EC"/>
    <w:rsid w:val="00123C30"/>
    <w:rsid w:val="00123D86"/>
    <w:rsid w:val="001240DE"/>
    <w:rsid w:val="0012420A"/>
    <w:rsid w:val="0012495C"/>
    <w:rsid w:val="00124FEB"/>
    <w:rsid w:val="00125123"/>
    <w:rsid w:val="001253A0"/>
    <w:rsid w:val="00125468"/>
    <w:rsid w:val="001254C9"/>
    <w:rsid w:val="001255FC"/>
    <w:rsid w:val="001256B8"/>
    <w:rsid w:val="00125B7B"/>
    <w:rsid w:val="00125BE4"/>
    <w:rsid w:val="00125C41"/>
    <w:rsid w:val="00125C89"/>
    <w:rsid w:val="00126028"/>
    <w:rsid w:val="001260AD"/>
    <w:rsid w:val="00126570"/>
    <w:rsid w:val="00126A66"/>
    <w:rsid w:val="00126EB4"/>
    <w:rsid w:val="0012705A"/>
    <w:rsid w:val="00127243"/>
    <w:rsid w:val="0012728C"/>
    <w:rsid w:val="0012783F"/>
    <w:rsid w:val="00127891"/>
    <w:rsid w:val="00127978"/>
    <w:rsid w:val="00130010"/>
    <w:rsid w:val="00130764"/>
    <w:rsid w:val="00130931"/>
    <w:rsid w:val="0013093E"/>
    <w:rsid w:val="00130E56"/>
    <w:rsid w:val="00131323"/>
    <w:rsid w:val="0013197F"/>
    <w:rsid w:val="00131A46"/>
    <w:rsid w:val="00131B16"/>
    <w:rsid w:val="00131C28"/>
    <w:rsid w:val="00131C47"/>
    <w:rsid w:val="00131E38"/>
    <w:rsid w:val="00131EAA"/>
    <w:rsid w:val="00132222"/>
    <w:rsid w:val="00132358"/>
    <w:rsid w:val="00132469"/>
    <w:rsid w:val="00132522"/>
    <w:rsid w:val="001325DA"/>
    <w:rsid w:val="0013282A"/>
    <w:rsid w:val="00132952"/>
    <w:rsid w:val="001329E0"/>
    <w:rsid w:val="00132B0A"/>
    <w:rsid w:val="001331BC"/>
    <w:rsid w:val="00133264"/>
    <w:rsid w:val="0013343B"/>
    <w:rsid w:val="00133CCE"/>
    <w:rsid w:val="00133E7A"/>
    <w:rsid w:val="00134197"/>
    <w:rsid w:val="001343B1"/>
    <w:rsid w:val="0013451E"/>
    <w:rsid w:val="00134814"/>
    <w:rsid w:val="0013485E"/>
    <w:rsid w:val="00134A32"/>
    <w:rsid w:val="00134AFB"/>
    <w:rsid w:val="00134D2C"/>
    <w:rsid w:val="00134E05"/>
    <w:rsid w:val="00134E47"/>
    <w:rsid w:val="00135139"/>
    <w:rsid w:val="001351C4"/>
    <w:rsid w:val="001354EF"/>
    <w:rsid w:val="001355E6"/>
    <w:rsid w:val="00135A49"/>
    <w:rsid w:val="00135E27"/>
    <w:rsid w:val="00135E77"/>
    <w:rsid w:val="00135EB4"/>
    <w:rsid w:val="0013608D"/>
    <w:rsid w:val="001361DE"/>
    <w:rsid w:val="001365A6"/>
    <w:rsid w:val="001366EA"/>
    <w:rsid w:val="001368B6"/>
    <w:rsid w:val="0013692D"/>
    <w:rsid w:val="00136CEB"/>
    <w:rsid w:val="001377FB"/>
    <w:rsid w:val="0013792B"/>
    <w:rsid w:val="00137F99"/>
    <w:rsid w:val="001400DF"/>
    <w:rsid w:val="0014015A"/>
    <w:rsid w:val="001401E3"/>
    <w:rsid w:val="00140686"/>
    <w:rsid w:val="001407FD"/>
    <w:rsid w:val="00140863"/>
    <w:rsid w:val="00140941"/>
    <w:rsid w:val="00140DF5"/>
    <w:rsid w:val="00140F32"/>
    <w:rsid w:val="00140FDD"/>
    <w:rsid w:val="0014130E"/>
    <w:rsid w:val="001415C7"/>
    <w:rsid w:val="00141820"/>
    <w:rsid w:val="00141A63"/>
    <w:rsid w:val="00141C2D"/>
    <w:rsid w:val="00142016"/>
    <w:rsid w:val="0014223D"/>
    <w:rsid w:val="00142898"/>
    <w:rsid w:val="001429C9"/>
    <w:rsid w:val="00142BDF"/>
    <w:rsid w:val="00142E02"/>
    <w:rsid w:val="00142F3E"/>
    <w:rsid w:val="001432C5"/>
    <w:rsid w:val="001435F3"/>
    <w:rsid w:val="001436F5"/>
    <w:rsid w:val="001438B3"/>
    <w:rsid w:val="001438E7"/>
    <w:rsid w:val="00143981"/>
    <w:rsid w:val="001439AE"/>
    <w:rsid w:val="00143E3E"/>
    <w:rsid w:val="00143F11"/>
    <w:rsid w:val="0014411A"/>
    <w:rsid w:val="00144206"/>
    <w:rsid w:val="0014427A"/>
    <w:rsid w:val="001444EA"/>
    <w:rsid w:val="00144617"/>
    <w:rsid w:val="00144684"/>
    <w:rsid w:val="00144791"/>
    <w:rsid w:val="001449BE"/>
    <w:rsid w:val="00144B29"/>
    <w:rsid w:val="00144C38"/>
    <w:rsid w:val="00144E44"/>
    <w:rsid w:val="00144FAF"/>
    <w:rsid w:val="00145272"/>
    <w:rsid w:val="00145C11"/>
    <w:rsid w:val="00146A65"/>
    <w:rsid w:val="00146B6A"/>
    <w:rsid w:val="00146B81"/>
    <w:rsid w:val="00146C1B"/>
    <w:rsid w:val="00146DDD"/>
    <w:rsid w:val="00146F7F"/>
    <w:rsid w:val="0014719D"/>
    <w:rsid w:val="001471A1"/>
    <w:rsid w:val="001473E5"/>
    <w:rsid w:val="001474FA"/>
    <w:rsid w:val="001476DA"/>
    <w:rsid w:val="00147805"/>
    <w:rsid w:val="0014791D"/>
    <w:rsid w:val="00147A56"/>
    <w:rsid w:val="00147D99"/>
    <w:rsid w:val="001500A9"/>
    <w:rsid w:val="001501E9"/>
    <w:rsid w:val="0015059F"/>
    <w:rsid w:val="0015096B"/>
    <w:rsid w:val="00150C2C"/>
    <w:rsid w:val="00150C80"/>
    <w:rsid w:val="00150F32"/>
    <w:rsid w:val="001510CE"/>
    <w:rsid w:val="001511CF"/>
    <w:rsid w:val="001511DE"/>
    <w:rsid w:val="00151422"/>
    <w:rsid w:val="00151A55"/>
    <w:rsid w:val="00151BD8"/>
    <w:rsid w:val="00151C6A"/>
    <w:rsid w:val="00151FE5"/>
    <w:rsid w:val="00152229"/>
    <w:rsid w:val="001523DD"/>
    <w:rsid w:val="00152815"/>
    <w:rsid w:val="001528EF"/>
    <w:rsid w:val="00152BB1"/>
    <w:rsid w:val="00152EC0"/>
    <w:rsid w:val="0015348A"/>
    <w:rsid w:val="001534EE"/>
    <w:rsid w:val="00153A88"/>
    <w:rsid w:val="00153B25"/>
    <w:rsid w:val="00153DA2"/>
    <w:rsid w:val="0015414D"/>
    <w:rsid w:val="0015443F"/>
    <w:rsid w:val="00154675"/>
    <w:rsid w:val="001546D4"/>
    <w:rsid w:val="001552D3"/>
    <w:rsid w:val="00155426"/>
    <w:rsid w:val="0015577C"/>
    <w:rsid w:val="001558D2"/>
    <w:rsid w:val="00155D67"/>
    <w:rsid w:val="00155D90"/>
    <w:rsid w:val="00156040"/>
    <w:rsid w:val="001560E1"/>
    <w:rsid w:val="0015644F"/>
    <w:rsid w:val="00156555"/>
    <w:rsid w:val="00156A1D"/>
    <w:rsid w:val="00156CF7"/>
    <w:rsid w:val="0015713F"/>
    <w:rsid w:val="00157668"/>
    <w:rsid w:val="001576CE"/>
    <w:rsid w:val="001577A6"/>
    <w:rsid w:val="001577D0"/>
    <w:rsid w:val="00157AE9"/>
    <w:rsid w:val="00157E11"/>
    <w:rsid w:val="00157EEA"/>
    <w:rsid w:val="00157FF1"/>
    <w:rsid w:val="00160026"/>
    <w:rsid w:val="001600B6"/>
    <w:rsid w:val="00160326"/>
    <w:rsid w:val="00160570"/>
    <w:rsid w:val="001606DC"/>
    <w:rsid w:val="00160858"/>
    <w:rsid w:val="00160A9F"/>
    <w:rsid w:val="00160C64"/>
    <w:rsid w:val="00161262"/>
    <w:rsid w:val="001618BC"/>
    <w:rsid w:val="001619BA"/>
    <w:rsid w:val="00161B93"/>
    <w:rsid w:val="00161EB0"/>
    <w:rsid w:val="00162130"/>
    <w:rsid w:val="00162A88"/>
    <w:rsid w:val="00162BB0"/>
    <w:rsid w:val="00163049"/>
    <w:rsid w:val="00163B83"/>
    <w:rsid w:val="00163BFB"/>
    <w:rsid w:val="00163DB7"/>
    <w:rsid w:val="00164CC3"/>
    <w:rsid w:val="00164DCF"/>
    <w:rsid w:val="00164F80"/>
    <w:rsid w:val="00165672"/>
    <w:rsid w:val="00165B37"/>
    <w:rsid w:val="00165EAD"/>
    <w:rsid w:val="00165FD0"/>
    <w:rsid w:val="0016600B"/>
    <w:rsid w:val="00166026"/>
    <w:rsid w:val="00166385"/>
    <w:rsid w:val="001663F4"/>
    <w:rsid w:val="00166931"/>
    <w:rsid w:val="00167446"/>
    <w:rsid w:val="00167500"/>
    <w:rsid w:val="00167877"/>
    <w:rsid w:val="00167958"/>
    <w:rsid w:val="00167991"/>
    <w:rsid w:val="00167C4B"/>
    <w:rsid w:val="00170139"/>
    <w:rsid w:val="00170578"/>
    <w:rsid w:val="001705C1"/>
    <w:rsid w:val="00170630"/>
    <w:rsid w:val="0017074B"/>
    <w:rsid w:val="00170E60"/>
    <w:rsid w:val="00170F18"/>
    <w:rsid w:val="001713B6"/>
    <w:rsid w:val="00171684"/>
    <w:rsid w:val="00172000"/>
    <w:rsid w:val="0017205D"/>
    <w:rsid w:val="0017210F"/>
    <w:rsid w:val="001724DE"/>
    <w:rsid w:val="00172531"/>
    <w:rsid w:val="0017268D"/>
    <w:rsid w:val="00172886"/>
    <w:rsid w:val="00172A39"/>
    <w:rsid w:val="00172A7B"/>
    <w:rsid w:val="00172B49"/>
    <w:rsid w:val="00172C65"/>
    <w:rsid w:val="00172E60"/>
    <w:rsid w:val="00173605"/>
    <w:rsid w:val="001738F6"/>
    <w:rsid w:val="00173A05"/>
    <w:rsid w:val="00173A78"/>
    <w:rsid w:val="00173BDC"/>
    <w:rsid w:val="00173DF3"/>
    <w:rsid w:val="00174854"/>
    <w:rsid w:val="0017487F"/>
    <w:rsid w:val="00174AF8"/>
    <w:rsid w:val="00174AFB"/>
    <w:rsid w:val="00174C55"/>
    <w:rsid w:val="00174CFA"/>
    <w:rsid w:val="00174EFC"/>
    <w:rsid w:val="001753F8"/>
    <w:rsid w:val="001754EA"/>
    <w:rsid w:val="001757A0"/>
    <w:rsid w:val="0017590B"/>
    <w:rsid w:val="00175CB0"/>
    <w:rsid w:val="00175EE3"/>
    <w:rsid w:val="00175F35"/>
    <w:rsid w:val="0017641D"/>
    <w:rsid w:val="001764AA"/>
    <w:rsid w:val="001767C7"/>
    <w:rsid w:val="00176995"/>
    <w:rsid w:val="00176B17"/>
    <w:rsid w:val="00176B30"/>
    <w:rsid w:val="00176FA3"/>
    <w:rsid w:val="00176FE0"/>
    <w:rsid w:val="001770E7"/>
    <w:rsid w:val="00177148"/>
    <w:rsid w:val="0017717F"/>
    <w:rsid w:val="001773D2"/>
    <w:rsid w:val="00177485"/>
    <w:rsid w:val="00177684"/>
    <w:rsid w:val="00177811"/>
    <w:rsid w:val="00177C2F"/>
    <w:rsid w:val="00177CB4"/>
    <w:rsid w:val="00180342"/>
    <w:rsid w:val="0018043C"/>
    <w:rsid w:val="00180A87"/>
    <w:rsid w:val="00180D2B"/>
    <w:rsid w:val="00180F2D"/>
    <w:rsid w:val="00181108"/>
    <w:rsid w:val="0018123D"/>
    <w:rsid w:val="00181484"/>
    <w:rsid w:val="00181961"/>
    <w:rsid w:val="00181D36"/>
    <w:rsid w:val="00181EE3"/>
    <w:rsid w:val="00181F86"/>
    <w:rsid w:val="00182039"/>
    <w:rsid w:val="00182132"/>
    <w:rsid w:val="00182721"/>
    <w:rsid w:val="00182C70"/>
    <w:rsid w:val="00182F72"/>
    <w:rsid w:val="00183028"/>
    <w:rsid w:val="00183413"/>
    <w:rsid w:val="001837E5"/>
    <w:rsid w:val="0018382D"/>
    <w:rsid w:val="001839E7"/>
    <w:rsid w:val="00183FD6"/>
    <w:rsid w:val="0018411C"/>
    <w:rsid w:val="0018419C"/>
    <w:rsid w:val="00184358"/>
    <w:rsid w:val="00184566"/>
    <w:rsid w:val="0018468C"/>
    <w:rsid w:val="00184AE1"/>
    <w:rsid w:val="00184DE7"/>
    <w:rsid w:val="0018525D"/>
    <w:rsid w:val="0018531B"/>
    <w:rsid w:val="00185385"/>
    <w:rsid w:val="00185387"/>
    <w:rsid w:val="0018546B"/>
    <w:rsid w:val="00185679"/>
    <w:rsid w:val="00185708"/>
    <w:rsid w:val="001859CB"/>
    <w:rsid w:val="00185B79"/>
    <w:rsid w:val="00185FA7"/>
    <w:rsid w:val="001860AA"/>
    <w:rsid w:val="00186221"/>
    <w:rsid w:val="00186756"/>
    <w:rsid w:val="00186951"/>
    <w:rsid w:val="00186BD8"/>
    <w:rsid w:val="00186C9D"/>
    <w:rsid w:val="0018730F"/>
    <w:rsid w:val="00187396"/>
    <w:rsid w:val="001874CD"/>
    <w:rsid w:val="0018773C"/>
    <w:rsid w:val="00187876"/>
    <w:rsid w:val="00187FB4"/>
    <w:rsid w:val="00190067"/>
    <w:rsid w:val="00190566"/>
    <w:rsid w:val="0019074E"/>
    <w:rsid w:val="001907B5"/>
    <w:rsid w:val="00190AEC"/>
    <w:rsid w:val="00190DC7"/>
    <w:rsid w:val="00190F0B"/>
    <w:rsid w:val="00190FFD"/>
    <w:rsid w:val="001912A6"/>
    <w:rsid w:val="00191346"/>
    <w:rsid w:val="001917DC"/>
    <w:rsid w:val="00191CEE"/>
    <w:rsid w:val="00191F2D"/>
    <w:rsid w:val="00191F8B"/>
    <w:rsid w:val="001923AD"/>
    <w:rsid w:val="00192656"/>
    <w:rsid w:val="0019269D"/>
    <w:rsid w:val="001926AB"/>
    <w:rsid w:val="00192E4A"/>
    <w:rsid w:val="00192F82"/>
    <w:rsid w:val="00193528"/>
    <w:rsid w:val="00193CC3"/>
    <w:rsid w:val="001943C6"/>
    <w:rsid w:val="001944F2"/>
    <w:rsid w:val="00194955"/>
    <w:rsid w:val="00194ECD"/>
    <w:rsid w:val="001952DD"/>
    <w:rsid w:val="001952EC"/>
    <w:rsid w:val="00195319"/>
    <w:rsid w:val="00195384"/>
    <w:rsid w:val="0019540D"/>
    <w:rsid w:val="00195539"/>
    <w:rsid w:val="001955BF"/>
    <w:rsid w:val="00195697"/>
    <w:rsid w:val="0019571D"/>
    <w:rsid w:val="00195921"/>
    <w:rsid w:val="00195A3E"/>
    <w:rsid w:val="00195B5E"/>
    <w:rsid w:val="00195BAB"/>
    <w:rsid w:val="00195CD9"/>
    <w:rsid w:val="00195D55"/>
    <w:rsid w:val="00195E08"/>
    <w:rsid w:val="0019608F"/>
    <w:rsid w:val="001963B2"/>
    <w:rsid w:val="001964EB"/>
    <w:rsid w:val="001964EC"/>
    <w:rsid w:val="0019663F"/>
    <w:rsid w:val="00196CC6"/>
    <w:rsid w:val="00196D8D"/>
    <w:rsid w:val="00196EFC"/>
    <w:rsid w:val="00197414"/>
    <w:rsid w:val="00197733"/>
    <w:rsid w:val="00197783"/>
    <w:rsid w:val="00197B6E"/>
    <w:rsid w:val="00197B88"/>
    <w:rsid w:val="00197CC4"/>
    <w:rsid w:val="001A0085"/>
    <w:rsid w:val="001A04CB"/>
    <w:rsid w:val="001A065A"/>
    <w:rsid w:val="001A0BC8"/>
    <w:rsid w:val="001A1093"/>
    <w:rsid w:val="001A11A0"/>
    <w:rsid w:val="001A1418"/>
    <w:rsid w:val="001A1608"/>
    <w:rsid w:val="001A22B6"/>
    <w:rsid w:val="001A2442"/>
    <w:rsid w:val="001A2766"/>
    <w:rsid w:val="001A2876"/>
    <w:rsid w:val="001A2C04"/>
    <w:rsid w:val="001A2E3C"/>
    <w:rsid w:val="001A2E55"/>
    <w:rsid w:val="001A3008"/>
    <w:rsid w:val="001A31F1"/>
    <w:rsid w:val="001A3562"/>
    <w:rsid w:val="001A35FE"/>
    <w:rsid w:val="001A3622"/>
    <w:rsid w:val="001A37FD"/>
    <w:rsid w:val="001A3921"/>
    <w:rsid w:val="001A3A66"/>
    <w:rsid w:val="001A3BCF"/>
    <w:rsid w:val="001A4168"/>
    <w:rsid w:val="001A41C8"/>
    <w:rsid w:val="001A44CB"/>
    <w:rsid w:val="001A4501"/>
    <w:rsid w:val="001A4DB3"/>
    <w:rsid w:val="001A5220"/>
    <w:rsid w:val="001A54A7"/>
    <w:rsid w:val="001A5656"/>
    <w:rsid w:val="001A5953"/>
    <w:rsid w:val="001A59C5"/>
    <w:rsid w:val="001A5AFE"/>
    <w:rsid w:val="001A5CF1"/>
    <w:rsid w:val="001A65DE"/>
    <w:rsid w:val="001A6935"/>
    <w:rsid w:val="001A6B21"/>
    <w:rsid w:val="001A6B9D"/>
    <w:rsid w:val="001A6EBC"/>
    <w:rsid w:val="001A6F45"/>
    <w:rsid w:val="001A740B"/>
    <w:rsid w:val="001A7929"/>
    <w:rsid w:val="001A7A52"/>
    <w:rsid w:val="001A7AD9"/>
    <w:rsid w:val="001A7B65"/>
    <w:rsid w:val="001A7D47"/>
    <w:rsid w:val="001A7FA4"/>
    <w:rsid w:val="001B0379"/>
    <w:rsid w:val="001B0426"/>
    <w:rsid w:val="001B0872"/>
    <w:rsid w:val="001B0956"/>
    <w:rsid w:val="001B0E71"/>
    <w:rsid w:val="001B0FE2"/>
    <w:rsid w:val="001B120A"/>
    <w:rsid w:val="001B134D"/>
    <w:rsid w:val="001B13F3"/>
    <w:rsid w:val="001B15A4"/>
    <w:rsid w:val="001B182C"/>
    <w:rsid w:val="001B1882"/>
    <w:rsid w:val="001B1C3D"/>
    <w:rsid w:val="001B2234"/>
    <w:rsid w:val="001B23D9"/>
    <w:rsid w:val="001B24E4"/>
    <w:rsid w:val="001B2C41"/>
    <w:rsid w:val="001B30AD"/>
    <w:rsid w:val="001B3185"/>
    <w:rsid w:val="001B321F"/>
    <w:rsid w:val="001B32E0"/>
    <w:rsid w:val="001B3892"/>
    <w:rsid w:val="001B3993"/>
    <w:rsid w:val="001B40AE"/>
    <w:rsid w:val="001B40C3"/>
    <w:rsid w:val="001B4138"/>
    <w:rsid w:val="001B45B4"/>
    <w:rsid w:val="001B45E4"/>
    <w:rsid w:val="001B46D6"/>
    <w:rsid w:val="001B489A"/>
    <w:rsid w:val="001B4AB7"/>
    <w:rsid w:val="001B4ACD"/>
    <w:rsid w:val="001B4F5B"/>
    <w:rsid w:val="001B5123"/>
    <w:rsid w:val="001B53CE"/>
    <w:rsid w:val="001B5504"/>
    <w:rsid w:val="001B5657"/>
    <w:rsid w:val="001B5857"/>
    <w:rsid w:val="001B5ADA"/>
    <w:rsid w:val="001B5B9A"/>
    <w:rsid w:val="001B61A1"/>
    <w:rsid w:val="001B6208"/>
    <w:rsid w:val="001B639F"/>
    <w:rsid w:val="001B63BC"/>
    <w:rsid w:val="001B64D1"/>
    <w:rsid w:val="001B6622"/>
    <w:rsid w:val="001B6888"/>
    <w:rsid w:val="001B690A"/>
    <w:rsid w:val="001B6B33"/>
    <w:rsid w:val="001B6EA9"/>
    <w:rsid w:val="001B70BE"/>
    <w:rsid w:val="001B75A1"/>
    <w:rsid w:val="001B79DF"/>
    <w:rsid w:val="001B7A8D"/>
    <w:rsid w:val="001C0253"/>
    <w:rsid w:val="001C02FC"/>
    <w:rsid w:val="001C05B2"/>
    <w:rsid w:val="001C05E3"/>
    <w:rsid w:val="001C05F3"/>
    <w:rsid w:val="001C0776"/>
    <w:rsid w:val="001C08D8"/>
    <w:rsid w:val="001C08E4"/>
    <w:rsid w:val="001C0A9A"/>
    <w:rsid w:val="001C0FC8"/>
    <w:rsid w:val="001C108D"/>
    <w:rsid w:val="001C12EF"/>
    <w:rsid w:val="001C171F"/>
    <w:rsid w:val="001C1C6B"/>
    <w:rsid w:val="001C2193"/>
    <w:rsid w:val="001C243D"/>
    <w:rsid w:val="001C2473"/>
    <w:rsid w:val="001C29A8"/>
    <w:rsid w:val="001C2C32"/>
    <w:rsid w:val="001C2F4F"/>
    <w:rsid w:val="001C343E"/>
    <w:rsid w:val="001C34F4"/>
    <w:rsid w:val="001C3610"/>
    <w:rsid w:val="001C363F"/>
    <w:rsid w:val="001C3896"/>
    <w:rsid w:val="001C3ACF"/>
    <w:rsid w:val="001C3B20"/>
    <w:rsid w:val="001C4032"/>
    <w:rsid w:val="001C4187"/>
    <w:rsid w:val="001C42CA"/>
    <w:rsid w:val="001C4B7A"/>
    <w:rsid w:val="001C4C78"/>
    <w:rsid w:val="001C4D6E"/>
    <w:rsid w:val="001C4FD2"/>
    <w:rsid w:val="001C52A5"/>
    <w:rsid w:val="001C5354"/>
    <w:rsid w:val="001C5490"/>
    <w:rsid w:val="001C55EA"/>
    <w:rsid w:val="001C5F3D"/>
    <w:rsid w:val="001C5F4A"/>
    <w:rsid w:val="001C61BA"/>
    <w:rsid w:val="001C627C"/>
    <w:rsid w:val="001C6555"/>
    <w:rsid w:val="001C6D58"/>
    <w:rsid w:val="001C7A1E"/>
    <w:rsid w:val="001C7B71"/>
    <w:rsid w:val="001C7CAF"/>
    <w:rsid w:val="001D06CC"/>
    <w:rsid w:val="001D0931"/>
    <w:rsid w:val="001D0B3C"/>
    <w:rsid w:val="001D0EE0"/>
    <w:rsid w:val="001D183F"/>
    <w:rsid w:val="001D1C39"/>
    <w:rsid w:val="001D2031"/>
    <w:rsid w:val="001D2092"/>
    <w:rsid w:val="001D2317"/>
    <w:rsid w:val="001D23B0"/>
    <w:rsid w:val="001D2906"/>
    <w:rsid w:val="001D298A"/>
    <w:rsid w:val="001D2BBA"/>
    <w:rsid w:val="001D2CDB"/>
    <w:rsid w:val="001D3040"/>
    <w:rsid w:val="001D342D"/>
    <w:rsid w:val="001D35B0"/>
    <w:rsid w:val="001D35EC"/>
    <w:rsid w:val="001D3B83"/>
    <w:rsid w:val="001D425F"/>
    <w:rsid w:val="001D4556"/>
    <w:rsid w:val="001D491D"/>
    <w:rsid w:val="001D4937"/>
    <w:rsid w:val="001D4B93"/>
    <w:rsid w:val="001D4EB6"/>
    <w:rsid w:val="001D4F39"/>
    <w:rsid w:val="001D5065"/>
    <w:rsid w:val="001D5098"/>
    <w:rsid w:val="001D526E"/>
    <w:rsid w:val="001D52A1"/>
    <w:rsid w:val="001D533E"/>
    <w:rsid w:val="001D566B"/>
    <w:rsid w:val="001D589A"/>
    <w:rsid w:val="001D593A"/>
    <w:rsid w:val="001D5977"/>
    <w:rsid w:val="001D59A3"/>
    <w:rsid w:val="001D5B4A"/>
    <w:rsid w:val="001D5F51"/>
    <w:rsid w:val="001D62FB"/>
    <w:rsid w:val="001D648C"/>
    <w:rsid w:val="001D674E"/>
    <w:rsid w:val="001D67A4"/>
    <w:rsid w:val="001D6E05"/>
    <w:rsid w:val="001D6E61"/>
    <w:rsid w:val="001D6E9B"/>
    <w:rsid w:val="001D6F3D"/>
    <w:rsid w:val="001D71DB"/>
    <w:rsid w:val="001D7295"/>
    <w:rsid w:val="001D749A"/>
    <w:rsid w:val="001D77B7"/>
    <w:rsid w:val="001D7980"/>
    <w:rsid w:val="001D7ACA"/>
    <w:rsid w:val="001D7E65"/>
    <w:rsid w:val="001D7EA8"/>
    <w:rsid w:val="001D7ED9"/>
    <w:rsid w:val="001E00A9"/>
    <w:rsid w:val="001E01E8"/>
    <w:rsid w:val="001E0576"/>
    <w:rsid w:val="001E0606"/>
    <w:rsid w:val="001E0691"/>
    <w:rsid w:val="001E0811"/>
    <w:rsid w:val="001E0B2A"/>
    <w:rsid w:val="001E128B"/>
    <w:rsid w:val="001E16FB"/>
    <w:rsid w:val="001E16FD"/>
    <w:rsid w:val="001E1FF7"/>
    <w:rsid w:val="001E246A"/>
    <w:rsid w:val="001E2A62"/>
    <w:rsid w:val="001E2E05"/>
    <w:rsid w:val="001E2ECD"/>
    <w:rsid w:val="001E31FC"/>
    <w:rsid w:val="001E34F6"/>
    <w:rsid w:val="001E3566"/>
    <w:rsid w:val="001E3836"/>
    <w:rsid w:val="001E3850"/>
    <w:rsid w:val="001E3893"/>
    <w:rsid w:val="001E3A91"/>
    <w:rsid w:val="001E3AE5"/>
    <w:rsid w:val="001E3DB0"/>
    <w:rsid w:val="001E3EFC"/>
    <w:rsid w:val="001E41DB"/>
    <w:rsid w:val="001E4355"/>
    <w:rsid w:val="001E455B"/>
    <w:rsid w:val="001E476A"/>
    <w:rsid w:val="001E47FC"/>
    <w:rsid w:val="001E49E9"/>
    <w:rsid w:val="001E4B94"/>
    <w:rsid w:val="001E4D34"/>
    <w:rsid w:val="001E5D27"/>
    <w:rsid w:val="001E5F0D"/>
    <w:rsid w:val="001E61D8"/>
    <w:rsid w:val="001E6457"/>
    <w:rsid w:val="001E655A"/>
    <w:rsid w:val="001E65F3"/>
    <w:rsid w:val="001E6603"/>
    <w:rsid w:val="001E675B"/>
    <w:rsid w:val="001E699A"/>
    <w:rsid w:val="001E6A56"/>
    <w:rsid w:val="001E7CAD"/>
    <w:rsid w:val="001E7F2A"/>
    <w:rsid w:val="001F02B1"/>
    <w:rsid w:val="001F0C9C"/>
    <w:rsid w:val="001F0D81"/>
    <w:rsid w:val="001F1100"/>
    <w:rsid w:val="001F117C"/>
    <w:rsid w:val="001F13F6"/>
    <w:rsid w:val="001F164B"/>
    <w:rsid w:val="001F192B"/>
    <w:rsid w:val="001F1A56"/>
    <w:rsid w:val="001F1C3D"/>
    <w:rsid w:val="001F2232"/>
    <w:rsid w:val="001F23C5"/>
    <w:rsid w:val="001F2819"/>
    <w:rsid w:val="001F2CA4"/>
    <w:rsid w:val="001F2FF8"/>
    <w:rsid w:val="001F328C"/>
    <w:rsid w:val="001F32C9"/>
    <w:rsid w:val="001F37A5"/>
    <w:rsid w:val="001F3E98"/>
    <w:rsid w:val="001F402D"/>
    <w:rsid w:val="001F423E"/>
    <w:rsid w:val="001F4617"/>
    <w:rsid w:val="001F4C8B"/>
    <w:rsid w:val="001F4E73"/>
    <w:rsid w:val="001F4F0A"/>
    <w:rsid w:val="001F4F59"/>
    <w:rsid w:val="001F5437"/>
    <w:rsid w:val="001F554D"/>
    <w:rsid w:val="001F5C66"/>
    <w:rsid w:val="001F5E5F"/>
    <w:rsid w:val="001F6050"/>
    <w:rsid w:val="001F64FB"/>
    <w:rsid w:val="001F653C"/>
    <w:rsid w:val="001F6665"/>
    <w:rsid w:val="001F6823"/>
    <w:rsid w:val="001F6995"/>
    <w:rsid w:val="001F6B47"/>
    <w:rsid w:val="001F6C26"/>
    <w:rsid w:val="001F7540"/>
    <w:rsid w:val="001F78DB"/>
    <w:rsid w:val="001F7B5D"/>
    <w:rsid w:val="001F7CA3"/>
    <w:rsid w:val="0020004E"/>
    <w:rsid w:val="00200154"/>
    <w:rsid w:val="00200331"/>
    <w:rsid w:val="0020060C"/>
    <w:rsid w:val="0020075B"/>
    <w:rsid w:val="00200A7A"/>
    <w:rsid w:val="00200AB8"/>
    <w:rsid w:val="00200EED"/>
    <w:rsid w:val="0020139E"/>
    <w:rsid w:val="0020143D"/>
    <w:rsid w:val="002014E3"/>
    <w:rsid w:val="002018D9"/>
    <w:rsid w:val="00201934"/>
    <w:rsid w:val="00201B28"/>
    <w:rsid w:val="00201F59"/>
    <w:rsid w:val="002021F8"/>
    <w:rsid w:val="00202292"/>
    <w:rsid w:val="002025F1"/>
    <w:rsid w:val="00202907"/>
    <w:rsid w:val="00202939"/>
    <w:rsid w:val="002029EA"/>
    <w:rsid w:val="00202B29"/>
    <w:rsid w:val="00202CEF"/>
    <w:rsid w:val="0020309F"/>
    <w:rsid w:val="00203300"/>
    <w:rsid w:val="0020333E"/>
    <w:rsid w:val="002034D9"/>
    <w:rsid w:val="00203671"/>
    <w:rsid w:val="00203773"/>
    <w:rsid w:val="0020383C"/>
    <w:rsid w:val="002038BD"/>
    <w:rsid w:val="00203C11"/>
    <w:rsid w:val="00203DEA"/>
    <w:rsid w:val="002042D0"/>
    <w:rsid w:val="002043EC"/>
    <w:rsid w:val="00204441"/>
    <w:rsid w:val="0020452D"/>
    <w:rsid w:val="002046C9"/>
    <w:rsid w:val="00204808"/>
    <w:rsid w:val="00204989"/>
    <w:rsid w:val="00204CCE"/>
    <w:rsid w:val="00204D67"/>
    <w:rsid w:val="00204F67"/>
    <w:rsid w:val="00204FBA"/>
    <w:rsid w:val="002050A8"/>
    <w:rsid w:val="002053D1"/>
    <w:rsid w:val="00205646"/>
    <w:rsid w:val="002057D6"/>
    <w:rsid w:val="00205837"/>
    <w:rsid w:val="0020593A"/>
    <w:rsid w:val="002061E6"/>
    <w:rsid w:val="0020667B"/>
    <w:rsid w:val="002067DD"/>
    <w:rsid w:val="002069F8"/>
    <w:rsid w:val="00206A48"/>
    <w:rsid w:val="00207306"/>
    <w:rsid w:val="0020739A"/>
    <w:rsid w:val="0020751F"/>
    <w:rsid w:val="00207805"/>
    <w:rsid w:val="0020796D"/>
    <w:rsid w:val="00207C5D"/>
    <w:rsid w:val="00207DFD"/>
    <w:rsid w:val="00207E68"/>
    <w:rsid w:val="002107F8"/>
    <w:rsid w:val="00211289"/>
    <w:rsid w:val="002118B5"/>
    <w:rsid w:val="0021266E"/>
    <w:rsid w:val="00212770"/>
    <w:rsid w:val="0021295D"/>
    <w:rsid w:val="00212A9F"/>
    <w:rsid w:val="00212B17"/>
    <w:rsid w:val="00212B28"/>
    <w:rsid w:val="00212DB9"/>
    <w:rsid w:val="0021395F"/>
    <w:rsid w:val="00213E4C"/>
    <w:rsid w:val="00213FB7"/>
    <w:rsid w:val="00214164"/>
    <w:rsid w:val="002144CF"/>
    <w:rsid w:val="0021467C"/>
    <w:rsid w:val="002146B2"/>
    <w:rsid w:val="0021471A"/>
    <w:rsid w:val="00215073"/>
    <w:rsid w:val="002150DE"/>
    <w:rsid w:val="002151B0"/>
    <w:rsid w:val="00215772"/>
    <w:rsid w:val="0021577A"/>
    <w:rsid w:val="00215D56"/>
    <w:rsid w:val="00215F7D"/>
    <w:rsid w:val="00215FC9"/>
    <w:rsid w:val="00216579"/>
    <w:rsid w:val="00216A4B"/>
    <w:rsid w:val="00216D1F"/>
    <w:rsid w:val="00216F7A"/>
    <w:rsid w:val="0021714B"/>
    <w:rsid w:val="002171DF"/>
    <w:rsid w:val="002175C0"/>
    <w:rsid w:val="002175C1"/>
    <w:rsid w:val="00217729"/>
    <w:rsid w:val="00217A3F"/>
    <w:rsid w:val="00217B1C"/>
    <w:rsid w:val="00220283"/>
    <w:rsid w:val="002203D8"/>
    <w:rsid w:val="00220767"/>
    <w:rsid w:val="00220787"/>
    <w:rsid w:val="00220A4A"/>
    <w:rsid w:val="002211EE"/>
    <w:rsid w:val="002213EB"/>
    <w:rsid w:val="002214B0"/>
    <w:rsid w:val="00221531"/>
    <w:rsid w:val="00221A5D"/>
    <w:rsid w:val="00221B0D"/>
    <w:rsid w:val="00221D17"/>
    <w:rsid w:val="00221E7F"/>
    <w:rsid w:val="00222008"/>
    <w:rsid w:val="00222109"/>
    <w:rsid w:val="00222204"/>
    <w:rsid w:val="00222208"/>
    <w:rsid w:val="002223E4"/>
    <w:rsid w:val="002228C2"/>
    <w:rsid w:val="00222C49"/>
    <w:rsid w:val="002234F1"/>
    <w:rsid w:val="00223574"/>
    <w:rsid w:val="00223590"/>
    <w:rsid w:val="002236F3"/>
    <w:rsid w:val="00223FCB"/>
    <w:rsid w:val="0022423E"/>
    <w:rsid w:val="002242D0"/>
    <w:rsid w:val="0022444D"/>
    <w:rsid w:val="00224648"/>
    <w:rsid w:val="00224710"/>
    <w:rsid w:val="0022472E"/>
    <w:rsid w:val="00224858"/>
    <w:rsid w:val="002249CC"/>
    <w:rsid w:val="00224ACE"/>
    <w:rsid w:val="00224B27"/>
    <w:rsid w:val="00224BCC"/>
    <w:rsid w:val="00224DD9"/>
    <w:rsid w:val="00225151"/>
    <w:rsid w:val="00225BC1"/>
    <w:rsid w:val="00226692"/>
    <w:rsid w:val="002266C2"/>
    <w:rsid w:val="00226A43"/>
    <w:rsid w:val="002272EF"/>
    <w:rsid w:val="002274E1"/>
    <w:rsid w:val="00227538"/>
    <w:rsid w:val="00227741"/>
    <w:rsid w:val="002278B7"/>
    <w:rsid w:val="00227AA8"/>
    <w:rsid w:val="002306E4"/>
    <w:rsid w:val="00230711"/>
    <w:rsid w:val="002308B2"/>
    <w:rsid w:val="00230CFF"/>
    <w:rsid w:val="00230D8C"/>
    <w:rsid w:val="0023110F"/>
    <w:rsid w:val="002312F6"/>
    <w:rsid w:val="0023143F"/>
    <w:rsid w:val="002314BF"/>
    <w:rsid w:val="002314CB"/>
    <w:rsid w:val="0023192A"/>
    <w:rsid w:val="002319F4"/>
    <w:rsid w:val="00231EB3"/>
    <w:rsid w:val="0023201A"/>
    <w:rsid w:val="00232640"/>
    <w:rsid w:val="00232684"/>
    <w:rsid w:val="0023294F"/>
    <w:rsid w:val="00232B44"/>
    <w:rsid w:val="00232BC9"/>
    <w:rsid w:val="00232C0D"/>
    <w:rsid w:val="00232D82"/>
    <w:rsid w:val="00232E5A"/>
    <w:rsid w:val="002332D3"/>
    <w:rsid w:val="0023361B"/>
    <w:rsid w:val="00233AE4"/>
    <w:rsid w:val="00233B4A"/>
    <w:rsid w:val="00233FDF"/>
    <w:rsid w:val="002342B9"/>
    <w:rsid w:val="0023444C"/>
    <w:rsid w:val="0023458D"/>
    <w:rsid w:val="00234638"/>
    <w:rsid w:val="00234798"/>
    <w:rsid w:val="00234835"/>
    <w:rsid w:val="00234B62"/>
    <w:rsid w:val="00234C55"/>
    <w:rsid w:val="00234E63"/>
    <w:rsid w:val="00234E8E"/>
    <w:rsid w:val="0023522E"/>
    <w:rsid w:val="00235273"/>
    <w:rsid w:val="0023529B"/>
    <w:rsid w:val="002352EC"/>
    <w:rsid w:val="00235453"/>
    <w:rsid w:val="0023557F"/>
    <w:rsid w:val="002355FB"/>
    <w:rsid w:val="00235953"/>
    <w:rsid w:val="002359C9"/>
    <w:rsid w:val="002362B6"/>
    <w:rsid w:val="00236832"/>
    <w:rsid w:val="0023689D"/>
    <w:rsid w:val="00236A84"/>
    <w:rsid w:val="00236AE1"/>
    <w:rsid w:val="00236BF1"/>
    <w:rsid w:val="00236CB4"/>
    <w:rsid w:val="0023734F"/>
    <w:rsid w:val="00237709"/>
    <w:rsid w:val="00237A60"/>
    <w:rsid w:val="00237B82"/>
    <w:rsid w:val="00237C8A"/>
    <w:rsid w:val="002400A8"/>
    <w:rsid w:val="002401BB"/>
    <w:rsid w:val="002408F5"/>
    <w:rsid w:val="00240E14"/>
    <w:rsid w:val="002419F7"/>
    <w:rsid w:val="00241A5C"/>
    <w:rsid w:val="00241ADD"/>
    <w:rsid w:val="00241D75"/>
    <w:rsid w:val="00241E6B"/>
    <w:rsid w:val="00241ED8"/>
    <w:rsid w:val="002422AE"/>
    <w:rsid w:val="0024245F"/>
    <w:rsid w:val="002424AC"/>
    <w:rsid w:val="002424F1"/>
    <w:rsid w:val="0024257B"/>
    <w:rsid w:val="00242ECB"/>
    <w:rsid w:val="00242ED4"/>
    <w:rsid w:val="00242F94"/>
    <w:rsid w:val="00243233"/>
    <w:rsid w:val="0024357A"/>
    <w:rsid w:val="0024379F"/>
    <w:rsid w:val="002438DD"/>
    <w:rsid w:val="00243C6A"/>
    <w:rsid w:val="00243D54"/>
    <w:rsid w:val="00243DC0"/>
    <w:rsid w:val="00243F62"/>
    <w:rsid w:val="00244052"/>
    <w:rsid w:val="002443F8"/>
    <w:rsid w:val="00244D3E"/>
    <w:rsid w:val="00245262"/>
    <w:rsid w:val="00245582"/>
    <w:rsid w:val="002455D7"/>
    <w:rsid w:val="0024581B"/>
    <w:rsid w:val="00245B24"/>
    <w:rsid w:val="00245BA4"/>
    <w:rsid w:val="00245E34"/>
    <w:rsid w:val="00245E37"/>
    <w:rsid w:val="00245F98"/>
    <w:rsid w:val="002460D2"/>
    <w:rsid w:val="002461A7"/>
    <w:rsid w:val="00246A0B"/>
    <w:rsid w:val="00246B83"/>
    <w:rsid w:val="00246CCC"/>
    <w:rsid w:val="00247003"/>
    <w:rsid w:val="00247133"/>
    <w:rsid w:val="002471AE"/>
    <w:rsid w:val="0024740B"/>
    <w:rsid w:val="00247477"/>
    <w:rsid w:val="00247684"/>
    <w:rsid w:val="002476F1"/>
    <w:rsid w:val="002477B3"/>
    <w:rsid w:val="00247808"/>
    <w:rsid w:val="002478A0"/>
    <w:rsid w:val="00247E08"/>
    <w:rsid w:val="00247F92"/>
    <w:rsid w:val="002501CD"/>
    <w:rsid w:val="0025046E"/>
    <w:rsid w:val="0025059A"/>
    <w:rsid w:val="002506D1"/>
    <w:rsid w:val="00250804"/>
    <w:rsid w:val="00250CFC"/>
    <w:rsid w:val="002513E4"/>
    <w:rsid w:val="0025141B"/>
    <w:rsid w:val="0025146A"/>
    <w:rsid w:val="002514C1"/>
    <w:rsid w:val="00251580"/>
    <w:rsid w:val="002518B6"/>
    <w:rsid w:val="0025194D"/>
    <w:rsid w:val="00251A11"/>
    <w:rsid w:val="00251A82"/>
    <w:rsid w:val="00251D0D"/>
    <w:rsid w:val="00251DF6"/>
    <w:rsid w:val="00251DFD"/>
    <w:rsid w:val="002523CF"/>
    <w:rsid w:val="0025289C"/>
    <w:rsid w:val="00252BBE"/>
    <w:rsid w:val="00252E53"/>
    <w:rsid w:val="00252E90"/>
    <w:rsid w:val="0025300C"/>
    <w:rsid w:val="00253070"/>
    <w:rsid w:val="002530A7"/>
    <w:rsid w:val="0025344C"/>
    <w:rsid w:val="00253488"/>
    <w:rsid w:val="002536BD"/>
    <w:rsid w:val="00253A85"/>
    <w:rsid w:val="0025424C"/>
    <w:rsid w:val="00254382"/>
    <w:rsid w:val="00254538"/>
    <w:rsid w:val="002546BF"/>
    <w:rsid w:val="0025476C"/>
    <w:rsid w:val="00254EFF"/>
    <w:rsid w:val="002550A8"/>
    <w:rsid w:val="002554F4"/>
    <w:rsid w:val="00255885"/>
    <w:rsid w:val="00255AD8"/>
    <w:rsid w:val="00255B4E"/>
    <w:rsid w:val="00255B63"/>
    <w:rsid w:val="00255C36"/>
    <w:rsid w:val="00255CC4"/>
    <w:rsid w:val="00255D87"/>
    <w:rsid w:val="00256820"/>
    <w:rsid w:val="00256C75"/>
    <w:rsid w:val="00256D20"/>
    <w:rsid w:val="00256DFC"/>
    <w:rsid w:val="00257403"/>
    <w:rsid w:val="0025780B"/>
    <w:rsid w:val="0025784A"/>
    <w:rsid w:val="00257858"/>
    <w:rsid w:val="00257A81"/>
    <w:rsid w:val="00257B4A"/>
    <w:rsid w:val="00257D55"/>
    <w:rsid w:val="00257DB0"/>
    <w:rsid w:val="00257F4A"/>
    <w:rsid w:val="002609D2"/>
    <w:rsid w:val="00260A69"/>
    <w:rsid w:val="00260E65"/>
    <w:rsid w:val="00260F18"/>
    <w:rsid w:val="00261038"/>
    <w:rsid w:val="00261255"/>
    <w:rsid w:val="00261646"/>
    <w:rsid w:val="00261933"/>
    <w:rsid w:val="00261F76"/>
    <w:rsid w:val="00262213"/>
    <w:rsid w:val="002622A4"/>
    <w:rsid w:val="00262688"/>
    <w:rsid w:val="00263084"/>
    <w:rsid w:val="002630CB"/>
    <w:rsid w:val="00263171"/>
    <w:rsid w:val="00263688"/>
    <w:rsid w:val="0026394E"/>
    <w:rsid w:val="0026395C"/>
    <w:rsid w:val="00263B67"/>
    <w:rsid w:val="00263BA5"/>
    <w:rsid w:val="00263EAA"/>
    <w:rsid w:val="00264174"/>
    <w:rsid w:val="0026420E"/>
    <w:rsid w:val="0026426E"/>
    <w:rsid w:val="002646D1"/>
    <w:rsid w:val="002646DC"/>
    <w:rsid w:val="002647B6"/>
    <w:rsid w:val="002648A3"/>
    <w:rsid w:val="00265014"/>
    <w:rsid w:val="00265559"/>
    <w:rsid w:val="00265A34"/>
    <w:rsid w:val="00266290"/>
    <w:rsid w:val="00266314"/>
    <w:rsid w:val="00266337"/>
    <w:rsid w:val="00266458"/>
    <w:rsid w:val="00266574"/>
    <w:rsid w:val="00266AEF"/>
    <w:rsid w:val="00267083"/>
    <w:rsid w:val="0026772B"/>
    <w:rsid w:val="00267A8D"/>
    <w:rsid w:val="00267C68"/>
    <w:rsid w:val="00267C89"/>
    <w:rsid w:val="00267ED4"/>
    <w:rsid w:val="00270104"/>
    <w:rsid w:val="00270440"/>
    <w:rsid w:val="00270A99"/>
    <w:rsid w:val="00270E3D"/>
    <w:rsid w:val="00271039"/>
    <w:rsid w:val="00271200"/>
    <w:rsid w:val="002714D4"/>
    <w:rsid w:val="00271680"/>
    <w:rsid w:val="0027191F"/>
    <w:rsid w:val="00271938"/>
    <w:rsid w:val="00271E90"/>
    <w:rsid w:val="00271FE1"/>
    <w:rsid w:val="00272235"/>
    <w:rsid w:val="002723AA"/>
    <w:rsid w:val="00272678"/>
    <w:rsid w:val="00272C53"/>
    <w:rsid w:val="00272E17"/>
    <w:rsid w:val="00272EE4"/>
    <w:rsid w:val="0027309A"/>
    <w:rsid w:val="00273246"/>
    <w:rsid w:val="002734C1"/>
    <w:rsid w:val="002734D0"/>
    <w:rsid w:val="00273893"/>
    <w:rsid w:val="00274381"/>
    <w:rsid w:val="00274467"/>
    <w:rsid w:val="002749EB"/>
    <w:rsid w:val="00274C7E"/>
    <w:rsid w:val="00274C84"/>
    <w:rsid w:val="00274E2B"/>
    <w:rsid w:val="00274F51"/>
    <w:rsid w:val="00275039"/>
    <w:rsid w:val="0027551C"/>
    <w:rsid w:val="00275794"/>
    <w:rsid w:val="00275D97"/>
    <w:rsid w:val="00275F7B"/>
    <w:rsid w:val="002760D2"/>
    <w:rsid w:val="002760EE"/>
    <w:rsid w:val="00276194"/>
    <w:rsid w:val="0027659D"/>
    <w:rsid w:val="002767B6"/>
    <w:rsid w:val="00276CF9"/>
    <w:rsid w:val="00276D61"/>
    <w:rsid w:val="00276EAB"/>
    <w:rsid w:val="00276EF3"/>
    <w:rsid w:val="002776B7"/>
    <w:rsid w:val="00277885"/>
    <w:rsid w:val="00277A13"/>
    <w:rsid w:val="00277BDD"/>
    <w:rsid w:val="00277C1A"/>
    <w:rsid w:val="0028007E"/>
    <w:rsid w:val="0028040E"/>
    <w:rsid w:val="00280B52"/>
    <w:rsid w:val="00280D3D"/>
    <w:rsid w:val="0028128B"/>
    <w:rsid w:val="0028205D"/>
    <w:rsid w:val="00282065"/>
    <w:rsid w:val="0028293C"/>
    <w:rsid w:val="00282B1E"/>
    <w:rsid w:val="00282DF2"/>
    <w:rsid w:val="0028340A"/>
    <w:rsid w:val="0028364F"/>
    <w:rsid w:val="002836FE"/>
    <w:rsid w:val="00283D13"/>
    <w:rsid w:val="00283DA3"/>
    <w:rsid w:val="00283E03"/>
    <w:rsid w:val="00284193"/>
    <w:rsid w:val="00284853"/>
    <w:rsid w:val="00284B09"/>
    <w:rsid w:val="0028606F"/>
    <w:rsid w:val="00286166"/>
    <w:rsid w:val="00286768"/>
    <w:rsid w:val="0028682F"/>
    <w:rsid w:val="002871F1"/>
    <w:rsid w:val="0028751C"/>
    <w:rsid w:val="00287585"/>
    <w:rsid w:val="0028766A"/>
    <w:rsid w:val="002878AA"/>
    <w:rsid w:val="002878B2"/>
    <w:rsid w:val="002878D4"/>
    <w:rsid w:val="00287B59"/>
    <w:rsid w:val="00287BC5"/>
    <w:rsid w:val="0029027F"/>
    <w:rsid w:val="002905EE"/>
    <w:rsid w:val="002905FA"/>
    <w:rsid w:val="0029074F"/>
    <w:rsid w:val="002907DE"/>
    <w:rsid w:val="0029086A"/>
    <w:rsid w:val="00290878"/>
    <w:rsid w:val="00290A5B"/>
    <w:rsid w:val="00290A61"/>
    <w:rsid w:val="00290DB8"/>
    <w:rsid w:val="002910C4"/>
    <w:rsid w:val="00291476"/>
    <w:rsid w:val="00291983"/>
    <w:rsid w:val="00291A20"/>
    <w:rsid w:val="00291AC1"/>
    <w:rsid w:val="00291B88"/>
    <w:rsid w:val="002921F3"/>
    <w:rsid w:val="002925A2"/>
    <w:rsid w:val="0029277F"/>
    <w:rsid w:val="0029278D"/>
    <w:rsid w:val="00292808"/>
    <w:rsid w:val="00292A63"/>
    <w:rsid w:val="00292EBD"/>
    <w:rsid w:val="00293636"/>
    <w:rsid w:val="002937EC"/>
    <w:rsid w:val="00293DAF"/>
    <w:rsid w:val="00293DEE"/>
    <w:rsid w:val="002948B6"/>
    <w:rsid w:val="00294A47"/>
    <w:rsid w:val="00294DA4"/>
    <w:rsid w:val="0029509A"/>
    <w:rsid w:val="002951DB"/>
    <w:rsid w:val="002952F1"/>
    <w:rsid w:val="002953B8"/>
    <w:rsid w:val="00295509"/>
    <w:rsid w:val="0029582E"/>
    <w:rsid w:val="00295830"/>
    <w:rsid w:val="00295CDF"/>
    <w:rsid w:val="00295D6E"/>
    <w:rsid w:val="00295F78"/>
    <w:rsid w:val="00296192"/>
    <w:rsid w:val="00296A3C"/>
    <w:rsid w:val="00296E2A"/>
    <w:rsid w:val="00296EAF"/>
    <w:rsid w:val="00296F5B"/>
    <w:rsid w:val="00297213"/>
    <w:rsid w:val="0029740A"/>
    <w:rsid w:val="00297795"/>
    <w:rsid w:val="0029785F"/>
    <w:rsid w:val="00297B20"/>
    <w:rsid w:val="00297DD0"/>
    <w:rsid w:val="002A0162"/>
    <w:rsid w:val="002A03B4"/>
    <w:rsid w:val="002A0893"/>
    <w:rsid w:val="002A0B5D"/>
    <w:rsid w:val="002A0C19"/>
    <w:rsid w:val="002A12EA"/>
    <w:rsid w:val="002A150C"/>
    <w:rsid w:val="002A1560"/>
    <w:rsid w:val="002A1659"/>
    <w:rsid w:val="002A18D3"/>
    <w:rsid w:val="002A1B42"/>
    <w:rsid w:val="002A1B48"/>
    <w:rsid w:val="002A1C32"/>
    <w:rsid w:val="002A1F3D"/>
    <w:rsid w:val="002A27BF"/>
    <w:rsid w:val="002A2CE5"/>
    <w:rsid w:val="002A2E01"/>
    <w:rsid w:val="002A2EE8"/>
    <w:rsid w:val="002A2FCD"/>
    <w:rsid w:val="002A2FDF"/>
    <w:rsid w:val="002A3239"/>
    <w:rsid w:val="002A33BC"/>
    <w:rsid w:val="002A3401"/>
    <w:rsid w:val="002A35B7"/>
    <w:rsid w:val="002A3A58"/>
    <w:rsid w:val="002A3E30"/>
    <w:rsid w:val="002A4162"/>
    <w:rsid w:val="002A42DD"/>
    <w:rsid w:val="002A43D0"/>
    <w:rsid w:val="002A46D9"/>
    <w:rsid w:val="002A4784"/>
    <w:rsid w:val="002A4802"/>
    <w:rsid w:val="002A4863"/>
    <w:rsid w:val="002A49F5"/>
    <w:rsid w:val="002A4E24"/>
    <w:rsid w:val="002A513E"/>
    <w:rsid w:val="002A5271"/>
    <w:rsid w:val="002A5BE0"/>
    <w:rsid w:val="002A5F03"/>
    <w:rsid w:val="002A5F08"/>
    <w:rsid w:val="002A6225"/>
    <w:rsid w:val="002A6719"/>
    <w:rsid w:val="002A6A36"/>
    <w:rsid w:val="002A6BD9"/>
    <w:rsid w:val="002A6EB2"/>
    <w:rsid w:val="002A7429"/>
    <w:rsid w:val="002A752B"/>
    <w:rsid w:val="002A825D"/>
    <w:rsid w:val="002B007F"/>
    <w:rsid w:val="002B0186"/>
    <w:rsid w:val="002B03DB"/>
    <w:rsid w:val="002B04BD"/>
    <w:rsid w:val="002B0569"/>
    <w:rsid w:val="002B0592"/>
    <w:rsid w:val="002B0A15"/>
    <w:rsid w:val="002B0FB8"/>
    <w:rsid w:val="002B16E0"/>
    <w:rsid w:val="002B19F7"/>
    <w:rsid w:val="002B1A42"/>
    <w:rsid w:val="002B1D4D"/>
    <w:rsid w:val="002B2203"/>
    <w:rsid w:val="002B28F4"/>
    <w:rsid w:val="002B2FA9"/>
    <w:rsid w:val="002B36DD"/>
    <w:rsid w:val="002B39EA"/>
    <w:rsid w:val="002B3AB5"/>
    <w:rsid w:val="002B3ABD"/>
    <w:rsid w:val="002B3B42"/>
    <w:rsid w:val="002B3DFE"/>
    <w:rsid w:val="002B4004"/>
    <w:rsid w:val="002B40B3"/>
    <w:rsid w:val="002B4351"/>
    <w:rsid w:val="002B495E"/>
    <w:rsid w:val="002B4AC4"/>
    <w:rsid w:val="002B50DE"/>
    <w:rsid w:val="002B5124"/>
    <w:rsid w:val="002B5430"/>
    <w:rsid w:val="002B55EE"/>
    <w:rsid w:val="002B58A9"/>
    <w:rsid w:val="002B59F5"/>
    <w:rsid w:val="002B5D73"/>
    <w:rsid w:val="002B5F48"/>
    <w:rsid w:val="002B6170"/>
    <w:rsid w:val="002B6604"/>
    <w:rsid w:val="002B69E9"/>
    <w:rsid w:val="002B6AAE"/>
    <w:rsid w:val="002B6B83"/>
    <w:rsid w:val="002B6B85"/>
    <w:rsid w:val="002B6C1C"/>
    <w:rsid w:val="002B6D6E"/>
    <w:rsid w:val="002B6E38"/>
    <w:rsid w:val="002B722D"/>
    <w:rsid w:val="002B746E"/>
    <w:rsid w:val="002B76E0"/>
    <w:rsid w:val="002B7739"/>
    <w:rsid w:val="002B7861"/>
    <w:rsid w:val="002B7AB2"/>
    <w:rsid w:val="002B7C27"/>
    <w:rsid w:val="002B7C3A"/>
    <w:rsid w:val="002B7C99"/>
    <w:rsid w:val="002C0005"/>
    <w:rsid w:val="002C02C4"/>
    <w:rsid w:val="002C034A"/>
    <w:rsid w:val="002C0755"/>
    <w:rsid w:val="002C086F"/>
    <w:rsid w:val="002C0A90"/>
    <w:rsid w:val="002C1144"/>
    <w:rsid w:val="002C1147"/>
    <w:rsid w:val="002C115F"/>
    <w:rsid w:val="002C1446"/>
    <w:rsid w:val="002C169E"/>
    <w:rsid w:val="002C1BE0"/>
    <w:rsid w:val="002C1FA5"/>
    <w:rsid w:val="002C2550"/>
    <w:rsid w:val="002C279D"/>
    <w:rsid w:val="002C27A4"/>
    <w:rsid w:val="002C27AD"/>
    <w:rsid w:val="002C2895"/>
    <w:rsid w:val="002C2985"/>
    <w:rsid w:val="002C299D"/>
    <w:rsid w:val="002C2D0F"/>
    <w:rsid w:val="002C2D59"/>
    <w:rsid w:val="002C2F52"/>
    <w:rsid w:val="002C325F"/>
    <w:rsid w:val="002C3DB9"/>
    <w:rsid w:val="002C3F77"/>
    <w:rsid w:val="002C4020"/>
    <w:rsid w:val="002C40DE"/>
    <w:rsid w:val="002C414A"/>
    <w:rsid w:val="002C42BA"/>
    <w:rsid w:val="002C47D6"/>
    <w:rsid w:val="002C4A31"/>
    <w:rsid w:val="002C4A8E"/>
    <w:rsid w:val="002C4DC9"/>
    <w:rsid w:val="002C4E64"/>
    <w:rsid w:val="002C4F52"/>
    <w:rsid w:val="002C53DC"/>
    <w:rsid w:val="002C551A"/>
    <w:rsid w:val="002C58FA"/>
    <w:rsid w:val="002C6328"/>
    <w:rsid w:val="002C695E"/>
    <w:rsid w:val="002C6C64"/>
    <w:rsid w:val="002C6DE7"/>
    <w:rsid w:val="002C7241"/>
    <w:rsid w:val="002C7262"/>
    <w:rsid w:val="002C7607"/>
    <w:rsid w:val="002C7712"/>
    <w:rsid w:val="002C7796"/>
    <w:rsid w:val="002C7BDB"/>
    <w:rsid w:val="002C7D6D"/>
    <w:rsid w:val="002C7E66"/>
    <w:rsid w:val="002C7FE9"/>
    <w:rsid w:val="002D007A"/>
    <w:rsid w:val="002D0DC5"/>
    <w:rsid w:val="002D12B7"/>
    <w:rsid w:val="002D15B8"/>
    <w:rsid w:val="002D16FC"/>
    <w:rsid w:val="002D17BF"/>
    <w:rsid w:val="002D199E"/>
    <w:rsid w:val="002D19DF"/>
    <w:rsid w:val="002D1ADA"/>
    <w:rsid w:val="002D2150"/>
    <w:rsid w:val="002D22B2"/>
    <w:rsid w:val="002D22D4"/>
    <w:rsid w:val="002D264E"/>
    <w:rsid w:val="002D3418"/>
    <w:rsid w:val="002D38E9"/>
    <w:rsid w:val="002D3B8B"/>
    <w:rsid w:val="002D3D78"/>
    <w:rsid w:val="002D3E87"/>
    <w:rsid w:val="002D3E91"/>
    <w:rsid w:val="002D4198"/>
    <w:rsid w:val="002D457C"/>
    <w:rsid w:val="002D46FE"/>
    <w:rsid w:val="002D47B0"/>
    <w:rsid w:val="002D47C9"/>
    <w:rsid w:val="002D4887"/>
    <w:rsid w:val="002D49FF"/>
    <w:rsid w:val="002D4A50"/>
    <w:rsid w:val="002D4A8B"/>
    <w:rsid w:val="002D4D68"/>
    <w:rsid w:val="002D4D78"/>
    <w:rsid w:val="002D4EFD"/>
    <w:rsid w:val="002D4FD5"/>
    <w:rsid w:val="002D50B8"/>
    <w:rsid w:val="002D52EE"/>
    <w:rsid w:val="002D59D5"/>
    <w:rsid w:val="002D5F66"/>
    <w:rsid w:val="002D5F79"/>
    <w:rsid w:val="002D5F85"/>
    <w:rsid w:val="002D5F91"/>
    <w:rsid w:val="002D5FA4"/>
    <w:rsid w:val="002D5FCB"/>
    <w:rsid w:val="002D61A3"/>
    <w:rsid w:val="002D635B"/>
    <w:rsid w:val="002D6481"/>
    <w:rsid w:val="002D664C"/>
    <w:rsid w:val="002D6870"/>
    <w:rsid w:val="002D687B"/>
    <w:rsid w:val="002D68D1"/>
    <w:rsid w:val="002D6AD6"/>
    <w:rsid w:val="002D7526"/>
    <w:rsid w:val="002D77E1"/>
    <w:rsid w:val="002D78C5"/>
    <w:rsid w:val="002D7D38"/>
    <w:rsid w:val="002E0112"/>
    <w:rsid w:val="002E017E"/>
    <w:rsid w:val="002E0251"/>
    <w:rsid w:val="002E054B"/>
    <w:rsid w:val="002E06B9"/>
    <w:rsid w:val="002E0AD7"/>
    <w:rsid w:val="002E0E2B"/>
    <w:rsid w:val="002E108C"/>
    <w:rsid w:val="002E15DC"/>
    <w:rsid w:val="002E1B13"/>
    <w:rsid w:val="002E1B99"/>
    <w:rsid w:val="002E1BEE"/>
    <w:rsid w:val="002E1EE1"/>
    <w:rsid w:val="002E2028"/>
    <w:rsid w:val="002E2265"/>
    <w:rsid w:val="002E25BF"/>
    <w:rsid w:val="002E26D1"/>
    <w:rsid w:val="002E28AB"/>
    <w:rsid w:val="002E29E3"/>
    <w:rsid w:val="002E2C05"/>
    <w:rsid w:val="002E2CB2"/>
    <w:rsid w:val="002E2D9D"/>
    <w:rsid w:val="002E30E7"/>
    <w:rsid w:val="002E3118"/>
    <w:rsid w:val="002E3156"/>
    <w:rsid w:val="002E3256"/>
    <w:rsid w:val="002E34C5"/>
    <w:rsid w:val="002E372A"/>
    <w:rsid w:val="002E384C"/>
    <w:rsid w:val="002E3F0A"/>
    <w:rsid w:val="002E425F"/>
    <w:rsid w:val="002E427F"/>
    <w:rsid w:val="002E4DCD"/>
    <w:rsid w:val="002E56FA"/>
    <w:rsid w:val="002E581E"/>
    <w:rsid w:val="002E5B75"/>
    <w:rsid w:val="002E5DB4"/>
    <w:rsid w:val="002E62DE"/>
    <w:rsid w:val="002E637B"/>
    <w:rsid w:val="002E63AF"/>
    <w:rsid w:val="002E64DB"/>
    <w:rsid w:val="002E6589"/>
    <w:rsid w:val="002E66AD"/>
    <w:rsid w:val="002E6CA4"/>
    <w:rsid w:val="002E72B9"/>
    <w:rsid w:val="002E74E1"/>
    <w:rsid w:val="002E74F6"/>
    <w:rsid w:val="002E756B"/>
    <w:rsid w:val="002E76B9"/>
    <w:rsid w:val="002E7E76"/>
    <w:rsid w:val="002F02A9"/>
    <w:rsid w:val="002F0814"/>
    <w:rsid w:val="002F0EF8"/>
    <w:rsid w:val="002F102E"/>
    <w:rsid w:val="002F1164"/>
    <w:rsid w:val="002F161E"/>
    <w:rsid w:val="002F1709"/>
    <w:rsid w:val="002F17F0"/>
    <w:rsid w:val="002F181A"/>
    <w:rsid w:val="002F198B"/>
    <w:rsid w:val="002F1BD2"/>
    <w:rsid w:val="002F1C28"/>
    <w:rsid w:val="002F1CF5"/>
    <w:rsid w:val="002F1E81"/>
    <w:rsid w:val="002F20F4"/>
    <w:rsid w:val="002F22AF"/>
    <w:rsid w:val="002F2318"/>
    <w:rsid w:val="002F24C0"/>
    <w:rsid w:val="002F26CC"/>
    <w:rsid w:val="002F2725"/>
    <w:rsid w:val="002F2A5E"/>
    <w:rsid w:val="002F2ABA"/>
    <w:rsid w:val="002F2F3D"/>
    <w:rsid w:val="002F31BA"/>
    <w:rsid w:val="002F341C"/>
    <w:rsid w:val="002F3656"/>
    <w:rsid w:val="002F3991"/>
    <w:rsid w:val="002F3D92"/>
    <w:rsid w:val="002F3EE5"/>
    <w:rsid w:val="002F42A9"/>
    <w:rsid w:val="002F43FD"/>
    <w:rsid w:val="002F44F7"/>
    <w:rsid w:val="002F485D"/>
    <w:rsid w:val="002F4941"/>
    <w:rsid w:val="002F57A8"/>
    <w:rsid w:val="002F5A23"/>
    <w:rsid w:val="002F5CCA"/>
    <w:rsid w:val="002F5EA4"/>
    <w:rsid w:val="002F5F06"/>
    <w:rsid w:val="002F63F2"/>
    <w:rsid w:val="002F64C1"/>
    <w:rsid w:val="002F65F1"/>
    <w:rsid w:val="002F68D7"/>
    <w:rsid w:val="002F69F4"/>
    <w:rsid w:val="002F6D07"/>
    <w:rsid w:val="002F71F5"/>
    <w:rsid w:val="002F77D1"/>
    <w:rsid w:val="002F7AA7"/>
    <w:rsid w:val="002F7B8F"/>
    <w:rsid w:val="002F7D04"/>
    <w:rsid w:val="00300031"/>
    <w:rsid w:val="0030029E"/>
    <w:rsid w:val="0030046C"/>
    <w:rsid w:val="00300490"/>
    <w:rsid w:val="003004B7"/>
    <w:rsid w:val="003006D9"/>
    <w:rsid w:val="003007B5"/>
    <w:rsid w:val="0030086F"/>
    <w:rsid w:val="00300EDD"/>
    <w:rsid w:val="00301154"/>
    <w:rsid w:val="0030122D"/>
    <w:rsid w:val="00301495"/>
    <w:rsid w:val="0030153F"/>
    <w:rsid w:val="00301687"/>
    <w:rsid w:val="003018AE"/>
    <w:rsid w:val="00301E11"/>
    <w:rsid w:val="00301E8E"/>
    <w:rsid w:val="0030214C"/>
    <w:rsid w:val="003022A0"/>
    <w:rsid w:val="003022EB"/>
    <w:rsid w:val="00302351"/>
    <w:rsid w:val="00302488"/>
    <w:rsid w:val="003029EE"/>
    <w:rsid w:val="00302CA6"/>
    <w:rsid w:val="00302F8F"/>
    <w:rsid w:val="0030300E"/>
    <w:rsid w:val="003032D3"/>
    <w:rsid w:val="0030342A"/>
    <w:rsid w:val="00303935"/>
    <w:rsid w:val="003039F2"/>
    <w:rsid w:val="00303CF0"/>
    <w:rsid w:val="00303E13"/>
    <w:rsid w:val="003042F2"/>
    <w:rsid w:val="0030471A"/>
    <w:rsid w:val="0030490F"/>
    <w:rsid w:val="003049E0"/>
    <w:rsid w:val="00304F22"/>
    <w:rsid w:val="00304F96"/>
    <w:rsid w:val="00305402"/>
    <w:rsid w:val="00305454"/>
    <w:rsid w:val="00305666"/>
    <w:rsid w:val="003058D0"/>
    <w:rsid w:val="00305951"/>
    <w:rsid w:val="00305ACF"/>
    <w:rsid w:val="00305B2F"/>
    <w:rsid w:val="00305B68"/>
    <w:rsid w:val="00305DD0"/>
    <w:rsid w:val="00305E3A"/>
    <w:rsid w:val="00305F4B"/>
    <w:rsid w:val="00306087"/>
    <w:rsid w:val="00306293"/>
    <w:rsid w:val="00306357"/>
    <w:rsid w:val="003063D3"/>
    <w:rsid w:val="00306482"/>
    <w:rsid w:val="00306782"/>
    <w:rsid w:val="00306979"/>
    <w:rsid w:val="00306C38"/>
    <w:rsid w:val="00306FE9"/>
    <w:rsid w:val="003071C3"/>
    <w:rsid w:val="003074F4"/>
    <w:rsid w:val="003077EE"/>
    <w:rsid w:val="00307925"/>
    <w:rsid w:val="003079B2"/>
    <w:rsid w:val="00307AF3"/>
    <w:rsid w:val="00307E68"/>
    <w:rsid w:val="0031024D"/>
    <w:rsid w:val="003104BF"/>
    <w:rsid w:val="00310775"/>
    <w:rsid w:val="00310922"/>
    <w:rsid w:val="00310F4E"/>
    <w:rsid w:val="00311354"/>
    <w:rsid w:val="00311CD2"/>
    <w:rsid w:val="00312199"/>
    <w:rsid w:val="003128C5"/>
    <w:rsid w:val="00312B6A"/>
    <w:rsid w:val="00313395"/>
    <w:rsid w:val="0031364D"/>
    <w:rsid w:val="00313C4B"/>
    <w:rsid w:val="00313DC9"/>
    <w:rsid w:val="003140BD"/>
    <w:rsid w:val="00314302"/>
    <w:rsid w:val="0031435E"/>
    <w:rsid w:val="00314501"/>
    <w:rsid w:val="00314A2A"/>
    <w:rsid w:val="003152CE"/>
    <w:rsid w:val="0031534F"/>
    <w:rsid w:val="003153A2"/>
    <w:rsid w:val="0031579C"/>
    <w:rsid w:val="003157A8"/>
    <w:rsid w:val="00315831"/>
    <w:rsid w:val="00315A97"/>
    <w:rsid w:val="00315E2D"/>
    <w:rsid w:val="00316071"/>
    <w:rsid w:val="0031624B"/>
    <w:rsid w:val="0031631F"/>
    <w:rsid w:val="003166ED"/>
    <w:rsid w:val="0031698E"/>
    <w:rsid w:val="003169BE"/>
    <w:rsid w:val="00316C23"/>
    <w:rsid w:val="003171D5"/>
    <w:rsid w:val="003174C3"/>
    <w:rsid w:val="00317E4F"/>
    <w:rsid w:val="00320374"/>
    <w:rsid w:val="0032062D"/>
    <w:rsid w:val="00320648"/>
    <w:rsid w:val="003207D0"/>
    <w:rsid w:val="00320922"/>
    <w:rsid w:val="00320EB2"/>
    <w:rsid w:val="003214EE"/>
    <w:rsid w:val="003215AD"/>
    <w:rsid w:val="00321B02"/>
    <w:rsid w:val="00321C69"/>
    <w:rsid w:val="00321F14"/>
    <w:rsid w:val="0032207D"/>
    <w:rsid w:val="00322131"/>
    <w:rsid w:val="003225E7"/>
    <w:rsid w:val="00322B54"/>
    <w:rsid w:val="00322BD3"/>
    <w:rsid w:val="00322E13"/>
    <w:rsid w:val="00322F0D"/>
    <w:rsid w:val="00323313"/>
    <w:rsid w:val="003239CE"/>
    <w:rsid w:val="00323A6A"/>
    <w:rsid w:val="00323D44"/>
    <w:rsid w:val="0032418F"/>
    <w:rsid w:val="00324384"/>
    <w:rsid w:val="0032472F"/>
    <w:rsid w:val="00324AF9"/>
    <w:rsid w:val="00324C64"/>
    <w:rsid w:val="00324DBB"/>
    <w:rsid w:val="00324FD8"/>
    <w:rsid w:val="00325342"/>
    <w:rsid w:val="0032538A"/>
    <w:rsid w:val="00325D65"/>
    <w:rsid w:val="003262C9"/>
    <w:rsid w:val="00326A11"/>
    <w:rsid w:val="00326CFC"/>
    <w:rsid w:val="003270AA"/>
    <w:rsid w:val="00327208"/>
    <w:rsid w:val="00327500"/>
    <w:rsid w:val="0032767D"/>
    <w:rsid w:val="00327906"/>
    <w:rsid w:val="00327DDA"/>
    <w:rsid w:val="00327E1B"/>
    <w:rsid w:val="003300C1"/>
    <w:rsid w:val="003304A0"/>
    <w:rsid w:val="003305FE"/>
    <w:rsid w:val="003308B0"/>
    <w:rsid w:val="00330E64"/>
    <w:rsid w:val="00331016"/>
    <w:rsid w:val="003317B0"/>
    <w:rsid w:val="00331BC5"/>
    <w:rsid w:val="00332048"/>
    <w:rsid w:val="003322C2"/>
    <w:rsid w:val="0033271E"/>
    <w:rsid w:val="00332AB0"/>
    <w:rsid w:val="00332D04"/>
    <w:rsid w:val="00332EE3"/>
    <w:rsid w:val="00332FB9"/>
    <w:rsid w:val="003330AE"/>
    <w:rsid w:val="0033342A"/>
    <w:rsid w:val="003334A2"/>
    <w:rsid w:val="00333775"/>
    <w:rsid w:val="003337F3"/>
    <w:rsid w:val="00333833"/>
    <w:rsid w:val="00333897"/>
    <w:rsid w:val="00333B74"/>
    <w:rsid w:val="00333D45"/>
    <w:rsid w:val="00333DE9"/>
    <w:rsid w:val="00333F2C"/>
    <w:rsid w:val="0033403A"/>
    <w:rsid w:val="00334164"/>
    <w:rsid w:val="003345ED"/>
    <w:rsid w:val="00334744"/>
    <w:rsid w:val="003349AA"/>
    <w:rsid w:val="00334D1E"/>
    <w:rsid w:val="0033505F"/>
    <w:rsid w:val="00335071"/>
    <w:rsid w:val="003350A5"/>
    <w:rsid w:val="00335C40"/>
    <w:rsid w:val="003363F3"/>
    <w:rsid w:val="00336929"/>
    <w:rsid w:val="00336A5B"/>
    <w:rsid w:val="00336DD0"/>
    <w:rsid w:val="00336EDA"/>
    <w:rsid w:val="00337217"/>
    <w:rsid w:val="00337300"/>
    <w:rsid w:val="0033734E"/>
    <w:rsid w:val="00337580"/>
    <w:rsid w:val="00337688"/>
    <w:rsid w:val="003378E4"/>
    <w:rsid w:val="00337B09"/>
    <w:rsid w:val="00337DC9"/>
    <w:rsid w:val="0034002F"/>
    <w:rsid w:val="003400F8"/>
    <w:rsid w:val="00340244"/>
    <w:rsid w:val="0034027F"/>
    <w:rsid w:val="00340732"/>
    <w:rsid w:val="00340854"/>
    <w:rsid w:val="0034089B"/>
    <w:rsid w:val="003408E4"/>
    <w:rsid w:val="00340941"/>
    <w:rsid w:val="00340BA0"/>
    <w:rsid w:val="00340C7C"/>
    <w:rsid w:val="00340FC0"/>
    <w:rsid w:val="003410C8"/>
    <w:rsid w:val="00341E60"/>
    <w:rsid w:val="003420E2"/>
    <w:rsid w:val="003421EB"/>
    <w:rsid w:val="003424E0"/>
    <w:rsid w:val="0034279A"/>
    <w:rsid w:val="0034294E"/>
    <w:rsid w:val="00342E6F"/>
    <w:rsid w:val="0034340C"/>
    <w:rsid w:val="003436B7"/>
    <w:rsid w:val="00343E23"/>
    <w:rsid w:val="00343E5C"/>
    <w:rsid w:val="0034447D"/>
    <w:rsid w:val="00344754"/>
    <w:rsid w:val="00344837"/>
    <w:rsid w:val="0034495B"/>
    <w:rsid w:val="00344B52"/>
    <w:rsid w:val="00344D27"/>
    <w:rsid w:val="00344FB8"/>
    <w:rsid w:val="00345070"/>
    <w:rsid w:val="0034511E"/>
    <w:rsid w:val="003452A0"/>
    <w:rsid w:val="00345354"/>
    <w:rsid w:val="00345FF8"/>
    <w:rsid w:val="0034612B"/>
    <w:rsid w:val="003461C5"/>
    <w:rsid w:val="003461F8"/>
    <w:rsid w:val="00346AF0"/>
    <w:rsid w:val="00347307"/>
    <w:rsid w:val="00347A97"/>
    <w:rsid w:val="00347E18"/>
    <w:rsid w:val="00347ED8"/>
    <w:rsid w:val="00350668"/>
    <w:rsid w:val="00350859"/>
    <w:rsid w:val="003508AE"/>
    <w:rsid w:val="00350C97"/>
    <w:rsid w:val="00351066"/>
    <w:rsid w:val="00351108"/>
    <w:rsid w:val="00351365"/>
    <w:rsid w:val="003513FA"/>
    <w:rsid w:val="003516B7"/>
    <w:rsid w:val="003517FA"/>
    <w:rsid w:val="003519F8"/>
    <w:rsid w:val="00351D64"/>
    <w:rsid w:val="00351D74"/>
    <w:rsid w:val="0035204F"/>
    <w:rsid w:val="0035212F"/>
    <w:rsid w:val="00352F76"/>
    <w:rsid w:val="00353126"/>
    <w:rsid w:val="003532ED"/>
    <w:rsid w:val="0035352E"/>
    <w:rsid w:val="00353EE5"/>
    <w:rsid w:val="00353F13"/>
    <w:rsid w:val="0035422D"/>
    <w:rsid w:val="003542AD"/>
    <w:rsid w:val="00354636"/>
    <w:rsid w:val="00354B4D"/>
    <w:rsid w:val="0035534C"/>
    <w:rsid w:val="003557A2"/>
    <w:rsid w:val="00355EC0"/>
    <w:rsid w:val="003561D9"/>
    <w:rsid w:val="003562B5"/>
    <w:rsid w:val="00356832"/>
    <w:rsid w:val="00356876"/>
    <w:rsid w:val="003568C2"/>
    <w:rsid w:val="00356C1B"/>
    <w:rsid w:val="00356D57"/>
    <w:rsid w:val="00356D7E"/>
    <w:rsid w:val="00356E63"/>
    <w:rsid w:val="00357A0A"/>
    <w:rsid w:val="00357DA2"/>
    <w:rsid w:val="00357DD2"/>
    <w:rsid w:val="00357F84"/>
    <w:rsid w:val="0036005B"/>
    <w:rsid w:val="00360083"/>
    <w:rsid w:val="0036017B"/>
    <w:rsid w:val="003612D4"/>
    <w:rsid w:val="00361D4B"/>
    <w:rsid w:val="003620B2"/>
    <w:rsid w:val="003620E7"/>
    <w:rsid w:val="00362399"/>
    <w:rsid w:val="0036265B"/>
    <w:rsid w:val="00362755"/>
    <w:rsid w:val="00362BE6"/>
    <w:rsid w:val="00362F1A"/>
    <w:rsid w:val="003632DA"/>
    <w:rsid w:val="0036348D"/>
    <w:rsid w:val="00363653"/>
    <w:rsid w:val="0036390A"/>
    <w:rsid w:val="00363BC4"/>
    <w:rsid w:val="00363D9B"/>
    <w:rsid w:val="00363DE7"/>
    <w:rsid w:val="0036430A"/>
    <w:rsid w:val="0036430C"/>
    <w:rsid w:val="00364506"/>
    <w:rsid w:val="00364922"/>
    <w:rsid w:val="00364C18"/>
    <w:rsid w:val="00364D11"/>
    <w:rsid w:val="00364D3A"/>
    <w:rsid w:val="003653F8"/>
    <w:rsid w:val="00365418"/>
    <w:rsid w:val="00365765"/>
    <w:rsid w:val="003658C2"/>
    <w:rsid w:val="00365BD0"/>
    <w:rsid w:val="00365E90"/>
    <w:rsid w:val="00365F20"/>
    <w:rsid w:val="003664CF"/>
    <w:rsid w:val="00366839"/>
    <w:rsid w:val="00366B0A"/>
    <w:rsid w:val="00366C86"/>
    <w:rsid w:val="00366D4A"/>
    <w:rsid w:val="00367279"/>
    <w:rsid w:val="00367318"/>
    <w:rsid w:val="00367384"/>
    <w:rsid w:val="0036757D"/>
    <w:rsid w:val="003678DC"/>
    <w:rsid w:val="0037017C"/>
    <w:rsid w:val="00370235"/>
    <w:rsid w:val="003704D9"/>
    <w:rsid w:val="00370504"/>
    <w:rsid w:val="00370651"/>
    <w:rsid w:val="00370850"/>
    <w:rsid w:val="003709D6"/>
    <w:rsid w:val="00370C5F"/>
    <w:rsid w:val="00370F3F"/>
    <w:rsid w:val="0037137F"/>
    <w:rsid w:val="003714B0"/>
    <w:rsid w:val="00371B6E"/>
    <w:rsid w:val="00371C6A"/>
    <w:rsid w:val="003720BC"/>
    <w:rsid w:val="003723A5"/>
    <w:rsid w:val="003728B2"/>
    <w:rsid w:val="00372AD4"/>
    <w:rsid w:val="00372BBA"/>
    <w:rsid w:val="00372C75"/>
    <w:rsid w:val="00372CB0"/>
    <w:rsid w:val="00372D20"/>
    <w:rsid w:val="00372F65"/>
    <w:rsid w:val="00373787"/>
    <w:rsid w:val="003739C9"/>
    <w:rsid w:val="00373B93"/>
    <w:rsid w:val="00373C4D"/>
    <w:rsid w:val="00373C84"/>
    <w:rsid w:val="00373DB3"/>
    <w:rsid w:val="003740FD"/>
    <w:rsid w:val="00374452"/>
    <w:rsid w:val="003746B8"/>
    <w:rsid w:val="00374888"/>
    <w:rsid w:val="00374A57"/>
    <w:rsid w:val="00374B76"/>
    <w:rsid w:val="00374F10"/>
    <w:rsid w:val="0037500C"/>
    <w:rsid w:val="00375024"/>
    <w:rsid w:val="003754A9"/>
    <w:rsid w:val="003756DD"/>
    <w:rsid w:val="00375700"/>
    <w:rsid w:val="00375785"/>
    <w:rsid w:val="00375899"/>
    <w:rsid w:val="00375983"/>
    <w:rsid w:val="00375A21"/>
    <w:rsid w:val="00375B2A"/>
    <w:rsid w:val="00375CD8"/>
    <w:rsid w:val="00375D10"/>
    <w:rsid w:val="00375EB6"/>
    <w:rsid w:val="00375EDD"/>
    <w:rsid w:val="00376310"/>
    <w:rsid w:val="00376474"/>
    <w:rsid w:val="003767F0"/>
    <w:rsid w:val="00376C11"/>
    <w:rsid w:val="003771C6"/>
    <w:rsid w:val="003773B6"/>
    <w:rsid w:val="0037747A"/>
    <w:rsid w:val="003776DB"/>
    <w:rsid w:val="00377947"/>
    <w:rsid w:val="00377BAF"/>
    <w:rsid w:val="00377E1B"/>
    <w:rsid w:val="00377EB4"/>
    <w:rsid w:val="003807C4"/>
    <w:rsid w:val="00380957"/>
    <w:rsid w:val="0038099F"/>
    <w:rsid w:val="00380B4E"/>
    <w:rsid w:val="00380CD1"/>
    <w:rsid w:val="00380DFC"/>
    <w:rsid w:val="00380E27"/>
    <w:rsid w:val="00380F09"/>
    <w:rsid w:val="003811B8"/>
    <w:rsid w:val="00381260"/>
    <w:rsid w:val="0038129F"/>
    <w:rsid w:val="003814D2"/>
    <w:rsid w:val="00381C9F"/>
    <w:rsid w:val="00381EC3"/>
    <w:rsid w:val="00382648"/>
    <w:rsid w:val="003826D8"/>
    <w:rsid w:val="00382916"/>
    <w:rsid w:val="003829A4"/>
    <w:rsid w:val="00383081"/>
    <w:rsid w:val="003832F6"/>
    <w:rsid w:val="003837DF"/>
    <w:rsid w:val="00383990"/>
    <w:rsid w:val="003839DC"/>
    <w:rsid w:val="003844AB"/>
    <w:rsid w:val="00384895"/>
    <w:rsid w:val="00384AB6"/>
    <w:rsid w:val="00384EE2"/>
    <w:rsid w:val="00385266"/>
    <w:rsid w:val="003855F5"/>
    <w:rsid w:val="00385699"/>
    <w:rsid w:val="00385AF2"/>
    <w:rsid w:val="00385B03"/>
    <w:rsid w:val="00386900"/>
    <w:rsid w:val="0038707A"/>
    <w:rsid w:val="00387426"/>
    <w:rsid w:val="00390248"/>
    <w:rsid w:val="003905D0"/>
    <w:rsid w:val="00390F01"/>
    <w:rsid w:val="0039151F"/>
    <w:rsid w:val="00391655"/>
    <w:rsid w:val="00391D36"/>
    <w:rsid w:val="0039231D"/>
    <w:rsid w:val="003929A5"/>
    <w:rsid w:val="00392F0D"/>
    <w:rsid w:val="00393146"/>
    <w:rsid w:val="00393224"/>
    <w:rsid w:val="003933AA"/>
    <w:rsid w:val="0039354B"/>
    <w:rsid w:val="00393564"/>
    <w:rsid w:val="003937B1"/>
    <w:rsid w:val="00393CD2"/>
    <w:rsid w:val="00393E75"/>
    <w:rsid w:val="003942F3"/>
    <w:rsid w:val="0039438A"/>
    <w:rsid w:val="00394682"/>
    <w:rsid w:val="00394697"/>
    <w:rsid w:val="003946DB"/>
    <w:rsid w:val="00394A98"/>
    <w:rsid w:val="00394C2F"/>
    <w:rsid w:val="003954AA"/>
    <w:rsid w:val="003954C7"/>
    <w:rsid w:val="003955F2"/>
    <w:rsid w:val="00395A30"/>
    <w:rsid w:val="00395BF1"/>
    <w:rsid w:val="00395EA3"/>
    <w:rsid w:val="0039611D"/>
    <w:rsid w:val="003963F0"/>
    <w:rsid w:val="0039662C"/>
    <w:rsid w:val="00396651"/>
    <w:rsid w:val="00396C28"/>
    <w:rsid w:val="003973B6"/>
    <w:rsid w:val="00397CCA"/>
    <w:rsid w:val="00397D19"/>
    <w:rsid w:val="00397E4D"/>
    <w:rsid w:val="003A01E6"/>
    <w:rsid w:val="003A02F3"/>
    <w:rsid w:val="003A0895"/>
    <w:rsid w:val="003A098D"/>
    <w:rsid w:val="003A0B0A"/>
    <w:rsid w:val="003A0B8A"/>
    <w:rsid w:val="003A0C8D"/>
    <w:rsid w:val="003A0CBF"/>
    <w:rsid w:val="003A104A"/>
    <w:rsid w:val="003A1414"/>
    <w:rsid w:val="003A1A0F"/>
    <w:rsid w:val="003A1CA0"/>
    <w:rsid w:val="003A1D36"/>
    <w:rsid w:val="003A2B1A"/>
    <w:rsid w:val="003A2C87"/>
    <w:rsid w:val="003A2D62"/>
    <w:rsid w:val="003A2F6D"/>
    <w:rsid w:val="003A33B2"/>
    <w:rsid w:val="003A33C5"/>
    <w:rsid w:val="003A3403"/>
    <w:rsid w:val="003A38F0"/>
    <w:rsid w:val="003A3A00"/>
    <w:rsid w:val="003A4C30"/>
    <w:rsid w:val="003A4FAB"/>
    <w:rsid w:val="003A51A7"/>
    <w:rsid w:val="003A51E5"/>
    <w:rsid w:val="003A52DC"/>
    <w:rsid w:val="003A5682"/>
    <w:rsid w:val="003A57C9"/>
    <w:rsid w:val="003A57CC"/>
    <w:rsid w:val="003A5A19"/>
    <w:rsid w:val="003A5C51"/>
    <w:rsid w:val="003A5CB4"/>
    <w:rsid w:val="003A654D"/>
    <w:rsid w:val="003A674C"/>
    <w:rsid w:val="003A67F5"/>
    <w:rsid w:val="003A69E1"/>
    <w:rsid w:val="003A6A70"/>
    <w:rsid w:val="003A6E09"/>
    <w:rsid w:val="003A706F"/>
    <w:rsid w:val="003A716A"/>
    <w:rsid w:val="003A71D9"/>
    <w:rsid w:val="003A7373"/>
    <w:rsid w:val="003A754B"/>
    <w:rsid w:val="003A79EA"/>
    <w:rsid w:val="003A7DAE"/>
    <w:rsid w:val="003B0527"/>
    <w:rsid w:val="003B0605"/>
    <w:rsid w:val="003B09EC"/>
    <w:rsid w:val="003B0C88"/>
    <w:rsid w:val="003B0F0C"/>
    <w:rsid w:val="003B153F"/>
    <w:rsid w:val="003B1698"/>
    <w:rsid w:val="003B16C9"/>
    <w:rsid w:val="003B17A8"/>
    <w:rsid w:val="003B183D"/>
    <w:rsid w:val="003B1EE8"/>
    <w:rsid w:val="003B266B"/>
    <w:rsid w:val="003B28D8"/>
    <w:rsid w:val="003B2E59"/>
    <w:rsid w:val="003B2E66"/>
    <w:rsid w:val="003B3E93"/>
    <w:rsid w:val="003B401C"/>
    <w:rsid w:val="003B4141"/>
    <w:rsid w:val="003B46F4"/>
    <w:rsid w:val="003B499B"/>
    <w:rsid w:val="003B49CA"/>
    <w:rsid w:val="003B4AF6"/>
    <w:rsid w:val="003B5899"/>
    <w:rsid w:val="003B5C90"/>
    <w:rsid w:val="003B5E05"/>
    <w:rsid w:val="003B60D6"/>
    <w:rsid w:val="003B62E4"/>
    <w:rsid w:val="003B6411"/>
    <w:rsid w:val="003B64FF"/>
    <w:rsid w:val="003B6755"/>
    <w:rsid w:val="003B6857"/>
    <w:rsid w:val="003B696C"/>
    <w:rsid w:val="003B6BEA"/>
    <w:rsid w:val="003B6CD4"/>
    <w:rsid w:val="003B6D81"/>
    <w:rsid w:val="003B72FD"/>
    <w:rsid w:val="003B73A4"/>
    <w:rsid w:val="003B73BF"/>
    <w:rsid w:val="003B74D2"/>
    <w:rsid w:val="003B7725"/>
    <w:rsid w:val="003B7BF9"/>
    <w:rsid w:val="003B7D0A"/>
    <w:rsid w:val="003C0212"/>
    <w:rsid w:val="003C0365"/>
    <w:rsid w:val="003C0B9F"/>
    <w:rsid w:val="003C1006"/>
    <w:rsid w:val="003C112C"/>
    <w:rsid w:val="003C138F"/>
    <w:rsid w:val="003C1405"/>
    <w:rsid w:val="003C18B7"/>
    <w:rsid w:val="003C1916"/>
    <w:rsid w:val="003C1BC6"/>
    <w:rsid w:val="003C1BDD"/>
    <w:rsid w:val="003C1C3B"/>
    <w:rsid w:val="003C1D79"/>
    <w:rsid w:val="003C1E78"/>
    <w:rsid w:val="003C1F95"/>
    <w:rsid w:val="003C2242"/>
    <w:rsid w:val="003C2303"/>
    <w:rsid w:val="003C2455"/>
    <w:rsid w:val="003C2562"/>
    <w:rsid w:val="003C26C7"/>
    <w:rsid w:val="003C2945"/>
    <w:rsid w:val="003C2C23"/>
    <w:rsid w:val="003C2C97"/>
    <w:rsid w:val="003C2CA0"/>
    <w:rsid w:val="003C2FB2"/>
    <w:rsid w:val="003C3301"/>
    <w:rsid w:val="003C33AF"/>
    <w:rsid w:val="003C369A"/>
    <w:rsid w:val="003C3904"/>
    <w:rsid w:val="003C3D2C"/>
    <w:rsid w:val="003C3D72"/>
    <w:rsid w:val="003C3F0B"/>
    <w:rsid w:val="003C3F12"/>
    <w:rsid w:val="003C40BE"/>
    <w:rsid w:val="003C419C"/>
    <w:rsid w:val="003C4399"/>
    <w:rsid w:val="003C447A"/>
    <w:rsid w:val="003C45BC"/>
    <w:rsid w:val="003C472D"/>
    <w:rsid w:val="003C479F"/>
    <w:rsid w:val="003C4964"/>
    <w:rsid w:val="003C5524"/>
    <w:rsid w:val="003C5B6C"/>
    <w:rsid w:val="003C60CA"/>
    <w:rsid w:val="003C60DE"/>
    <w:rsid w:val="003C61DF"/>
    <w:rsid w:val="003C6208"/>
    <w:rsid w:val="003C6300"/>
    <w:rsid w:val="003C6A29"/>
    <w:rsid w:val="003C6C57"/>
    <w:rsid w:val="003C6F37"/>
    <w:rsid w:val="003C7712"/>
    <w:rsid w:val="003C79CA"/>
    <w:rsid w:val="003C7A2F"/>
    <w:rsid w:val="003C7DA0"/>
    <w:rsid w:val="003C7E18"/>
    <w:rsid w:val="003C7ED8"/>
    <w:rsid w:val="003C7FF2"/>
    <w:rsid w:val="003D0127"/>
    <w:rsid w:val="003D01DD"/>
    <w:rsid w:val="003D026F"/>
    <w:rsid w:val="003D037F"/>
    <w:rsid w:val="003D0A81"/>
    <w:rsid w:val="003D0B35"/>
    <w:rsid w:val="003D0EE1"/>
    <w:rsid w:val="003D1067"/>
    <w:rsid w:val="003D1B10"/>
    <w:rsid w:val="003D1C58"/>
    <w:rsid w:val="003D1D95"/>
    <w:rsid w:val="003D20EA"/>
    <w:rsid w:val="003D2927"/>
    <w:rsid w:val="003D292E"/>
    <w:rsid w:val="003D2B2C"/>
    <w:rsid w:val="003D2C40"/>
    <w:rsid w:val="003D2F12"/>
    <w:rsid w:val="003D3034"/>
    <w:rsid w:val="003D3055"/>
    <w:rsid w:val="003D3076"/>
    <w:rsid w:val="003D3165"/>
    <w:rsid w:val="003D3369"/>
    <w:rsid w:val="003D386D"/>
    <w:rsid w:val="003D3A34"/>
    <w:rsid w:val="003D3D47"/>
    <w:rsid w:val="003D41EA"/>
    <w:rsid w:val="003D4377"/>
    <w:rsid w:val="003D4385"/>
    <w:rsid w:val="003D451F"/>
    <w:rsid w:val="003D45ED"/>
    <w:rsid w:val="003D46DA"/>
    <w:rsid w:val="003D4C8E"/>
    <w:rsid w:val="003D4DEB"/>
    <w:rsid w:val="003D4F54"/>
    <w:rsid w:val="003D51A0"/>
    <w:rsid w:val="003D59BD"/>
    <w:rsid w:val="003D5D1A"/>
    <w:rsid w:val="003D688E"/>
    <w:rsid w:val="003D68BA"/>
    <w:rsid w:val="003D77E1"/>
    <w:rsid w:val="003D793B"/>
    <w:rsid w:val="003D7943"/>
    <w:rsid w:val="003D7BDB"/>
    <w:rsid w:val="003E017A"/>
    <w:rsid w:val="003E01F3"/>
    <w:rsid w:val="003E01F6"/>
    <w:rsid w:val="003E02EB"/>
    <w:rsid w:val="003E0338"/>
    <w:rsid w:val="003E04B0"/>
    <w:rsid w:val="003E05C7"/>
    <w:rsid w:val="003E0929"/>
    <w:rsid w:val="003E0DF4"/>
    <w:rsid w:val="003E15C2"/>
    <w:rsid w:val="003E1790"/>
    <w:rsid w:val="003E192C"/>
    <w:rsid w:val="003E1945"/>
    <w:rsid w:val="003E1AAE"/>
    <w:rsid w:val="003E1ABD"/>
    <w:rsid w:val="003E20FA"/>
    <w:rsid w:val="003E2218"/>
    <w:rsid w:val="003E2354"/>
    <w:rsid w:val="003E23AD"/>
    <w:rsid w:val="003E26A4"/>
    <w:rsid w:val="003E2C07"/>
    <w:rsid w:val="003E325A"/>
    <w:rsid w:val="003E39F6"/>
    <w:rsid w:val="003E3BEF"/>
    <w:rsid w:val="003E3D2F"/>
    <w:rsid w:val="003E403C"/>
    <w:rsid w:val="003E42BD"/>
    <w:rsid w:val="003E4714"/>
    <w:rsid w:val="003E48C2"/>
    <w:rsid w:val="003E4F5A"/>
    <w:rsid w:val="003E50FA"/>
    <w:rsid w:val="003E5145"/>
    <w:rsid w:val="003E53C5"/>
    <w:rsid w:val="003E5478"/>
    <w:rsid w:val="003E5720"/>
    <w:rsid w:val="003E57C1"/>
    <w:rsid w:val="003E5CCE"/>
    <w:rsid w:val="003E5E05"/>
    <w:rsid w:val="003E5E98"/>
    <w:rsid w:val="003E5F7F"/>
    <w:rsid w:val="003E61AD"/>
    <w:rsid w:val="003E622C"/>
    <w:rsid w:val="003E64BC"/>
    <w:rsid w:val="003E672D"/>
    <w:rsid w:val="003E69CD"/>
    <w:rsid w:val="003E6D7B"/>
    <w:rsid w:val="003E7158"/>
    <w:rsid w:val="003E71BC"/>
    <w:rsid w:val="003E752F"/>
    <w:rsid w:val="003E75E9"/>
    <w:rsid w:val="003E789B"/>
    <w:rsid w:val="003E794C"/>
    <w:rsid w:val="003E7A84"/>
    <w:rsid w:val="003E7C95"/>
    <w:rsid w:val="003F060F"/>
    <w:rsid w:val="003F069A"/>
    <w:rsid w:val="003F079C"/>
    <w:rsid w:val="003F0C5E"/>
    <w:rsid w:val="003F0CAD"/>
    <w:rsid w:val="003F0E38"/>
    <w:rsid w:val="003F0E4B"/>
    <w:rsid w:val="003F0F8E"/>
    <w:rsid w:val="003F1948"/>
    <w:rsid w:val="003F1A3D"/>
    <w:rsid w:val="003F1C0D"/>
    <w:rsid w:val="003F1D33"/>
    <w:rsid w:val="003F1E29"/>
    <w:rsid w:val="003F2130"/>
    <w:rsid w:val="003F22A2"/>
    <w:rsid w:val="003F22C6"/>
    <w:rsid w:val="003F232C"/>
    <w:rsid w:val="003F239E"/>
    <w:rsid w:val="003F25F6"/>
    <w:rsid w:val="003F276F"/>
    <w:rsid w:val="003F2826"/>
    <w:rsid w:val="003F2C4A"/>
    <w:rsid w:val="003F2DD5"/>
    <w:rsid w:val="003F3AC9"/>
    <w:rsid w:val="003F3B8A"/>
    <w:rsid w:val="003F3F0B"/>
    <w:rsid w:val="003F3F23"/>
    <w:rsid w:val="003F42BF"/>
    <w:rsid w:val="003F4329"/>
    <w:rsid w:val="003F439D"/>
    <w:rsid w:val="003F4685"/>
    <w:rsid w:val="003F469E"/>
    <w:rsid w:val="003F47A5"/>
    <w:rsid w:val="003F4BE3"/>
    <w:rsid w:val="003F4EB9"/>
    <w:rsid w:val="003F5071"/>
    <w:rsid w:val="003F5285"/>
    <w:rsid w:val="003F5429"/>
    <w:rsid w:val="003F5478"/>
    <w:rsid w:val="003F555A"/>
    <w:rsid w:val="003F5A58"/>
    <w:rsid w:val="003F5A61"/>
    <w:rsid w:val="003F5AE1"/>
    <w:rsid w:val="003F5CF5"/>
    <w:rsid w:val="003F626C"/>
    <w:rsid w:val="003F6270"/>
    <w:rsid w:val="003F6564"/>
    <w:rsid w:val="003F657C"/>
    <w:rsid w:val="003F690C"/>
    <w:rsid w:val="003F6C70"/>
    <w:rsid w:val="003F6E24"/>
    <w:rsid w:val="003F719E"/>
    <w:rsid w:val="003F757F"/>
    <w:rsid w:val="003F7862"/>
    <w:rsid w:val="003F7C51"/>
    <w:rsid w:val="003F7F23"/>
    <w:rsid w:val="00400067"/>
    <w:rsid w:val="004003F8"/>
    <w:rsid w:val="00400615"/>
    <w:rsid w:val="004006F7"/>
    <w:rsid w:val="004007A2"/>
    <w:rsid w:val="00400EC5"/>
    <w:rsid w:val="004012D6"/>
    <w:rsid w:val="00401331"/>
    <w:rsid w:val="004013B1"/>
    <w:rsid w:val="004019E2"/>
    <w:rsid w:val="00401B34"/>
    <w:rsid w:val="00401DF0"/>
    <w:rsid w:val="00401E09"/>
    <w:rsid w:val="00401EE5"/>
    <w:rsid w:val="0040232B"/>
    <w:rsid w:val="00402341"/>
    <w:rsid w:val="00402996"/>
    <w:rsid w:val="00402B7F"/>
    <w:rsid w:val="00402C0D"/>
    <w:rsid w:val="00402E98"/>
    <w:rsid w:val="004032A1"/>
    <w:rsid w:val="00403480"/>
    <w:rsid w:val="00403709"/>
    <w:rsid w:val="00403FA6"/>
    <w:rsid w:val="00403FAB"/>
    <w:rsid w:val="004041A1"/>
    <w:rsid w:val="004044BF"/>
    <w:rsid w:val="00404660"/>
    <w:rsid w:val="0040488B"/>
    <w:rsid w:val="00404CC1"/>
    <w:rsid w:val="00404D26"/>
    <w:rsid w:val="00404E3B"/>
    <w:rsid w:val="00404E68"/>
    <w:rsid w:val="004050EC"/>
    <w:rsid w:val="004052F8"/>
    <w:rsid w:val="004055D8"/>
    <w:rsid w:val="004059BD"/>
    <w:rsid w:val="00405AD2"/>
    <w:rsid w:val="00405D38"/>
    <w:rsid w:val="00405D6A"/>
    <w:rsid w:val="00405E0B"/>
    <w:rsid w:val="00405EFF"/>
    <w:rsid w:val="004061BE"/>
    <w:rsid w:val="00406500"/>
    <w:rsid w:val="0040699A"/>
    <w:rsid w:val="00406ABE"/>
    <w:rsid w:val="00406F90"/>
    <w:rsid w:val="00407657"/>
    <w:rsid w:val="004078D1"/>
    <w:rsid w:val="00407E2D"/>
    <w:rsid w:val="00410194"/>
    <w:rsid w:val="00410208"/>
    <w:rsid w:val="00410603"/>
    <w:rsid w:val="00410767"/>
    <w:rsid w:val="004109EC"/>
    <w:rsid w:val="00410A5B"/>
    <w:rsid w:val="004114C6"/>
    <w:rsid w:val="00411848"/>
    <w:rsid w:val="00411876"/>
    <w:rsid w:val="00411FB5"/>
    <w:rsid w:val="004121F9"/>
    <w:rsid w:val="004124CC"/>
    <w:rsid w:val="00412534"/>
    <w:rsid w:val="00412C2B"/>
    <w:rsid w:val="00412C83"/>
    <w:rsid w:val="00412EE2"/>
    <w:rsid w:val="00412EF4"/>
    <w:rsid w:val="00413568"/>
    <w:rsid w:val="00413700"/>
    <w:rsid w:val="00413748"/>
    <w:rsid w:val="00413930"/>
    <w:rsid w:val="00414074"/>
    <w:rsid w:val="004142BA"/>
    <w:rsid w:val="004145E7"/>
    <w:rsid w:val="00414656"/>
    <w:rsid w:val="00415209"/>
    <w:rsid w:val="00415394"/>
    <w:rsid w:val="004155E8"/>
    <w:rsid w:val="00415874"/>
    <w:rsid w:val="00415C0E"/>
    <w:rsid w:val="00415D81"/>
    <w:rsid w:val="00415E75"/>
    <w:rsid w:val="0041668E"/>
    <w:rsid w:val="004166E3"/>
    <w:rsid w:val="00416876"/>
    <w:rsid w:val="004168C5"/>
    <w:rsid w:val="004172B6"/>
    <w:rsid w:val="004177AF"/>
    <w:rsid w:val="004177D8"/>
    <w:rsid w:val="00417918"/>
    <w:rsid w:val="004179D5"/>
    <w:rsid w:val="004206EA"/>
    <w:rsid w:val="00420B54"/>
    <w:rsid w:val="00420D29"/>
    <w:rsid w:val="004213AC"/>
    <w:rsid w:val="004216E4"/>
    <w:rsid w:val="00421914"/>
    <w:rsid w:val="00421C88"/>
    <w:rsid w:val="00421C9C"/>
    <w:rsid w:val="00421D9B"/>
    <w:rsid w:val="00422077"/>
    <w:rsid w:val="004220F1"/>
    <w:rsid w:val="0042219F"/>
    <w:rsid w:val="0042234E"/>
    <w:rsid w:val="004224CC"/>
    <w:rsid w:val="004225E1"/>
    <w:rsid w:val="004229BA"/>
    <w:rsid w:val="00422B46"/>
    <w:rsid w:val="00422E46"/>
    <w:rsid w:val="00423064"/>
    <w:rsid w:val="00423117"/>
    <w:rsid w:val="0042317B"/>
    <w:rsid w:val="00423275"/>
    <w:rsid w:val="00423AE4"/>
    <w:rsid w:val="00423CFB"/>
    <w:rsid w:val="00423EC9"/>
    <w:rsid w:val="00424074"/>
    <w:rsid w:val="0042412F"/>
    <w:rsid w:val="0042415F"/>
    <w:rsid w:val="00424390"/>
    <w:rsid w:val="004248D6"/>
    <w:rsid w:val="00424A8E"/>
    <w:rsid w:val="00424C49"/>
    <w:rsid w:val="00424DE6"/>
    <w:rsid w:val="00424E8A"/>
    <w:rsid w:val="00425036"/>
    <w:rsid w:val="00425099"/>
    <w:rsid w:val="004250A6"/>
    <w:rsid w:val="004253E0"/>
    <w:rsid w:val="00425802"/>
    <w:rsid w:val="00425B73"/>
    <w:rsid w:val="00425C1A"/>
    <w:rsid w:val="00425EBF"/>
    <w:rsid w:val="00426014"/>
    <w:rsid w:val="0042603A"/>
    <w:rsid w:val="004260AA"/>
    <w:rsid w:val="00426209"/>
    <w:rsid w:val="004263A4"/>
    <w:rsid w:val="0042670C"/>
    <w:rsid w:val="00426925"/>
    <w:rsid w:val="0042693F"/>
    <w:rsid w:val="00426C76"/>
    <w:rsid w:val="00426ED0"/>
    <w:rsid w:val="00427119"/>
    <w:rsid w:val="004271D5"/>
    <w:rsid w:val="00427502"/>
    <w:rsid w:val="004275C5"/>
    <w:rsid w:val="004279C8"/>
    <w:rsid w:val="00427A09"/>
    <w:rsid w:val="00427C84"/>
    <w:rsid w:val="00427C94"/>
    <w:rsid w:val="00427D38"/>
    <w:rsid w:val="00430090"/>
    <w:rsid w:val="00430693"/>
    <w:rsid w:val="00430A38"/>
    <w:rsid w:val="00430DB8"/>
    <w:rsid w:val="00430DED"/>
    <w:rsid w:val="004312AE"/>
    <w:rsid w:val="00431306"/>
    <w:rsid w:val="004313F3"/>
    <w:rsid w:val="00431518"/>
    <w:rsid w:val="0043154A"/>
    <w:rsid w:val="00431867"/>
    <w:rsid w:val="004318E5"/>
    <w:rsid w:val="0043203E"/>
    <w:rsid w:val="0043291D"/>
    <w:rsid w:val="00432924"/>
    <w:rsid w:val="00432975"/>
    <w:rsid w:val="00432A6E"/>
    <w:rsid w:val="00432B69"/>
    <w:rsid w:val="00433E92"/>
    <w:rsid w:val="0043432C"/>
    <w:rsid w:val="00434406"/>
    <w:rsid w:val="0043447C"/>
    <w:rsid w:val="00434540"/>
    <w:rsid w:val="00434665"/>
    <w:rsid w:val="004347C7"/>
    <w:rsid w:val="00434A7C"/>
    <w:rsid w:val="00435078"/>
    <w:rsid w:val="004353DA"/>
    <w:rsid w:val="004353E2"/>
    <w:rsid w:val="00435499"/>
    <w:rsid w:val="00435AF7"/>
    <w:rsid w:val="00435D1F"/>
    <w:rsid w:val="00435D2F"/>
    <w:rsid w:val="004362EB"/>
    <w:rsid w:val="00436486"/>
    <w:rsid w:val="00436B5D"/>
    <w:rsid w:val="00436E63"/>
    <w:rsid w:val="00436E7C"/>
    <w:rsid w:val="004372FD"/>
    <w:rsid w:val="00437341"/>
    <w:rsid w:val="004373E6"/>
    <w:rsid w:val="004373F1"/>
    <w:rsid w:val="0043741A"/>
    <w:rsid w:val="00437485"/>
    <w:rsid w:val="004374F7"/>
    <w:rsid w:val="00437566"/>
    <w:rsid w:val="0043798C"/>
    <w:rsid w:val="00437BCC"/>
    <w:rsid w:val="0044018B"/>
    <w:rsid w:val="004406C3"/>
    <w:rsid w:val="0044071E"/>
    <w:rsid w:val="004409FD"/>
    <w:rsid w:val="00440B4D"/>
    <w:rsid w:val="004424DD"/>
    <w:rsid w:val="004425FB"/>
    <w:rsid w:val="00442830"/>
    <w:rsid w:val="00442C48"/>
    <w:rsid w:val="0044325E"/>
    <w:rsid w:val="00443443"/>
    <w:rsid w:val="00443708"/>
    <w:rsid w:val="00443B87"/>
    <w:rsid w:val="00443C6E"/>
    <w:rsid w:val="00443DA0"/>
    <w:rsid w:val="00444052"/>
    <w:rsid w:val="0044467A"/>
    <w:rsid w:val="00444904"/>
    <w:rsid w:val="00444A3F"/>
    <w:rsid w:val="00444BAC"/>
    <w:rsid w:val="00444F92"/>
    <w:rsid w:val="00444FD9"/>
    <w:rsid w:val="00445005"/>
    <w:rsid w:val="0044538D"/>
    <w:rsid w:val="004453BD"/>
    <w:rsid w:val="004454DB"/>
    <w:rsid w:val="004456D2"/>
    <w:rsid w:val="004456F4"/>
    <w:rsid w:val="00445926"/>
    <w:rsid w:val="00445AB5"/>
    <w:rsid w:val="00445D7B"/>
    <w:rsid w:val="00446072"/>
    <w:rsid w:val="004460D0"/>
    <w:rsid w:val="0044617E"/>
    <w:rsid w:val="00446776"/>
    <w:rsid w:val="004468C4"/>
    <w:rsid w:val="00446E4F"/>
    <w:rsid w:val="00446F2C"/>
    <w:rsid w:val="0044701C"/>
    <w:rsid w:val="004473A9"/>
    <w:rsid w:val="004475C8"/>
    <w:rsid w:val="004475F5"/>
    <w:rsid w:val="00447746"/>
    <w:rsid w:val="004477FA"/>
    <w:rsid w:val="00447C94"/>
    <w:rsid w:val="00447CAA"/>
    <w:rsid w:val="00447DC8"/>
    <w:rsid w:val="004500E2"/>
    <w:rsid w:val="00450643"/>
    <w:rsid w:val="00450739"/>
    <w:rsid w:val="00450AE1"/>
    <w:rsid w:val="00450C2E"/>
    <w:rsid w:val="00451301"/>
    <w:rsid w:val="004513FB"/>
    <w:rsid w:val="00451721"/>
    <w:rsid w:val="00451B45"/>
    <w:rsid w:val="00451C42"/>
    <w:rsid w:val="00451E08"/>
    <w:rsid w:val="00451F4E"/>
    <w:rsid w:val="00452191"/>
    <w:rsid w:val="0045233A"/>
    <w:rsid w:val="004523F3"/>
    <w:rsid w:val="004524D7"/>
    <w:rsid w:val="00453033"/>
    <w:rsid w:val="0045340D"/>
    <w:rsid w:val="00453506"/>
    <w:rsid w:val="00453727"/>
    <w:rsid w:val="00453B7B"/>
    <w:rsid w:val="00453BA6"/>
    <w:rsid w:val="00453C86"/>
    <w:rsid w:val="00453CC0"/>
    <w:rsid w:val="00453D41"/>
    <w:rsid w:val="0045461D"/>
    <w:rsid w:val="004546E8"/>
    <w:rsid w:val="004547E1"/>
    <w:rsid w:val="0045481C"/>
    <w:rsid w:val="00454877"/>
    <w:rsid w:val="00454892"/>
    <w:rsid w:val="00454B85"/>
    <w:rsid w:val="00454C4D"/>
    <w:rsid w:val="00454C71"/>
    <w:rsid w:val="00455146"/>
    <w:rsid w:val="0045516F"/>
    <w:rsid w:val="00455548"/>
    <w:rsid w:val="00455653"/>
    <w:rsid w:val="0045582E"/>
    <w:rsid w:val="0045646E"/>
    <w:rsid w:val="004565E1"/>
    <w:rsid w:val="0045668E"/>
    <w:rsid w:val="004566A8"/>
    <w:rsid w:val="00456768"/>
    <w:rsid w:val="00456B48"/>
    <w:rsid w:val="00456D38"/>
    <w:rsid w:val="00456DF9"/>
    <w:rsid w:val="00457125"/>
    <w:rsid w:val="00457398"/>
    <w:rsid w:val="00457404"/>
    <w:rsid w:val="00457634"/>
    <w:rsid w:val="004576A7"/>
    <w:rsid w:val="004576E0"/>
    <w:rsid w:val="00457831"/>
    <w:rsid w:val="00457C87"/>
    <w:rsid w:val="00457F36"/>
    <w:rsid w:val="00460393"/>
    <w:rsid w:val="00460B7D"/>
    <w:rsid w:val="00460BBF"/>
    <w:rsid w:val="00460F06"/>
    <w:rsid w:val="00460F3A"/>
    <w:rsid w:val="0046158C"/>
    <w:rsid w:val="00461756"/>
    <w:rsid w:val="004619FC"/>
    <w:rsid w:val="00461A44"/>
    <w:rsid w:val="00461AD8"/>
    <w:rsid w:val="00461E6E"/>
    <w:rsid w:val="00462360"/>
    <w:rsid w:val="00462547"/>
    <w:rsid w:val="0046267C"/>
    <w:rsid w:val="00462B08"/>
    <w:rsid w:val="00462B84"/>
    <w:rsid w:val="00462BEC"/>
    <w:rsid w:val="00462D41"/>
    <w:rsid w:val="00462F4D"/>
    <w:rsid w:val="00463A0A"/>
    <w:rsid w:val="00463ADF"/>
    <w:rsid w:val="00463C0F"/>
    <w:rsid w:val="00463D02"/>
    <w:rsid w:val="00464067"/>
    <w:rsid w:val="0046413A"/>
    <w:rsid w:val="004641C8"/>
    <w:rsid w:val="0046425A"/>
    <w:rsid w:val="00464442"/>
    <w:rsid w:val="00464787"/>
    <w:rsid w:val="00464A28"/>
    <w:rsid w:val="00464B8F"/>
    <w:rsid w:val="00464C39"/>
    <w:rsid w:val="004651EF"/>
    <w:rsid w:val="004653B9"/>
    <w:rsid w:val="004653BC"/>
    <w:rsid w:val="00465B2E"/>
    <w:rsid w:val="00465DFD"/>
    <w:rsid w:val="004667E0"/>
    <w:rsid w:val="00466847"/>
    <w:rsid w:val="00466C66"/>
    <w:rsid w:val="00466EF3"/>
    <w:rsid w:val="004670D8"/>
    <w:rsid w:val="004671E6"/>
    <w:rsid w:val="00467235"/>
    <w:rsid w:val="00467337"/>
    <w:rsid w:val="0046736B"/>
    <w:rsid w:val="004674F6"/>
    <w:rsid w:val="004678C3"/>
    <w:rsid w:val="004679DE"/>
    <w:rsid w:val="00467E5A"/>
    <w:rsid w:val="00467F55"/>
    <w:rsid w:val="0047013A"/>
    <w:rsid w:val="00470391"/>
    <w:rsid w:val="004705FE"/>
    <w:rsid w:val="004708AC"/>
    <w:rsid w:val="00470CA7"/>
    <w:rsid w:val="00470CD8"/>
    <w:rsid w:val="00470D9D"/>
    <w:rsid w:val="00470EE0"/>
    <w:rsid w:val="004710E6"/>
    <w:rsid w:val="00471214"/>
    <w:rsid w:val="004715C3"/>
    <w:rsid w:val="00471854"/>
    <w:rsid w:val="0047189A"/>
    <w:rsid w:val="004718B5"/>
    <w:rsid w:val="00471963"/>
    <w:rsid w:val="004719A7"/>
    <w:rsid w:val="00471AED"/>
    <w:rsid w:val="00471AF2"/>
    <w:rsid w:val="00471B82"/>
    <w:rsid w:val="004721A0"/>
    <w:rsid w:val="00472254"/>
    <w:rsid w:val="00472701"/>
    <w:rsid w:val="004728EC"/>
    <w:rsid w:val="00472B42"/>
    <w:rsid w:val="00472D22"/>
    <w:rsid w:val="00472F64"/>
    <w:rsid w:val="00473523"/>
    <w:rsid w:val="004735EE"/>
    <w:rsid w:val="00473689"/>
    <w:rsid w:val="00473763"/>
    <w:rsid w:val="004738C2"/>
    <w:rsid w:val="00473ACB"/>
    <w:rsid w:val="00473C95"/>
    <w:rsid w:val="00473D9D"/>
    <w:rsid w:val="004743CE"/>
    <w:rsid w:val="00474473"/>
    <w:rsid w:val="00474628"/>
    <w:rsid w:val="00474A1A"/>
    <w:rsid w:val="00474A3E"/>
    <w:rsid w:val="00474E2C"/>
    <w:rsid w:val="004757E8"/>
    <w:rsid w:val="00475873"/>
    <w:rsid w:val="00475950"/>
    <w:rsid w:val="00475ADC"/>
    <w:rsid w:val="00475B9E"/>
    <w:rsid w:val="00475E6D"/>
    <w:rsid w:val="0047601D"/>
    <w:rsid w:val="004766F3"/>
    <w:rsid w:val="00476736"/>
    <w:rsid w:val="00476B29"/>
    <w:rsid w:val="00476B8A"/>
    <w:rsid w:val="00476E11"/>
    <w:rsid w:val="00477198"/>
    <w:rsid w:val="0048006C"/>
    <w:rsid w:val="004801F2"/>
    <w:rsid w:val="004807F6"/>
    <w:rsid w:val="00480CB0"/>
    <w:rsid w:val="00480DFC"/>
    <w:rsid w:val="0048118F"/>
    <w:rsid w:val="004812E3"/>
    <w:rsid w:val="0048130E"/>
    <w:rsid w:val="004813F3"/>
    <w:rsid w:val="0048172A"/>
    <w:rsid w:val="004818C9"/>
    <w:rsid w:val="004819A2"/>
    <w:rsid w:val="00481F2B"/>
    <w:rsid w:val="004825B5"/>
    <w:rsid w:val="004829EB"/>
    <w:rsid w:val="00482A0B"/>
    <w:rsid w:val="00482CF6"/>
    <w:rsid w:val="00482EAC"/>
    <w:rsid w:val="00483078"/>
    <w:rsid w:val="00483182"/>
    <w:rsid w:val="0048319A"/>
    <w:rsid w:val="0048328F"/>
    <w:rsid w:val="00483506"/>
    <w:rsid w:val="00483623"/>
    <w:rsid w:val="00483C98"/>
    <w:rsid w:val="00483CC8"/>
    <w:rsid w:val="00483E0E"/>
    <w:rsid w:val="00483EE6"/>
    <w:rsid w:val="00484707"/>
    <w:rsid w:val="00484784"/>
    <w:rsid w:val="00484817"/>
    <w:rsid w:val="00484842"/>
    <w:rsid w:val="00484920"/>
    <w:rsid w:val="00484ADA"/>
    <w:rsid w:val="00484C67"/>
    <w:rsid w:val="00484CF7"/>
    <w:rsid w:val="00484DA2"/>
    <w:rsid w:val="00484DED"/>
    <w:rsid w:val="00484FDC"/>
    <w:rsid w:val="004851B8"/>
    <w:rsid w:val="00485268"/>
    <w:rsid w:val="004852C9"/>
    <w:rsid w:val="004852E9"/>
    <w:rsid w:val="00485AE6"/>
    <w:rsid w:val="00485BF2"/>
    <w:rsid w:val="004861CE"/>
    <w:rsid w:val="004866FD"/>
    <w:rsid w:val="00486854"/>
    <w:rsid w:val="004868C1"/>
    <w:rsid w:val="0048690E"/>
    <w:rsid w:val="00486E10"/>
    <w:rsid w:val="0048701E"/>
    <w:rsid w:val="004871BC"/>
    <w:rsid w:val="0048720B"/>
    <w:rsid w:val="00487267"/>
    <w:rsid w:val="00487374"/>
    <w:rsid w:val="004873D8"/>
    <w:rsid w:val="0048755F"/>
    <w:rsid w:val="00487635"/>
    <w:rsid w:val="004878DF"/>
    <w:rsid w:val="004907A6"/>
    <w:rsid w:val="00491209"/>
    <w:rsid w:val="00491245"/>
    <w:rsid w:val="004913FB"/>
    <w:rsid w:val="00491544"/>
    <w:rsid w:val="0049157F"/>
    <w:rsid w:val="00491583"/>
    <w:rsid w:val="00491876"/>
    <w:rsid w:val="004919A6"/>
    <w:rsid w:val="004919D8"/>
    <w:rsid w:val="00491A15"/>
    <w:rsid w:val="00491ACB"/>
    <w:rsid w:val="00491D2F"/>
    <w:rsid w:val="00491EF4"/>
    <w:rsid w:val="00492234"/>
    <w:rsid w:val="004927BF"/>
    <w:rsid w:val="0049287A"/>
    <w:rsid w:val="00492E5A"/>
    <w:rsid w:val="0049307A"/>
    <w:rsid w:val="004931FA"/>
    <w:rsid w:val="00493253"/>
    <w:rsid w:val="004932C5"/>
    <w:rsid w:val="00493441"/>
    <w:rsid w:val="00493446"/>
    <w:rsid w:val="0049384C"/>
    <w:rsid w:val="00493D02"/>
    <w:rsid w:val="00493F20"/>
    <w:rsid w:val="004942D8"/>
    <w:rsid w:val="004944A6"/>
    <w:rsid w:val="004947B3"/>
    <w:rsid w:val="004949AD"/>
    <w:rsid w:val="004949D7"/>
    <w:rsid w:val="00494E70"/>
    <w:rsid w:val="00494F75"/>
    <w:rsid w:val="004957E9"/>
    <w:rsid w:val="00495882"/>
    <w:rsid w:val="004958C1"/>
    <w:rsid w:val="00495994"/>
    <w:rsid w:val="004960A9"/>
    <w:rsid w:val="0049613A"/>
    <w:rsid w:val="004963F7"/>
    <w:rsid w:val="0049666F"/>
    <w:rsid w:val="0049667C"/>
    <w:rsid w:val="004966C6"/>
    <w:rsid w:val="004967ED"/>
    <w:rsid w:val="0049683C"/>
    <w:rsid w:val="0049688E"/>
    <w:rsid w:val="00496B82"/>
    <w:rsid w:val="00496C73"/>
    <w:rsid w:val="00496D0F"/>
    <w:rsid w:val="00496F92"/>
    <w:rsid w:val="004977E0"/>
    <w:rsid w:val="00497AD9"/>
    <w:rsid w:val="00497CE6"/>
    <w:rsid w:val="00497E82"/>
    <w:rsid w:val="00497FB8"/>
    <w:rsid w:val="004A0218"/>
    <w:rsid w:val="004A0630"/>
    <w:rsid w:val="004A0815"/>
    <w:rsid w:val="004A09AE"/>
    <w:rsid w:val="004A09F8"/>
    <w:rsid w:val="004A0BCA"/>
    <w:rsid w:val="004A0CE9"/>
    <w:rsid w:val="004A1123"/>
    <w:rsid w:val="004A12B3"/>
    <w:rsid w:val="004A1737"/>
    <w:rsid w:val="004A215F"/>
    <w:rsid w:val="004A230D"/>
    <w:rsid w:val="004A2450"/>
    <w:rsid w:val="004A25B6"/>
    <w:rsid w:val="004A28E9"/>
    <w:rsid w:val="004A2969"/>
    <w:rsid w:val="004A2EEF"/>
    <w:rsid w:val="004A33D6"/>
    <w:rsid w:val="004A3930"/>
    <w:rsid w:val="004A4205"/>
    <w:rsid w:val="004A444B"/>
    <w:rsid w:val="004A4471"/>
    <w:rsid w:val="004A4771"/>
    <w:rsid w:val="004A4957"/>
    <w:rsid w:val="004A4C73"/>
    <w:rsid w:val="004A4EF1"/>
    <w:rsid w:val="004A5010"/>
    <w:rsid w:val="004A5083"/>
    <w:rsid w:val="004A51B6"/>
    <w:rsid w:val="004A57F6"/>
    <w:rsid w:val="004A5844"/>
    <w:rsid w:val="004A5D41"/>
    <w:rsid w:val="004A5EB4"/>
    <w:rsid w:val="004A6086"/>
    <w:rsid w:val="004A60B4"/>
    <w:rsid w:val="004A616B"/>
    <w:rsid w:val="004A6952"/>
    <w:rsid w:val="004A6CC6"/>
    <w:rsid w:val="004A6F89"/>
    <w:rsid w:val="004A72A6"/>
    <w:rsid w:val="004A74C9"/>
    <w:rsid w:val="004A7AAB"/>
    <w:rsid w:val="004A7D51"/>
    <w:rsid w:val="004A7DF3"/>
    <w:rsid w:val="004B0347"/>
    <w:rsid w:val="004B0566"/>
    <w:rsid w:val="004B067D"/>
    <w:rsid w:val="004B0737"/>
    <w:rsid w:val="004B0D29"/>
    <w:rsid w:val="004B0D7F"/>
    <w:rsid w:val="004B0DEF"/>
    <w:rsid w:val="004B12A7"/>
    <w:rsid w:val="004B143A"/>
    <w:rsid w:val="004B14D7"/>
    <w:rsid w:val="004B1815"/>
    <w:rsid w:val="004B1B06"/>
    <w:rsid w:val="004B1C87"/>
    <w:rsid w:val="004B24D3"/>
    <w:rsid w:val="004B34EA"/>
    <w:rsid w:val="004B384A"/>
    <w:rsid w:val="004B3A87"/>
    <w:rsid w:val="004B3AA1"/>
    <w:rsid w:val="004B3D62"/>
    <w:rsid w:val="004B40B7"/>
    <w:rsid w:val="004B4497"/>
    <w:rsid w:val="004B47EE"/>
    <w:rsid w:val="004B4C9C"/>
    <w:rsid w:val="004B51A9"/>
    <w:rsid w:val="004B5235"/>
    <w:rsid w:val="004B524D"/>
    <w:rsid w:val="004B52A9"/>
    <w:rsid w:val="004B5494"/>
    <w:rsid w:val="004B5B4A"/>
    <w:rsid w:val="004B5B76"/>
    <w:rsid w:val="004B5D77"/>
    <w:rsid w:val="004B6051"/>
    <w:rsid w:val="004B6A97"/>
    <w:rsid w:val="004B6AF6"/>
    <w:rsid w:val="004B6B4C"/>
    <w:rsid w:val="004B6D1D"/>
    <w:rsid w:val="004B75AE"/>
    <w:rsid w:val="004B772F"/>
    <w:rsid w:val="004B77D5"/>
    <w:rsid w:val="004B785C"/>
    <w:rsid w:val="004B7929"/>
    <w:rsid w:val="004B7A05"/>
    <w:rsid w:val="004B7DEB"/>
    <w:rsid w:val="004B7F80"/>
    <w:rsid w:val="004C0350"/>
    <w:rsid w:val="004C070F"/>
    <w:rsid w:val="004C078D"/>
    <w:rsid w:val="004C0C58"/>
    <w:rsid w:val="004C0C62"/>
    <w:rsid w:val="004C0CCD"/>
    <w:rsid w:val="004C0D53"/>
    <w:rsid w:val="004C14C1"/>
    <w:rsid w:val="004C1546"/>
    <w:rsid w:val="004C1602"/>
    <w:rsid w:val="004C17AD"/>
    <w:rsid w:val="004C1820"/>
    <w:rsid w:val="004C19F7"/>
    <w:rsid w:val="004C1B79"/>
    <w:rsid w:val="004C1C49"/>
    <w:rsid w:val="004C1DBB"/>
    <w:rsid w:val="004C25A8"/>
    <w:rsid w:val="004C28EA"/>
    <w:rsid w:val="004C2A39"/>
    <w:rsid w:val="004C328E"/>
    <w:rsid w:val="004C331B"/>
    <w:rsid w:val="004C34A7"/>
    <w:rsid w:val="004C37B1"/>
    <w:rsid w:val="004C3BC2"/>
    <w:rsid w:val="004C3F4F"/>
    <w:rsid w:val="004C442B"/>
    <w:rsid w:val="004C4663"/>
    <w:rsid w:val="004C52A5"/>
    <w:rsid w:val="004C59C6"/>
    <w:rsid w:val="004C5C71"/>
    <w:rsid w:val="004C5E05"/>
    <w:rsid w:val="004C5EEC"/>
    <w:rsid w:val="004C6039"/>
    <w:rsid w:val="004C6267"/>
    <w:rsid w:val="004C6669"/>
    <w:rsid w:val="004C6769"/>
    <w:rsid w:val="004C68A9"/>
    <w:rsid w:val="004C6926"/>
    <w:rsid w:val="004C6BDB"/>
    <w:rsid w:val="004C6E68"/>
    <w:rsid w:val="004C75D0"/>
    <w:rsid w:val="004C7688"/>
    <w:rsid w:val="004C7A2B"/>
    <w:rsid w:val="004C7B30"/>
    <w:rsid w:val="004C7BDB"/>
    <w:rsid w:val="004C7C83"/>
    <w:rsid w:val="004C7CDB"/>
    <w:rsid w:val="004C7D27"/>
    <w:rsid w:val="004C7D3A"/>
    <w:rsid w:val="004C7D61"/>
    <w:rsid w:val="004C7FAC"/>
    <w:rsid w:val="004C7FDA"/>
    <w:rsid w:val="004D01F2"/>
    <w:rsid w:val="004D021B"/>
    <w:rsid w:val="004D0A07"/>
    <w:rsid w:val="004D0BE6"/>
    <w:rsid w:val="004D15C1"/>
    <w:rsid w:val="004D1649"/>
    <w:rsid w:val="004D1B35"/>
    <w:rsid w:val="004D1D0F"/>
    <w:rsid w:val="004D1D6F"/>
    <w:rsid w:val="004D1DA8"/>
    <w:rsid w:val="004D20CF"/>
    <w:rsid w:val="004D21F4"/>
    <w:rsid w:val="004D2308"/>
    <w:rsid w:val="004D251B"/>
    <w:rsid w:val="004D2701"/>
    <w:rsid w:val="004D2928"/>
    <w:rsid w:val="004D2B0B"/>
    <w:rsid w:val="004D2C3C"/>
    <w:rsid w:val="004D2CC8"/>
    <w:rsid w:val="004D3242"/>
    <w:rsid w:val="004D326B"/>
    <w:rsid w:val="004D387D"/>
    <w:rsid w:val="004D3959"/>
    <w:rsid w:val="004D3CE9"/>
    <w:rsid w:val="004D3DD1"/>
    <w:rsid w:val="004D41C9"/>
    <w:rsid w:val="004D4250"/>
    <w:rsid w:val="004D43B7"/>
    <w:rsid w:val="004D456E"/>
    <w:rsid w:val="004D4846"/>
    <w:rsid w:val="004D4CD7"/>
    <w:rsid w:val="004D5249"/>
    <w:rsid w:val="004D533F"/>
    <w:rsid w:val="004D5864"/>
    <w:rsid w:val="004D58A5"/>
    <w:rsid w:val="004D58AB"/>
    <w:rsid w:val="004D5B64"/>
    <w:rsid w:val="004D62BE"/>
    <w:rsid w:val="004D6567"/>
    <w:rsid w:val="004D65C1"/>
    <w:rsid w:val="004D6D39"/>
    <w:rsid w:val="004D6D81"/>
    <w:rsid w:val="004D6E3F"/>
    <w:rsid w:val="004D6FBF"/>
    <w:rsid w:val="004D7110"/>
    <w:rsid w:val="004D7131"/>
    <w:rsid w:val="004D71AE"/>
    <w:rsid w:val="004D72B1"/>
    <w:rsid w:val="004D7591"/>
    <w:rsid w:val="004D79E8"/>
    <w:rsid w:val="004D7ADE"/>
    <w:rsid w:val="004D7D32"/>
    <w:rsid w:val="004D7D9B"/>
    <w:rsid w:val="004E0338"/>
    <w:rsid w:val="004E04C9"/>
    <w:rsid w:val="004E053E"/>
    <w:rsid w:val="004E0927"/>
    <w:rsid w:val="004E0A53"/>
    <w:rsid w:val="004E0C37"/>
    <w:rsid w:val="004E12AA"/>
    <w:rsid w:val="004E16B6"/>
    <w:rsid w:val="004E17E6"/>
    <w:rsid w:val="004E1AAD"/>
    <w:rsid w:val="004E1F1B"/>
    <w:rsid w:val="004E1FD1"/>
    <w:rsid w:val="004E2071"/>
    <w:rsid w:val="004E27A2"/>
    <w:rsid w:val="004E2AE8"/>
    <w:rsid w:val="004E2BA4"/>
    <w:rsid w:val="004E3194"/>
    <w:rsid w:val="004E319F"/>
    <w:rsid w:val="004E31A4"/>
    <w:rsid w:val="004E32DA"/>
    <w:rsid w:val="004E3CB9"/>
    <w:rsid w:val="004E3F23"/>
    <w:rsid w:val="004E4209"/>
    <w:rsid w:val="004E44A8"/>
    <w:rsid w:val="004E46BB"/>
    <w:rsid w:val="004E4765"/>
    <w:rsid w:val="004E4D95"/>
    <w:rsid w:val="004E50AA"/>
    <w:rsid w:val="004E53A0"/>
    <w:rsid w:val="004E55F7"/>
    <w:rsid w:val="004E5659"/>
    <w:rsid w:val="004E5C41"/>
    <w:rsid w:val="004E5D8C"/>
    <w:rsid w:val="004E5F32"/>
    <w:rsid w:val="004E61E8"/>
    <w:rsid w:val="004E6288"/>
    <w:rsid w:val="004E64B1"/>
    <w:rsid w:val="004E64CB"/>
    <w:rsid w:val="004E6549"/>
    <w:rsid w:val="004E65A4"/>
    <w:rsid w:val="004E65B9"/>
    <w:rsid w:val="004E697F"/>
    <w:rsid w:val="004E6A67"/>
    <w:rsid w:val="004E6B06"/>
    <w:rsid w:val="004E6F1A"/>
    <w:rsid w:val="004E70EC"/>
    <w:rsid w:val="004E70EF"/>
    <w:rsid w:val="004E7231"/>
    <w:rsid w:val="004E726C"/>
    <w:rsid w:val="004E74F7"/>
    <w:rsid w:val="004E77A8"/>
    <w:rsid w:val="004E7991"/>
    <w:rsid w:val="004E7B3E"/>
    <w:rsid w:val="004F02C2"/>
    <w:rsid w:val="004F030D"/>
    <w:rsid w:val="004F049D"/>
    <w:rsid w:val="004F058B"/>
    <w:rsid w:val="004F058E"/>
    <w:rsid w:val="004F086F"/>
    <w:rsid w:val="004F08BA"/>
    <w:rsid w:val="004F08CB"/>
    <w:rsid w:val="004F09B0"/>
    <w:rsid w:val="004F0BF6"/>
    <w:rsid w:val="004F0D4E"/>
    <w:rsid w:val="004F0F94"/>
    <w:rsid w:val="004F10F9"/>
    <w:rsid w:val="004F11A5"/>
    <w:rsid w:val="004F13E1"/>
    <w:rsid w:val="004F14FA"/>
    <w:rsid w:val="004F173E"/>
    <w:rsid w:val="004F1753"/>
    <w:rsid w:val="004F17CF"/>
    <w:rsid w:val="004F1BEA"/>
    <w:rsid w:val="004F1BF1"/>
    <w:rsid w:val="004F2768"/>
    <w:rsid w:val="004F28FE"/>
    <w:rsid w:val="004F2914"/>
    <w:rsid w:val="004F2927"/>
    <w:rsid w:val="004F2BBD"/>
    <w:rsid w:val="004F2E66"/>
    <w:rsid w:val="004F3644"/>
    <w:rsid w:val="004F36FB"/>
    <w:rsid w:val="004F386A"/>
    <w:rsid w:val="004F3ECD"/>
    <w:rsid w:val="004F3F8A"/>
    <w:rsid w:val="004F43B3"/>
    <w:rsid w:val="004F47B2"/>
    <w:rsid w:val="004F5171"/>
    <w:rsid w:val="004F5191"/>
    <w:rsid w:val="004F52AF"/>
    <w:rsid w:val="004F547E"/>
    <w:rsid w:val="004F55C4"/>
    <w:rsid w:val="004F5774"/>
    <w:rsid w:val="004F5A56"/>
    <w:rsid w:val="004F5D4C"/>
    <w:rsid w:val="004F5F1E"/>
    <w:rsid w:val="004F6034"/>
    <w:rsid w:val="004F6274"/>
    <w:rsid w:val="004F6482"/>
    <w:rsid w:val="004F65C2"/>
    <w:rsid w:val="004F65CA"/>
    <w:rsid w:val="004F69AE"/>
    <w:rsid w:val="004F69F5"/>
    <w:rsid w:val="004F6A05"/>
    <w:rsid w:val="004F6B65"/>
    <w:rsid w:val="004F6BC5"/>
    <w:rsid w:val="004F7138"/>
    <w:rsid w:val="004F71EC"/>
    <w:rsid w:val="004F743B"/>
    <w:rsid w:val="004F7ACB"/>
    <w:rsid w:val="0050000A"/>
    <w:rsid w:val="005004AF"/>
    <w:rsid w:val="005004F0"/>
    <w:rsid w:val="00500656"/>
    <w:rsid w:val="005006A0"/>
    <w:rsid w:val="00500807"/>
    <w:rsid w:val="00500B4C"/>
    <w:rsid w:val="00500D49"/>
    <w:rsid w:val="00500EA8"/>
    <w:rsid w:val="0050100F"/>
    <w:rsid w:val="0050105D"/>
    <w:rsid w:val="005013F1"/>
    <w:rsid w:val="0050183C"/>
    <w:rsid w:val="005018A8"/>
    <w:rsid w:val="00501E57"/>
    <w:rsid w:val="00502735"/>
    <w:rsid w:val="0050278A"/>
    <w:rsid w:val="005028D8"/>
    <w:rsid w:val="00502B6D"/>
    <w:rsid w:val="00502CB2"/>
    <w:rsid w:val="0050303B"/>
    <w:rsid w:val="005030F3"/>
    <w:rsid w:val="005037C4"/>
    <w:rsid w:val="00503DAE"/>
    <w:rsid w:val="00503E39"/>
    <w:rsid w:val="0050403E"/>
    <w:rsid w:val="00504246"/>
    <w:rsid w:val="00504621"/>
    <w:rsid w:val="0050470F"/>
    <w:rsid w:val="0050482F"/>
    <w:rsid w:val="005049B3"/>
    <w:rsid w:val="00504C6A"/>
    <w:rsid w:val="00504DB7"/>
    <w:rsid w:val="005052EB"/>
    <w:rsid w:val="00505869"/>
    <w:rsid w:val="005058DB"/>
    <w:rsid w:val="00505935"/>
    <w:rsid w:val="00505A39"/>
    <w:rsid w:val="00505C20"/>
    <w:rsid w:val="00505C48"/>
    <w:rsid w:val="00505CFB"/>
    <w:rsid w:val="00505D33"/>
    <w:rsid w:val="005062C6"/>
    <w:rsid w:val="00506585"/>
    <w:rsid w:val="00506925"/>
    <w:rsid w:val="00506BAD"/>
    <w:rsid w:val="00506C2A"/>
    <w:rsid w:val="00506D04"/>
    <w:rsid w:val="00506F64"/>
    <w:rsid w:val="00506FBB"/>
    <w:rsid w:val="005074AE"/>
    <w:rsid w:val="005074DA"/>
    <w:rsid w:val="00507569"/>
    <w:rsid w:val="00507744"/>
    <w:rsid w:val="005077E9"/>
    <w:rsid w:val="00507A75"/>
    <w:rsid w:val="00507C89"/>
    <w:rsid w:val="00507CC8"/>
    <w:rsid w:val="00507E25"/>
    <w:rsid w:val="0051024D"/>
    <w:rsid w:val="00510500"/>
    <w:rsid w:val="005105F7"/>
    <w:rsid w:val="00510600"/>
    <w:rsid w:val="0051144D"/>
    <w:rsid w:val="0051163D"/>
    <w:rsid w:val="00511654"/>
    <w:rsid w:val="00511911"/>
    <w:rsid w:val="00511A3C"/>
    <w:rsid w:val="00511AA5"/>
    <w:rsid w:val="00511B70"/>
    <w:rsid w:val="00511C71"/>
    <w:rsid w:val="005124ED"/>
    <w:rsid w:val="00512779"/>
    <w:rsid w:val="00512E4D"/>
    <w:rsid w:val="00512F6E"/>
    <w:rsid w:val="00512FA7"/>
    <w:rsid w:val="00512FBF"/>
    <w:rsid w:val="005134A2"/>
    <w:rsid w:val="0051376A"/>
    <w:rsid w:val="0051377D"/>
    <w:rsid w:val="00513C06"/>
    <w:rsid w:val="00513D4D"/>
    <w:rsid w:val="00513D97"/>
    <w:rsid w:val="005141D9"/>
    <w:rsid w:val="00514324"/>
    <w:rsid w:val="00514AD1"/>
    <w:rsid w:val="00514EF2"/>
    <w:rsid w:val="0051510F"/>
    <w:rsid w:val="005151BF"/>
    <w:rsid w:val="0051584C"/>
    <w:rsid w:val="005158F7"/>
    <w:rsid w:val="00515DD8"/>
    <w:rsid w:val="00515F9F"/>
    <w:rsid w:val="005160BB"/>
    <w:rsid w:val="005164EA"/>
    <w:rsid w:val="00516824"/>
    <w:rsid w:val="0051688F"/>
    <w:rsid w:val="005169F5"/>
    <w:rsid w:val="00516ECE"/>
    <w:rsid w:val="00517054"/>
    <w:rsid w:val="00517270"/>
    <w:rsid w:val="005176AE"/>
    <w:rsid w:val="005179FB"/>
    <w:rsid w:val="00517D8A"/>
    <w:rsid w:val="00517EB9"/>
    <w:rsid w:val="00520135"/>
    <w:rsid w:val="00520544"/>
    <w:rsid w:val="00520610"/>
    <w:rsid w:val="005207F4"/>
    <w:rsid w:val="00520F06"/>
    <w:rsid w:val="0052106A"/>
    <w:rsid w:val="00521130"/>
    <w:rsid w:val="0052128F"/>
    <w:rsid w:val="005212F6"/>
    <w:rsid w:val="00521332"/>
    <w:rsid w:val="00521523"/>
    <w:rsid w:val="005216B5"/>
    <w:rsid w:val="00521893"/>
    <w:rsid w:val="00521CAF"/>
    <w:rsid w:val="00521E16"/>
    <w:rsid w:val="005225B4"/>
    <w:rsid w:val="00522726"/>
    <w:rsid w:val="00522C61"/>
    <w:rsid w:val="00522F20"/>
    <w:rsid w:val="0052300B"/>
    <w:rsid w:val="0052319E"/>
    <w:rsid w:val="005231EE"/>
    <w:rsid w:val="0052337C"/>
    <w:rsid w:val="00523596"/>
    <w:rsid w:val="00523A27"/>
    <w:rsid w:val="00523B98"/>
    <w:rsid w:val="00523CA7"/>
    <w:rsid w:val="00523E3E"/>
    <w:rsid w:val="005240BF"/>
    <w:rsid w:val="005242C2"/>
    <w:rsid w:val="0052446C"/>
    <w:rsid w:val="00524517"/>
    <w:rsid w:val="0052466B"/>
    <w:rsid w:val="005246E8"/>
    <w:rsid w:val="005249BB"/>
    <w:rsid w:val="00524C3D"/>
    <w:rsid w:val="00525314"/>
    <w:rsid w:val="005254AA"/>
    <w:rsid w:val="00525A59"/>
    <w:rsid w:val="005261E9"/>
    <w:rsid w:val="005265CA"/>
    <w:rsid w:val="00526942"/>
    <w:rsid w:val="00526C89"/>
    <w:rsid w:val="00526FB6"/>
    <w:rsid w:val="00527158"/>
    <w:rsid w:val="00527213"/>
    <w:rsid w:val="00527235"/>
    <w:rsid w:val="00527C7A"/>
    <w:rsid w:val="00527F88"/>
    <w:rsid w:val="0053008B"/>
    <w:rsid w:val="005300F4"/>
    <w:rsid w:val="00530475"/>
    <w:rsid w:val="005304DC"/>
    <w:rsid w:val="005306C5"/>
    <w:rsid w:val="005306FC"/>
    <w:rsid w:val="005307B5"/>
    <w:rsid w:val="0053082E"/>
    <w:rsid w:val="00530886"/>
    <w:rsid w:val="00530929"/>
    <w:rsid w:val="00530C40"/>
    <w:rsid w:val="00530CD2"/>
    <w:rsid w:val="00530E63"/>
    <w:rsid w:val="00530F26"/>
    <w:rsid w:val="00530FE7"/>
    <w:rsid w:val="0053179B"/>
    <w:rsid w:val="00531BA2"/>
    <w:rsid w:val="00531DD4"/>
    <w:rsid w:val="00532066"/>
    <w:rsid w:val="0053224D"/>
    <w:rsid w:val="005327D9"/>
    <w:rsid w:val="005328E8"/>
    <w:rsid w:val="0053298A"/>
    <w:rsid w:val="00532B87"/>
    <w:rsid w:val="00532D64"/>
    <w:rsid w:val="00532F2A"/>
    <w:rsid w:val="00533133"/>
    <w:rsid w:val="0053338D"/>
    <w:rsid w:val="00533642"/>
    <w:rsid w:val="005337E9"/>
    <w:rsid w:val="00533E8B"/>
    <w:rsid w:val="00533F7E"/>
    <w:rsid w:val="0053459E"/>
    <w:rsid w:val="005349D2"/>
    <w:rsid w:val="00534B44"/>
    <w:rsid w:val="00534D7C"/>
    <w:rsid w:val="00534F5D"/>
    <w:rsid w:val="00535260"/>
    <w:rsid w:val="00535448"/>
    <w:rsid w:val="00535517"/>
    <w:rsid w:val="0053593D"/>
    <w:rsid w:val="00535F14"/>
    <w:rsid w:val="00535F2F"/>
    <w:rsid w:val="005362AA"/>
    <w:rsid w:val="00536536"/>
    <w:rsid w:val="005367E5"/>
    <w:rsid w:val="00536979"/>
    <w:rsid w:val="0053699F"/>
    <w:rsid w:val="00536B8E"/>
    <w:rsid w:val="00536F52"/>
    <w:rsid w:val="0053723A"/>
    <w:rsid w:val="00537769"/>
    <w:rsid w:val="005377E7"/>
    <w:rsid w:val="00537BE2"/>
    <w:rsid w:val="00537DE9"/>
    <w:rsid w:val="00540493"/>
    <w:rsid w:val="0054066C"/>
    <w:rsid w:val="00540834"/>
    <w:rsid w:val="005408DA"/>
    <w:rsid w:val="00540D81"/>
    <w:rsid w:val="00540E0E"/>
    <w:rsid w:val="00541310"/>
    <w:rsid w:val="005414F0"/>
    <w:rsid w:val="00541777"/>
    <w:rsid w:val="005418DE"/>
    <w:rsid w:val="00541922"/>
    <w:rsid w:val="00541989"/>
    <w:rsid w:val="00541996"/>
    <w:rsid w:val="00541C81"/>
    <w:rsid w:val="00541E3E"/>
    <w:rsid w:val="005421D2"/>
    <w:rsid w:val="005424B1"/>
    <w:rsid w:val="00542713"/>
    <w:rsid w:val="005427A2"/>
    <w:rsid w:val="005428E4"/>
    <w:rsid w:val="00542A3F"/>
    <w:rsid w:val="00542C23"/>
    <w:rsid w:val="00543217"/>
    <w:rsid w:val="00543367"/>
    <w:rsid w:val="00543566"/>
    <w:rsid w:val="0054362A"/>
    <w:rsid w:val="00543638"/>
    <w:rsid w:val="00543643"/>
    <w:rsid w:val="00543A77"/>
    <w:rsid w:val="00543E5B"/>
    <w:rsid w:val="005448F6"/>
    <w:rsid w:val="00544920"/>
    <w:rsid w:val="00544A47"/>
    <w:rsid w:val="00544EEB"/>
    <w:rsid w:val="005459A9"/>
    <w:rsid w:val="00545AEB"/>
    <w:rsid w:val="00545C8B"/>
    <w:rsid w:val="005470CF"/>
    <w:rsid w:val="0054779C"/>
    <w:rsid w:val="00547B91"/>
    <w:rsid w:val="00547D78"/>
    <w:rsid w:val="00550718"/>
    <w:rsid w:val="00550864"/>
    <w:rsid w:val="00550ACC"/>
    <w:rsid w:val="00550B82"/>
    <w:rsid w:val="00550EB7"/>
    <w:rsid w:val="005516FC"/>
    <w:rsid w:val="00551735"/>
    <w:rsid w:val="005518EB"/>
    <w:rsid w:val="00551AEF"/>
    <w:rsid w:val="00551B40"/>
    <w:rsid w:val="00551C2D"/>
    <w:rsid w:val="00552115"/>
    <w:rsid w:val="00552312"/>
    <w:rsid w:val="0055241A"/>
    <w:rsid w:val="00552569"/>
    <w:rsid w:val="0055295A"/>
    <w:rsid w:val="00552E0C"/>
    <w:rsid w:val="005539B4"/>
    <w:rsid w:val="00553E73"/>
    <w:rsid w:val="005540E9"/>
    <w:rsid w:val="00554D8A"/>
    <w:rsid w:val="0055501D"/>
    <w:rsid w:val="00555157"/>
    <w:rsid w:val="005551AD"/>
    <w:rsid w:val="00555A2F"/>
    <w:rsid w:val="00556102"/>
    <w:rsid w:val="00556771"/>
    <w:rsid w:val="005567E0"/>
    <w:rsid w:val="00556A90"/>
    <w:rsid w:val="00556D1B"/>
    <w:rsid w:val="005571E8"/>
    <w:rsid w:val="00557517"/>
    <w:rsid w:val="0055790F"/>
    <w:rsid w:val="00557B31"/>
    <w:rsid w:val="00557BFE"/>
    <w:rsid w:val="00557D78"/>
    <w:rsid w:val="00560324"/>
    <w:rsid w:val="005603A2"/>
    <w:rsid w:val="005605F9"/>
    <w:rsid w:val="00560755"/>
    <w:rsid w:val="0056076F"/>
    <w:rsid w:val="00560A6F"/>
    <w:rsid w:val="005610EF"/>
    <w:rsid w:val="00561377"/>
    <w:rsid w:val="005615E1"/>
    <w:rsid w:val="005617C4"/>
    <w:rsid w:val="005618E8"/>
    <w:rsid w:val="00561BEF"/>
    <w:rsid w:val="00561C71"/>
    <w:rsid w:val="00561E50"/>
    <w:rsid w:val="00562262"/>
    <w:rsid w:val="005629B7"/>
    <w:rsid w:val="00562C0C"/>
    <w:rsid w:val="0056348D"/>
    <w:rsid w:val="005636AA"/>
    <w:rsid w:val="00563756"/>
    <w:rsid w:val="00563A49"/>
    <w:rsid w:val="00563B29"/>
    <w:rsid w:val="005643BA"/>
    <w:rsid w:val="0056458B"/>
    <w:rsid w:val="00564685"/>
    <w:rsid w:val="005646E6"/>
    <w:rsid w:val="00564860"/>
    <w:rsid w:val="00564970"/>
    <w:rsid w:val="00564E1B"/>
    <w:rsid w:val="00564EF2"/>
    <w:rsid w:val="00564F03"/>
    <w:rsid w:val="005651A9"/>
    <w:rsid w:val="00565219"/>
    <w:rsid w:val="00565439"/>
    <w:rsid w:val="00565890"/>
    <w:rsid w:val="00565B53"/>
    <w:rsid w:val="00565C43"/>
    <w:rsid w:val="00565D45"/>
    <w:rsid w:val="00565D6E"/>
    <w:rsid w:val="00566021"/>
    <w:rsid w:val="00566075"/>
    <w:rsid w:val="005662D3"/>
    <w:rsid w:val="005664BB"/>
    <w:rsid w:val="005665F1"/>
    <w:rsid w:val="005666CD"/>
    <w:rsid w:val="00566774"/>
    <w:rsid w:val="00566A36"/>
    <w:rsid w:val="00567377"/>
    <w:rsid w:val="00567556"/>
    <w:rsid w:val="005675D5"/>
    <w:rsid w:val="00567823"/>
    <w:rsid w:val="00567CB5"/>
    <w:rsid w:val="00567D2D"/>
    <w:rsid w:val="00567FF9"/>
    <w:rsid w:val="00570137"/>
    <w:rsid w:val="0057022C"/>
    <w:rsid w:val="00570393"/>
    <w:rsid w:val="0057043C"/>
    <w:rsid w:val="00570534"/>
    <w:rsid w:val="00570CCC"/>
    <w:rsid w:val="00570EA7"/>
    <w:rsid w:val="005712B3"/>
    <w:rsid w:val="0057143C"/>
    <w:rsid w:val="00571504"/>
    <w:rsid w:val="005715CB"/>
    <w:rsid w:val="00571761"/>
    <w:rsid w:val="00571824"/>
    <w:rsid w:val="00571E7E"/>
    <w:rsid w:val="00572206"/>
    <w:rsid w:val="005723C7"/>
    <w:rsid w:val="00572509"/>
    <w:rsid w:val="005725EE"/>
    <w:rsid w:val="00572722"/>
    <w:rsid w:val="0057273A"/>
    <w:rsid w:val="00572BF9"/>
    <w:rsid w:val="00572CD6"/>
    <w:rsid w:val="00572E26"/>
    <w:rsid w:val="00572E64"/>
    <w:rsid w:val="00572E8C"/>
    <w:rsid w:val="00572EEA"/>
    <w:rsid w:val="005735A7"/>
    <w:rsid w:val="005735C4"/>
    <w:rsid w:val="00573761"/>
    <w:rsid w:val="00573D5E"/>
    <w:rsid w:val="00573EA2"/>
    <w:rsid w:val="00574683"/>
    <w:rsid w:val="00574693"/>
    <w:rsid w:val="005747DB"/>
    <w:rsid w:val="00574C95"/>
    <w:rsid w:val="005750C6"/>
    <w:rsid w:val="005750F9"/>
    <w:rsid w:val="00575816"/>
    <w:rsid w:val="0057585D"/>
    <w:rsid w:val="00575A1F"/>
    <w:rsid w:val="00575D70"/>
    <w:rsid w:val="00575E33"/>
    <w:rsid w:val="00575F52"/>
    <w:rsid w:val="0057680E"/>
    <w:rsid w:val="00576C7F"/>
    <w:rsid w:val="00576C8D"/>
    <w:rsid w:val="0057746C"/>
    <w:rsid w:val="00577575"/>
    <w:rsid w:val="00577A3B"/>
    <w:rsid w:val="00577C86"/>
    <w:rsid w:val="005800A0"/>
    <w:rsid w:val="0058018A"/>
    <w:rsid w:val="00580354"/>
    <w:rsid w:val="005803E3"/>
    <w:rsid w:val="00580657"/>
    <w:rsid w:val="00580672"/>
    <w:rsid w:val="00580800"/>
    <w:rsid w:val="0058087D"/>
    <w:rsid w:val="00580EE5"/>
    <w:rsid w:val="005813AB"/>
    <w:rsid w:val="00581427"/>
    <w:rsid w:val="005816BC"/>
    <w:rsid w:val="0058189C"/>
    <w:rsid w:val="005818F3"/>
    <w:rsid w:val="0058190B"/>
    <w:rsid w:val="00581A3C"/>
    <w:rsid w:val="00581CA9"/>
    <w:rsid w:val="00581EF6"/>
    <w:rsid w:val="00581F5B"/>
    <w:rsid w:val="0058206E"/>
    <w:rsid w:val="0058231B"/>
    <w:rsid w:val="005829F9"/>
    <w:rsid w:val="00582CCC"/>
    <w:rsid w:val="00582E1B"/>
    <w:rsid w:val="00582F8E"/>
    <w:rsid w:val="00583149"/>
    <w:rsid w:val="0058317F"/>
    <w:rsid w:val="0058358E"/>
    <w:rsid w:val="00583867"/>
    <w:rsid w:val="00583DC9"/>
    <w:rsid w:val="00583DE0"/>
    <w:rsid w:val="005840B7"/>
    <w:rsid w:val="005843A4"/>
    <w:rsid w:val="00584733"/>
    <w:rsid w:val="005847E2"/>
    <w:rsid w:val="00584BDC"/>
    <w:rsid w:val="00584CCD"/>
    <w:rsid w:val="00584E35"/>
    <w:rsid w:val="00584E6A"/>
    <w:rsid w:val="00584EF3"/>
    <w:rsid w:val="00585390"/>
    <w:rsid w:val="005856E5"/>
    <w:rsid w:val="00585768"/>
    <w:rsid w:val="00585DD7"/>
    <w:rsid w:val="00585E5B"/>
    <w:rsid w:val="005860A9"/>
    <w:rsid w:val="0058631D"/>
    <w:rsid w:val="0058672B"/>
    <w:rsid w:val="00586896"/>
    <w:rsid w:val="0058741F"/>
    <w:rsid w:val="005876E1"/>
    <w:rsid w:val="00587ABA"/>
    <w:rsid w:val="00587C5D"/>
    <w:rsid w:val="00587DB6"/>
    <w:rsid w:val="00587F07"/>
    <w:rsid w:val="00590171"/>
    <w:rsid w:val="0059029D"/>
    <w:rsid w:val="005903D5"/>
    <w:rsid w:val="0059045B"/>
    <w:rsid w:val="005904DC"/>
    <w:rsid w:val="0059092F"/>
    <w:rsid w:val="005909A3"/>
    <w:rsid w:val="00590A82"/>
    <w:rsid w:val="00590EAB"/>
    <w:rsid w:val="00590EBD"/>
    <w:rsid w:val="00590FD6"/>
    <w:rsid w:val="005912E1"/>
    <w:rsid w:val="005915C0"/>
    <w:rsid w:val="005917F1"/>
    <w:rsid w:val="00592351"/>
    <w:rsid w:val="005928C2"/>
    <w:rsid w:val="00592A2D"/>
    <w:rsid w:val="005930A5"/>
    <w:rsid w:val="0059325D"/>
    <w:rsid w:val="00593364"/>
    <w:rsid w:val="0059351E"/>
    <w:rsid w:val="0059388D"/>
    <w:rsid w:val="005939A5"/>
    <w:rsid w:val="00593A13"/>
    <w:rsid w:val="00593EEA"/>
    <w:rsid w:val="00594200"/>
    <w:rsid w:val="005943B0"/>
    <w:rsid w:val="005944CB"/>
    <w:rsid w:val="005945D3"/>
    <w:rsid w:val="005946F4"/>
    <w:rsid w:val="00594B15"/>
    <w:rsid w:val="00594EE0"/>
    <w:rsid w:val="005951BC"/>
    <w:rsid w:val="005952A5"/>
    <w:rsid w:val="0059538A"/>
    <w:rsid w:val="00595569"/>
    <w:rsid w:val="0059562B"/>
    <w:rsid w:val="005956BD"/>
    <w:rsid w:val="005957CE"/>
    <w:rsid w:val="005957E5"/>
    <w:rsid w:val="00595AE1"/>
    <w:rsid w:val="00595AF9"/>
    <w:rsid w:val="00595D47"/>
    <w:rsid w:val="00595DF8"/>
    <w:rsid w:val="00595F09"/>
    <w:rsid w:val="00595F4C"/>
    <w:rsid w:val="00596108"/>
    <w:rsid w:val="00596272"/>
    <w:rsid w:val="005963FF"/>
    <w:rsid w:val="00596893"/>
    <w:rsid w:val="00596E85"/>
    <w:rsid w:val="00597541"/>
    <w:rsid w:val="00597978"/>
    <w:rsid w:val="00597AD5"/>
    <w:rsid w:val="00597F91"/>
    <w:rsid w:val="005A035B"/>
    <w:rsid w:val="005A0692"/>
    <w:rsid w:val="005A09D6"/>
    <w:rsid w:val="005A0B66"/>
    <w:rsid w:val="005A0BB7"/>
    <w:rsid w:val="005A0C1A"/>
    <w:rsid w:val="005A0E27"/>
    <w:rsid w:val="005A0F5E"/>
    <w:rsid w:val="005A0FE5"/>
    <w:rsid w:val="005A101D"/>
    <w:rsid w:val="005A106B"/>
    <w:rsid w:val="005A148C"/>
    <w:rsid w:val="005A167C"/>
    <w:rsid w:val="005A175B"/>
    <w:rsid w:val="005A1AA5"/>
    <w:rsid w:val="005A1B28"/>
    <w:rsid w:val="005A1D5C"/>
    <w:rsid w:val="005A20A6"/>
    <w:rsid w:val="005A20BC"/>
    <w:rsid w:val="005A2336"/>
    <w:rsid w:val="005A2337"/>
    <w:rsid w:val="005A292A"/>
    <w:rsid w:val="005A296C"/>
    <w:rsid w:val="005A2B9E"/>
    <w:rsid w:val="005A3101"/>
    <w:rsid w:val="005A359D"/>
    <w:rsid w:val="005A3636"/>
    <w:rsid w:val="005A39F2"/>
    <w:rsid w:val="005A3B53"/>
    <w:rsid w:val="005A3CD3"/>
    <w:rsid w:val="005A4340"/>
    <w:rsid w:val="005A45DD"/>
    <w:rsid w:val="005A475A"/>
    <w:rsid w:val="005A4A55"/>
    <w:rsid w:val="005A4BB8"/>
    <w:rsid w:val="005A4BE8"/>
    <w:rsid w:val="005A531B"/>
    <w:rsid w:val="005A5786"/>
    <w:rsid w:val="005A594D"/>
    <w:rsid w:val="005A5AF1"/>
    <w:rsid w:val="005A5C2D"/>
    <w:rsid w:val="005A5D77"/>
    <w:rsid w:val="005A5F58"/>
    <w:rsid w:val="005A6266"/>
    <w:rsid w:val="005A678B"/>
    <w:rsid w:val="005A70A6"/>
    <w:rsid w:val="005A70FA"/>
    <w:rsid w:val="005A7286"/>
    <w:rsid w:val="005A7C1F"/>
    <w:rsid w:val="005B0001"/>
    <w:rsid w:val="005B02BD"/>
    <w:rsid w:val="005B02FA"/>
    <w:rsid w:val="005B0451"/>
    <w:rsid w:val="005B0998"/>
    <w:rsid w:val="005B0AF8"/>
    <w:rsid w:val="005B0D7C"/>
    <w:rsid w:val="005B1073"/>
    <w:rsid w:val="005B18B0"/>
    <w:rsid w:val="005B18BC"/>
    <w:rsid w:val="005B1DA2"/>
    <w:rsid w:val="005B1EEF"/>
    <w:rsid w:val="005B1F5B"/>
    <w:rsid w:val="005B202B"/>
    <w:rsid w:val="005B21F4"/>
    <w:rsid w:val="005B22A3"/>
    <w:rsid w:val="005B25EB"/>
    <w:rsid w:val="005B26F0"/>
    <w:rsid w:val="005B2BAA"/>
    <w:rsid w:val="005B2C87"/>
    <w:rsid w:val="005B2EAA"/>
    <w:rsid w:val="005B3D11"/>
    <w:rsid w:val="005B4513"/>
    <w:rsid w:val="005B45FF"/>
    <w:rsid w:val="005B4AB1"/>
    <w:rsid w:val="005B4B75"/>
    <w:rsid w:val="005B50E4"/>
    <w:rsid w:val="005B5347"/>
    <w:rsid w:val="005B553E"/>
    <w:rsid w:val="005B5ACC"/>
    <w:rsid w:val="005B5AD7"/>
    <w:rsid w:val="005B5D95"/>
    <w:rsid w:val="005B5F76"/>
    <w:rsid w:val="005B61A1"/>
    <w:rsid w:val="005B6998"/>
    <w:rsid w:val="005B6D9D"/>
    <w:rsid w:val="005B6EB8"/>
    <w:rsid w:val="005B6EEB"/>
    <w:rsid w:val="005B720B"/>
    <w:rsid w:val="005B72E6"/>
    <w:rsid w:val="005B738A"/>
    <w:rsid w:val="005B73EB"/>
    <w:rsid w:val="005B74E0"/>
    <w:rsid w:val="005B7C0B"/>
    <w:rsid w:val="005B7D14"/>
    <w:rsid w:val="005B7D3B"/>
    <w:rsid w:val="005C0193"/>
    <w:rsid w:val="005C038E"/>
    <w:rsid w:val="005C03AA"/>
    <w:rsid w:val="005C0611"/>
    <w:rsid w:val="005C0A1F"/>
    <w:rsid w:val="005C0A33"/>
    <w:rsid w:val="005C0B28"/>
    <w:rsid w:val="005C0C1C"/>
    <w:rsid w:val="005C0F16"/>
    <w:rsid w:val="005C0F8D"/>
    <w:rsid w:val="005C11A8"/>
    <w:rsid w:val="005C11AB"/>
    <w:rsid w:val="005C1335"/>
    <w:rsid w:val="005C1546"/>
    <w:rsid w:val="005C1893"/>
    <w:rsid w:val="005C19B7"/>
    <w:rsid w:val="005C1A28"/>
    <w:rsid w:val="005C1ABD"/>
    <w:rsid w:val="005C1E43"/>
    <w:rsid w:val="005C20CB"/>
    <w:rsid w:val="005C2342"/>
    <w:rsid w:val="005C2994"/>
    <w:rsid w:val="005C2B08"/>
    <w:rsid w:val="005C2BC7"/>
    <w:rsid w:val="005C2BDB"/>
    <w:rsid w:val="005C2CFE"/>
    <w:rsid w:val="005C2D2D"/>
    <w:rsid w:val="005C32B4"/>
    <w:rsid w:val="005C34C2"/>
    <w:rsid w:val="005C3CFD"/>
    <w:rsid w:val="005C4116"/>
    <w:rsid w:val="005C4205"/>
    <w:rsid w:val="005C4298"/>
    <w:rsid w:val="005C4385"/>
    <w:rsid w:val="005C43F8"/>
    <w:rsid w:val="005C49A2"/>
    <w:rsid w:val="005C4BF7"/>
    <w:rsid w:val="005C4C66"/>
    <w:rsid w:val="005C4FAA"/>
    <w:rsid w:val="005C5538"/>
    <w:rsid w:val="005C58FA"/>
    <w:rsid w:val="005C5C85"/>
    <w:rsid w:val="005C5D9D"/>
    <w:rsid w:val="005C600C"/>
    <w:rsid w:val="005C63DC"/>
    <w:rsid w:val="005C6787"/>
    <w:rsid w:val="005C68EF"/>
    <w:rsid w:val="005C6C56"/>
    <w:rsid w:val="005C7254"/>
    <w:rsid w:val="005C73FE"/>
    <w:rsid w:val="005C7708"/>
    <w:rsid w:val="005C783C"/>
    <w:rsid w:val="005C7A49"/>
    <w:rsid w:val="005C7FF5"/>
    <w:rsid w:val="005D0046"/>
    <w:rsid w:val="005D00A8"/>
    <w:rsid w:val="005D03FA"/>
    <w:rsid w:val="005D069C"/>
    <w:rsid w:val="005D0849"/>
    <w:rsid w:val="005D0A61"/>
    <w:rsid w:val="005D0DE1"/>
    <w:rsid w:val="005D0E8C"/>
    <w:rsid w:val="005D116D"/>
    <w:rsid w:val="005D120B"/>
    <w:rsid w:val="005D14E3"/>
    <w:rsid w:val="005D1621"/>
    <w:rsid w:val="005D186C"/>
    <w:rsid w:val="005D1BA0"/>
    <w:rsid w:val="005D1E52"/>
    <w:rsid w:val="005D2071"/>
    <w:rsid w:val="005D20E9"/>
    <w:rsid w:val="005D20F7"/>
    <w:rsid w:val="005D221F"/>
    <w:rsid w:val="005D23D7"/>
    <w:rsid w:val="005D24ED"/>
    <w:rsid w:val="005D2BBD"/>
    <w:rsid w:val="005D2C20"/>
    <w:rsid w:val="005D2C48"/>
    <w:rsid w:val="005D344E"/>
    <w:rsid w:val="005D39EB"/>
    <w:rsid w:val="005D40CD"/>
    <w:rsid w:val="005D4359"/>
    <w:rsid w:val="005D437D"/>
    <w:rsid w:val="005D43E6"/>
    <w:rsid w:val="005D4A1B"/>
    <w:rsid w:val="005D4D09"/>
    <w:rsid w:val="005D4DB1"/>
    <w:rsid w:val="005D5328"/>
    <w:rsid w:val="005D5435"/>
    <w:rsid w:val="005D58AB"/>
    <w:rsid w:val="005D5DC2"/>
    <w:rsid w:val="005D5E53"/>
    <w:rsid w:val="005D604D"/>
    <w:rsid w:val="005D60CE"/>
    <w:rsid w:val="005D6344"/>
    <w:rsid w:val="005D6374"/>
    <w:rsid w:val="005D655F"/>
    <w:rsid w:val="005D68FD"/>
    <w:rsid w:val="005D6CCA"/>
    <w:rsid w:val="005D717F"/>
    <w:rsid w:val="005D7255"/>
    <w:rsid w:val="005D7438"/>
    <w:rsid w:val="005D7856"/>
    <w:rsid w:val="005D7A8C"/>
    <w:rsid w:val="005D7C03"/>
    <w:rsid w:val="005E059B"/>
    <w:rsid w:val="005E0825"/>
    <w:rsid w:val="005E0DD3"/>
    <w:rsid w:val="005E0E8A"/>
    <w:rsid w:val="005E135F"/>
    <w:rsid w:val="005E16D4"/>
    <w:rsid w:val="005E177B"/>
    <w:rsid w:val="005E1E31"/>
    <w:rsid w:val="005E217C"/>
    <w:rsid w:val="005E2480"/>
    <w:rsid w:val="005E26D2"/>
    <w:rsid w:val="005E2736"/>
    <w:rsid w:val="005E28BB"/>
    <w:rsid w:val="005E28EE"/>
    <w:rsid w:val="005E297D"/>
    <w:rsid w:val="005E29FD"/>
    <w:rsid w:val="005E2D94"/>
    <w:rsid w:val="005E2E3D"/>
    <w:rsid w:val="005E3249"/>
    <w:rsid w:val="005E33BB"/>
    <w:rsid w:val="005E33F9"/>
    <w:rsid w:val="005E395D"/>
    <w:rsid w:val="005E4192"/>
    <w:rsid w:val="005E454D"/>
    <w:rsid w:val="005E47BF"/>
    <w:rsid w:val="005E4D5B"/>
    <w:rsid w:val="005E4E1B"/>
    <w:rsid w:val="005E51ED"/>
    <w:rsid w:val="005E529A"/>
    <w:rsid w:val="005E52D4"/>
    <w:rsid w:val="005E539F"/>
    <w:rsid w:val="005E590E"/>
    <w:rsid w:val="005E5A2D"/>
    <w:rsid w:val="005E5B30"/>
    <w:rsid w:val="005E5CE5"/>
    <w:rsid w:val="005E5E62"/>
    <w:rsid w:val="005E6420"/>
    <w:rsid w:val="005E6B58"/>
    <w:rsid w:val="005E6E40"/>
    <w:rsid w:val="005E745E"/>
    <w:rsid w:val="005E7A38"/>
    <w:rsid w:val="005E7E21"/>
    <w:rsid w:val="005F021D"/>
    <w:rsid w:val="005F0591"/>
    <w:rsid w:val="005F0820"/>
    <w:rsid w:val="005F0908"/>
    <w:rsid w:val="005F0B14"/>
    <w:rsid w:val="005F0BC7"/>
    <w:rsid w:val="005F0E1E"/>
    <w:rsid w:val="005F1206"/>
    <w:rsid w:val="005F1326"/>
    <w:rsid w:val="005F1C7D"/>
    <w:rsid w:val="005F1E82"/>
    <w:rsid w:val="005F1E87"/>
    <w:rsid w:val="005F2112"/>
    <w:rsid w:val="005F26AA"/>
    <w:rsid w:val="005F2ADE"/>
    <w:rsid w:val="005F2CE8"/>
    <w:rsid w:val="005F2D30"/>
    <w:rsid w:val="005F2F12"/>
    <w:rsid w:val="005F2F1C"/>
    <w:rsid w:val="005F3546"/>
    <w:rsid w:val="005F3E5C"/>
    <w:rsid w:val="005F3EF0"/>
    <w:rsid w:val="005F3F52"/>
    <w:rsid w:val="005F4094"/>
    <w:rsid w:val="005F40F2"/>
    <w:rsid w:val="005F43BA"/>
    <w:rsid w:val="005F448F"/>
    <w:rsid w:val="005F4691"/>
    <w:rsid w:val="005F473B"/>
    <w:rsid w:val="005F48B9"/>
    <w:rsid w:val="005F48EC"/>
    <w:rsid w:val="005F4933"/>
    <w:rsid w:val="005F4B74"/>
    <w:rsid w:val="005F4CA9"/>
    <w:rsid w:val="005F4D2A"/>
    <w:rsid w:val="005F5168"/>
    <w:rsid w:val="005F5533"/>
    <w:rsid w:val="005F5597"/>
    <w:rsid w:val="005F5740"/>
    <w:rsid w:val="005F5B3A"/>
    <w:rsid w:val="005F5C29"/>
    <w:rsid w:val="005F5C68"/>
    <w:rsid w:val="005F68DA"/>
    <w:rsid w:val="005F6C75"/>
    <w:rsid w:val="005F6D35"/>
    <w:rsid w:val="005F6F18"/>
    <w:rsid w:val="005F716E"/>
    <w:rsid w:val="005F7417"/>
    <w:rsid w:val="005F7431"/>
    <w:rsid w:val="005F79D9"/>
    <w:rsid w:val="005F7C32"/>
    <w:rsid w:val="005F7C5C"/>
    <w:rsid w:val="005F7D42"/>
    <w:rsid w:val="005F7DDB"/>
    <w:rsid w:val="005F7FB2"/>
    <w:rsid w:val="005F7FE5"/>
    <w:rsid w:val="006000AD"/>
    <w:rsid w:val="00600364"/>
    <w:rsid w:val="00600424"/>
    <w:rsid w:val="006009A3"/>
    <w:rsid w:val="00600CD3"/>
    <w:rsid w:val="00600E66"/>
    <w:rsid w:val="006014EE"/>
    <w:rsid w:val="00601715"/>
    <w:rsid w:val="0060194A"/>
    <w:rsid w:val="0060194C"/>
    <w:rsid w:val="00601AE6"/>
    <w:rsid w:val="00601E2C"/>
    <w:rsid w:val="00602117"/>
    <w:rsid w:val="0060242B"/>
    <w:rsid w:val="00602588"/>
    <w:rsid w:val="0060262B"/>
    <w:rsid w:val="006026F6"/>
    <w:rsid w:val="00602967"/>
    <w:rsid w:val="00602AC9"/>
    <w:rsid w:val="00602DE3"/>
    <w:rsid w:val="0060340E"/>
    <w:rsid w:val="0060342B"/>
    <w:rsid w:val="006035B5"/>
    <w:rsid w:val="00603762"/>
    <w:rsid w:val="00603905"/>
    <w:rsid w:val="00603EB0"/>
    <w:rsid w:val="00604065"/>
    <w:rsid w:val="0060406D"/>
    <w:rsid w:val="006041C3"/>
    <w:rsid w:val="006044BA"/>
    <w:rsid w:val="00604550"/>
    <w:rsid w:val="006047E2"/>
    <w:rsid w:val="00604CCF"/>
    <w:rsid w:val="00604D12"/>
    <w:rsid w:val="00604DE2"/>
    <w:rsid w:val="00604E45"/>
    <w:rsid w:val="00604F53"/>
    <w:rsid w:val="00605410"/>
    <w:rsid w:val="00605758"/>
    <w:rsid w:val="0060579C"/>
    <w:rsid w:val="00605B3E"/>
    <w:rsid w:val="00605F18"/>
    <w:rsid w:val="00606012"/>
    <w:rsid w:val="00606392"/>
    <w:rsid w:val="006064C2"/>
    <w:rsid w:val="006066FD"/>
    <w:rsid w:val="0060694F"/>
    <w:rsid w:val="00606A5B"/>
    <w:rsid w:val="00606BF3"/>
    <w:rsid w:val="00607FBD"/>
    <w:rsid w:val="00610303"/>
    <w:rsid w:val="00610A32"/>
    <w:rsid w:val="00610A99"/>
    <w:rsid w:val="00610B16"/>
    <w:rsid w:val="00610B57"/>
    <w:rsid w:val="00610D0B"/>
    <w:rsid w:val="00611049"/>
    <w:rsid w:val="0061105C"/>
    <w:rsid w:val="0061127F"/>
    <w:rsid w:val="006112C2"/>
    <w:rsid w:val="006115BC"/>
    <w:rsid w:val="00611634"/>
    <w:rsid w:val="00611BBF"/>
    <w:rsid w:val="00611DBE"/>
    <w:rsid w:val="00611F2B"/>
    <w:rsid w:val="00611FC3"/>
    <w:rsid w:val="006121F7"/>
    <w:rsid w:val="006122A9"/>
    <w:rsid w:val="006128A5"/>
    <w:rsid w:val="00612E98"/>
    <w:rsid w:val="006130B2"/>
    <w:rsid w:val="00613384"/>
    <w:rsid w:val="00613687"/>
    <w:rsid w:val="0061397C"/>
    <w:rsid w:val="00613A67"/>
    <w:rsid w:val="00613B6E"/>
    <w:rsid w:val="00613B7E"/>
    <w:rsid w:val="00613DC3"/>
    <w:rsid w:val="006140C3"/>
    <w:rsid w:val="0061420E"/>
    <w:rsid w:val="006143CE"/>
    <w:rsid w:val="006145B7"/>
    <w:rsid w:val="00614737"/>
    <w:rsid w:val="00614918"/>
    <w:rsid w:val="00614AC0"/>
    <w:rsid w:val="00615269"/>
    <w:rsid w:val="00615312"/>
    <w:rsid w:val="0061531C"/>
    <w:rsid w:val="0061541E"/>
    <w:rsid w:val="00615496"/>
    <w:rsid w:val="0061558B"/>
    <w:rsid w:val="00615663"/>
    <w:rsid w:val="00615865"/>
    <w:rsid w:val="006159AB"/>
    <w:rsid w:val="00615B98"/>
    <w:rsid w:val="006162A2"/>
    <w:rsid w:val="006162BE"/>
    <w:rsid w:val="006162DD"/>
    <w:rsid w:val="0061663E"/>
    <w:rsid w:val="006166B7"/>
    <w:rsid w:val="00616713"/>
    <w:rsid w:val="0061685E"/>
    <w:rsid w:val="00616880"/>
    <w:rsid w:val="00616BB4"/>
    <w:rsid w:val="00616BC1"/>
    <w:rsid w:val="00616EB9"/>
    <w:rsid w:val="006171DE"/>
    <w:rsid w:val="006172A0"/>
    <w:rsid w:val="00617518"/>
    <w:rsid w:val="00617957"/>
    <w:rsid w:val="00617DB5"/>
    <w:rsid w:val="00620038"/>
    <w:rsid w:val="0062018D"/>
    <w:rsid w:val="006209F3"/>
    <w:rsid w:val="006209FF"/>
    <w:rsid w:val="00620B67"/>
    <w:rsid w:val="00620CD4"/>
    <w:rsid w:val="00620FBA"/>
    <w:rsid w:val="006215A2"/>
    <w:rsid w:val="00621BE7"/>
    <w:rsid w:val="00621C5E"/>
    <w:rsid w:val="006227CA"/>
    <w:rsid w:val="0062294D"/>
    <w:rsid w:val="00622EED"/>
    <w:rsid w:val="0062355C"/>
    <w:rsid w:val="00623590"/>
    <w:rsid w:val="006237A2"/>
    <w:rsid w:val="00623B45"/>
    <w:rsid w:val="00623E56"/>
    <w:rsid w:val="00623F00"/>
    <w:rsid w:val="00623F25"/>
    <w:rsid w:val="00624278"/>
    <w:rsid w:val="00624AE0"/>
    <w:rsid w:val="00624AFB"/>
    <w:rsid w:val="0062541D"/>
    <w:rsid w:val="006257DE"/>
    <w:rsid w:val="00625916"/>
    <w:rsid w:val="006259D2"/>
    <w:rsid w:val="00625E7D"/>
    <w:rsid w:val="006263C5"/>
    <w:rsid w:val="006263E0"/>
    <w:rsid w:val="006266F2"/>
    <w:rsid w:val="00626780"/>
    <w:rsid w:val="00626B59"/>
    <w:rsid w:val="00626DDD"/>
    <w:rsid w:val="00626E7C"/>
    <w:rsid w:val="00626FC1"/>
    <w:rsid w:val="006273C9"/>
    <w:rsid w:val="00627619"/>
    <w:rsid w:val="00627860"/>
    <w:rsid w:val="00627BCE"/>
    <w:rsid w:val="00627DCD"/>
    <w:rsid w:val="00627E6D"/>
    <w:rsid w:val="00630105"/>
    <w:rsid w:val="006303E1"/>
    <w:rsid w:val="00630719"/>
    <w:rsid w:val="0063076F"/>
    <w:rsid w:val="006309A0"/>
    <w:rsid w:val="00630B15"/>
    <w:rsid w:val="00630C6D"/>
    <w:rsid w:val="006310B7"/>
    <w:rsid w:val="00631140"/>
    <w:rsid w:val="006312D3"/>
    <w:rsid w:val="00631753"/>
    <w:rsid w:val="00631826"/>
    <w:rsid w:val="00632207"/>
    <w:rsid w:val="006328A8"/>
    <w:rsid w:val="0063292C"/>
    <w:rsid w:val="00632AAB"/>
    <w:rsid w:val="00632AD4"/>
    <w:rsid w:val="006334F7"/>
    <w:rsid w:val="006335BA"/>
    <w:rsid w:val="006335D6"/>
    <w:rsid w:val="00633665"/>
    <w:rsid w:val="00633699"/>
    <w:rsid w:val="00633894"/>
    <w:rsid w:val="00633CCA"/>
    <w:rsid w:val="00633D35"/>
    <w:rsid w:val="00633D7D"/>
    <w:rsid w:val="00633DB0"/>
    <w:rsid w:val="006340AC"/>
    <w:rsid w:val="006340F1"/>
    <w:rsid w:val="00634109"/>
    <w:rsid w:val="0063470D"/>
    <w:rsid w:val="00634750"/>
    <w:rsid w:val="0063491C"/>
    <w:rsid w:val="00635584"/>
    <w:rsid w:val="00635634"/>
    <w:rsid w:val="00635936"/>
    <w:rsid w:val="00635A2D"/>
    <w:rsid w:val="00635AEE"/>
    <w:rsid w:val="00635AF2"/>
    <w:rsid w:val="00635B4F"/>
    <w:rsid w:val="00635D4F"/>
    <w:rsid w:val="00635DDE"/>
    <w:rsid w:val="0063601B"/>
    <w:rsid w:val="0063616C"/>
    <w:rsid w:val="006365A3"/>
    <w:rsid w:val="00636649"/>
    <w:rsid w:val="006367F2"/>
    <w:rsid w:val="00636818"/>
    <w:rsid w:val="00636B43"/>
    <w:rsid w:val="00636B6A"/>
    <w:rsid w:val="00636CD7"/>
    <w:rsid w:val="00636DBC"/>
    <w:rsid w:val="00637427"/>
    <w:rsid w:val="00637558"/>
    <w:rsid w:val="006376F2"/>
    <w:rsid w:val="006377AA"/>
    <w:rsid w:val="006378CC"/>
    <w:rsid w:val="00637DC8"/>
    <w:rsid w:val="00640432"/>
    <w:rsid w:val="00640531"/>
    <w:rsid w:val="00640661"/>
    <w:rsid w:val="00640BB0"/>
    <w:rsid w:val="00641101"/>
    <w:rsid w:val="00641277"/>
    <w:rsid w:val="00641413"/>
    <w:rsid w:val="00641855"/>
    <w:rsid w:val="00642741"/>
    <w:rsid w:val="00642D09"/>
    <w:rsid w:val="00642ED5"/>
    <w:rsid w:val="00643205"/>
    <w:rsid w:val="0064369A"/>
    <w:rsid w:val="006439C8"/>
    <w:rsid w:val="00643AA2"/>
    <w:rsid w:val="00643B6B"/>
    <w:rsid w:val="00643C56"/>
    <w:rsid w:val="00643CE4"/>
    <w:rsid w:val="00643E41"/>
    <w:rsid w:val="00643FDF"/>
    <w:rsid w:val="00644036"/>
    <w:rsid w:val="00644189"/>
    <w:rsid w:val="00644337"/>
    <w:rsid w:val="00644752"/>
    <w:rsid w:val="006448F4"/>
    <w:rsid w:val="00644921"/>
    <w:rsid w:val="00644E9B"/>
    <w:rsid w:val="00644EFC"/>
    <w:rsid w:val="00644F5C"/>
    <w:rsid w:val="00645701"/>
    <w:rsid w:val="006461C5"/>
    <w:rsid w:val="00646233"/>
    <w:rsid w:val="00646438"/>
    <w:rsid w:val="0064667A"/>
    <w:rsid w:val="0064704F"/>
    <w:rsid w:val="006473E9"/>
    <w:rsid w:val="0064746F"/>
    <w:rsid w:val="006475A1"/>
    <w:rsid w:val="0064764E"/>
    <w:rsid w:val="006476E0"/>
    <w:rsid w:val="00647A72"/>
    <w:rsid w:val="00647B73"/>
    <w:rsid w:val="00650587"/>
    <w:rsid w:val="006505F2"/>
    <w:rsid w:val="00650629"/>
    <w:rsid w:val="006507B2"/>
    <w:rsid w:val="00650919"/>
    <w:rsid w:val="00650B50"/>
    <w:rsid w:val="00650C00"/>
    <w:rsid w:val="00650C53"/>
    <w:rsid w:val="00650DA3"/>
    <w:rsid w:val="00650DC1"/>
    <w:rsid w:val="00650EFD"/>
    <w:rsid w:val="006511A2"/>
    <w:rsid w:val="006518A4"/>
    <w:rsid w:val="00651A58"/>
    <w:rsid w:val="00651E44"/>
    <w:rsid w:val="006523B6"/>
    <w:rsid w:val="00652554"/>
    <w:rsid w:val="00652663"/>
    <w:rsid w:val="006527B2"/>
    <w:rsid w:val="0065289F"/>
    <w:rsid w:val="00652A4A"/>
    <w:rsid w:val="00652D54"/>
    <w:rsid w:val="0065301E"/>
    <w:rsid w:val="0065317B"/>
    <w:rsid w:val="006532C0"/>
    <w:rsid w:val="00653561"/>
    <w:rsid w:val="00653787"/>
    <w:rsid w:val="00653CCE"/>
    <w:rsid w:val="00653E56"/>
    <w:rsid w:val="00654076"/>
    <w:rsid w:val="006542A6"/>
    <w:rsid w:val="00654504"/>
    <w:rsid w:val="0065457A"/>
    <w:rsid w:val="0065489D"/>
    <w:rsid w:val="0065494F"/>
    <w:rsid w:val="00654B92"/>
    <w:rsid w:val="00654E72"/>
    <w:rsid w:val="006552D7"/>
    <w:rsid w:val="006553CB"/>
    <w:rsid w:val="00655403"/>
    <w:rsid w:val="006555F3"/>
    <w:rsid w:val="00655655"/>
    <w:rsid w:val="00655772"/>
    <w:rsid w:val="00655A68"/>
    <w:rsid w:val="006560B4"/>
    <w:rsid w:val="006562C3"/>
    <w:rsid w:val="006563B4"/>
    <w:rsid w:val="0065676B"/>
    <w:rsid w:val="006567FC"/>
    <w:rsid w:val="00656814"/>
    <w:rsid w:val="006568E6"/>
    <w:rsid w:val="00656E20"/>
    <w:rsid w:val="00656E44"/>
    <w:rsid w:val="006570BA"/>
    <w:rsid w:val="006571E2"/>
    <w:rsid w:val="00657358"/>
    <w:rsid w:val="006573F2"/>
    <w:rsid w:val="00657617"/>
    <w:rsid w:val="0065770D"/>
    <w:rsid w:val="00657CF4"/>
    <w:rsid w:val="00657E38"/>
    <w:rsid w:val="00660105"/>
    <w:rsid w:val="0066028D"/>
    <w:rsid w:val="00660452"/>
    <w:rsid w:val="00660468"/>
    <w:rsid w:val="0066083A"/>
    <w:rsid w:val="00660B2A"/>
    <w:rsid w:val="00661058"/>
    <w:rsid w:val="006611E6"/>
    <w:rsid w:val="006612B9"/>
    <w:rsid w:val="006618BA"/>
    <w:rsid w:val="00661AFE"/>
    <w:rsid w:val="006621D1"/>
    <w:rsid w:val="00662ADB"/>
    <w:rsid w:val="00662B33"/>
    <w:rsid w:val="00662BDC"/>
    <w:rsid w:val="00662BF9"/>
    <w:rsid w:val="00662C0F"/>
    <w:rsid w:val="00662D66"/>
    <w:rsid w:val="00662DC4"/>
    <w:rsid w:val="00662F36"/>
    <w:rsid w:val="0066301B"/>
    <w:rsid w:val="00663715"/>
    <w:rsid w:val="006637FF"/>
    <w:rsid w:val="0066394D"/>
    <w:rsid w:val="00663B6A"/>
    <w:rsid w:val="00663D01"/>
    <w:rsid w:val="00663DBB"/>
    <w:rsid w:val="00663DEC"/>
    <w:rsid w:val="00664260"/>
    <w:rsid w:val="006642C0"/>
    <w:rsid w:val="0066441C"/>
    <w:rsid w:val="0066449B"/>
    <w:rsid w:val="00664747"/>
    <w:rsid w:val="00664783"/>
    <w:rsid w:val="00664FF6"/>
    <w:rsid w:val="00665604"/>
    <w:rsid w:val="006656BE"/>
    <w:rsid w:val="0066594D"/>
    <w:rsid w:val="0066598C"/>
    <w:rsid w:val="006659DA"/>
    <w:rsid w:val="006659FB"/>
    <w:rsid w:val="00665A0C"/>
    <w:rsid w:val="00665ABC"/>
    <w:rsid w:val="00665BDC"/>
    <w:rsid w:val="00665C8F"/>
    <w:rsid w:val="00665F58"/>
    <w:rsid w:val="006662B9"/>
    <w:rsid w:val="0066644E"/>
    <w:rsid w:val="006666D1"/>
    <w:rsid w:val="00666735"/>
    <w:rsid w:val="0066681C"/>
    <w:rsid w:val="00666B3F"/>
    <w:rsid w:val="00666C11"/>
    <w:rsid w:val="00666C43"/>
    <w:rsid w:val="00666D27"/>
    <w:rsid w:val="00666DED"/>
    <w:rsid w:val="0066751C"/>
    <w:rsid w:val="00667626"/>
    <w:rsid w:val="00667AC7"/>
    <w:rsid w:val="00667BDA"/>
    <w:rsid w:val="00667D97"/>
    <w:rsid w:val="00667DD0"/>
    <w:rsid w:val="00667E21"/>
    <w:rsid w:val="006700EF"/>
    <w:rsid w:val="006701CD"/>
    <w:rsid w:val="006705C1"/>
    <w:rsid w:val="006707ED"/>
    <w:rsid w:val="00670CB5"/>
    <w:rsid w:val="00670E08"/>
    <w:rsid w:val="00670E18"/>
    <w:rsid w:val="00671482"/>
    <w:rsid w:val="006714DC"/>
    <w:rsid w:val="006717CF"/>
    <w:rsid w:val="00671807"/>
    <w:rsid w:val="00671D65"/>
    <w:rsid w:val="00671DA6"/>
    <w:rsid w:val="006720A7"/>
    <w:rsid w:val="006720F5"/>
    <w:rsid w:val="0067221D"/>
    <w:rsid w:val="006723A9"/>
    <w:rsid w:val="00672481"/>
    <w:rsid w:val="0067272E"/>
    <w:rsid w:val="00672855"/>
    <w:rsid w:val="0067292A"/>
    <w:rsid w:val="00672A32"/>
    <w:rsid w:val="00672D46"/>
    <w:rsid w:val="00672D60"/>
    <w:rsid w:val="00673060"/>
    <w:rsid w:val="00673063"/>
    <w:rsid w:val="006730AA"/>
    <w:rsid w:val="006730B2"/>
    <w:rsid w:val="00673101"/>
    <w:rsid w:val="00673D4E"/>
    <w:rsid w:val="00673DA9"/>
    <w:rsid w:val="00673E3C"/>
    <w:rsid w:val="00673F69"/>
    <w:rsid w:val="0067401E"/>
    <w:rsid w:val="006740FC"/>
    <w:rsid w:val="006744D7"/>
    <w:rsid w:val="00674C75"/>
    <w:rsid w:val="00674DE9"/>
    <w:rsid w:val="00674E03"/>
    <w:rsid w:val="00674FEE"/>
    <w:rsid w:val="006751FA"/>
    <w:rsid w:val="006753E9"/>
    <w:rsid w:val="00675579"/>
    <w:rsid w:val="00675771"/>
    <w:rsid w:val="006758BC"/>
    <w:rsid w:val="006759CD"/>
    <w:rsid w:val="00675BC4"/>
    <w:rsid w:val="00675E1E"/>
    <w:rsid w:val="00675EDA"/>
    <w:rsid w:val="006760CE"/>
    <w:rsid w:val="006760E3"/>
    <w:rsid w:val="006764AF"/>
    <w:rsid w:val="0067654F"/>
    <w:rsid w:val="0067663B"/>
    <w:rsid w:val="006766C5"/>
    <w:rsid w:val="006767CB"/>
    <w:rsid w:val="00676A3A"/>
    <w:rsid w:val="00676C60"/>
    <w:rsid w:val="0067705C"/>
    <w:rsid w:val="006770A6"/>
    <w:rsid w:val="006773B7"/>
    <w:rsid w:val="0067749B"/>
    <w:rsid w:val="006775FE"/>
    <w:rsid w:val="00677658"/>
    <w:rsid w:val="00677931"/>
    <w:rsid w:val="0067795A"/>
    <w:rsid w:val="00680339"/>
    <w:rsid w:val="0068040A"/>
    <w:rsid w:val="006806E4"/>
    <w:rsid w:val="00680B5C"/>
    <w:rsid w:val="00680CA2"/>
    <w:rsid w:val="00680F19"/>
    <w:rsid w:val="00681220"/>
    <w:rsid w:val="00681857"/>
    <w:rsid w:val="00681B0B"/>
    <w:rsid w:val="00681B68"/>
    <w:rsid w:val="00681B80"/>
    <w:rsid w:val="006824CB"/>
    <w:rsid w:val="006827E2"/>
    <w:rsid w:val="006828FE"/>
    <w:rsid w:val="00682966"/>
    <w:rsid w:val="00683130"/>
    <w:rsid w:val="006835F7"/>
    <w:rsid w:val="00683933"/>
    <w:rsid w:val="00683EDA"/>
    <w:rsid w:val="00683F0C"/>
    <w:rsid w:val="00684219"/>
    <w:rsid w:val="00684223"/>
    <w:rsid w:val="0068498A"/>
    <w:rsid w:val="00684FF2"/>
    <w:rsid w:val="0068544E"/>
    <w:rsid w:val="006854B6"/>
    <w:rsid w:val="00685579"/>
    <w:rsid w:val="00685594"/>
    <w:rsid w:val="00685635"/>
    <w:rsid w:val="0068590B"/>
    <w:rsid w:val="00685ED0"/>
    <w:rsid w:val="006860EB"/>
    <w:rsid w:val="00686605"/>
    <w:rsid w:val="0068687E"/>
    <w:rsid w:val="006873A5"/>
    <w:rsid w:val="0068770B"/>
    <w:rsid w:val="0068776B"/>
    <w:rsid w:val="00687C48"/>
    <w:rsid w:val="00687CF9"/>
    <w:rsid w:val="00690414"/>
    <w:rsid w:val="00690479"/>
    <w:rsid w:val="00690C85"/>
    <w:rsid w:val="00690C92"/>
    <w:rsid w:val="00690DC1"/>
    <w:rsid w:val="00691043"/>
    <w:rsid w:val="00691080"/>
    <w:rsid w:val="006910D3"/>
    <w:rsid w:val="00691533"/>
    <w:rsid w:val="00691A5D"/>
    <w:rsid w:val="00691EF2"/>
    <w:rsid w:val="0069220E"/>
    <w:rsid w:val="006924CA"/>
    <w:rsid w:val="0069269C"/>
    <w:rsid w:val="0069275F"/>
    <w:rsid w:val="00692810"/>
    <w:rsid w:val="00692A56"/>
    <w:rsid w:val="00692D28"/>
    <w:rsid w:val="00692E49"/>
    <w:rsid w:val="00692FDB"/>
    <w:rsid w:val="006933AC"/>
    <w:rsid w:val="00693617"/>
    <w:rsid w:val="006936E3"/>
    <w:rsid w:val="00693C3D"/>
    <w:rsid w:val="00693C55"/>
    <w:rsid w:val="00693FFE"/>
    <w:rsid w:val="00694115"/>
    <w:rsid w:val="0069423A"/>
    <w:rsid w:val="00694295"/>
    <w:rsid w:val="00694397"/>
    <w:rsid w:val="00694426"/>
    <w:rsid w:val="006948F5"/>
    <w:rsid w:val="00694E16"/>
    <w:rsid w:val="006950D9"/>
    <w:rsid w:val="006959AC"/>
    <w:rsid w:val="00695D3A"/>
    <w:rsid w:val="00695E83"/>
    <w:rsid w:val="00696553"/>
    <w:rsid w:val="006967A8"/>
    <w:rsid w:val="00696801"/>
    <w:rsid w:val="00696B6C"/>
    <w:rsid w:val="00696EEC"/>
    <w:rsid w:val="00697000"/>
    <w:rsid w:val="006972F2"/>
    <w:rsid w:val="00697482"/>
    <w:rsid w:val="006974A5"/>
    <w:rsid w:val="006975DC"/>
    <w:rsid w:val="006975EF"/>
    <w:rsid w:val="00697654"/>
    <w:rsid w:val="00697706"/>
    <w:rsid w:val="00697957"/>
    <w:rsid w:val="00697CB6"/>
    <w:rsid w:val="006A0210"/>
    <w:rsid w:val="006A02EB"/>
    <w:rsid w:val="006A03C2"/>
    <w:rsid w:val="006A0BB1"/>
    <w:rsid w:val="006A1525"/>
    <w:rsid w:val="006A1547"/>
    <w:rsid w:val="006A1A1F"/>
    <w:rsid w:val="006A1B88"/>
    <w:rsid w:val="006A1D41"/>
    <w:rsid w:val="006A1DC1"/>
    <w:rsid w:val="006A1F05"/>
    <w:rsid w:val="006A2180"/>
    <w:rsid w:val="006A2286"/>
    <w:rsid w:val="006A239A"/>
    <w:rsid w:val="006A23CC"/>
    <w:rsid w:val="006A24C9"/>
    <w:rsid w:val="006A2672"/>
    <w:rsid w:val="006A2691"/>
    <w:rsid w:val="006A2EAE"/>
    <w:rsid w:val="006A2FF7"/>
    <w:rsid w:val="006A38E7"/>
    <w:rsid w:val="006A39D0"/>
    <w:rsid w:val="006A3B14"/>
    <w:rsid w:val="006A41F6"/>
    <w:rsid w:val="006A43A6"/>
    <w:rsid w:val="006A4D74"/>
    <w:rsid w:val="006A4E87"/>
    <w:rsid w:val="006A4F71"/>
    <w:rsid w:val="006A50B9"/>
    <w:rsid w:val="006A50FB"/>
    <w:rsid w:val="006A519A"/>
    <w:rsid w:val="006A53BE"/>
    <w:rsid w:val="006A54AB"/>
    <w:rsid w:val="006A583C"/>
    <w:rsid w:val="006A5A85"/>
    <w:rsid w:val="006A606E"/>
    <w:rsid w:val="006A60CF"/>
    <w:rsid w:val="006A6291"/>
    <w:rsid w:val="006A6443"/>
    <w:rsid w:val="006A6CAD"/>
    <w:rsid w:val="006A7022"/>
    <w:rsid w:val="006A726B"/>
    <w:rsid w:val="006A743B"/>
    <w:rsid w:val="006A7782"/>
    <w:rsid w:val="006A77DC"/>
    <w:rsid w:val="006B00A0"/>
    <w:rsid w:val="006B03D8"/>
    <w:rsid w:val="006B09E3"/>
    <w:rsid w:val="006B0B9A"/>
    <w:rsid w:val="006B0CA8"/>
    <w:rsid w:val="006B0E59"/>
    <w:rsid w:val="006B0E83"/>
    <w:rsid w:val="006B10C0"/>
    <w:rsid w:val="006B1366"/>
    <w:rsid w:val="006B15D0"/>
    <w:rsid w:val="006B16AE"/>
    <w:rsid w:val="006B1741"/>
    <w:rsid w:val="006B1D94"/>
    <w:rsid w:val="006B1E06"/>
    <w:rsid w:val="006B1F3F"/>
    <w:rsid w:val="006B204C"/>
    <w:rsid w:val="006B2116"/>
    <w:rsid w:val="006B2197"/>
    <w:rsid w:val="006B24B3"/>
    <w:rsid w:val="006B24BA"/>
    <w:rsid w:val="006B254B"/>
    <w:rsid w:val="006B258F"/>
    <w:rsid w:val="006B25F7"/>
    <w:rsid w:val="006B277F"/>
    <w:rsid w:val="006B2811"/>
    <w:rsid w:val="006B28C9"/>
    <w:rsid w:val="006B29F1"/>
    <w:rsid w:val="006B2D63"/>
    <w:rsid w:val="006B2FC5"/>
    <w:rsid w:val="006B3128"/>
    <w:rsid w:val="006B315E"/>
    <w:rsid w:val="006B352F"/>
    <w:rsid w:val="006B3949"/>
    <w:rsid w:val="006B3D83"/>
    <w:rsid w:val="006B3D95"/>
    <w:rsid w:val="006B3EB1"/>
    <w:rsid w:val="006B3ED7"/>
    <w:rsid w:val="006B4036"/>
    <w:rsid w:val="006B43EC"/>
    <w:rsid w:val="006B45C8"/>
    <w:rsid w:val="006B492F"/>
    <w:rsid w:val="006B51F1"/>
    <w:rsid w:val="006B51F5"/>
    <w:rsid w:val="006B52E3"/>
    <w:rsid w:val="006B5856"/>
    <w:rsid w:val="006B6296"/>
    <w:rsid w:val="006B645D"/>
    <w:rsid w:val="006B650D"/>
    <w:rsid w:val="006B6817"/>
    <w:rsid w:val="006B6EE7"/>
    <w:rsid w:val="006B6F3E"/>
    <w:rsid w:val="006B7297"/>
    <w:rsid w:val="006B7E1B"/>
    <w:rsid w:val="006B7EAF"/>
    <w:rsid w:val="006C013A"/>
    <w:rsid w:val="006C0844"/>
    <w:rsid w:val="006C0D88"/>
    <w:rsid w:val="006C0E75"/>
    <w:rsid w:val="006C0EFB"/>
    <w:rsid w:val="006C1258"/>
    <w:rsid w:val="006C1421"/>
    <w:rsid w:val="006C142B"/>
    <w:rsid w:val="006C1491"/>
    <w:rsid w:val="006C1955"/>
    <w:rsid w:val="006C1C0D"/>
    <w:rsid w:val="006C1C95"/>
    <w:rsid w:val="006C1ECF"/>
    <w:rsid w:val="006C1F10"/>
    <w:rsid w:val="006C2269"/>
    <w:rsid w:val="006C229E"/>
    <w:rsid w:val="006C23DA"/>
    <w:rsid w:val="006C2479"/>
    <w:rsid w:val="006C25C1"/>
    <w:rsid w:val="006C2616"/>
    <w:rsid w:val="006C273E"/>
    <w:rsid w:val="006C2824"/>
    <w:rsid w:val="006C2F63"/>
    <w:rsid w:val="006C34E5"/>
    <w:rsid w:val="006C37E7"/>
    <w:rsid w:val="006C380C"/>
    <w:rsid w:val="006C38F6"/>
    <w:rsid w:val="006C3ABA"/>
    <w:rsid w:val="006C3B42"/>
    <w:rsid w:val="006C3D29"/>
    <w:rsid w:val="006C4731"/>
    <w:rsid w:val="006C49A8"/>
    <w:rsid w:val="006C4C62"/>
    <w:rsid w:val="006C50F9"/>
    <w:rsid w:val="006C549C"/>
    <w:rsid w:val="006C5628"/>
    <w:rsid w:val="006C590D"/>
    <w:rsid w:val="006C5A76"/>
    <w:rsid w:val="006C5BC9"/>
    <w:rsid w:val="006C6218"/>
    <w:rsid w:val="006C6257"/>
    <w:rsid w:val="006C6803"/>
    <w:rsid w:val="006C6B9C"/>
    <w:rsid w:val="006C7012"/>
    <w:rsid w:val="006C7240"/>
    <w:rsid w:val="006C73E5"/>
    <w:rsid w:val="006C7A28"/>
    <w:rsid w:val="006C7B01"/>
    <w:rsid w:val="006C7CA3"/>
    <w:rsid w:val="006C7E83"/>
    <w:rsid w:val="006D0336"/>
    <w:rsid w:val="006D0A5A"/>
    <w:rsid w:val="006D0BB2"/>
    <w:rsid w:val="006D0D66"/>
    <w:rsid w:val="006D0E86"/>
    <w:rsid w:val="006D123B"/>
    <w:rsid w:val="006D1274"/>
    <w:rsid w:val="006D14FB"/>
    <w:rsid w:val="006D1865"/>
    <w:rsid w:val="006D19B0"/>
    <w:rsid w:val="006D1E4F"/>
    <w:rsid w:val="006D21ED"/>
    <w:rsid w:val="006D223C"/>
    <w:rsid w:val="006D27E0"/>
    <w:rsid w:val="006D2E4B"/>
    <w:rsid w:val="006D2E76"/>
    <w:rsid w:val="006D2E84"/>
    <w:rsid w:val="006D30FB"/>
    <w:rsid w:val="006D311F"/>
    <w:rsid w:val="006D330A"/>
    <w:rsid w:val="006D33EA"/>
    <w:rsid w:val="006D3591"/>
    <w:rsid w:val="006D35E4"/>
    <w:rsid w:val="006D3728"/>
    <w:rsid w:val="006D3878"/>
    <w:rsid w:val="006D3A63"/>
    <w:rsid w:val="006D3A78"/>
    <w:rsid w:val="006D3B26"/>
    <w:rsid w:val="006D3EEB"/>
    <w:rsid w:val="006D404B"/>
    <w:rsid w:val="006D4259"/>
    <w:rsid w:val="006D47D6"/>
    <w:rsid w:val="006D4CA5"/>
    <w:rsid w:val="006D4F1F"/>
    <w:rsid w:val="006D5079"/>
    <w:rsid w:val="006D508C"/>
    <w:rsid w:val="006D541C"/>
    <w:rsid w:val="006D5590"/>
    <w:rsid w:val="006D59DB"/>
    <w:rsid w:val="006D5F8C"/>
    <w:rsid w:val="006D5FE0"/>
    <w:rsid w:val="006D6248"/>
    <w:rsid w:val="006D6CCC"/>
    <w:rsid w:val="006D6CFA"/>
    <w:rsid w:val="006D6D5C"/>
    <w:rsid w:val="006D6E99"/>
    <w:rsid w:val="006D6F71"/>
    <w:rsid w:val="006D71E8"/>
    <w:rsid w:val="006D76EF"/>
    <w:rsid w:val="006D7756"/>
    <w:rsid w:val="006D78DE"/>
    <w:rsid w:val="006D7BC6"/>
    <w:rsid w:val="006D7DB6"/>
    <w:rsid w:val="006D7DDE"/>
    <w:rsid w:val="006D7F93"/>
    <w:rsid w:val="006D7F96"/>
    <w:rsid w:val="006E038E"/>
    <w:rsid w:val="006E050D"/>
    <w:rsid w:val="006E1131"/>
    <w:rsid w:val="006E1235"/>
    <w:rsid w:val="006E14F6"/>
    <w:rsid w:val="006E1511"/>
    <w:rsid w:val="006E1597"/>
    <w:rsid w:val="006E163A"/>
    <w:rsid w:val="006E16AB"/>
    <w:rsid w:val="006E18BC"/>
    <w:rsid w:val="006E1CFB"/>
    <w:rsid w:val="006E1F3B"/>
    <w:rsid w:val="006E2315"/>
    <w:rsid w:val="006E23B3"/>
    <w:rsid w:val="006E24F0"/>
    <w:rsid w:val="006E28E6"/>
    <w:rsid w:val="006E2960"/>
    <w:rsid w:val="006E2D20"/>
    <w:rsid w:val="006E2E06"/>
    <w:rsid w:val="006E2ED4"/>
    <w:rsid w:val="006E323A"/>
    <w:rsid w:val="006E3524"/>
    <w:rsid w:val="006E3742"/>
    <w:rsid w:val="006E3A20"/>
    <w:rsid w:val="006E3B07"/>
    <w:rsid w:val="006E3B67"/>
    <w:rsid w:val="006E3FC4"/>
    <w:rsid w:val="006E42B2"/>
    <w:rsid w:val="006E44E0"/>
    <w:rsid w:val="006E4723"/>
    <w:rsid w:val="006E476F"/>
    <w:rsid w:val="006E4950"/>
    <w:rsid w:val="006E4A81"/>
    <w:rsid w:val="006E4F34"/>
    <w:rsid w:val="006E5119"/>
    <w:rsid w:val="006E5230"/>
    <w:rsid w:val="006E526F"/>
    <w:rsid w:val="006E551D"/>
    <w:rsid w:val="006E5E28"/>
    <w:rsid w:val="006E625C"/>
    <w:rsid w:val="006E6574"/>
    <w:rsid w:val="006E65BC"/>
    <w:rsid w:val="006E6BDD"/>
    <w:rsid w:val="006E70BA"/>
    <w:rsid w:val="006E7346"/>
    <w:rsid w:val="006E7B32"/>
    <w:rsid w:val="006F0866"/>
    <w:rsid w:val="006F118A"/>
    <w:rsid w:val="006F12F8"/>
    <w:rsid w:val="006F17C4"/>
    <w:rsid w:val="006F1ED8"/>
    <w:rsid w:val="006F2077"/>
    <w:rsid w:val="006F21C2"/>
    <w:rsid w:val="006F21DB"/>
    <w:rsid w:val="006F25E2"/>
    <w:rsid w:val="006F26D0"/>
    <w:rsid w:val="006F2751"/>
    <w:rsid w:val="006F2877"/>
    <w:rsid w:val="006F29B9"/>
    <w:rsid w:val="006F2C71"/>
    <w:rsid w:val="006F2D53"/>
    <w:rsid w:val="006F2EA4"/>
    <w:rsid w:val="006F2FB2"/>
    <w:rsid w:val="006F3208"/>
    <w:rsid w:val="006F3358"/>
    <w:rsid w:val="006F33BF"/>
    <w:rsid w:val="006F35E5"/>
    <w:rsid w:val="006F36D4"/>
    <w:rsid w:val="006F4005"/>
    <w:rsid w:val="006F408F"/>
    <w:rsid w:val="006F40C9"/>
    <w:rsid w:val="006F4145"/>
    <w:rsid w:val="006F41F5"/>
    <w:rsid w:val="006F423C"/>
    <w:rsid w:val="006F42D0"/>
    <w:rsid w:val="006F4484"/>
    <w:rsid w:val="006F44AF"/>
    <w:rsid w:val="006F4ACA"/>
    <w:rsid w:val="006F4ADD"/>
    <w:rsid w:val="006F4BFE"/>
    <w:rsid w:val="006F4C87"/>
    <w:rsid w:val="006F5654"/>
    <w:rsid w:val="006F57A5"/>
    <w:rsid w:val="006F5E39"/>
    <w:rsid w:val="006F613C"/>
    <w:rsid w:val="006F6227"/>
    <w:rsid w:val="006F6374"/>
    <w:rsid w:val="006F6423"/>
    <w:rsid w:val="006F675D"/>
    <w:rsid w:val="006F6C16"/>
    <w:rsid w:val="006F6D01"/>
    <w:rsid w:val="006F6E05"/>
    <w:rsid w:val="006F6E50"/>
    <w:rsid w:val="006F6EAD"/>
    <w:rsid w:val="006F6EF4"/>
    <w:rsid w:val="006F70EF"/>
    <w:rsid w:val="006F7315"/>
    <w:rsid w:val="006F738F"/>
    <w:rsid w:val="006F74E4"/>
    <w:rsid w:val="006F7597"/>
    <w:rsid w:val="006F79DE"/>
    <w:rsid w:val="006F7CDF"/>
    <w:rsid w:val="006F7D12"/>
    <w:rsid w:val="006F7D6E"/>
    <w:rsid w:val="0070006E"/>
    <w:rsid w:val="00700214"/>
    <w:rsid w:val="007005F1"/>
    <w:rsid w:val="00700813"/>
    <w:rsid w:val="007008A5"/>
    <w:rsid w:val="00700BBF"/>
    <w:rsid w:val="00700DB7"/>
    <w:rsid w:val="00700EC5"/>
    <w:rsid w:val="00701150"/>
    <w:rsid w:val="0070130A"/>
    <w:rsid w:val="007013DD"/>
    <w:rsid w:val="00701484"/>
    <w:rsid w:val="00701B94"/>
    <w:rsid w:val="00701E42"/>
    <w:rsid w:val="00702368"/>
    <w:rsid w:val="0070246F"/>
    <w:rsid w:val="00702512"/>
    <w:rsid w:val="00702973"/>
    <w:rsid w:val="00702B46"/>
    <w:rsid w:val="00702D0C"/>
    <w:rsid w:val="00702F67"/>
    <w:rsid w:val="00703CC7"/>
    <w:rsid w:val="007046C7"/>
    <w:rsid w:val="007048A1"/>
    <w:rsid w:val="007048AA"/>
    <w:rsid w:val="00704A7A"/>
    <w:rsid w:val="00704E91"/>
    <w:rsid w:val="00704F7C"/>
    <w:rsid w:val="00705191"/>
    <w:rsid w:val="0070521A"/>
    <w:rsid w:val="00705549"/>
    <w:rsid w:val="007057B9"/>
    <w:rsid w:val="00705958"/>
    <w:rsid w:val="00705A69"/>
    <w:rsid w:val="00705CE0"/>
    <w:rsid w:val="00705D1D"/>
    <w:rsid w:val="00705FB7"/>
    <w:rsid w:val="00706074"/>
    <w:rsid w:val="00706243"/>
    <w:rsid w:val="007064F2"/>
    <w:rsid w:val="007065D6"/>
    <w:rsid w:val="0070667C"/>
    <w:rsid w:val="00706700"/>
    <w:rsid w:val="007068A0"/>
    <w:rsid w:val="00706BF9"/>
    <w:rsid w:val="00706C83"/>
    <w:rsid w:val="00706CE3"/>
    <w:rsid w:val="00706E4B"/>
    <w:rsid w:val="00706EE8"/>
    <w:rsid w:val="00707069"/>
    <w:rsid w:val="00707415"/>
    <w:rsid w:val="007079F8"/>
    <w:rsid w:val="00707C06"/>
    <w:rsid w:val="00707E76"/>
    <w:rsid w:val="00710029"/>
    <w:rsid w:val="0071007C"/>
    <w:rsid w:val="007101E8"/>
    <w:rsid w:val="0071036A"/>
    <w:rsid w:val="007106C6"/>
    <w:rsid w:val="00710779"/>
    <w:rsid w:val="0071085D"/>
    <w:rsid w:val="007108A3"/>
    <w:rsid w:val="00710988"/>
    <w:rsid w:val="00710A10"/>
    <w:rsid w:val="007114D9"/>
    <w:rsid w:val="007115D2"/>
    <w:rsid w:val="007117F5"/>
    <w:rsid w:val="00711812"/>
    <w:rsid w:val="00711AF0"/>
    <w:rsid w:val="00711DD2"/>
    <w:rsid w:val="00712128"/>
    <w:rsid w:val="007121C6"/>
    <w:rsid w:val="007122CC"/>
    <w:rsid w:val="0071262E"/>
    <w:rsid w:val="0071272E"/>
    <w:rsid w:val="007127B6"/>
    <w:rsid w:val="0071288F"/>
    <w:rsid w:val="0071296A"/>
    <w:rsid w:val="00712C64"/>
    <w:rsid w:val="00712DC3"/>
    <w:rsid w:val="00712FE0"/>
    <w:rsid w:val="007131A4"/>
    <w:rsid w:val="007131B4"/>
    <w:rsid w:val="007131F9"/>
    <w:rsid w:val="0071324E"/>
    <w:rsid w:val="00713E57"/>
    <w:rsid w:val="0071435F"/>
    <w:rsid w:val="007143F4"/>
    <w:rsid w:val="00714602"/>
    <w:rsid w:val="00714696"/>
    <w:rsid w:val="0071487B"/>
    <w:rsid w:val="007148D9"/>
    <w:rsid w:val="00714CF2"/>
    <w:rsid w:val="00714D9E"/>
    <w:rsid w:val="00715271"/>
    <w:rsid w:val="007156B9"/>
    <w:rsid w:val="00715B8C"/>
    <w:rsid w:val="00715C2C"/>
    <w:rsid w:val="007161CC"/>
    <w:rsid w:val="007164DF"/>
    <w:rsid w:val="00716588"/>
    <w:rsid w:val="007169C5"/>
    <w:rsid w:val="00716D06"/>
    <w:rsid w:val="00716D3A"/>
    <w:rsid w:val="00716EC3"/>
    <w:rsid w:val="00716EFE"/>
    <w:rsid w:val="0071790D"/>
    <w:rsid w:val="00717BA1"/>
    <w:rsid w:val="00717CDD"/>
    <w:rsid w:val="00717E7C"/>
    <w:rsid w:val="00717F12"/>
    <w:rsid w:val="00720207"/>
    <w:rsid w:val="00720228"/>
    <w:rsid w:val="007203EA"/>
    <w:rsid w:val="00720425"/>
    <w:rsid w:val="00720563"/>
    <w:rsid w:val="007205C8"/>
    <w:rsid w:val="007205F4"/>
    <w:rsid w:val="00720817"/>
    <w:rsid w:val="00720886"/>
    <w:rsid w:val="007209B6"/>
    <w:rsid w:val="007212B0"/>
    <w:rsid w:val="00721424"/>
    <w:rsid w:val="00721656"/>
    <w:rsid w:val="00721C0A"/>
    <w:rsid w:val="00721CF7"/>
    <w:rsid w:val="00722357"/>
    <w:rsid w:val="007227A9"/>
    <w:rsid w:val="007227F1"/>
    <w:rsid w:val="00722850"/>
    <w:rsid w:val="007228D4"/>
    <w:rsid w:val="00722937"/>
    <w:rsid w:val="007229B5"/>
    <w:rsid w:val="00722A5A"/>
    <w:rsid w:val="00723002"/>
    <w:rsid w:val="007231B5"/>
    <w:rsid w:val="007237A5"/>
    <w:rsid w:val="0072395F"/>
    <w:rsid w:val="00723A65"/>
    <w:rsid w:val="00723B61"/>
    <w:rsid w:val="00723BD2"/>
    <w:rsid w:val="00723F78"/>
    <w:rsid w:val="00724106"/>
    <w:rsid w:val="0072421B"/>
    <w:rsid w:val="007244AE"/>
    <w:rsid w:val="007247AD"/>
    <w:rsid w:val="00724869"/>
    <w:rsid w:val="007248DC"/>
    <w:rsid w:val="00724B9E"/>
    <w:rsid w:val="00725124"/>
    <w:rsid w:val="007253AE"/>
    <w:rsid w:val="0072545D"/>
    <w:rsid w:val="007254DB"/>
    <w:rsid w:val="00725570"/>
    <w:rsid w:val="00725693"/>
    <w:rsid w:val="00725700"/>
    <w:rsid w:val="0072570B"/>
    <w:rsid w:val="00725754"/>
    <w:rsid w:val="007258DA"/>
    <w:rsid w:val="00725BF8"/>
    <w:rsid w:val="00725F65"/>
    <w:rsid w:val="00725F70"/>
    <w:rsid w:val="00726409"/>
    <w:rsid w:val="00726411"/>
    <w:rsid w:val="0072670A"/>
    <w:rsid w:val="007267D3"/>
    <w:rsid w:val="0072687F"/>
    <w:rsid w:val="0072695E"/>
    <w:rsid w:val="00726BA9"/>
    <w:rsid w:val="00726F7F"/>
    <w:rsid w:val="007272F2"/>
    <w:rsid w:val="00727491"/>
    <w:rsid w:val="007275A5"/>
    <w:rsid w:val="0072791E"/>
    <w:rsid w:val="00727AA2"/>
    <w:rsid w:val="00727D47"/>
    <w:rsid w:val="00730102"/>
    <w:rsid w:val="0073030A"/>
    <w:rsid w:val="007303C8"/>
    <w:rsid w:val="00730460"/>
    <w:rsid w:val="00730596"/>
    <w:rsid w:val="00730A47"/>
    <w:rsid w:val="00730A80"/>
    <w:rsid w:val="00730C68"/>
    <w:rsid w:val="0073101D"/>
    <w:rsid w:val="00731287"/>
    <w:rsid w:val="007315B6"/>
    <w:rsid w:val="00731725"/>
    <w:rsid w:val="007318F5"/>
    <w:rsid w:val="00731C71"/>
    <w:rsid w:val="00731DE1"/>
    <w:rsid w:val="00731F8D"/>
    <w:rsid w:val="007320A3"/>
    <w:rsid w:val="0073251F"/>
    <w:rsid w:val="00732AFF"/>
    <w:rsid w:val="0073327A"/>
    <w:rsid w:val="0073329E"/>
    <w:rsid w:val="0073353F"/>
    <w:rsid w:val="007339BE"/>
    <w:rsid w:val="00733A03"/>
    <w:rsid w:val="00733B9B"/>
    <w:rsid w:val="00734344"/>
    <w:rsid w:val="007344E5"/>
    <w:rsid w:val="00734561"/>
    <w:rsid w:val="007345E2"/>
    <w:rsid w:val="00734A4D"/>
    <w:rsid w:val="00734E6B"/>
    <w:rsid w:val="00734F9B"/>
    <w:rsid w:val="00735003"/>
    <w:rsid w:val="00735321"/>
    <w:rsid w:val="007354F0"/>
    <w:rsid w:val="007357E0"/>
    <w:rsid w:val="00735A91"/>
    <w:rsid w:val="00735DC8"/>
    <w:rsid w:val="00735FF3"/>
    <w:rsid w:val="00736222"/>
    <w:rsid w:val="007364E0"/>
    <w:rsid w:val="00736777"/>
    <w:rsid w:val="007368FE"/>
    <w:rsid w:val="00736CF5"/>
    <w:rsid w:val="00736EAC"/>
    <w:rsid w:val="00737227"/>
    <w:rsid w:val="00737451"/>
    <w:rsid w:val="0073756B"/>
    <w:rsid w:val="00737576"/>
    <w:rsid w:val="007376E5"/>
    <w:rsid w:val="00737715"/>
    <w:rsid w:val="0073790F"/>
    <w:rsid w:val="007379A9"/>
    <w:rsid w:val="00737B02"/>
    <w:rsid w:val="00737BB5"/>
    <w:rsid w:val="00737D80"/>
    <w:rsid w:val="00737F2A"/>
    <w:rsid w:val="00737FCF"/>
    <w:rsid w:val="007401C2"/>
    <w:rsid w:val="00740446"/>
    <w:rsid w:val="007404F1"/>
    <w:rsid w:val="00740543"/>
    <w:rsid w:val="007409AC"/>
    <w:rsid w:val="00740BA4"/>
    <w:rsid w:val="00740CCF"/>
    <w:rsid w:val="00740E71"/>
    <w:rsid w:val="007413DE"/>
    <w:rsid w:val="0074152C"/>
    <w:rsid w:val="007415F1"/>
    <w:rsid w:val="007416E3"/>
    <w:rsid w:val="0074178B"/>
    <w:rsid w:val="00741C3B"/>
    <w:rsid w:val="00741C5E"/>
    <w:rsid w:val="00742656"/>
    <w:rsid w:val="00742705"/>
    <w:rsid w:val="0074272D"/>
    <w:rsid w:val="00742B4B"/>
    <w:rsid w:val="00742E45"/>
    <w:rsid w:val="00742FF2"/>
    <w:rsid w:val="007430CA"/>
    <w:rsid w:val="00743780"/>
    <w:rsid w:val="00743DA8"/>
    <w:rsid w:val="00743FB2"/>
    <w:rsid w:val="00743FFC"/>
    <w:rsid w:val="00744003"/>
    <w:rsid w:val="007441AB"/>
    <w:rsid w:val="0074466F"/>
    <w:rsid w:val="007446FD"/>
    <w:rsid w:val="007447AF"/>
    <w:rsid w:val="00744ADF"/>
    <w:rsid w:val="00744F75"/>
    <w:rsid w:val="0074514E"/>
    <w:rsid w:val="0074531E"/>
    <w:rsid w:val="007453A4"/>
    <w:rsid w:val="007453D6"/>
    <w:rsid w:val="00745CE2"/>
    <w:rsid w:val="0074604E"/>
    <w:rsid w:val="00746050"/>
    <w:rsid w:val="007465E2"/>
    <w:rsid w:val="00746716"/>
    <w:rsid w:val="00746B66"/>
    <w:rsid w:val="00746BD6"/>
    <w:rsid w:val="00746C02"/>
    <w:rsid w:val="00746D1D"/>
    <w:rsid w:val="00747A12"/>
    <w:rsid w:val="00747BCE"/>
    <w:rsid w:val="00747C06"/>
    <w:rsid w:val="00747C94"/>
    <w:rsid w:val="007503C9"/>
    <w:rsid w:val="00750597"/>
    <w:rsid w:val="00750816"/>
    <w:rsid w:val="00750CC8"/>
    <w:rsid w:val="00750D94"/>
    <w:rsid w:val="00750EA1"/>
    <w:rsid w:val="00750EB4"/>
    <w:rsid w:val="00750EEB"/>
    <w:rsid w:val="007514B0"/>
    <w:rsid w:val="007519E5"/>
    <w:rsid w:val="007520F1"/>
    <w:rsid w:val="0075236F"/>
    <w:rsid w:val="0075243C"/>
    <w:rsid w:val="0075246A"/>
    <w:rsid w:val="00752747"/>
    <w:rsid w:val="00752A26"/>
    <w:rsid w:val="00752BE6"/>
    <w:rsid w:val="00752BEC"/>
    <w:rsid w:val="00752C59"/>
    <w:rsid w:val="00752D67"/>
    <w:rsid w:val="00752DD6"/>
    <w:rsid w:val="00752DFE"/>
    <w:rsid w:val="00753152"/>
    <w:rsid w:val="00753174"/>
    <w:rsid w:val="007534C7"/>
    <w:rsid w:val="007536C5"/>
    <w:rsid w:val="00753C1F"/>
    <w:rsid w:val="00753E11"/>
    <w:rsid w:val="007540DC"/>
    <w:rsid w:val="00754173"/>
    <w:rsid w:val="0075473A"/>
    <w:rsid w:val="00754CE9"/>
    <w:rsid w:val="00754D2E"/>
    <w:rsid w:val="00754E79"/>
    <w:rsid w:val="00754ED1"/>
    <w:rsid w:val="00755204"/>
    <w:rsid w:val="00755325"/>
    <w:rsid w:val="0075573D"/>
    <w:rsid w:val="00755C21"/>
    <w:rsid w:val="00755D16"/>
    <w:rsid w:val="00755DD5"/>
    <w:rsid w:val="00755EA9"/>
    <w:rsid w:val="00756693"/>
    <w:rsid w:val="00756879"/>
    <w:rsid w:val="007568DE"/>
    <w:rsid w:val="00756D7B"/>
    <w:rsid w:val="00757361"/>
    <w:rsid w:val="0075756C"/>
    <w:rsid w:val="0075763C"/>
    <w:rsid w:val="0075781C"/>
    <w:rsid w:val="0075785C"/>
    <w:rsid w:val="00757C8B"/>
    <w:rsid w:val="00757D0B"/>
    <w:rsid w:val="00757D10"/>
    <w:rsid w:val="00757DA9"/>
    <w:rsid w:val="007600B9"/>
    <w:rsid w:val="00760292"/>
    <w:rsid w:val="007603F6"/>
    <w:rsid w:val="00760937"/>
    <w:rsid w:val="007609E4"/>
    <w:rsid w:val="00760B56"/>
    <w:rsid w:val="00760CE8"/>
    <w:rsid w:val="00760F8C"/>
    <w:rsid w:val="00761237"/>
    <w:rsid w:val="00761315"/>
    <w:rsid w:val="00761689"/>
    <w:rsid w:val="0076199B"/>
    <w:rsid w:val="00761A9A"/>
    <w:rsid w:val="00761B29"/>
    <w:rsid w:val="00761E3D"/>
    <w:rsid w:val="00762703"/>
    <w:rsid w:val="00762A87"/>
    <w:rsid w:val="00762B01"/>
    <w:rsid w:val="00762B33"/>
    <w:rsid w:val="00762F60"/>
    <w:rsid w:val="0076339C"/>
    <w:rsid w:val="00763542"/>
    <w:rsid w:val="00763856"/>
    <w:rsid w:val="00764757"/>
    <w:rsid w:val="007648CC"/>
    <w:rsid w:val="0076497B"/>
    <w:rsid w:val="00764CB0"/>
    <w:rsid w:val="00764EBE"/>
    <w:rsid w:val="00764EDA"/>
    <w:rsid w:val="00764F5A"/>
    <w:rsid w:val="00765041"/>
    <w:rsid w:val="00765236"/>
    <w:rsid w:val="0076537C"/>
    <w:rsid w:val="0076550B"/>
    <w:rsid w:val="007657C1"/>
    <w:rsid w:val="007658EC"/>
    <w:rsid w:val="00765D6E"/>
    <w:rsid w:val="00765FFB"/>
    <w:rsid w:val="00766292"/>
    <w:rsid w:val="00766EEF"/>
    <w:rsid w:val="00766FC3"/>
    <w:rsid w:val="00767221"/>
    <w:rsid w:val="007674F2"/>
    <w:rsid w:val="007676E3"/>
    <w:rsid w:val="00767A64"/>
    <w:rsid w:val="00767A90"/>
    <w:rsid w:val="007706F0"/>
    <w:rsid w:val="0077074F"/>
    <w:rsid w:val="00770788"/>
    <w:rsid w:val="00770956"/>
    <w:rsid w:val="00770B65"/>
    <w:rsid w:val="00770F2E"/>
    <w:rsid w:val="00771087"/>
    <w:rsid w:val="007711D9"/>
    <w:rsid w:val="007715ED"/>
    <w:rsid w:val="0077173E"/>
    <w:rsid w:val="0077177F"/>
    <w:rsid w:val="007717CD"/>
    <w:rsid w:val="00771A96"/>
    <w:rsid w:val="00771AB5"/>
    <w:rsid w:val="00771B22"/>
    <w:rsid w:val="00771BCC"/>
    <w:rsid w:val="00771CA9"/>
    <w:rsid w:val="00771DE2"/>
    <w:rsid w:val="00772176"/>
    <w:rsid w:val="0077253B"/>
    <w:rsid w:val="00772E31"/>
    <w:rsid w:val="00772FFC"/>
    <w:rsid w:val="00773A71"/>
    <w:rsid w:val="00773AC4"/>
    <w:rsid w:val="0077403B"/>
    <w:rsid w:val="0077412F"/>
    <w:rsid w:val="007741AA"/>
    <w:rsid w:val="007745BF"/>
    <w:rsid w:val="007746F0"/>
    <w:rsid w:val="0077480F"/>
    <w:rsid w:val="00774E51"/>
    <w:rsid w:val="00774F68"/>
    <w:rsid w:val="00775194"/>
    <w:rsid w:val="007751D9"/>
    <w:rsid w:val="00775238"/>
    <w:rsid w:val="007754CF"/>
    <w:rsid w:val="0077578F"/>
    <w:rsid w:val="00775865"/>
    <w:rsid w:val="007758A5"/>
    <w:rsid w:val="00776259"/>
    <w:rsid w:val="00776278"/>
    <w:rsid w:val="007764BE"/>
    <w:rsid w:val="0077653B"/>
    <w:rsid w:val="0077662C"/>
    <w:rsid w:val="00776731"/>
    <w:rsid w:val="0077679B"/>
    <w:rsid w:val="00776921"/>
    <w:rsid w:val="0077695E"/>
    <w:rsid w:val="00776B3C"/>
    <w:rsid w:val="00776EEE"/>
    <w:rsid w:val="00777389"/>
    <w:rsid w:val="0077755F"/>
    <w:rsid w:val="00777658"/>
    <w:rsid w:val="007779B7"/>
    <w:rsid w:val="00777E9B"/>
    <w:rsid w:val="00777EB1"/>
    <w:rsid w:val="00780246"/>
    <w:rsid w:val="0078025F"/>
    <w:rsid w:val="00780274"/>
    <w:rsid w:val="0078029B"/>
    <w:rsid w:val="00780373"/>
    <w:rsid w:val="00780512"/>
    <w:rsid w:val="00780E01"/>
    <w:rsid w:val="007810C2"/>
    <w:rsid w:val="00781242"/>
    <w:rsid w:val="007815B3"/>
    <w:rsid w:val="00781616"/>
    <w:rsid w:val="00781626"/>
    <w:rsid w:val="00781937"/>
    <w:rsid w:val="00781C0D"/>
    <w:rsid w:val="00781E2A"/>
    <w:rsid w:val="0078232F"/>
    <w:rsid w:val="007827B3"/>
    <w:rsid w:val="0078280C"/>
    <w:rsid w:val="00782A5B"/>
    <w:rsid w:val="00782AAE"/>
    <w:rsid w:val="00782B89"/>
    <w:rsid w:val="00782C4E"/>
    <w:rsid w:val="00782DED"/>
    <w:rsid w:val="00783853"/>
    <w:rsid w:val="0078409E"/>
    <w:rsid w:val="0078430D"/>
    <w:rsid w:val="00784567"/>
    <w:rsid w:val="00784895"/>
    <w:rsid w:val="00784A42"/>
    <w:rsid w:val="00784BB5"/>
    <w:rsid w:val="007851F7"/>
    <w:rsid w:val="0078533A"/>
    <w:rsid w:val="007859E1"/>
    <w:rsid w:val="00785CF3"/>
    <w:rsid w:val="00785DE9"/>
    <w:rsid w:val="00786059"/>
    <w:rsid w:val="00786088"/>
    <w:rsid w:val="00786182"/>
    <w:rsid w:val="0078622D"/>
    <w:rsid w:val="0078632E"/>
    <w:rsid w:val="007865FE"/>
    <w:rsid w:val="00786609"/>
    <w:rsid w:val="0078680F"/>
    <w:rsid w:val="00786C24"/>
    <w:rsid w:val="00786CB4"/>
    <w:rsid w:val="00786CE2"/>
    <w:rsid w:val="00786D4F"/>
    <w:rsid w:val="00786E0E"/>
    <w:rsid w:val="007871F3"/>
    <w:rsid w:val="00787277"/>
    <w:rsid w:val="00787700"/>
    <w:rsid w:val="007878CE"/>
    <w:rsid w:val="00787A51"/>
    <w:rsid w:val="00787F24"/>
    <w:rsid w:val="007904AB"/>
    <w:rsid w:val="00790941"/>
    <w:rsid w:val="00790A1B"/>
    <w:rsid w:val="00790CEB"/>
    <w:rsid w:val="00790E6A"/>
    <w:rsid w:val="00791371"/>
    <w:rsid w:val="007913A1"/>
    <w:rsid w:val="0079147E"/>
    <w:rsid w:val="00791A03"/>
    <w:rsid w:val="00791AA9"/>
    <w:rsid w:val="00791C6C"/>
    <w:rsid w:val="00791CF9"/>
    <w:rsid w:val="00792211"/>
    <w:rsid w:val="0079223A"/>
    <w:rsid w:val="007927C6"/>
    <w:rsid w:val="0079299A"/>
    <w:rsid w:val="00792A91"/>
    <w:rsid w:val="00792B33"/>
    <w:rsid w:val="0079339C"/>
    <w:rsid w:val="007938AD"/>
    <w:rsid w:val="00793A1F"/>
    <w:rsid w:val="007941EC"/>
    <w:rsid w:val="007942AB"/>
    <w:rsid w:val="00794329"/>
    <w:rsid w:val="00794391"/>
    <w:rsid w:val="007943D3"/>
    <w:rsid w:val="007944F5"/>
    <w:rsid w:val="00794966"/>
    <w:rsid w:val="00794D2F"/>
    <w:rsid w:val="00794EAE"/>
    <w:rsid w:val="00794F35"/>
    <w:rsid w:val="007952B4"/>
    <w:rsid w:val="00795910"/>
    <w:rsid w:val="00795ABC"/>
    <w:rsid w:val="00795CAF"/>
    <w:rsid w:val="00795ECA"/>
    <w:rsid w:val="00796161"/>
    <w:rsid w:val="00796206"/>
    <w:rsid w:val="00796226"/>
    <w:rsid w:val="00796343"/>
    <w:rsid w:val="00796514"/>
    <w:rsid w:val="00796D68"/>
    <w:rsid w:val="007974EC"/>
    <w:rsid w:val="007975AC"/>
    <w:rsid w:val="00797675"/>
    <w:rsid w:val="007978CA"/>
    <w:rsid w:val="007978E1"/>
    <w:rsid w:val="00797B81"/>
    <w:rsid w:val="00797E75"/>
    <w:rsid w:val="007A03E9"/>
    <w:rsid w:val="007A0425"/>
    <w:rsid w:val="007A0845"/>
    <w:rsid w:val="007A0A4A"/>
    <w:rsid w:val="007A0DD0"/>
    <w:rsid w:val="007A0EBC"/>
    <w:rsid w:val="007A101D"/>
    <w:rsid w:val="007A12CC"/>
    <w:rsid w:val="007A1511"/>
    <w:rsid w:val="007A15D3"/>
    <w:rsid w:val="007A1624"/>
    <w:rsid w:val="007A1666"/>
    <w:rsid w:val="007A1689"/>
    <w:rsid w:val="007A1693"/>
    <w:rsid w:val="007A1B29"/>
    <w:rsid w:val="007A1FAF"/>
    <w:rsid w:val="007A230C"/>
    <w:rsid w:val="007A29AE"/>
    <w:rsid w:val="007A2F6C"/>
    <w:rsid w:val="007A300D"/>
    <w:rsid w:val="007A314F"/>
    <w:rsid w:val="007A39EB"/>
    <w:rsid w:val="007A3AF3"/>
    <w:rsid w:val="007A3CD8"/>
    <w:rsid w:val="007A406D"/>
    <w:rsid w:val="007A431D"/>
    <w:rsid w:val="007A43EA"/>
    <w:rsid w:val="007A46A3"/>
    <w:rsid w:val="007A4A3F"/>
    <w:rsid w:val="007A4A5E"/>
    <w:rsid w:val="007A4B18"/>
    <w:rsid w:val="007A4C7F"/>
    <w:rsid w:val="007A5176"/>
    <w:rsid w:val="007A51E6"/>
    <w:rsid w:val="007A560F"/>
    <w:rsid w:val="007A56C2"/>
    <w:rsid w:val="007A5A9C"/>
    <w:rsid w:val="007A5D0D"/>
    <w:rsid w:val="007A62B0"/>
    <w:rsid w:val="007A6383"/>
    <w:rsid w:val="007A64DD"/>
    <w:rsid w:val="007A654C"/>
    <w:rsid w:val="007A68E3"/>
    <w:rsid w:val="007A7C30"/>
    <w:rsid w:val="007B0582"/>
    <w:rsid w:val="007B06D2"/>
    <w:rsid w:val="007B0748"/>
    <w:rsid w:val="007B07C8"/>
    <w:rsid w:val="007B08F4"/>
    <w:rsid w:val="007B0AFD"/>
    <w:rsid w:val="007B0D0D"/>
    <w:rsid w:val="007B0DD5"/>
    <w:rsid w:val="007B0FDF"/>
    <w:rsid w:val="007B107D"/>
    <w:rsid w:val="007B10F5"/>
    <w:rsid w:val="007B125A"/>
    <w:rsid w:val="007B18A4"/>
    <w:rsid w:val="007B199D"/>
    <w:rsid w:val="007B2198"/>
    <w:rsid w:val="007B22DA"/>
    <w:rsid w:val="007B2377"/>
    <w:rsid w:val="007B259F"/>
    <w:rsid w:val="007B25B3"/>
    <w:rsid w:val="007B262C"/>
    <w:rsid w:val="007B3068"/>
    <w:rsid w:val="007B31AA"/>
    <w:rsid w:val="007B37B8"/>
    <w:rsid w:val="007B38AB"/>
    <w:rsid w:val="007B3992"/>
    <w:rsid w:val="007B3AB6"/>
    <w:rsid w:val="007B40B6"/>
    <w:rsid w:val="007B4106"/>
    <w:rsid w:val="007B429D"/>
    <w:rsid w:val="007B4532"/>
    <w:rsid w:val="007B470B"/>
    <w:rsid w:val="007B4765"/>
    <w:rsid w:val="007B511F"/>
    <w:rsid w:val="007B5772"/>
    <w:rsid w:val="007B5E82"/>
    <w:rsid w:val="007B601B"/>
    <w:rsid w:val="007B61A6"/>
    <w:rsid w:val="007B64BA"/>
    <w:rsid w:val="007B64F0"/>
    <w:rsid w:val="007B65FF"/>
    <w:rsid w:val="007B672D"/>
    <w:rsid w:val="007B6CDF"/>
    <w:rsid w:val="007B6D15"/>
    <w:rsid w:val="007B6DD9"/>
    <w:rsid w:val="007B6E92"/>
    <w:rsid w:val="007B6F9C"/>
    <w:rsid w:val="007B75B1"/>
    <w:rsid w:val="007B75E2"/>
    <w:rsid w:val="007B7A3A"/>
    <w:rsid w:val="007B7D37"/>
    <w:rsid w:val="007B7E4F"/>
    <w:rsid w:val="007B7E5D"/>
    <w:rsid w:val="007B7FA1"/>
    <w:rsid w:val="007C05C6"/>
    <w:rsid w:val="007C0A13"/>
    <w:rsid w:val="007C0AAA"/>
    <w:rsid w:val="007C0BD1"/>
    <w:rsid w:val="007C1778"/>
    <w:rsid w:val="007C19F7"/>
    <w:rsid w:val="007C1C55"/>
    <w:rsid w:val="007C1D80"/>
    <w:rsid w:val="007C1D86"/>
    <w:rsid w:val="007C2121"/>
    <w:rsid w:val="007C2137"/>
    <w:rsid w:val="007C217A"/>
    <w:rsid w:val="007C21AF"/>
    <w:rsid w:val="007C26BA"/>
    <w:rsid w:val="007C2848"/>
    <w:rsid w:val="007C2894"/>
    <w:rsid w:val="007C28E8"/>
    <w:rsid w:val="007C2BEA"/>
    <w:rsid w:val="007C2DB0"/>
    <w:rsid w:val="007C2F67"/>
    <w:rsid w:val="007C3324"/>
    <w:rsid w:val="007C3488"/>
    <w:rsid w:val="007C3AF6"/>
    <w:rsid w:val="007C3DD1"/>
    <w:rsid w:val="007C3FD6"/>
    <w:rsid w:val="007C41FC"/>
    <w:rsid w:val="007C4237"/>
    <w:rsid w:val="007C4C8E"/>
    <w:rsid w:val="007C4E0A"/>
    <w:rsid w:val="007C5034"/>
    <w:rsid w:val="007C50AB"/>
    <w:rsid w:val="007C5857"/>
    <w:rsid w:val="007C59E5"/>
    <w:rsid w:val="007C5A0C"/>
    <w:rsid w:val="007C5C25"/>
    <w:rsid w:val="007C5C8E"/>
    <w:rsid w:val="007C5CC3"/>
    <w:rsid w:val="007C5F71"/>
    <w:rsid w:val="007C60BC"/>
    <w:rsid w:val="007C614C"/>
    <w:rsid w:val="007C6878"/>
    <w:rsid w:val="007C68BC"/>
    <w:rsid w:val="007C6AFA"/>
    <w:rsid w:val="007C6B99"/>
    <w:rsid w:val="007C6BB5"/>
    <w:rsid w:val="007C6CE1"/>
    <w:rsid w:val="007C6D64"/>
    <w:rsid w:val="007C7036"/>
    <w:rsid w:val="007C75F8"/>
    <w:rsid w:val="007C7A3B"/>
    <w:rsid w:val="007C7C30"/>
    <w:rsid w:val="007C7E2A"/>
    <w:rsid w:val="007D0534"/>
    <w:rsid w:val="007D066C"/>
    <w:rsid w:val="007D0C30"/>
    <w:rsid w:val="007D13BC"/>
    <w:rsid w:val="007D15C8"/>
    <w:rsid w:val="007D17EC"/>
    <w:rsid w:val="007D19B2"/>
    <w:rsid w:val="007D1A90"/>
    <w:rsid w:val="007D2213"/>
    <w:rsid w:val="007D2289"/>
    <w:rsid w:val="007D2C0F"/>
    <w:rsid w:val="007D2D02"/>
    <w:rsid w:val="007D2E59"/>
    <w:rsid w:val="007D3110"/>
    <w:rsid w:val="007D34CE"/>
    <w:rsid w:val="007D3F18"/>
    <w:rsid w:val="007D40EB"/>
    <w:rsid w:val="007D43EB"/>
    <w:rsid w:val="007D464E"/>
    <w:rsid w:val="007D49C2"/>
    <w:rsid w:val="007D4A81"/>
    <w:rsid w:val="007D4A8A"/>
    <w:rsid w:val="007D51D0"/>
    <w:rsid w:val="007D55DB"/>
    <w:rsid w:val="007D5A5B"/>
    <w:rsid w:val="007D5B93"/>
    <w:rsid w:val="007D5D61"/>
    <w:rsid w:val="007D5D6C"/>
    <w:rsid w:val="007D5FAC"/>
    <w:rsid w:val="007D6104"/>
    <w:rsid w:val="007D623B"/>
    <w:rsid w:val="007D6335"/>
    <w:rsid w:val="007D6347"/>
    <w:rsid w:val="007D6639"/>
    <w:rsid w:val="007D67D0"/>
    <w:rsid w:val="007D67F0"/>
    <w:rsid w:val="007D693F"/>
    <w:rsid w:val="007D6A44"/>
    <w:rsid w:val="007D6B43"/>
    <w:rsid w:val="007D6BF8"/>
    <w:rsid w:val="007D6CAA"/>
    <w:rsid w:val="007D6CB0"/>
    <w:rsid w:val="007D763D"/>
    <w:rsid w:val="007D76A4"/>
    <w:rsid w:val="007D77EC"/>
    <w:rsid w:val="007D7B19"/>
    <w:rsid w:val="007D7CFA"/>
    <w:rsid w:val="007D7F59"/>
    <w:rsid w:val="007E05C2"/>
    <w:rsid w:val="007E07D4"/>
    <w:rsid w:val="007E0BB3"/>
    <w:rsid w:val="007E0BB6"/>
    <w:rsid w:val="007E0BD0"/>
    <w:rsid w:val="007E0D27"/>
    <w:rsid w:val="007E0E5A"/>
    <w:rsid w:val="007E0FEE"/>
    <w:rsid w:val="007E115C"/>
    <w:rsid w:val="007E1462"/>
    <w:rsid w:val="007E1673"/>
    <w:rsid w:val="007E180D"/>
    <w:rsid w:val="007E1C3D"/>
    <w:rsid w:val="007E1D38"/>
    <w:rsid w:val="007E1F2F"/>
    <w:rsid w:val="007E1F4C"/>
    <w:rsid w:val="007E1F83"/>
    <w:rsid w:val="007E20AE"/>
    <w:rsid w:val="007E2302"/>
    <w:rsid w:val="007E28E1"/>
    <w:rsid w:val="007E2DEC"/>
    <w:rsid w:val="007E2F44"/>
    <w:rsid w:val="007E30C4"/>
    <w:rsid w:val="007E3631"/>
    <w:rsid w:val="007E36F5"/>
    <w:rsid w:val="007E3907"/>
    <w:rsid w:val="007E39F2"/>
    <w:rsid w:val="007E3C42"/>
    <w:rsid w:val="007E4094"/>
    <w:rsid w:val="007E4461"/>
    <w:rsid w:val="007E44ED"/>
    <w:rsid w:val="007E4566"/>
    <w:rsid w:val="007E4661"/>
    <w:rsid w:val="007E47E7"/>
    <w:rsid w:val="007E5070"/>
    <w:rsid w:val="007E5155"/>
    <w:rsid w:val="007E52D4"/>
    <w:rsid w:val="007E57EB"/>
    <w:rsid w:val="007E5BAA"/>
    <w:rsid w:val="007E5C2E"/>
    <w:rsid w:val="007E5EEB"/>
    <w:rsid w:val="007E5FA3"/>
    <w:rsid w:val="007E5FB4"/>
    <w:rsid w:val="007E6006"/>
    <w:rsid w:val="007E60C4"/>
    <w:rsid w:val="007E66CE"/>
    <w:rsid w:val="007E6916"/>
    <w:rsid w:val="007E6B4C"/>
    <w:rsid w:val="007E6DAA"/>
    <w:rsid w:val="007E6FD1"/>
    <w:rsid w:val="007E70C0"/>
    <w:rsid w:val="007E7508"/>
    <w:rsid w:val="007E796B"/>
    <w:rsid w:val="007F06C5"/>
    <w:rsid w:val="007F0A54"/>
    <w:rsid w:val="007F11D9"/>
    <w:rsid w:val="007F13E4"/>
    <w:rsid w:val="007F1481"/>
    <w:rsid w:val="007F159F"/>
    <w:rsid w:val="007F15AF"/>
    <w:rsid w:val="007F163F"/>
    <w:rsid w:val="007F1785"/>
    <w:rsid w:val="007F1B43"/>
    <w:rsid w:val="007F1C0B"/>
    <w:rsid w:val="007F1DDC"/>
    <w:rsid w:val="007F2017"/>
    <w:rsid w:val="007F249A"/>
    <w:rsid w:val="007F2C56"/>
    <w:rsid w:val="007F2E72"/>
    <w:rsid w:val="007F2EC5"/>
    <w:rsid w:val="007F2FB7"/>
    <w:rsid w:val="007F353A"/>
    <w:rsid w:val="007F3766"/>
    <w:rsid w:val="007F3B87"/>
    <w:rsid w:val="007F3B9A"/>
    <w:rsid w:val="007F3EED"/>
    <w:rsid w:val="007F3FC2"/>
    <w:rsid w:val="007F477A"/>
    <w:rsid w:val="007F553B"/>
    <w:rsid w:val="007F598E"/>
    <w:rsid w:val="007F5A22"/>
    <w:rsid w:val="007F5B16"/>
    <w:rsid w:val="007F5BAF"/>
    <w:rsid w:val="007F5FF9"/>
    <w:rsid w:val="007F60AA"/>
    <w:rsid w:val="007F6289"/>
    <w:rsid w:val="007F6304"/>
    <w:rsid w:val="007F640C"/>
    <w:rsid w:val="007F64B2"/>
    <w:rsid w:val="007F65D2"/>
    <w:rsid w:val="007F6695"/>
    <w:rsid w:val="007F66CD"/>
    <w:rsid w:val="007F687E"/>
    <w:rsid w:val="007F7121"/>
    <w:rsid w:val="007F7356"/>
    <w:rsid w:val="007F7970"/>
    <w:rsid w:val="007F7A29"/>
    <w:rsid w:val="007F7B7F"/>
    <w:rsid w:val="007F7D1B"/>
    <w:rsid w:val="007F7E3B"/>
    <w:rsid w:val="00800256"/>
    <w:rsid w:val="00800A89"/>
    <w:rsid w:val="00800D53"/>
    <w:rsid w:val="0080128D"/>
    <w:rsid w:val="0080133B"/>
    <w:rsid w:val="00801B7D"/>
    <w:rsid w:val="00801C95"/>
    <w:rsid w:val="00801CC3"/>
    <w:rsid w:val="00801ED7"/>
    <w:rsid w:val="008021FE"/>
    <w:rsid w:val="0080275D"/>
    <w:rsid w:val="00802793"/>
    <w:rsid w:val="00802824"/>
    <w:rsid w:val="00802958"/>
    <w:rsid w:val="00802C02"/>
    <w:rsid w:val="00802E81"/>
    <w:rsid w:val="008035AA"/>
    <w:rsid w:val="008035E7"/>
    <w:rsid w:val="008036B1"/>
    <w:rsid w:val="0080383E"/>
    <w:rsid w:val="008038DD"/>
    <w:rsid w:val="008039A4"/>
    <w:rsid w:val="00803A04"/>
    <w:rsid w:val="00803F62"/>
    <w:rsid w:val="00803FAA"/>
    <w:rsid w:val="00804488"/>
    <w:rsid w:val="008045BE"/>
    <w:rsid w:val="008045C8"/>
    <w:rsid w:val="008047BE"/>
    <w:rsid w:val="00804868"/>
    <w:rsid w:val="00804BA8"/>
    <w:rsid w:val="00804C26"/>
    <w:rsid w:val="00804DDE"/>
    <w:rsid w:val="008051B3"/>
    <w:rsid w:val="008055EF"/>
    <w:rsid w:val="008056B1"/>
    <w:rsid w:val="00805913"/>
    <w:rsid w:val="00805945"/>
    <w:rsid w:val="00805ADE"/>
    <w:rsid w:val="00805EDD"/>
    <w:rsid w:val="00806054"/>
    <w:rsid w:val="008061AF"/>
    <w:rsid w:val="008066E6"/>
    <w:rsid w:val="00806AF2"/>
    <w:rsid w:val="00806B4A"/>
    <w:rsid w:val="00806DCC"/>
    <w:rsid w:val="00806E34"/>
    <w:rsid w:val="00807179"/>
    <w:rsid w:val="00807196"/>
    <w:rsid w:val="0080743E"/>
    <w:rsid w:val="008076D3"/>
    <w:rsid w:val="00807CFA"/>
    <w:rsid w:val="00807EDD"/>
    <w:rsid w:val="00807F73"/>
    <w:rsid w:val="00810422"/>
    <w:rsid w:val="008107D5"/>
    <w:rsid w:val="0081080D"/>
    <w:rsid w:val="008109A6"/>
    <w:rsid w:val="00810A58"/>
    <w:rsid w:val="00810B0B"/>
    <w:rsid w:val="00810B53"/>
    <w:rsid w:val="00810B94"/>
    <w:rsid w:val="00810C28"/>
    <w:rsid w:val="00810C2A"/>
    <w:rsid w:val="00811506"/>
    <w:rsid w:val="008118FE"/>
    <w:rsid w:val="00812210"/>
    <w:rsid w:val="00812211"/>
    <w:rsid w:val="008122E7"/>
    <w:rsid w:val="008123C5"/>
    <w:rsid w:val="00812645"/>
    <w:rsid w:val="00812F45"/>
    <w:rsid w:val="0081300D"/>
    <w:rsid w:val="00813021"/>
    <w:rsid w:val="008130B9"/>
    <w:rsid w:val="00813232"/>
    <w:rsid w:val="00813829"/>
    <w:rsid w:val="008138CB"/>
    <w:rsid w:val="00814B4F"/>
    <w:rsid w:val="00814CFE"/>
    <w:rsid w:val="00815053"/>
    <w:rsid w:val="008150DE"/>
    <w:rsid w:val="008150F9"/>
    <w:rsid w:val="0081521F"/>
    <w:rsid w:val="00815967"/>
    <w:rsid w:val="008159CF"/>
    <w:rsid w:val="00815B47"/>
    <w:rsid w:val="0081637A"/>
    <w:rsid w:val="00816470"/>
    <w:rsid w:val="0081675B"/>
    <w:rsid w:val="0081678F"/>
    <w:rsid w:val="008167A3"/>
    <w:rsid w:val="00816925"/>
    <w:rsid w:val="00816C05"/>
    <w:rsid w:val="00816E05"/>
    <w:rsid w:val="00816F15"/>
    <w:rsid w:val="00817022"/>
    <w:rsid w:val="00817392"/>
    <w:rsid w:val="008177F1"/>
    <w:rsid w:val="00817D4C"/>
    <w:rsid w:val="00817E59"/>
    <w:rsid w:val="0082028D"/>
    <w:rsid w:val="008208B3"/>
    <w:rsid w:val="00820AA0"/>
    <w:rsid w:val="00820B62"/>
    <w:rsid w:val="00820C6E"/>
    <w:rsid w:val="00820C87"/>
    <w:rsid w:val="00820D4D"/>
    <w:rsid w:val="00820E0A"/>
    <w:rsid w:val="0082100C"/>
    <w:rsid w:val="00821119"/>
    <w:rsid w:val="008212EE"/>
    <w:rsid w:val="00821629"/>
    <w:rsid w:val="0082175B"/>
    <w:rsid w:val="00821B5A"/>
    <w:rsid w:val="00822345"/>
    <w:rsid w:val="008229CF"/>
    <w:rsid w:val="00822F4F"/>
    <w:rsid w:val="0082314B"/>
    <w:rsid w:val="0082344D"/>
    <w:rsid w:val="0082346F"/>
    <w:rsid w:val="00823480"/>
    <w:rsid w:val="0082380F"/>
    <w:rsid w:val="00823B77"/>
    <w:rsid w:val="0082411D"/>
    <w:rsid w:val="008245E3"/>
    <w:rsid w:val="00824784"/>
    <w:rsid w:val="00824943"/>
    <w:rsid w:val="008249FD"/>
    <w:rsid w:val="00824A65"/>
    <w:rsid w:val="0082505E"/>
    <w:rsid w:val="00825216"/>
    <w:rsid w:val="00825711"/>
    <w:rsid w:val="00825746"/>
    <w:rsid w:val="0082595F"/>
    <w:rsid w:val="00825A10"/>
    <w:rsid w:val="00825A71"/>
    <w:rsid w:val="00825BD9"/>
    <w:rsid w:val="00825E23"/>
    <w:rsid w:val="0082604E"/>
    <w:rsid w:val="008264F0"/>
    <w:rsid w:val="00826928"/>
    <w:rsid w:val="00826BEB"/>
    <w:rsid w:val="0082710C"/>
    <w:rsid w:val="00827278"/>
    <w:rsid w:val="0082772B"/>
    <w:rsid w:val="00827FE8"/>
    <w:rsid w:val="008303DC"/>
    <w:rsid w:val="00830873"/>
    <w:rsid w:val="008308C4"/>
    <w:rsid w:val="00830C9F"/>
    <w:rsid w:val="00831017"/>
    <w:rsid w:val="0083140B"/>
    <w:rsid w:val="0083143A"/>
    <w:rsid w:val="00831474"/>
    <w:rsid w:val="0083181D"/>
    <w:rsid w:val="008318FF"/>
    <w:rsid w:val="00831B3A"/>
    <w:rsid w:val="008320EA"/>
    <w:rsid w:val="00832130"/>
    <w:rsid w:val="00832255"/>
    <w:rsid w:val="008325A9"/>
    <w:rsid w:val="008327AA"/>
    <w:rsid w:val="008328B3"/>
    <w:rsid w:val="00833601"/>
    <w:rsid w:val="008336E6"/>
    <w:rsid w:val="008338A0"/>
    <w:rsid w:val="008339BB"/>
    <w:rsid w:val="00833CC5"/>
    <w:rsid w:val="00833DBD"/>
    <w:rsid w:val="00833E7E"/>
    <w:rsid w:val="0083403D"/>
    <w:rsid w:val="0083417D"/>
    <w:rsid w:val="00834197"/>
    <w:rsid w:val="008342C2"/>
    <w:rsid w:val="00834499"/>
    <w:rsid w:val="00834578"/>
    <w:rsid w:val="00834D1B"/>
    <w:rsid w:val="008350C3"/>
    <w:rsid w:val="00835168"/>
    <w:rsid w:val="008355EC"/>
    <w:rsid w:val="0083579C"/>
    <w:rsid w:val="008358B5"/>
    <w:rsid w:val="00835A21"/>
    <w:rsid w:val="00835B28"/>
    <w:rsid w:val="00835CC9"/>
    <w:rsid w:val="00835D84"/>
    <w:rsid w:val="008362CA"/>
    <w:rsid w:val="00836427"/>
    <w:rsid w:val="00836849"/>
    <w:rsid w:val="008369F8"/>
    <w:rsid w:val="00836A60"/>
    <w:rsid w:val="00836E2F"/>
    <w:rsid w:val="00837009"/>
    <w:rsid w:val="00837941"/>
    <w:rsid w:val="00837999"/>
    <w:rsid w:val="00840171"/>
    <w:rsid w:val="0084030E"/>
    <w:rsid w:val="00840379"/>
    <w:rsid w:val="00840B8E"/>
    <w:rsid w:val="00840E83"/>
    <w:rsid w:val="00840F95"/>
    <w:rsid w:val="00841097"/>
    <w:rsid w:val="008410A8"/>
    <w:rsid w:val="008411D1"/>
    <w:rsid w:val="00841324"/>
    <w:rsid w:val="00841B30"/>
    <w:rsid w:val="00841D78"/>
    <w:rsid w:val="008421B4"/>
    <w:rsid w:val="008423F0"/>
    <w:rsid w:val="0084290F"/>
    <w:rsid w:val="00842D67"/>
    <w:rsid w:val="008430AE"/>
    <w:rsid w:val="008435E8"/>
    <w:rsid w:val="00843E6B"/>
    <w:rsid w:val="00843EB4"/>
    <w:rsid w:val="00844019"/>
    <w:rsid w:val="00844082"/>
    <w:rsid w:val="0084414F"/>
    <w:rsid w:val="00844321"/>
    <w:rsid w:val="00844850"/>
    <w:rsid w:val="00844AE7"/>
    <w:rsid w:val="00844EAC"/>
    <w:rsid w:val="00844EF3"/>
    <w:rsid w:val="00844F20"/>
    <w:rsid w:val="00845037"/>
    <w:rsid w:val="0084505B"/>
    <w:rsid w:val="0084516B"/>
    <w:rsid w:val="008454D4"/>
    <w:rsid w:val="0084555C"/>
    <w:rsid w:val="00845890"/>
    <w:rsid w:val="00845D41"/>
    <w:rsid w:val="00845E17"/>
    <w:rsid w:val="00846079"/>
    <w:rsid w:val="0084631E"/>
    <w:rsid w:val="008464BD"/>
    <w:rsid w:val="00846523"/>
    <w:rsid w:val="0084695A"/>
    <w:rsid w:val="0084698A"/>
    <w:rsid w:val="008471E3"/>
    <w:rsid w:val="008472C9"/>
    <w:rsid w:val="00847CA2"/>
    <w:rsid w:val="00847DDE"/>
    <w:rsid w:val="00847E76"/>
    <w:rsid w:val="00847F32"/>
    <w:rsid w:val="00847F6E"/>
    <w:rsid w:val="0085030C"/>
    <w:rsid w:val="00850361"/>
    <w:rsid w:val="008503BA"/>
    <w:rsid w:val="008505E4"/>
    <w:rsid w:val="008505F7"/>
    <w:rsid w:val="00850B96"/>
    <w:rsid w:val="00850E4C"/>
    <w:rsid w:val="00850EA4"/>
    <w:rsid w:val="00850F37"/>
    <w:rsid w:val="00850F48"/>
    <w:rsid w:val="00851028"/>
    <w:rsid w:val="0085118B"/>
    <w:rsid w:val="0085129E"/>
    <w:rsid w:val="008512E9"/>
    <w:rsid w:val="00851E31"/>
    <w:rsid w:val="00851ED5"/>
    <w:rsid w:val="008521B8"/>
    <w:rsid w:val="00852207"/>
    <w:rsid w:val="00852450"/>
    <w:rsid w:val="008524C0"/>
    <w:rsid w:val="00852889"/>
    <w:rsid w:val="00852AFE"/>
    <w:rsid w:val="00852D1C"/>
    <w:rsid w:val="00852EF2"/>
    <w:rsid w:val="0085321B"/>
    <w:rsid w:val="0085391D"/>
    <w:rsid w:val="00853A82"/>
    <w:rsid w:val="00853E8C"/>
    <w:rsid w:val="0085429E"/>
    <w:rsid w:val="008543C4"/>
    <w:rsid w:val="0085461D"/>
    <w:rsid w:val="00854755"/>
    <w:rsid w:val="00855250"/>
    <w:rsid w:val="0085564D"/>
    <w:rsid w:val="008559CC"/>
    <w:rsid w:val="00855E3A"/>
    <w:rsid w:val="00856038"/>
    <w:rsid w:val="008565EC"/>
    <w:rsid w:val="00856778"/>
    <w:rsid w:val="00856A0A"/>
    <w:rsid w:val="00856E1C"/>
    <w:rsid w:val="00857171"/>
    <w:rsid w:val="0085749A"/>
    <w:rsid w:val="00857CEE"/>
    <w:rsid w:val="008603E7"/>
    <w:rsid w:val="008606B8"/>
    <w:rsid w:val="0086079B"/>
    <w:rsid w:val="00860AB7"/>
    <w:rsid w:val="00860E82"/>
    <w:rsid w:val="008610BB"/>
    <w:rsid w:val="008611B6"/>
    <w:rsid w:val="00861801"/>
    <w:rsid w:val="00861A61"/>
    <w:rsid w:val="00862011"/>
    <w:rsid w:val="00862055"/>
    <w:rsid w:val="008620B8"/>
    <w:rsid w:val="00862366"/>
    <w:rsid w:val="00862460"/>
    <w:rsid w:val="008625AE"/>
    <w:rsid w:val="00862629"/>
    <w:rsid w:val="008627E6"/>
    <w:rsid w:val="00862DD9"/>
    <w:rsid w:val="00862DEC"/>
    <w:rsid w:val="00862F09"/>
    <w:rsid w:val="00862F0A"/>
    <w:rsid w:val="0086300B"/>
    <w:rsid w:val="008634F8"/>
    <w:rsid w:val="0086369F"/>
    <w:rsid w:val="00863866"/>
    <w:rsid w:val="008638B5"/>
    <w:rsid w:val="00863AEA"/>
    <w:rsid w:val="00863B6F"/>
    <w:rsid w:val="00863C21"/>
    <w:rsid w:val="00863FFE"/>
    <w:rsid w:val="0086419A"/>
    <w:rsid w:val="0086427D"/>
    <w:rsid w:val="00864718"/>
    <w:rsid w:val="008647FE"/>
    <w:rsid w:val="00864A20"/>
    <w:rsid w:val="00864B22"/>
    <w:rsid w:val="00865700"/>
    <w:rsid w:val="00865A31"/>
    <w:rsid w:val="00865B9B"/>
    <w:rsid w:val="00866444"/>
    <w:rsid w:val="00866679"/>
    <w:rsid w:val="00866B93"/>
    <w:rsid w:val="00866D33"/>
    <w:rsid w:val="008674AF"/>
    <w:rsid w:val="008674DA"/>
    <w:rsid w:val="008675AC"/>
    <w:rsid w:val="00867870"/>
    <w:rsid w:val="008679D0"/>
    <w:rsid w:val="00867F64"/>
    <w:rsid w:val="0087023B"/>
    <w:rsid w:val="00870261"/>
    <w:rsid w:val="008704B6"/>
    <w:rsid w:val="00870680"/>
    <w:rsid w:val="00870877"/>
    <w:rsid w:val="00870C44"/>
    <w:rsid w:val="00871096"/>
    <w:rsid w:val="008711E3"/>
    <w:rsid w:val="00871CF9"/>
    <w:rsid w:val="00871F46"/>
    <w:rsid w:val="008725D9"/>
    <w:rsid w:val="00872655"/>
    <w:rsid w:val="0087267D"/>
    <w:rsid w:val="00872B1F"/>
    <w:rsid w:val="00872C76"/>
    <w:rsid w:val="008731F3"/>
    <w:rsid w:val="008734A3"/>
    <w:rsid w:val="008736F1"/>
    <w:rsid w:val="008736F2"/>
    <w:rsid w:val="00873B56"/>
    <w:rsid w:val="008740FE"/>
    <w:rsid w:val="008744D5"/>
    <w:rsid w:val="00874892"/>
    <w:rsid w:val="00874BE0"/>
    <w:rsid w:val="00874C88"/>
    <w:rsid w:val="00874F2F"/>
    <w:rsid w:val="00874F32"/>
    <w:rsid w:val="00875006"/>
    <w:rsid w:val="00875123"/>
    <w:rsid w:val="0087517D"/>
    <w:rsid w:val="0087537A"/>
    <w:rsid w:val="0087571C"/>
    <w:rsid w:val="0087581D"/>
    <w:rsid w:val="0087599D"/>
    <w:rsid w:val="008759AA"/>
    <w:rsid w:val="00875A94"/>
    <w:rsid w:val="00875ADA"/>
    <w:rsid w:val="00875B41"/>
    <w:rsid w:val="00875F47"/>
    <w:rsid w:val="0087600D"/>
    <w:rsid w:val="0087616A"/>
    <w:rsid w:val="00876715"/>
    <w:rsid w:val="00876740"/>
    <w:rsid w:val="00876788"/>
    <w:rsid w:val="0087681F"/>
    <w:rsid w:val="00876888"/>
    <w:rsid w:val="00876936"/>
    <w:rsid w:val="00876D95"/>
    <w:rsid w:val="00876FA7"/>
    <w:rsid w:val="0087731F"/>
    <w:rsid w:val="008775DE"/>
    <w:rsid w:val="008775E1"/>
    <w:rsid w:val="008775EA"/>
    <w:rsid w:val="00877A4C"/>
    <w:rsid w:val="00877C92"/>
    <w:rsid w:val="00877F33"/>
    <w:rsid w:val="00880401"/>
    <w:rsid w:val="008805D2"/>
    <w:rsid w:val="008807FA"/>
    <w:rsid w:val="00881F8B"/>
    <w:rsid w:val="00882278"/>
    <w:rsid w:val="00882B14"/>
    <w:rsid w:val="008830C0"/>
    <w:rsid w:val="0088310C"/>
    <w:rsid w:val="00883153"/>
    <w:rsid w:val="008831FF"/>
    <w:rsid w:val="008833ED"/>
    <w:rsid w:val="0088351D"/>
    <w:rsid w:val="00883600"/>
    <w:rsid w:val="00883823"/>
    <w:rsid w:val="00883951"/>
    <w:rsid w:val="00883C94"/>
    <w:rsid w:val="00883CAD"/>
    <w:rsid w:val="00883CD7"/>
    <w:rsid w:val="00883E04"/>
    <w:rsid w:val="0088418D"/>
    <w:rsid w:val="0088429D"/>
    <w:rsid w:val="00884608"/>
    <w:rsid w:val="00884889"/>
    <w:rsid w:val="00884B53"/>
    <w:rsid w:val="00884B9A"/>
    <w:rsid w:val="00884BEE"/>
    <w:rsid w:val="00884F8C"/>
    <w:rsid w:val="008850D0"/>
    <w:rsid w:val="008854DC"/>
    <w:rsid w:val="008854FB"/>
    <w:rsid w:val="00885658"/>
    <w:rsid w:val="0088574E"/>
    <w:rsid w:val="0088600D"/>
    <w:rsid w:val="0088628C"/>
    <w:rsid w:val="008863E1"/>
    <w:rsid w:val="0088640B"/>
    <w:rsid w:val="00886E46"/>
    <w:rsid w:val="00886EF4"/>
    <w:rsid w:val="008870CF"/>
    <w:rsid w:val="008870E1"/>
    <w:rsid w:val="008871A1"/>
    <w:rsid w:val="00887202"/>
    <w:rsid w:val="008872D9"/>
    <w:rsid w:val="00887617"/>
    <w:rsid w:val="00887972"/>
    <w:rsid w:val="00887C49"/>
    <w:rsid w:val="00887D73"/>
    <w:rsid w:val="00890066"/>
    <w:rsid w:val="00890493"/>
    <w:rsid w:val="00890541"/>
    <w:rsid w:val="00890E13"/>
    <w:rsid w:val="0089116A"/>
    <w:rsid w:val="008912CD"/>
    <w:rsid w:val="008913B7"/>
    <w:rsid w:val="008915B1"/>
    <w:rsid w:val="0089162A"/>
    <w:rsid w:val="00891697"/>
    <w:rsid w:val="00891A8E"/>
    <w:rsid w:val="00891BBF"/>
    <w:rsid w:val="00891FDF"/>
    <w:rsid w:val="00892228"/>
    <w:rsid w:val="008924AC"/>
    <w:rsid w:val="0089274A"/>
    <w:rsid w:val="00892EED"/>
    <w:rsid w:val="00892FAC"/>
    <w:rsid w:val="00892FBA"/>
    <w:rsid w:val="0089332F"/>
    <w:rsid w:val="0089334F"/>
    <w:rsid w:val="008935A6"/>
    <w:rsid w:val="008938B5"/>
    <w:rsid w:val="00893985"/>
    <w:rsid w:val="00893B35"/>
    <w:rsid w:val="0089408A"/>
    <w:rsid w:val="008944DC"/>
    <w:rsid w:val="00894635"/>
    <w:rsid w:val="00894728"/>
    <w:rsid w:val="0089473C"/>
    <w:rsid w:val="00894933"/>
    <w:rsid w:val="00894C70"/>
    <w:rsid w:val="00894E0D"/>
    <w:rsid w:val="00894EE0"/>
    <w:rsid w:val="008959D9"/>
    <w:rsid w:val="00895AC9"/>
    <w:rsid w:val="00895B4A"/>
    <w:rsid w:val="00895E9D"/>
    <w:rsid w:val="00895FC9"/>
    <w:rsid w:val="0089673A"/>
    <w:rsid w:val="008969E5"/>
    <w:rsid w:val="00896BA7"/>
    <w:rsid w:val="00896D86"/>
    <w:rsid w:val="00896DD0"/>
    <w:rsid w:val="00896FAD"/>
    <w:rsid w:val="00897007"/>
    <w:rsid w:val="0089701B"/>
    <w:rsid w:val="00897171"/>
    <w:rsid w:val="00897614"/>
    <w:rsid w:val="00897CC3"/>
    <w:rsid w:val="00897DD0"/>
    <w:rsid w:val="008A03B2"/>
    <w:rsid w:val="008A0C24"/>
    <w:rsid w:val="008A115D"/>
    <w:rsid w:val="008A1577"/>
    <w:rsid w:val="008A179F"/>
    <w:rsid w:val="008A190B"/>
    <w:rsid w:val="008A1A88"/>
    <w:rsid w:val="008A1A99"/>
    <w:rsid w:val="008A2387"/>
    <w:rsid w:val="008A25C0"/>
    <w:rsid w:val="008A2A20"/>
    <w:rsid w:val="008A2A37"/>
    <w:rsid w:val="008A2B15"/>
    <w:rsid w:val="008A2B18"/>
    <w:rsid w:val="008A2C14"/>
    <w:rsid w:val="008A3454"/>
    <w:rsid w:val="008A3679"/>
    <w:rsid w:val="008A37EA"/>
    <w:rsid w:val="008A38D6"/>
    <w:rsid w:val="008A434C"/>
    <w:rsid w:val="008A436E"/>
    <w:rsid w:val="008A458A"/>
    <w:rsid w:val="008A48F3"/>
    <w:rsid w:val="008A4995"/>
    <w:rsid w:val="008A4B95"/>
    <w:rsid w:val="008A4E0B"/>
    <w:rsid w:val="008A4F38"/>
    <w:rsid w:val="008A4F69"/>
    <w:rsid w:val="008A4FFA"/>
    <w:rsid w:val="008A5051"/>
    <w:rsid w:val="008A512F"/>
    <w:rsid w:val="008A52F9"/>
    <w:rsid w:val="008A5463"/>
    <w:rsid w:val="008A56E1"/>
    <w:rsid w:val="008A5ACF"/>
    <w:rsid w:val="008A5AE6"/>
    <w:rsid w:val="008A5CBD"/>
    <w:rsid w:val="008A5D0A"/>
    <w:rsid w:val="008A5D4F"/>
    <w:rsid w:val="008A619B"/>
    <w:rsid w:val="008A702B"/>
    <w:rsid w:val="008A758F"/>
    <w:rsid w:val="008A768D"/>
    <w:rsid w:val="008A790B"/>
    <w:rsid w:val="008A793E"/>
    <w:rsid w:val="008B007F"/>
    <w:rsid w:val="008B0264"/>
    <w:rsid w:val="008B0777"/>
    <w:rsid w:val="008B079E"/>
    <w:rsid w:val="008B0864"/>
    <w:rsid w:val="008B0927"/>
    <w:rsid w:val="008B09A6"/>
    <w:rsid w:val="008B152E"/>
    <w:rsid w:val="008B1D4E"/>
    <w:rsid w:val="008B216E"/>
    <w:rsid w:val="008B2202"/>
    <w:rsid w:val="008B220C"/>
    <w:rsid w:val="008B2309"/>
    <w:rsid w:val="008B231B"/>
    <w:rsid w:val="008B23D4"/>
    <w:rsid w:val="008B2432"/>
    <w:rsid w:val="008B266A"/>
    <w:rsid w:val="008B2B2E"/>
    <w:rsid w:val="008B2FEC"/>
    <w:rsid w:val="008B35DD"/>
    <w:rsid w:val="008B3606"/>
    <w:rsid w:val="008B3627"/>
    <w:rsid w:val="008B3864"/>
    <w:rsid w:val="008B388C"/>
    <w:rsid w:val="008B3A14"/>
    <w:rsid w:val="008B3C16"/>
    <w:rsid w:val="008B412D"/>
    <w:rsid w:val="008B413F"/>
    <w:rsid w:val="008B4239"/>
    <w:rsid w:val="008B423A"/>
    <w:rsid w:val="008B4422"/>
    <w:rsid w:val="008B47FF"/>
    <w:rsid w:val="008B4E17"/>
    <w:rsid w:val="008B521F"/>
    <w:rsid w:val="008B53D1"/>
    <w:rsid w:val="008B5416"/>
    <w:rsid w:val="008B5A1B"/>
    <w:rsid w:val="008B5E53"/>
    <w:rsid w:val="008B6032"/>
    <w:rsid w:val="008B61E2"/>
    <w:rsid w:val="008B6493"/>
    <w:rsid w:val="008B64F5"/>
    <w:rsid w:val="008B650B"/>
    <w:rsid w:val="008B6723"/>
    <w:rsid w:val="008B6783"/>
    <w:rsid w:val="008B7047"/>
    <w:rsid w:val="008B711F"/>
    <w:rsid w:val="008B75C1"/>
    <w:rsid w:val="008B78F0"/>
    <w:rsid w:val="008B7FE7"/>
    <w:rsid w:val="008C0165"/>
    <w:rsid w:val="008C06F4"/>
    <w:rsid w:val="008C0711"/>
    <w:rsid w:val="008C072C"/>
    <w:rsid w:val="008C095E"/>
    <w:rsid w:val="008C0A23"/>
    <w:rsid w:val="008C12B8"/>
    <w:rsid w:val="008C1380"/>
    <w:rsid w:val="008C149B"/>
    <w:rsid w:val="008C165A"/>
    <w:rsid w:val="008C2308"/>
    <w:rsid w:val="008C23B2"/>
    <w:rsid w:val="008C2584"/>
    <w:rsid w:val="008C263E"/>
    <w:rsid w:val="008C2764"/>
    <w:rsid w:val="008C29A1"/>
    <w:rsid w:val="008C2CAC"/>
    <w:rsid w:val="008C2DD3"/>
    <w:rsid w:val="008C2E1A"/>
    <w:rsid w:val="008C31D9"/>
    <w:rsid w:val="008C3223"/>
    <w:rsid w:val="008C3518"/>
    <w:rsid w:val="008C393F"/>
    <w:rsid w:val="008C39D2"/>
    <w:rsid w:val="008C39D6"/>
    <w:rsid w:val="008C3A94"/>
    <w:rsid w:val="008C3E04"/>
    <w:rsid w:val="008C4023"/>
    <w:rsid w:val="008C4208"/>
    <w:rsid w:val="008C4587"/>
    <w:rsid w:val="008C4639"/>
    <w:rsid w:val="008C463D"/>
    <w:rsid w:val="008C46C8"/>
    <w:rsid w:val="008C4822"/>
    <w:rsid w:val="008C4AA2"/>
    <w:rsid w:val="008C4CB4"/>
    <w:rsid w:val="008C4EB4"/>
    <w:rsid w:val="008C5243"/>
    <w:rsid w:val="008C52D6"/>
    <w:rsid w:val="008C545D"/>
    <w:rsid w:val="008C5782"/>
    <w:rsid w:val="008C5C91"/>
    <w:rsid w:val="008C5F34"/>
    <w:rsid w:val="008C5F85"/>
    <w:rsid w:val="008C6081"/>
    <w:rsid w:val="008C6DC9"/>
    <w:rsid w:val="008C6ED5"/>
    <w:rsid w:val="008C7141"/>
    <w:rsid w:val="008C717B"/>
    <w:rsid w:val="008C726A"/>
    <w:rsid w:val="008C7375"/>
    <w:rsid w:val="008C7413"/>
    <w:rsid w:val="008C7B10"/>
    <w:rsid w:val="008C7D89"/>
    <w:rsid w:val="008D0398"/>
    <w:rsid w:val="008D0511"/>
    <w:rsid w:val="008D058D"/>
    <w:rsid w:val="008D070B"/>
    <w:rsid w:val="008D0767"/>
    <w:rsid w:val="008D0CF4"/>
    <w:rsid w:val="008D0D40"/>
    <w:rsid w:val="008D0EF9"/>
    <w:rsid w:val="008D13DD"/>
    <w:rsid w:val="008D15D2"/>
    <w:rsid w:val="008D16B7"/>
    <w:rsid w:val="008D1707"/>
    <w:rsid w:val="008D192B"/>
    <w:rsid w:val="008D22F3"/>
    <w:rsid w:val="008D2A71"/>
    <w:rsid w:val="008D319A"/>
    <w:rsid w:val="008D33C2"/>
    <w:rsid w:val="008D3617"/>
    <w:rsid w:val="008D364A"/>
    <w:rsid w:val="008D38F2"/>
    <w:rsid w:val="008D3DE8"/>
    <w:rsid w:val="008D4477"/>
    <w:rsid w:val="008D458A"/>
    <w:rsid w:val="008D46CB"/>
    <w:rsid w:val="008D4F0E"/>
    <w:rsid w:val="008D54F4"/>
    <w:rsid w:val="008D5587"/>
    <w:rsid w:val="008D5912"/>
    <w:rsid w:val="008D5E72"/>
    <w:rsid w:val="008D6532"/>
    <w:rsid w:val="008D685A"/>
    <w:rsid w:val="008D69FD"/>
    <w:rsid w:val="008D6CB4"/>
    <w:rsid w:val="008D7060"/>
    <w:rsid w:val="008D7135"/>
    <w:rsid w:val="008D7167"/>
    <w:rsid w:val="008D735B"/>
    <w:rsid w:val="008D7537"/>
    <w:rsid w:val="008D75C2"/>
    <w:rsid w:val="008E0536"/>
    <w:rsid w:val="008E0769"/>
    <w:rsid w:val="008E0788"/>
    <w:rsid w:val="008E0998"/>
    <w:rsid w:val="008E0F3D"/>
    <w:rsid w:val="008E0FA2"/>
    <w:rsid w:val="008E0FCA"/>
    <w:rsid w:val="008E1403"/>
    <w:rsid w:val="008E1542"/>
    <w:rsid w:val="008E1703"/>
    <w:rsid w:val="008E186D"/>
    <w:rsid w:val="008E1D91"/>
    <w:rsid w:val="008E202F"/>
    <w:rsid w:val="008E2032"/>
    <w:rsid w:val="008E222F"/>
    <w:rsid w:val="008E2332"/>
    <w:rsid w:val="008E27C6"/>
    <w:rsid w:val="008E2C20"/>
    <w:rsid w:val="008E2FEA"/>
    <w:rsid w:val="008E3312"/>
    <w:rsid w:val="008E33F0"/>
    <w:rsid w:val="008E3517"/>
    <w:rsid w:val="008E37BF"/>
    <w:rsid w:val="008E3829"/>
    <w:rsid w:val="008E38B4"/>
    <w:rsid w:val="008E3D07"/>
    <w:rsid w:val="008E3D8F"/>
    <w:rsid w:val="008E3F05"/>
    <w:rsid w:val="008E406B"/>
    <w:rsid w:val="008E4465"/>
    <w:rsid w:val="008E4F50"/>
    <w:rsid w:val="008E54F5"/>
    <w:rsid w:val="008E5964"/>
    <w:rsid w:val="008E59B0"/>
    <w:rsid w:val="008E5A62"/>
    <w:rsid w:val="008E5C84"/>
    <w:rsid w:val="008E5C96"/>
    <w:rsid w:val="008E5E7B"/>
    <w:rsid w:val="008E5F73"/>
    <w:rsid w:val="008E60E3"/>
    <w:rsid w:val="008E62A9"/>
    <w:rsid w:val="008E62B2"/>
    <w:rsid w:val="008E62B5"/>
    <w:rsid w:val="008E62DE"/>
    <w:rsid w:val="008E633E"/>
    <w:rsid w:val="008E69CA"/>
    <w:rsid w:val="008E6A77"/>
    <w:rsid w:val="008E6AE6"/>
    <w:rsid w:val="008E716B"/>
    <w:rsid w:val="008E71DE"/>
    <w:rsid w:val="008E73E5"/>
    <w:rsid w:val="008E7544"/>
    <w:rsid w:val="008E772C"/>
    <w:rsid w:val="008E77D6"/>
    <w:rsid w:val="008E7AE8"/>
    <w:rsid w:val="008E7E60"/>
    <w:rsid w:val="008F0116"/>
    <w:rsid w:val="008F0252"/>
    <w:rsid w:val="008F06D2"/>
    <w:rsid w:val="008F0C94"/>
    <w:rsid w:val="008F1188"/>
    <w:rsid w:val="008F11C4"/>
    <w:rsid w:val="008F12C1"/>
    <w:rsid w:val="008F143D"/>
    <w:rsid w:val="008F16F3"/>
    <w:rsid w:val="008F177F"/>
    <w:rsid w:val="008F18E2"/>
    <w:rsid w:val="008F19DA"/>
    <w:rsid w:val="008F1E21"/>
    <w:rsid w:val="008F20CF"/>
    <w:rsid w:val="008F213E"/>
    <w:rsid w:val="008F217D"/>
    <w:rsid w:val="008F26A0"/>
    <w:rsid w:val="008F28B6"/>
    <w:rsid w:val="008F2955"/>
    <w:rsid w:val="008F2FE9"/>
    <w:rsid w:val="008F34B3"/>
    <w:rsid w:val="008F3711"/>
    <w:rsid w:val="008F423F"/>
    <w:rsid w:val="008F42DA"/>
    <w:rsid w:val="008F436F"/>
    <w:rsid w:val="008F4584"/>
    <w:rsid w:val="008F4619"/>
    <w:rsid w:val="008F4730"/>
    <w:rsid w:val="008F4773"/>
    <w:rsid w:val="008F47A5"/>
    <w:rsid w:val="008F4D4A"/>
    <w:rsid w:val="008F535F"/>
    <w:rsid w:val="008F537C"/>
    <w:rsid w:val="008F5407"/>
    <w:rsid w:val="008F542A"/>
    <w:rsid w:val="008F5474"/>
    <w:rsid w:val="008F5930"/>
    <w:rsid w:val="008F5B86"/>
    <w:rsid w:val="008F5C81"/>
    <w:rsid w:val="008F5E9E"/>
    <w:rsid w:val="008F67DA"/>
    <w:rsid w:val="008F6ABE"/>
    <w:rsid w:val="008F6BE0"/>
    <w:rsid w:val="008F6D38"/>
    <w:rsid w:val="008F74CC"/>
    <w:rsid w:val="008F79E2"/>
    <w:rsid w:val="008F7B0E"/>
    <w:rsid w:val="008F7C36"/>
    <w:rsid w:val="008F7F10"/>
    <w:rsid w:val="008F7FFE"/>
    <w:rsid w:val="0090012D"/>
    <w:rsid w:val="009001EC"/>
    <w:rsid w:val="009005A6"/>
    <w:rsid w:val="00900A6C"/>
    <w:rsid w:val="00900CAA"/>
    <w:rsid w:val="0090116B"/>
    <w:rsid w:val="00901219"/>
    <w:rsid w:val="009016C3"/>
    <w:rsid w:val="009016FC"/>
    <w:rsid w:val="00901B71"/>
    <w:rsid w:val="00902357"/>
    <w:rsid w:val="00902A29"/>
    <w:rsid w:val="00902C84"/>
    <w:rsid w:val="00902F52"/>
    <w:rsid w:val="009033EB"/>
    <w:rsid w:val="00903C5C"/>
    <w:rsid w:val="00903CD6"/>
    <w:rsid w:val="00903CF2"/>
    <w:rsid w:val="00903E20"/>
    <w:rsid w:val="00903E92"/>
    <w:rsid w:val="00904032"/>
    <w:rsid w:val="0090413D"/>
    <w:rsid w:val="009041FB"/>
    <w:rsid w:val="009043DA"/>
    <w:rsid w:val="00904912"/>
    <w:rsid w:val="00904AB2"/>
    <w:rsid w:val="00904BD6"/>
    <w:rsid w:val="00904E83"/>
    <w:rsid w:val="00904EA2"/>
    <w:rsid w:val="00905060"/>
    <w:rsid w:val="00905202"/>
    <w:rsid w:val="009052FA"/>
    <w:rsid w:val="009054C6"/>
    <w:rsid w:val="009054FC"/>
    <w:rsid w:val="0090570F"/>
    <w:rsid w:val="00905920"/>
    <w:rsid w:val="00905C4E"/>
    <w:rsid w:val="00906028"/>
    <w:rsid w:val="00906493"/>
    <w:rsid w:val="0090654C"/>
    <w:rsid w:val="009072C3"/>
    <w:rsid w:val="009072CC"/>
    <w:rsid w:val="00907481"/>
    <w:rsid w:val="00907492"/>
    <w:rsid w:val="009074A1"/>
    <w:rsid w:val="00907560"/>
    <w:rsid w:val="00907588"/>
    <w:rsid w:val="00907AEE"/>
    <w:rsid w:val="00907C17"/>
    <w:rsid w:val="00907D8F"/>
    <w:rsid w:val="00910120"/>
    <w:rsid w:val="00910150"/>
    <w:rsid w:val="009107FA"/>
    <w:rsid w:val="0091084E"/>
    <w:rsid w:val="00910BEC"/>
    <w:rsid w:val="00911052"/>
    <w:rsid w:val="0091137D"/>
    <w:rsid w:val="009116DE"/>
    <w:rsid w:val="00911A74"/>
    <w:rsid w:val="00911DCC"/>
    <w:rsid w:val="00911FF5"/>
    <w:rsid w:val="00912009"/>
    <w:rsid w:val="009122C7"/>
    <w:rsid w:val="009124FC"/>
    <w:rsid w:val="009126AE"/>
    <w:rsid w:val="00912D62"/>
    <w:rsid w:val="00912FBE"/>
    <w:rsid w:val="00913473"/>
    <w:rsid w:val="00913630"/>
    <w:rsid w:val="009136FE"/>
    <w:rsid w:val="009137A5"/>
    <w:rsid w:val="00913995"/>
    <w:rsid w:val="00913A54"/>
    <w:rsid w:val="00913A9A"/>
    <w:rsid w:val="00913ECA"/>
    <w:rsid w:val="00913F88"/>
    <w:rsid w:val="009140B0"/>
    <w:rsid w:val="00914321"/>
    <w:rsid w:val="00914679"/>
    <w:rsid w:val="00914905"/>
    <w:rsid w:val="00914BA2"/>
    <w:rsid w:val="00914CBA"/>
    <w:rsid w:val="00914D2F"/>
    <w:rsid w:val="00914D41"/>
    <w:rsid w:val="009152C2"/>
    <w:rsid w:val="0091556C"/>
    <w:rsid w:val="009157E9"/>
    <w:rsid w:val="00915A49"/>
    <w:rsid w:val="00915D7D"/>
    <w:rsid w:val="009164B2"/>
    <w:rsid w:val="009164E2"/>
    <w:rsid w:val="0091666A"/>
    <w:rsid w:val="00916842"/>
    <w:rsid w:val="00916D28"/>
    <w:rsid w:val="00916D3A"/>
    <w:rsid w:val="00916DB4"/>
    <w:rsid w:val="00916E2A"/>
    <w:rsid w:val="00916F67"/>
    <w:rsid w:val="009170FC"/>
    <w:rsid w:val="009171D7"/>
    <w:rsid w:val="009175DA"/>
    <w:rsid w:val="00917AAD"/>
    <w:rsid w:val="00917CCE"/>
    <w:rsid w:val="00917D8D"/>
    <w:rsid w:val="009201F1"/>
    <w:rsid w:val="0092032C"/>
    <w:rsid w:val="0092047A"/>
    <w:rsid w:val="00920A8F"/>
    <w:rsid w:val="00920A9A"/>
    <w:rsid w:val="00920F40"/>
    <w:rsid w:val="00921080"/>
    <w:rsid w:val="0092134F"/>
    <w:rsid w:val="0092157A"/>
    <w:rsid w:val="0092158D"/>
    <w:rsid w:val="00921595"/>
    <w:rsid w:val="00921775"/>
    <w:rsid w:val="00921B97"/>
    <w:rsid w:val="009221FB"/>
    <w:rsid w:val="00922320"/>
    <w:rsid w:val="009223E3"/>
    <w:rsid w:val="009224D8"/>
    <w:rsid w:val="00922A26"/>
    <w:rsid w:val="00923049"/>
    <w:rsid w:val="00923196"/>
    <w:rsid w:val="009235BF"/>
    <w:rsid w:val="00923714"/>
    <w:rsid w:val="0092398D"/>
    <w:rsid w:val="00923E44"/>
    <w:rsid w:val="00923FA6"/>
    <w:rsid w:val="009242DA"/>
    <w:rsid w:val="00924516"/>
    <w:rsid w:val="0092478C"/>
    <w:rsid w:val="0092481D"/>
    <w:rsid w:val="009249BB"/>
    <w:rsid w:val="00924AFD"/>
    <w:rsid w:val="00924E7D"/>
    <w:rsid w:val="009258F4"/>
    <w:rsid w:val="009259BD"/>
    <w:rsid w:val="00925A5E"/>
    <w:rsid w:val="00925ABC"/>
    <w:rsid w:val="00925F82"/>
    <w:rsid w:val="00926105"/>
    <w:rsid w:val="00926235"/>
    <w:rsid w:val="0092684D"/>
    <w:rsid w:val="00926854"/>
    <w:rsid w:val="00926AB0"/>
    <w:rsid w:val="00926B46"/>
    <w:rsid w:val="00926C6F"/>
    <w:rsid w:val="00927083"/>
    <w:rsid w:val="00927556"/>
    <w:rsid w:val="0092767C"/>
    <w:rsid w:val="0092793D"/>
    <w:rsid w:val="00927DDA"/>
    <w:rsid w:val="00930398"/>
    <w:rsid w:val="009305FC"/>
    <w:rsid w:val="009306F9"/>
    <w:rsid w:val="00930761"/>
    <w:rsid w:val="009309A8"/>
    <w:rsid w:val="009309F0"/>
    <w:rsid w:val="00930A69"/>
    <w:rsid w:val="00930A9C"/>
    <w:rsid w:val="00930DDA"/>
    <w:rsid w:val="00931841"/>
    <w:rsid w:val="00931BD4"/>
    <w:rsid w:val="00931FD7"/>
    <w:rsid w:val="009320F3"/>
    <w:rsid w:val="009322A3"/>
    <w:rsid w:val="0093274C"/>
    <w:rsid w:val="00932865"/>
    <w:rsid w:val="00932C97"/>
    <w:rsid w:val="00933442"/>
    <w:rsid w:val="009335B6"/>
    <w:rsid w:val="00933A61"/>
    <w:rsid w:val="00933D4D"/>
    <w:rsid w:val="00933EBA"/>
    <w:rsid w:val="00934073"/>
    <w:rsid w:val="009341EC"/>
    <w:rsid w:val="0093452C"/>
    <w:rsid w:val="00934637"/>
    <w:rsid w:val="009346F3"/>
    <w:rsid w:val="00934718"/>
    <w:rsid w:val="009347D4"/>
    <w:rsid w:val="00934936"/>
    <w:rsid w:val="00934D61"/>
    <w:rsid w:val="00934D70"/>
    <w:rsid w:val="00934E3C"/>
    <w:rsid w:val="0093545F"/>
    <w:rsid w:val="0093613A"/>
    <w:rsid w:val="00936450"/>
    <w:rsid w:val="00936876"/>
    <w:rsid w:val="00936907"/>
    <w:rsid w:val="00936F7A"/>
    <w:rsid w:val="009371AC"/>
    <w:rsid w:val="009372C8"/>
    <w:rsid w:val="009372EA"/>
    <w:rsid w:val="009377A3"/>
    <w:rsid w:val="00937B80"/>
    <w:rsid w:val="00940017"/>
    <w:rsid w:val="009402AE"/>
    <w:rsid w:val="00940401"/>
    <w:rsid w:val="0094042E"/>
    <w:rsid w:val="009405DC"/>
    <w:rsid w:val="00940620"/>
    <w:rsid w:val="00940A48"/>
    <w:rsid w:val="00940CB0"/>
    <w:rsid w:val="00941604"/>
    <w:rsid w:val="00941722"/>
    <w:rsid w:val="00941745"/>
    <w:rsid w:val="00941757"/>
    <w:rsid w:val="009418E4"/>
    <w:rsid w:val="00941DDE"/>
    <w:rsid w:val="00941EBD"/>
    <w:rsid w:val="00941F03"/>
    <w:rsid w:val="009424B0"/>
    <w:rsid w:val="00942721"/>
    <w:rsid w:val="009429B2"/>
    <w:rsid w:val="00943735"/>
    <w:rsid w:val="009437DD"/>
    <w:rsid w:val="00943916"/>
    <w:rsid w:val="00943925"/>
    <w:rsid w:val="00943E7D"/>
    <w:rsid w:val="00943E81"/>
    <w:rsid w:val="009444BC"/>
    <w:rsid w:val="009446E1"/>
    <w:rsid w:val="009449FE"/>
    <w:rsid w:val="00944A93"/>
    <w:rsid w:val="0094574E"/>
    <w:rsid w:val="009459DA"/>
    <w:rsid w:val="00945AC5"/>
    <w:rsid w:val="00945CB0"/>
    <w:rsid w:val="00945DD9"/>
    <w:rsid w:val="009460B3"/>
    <w:rsid w:val="0094630C"/>
    <w:rsid w:val="00946351"/>
    <w:rsid w:val="009464EA"/>
    <w:rsid w:val="0094650C"/>
    <w:rsid w:val="009467F1"/>
    <w:rsid w:val="009469A4"/>
    <w:rsid w:val="00946B83"/>
    <w:rsid w:val="00946F34"/>
    <w:rsid w:val="009471FF"/>
    <w:rsid w:val="00947223"/>
    <w:rsid w:val="00947401"/>
    <w:rsid w:val="009475FF"/>
    <w:rsid w:val="00947D30"/>
    <w:rsid w:val="00947FF8"/>
    <w:rsid w:val="0095007B"/>
    <w:rsid w:val="00950854"/>
    <w:rsid w:val="0095093F"/>
    <w:rsid w:val="00950ED1"/>
    <w:rsid w:val="00951355"/>
    <w:rsid w:val="00951C37"/>
    <w:rsid w:val="00951D0E"/>
    <w:rsid w:val="00951D95"/>
    <w:rsid w:val="0095210E"/>
    <w:rsid w:val="0095216B"/>
    <w:rsid w:val="00952397"/>
    <w:rsid w:val="00952844"/>
    <w:rsid w:val="00952890"/>
    <w:rsid w:val="00952972"/>
    <w:rsid w:val="0095318B"/>
    <w:rsid w:val="0095323B"/>
    <w:rsid w:val="00953A48"/>
    <w:rsid w:val="00953E5E"/>
    <w:rsid w:val="009540AB"/>
    <w:rsid w:val="00954734"/>
    <w:rsid w:val="00954746"/>
    <w:rsid w:val="009552F5"/>
    <w:rsid w:val="00955364"/>
    <w:rsid w:val="009553F0"/>
    <w:rsid w:val="00955556"/>
    <w:rsid w:val="0095590F"/>
    <w:rsid w:val="00955B1C"/>
    <w:rsid w:val="00955B9A"/>
    <w:rsid w:val="0095609B"/>
    <w:rsid w:val="00956355"/>
    <w:rsid w:val="0095663A"/>
    <w:rsid w:val="00956705"/>
    <w:rsid w:val="00956F28"/>
    <w:rsid w:val="009575BE"/>
    <w:rsid w:val="00957755"/>
    <w:rsid w:val="009578EA"/>
    <w:rsid w:val="00957C5D"/>
    <w:rsid w:val="00960128"/>
    <w:rsid w:val="0096024A"/>
    <w:rsid w:val="00960440"/>
    <w:rsid w:val="009606DC"/>
    <w:rsid w:val="00961782"/>
    <w:rsid w:val="0096178B"/>
    <w:rsid w:val="0096191D"/>
    <w:rsid w:val="00961927"/>
    <w:rsid w:val="00961A14"/>
    <w:rsid w:val="00961A19"/>
    <w:rsid w:val="00961A7D"/>
    <w:rsid w:val="00961E23"/>
    <w:rsid w:val="009620A3"/>
    <w:rsid w:val="00962332"/>
    <w:rsid w:val="009623AB"/>
    <w:rsid w:val="009623D3"/>
    <w:rsid w:val="00962508"/>
    <w:rsid w:val="00962724"/>
    <w:rsid w:val="00962B6E"/>
    <w:rsid w:val="00962D25"/>
    <w:rsid w:val="00963279"/>
    <w:rsid w:val="00963444"/>
    <w:rsid w:val="0096346D"/>
    <w:rsid w:val="009634C1"/>
    <w:rsid w:val="00963B59"/>
    <w:rsid w:val="00963C3C"/>
    <w:rsid w:val="0096403F"/>
    <w:rsid w:val="009642F1"/>
    <w:rsid w:val="00964390"/>
    <w:rsid w:val="0096471D"/>
    <w:rsid w:val="009648BD"/>
    <w:rsid w:val="00964A08"/>
    <w:rsid w:val="00964BF9"/>
    <w:rsid w:val="00964E8E"/>
    <w:rsid w:val="00964F02"/>
    <w:rsid w:val="00965197"/>
    <w:rsid w:val="009651DE"/>
    <w:rsid w:val="009652AE"/>
    <w:rsid w:val="009653F5"/>
    <w:rsid w:val="00965564"/>
    <w:rsid w:val="009655CA"/>
    <w:rsid w:val="009659E5"/>
    <w:rsid w:val="00965A0B"/>
    <w:rsid w:val="00965B2A"/>
    <w:rsid w:val="00966571"/>
    <w:rsid w:val="009665A4"/>
    <w:rsid w:val="009666FD"/>
    <w:rsid w:val="00966794"/>
    <w:rsid w:val="00966804"/>
    <w:rsid w:val="00966E40"/>
    <w:rsid w:val="009670C3"/>
    <w:rsid w:val="009674A7"/>
    <w:rsid w:val="00967793"/>
    <w:rsid w:val="00967BF1"/>
    <w:rsid w:val="00967E6C"/>
    <w:rsid w:val="00967F69"/>
    <w:rsid w:val="00967FD8"/>
    <w:rsid w:val="00970083"/>
    <w:rsid w:val="0097017D"/>
    <w:rsid w:val="00970490"/>
    <w:rsid w:val="009704AE"/>
    <w:rsid w:val="009705D4"/>
    <w:rsid w:val="00970ECC"/>
    <w:rsid w:val="00970F1A"/>
    <w:rsid w:val="0097104A"/>
    <w:rsid w:val="00971117"/>
    <w:rsid w:val="0097143A"/>
    <w:rsid w:val="009714FB"/>
    <w:rsid w:val="00971A9A"/>
    <w:rsid w:val="009720A9"/>
    <w:rsid w:val="00972467"/>
    <w:rsid w:val="00972623"/>
    <w:rsid w:val="009726A0"/>
    <w:rsid w:val="00972A2C"/>
    <w:rsid w:val="00972A7B"/>
    <w:rsid w:val="00972B01"/>
    <w:rsid w:val="00972BA5"/>
    <w:rsid w:val="00972C26"/>
    <w:rsid w:val="00972F08"/>
    <w:rsid w:val="00972FD2"/>
    <w:rsid w:val="009733E5"/>
    <w:rsid w:val="009735F2"/>
    <w:rsid w:val="00973955"/>
    <w:rsid w:val="00973C2D"/>
    <w:rsid w:val="00973F16"/>
    <w:rsid w:val="00973F22"/>
    <w:rsid w:val="00973FCA"/>
    <w:rsid w:val="0097409B"/>
    <w:rsid w:val="00974161"/>
    <w:rsid w:val="009742E5"/>
    <w:rsid w:val="00974615"/>
    <w:rsid w:val="009747AE"/>
    <w:rsid w:val="00974EC5"/>
    <w:rsid w:val="00974F64"/>
    <w:rsid w:val="00974FC1"/>
    <w:rsid w:val="0097537C"/>
    <w:rsid w:val="0097538C"/>
    <w:rsid w:val="00975491"/>
    <w:rsid w:val="0097579B"/>
    <w:rsid w:val="0097585A"/>
    <w:rsid w:val="00975A07"/>
    <w:rsid w:val="00975D73"/>
    <w:rsid w:val="00976060"/>
    <w:rsid w:val="00976244"/>
    <w:rsid w:val="009762AD"/>
    <w:rsid w:val="00976C17"/>
    <w:rsid w:val="0097706E"/>
    <w:rsid w:val="009772DB"/>
    <w:rsid w:val="00977397"/>
    <w:rsid w:val="0097767D"/>
    <w:rsid w:val="009776F7"/>
    <w:rsid w:val="009779D7"/>
    <w:rsid w:val="00977BC9"/>
    <w:rsid w:val="00977F10"/>
    <w:rsid w:val="00980495"/>
    <w:rsid w:val="0098059B"/>
    <w:rsid w:val="00980EE5"/>
    <w:rsid w:val="00981109"/>
    <w:rsid w:val="0098138E"/>
    <w:rsid w:val="0098179B"/>
    <w:rsid w:val="00981811"/>
    <w:rsid w:val="00981915"/>
    <w:rsid w:val="00981B9B"/>
    <w:rsid w:val="00981C00"/>
    <w:rsid w:val="00981F63"/>
    <w:rsid w:val="00981FDC"/>
    <w:rsid w:val="009820A7"/>
    <w:rsid w:val="00982797"/>
    <w:rsid w:val="00982FF5"/>
    <w:rsid w:val="0098312C"/>
    <w:rsid w:val="00983276"/>
    <w:rsid w:val="00983727"/>
    <w:rsid w:val="00983807"/>
    <w:rsid w:val="00983BD2"/>
    <w:rsid w:val="00983C5A"/>
    <w:rsid w:val="00983C6B"/>
    <w:rsid w:val="00983C7D"/>
    <w:rsid w:val="00983DE9"/>
    <w:rsid w:val="00983FBD"/>
    <w:rsid w:val="00984485"/>
    <w:rsid w:val="00984C78"/>
    <w:rsid w:val="0098508F"/>
    <w:rsid w:val="009852EE"/>
    <w:rsid w:val="009854B5"/>
    <w:rsid w:val="00985B2C"/>
    <w:rsid w:val="00985CE7"/>
    <w:rsid w:val="00985D7E"/>
    <w:rsid w:val="00985DE7"/>
    <w:rsid w:val="00985E63"/>
    <w:rsid w:val="00986028"/>
    <w:rsid w:val="0098629A"/>
    <w:rsid w:val="00986353"/>
    <w:rsid w:val="0098655A"/>
    <w:rsid w:val="0098686A"/>
    <w:rsid w:val="009869FC"/>
    <w:rsid w:val="00986ACE"/>
    <w:rsid w:val="00987058"/>
    <w:rsid w:val="00987637"/>
    <w:rsid w:val="009876E1"/>
    <w:rsid w:val="009877A1"/>
    <w:rsid w:val="00987D2F"/>
    <w:rsid w:val="00987E4C"/>
    <w:rsid w:val="00987E5C"/>
    <w:rsid w:val="00987EB9"/>
    <w:rsid w:val="00990040"/>
    <w:rsid w:val="0099012D"/>
    <w:rsid w:val="009909A5"/>
    <w:rsid w:val="009910EC"/>
    <w:rsid w:val="0099112C"/>
    <w:rsid w:val="009915B9"/>
    <w:rsid w:val="009915C6"/>
    <w:rsid w:val="009917A9"/>
    <w:rsid w:val="009917FE"/>
    <w:rsid w:val="009918DB"/>
    <w:rsid w:val="00991A07"/>
    <w:rsid w:val="00991BAF"/>
    <w:rsid w:val="00991DEC"/>
    <w:rsid w:val="00992089"/>
    <w:rsid w:val="00992213"/>
    <w:rsid w:val="00992B6C"/>
    <w:rsid w:val="00993072"/>
    <w:rsid w:val="009930C0"/>
    <w:rsid w:val="009931C3"/>
    <w:rsid w:val="00993425"/>
    <w:rsid w:val="009935D0"/>
    <w:rsid w:val="00993669"/>
    <w:rsid w:val="0099385B"/>
    <w:rsid w:val="00993BA7"/>
    <w:rsid w:val="00993E3F"/>
    <w:rsid w:val="00993E95"/>
    <w:rsid w:val="00993ED2"/>
    <w:rsid w:val="00993F30"/>
    <w:rsid w:val="00994260"/>
    <w:rsid w:val="0099442F"/>
    <w:rsid w:val="009944E6"/>
    <w:rsid w:val="009946FA"/>
    <w:rsid w:val="009948D9"/>
    <w:rsid w:val="0099494F"/>
    <w:rsid w:val="009950ED"/>
    <w:rsid w:val="009958E2"/>
    <w:rsid w:val="00995D18"/>
    <w:rsid w:val="0099619C"/>
    <w:rsid w:val="00996353"/>
    <w:rsid w:val="0099657D"/>
    <w:rsid w:val="00996698"/>
    <w:rsid w:val="009968AB"/>
    <w:rsid w:val="00996909"/>
    <w:rsid w:val="00996A30"/>
    <w:rsid w:val="00996B9B"/>
    <w:rsid w:val="00996DFC"/>
    <w:rsid w:val="00997059"/>
    <w:rsid w:val="0099712A"/>
    <w:rsid w:val="00997485"/>
    <w:rsid w:val="009975F4"/>
    <w:rsid w:val="0099763C"/>
    <w:rsid w:val="00997AD6"/>
    <w:rsid w:val="00997BA1"/>
    <w:rsid w:val="00997BAD"/>
    <w:rsid w:val="00997C50"/>
    <w:rsid w:val="00997D19"/>
    <w:rsid w:val="009A01A7"/>
    <w:rsid w:val="009A0252"/>
    <w:rsid w:val="009A0472"/>
    <w:rsid w:val="009A05B3"/>
    <w:rsid w:val="009A09A4"/>
    <w:rsid w:val="009A0B63"/>
    <w:rsid w:val="009A0B8B"/>
    <w:rsid w:val="009A0EA0"/>
    <w:rsid w:val="009A14B2"/>
    <w:rsid w:val="009A1530"/>
    <w:rsid w:val="009A1673"/>
    <w:rsid w:val="009A1F1F"/>
    <w:rsid w:val="009A20AE"/>
    <w:rsid w:val="009A2139"/>
    <w:rsid w:val="009A262D"/>
    <w:rsid w:val="009A2632"/>
    <w:rsid w:val="009A26D2"/>
    <w:rsid w:val="009A2831"/>
    <w:rsid w:val="009A2872"/>
    <w:rsid w:val="009A309F"/>
    <w:rsid w:val="009A315F"/>
    <w:rsid w:val="009A3280"/>
    <w:rsid w:val="009A33C5"/>
    <w:rsid w:val="009A35DE"/>
    <w:rsid w:val="009A364B"/>
    <w:rsid w:val="009A3959"/>
    <w:rsid w:val="009A39FB"/>
    <w:rsid w:val="009A3AC8"/>
    <w:rsid w:val="009A3CE1"/>
    <w:rsid w:val="009A418F"/>
    <w:rsid w:val="009A48F5"/>
    <w:rsid w:val="009A4C17"/>
    <w:rsid w:val="009A5613"/>
    <w:rsid w:val="009A5A0E"/>
    <w:rsid w:val="009A5C63"/>
    <w:rsid w:val="009A66F7"/>
    <w:rsid w:val="009A678D"/>
    <w:rsid w:val="009A697D"/>
    <w:rsid w:val="009A6D07"/>
    <w:rsid w:val="009A6E36"/>
    <w:rsid w:val="009A707B"/>
    <w:rsid w:val="009A72E7"/>
    <w:rsid w:val="009A7B24"/>
    <w:rsid w:val="009A7B9E"/>
    <w:rsid w:val="009A7F43"/>
    <w:rsid w:val="009B0C4F"/>
    <w:rsid w:val="009B13BB"/>
    <w:rsid w:val="009B1483"/>
    <w:rsid w:val="009B15BB"/>
    <w:rsid w:val="009B1764"/>
    <w:rsid w:val="009B177B"/>
    <w:rsid w:val="009B1801"/>
    <w:rsid w:val="009B1AAF"/>
    <w:rsid w:val="009B1ACC"/>
    <w:rsid w:val="009B1B48"/>
    <w:rsid w:val="009B232C"/>
    <w:rsid w:val="009B24F8"/>
    <w:rsid w:val="009B25C0"/>
    <w:rsid w:val="009B2631"/>
    <w:rsid w:val="009B27A8"/>
    <w:rsid w:val="009B290C"/>
    <w:rsid w:val="009B2B1C"/>
    <w:rsid w:val="009B2D73"/>
    <w:rsid w:val="009B2FEB"/>
    <w:rsid w:val="009B316D"/>
    <w:rsid w:val="009B34C3"/>
    <w:rsid w:val="009B35B2"/>
    <w:rsid w:val="009B3791"/>
    <w:rsid w:val="009B390B"/>
    <w:rsid w:val="009B39A4"/>
    <w:rsid w:val="009B3C4B"/>
    <w:rsid w:val="009B3F3D"/>
    <w:rsid w:val="009B3F7D"/>
    <w:rsid w:val="009B41CD"/>
    <w:rsid w:val="009B43DA"/>
    <w:rsid w:val="009B462A"/>
    <w:rsid w:val="009B4D85"/>
    <w:rsid w:val="009B4E21"/>
    <w:rsid w:val="009B4E7C"/>
    <w:rsid w:val="009B4F5D"/>
    <w:rsid w:val="009B4FAF"/>
    <w:rsid w:val="009B51CE"/>
    <w:rsid w:val="009B5614"/>
    <w:rsid w:val="009B5636"/>
    <w:rsid w:val="009B57C9"/>
    <w:rsid w:val="009B59F7"/>
    <w:rsid w:val="009B5F09"/>
    <w:rsid w:val="009B60EE"/>
    <w:rsid w:val="009B619F"/>
    <w:rsid w:val="009B65C3"/>
    <w:rsid w:val="009B6629"/>
    <w:rsid w:val="009B6657"/>
    <w:rsid w:val="009B6776"/>
    <w:rsid w:val="009B6BFE"/>
    <w:rsid w:val="009B70B0"/>
    <w:rsid w:val="009B72E0"/>
    <w:rsid w:val="009B7A42"/>
    <w:rsid w:val="009B7AF2"/>
    <w:rsid w:val="009B7C03"/>
    <w:rsid w:val="009B7C5C"/>
    <w:rsid w:val="009B7D62"/>
    <w:rsid w:val="009B7F02"/>
    <w:rsid w:val="009C0232"/>
    <w:rsid w:val="009C02E7"/>
    <w:rsid w:val="009C0971"/>
    <w:rsid w:val="009C0BDE"/>
    <w:rsid w:val="009C1089"/>
    <w:rsid w:val="009C14C9"/>
    <w:rsid w:val="009C15F6"/>
    <w:rsid w:val="009C19F5"/>
    <w:rsid w:val="009C1C24"/>
    <w:rsid w:val="009C1F94"/>
    <w:rsid w:val="009C2032"/>
    <w:rsid w:val="009C21C6"/>
    <w:rsid w:val="009C225B"/>
    <w:rsid w:val="009C22A7"/>
    <w:rsid w:val="009C29F0"/>
    <w:rsid w:val="009C3110"/>
    <w:rsid w:val="009C3237"/>
    <w:rsid w:val="009C32F0"/>
    <w:rsid w:val="009C3CE8"/>
    <w:rsid w:val="009C3E96"/>
    <w:rsid w:val="009C40D8"/>
    <w:rsid w:val="009C46B0"/>
    <w:rsid w:val="009C47D4"/>
    <w:rsid w:val="009C4D9C"/>
    <w:rsid w:val="009C4E21"/>
    <w:rsid w:val="009C4F7F"/>
    <w:rsid w:val="009C513B"/>
    <w:rsid w:val="009C521C"/>
    <w:rsid w:val="009C570D"/>
    <w:rsid w:val="009C5872"/>
    <w:rsid w:val="009C5884"/>
    <w:rsid w:val="009C5D2D"/>
    <w:rsid w:val="009C628B"/>
    <w:rsid w:val="009C62C3"/>
    <w:rsid w:val="009C6A5A"/>
    <w:rsid w:val="009C73F7"/>
    <w:rsid w:val="009C7518"/>
    <w:rsid w:val="009C76A8"/>
    <w:rsid w:val="009C76D2"/>
    <w:rsid w:val="009C7709"/>
    <w:rsid w:val="009C7A1A"/>
    <w:rsid w:val="009C7AB3"/>
    <w:rsid w:val="009C7FCA"/>
    <w:rsid w:val="009D01F3"/>
    <w:rsid w:val="009D0480"/>
    <w:rsid w:val="009D06D4"/>
    <w:rsid w:val="009D135E"/>
    <w:rsid w:val="009D16B8"/>
    <w:rsid w:val="009D1B8D"/>
    <w:rsid w:val="009D23B4"/>
    <w:rsid w:val="009D26D8"/>
    <w:rsid w:val="009D2794"/>
    <w:rsid w:val="009D27AD"/>
    <w:rsid w:val="009D2A1A"/>
    <w:rsid w:val="009D2A7A"/>
    <w:rsid w:val="009D328C"/>
    <w:rsid w:val="009D36B4"/>
    <w:rsid w:val="009D36C1"/>
    <w:rsid w:val="009D37A3"/>
    <w:rsid w:val="009D3F18"/>
    <w:rsid w:val="009D3F32"/>
    <w:rsid w:val="009D4539"/>
    <w:rsid w:val="009D45F9"/>
    <w:rsid w:val="009D4612"/>
    <w:rsid w:val="009D4B84"/>
    <w:rsid w:val="009D4C0D"/>
    <w:rsid w:val="009D4FF0"/>
    <w:rsid w:val="009D50AC"/>
    <w:rsid w:val="009D542A"/>
    <w:rsid w:val="009D549B"/>
    <w:rsid w:val="009D59A4"/>
    <w:rsid w:val="009D59CD"/>
    <w:rsid w:val="009D5C0A"/>
    <w:rsid w:val="009D5D35"/>
    <w:rsid w:val="009D5EA3"/>
    <w:rsid w:val="009D6215"/>
    <w:rsid w:val="009D62C5"/>
    <w:rsid w:val="009D6372"/>
    <w:rsid w:val="009D6570"/>
    <w:rsid w:val="009D6CE5"/>
    <w:rsid w:val="009D6EBE"/>
    <w:rsid w:val="009D71C4"/>
    <w:rsid w:val="009D73C0"/>
    <w:rsid w:val="009D7CF8"/>
    <w:rsid w:val="009D7DF6"/>
    <w:rsid w:val="009E01C3"/>
    <w:rsid w:val="009E0413"/>
    <w:rsid w:val="009E062B"/>
    <w:rsid w:val="009E06F6"/>
    <w:rsid w:val="009E0C9A"/>
    <w:rsid w:val="009E0E42"/>
    <w:rsid w:val="009E0E68"/>
    <w:rsid w:val="009E1493"/>
    <w:rsid w:val="009E166C"/>
    <w:rsid w:val="009E1832"/>
    <w:rsid w:val="009E237F"/>
    <w:rsid w:val="009E251E"/>
    <w:rsid w:val="009E2BFC"/>
    <w:rsid w:val="009E32FB"/>
    <w:rsid w:val="009E3868"/>
    <w:rsid w:val="009E39C1"/>
    <w:rsid w:val="009E39F8"/>
    <w:rsid w:val="009E403B"/>
    <w:rsid w:val="009E43C3"/>
    <w:rsid w:val="009E44A4"/>
    <w:rsid w:val="009E4794"/>
    <w:rsid w:val="009E4943"/>
    <w:rsid w:val="009E5087"/>
    <w:rsid w:val="009E544C"/>
    <w:rsid w:val="009E55D4"/>
    <w:rsid w:val="009E5668"/>
    <w:rsid w:val="009E5698"/>
    <w:rsid w:val="009E5B02"/>
    <w:rsid w:val="009E5BF8"/>
    <w:rsid w:val="009E5D11"/>
    <w:rsid w:val="009E5D73"/>
    <w:rsid w:val="009E6052"/>
    <w:rsid w:val="009E6498"/>
    <w:rsid w:val="009E64CC"/>
    <w:rsid w:val="009E6544"/>
    <w:rsid w:val="009E65FE"/>
    <w:rsid w:val="009E6725"/>
    <w:rsid w:val="009E6FAD"/>
    <w:rsid w:val="009E720F"/>
    <w:rsid w:val="009E76A3"/>
    <w:rsid w:val="009E7843"/>
    <w:rsid w:val="009E786A"/>
    <w:rsid w:val="009E7A10"/>
    <w:rsid w:val="009E7B1C"/>
    <w:rsid w:val="009E7C18"/>
    <w:rsid w:val="009E7C7F"/>
    <w:rsid w:val="009E7FE8"/>
    <w:rsid w:val="009F01AA"/>
    <w:rsid w:val="009F03E1"/>
    <w:rsid w:val="009F046B"/>
    <w:rsid w:val="009F0487"/>
    <w:rsid w:val="009F05F5"/>
    <w:rsid w:val="009F07C8"/>
    <w:rsid w:val="009F0839"/>
    <w:rsid w:val="009F0AC8"/>
    <w:rsid w:val="009F0AD8"/>
    <w:rsid w:val="009F0DA2"/>
    <w:rsid w:val="009F10F8"/>
    <w:rsid w:val="009F128F"/>
    <w:rsid w:val="009F14D8"/>
    <w:rsid w:val="009F1757"/>
    <w:rsid w:val="009F18E4"/>
    <w:rsid w:val="009F1A89"/>
    <w:rsid w:val="009F1AE4"/>
    <w:rsid w:val="009F1F28"/>
    <w:rsid w:val="009F204B"/>
    <w:rsid w:val="009F2431"/>
    <w:rsid w:val="009F2490"/>
    <w:rsid w:val="009F26AB"/>
    <w:rsid w:val="009F2DAB"/>
    <w:rsid w:val="009F3051"/>
    <w:rsid w:val="009F3632"/>
    <w:rsid w:val="009F3759"/>
    <w:rsid w:val="009F37A9"/>
    <w:rsid w:val="009F38EF"/>
    <w:rsid w:val="009F3ED2"/>
    <w:rsid w:val="009F3F5E"/>
    <w:rsid w:val="009F417B"/>
    <w:rsid w:val="009F4486"/>
    <w:rsid w:val="009F46E6"/>
    <w:rsid w:val="009F4716"/>
    <w:rsid w:val="009F4E49"/>
    <w:rsid w:val="009F4EB2"/>
    <w:rsid w:val="009F516E"/>
    <w:rsid w:val="009F566E"/>
    <w:rsid w:val="009F56E1"/>
    <w:rsid w:val="009F5998"/>
    <w:rsid w:val="009F5A3B"/>
    <w:rsid w:val="009F5AA4"/>
    <w:rsid w:val="009F5AD4"/>
    <w:rsid w:val="009F5B4E"/>
    <w:rsid w:val="009F5E11"/>
    <w:rsid w:val="009F5F9F"/>
    <w:rsid w:val="009F605F"/>
    <w:rsid w:val="009F611E"/>
    <w:rsid w:val="009F6154"/>
    <w:rsid w:val="009F66DB"/>
    <w:rsid w:val="009F69F9"/>
    <w:rsid w:val="009F6E9D"/>
    <w:rsid w:val="009F6FCF"/>
    <w:rsid w:val="009F7092"/>
    <w:rsid w:val="009F75E8"/>
    <w:rsid w:val="009F760A"/>
    <w:rsid w:val="009F7DAD"/>
    <w:rsid w:val="009F7E1B"/>
    <w:rsid w:val="00A000F5"/>
    <w:rsid w:val="00A0015F"/>
    <w:rsid w:val="00A00363"/>
    <w:rsid w:val="00A005DE"/>
    <w:rsid w:val="00A0061A"/>
    <w:rsid w:val="00A00C3D"/>
    <w:rsid w:val="00A010F6"/>
    <w:rsid w:val="00A014E5"/>
    <w:rsid w:val="00A017BA"/>
    <w:rsid w:val="00A018F4"/>
    <w:rsid w:val="00A01CA9"/>
    <w:rsid w:val="00A01F32"/>
    <w:rsid w:val="00A0201E"/>
    <w:rsid w:val="00A021A9"/>
    <w:rsid w:val="00A021E3"/>
    <w:rsid w:val="00A025C8"/>
    <w:rsid w:val="00A029F3"/>
    <w:rsid w:val="00A02C7B"/>
    <w:rsid w:val="00A02FB2"/>
    <w:rsid w:val="00A031A1"/>
    <w:rsid w:val="00A03489"/>
    <w:rsid w:val="00A035E8"/>
    <w:rsid w:val="00A03673"/>
    <w:rsid w:val="00A0383C"/>
    <w:rsid w:val="00A03BDF"/>
    <w:rsid w:val="00A03DBB"/>
    <w:rsid w:val="00A03EA1"/>
    <w:rsid w:val="00A03F86"/>
    <w:rsid w:val="00A040BA"/>
    <w:rsid w:val="00A04329"/>
    <w:rsid w:val="00A045A8"/>
    <w:rsid w:val="00A046BB"/>
    <w:rsid w:val="00A04A98"/>
    <w:rsid w:val="00A04F89"/>
    <w:rsid w:val="00A05101"/>
    <w:rsid w:val="00A0520B"/>
    <w:rsid w:val="00A05471"/>
    <w:rsid w:val="00A054E5"/>
    <w:rsid w:val="00A055A3"/>
    <w:rsid w:val="00A05708"/>
    <w:rsid w:val="00A05CA0"/>
    <w:rsid w:val="00A05FFB"/>
    <w:rsid w:val="00A06001"/>
    <w:rsid w:val="00A061E2"/>
    <w:rsid w:val="00A063D9"/>
    <w:rsid w:val="00A06781"/>
    <w:rsid w:val="00A06919"/>
    <w:rsid w:val="00A06D7C"/>
    <w:rsid w:val="00A0706F"/>
    <w:rsid w:val="00A070D2"/>
    <w:rsid w:val="00A077CA"/>
    <w:rsid w:val="00A0794C"/>
    <w:rsid w:val="00A07A50"/>
    <w:rsid w:val="00A07BCA"/>
    <w:rsid w:val="00A07ED6"/>
    <w:rsid w:val="00A10058"/>
    <w:rsid w:val="00A10262"/>
    <w:rsid w:val="00A103D7"/>
    <w:rsid w:val="00A1096B"/>
    <w:rsid w:val="00A10CBB"/>
    <w:rsid w:val="00A11504"/>
    <w:rsid w:val="00A115B3"/>
    <w:rsid w:val="00A115B4"/>
    <w:rsid w:val="00A11A4C"/>
    <w:rsid w:val="00A11A9F"/>
    <w:rsid w:val="00A11C11"/>
    <w:rsid w:val="00A1255B"/>
    <w:rsid w:val="00A12895"/>
    <w:rsid w:val="00A12925"/>
    <w:rsid w:val="00A1292C"/>
    <w:rsid w:val="00A12BC6"/>
    <w:rsid w:val="00A12C8B"/>
    <w:rsid w:val="00A130BB"/>
    <w:rsid w:val="00A134B4"/>
    <w:rsid w:val="00A13E36"/>
    <w:rsid w:val="00A13E44"/>
    <w:rsid w:val="00A13E7B"/>
    <w:rsid w:val="00A14154"/>
    <w:rsid w:val="00A1492F"/>
    <w:rsid w:val="00A1495F"/>
    <w:rsid w:val="00A14C07"/>
    <w:rsid w:val="00A1584A"/>
    <w:rsid w:val="00A15854"/>
    <w:rsid w:val="00A16512"/>
    <w:rsid w:val="00A16551"/>
    <w:rsid w:val="00A168CF"/>
    <w:rsid w:val="00A16B81"/>
    <w:rsid w:val="00A16FBE"/>
    <w:rsid w:val="00A17058"/>
    <w:rsid w:val="00A17253"/>
    <w:rsid w:val="00A17588"/>
    <w:rsid w:val="00A1774C"/>
    <w:rsid w:val="00A177A8"/>
    <w:rsid w:val="00A17845"/>
    <w:rsid w:val="00A1790F"/>
    <w:rsid w:val="00A17CE0"/>
    <w:rsid w:val="00A17EFB"/>
    <w:rsid w:val="00A17F62"/>
    <w:rsid w:val="00A20133"/>
    <w:rsid w:val="00A2037D"/>
    <w:rsid w:val="00A206F1"/>
    <w:rsid w:val="00A20790"/>
    <w:rsid w:val="00A208C7"/>
    <w:rsid w:val="00A20ABB"/>
    <w:rsid w:val="00A20F63"/>
    <w:rsid w:val="00A2103C"/>
    <w:rsid w:val="00A2111B"/>
    <w:rsid w:val="00A2115F"/>
    <w:rsid w:val="00A21223"/>
    <w:rsid w:val="00A21372"/>
    <w:rsid w:val="00A2182C"/>
    <w:rsid w:val="00A22402"/>
    <w:rsid w:val="00A224E1"/>
    <w:rsid w:val="00A2259E"/>
    <w:rsid w:val="00A225D0"/>
    <w:rsid w:val="00A22A86"/>
    <w:rsid w:val="00A22F5D"/>
    <w:rsid w:val="00A23064"/>
    <w:rsid w:val="00A2330E"/>
    <w:rsid w:val="00A23B51"/>
    <w:rsid w:val="00A23BFE"/>
    <w:rsid w:val="00A23C18"/>
    <w:rsid w:val="00A23D48"/>
    <w:rsid w:val="00A23E2A"/>
    <w:rsid w:val="00A23EF5"/>
    <w:rsid w:val="00A240C0"/>
    <w:rsid w:val="00A24155"/>
    <w:rsid w:val="00A248EF"/>
    <w:rsid w:val="00A249A6"/>
    <w:rsid w:val="00A24D67"/>
    <w:rsid w:val="00A253DB"/>
    <w:rsid w:val="00A25467"/>
    <w:rsid w:val="00A25944"/>
    <w:rsid w:val="00A2624E"/>
    <w:rsid w:val="00A2659F"/>
    <w:rsid w:val="00A268C3"/>
    <w:rsid w:val="00A26B14"/>
    <w:rsid w:val="00A26BB2"/>
    <w:rsid w:val="00A27110"/>
    <w:rsid w:val="00A272C1"/>
    <w:rsid w:val="00A2755C"/>
    <w:rsid w:val="00A27B30"/>
    <w:rsid w:val="00A27B75"/>
    <w:rsid w:val="00A27C40"/>
    <w:rsid w:val="00A27CD9"/>
    <w:rsid w:val="00A3006A"/>
    <w:rsid w:val="00A30085"/>
    <w:rsid w:val="00A300BD"/>
    <w:rsid w:val="00A304B0"/>
    <w:rsid w:val="00A307F7"/>
    <w:rsid w:val="00A308BF"/>
    <w:rsid w:val="00A31192"/>
    <w:rsid w:val="00A3120B"/>
    <w:rsid w:val="00A3134F"/>
    <w:rsid w:val="00A315A0"/>
    <w:rsid w:val="00A319AC"/>
    <w:rsid w:val="00A31ED8"/>
    <w:rsid w:val="00A31F53"/>
    <w:rsid w:val="00A320B0"/>
    <w:rsid w:val="00A321F7"/>
    <w:rsid w:val="00A322C0"/>
    <w:rsid w:val="00A32407"/>
    <w:rsid w:val="00A32527"/>
    <w:rsid w:val="00A32537"/>
    <w:rsid w:val="00A32A76"/>
    <w:rsid w:val="00A32ACB"/>
    <w:rsid w:val="00A32C58"/>
    <w:rsid w:val="00A32E51"/>
    <w:rsid w:val="00A32F35"/>
    <w:rsid w:val="00A3315A"/>
    <w:rsid w:val="00A332D4"/>
    <w:rsid w:val="00A334DF"/>
    <w:rsid w:val="00A33544"/>
    <w:rsid w:val="00A337DF"/>
    <w:rsid w:val="00A3380F"/>
    <w:rsid w:val="00A33A66"/>
    <w:rsid w:val="00A34069"/>
    <w:rsid w:val="00A34566"/>
    <w:rsid w:val="00A3471A"/>
    <w:rsid w:val="00A34A15"/>
    <w:rsid w:val="00A34F53"/>
    <w:rsid w:val="00A351D9"/>
    <w:rsid w:val="00A3532C"/>
    <w:rsid w:val="00A35357"/>
    <w:rsid w:val="00A35454"/>
    <w:rsid w:val="00A35553"/>
    <w:rsid w:val="00A35659"/>
    <w:rsid w:val="00A357FA"/>
    <w:rsid w:val="00A35A6F"/>
    <w:rsid w:val="00A35FBC"/>
    <w:rsid w:val="00A36237"/>
    <w:rsid w:val="00A36B77"/>
    <w:rsid w:val="00A372D4"/>
    <w:rsid w:val="00A3755B"/>
    <w:rsid w:val="00A37571"/>
    <w:rsid w:val="00A3779D"/>
    <w:rsid w:val="00A37804"/>
    <w:rsid w:val="00A37825"/>
    <w:rsid w:val="00A37A24"/>
    <w:rsid w:val="00A37C73"/>
    <w:rsid w:val="00A37DA3"/>
    <w:rsid w:val="00A37E4F"/>
    <w:rsid w:val="00A37E81"/>
    <w:rsid w:val="00A4003B"/>
    <w:rsid w:val="00A401FD"/>
    <w:rsid w:val="00A4032E"/>
    <w:rsid w:val="00A40554"/>
    <w:rsid w:val="00A405D5"/>
    <w:rsid w:val="00A408EC"/>
    <w:rsid w:val="00A40AAD"/>
    <w:rsid w:val="00A4194A"/>
    <w:rsid w:val="00A41E87"/>
    <w:rsid w:val="00A42306"/>
    <w:rsid w:val="00A423AD"/>
    <w:rsid w:val="00A423F1"/>
    <w:rsid w:val="00A42401"/>
    <w:rsid w:val="00A42676"/>
    <w:rsid w:val="00A42E13"/>
    <w:rsid w:val="00A42E84"/>
    <w:rsid w:val="00A4300E"/>
    <w:rsid w:val="00A43210"/>
    <w:rsid w:val="00A434BA"/>
    <w:rsid w:val="00A43785"/>
    <w:rsid w:val="00A437C8"/>
    <w:rsid w:val="00A43812"/>
    <w:rsid w:val="00A43A7B"/>
    <w:rsid w:val="00A43B78"/>
    <w:rsid w:val="00A43E2B"/>
    <w:rsid w:val="00A443F5"/>
    <w:rsid w:val="00A449FA"/>
    <w:rsid w:val="00A44A23"/>
    <w:rsid w:val="00A44BEB"/>
    <w:rsid w:val="00A44E8D"/>
    <w:rsid w:val="00A44FC1"/>
    <w:rsid w:val="00A450F3"/>
    <w:rsid w:val="00A4533D"/>
    <w:rsid w:val="00A45A71"/>
    <w:rsid w:val="00A45AA9"/>
    <w:rsid w:val="00A45D1F"/>
    <w:rsid w:val="00A463C4"/>
    <w:rsid w:val="00A4665B"/>
    <w:rsid w:val="00A467CE"/>
    <w:rsid w:val="00A46EA8"/>
    <w:rsid w:val="00A46EC9"/>
    <w:rsid w:val="00A470F1"/>
    <w:rsid w:val="00A4759F"/>
    <w:rsid w:val="00A47685"/>
    <w:rsid w:val="00A477B2"/>
    <w:rsid w:val="00A478C5"/>
    <w:rsid w:val="00A47B41"/>
    <w:rsid w:val="00A47BB5"/>
    <w:rsid w:val="00A47E1F"/>
    <w:rsid w:val="00A501A9"/>
    <w:rsid w:val="00A50F76"/>
    <w:rsid w:val="00A513C8"/>
    <w:rsid w:val="00A51413"/>
    <w:rsid w:val="00A51F69"/>
    <w:rsid w:val="00A5205F"/>
    <w:rsid w:val="00A521F4"/>
    <w:rsid w:val="00A52442"/>
    <w:rsid w:val="00A5250B"/>
    <w:rsid w:val="00A52B5B"/>
    <w:rsid w:val="00A52DB2"/>
    <w:rsid w:val="00A52EA0"/>
    <w:rsid w:val="00A52F2B"/>
    <w:rsid w:val="00A533E8"/>
    <w:rsid w:val="00A53636"/>
    <w:rsid w:val="00A538F9"/>
    <w:rsid w:val="00A539C6"/>
    <w:rsid w:val="00A53EAB"/>
    <w:rsid w:val="00A54469"/>
    <w:rsid w:val="00A54649"/>
    <w:rsid w:val="00A5473E"/>
    <w:rsid w:val="00A54944"/>
    <w:rsid w:val="00A54992"/>
    <w:rsid w:val="00A54D7D"/>
    <w:rsid w:val="00A556AF"/>
    <w:rsid w:val="00A5573E"/>
    <w:rsid w:val="00A5575E"/>
    <w:rsid w:val="00A5578D"/>
    <w:rsid w:val="00A55ACD"/>
    <w:rsid w:val="00A55DD8"/>
    <w:rsid w:val="00A55F18"/>
    <w:rsid w:val="00A55FCE"/>
    <w:rsid w:val="00A5603F"/>
    <w:rsid w:val="00A567F6"/>
    <w:rsid w:val="00A569FC"/>
    <w:rsid w:val="00A56ACB"/>
    <w:rsid w:val="00A56AE1"/>
    <w:rsid w:val="00A5708A"/>
    <w:rsid w:val="00A5783C"/>
    <w:rsid w:val="00A57861"/>
    <w:rsid w:val="00A57BFF"/>
    <w:rsid w:val="00A57C62"/>
    <w:rsid w:val="00A600B5"/>
    <w:rsid w:val="00A600E5"/>
    <w:rsid w:val="00A60200"/>
    <w:rsid w:val="00A607B1"/>
    <w:rsid w:val="00A60AF6"/>
    <w:rsid w:val="00A60B2F"/>
    <w:rsid w:val="00A60CD5"/>
    <w:rsid w:val="00A60CD9"/>
    <w:rsid w:val="00A60D48"/>
    <w:rsid w:val="00A60ED5"/>
    <w:rsid w:val="00A6110E"/>
    <w:rsid w:val="00A61624"/>
    <w:rsid w:val="00A618BF"/>
    <w:rsid w:val="00A61959"/>
    <w:rsid w:val="00A61A72"/>
    <w:rsid w:val="00A61B45"/>
    <w:rsid w:val="00A6270B"/>
    <w:rsid w:val="00A62BB5"/>
    <w:rsid w:val="00A62C7A"/>
    <w:rsid w:val="00A62F0E"/>
    <w:rsid w:val="00A630AE"/>
    <w:rsid w:val="00A630E4"/>
    <w:rsid w:val="00A63B12"/>
    <w:rsid w:val="00A63C6A"/>
    <w:rsid w:val="00A63EE5"/>
    <w:rsid w:val="00A64032"/>
    <w:rsid w:val="00A64047"/>
    <w:rsid w:val="00A64063"/>
    <w:rsid w:val="00A64117"/>
    <w:rsid w:val="00A642DB"/>
    <w:rsid w:val="00A643AA"/>
    <w:rsid w:val="00A644FD"/>
    <w:rsid w:val="00A64712"/>
    <w:rsid w:val="00A64B09"/>
    <w:rsid w:val="00A64B2E"/>
    <w:rsid w:val="00A64E3E"/>
    <w:rsid w:val="00A64F5B"/>
    <w:rsid w:val="00A6534E"/>
    <w:rsid w:val="00A65B37"/>
    <w:rsid w:val="00A65DB3"/>
    <w:rsid w:val="00A66011"/>
    <w:rsid w:val="00A66793"/>
    <w:rsid w:val="00A66FCD"/>
    <w:rsid w:val="00A67163"/>
    <w:rsid w:val="00A671BC"/>
    <w:rsid w:val="00A67929"/>
    <w:rsid w:val="00A67ED9"/>
    <w:rsid w:val="00A7025C"/>
    <w:rsid w:val="00A702E9"/>
    <w:rsid w:val="00A7095E"/>
    <w:rsid w:val="00A70BD4"/>
    <w:rsid w:val="00A70EDD"/>
    <w:rsid w:val="00A710F9"/>
    <w:rsid w:val="00A71152"/>
    <w:rsid w:val="00A71790"/>
    <w:rsid w:val="00A71B37"/>
    <w:rsid w:val="00A72210"/>
    <w:rsid w:val="00A7272F"/>
    <w:rsid w:val="00A72833"/>
    <w:rsid w:val="00A72912"/>
    <w:rsid w:val="00A72B13"/>
    <w:rsid w:val="00A72BC9"/>
    <w:rsid w:val="00A72C03"/>
    <w:rsid w:val="00A735C5"/>
    <w:rsid w:val="00A73680"/>
    <w:rsid w:val="00A737D1"/>
    <w:rsid w:val="00A73969"/>
    <w:rsid w:val="00A739F0"/>
    <w:rsid w:val="00A73CFF"/>
    <w:rsid w:val="00A73D3B"/>
    <w:rsid w:val="00A73FB2"/>
    <w:rsid w:val="00A74079"/>
    <w:rsid w:val="00A74323"/>
    <w:rsid w:val="00A7475A"/>
    <w:rsid w:val="00A748D0"/>
    <w:rsid w:val="00A74ECF"/>
    <w:rsid w:val="00A74F8F"/>
    <w:rsid w:val="00A7528B"/>
    <w:rsid w:val="00A755E6"/>
    <w:rsid w:val="00A757F7"/>
    <w:rsid w:val="00A758A6"/>
    <w:rsid w:val="00A75D0F"/>
    <w:rsid w:val="00A75D96"/>
    <w:rsid w:val="00A75ED2"/>
    <w:rsid w:val="00A7609D"/>
    <w:rsid w:val="00A761D8"/>
    <w:rsid w:val="00A761DA"/>
    <w:rsid w:val="00A7624B"/>
    <w:rsid w:val="00A76572"/>
    <w:rsid w:val="00A7703C"/>
    <w:rsid w:val="00A77152"/>
    <w:rsid w:val="00A77310"/>
    <w:rsid w:val="00A77316"/>
    <w:rsid w:val="00A77383"/>
    <w:rsid w:val="00A77866"/>
    <w:rsid w:val="00A778AC"/>
    <w:rsid w:val="00A77BC7"/>
    <w:rsid w:val="00A77C31"/>
    <w:rsid w:val="00A77D0D"/>
    <w:rsid w:val="00A77F60"/>
    <w:rsid w:val="00A800A0"/>
    <w:rsid w:val="00A80205"/>
    <w:rsid w:val="00A80478"/>
    <w:rsid w:val="00A80A22"/>
    <w:rsid w:val="00A80B20"/>
    <w:rsid w:val="00A80E1B"/>
    <w:rsid w:val="00A80FBD"/>
    <w:rsid w:val="00A811D5"/>
    <w:rsid w:val="00A81232"/>
    <w:rsid w:val="00A81617"/>
    <w:rsid w:val="00A81878"/>
    <w:rsid w:val="00A81879"/>
    <w:rsid w:val="00A81886"/>
    <w:rsid w:val="00A81A87"/>
    <w:rsid w:val="00A81C27"/>
    <w:rsid w:val="00A81C70"/>
    <w:rsid w:val="00A81D65"/>
    <w:rsid w:val="00A82203"/>
    <w:rsid w:val="00A82352"/>
    <w:rsid w:val="00A8244A"/>
    <w:rsid w:val="00A8270B"/>
    <w:rsid w:val="00A8285E"/>
    <w:rsid w:val="00A82CE2"/>
    <w:rsid w:val="00A82D52"/>
    <w:rsid w:val="00A82D7C"/>
    <w:rsid w:val="00A82EEE"/>
    <w:rsid w:val="00A83804"/>
    <w:rsid w:val="00A83AED"/>
    <w:rsid w:val="00A83D25"/>
    <w:rsid w:val="00A83D87"/>
    <w:rsid w:val="00A8400C"/>
    <w:rsid w:val="00A84215"/>
    <w:rsid w:val="00A84BCB"/>
    <w:rsid w:val="00A84CE5"/>
    <w:rsid w:val="00A84D00"/>
    <w:rsid w:val="00A85294"/>
    <w:rsid w:val="00A85737"/>
    <w:rsid w:val="00A859CC"/>
    <w:rsid w:val="00A85D27"/>
    <w:rsid w:val="00A85E11"/>
    <w:rsid w:val="00A85F56"/>
    <w:rsid w:val="00A8626D"/>
    <w:rsid w:val="00A86311"/>
    <w:rsid w:val="00A865DD"/>
    <w:rsid w:val="00A86929"/>
    <w:rsid w:val="00A86B1A"/>
    <w:rsid w:val="00A86DBF"/>
    <w:rsid w:val="00A86FED"/>
    <w:rsid w:val="00A87156"/>
    <w:rsid w:val="00A8724A"/>
    <w:rsid w:val="00A873C2"/>
    <w:rsid w:val="00A877C0"/>
    <w:rsid w:val="00A87B30"/>
    <w:rsid w:val="00A87C75"/>
    <w:rsid w:val="00A87D05"/>
    <w:rsid w:val="00A87DE3"/>
    <w:rsid w:val="00A87E4B"/>
    <w:rsid w:val="00A90142"/>
    <w:rsid w:val="00A90347"/>
    <w:rsid w:val="00A909D0"/>
    <w:rsid w:val="00A90A1C"/>
    <w:rsid w:val="00A90A77"/>
    <w:rsid w:val="00A90D5E"/>
    <w:rsid w:val="00A90DC1"/>
    <w:rsid w:val="00A9113D"/>
    <w:rsid w:val="00A91219"/>
    <w:rsid w:val="00A91BD5"/>
    <w:rsid w:val="00A91C13"/>
    <w:rsid w:val="00A91C41"/>
    <w:rsid w:val="00A91E19"/>
    <w:rsid w:val="00A91F7D"/>
    <w:rsid w:val="00A92136"/>
    <w:rsid w:val="00A9248C"/>
    <w:rsid w:val="00A925E6"/>
    <w:rsid w:val="00A92A38"/>
    <w:rsid w:val="00A92EA2"/>
    <w:rsid w:val="00A930B4"/>
    <w:rsid w:val="00A933BD"/>
    <w:rsid w:val="00A93412"/>
    <w:rsid w:val="00A935B1"/>
    <w:rsid w:val="00A93746"/>
    <w:rsid w:val="00A93792"/>
    <w:rsid w:val="00A9381D"/>
    <w:rsid w:val="00A938FA"/>
    <w:rsid w:val="00A93A08"/>
    <w:rsid w:val="00A93C28"/>
    <w:rsid w:val="00A940DE"/>
    <w:rsid w:val="00A947AE"/>
    <w:rsid w:val="00A9499D"/>
    <w:rsid w:val="00A94A4C"/>
    <w:rsid w:val="00A94D64"/>
    <w:rsid w:val="00A94F76"/>
    <w:rsid w:val="00A95278"/>
    <w:rsid w:val="00A95571"/>
    <w:rsid w:val="00A95A2D"/>
    <w:rsid w:val="00A95C94"/>
    <w:rsid w:val="00A96513"/>
    <w:rsid w:val="00A96602"/>
    <w:rsid w:val="00A969B9"/>
    <w:rsid w:val="00A96BBB"/>
    <w:rsid w:val="00A96E69"/>
    <w:rsid w:val="00A97092"/>
    <w:rsid w:val="00A971EC"/>
    <w:rsid w:val="00A973D8"/>
    <w:rsid w:val="00A97639"/>
    <w:rsid w:val="00A97C9C"/>
    <w:rsid w:val="00A97DCB"/>
    <w:rsid w:val="00AA0303"/>
    <w:rsid w:val="00AA06B6"/>
    <w:rsid w:val="00AA0A89"/>
    <w:rsid w:val="00AA0B63"/>
    <w:rsid w:val="00AA0E38"/>
    <w:rsid w:val="00AA1096"/>
    <w:rsid w:val="00AA12A5"/>
    <w:rsid w:val="00AA12E2"/>
    <w:rsid w:val="00AA15EA"/>
    <w:rsid w:val="00AA1773"/>
    <w:rsid w:val="00AA1C65"/>
    <w:rsid w:val="00AA1DB1"/>
    <w:rsid w:val="00AA20E2"/>
    <w:rsid w:val="00AA2196"/>
    <w:rsid w:val="00AA2387"/>
    <w:rsid w:val="00AA253A"/>
    <w:rsid w:val="00AA270F"/>
    <w:rsid w:val="00AA2C16"/>
    <w:rsid w:val="00AA342E"/>
    <w:rsid w:val="00AA3653"/>
    <w:rsid w:val="00AA3699"/>
    <w:rsid w:val="00AA3952"/>
    <w:rsid w:val="00AA3998"/>
    <w:rsid w:val="00AA3C82"/>
    <w:rsid w:val="00AA3C95"/>
    <w:rsid w:val="00AA3E8F"/>
    <w:rsid w:val="00AA3EA1"/>
    <w:rsid w:val="00AA3FB0"/>
    <w:rsid w:val="00AA4193"/>
    <w:rsid w:val="00AA4971"/>
    <w:rsid w:val="00AA49AF"/>
    <w:rsid w:val="00AA4AED"/>
    <w:rsid w:val="00AA5473"/>
    <w:rsid w:val="00AA58A4"/>
    <w:rsid w:val="00AA58CA"/>
    <w:rsid w:val="00AA61A5"/>
    <w:rsid w:val="00AA655F"/>
    <w:rsid w:val="00AA65F4"/>
    <w:rsid w:val="00AA6B4A"/>
    <w:rsid w:val="00AA742F"/>
    <w:rsid w:val="00AA76BF"/>
    <w:rsid w:val="00AA76E9"/>
    <w:rsid w:val="00AA7766"/>
    <w:rsid w:val="00AA7791"/>
    <w:rsid w:val="00AA7837"/>
    <w:rsid w:val="00AA7913"/>
    <w:rsid w:val="00AA7B1E"/>
    <w:rsid w:val="00AA7B50"/>
    <w:rsid w:val="00AA7C29"/>
    <w:rsid w:val="00AA7F4E"/>
    <w:rsid w:val="00AB056B"/>
    <w:rsid w:val="00AB0A67"/>
    <w:rsid w:val="00AB0ABC"/>
    <w:rsid w:val="00AB104B"/>
    <w:rsid w:val="00AB1614"/>
    <w:rsid w:val="00AB173A"/>
    <w:rsid w:val="00AB18D8"/>
    <w:rsid w:val="00AB1908"/>
    <w:rsid w:val="00AB1A12"/>
    <w:rsid w:val="00AB1FF2"/>
    <w:rsid w:val="00AB20A9"/>
    <w:rsid w:val="00AB23EC"/>
    <w:rsid w:val="00AB2455"/>
    <w:rsid w:val="00AB2469"/>
    <w:rsid w:val="00AB2896"/>
    <w:rsid w:val="00AB294F"/>
    <w:rsid w:val="00AB2A8A"/>
    <w:rsid w:val="00AB2ABA"/>
    <w:rsid w:val="00AB2B08"/>
    <w:rsid w:val="00AB2C9E"/>
    <w:rsid w:val="00AB2E71"/>
    <w:rsid w:val="00AB325C"/>
    <w:rsid w:val="00AB32B8"/>
    <w:rsid w:val="00AB3579"/>
    <w:rsid w:val="00AB36AF"/>
    <w:rsid w:val="00AB3D92"/>
    <w:rsid w:val="00AB4034"/>
    <w:rsid w:val="00AB43A9"/>
    <w:rsid w:val="00AB4635"/>
    <w:rsid w:val="00AB4694"/>
    <w:rsid w:val="00AB4FAB"/>
    <w:rsid w:val="00AB5072"/>
    <w:rsid w:val="00AB5115"/>
    <w:rsid w:val="00AB542A"/>
    <w:rsid w:val="00AB56BE"/>
    <w:rsid w:val="00AB5866"/>
    <w:rsid w:val="00AB5EFF"/>
    <w:rsid w:val="00AB6014"/>
    <w:rsid w:val="00AB65D6"/>
    <w:rsid w:val="00AB665F"/>
    <w:rsid w:val="00AB6AB5"/>
    <w:rsid w:val="00AB6AD7"/>
    <w:rsid w:val="00AB6EBD"/>
    <w:rsid w:val="00AB6F0A"/>
    <w:rsid w:val="00AB70D1"/>
    <w:rsid w:val="00AB74A3"/>
    <w:rsid w:val="00AB781D"/>
    <w:rsid w:val="00AB7875"/>
    <w:rsid w:val="00AB7878"/>
    <w:rsid w:val="00AB7C7B"/>
    <w:rsid w:val="00AB7FC8"/>
    <w:rsid w:val="00AC01D3"/>
    <w:rsid w:val="00AC01FC"/>
    <w:rsid w:val="00AC0326"/>
    <w:rsid w:val="00AC0772"/>
    <w:rsid w:val="00AC0879"/>
    <w:rsid w:val="00AC0B14"/>
    <w:rsid w:val="00AC0DD6"/>
    <w:rsid w:val="00AC0EC4"/>
    <w:rsid w:val="00AC1117"/>
    <w:rsid w:val="00AC1223"/>
    <w:rsid w:val="00AC1227"/>
    <w:rsid w:val="00AC1230"/>
    <w:rsid w:val="00AC12B8"/>
    <w:rsid w:val="00AC170F"/>
    <w:rsid w:val="00AC18AA"/>
    <w:rsid w:val="00AC264F"/>
    <w:rsid w:val="00AC26B2"/>
    <w:rsid w:val="00AC2F38"/>
    <w:rsid w:val="00AC30DA"/>
    <w:rsid w:val="00AC382D"/>
    <w:rsid w:val="00AC3A4F"/>
    <w:rsid w:val="00AC3A98"/>
    <w:rsid w:val="00AC3F50"/>
    <w:rsid w:val="00AC3F55"/>
    <w:rsid w:val="00AC3FB2"/>
    <w:rsid w:val="00AC40CD"/>
    <w:rsid w:val="00AC4407"/>
    <w:rsid w:val="00AC440D"/>
    <w:rsid w:val="00AC45B3"/>
    <w:rsid w:val="00AC487D"/>
    <w:rsid w:val="00AC495D"/>
    <w:rsid w:val="00AC4C90"/>
    <w:rsid w:val="00AC4E97"/>
    <w:rsid w:val="00AC4F74"/>
    <w:rsid w:val="00AC53AC"/>
    <w:rsid w:val="00AC5456"/>
    <w:rsid w:val="00AC59B4"/>
    <w:rsid w:val="00AC5E84"/>
    <w:rsid w:val="00AC6419"/>
    <w:rsid w:val="00AC64D9"/>
    <w:rsid w:val="00AC65A0"/>
    <w:rsid w:val="00AC66DD"/>
    <w:rsid w:val="00AC68EE"/>
    <w:rsid w:val="00AC6B03"/>
    <w:rsid w:val="00AC6B43"/>
    <w:rsid w:val="00AC6D2C"/>
    <w:rsid w:val="00AC74DF"/>
    <w:rsid w:val="00AC7670"/>
    <w:rsid w:val="00AC77D9"/>
    <w:rsid w:val="00AC7B7F"/>
    <w:rsid w:val="00AC7DCA"/>
    <w:rsid w:val="00AD00CF"/>
    <w:rsid w:val="00AD018D"/>
    <w:rsid w:val="00AD0398"/>
    <w:rsid w:val="00AD0428"/>
    <w:rsid w:val="00AD06C9"/>
    <w:rsid w:val="00AD0752"/>
    <w:rsid w:val="00AD09A1"/>
    <w:rsid w:val="00AD0A23"/>
    <w:rsid w:val="00AD1400"/>
    <w:rsid w:val="00AD1557"/>
    <w:rsid w:val="00AD1B06"/>
    <w:rsid w:val="00AD1FF5"/>
    <w:rsid w:val="00AD219B"/>
    <w:rsid w:val="00AD3073"/>
    <w:rsid w:val="00AD3460"/>
    <w:rsid w:val="00AD35E8"/>
    <w:rsid w:val="00AD37D1"/>
    <w:rsid w:val="00AD3B9D"/>
    <w:rsid w:val="00AD3C06"/>
    <w:rsid w:val="00AD3C7B"/>
    <w:rsid w:val="00AD3CF8"/>
    <w:rsid w:val="00AD4016"/>
    <w:rsid w:val="00AD4148"/>
    <w:rsid w:val="00AD41D3"/>
    <w:rsid w:val="00AD44DA"/>
    <w:rsid w:val="00AD45C9"/>
    <w:rsid w:val="00AD499A"/>
    <w:rsid w:val="00AD4A09"/>
    <w:rsid w:val="00AD576E"/>
    <w:rsid w:val="00AD5A08"/>
    <w:rsid w:val="00AD5B3B"/>
    <w:rsid w:val="00AD5C2B"/>
    <w:rsid w:val="00AD5CB2"/>
    <w:rsid w:val="00AD5CCE"/>
    <w:rsid w:val="00AD5E71"/>
    <w:rsid w:val="00AD66B6"/>
    <w:rsid w:val="00AD66F2"/>
    <w:rsid w:val="00AD6788"/>
    <w:rsid w:val="00AD67DB"/>
    <w:rsid w:val="00AD7044"/>
    <w:rsid w:val="00AD7314"/>
    <w:rsid w:val="00AD7329"/>
    <w:rsid w:val="00AD74F3"/>
    <w:rsid w:val="00AD77CD"/>
    <w:rsid w:val="00AD7A75"/>
    <w:rsid w:val="00AD7E78"/>
    <w:rsid w:val="00AD7ED8"/>
    <w:rsid w:val="00AE00A1"/>
    <w:rsid w:val="00AE00E7"/>
    <w:rsid w:val="00AE0122"/>
    <w:rsid w:val="00AE0574"/>
    <w:rsid w:val="00AE07A5"/>
    <w:rsid w:val="00AE0811"/>
    <w:rsid w:val="00AE0940"/>
    <w:rsid w:val="00AE0E9F"/>
    <w:rsid w:val="00AE10EE"/>
    <w:rsid w:val="00AE1279"/>
    <w:rsid w:val="00AE1296"/>
    <w:rsid w:val="00AE17AA"/>
    <w:rsid w:val="00AE193E"/>
    <w:rsid w:val="00AE1C93"/>
    <w:rsid w:val="00AE1D55"/>
    <w:rsid w:val="00AE21EF"/>
    <w:rsid w:val="00AE2347"/>
    <w:rsid w:val="00AE2577"/>
    <w:rsid w:val="00AE26E5"/>
    <w:rsid w:val="00AE2B41"/>
    <w:rsid w:val="00AE2BB4"/>
    <w:rsid w:val="00AE2FFF"/>
    <w:rsid w:val="00AE343D"/>
    <w:rsid w:val="00AE3450"/>
    <w:rsid w:val="00AE3983"/>
    <w:rsid w:val="00AE3D9F"/>
    <w:rsid w:val="00AE45A3"/>
    <w:rsid w:val="00AE481F"/>
    <w:rsid w:val="00AE487E"/>
    <w:rsid w:val="00AE48BC"/>
    <w:rsid w:val="00AE50A4"/>
    <w:rsid w:val="00AE53B5"/>
    <w:rsid w:val="00AE5697"/>
    <w:rsid w:val="00AE5AF6"/>
    <w:rsid w:val="00AE5DE2"/>
    <w:rsid w:val="00AE6192"/>
    <w:rsid w:val="00AE630D"/>
    <w:rsid w:val="00AE6785"/>
    <w:rsid w:val="00AE67AA"/>
    <w:rsid w:val="00AE6971"/>
    <w:rsid w:val="00AE6C68"/>
    <w:rsid w:val="00AE70E4"/>
    <w:rsid w:val="00AE74BE"/>
    <w:rsid w:val="00AE7534"/>
    <w:rsid w:val="00AE76DC"/>
    <w:rsid w:val="00AE7FAE"/>
    <w:rsid w:val="00AF02F5"/>
    <w:rsid w:val="00AF07A0"/>
    <w:rsid w:val="00AF0808"/>
    <w:rsid w:val="00AF083E"/>
    <w:rsid w:val="00AF0ACA"/>
    <w:rsid w:val="00AF0F25"/>
    <w:rsid w:val="00AF0FF5"/>
    <w:rsid w:val="00AF1103"/>
    <w:rsid w:val="00AF114B"/>
    <w:rsid w:val="00AF16FA"/>
    <w:rsid w:val="00AF1748"/>
    <w:rsid w:val="00AF1DB9"/>
    <w:rsid w:val="00AF20AF"/>
    <w:rsid w:val="00AF2546"/>
    <w:rsid w:val="00AF2564"/>
    <w:rsid w:val="00AF2786"/>
    <w:rsid w:val="00AF2B2A"/>
    <w:rsid w:val="00AF35D6"/>
    <w:rsid w:val="00AF44C8"/>
    <w:rsid w:val="00AF46B7"/>
    <w:rsid w:val="00AF4A85"/>
    <w:rsid w:val="00AF4AF6"/>
    <w:rsid w:val="00AF5739"/>
    <w:rsid w:val="00AF5C98"/>
    <w:rsid w:val="00AF5CFA"/>
    <w:rsid w:val="00AF5E07"/>
    <w:rsid w:val="00AF5EA3"/>
    <w:rsid w:val="00AF6166"/>
    <w:rsid w:val="00AF6578"/>
    <w:rsid w:val="00AF66AF"/>
    <w:rsid w:val="00AF67B5"/>
    <w:rsid w:val="00AF6B30"/>
    <w:rsid w:val="00AF6B61"/>
    <w:rsid w:val="00AF734D"/>
    <w:rsid w:val="00AF73DE"/>
    <w:rsid w:val="00AF76B1"/>
    <w:rsid w:val="00AF7ECB"/>
    <w:rsid w:val="00AF7F98"/>
    <w:rsid w:val="00AF7FB3"/>
    <w:rsid w:val="00B00145"/>
    <w:rsid w:val="00B00165"/>
    <w:rsid w:val="00B00414"/>
    <w:rsid w:val="00B00465"/>
    <w:rsid w:val="00B007B9"/>
    <w:rsid w:val="00B009EF"/>
    <w:rsid w:val="00B00B19"/>
    <w:rsid w:val="00B00F5E"/>
    <w:rsid w:val="00B01014"/>
    <w:rsid w:val="00B014A1"/>
    <w:rsid w:val="00B01632"/>
    <w:rsid w:val="00B01946"/>
    <w:rsid w:val="00B01F7E"/>
    <w:rsid w:val="00B01F9F"/>
    <w:rsid w:val="00B0210C"/>
    <w:rsid w:val="00B02404"/>
    <w:rsid w:val="00B024B1"/>
    <w:rsid w:val="00B0251E"/>
    <w:rsid w:val="00B025B3"/>
    <w:rsid w:val="00B025C3"/>
    <w:rsid w:val="00B02668"/>
    <w:rsid w:val="00B02CF6"/>
    <w:rsid w:val="00B02D06"/>
    <w:rsid w:val="00B02DBE"/>
    <w:rsid w:val="00B02F77"/>
    <w:rsid w:val="00B03721"/>
    <w:rsid w:val="00B03C22"/>
    <w:rsid w:val="00B03EC4"/>
    <w:rsid w:val="00B04207"/>
    <w:rsid w:val="00B04351"/>
    <w:rsid w:val="00B04512"/>
    <w:rsid w:val="00B04597"/>
    <w:rsid w:val="00B04734"/>
    <w:rsid w:val="00B049AC"/>
    <w:rsid w:val="00B04C1C"/>
    <w:rsid w:val="00B04E0B"/>
    <w:rsid w:val="00B050A1"/>
    <w:rsid w:val="00B05419"/>
    <w:rsid w:val="00B05990"/>
    <w:rsid w:val="00B05C13"/>
    <w:rsid w:val="00B0654F"/>
    <w:rsid w:val="00B06F2B"/>
    <w:rsid w:val="00B06FBC"/>
    <w:rsid w:val="00B0740E"/>
    <w:rsid w:val="00B07876"/>
    <w:rsid w:val="00B102CD"/>
    <w:rsid w:val="00B10805"/>
    <w:rsid w:val="00B10899"/>
    <w:rsid w:val="00B10A39"/>
    <w:rsid w:val="00B112C6"/>
    <w:rsid w:val="00B1155D"/>
    <w:rsid w:val="00B11898"/>
    <w:rsid w:val="00B11B23"/>
    <w:rsid w:val="00B11B7B"/>
    <w:rsid w:val="00B11E18"/>
    <w:rsid w:val="00B11FC2"/>
    <w:rsid w:val="00B120CB"/>
    <w:rsid w:val="00B123E6"/>
    <w:rsid w:val="00B1269B"/>
    <w:rsid w:val="00B1277B"/>
    <w:rsid w:val="00B12A34"/>
    <w:rsid w:val="00B12E9D"/>
    <w:rsid w:val="00B12EAD"/>
    <w:rsid w:val="00B13461"/>
    <w:rsid w:val="00B1379D"/>
    <w:rsid w:val="00B1393C"/>
    <w:rsid w:val="00B13A42"/>
    <w:rsid w:val="00B13E96"/>
    <w:rsid w:val="00B1400E"/>
    <w:rsid w:val="00B14658"/>
    <w:rsid w:val="00B147B4"/>
    <w:rsid w:val="00B15200"/>
    <w:rsid w:val="00B15EBE"/>
    <w:rsid w:val="00B16109"/>
    <w:rsid w:val="00B16211"/>
    <w:rsid w:val="00B164FE"/>
    <w:rsid w:val="00B16510"/>
    <w:rsid w:val="00B16649"/>
    <w:rsid w:val="00B16A62"/>
    <w:rsid w:val="00B16C2A"/>
    <w:rsid w:val="00B16EF5"/>
    <w:rsid w:val="00B170E0"/>
    <w:rsid w:val="00B17349"/>
    <w:rsid w:val="00B17784"/>
    <w:rsid w:val="00B17A82"/>
    <w:rsid w:val="00B17BC2"/>
    <w:rsid w:val="00B17D89"/>
    <w:rsid w:val="00B17DB6"/>
    <w:rsid w:val="00B17E3A"/>
    <w:rsid w:val="00B17FCC"/>
    <w:rsid w:val="00B207EE"/>
    <w:rsid w:val="00B207F6"/>
    <w:rsid w:val="00B20843"/>
    <w:rsid w:val="00B20970"/>
    <w:rsid w:val="00B20A71"/>
    <w:rsid w:val="00B20C9A"/>
    <w:rsid w:val="00B212BB"/>
    <w:rsid w:val="00B21A4B"/>
    <w:rsid w:val="00B22257"/>
    <w:rsid w:val="00B22457"/>
    <w:rsid w:val="00B2278D"/>
    <w:rsid w:val="00B22A0C"/>
    <w:rsid w:val="00B22B85"/>
    <w:rsid w:val="00B22EBC"/>
    <w:rsid w:val="00B2315F"/>
    <w:rsid w:val="00B2344B"/>
    <w:rsid w:val="00B23522"/>
    <w:rsid w:val="00B23537"/>
    <w:rsid w:val="00B2365D"/>
    <w:rsid w:val="00B236AF"/>
    <w:rsid w:val="00B2384B"/>
    <w:rsid w:val="00B23ADA"/>
    <w:rsid w:val="00B23EC3"/>
    <w:rsid w:val="00B23FA2"/>
    <w:rsid w:val="00B24058"/>
    <w:rsid w:val="00B2412E"/>
    <w:rsid w:val="00B242D1"/>
    <w:rsid w:val="00B244E6"/>
    <w:rsid w:val="00B24CBA"/>
    <w:rsid w:val="00B25068"/>
    <w:rsid w:val="00B25141"/>
    <w:rsid w:val="00B252FE"/>
    <w:rsid w:val="00B25684"/>
    <w:rsid w:val="00B25A22"/>
    <w:rsid w:val="00B25A33"/>
    <w:rsid w:val="00B25E75"/>
    <w:rsid w:val="00B25F04"/>
    <w:rsid w:val="00B2629E"/>
    <w:rsid w:val="00B262B7"/>
    <w:rsid w:val="00B26639"/>
    <w:rsid w:val="00B268BE"/>
    <w:rsid w:val="00B27024"/>
    <w:rsid w:val="00B27D47"/>
    <w:rsid w:val="00B27E89"/>
    <w:rsid w:val="00B30568"/>
    <w:rsid w:val="00B3065C"/>
    <w:rsid w:val="00B3079A"/>
    <w:rsid w:val="00B307A4"/>
    <w:rsid w:val="00B3087D"/>
    <w:rsid w:val="00B30B3A"/>
    <w:rsid w:val="00B30C2F"/>
    <w:rsid w:val="00B31369"/>
    <w:rsid w:val="00B3155C"/>
    <w:rsid w:val="00B315E6"/>
    <w:rsid w:val="00B3168F"/>
    <w:rsid w:val="00B31D02"/>
    <w:rsid w:val="00B322C1"/>
    <w:rsid w:val="00B32FB5"/>
    <w:rsid w:val="00B3300E"/>
    <w:rsid w:val="00B3307E"/>
    <w:rsid w:val="00B3315F"/>
    <w:rsid w:val="00B331A9"/>
    <w:rsid w:val="00B33409"/>
    <w:rsid w:val="00B33592"/>
    <w:rsid w:val="00B3359B"/>
    <w:rsid w:val="00B335B8"/>
    <w:rsid w:val="00B335BF"/>
    <w:rsid w:val="00B339C6"/>
    <w:rsid w:val="00B33A33"/>
    <w:rsid w:val="00B33B3D"/>
    <w:rsid w:val="00B33C07"/>
    <w:rsid w:val="00B33CA3"/>
    <w:rsid w:val="00B33DCC"/>
    <w:rsid w:val="00B33F42"/>
    <w:rsid w:val="00B34063"/>
    <w:rsid w:val="00B34222"/>
    <w:rsid w:val="00B34565"/>
    <w:rsid w:val="00B34794"/>
    <w:rsid w:val="00B348C4"/>
    <w:rsid w:val="00B35111"/>
    <w:rsid w:val="00B35612"/>
    <w:rsid w:val="00B358B3"/>
    <w:rsid w:val="00B35A4E"/>
    <w:rsid w:val="00B35DD2"/>
    <w:rsid w:val="00B35F37"/>
    <w:rsid w:val="00B36826"/>
    <w:rsid w:val="00B36A20"/>
    <w:rsid w:val="00B36CC8"/>
    <w:rsid w:val="00B36E89"/>
    <w:rsid w:val="00B370BA"/>
    <w:rsid w:val="00B37148"/>
    <w:rsid w:val="00B371E5"/>
    <w:rsid w:val="00B37404"/>
    <w:rsid w:val="00B375B5"/>
    <w:rsid w:val="00B37678"/>
    <w:rsid w:val="00B376C7"/>
    <w:rsid w:val="00B37B26"/>
    <w:rsid w:val="00B400A4"/>
    <w:rsid w:val="00B40394"/>
    <w:rsid w:val="00B404A4"/>
    <w:rsid w:val="00B406B6"/>
    <w:rsid w:val="00B408EB"/>
    <w:rsid w:val="00B40C32"/>
    <w:rsid w:val="00B41494"/>
    <w:rsid w:val="00B4178D"/>
    <w:rsid w:val="00B421AE"/>
    <w:rsid w:val="00B422FD"/>
    <w:rsid w:val="00B4249F"/>
    <w:rsid w:val="00B424A9"/>
    <w:rsid w:val="00B4281D"/>
    <w:rsid w:val="00B42B29"/>
    <w:rsid w:val="00B42E6E"/>
    <w:rsid w:val="00B4319F"/>
    <w:rsid w:val="00B4334A"/>
    <w:rsid w:val="00B433CC"/>
    <w:rsid w:val="00B43482"/>
    <w:rsid w:val="00B4367C"/>
    <w:rsid w:val="00B43684"/>
    <w:rsid w:val="00B43704"/>
    <w:rsid w:val="00B4397D"/>
    <w:rsid w:val="00B43A88"/>
    <w:rsid w:val="00B43AA1"/>
    <w:rsid w:val="00B43F20"/>
    <w:rsid w:val="00B44065"/>
    <w:rsid w:val="00B440F8"/>
    <w:rsid w:val="00B443EF"/>
    <w:rsid w:val="00B444AF"/>
    <w:rsid w:val="00B44A73"/>
    <w:rsid w:val="00B44AA8"/>
    <w:rsid w:val="00B44B97"/>
    <w:rsid w:val="00B44C70"/>
    <w:rsid w:val="00B44CEF"/>
    <w:rsid w:val="00B458C8"/>
    <w:rsid w:val="00B45D7F"/>
    <w:rsid w:val="00B46141"/>
    <w:rsid w:val="00B4632A"/>
    <w:rsid w:val="00B4688E"/>
    <w:rsid w:val="00B468C1"/>
    <w:rsid w:val="00B46993"/>
    <w:rsid w:val="00B46A85"/>
    <w:rsid w:val="00B46B35"/>
    <w:rsid w:val="00B46C31"/>
    <w:rsid w:val="00B46D76"/>
    <w:rsid w:val="00B46DC2"/>
    <w:rsid w:val="00B46DE8"/>
    <w:rsid w:val="00B470CA"/>
    <w:rsid w:val="00B47439"/>
    <w:rsid w:val="00B47654"/>
    <w:rsid w:val="00B478BB"/>
    <w:rsid w:val="00B47A8F"/>
    <w:rsid w:val="00B47C81"/>
    <w:rsid w:val="00B47E30"/>
    <w:rsid w:val="00B47E8D"/>
    <w:rsid w:val="00B500B3"/>
    <w:rsid w:val="00B50113"/>
    <w:rsid w:val="00B50405"/>
    <w:rsid w:val="00B5068A"/>
    <w:rsid w:val="00B5094F"/>
    <w:rsid w:val="00B50AAF"/>
    <w:rsid w:val="00B50B42"/>
    <w:rsid w:val="00B50B5E"/>
    <w:rsid w:val="00B50DFC"/>
    <w:rsid w:val="00B51138"/>
    <w:rsid w:val="00B5137C"/>
    <w:rsid w:val="00B51425"/>
    <w:rsid w:val="00B5160C"/>
    <w:rsid w:val="00B51902"/>
    <w:rsid w:val="00B51A06"/>
    <w:rsid w:val="00B51B96"/>
    <w:rsid w:val="00B51D68"/>
    <w:rsid w:val="00B51FBD"/>
    <w:rsid w:val="00B521E3"/>
    <w:rsid w:val="00B523B4"/>
    <w:rsid w:val="00B5250E"/>
    <w:rsid w:val="00B526BA"/>
    <w:rsid w:val="00B528A4"/>
    <w:rsid w:val="00B52CB0"/>
    <w:rsid w:val="00B52E9B"/>
    <w:rsid w:val="00B53782"/>
    <w:rsid w:val="00B53993"/>
    <w:rsid w:val="00B53D62"/>
    <w:rsid w:val="00B53DC2"/>
    <w:rsid w:val="00B54360"/>
    <w:rsid w:val="00B54891"/>
    <w:rsid w:val="00B54AB6"/>
    <w:rsid w:val="00B54C42"/>
    <w:rsid w:val="00B54D05"/>
    <w:rsid w:val="00B54DD5"/>
    <w:rsid w:val="00B54EC3"/>
    <w:rsid w:val="00B54F17"/>
    <w:rsid w:val="00B55298"/>
    <w:rsid w:val="00B552B3"/>
    <w:rsid w:val="00B5538D"/>
    <w:rsid w:val="00B55913"/>
    <w:rsid w:val="00B55DC5"/>
    <w:rsid w:val="00B55E63"/>
    <w:rsid w:val="00B55EAD"/>
    <w:rsid w:val="00B55F04"/>
    <w:rsid w:val="00B55FB6"/>
    <w:rsid w:val="00B56019"/>
    <w:rsid w:val="00B56217"/>
    <w:rsid w:val="00B563A3"/>
    <w:rsid w:val="00B564CB"/>
    <w:rsid w:val="00B5681C"/>
    <w:rsid w:val="00B57225"/>
    <w:rsid w:val="00B577BE"/>
    <w:rsid w:val="00B57A50"/>
    <w:rsid w:val="00B57F0E"/>
    <w:rsid w:val="00B60155"/>
    <w:rsid w:val="00B60421"/>
    <w:rsid w:val="00B6081E"/>
    <w:rsid w:val="00B60B99"/>
    <w:rsid w:val="00B60D57"/>
    <w:rsid w:val="00B60FBF"/>
    <w:rsid w:val="00B617E0"/>
    <w:rsid w:val="00B619F4"/>
    <w:rsid w:val="00B61A41"/>
    <w:rsid w:val="00B61D67"/>
    <w:rsid w:val="00B61DA5"/>
    <w:rsid w:val="00B6246B"/>
    <w:rsid w:val="00B6269C"/>
    <w:rsid w:val="00B62BCA"/>
    <w:rsid w:val="00B62D62"/>
    <w:rsid w:val="00B634B8"/>
    <w:rsid w:val="00B63717"/>
    <w:rsid w:val="00B63C41"/>
    <w:rsid w:val="00B63CD4"/>
    <w:rsid w:val="00B6444B"/>
    <w:rsid w:val="00B644E1"/>
    <w:rsid w:val="00B64989"/>
    <w:rsid w:val="00B64A70"/>
    <w:rsid w:val="00B64AD8"/>
    <w:rsid w:val="00B652E8"/>
    <w:rsid w:val="00B65503"/>
    <w:rsid w:val="00B6561B"/>
    <w:rsid w:val="00B65B49"/>
    <w:rsid w:val="00B65E00"/>
    <w:rsid w:val="00B65E65"/>
    <w:rsid w:val="00B65E67"/>
    <w:rsid w:val="00B6632A"/>
    <w:rsid w:val="00B665E5"/>
    <w:rsid w:val="00B6685A"/>
    <w:rsid w:val="00B66994"/>
    <w:rsid w:val="00B66AB9"/>
    <w:rsid w:val="00B66D55"/>
    <w:rsid w:val="00B66DFD"/>
    <w:rsid w:val="00B66E05"/>
    <w:rsid w:val="00B66E98"/>
    <w:rsid w:val="00B66F5A"/>
    <w:rsid w:val="00B67099"/>
    <w:rsid w:val="00B6714E"/>
    <w:rsid w:val="00B67BDB"/>
    <w:rsid w:val="00B67DD5"/>
    <w:rsid w:val="00B67E51"/>
    <w:rsid w:val="00B70351"/>
    <w:rsid w:val="00B703A9"/>
    <w:rsid w:val="00B707CC"/>
    <w:rsid w:val="00B708C6"/>
    <w:rsid w:val="00B70A8E"/>
    <w:rsid w:val="00B70FA5"/>
    <w:rsid w:val="00B71100"/>
    <w:rsid w:val="00B714CC"/>
    <w:rsid w:val="00B714CD"/>
    <w:rsid w:val="00B71747"/>
    <w:rsid w:val="00B7186C"/>
    <w:rsid w:val="00B71903"/>
    <w:rsid w:val="00B71A97"/>
    <w:rsid w:val="00B71FF0"/>
    <w:rsid w:val="00B72135"/>
    <w:rsid w:val="00B722BF"/>
    <w:rsid w:val="00B722DB"/>
    <w:rsid w:val="00B72746"/>
    <w:rsid w:val="00B72A12"/>
    <w:rsid w:val="00B72AAC"/>
    <w:rsid w:val="00B72AC5"/>
    <w:rsid w:val="00B72B45"/>
    <w:rsid w:val="00B72E0D"/>
    <w:rsid w:val="00B72E6E"/>
    <w:rsid w:val="00B731A8"/>
    <w:rsid w:val="00B735B6"/>
    <w:rsid w:val="00B73746"/>
    <w:rsid w:val="00B7379E"/>
    <w:rsid w:val="00B73DD9"/>
    <w:rsid w:val="00B73F05"/>
    <w:rsid w:val="00B7444C"/>
    <w:rsid w:val="00B74765"/>
    <w:rsid w:val="00B74A3D"/>
    <w:rsid w:val="00B74B3B"/>
    <w:rsid w:val="00B74C82"/>
    <w:rsid w:val="00B74E65"/>
    <w:rsid w:val="00B74E95"/>
    <w:rsid w:val="00B7507A"/>
    <w:rsid w:val="00B751DF"/>
    <w:rsid w:val="00B7544A"/>
    <w:rsid w:val="00B75520"/>
    <w:rsid w:val="00B756CD"/>
    <w:rsid w:val="00B75944"/>
    <w:rsid w:val="00B7596A"/>
    <w:rsid w:val="00B75FE4"/>
    <w:rsid w:val="00B76395"/>
    <w:rsid w:val="00B76475"/>
    <w:rsid w:val="00B76CA2"/>
    <w:rsid w:val="00B77473"/>
    <w:rsid w:val="00B77747"/>
    <w:rsid w:val="00B77C0B"/>
    <w:rsid w:val="00B77D08"/>
    <w:rsid w:val="00B77ECA"/>
    <w:rsid w:val="00B80152"/>
    <w:rsid w:val="00B8070D"/>
    <w:rsid w:val="00B80809"/>
    <w:rsid w:val="00B8082B"/>
    <w:rsid w:val="00B80AB5"/>
    <w:rsid w:val="00B80F0E"/>
    <w:rsid w:val="00B80F59"/>
    <w:rsid w:val="00B8134A"/>
    <w:rsid w:val="00B81434"/>
    <w:rsid w:val="00B8157E"/>
    <w:rsid w:val="00B817E3"/>
    <w:rsid w:val="00B819A7"/>
    <w:rsid w:val="00B81B74"/>
    <w:rsid w:val="00B81CE2"/>
    <w:rsid w:val="00B81EB6"/>
    <w:rsid w:val="00B81FE2"/>
    <w:rsid w:val="00B8215C"/>
    <w:rsid w:val="00B8259C"/>
    <w:rsid w:val="00B82677"/>
    <w:rsid w:val="00B826C5"/>
    <w:rsid w:val="00B828BA"/>
    <w:rsid w:val="00B82B4C"/>
    <w:rsid w:val="00B82BBF"/>
    <w:rsid w:val="00B83560"/>
    <w:rsid w:val="00B836B4"/>
    <w:rsid w:val="00B83B1C"/>
    <w:rsid w:val="00B83B23"/>
    <w:rsid w:val="00B83C41"/>
    <w:rsid w:val="00B83EDA"/>
    <w:rsid w:val="00B840C8"/>
    <w:rsid w:val="00B8426E"/>
    <w:rsid w:val="00B846EB"/>
    <w:rsid w:val="00B8472B"/>
    <w:rsid w:val="00B849C6"/>
    <w:rsid w:val="00B84BD5"/>
    <w:rsid w:val="00B84CDA"/>
    <w:rsid w:val="00B84D89"/>
    <w:rsid w:val="00B84E48"/>
    <w:rsid w:val="00B8516A"/>
    <w:rsid w:val="00B8553C"/>
    <w:rsid w:val="00B8555A"/>
    <w:rsid w:val="00B85692"/>
    <w:rsid w:val="00B85785"/>
    <w:rsid w:val="00B858A1"/>
    <w:rsid w:val="00B858BB"/>
    <w:rsid w:val="00B85913"/>
    <w:rsid w:val="00B85B77"/>
    <w:rsid w:val="00B860C5"/>
    <w:rsid w:val="00B86263"/>
    <w:rsid w:val="00B86477"/>
    <w:rsid w:val="00B86479"/>
    <w:rsid w:val="00B86836"/>
    <w:rsid w:val="00B86989"/>
    <w:rsid w:val="00B86A75"/>
    <w:rsid w:val="00B8713A"/>
    <w:rsid w:val="00B871B1"/>
    <w:rsid w:val="00B8764E"/>
    <w:rsid w:val="00B87BBA"/>
    <w:rsid w:val="00B87E9A"/>
    <w:rsid w:val="00B87FF2"/>
    <w:rsid w:val="00B902C9"/>
    <w:rsid w:val="00B904C8"/>
    <w:rsid w:val="00B9067E"/>
    <w:rsid w:val="00B90D55"/>
    <w:rsid w:val="00B91229"/>
    <w:rsid w:val="00B913FF"/>
    <w:rsid w:val="00B9157F"/>
    <w:rsid w:val="00B91A88"/>
    <w:rsid w:val="00B91C0C"/>
    <w:rsid w:val="00B923F9"/>
    <w:rsid w:val="00B926A1"/>
    <w:rsid w:val="00B92A01"/>
    <w:rsid w:val="00B92A26"/>
    <w:rsid w:val="00B92BFF"/>
    <w:rsid w:val="00B92FDD"/>
    <w:rsid w:val="00B93101"/>
    <w:rsid w:val="00B9349E"/>
    <w:rsid w:val="00B93546"/>
    <w:rsid w:val="00B9366F"/>
    <w:rsid w:val="00B93D1D"/>
    <w:rsid w:val="00B94233"/>
    <w:rsid w:val="00B94309"/>
    <w:rsid w:val="00B94D3C"/>
    <w:rsid w:val="00B94E14"/>
    <w:rsid w:val="00B94FBF"/>
    <w:rsid w:val="00B95577"/>
    <w:rsid w:val="00B95591"/>
    <w:rsid w:val="00B955C3"/>
    <w:rsid w:val="00B9574E"/>
    <w:rsid w:val="00B95ECA"/>
    <w:rsid w:val="00B961E6"/>
    <w:rsid w:val="00B961EB"/>
    <w:rsid w:val="00B96245"/>
    <w:rsid w:val="00B962FA"/>
    <w:rsid w:val="00B96471"/>
    <w:rsid w:val="00B96777"/>
    <w:rsid w:val="00B9757C"/>
    <w:rsid w:val="00B976D0"/>
    <w:rsid w:val="00B9770A"/>
    <w:rsid w:val="00B979B8"/>
    <w:rsid w:val="00BA0088"/>
    <w:rsid w:val="00BA02F3"/>
    <w:rsid w:val="00BA0305"/>
    <w:rsid w:val="00BA0336"/>
    <w:rsid w:val="00BA05B1"/>
    <w:rsid w:val="00BA06FF"/>
    <w:rsid w:val="00BA0A72"/>
    <w:rsid w:val="00BA179A"/>
    <w:rsid w:val="00BA1851"/>
    <w:rsid w:val="00BA1A24"/>
    <w:rsid w:val="00BA1C5F"/>
    <w:rsid w:val="00BA21B5"/>
    <w:rsid w:val="00BA21E3"/>
    <w:rsid w:val="00BA21F8"/>
    <w:rsid w:val="00BA2C35"/>
    <w:rsid w:val="00BA2F07"/>
    <w:rsid w:val="00BA2F35"/>
    <w:rsid w:val="00BA302A"/>
    <w:rsid w:val="00BA32B0"/>
    <w:rsid w:val="00BA32D8"/>
    <w:rsid w:val="00BA3635"/>
    <w:rsid w:val="00BA3B9B"/>
    <w:rsid w:val="00BA3C8A"/>
    <w:rsid w:val="00BA3DFB"/>
    <w:rsid w:val="00BA3E10"/>
    <w:rsid w:val="00BA3EB1"/>
    <w:rsid w:val="00BA41A8"/>
    <w:rsid w:val="00BA43BC"/>
    <w:rsid w:val="00BA4471"/>
    <w:rsid w:val="00BA4D90"/>
    <w:rsid w:val="00BA4EBF"/>
    <w:rsid w:val="00BA50FE"/>
    <w:rsid w:val="00BA528E"/>
    <w:rsid w:val="00BA52D2"/>
    <w:rsid w:val="00BA55BA"/>
    <w:rsid w:val="00BA5A25"/>
    <w:rsid w:val="00BA5C8A"/>
    <w:rsid w:val="00BA5FBB"/>
    <w:rsid w:val="00BA6205"/>
    <w:rsid w:val="00BA6240"/>
    <w:rsid w:val="00BA6A2E"/>
    <w:rsid w:val="00BA6C96"/>
    <w:rsid w:val="00BA6D36"/>
    <w:rsid w:val="00BA6ED9"/>
    <w:rsid w:val="00BA6F38"/>
    <w:rsid w:val="00BA714A"/>
    <w:rsid w:val="00BA736B"/>
    <w:rsid w:val="00BA7578"/>
    <w:rsid w:val="00BA777E"/>
    <w:rsid w:val="00BA7BE1"/>
    <w:rsid w:val="00BA7DE3"/>
    <w:rsid w:val="00BA7F7A"/>
    <w:rsid w:val="00BB0243"/>
    <w:rsid w:val="00BB041D"/>
    <w:rsid w:val="00BB04FC"/>
    <w:rsid w:val="00BB05E3"/>
    <w:rsid w:val="00BB06E5"/>
    <w:rsid w:val="00BB0777"/>
    <w:rsid w:val="00BB0BB8"/>
    <w:rsid w:val="00BB0F5D"/>
    <w:rsid w:val="00BB0F6F"/>
    <w:rsid w:val="00BB1003"/>
    <w:rsid w:val="00BB10F4"/>
    <w:rsid w:val="00BB11DC"/>
    <w:rsid w:val="00BB12E2"/>
    <w:rsid w:val="00BB169E"/>
    <w:rsid w:val="00BB17AC"/>
    <w:rsid w:val="00BB1BAF"/>
    <w:rsid w:val="00BB1C01"/>
    <w:rsid w:val="00BB20AB"/>
    <w:rsid w:val="00BB2193"/>
    <w:rsid w:val="00BB21B9"/>
    <w:rsid w:val="00BB222D"/>
    <w:rsid w:val="00BB27C4"/>
    <w:rsid w:val="00BB2B8F"/>
    <w:rsid w:val="00BB2B99"/>
    <w:rsid w:val="00BB2D63"/>
    <w:rsid w:val="00BB2DED"/>
    <w:rsid w:val="00BB337D"/>
    <w:rsid w:val="00BB393D"/>
    <w:rsid w:val="00BB3D58"/>
    <w:rsid w:val="00BB4065"/>
    <w:rsid w:val="00BB4144"/>
    <w:rsid w:val="00BB4280"/>
    <w:rsid w:val="00BB44B6"/>
    <w:rsid w:val="00BB465A"/>
    <w:rsid w:val="00BB47E4"/>
    <w:rsid w:val="00BB48D3"/>
    <w:rsid w:val="00BB48DA"/>
    <w:rsid w:val="00BB4957"/>
    <w:rsid w:val="00BB4B6E"/>
    <w:rsid w:val="00BB4C04"/>
    <w:rsid w:val="00BB4D20"/>
    <w:rsid w:val="00BB5200"/>
    <w:rsid w:val="00BB522F"/>
    <w:rsid w:val="00BB5449"/>
    <w:rsid w:val="00BB5527"/>
    <w:rsid w:val="00BB5582"/>
    <w:rsid w:val="00BB5870"/>
    <w:rsid w:val="00BB5EB4"/>
    <w:rsid w:val="00BB6120"/>
    <w:rsid w:val="00BB6535"/>
    <w:rsid w:val="00BB6746"/>
    <w:rsid w:val="00BB6956"/>
    <w:rsid w:val="00BB6A0D"/>
    <w:rsid w:val="00BB6AB8"/>
    <w:rsid w:val="00BB6D7C"/>
    <w:rsid w:val="00BB711F"/>
    <w:rsid w:val="00BB740A"/>
    <w:rsid w:val="00BB76B7"/>
    <w:rsid w:val="00BB7867"/>
    <w:rsid w:val="00BB7D4E"/>
    <w:rsid w:val="00BB7EE7"/>
    <w:rsid w:val="00BB7FF9"/>
    <w:rsid w:val="00BC047A"/>
    <w:rsid w:val="00BC0543"/>
    <w:rsid w:val="00BC06F9"/>
    <w:rsid w:val="00BC0866"/>
    <w:rsid w:val="00BC0A4E"/>
    <w:rsid w:val="00BC0BA4"/>
    <w:rsid w:val="00BC0C5F"/>
    <w:rsid w:val="00BC19BC"/>
    <w:rsid w:val="00BC1A97"/>
    <w:rsid w:val="00BC1DF6"/>
    <w:rsid w:val="00BC1E80"/>
    <w:rsid w:val="00BC1F69"/>
    <w:rsid w:val="00BC2345"/>
    <w:rsid w:val="00BC237B"/>
    <w:rsid w:val="00BC258E"/>
    <w:rsid w:val="00BC26A1"/>
    <w:rsid w:val="00BC29CF"/>
    <w:rsid w:val="00BC2F08"/>
    <w:rsid w:val="00BC301C"/>
    <w:rsid w:val="00BC33D6"/>
    <w:rsid w:val="00BC3910"/>
    <w:rsid w:val="00BC39E1"/>
    <w:rsid w:val="00BC3A2F"/>
    <w:rsid w:val="00BC3FAD"/>
    <w:rsid w:val="00BC4432"/>
    <w:rsid w:val="00BC44C4"/>
    <w:rsid w:val="00BC459E"/>
    <w:rsid w:val="00BC4778"/>
    <w:rsid w:val="00BC49F6"/>
    <w:rsid w:val="00BC4C51"/>
    <w:rsid w:val="00BC50C1"/>
    <w:rsid w:val="00BC54A1"/>
    <w:rsid w:val="00BC56A0"/>
    <w:rsid w:val="00BC5AA0"/>
    <w:rsid w:val="00BC5CB6"/>
    <w:rsid w:val="00BC6206"/>
    <w:rsid w:val="00BC6273"/>
    <w:rsid w:val="00BC633D"/>
    <w:rsid w:val="00BC647A"/>
    <w:rsid w:val="00BC6A06"/>
    <w:rsid w:val="00BC6B7B"/>
    <w:rsid w:val="00BC6C49"/>
    <w:rsid w:val="00BC6D07"/>
    <w:rsid w:val="00BC6DCA"/>
    <w:rsid w:val="00BC6E0E"/>
    <w:rsid w:val="00BC70D6"/>
    <w:rsid w:val="00BC7204"/>
    <w:rsid w:val="00BC7258"/>
    <w:rsid w:val="00BC731B"/>
    <w:rsid w:val="00BC7742"/>
    <w:rsid w:val="00BC791F"/>
    <w:rsid w:val="00BC7998"/>
    <w:rsid w:val="00BC7C4E"/>
    <w:rsid w:val="00BC7F71"/>
    <w:rsid w:val="00BD0238"/>
    <w:rsid w:val="00BD0472"/>
    <w:rsid w:val="00BD0E5B"/>
    <w:rsid w:val="00BD0FB8"/>
    <w:rsid w:val="00BD10AE"/>
    <w:rsid w:val="00BD127F"/>
    <w:rsid w:val="00BD129B"/>
    <w:rsid w:val="00BD12CD"/>
    <w:rsid w:val="00BD1687"/>
    <w:rsid w:val="00BD1AD3"/>
    <w:rsid w:val="00BD1B2C"/>
    <w:rsid w:val="00BD2024"/>
    <w:rsid w:val="00BD22F6"/>
    <w:rsid w:val="00BD2363"/>
    <w:rsid w:val="00BD23A3"/>
    <w:rsid w:val="00BD243C"/>
    <w:rsid w:val="00BD2505"/>
    <w:rsid w:val="00BD368F"/>
    <w:rsid w:val="00BD3993"/>
    <w:rsid w:val="00BD3CA7"/>
    <w:rsid w:val="00BD45D2"/>
    <w:rsid w:val="00BD4762"/>
    <w:rsid w:val="00BD47AE"/>
    <w:rsid w:val="00BD4816"/>
    <w:rsid w:val="00BD4C46"/>
    <w:rsid w:val="00BD4E11"/>
    <w:rsid w:val="00BD5158"/>
    <w:rsid w:val="00BD5265"/>
    <w:rsid w:val="00BD5AD5"/>
    <w:rsid w:val="00BD5D81"/>
    <w:rsid w:val="00BD5DB4"/>
    <w:rsid w:val="00BD5ECB"/>
    <w:rsid w:val="00BD601B"/>
    <w:rsid w:val="00BD629B"/>
    <w:rsid w:val="00BD6416"/>
    <w:rsid w:val="00BD66BA"/>
    <w:rsid w:val="00BD6775"/>
    <w:rsid w:val="00BD6884"/>
    <w:rsid w:val="00BD6C52"/>
    <w:rsid w:val="00BD6D11"/>
    <w:rsid w:val="00BD6EBB"/>
    <w:rsid w:val="00BD7099"/>
    <w:rsid w:val="00BD7D9B"/>
    <w:rsid w:val="00BD7F79"/>
    <w:rsid w:val="00BE0113"/>
    <w:rsid w:val="00BE0627"/>
    <w:rsid w:val="00BE0823"/>
    <w:rsid w:val="00BE0B26"/>
    <w:rsid w:val="00BE1557"/>
    <w:rsid w:val="00BE1698"/>
    <w:rsid w:val="00BE19B7"/>
    <w:rsid w:val="00BE19E6"/>
    <w:rsid w:val="00BE1C04"/>
    <w:rsid w:val="00BE2400"/>
    <w:rsid w:val="00BE2460"/>
    <w:rsid w:val="00BE24E6"/>
    <w:rsid w:val="00BE277A"/>
    <w:rsid w:val="00BE2ACC"/>
    <w:rsid w:val="00BE2BB0"/>
    <w:rsid w:val="00BE2BC9"/>
    <w:rsid w:val="00BE2E68"/>
    <w:rsid w:val="00BE30EE"/>
    <w:rsid w:val="00BE3123"/>
    <w:rsid w:val="00BE34A2"/>
    <w:rsid w:val="00BE34A5"/>
    <w:rsid w:val="00BE3798"/>
    <w:rsid w:val="00BE37D3"/>
    <w:rsid w:val="00BE39C3"/>
    <w:rsid w:val="00BE3A2E"/>
    <w:rsid w:val="00BE4097"/>
    <w:rsid w:val="00BE4575"/>
    <w:rsid w:val="00BE523D"/>
    <w:rsid w:val="00BE54EB"/>
    <w:rsid w:val="00BE57F7"/>
    <w:rsid w:val="00BE5911"/>
    <w:rsid w:val="00BE5ADE"/>
    <w:rsid w:val="00BE5D7C"/>
    <w:rsid w:val="00BE5E8E"/>
    <w:rsid w:val="00BE5E94"/>
    <w:rsid w:val="00BE5F0C"/>
    <w:rsid w:val="00BE62A3"/>
    <w:rsid w:val="00BE6903"/>
    <w:rsid w:val="00BE6AE9"/>
    <w:rsid w:val="00BE6AEE"/>
    <w:rsid w:val="00BE6B94"/>
    <w:rsid w:val="00BE6C58"/>
    <w:rsid w:val="00BE6EDE"/>
    <w:rsid w:val="00BE71D5"/>
    <w:rsid w:val="00BE74AF"/>
    <w:rsid w:val="00BE77AD"/>
    <w:rsid w:val="00BE7906"/>
    <w:rsid w:val="00BE791A"/>
    <w:rsid w:val="00BE79D7"/>
    <w:rsid w:val="00BE7BF0"/>
    <w:rsid w:val="00BE7F44"/>
    <w:rsid w:val="00BF073E"/>
    <w:rsid w:val="00BF0946"/>
    <w:rsid w:val="00BF0BE6"/>
    <w:rsid w:val="00BF12BA"/>
    <w:rsid w:val="00BF135E"/>
    <w:rsid w:val="00BF13BC"/>
    <w:rsid w:val="00BF160B"/>
    <w:rsid w:val="00BF1A15"/>
    <w:rsid w:val="00BF1E1F"/>
    <w:rsid w:val="00BF2008"/>
    <w:rsid w:val="00BF22CF"/>
    <w:rsid w:val="00BF2364"/>
    <w:rsid w:val="00BF25F7"/>
    <w:rsid w:val="00BF2A2C"/>
    <w:rsid w:val="00BF3464"/>
    <w:rsid w:val="00BF35D3"/>
    <w:rsid w:val="00BF3B02"/>
    <w:rsid w:val="00BF3D33"/>
    <w:rsid w:val="00BF3F4D"/>
    <w:rsid w:val="00BF3FA2"/>
    <w:rsid w:val="00BF42DF"/>
    <w:rsid w:val="00BF4B24"/>
    <w:rsid w:val="00BF553C"/>
    <w:rsid w:val="00BF560E"/>
    <w:rsid w:val="00BF5743"/>
    <w:rsid w:val="00BF59A6"/>
    <w:rsid w:val="00BF5A84"/>
    <w:rsid w:val="00BF5C26"/>
    <w:rsid w:val="00BF6278"/>
    <w:rsid w:val="00BF67D3"/>
    <w:rsid w:val="00BF682A"/>
    <w:rsid w:val="00BF6BA3"/>
    <w:rsid w:val="00BF6C35"/>
    <w:rsid w:val="00BF6EA5"/>
    <w:rsid w:val="00BF6F75"/>
    <w:rsid w:val="00BF7099"/>
    <w:rsid w:val="00BF7401"/>
    <w:rsid w:val="00BF7595"/>
    <w:rsid w:val="00BF7639"/>
    <w:rsid w:val="00BF76B2"/>
    <w:rsid w:val="00BF780B"/>
    <w:rsid w:val="00BF7862"/>
    <w:rsid w:val="00BF7915"/>
    <w:rsid w:val="00BF79F4"/>
    <w:rsid w:val="00BF7B49"/>
    <w:rsid w:val="00BF7BBA"/>
    <w:rsid w:val="00BF7D6C"/>
    <w:rsid w:val="00BF7E1C"/>
    <w:rsid w:val="00BF7E3B"/>
    <w:rsid w:val="00C0021B"/>
    <w:rsid w:val="00C0034B"/>
    <w:rsid w:val="00C00375"/>
    <w:rsid w:val="00C00385"/>
    <w:rsid w:val="00C0062F"/>
    <w:rsid w:val="00C00644"/>
    <w:rsid w:val="00C00989"/>
    <w:rsid w:val="00C00B2B"/>
    <w:rsid w:val="00C00CC7"/>
    <w:rsid w:val="00C00EFD"/>
    <w:rsid w:val="00C0102F"/>
    <w:rsid w:val="00C01479"/>
    <w:rsid w:val="00C015A3"/>
    <w:rsid w:val="00C016A0"/>
    <w:rsid w:val="00C0197D"/>
    <w:rsid w:val="00C01A84"/>
    <w:rsid w:val="00C01DAA"/>
    <w:rsid w:val="00C02208"/>
    <w:rsid w:val="00C022C4"/>
    <w:rsid w:val="00C02765"/>
    <w:rsid w:val="00C0296C"/>
    <w:rsid w:val="00C029D1"/>
    <w:rsid w:val="00C02ACA"/>
    <w:rsid w:val="00C02EB1"/>
    <w:rsid w:val="00C02F05"/>
    <w:rsid w:val="00C03393"/>
    <w:rsid w:val="00C0340F"/>
    <w:rsid w:val="00C0356C"/>
    <w:rsid w:val="00C03A1D"/>
    <w:rsid w:val="00C03CE8"/>
    <w:rsid w:val="00C0444B"/>
    <w:rsid w:val="00C044AC"/>
    <w:rsid w:val="00C04796"/>
    <w:rsid w:val="00C047C8"/>
    <w:rsid w:val="00C04A7C"/>
    <w:rsid w:val="00C04F9C"/>
    <w:rsid w:val="00C052B8"/>
    <w:rsid w:val="00C05829"/>
    <w:rsid w:val="00C05D6D"/>
    <w:rsid w:val="00C06230"/>
    <w:rsid w:val="00C06269"/>
    <w:rsid w:val="00C06384"/>
    <w:rsid w:val="00C066AC"/>
    <w:rsid w:val="00C069FB"/>
    <w:rsid w:val="00C0703A"/>
    <w:rsid w:val="00C07214"/>
    <w:rsid w:val="00C0733F"/>
    <w:rsid w:val="00C073B8"/>
    <w:rsid w:val="00C077EE"/>
    <w:rsid w:val="00C07864"/>
    <w:rsid w:val="00C078EF"/>
    <w:rsid w:val="00C07945"/>
    <w:rsid w:val="00C07A0A"/>
    <w:rsid w:val="00C07D8A"/>
    <w:rsid w:val="00C1000A"/>
    <w:rsid w:val="00C10170"/>
    <w:rsid w:val="00C101FF"/>
    <w:rsid w:val="00C1024D"/>
    <w:rsid w:val="00C10402"/>
    <w:rsid w:val="00C1069B"/>
    <w:rsid w:val="00C1069E"/>
    <w:rsid w:val="00C10AA4"/>
    <w:rsid w:val="00C10B5F"/>
    <w:rsid w:val="00C10BFF"/>
    <w:rsid w:val="00C10DED"/>
    <w:rsid w:val="00C10FFB"/>
    <w:rsid w:val="00C112E2"/>
    <w:rsid w:val="00C1177F"/>
    <w:rsid w:val="00C11C39"/>
    <w:rsid w:val="00C11D8C"/>
    <w:rsid w:val="00C11FAF"/>
    <w:rsid w:val="00C11FC5"/>
    <w:rsid w:val="00C11FCB"/>
    <w:rsid w:val="00C12135"/>
    <w:rsid w:val="00C122CC"/>
    <w:rsid w:val="00C1232F"/>
    <w:rsid w:val="00C12C77"/>
    <w:rsid w:val="00C13242"/>
    <w:rsid w:val="00C132BD"/>
    <w:rsid w:val="00C132FB"/>
    <w:rsid w:val="00C133DC"/>
    <w:rsid w:val="00C13DC3"/>
    <w:rsid w:val="00C13DE4"/>
    <w:rsid w:val="00C13DF0"/>
    <w:rsid w:val="00C13F94"/>
    <w:rsid w:val="00C14592"/>
    <w:rsid w:val="00C1507D"/>
    <w:rsid w:val="00C15114"/>
    <w:rsid w:val="00C1520B"/>
    <w:rsid w:val="00C15299"/>
    <w:rsid w:val="00C15648"/>
    <w:rsid w:val="00C15718"/>
    <w:rsid w:val="00C1584E"/>
    <w:rsid w:val="00C1593E"/>
    <w:rsid w:val="00C15ABC"/>
    <w:rsid w:val="00C15CC5"/>
    <w:rsid w:val="00C15F70"/>
    <w:rsid w:val="00C164DD"/>
    <w:rsid w:val="00C16A11"/>
    <w:rsid w:val="00C16CC7"/>
    <w:rsid w:val="00C17462"/>
    <w:rsid w:val="00C17815"/>
    <w:rsid w:val="00C202A2"/>
    <w:rsid w:val="00C20606"/>
    <w:rsid w:val="00C20B11"/>
    <w:rsid w:val="00C20C45"/>
    <w:rsid w:val="00C20E5D"/>
    <w:rsid w:val="00C20F97"/>
    <w:rsid w:val="00C21070"/>
    <w:rsid w:val="00C212BE"/>
    <w:rsid w:val="00C213D8"/>
    <w:rsid w:val="00C21C85"/>
    <w:rsid w:val="00C21E0D"/>
    <w:rsid w:val="00C22399"/>
    <w:rsid w:val="00C22C6C"/>
    <w:rsid w:val="00C22E94"/>
    <w:rsid w:val="00C231F2"/>
    <w:rsid w:val="00C233F6"/>
    <w:rsid w:val="00C235D5"/>
    <w:rsid w:val="00C23816"/>
    <w:rsid w:val="00C238FF"/>
    <w:rsid w:val="00C23B35"/>
    <w:rsid w:val="00C23CCC"/>
    <w:rsid w:val="00C242DC"/>
    <w:rsid w:val="00C2432C"/>
    <w:rsid w:val="00C2463C"/>
    <w:rsid w:val="00C249BB"/>
    <w:rsid w:val="00C24F10"/>
    <w:rsid w:val="00C24F9B"/>
    <w:rsid w:val="00C25535"/>
    <w:rsid w:val="00C26114"/>
    <w:rsid w:val="00C2656A"/>
    <w:rsid w:val="00C26613"/>
    <w:rsid w:val="00C2677A"/>
    <w:rsid w:val="00C26842"/>
    <w:rsid w:val="00C27431"/>
    <w:rsid w:val="00C27895"/>
    <w:rsid w:val="00C3044A"/>
    <w:rsid w:val="00C3064A"/>
    <w:rsid w:val="00C306CD"/>
    <w:rsid w:val="00C30817"/>
    <w:rsid w:val="00C3081A"/>
    <w:rsid w:val="00C30AF3"/>
    <w:rsid w:val="00C30C33"/>
    <w:rsid w:val="00C30E24"/>
    <w:rsid w:val="00C30EE8"/>
    <w:rsid w:val="00C31030"/>
    <w:rsid w:val="00C31508"/>
    <w:rsid w:val="00C3165E"/>
    <w:rsid w:val="00C31691"/>
    <w:rsid w:val="00C317C3"/>
    <w:rsid w:val="00C322FA"/>
    <w:rsid w:val="00C328AC"/>
    <w:rsid w:val="00C3290E"/>
    <w:rsid w:val="00C32B20"/>
    <w:rsid w:val="00C32E54"/>
    <w:rsid w:val="00C33137"/>
    <w:rsid w:val="00C332C1"/>
    <w:rsid w:val="00C33618"/>
    <w:rsid w:val="00C33659"/>
    <w:rsid w:val="00C3366B"/>
    <w:rsid w:val="00C33679"/>
    <w:rsid w:val="00C337DA"/>
    <w:rsid w:val="00C33AE6"/>
    <w:rsid w:val="00C33CDA"/>
    <w:rsid w:val="00C34063"/>
    <w:rsid w:val="00C3410E"/>
    <w:rsid w:val="00C34468"/>
    <w:rsid w:val="00C344EF"/>
    <w:rsid w:val="00C346A5"/>
    <w:rsid w:val="00C3472A"/>
    <w:rsid w:val="00C347C9"/>
    <w:rsid w:val="00C34A7C"/>
    <w:rsid w:val="00C35345"/>
    <w:rsid w:val="00C35BC2"/>
    <w:rsid w:val="00C360E2"/>
    <w:rsid w:val="00C361FE"/>
    <w:rsid w:val="00C36428"/>
    <w:rsid w:val="00C36479"/>
    <w:rsid w:val="00C36FB3"/>
    <w:rsid w:val="00C37889"/>
    <w:rsid w:val="00C3791E"/>
    <w:rsid w:val="00C37A7D"/>
    <w:rsid w:val="00C37BD7"/>
    <w:rsid w:val="00C37C04"/>
    <w:rsid w:val="00C37C13"/>
    <w:rsid w:val="00C37D2A"/>
    <w:rsid w:val="00C4016E"/>
    <w:rsid w:val="00C403C9"/>
    <w:rsid w:val="00C4052B"/>
    <w:rsid w:val="00C40A56"/>
    <w:rsid w:val="00C40CA3"/>
    <w:rsid w:val="00C40F06"/>
    <w:rsid w:val="00C4111B"/>
    <w:rsid w:val="00C41411"/>
    <w:rsid w:val="00C4145E"/>
    <w:rsid w:val="00C416D0"/>
    <w:rsid w:val="00C4170D"/>
    <w:rsid w:val="00C418BC"/>
    <w:rsid w:val="00C41AD9"/>
    <w:rsid w:val="00C41D2F"/>
    <w:rsid w:val="00C41E4A"/>
    <w:rsid w:val="00C42000"/>
    <w:rsid w:val="00C42018"/>
    <w:rsid w:val="00C420E2"/>
    <w:rsid w:val="00C420FF"/>
    <w:rsid w:val="00C42801"/>
    <w:rsid w:val="00C42AA6"/>
    <w:rsid w:val="00C42ADA"/>
    <w:rsid w:val="00C42DD1"/>
    <w:rsid w:val="00C42E16"/>
    <w:rsid w:val="00C433A6"/>
    <w:rsid w:val="00C434F9"/>
    <w:rsid w:val="00C43676"/>
    <w:rsid w:val="00C43FE1"/>
    <w:rsid w:val="00C442B9"/>
    <w:rsid w:val="00C4448A"/>
    <w:rsid w:val="00C448A2"/>
    <w:rsid w:val="00C449F2"/>
    <w:rsid w:val="00C44AA3"/>
    <w:rsid w:val="00C44ED1"/>
    <w:rsid w:val="00C44F20"/>
    <w:rsid w:val="00C45218"/>
    <w:rsid w:val="00C45652"/>
    <w:rsid w:val="00C45814"/>
    <w:rsid w:val="00C45DD0"/>
    <w:rsid w:val="00C464F1"/>
    <w:rsid w:val="00C46710"/>
    <w:rsid w:val="00C467E7"/>
    <w:rsid w:val="00C46C30"/>
    <w:rsid w:val="00C46C71"/>
    <w:rsid w:val="00C4705A"/>
    <w:rsid w:val="00C470AF"/>
    <w:rsid w:val="00C47159"/>
    <w:rsid w:val="00C47A60"/>
    <w:rsid w:val="00C47E4E"/>
    <w:rsid w:val="00C47E6A"/>
    <w:rsid w:val="00C47F93"/>
    <w:rsid w:val="00C50109"/>
    <w:rsid w:val="00C50286"/>
    <w:rsid w:val="00C50294"/>
    <w:rsid w:val="00C504B5"/>
    <w:rsid w:val="00C5073D"/>
    <w:rsid w:val="00C508E9"/>
    <w:rsid w:val="00C50D2A"/>
    <w:rsid w:val="00C50E05"/>
    <w:rsid w:val="00C51135"/>
    <w:rsid w:val="00C511DF"/>
    <w:rsid w:val="00C5173F"/>
    <w:rsid w:val="00C518FC"/>
    <w:rsid w:val="00C51A8E"/>
    <w:rsid w:val="00C51BC2"/>
    <w:rsid w:val="00C51DD1"/>
    <w:rsid w:val="00C5212A"/>
    <w:rsid w:val="00C5217F"/>
    <w:rsid w:val="00C52622"/>
    <w:rsid w:val="00C526EF"/>
    <w:rsid w:val="00C52851"/>
    <w:rsid w:val="00C52A1A"/>
    <w:rsid w:val="00C52A2E"/>
    <w:rsid w:val="00C52A87"/>
    <w:rsid w:val="00C53610"/>
    <w:rsid w:val="00C53736"/>
    <w:rsid w:val="00C53871"/>
    <w:rsid w:val="00C538AB"/>
    <w:rsid w:val="00C539D2"/>
    <w:rsid w:val="00C53ABC"/>
    <w:rsid w:val="00C53E91"/>
    <w:rsid w:val="00C543C6"/>
    <w:rsid w:val="00C54650"/>
    <w:rsid w:val="00C547D5"/>
    <w:rsid w:val="00C54A0B"/>
    <w:rsid w:val="00C54A76"/>
    <w:rsid w:val="00C54B89"/>
    <w:rsid w:val="00C54BD8"/>
    <w:rsid w:val="00C54C1F"/>
    <w:rsid w:val="00C54F10"/>
    <w:rsid w:val="00C54F9D"/>
    <w:rsid w:val="00C55063"/>
    <w:rsid w:val="00C551BD"/>
    <w:rsid w:val="00C5529B"/>
    <w:rsid w:val="00C553C8"/>
    <w:rsid w:val="00C554AF"/>
    <w:rsid w:val="00C558A5"/>
    <w:rsid w:val="00C558C6"/>
    <w:rsid w:val="00C55CA7"/>
    <w:rsid w:val="00C55EF4"/>
    <w:rsid w:val="00C55F48"/>
    <w:rsid w:val="00C56795"/>
    <w:rsid w:val="00C56AA5"/>
    <w:rsid w:val="00C56AE9"/>
    <w:rsid w:val="00C57874"/>
    <w:rsid w:val="00C57975"/>
    <w:rsid w:val="00C60114"/>
    <w:rsid w:val="00C60488"/>
    <w:rsid w:val="00C604A2"/>
    <w:rsid w:val="00C604A4"/>
    <w:rsid w:val="00C60596"/>
    <w:rsid w:val="00C6098D"/>
    <w:rsid w:val="00C60B0F"/>
    <w:rsid w:val="00C60D2C"/>
    <w:rsid w:val="00C60D89"/>
    <w:rsid w:val="00C61119"/>
    <w:rsid w:val="00C611B4"/>
    <w:rsid w:val="00C6136F"/>
    <w:rsid w:val="00C613CC"/>
    <w:rsid w:val="00C6140E"/>
    <w:rsid w:val="00C616CF"/>
    <w:rsid w:val="00C61CDC"/>
    <w:rsid w:val="00C61CF4"/>
    <w:rsid w:val="00C61CFB"/>
    <w:rsid w:val="00C61FBA"/>
    <w:rsid w:val="00C62030"/>
    <w:rsid w:val="00C62275"/>
    <w:rsid w:val="00C62460"/>
    <w:rsid w:val="00C62625"/>
    <w:rsid w:val="00C62A2B"/>
    <w:rsid w:val="00C62ACC"/>
    <w:rsid w:val="00C62F84"/>
    <w:rsid w:val="00C63007"/>
    <w:rsid w:val="00C630FD"/>
    <w:rsid w:val="00C63407"/>
    <w:rsid w:val="00C634F2"/>
    <w:rsid w:val="00C6374D"/>
    <w:rsid w:val="00C63919"/>
    <w:rsid w:val="00C63938"/>
    <w:rsid w:val="00C63CAC"/>
    <w:rsid w:val="00C640E7"/>
    <w:rsid w:val="00C643A7"/>
    <w:rsid w:val="00C64564"/>
    <w:rsid w:val="00C6476D"/>
    <w:rsid w:val="00C64803"/>
    <w:rsid w:val="00C64A2E"/>
    <w:rsid w:val="00C64A69"/>
    <w:rsid w:val="00C64E30"/>
    <w:rsid w:val="00C64EFD"/>
    <w:rsid w:val="00C652FA"/>
    <w:rsid w:val="00C65488"/>
    <w:rsid w:val="00C657F8"/>
    <w:rsid w:val="00C65B43"/>
    <w:rsid w:val="00C65F61"/>
    <w:rsid w:val="00C66063"/>
    <w:rsid w:val="00C660E2"/>
    <w:rsid w:val="00C662CD"/>
    <w:rsid w:val="00C66611"/>
    <w:rsid w:val="00C66614"/>
    <w:rsid w:val="00C6689C"/>
    <w:rsid w:val="00C668D3"/>
    <w:rsid w:val="00C66AED"/>
    <w:rsid w:val="00C66B8B"/>
    <w:rsid w:val="00C66C0E"/>
    <w:rsid w:val="00C66DB1"/>
    <w:rsid w:val="00C67053"/>
    <w:rsid w:val="00C6714A"/>
    <w:rsid w:val="00C6724A"/>
    <w:rsid w:val="00C676E9"/>
    <w:rsid w:val="00C67AF1"/>
    <w:rsid w:val="00C70108"/>
    <w:rsid w:val="00C7020C"/>
    <w:rsid w:val="00C7031F"/>
    <w:rsid w:val="00C7069E"/>
    <w:rsid w:val="00C709DE"/>
    <w:rsid w:val="00C70A92"/>
    <w:rsid w:val="00C70B3A"/>
    <w:rsid w:val="00C70DD0"/>
    <w:rsid w:val="00C70DF7"/>
    <w:rsid w:val="00C70E4C"/>
    <w:rsid w:val="00C713E5"/>
    <w:rsid w:val="00C7173C"/>
    <w:rsid w:val="00C71750"/>
    <w:rsid w:val="00C718CA"/>
    <w:rsid w:val="00C71C43"/>
    <w:rsid w:val="00C71E85"/>
    <w:rsid w:val="00C7220E"/>
    <w:rsid w:val="00C7224E"/>
    <w:rsid w:val="00C722C2"/>
    <w:rsid w:val="00C722E2"/>
    <w:rsid w:val="00C7242A"/>
    <w:rsid w:val="00C726C4"/>
    <w:rsid w:val="00C730A6"/>
    <w:rsid w:val="00C731F1"/>
    <w:rsid w:val="00C73342"/>
    <w:rsid w:val="00C73362"/>
    <w:rsid w:val="00C733F1"/>
    <w:rsid w:val="00C734F1"/>
    <w:rsid w:val="00C7368A"/>
    <w:rsid w:val="00C73B53"/>
    <w:rsid w:val="00C73F15"/>
    <w:rsid w:val="00C740C2"/>
    <w:rsid w:val="00C741DE"/>
    <w:rsid w:val="00C74286"/>
    <w:rsid w:val="00C74538"/>
    <w:rsid w:val="00C747D5"/>
    <w:rsid w:val="00C74A1B"/>
    <w:rsid w:val="00C74AA7"/>
    <w:rsid w:val="00C74CAA"/>
    <w:rsid w:val="00C74D09"/>
    <w:rsid w:val="00C750BD"/>
    <w:rsid w:val="00C75138"/>
    <w:rsid w:val="00C75188"/>
    <w:rsid w:val="00C751CE"/>
    <w:rsid w:val="00C75243"/>
    <w:rsid w:val="00C754D7"/>
    <w:rsid w:val="00C756ED"/>
    <w:rsid w:val="00C75A4F"/>
    <w:rsid w:val="00C75E72"/>
    <w:rsid w:val="00C76028"/>
    <w:rsid w:val="00C762BE"/>
    <w:rsid w:val="00C765AE"/>
    <w:rsid w:val="00C7680D"/>
    <w:rsid w:val="00C768B4"/>
    <w:rsid w:val="00C76E53"/>
    <w:rsid w:val="00C76EF1"/>
    <w:rsid w:val="00C76F2C"/>
    <w:rsid w:val="00C7703B"/>
    <w:rsid w:val="00C77435"/>
    <w:rsid w:val="00C774BC"/>
    <w:rsid w:val="00C775D5"/>
    <w:rsid w:val="00C77845"/>
    <w:rsid w:val="00C77A26"/>
    <w:rsid w:val="00C77F39"/>
    <w:rsid w:val="00C806D3"/>
    <w:rsid w:val="00C809D6"/>
    <w:rsid w:val="00C80B62"/>
    <w:rsid w:val="00C80C21"/>
    <w:rsid w:val="00C80F9D"/>
    <w:rsid w:val="00C81150"/>
    <w:rsid w:val="00C8137D"/>
    <w:rsid w:val="00C81493"/>
    <w:rsid w:val="00C81593"/>
    <w:rsid w:val="00C816B7"/>
    <w:rsid w:val="00C81880"/>
    <w:rsid w:val="00C81E1D"/>
    <w:rsid w:val="00C81E45"/>
    <w:rsid w:val="00C820F3"/>
    <w:rsid w:val="00C82210"/>
    <w:rsid w:val="00C824FD"/>
    <w:rsid w:val="00C8272C"/>
    <w:rsid w:val="00C82A97"/>
    <w:rsid w:val="00C82E38"/>
    <w:rsid w:val="00C830F7"/>
    <w:rsid w:val="00C834AA"/>
    <w:rsid w:val="00C839FB"/>
    <w:rsid w:val="00C83A23"/>
    <w:rsid w:val="00C83D6B"/>
    <w:rsid w:val="00C83E6A"/>
    <w:rsid w:val="00C84381"/>
    <w:rsid w:val="00C844AA"/>
    <w:rsid w:val="00C84517"/>
    <w:rsid w:val="00C84B26"/>
    <w:rsid w:val="00C84C6A"/>
    <w:rsid w:val="00C84D3A"/>
    <w:rsid w:val="00C853C6"/>
    <w:rsid w:val="00C853E8"/>
    <w:rsid w:val="00C854EF"/>
    <w:rsid w:val="00C855D9"/>
    <w:rsid w:val="00C85814"/>
    <w:rsid w:val="00C858C5"/>
    <w:rsid w:val="00C85B4F"/>
    <w:rsid w:val="00C85CD0"/>
    <w:rsid w:val="00C85D3F"/>
    <w:rsid w:val="00C85DFE"/>
    <w:rsid w:val="00C86191"/>
    <w:rsid w:val="00C8623C"/>
    <w:rsid w:val="00C86459"/>
    <w:rsid w:val="00C86468"/>
    <w:rsid w:val="00C86650"/>
    <w:rsid w:val="00C86847"/>
    <w:rsid w:val="00C86AB7"/>
    <w:rsid w:val="00C86BAD"/>
    <w:rsid w:val="00C86D34"/>
    <w:rsid w:val="00C86E32"/>
    <w:rsid w:val="00C8730D"/>
    <w:rsid w:val="00C87870"/>
    <w:rsid w:val="00C878D5"/>
    <w:rsid w:val="00C87ED6"/>
    <w:rsid w:val="00C9033B"/>
    <w:rsid w:val="00C903D2"/>
    <w:rsid w:val="00C905D5"/>
    <w:rsid w:val="00C907D5"/>
    <w:rsid w:val="00C90883"/>
    <w:rsid w:val="00C909A2"/>
    <w:rsid w:val="00C909A9"/>
    <w:rsid w:val="00C90C27"/>
    <w:rsid w:val="00C90D6C"/>
    <w:rsid w:val="00C91090"/>
    <w:rsid w:val="00C913A1"/>
    <w:rsid w:val="00C914EF"/>
    <w:rsid w:val="00C91576"/>
    <w:rsid w:val="00C91AC6"/>
    <w:rsid w:val="00C91EC8"/>
    <w:rsid w:val="00C92062"/>
    <w:rsid w:val="00C920FA"/>
    <w:rsid w:val="00C92600"/>
    <w:rsid w:val="00C927A7"/>
    <w:rsid w:val="00C92C40"/>
    <w:rsid w:val="00C93057"/>
    <w:rsid w:val="00C9317E"/>
    <w:rsid w:val="00C941DB"/>
    <w:rsid w:val="00C9430D"/>
    <w:rsid w:val="00C94567"/>
    <w:rsid w:val="00C94570"/>
    <w:rsid w:val="00C9464F"/>
    <w:rsid w:val="00C94B2A"/>
    <w:rsid w:val="00C94C29"/>
    <w:rsid w:val="00C94C74"/>
    <w:rsid w:val="00C950E1"/>
    <w:rsid w:val="00C9528C"/>
    <w:rsid w:val="00C95371"/>
    <w:rsid w:val="00C95485"/>
    <w:rsid w:val="00C9554F"/>
    <w:rsid w:val="00C9558F"/>
    <w:rsid w:val="00C956A1"/>
    <w:rsid w:val="00C95778"/>
    <w:rsid w:val="00C95792"/>
    <w:rsid w:val="00C95C63"/>
    <w:rsid w:val="00C95C89"/>
    <w:rsid w:val="00C95D8E"/>
    <w:rsid w:val="00C96037"/>
    <w:rsid w:val="00C9620C"/>
    <w:rsid w:val="00C96413"/>
    <w:rsid w:val="00C96C42"/>
    <w:rsid w:val="00C96EE2"/>
    <w:rsid w:val="00C96F52"/>
    <w:rsid w:val="00C971F6"/>
    <w:rsid w:val="00C972EC"/>
    <w:rsid w:val="00C97558"/>
    <w:rsid w:val="00C9758B"/>
    <w:rsid w:val="00C977EA"/>
    <w:rsid w:val="00C9781B"/>
    <w:rsid w:val="00C97B89"/>
    <w:rsid w:val="00C97C84"/>
    <w:rsid w:val="00CA01FF"/>
    <w:rsid w:val="00CA06EA"/>
    <w:rsid w:val="00CA0711"/>
    <w:rsid w:val="00CA1006"/>
    <w:rsid w:val="00CA1036"/>
    <w:rsid w:val="00CA133B"/>
    <w:rsid w:val="00CA168E"/>
    <w:rsid w:val="00CA18D9"/>
    <w:rsid w:val="00CA2085"/>
    <w:rsid w:val="00CA2374"/>
    <w:rsid w:val="00CA2B5E"/>
    <w:rsid w:val="00CA2BE1"/>
    <w:rsid w:val="00CA2FA8"/>
    <w:rsid w:val="00CA3A9D"/>
    <w:rsid w:val="00CA3BB4"/>
    <w:rsid w:val="00CA4BAF"/>
    <w:rsid w:val="00CA4BF6"/>
    <w:rsid w:val="00CA4C65"/>
    <w:rsid w:val="00CA4D58"/>
    <w:rsid w:val="00CA4E3B"/>
    <w:rsid w:val="00CA4E9F"/>
    <w:rsid w:val="00CA59D0"/>
    <w:rsid w:val="00CA5A72"/>
    <w:rsid w:val="00CA5ADD"/>
    <w:rsid w:val="00CA5C43"/>
    <w:rsid w:val="00CA6020"/>
    <w:rsid w:val="00CA63FE"/>
    <w:rsid w:val="00CA642B"/>
    <w:rsid w:val="00CA658C"/>
    <w:rsid w:val="00CA65EE"/>
    <w:rsid w:val="00CA6C75"/>
    <w:rsid w:val="00CB0325"/>
    <w:rsid w:val="00CB0352"/>
    <w:rsid w:val="00CB0693"/>
    <w:rsid w:val="00CB0A55"/>
    <w:rsid w:val="00CB1376"/>
    <w:rsid w:val="00CB13FA"/>
    <w:rsid w:val="00CB151A"/>
    <w:rsid w:val="00CB1847"/>
    <w:rsid w:val="00CB1920"/>
    <w:rsid w:val="00CB1BFD"/>
    <w:rsid w:val="00CB1C6D"/>
    <w:rsid w:val="00CB2095"/>
    <w:rsid w:val="00CB288B"/>
    <w:rsid w:val="00CB2D8E"/>
    <w:rsid w:val="00CB3C66"/>
    <w:rsid w:val="00CB3C74"/>
    <w:rsid w:val="00CB3D1C"/>
    <w:rsid w:val="00CB3E11"/>
    <w:rsid w:val="00CB4115"/>
    <w:rsid w:val="00CB42B6"/>
    <w:rsid w:val="00CB4530"/>
    <w:rsid w:val="00CB45DE"/>
    <w:rsid w:val="00CB46D7"/>
    <w:rsid w:val="00CB49F3"/>
    <w:rsid w:val="00CB4B9B"/>
    <w:rsid w:val="00CB4E4F"/>
    <w:rsid w:val="00CB4EA5"/>
    <w:rsid w:val="00CB4F9C"/>
    <w:rsid w:val="00CB58C7"/>
    <w:rsid w:val="00CB610C"/>
    <w:rsid w:val="00CB64FF"/>
    <w:rsid w:val="00CB68DA"/>
    <w:rsid w:val="00CB692D"/>
    <w:rsid w:val="00CB6A2D"/>
    <w:rsid w:val="00CB6F3C"/>
    <w:rsid w:val="00CB6FA6"/>
    <w:rsid w:val="00CB7084"/>
    <w:rsid w:val="00CB70CD"/>
    <w:rsid w:val="00CB73E7"/>
    <w:rsid w:val="00CB74EF"/>
    <w:rsid w:val="00CB7C4C"/>
    <w:rsid w:val="00CB7CCA"/>
    <w:rsid w:val="00CB7E92"/>
    <w:rsid w:val="00CC01E4"/>
    <w:rsid w:val="00CC092A"/>
    <w:rsid w:val="00CC0BD4"/>
    <w:rsid w:val="00CC103F"/>
    <w:rsid w:val="00CC1A83"/>
    <w:rsid w:val="00CC1AB5"/>
    <w:rsid w:val="00CC1AEB"/>
    <w:rsid w:val="00CC1AF5"/>
    <w:rsid w:val="00CC1F6C"/>
    <w:rsid w:val="00CC2107"/>
    <w:rsid w:val="00CC2222"/>
    <w:rsid w:val="00CC2366"/>
    <w:rsid w:val="00CC27AF"/>
    <w:rsid w:val="00CC27B3"/>
    <w:rsid w:val="00CC32B4"/>
    <w:rsid w:val="00CC33FA"/>
    <w:rsid w:val="00CC34B2"/>
    <w:rsid w:val="00CC3ED7"/>
    <w:rsid w:val="00CC3FB0"/>
    <w:rsid w:val="00CC40E2"/>
    <w:rsid w:val="00CC426D"/>
    <w:rsid w:val="00CC42BB"/>
    <w:rsid w:val="00CC4342"/>
    <w:rsid w:val="00CC489C"/>
    <w:rsid w:val="00CC4A5B"/>
    <w:rsid w:val="00CC4B3F"/>
    <w:rsid w:val="00CC4DCD"/>
    <w:rsid w:val="00CC4E07"/>
    <w:rsid w:val="00CC4E2D"/>
    <w:rsid w:val="00CC4F0E"/>
    <w:rsid w:val="00CC533D"/>
    <w:rsid w:val="00CC5997"/>
    <w:rsid w:val="00CC5D5E"/>
    <w:rsid w:val="00CC5EFD"/>
    <w:rsid w:val="00CC605A"/>
    <w:rsid w:val="00CC608F"/>
    <w:rsid w:val="00CC61FA"/>
    <w:rsid w:val="00CC6284"/>
    <w:rsid w:val="00CC6687"/>
    <w:rsid w:val="00CC6A99"/>
    <w:rsid w:val="00CC6AE5"/>
    <w:rsid w:val="00CC6E27"/>
    <w:rsid w:val="00CC700B"/>
    <w:rsid w:val="00CC72F6"/>
    <w:rsid w:val="00CC7402"/>
    <w:rsid w:val="00CC7512"/>
    <w:rsid w:val="00CC768C"/>
    <w:rsid w:val="00CC76E7"/>
    <w:rsid w:val="00CC7E5C"/>
    <w:rsid w:val="00CC7E5E"/>
    <w:rsid w:val="00CC7F4F"/>
    <w:rsid w:val="00CC7F78"/>
    <w:rsid w:val="00CD07D7"/>
    <w:rsid w:val="00CD0D51"/>
    <w:rsid w:val="00CD0DED"/>
    <w:rsid w:val="00CD0E2B"/>
    <w:rsid w:val="00CD0FFD"/>
    <w:rsid w:val="00CD13FA"/>
    <w:rsid w:val="00CD15F9"/>
    <w:rsid w:val="00CD1B8F"/>
    <w:rsid w:val="00CD1DDB"/>
    <w:rsid w:val="00CD1E23"/>
    <w:rsid w:val="00CD2140"/>
    <w:rsid w:val="00CD268E"/>
    <w:rsid w:val="00CD2D77"/>
    <w:rsid w:val="00CD3272"/>
    <w:rsid w:val="00CD32D1"/>
    <w:rsid w:val="00CD35C7"/>
    <w:rsid w:val="00CD3626"/>
    <w:rsid w:val="00CD396C"/>
    <w:rsid w:val="00CD3B1C"/>
    <w:rsid w:val="00CD452C"/>
    <w:rsid w:val="00CD453F"/>
    <w:rsid w:val="00CD471D"/>
    <w:rsid w:val="00CD4750"/>
    <w:rsid w:val="00CD49F2"/>
    <w:rsid w:val="00CD4C79"/>
    <w:rsid w:val="00CD4DB2"/>
    <w:rsid w:val="00CD4E5E"/>
    <w:rsid w:val="00CD4E65"/>
    <w:rsid w:val="00CD4FAD"/>
    <w:rsid w:val="00CD5301"/>
    <w:rsid w:val="00CD56A6"/>
    <w:rsid w:val="00CD5961"/>
    <w:rsid w:val="00CD5ACA"/>
    <w:rsid w:val="00CD5AD1"/>
    <w:rsid w:val="00CD5EFB"/>
    <w:rsid w:val="00CD5FB8"/>
    <w:rsid w:val="00CD6084"/>
    <w:rsid w:val="00CD6BD4"/>
    <w:rsid w:val="00CD6CA6"/>
    <w:rsid w:val="00CD6E5C"/>
    <w:rsid w:val="00CD7433"/>
    <w:rsid w:val="00CD783A"/>
    <w:rsid w:val="00CD7C42"/>
    <w:rsid w:val="00CD7DD3"/>
    <w:rsid w:val="00CE0095"/>
    <w:rsid w:val="00CE08A1"/>
    <w:rsid w:val="00CE0B33"/>
    <w:rsid w:val="00CE0F02"/>
    <w:rsid w:val="00CE1059"/>
    <w:rsid w:val="00CE1209"/>
    <w:rsid w:val="00CE12B9"/>
    <w:rsid w:val="00CE145F"/>
    <w:rsid w:val="00CE1629"/>
    <w:rsid w:val="00CE1632"/>
    <w:rsid w:val="00CE1643"/>
    <w:rsid w:val="00CE17EF"/>
    <w:rsid w:val="00CE19E7"/>
    <w:rsid w:val="00CE1B6F"/>
    <w:rsid w:val="00CE1B98"/>
    <w:rsid w:val="00CE1BE4"/>
    <w:rsid w:val="00CE1FDC"/>
    <w:rsid w:val="00CE2064"/>
    <w:rsid w:val="00CE213B"/>
    <w:rsid w:val="00CE239B"/>
    <w:rsid w:val="00CE24E3"/>
    <w:rsid w:val="00CE2CFE"/>
    <w:rsid w:val="00CE2DE4"/>
    <w:rsid w:val="00CE2EC3"/>
    <w:rsid w:val="00CE3095"/>
    <w:rsid w:val="00CE30D5"/>
    <w:rsid w:val="00CE3186"/>
    <w:rsid w:val="00CE32F7"/>
    <w:rsid w:val="00CE341B"/>
    <w:rsid w:val="00CE3425"/>
    <w:rsid w:val="00CE34BB"/>
    <w:rsid w:val="00CE3A77"/>
    <w:rsid w:val="00CE3A86"/>
    <w:rsid w:val="00CE3B44"/>
    <w:rsid w:val="00CE3C35"/>
    <w:rsid w:val="00CE3E4C"/>
    <w:rsid w:val="00CE3ED1"/>
    <w:rsid w:val="00CE3FEF"/>
    <w:rsid w:val="00CE4325"/>
    <w:rsid w:val="00CE4ACF"/>
    <w:rsid w:val="00CE4B01"/>
    <w:rsid w:val="00CE54E1"/>
    <w:rsid w:val="00CE556F"/>
    <w:rsid w:val="00CE5781"/>
    <w:rsid w:val="00CE57D0"/>
    <w:rsid w:val="00CE5C31"/>
    <w:rsid w:val="00CE5C3A"/>
    <w:rsid w:val="00CE5C47"/>
    <w:rsid w:val="00CE5DC2"/>
    <w:rsid w:val="00CE6189"/>
    <w:rsid w:val="00CE61AE"/>
    <w:rsid w:val="00CE63FE"/>
    <w:rsid w:val="00CE6518"/>
    <w:rsid w:val="00CE6566"/>
    <w:rsid w:val="00CE673F"/>
    <w:rsid w:val="00CE6744"/>
    <w:rsid w:val="00CE6B34"/>
    <w:rsid w:val="00CE71E9"/>
    <w:rsid w:val="00CE724A"/>
    <w:rsid w:val="00CE728D"/>
    <w:rsid w:val="00CE7596"/>
    <w:rsid w:val="00CE77FE"/>
    <w:rsid w:val="00CE7A38"/>
    <w:rsid w:val="00CE7BFF"/>
    <w:rsid w:val="00CE7C79"/>
    <w:rsid w:val="00CF004A"/>
    <w:rsid w:val="00CF01E5"/>
    <w:rsid w:val="00CF05D3"/>
    <w:rsid w:val="00CF067D"/>
    <w:rsid w:val="00CF0DBF"/>
    <w:rsid w:val="00CF0F56"/>
    <w:rsid w:val="00CF112D"/>
    <w:rsid w:val="00CF145E"/>
    <w:rsid w:val="00CF1EDA"/>
    <w:rsid w:val="00CF2102"/>
    <w:rsid w:val="00CF213F"/>
    <w:rsid w:val="00CF21DE"/>
    <w:rsid w:val="00CF26A6"/>
    <w:rsid w:val="00CF270B"/>
    <w:rsid w:val="00CF2880"/>
    <w:rsid w:val="00CF2D99"/>
    <w:rsid w:val="00CF31BC"/>
    <w:rsid w:val="00CF331F"/>
    <w:rsid w:val="00CF38FC"/>
    <w:rsid w:val="00CF3A8E"/>
    <w:rsid w:val="00CF3B61"/>
    <w:rsid w:val="00CF3F20"/>
    <w:rsid w:val="00CF40AA"/>
    <w:rsid w:val="00CF4292"/>
    <w:rsid w:val="00CF4AFE"/>
    <w:rsid w:val="00CF4F4D"/>
    <w:rsid w:val="00CF5108"/>
    <w:rsid w:val="00CF51B5"/>
    <w:rsid w:val="00CF54C5"/>
    <w:rsid w:val="00CF5664"/>
    <w:rsid w:val="00CF585C"/>
    <w:rsid w:val="00CF58D8"/>
    <w:rsid w:val="00CF5904"/>
    <w:rsid w:val="00CF5A8B"/>
    <w:rsid w:val="00CF5CCE"/>
    <w:rsid w:val="00CF61D0"/>
    <w:rsid w:val="00CF671D"/>
    <w:rsid w:val="00CF6733"/>
    <w:rsid w:val="00CF68C9"/>
    <w:rsid w:val="00CF696A"/>
    <w:rsid w:val="00CF6B14"/>
    <w:rsid w:val="00CF6B1C"/>
    <w:rsid w:val="00CF6B55"/>
    <w:rsid w:val="00CF6B83"/>
    <w:rsid w:val="00CF6F35"/>
    <w:rsid w:val="00CF71D9"/>
    <w:rsid w:val="00CF721A"/>
    <w:rsid w:val="00CF7357"/>
    <w:rsid w:val="00CF74BB"/>
    <w:rsid w:val="00CF74DC"/>
    <w:rsid w:val="00CF75AA"/>
    <w:rsid w:val="00CF76DD"/>
    <w:rsid w:val="00CF77A2"/>
    <w:rsid w:val="00CF7B55"/>
    <w:rsid w:val="00CF7BF6"/>
    <w:rsid w:val="00CF7C31"/>
    <w:rsid w:val="00CF7EFC"/>
    <w:rsid w:val="00D009A9"/>
    <w:rsid w:val="00D009EA"/>
    <w:rsid w:val="00D00AA3"/>
    <w:rsid w:val="00D00E67"/>
    <w:rsid w:val="00D00F21"/>
    <w:rsid w:val="00D011D9"/>
    <w:rsid w:val="00D0151F"/>
    <w:rsid w:val="00D01546"/>
    <w:rsid w:val="00D01B2A"/>
    <w:rsid w:val="00D01D28"/>
    <w:rsid w:val="00D01E69"/>
    <w:rsid w:val="00D022D8"/>
    <w:rsid w:val="00D026FC"/>
    <w:rsid w:val="00D02D5F"/>
    <w:rsid w:val="00D02F1D"/>
    <w:rsid w:val="00D02F69"/>
    <w:rsid w:val="00D03234"/>
    <w:rsid w:val="00D032B8"/>
    <w:rsid w:val="00D0335C"/>
    <w:rsid w:val="00D039A2"/>
    <w:rsid w:val="00D03A0D"/>
    <w:rsid w:val="00D03B85"/>
    <w:rsid w:val="00D03F70"/>
    <w:rsid w:val="00D0436D"/>
    <w:rsid w:val="00D04418"/>
    <w:rsid w:val="00D0465A"/>
    <w:rsid w:val="00D048BC"/>
    <w:rsid w:val="00D04BF6"/>
    <w:rsid w:val="00D04F0C"/>
    <w:rsid w:val="00D04F57"/>
    <w:rsid w:val="00D04FCF"/>
    <w:rsid w:val="00D0504E"/>
    <w:rsid w:val="00D0531C"/>
    <w:rsid w:val="00D05746"/>
    <w:rsid w:val="00D05926"/>
    <w:rsid w:val="00D05B57"/>
    <w:rsid w:val="00D05DEE"/>
    <w:rsid w:val="00D06683"/>
    <w:rsid w:val="00D06947"/>
    <w:rsid w:val="00D06BAB"/>
    <w:rsid w:val="00D06BF9"/>
    <w:rsid w:val="00D06FA6"/>
    <w:rsid w:val="00D073A2"/>
    <w:rsid w:val="00D073AE"/>
    <w:rsid w:val="00D0755F"/>
    <w:rsid w:val="00D0759F"/>
    <w:rsid w:val="00D075E9"/>
    <w:rsid w:val="00D07691"/>
    <w:rsid w:val="00D07831"/>
    <w:rsid w:val="00D07E0A"/>
    <w:rsid w:val="00D07E89"/>
    <w:rsid w:val="00D07F73"/>
    <w:rsid w:val="00D10704"/>
    <w:rsid w:val="00D107D0"/>
    <w:rsid w:val="00D10894"/>
    <w:rsid w:val="00D10A3E"/>
    <w:rsid w:val="00D10CE3"/>
    <w:rsid w:val="00D11748"/>
    <w:rsid w:val="00D11C64"/>
    <w:rsid w:val="00D11C87"/>
    <w:rsid w:val="00D11D48"/>
    <w:rsid w:val="00D1215B"/>
    <w:rsid w:val="00D121B5"/>
    <w:rsid w:val="00D1256E"/>
    <w:rsid w:val="00D12664"/>
    <w:rsid w:val="00D12825"/>
    <w:rsid w:val="00D12C65"/>
    <w:rsid w:val="00D13114"/>
    <w:rsid w:val="00D132AC"/>
    <w:rsid w:val="00D132D3"/>
    <w:rsid w:val="00D138FD"/>
    <w:rsid w:val="00D13981"/>
    <w:rsid w:val="00D13B79"/>
    <w:rsid w:val="00D13F53"/>
    <w:rsid w:val="00D1401F"/>
    <w:rsid w:val="00D141C4"/>
    <w:rsid w:val="00D14844"/>
    <w:rsid w:val="00D153C5"/>
    <w:rsid w:val="00D1547C"/>
    <w:rsid w:val="00D15B14"/>
    <w:rsid w:val="00D15DE1"/>
    <w:rsid w:val="00D161F6"/>
    <w:rsid w:val="00D16511"/>
    <w:rsid w:val="00D166F0"/>
    <w:rsid w:val="00D1682E"/>
    <w:rsid w:val="00D16AB1"/>
    <w:rsid w:val="00D16B93"/>
    <w:rsid w:val="00D16C0F"/>
    <w:rsid w:val="00D16C7A"/>
    <w:rsid w:val="00D16F2B"/>
    <w:rsid w:val="00D171F9"/>
    <w:rsid w:val="00D1765E"/>
    <w:rsid w:val="00D17C01"/>
    <w:rsid w:val="00D200B1"/>
    <w:rsid w:val="00D201EA"/>
    <w:rsid w:val="00D20383"/>
    <w:rsid w:val="00D2041C"/>
    <w:rsid w:val="00D2047E"/>
    <w:rsid w:val="00D2052F"/>
    <w:rsid w:val="00D20577"/>
    <w:rsid w:val="00D209C4"/>
    <w:rsid w:val="00D20A86"/>
    <w:rsid w:val="00D20B42"/>
    <w:rsid w:val="00D20CB8"/>
    <w:rsid w:val="00D20E12"/>
    <w:rsid w:val="00D21100"/>
    <w:rsid w:val="00D211B1"/>
    <w:rsid w:val="00D2151D"/>
    <w:rsid w:val="00D215A0"/>
    <w:rsid w:val="00D2165B"/>
    <w:rsid w:val="00D21B0C"/>
    <w:rsid w:val="00D21B1F"/>
    <w:rsid w:val="00D21B4B"/>
    <w:rsid w:val="00D21B74"/>
    <w:rsid w:val="00D21D88"/>
    <w:rsid w:val="00D22373"/>
    <w:rsid w:val="00D22467"/>
    <w:rsid w:val="00D224F7"/>
    <w:rsid w:val="00D224F9"/>
    <w:rsid w:val="00D2255F"/>
    <w:rsid w:val="00D23191"/>
    <w:rsid w:val="00D240CA"/>
    <w:rsid w:val="00D241BB"/>
    <w:rsid w:val="00D2495F"/>
    <w:rsid w:val="00D24ECF"/>
    <w:rsid w:val="00D25366"/>
    <w:rsid w:val="00D253C2"/>
    <w:rsid w:val="00D2543A"/>
    <w:rsid w:val="00D2563D"/>
    <w:rsid w:val="00D25731"/>
    <w:rsid w:val="00D25749"/>
    <w:rsid w:val="00D257BD"/>
    <w:rsid w:val="00D257BE"/>
    <w:rsid w:val="00D25ADE"/>
    <w:rsid w:val="00D25F5E"/>
    <w:rsid w:val="00D25FC0"/>
    <w:rsid w:val="00D263A7"/>
    <w:rsid w:val="00D2664C"/>
    <w:rsid w:val="00D267AB"/>
    <w:rsid w:val="00D26E16"/>
    <w:rsid w:val="00D2708D"/>
    <w:rsid w:val="00D271C6"/>
    <w:rsid w:val="00D27827"/>
    <w:rsid w:val="00D27901"/>
    <w:rsid w:val="00D27907"/>
    <w:rsid w:val="00D2798E"/>
    <w:rsid w:val="00D27BCE"/>
    <w:rsid w:val="00D30068"/>
    <w:rsid w:val="00D3033F"/>
    <w:rsid w:val="00D303EA"/>
    <w:rsid w:val="00D304A2"/>
    <w:rsid w:val="00D305EE"/>
    <w:rsid w:val="00D30AB4"/>
    <w:rsid w:val="00D30D9F"/>
    <w:rsid w:val="00D30E07"/>
    <w:rsid w:val="00D31169"/>
    <w:rsid w:val="00D31318"/>
    <w:rsid w:val="00D31495"/>
    <w:rsid w:val="00D3162F"/>
    <w:rsid w:val="00D319E6"/>
    <w:rsid w:val="00D31A9A"/>
    <w:rsid w:val="00D31CE4"/>
    <w:rsid w:val="00D31E9C"/>
    <w:rsid w:val="00D31EAB"/>
    <w:rsid w:val="00D321DC"/>
    <w:rsid w:val="00D3226F"/>
    <w:rsid w:val="00D32AE9"/>
    <w:rsid w:val="00D32AF6"/>
    <w:rsid w:val="00D32C89"/>
    <w:rsid w:val="00D3312D"/>
    <w:rsid w:val="00D335CB"/>
    <w:rsid w:val="00D336D0"/>
    <w:rsid w:val="00D33749"/>
    <w:rsid w:val="00D339AB"/>
    <w:rsid w:val="00D33C54"/>
    <w:rsid w:val="00D343F5"/>
    <w:rsid w:val="00D34778"/>
    <w:rsid w:val="00D34808"/>
    <w:rsid w:val="00D34BB5"/>
    <w:rsid w:val="00D34BFD"/>
    <w:rsid w:val="00D351DB"/>
    <w:rsid w:val="00D35260"/>
    <w:rsid w:val="00D35433"/>
    <w:rsid w:val="00D359D3"/>
    <w:rsid w:val="00D35A7C"/>
    <w:rsid w:val="00D35E93"/>
    <w:rsid w:val="00D35EB5"/>
    <w:rsid w:val="00D36225"/>
    <w:rsid w:val="00D36466"/>
    <w:rsid w:val="00D36727"/>
    <w:rsid w:val="00D36D40"/>
    <w:rsid w:val="00D36F44"/>
    <w:rsid w:val="00D37058"/>
    <w:rsid w:val="00D3739F"/>
    <w:rsid w:val="00D379E3"/>
    <w:rsid w:val="00D37F16"/>
    <w:rsid w:val="00D37FF5"/>
    <w:rsid w:val="00D400C7"/>
    <w:rsid w:val="00D402E2"/>
    <w:rsid w:val="00D402F3"/>
    <w:rsid w:val="00D40317"/>
    <w:rsid w:val="00D40615"/>
    <w:rsid w:val="00D407BD"/>
    <w:rsid w:val="00D408A4"/>
    <w:rsid w:val="00D4096F"/>
    <w:rsid w:val="00D40B64"/>
    <w:rsid w:val="00D40E87"/>
    <w:rsid w:val="00D417FB"/>
    <w:rsid w:val="00D41874"/>
    <w:rsid w:val="00D41BB8"/>
    <w:rsid w:val="00D4237C"/>
    <w:rsid w:val="00D4247E"/>
    <w:rsid w:val="00D424DB"/>
    <w:rsid w:val="00D427F6"/>
    <w:rsid w:val="00D428DF"/>
    <w:rsid w:val="00D428FF"/>
    <w:rsid w:val="00D42921"/>
    <w:rsid w:val="00D42982"/>
    <w:rsid w:val="00D42A76"/>
    <w:rsid w:val="00D42BA8"/>
    <w:rsid w:val="00D42CC9"/>
    <w:rsid w:val="00D43297"/>
    <w:rsid w:val="00D4341A"/>
    <w:rsid w:val="00D4349C"/>
    <w:rsid w:val="00D43630"/>
    <w:rsid w:val="00D43DED"/>
    <w:rsid w:val="00D4451B"/>
    <w:rsid w:val="00D448D7"/>
    <w:rsid w:val="00D44AD1"/>
    <w:rsid w:val="00D44C3D"/>
    <w:rsid w:val="00D44DB6"/>
    <w:rsid w:val="00D45134"/>
    <w:rsid w:val="00D45411"/>
    <w:rsid w:val="00D457B3"/>
    <w:rsid w:val="00D457EB"/>
    <w:rsid w:val="00D45953"/>
    <w:rsid w:val="00D45C95"/>
    <w:rsid w:val="00D460CD"/>
    <w:rsid w:val="00D46174"/>
    <w:rsid w:val="00D4666C"/>
    <w:rsid w:val="00D4673D"/>
    <w:rsid w:val="00D46AA2"/>
    <w:rsid w:val="00D46B50"/>
    <w:rsid w:val="00D46E11"/>
    <w:rsid w:val="00D46EA8"/>
    <w:rsid w:val="00D47043"/>
    <w:rsid w:val="00D47073"/>
    <w:rsid w:val="00D470D0"/>
    <w:rsid w:val="00D473BF"/>
    <w:rsid w:val="00D4763A"/>
    <w:rsid w:val="00D477A9"/>
    <w:rsid w:val="00D47A87"/>
    <w:rsid w:val="00D47ACA"/>
    <w:rsid w:val="00D47C94"/>
    <w:rsid w:val="00D47EE7"/>
    <w:rsid w:val="00D50119"/>
    <w:rsid w:val="00D50212"/>
    <w:rsid w:val="00D5028E"/>
    <w:rsid w:val="00D502E6"/>
    <w:rsid w:val="00D504E5"/>
    <w:rsid w:val="00D50954"/>
    <w:rsid w:val="00D5099E"/>
    <w:rsid w:val="00D51006"/>
    <w:rsid w:val="00D511EE"/>
    <w:rsid w:val="00D51341"/>
    <w:rsid w:val="00D517EB"/>
    <w:rsid w:val="00D5195D"/>
    <w:rsid w:val="00D51F1D"/>
    <w:rsid w:val="00D51F95"/>
    <w:rsid w:val="00D524F0"/>
    <w:rsid w:val="00D5250A"/>
    <w:rsid w:val="00D525EC"/>
    <w:rsid w:val="00D526BE"/>
    <w:rsid w:val="00D52A2C"/>
    <w:rsid w:val="00D532D9"/>
    <w:rsid w:val="00D535E8"/>
    <w:rsid w:val="00D5379E"/>
    <w:rsid w:val="00D5384D"/>
    <w:rsid w:val="00D53E16"/>
    <w:rsid w:val="00D53F23"/>
    <w:rsid w:val="00D54089"/>
    <w:rsid w:val="00D54455"/>
    <w:rsid w:val="00D54525"/>
    <w:rsid w:val="00D5455B"/>
    <w:rsid w:val="00D54D31"/>
    <w:rsid w:val="00D55000"/>
    <w:rsid w:val="00D55728"/>
    <w:rsid w:val="00D55D77"/>
    <w:rsid w:val="00D55E9A"/>
    <w:rsid w:val="00D55F98"/>
    <w:rsid w:val="00D56136"/>
    <w:rsid w:val="00D56511"/>
    <w:rsid w:val="00D5691A"/>
    <w:rsid w:val="00D5691F"/>
    <w:rsid w:val="00D5698E"/>
    <w:rsid w:val="00D56C2F"/>
    <w:rsid w:val="00D56C62"/>
    <w:rsid w:val="00D56D53"/>
    <w:rsid w:val="00D56EAA"/>
    <w:rsid w:val="00D56F08"/>
    <w:rsid w:val="00D57027"/>
    <w:rsid w:val="00D5732F"/>
    <w:rsid w:val="00D574EC"/>
    <w:rsid w:val="00D57565"/>
    <w:rsid w:val="00D575EA"/>
    <w:rsid w:val="00D575F9"/>
    <w:rsid w:val="00D577DB"/>
    <w:rsid w:val="00D57986"/>
    <w:rsid w:val="00D5798B"/>
    <w:rsid w:val="00D57BA6"/>
    <w:rsid w:val="00D606A8"/>
    <w:rsid w:val="00D60741"/>
    <w:rsid w:val="00D607CD"/>
    <w:rsid w:val="00D60965"/>
    <w:rsid w:val="00D6099B"/>
    <w:rsid w:val="00D609F4"/>
    <w:rsid w:val="00D60D13"/>
    <w:rsid w:val="00D61538"/>
    <w:rsid w:val="00D61555"/>
    <w:rsid w:val="00D615B5"/>
    <w:rsid w:val="00D6165B"/>
    <w:rsid w:val="00D6182C"/>
    <w:rsid w:val="00D61873"/>
    <w:rsid w:val="00D61DE8"/>
    <w:rsid w:val="00D622AC"/>
    <w:rsid w:val="00D627B2"/>
    <w:rsid w:val="00D62AF8"/>
    <w:rsid w:val="00D62DFD"/>
    <w:rsid w:val="00D630B1"/>
    <w:rsid w:val="00D631F5"/>
    <w:rsid w:val="00D63443"/>
    <w:rsid w:val="00D63A51"/>
    <w:rsid w:val="00D63D37"/>
    <w:rsid w:val="00D63FBD"/>
    <w:rsid w:val="00D6436C"/>
    <w:rsid w:val="00D64D8D"/>
    <w:rsid w:val="00D64E95"/>
    <w:rsid w:val="00D6508F"/>
    <w:rsid w:val="00D65197"/>
    <w:rsid w:val="00D6535A"/>
    <w:rsid w:val="00D65518"/>
    <w:rsid w:val="00D65951"/>
    <w:rsid w:val="00D65BC5"/>
    <w:rsid w:val="00D65E97"/>
    <w:rsid w:val="00D65F2B"/>
    <w:rsid w:val="00D66408"/>
    <w:rsid w:val="00D66A1A"/>
    <w:rsid w:val="00D66A62"/>
    <w:rsid w:val="00D66B0B"/>
    <w:rsid w:val="00D672EE"/>
    <w:rsid w:val="00D67579"/>
    <w:rsid w:val="00D67C6B"/>
    <w:rsid w:val="00D70374"/>
    <w:rsid w:val="00D70468"/>
    <w:rsid w:val="00D705F5"/>
    <w:rsid w:val="00D70742"/>
    <w:rsid w:val="00D708E1"/>
    <w:rsid w:val="00D70C7E"/>
    <w:rsid w:val="00D71554"/>
    <w:rsid w:val="00D717C0"/>
    <w:rsid w:val="00D71A78"/>
    <w:rsid w:val="00D72F35"/>
    <w:rsid w:val="00D72F46"/>
    <w:rsid w:val="00D73014"/>
    <w:rsid w:val="00D7312F"/>
    <w:rsid w:val="00D732F7"/>
    <w:rsid w:val="00D733DA"/>
    <w:rsid w:val="00D7363A"/>
    <w:rsid w:val="00D73A1E"/>
    <w:rsid w:val="00D73A23"/>
    <w:rsid w:val="00D73E82"/>
    <w:rsid w:val="00D73FAF"/>
    <w:rsid w:val="00D745E3"/>
    <w:rsid w:val="00D7482B"/>
    <w:rsid w:val="00D74859"/>
    <w:rsid w:val="00D7485D"/>
    <w:rsid w:val="00D749F5"/>
    <w:rsid w:val="00D74AFE"/>
    <w:rsid w:val="00D75050"/>
    <w:rsid w:val="00D7507B"/>
    <w:rsid w:val="00D750B9"/>
    <w:rsid w:val="00D75132"/>
    <w:rsid w:val="00D75133"/>
    <w:rsid w:val="00D75361"/>
    <w:rsid w:val="00D75460"/>
    <w:rsid w:val="00D755CD"/>
    <w:rsid w:val="00D75794"/>
    <w:rsid w:val="00D757D9"/>
    <w:rsid w:val="00D75856"/>
    <w:rsid w:val="00D75909"/>
    <w:rsid w:val="00D759AA"/>
    <w:rsid w:val="00D75B04"/>
    <w:rsid w:val="00D75CCD"/>
    <w:rsid w:val="00D76720"/>
    <w:rsid w:val="00D76956"/>
    <w:rsid w:val="00D769AF"/>
    <w:rsid w:val="00D76FD9"/>
    <w:rsid w:val="00D7704A"/>
    <w:rsid w:val="00D77129"/>
    <w:rsid w:val="00D77261"/>
    <w:rsid w:val="00D775A2"/>
    <w:rsid w:val="00D77801"/>
    <w:rsid w:val="00D77B56"/>
    <w:rsid w:val="00D77B62"/>
    <w:rsid w:val="00D77BD1"/>
    <w:rsid w:val="00D77D57"/>
    <w:rsid w:val="00D77DC3"/>
    <w:rsid w:val="00D77F30"/>
    <w:rsid w:val="00D80029"/>
    <w:rsid w:val="00D803F3"/>
    <w:rsid w:val="00D807EB"/>
    <w:rsid w:val="00D80803"/>
    <w:rsid w:val="00D808F6"/>
    <w:rsid w:val="00D80AE0"/>
    <w:rsid w:val="00D80AE1"/>
    <w:rsid w:val="00D81113"/>
    <w:rsid w:val="00D8111C"/>
    <w:rsid w:val="00D81543"/>
    <w:rsid w:val="00D81790"/>
    <w:rsid w:val="00D81815"/>
    <w:rsid w:val="00D81AB0"/>
    <w:rsid w:val="00D81BA3"/>
    <w:rsid w:val="00D81BC4"/>
    <w:rsid w:val="00D81C4F"/>
    <w:rsid w:val="00D81EEB"/>
    <w:rsid w:val="00D81F6B"/>
    <w:rsid w:val="00D82982"/>
    <w:rsid w:val="00D82A43"/>
    <w:rsid w:val="00D82A6A"/>
    <w:rsid w:val="00D82C5A"/>
    <w:rsid w:val="00D82CA3"/>
    <w:rsid w:val="00D82E8C"/>
    <w:rsid w:val="00D82F7C"/>
    <w:rsid w:val="00D83226"/>
    <w:rsid w:val="00D835E6"/>
    <w:rsid w:val="00D83BF7"/>
    <w:rsid w:val="00D83CCD"/>
    <w:rsid w:val="00D83CE1"/>
    <w:rsid w:val="00D84153"/>
    <w:rsid w:val="00D847D5"/>
    <w:rsid w:val="00D84A7F"/>
    <w:rsid w:val="00D84F4B"/>
    <w:rsid w:val="00D85183"/>
    <w:rsid w:val="00D8524C"/>
    <w:rsid w:val="00D852DC"/>
    <w:rsid w:val="00D85578"/>
    <w:rsid w:val="00D8571D"/>
    <w:rsid w:val="00D85730"/>
    <w:rsid w:val="00D85F44"/>
    <w:rsid w:val="00D85F54"/>
    <w:rsid w:val="00D86767"/>
    <w:rsid w:val="00D86C05"/>
    <w:rsid w:val="00D86DAC"/>
    <w:rsid w:val="00D86E0D"/>
    <w:rsid w:val="00D86E2D"/>
    <w:rsid w:val="00D87252"/>
    <w:rsid w:val="00D87762"/>
    <w:rsid w:val="00D87921"/>
    <w:rsid w:val="00D879D7"/>
    <w:rsid w:val="00D87BDF"/>
    <w:rsid w:val="00D87F54"/>
    <w:rsid w:val="00D87FAD"/>
    <w:rsid w:val="00D904E1"/>
    <w:rsid w:val="00D909D1"/>
    <w:rsid w:val="00D90B0E"/>
    <w:rsid w:val="00D90B15"/>
    <w:rsid w:val="00D90DA5"/>
    <w:rsid w:val="00D90DB0"/>
    <w:rsid w:val="00D911A0"/>
    <w:rsid w:val="00D91BA0"/>
    <w:rsid w:val="00D91C0D"/>
    <w:rsid w:val="00D91EA4"/>
    <w:rsid w:val="00D920C9"/>
    <w:rsid w:val="00D92160"/>
    <w:rsid w:val="00D924BE"/>
    <w:rsid w:val="00D925C9"/>
    <w:rsid w:val="00D92714"/>
    <w:rsid w:val="00D937B9"/>
    <w:rsid w:val="00D93F80"/>
    <w:rsid w:val="00D94250"/>
    <w:rsid w:val="00D94509"/>
    <w:rsid w:val="00D94754"/>
    <w:rsid w:val="00D9488B"/>
    <w:rsid w:val="00D94C66"/>
    <w:rsid w:val="00D94D01"/>
    <w:rsid w:val="00D94D0D"/>
    <w:rsid w:val="00D94DFD"/>
    <w:rsid w:val="00D950BF"/>
    <w:rsid w:val="00D9553D"/>
    <w:rsid w:val="00D95608"/>
    <w:rsid w:val="00D9575D"/>
    <w:rsid w:val="00D95C6F"/>
    <w:rsid w:val="00D95E10"/>
    <w:rsid w:val="00D96088"/>
    <w:rsid w:val="00D964AA"/>
    <w:rsid w:val="00D9668B"/>
    <w:rsid w:val="00D9690F"/>
    <w:rsid w:val="00D96E1D"/>
    <w:rsid w:val="00D96E39"/>
    <w:rsid w:val="00D97403"/>
    <w:rsid w:val="00D976D4"/>
    <w:rsid w:val="00D9796E"/>
    <w:rsid w:val="00D97DB3"/>
    <w:rsid w:val="00D97DBA"/>
    <w:rsid w:val="00DA0166"/>
    <w:rsid w:val="00DA02C5"/>
    <w:rsid w:val="00DA03E9"/>
    <w:rsid w:val="00DA06D8"/>
    <w:rsid w:val="00DA0769"/>
    <w:rsid w:val="00DA0F88"/>
    <w:rsid w:val="00DA132E"/>
    <w:rsid w:val="00DA1D5B"/>
    <w:rsid w:val="00DA254B"/>
    <w:rsid w:val="00DA2611"/>
    <w:rsid w:val="00DA26ED"/>
    <w:rsid w:val="00DA276E"/>
    <w:rsid w:val="00DA2915"/>
    <w:rsid w:val="00DA2C0D"/>
    <w:rsid w:val="00DA2D63"/>
    <w:rsid w:val="00DA2DEC"/>
    <w:rsid w:val="00DA2E2F"/>
    <w:rsid w:val="00DA2E6E"/>
    <w:rsid w:val="00DA2FFA"/>
    <w:rsid w:val="00DA320C"/>
    <w:rsid w:val="00DA3247"/>
    <w:rsid w:val="00DA34F5"/>
    <w:rsid w:val="00DA36B5"/>
    <w:rsid w:val="00DA3E4D"/>
    <w:rsid w:val="00DA41E1"/>
    <w:rsid w:val="00DA4AB8"/>
    <w:rsid w:val="00DA4DD2"/>
    <w:rsid w:val="00DA5199"/>
    <w:rsid w:val="00DA54EA"/>
    <w:rsid w:val="00DA55C8"/>
    <w:rsid w:val="00DA581D"/>
    <w:rsid w:val="00DA59BD"/>
    <w:rsid w:val="00DA59C3"/>
    <w:rsid w:val="00DA64D0"/>
    <w:rsid w:val="00DA6502"/>
    <w:rsid w:val="00DA65FD"/>
    <w:rsid w:val="00DA684B"/>
    <w:rsid w:val="00DA689E"/>
    <w:rsid w:val="00DA6C5E"/>
    <w:rsid w:val="00DA6E29"/>
    <w:rsid w:val="00DA6E89"/>
    <w:rsid w:val="00DA6F03"/>
    <w:rsid w:val="00DA7132"/>
    <w:rsid w:val="00DA7215"/>
    <w:rsid w:val="00DA73F6"/>
    <w:rsid w:val="00DA747C"/>
    <w:rsid w:val="00DA7493"/>
    <w:rsid w:val="00DA74A4"/>
    <w:rsid w:val="00DA7A83"/>
    <w:rsid w:val="00DA7A85"/>
    <w:rsid w:val="00DA7B5D"/>
    <w:rsid w:val="00DA7C32"/>
    <w:rsid w:val="00DA7DED"/>
    <w:rsid w:val="00DB0138"/>
    <w:rsid w:val="00DB02C7"/>
    <w:rsid w:val="00DB03D7"/>
    <w:rsid w:val="00DB0472"/>
    <w:rsid w:val="00DB06F5"/>
    <w:rsid w:val="00DB0915"/>
    <w:rsid w:val="00DB0C01"/>
    <w:rsid w:val="00DB0E7A"/>
    <w:rsid w:val="00DB1005"/>
    <w:rsid w:val="00DB1016"/>
    <w:rsid w:val="00DB121C"/>
    <w:rsid w:val="00DB1550"/>
    <w:rsid w:val="00DB19D3"/>
    <w:rsid w:val="00DB1A3F"/>
    <w:rsid w:val="00DB1DA7"/>
    <w:rsid w:val="00DB2002"/>
    <w:rsid w:val="00DB2185"/>
    <w:rsid w:val="00DB262D"/>
    <w:rsid w:val="00DB2850"/>
    <w:rsid w:val="00DB296B"/>
    <w:rsid w:val="00DB2A09"/>
    <w:rsid w:val="00DB2C89"/>
    <w:rsid w:val="00DB2D3C"/>
    <w:rsid w:val="00DB2F26"/>
    <w:rsid w:val="00DB3C84"/>
    <w:rsid w:val="00DB3CBE"/>
    <w:rsid w:val="00DB3FEA"/>
    <w:rsid w:val="00DB4019"/>
    <w:rsid w:val="00DB42EF"/>
    <w:rsid w:val="00DB4487"/>
    <w:rsid w:val="00DB4871"/>
    <w:rsid w:val="00DB4F13"/>
    <w:rsid w:val="00DB4F4B"/>
    <w:rsid w:val="00DB5930"/>
    <w:rsid w:val="00DB5E03"/>
    <w:rsid w:val="00DB5E58"/>
    <w:rsid w:val="00DB643D"/>
    <w:rsid w:val="00DB688E"/>
    <w:rsid w:val="00DB6B1C"/>
    <w:rsid w:val="00DB6BF2"/>
    <w:rsid w:val="00DB6C76"/>
    <w:rsid w:val="00DB6CC1"/>
    <w:rsid w:val="00DB738B"/>
    <w:rsid w:val="00DC0136"/>
    <w:rsid w:val="00DC0374"/>
    <w:rsid w:val="00DC0434"/>
    <w:rsid w:val="00DC0610"/>
    <w:rsid w:val="00DC07AF"/>
    <w:rsid w:val="00DC07E0"/>
    <w:rsid w:val="00DC0915"/>
    <w:rsid w:val="00DC0A8E"/>
    <w:rsid w:val="00DC0E03"/>
    <w:rsid w:val="00DC0E71"/>
    <w:rsid w:val="00DC12E4"/>
    <w:rsid w:val="00DC15B8"/>
    <w:rsid w:val="00DC16BC"/>
    <w:rsid w:val="00DC1741"/>
    <w:rsid w:val="00DC18F4"/>
    <w:rsid w:val="00DC1DA8"/>
    <w:rsid w:val="00DC1EB7"/>
    <w:rsid w:val="00DC2434"/>
    <w:rsid w:val="00DC2B13"/>
    <w:rsid w:val="00DC2D93"/>
    <w:rsid w:val="00DC393C"/>
    <w:rsid w:val="00DC3C9A"/>
    <w:rsid w:val="00DC401D"/>
    <w:rsid w:val="00DC4458"/>
    <w:rsid w:val="00DC496D"/>
    <w:rsid w:val="00DC4B04"/>
    <w:rsid w:val="00DC4DD2"/>
    <w:rsid w:val="00DC56F2"/>
    <w:rsid w:val="00DC58A6"/>
    <w:rsid w:val="00DC5DC2"/>
    <w:rsid w:val="00DC5FCB"/>
    <w:rsid w:val="00DC6103"/>
    <w:rsid w:val="00DC61AA"/>
    <w:rsid w:val="00DC671C"/>
    <w:rsid w:val="00DC6A3A"/>
    <w:rsid w:val="00DC6AFA"/>
    <w:rsid w:val="00DC6BA7"/>
    <w:rsid w:val="00DC6C8E"/>
    <w:rsid w:val="00DC6FDE"/>
    <w:rsid w:val="00DC723B"/>
    <w:rsid w:val="00DC7306"/>
    <w:rsid w:val="00DC7554"/>
    <w:rsid w:val="00DC7BB2"/>
    <w:rsid w:val="00DC7D4C"/>
    <w:rsid w:val="00DC7F03"/>
    <w:rsid w:val="00DD06EE"/>
    <w:rsid w:val="00DD1135"/>
    <w:rsid w:val="00DD1857"/>
    <w:rsid w:val="00DD1912"/>
    <w:rsid w:val="00DD1B08"/>
    <w:rsid w:val="00DD1DB0"/>
    <w:rsid w:val="00DD1E60"/>
    <w:rsid w:val="00DD271D"/>
    <w:rsid w:val="00DD271F"/>
    <w:rsid w:val="00DD29B8"/>
    <w:rsid w:val="00DD2BAD"/>
    <w:rsid w:val="00DD2CF3"/>
    <w:rsid w:val="00DD3461"/>
    <w:rsid w:val="00DD3615"/>
    <w:rsid w:val="00DD3739"/>
    <w:rsid w:val="00DD3A4C"/>
    <w:rsid w:val="00DD3C06"/>
    <w:rsid w:val="00DD3CC6"/>
    <w:rsid w:val="00DD3DFF"/>
    <w:rsid w:val="00DD3E3C"/>
    <w:rsid w:val="00DD3E53"/>
    <w:rsid w:val="00DD402A"/>
    <w:rsid w:val="00DD444C"/>
    <w:rsid w:val="00DD457E"/>
    <w:rsid w:val="00DD45EE"/>
    <w:rsid w:val="00DD47ED"/>
    <w:rsid w:val="00DD49D9"/>
    <w:rsid w:val="00DD4D13"/>
    <w:rsid w:val="00DD4D2E"/>
    <w:rsid w:val="00DD502B"/>
    <w:rsid w:val="00DD5476"/>
    <w:rsid w:val="00DD5535"/>
    <w:rsid w:val="00DD59AC"/>
    <w:rsid w:val="00DD5D0F"/>
    <w:rsid w:val="00DD62C5"/>
    <w:rsid w:val="00DD62C9"/>
    <w:rsid w:val="00DD6375"/>
    <w:rsid w:val="00DD6422"/>
    <w:rsid w:val="00DD6D25"/>
    <w:rsid w:val="00DD6E9B"/>
    <w:rsid w:val="00DD706F"/>
    <w:rsid w:val="00DD70EB"/>
    <w:rsid w:val="00DD7D62"/>
    <w:rsid w:val="00DE02E5"/>
    <w:rsid w:val="00DE0916"/>
    <w:rsid w:val="00DE1277"/>
    <w:rsid w:val="00DE1493"/>
    <w:rsid w:val="00DE1530"/>
    <w:rsid w:val="00DE18B5"/>
    <w:rsid w:val="00DE1933"/>
    <w:rsid w:val="00DE1F63"/>
    <w:rsid w:val="00DE209A"/>
    <w:rsid w:val="00DE2127"/>
    <w:rsid w:val="00DE2166"/>
    <w:rsid w:val="00DE236A"/>
    <w:rsid w:val="00DE26FE"/>
    <w:rsid w:val="00DE2C2A"/>
    <w:rsid w:val="00DE2E16"/>
    <w:rsid w:val="00DE32E7"/>
    <w:rsid w:val="00DE39FC"/>
    <w:rsid w:val="00DE3D3E"/>
    <w:rsid w:val="00DE3DBF"/>
    <w:rsid w:val="00DE3DEE"/>
    <w:rsid w:val="00DE3DEF"/>
    <w:rsid w:val="00DE3E12"/>
    <w:rsid w:val="00DE3ED3"/>
    <w:rsid w:val="00DE469A"/>
    <w:rsid w:val="00DE46A1"/>
    <w:rsid w:val="00DE479E"/>
    <w:rsid w:val="00DE4AB1"/>
    <w:rsid w:val="00DE4DF4"/>
    <w:rsid w:val="00DE4F35"/>
    <w:rsid w:val="00DE5315"/>
    <w:rsid w:val="00DE58C1"/>
    <w:rsid w:val="00DE5986"/>
    <w:rsid w:val="00DE601A"/>
    <w:rsid w:val="00DE6036"/>
    <w:rsid w:val="00DE607F"/>
    <w:rsid w:val="00DE64A0"/>
    <w:rsid w:val="00DE65B8"/>
    <w:rsid w:val="00DE6928"/>
    <w:rsid w:val="00DE6940"/>
    <w:rsid w:val="00DE6B9A"/>
    <w:rsid w:val="00DE6C36"/>
    <w:rsid w:val="00DE7088"/>
    <w:rsid w:val="00DE7140"/>
    <w:rsid w:val="00DE747E"/>
    <w:rsid w:val="00DE7830"/>
    <w:rsid w:val="00DE78E0"/>
    <w:rsid w:val="00DE7BAC"/>
    <w:rsid w:val="00DE7D6E"/>
    <w:rsid w:val="00DE7DB1"/>
    <w:rsid w:val="00DF035C"/>
    <w:rsid w:val="00DF0684"/>
    <w:rsid w:val="00DF0B5F"/>
    <w:rsid w:val="00DF0BA7"/>
    <w:rsid w:val="00DF0C7B"/>
    <w:rsid w:val="00DF0EE0"/>
    <w:rsid w:val="00DF0EFC"/>
    <w:rsid w:val="00DF0F15"/>
    <w:rsid w:val="00DF0F5E"/>
    <w:rsid w:val="00DF0FF6"/>
    <w:rsid w:val="00DF15B5"/>
    <w:rsid w:val="00DF2069"/>
    <w:rsid w:val="00DF20E4"/>
    <w:rsid w:val="00DF27D5"/>
    <w:rsid w:val="00DF2ED1"/>
    <w:rsid w:val="00DF2ED4"/>
    <w:rsid w:val="00DF3781"/>
    <w:rsid w:val="00DF3B78"/>
    <w:rsid w:val="00DF3DA8"/>
    <w:rsid w:val="00DF439B"/>
    <w:rsid w:val="00DF48B9"/>
    <w:rsid w:val="00DF5065"/>
    <w:rsid w:val="00DF506B"/>
    <w:rsid w:val="00DF5284"/>
    <w:rsid w:val="00DF5342"/>
    <w:rsid w:val="00DF541D"/>
    <w:rsid w:val="00DF54C1"/>
    <w:rsid w:val="00DF58E7"/>
    <w:rsid w:val="00DF59ED"/>
    <w:rsid w:val="00DF5C72"/>
    <w:rsid w:val="00DF5D42"/>
    <w:rsid w:val="00DF5F55"/>
    <w:rsid w:val="00DF5F7C"/>
    <w:rsid w:val="00DF6843"/>
    <w:rsid w:val="00DF68A0"/>
    <w:rsid w:val="00DF6907"/>
    <w:rsid w:val="00DF6A28"/>
    <w:rsid w:val="00DF6E45"/>
    <w:rsid w:val="00DF6F0C"/>
    <w:rsid w:val="00DF7731"/>
    <w:rsid w:val="00DF7B2B"/>
    <w:rsid w:val="00DF7B7B"/>
    <w:rsid w:val="00DF7E90"/>
    <w:rsid w:val="00DF7F62"/>
    <w:rsid w:val="00DF7F7F"/>
    <w:rsid w:val="00E006A6"/>
    <w:rsid w:val="00E0074D"/>
    <w:rsid w:val="00E00769"/>
    <w:rsid w:val="00E00D57"/>
    <w:rsid w:val="00E00D72"/>
    <w:rsid w:val="00E00D86"/>
    <w:rsid w:val="00E00F32"/>
    <w:rsid w:val="00E00FC3"/>
    <w:rsid w:val="00E010BC"/>
    <w:rsid w:val="00E01110"/>
    <w:rsid w:val="00E011B5"/>
    <w:rsid w:val="00E0130B"/>
    <w:rsid w:val="00E013B3"/>
    <w:rsid w:val="00E0159E"/>
    <w:rsid w:val="00E015F9"/>
    <w:rsid w:val="00E01AD6"/>
    <w:rsid w:val="00E01CAF"/>
    <w:rsid w:val="00E0236A"/>
    <w:rsid w:val="00E023B7"/>
    <w:rsid w:val="00E023CE"/>
    <w:rsid w:val="00E0266F"/>
    <w:rsid w:val="00E0302B"/>
    <w:rsid w:val="00E0310F"/>
    <w:rsid w:val="00E03376"/>
    <w:rsid w:val="00E03C34"/>
    <w:rsid w:val="00E03CDA"/>
    <w:rsid w:val="00E03E2D"/>
    <w:rsid w:val="00E03FAA"/>
    <w:rsid w:val="00E040FB"/>
    <w:rsid w:val="00E042C9"/>
    <w:rsid w:val="00E042D3"/>
    <w:rsid w:val="00E04404"/>
    <w:rsid w:val="00E04535"/>
    <w:rsid w:val="00E0493C"/>
    <w:rsid w:val="00E04DC7"/>
    <w:rsid w:val="00E05201"/>
    <w:rsid w:val="00E05554"/>
    <w:rsid w:val="00E05774"/>
    <w:rsid w:val="00E058A0"/>
    <w:rsid w:val="00E05AF9"/>
    <w:rsid w:val="00E06253"/>
    <w:rsid w:val="00E0684D"/>
    <w:rsid w:val="00E0698A"/>
    <w:rsid w:val="00E069F1"/>
    <w:rsid w:val="00E06A8A"/>
    <w:rsid w:val="00E06B05"/>
    <w:rsid w:val="00E06E4A"/>
    <w:rsid w:val="00E06E5C"/>
    <w:rsid w:val="00E070CF"/>
    <w:rsid w:val="00E070E0"/>
    <w:rsid w:val="00E07170"/>
    <w:rsid w:val="00E07520"/>
    <w:rsid w:val="00E07660"/>
    <w:rsid w:val="00E0780D"/>
    <w:rsid w:val="00E07A66"/>
    <w:rsid w:val="00E07AF1"/>
    <w:rsid w:val="00E07C60"/>
    <w:rsid w:val="00E07CC0"/>
    <w:rsid w:val="00E07F01"/>
    <w:rsid w:val="00E10570"/>
    <w:rsid w:val="00E108B3"/>
    <w:rsid w:val="00E109DC"/>
    <w:rsid w:val="00E10BA2"/>
    <w:rsid w:val="00E117A6"/>
    <w:rsid w:val="00E11876"/>
    <w:rsid w:val="00E1193B"/>
    <w:rsid w:val="00E11AAD"/>
    <w:rsid w:val="00E11E3A"/>
    <w:rsid w:val="00E12160"/>
    <w:rsid w:val="00E121E5"/>
    <w:rsid w:val="00E122A5"/>
    <w:rsid w:val="00E12C32"/>
    <w:rsid w:val="00E131BD"/>
    <w:rsid w:val="00E13252"/>
    <w:rsid w:val="00E1325C"/>
    <w:rsid w:val="00E135EC"/>
    <w:rsid w:val="00E139C5"/>
    <w:rsid w:val="00E13A99"/>
    <w:rsid w:val="00E13E0C"/>
    <w:rsid w:val="00E13E41"/>
    <w:rsid w:val="00E14164"/>
    <w:rsid w:val="00E141B1"/>
    <w:rsid w:val="00E1428A"/>
    <w:rsid w:val="00E1479A"/>
    <w:rsid w:val="00E14B1F"/>
    <w:rsid w:val="00E14F8E"/>
    <w:rsid w:val="00E14FD8"/>
    <w:rsid w:val="00E15241"/>
    <w:rsid w:val="00E15367"/>
    <w:rsid w:val="00E1555B"/>
    <w:rsid w:val="00E157AF"/>
    <w:rsid w:val="00E159E8"/>
    <w:rsid w:val="00E15C6B"/>
    <w:rsid w:val="00E15D6F"/>
    <w:rsid w:val="00E15E1B"/>
    <w:rsid w:val="00E15EDB"/>
    <w:rsid w:val="00E16C67"/>
    <w:rsid w:val="00E16D89"/>
    <w:rsid w:val="00E16EB8"/>
    <w:rsid w:val="00E17223"/>
    <w:rsid w:val="00E173C7"/>
    <w:rsid w:val="00E176AD"/>
    <w:rsid w:val="00E17772"/>
    <w:rsid w:val="00E17999"/>
    <w:rsid w:val="00E17D40"/>
    <w:rsid w:val="00E17E12"/>
    <w:rsid w:val="00E2013C"/>
    <w:rsid w:val="00E2025C"/>
    <w:rsid w:val="00E20333"/>
    <w:rsid w:val="00E2060F"/>
    <w:rsid w:val="00E20AFB"/>
    <w:rsid w:val="00E20B97"/>
    <w:rsid w:val="00E20CAE"/>
    <w:rsid w:val="00E20EEB"/>
    <w:rsid w:val="00E21397"/>
    <w:rsid w:val="00E214F5"/>
    <w:rsid w:val="00E216C3"/>
    <w:rsid w:val="00E2174D"/>
    <w:rsid w:val="00E21910"/>
    <w:rsid w:val="00E21EDC"/>
    <w:rsid w:val="00E22D23"/>
    <w:rsid w:val="00E22D4D"/>
    <w:rsid w:val="00E22EE3"/>
    <w:rsid w:val="00E23297"/>
    <w:rsid w:val="00E23651"/>
    <w:rsid w:val="00E23B47"/>
    <w:rsid w:val="00E23B9E"/>
    <w:rsid w:val="00E23CBB"/>
    <w:rsid w:val="00E23FEB"/>
    <w:rsid w:val="00E24407"/>
    <w:rsid w:val="00E245CB"/>
    <w:rsid w:val="00E2473A"/>
    <w:rsid w:val="00E247B0"/>
    <w:rsid w:val="00E2480F"/>
    <w:rsid w:val="00E24815"/>
    <w:rsid w:val="00E248B2"/>
    <w:rsid w:val="00E248C0"/>
    <w:rsid w:val="00E24951"/>
    <w:rsid w:val="00E24990"/>
    <w:rsid w:val="00E24AA6"/>
    <w:rsid w:val="00E24BD6"/>
    <w:rsid w:val="00E24C83"/>
    <w:rsid w:val="00E25170"/>
    <w:rsid w:val="00E2522D"/>
    <w:rsid w:val="00E25264"/>
    <w:rsid w:val="00E257BE"/>
    <w:rsid w:val="00E2585C"/>
    <w:rsid w:val="00E25A4C"/>
    <w:rsid w:val="00E25A91"/>
    <w:rsid w:val="00E25B40"/>
    <w:rsid w:val="00E25CD3"/>
    <w:rsid w:val="00E25CDF"/>
    <w:rsid w:val="00E25D6F"/>
    <w:rsid w:val="00E25E61"/>
    <w:rsid w:val="00E261AB"/>
    <w:rsid w:val="00E26498"/>
    <w:rsid w:val="00E265B1"/>
    <w:rsid w:val="00E26903"/>
    <w:rsid w:val="00E26B70"/>
    <w:rsid w:val="00E26D12"/>
    <w:rsid w:val="00E26D51"/>
    <w:rsid w:val="00E26DC8"/>
    <w:rsid w:val="00E27039"/>
    <w:rsid w:val="00E273FD"/>
    <w:rsid w:val="00E275CC"/>
    <w:rsid w:val="00E278D0"/>
    <w:rsid w:val="00E27AC8"/>
    <w:rsid w:val="00E27B17"/>
    <w:rsid w:val="00E27C67"/>
    <w:rsid w:val="00E27DB3"/>
    <w:rsid w:val="00E3006F"/>
    <w:rsid w:val="00E30956"/>
    <w:rsid w:val="00E309EF"/>
    <w:rsid w:val="00E30BE2"/>
    <w:rsid w:val="00E30CCF"/>
    <w:rsid w:val="00E3104A"/>
    <w:rsid w:val="00E3118D"/>
    <w:rsid w:val="00E311A7"/>
    <w:rsid w:val="00E31303"/>
    <w:rsid w:val="00E31459"/>
    <w:rsid w:val="00E31657"/>
    <w:rsid w:val="00E316A9"/>
    <w:rsid w:val="00E31894"/>
    <w:rsid w:val="00E31F4D"/>
    <w:rsid w:val="00E31F6E"/>
    <w:rsid w:val="00E32008"/>
    <w:rsid w:val="00E32080"/>
    <w:rsid w:val="00E32123"/>
    <w:rsid w:val="00E32317"/>
    <w:rsid w:val="00E32489"/>
    <w:rsid w:val="00E3264D"/>
    <w:rsid w:val="00E32658"/>
    <w:rsid w:val="00E327F6"/>
    <w:rsid w:val="00E328ED"/>
    <w:rsid w:val="00E32974"/>
    <w:rsid w:val="00E32D38"/>
    <w:rsid w:val="00E3338F"/>
    <w:rsid w:val="00E333DD"/>
    <w:rsid w:val="00E33426"/>
    <w:rsid w:val="00E3378E"/>
    <w:rsid w:val="00E339FA"/>
    <w:rsid w:val="00E34B20"/>
    <w:rsid w:val="00E34F08"/>
    <w:rsid w:val="00E34FCD"/>
    <w:rsid w:val="00E358F7"/>
    <w:rsid w:val="00E35B4D"/>
    <w:rsid w:val="00E36024"/>
    <w:rsid w:val="00E36636"/>
    <w:rsid w:val="00E368D6"/>
    <w:rsid w:val="00E369C8"/>
    <w:rsid w:val="00E36F40"/>
    <w:rsid w:val="00E37716"/>
    <w:rsid w:val="00E378FD"/>
    <w:rsid w:val="00E37B59"/>
    <w:rsid w:val="00E37C65"/>
    <w:rsid w:val="00E37CAF"/>
    <w:rsid w:val="00E37F83"/>
    <w:rsid w:val="00E401E9"/>
    <w:rsid w:val="00E407FC"/>
    <w:rsid w:val="00E40A1B"/>
    <w:rsid w:val="00E40A8B"/>
    <w:rsid w:val="00E40D96"/>
    <w:rsid w:val="00E40F33"/>
    <w:rsid w:val="00E41012"/>
    <w:rsid w:val="00E4126D"/>
    <w:rsid w:val="00E4134C"/>
    <w:rsid w:val="00E413EF"/>
    <w:rsid w:val="00E415C3"/>
    <w:rsid w:val="00E417D5"/>
    <w:rsid w:val="00E420CF"/>
    <w:rsid w:val="00E424C4"/>
    <w:rsid w:val="00E42768"/>
    <w:rsid w:val="00E42CE6"/>
    <w:rsid w:val="00E42FAB"/>
    <w:rsid w:val="00E43062"/>
    <w:rsid w:val="00E4332D"/>
    <w:rsid w:val="00E43533"/>
    <w:rsid w:val="00E437E8"/>
    <w:rsid w:val="00E43883"/>
    <w:rsid w:val="00E4393E"/>
    <w:rsid w:val="00E43B08"/>
    <w:rsid w:val="00E43B5B"/>
    <w:rsid w:val="00E43EBF"/>
    <w:rsid w:val="00E43F48"/>
    <w:rsid w:val="00E43FC2"/>
    <w:rsid w:val="00E44172"/>
    <w:rsid w:val="00E4422F"/>
    <w:rsid w:val="00E445BD"/>
    <w:rsid w:val="00E4475A"/>
    <w:rsid w:val="00E447DD"/>
    <w:rsid w:val="00E44803"/>
    <w:rsid w:val="00E4486D"/>
    <w:rsid w:val="00E448F7"/>
    <w:rsid w:val="00E44E52"/>
    <w:rsid w:val="00E453D4"/>
    <w:rsid w:val="00E459C8"/>
    <w:rsid w:val="00E45A18"/>
    <w:rsid w:val="00E46059"/>
    <w:rsid w:val="00E465BC"/>
    <w:rsid w:val="00E465D0"/>
    <w:rsid w:val="00E46779"/>
    <w:rsid w:val="00E46DC6"/>
    <w:rsid w:val="00E46E13"/>
    <w:rsid w:val="00E4718B"/>
    <w:rsid w:val="00E47593"/>
    <w:rsid w:val="00E4762D"/>
    <w:rsid w:val="00E4782D"/>
    <w:rsid w:val="00E47D4F"/>
    <w:rsid w:val="00E47E3B"/>
    <w:rsid w:val="00E47FF5"/>
    <w:rsid w:val="00E50028"/>
    <w:rsid w:val="00E50030"/>
    <w:rsid w:val="00E5034E"/>
    <w:rsid w:val="00E504C0"/>
    <w:rsid w:val="00E509CC"/>
    <w:rsid w:val="00E50A90"/>
    <w:rsid w:val="00E50D58"/>
    <w:rsid w:val="00E50D8A"/>
    <w:rsid w:val="00E513AA"/>
    <w:rsid w:val="00E5151D"/>
    <w:rsid w:val="00E5190A"/>
    <w:rsid w:val="00E51962"/>
    <w:rsid w:val="00E51AE0"/>
    <w:rsid w:val="00E51F2A"/>
    <w:rsid w:val="00E525D0"/>
    <w:rsid w:val="00E52992"/>
    <w:rsid w:val="00E52B23"/>
    <w:rsid w:val="00E52E55"/>
    <w:rsid w:val="00E52ECF"/>
    <w:rsid w:val="00E5321C"/>
    <w:rsid w:val="00E53438"/>
    <w:rsid w:val="00E536CF"/>
    <w:rsid w:val="00E53929"/>
    <w:rsid w:val="00E53A26"/>
    <w:rsid w:val="00E53BAF"/>
    <w:rsid w:val="00E53BD2"/>
    <w:rsid w:val="00E53DC3"/>
    <w:rsid w:val="00E5484A"/>
    <w:rsid w:val="00E55245"/>
    <w:rsid w:val="00E55303"/>
    <w:rsid w:val="00E55433"/>
    <w:rsid w:val="00E55456"/>
    <w:rsid w:val="00E555F6"/>
    <w:rsid w:val="00E55712"/>
    <w:rsid w:val="00E55872"/>
    <w:rsid w:val="00E559A1"/>
    <w:rsid w:val="00E55AD1"/>
    <w:rsid w:val="00E55CD6"/>
    <w:rsid w:val="00E55D47"/>
    <w:rsid w:val="00E56205"/>
    <w:rsid w:val="00E563BE"/>
    <w:rsid w:val="00E5643D"/>
    <w:rsid w:val="00E56675"/>
    <w:rsid w:val="00E566AE"/>
    <w:rsid w:val="00E5686D"/>
    <w:rsid w:val="00E56C3D"/>
    <w:rsid w:val="00E5717B"/>
    <w:rsid w:val="00E574D6"/>
    <w:rsid w:val="00E5759F"/>
    <w:rsid w:val="00E578C0"/>
    <w:rsid w:val="00E57992"/>
    <w:rsid w:val="00E57E0E"/>
    <w:rsid w:val="00E601F7"/>
    <w:rsid w:val="00E606B3"/>
    <w:rsid w:val="00E609D2"/>
    <w:rsid w:val="00E60A19"/>
    <w:rsid w:val="00E60C16"/>
    <w:rsid w:val="00E61644"/>
    <w:rsid w:val="00E61BFB"/>
    <w:rsid w:val="00E61E74"/>
    <w:rsid w:val="00E62064"/>
    <w:rsid w:val="00E62326"/>
    <w:rsid w:val="00E62734"/>
    <w:rsid w:val="00E628A3"/>
    <w:rsid w:val="00E62B28"/>
    <w:rsid w:val="00E62CA0"/>
    <w:rsid w:val="00E62D67"/>
    <w:rsid w:val="00E634BC"/>
    <w:rsid w:val="00E638A8"/>
    <w:rsid w:val="00E63AAB"/>
    <w:rsid w:val="00E63F41"/>
    <w:rsid w:val="00E64555"/>
    <w:rsid w:val="00E647E5"/>
    <w:rsid w:val="00E64927"/>
    <w:rsid w:val="00E649EC"/>
    <w:rsid w:val="00E64A4C"/>
    <w:rsid w:val="00E64DD6"/>
    <w:rsid w:val="00E64EB3"/>
    <w:rsid w:val="00E655BA"/>
    <w:rsid w:val="00E65800"/>
    <w:rsid w:val="00E65A3E"/>
    <w:rsid w:val="00E65CE8"/>
    <w:rsid w:val="00E65FD6"/>
    <w:rsid w:val="00E667BC"/>
    <w:rsid w:val="00E66950"/>
    <w:rsid w:val="00E669EA"/>
    <w:rsid w:val="00E66C34"/>
    <w:rsid w:val="00E67880"/>
    <w:rsid w:val="00E67ADA"/>
    <w:rsid w:val="00E70352"/>
    <w:rsid w:val="00E708BD"/>
    <w:rsid w:val="00E70CE0"/>
    <w:rsid w:val="00E70F4C"/>
    <w:rsid w:val="00E711AD"/>
    <w:rsid w:val="00E71667"/>
    <w:rsid w:val="00E71A5E"/>
    <w:rsid w:val="00E71EA1"/>
    <w:rsid w:val="00E71FF0"/>
    <w:rsid w:val="00E720B5"/>
    <w:rsid w:val="00E722D8"/>
    <w:rsid w:val="00E7254C"/>
    <w:rsid w:val="00E725FC"/>
    <w:rsid w:val="00E72C91"/>
    <w:rsid w:val="00E72D89"/>
    <w:rsid w:val="00E7303B"/>
    <w:rsid w:val="00E73048"/>
    <w:rsid w:val="00E73147"/>
    <w:rsid w:val="00E733A1"/>
    <w:rsid w:val="00E733CD"/>
    <w:rsid w:val="00E73526"/>
    <w:rsid w:val="00E73697"/>
    <w:rsid w:val="00E73867"/>
    <w:rsid w:val="00E73911"/>
    <w:rsid w:val="00E73A57"/>
    <w:rsid w:val="00E73B9B"/>
    <w:rsid w:val="00E73C28"/>
    <w:rsid w:val="00E74015"/>
    <w:rsid w:val="00E7444B"/>
    <w:rsid w:val="00E7445C"/>
    <w:rsid w:val="00E746B6"/>
    <w:rsid w:val="00E7472E"/>
    <w:rsid w:val="00E74B16"/>
    <w:rsid w:val="00E74B69"/>
    <w:rsid w:val="00E74C12"/>
    <w:rsid w:val="00E74C21"/>
    <w:rsid w:val="00E74C2E"/>
    <w:rsid w:val="00E7552B"/>
    <w:rsid w:val="00E758B4"/>
    <w:rsid w:val="00E75B70"/>
    <w:rsid w:val="00E75E13"/>
    <w:rsid w:val="00E75E98"/>
    <w:rsid w:val="00E75F1B"/>
    <w:rsid w:val="00E75F7F"/>
    <w:rsid w:val="00E76184"/>
    <w:rsid w:val="00E76740"/>
    <w:rsid w:val="00E76818"/>
    <w:rsid w:val="00E76924"/>
    <w:rsid w:val="00E76994"/>
    <w:rsid w:val="00E769E6"/>
    <w:rsid w:val="00E76D80"/>
    <w:rsid w:val="00E76E3E"/>
    <w:rsid w:val="00E771BC"/>
    <w:rsid w:val="00E772C6"/>
    <w:rsid w:val="00E7756C"/>
    <w:rsid w:val="00E7773E"/>
    <w:rsid w:val="00E77AC8"/>
    <w:rsid w:val="00E77E1F"/>
    <w:rsid w:val="00E801F2"/>
    <w:rsid w:val="00E8076A"/>
    <w:rsid w:val="00E80B7B"/>
    <w:rsid w:val="00E80EEB"/>
    <w:rsid w:val="00E80F54"/>
    <w:rsid w:val="00E812F9"/>
    <w:rsid w:val="00E81328"/>
    <w:rsid w:val="00E81330"/>
    <w:rsid w:val="00E813E5"/>
    <w:rsid w:val="00E8140E"/>
    <w:rsid w:val="00E815C3"/>
    <w:rsid w:val="00E81971"/>
    <w:rsid w:val="00E823C6"/>
    <w:rsid w:val="00E82A49"/>
    <w:rsid w:val="00E82FBF"/>
    <w:rsid w:val="00E8302F"/>
    <w:rsid w:val="00E834FB"/>
    <w:rsid w:val="00E8381D"/>
    <w:rsid w:val="00E83BBE"/>
    <w:rsid w:val="00E84156"/>
    <w:rsid w:val="00E843BF"/>
    <w:rsid w:val="00E843DC"/>
    <w:rsid w:val="00E84551"/>
    <w:rsid w:val="00E84560"/>
    <w:rsid w:val="00E8457E"/>
    <w:rsid w:val="00E8465D"/>
    <w:rsid w:val="00E84722"/>
    <w:rsid w:val="00E8480F"/>
    <w:rsid w:val="00E84A7A"/>
    <w:rsid w:val="00E84C44"/>
    <w:rsid w:val="00E84DD0"/>
    <w:rsid w:val="00E84FDF"/>
    <w:rsid w:val="00E8534B"/>
    <w:rsid w:val="00E8555D"/>
    <w:rsid w:val="00E8567F"/>
    <w:rsid w:val="00E8591B"/>
    <w:rsid w:val="00E85F14"/>
    <w:rsid w:val="00E860C2"/>
    <w:rsid w:val="00E86D07"/>
    <w:rsid w:val="00E86FAB"/>
    <w:rsid w:val="00E870E3"/>
    <w:rsid w:val="00E8730B"/>
    <w:rsid w:val="00E87734"/>
    <w:rsid w:val="00E87736"/>
    <w:rsid w:val="00E87CE3"/>
    <w:rsid w:val="00E90224"/>
    <w:rsid w:val="00E90313"/>
    <w:rsid w:val="00E903A7"/>
    <w:rsid w:val="00E905EA"/>
    <w:rsid w:val="00E907E2"/>
    <w:rsid w:val="00E909EC"/>
    <w:rsid w:val="00E90CF0"/>
    <w:rsid w:val="00E90DB8"/>
    <w:rsid w:val="00E91385"/>
    <w:rsid w:val="00E91395"/>
    <w:rsid w:val="00E9156C"/>
    <w:rsid w:val="00E915CF"/>
    <w:rsid w:val="00E9167A"/>
    <w:rsid w:val="00E9186C"/>
    <w:rsid w:val="00E91884"/>
    <w:rsid w:val="00E91927"/>
    <w:rsid w:val="00E92006"/>
    <w:rsid w:val="00E92215"/>
    <w:rsid w:val="00E92377"/>
    <w:rsid w:val="00E92380"/>
    <w:rsid w:val="00E9263B"/>
    <w:rsid w:val="00E92783"/>
    <w:rsid w:val="00E928F0"/>
    <w:rsid w:val="00E932F2"/>
    <w:rsid w:val="00E9331D"/>
    <w:rsid w:val="00E9334D"/>
    <w:rsid w:val="00E935C3"/>
    <w:rsid w:val="00E93A38"/>
    <w:rsid w:val="00E93AC4"/>
    <w:rsid w:val="00E93CD8"/>
    <w:rsid w:val="00E93D4D"/>
    <w:rsid w:val="00E93F95"/>
    <w:rsid w:val="00E94192"/>
    <w:rsid w:val="00E94317"/>
    <w:rsid w:val="00E943D5"/>
    <w:rsid w:val="00E944FD"/>
    <w:rsid w:val="00E946E2"/>
    <w:rsid w:val="00E94811"/>
    <w:rsid w:val="00E94CF5"/>
    <w:rsid w:val="00E94D5C"/>
    <w:rsid w:val="00E95013"/>
    <w:rsid w:val="00E9505D"/>
    <w:rsid w:val="00E9519B"/>
    <w:rsid w:val="00E953A6"/>
    <w:rsid w:val="00E953E8"/>
    <w:rsid w:val="00E9558F"/>
    <w:rsid w:val="00E9589B"/>
    <w:rsid w:val="00E9596D"/>
    <w:rsid w:val="00E95B3F"/>
    <w:rsid w:val="00E95F51"/>
    <w:rsid w:val="00E95F8C"/>
    <w:rsid w:val="00E95FA7"/>
    <w:rsid w:val="00E9610D"/>
    <w:rsid w:val="00E96BD0"/>
    <w:rsid w:val="00E96CB3"/>
    <w:rsid w:val="00E96DCD"/>
    <w:rsid w:val="00E96E9F"/>
    <w:rsid w:val="00E974BB"/>
    <w:rsid w:val="00E97553"/>
    <w:rsid w:val="00E975AA"/>
    <w:rsid w:val="00E975DE"/>
    <w:rsid w:val="00E976F4"/>
    <w:rsid w:val="00E979A7"/>
    <w:rsid w:val="00E97EB8"/>
    <w:rsid w:val="00E97F39"/>
    <w:rsid w:val="00EA090E"/>
    <w:rsid w:val="00EA0BC2"/>
    <w:rsid w:val="00EA0DD3"/>
    <w:rsid w:val="00EA1088"/>
    <w:rsid w:val="00EA11B5"/>
    <w:rsid w:val="00EA1694"/>
    <w:rsid w:val="00EA1C37"/>
    <w:rsid w:val="00EA1C53"/>
    <w:rsid w:val="00EA1F22"/>
    <w:rsid w:val="00EA23D0"/>
    <w:rsid w:val="00EA24A8"/>
    <w:rsid w:val="00EA25AB"/>
    <w:rsid w:val="00EA26C8"/>
    <w:rsid w:val="00EA2925"/>
    <w:rsid w:val="00EA2D5C"/>
    <w:rsid w:val="00EA35D8"/>
    <w:rsid w:val="00EA36C6"/>
    <w:rsid w:val="00EA370B"/>
    <w:rsid w:val="00EA3BA9"/>
    <w:rsid w:val="00EA3C60"/>
    <w:rsid w:val="00EA436E"/>
    <w:rsid w:val="00EA44C2"/>
    <w:rsid w:val="00EA4598"/>
    <w:rsid w:val="00EA4646"/>
    <w:rsid w:val="00EA48C3"/>
    <w:rsid w:val="00EA4BB9"/>
    <w:rsid w:val="00EA4CB2"/>
    <w:rsid w:val="00EA4E5F"/>
    <w:rsid w:val="00EA4FB6"/>
    <w:rsid w:val="00EA51EC"/>
    <w:rsid w:val="00EA52BC"/>
    <w:rsid w:val="00EA5445"/>
    <w:rsid w:val="00EA545C"/>
    <w:rsid w:val="00EA56D2"/>
    <w:rsid w:val="00EA595A"/>
    <w:rsid w:val="00EA603C"/>
    <w:rsid w:val="00EA62E4"/>
    <w:rsid w:val="00EA6808"/>
    <w:rsid w:val="00EA6B57"/>
    <w:rsid w:val="00EA6C46"/>
    <w:rsid w:val="00EA6E2C"/>
    <w:rsid w:val="00EA6EF2"/>
    <w:rsid w:val="00EA713A"/>
    <w:rsid w:val="00EA761F"/>
    <w:rsid w:val="00EA7C54"/>
    <w:rsid w:val="00EB0320"/>
    <w:rsid w:val="00EB057E"/>
    <w:rsid w:val="00EB05EA"/>
    <w:rsid w:val="00EB090E"/>
    <w:rsid w:val="00EB0E7D"/>
    <w:rsid w:val="00EB0F63"/>
    <w:rsid w:val="00EB133E"/>
    <w:rsid w:val="00EB1902"/>
    <w:rsid w:val="00EB1B89"/>
    <w:rsid w:val="00EB1D9F"/>
    <w:rsid w:val="00EB1F56"/>
    <w:rsid w:val="00EB1FB6"/>
    <w:rsid w:val="00EB1FF7"/>
    <w:rsid w:val="00EB2087"/>
    <w:rsid w:val="00EB2657"/>
    <w:rsid w:val="00EB26A3"/>
    <w:rsid w:val="00EB2B9E"/>
    <w:rsid w:val="00EB2CDA"/>
    <w:rsid w:val="00EB2FBC"/>
    <w:rsid w:val="00EB3131"/>
    <w:rsid w:val="00EB3261"/>
    <w:rsid w:val="00EB3C2B"/>
    <w:rsid w:val="00EB3D67"/>
    <w:rsid w:val="00EB4002"/>
    <w:rsid w:val="00EB4087"/>
    <w:rsid w:val="00EB4106"/>
    <w:rsid w:val="00EB4A2A"/>
    <w:rsid w:val="00EB511A"/>
    <w:rsid w:val="00EB5255"/>
    <w:rsid w:val="00EB5339"/>
    <w:rsid w:val="00EB56DB"/>
    <w:rsid w:val="00EB58A2"/>
    <w:rsid w:val="00EB5931"/>
    <w:rsid w:val="00EB598F"/>
    <w:rsid w:val="00EB5B7C"/>
    <w:rsid w:val="00EB5FD9"/>
    <w:rsid w:val="00EB642D"/>
    <w:rsid w:val="00EB6738"/>
    <w:rsid w:val="00EB6875"/>
    <w:rsid w:val="00EB699F"/>
    <w:rsid w:val="00EB6A7A"/>
    <w:rsid w:val="00EB6BAD"/>
    <w:rsid w:val="00EB6D21"/>
    <w:rsid w:val="00EB6E4B"/>
    <w:rsid w:val="00EB6E82"/>
    <w:rsid w:val="00EB6F31"/>
    <w:rsid w:val="00EB7A9B"/>
    <w:rsid w:val="00EB7C92"/>
    <w:rsid w:val="00EC0047"/>
    <w:rsid w:val="00EC05F8"/>
    <w:rsid w:val="00EC07DD"/>
    <w:rsid w:val="00EC0933"/>
    <w:rsid w:val="00EC0971"/>
    <w:rsid w:val="00EC0A67"/>
    <w:rsid w:val="00EC0C19"/>
    <w:rsid w:val="00EC0F32"/>
    <w:rsid w:val="00EC105E"/>
    <w:rsid w:val="00EC11C0"/>
    <w:rsid w:val="00EC1212"/>
    <w:rsid w:val="00EC1236"/>
    <w:rsid w:val="00EC1266"/>
    <w:rsid w:val="00EC17E9"/>
    <w:rsid w:val="00EC1B90"/>
    <w:rsid w:val="00EC1BC1"/>
    <w:rsid w:val="00EC1CB0"/>
    <w:rsid w:val="00EC1CD0"/>
    <w:rsid w:val="00EC216D"/>
    <w:rsid w:val="00EC271F"/>
    <w:rsid w:val="00EC27E9"/>
    <w:rsid w:val="00EC2CA2"/>
    <w:rsid w:val="00EC2DB2"/>
    <w:rsid w:val="00EC2E97"/>
    <w:rsid w:val="00EC30F9"/>
    <w:rsid w:val="00EC320C"/>
    <w:rsid w:val="00EC3481"/>
    <w:rsid w:val="00EC3856"/>
    <w:rsid w:val="00EC3A8F"/>
    <w:rsid w:val="00EC3C1C"/>
    <w:rsid w:val="00EC3D86"/>
    <w:rsid w:val="00EC46F1"/>
    <w:rsid w:val="00EC507C"/>
    <w:rsid w:val="00EC52DE"/>
    <w:rsid w:val="00EC5514"/>
    <w:rsid w:val="00EC59CE"/>
    <w:rsid w:val="00EC5BB9"/>
    <w:rsid w:val="00EC5C0F"/>
    <w:rsid w:val="00EC5E1D"/>
    <w:rsid w:val="00EC603B"/>
    <w:rsid w:val="00EC67F3"/>
    <w:rsid w:val="00EC6C6F"/>
    <w:rsid w:val="00EC6C9E"/>
    <w:rsid w:val="00EC6E62"/>
    <w:rsid w:val="00EC6F40"/>
    <w:rsid w:val="00EC7064"/>
    <w:rsid w:val="00EC74B6"/>
    <w:rsid w:val="00ED00A6"/>
    <w:rsid w:val="00ED05E9"/>
    <w:rsid w:val="00ED08D1"/>
    <w:rsid w:val="00ED0C29"/>
    <w:rsid w:val="00ED0D1B"/>
    <w:rsid w:val="00ED10A0"/>
    <w:rsid w:val="00ED1408"/>
    <w:rsid w:val="00ED17A5"/>
    <w:rsid w:val="00ED1A1E"/>
    <w:rsid w:val="00ED1AFE"/>
    <w:rsid w:val="00ED1B02"/>
    <w:rsid w:val="00ED1C92"/>
    <w:rsid w:val="00ED265A"/>
    <w:rsid w:val="00ED2710"/>
    <w:rsid w:val="00ED293C"/>
    <w:rsid w:val="00ED2C58"/>
    <w:rsid w:val="00ED2E59"/>
    <w:rsid w:val="00ED361B"/>
    <w:rsid w:val="00ED3B3A"/>
    <w:rsid w:val="00ED40CE"/>
    <w:rsid w:val="00ED49C5"/>
    <w:rsid w:val="00ED4C37"/>
    <w:rsid w:val="00ED5282"/>
    <w:rsid w:val="00ED531C"/>
    <w:rsid w:val="00ED544A"/>
    <w:rsid w:val="00ED5725"/>
    <w:rsid w:val="00ED5907"/>
    <w:rsid w:val="00ED5AEA"/>
    <w:rsid w:val="00ED5BBE"/>
    <w:rsid w:val="00ED5C4E"/>
    <w:rsid w:val="00ED5C7B"/>
    <w:rsid w:val="00ED60C2"/>
    <w:rsid w:val="00ED6452"/>
    <w:rsid w:val="00ED6485"/>
    <w:rsid w:val="00ED65F1"/>
    <w:rsid w:val="00ED665A"/>
    <w:rsid w:val="00ED6B42"/>
    <w:rsid w:val="00ED6C47"/>
    <w:rsid w:val="00ED6FB4"/>
    <w:rsid w:val="00ED7031"/>
    <w:rsid w:val="00ED723B"/>
    <w:rsid w:val="00ED7370"/>
    <w:rsid w:val="00ED756D"/>
    <w:rsid w:val="00ED75F7"/>
    <w:rsid w:val="00ED776B"/>
    <w:rsid w:val="00ED7819"/>
    <w:rsid w:val="00ED7945"/>
    <w:rsid w:val="00ED7981"/>
    <w:rsid w:val="00ED7BB0"/>
    <w:rsid w:val="00ED7C89"/>
    <w:rsid w:val="00ED7CE7"/>
    <w:rsid w:val="00EE00A8"/>
    <w:rsid w:val="00EE047E"/>
    <w:rsid w:val="00EE0595"/>
    <w:rsid w:val="00EE08DC"/>
    <w:rsid w:val="00EE0A6C"/>
    <w:rsid w:val="00EE0D8A"/>
    <w:rsid w:val="00EE0F52"/>
    <w:rsid w:val="00EE12D8"/>
    <w:rsid w:val="00EE17D9"/>
    <w:rsid w:val="00EE1967"/>
    <w:rsid w:val="00EE2572"/>
    <w:rsid w:val="00EE269F"/>
    <w:rsid w:val="00EE2AAF"/>
    <w:rsid w:val="00EE2D85"/>
    <w:rsid w:val="00EE2F73"/>
    <w:rsid w:val="00EE3060"/>
    <w:rsid w:val="00EE349A"/>
    <w:rsid w:val="00EE34AE"/>
    <w:rsid w:val="00EE3B67"/>
    <w:rsid w:val="00EE3C37"/>
    <w:rsid w:val="00EE4010"/>
    <w:rsid w:val="00EE41A0"/>
    <w:rsid w:val="00EE4299"/>
    <w:rsid w:val="00EE42FF"/>
    <w:rsid w:val="00EE4315"/>
    <w:rsid w:val="00EE4640"/>
    <w:rsid w:val="00EE496F"/>
    <w:rsid w:val="00EE4A50"/>
    <w:rsid w:val="00EE4BA5"/>
    <w:rsid w:val="00EE4C22"/>
    <w:rsid w:val="00EE4E03"/>
    <w:rsid w:val="00EE4F24"/>
    <w:rsid w:val="00EE591F"/>
    <w:rsid w:val="00EE5998"/>
    <w:rsid w:val="00EE5AD3"/>
    <w:rsid w:val="00EE5C70"/>
    <w:rsid w:val="00EE5D6E"/>
    <w:rsid w:val="00EE607E"/>
    <w:rsid w:val="00EE62CA"/>
    <w:rsid w:val="00EE6728"/>
    <w:rsid w:val="00EE6A38"/>
    <w:rsid w:val="00EE7408"/>
    <w:rsid w:val="00EE7469"/>
    <w:rsid w:val="00EE74A8"/>
    <w:rsid w:val="00EE77B7"/>
    <w:rsid w:val="00EE7C62"/>
    <w:rsid w:val="00EE7DBB"/>
    <w:rsid w:val="00EF06BA"/>
    <w:rsid w:val="00EF07F0"/>
    <w:rsid w:val="00EF0855"/>
    <w:rsid w:val="00EF086D"/>
    <w:rsid w:val="00EF0887"/>
    <w:rsid w:val="00EF0B37"/>
    <w:rsid w:val="00EF12E5"/>
    <w:rsid w:val="00EF14CD"/>
    <w:rsid w:val="00EF1541"/>
    <w:rsid w:val="00EF1AA8"/>
    <w:rsid w:val="00EF1CB4"/>
    <w:rsid w:val="00EF1D62"/>
    <w:rsid w:val="00EF1DA9"/>
    <w:rsid w:val="00EF2087"/>
    <w:rsid w:val="00EF212F"/>
    <w:rsid w:val="00EF2146"/>
    <w:rsid w:val="00EF2272"/>
    <w:rsid w:val="00EF24ED"/>
    <w:rsid w:val="00EF251E"/>
    <w:rsid w:val="00EF294B"/>
    <w:rsid w:val="00EF29FE"/>
    <w:rsid w:val="00EF2A06"/>
    <w:rsid w:val="00EF2D4B"/>
    <w:rsid w:val="00EF2D95"/>
    <w:rsid w:val="00EF2F85"/>
    <w:rsid w:val="00EF2FB9"/>
    <w:rsid w:val="00EF31FC"/>
    <w:rsid w:val="00EF35A5"/>
    <w:rsid w:val="00EF3D68"/>
    <w:rsid w:val="00EF3F78"/>
    <w:rsid w:val="00EF3FA1"/>
    <w:rsid w:val="00EF4030"/>
    <w:rsid w:val="00EF4553"/>
    <w:rsid w:val="00EF4B40"/>
    <w:rsid w:val="00EF519E"/>
    <w:rsid w:val="00EF54D6"/>
    <w:rsid w:val="00EF5A65"/>
    <w:rsid w:val="00EF5AD3"/>
    <w:rsid w:val="00EF5F8E"/>
    <w:rsid w:val="00EF6306"/>
    <w:rsid w:val="00EF6696"/>
    <w:rsid w:val="00EF6925"/>
    <w:rsid w:val="00EF6BA2"/>
    <w:rsid w:val="00EF6BA6"/>
    <w:rsid w:val="00EF6C02"/>
    <w:rsid w:val="00EF6F48"/>
    <w:rsid w:val="00EF7073"/>
    <w:rsid w:val="00EF73E1"/>
    <w:rsid w:val="00EF7460"/>
    <w:rsid w:val="00EF78A4"/>
    <w:rsid w:val="00EF7CE0"/>
    <w:rsid w:val="00F00271"/>
    <w:rsid w:val="00F00331"/>
    <w:rsid w:val="00F006F5"/>
    <w:rsid w:val="00F00A66"/>
    <w:rsid w:val="00F00B88"/>
    <w:rsid w:val="00F00EB0"/>
    <w:rsid w:val="00F00F08"/>
    <w:rsid w:val="00F01061"/>
    <w:rsid w:val="00F0124D"/>
    <w:rsid w:val="00F01493"/>
    <w:rsid w:val="00F0155D"/>
    <w:rsid w:val="00F01A67"/>
    <w:rsid w:val="00F01E24"/>
    <w:rsid w:val="00F021E4"/>
    <w:rsid w:val="00F024B6"/>
    <w:rsid w:val="00F03125"/>
    <w:rsid w:val="00F03660"/>
    <w:rsid w:val="00F0373B"/>
    <w:rsid w:val="00F03877"/>
    <w:rsid w:val="00F03C12"/>
    <w:rsid w:val="00F03D1B"/>
    <w:rsid w:val="00F03EED"/>
    <w:rsid w:val="00F042E0"/>
    <w:rsid w:val="00F0455F"/>
    <w:rsid w:val="00F04562"/>
    <w:rsid w:val="00F052CD"/>
    <w:rsid w:val="00F05335"/>
    <w:rsid w:val="00F0552E"/>
    <w:rsid w:val="00F05781"/>
    <w:rsid w:val="00F05C0E"/>
    <w:rsid w:val="00F05D2A"/>
    <w:rsid w:val="00F06018"/>
    <w:rsid w:val="00F06043"/>
    <w:rsid w:val="00F0678C"/>
    <w:rsid w:val="00F0691D"/>
    <w:rsid w:val="00F06993"/>
    <w:rsid w:val="00F06AB8"/>
    <w:rsid w:val="00F06BF5"/>
    <w:rsid w:val="00F06F04"/>
    <w:rsid w:val="00F06F4D"/>
    <w:rsid w:val="00F077ED"/>
    <w:rsid w:val="00F078E5"/>
    <w:rsid w:val="00F079AA"/>
    <w:rsid w:val="00F07E4B"/>
    <w:rsid w:val="00F1021B"/>
    <w:rsid w:val="00F104E8"/>
    <w:rsid w:val="00F1058C"/>
    <w:rsid w:val="00F109FD"/>
    <w:rsid w:val="00F10A29"/>
    <w:rsid w:val="00F10C5D"/>
    <w:rsid w:val="00F11103"/>
    <w:rsid w:val="00F11620"/>
    <w:rsid w:val="00F11C0F"/>
    <w:rsid w:val="00F11F82"/>
    <w:rsid w:val="00F12118"/>
    <w:rsid w:val="00F12321"/>
    <w:rsid w:val="00F126D2"/>
    <w:rsid w:val="00F1289F"/>
    <w:rsid w:val="00F12985"/>
    <w:rsid w:val="00F12A28"/>
    <w:rsid w:val="00F12C3A"/>
    <w:rsid w:val="00F13054"/>
    <w:rsid w:val="00F13211"/>
    <w:rsid w:val="00F13587"/>
    <w:rsid w:val="00F13640"/>
    <w:rsid w:val="00F138F1"/>
    <w:rsid w:val="00F13B82"/>
    <w:rsid w:val="00F13C71"/>
    <w:rsid w:val="00F143F1"/>
    <w:rsid w:val="00F1443C"/>
    <w:rsid w:val="00F149F3"/>
    <w:rsid w:val="00F14A04"/>
    <w:rsid w:val="00F14ACE"/>
    <w:rsid w:val="00F14F89"/>
    <w:rsid w:val="00F14FF2"/>
    <w:rsid w:val="00F152BD"/>
    <w:rsid w:val="00F152D3"/>
    <w:rsid w:val="00F1557E"/>
    <w:rsid w:val="00F15937"/>
    <w:rsid w:val="00F15D11"/>
    <w:rsid w:val="00F15D80"/>
    <w:rsid w:val="00F15EB7"/>
    <w:rsid w:val="00F165AB"/>
    <w:rsid w:val="00F165C8"/>
    <w:rsid w:val="00F16619"/>
    <w:rsid w:val="00F16644"/>
    <w:rsid w:val="00F16760"/>
    <w:rsid w:val="00F16B43"/>
    <w:rsid w:val="00F17280"/>
    <w:rsid w:val="00F17552"/>
    <w:rsid w:val="00F176EF"/>
    <w:rsid w:val="00F1784E"/>
    <w:rsid w:val="00F17907"/>
    <w:rsid w:val="00F17D1A"/>
    <w:rsid w:val="00F17D3C"/>
    <w:rsid w:val="00F20007"/>
    <w:rsid w:val="00F20157"/>
    <w:rsid w:val="00F202EB"/>
    <w:rsid w:val="00F2039A"/>
    <w:rsid w:val="00F20554"/>
    <w:rsid w:val="00F20610"/>
    <w:rsid w:val="00F20798"/>
    <w:rsid w:val="00F208E1"/>
    <w:rsid w:val="00F208F7"/>
    <w:rsid w:val="00F20954"/>
    <w:rsid w:val="00F20F77"/>
    <w:rsid w:val="00F20F90"/>
    <w:rsid w:val="00F2103B"/>
    <w:rsid w:val="00F2103F"/>
    <w:rsid w:val="00F21213"/>
    <w:rsid w:val="00F21930"/>
    <w:rsid w:val="00F21AE1"/>
    <w:rsid w:val="00F21DE9"/>
    <w:rsid w:val="00F22036"/>
    <w:rsid w:val="00F22198"/>
    <w:rsid w:val="00F22B01"/>
    <w:rsid w:val="00F22B3B"/>
    <w:rsid w:val="00F22BD6"/>
    <w:rsid w:val="00F22E79"/>
    <w:rsid w:val="00F22FCA"/>
    <w:rsid w:val="00F23081"/>
    <w:rsid w:val="00F232F8"/>
    <w:rsid w:val="00F23583"/>
    <w:rsid w:val="00F236C9"/>
    <w:rsid w:val="00F237B4"/>
    <w:rsid w:val="00F23C05"/>
    <w:rsid w:val="00F23DA8"/>
    <w:rsid w:val="00F23DD1"/>
    <w:rsid w:val="00F23F47"/>
    <w:rsid w:val="00F23FD9"/>
    <w:rsid w:val="00F24B67"/>
    <w:rsid w:val="00F24E47"/>
    <w:rsid w:val="00F24FAE"/>
    <w:rsid w:val="00F251D4"/>
    <w:rsid w:val="00F2572C"/>
    <w:rsid w:val="00F257C4"/>
    <w:rsid w:val="00F2587E"/>
    <w:rsid w:val="00F25B13"/>
    <w:rsid w:val="00F25FF7"/>
    <w:rsid w:val="00F26023"/>
    <w:rsid w:val="00F26220"/>
    <w:rsid w:val="00F266CD"/>
    <w:rsid w:val="00F268A9"/>
    <w:rsid w:val="00F26A22"/>
    <w:rsid w:val="00F26ED3"/>
    <w:rsid w:val="00F270F2"/>
    <w:rsid w:val="00F27379"/>
    <w:rsid w:val="00F2745D"/>
    <w:rsid w:val="00F2747E"/>
    <w:rsid w:val="00F275DC"/>
    <w:rsid w:val="00F27990"/>
    <w:rsid w:val="00F27AB4"/>
    <w:rsid w:val="00F27E70"/>
    <w:rsid w:val="00F30126"/>
    <w:rsid w:val="00F30314"/>
    <w:rsid w:val="00F303C6"/>
    <w:rsid w:val="00F304E9"/>
    <w:rsid w:val="00F3059C"/>
    <w:rsid w:val="00F30D44"/>
    <w:rsid w:val="00F30E3B"/>
    <w:rsid w:val="00F31367"/>
    <w:rsid w:val="00F31473"/>
    <w:rsid w:val="00F31584"/>
    <w:rsid w:val="00F31954"/>
    <w:rsid w:val="00F31970"/>
    <w:rsid w:val="00F3295A"/>
    <w:rsid w:val="00F32A49"/>
    <w:rsid w:val="00F3373E"/>
    <w:rsid w:val="00F338BE"/>
    <w:rsid w:val="00F33BE9"/>
    <w:rsid w:val="00F33DAD"/>
    <w:rsid w:val="00F33E12"/>
    <w:rsid w:val="00F33EC4"/>
    <w:rsid w:val="00F3422B"/>
    <w:rsid w:val="00F349D8"/>
    <w:rsid w:val="00F34B29"/>
    <w:rsid w:val="00F34EFD"/>
    <w:rsid w:val="00F35010"/>
    <w:rsid w:val="00F354D9"/>
    <w:rsid w:val="00F354FF"/>
    <w:rsid w:val="00F35F4D"/>
    <w:rsid w:val="00F35F9A"/>
    <w:rsid w:val="00F36458"/>
    <w:rsid w:val="00F366BF"/>
    <w:rsid w:val="00F368EC"/>
    <w:rsid w:val="00F36A65"/>
    <w:rsid w:val="00F36C03"/>
    <w:rsid w:val="00F37293"/>
    <w:rsid w:val="00F373FA"/>
    <w:rsid w:val="00F375DE"/>
    <w:rsid w:val="00F375FC"/>
    <w:rsid w:val="00F376EB"/>
    <w:rsid w:val="00F3772A"/>
    <w:rsid w:val="00F3797E"/>
    <w:rsid w:val="00F37995"/>
    <w:rsid w:val="00F379CB"/>
    <w:rsid w:val="00F37B8A"/>
    <w:rsid w:val="00F37DFF"/>
    <w:rsid w:val="00F3848A"/>
    <w:rsid w:val="00F40602"/>
    <w:rsid w:val="00F409B2"/>
    <w:rsid w:val="00F40B9B"/>
    <w:rsid w:val="00F40EB4"/>
    <w:rsid w:val="00F40F6C"/>
    <w:rsid w:val="00F417F8"/>
    <w:rsid w:val="00F41C93"/>
    <w:rsid w:val="00F41DF4"/>
    <w:rsid w:val="00F41F2A"/>
    <w:rsid w:val="00F42073"/>
    <w:rsid w:val="00F42177"/>
    <w:rsid w:val="00F42353"/>
    <w:rsid w:val="00F42497"/>
    <w:rsid w:val="00F424B7"/>
    <w:rsid w:val="00F42781"/>
    <w:rsid w:val="00F42A93"/>
    <w:rsid w:val="00F42C03"/>
    <w:rsid w:val="00F42CEE"/>
    <w:rsid w:val="00F4302D"/>
    <w:rsid w:val="00F437D0"/>
    <w:rsid w:val="00F437FC"/>
    <w:rsid w:val="00F43A80"/>
    <w:rsid w:val="00F44579"/>
    <w:rsid w:val="00F449EB"/>
    <w:rsid w:val="00F44A7A"/>
    <w:rsid w:val="00F44CF5"/>
    <w:rsid w:val="00F44D3A"/>
    <w:rsid w:val="00F458BF"/>
    <w:rsid w:val="00F46077"/>
    <w:rsid w:val="00F460DA"/>
    <w:rsid w:val="00F46119"/>
    <w:rsid w:val="00F46831"/>
    <w:rsid w:val="00F475E1"/>
    <w:rsid w:val="00F47EBF"/>
    <w:rsid w:val="00F5029F"/>
    <w:rsid w:val="00F503EE"/>
    <w:rsid w:val="00F50412"/>
    <w:rsid w:val="00F50D7B"/>
    <w:rsid w:val="00F50FD3"/>
    <w:rsid w:val="00F51222"/>
    <w:rsid w:val="00F5122B"/>
    <w:rsid w:val="00F513A9"/>
    <w:rsid w:val="00F516B2"/>
    <w:rsid w:val="00F5171E"/>
    <w:rsid w:val="00F51781"/>
    <w:rsid w:val="00F518F9"/>
    <w:rsid w:val="00F51C30"/>
    <w:rsid w:val="00F51CD6"/>
    <w:rsid w:val="00F52070"/>
    <w:rsid w:val="00F520C9"/>
    <w:rsid w:val="00F527BE"/>
    <w:rsid w:val="00F52B21"/>
    <w:rsid w:val="00F52E5F"/>
    <w:rsid w:val="00F53025"/>
    <w:rsid w:val="00F5364C"/>
    <w:rsid w:val="00F5377A"/>
    <w:rsid w:val="00F538B8"/>
    <w:rsid w:val="00F538CD"/>
    <w:rsid w:val="00F539D6"/>
    <w:rsid w:val="00F53B81"/>
    <w:rsid w:val="00F53F17"/>
    <w:rsid w:val="00F53F70"/>
    <w:rsid w:val="00F540A4"/>
    <w:rsid w:val="00F544CC"/>
    <w:rsid w:val="00F54545"/>
    <w:rsid w:val="00F54664"/>
    <w:rsid w:val="00F548C4"/>
    <w:rsid w:val="00F54A43"/>
    <w:rsid w:val="00F5535E"/>
    <w:rsid w:val="00F55A1B"/>
    <w:rsid w:val="00F55D9A"/>
    <w:rsid w:val="00F566CD"/>
    <w:rsid w:val="00F56A30"/>
    <w:rsid w:val="00F56BBE"/>
    <w:rsid w:val="00F56DE0"/>
    <w:rsid w:val="00F56E4B"/>
    <w:rsid w:val="00F56E60"/>
    <w:rsid w:val="00F56F71"/>
    <w:rsid w:val="00F570AE"/>
    <w:rsid w:val="00F571AE"/>
    <w:rsid w:val="00F571E3"/>
    <w:rsid w:val="00F5742C"/>
    <w:rsid w:val="00F5756A"/>
    <w:rsid w:val="00F57628"/>
    <w:rsid w:val="00F57762"/>
    <w:rsid w:val="00F57A5F"/>
    <w:rsid w:val="00F57C76"/>
    <w:rsid w:val="00F57D9F"/>
    <w:rsid w:val="00F57ED5"/>
    <w:rsid w:val="00F600F4"/>
    <w:rsid w:val="00F601D7"/>
    <w:rsid w:val="00F6061D"/>
    <w:rsid w:val="00F606D9"/>
    <w:rsid w:val="00F60FE3"/>
    <w:rsid w:val="00F61076"/>
    <w:rsid w:val="00F612AB"/>
    <w:rsid w:val="00F61378"/>
    <w:rsid w:val="00F61588"/>
    <w:rsid w:val="00F61692"/>
    <w:rsid w:val="00F61722"/>
    <w:rsid w:val="00F61808"/>
    <w:rsid w:val="00F6193B"/>
    <w:rsid w:val="00F61B64"/>
    <w:rsid w:val="00F61C06"/>
    <w:rsid w:val="00F620F5"/>
    <w:rsid w:val="00F621B7"/>
    <w:rsid w:val="00F621F9"/>
    <w:rsid w:val="00F622F0"/>
    <w:rsid w:val="00F62548"/>
    <w:rsid w:val="00F625C3"/>
    <w:rsid w:val="00F62B7A"/>
    <w:rsid w:val="00F62ECD"/>
    <w:rsid w:val="00F62F85"/>
    <w:rsid w:val="00F63321"/>
    <w:rsid w:val="00F633B0"/>
    <w:rsid w:val="00F63566"/>
    <w:rsid w:val="00F63598"/>
    <w:rsid w:val="00F63646"/>
    <w:rsid w:val="00F63651"/>
    <w:rsid w:val="00F63830"/>
    <w:rsid w:val="00F6397D"/>
    <w:rsid w:val="00F639FB"/>
    <w:rsid w:val="00F63B66"/>
    <w:rsid w:val="00F64042"/>
    <w:rsid w:val="00F64082"/>
    <w:rsid w:val="00F6437A"/>
    <w:rsid w:val="00F6438A"/>
    <w:rsid w:val="00F64A46"/>
    <w:rsid w:val="00F64D10"/>
    <w:rsid w:val="00F655DC"/>
    <w:rsid w:val="00F657D3"/>
    <w:rsid w:val="00F65BF9"/>
    <w:rsid w:val="00F65D83"/>
    <w:rsid w:val="00F65E7A"/>
    <w:rsid w:val="00F6642C"/>
    <w:rsid w:val="00F66634"/>
    <w:rsid w:val="00F66751"/>
    <w:rsid w:val="00F66B44"/>
    <w:rsid w:val="00F67711"/>
    <w:rsid w:val="00F67B40"/>
    <w:rsid w:val="00F704B0"/>
    <w:rsid w:val="00F7068D"/>
    <w:rsid w:val="00F7096A"/>
    <w:rsid w:val="00F70AB6"/>
    <w:rsid w:val="00F70AC6"/>
    <w:rsid w:val="00F70D5D"/>
    <w:rsid w:val="00F70E45"/>
    <w:rsid w:val="00F71060"/>
    <w:rsid w:val="00F718A3"/>
    <w:rsid w:val="00F71C89"/>
    <w:rsid w:val="00F71FEF"/>
    <w:rsid w:val="00F721C4"/>
    <w:rsid w:val="00F724C2"/>
    <w:rsid w:val="00F727AC"/>
    <w:rsid w:val="00F7293E"/>
    <w:rsid w:val="00F72BA5"/>
    <w:rsid w:val="00F72C4A"/>
    <w:rsid w:val="00F72CC7"/>
    <w:rsid w:val="00F73115"/>
    <w:rsid w:val="00F73134"/>
    <w:rsid w:val="00F739D9"/>
    <w:rsid w:val="00F739F4"/>
    <w:rsid w:val="00F73C15"/>
    <w:rsid w:val="00F73C22"/>
    <w:rsid w:val="00F73E12"/>
    <w:rsid w:val="00F73E5C"/>
    <w:rsid w:val="00F74205"/>
    <w:rsid w:val="00F74266"/>
    <w:rsid w:val="00F74737"/>
    <w:rsid w:val="00F747E5"/>
    <w:rsid w:val="00F750D6"/>
    <w:rsid w:val="00F752EC"/>
    <w:rsid w:val="00F75840"/>
    <w:rsid w:val="00F75848"/>
    <w:rsid w:val="00F75AF7"/>
    <w:rsid w:val="00F75C3B"/>
    <w:rsid w:val="00F76287"/>
    <w:rsid w:val="00F76650"/>
    <w:rsid w:val="00F76A24"/>
    <w:rsid w:val="00F76BC1"/>
    <w:rsid w:val="00F77006"/>
    <w:rsid w:val="00F7716E"/>
    <w:rsid w:val="00F771E5"/>
    <w:rsid w:val="00F7738A"/>
    <w:rsid w:val="00F77398"/>
    <w:rsid w:val="00F77407"/>
    <w:rsid w:val="00F77414"/>
    <w:rsid w:val="00F777A7"/>
    <w:rsid w:val="00F77CEF"/>
    <w:rsid w:val="00F801E2"/>
    <w:rsid w:val="00F807B7"/>
    <w:rsid w:val="00F809D1"/>
    <w:rsid w:val="00F80AFC"/>
    <w:rsid w:val="00F80B65"/>
    <w:rsid w:val="00F80D92"/>
    <w:rsid w:val="00F80F0E"/>
    <w:rsid w:val="00F80F46"/>
    <w:rsid w:val="00F81391"/>
    <w:rsid w:val="00F818D9"/>
    <w:rsid w:val="00F8198E"/>
    <w:rsid w:val="00F81B19"/>
    <w:rsid w:val="00F81BBB"/>
    <w:rsid w:val="00F81D6B"/>
    <w:rsid w:val="00F82129"/>
    <w:rsid w:val="00F82445"/>
    <w:rsid w:val="00F82654"/>
    <w:rsid w:val="00F82690"/>
    <w:rsid w:val="00F82722"/>
    <w:rsid w:val="00F8275D"/>
    <w:rsid w:val="00F8283D"/>
    <w:rsid w:val="00F82B4D"/>
    <w:rsid w:val="00F82B58"/>
    <w:rsid w:val="00F82CB6"/>
    <w:rsid w:val="00F82F65"/>
    <w:rsid w:val="00F83973"/>
    <w:rsid w:val="00F83BED"/>
    <w:rsid w:val="00F83D7C"/>
    <w:rsid w:val="00F83E09"/>
    <w:rsid w:val="00F83FFA"/>
    <w:rsid w:val="00F8414F"/>
    <w:rsid w:val="00F84267"/>
    <w:rsid w:val="00F842E9"/>
    <w:rsid w:val="00F845AA"/>
    <w:rsid w:val="00F845C4"/>
    <w:rsid w:val="00F84798"/>
    <w:rsid w:val="00F848B5"/>
    <w:rsid w:val="00F849BB"/>
    <w:rsid w:val="00F84ABB"/>
    <w:rsid w:val="00F84B22"/>
    <w:rsid w:val="00F84BA6"/>
    <w:rsid w:val="00F84D2F"/>
    <w:rsid w:val="00F850AE"/>
    <w:rsid w:val="00F8558B"/>
    <w:rsid w:val="00F857D6"/>
    <w:rsid w:val="00F85A20"/>
    <w:rsid w:val="00F85A2D"/>
    <w:rsid w:val="00F85BB6"/>
    <w:rsid w:val="00F85EAD"/>
    <w:rsid w:val="00F868A5"/>
    <w:rsid w:val="00F86A3C"/>
    <w:rsid w:val="00F86B87"/>
    <w:rsid w:val="00F86C3B"/>
    <w:rsid w:val="00F86E81"/>
    <w:rsid w:val="00F86F72"/>
    <w:rsid w:val="00F873E3"/>
    <w:rsid w:val="00F87476"/>
    <w:rsid w:val="00F87619"/>
    <w:rsid w:val="00F87832"/>
    <w:rsid w:val="00F87EF9"/>
    <w:rsid w:val="00F9025B"/>
    <w:rsid w:val="00F9041B"/>
    <w:rsid w:val="00F9060F"/>
    <w:rsid w:val="00F90648"/>
    <w:rsid w:val="00F9073C"/>
    <w:rsid w:val="00F90787"/>
    <w:rsid w:val="00F90AD4"/>
    <w:rsid w:val="00F90BAD"/>
    <w:rsid w:val="00F911BC"/>
    <w:rsid w:val="00F91307"/>
    <w:rsid w:val="00F91317"/>
    <w:rsid w:val="00F91476"/>
    <w:rsid w:val="00F9187B"/>
    <w:rsid w:val="00F91EBE"/>
    <w:rsid w:val="00F920E1"/>
    <w:rsid w:val="00F92385"/>
    <w:rsid w:val="00F923E7"/>
    <w:rsid w:val="00F9255B"/>
    <w:rsid w:val="00F92F9B"/>
    <w:rsid w:val="00F93466"/>
    <w:rsid w:val="00F9368A"/>
    <w:rsid w:val="00F93792"/>
    <w:rsid w:val="00F9393B"/>
    <w:rsid w:val="00F93985"/>
    <w:rsid w:val="00F93E2E"/>
    <w:rsid w:val="00F93E37"/>
    <w:rsid w:val="00F93F86"/>
    <w:rsid w:val="00F9427D"/>
    <w:rsid w:val="00F942C3"/>
    <w:rsid w:val="00F9445B"/>
    <w:rsid w:val="00F94495"/>
    <w:rsid w:val="00F945E0"/>
    <w:rsid w:val="00F94637"/>
    <w:rsid w:val="00F949B0"/>
    <w:rsid w:val="00F94B4A"/>
    <w:rsid w:val="00F94E53"/>
    <w:rsid w:val="00F959F3"/>
    <w:rsid w:val="00F95A04"/>
    <w:rsid w:val="00F95C14"/>
    <w:rsid w:val="00F95CD8"/>
    <w:rsid w:val="00F95DC8"/>
    <w:rsid w:val="00F95EC1"/>
    <w:rsid w:val="00F95F9F"/>
    <w:rsid w:val="00F961EC"/>
    <w:rsid w:val="00F9626C"/>
    <w:rsid w:val="00F964A1"/>
    <w:rsid w:val="00F96823"/>
    <w:rsid w:val="00F969E5"/>
    <w:rsid w:val="00F96F05"/>
    <w:rsid w:val="00F96F94"/>
    <w:rsid w:val="00F970B8"/>
    <w:rsid w:val="00F9783B"/>
    <w:rsid w:val="00F978F2"/>
    <w:rsid w:val="00F97DF9"/>
    <w:rsid w:val="00FA0082"/>
    <w:rsid w:val="00FA091F"/>
    <w:rsid w:val="00FA0932"/>
    <w:rsid w:val="00FA0AB4"/>
    <w:rsid w:val="00FA0B83"/>
    <w:rsid w:val="00FA0B85"/>
    <w:rsid w:val="00FA1057"/>
    <w:rsid w:val="00FA1271"/>
    <w:rsid w:val="00FA15A1"/>
    <w:rsid w:val="00FA169F"/>
    <w:rsid w:val="00FA16F8"/>
    <w:rsid w:val="00FA1966"/>
    <w:rsid w:val="00FA1B4F"/>
    <w:rsid w:val="00FA1BE0"/>
    <w:rsid w:val="00FA1F52"/>
    <w:rsid w:val="00FA2468"/>
    <w:rsid w:val="00FA2BC1"/>
    <w:rsid w:val="00FA2C85"/>
    <w:rsid w:val="00FA3126"/>
    <w:rsid w:val="00FA3130"/>
    <w:rsid w:val="00FA35FC"/>
    <w:rsid w:val="00FA35FD"/>
    <w:rsid w:val="00FA37B0"/>
    <w:rsid w:val="00FA3960"/>
    <w:rsid w:val="00FA3A61"/>
    <w:rsid w:val="00FA3B4A"/>
    <w:rsid w:val="00FA3CF0"/>
    <w:rsid w:val="00FA3ED9"/>
    <w:rsid w:val="00FA41C4"/>
    <w:rsid w:val="00FA464B"/>
    <w:rsid w:val="00FA4797"/>
    <w:rsid w:val="00FA479D"/>
    <w:rsid w:val="00FA47EA"/>
    <w:rsid w:val="00FA47EB"/>
    <w:rsid w:val="00FA48F9"/>
    <w:rsid w:val="00FA4914"/>
    <w:rsid w:val="00FA4985"/>
    <w:rsid w:val="00FA4E1F"/>
    <w:rsid w:val="00FA52A2"/>
    <w:rsid w:val="00FA5596"/>
    <w:rsid w:val="00FA5977"/>
    <w:rsid w:val="00FA59DB"/>
    <w:rsid w:val="00FA5AFD"/>
    <w:rsid w:val="00FA5E24"/>
    <w:rsid w:val="00FA6676"/>
    <w:rsid w:val="00FA699E"/>
    <w:rsid w:val="00FA6A37"/>
    <w:rsid w:val="00FA6D7B"/>
    <w:rsid w:val="00FA6F34"/>
    <w:rsid w:val="00FA787C"/>
    <w:rsid w:val="00FA79E4"/>
    <w:rsid w:val="00FA7A85"/>
    <w:rsid w:val="00FA7C02"/>
    <w:rsid w:val="00FA7C43"/>
    <w:rsid w:val="00FB00A1"/>
    <w:rsid w:val="00FB019E"/>
    <w:rsid w:val="00FB04C5"/>
    <w:rsid w:val="00FB081E"/>
    <w:rsid w:val="00FB0869"/>
    <w:rsid w:val="00FB09A4"/>
    <w:rsid w:val="00FB0CF0"/>
    <w:rsid w:val="00FB100E"/>
    <w:rsid w:val="00FB13D4"/>
    <w:rsid w:val="00FB140C"/>
    <w:rsid w:val="00FB1726"/>
    <w:rsid w:val="00FB1938"/>
    <w:rsid w:val="00FB1A29"/>
    <w:rsid w:val="00FB1B19"/>
    <w:rsid w:val="00FB2694"/>
    <w:rsid w:val="00FB2838"/>
    <w:rsid w:val="00FB28EA"/>
    <w:rsid w:val="00FB2B85"/>
    <w:rsid w:val="00FB2CA5"/>
    <w:rsid w:val="00FB3084"/>
    <w:rsid w:val="00FB32AF"/>
    <w:rsid w:val="00FB39DE"/>
    <w:rsid w:val="00FB3B98"/>
    <w:rsid w:val="00FB3FEA"/>
    <w:rsid w:val="00FB43C4"/>
    <w:rsid w:val="00FB4762"/>
    <w:rsid w:val="00FB483E"/>
    <w:rsid w:val="00FB485E"/>
    <w:rsid w:val="00FB48BD"/>
    <w:rsid w:val="00FB4FC8"/>
    <w:rsid w:val="00FB5102"/>
    <w:rsid w:val="00FB5223"/>
    <w:rsid w:val="00FB52FD"/>
    <w:rsid w:val="00FB5A4E"/>
    <w:rsid w:val="00FB5AE4"/>
    <w:rsid w:val="00FB5B95"/>
    <w:rsid w:val="00FB60C2"/>
    <w:rsid w:val="00FB618F"/>
    <w:rsid w:val="00FB62FF"/>
    <w:rsid w:val="00FB638C"/>
    <w:rsid w:val="00FB65E9"/>
    <w:rsid w:val="00FB67D9"/>
    <w:rsid w:val="00FB6846"/>
    <w:rsid w:val="00FB6986"/>
    <w:rsid w:val="00FB74CD"/>
    <w:rsid w:val="00FB79BC"/>
    <w:rsid w:val="00FB7A7A"/>
    <w:rsid w:val="00FB7CBC"/>
    <w:rsid w:val="00FC012F"/>
    <w:rsid w:val="00FC05BF"/>
    <w:rsid w:val="00FC0611"/>
    <w:rsid w:val="00FC07DB"/>
    <w:rsid w:val="00FC08C2"/>
    <w:rsid w:val="00FC0A6C"/>
    <w:rsid w:val="00FC1235"/>
    <w:rsid w:val="00FC17AA"/>
    <w:rsid w:val="00FC19AA"/>
    <w:rsid w:val="00FC206B"/>
    <w:rsid w:val="00FC21C9"/>
    <w:rsid w:val="00FC21D0"/>
    <w:rsid w:val="00FC227B"/>
    <w:rsid w:val="00FC2774"/>
    <w:rsid w:val="00FC29F7"/>
    <w:rsid w:val="00FC2D85"/>
    <w:rsid w:val="00FC319D"/>
    <w:rsid w:val="00FC346E"/>
    <w:rsid w:val="00FC3549"/>
    <w:rsid w:val="00FC378B"/>
    <w:rsid w:val="00FC3A55"/>
    <w:rsid w:val="00FC3B32"/>
    <w:rsid w:val="00FC41FB"/>
    <w:rsid w:val="00FC4245"/>
    <w:rsid w:val="00FC47F9"/>
    <w:rsid w:val="00FC4841"/>
    <w:rsid w:val="00FC48C0"/>
    <w:rsid w:val="00FC498F"/>
    <w:rsid w:val="00FC4A8F"/>
    <w:rsid w:val="00FC4E2C"/>
    <w:rsid w:val="00FC500A"/>
    <w:rsid w:val="00FC540C"/>
    <w:rsid w:val="00FC5678"/>
    <w:rsid w:val="00FC56F9"/>
    <w:rsid w:val="00FC594A"/>
    <w:rsid w:val="00FC5C49"/>
    <w:rsid w:val="00FC5D33"/>
    <w:rsid w:val="00FC5DE2"/>
    <w:rsid w:val="00FC635B"/>
    <w:rsid w:val="00FC6831"/>
    <w:rsid w:val="00FC6AAF"/>
    <w:rsid w:val="00FC6F7A"/>
    <w:rsid w:val="00FC6FF2"/>
    <w:rsid w:val="00FC7275"/>
    <w:rsid w:val="00FC734D"/>
    <w:rsid w:val="00FC7586"/>
    <w:rsid w:val="00FC76D6"/>
    <w:rsid w:val="00FC7882"/>
    <w:rsid w:val="00FC7B39"/>
    <w:rsid w:val="00FC7D8C"/>
    <w:rsid w:val="00FC7E3B"/>
    <w:rsid w:val="00FD0821"/>
    <w:rsid w:val="00FD0FFB"/>
    <w:rsid w:val="00FD1193"/>
    <w:rsid w:val="00FD13C7"/>
    <w:rsid w:val="00FD15E8"/>
    <w:rsid w:val="00FD16D4"/>
    <w:rsid w:val="00FD1875"/>
    <w:rsid w:val="00FD1AC0"/>
    <w:rsid w:val="00FD1EDE"/>
    <w:rsid w:val="00FD223E"/>
    <w:rsid w:val="00FD28A4"/>
    <w:rsid w:val="00FD3144"/>
    <w:rsid w:val="00FD31B1"/>
    <w:rsid w:val="00FD3323"/>
    <w:rsid w:val="00FD33CB"/>
    <w:rsid w:val="00FD340F"/>
    <w:rsid w:val="00FD3853"/>
    <w:rsid w:val="00FD3972"/>
    <w:rsid w:val="00FD3983"/>
    <w:rsid w:val="00FD3C00"/>
    <w:rsid w:val="00FD3C01"/>
    <w:rsid w:val="00FD3D90"/>
    <w:rsid w:val="00FD410B"/>
    <w:rsid w:val="00FD4166"/>
    <w:rsid w:val="00FD4215"/>
    <w:rsid w:val="00FD43C7"/>
    <w:rsid w:val="00FD516D"/>
    <w:rsid w:val="00FD5505"/>
    <w:rsid w:val="00FD5995"/>
    <w:rsid w:val="00FD59E0"/>
    <w:rsid w:val="00FD5A01"/>
    <w:rsid w:val="00FD5B4F"/>
    <w:rsid w:val="00FD5D72"/>
    <w:rsid w:val="00FD5FB8"/>
    <w:rsid w:val="00FD6001"/>
    <w:rsid w:val="00FD6046"/>
    <w:rsid w:val="00FD6085"/>
    <w:rsid w:val="00FD6836"/>
    <w:rsid w:val="00FD6ACE"/>
    <w:rsid w:val="00FD6C70"/>
    <w:rsid w:val="00FD70C8"/>
    <w:rsid w:val="00FD7369"/>
    <w:rsid w:val="00FD7669"/>
    <w:rsid w:val="00FD7822"/>
    <w:rsid w:val="00FD79DE"/>
    <w:rsid w:val="00FD7A3F"/>
    <w:rsid w:val="00FD7C5F"/>
    <w:rsid w:val="00FE00A2"/>
    <w:rsid w:val="00FE01B2"/>
    <w:rsid w:val="00FE01DD"/>
    <w:rsid w:val="00FE0591"/>
    <w:rsid w:val="00FE070E"/>
    <w:rsid w:val="00FE07B4"/>
    <w:rsid w:val="00FE098F"/>
    <w:rsid w:val="00FE09BB"/>
    <w:rsid w:val="00FE1254"/>
    <w:rsid w:val="00FE1623"/>
    <w:rsid w:val="00FE1C4B"/>
    <w:rsid w:val="00FE1E96"/>
    <w:rsid w:val="00FE2105"/>
    <w:rsid w:val="00FE216B"/>
    <w:rsid w:val="00FE21E2"/>
    <w:rsid w:val="00FE2351"/>
    <w:rsid w:val="00FE255A"/>
    <w:rsid w:val="00FE28E3"/>
    <w:rsid w:val="00FE2B55"/>
    <w:rsid w:val="00FE2C36"/>
    <w:rsid w:val="00FE31D0"/>
    <w:rsid w:val="00FE32EF"/>
    <w:rsid w:val="00FE337D"/>
    <w:rsid w:val="00FE3C7A"/>
    <w:rsid w:val="00FE3FF5"/>
    <w:rsid w:val="00FE43A0"/>
    <w:rsid w:val="00FE43F7"/>
    <w:rsid w:val="00FE4BCB"/>
    <w:rsid w:val="00FE4D37"/>
    <w:rsid w:val="00FE4FFB"/>
    <w:rsid w:val="00FE502C"/>
    <w:rsid w:val="00FE50B2"/>
    <w:rsid w:val="00FE5580"/>
    <w:rsid w:val="00FE562E"/>
    <w:rsid w:val="00FE5B52"/>
    <w:rsid w:val="00FE5D1F"/>
    <w:rsid w:val="00FE637F"/>
    <w:rsid w:val="00FE6475"/>
    <w:rsid w:val="00FE6615"/>
    <w:rsid w:val="00FE6975"/>
    <w:rsid w:val="00FE6A72"/>
    <w:rsid w:val="00FE6CAA"/>
    <w:rsid w:val="00FE6DE1"/>
    <w:rsid w:val="00FE71BA"/>
    <w:rsid w:val="00FE7CD1"/>
    <w:rsid w:val="00FF0061"/>
    <w:rsid w:val="00FF0531"/>
    <w:rsid w:val="00FF0594"/>
    <w:rsid w:val="00FF075E"/>
    <w:rsid w:val="00FF0FC3"/>
    <w:rsid w:val="00FF110C"/>
    <w:rsid w:val="00FF1B8E"/>
    <w:rsid w:val="00FF1EE0"/>
    <w:rsid w:val="00FF1EEA"/>
    <w:rsid w:val="00FF1F38"/>
    <w:rsid w:val="00FF1F99"/>
    <w:rsid w:val="00FF205C"/>
    <w:rsid w:val="00FF2228"/>
    <w:rsid w:val="00FF2314"/>
    <w:rsid w:val="00FF2515"/>
    <w:rsid w:val="00FF283B"/>
    <w:rsid w:val="00FF2858"/>
    <w:rsid w:val="00FF2B6B"/>
    <w:rsid w:val="00FF305C"/>
    <w:rsid w:val="00FF318D"/>
    <w:rsid w:val="00FF324C"/>
    <w:rsid w:val="00FF36B3"/>
    <w:rsid w:val="00FF3723"/>
    <w:rsid w:val="00FF3773"/>
    <w:rsid w:val="00FF3935"/>
    <w:rsid w:val="00FF3CDC"/>
    <w:rsid w:val="00FF3F6F"/>
    <w:rsid w:val="00FF4091"/>
    <w:rsid w:val="00FF40CE"/>
    <w:rsid w:val="00FF446F"/>
    <w:rsid w:val="00FF4706"/>
    <w:rsid w:val="00FF48F7"/>
    <w:rsid w:val="00FF4970"/>
    <w:rsid w:val="00FF4A4B"/>
    <w:rsid w:val="00FF4A94"/>
    <w:rsid w:val="00FF4AF1"/>
    <w:rsid w:val="00FF5354"/>
    <w:rsid w:val="00FF5480"/>
    <w:rsid w:val="00FF55FA"/>
    <w:rsid w:val="00FF6424"/>
    <w:rsid w:val="00FF675D"/>
    <w:rsid w:val="00FF687E"/>
    <w:rsid w:val="00FF6CC7"/>
    <w:rsid w:val="00FF6F19"/>
    <w:rsid w:val="00FF70CA"/>
    <w:rsid w:val="00FF78B5"/>
    <w:rsid w:val="00FF7996"/>
    <w:rsid w:val="00FF7A03"/>
    <w:rsid w:val="0122B437"/>
    <w:rsid w:val="01A5E329"/>
    <w:rsid w:val="01C7B54F"/>
    <w:rsid w:val="01E81031"/>
    <w:rsid w:val="029E812F"/>
    <w:rsid w:val="02A6DC62"/>
    <w:rsid w:val="02AACF6B"/>
    <w:rsid w:val="0320C596"/>
    <w:rsid w:val="03B9E834"/>
    <w:rsid w:val="0569B545"/>
    <w:rsid w:val="05F24F18"/>
    <w:rsid w:val="0631EDF5"/>
    <w:rsid w:val="06B675B4"/>
    <w:rsid w:val="06C48992"/>
    <w:rsid w:val="070956C5"/>
    <w:rsid w:val="0709FBF2"/>
    <w:rsid w:val="0762C60E"/>
    <w:rsid w:val="07F4584C"/>
    <w:rsid w:val="08530096"/>
    <w:rsid w:val="08B932C9"/>
    <w:rsid w:val="08F0C571"/>
    <w:rsid w:val="09FE904E"/>
    <w:rsid w:val="0A399ABC"/>
    <w:rsid w:val="0ABD2A1D"/>
    <w:rsid w:val="0AD3AA7E"/>
    <w:rsid w:val="0B7B034C"/>
    <w:rsid w:val="0BDE8446"/>
    <w:rsid w:val="0BE6ECC3"/>
    <w:rsid w:val="0BE8C032"/>
    <w:rsid w:val="0BF95889"/>
    <w:rsid w:val="0C52E488"/>
    <w:rsid w:val="0CBFD812"/>
    <w:rsid w:val="0CF8C3D8"/>
    <w:rsid w:val="0D1EA3C6"/>
    <w:rsid w:val="0D79F8C0"/>
    <w:rsid w:val="0E6B53DC"/>
    <w:rsid w:val="0F316429"/>
    <w:rsid w:val="1070AA14"/>
    <w:rsid w:val="11CF5E7F"/>
    <w:rsid w:val="11DD8C21"/>
    <w:rsid w:val="11E3BF51"/>
    <w:rsid w:val="11ECB193"/>
    <w:rsid w:val="126126F0"/>
    <w:rsid w:val="126E31FE"/>
    <w:rsid w:val="130F6E36"/>
    <w:rsid w:val="13375080"/>
    <w:rsid w:val="138FAC6A"/>
    <w:rsid w:val="13D8328D"/>
    <w:rsid w:val="157B8E7F"/>
    <w:rsid w:val="15CBDEA0"/>
    <w:rsid w:val="17986319"/>
    <w:rsid w:val="182710A7"/>
    <w:rsid w:val="1834FEA2"/>
    <w:rsid w:val="18CE8D45"/>
    <w:rsid w:val="192B662F"/>
    <w:rsid w:val="19458FD4"/>
    <w:rsid w:val="19D884A1"/>
    <w:rsid w:val="19DD1D24"/>
    <w:rsid w:val="19F9C64E"/>
    <w:rsid w:val="1ACBB9C0"/>
    <w:rsid w:val="1B84041E"/>
    <w:rsid w:val="1BA562E5"/>
    <w:rsid w:val="1BAC3B13"/>
    <w:rsid w:val="1C8D4E0E"/>
    <w:rsid w:val="1CBBF0F2"/>
    <w:rsid w:val="1DCD2B30"/>
    <w:rsid w:val="1E2E784F"/>
    <w:rsid w:val="1E6EDBB7"/>
    <w:rsid w:val="1F160F74"/>
    <w:rsid w:val="1F25007B"/>
    <w:rsid w:val="1F709AD4"/>
    <w:rsid w:val="1F78E66F"/>
    <w:rsid w:val="1F8EE2E2"/>
    <w:rsid w:val="201CD788"/>
    <w:rsid w:val="2048CBB8"/>
    <w:rsid w:val="20598AFB"/>
    <w:rsid w:val="20823117"/>
    <w:rsid w:val="212C326F"/>
    <w:rsid w:val="222C02E6"/>
    <w:rsid w:val="226D1309"/>
    <w:rsid w:val="2365A5AE"/>
    <w:rsid w:val="23AC136D"/>
    <w:rsid w:val="23E7C1F4"/>
    <w:rsid w:val="2486C218"/>
    <w:rsid w:val="2677ECA3"/>
    <w:rsid w:val="2688B658"/>
    <w:rsid w:val="268D92D6"/>
    <w:rsid w:val="26E27606"/>
    <w:rsid w:val="2815A0E7"/>
    <w:rsid w:val="282B44F7"/>
    <w:rsid w:val="2882D095"/>
    <w:rsid w:val="28B9FC26"/>
    <w:rsid w:val="2926C0DA"/>
    <w:rsid w:val="29C8FAEB"/>
    <w:rsid w:val="2A5B6CCC"/>
    <w:rsid w:val="2B012912"/>
    <w:rsid w:val="2C521A76"/>
    <w:rsid w:val="2C8A5CBC"/>
    <w:rsid w:val="2C9A61AD"/>
    <w:rsid w:val="2CB63A55"/>
    <w:rsid w:val="2D149349"/>
    <w:rsid w:val="2D4D7F27"/>
    <w:rsid w:val="2D56545E"/>
    <w:rsid w:val="2DF32046"/>
    <w:rsid w:val="2E5C09C8"/>
    <w:rsid w:val="2E93216F"/>
    <w:rsid w:val="2ECCAC68"/>
    <w:rsid w:val="2F100AB5"/>
    <w:rsid w:val="2FCEC2FA"/>
    <w:rsid w:val="30057260"/>
    <w:rsid w:val="30895276"/>
    <w:rsid w:val="314E53A0"/>
    <w:rsid w:val="31E27855"/>
    <w:rsid w:val="31F98691"/>
    <w:rsid w:val="3252B7D1"/>
    <w:rsid w:val="325D7945"/>
    <w:rsid w:val="32F04F22"/>
    <w:rsid w:val="331F3426"/>
    <w:rsid w:val="33470097"/>
    <w:rsid w:val="3390A534"/>
    <w:rsid w:val="3432E7A9"/>
    <w:rsid w:val="344A1D48"/>
    <w:rsid w:val="347F8A0D"/>
    <w:rsid w:val="34BEB5A1"/>
    <w:rsid w:val="359C4A9C"/>
    <w:rsid w:val="3676470B"/>
    <w:rsid w:val="36DDC9C1"/>
    <w:rsid w:val="376B468B"/>
    <w:rsid w:val="3803DC73"/>
    <w:rsid w:val="38A2963F"/>
    <w:rsid w:val="3944AA55"/>
    <w:rsid w:val="39D7810B"/>
    <w:rsid w:val="39FBB5D1"/>
    <w:rsid w:val="3AA1B546"/>
    <w:rsid w:val="3B806F52"/>
    <w:rsid w:val="3CBB37F2"/>
    <w:rsid w:val="3CBDDA51"/>
    <w:rsid w:val="3D2ED27D"/>
    <w:rsid w:val="3D6E84D4"/>
    <w:rsid w:val="3DF384D0"/>
    <w:rsid w:val="3E8BA23A"/>
    <w:rsid w:val="3F27EC8D"/>
    <w:rsid w:val="407E56C0"/>
    <w:rsid w:val="40C90B7E"/>
    <w:rsid w:val="413A2EBB"/>
    <w:rsid w:val="42871FB7"/>
    <w:rsid w:val="42950091"/>
    <w:rsid w:val="43E435BA"/>
    <w:rsid w:val="44480F54"/>
    <w:rsid w:val="4468B5B8"/>
    <w:rsid w:val="4486A9CC"/>
    <w:rsid w:val="45C72766"/>
    <w:rsid w:val="45F89070"/>
    <w:rsid w:val="45FDB679"/>
    <w:rsid w:val="4657143D"/>
    <w:rsid w:val="46A8ABED"/>
    <w:rsid w:val="46F4A15C"/>
    <w:rsid w:val="47369257"/>
    <w:rsid w:val="47585402"/>
    <w:rsid w:val="4768A7AD"/>
    <w:rsid w:val="47789354"/>
    <w:rsid w:val="47AB25D3"/>
    <w:rsid w:val="48040171"/>
    <w:rsid w:val="48A00EC0"/>
    <w:rsid w:val="48AC6DDC"/>
    <w:rsid w:val="48C18BEE"/>
    <w:rsid w:val="49825DAC"/>
    <w:rsid w:val="49F147B8"/>
    <w:rsid w:val="4AED14FD"/>
    <w:rsid w:val="4AF2E5B4"/>
    <w:rsid w:val="4B3648B9"/>
    <w:rsid w:val="4B432A78"/>
    <w:rsid w:val="4B7E35C0"/>
    <w:rsid w:val="4BB28C6F"/>
    <w:rsid w:val="4BC201D9"/>
    <w:rsid w:val="4BC2C8C9"/>
    <w:rsid w:val="4C566F29"/>
    <w:rsid w:val="4D59494B"/>
    <w:rsid w:val="4D69A346"/>
    <w:rsid w:val="4DC6B975"/>
    <w:rsid w:val="4DD2EB5B"/>
    <w:rsid w:val="4F31B486"/>
    <w:rsid w:val="51FE2135"/>
    <w:rsid w:val="52C46AD0"/>
    <w:rsid w:val="52E3272C"/>
    <w:rsid w:val="53F4BED9"/>
    <w:rsid w:val="53FF18A7"/>
    <w:rsid w:val="54166606"/>
    <w:rsid w:val="54BDBC6B"/>
    <w:rsid w:val="54F15C31"/>
    <w:rsid w:val="5516C522"/>
    <w:rsid w:val="55DCED4B"/>
    <w:rsid w:val="5652F818"/>
    <w:rsid w:val="575B8674"/>
    <w:rsid w:val="576A20A2"/>
    <w:rsid w:val="57B163BA"/>
    <w:rsid w:val="57BA4D5F"/>
    <w:rsid w:val="58717110"/>
    <w:rsid w:val="5874E44E"/>
    <w:rsid w:val="591F5C57"/>
    <w:rsid w:val="596FF422"/>
    <w:rsid w:val="597C6327"/>
    <w:rsid w:val="597D9217"/>
    <w:rsid w:val="598740D3"/>
    <w:rsid w:val="5A74D6B7"/>
    <w:rsid w:val="5B14B512"/>
    <w:rsid w:val="5B3DF90D"/>
    <w:rsid w:val="5C36DE0D"/>
    <w:rsid w:val="5C4562D5"/>
    <w:rsid w:val="5CF25A2B"/>
    <w:rsid w:val="5D1AB841"/>
    <w:rsid w:val="5DB25652"/>
    <w:rsid w:val="5E444BF4"/>
    <w:rsid w:val="5F05BD10"/>
    <w:rsid w:val="5F1207C9"/>
    <w:rsid w:val="5F272C4A"/>
    <w:rsid w:val="60FC5F63"/>
    <w:rsid w:val="612AD497"/>
    <w:rsid w:val="619EC241"/>
    <w:rsid w:val="61AE6488"/>
    <w:rsid w:val="627586F7"/>
    <w:rsid w:val="627843F4"/>
    <w:rsid w:val="6502A57C"/>
    <w:rsid w:val="65CECC39"/>
    <w:rsid w:val="65F164A6"/>
    <w:rsid w:val="663BFC56"/>
    <w:rsid w:val="66EEF326"/>
    <w:rsid w:val="67598C9A"/>
    <w:rsid w:val="685A6FB9"/>
    <w:rsid w:val="68AC7300"/>
    <w:rsid w:val="69BDEA61"/>
    <w:rsid w:val="69ED3FC8"/>
    <w:rsid w:val="6A2A4F2C"/>
    <w:rsid w:val="6A816325"/>
    <w:rsid w:val="6AC5BCC8"/>
    <w:rsid w:val="6B1AF673"/>
    <w:rsid w:val="6BAB1A12"/>
    <w:rsid w:val="6C7F054B"/>
    <w:rsid w:val="6C8C6621"/>
    <w:rsid w:val="6DCDD926"/>
    <w:rsid w:val="6E923E50"/>
    <w:rsid w:val="6FBB3F33"/>
    <w:rsid w:val="707A74C5"/>
    <w:rsid w:val="70FF98DA"/>
    <w:rsid w:val="712B0E82"/>
    <w:rsid w:val="7147B6F7"/>
    <w:rsid w:val="717CD2AB"/>
    <w:rsid w:val="71C42F1B"/>
    <w:rsid w:val="72940A73"/>
    <w:rsid w:val="736EEC51"/>
    <w:rsid w:val="741EE745"/>
    <w:rsid w:val="743B3FD3"/>
    <w:rsid w:val="743F98CF"/>
    <w:rsid w:val="7454775E"/>
    <w:rsid w:val="76A47642"/>
    <w:rsid w:val="76ACAB8B"/>
    <w:rsid w:val="76FB1116"/>
    <w:rsid w:val="77BD28E2"/>
    <w:rsid w:val="78406536"/>
    <w:rsid w:val="78B2AC83"/>
    <w:rsid w:val="78DDF8A4"/>
    <w:rsid w:val="78FD09A0"/>
    <w:rsid w:val="7AD8EA10"/>
    <w:rsid w:val="7B012691"/>
    <w:rsid w:val="7B577A91"/>
    <w:rsid w:val="7B86180C"/>
    <w:rsid w:val="7BC6FA55"/>
    <w:rsid w:val="7C1005EA"/>
    <w:rsid w:val="7D104260"/>
    <w:rsid w:val="7D30BC7A"/>
    <w:rsid w:val="7D3A9815"/>
    <w:rsid w:val="7EB7F0D7"/>
    <w:rsid w:val="7EB90CB0"/>
    <w:rsid w:val="7F99A412"/>
    <w:rsid w:val="7F9E0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F7EC"/>
  <w15:chartTrackingRefBased/>
  <w15:docId w15:val="{EA09B4C2-93EB-480E-84C4-59F274DDF87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9"/>
    <w:qFormat/>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ALTS FOOTNOTE"/>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ALTS FOOTNOTE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o + Times New Roman,Style 58,Style 12,(NECG) Footnote Reference,Appel note de bas de p,Style 124,Style 17,Style 20,Style 13,fr1,fr2,fr3"/>
    <w:basedOn w:val="DefaultParagraphFont"/>
    <w:uiPriority w:val="99"/>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4"/>
      </w:numPr>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UnresolvedMention">
    <w:name w:val="Unresolved Mention"/>
    <w:basedOn w:val="DefaultParagraphFont"/>
    <w:uiPriority w:val="99"/>
    <w:semiHidden/>
    <w:unhideWhenUsed/>
    <w:rsid w:val="00247003"/>
    <w:rPr>
      <w:color w:val="605E5C"/>
      <w:shd w:val="clear" w:color="auto" w:fill="E1DFDD"/>
    </w:rPr>
  </w:style>
  <w:style w:type="paragraph" w:styleId="ListParagraph">
    <w:name w:val="List Paragraph"/>
    <w:basedOn w:val="Normal"/>
    <w:uiPriority w:val="34"/>
    <w:qFormat/>
    <w:rsid w:val="00C7680D"/>
    <w:pPr>
      <w:ind w:left="720"/>
      <w:contextualSpacing/>
    </w:pPr>
  </w:style>
  <w:style w:type="paragraph" w:customStyle="1" w:styleId="Default">
    <w:name w:val="Default"/>
    <w:rsid w:val="00014A90"/>
    <w:pPr>
      <w:autoSpaceDE w:val="0"/>
      <w:autoSpaceDN w:val="0"/>
      <w:adjustRightInd w:val="0"/>
      <w:spacing w:after="0" w:line="240" w:lineRule="auto"/>
    </w:pPr>
    <w:rPr>
      <w:rFonts w:ascii="Arial" w:hAnsi="Arial" w:cs="Arial"/>
      <w:color w:val="000000"/>
      <w:sz w:val="24"/>
      <w:szCs w:val="24"/>
    </w:rPr>
  </w:style>
  <w:style w:type="paragraph" w:customStyle="1" w:styleId="RASADocuments">
    <w:name w:val="RASA Documents"/>
    <w:basedOn w:val="Normal"/>
    <w:link w:val="RASADocumentsChar"/>
    <w:qFormat/>
    <w:rsid w:val="001D533E"/>
    <w:pPr>
      <w:tabs>
        <w:tab w:val="left" w:pos="432"/>
      </w:tabs>
      <w:spacing w:before="120" w:after="60" w:line="271" w:lineRule="auto"/>
      <w:ind w:left="432" w:firstLine="0"/>
    </w:pPr>
    <w:rPr>
      <w:rFonts w:ascii="Times New Roman" w:eastAsia="Times New Roman" w:hAnsi="Times New Roman" w:cstheme="minorHAnsi"/>
      <w:iCs/>
      <w:sz w:val="24"/>
      <w:szCs w:val="20"/>
    </w:rPr>
  </w:style>
  <w:style w:type="character" w:customStyle="1" w:styleId="RASADocumentsChar">
    <w:name w:val="RASA Documents Char"/>
    <w:basedOn w:val="DefaultParagraphFont"/>
    <w:link w:val="RASADocuments"/>
    <w:rsid w:val="001D533E"/>
    <w:rPr>
      <w:rFonts w:ascii="Times New Roman" w:eastAsia="Times New Roman" w:hAnsi="Times New Roman" w:cstheme="minorHAnsi"/>
      <w:iCs/>
      <w:sz w:val="24"/>
      <w:szCs w:val="20"/>
    </w:rPr>
  </w:style>
  <w:style w:type="character" w:styleId="CommentReference">
    <w:name w:val="annotation reference"/>
    <w:basedOn w:val="DefaultParagraphFont"/>
    <w:uiPriority w:val="99"/>
    <w:semiHidden/>
    <w:unhideWhenUsed/>
    <w:rsid w:val="00AC66DD"/>
    <w:rPr>
      <w:sz w:val="16"/>
      <w:szCs w:val="16"/>
    </w:rPr>
  </w:style>
  <w:style w:type="paragraph" w:styleId="CommentText">
    <w:name w:val="annotation text"/>
    <w:basedOn w:val="Normal"/>
    <w:link w:val="CommentTextChar"/>
    <w:uiPriority w:val="99"/>
    <w:unhideWhenUsed/>
    <w:rsid w:val="00AC66DD"/>
    <w:pPr>
      <w:spacing w:line="240" w:lineRule="auto"/>
    </w:pPr>
    <w:rPr>
      <w:sz w:val="20"/>
      <w:szCs w:val="20"/>
    </w:rPr>
  </w:style>
  <w:style w:type="character" w:customStyle="1" w:styleId="CommentTextChar">
    <w:name w:val="Comment Text Char"/>
    <w:basedOn w:val="DefaultParagraphFont"/>
    <w:link w:val="CommentText"/>
    <w:uiPriority w:val="99"/>
    <w:rsid w:val="00AC66DD"/>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C66DD"/>
    <w:rPr>
      <w:b/>
      <w:bCs/>
    </w:rPr>
  </w:style>
  <w:style w:type="character" w:customStyle="1" w:styleId="CommentSubjectChar">
    <w:name w:val="Comment Subject Char"/>
    <w:basedOn w:val="CommentTextChar"/>
    <w:link w:val="CommentSubject"/>
    <w:uiPriority w:val="99"/>
    <w:semiHidden/>
    <w:rsid w:val="00AC66DD"/>
    <w:rPr>
      <w:rFonts w:ascii="Book Antiqua" w:hAnsi="Book Antiqua"/>
      <w:b/>
      <w:bCs/>
      <w:sz w:val="20"/>
      <w:szCs w:val="20"/>
    </w:rPr>
  </w:style>
  <w:style w:type="paragraph" w:styleId="Revision">
    <w:name w:val="Revision"/>
    <w:hidden/>
    <w:uiPriority w:val="99"/>
    <w:semiHidden/>
    <w:rsid w:val="007A300D"/>
    <w:pPr>
      <w:spacing w:after="0" w:line="240" w:lineRule="auto"/>
    </w:pPr>
    <w:rPr>
      <w:rFonts w:ascii="Book Antiqua" w:hAnsi="Book Antiqua"/>
      <w:sz w:val="26"/>
    </w:rPr>
  </w:style>
  <w:style w:type="character" w:styleId="Mention">
    <w:name w:val="Mention"/>
    <w:basedOn w:val="DefaultParagraphFont"/>
    <w:uiPriority w:val="99"/>
    <w:unhideWhenUsed/>
    <w:rsid w:val="00D241BB"/>
    <w:rPr>
      <w:color w:val="2B579A"/>
      <w:shd w:val="clear" w:color="auto" w:fill="E1DFDD"/>
    </w:rPr>
  </w:style>
  <w:style w:type="character" w:styleId="FollowedHyperlink">
    <w:name w:val="FollowedHyperlink"/>
    <w:basedOn w:val="DefaultParagraphFont"/>
    <w:uiPriority w:val="99"/>
    <w:semiHidden/>
    <w:unhideWhenUsed/>
    <w:rsid w:val="005951BC"/>
    <w:rPr>
      <w:color w:val="954F72" w:themeColor="followedHyperlink"/>
      <w:u w:val="single"/>
    </w:rPr>
  </w:style>
  <w:style w:type="character" w:customStyle="1" w:styleId="normaltextrun">
    <w:name w:val="normaltextrun"/>
    <w:basedOn w:val="DefaultParagraphFont"/>
    <w:rsid w:val="00EB4002"/>
  </w:style>
  <w:style w:type="character" w:customStyle="1" w:styleId="eop">
    <w:name w:val="eop"/>
    <w:basedOn w:val="DefaultParagraphFont"/>
    <w:rsid w:val="00E0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93509">
      <w:bodyDiv w:val="1"/>
      <w:marLeft w:val="0"/>
      <w:marRight w:val="0"/>
      <w:marTop w:val="0"/>
      <w:marBottom w:val="0"/>
      <w:divBdr>
        <w:top w:val="none" w:sz="0" w:space="0" w:color="auto"/>
        <w:left w:val="none" w:sz="0" w:space="0" w:color="auto"/>
        <w:bottom w:val="none" w:sz="0" w:space="0" w:color="auto"/>
        <w:right w:val="none" w:sz="0" w:space="0" w:color="auto"/>
      </w:divBdr>
    </w:div>
    <w:div w:id="20435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puc.ca.gov/-/media/cpuc-website/divisions/news-and-outreach/documents/news-office/key-issues/esj/esj-action-plan-v2jw.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ation.gov/sites/dot.gov/files/2021-03/DOT%20VSL%20Guidance%20-%202021%20Update.pdf" TargetMode="External"/><Relationship Id="rId13" Type="http://schemas.openxmlformats.org/officeDocument/2006/relationships/hyperlink" Target="https://docs.cpuc.ca.gov/PublishedDocs/Efile/G000/M407/K950/407950875.PDF" TargetMode="External"/><Relationship Id="rId3" Type="http://schemas.openxmlformats.org/officeDocument/2006/relationships/hyperlink" Target="https://aspe.hhs.gov/sites/default/files/2021-07/hhs-guidelines-appendix-d-vsl-update.pdf" TargetMode="External"/><Relationship Id="rId7" Type="http://schemas.openxmlformats.org/officeDocument/2006/relationships/hyperlink" Target="https://www.transportation.gov/resources/value-of-a-statistical-life-guidance" TargetMode="External"/><Relationship Id="rId12" Type="http://schemas.openxmlformats.org/officeDocument/2006/relationships/hyperlink" Target="https://ww2.arb.ca.gov/resources/documents/examining-health-impacts-short-term-repeated-exposure-wildfire-smoke" TargetMode="External"/><Relationship Id="rId2" Type="http://schemas.openxmlformats.org/officeDocument/2006/relationships/hyperlink" Target="https://www.cpuc.ca.gov/news-and-updates/newsroom/environmental-and-social-justice-action-plan" TargetMode="External"/><Relationship Id="rId1" Type="http://schemas.openxmlformats.org/officeDocument/2006/relationships/hyperlink" Target="https://docs.cpuc.ca.gov/PublishedDocs/Efile/G000/M496/K415/496415725.PDF" TargetMode="External"/><Relationship Id="rId6" Type="http://schemas.openxmlformats.org/officeDocument/2006/relationships/hyperlink" Target="https://icecalculator.com/recent-updates" TargetMode="External"/><Relationship Id="rId11" Type="http://schemas.openxmlformats.org/officeDocument/2006/relationships/hyperlink" Target="https://oehha.ca.gov/calenviroscreen/report/calenviroscreen-40" TargetMode="External"/><Relationship Id="rId5" Type="http://schemas.openxmlformats.org/officeDocument/2006/relationships/hyperlink" Target="https://icecalculator.com/home" TargetMode="External"/><Relationship Id="rId10" Type="http://schemas.openxmlformats.org/officeDocument/2006/relationships/hyperlink" Target="https://www.cpuc.ca.gov/news-and-updates/newsroom/environmental-and-social-justice-action-plan" TargetMode="External"/><Relationship Id="rId4" Type="http://schemas.openxmlformats.org/officeDocument/2006/relationships/hyperlink" Target="https://www.transportation.gov/resources/value-of-a-statistical-life-guidance" TargetMode="External"/><Relationship Id="rId9" Type="http://schemas.openxmlformats.org/officeDocument/2006/relationships/hyperlink" Target="https://icecalculator.com/assets/documents/ICE-2.0-Survey-Design-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6e3fb7-5a6e-44ec-bba8-0f5edb349e10">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5eff49fa-fdc5-439e-aa03-034da97b653b">
      <Terms xmlns="http://schemas.microsoft.com/office/infopath/2007/PartnerControls"/>
    </lcf76f155ced4ddcb4097134ff3c332f>
    <TaxCatchAll xmlns="4d6e3fb7-5a6e-44ec-bba8-0f5edb349e10" xsi:nil="true"/>
    <Topic_x007c_Proceeding xmlns="5eff49fa-fdc5-439e-aa03-034da97b65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CC49087CBAF749BEA397E09F04586E" ma:contentTypeVersion="15" ma:contentTypeDescription="Create a new document." ma:contentTypeScope="" ma:versionID="8a85d74682ab22618f39cdbafac2b04d">
  <xsd:schema xmlns:xsd="http://www.w3.org/2001/XMLSchema" xmlns:xs="http://www.w3.org/2001/XMLSchema" xmlns:p="http://schemas.microsoft.com/office/2006/metadata/properties" xmlns:ns2="5eff49fa-fdc5-439e-aa03-034da97b653b" xmlns:ns3="4d6e3fb7-5a6e-44ec-bba8-0f5edb349e10" targetNamespace="http://schemas.microsoft.com/office/2006/metadata/properties" ma:root="true" ma:fieldsID="776fef93a5ddc8b87f40e1ab86daeeed" ns2:_="" ns3:_="">
    <xsd:import namespace="5eff49fa-fdc5-439e-aa03-034da97b653b"/>
    <xsd:import namespace="4d6e3fb7-5a6e-44ec-bba8-0f5edb349e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opic_x007c_Proceeding"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f49fa-fdc5-439e-aa03-034da97b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opic_x007c_Proceeding" ma:index="17" nillable="true" ma:displayName="Topic  |  Proceeding" ma:format="Dropdown" ma:internalName="Topic_x007c_Proceeding">
      <xsd:simpleType>
        <xsd:restriction base="dms:Choice">
          <xsd:enumeration value="PSPS R.18-12-010"/>
          <xsd:enumeration value="Microgrids R.19-09-009"/>
          <xsd:enumeration value="EDPP R.15-06-009"/>
          <xsd:enumeration value="Primary"/>
          <xsd:enumeration value="CCORE"/>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6e3fb7-5a6e-44ec-bba8-0f5edb349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ab7159-fb12-4e21-93d7-06cef4d8fa5b}" ma:internalName="TaxCatchAll" ma:showField="CatchAllData" ma:web="4d6e3fb7-5a6e-44ec-bba8-0f5edb349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d6e3fb7-5a6e-44ec-bba8-0f5edb349e10"/>
    <ds:schemaRef ds:uri="5eff49fa-fdc5-439e-aa03-034da97b653b"/>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5BCF39D6-0ECB-4ED4-A963-7631673F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f49fa-fdc5-439e-aa03-034da97b653b"/>
    <ds:schemaRef ds:uri="4d6e3fb7-5a6e-44ec-bba8-0f5edb34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74</ap:Pages>
  <ap:Words>16434</ap:Words>
  <ap:Characters>93674</ap:Characters>
  <ap:Application>Microsoft Office Word</ap:Application>
  <ap:DocSecurity>0</ap:DocSecurity>
  <ap:Lines>780</ap:Lines>
  <ap:Paragraphs>219</ap:Paragraphs>
  <ap:ScaleCrop>false</ap:ScaleCrop>
  <ap:HeadingPairs>
    <vt:vector baseType="variant" size="4">
      <vt:variant>
        <vt:lpstr>Title</vt:lpstr>
      </vt:variant>
      <vt:variant>
        <vt:i4>1</vt:i4>
      </vt:variant>
      <vt:variant>
        <vt:lpstr>Headings</vt:lpstr>
      </vt:variant>
      <vt:variant>
        <vt:i4>27</vt:i4>
      </vt:variant>
    </vt:vector>
  </ap:HeadingPairs>
  <ap:TitlesOfParts>
    <vt:vector baseType="lpstr" size="28">
      <vt:lpstr/>
      <vt:lpstr>PHASE II DECISION ADOPTING MODIFICATIONS TO THE RISK-BASED DECISION-MAKING FRAME</vt:lpstr>
      <vt:lpstr>Summary</vt:lpstr>
      <vt:lpstr>Background</vt:lpstr>
      <vt:lpstr>Procedural Background </vt:lpstr>
      <vt:lpstr>Jurisdiction</vt:lpstr>
      <vt:lpstr>Issues Before the Commission</vt:lpstr>
      <vt:lpstr>Refining the RDF Adopted in the SA Decision </vt:lpstr>
      <vt:lpstr>    Replacing MAVF Attributes With a Dollar Value</vt:lpstr>
      <vt:lpstr>        SA Decision Requirements </vt:lpstr>
      <vt:lpstr>        Staff Proposal</vt:lpstr>
      <vt:lpstr>        Party Comments</vt:lpstr>
      <vt:lpstr>        Discussion</vt:lpstr>
      <vt:lpstr>    Dollar Valuation of Safety and Reliability Consequences</vt:lpstr>
      <vt:lpstr>        5.2.1	Staff Proposal </vt:lpstr>
      <vt:lpstr>        Party Comments</vt:lpstr>
      <vt:lpstr>        Discussion</vt:lpstr>
      <vt:lpstr>    Incorporating Environmental and Social Justice Impacts into the RDF</vt:lpstr>
      <vt:lpstr>        Staff Proposal</vt:lpstr>
      <vt:lpstr>        Party Comments</vt:lpstr>
      <vt:lpstr>        Discussion</vt:lpstr>
      <vt:lpstr>    Modification of the Settlement Agreement in Appendix B</vt:lpstr>
      <vt:lpstr>        Party Comments</vt:lpstr>
      <vt:lpstr>        Discussion</vt:lpstr>
      <vt:lpstr>Comments on Proposed Decision</vt:lpstr>
      <vt:lpstr>Assignment of Proceeding</vt:lpstr>
      <vt:lpstr>Findings of Fact</vt:lpstr>
      <vt:lpstr>Conclusions of Law</vt:lpstr>
    </vt:vector>
  </ap:TitlesOfParts>
  <ap:Company/>
  <ap:LinksUpToDate>false</ap:LinksUpToDate>
  <ap:CharactersWithSpaces>109889</ap:CharactersWithSpaces>
  <ap:SharedDoc>false</ap:SharedDoc>
  <ap:HLinks>
    <vt:vector baseType="variant" size="270">
      <vt:variant>
        <vt:i4>3539067</vt:i4>
      </vt:variant>
      <vt:variant>
        <vt:i4>189</vt:i4>
      </vt:variant>
      <vt:variant>
        <vt:i4>0</vt:i4>
      </vt:variant>
      <vt:variant>
        <vt:i4>5</vt:i4>
      </vt:variant>
      <vt:variant>
        <vt:lpwstr>https://www.cpuc.ca.gov/-/media/cpuc-website/divisions/news-and-outreach/documents/news-office/key-issues/esj/esj-action-plan-v2jw.pdf</vt:lpwstr>
      </vt:variant>
      <vt:variant>
        <vt:lpwstr/>
      </vt:variant>
      <vt:variant>
        <vt:i4>1048636</vt:i4>
      </vt:variant>
      <vt:variant>
        <vt:i4>182</vt:i4>
      </vt:variant>
      <vt:variant>
        <vt:i4>0</vt:i4>
      </vt:variant>
      <vt:variant>
        <vt:i4>5</vt:i4>
      </vt:variant>
      <vt:variant>
        <vt:lpwstr/>
      </vt:variant>
      <vt:variant>
        <vt:lpwstr>_Toc118372272</vt:lpwstr>
      </vt:variant>
      <vt:variant>
        <vt:i4>1048636</vt:i4>
      </vt:variant>
      <vt:variant>
        <vt:i4>176</vt:i4>
      </vt:variant>
      <vt:variant>
        <vt:i4>0</vt:i4>
      </vt:variant>
      <vt:variant>
        <vt:i4>5</vt:i4>
      </vt:variant>
      <vt:variant>
        <vt:lpwstr/>
      </vt:variant>
      <vt:variant>
        <vt:lpwstr>_Toc118372271</vt:lpwstr>
      </vt:variant>
      <vt:variant>
        <vt:i4>1048636</vt:i4>
      </vt:variant>
      <vt:variant>
        <vt:i4>170</vt:i4>
      </vt:variant>
      <vt:variant>
        <vt:i4>0</vt:i4>
      </vt:variant>
      <vt:variant>
        <vt:i4>5</vt:i4>
      </vt:variant>
      <vt:variant>
        <vt:lpwstr/>
      </vt:variant>
      <vt:variant>
        <vt:lpwstr>_Toc118372270</vt:lpwstr>
      </vt:variant>
      <vt:variant>
        <vt:i4>1114172</vt:i4>
      </vt:variant>
      <vt:variant>
        <vt:i4>164</vt:i4>
      </vt:variant>
      <vt:variant>
        <vt:i4>0</vt:i4>
      </vt:variant>
      <vt:variant>
        <vt:i4>5</vt:i4>
      </vt:variant>
      <vt:variant>
        <vt:lpwstr/>
      </vt:variant>
      <vt:variant>
        <vt:lpwstr>_Toc118372269</vt:lpwstr>
      </vt:variant>
      <vt:variant>
        <vt:i4>1114172</vt:i4>
      </vt:variant>
      <vt:variant>
        <vt:i4>158</vt:i4>
      </vt:variant>
      <vt:variant>
        <vt:i4>0</vt:i4>
      </vt:variant>
      <vt:variant>
        <vt:i4>5</vt:i4>
      </vt:variant>
      <vt:variant>
        <vt:lpwstr/>
      </vt:variant>
      <vt:variant>
        <vt:lpwstr>_Toc118372268</vt:lpwstr>
      </vt:variant>
      <vt:variant>
        <vt:i4>1114172</vt:i4>
      </vt:variant>
      <vt:variant>
        <vt:i4>152</vt:i4>
      </vt:variant>
      <vt:variant>
        <vt:i4>0</vt:i4>
      </vt:variant>
      <vt:variant>
        <vt:i4>5</vt:i4>
      </vt:variant>
      <vt:variant>
        <vt:lpwstr/>
      </vt:variant>
      <vt:variant>
        <vt:lpwstr>_Toc118372267</vt:lpwstr>
      </vt:variant>
      <vt:variant>
        <vt:i4>1114172</vt:i4>
      </vt:variant>
      <vt:variant>
        <vt:i4>146</vt:i4>
      </vt:variant>
      <vt:variant>
        <vt:i4>0</vt:i4>
      </vt:variant>
      <vt:variant>
        <vt:i4>5</vt:i4>
      </vt:variant>
      <vt:variant>
        <vt:lpwstr/>
      </vt:variant>
      <vt:variant>
        <vt:lpwstr>_Toc118372266</vt:lpwstr>
      </vt:variant>
      <vt:variant>
        <vt:i4>1114172</vt:i4>
      </vt:variant>
      <vt:variant>
        <vt:i4>140</vt:i4>
      </vt:variant>
      <vt:variant>
        <vt:i4>0</vt:i4>
      </vt:variant>
      <vt:variant>
        <vt:i4>5</vt:i4>
      </vt:variant>
      <vt:variant>
        <vt:lpwstr/>
      </vt:variant>
      <vt:variant>
        <vt:lpwstr>_Toc118372265</vt:lpwstr>
      </vt:variant>
      <vt:variant>
        <vt:i4>1114172</vt:i4>
      </vt:variant>
      <vt:variant>
        <vt:i4>134</vt:i4>
      </vt:variant>
      <vt:variant>
        <vt:i4>0</vt:i4>
      </vt:variant>
      <vt:variant>
        <vt:i4>5</vt:i4>
      </vt:variant>
      <vt:variant>
        <vt:lpwstr/>
      </vt:variant>
      <vt:variant>
        <vt:lpwstr>_Toc118372264</vt:lpwstr>
      </vt:variant>
      <vt:variant>
        <vt:i4>1114172</vt:i4>
      </vt:variant>
      <vt:variant>
        <vt:i4>128</vt:i4>
      </vt:variant>
      <vt:variant>
        <vt:i4>0</vt:i4>
      </vt:variant>
      <vt:variant>
        <vt:i4>5</vt:i4>
      </vt:variant>
      <vt:variant>
        <vt:lpwstr/>
      </vt:variant>
      <vt:variant>
        <vt:lpwstr>_Toc118372263</vt:lpwstr>
      </vt:variant>
      <vt:variant>
        <vt:i4>1114172</vt:i4>
      </vt:variant>
      <vt:variant>
        <vt:i4>122</vt:i4>
      </vt:variant>
      <vt:variant>
        <vt:i4>0</vt:i4>
      </vt:variant>
      <vt:variant>
        <vt:i4>5</vt:i4>
      </vt:variant>
      <vt:variant>
        <vt:lpwstr/>
      </vt:variant>
      <vt:variant>
        <vt:lpwstr>_Toc118372262</vt:lpwstr>
      </vt:variant>
      <vt:variant>
        <vt:i4>1114172</vt:i4>
      </vt:variant>
      <vt:variant>
        <vt:i4>116</vt:i4>
      </vt:variant>
      <vt:variant>
        <vt:i4>0</vt:i4>
      </vt:variant>
      <vt:variant>
        <vt:i4>5</vt:i4>
      </vt:variant>
      <vt:variant>
        <vt:lpwstr/>
      </vt:variant>
      <vt:variant>
        <vt:lpwstr>_Toc118372261</vt:lpwstr>
      </vt:variant>
      <vt:variant>
        <vt:i4>1114172</vt:i4>
      </vt:variant>
      <vt:variant>
        <vt:i4>110</vt:i4>
      </vt:variant>
      <vt:variant>
        <vt:i4>0</vt:i4>
      </vt:variant>
      <vt:variant>
        <vt:i4>5</vt:i4>
      </vt:variant>
      <vt:variant>
        <vt:lpwstr/>
      </vt:variant>
      <vt:variant>
        <vt:lpwstr>_Toc118372260</vt:lpwstr>
      </vt:variant>
      <vt:variant>
        <vt:i4>1179708</vt:i4>
      </vt:variant>
      <vt:variant>
        <vt:i4>104</vt:i4>
      </vt:variant>
      <vt:variant>
        <vt:i4>0</vt:i4>
      </vt:variant>
      <vt:variant>
        <vt:i4>5</vt:i4>
      </vt:variant>
      <vt:variant>
        <vt:lpwstr/>
      </vt:variant>
      <vt:variant>
        <vt:lpwstr>_Toc118372259</vt:lpwstr>
      </vt:variant>
      <vt:variant>
        <vt:i4>1179708</vt:i4>
      </vt:variant>
      <vt:variant>
        <vt:i4>98</vt:i4>
      </vt:variant>
      <vt:variant>
        <vt:i4>0</vt:i4>
      </vt:variant>
      <vt:variant>
        <vt:i4>5</vt:i4>
      </vt:variant>
      <vt:variant>
        <vt:lpwstr/>
      </vt:variant>
      <vt:variant>
        <vt:lpwstr>_Toc118372258</vt:lpwstr>
      </vt:variant>
      <vt:variant>
        <vt:i4>1179708</vt:i4>
      </vt:variant>
      <vt:variant>
        <vt:i4>92</vt:i4>
      </vt:variant>
      <vt:variant>
        <vt:i4>0</vt:i4>
      </vt:variant>
      <vt:variant>
        <vt:i4>5</vt:i4>
      </vt:variant>
      <vt:variant>
        <vt:lpwstr/>
      </vt:variant>
      <vt:variant>
        <vt:lpwstr>_Toc118372257</vt:lpwstr>
      </vt:variant>
      <vt:variant>
        <vt:i4>1179708</vt:i4>
      </vt:variant>
      <vt:variant>
        <vt:i4>86</vt:i4>
      </vt:variant>
      <vt:variant>
        <vt:i4>0</vt:i4>
      </vt:variant>
      <vt:variant>
        <vt:i4>5</vt:i4>
      </vt:variant>
      <vt:variant>
        <vt:lpwstr/>
      </vt:variant>
      <vt:variant>
        <vt:lpwstr>_Toc118372256</vt:lpwstr>
      </vt:variant>
      <vt:variant>
        <vt:i4>1179708</vt:i4>
      </vt:variant>
      <vt:variant>
        <vt:i4>80</vt:i4>
      </vt:variant>
      <vt:variant>
        <vt:i4>0</vt:i4>
      </vt:variant>
      <vt:variant>
        <vt:i4>5</vt:i4>
      </vt:variant>
      <vt:variant>
        <vt:lpwstr/>
      </vt:variant>
      <vt:variant>
        <vt:lpwstr>_Toc118372255</vt:lpwstr>
      </vt:variant>
      <vt:variant>
        <vt:i4>1179708</vt:i4>
      </vt:variant>
      <vt:variant>
        <vt:i4>74</vt:i4>
      </vt:variant>
      <vt:variant>
        <vt:i4>0</vt:i4>
      </vt:variant>
      <vt:variant>
        <vt:i4>5</vt:i4>
      </vt:variant>
      <vt:variant>
        <vt:lpwstr/>
      </vt:variant>
      <vt:variant>
        <vt:lpwstr>_Toc118372254</vt:lpwstr>
      </vt:variant>
      <vt:variant>
        <vt:i4>1179708</vt:i4>
      </vt:variant>
      <vt:variant>
        <vt:i4>68</vt:i4>
      </vt:variant>
      <vt:variant>
        <vt:i4>0</vt:i4>
      </vt:variant>
      <vt:variant>
        <vt:i4>5</vt:i4>
      </vt:variant>
      <vt:variant>
        <vt:lpwstr/>
      </vt:variant>
      <vt:variant>
        <vt:lpwstr>_Toc118372253</vt:lpwstr>
      </vt:variant>
      <vt:variant>
        <vt:i4>1179708</vt:i4>
      </vt:variant>
      <vt:variant>
        <vt:i4>62</vt:i4>
      </vt:variant>
      <vt:variant>
        <vt:i4>0</vt:i4>
      </vt:variant>
      <vt:variant>
        <vt:i4>5</vt:i4>
      </vt:variant>
      <vt:variant>
        <vt:lpwstr/>
      </vt:variant>
      <vt:variant>
        <vt:lpwstr>_Toc118372252</vt:lpwstr>
      </vt:variant>
      <vt:variant>
        <vt:i4>1179708</vt:i4>
      </vt:variant>
      <vt:variant>
        <vt:i4>56</vt:i4>
      </vt:variant>
      <vt:variant>
        <vt:i4>0</vt:i4>
      </vt:variant>
      <vt:variant>
        <vt:i4>5</vt:i4>
      </vt:variant>
      <vt:variant>
        <vt:lpwstr/>
      </vt:variant>
      <vt:variant>
        <vt:lpwstr>_Toc118372251</vt:lpwstr>
      </vt:variant>
      <vt:variant>
        <vt:i4>1179708</vt:i4>
      </vt:variant>
      <vt:variant>
        <vt:i4>50</vt:i4>
      </vt:variant>
      <vt:variant>
        <vt:i4>0</vt:i4>
      </vt:variant>
      <vt:variant>
        <vt:i4>5</vt:i4>
      </vt:variant>
      <vt:variant>
        <vt:lpwstr/>
      </vt:variant>
      <vt:variant>
        <vt:lpwstr>_Toc118372250</vt:lpwstr>
      </vt:variant>
      <vt:variant>
        <vt:i4>1245244</vt:i4>
      </vt:variant>
      <vt:variant>
        <vt:i4>44</vt:i4>
      </vt:variant>
      <vt:variant>
        <vt:i4>0</vt:i4>
      </vt:variant>
      <vt:variant>
        <vt:i4>5</vt:i4>
      </vt:variant>
      <vt:variant>
        <vt:lpwstr/>
      </vt:variant>
      <vt:variant>
        <vt:lpwstr>_Toc118372249</vt:lpwstr>
      </vt:variant>
      <vt:variant>
        <vt:i4>1245244</vt:i4>
      </vt:variant>
      <vt:variant>
        <vt:i4>38</vt:i4>
      </vt:variant>
      <vt:variant>
        <vt:i4>0</vt:i4>
      </vt:variant>
      <vt:variant>
        <vt:i4>5</vt:i4>
      </vt:variant>
      <vt:variant>
        <vt:lpwstr/>
      </vt:variant>
      <vt:variant>
        <vt:lpwstr>_Toc118372248</vt:lpwstr>
      </vt:variant>
      <vt:variant>
        <vt:i4>1245244</vt:i4>
      </vt:variant>
      <vt:variant>
        <vt:i4>32</vt:i4>
      </vt:variant>
      <vt:variant>
        <vt:i4>0</vt:i4>
      </vt:variant>
      <vt:variant>
        <vt:i4>5</vt:i4>
      </vt:variant>
      <vt:variant>
        <vt:lpwstr/>
      </vt:variant>
      <vt:variant>
        <vt:lpwstr>_Toc118372247</vt:lpwstr>
      </vt:variant>
      <vt:variant>
        <vt:i4>1245244</vt:i4>
      </vt:variant>
      <vt:variant>
        <vt:i4>26</vt:i4>
      </vt:variant>
      <vt:variant>
        <vt:i4>0</vt:i4>
      </vt:variant>
      <vt:variant>
        <vt:i4>5</vt:i4>
      </vt:variant>
      <vt:variant>
        <vt:lpwstr/>
      </vt:variant>
      <vt:variant>
        <vt:lpwstr>_Toc118372246</vt:lpwstr>
      </vt:variant>
      <vt:variant>
        <vt:i4>1245244</vt:i4>
      </vt:variant>
      <vt:variant>
        <vt:i4>20</vt:i4>
      </vt:variant>
      <vt:variant>
        <vt:i4>0</vt:i4>
      </vt:variant>
      <vt:variant>
        <vt:i4>5</vt:i4>
      </vt:variant>
      <vt:variant>
        <vt:lpwstr/>
      </vt:variant>
      <vt:variant>
        <vt:lpwstr>_Toc118372245</vt:lpwstr>
      </vt:variant>
      <vt:variant>
        <vt:i4>1245244</vt:i4>
      </vt:variant>
      <vt:variant>
        <vt:i4>14</vt:i4>
      </vt:variant>
      <vt:variant>
        <vt:i4>0</vt:i4>
      </vt:variant>
      <vt:variant>
        <vt:i4>5</vt:i4>
      </vt:variant>
      <vt:variant>
        <vt:lpwstr/>
      </vt:variant>
      <vt:variant>
        <vt:lpwstr>_Toc118372244</vt:lpwstr>
      </vt:variant>
      <vt:variant>
        <vt:i4>1245244</vt:i4>
      </vt:variant>
      <vt:variant>
        <vt:i4>8</vt:i4>
      </vt:variant>
      <vt:variant>
        <vt:i4>0</vt:i4>
      </vt:variant>
      <vt:variant>
        <vt:i4>5</vt:i4>
      </vt:variant>
      <vt:variant>
        <vt:lpwstr/>
      </vt:variant>
      <vt:variant>
        <vt:lpwstr>_Toc118372243</vt:lpwstr>
      </vt:variant>
      <vt:variant>
        <vt:i4>1245244</vt:i4>
      </vt:variant>
      <vt:variant>
        <vt:i4>2</vt:i4>
      </vt:variant>
      <vt:variant>
        <vt:i4>0</vt:i4>
      </vt:variant>
      <vt:variant>
        <vt:i4>5</vt:i4>
      </vt:variant>
      <vt:variant>
        <vt:lpwstr/>
      </vt:variant>
      <vt:variant>
        <vt:lpwstr>_Toc118372242</vt:lpwstr>
      </vt:variant>
      <vt:variant>
        <vt:i4>589893</vt:i4>
      </vt:variant>
      <vt:variant>
        <vt:i4>36</vt:i4>
      </vt:variant>
      <vt:variant>
        <vt:i4>0</vt:i4>
      </vt:variant>
      <vt:variant>
        <vt:i4>5</vt:i4>
      </vt:variant>
      <vt:variant>
        <vt:lpwstr>https://docs.cpuc.ca.gov/PublishedDocs/Efile/G000/M407/K950/407950875.PDF</vt:lpwstr>
      </vt:variant>
      <vt:variant>
        <vt:lpwstr/>
      </vt:variant>
      <vt:variant>
        <vt:i4>2490426</vt:i4>
      </vt:variant>
      <vt:variant>
        <vt:i4>33</vt:i4>
      </vt:variant>
      <vt:variant>
        <vt:i4>0</vt:i4>
      </vt:variant>
      <vt:variant>
        <vt:i4>5</vt:i4>
      </vt:variant>
      <vt:variant>
        <vt:lpwstr>https://ww2.arb.ca.gov/resources/documents/examining-health-impacts-short-term-repeated-exposure-wildfire-smoke</vt:lpwstr>
      </vt:variant>
      <vt:variant>
        <vt:lpwstr/>
      </vt:variant>
      <vt:variant>
        <vt:i4>7012389</vt:i4>
      </vt:variant>
      <vt:variant>
        <vt:i4>30</vt:i4>
      </vt:variant>
      <vt:variant>
        <vt:i4>0</vt:i4>
      </vt:variant>
      <vt:variant>
        <vt:i4>5</vt:i4>
      </vt:variant>
      <vt:variant>
        <vt:lpwstr>https://oehha.ca.gov/calenviroscreen/report/calenviroscreen-40</vt:lpwstr>
      </vt:variant>
      <vt:variant>
        <vt:lpwstr/>
      </vt:variant>
      <vt:variant>
        <vt:i4>3538977</vt:i4>
      </vt:variant>
      <vt:variant>
        <vt:i4>27</vt:i4>
      </vt:variant>
      <vt:variant>
        <vt:i4>0</vt:i4>
      </vt:variant>
      <vt:variant>
        <vt:i4>5</vt:i4>
      </vt:variant>
      <vt:variant>
        <vt:lpwstr>https://www.cpuc.ca.gov/news-and-updates/newsroom/environmental-and-social-justice-action-plan</vt:lpwstr>
      </vt:variant>
      <vt:variant>
        <vt:lpwstr/>
      </vt:variant>
      <vt:variant>
        <vt:i4>1376343</vt:i4>
      </vt:variant>
      <vt:variant>
        <vt:i4>24</vt:i4>
      </vt:variant>
      <vt:variant>
        <vt:i4>0</vt:i4>
      </vt:variant>
      <vt:variant>
        <vt:i4>5</vt:i4>
      </vt:variant>
      <vt:variant>
        <vt:lpwstr>https://icecalculator.com/assets/documents/ICE-2.0-Survey-Design-Memo.pdf</vt:lpwstr>
      </vt:variant>
      <vt:variant>
        <vt:lpwstr/>
      </vt:variant>
      <vt:variant>
        <vt:i4>1769560</vt:i4>
      </vt:variant>
      <vt:variant>
        <vt:i4>21</vt:i4>
      </vt:variant>
      <vt:variant>
        <vt:i4>0</vt:i4>
      </vt:variant>
      <vt:variant>
        <vt:i4>5</vt:i4>
      </vt:variant>
      <vt:variant>
        <vt:lpwstr>https://www.transportation.gov/sites/dot.gov/files/2021-03/DOT VSL Guidance - 2021 Update.pdf</vt:lpwstr>
      </vt:variant>
      <vt:variant>
        <vt:lpwstr/>
      </vt:variant>
      <vt:variant>
        <vt:i4>196636</vt:i4>
      </vt:variant>
      <vt:variant>
        <vt:i4>18</vt:i4>
      </vt:variant>
      <vt:variant>
        <vt:i4>0</vt:i4>
      </vt:variant>
      <vt:variant>
        <vt:i4>5</vt:i4>
      </vt:variant>
      <vt:variant>
        <vt:lpwstr>https://www.transportation.gov/resources/value-of-a-statistical-life-guidance</vt:lpwstr>
      </vt:variant>
      <vt:variant>
        <vt:lpwstr/>
      </vt:variant>
      <vt:variant>
        <vt:i4>655372</vt:i4>
      </vt:variant>
      <vt:variant>
        <vt:i4>15</vt:i4>
      </vt:variant>
      <vt:variant>
        <vt:i4>0</vt:i4>
      </vt:variant>
      <vt:variant>
        <vt:i4>5</vt:i4>
      </vt:variant>
      <vt:variant>
        <vt:lpwstr>https://icecalculator.com/recent-updates</vt:lpwstr>
      </vt:variant>
      <vt:variant>
        <vt:lpwstr/>
      </vt:variant>
      <vt:variant>
        <vt:i4>6422575</vt:i4>
      </vt:variant>
      <vt:variant>
        <vt:i4>12</vt:i4>
      </vt:variant>
      <vt:variant>
        <vt:i4>0</vt:i4>
      </vt:variant>
      <vt:variant>
        <vt:i4>5</vt:i4>
      </vt:variant>
      <vt:variant>
        <vt:lpwstr>https://icecalculator.com/home</vt:lpwstr>
      </vt:variant>
      <vt:variant>
        <vt:lpwstr/>
      </vt:variant>
      <vt:variant>
        <vt:i4>196636</vt:i4>
      </vt:variant>
      <vt:variant>
        <vt:i4>9</vt:i4>
      </vt:variant>
      <vt:variant>
        <vt:i4>0</vt:i4>
      </vt:variant>
      <vt:variant>
        <vt:i4>5</vt:i4>
      </vt:variant>
      <vt:variant>
        <vt:lpwstr>https://www.transportation.gov/resources/value-of-a-statistical-life-guidance</vt:lpwstr>
      </vt:variant>
      <vt:variant>
        <vt:lpwstr/>
      </vt:variant>
      <vt:variant>
        <vt:i4>1048649</vt:i4>
      </vt:variant>
      <vt:variant>
        <vt:i4>6</vt:i4>
      </vt:variant>
      <vt:variant>
        <vt:i4>0</vt:i4>
      </vt:variant>
      <vt:variant>
        <vt:i4>5</vt:i4>
      </vt:variant>
      <vt:variant>
        <vt:lpwstr>https://aspe.hhs.gov/sites/default/files/2021-07/hhs-guidelines-appendix-d-vsl-update.pdf</vt:lpwstr>
      </vt:variant>
      <vt:variant>
        <vt:lpwstr/>
      </vt:variant>
      <vt:variant>
        <vt:i4>3538977</vt:i4>
      </vt:variant>
      <vt:variant>
        <vt:i4>3</vt:i4>
      </vt:variant>
      <vt:variant>
        <vt:i4>0</vt:i4>
      </vt:variant>
      <vt:variant>
        <vt:i4>5</vt:i4>
      </vt:variant>
      <vt:variant>
        <vt:lpwstr>https://www.cpuc.ca.gov/news-and-updates/newsroom/environmental-and-social-justice-action-plan</vt:lpwstr>
      </vt:variant>
      <vt:variant>
        <vt:lpwstr/>
      </vt:variant>
      <vt:variant>
        <vt:i4>524366</vt:i4>
      </vt:variant>
      <vt:variant>
        <vt:i4>0</vt:i4>
      </vt:variant>
      <vt:variant>
        <vt:i4>0</vt:i4>
      </vt:variant>
      <vt:variant>
        <vt:i4>5</vt:i4>
      </vt:variant>
      <vt:variant>
        <vt:lpwstr>https://docs.cpuc.ca.gov/PublishedDocs/Efile/G000/M496/K415/496415725.PDF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2022-11-03T19:52:00Z</cp:lastPrinted>
  <dcterms:created xsi:type="dcterms:W3CDTF">2022-12-21T15:44:24Z</dcterms:created>
  <dcterms:modified xsi:type="dcterms:W3CDTF">2022-12-21T15:44:24Z</dcterms:modified>
</cp:coreProperties>
</file>