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8806BB" w:rsidRDefault="00CC3059" w14:paraId="46712806" w14:textId="0B87A9C2">
      <w:pPr>
        <w:tabs>
          <w:tab w:val="center" w:pos="4500"/>
          <w:tab w:val="right" w:pos="9360"/>
        </w:tabs>
        <w:spacing w:line="240" w:lineRule="auto"/>
        <w:ind w:firstLine="0"/>
      </w:pPr>
      <w:r>
        <w:t>ALJ/ML2/NIL/jnf</w:t>
      </w:r>
      <w:r w:rsidR="007E0FEE">
        <w:tab/>
      </w:r>
      <w:r w:rsidR="00DA7B5D">
        <w:tab/>
      </w:r>
      <w:r w:rsidR="005767A1">
        <w:rPr>
          <w:b/>
        </w:rPr>
        <w:t>Date of Issuance 12/19/2022</w:t>
      </w:r>
    </w:p>
    <w:p w:rsidR="00C84ADD" w:rsidP="00C84ADD" w:rsidRDefault="00C84ADD" w14:paraId="482804A0" w14:textId="6E88282D">
      <w:pPr>
        <w:spacing w:line="240" w:lineRule="auto"/>
        <w:ind w:firstLine="0"/>
        <w:jc w:val="right"/>
        <w:rPr>
          <w:b/>
          <w:bCs/>
        </w:rPr>
      </w:pPr>
    </w:p>
    <w:p w:rsidRPr="00C84ADD" w:rsidR="005767A1" w:rsidP="00C84ADD" w:rsidRDefault="005767A1" w14:paraId="787A4918" w14:textId="77777777">
      <w:pPr>
        <w:spacing w:line="240" w:lineRule="auto"/>
        <w:ind w:firstLine="0"/>
        <w:jc w:val="right"/>
        <w:rPr>
          <w:b/>
          <w:bCs/>
        </w:rPr>
      </w:pPr>
    </w:p>
    <w:p w:rsidRPr="00CC3059" w:rsidR="00DA7B5D" w:rsidP="00CC3059" w:rsidRDefault="00DA7B5D" w14:paraId="0425FBF3" w14:textId="1917143E">
      <w:pPr>
        <w:spacing w:line="240" w:lineRule="auto"/>
        <w:ind w:left="1051" w:hanging="1051"/>
        <w:rPr>
          <w:rFonts w:cs="Times New Roman"/>
          <w:szCs w:val="20"/>
        </w:rPr>
      </w:pPr>
      <w:r>
        <w:t>Decision</w:t>
      </w:r>
      <w:r w:rsidR="005767A1">
        <w:t> </w:t>
      </w:r>
      <w:r w:rsidRPr="005767A1" w:rsidR="005767A1">
        <w:t>22</w:t>
      </w:r>
      <w:r w:rsidR="005767A1">
        <w:t>-</w:t>
      </w:r>
      <w:r w:rsidRPr="005767A1" w:rsidR="005767A1">
        <w:t>12</w:t>
      </w:r>
      <w:r w:rsidR="005767A1">
        <w:t>-</w:t>
      </w:r>
      <w:r w:rsidRPr="005767A1" w:rsidR="005767A1">
        <w:t>030</w:t>
      </w:r>
      <w:r w:rsidR="005767A1">
        <w:t>  December 15, 2022</w:t>
      </w:r>
    </w:p>
    <w:p w:rsidR="00DA7B5D" w:rsidP="00BB0243" w:rsidRDefault="00DA7B5D" w14:paraId="403F5DC3" w14:textId="0815C710">
      <w:pPr>
        <w:spacing w:line="240" w:lineRule="auto"/>
        <w:jc w:val="center"/>
        <w:rPr>
          <w:u w:val="single"/>
        </w:rPr>
      </w:pPr>
    </w:p>
    <w:p w:rsidR="00CC3059" w:rsidP="00BB0243" w:rsidRDefault="00CC3059" w14:paraId="468262DD" w14:textId="77777777">
      <w:pPr>
        <w:spacing w:line="240" w:lineRule="auto"/>
        <w:jc w:val="center"/>
        <w:rPr>
          <w:u w:val="single"/>
        </w:rPr>
      </w:pPr>
    </w:p>
    <w:p w:rsidR="00DA7B5D" w:rsidP="00BB0243" w:rsidRDefault="00DA7B5D" w14:paraId="59FCDC6D"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4A13297"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332F1372" w14:textId="77777777">
        <w:trPr>
          <w:jc w:val="center"/>
        </w:trPr>
        <w:tc>
          <w:tcPr>
            <w:tcW w:w="5040" w:type="dxa"/>
            <w:tcBorders>
              <w:top w:val="nil"/>
              <w:left w:val="nil"/>
              <w:bottom w:val="single" w:color="auto" w:sz="4" w:space="0"/>
              <w:right w:val="single" w:color="auto" w:sz="4" w:space="0"/>
            </w:tcBorders>
          </w:tcPr>
          <w:p w:rsidR="00DA7B5D" w:rsidP="00C10B5F" w:rsidRDefault="00CC3059" w14:paraId="2FB7B99F" w14:textId="77777777">
            <w:pPr>
              <w:spacing w:line="240" w:lineRule="auto"/>
              <w:ind w:firstLine="0"/>
            </w:pPr>
            <w:r w:rsidRPr="00CC3059">
              <w:t>Order Instituting Rulemaking To Continue Implementation and Administration, and Consider Further Development, of California Renewables Portfolio Standard Program.</w:t>
            </w:r>
          </w:p>
          <w:p w:rsidRPr="006B54E3" w:rsidR="00CC3059" w:rsidP="00C10B5F" w:rsidRDefault="00CC3059" w14:paraId="471EA166" w14:textId="5BA04D06">
            <w:pPr>
              <w:spacing w:line="240" w:lineRule="auto"/>
              <w:ind w:firstLine="0"/>
            </w:pPr>
          </w:p>
        </w:tc>
        <w:tc>
          <w:tcPr>
            <w:tcW w:w="5040" w:type="dxa"/>
            <w:tcBorders>
              <w:top w:val="nil"/>
              <w:left w:val="single" w:color="auto" w:sz="4" w:space="0"/>
              <w:bottom w:val="nil"/>
              <w:right w:val="nil"/>
            </w:tcBorders>
            <w:vAlign w:val="center"/>
          </w:tcPr>
          <w:p w:rsidRPr="00DA7B5D" w:rsidR="00DA7B5D" w:rsidP="00412C83" w:rsidRDefault="006B54E3" w14:paraId="7D229806" w14:textId="43A4FA4D">
            <w:pPr>
              <w:spacing w:line="240" w:lineRule="auto"/>
              <w:ind w:firstLine="0"/>
              <w:jc w:val="center"/>
              <w:rPr>
                <w:rFonts w:cs="Arial"/>
                <w:szCs w:val="26"/>
              </w:rPr>
            </w:pPr>
            <w:r w:rsidRPr="00B628D6">
              <w:rPr>
                <w:rFonts w:cs="Arial"/>
                <w:szCs w:val="26"/>
              </w:rPr>
              <w:t>Rulemaking 18-07-003</w:t>
            </w:r>
          </w:p>
        </w:tc>
      </w:tr>
    </w:tbl>
    <w:p w:rsidR="00DA7B5D" w:rsidP="008F0116" w:rsidRDefault="00DA7B5D" w14:paraId="3009BA3B" w14:textId="77777777">
      <w:pPr>
        <w:spacing w:line="240" w:lineRule="auto"/>
        <w:ind w:firstLine="0"/>
        <w:rPr>
          <w:rFonts w:ascii="Arial" w:hAnsi="Arial" w:cs="Arial"/>
          <w:sz w:val="24"/>
          <w:szCs w:val="24"/>
        </w:rPr>
      </w:pPr>
    </w:p>
    <w:p w:rsidR="00DA7B5D" w:rsidP="008F0116" w:rsidRDefault="00DA7B5D" w14:paraId="003A3DA8" w14:textId="606F373B">
      <w:pPr>
        <w:spacing w:line="240" w:lineRule="auto"/>
        <w:ind w:firstLine="0"/>
        <w:rPr>
          <w:rFonts w:ascii="Arial" w:hAnsi="Arial" w:cs="Arial"/>
          <w:sz w:val="24"/>
          <w:szCs w:val="24"/>
        </w:rPr>
      </w:pPr>
    </w:p>
    <w:p w:rsidRPr="008658CC" w:rsidR="006B54E3" w:rsidP="00FB4DD7" w:rsidRDefault="006B54E3" w14:paraId="461FEDBC" w14:textId="7F56E09E">
      <w:pPr>
        <w:pStyle w:val="Dummy"/>
        <w:jc w:val="center"/>
      </w:pPr>
      <w:bookmarkStart w:name="_Toc92717484" w:id="0"/>
      <w:bookmarkStart w:name="_Toc92727907" w:id="1"/>
      <w:bookmarkStart w:name="_Toc122180434" w:id="2"/>
      <w:r w:rsidRPr="005E7733">
        <w:t>DECISION ON 202</w:t>
      </w:r>
      <w:r>
        <w:t>2</w:t>
      </w:r>
      <w:r w:rsidRPr="005E7733">
        <w:t xml:space="preserve"> RENEWABLES PORTFOLIO</w:t>
      </w:r>
      <w:r w:rsidRPr="005E7733">
        <w:br/>
        <w:t>STANDARD PROCUREMENT PLANS</w:t>
      </w:r>
      <w:bookmarkEnd w:id="0"/>
      <w:bookmarkEnd w:id="1"/>
      <w:bookmarkEnd w:id="2"/>
    </w:p>
    <w:p w:rsidRPr="00F92385" w:rsidR="00F92385" w:rsidP="00B3087D" w:rsidRDefault="00F92385" w14:paraId="555C0FCD" w14:textId="51F02368">
      <w:pPr>
        <w:pStyle w:val="Dummy"/>
        <w:jc w:val="center"/>
        <w:sectPr w:rsidRPr="00F92385" w:rsidR="00F92385" w:rsidSect="00CC3059">
          <w:headerReference w:type="default" r:id="rId11"/>
          <w:footerReference w:type="default" r:id="rId12"/>
          <w:headerReference w:type="first" r:id="rId13"/>
          <w:footerReference w:type="first" r:id="rId14"/>
          <w:pgSz w:w="12240" w:h="15840" w:code="1"/>
          <w:pgMar w:top="1728" w:right="1440" w:bottom="1440" w:left="1440" w:header="720" w:footer="720" w:gutter="0"/>
          <w:pgNumType w:start="1"/>
          <w:cols w:space="720"/>
          <w:titlePg/>
          <w:docGrid w:linePitch="360"/>
        </w:sectPr>
      </w:pPr>
    </w:p>
    <w:p w:rsidRPr="001E2A62" w:rsidR="00D50119" w:rsidP="00F76650" w:rsidRDefault="00D50119" w14:paraId="47D70709" w14:textId="77777777">
      <w:pPr>
        <w:pStyle w:val="Main"/>
        <w:rPr>
          <w:rFonts w:ascii="Book Antiqua" w:hAnsi="Book Antiqua"/>
        </w:rPr>
      </w:pPr>
      <w:r w:rsidRPr="00475582">
        <w:rPr>
          <w:rFonts w:ascii="Book Antiqua" w:hAnsi="Book Antiqua"/>
        </w:rPr>
        <w:lastRenderedPageBreak/>
        <w:t>TABLE</w:t>
      </w:r>
      <w:r w:rsidRPr="001E2A62">
        <w:rPr>
          <w:rFonts w:ascii="Book Antiqua" w:hAnsi="Book Antiqua"/>
        </w:rPr>
        <w:t xml:space="preserve"> OF CONTENTS</w:t>
      </w:r>
    </w:p>
    <w:p w:rsidRPr="00D50119" w:rsidR="00D50119" w:rsidP="007E0FEE" w:rsidRDefault="00D50119" w14:paraId="1F35CB26" w14:textId="77777777">
      <w:pPr>
        <w:tabs>
          <w:tab w:val="right" w:pos="9360"/>
        </w:tabs>
        <w:ind w:firstLine="0"/>
      </w:pPr>
      <w:r w:rsidRPr="00D50119">
        <w:rPr>
          <w:b/>
        </w:rPr>
        <w:t>Title</w:t>
      </w:r>
      <w:r>
        <w:tab/>
      </w:r>
      <w:r w:rsidRPr="00D50119">
        <w:rPr>
          <w:b/>
        </w:rPr>
        <w:t>Page</w:t>
      </w:r>
    </w:p>
    <w:sdt>
      <w:sdtPr>
        <w:rPr>
          <w:color w:val="2B579A"/>
          <w:shd w:val="clear" w:color="auto" w:fill="E6E6E6"/>
        </w:rPr>
        <w:id w:val="-1224440197"/>
        <w:docPartObj>
          <w:docPartGallery w:val="Table of Contents"/>
          <w:docPartUnique/>
        </w:docPartObj>
      </w:sdtPr>
      <w:sdtEndPr>
        <w:rPr>
          <w:b/>
          <w:bCs/>
          <w:noProof/>
          <w:color w:val="auto"/>
          <w:shd w:val="clear" w:color="auto" w:fill="auto"/>
        </w:rPr>
      </w:sdtEndPr>
      <w:sdtContent>
        <w:p w:rsidR="005767A1" w:rsidP="005767A1" w:rsidRDefault="008C7413" w14:paraId="39006CCB" w14:textId="0305B2B4">
          <w:pPr>
            <w:pStyle w:val="TOC1"/>
            <w:tabs>
              <w:tab w:val="right" w:leader="dot" w:pos="9350"/>
            </w:tabs>
            <w:ind w:left="0" w:firstLine="0"/>
            <w:rPr>
              <w:rFonts w:asciiTheme="minorHAnsi" w:hAnsiTheme="minorHAnsi" w:cstheme="minorBidi"/>
              <w:noProof/>
              <w:sz w:val="22"/>
            </w:rPr>
          </w:pPr>
          <w:r>
            <w:rPr>
              <w:rFonts w:asciiTheme="minorHAnsi" w:hAnsiTheme="minorHAnsi"/>
              <w:color w:val="2B579A"/>
              <w:sz w:val="22"/>
              <w:shd w:val="clear" w:color="auto" w:fill="E6E6E6"/>
            </w:rPr>
            <w:fldChar w:fldCharType="begin"/>
          </w:r>
          <w:r>
            <w:rPr>
              <w:rFonts w:asciiTheme="minorHAnsi" w:hAnsiTheme="minorHAnsi"/>
              <w:sz w:val="22"/>
            </w:rPr>
            <w:instrText xml:space="preserve"> TOC \o "1-6" \h \z \u </w:instrText>
          </w:r>
          <w:r>
            <w:rPr>
              <w:rFonts w:asciiTheme="minorHAnsi" w:hAnsiTheme="minorHAnsi"/>
              <w:color w:val="2B579A"/>
              <w:sz w:val="22"/>
              <w:shd w:val="clear" w:color="auto" w:fill="E6E6E6"/>
            </w:rPr>
            <w:fldChar w:fldCharType="separate"/>
          </w:r>
          <w:hyperlink w:history="1" w:anchor="_Toc122180434">
            <w:r w:rsidRPr="009A7B16" w:rsidR="005767A1">
              <w:rPr>
                <w:rStyle w:val="Hyperlink"/>
                <w:noProof/>
              </w:rPr>
              <w:t>DECISION ON 2022 RENEWABLES PORTFOLIO STANDARD PROCUREMENT PLANS</w:t>
            </w:r>
            <w:r w:rsidR="005767A1">
              <w:rPr>
                <w:noProof/>
                <w:webHidden/>
              </w:rPr>
              <w:tab/>
            </w:r>
            <w:r w:rsidR="005767A1">
              <w:rPr>
                <w:noProof/>
                <w:webHidden/>
              </w:rPr>
              <w:fldChar w:fldCharType="begin"/>
            </w:r>
            <w:r w:rsidR="005767A1">
              <w:rPr>
                <w:noProof/>
                <w:webHidden/>
              </w:rPr>
              <w:instrText xml:space="preserve"> PAGEREF _Toc122180434 \h </w:instrText>
            </w:r>
            <w:r w:rsidR="005767A1">
              <w:rPr>
                <w:noProof/>
                <w:webHidden/>
              </w:rPr>
            </w:r>
            <w:r w:rsidR="005767A1">
              <w:rPr>
                <w:noProof/>
                <w:webHidden/>
              </w:rPr>
              <w:fldChar w:fldCharType="separate"/>
            </w:r>
            <w:r w:rsidR="005767A1">
              <w:rPr>
                <w:noProof/>
                <w:webHidden/>
              </w:rPr>
              <w:t>1</w:t>
            </w:r>
            <w:r w:rsidR="005767A1">
              <w:rPr>
                <w:noProof/>
                <w:webHidden/>
              </w:rPr>
              <w:fldChar w:fldCharType="end"/>
            </w:r>
          </w:hyperlink>
        </w:p>
        <w:p w:rsidR="005767A1" w:rsidRDefault="005767A1" w14:paraId="605A8D0C" w14:textId="12739203">
          <w:pPr>
            <w:pStyle w:val="TOC1"/>
            <w:tabs>
              <w:tab w:val="right" w:leader="dot" w:pos="9350"/>
            </w:tabs>
            <w:rPr>
              <w:rFonts w:asciiTheme="minorHAnsi" w:hAnsiTheme="minorHAnsi" w:cstheme="minorBidi"/>
              <w:noProof/>
              <w:sz w:val="22"/>
            </w:rPr>
          </w:pPr>
          <w:hyperlink w:history="1" w:anchor="_Toc122180435">
            <w:r w:rsidRPr="009A7B16">
              <w:rPr>
                <w:rStyle w:val="Hyperlink"/>
                <w:noProof/>
              </w:rPr>
              <w:t>Summary</w:t>
            </w:r>
            <w:r>
              <w:rPr>
                <w:noProof/>
                <w:webHidden/>
              </w:rPr>
              <w:tab/>
            </w:r>
            <w:r>
              <w:rPr>
                <w:noProof/>
                <w:webHidden/>
              </w:rPr>
              <w:fldChar w:fldCharType="begin"/>
            </w:r>
            <w:r>
              <w:rPr>
                <w:noProof/>
                <w:webHidden/>
              </w:rPr>
              <w:instrText xml:space="preserve"> PAGEREF _Toc122180435 \h </w:instrText>
            </w:r>
            <w:r>
              <w:rPr>
                <w:noProof/>
                <w:webHidden/>
              </w:rPr>
            </w:r>
            <w:r>
              <w:rPr>
                <w:noProof/>
                <w:webHidden/>
              </w:rPr>
              <w:fldChar w:fldCharType="separate"/>
            </w:r>
            <w:r>
              <w:rPr>
                <w:noProof/>
                <w:webHidden/>
              </w:rPr>
              <w:t>2</w:t>
            </w:r>
            <w:r>
              <w:rPr>
                <w:noProof/>
                <w:webHidden/>
              </w:rPr>
              <w:fldChar w:fldCharType="end"/>
            </w:r>
          </w:hyperlink>
        </w:p>
        <w:p w:rsidR="005767A1" w:rsidRDefault="005767A1" w14:paraId="0CE1F561" w14:textId="3AC7AB71">
          <w:pPr>
            <w:pStyle w:val="TOC1"/>
            <w:tabs>
              <w:tab w:val="right" w:leader="dot" w:pos="9350"/>
            </w:tabs>
            <w:rPr>
              <w:rFonts w:asciiTheme="minorHAnsi" w:hAnsiTheme="minorHAnsi" w:cstheme="minorBidi"/>
              <w:noProof/>
              <w:sz w:val="22"/>
            </w:rPr>
          </w:pPr>
          <w:hyperlink w:history="1" w:anchor="_Toc122180436">
            <w:r w:rsidRPr="009A7B16">
              <w:rPr>
                <w:rStyle w:val="Hyperlink"/>
                <w:noProof/>
              </w:rPr>
              <w:t>1.</w:t>
            </w:r>
            <w:r>
              <w:rPr>
                <w:rFonts w:asciiTheme="minorHAnsi" w:hAnsiTheme="minorHAnsi" w:cstheme="minorBidi"/>
                <w:noProof/>
                <w:sz w:val="22"/>
              </w:rPr>
              <w:tab/>
            </w:r>
            <w:r w:rsidRPr="009A7B16">
              <w:rPr>
                <w:rStyle w:val="Hyperlink"/>
                <w:noProof/>
              </w:rPr>
              <w:t>Background</w:t>
            </w:r>
            <w:r>
              <w:rPr>
                <w:noProof/>
                <w:webHidden/>
              </w:rPr>
              <w:tab/>
            </w:r>
            <w:r>
              <w:rPr>
                <w:noProof/>
                <w:webHidden/>
              </w:rPr>
              <w:fldChar w:fldCharType="begin"/>
            </w:r>
            <w:r>
              <w:rPr>
                <w:noProof/>
                <w:webHidden/>
              </w:rPr>
              <w:instrText xml:space="preserve"> PAGEREF _Toc122180436 \h </w:instrText>
            </w:r>
            <w:r>
              <w:rPr>
                <w:noProof/>
                <w:webHidden/>
              </w:rPr>
            </w:r>
            <w:r>
              <w:rPr>
                <w:noProof/>
                <w:webHidden/>
              </w:rPr>
              <w:fldChar w:fldCharType="separate"/>
            </w:r>
            <w:r>
              <w:rPr>
                <w:noProof/>
                <w:webHidden/>
              </w:rPr>
              <w:t>6</w:t>
            </w:r>
            <w:r>
              <w:rPr>
                <w:noProof/>
                <w:webHidden/>
              </w:rPr>
              <w:fldChar w:fldCharType="end"/>
            </w:r>
          </w:hyperlink>
        </w:p>
        <w:p w:rsidR="005767A1" w:rsidRDefault="005767A1" w14:paraId="538F52EB" w14:textId="08BD846D">
          <w:pPr>
            <w:pStyle w:val="TOC1"/>
            <w:tabs>
              <w:tab w:val="right" w:leader="dot" w:pos="9350"/>
            </w:tabs>
            <w:rPr>
              <w:rFonts w:asciiTheme="minorHAnsi" w:hAnsiTheme="minorHAnsi" w:cstheme="minorBidi"/>
              <w:noProof/>
              <w:sz w:val="22"/>
            </w:rPr>
          </w:pPr>
          <w:hyperlink w:history="1" w:anchor="_Toc122180437">
            <w:r w:rsidRPr="009A7B16">
              <w:rPr>
                <w:rStyle w:val="Hyperlink"/>
                <w:noProof/>
              </w:rPr>
              <w:t>2.</w:t>
            </w:r>
            <w:r>
              <w:rPr>
                <w:rFonts w:asciiTheme="minorHAnsi" w:hAnsiTheme="minorHAnsi" w:cstheme="minorBidi"/>
                <w:noProof/>
                <w:sz w:val="22"/>
              </w:rPr>
              <w:tab/>
            </w:r>
            <w:r w:rsidRPr="009A7B16">
              <w:rPr>
                <w:rStyle w:val="Hyperlink"/>
                <w:noProof/>
              </w:rPr>
              <w:t>Issues Before the Commission</w:t>
            </w:r>
            <w:r>
              <w:rPr>
                <w:noProof/>
                <w:webHidden/>
              </w:rPr>
              <w:tab/>
            </w:r>
            <w:r>
              <w:rPr>
                <w:noProof/>
                <w:webHidden/>
              </w:rPr>
              <w:fldChar w:fldCharType="begin"/>
            </w:r>
            <w:r>
              <w:rPr>
                <w:noProof/>
                <w:webHidden/>
              </w:rPr>
              <w:instrText xml:space="preserve"> PAGEREF _Toc122180437 \h </w:instrText>
            </w:r>
            <w:r>
              <w:rPr>
                <w:noProof/>
                <w:webHidden/>
              </w:rPr>
            </w:r>
            <w:r>
              <w:rPr>
                <w:noProof/>
                <w:webHidden/>
              </w:rPr>
              <w:fldChar w:fldCharType="separate"/>
            </w:r>
            <w:r>
              <w:rPr>
                <w:noProof/>
                <w:webHidden/>
              </w:rPr>
              <w:t>9</w:t>
            </w:r>
            <w:r>
              <w:rPr>
                <w:noProof/>
                <w:webHidden/>
              </w:rPr>
              <w:fldChar w:fldCharType="end"/>
            </w:r>
          </w:hyperlink>
        </w:p>
        <w:p w:rsidR="005767A1" w:rsidRDefault="005767A1" w14:paraId="3C6CE28E" w14:textId="2F7D3EC7">
          <w:pPr>
            <w:pStyle w:val="TOC1"/>
            <w:tabs>
              <w:tab w:val="right" w:leader="dot" w:pos="9350"/>
            </w:tabs>
            <w:rPr>
              <w:rFonts w:asciiTheme="minorHAnsi" w:hAnsiTheme="minorHAnsi" w:cstheme="minorBidi"/>
              <w:noProof/>
              <w:sz w:val="22"/>
            </w:rPr>
          </w:pPr>
          <w:hyperlink w:history="1" w:anchor="_Toc122180438">
            <w:r w:rsidRPr="009A7B16">
              <w:rPr>
                <w:rStyle w:val="Hyperlink"/>
                <w:noProof/>
              </w:rPr>
              <w:t>3.</w:t>
            </w:r>
            <w:r>
              <w:rPr>
                <w:rFonts w:asciiTheme="minorHAnsi" w:hAnsiTheme="minorHAnsi" w:cstheme="minorBidi"/>
                <w:noProof/>
                <w:sz w:val="22"/>
              </w:rPr>
              <w:tab/>
            </w:r>
            <w:r w:rsidRPr="009A7B16">
              <w:rPr>
                <w:rStyle w:val="Hyperlink"/>
                <w:noProof/>
              </w:rPr>
              <w:t>Organization of the Decision</w:t>
            </w:r>
            <w:r>
              <w:rPr>
                <w:noProof/>
                <w:webHidden/>
              </w:rPr>
              <w:tab/>
            </w:r>
            <w:r>
              <w:rPr>
                <w:noProof/>
                <w:webHidden/>
              </w:rPr>
              <w:fldChar w:fldCharType="begin"/>
            </w:r>
            <w:r>
              <w:rPr>
                <w:noProof/>
                <w:webHidden/>
              </w:rPr>
              <w:instrText xml:space="preserve"> PAGEREF _Toc122180438 \h </w:instrText>
            </w:r>
            <w:r>
              <w:rPr>
                <w:noProof/>
                <w:webHidden/>
              </w:rPr>
            </w:r>
            <w:r>
              <w:rPr>
                <w:noProof/>
                <w:webHidden/>
              </w:rPr>
              <w:fldChar w:fldCharType="separate"/>
            </w:r>
            <w:r>
              <w:rPr>
                <w:noProof/>
                <w:webHidden/>
              </w:rPr>
              <w:t>10</w:t>
            </w:r>
            <w:r>
              <w:rPr>
                <w:noProof/>
                <w:webHidden/>
              </w:rPr>
              <w:fldChar w:fldCharType="end"/>
            </w:r>
          </w:hyperlink>
        </w:p>
        <w:p w:rsidR="005767A1" w:rsidRDefault="005767A1" w14:paraId="383C2B9E" w14:textId="1D72CBF5">
          <w:pPr>
            <w:pStyle w:val="TOC1"/>
            <w:tabs>
              <w:tab w:val="right" w:leader="dot" w:pos="9350"/>
            </w:tabs>
            <w:rPr>
              <w:rFonts w:asciiTheme="minorHAnsi" w:hAnsiTheme="minorHAnsi" w:cstheme="minorBidi"/>
              <w:noProof/>
              <w:sz w:val="22"/>
            </w:rPr>
          </w:pPr>
          <w:hyperlink w:history="1" w:anchor="_Toc122180439">
            <w:r w:rsidRPr="009A7B16">
              <w:rPr>
                <w:rStyle w:val="Hyperlink"/>
                <w:noProof/>
              </w:rPr>
              <w:t>4.</w:t>
            </w:r>
            <w:r>
              <w:rPr>
                <w:rFonts w:asciiTheme="minorHAnsi" w:hAnsiTheme="minorHAnsi" w:cstheme="minorBidi"/>
                <w:noProof/>
                <w:sz w:val="22"/>
              </w:rPr>
              <w:tab/>
            </w:r>
            <w:r w:rsidRPr="009A7B16">
              <w:rPr>
                <w:rStyle w:val="Hyperlink"/>
                <w:noProof/>
              </w:rPr>
              <w:t>Assessment of RPS Portfolio Supplies and Demand</w:t>
            </w:r>
            <w:r>
              <w:rPr>
                <w:noProof/>
                <w:webHidden/>
              </w:rPr>
              <w:tab/>
            </w:r>
            <w:r>
              <w:rPr>
                <w:noProof/>
                <w:webHidden/>
              </w:rPr>
              <w:fldChar w:fldCharType="begin"/>
            </w:r>
            <w:r>
              <w:rPr>
                <w:noProof/>
                <w:webHidden/>
              </w:rPr>
              <w:instrText xml:space="preserve"> PAGEREF _Toc122180439 \h </w:instrText>
            </w:r>
            <w:r>
              <w:rPr>
                <w:noProof/>
                <w:webHidden/>
              </w:rPr>
            </w:r>
            <w:r>
              <w:rPr>
                <w:noProof/>
                <w:webHidden/>
              </w:rPr>
              <w:fldChar w:fldCharType="separate"/>
            </w:r>
            <w:r>
              <w:rPr>
                <w:noProof/>
                <w:webHidden/>
              </w:rPr>
              <w:t>11</w:t>
            </w:r>
            <w:r>
              <w:rPr>
                <w:noProof/>
                <w:webHidden/>
              </w:rPr>
              <w:fldChar w:fldCharType="end"/>
            </w:r>
          </w:hyperlink>
        </w:p>
        <w:p w:rsidR="005767A1" w:rsidRDefault="005767A1" w14:paraId="7762118E" w14:textId="0A95C952">
          <w:pPr>
            <w:pStyle w:val="TOC2"/>
            <w:tabs>
              <w:tab w:val="right" w:leader="dot" w:pos="9350"/>
            </w:tabs>
            <w:rPr>
              <w:rFonts w:asciiTheme="minorHAnsi" w:hAnsiTheme="minorHAnsi" w:cstheme="minorBidi"/>
              <w:noProof/>
              <w:sz w:val="22"/>
            </w:rPr>
          </w:pPr>
          <w:hyperlink w:history="1" w:anchor="_Toc122180440">
            <w:r w:rsidRPr="009A7B16">
              <w:rPr>
                <w:rStyle w:val="Hyperlink"/>
                <w:bCs/>
                <w:noProof/>
              </w:rPr>
              <w:t>4.1.</w:t>
            </w:r>
            <w:r>
              <w:rPr>
                <w:rFonts w:asciiTheme="minorHAnsi" w:hAnsiTheme="minorHAnsi" w:cstheme="minorBidi"/>
                <w:noProof/>
                <w:sz w:val="22"/>
              </w:rPr>
              <w:tab/>
            </w:r>
            <w:r w:rsidRPr="009A7B16">
              <w:rPr>
                <w:rStyle w:val="Hyperlink"/>
                <w:noProof/>
              </w:rPr>
              <w:t>Long-Term Procurement</w:t>
            </w:r>
            <w:r>
              <w:rPr>
                <w:noProof/>
                <w:webHidden/>
              </w:rPr>
              <w:tab/>
            </w:r>
            <w:r>
              <w:rPr>
                <w:noProof/>
                <w:webHidden/>
              </w:rPr>
              <w:fldChar w:fldCharType="begin"/>
            </w:r>
            <w:r>
              <w:rPr>
                <w:noProof/>
                <w:webHidden/>
              </w:rPr>
              <w:instrText xml:space="preserve"> PAGEREF _Toc122180440 \h </w:instrText>
            </w:r>
            <w:r>
              <w:rPr>
                <w:noProof/>
                <w:webHidden/>
              </w:rPr>
            </w:r>
            <w:r>
              <w:rPr>
                <w:noProof/>
                <w:webHidden/>
              </w:rPr>
              <w:fldChar w:fldCharType="separate"/>
            </w:r>
            <w:r>
              <w:rPr>
                <w:noProof/>
                <w:webHidden/>
              </w:rPr>
              <w:t>11</w:t>
            </w:r>
            <w:r>
              <w:rPr>
                <w:noProof/>
                <w:webHidden/>
              </w:rPr>
              <w:fldChar w:fldCharType="end"/>
            </w:r>
          </w:hyperlink>
        </w:p>
        <w:p w:rsidR="005767A1" w:rsidRDefault="005767A1" w14:paraId="08486788" w14:textId="22862684">
          <w:pPr>
            <w:pStyle w:val="TOC2"/>
            <w:tabs>
              <w:tab w:val="right" w:leader="dot" w:pos="9350"/>
            </w:tabs>
            <w:rPr>
              <w:rFonts w:asciiTheme="minorHAnsi" w:hAnsiTheme="minorHAnsi" w:cstheme="minorBidi"/>
              <w:noProof/>
              <w:sz w:val="22"/>
            </w:rPr>
          </w:pPr>
          <w:hyperlink w:history="1" w:anchor="_Toc122180441">
            <w:r w:rsidRPr="009A7B16">
              <w:rPr>
                <w:rStyle w:val="Hyperlink"/>
                <w:noProof/>
              </w:rPr>
              <w:t>4.2.</w:t>
            </w:r>
            <w:r>
              <w:rPr>
                <w:rFonts w:asciiTheme="minorHAnsi" w:hAnsiTheme="minorHAnsi" w:cstheme="minorBidi"/>
                <w:noProof/>
                <w:sz w:val="22"/>
              </w:rPr>
              <w:tab/>
            </w:r>
            <w:r w:rsidRPr="009A7B16">
              <w:rPr>
                <w:rStyle w:val="Hyperlink"/>
                <w:noProof/>
              </w:rPr>
              <w:t>Portfolio Diversity and Reliability</w:t>
            </w:r>
            <w:r>
              <w:rPr>
                <w:noProof/>
                <w:webHidden/>
              </w:rPr>
              <w:tab/>
            </w:r>
            <w:r>
              <w:rPr>
                <w:noProof/>
                <w:webHidden/>
              </w:rPr>
              <w:fldChar w:fldCharType="begin"/>
            </w:r>
            <w:r>
              <w:rPr>
                <w:noProof/>
                <w:webHidden/>
              </w:rPr>
              <w:instrText xml:space="preserve"> PAGEREF _Toc122180441 \h </w:instrText>
            </w:r>
            <w:r>
              <w:rPr>
                <w:noProof/>
                <w:webHidden/>
              </w:rPr>
            </w:r>
            <w:r>
              <w:rPr>
                <w:noProof/>
                <w:webHidden/>
              </w:rPr>
              <w:fldChar w:fldCharType="separate"/>
            </w:r>
            <w:r>
              <w:rPr>
                <w:noProof/>
                <w:webHidden/>
              </w:rPr>
              <w:t>16</w:t>
            </w:r>
            <w:r>
              <w:rPr>
                <w:noProof/>
                <w:webHidden/>
              </w:rPr>
              <w:fldChar w:fldCharType="end"/>
            </w:r>
          </w:hyperlink>
        </w:p>
        <w:p w:rsidR="005767A1" w:rsidRDefault="005767A1" w14:paraId="5CB87218" w14:textId="65092C75">
          <w:pPr>
            <w:pStyle w:val="TOC1"/>
            <w:tabs>
              <w:tab w:val="right" w:leader="dot" w:pos="9350"/>
            </w:tabs>
            <w:rPr>
              <w:rFonts w:asciiTheme="minorHAnsi" w:hAnsiTheme="minorHAnsi" w:cstheme="minorBidi"/>
              <w:noProof/>
              <w:sz w:val="22"/>
            </w:rPr>
          </w:pPr>
          <w:hyperlink w:history="1" w:anchor="_Toc122180442">
            <w:r w:rsidRPr="009A7B16">
              <w:rPr>
                <w:rStyle w:val="Hyperlink"/>
                <w:noProof/>
              </w:rPr>
              <w:t>5.</w:t>
            </w:r>
            <w:r>
              <w:rPr>
                <w:rFonts w:asciiTheme="minorHAnsi" w:hAnsiTheme="minorHAnsi" w:cstheme="minorBidi"/>
                <w:noProof/>
                <w:sz w:val="22"/>
              </w:rPr>
              <w:tab/>
            </w:r>
            <w:r w:rsidRPr="009A7B16">
              <w:rPr>
                <w:rStyle w:val="Hyperlink"/>
                <w:noProof/>
              </w:rPr>
              <w:t>IOUs’ 2022 RPS Plans</w:t>
            </w:r>
            <w:r>
              <w:rPr>
                <w:noProof/>
                <w:webHidden/>
              </w:rPr>
              <w:tab/>
            </w:r>
            <w:r>
              <w:rPr>
                <w:noProof/>
                <w:webHidden/>
              </w:rPr>
              <w:fldChar w:fldCharType="begin"/>
            </w:r>
            <w:r>
              <w:rPr>
                <w:noProof/>
                <w:webHidden/>
              </w:rPr>
              <w:instrText xml:space="preserve"> PAGEREF _Toc122180442 \h </w:instrText>
            </w:r>
            <w:r>
              <w:rPr>
                <w:noProof/>
                <w:webHidden/>
              </w:rPr>
            </w:r>
            <w:r>
              <w:rPr>
                <w:noProof/>
                <w:webHidden/>
              </w:rPr>
              <w:fldChar w:fldCharType="separate"/>
            </w:r>
            <w:r>
              <w:rPr>
                <w:noProof/>
                <w:webHidden/>
              </w:rPr>
              <w:t>18</w:t>
            </w:r>
            <w:r>
              <w:rPr>
                <w:noProof/>
                <w:webHidden/>
              </w:rPr>
              <w:fldChar w:fldCharType="end"/>
            </w:r>
          </w:hyperlink>
        </w:p>
        <w:p w:rsidR="005767A1" w:rsidRDefault="005767A1" w14:paraId="2AFDEA92" w14:textId="5A60EDF4">
          <w:pPr>
            <w:pStyle w:val="TOC2"/>
            <w:tabs>
              <w:tab w:val="right" w:leader="dot" w:pos="9350"/>
            </w:tabs>
            <w:rPr>
              <w:rFonts w:asciiTheme="minorHAnsi" w:hAnsiTheme="minorHAnsi" w:cstheme="minorBidi"/>
              <w:noProof/>
              <w:sz w:val="22"/>
            </w:rPr>
          </w:pPr>
          <w:hyperlink w:history="1" w:anchor="_Toc122180443">
            <w:r w:rsidRPr="009A7B16">
              <w:rPr>
                <w:rStyle w:val="Hyperlink"/>
                <w:noProof/>
              </w:rPr>
              <w:t>5.1.</w:t>
            </w:r>
            <w:r>
              <w:rPr>
                <w:rFonts w:asciiTheme="minorHAnsi" w:hAnsiTheme="minorHAnsi" w:cstheme="minorBidi"/>
                <w:noProof/>
                <w:sz w:val="22"/>
              </w:rPr>
              <w:tab/>
            </w:r>
            <w:r w:rsidRPr="009A7B16">
              <w:rPr>
                <w:rStyle w:val="Hyperlink"/>
                <w:noProof/>
              </w:rPr>
              <w:t>Comments and Reply Regarding RPS Plans</w:t>
            </w:r>
            <w:r>
              <w:rPr>
                <w:noProof/>
                <w:webHidden/>
              </w:rPr>
              <w:tab/>
            </w:r>
            <w:r>
              <w:rPr>
                <w:noProof/>
                <w:webHidden/>
              </w:rPr>
              <w:fldChar w:fldCharType="begin"/>
            </w:r>
            <w:r>
              <w:rPr>
                <w:noProof/>
                <w:webHidden/>
              </w:rPr>
              <w:instrText xml:space="preserve"> PAGEREF _Toc122180443 \h </w:instrText>
            </w:r>
            <w:r>
              <w:rPr>
                <w:noProof/>
                <w:webHidden/>
              </w:rPr>
            </w:r>
            <w:r>
              <w:rPr>
                <w:noProof/>
                <w:webHidden/>
              </w:rPr>
              <w:fldChar w:fldCharType="separate"/>
            </w:r>
            <w:r>
              <w:rPr>
                <w:noProof/>
                <w:webHidden/>
              </w:rPr>
              <w:t>19</w:t>
            </w:r>
            <w:r>
              <w:rPr>
                <w:noProof/>
                <w:webHidden/>
              </w:rPr>
              <w:fldChar w:fldCharType="end"/>
            </w:r>
          </w:hyperlink>
        </w:p>
        <w:p w:rsidR="005767A1" w:rsidRDefault="005767A1" w14:paraId="6A1CB36F" w14:textId="49C67225">
          <w:pPr>
            <w:pStyle w:val="TOC2"/>
            <w:tabs>
              <w:tab w:val="right" w:leader="dot" w:pos="9350"/>
            </w:tabs>
            <w:rPr>
              <w:rFonts w:asciiTheme="minorHAnsi" w:hAnsiTheme="minorHAnsi" w:cstheme="minorBidi"/>
              <w:noProof/>
              <w:sz w:val="22"/>
            </w:rPr>
          </w:pPr>
          <w:hyperlink w:history="1" w:anchor="_Toc122180444">
            <w:r w:rsidRPr="009A7B16">
              <w:rPr>
                <w:rStyle w:val="Hyperlink"/>
                <w:noProof/>
              </w:rPr>
              <w:t>5.2.</w:t>
            </w:r>
            <w:r>
              <w:rPr>
                <w:rFonts w:asciiTheme="minorHAnsi" w:hAnsiTheme="minorHAnsi" w:cstheme="minorBidi"/>
                <w:noProof/>
                <w:sz w:val="22"/>
              </w:rPr>
              <w:tab/>
            </w:r>
            <w:r w:rsidRPr="009A7B16">
              <w:rPr>
                <w:rStyle w:val="Hyperlink"/>
                <w:noProof/>
              </w:rPr>
              <w:t>PG&amp;E’s Draft 2022 RPS Plan</w:t>
            </w:r>
            <w:r>
              <w:rPr>
                <w:noProof/>
                <w:webHidden/>
              </w:rPr>
              <w:tab/>
            </w:r>
            <w:r>
              <w:rPr>
                <w:noProof/>
                <w:webHidden/>
              </w:rPr>
              <w:fldChar w:fldCharType="begin"/>
            </w:r>
            <w:r>
              <w:rPr>
                <w:noProof/>
                <w:webHidden/>
              </w:rPr>
              <w:instrText xml:space="preserve"> PAGEREF _Toc122180444 \h </w:instrText>
            </w:r>
            <w:r>
              <w:rPr>
                <w:noProof/>
                <w:webHidden/>
              </w:rPr>
            </w:r>
            <w:r>
              <w:rPr>
                <w:noProof/>
                <w:webHidden/>
              </w:rPr>
              <w:fldChar w:fldCharType="separate"/>
            </w:r>
            <w:r>
              <w:rPr>
                <w:noProof/>
                <w:webHidden/>
              </w:rPr>
              <w:t>22</w:t>
            </w:r>
            <w:r>
              <w:rPr>
                <w:noProof/>
                <w:webHidden/>
              </w:rPr>
              <w:fldChar w:fldCharType="end"/>
            </w:r>
          </w:hyperlink>
        </w:p>
        <w:p w:rsidR="005767A1" w:rsidRDefault="005767A1" w14:paraId="6A1CA5B4" w14:textId="6EFD0CCD">
          <w:pPr>
            <w:pStyle w:val="TOC3"/>
            <w:tabs>
              <w:tab w:val="left" w:pos="1296"/>
              <w:tab w:val="right" w:leader="dot" w:pos="9350"/>
            </w:tabs>
            <w:rPr>
              <w:rFonts w:asciiTheme="minorHAnsi" w:hAnsiTheme="minorHAnsi" w:cstheme="minorBidi"/>
              <w:noProof/>
              <w:sz w:val="22"/>
            </w:rPr>
          </w:pPr>
          <w:hyperlink w:history="1" w:anchor="_Toc122180445">
            <w:r w:rsidRPr="009A7B16">
              <w:rPr>
                <w:rStyle w:val="Hyperlink"/>
                <w:noProof/>
              </w:rPr>
              <w:t>5.2.1.</w:t>
            </w:r>
            <w:r>
              <w:rPr>
                <w:rFonts w:asciiTheme="minorHAnsi" w:hAnsiTheme="minorHAnsi" w:cstheme="minorBidi"/>
                <w:noProof/>
                <w:sz w:val="22"/>
              </w:rPr>
              <w:tab/>
            </w:r>
            <w:r w:rsidRPr="009A7B16">
              <w:rPr>
                <w:rStyle w:val="Hyperlink"/>
                <w:noProof/>
              </w:rPr>
              <w:t>PG&amp;E’s Bank Usage to Meet Compliance through 2028 and Procurement Needs</w:t>
            </w:r>
            <w:r>
              <w:rPr>
                <w:noProof/>
                <w:webHidden/>
              </w:rPr>
              <w:tab/>
            </w:r>
            <w:r>
              <w:rPr>
                <w:noProof/>
                <w:webHidden/>
              </w:rPr>
              <w:fldChar w:fldCharType="begin"/>
            </w:r>
            <w:r>
              <w:rPr>
                <w:noProof/>
                <w:webHidden/>
              </w:rPr>
              <w:instrText xml:space="preserve"> PAGEREF _Toc122180445 \h </w:instrText>
            </w:r>
            <w:r>
              <w:rPr>
                <w:noProof/>
                <w:webHidden/>
              </w:rPr>
            </w:r>
            <w:r>
              <w:rPr>
                <w:noProof/>
                <w:webHidden/>
              </w:rPr>
              <w:fldChar w:fldCharType="separate"/>
            </w:r>
            <w:r>
              <w:rPr>
                <w:noProof/>
                <w:webHidden/>
              </w:rPr>
              <w:t>22</w:t>
            </w:r>
            <w:r>
              <w:rPr>
                <w:noProof/>
                <w:webHidden/>
              </w:rPr>
              <w:fldChar w:fldCharType="end"/>
            </w:r>
          </w:hyperlink>
        </w:p>
        <w:p w:rsidR="005767A1" w:rsidRDefault="005767A1" w14:paraId="680DD84F" w14:textId="4208AE8B">
          <w:pPr>
            <w:pStyle w:val="TOC3"/>
            <w:tabs>
              <w:tab w:val="left" w:pos="1296"/>
              <w:tab w:val="right" w:leader="dot" w:pos="9350"/>
            </w:tabs>
            <w:rPr>
              <w:rFonts w:asciiTheme="minorHAnsi" w:hAnsiTheme="minorHAnsi" w:cstheme="minorBidi"/>
              <w:noProof/>
              <w:sz w:val="22"/>
            </w:rPr>
          </w:pPr>
          <w:hyperlink w:history="1" w:anchor="_Toc122180446">
            <w:r w:rsidRPr="009A7B16">
              <w:rPr>
                <w:rStyle w:val="Hyperlink"/>
                <w:noProof/>
              </w:rPr>
              <w:t>5.2.2.</w:t>
            </w:r>
            <w:r>
              <w:rPr>
                <w:rFonts w:asciiTheme="minorHAnsi" w:hAnsiTheme="minorHAnsi" w:cstheme="minorBidi"/>
                <w:noProof/>
                <w:sz w:val="22"/>
              </w:rPr>
              <w:tab/>
            </w:r>
            <w:r w:rsidRPr="009A7B16">
              <w:rPr>
                <w:rStyle w:val="Hyperlink"/>
                <w:noProof/>
              </w:rPr>
              <w:t>PG&amp;E’s RPS Sales Framework – Sale of RPS Volumes</w:t>
            </w:r>
            <w:r>
              <w:rPr>
                <w:noProof/>
                <w:webHidden/>
              </w:rPr>
              <w:tab/>
            </w:r>
            <w:r>
              <w:rPr>
                <w:noProof/>
                <w:webHidden/>
              </w:rPr>
              <w:fldChar w:fldCharType="begin"/>
            </w:r>
            <w:r>
              <w:rPr>
                <w:noProof/>
                <w:webHidden/>
              </w:rPr>
              <w:instrText xml:space="preserve"> PAGEREF _Toc122180446 \h </w:instrText>
            </w:r>
            <w:r>
              <w:rPr>
                <w:noProof/>
                <w:webHidden/>
              </w:rPr>
            </w:r>
            <w:r>
              <w:rPr>
                <w:noProof/>
                <w:webHidden/>
              </w:rPr>
              <w:fldChar w:fldCharType="separate"/>
            </w:r>
            <w:r>
              <w:rPr>
                <w:noProof/>
                <w:webHidden/>
              </w:rPr>
              <w:t>25</w:t>
            </w:r>
            <w:r>
              <w:rPr>
                <w:noProof/>
                <w:webHidden/>
              </w:rPr>
              <w:fldChar w:fldCharType="end"/>
            </w:r>
          </w:hyperlink>
        </w:p>
        <w:p w:rsidR="005767A1" w:rsidRDefault="005767A1" w14:paraId="76303A71" w14:textId="04088DBB">
          <w:pPr>
            <w:pStyle w:val="TOC3"/>
            <w:tabs>
              <w:tab w:val="left" w:pos="1296"/>
              <w:tab w:val="right" w:leader="dot" w:pos="9350"/>
            </w:tabs>
            <w:rPr>
              <w:rFonts w:asciiTheme="minorHAnsi" w:hAnsiTheme="minorHAnsi" w:cstheme="minorBidi"/>
              <w:noProof/>
              <w:sz w:val="22"/>
            </w:rPr>
          </w:pPr>
          <w:hyperlink w:history="1" w:anchor="_Toc122180447">
            <w:r w:rsidRPr="009A7B16">
              <w:rPr>
                <w:rStyle w:val="Hyperlink"/>
                <w:noProof/>
              </w:rPr>
              <w:t>5.2.3.</w:t>
            </w:r>
            <w:r>
              <w:rPr>
                <w:rFonts w:asciiTheme="minorHAnsi" w:hAnsiTheme="minorHAnsi" w:cstheme="minorBidi"/>
                <w:noProof/>
                <w:sz w:val="22"/>
              </w:rPr>
              <w:tab/>
            </w:r>
            <w:r w:rsidRPr="009A7B16">
              <w:rPr>
                <w:rStyle w:val="Hyperlink"/>
                <w:noProof/>
              </w:rPr>
              <w:t>RFI for Contract Assignments and Contract Modifications.</w:t>
            </w:r>
            <w:r>
              <w:rPr>
                <w:noProof/>
                <w:webHidden/>
              </w:rPr>
              <w:tab/>
            </w:r>
            <w:r>
              <w:rPr>
                <w:noProof/>
                <w:webHidden/>
              </w:rPr>
              <w:fldChar w:fldCharType="begin"/>
            </w:r>
            <w:r>
              <w:rPr>
                <w:noProof/>
                <w:webHidden/>
              </w:rPr>
              <w:instrText xml:space="preserve"> PAGEREF _Toc122180447 \h </w:instrText>
            </w:r>
            <w:r>
              <w:rPr>
                <w:noProof/>
                <w:webHidden/>
              </w:rPr>
            </w:r>
            <w:r>
              <w:rPr>
                <w:noProof/>
                <w:webHidden/>
              </w:rPr>
              <w:fldChar w:fldCharType="separate"/>
            </w:r>
            <w:r>
              <w:rPr>
                <w:noProof/>
                <w:webHidden/>
              </w:rPr>
              <w:t>27</w:t>
            </w:r>
            <w:r>
              <w:rPr>
                <w:noProof/>
                <w:webHidden/>
              </w:rPr>
              <w:fldChar w:fldCharType="end"/>
            </w:r>
          </w:hyperlink>
        </w:p>
        <w:p w:rsidR="005767A1" w:rsidRDefault="005767A1" w14:paraId="333F08E6" w14:textId="4CEFE504">
          <w:pPr>
            <w:pStyle w:val="TOC3"/>
            <w:tabs>
              <w:tab w:val="left" w:pos="1296"/>
              <w:tab w:val="right" w:leader="dot" w:pos="9350"/>
            </w:tabs>
            <w:rPr>
              <w:rFonts w:asciiTheme="minorHAnsi" w:hAnsiTheme="minorHAnsi" w:cstheme="minorBidi"/>
              <w:noProof/>
              <w:sz w:val="22"/>
            </w:rPr>
          </w:pPr>
          <w:hyperlink w:history="1" w:anchor="_Toc122180448">
            <w:r w:rsidRPr="009A7B16">
              <w:rPr>
                <w:rStyle w:val="Hyperlink"/>
                <w:noProof/>
              </w:rPr>
              <w:t>5.2.4.</w:t>
            </w:r>
            <w:r>
              <w:rPr>
                <w:rFonts w:asciiTheme="minorHAnsi" w:hAnsiTheme="minorHAnsi" w:cstheme="minorBidi"/>
                <w:noProof/>
                <w:sz w:val="22"/>
              </w:rPr>
              <w:tab/>
            </w:r>
            <w:r w:rsidRPr="009A7B16">
              <w:rPr>
                <w:rStyle w:val="Hyperlink"/>
                <w:noProof/>
              </w:rPr>
              <w:t>PG&amp;E’s Proposals to Modify its Procurement</w:t>
            </w:r>
            <w:r>
              <w:rPr>
                <w:rStyle w:val="Hyperlink"/>
                <w:noProof/>
              </w:rPr>
              <w:br/>
            </w:r>
            <w:r w:rsidRPr="009A7B16">
              <w:rPr>
                <w:rStyle w:val="Hyperlink"/>
                <w:noProof/>
              </w:rPr>
              <w:t>Pro Forma Agreements</w:t>
            </w:r>
            <w:r>
              <w:rPr>
                <w:noProof/>
                <w:webHidden/>
              </w:rPr>
              <w:tab/>
            </w:r>
            <w:r>
              <w:rPr>
                <w:noProof/>
                <w:webHidden/>
              </w:rPr>
              <w:fldChar w:fldCharType="begin"/>
            </w:r>
            <w:r>
              <w:rPr>
                <w:noProof/>
                <w:webHidden/>
              </w:rPr>
              <w:instrText xml:space="preserve"> PAGEREF _Toc122180448 \h </w:instrText>
            </w:r>
            <w:r>
              <w:rPr>
                <w:noProof/>
                <w:webHidden/>
              </w:rPr>
            </w:r>
            <w:r>
              <w:rPr>
                <w:noProof/>
                <w:webHidden/>
              </w:rPr>
              <w:fldChar w:fldCharType="separate"/>
            </w:r>
            <w:r>
              <w:rPr>
                <w:noProof/>
                <w:webHidden/>
              </w:rPr>
              <w:t>27</w:t>
            </w:r>
            <w:r>
              <w:rPr>
                <w:noProof/>
                <w:webHidden/>
              </w:rPr>
              <w:fldChar w:fldCharType="end"/>
            </w:r>
          </w:hyperlink>
        </w:p>
        <w:p w:rsidR="005767A1" w:rsidRDefault="005767A1" w14:paraId="14451F2C" w14:textId="1CE7B02E">
          <w:pPr>
            <w:pStyle w:val="TOC2"/>
            <w:tabs>
              <w:tab w:val="right" w:leader="dot" w:pos="9350"/>
            </w:tabs>
            <w:rPr>
              <w:rFonts w:asciiTheme="minorHAnsi" w:hAnsiTheme="minorHAnsi" w:cstheme="minorBidi"/>
              <w:noProof/>
              <w:sz w:val="22"/>
            </w:rPr>
          </w:pPr>
          <w:hyperlink w:history="1" w:anchor="_Toc122180449">
            <w:r w:rsidRPr="009A7B16">
              <w:rPr>
                <w:rStyle w:val="Hyperlink"/>
                <w:noProof/>
              </w:rPr>
              <w:t>5.3.</w:t>
            </w:r>
            <w:r>
              <w:rPr>
                <w:rFonts w:asciiTheme="minorHAnsi" w:hAnsiTheme="minorHAnsi" w:cstheme="minorBidi"/>
                <w:noProof/>
                <w:sz w:val="22"/>
              </w:rPr>
              <w:tab/>
            </w:r>
            <w:r w:rsidRPr="009A7B16">
              <w:rPr>
                <w:rStyle w:val="Hyperlink"/>
                <w:noProof/>
              </w:rPr>
              <w:t>SCE’s Draft 2022 RPS Plan</w:t>
            </w:r>
            <w:r>
              <w:rPr>
                <w:noProof/>
                <w:webHidden/>
              </w:rPr>
              <w:tab/>
            </w:r>
            <w:r>
              <w:rPr>
                <w:noProof/>
                <w:webHidden/>
              </w:rPr>
              <w:fldChar w:fldCharType="begin"/>
            </w:r>
            <w:r>
              <w:rPr>
                <w:noProof/>
                <w:webHidden/>
              </w:rPr>
              <w:instrText xml:space="preserve"> PAGEREF _Toc122180449 \h </w:instrText>
            </w:r>
            <w:r>
              <w:rPr>
                <w:noProof/>
                <w:webHidden/>
              </w:rPr>
            </w:r>
            <w:r>
              <w:rPr>
                <w:noProof/>
                <w:webHidden/>
              </w:rPr>
              <w:fldChar w:fldCharType="separate"/>
            </w:r>
            <w:r>
              <w:rPr>
                <w:noProof/>
                <w:webHidden/>
              </w:rPr>
              <w:t>28</w:t>
            </w:r>
            <w:r>
              <w:rPr>
                <w:noProof/>
                <w:webHidden/>
              </w:rPr>
              <w:fldChar w:fldCharType="end"/>
            </w:r>
          </w:hyperlink>
        </w:p>
        <w:p w:rsidR="005767A1" w:rsidRDefault="005767A1" w14:paraId="3AC996A1" w14:textId="4C92AD43">
          <w:pPr>
            <w:pStyle w:val="TOC3"/>
            <w:tabs>
              <w:tab w:val="left" w:pos="1296"/>
              <w:tab w:val="right" w:leader="dot" w:pos="9350"/>
            </w:tabs>
            <w:rPr>
              <w:rFonts w:asciiTheme="minorHAnsi" w:hAnsiTheme="minorHAnsi" w:cstheme="minorBidi"/>
              <w:noProof/>
              <w:sz w:val="22"/>
            </w:rPr>
          </w:pPr>
          <w:hyperlink w:history="1" w:anchor="_Toc122180450">
            <w:r w:rsidRPr="009A7B16">
              <w:rPr>
                <w:rStyle w:val="Hyperlink"/>
                <w:noProof/>
              </w:rPr>
              <w:t>5.3.1.</w:t>
            </w:r>
            <w:r>
              <w:rPr>
                <w:rFonts w:asciiTheme="minorHAnsi" w:hAnsiTheme="minorHAnsi" w:cstheme="minorBidi"/>
                <w:noProof/>
                <w:sz w:val="22"/>
              </w:rPr>
              <w:tab/>
            </w:r>
            <w:r w:rsidRPr="009A7B16">
              <w:rPr>
                <w:rStyle w:val="Hyperlink"/>
                <w:noProof/>
              </w:rPr>
              <w:t>SCE’s Forecasted Short RPS Position and</w:t>
            </w:r>
            <w:r>
              <w:rPr>
                <w:rStyle w:val="Hyperlink"/>
                <w:noProof/>
              </w:rPr>
              <w:br/>
            </w:r>
            <w:r w:rsidRPr="009A7B16">
              <w:rPr>
                <w:rStyle w:val="Hyperlink"/>
                <w:noProof/>
              </w:rPr>
              <w:t>Proposed Procurement Solicitation</w:t>
            </w:r>
            <w:r>
              <w:rPr>
                <w:noProof/>
                <w:webHidden/>
              </w:rPr>
              <w:tab/>
            </w:r>
            <w:r>
              <w:rPr>
                <w:noProof/>
                <w:webHidden/>
              </w:rPr>
              <w:fldChar w:fldCharType="begin"/>
            </w:r>
            <w:r>
              <w:rPr>
                <w:noProof/>
                <w:webHidden/>
              </w:rPr>
              <w:instrText xml:space="preserve"> PAGEREF _Toc122180450 \h </w:instrText>
            </w:r>
            <w:r>
              <w:rPr>
                <w:noProof/>
                <w:webHidden/>
              </w:rPr>
            </w:r>
            <w:r>
              <w:rPr>
                <w:noProof/>
                <w:webHidden/>
              </w:rPr>
              <w:fldChar w:fldCharType="separate"/>
            </w:r>
            <w:r>
              <w:rPr>
                <w:noProof/>
                <w:webHidden/>
              </w:rPr>
              <w:t>28</w:t>
            </w:r>
            <w:r>
              <w:rPr>
                <w:noProof/>
                <w:webHidden/>
              </w:rPr>
              <w:fldChar w:fldCharType="end"/>
            </w:r>
          </w:hyperlink>
        </w:p>
        <w:p w:rsidR="005767A1" w:rsidRDefault="005767A1" w14:paraId="62A46871" w14:textId="713E4769">
          <w:pPr>
            <w:pStyle w:val="TOC3"/>
            <w:tabs>
              <w:tab w:val="left" w:pos="1296"/>
              <w:tab w:val="right" w:leader="dot" w:pos="9350"/>
            </w:tabs>
            <w:rPr>
              <w:rFonts w:asciiTheme="minorHAnsi" w:hAnsiTheme="minorHAnsi" w:cstheme="minorBidi"/>
              <w:noProof/>
              <w:sz w:val="22"/>
            </w:rPr>
          </w:pPr>
          <w:hyperlink w:history="1" w:anchor="_Toc122180451">
            <w:r w:rsidRPr="009A7B16">
              <w:rPr>
                <w:rStyle w:val="Hyperlink"/>
                <w:noProof/>
              </w:rPr>
              <w:t>5.3.2.</w:t>
            </w:r>
            <w:r>
              <w:rPr>
                <w:rFonts w:asciiTheme="minorHAnsi" w:hAnsiTheme="minorHAnsi" w:cstheme="minorBidi"/>
                <w:noProof/>
                <w:sz w:val="22"/>
              </w:rPr>
              <w:tab/>
            </w:r>
            <w:r w:rsidRPr="009A7B16">
              <w:rPr>
                <w:rStyle w:val="Hyperlink"/>
                <w:noProof/>
              </w:rPr>
              <w:t>SCE’s Plan to Sell RPS Volumes</w:t>
            </w:r>
            <w:r>
              <w:rPr>
                <w:noProof/>
                <w:webHidden/>
              </w:rPr>
              <w:tab/>
            </w:r>
            <w:r>
              <w:rPr>
                <w:noProof/>
                <w:webHidden/>
              </w:rPr>
              <w:fldChar w:fldCharType="begin"/>
            </w:r>
            <w:r>
              <w:rPr>
                <w:noProof/>
                <w:webHidden/>
              </w:rPr>
              <w:instrText xml:space="preserve"> PAGEREF _Toc122180451 \h </w:instrText>
            </w:r>
            <w:r>
              <w:rPr>
                <w:noProof/>
                <w:webHidden/>
              </w:rPr>
            </w:r>
            <w:r>
              <w:rPr>
                <w:noProof/>
                <w:webHidden/>
              </w:rPr>
              <w:fldChar w:fldCharType="separate"/>
            </w:r>
            <w:r>
              <w:rPr>
                <w:noProof/>
                <w:webHidden/>
              </w:rPr>
              <w:t>30</w:t>
            </w:r>
            <w:r>
              <w:rPr>
                <w:noProof/>
                <w:webHidden/>
              </w:rPr>
              <w:fldChar w:fldCharType="end"/>
            </w:r>
          </w:hyperlink>
        </w:p>
        <w:p w:rsidR="005767A1" w:rsidRDefault="005767A1" w14:paraId="58479B9A" w14:textId="71001156">
          <w:pPr>
            <w:pStyle w:val="TOC3"/>
            <w:tabs>
              <w:tab w:val="left" w:pos="1296"/>
              <w:tab w:val="right" w:leader="dot" w:pos="9350"/>
            </w:tabs>
            <w:rPr>
              <w:rFonts w:asciiTheme="minorHAnsi" w:hAnsiTheme="minorHAnsi" w:cstheme="minorBidi"/>
              <w:noProof/>
              <w:sz w:val="22"/>
            </w:rPr>
          </w:pPr>
          <w:hyperlink w:history="1" w:anchor="_Toc122180452">
            <w:r w:rsidRPr="009A7B16">
              <w:rPr>
                <w:rStyle w:val="Hyperlink"/>
                <w:noProof/>
              </w:rPr>
              <w:t>5.3.3.</w:t>
            </w:r>
            <w:r>
              <w:rPr>
                <w:rFonts w:asciiTheme="minorHAnsi" w:hAnsiTheme="minorHAnsi" w:cstheme="minorBidi"/>
                <w:noProof/>
                <w:sz w:val="22"/>
              </w:rPr>
              <w:tab/>
            </w:r>
            <w:r w:rsidRPr="009A7B16">
              <w:rPr>
                <w:rStyle w:val="Hyperlink"/>
                <w:noProof/>
              </w:rPr>
              <w:t>RFI for Contract Assignments and Contract Modifications</w:t>
            </w:r>
            <w:r>
              <w:rPr>
                <w:noProof/>
                <w:webHidden/>
              </w:rPr>
              <w:tab/>
            </w:r>
            <w:r>
              <w:rPr>
                <w:noProof/>
                <w:webHidden/>
              </w:rPr>
              <w:fldChar w:fldCharType="begin"/>
            </w:r>
            <w:r>
              <w:rPr>
                <w:noProof/>
                <w:webHidden/>
              </w:rPr>
              <w:instrText xml:space="preserve"> PAGEREF _Toc122180452 \h </w:instrText>
            </w:r>
            <w:r>
              <w:rPr>
                <w:noProof/>
                <w:webHidden/>
              </w:rPr>
            </w:r>
            <w:r>
              <w:rPr>
                <w:noProof/>
                <w:webHidden/>
              </w:rPr>
              <w:fldChar w:fldCharType="separate"/>
            </w:r>
            <w:r>
              <w:rPr>
                <w:noProof/>
                <w:webHidden/>
              </w:rPr>
              <w:t>31</w:t>
            </w:r>
            <w:r>
              <w:rPr>
                <w:noProof/>
                <w:webHidden/>
              </w:rPr>
              <w:fldChar w:fldCharType="end"/>
            </w:r>
          </w:hyperlink>
        </w:p>
        <w:p w:rsidR="005767A1" w:rsidRDefault="005767A1" w14:paraId="4E295A01" w14:textId="7C9DB533">
          <w:pPr>
            <w:pStyle w:val="TOC3"/>
            <w:tabs>
              <w:tab w:val="left" w:pos="1296"/>
              <w:tab w:val="right" w:leader="dot" w:pos="9350"/>
            </w:tabs>
            <w:rPr>
              <w:rFonts w:asciiTheme="minorHAnsi" w:hAnsiTheme="minorHAnsi" w:cstheme="minorBidi"/>
              <w:noProof/>
              <w:sz w:val="22"/>
            </w:rPr>
          </w:pPr>
          <w:hyperlink w:history="1" w:anchor="_Toc122180453">
            <w:r w:rsidRPr="009A7B16">
              <w:rPr>
                <w:rStyle w:val="Hyperlink"/>
                <w:noProof/>
              </w:rPr>
              <w:t>5.3.4.</w:t>
            </w:r>
            <w:r>
              <w:rPr>
                <w:rFonts w:asciiTheme="minorHAnsi" w:hAnsiTheme="minorHAnsi" w:cstheme="minorBidi"/>
                <w:noProof/>
                <w:sz w:val="22"/>
              </w:rPr>
              <w:tab/>
            </w:r>
            <w:r w:rsidRPr="009A7B16">
              <w:rPr>
                <w:rStyle w:val="Hyperlink"/>
                <w:noProof/>
              </w:rPr>
              <w:t>SCE’s Proposal to Modify its</w:t>
            </w:r>
            <w:r>
              <w:rPr>
                <w:rStyle w:val="Hyperlink"/>
                <w:noProof/>
              </w:rPr>
              <w:br/>
            </w:r>
            <w:r w:rsidRPr="009A7B16">
              <w:rPr>
                <w:rStyle w:val="Hyperlink"/>
                <w:noProof/>
              </w:rPr>
              <w:t>Pro Forma Power Purchase Agreement</w:t>
            </w:r>
            <w:r>
              <w:rPr>
                <w:noProof/>
                <w:webHidden/>
              </w:rPr>
              <w:tab/>
            </w:r>
            <w:r>
              <w:rPr>
                <w:noProof/>
                <w:webHidden/>
              </w:rPr>
              <w:fldChar w:fldCharType="begin"/>
            </w:r>
            <w:r>
              <w:rPr>
                <w:noProof/>
                <w:webHidden/>
              </w:rPr>
              <w:instrText xml:space="preserve"> PAGEREF _Toc122180453 \h </w:instrText>
            </w:r>
            <w:r>
              <w:rPr>
                <w:noProof/>
                <w:webHidden/>
              </w:rPr>
            </w:r>
            <w:r>
              <w:rPr>
                <w:noProof/>
                <w:webHidden/>
              </w:rPr>
              <w:fldChar w:fldCharType="separate"/>
            </w:r>
            <w:r>
              <w:rPr>
                <w:noProof/>
                <w:webHidden/>
              </w:rPr>
              <w:t>31</w:t>
            </w:r>
            <w:r>
              <w:rPr>
                <w:noProof/>
                <w:webHidden/>
              </w:rPr>
              <w:fldChar w:fldCharType="end"/>
            </w:r>
          </w:hyperlink>
        </w:p>
        <w:p w:rsidR="005767A1" w:rsidRDefault="005767A1" w14:paraId="236ECA42" w14:textId="3814DED1">
          <w:pPr>
            <w:pStyle w:val="TOC2"/>
            <w:tabs>
              <w:tab w:val="right" w:leader="dot" w:pos="9350"/>
            </w:tabs>
            <w:rPr>
              <w:rFonts w:asciiTheme="minorHAnsi" w:hAnsiTheme="minorHAnsi" w:cstheme="minorBidi"/>
              <w:noProof/>
              <w:sz w:val="22"/>
            </w:rPr>
          </w:pPr>
          <w:hyperlink w:history="1" w:anchor="_Toc122180454">
            <w:r w:rsidRPr="009A7B16">
              <w:rPr>
                <w:rStyle w:val="Hyperlink"/>
                <w:noProof/>
              </w:rPr>
              <w:t>5.4.</w:t>
            </w:r>
            <w:r>
              <w:rPr>
                <w:rFonts w:asciiTheme="minorHAnsi" w:hAnsiTheme="minorHAnsi" w:cstheme="minorBidi"/>
                <w:noProof/>
                <w:sz w:val="22"/>
              </w:rPr>
              <w:tab/>
            </w:r>
            <w:r w:rsidRPr="009A7B16">
              <w:rPr>
                <w:rStyle w:val="Hyperlink"/>
                <w:noProof/>
              </w:rPr>
              <w:t>SDG&amp;E’ Draft 2022 RPS Plan</w:t>
            </w:r>
            <w:r>
              <w:rPr>
                <w:noProof/>
                <w:webHidden/>
              </w:rPr>
              <w:tab/>
            </w:r>
            <w:r>
              <w:rPr>
                <w:noProof/>
                <w:webHidden/>
              </w:rPr>
              <w:fldChar w:fldCharType="begin"/>
            </w:r>
            <w:r>
              <w:rPr>
                <w:noProof/>
                <w:webHidden/>
              </w:rPr>
              <w:instrText xml:space="preserve"> PAGEREF _Toc122180454 \h </w:instrText>
            </w:r>
            <w:r>
              <w:rPr>
                <w:noProof/>
                <w:webHidden/>
              </w:rPr>
            </w:r>
            <w:r>
              <w:rPr>
                <w:noProof/>
                <w:webHidden/>
              </w:rPr>
              <w:fldChar w:fldCharType="separate"/>
            </w:r>
            <w:r>
              <w:rPr>
                <w:noProof/>
                <w:webHidden/>
              </w:rPr>
              <w:t>33</w:t>
            </w:r>
            <w:r>
              <w:rPr>
                <w:noProof/>
                <w:webHidden/>
              </w:rPr>
              <w:fldChar w:fldCharType="end"/>
            </w:r>
          </w:hyperlink>
        </w:p>
        <w:p w:rsidR="005767A1" w:rsidRDefault="005767A1" w14:paraId="6C51FD0C" w14:textId="736EDDA0">
          <w:pPr>
            <w:pStyle w:val="TOC3"/>
            <w:tabs>
              <w:tab w:val="left" w:pos="1296"/>
              <w:tab w:val="right" w:leader="dot" w:pos="9350"/>
            </w:tabs>
            <w:rPr>
              <w:rFonts w:asciiTheme="minorHAnsi" w:hAnsiTheme="minorHAnsi" w:cstheme="minorBidi"/>
              <w:noProof/>
              <w:sz w:val="22"/>
            </w:rPr>
          </w:pPr>
          <w:hyperlink w:history="1" w:anchor="_Toc122180455">
            <w:r w:rsidRPr="009A7B16">
              <w:rPr>
                <w:rStyle w:val="Hyperlink"/>
                <w:noProof/>
              </w:rPr>
              <w:t>5.4.1.</w:t>
            </w:r>
            <w:r>
              <w:rPr>
                <w:rFonts w:asciiTheme="minorHAnsi" w:hAnsiTheme="minorHAnsi" w:cstheme="minorBidi"/>
                <w:noProof/>
                <w:sz w:val="22"/>
              </w:rPr>
              <w:tab/>
            </w:r>
            <w:r w:rsidRPr="009A7B16">
              <w:rPr>
                <w:rStyle w:val="Hyperlink"/>
                <w:noProof/>
              </w:rPr>
              <w:t>Request to Procure RPS Eligible Resources</w:t>
            </w:r>
            <w:r>
              <w:rPr>
                <w:noProof/>
                <w:webHidden/>
              </w:rPr>
              <w:tab/>
            </w:r>
            <w:r>
              <w:rPr>
                <w:noProof/>
                <w:webHidden/>
              </w:rPr>
              <w:fldChar w:fldCharType="begin"/>
            </w:r>
            <w:r>
              <w:rPr>
                <w:noProof/>
                <w:webHidden/>
              </w:rPr>
              <w:instrText xml:space="preserve"> PAGEREF _Toc122180455 \h </w:instrText>
            </w:r>
            <w:r>
              <w:rPr>
                <w:noProof/>
                <w:webHidden/>
              </w:rPr>
            </w:r>
            <w:r>
              <w:rPr>
                <w:noProof/>
                <w:webHidden/>
              </w:rPr>
              <w:fldChar w:fldCharType="separate"/>
            </w:r>
            <w:r>
              <w:rPr>
                <w:noProof/>
                <w:webHidden/>
              </w:rPr>
              <w:t>33</w:t>
            </w:r>
            <w:r>
              <w:rPr>
                <w:noProof/>
                <w:webHidden/>
              </w:rPr>
              <w:fldChar w:fldCharType="end"/>
            </w:r>
          </w:hyperlink>
        </w:p>
        <w:p w:rsidR="005767A1" w:rsidRDefault="005767A1" w14:paraId="2065A29B" w14:textId="215FFA05">
          <w:pPr>
            <w:pStyle w:val="TOC3"/>
            <w:tabs>
              <w:tab w:val="left" w:pos="1296"/>
              <w:tab w:val="right" w:leader="dot" w:pos="9350"/>
            </w:tabs>
            <w:rPr>
              <w:rFonts w:asciiTheme="minorHAnsi" w:hAnsiTheme="minorHAnsi" w:cstheme="minorBidi"/>
              <w:noProof/>
              <w:sz w:val="22"/>
            </w:rPr>
          </w:pPr>
          <w:hyperlink w:history="1" w:anchor="_Toc122180456">
            <w:r w:rsidRPr="009A7B16">
              <w:rPr>
                <w:rStyle w:val="Hyperlink"/>
                <w:noProof/>
              </w:rPr>
              <w:t>5.4.2.</w:t>
            </w:r>
            <w:r>
              <w:rPr>
                <w:rFonts w:asciiTheme="minorHAnsi" w:hAnsiTheme="minorHAnsi" w:cstheme="minorBidi"/>
                <w:noProof/>
                <w:sz w:val="22"/>
              </w:rPr>
              <w:tab/>
            </w:r>
            <w:r w:rsidRPr="009A7B16">
              <w:rPr>
                <w:rStyle w:val="Hyperlink"/>
                <w:noProof/>
              </w:rPr>
              <w:t>RPS Sales Framework</w:t>
            </w:r>
            <w:r>
              <w:rPr>
                <w:noProof/>
                <w:webHidden/>
              </w:rPr>
              <w:tab/>
            </w:r>
            <w:r>
              <w:rPr>
                <w:noProof/>
                <w:webHidden/>
              </w:rPr>
              <w:fldChar w:fldCharType="begin"/>
            </w:r>
            <w:r>
              <w:rPr>
                <w:noProof/>
                <w:webHidden/>
              </w:rPr>
              <w:instrText xml:space="preserve"> PAGEREF _Toc122180456 \h </w:instrText>
            </w:r>
            <w:r>
              <w:rPr>
                <w:noProof/>
                <w:webHidden/>
              </w:rPr>
            </w:r>
            <w:r>
              <w:rPr>
                <w:noProof/>
                <w:webHidden/>
              </w:rPr>
              <w:fldChar w:fldCharType="separate"/>
            </w:r>
            <w:r>
              <w:rPr>
                <w:noProof/>
                <w:webHidden/>
              </w:rPr>
              <w:t>34</w:t>
            </w:r>
            <w:r>
              <w:rPr>
                <w:noProof/>
                <w:webHidden/>
              </w:rPr>
              <w:fldChar w:fldCharType="end"/>
            </w:r>
          </w:hyperlink>
        </w:p>
        <w:p w:rsidR="005767A1" w:rsidRDefault="005767A1" w14:paraId="761BE7DA" w14:textId="515DE0BC">
          <w:pPr>
            <w:pStyle w:val="TOC3"/>
            <w:tabs>
              <w:tab w:val="left" w:pos="1296"/>
              <w:tab w:val="right" w:leader="dot" w:pos="9350"/>
            </w:tabs>
            <w:rPr>
              <w:rFonts w:asciiTheme="minorHAnsi" w:hAnsiTheme="minorHAnsi" w:cstheme="minorBidi"/>
              <w:noProof/>
              <w:sz w:val="22"/>
            </w:rPr>
          </w:pPr>
          <w:hyperlink w:history="1" w:anchor="_Toc122180457">
            <w:r w:rsidRPr="009A7B16">
              <w:rPr>
                <w:rStyle w:val="Hyperlink"/>
                <w:noProof/>
              </w:rPr>
              <w:t>5.4.3.</w:t>
            </w:r>
            <w:r>
              <w:rPr>
                <w:rFonts w:asciiTheme="minorHAnsi" w:hAnsiTheme="minorHAnsi" w:cstheme="minorBidi"/>
                <w:noProof/>
                <w:sz w:val="22"/>
              </w:rPr>
              <w:tab/>
            </w:r>
            <w:r w:rsidRPr="009A7B16">
              <w:rPr>
                <w:rStyle w:val="Hyperlink"/>
                <w:noProof/>
              </w:rPr>
              <w:t>RFI for Contract Assignments and</w:t>
            </w:r>
            <w:r>
              <w:rPr>
                <w:rStyle w:val="Hyperlink"/>
                <w:noProof/>
              </w:rPr>
              <w:br/>
            </w:r>
            <w:r w:rsidRPr="009A7B16">
              <w:rPr>
                <w:rStyle w:val="Hyperlink"/>
                <w:noProof/>
              </w:rPr>
              <w:t>Contract Modifications</w:t>
            </w:r>
            <w:r>
              <w:rPr>
                <w:noProof/>
                <w:webHidden/>
              </w:rPr>
              <w:tab/>
            </w:r>
            <w:r>
              <w:rPr>
                <w:noProof/>
                <w:webHidden/>
              </w:rPr>
              <w:fldChar w:fldCharType="begin"/>
            </w:r>
            <w:r>
              <w:rPr>
                <w:noProof/>
                <w:webHidden/>
              </w:rPr>
              <w:instrText xml:space="preserve"> PAGEREF _Toc122180457 \h </w:instrText>
            </w:r>
            <w:r>
              <w:rPr>
                <w:noProof/>
                <w:webHidden/>
              </w:rPr>
            </w:r>
            <w:r>
              <w:rPr>
                <w:noProof/>
                <w:webHidden/>
              </w:rPr>
              <w:fldChar w:fldCharType="separate"/>
            </w:r>
            <w:r>
              <w:rPr>
                <w:noProof/>
                <w:webHidden/>
              </w:rPr>
              <w:t>35</w:t>
            </w:r>
            <w:r>
              <w:rPr>
                <w:noProof/>
                <w:webHidden/>
              </w:rPr>
              <w:fldChar w:fldCharType="end"/>
            </w:r>
          </w:hyperlink>
        </w:p>
        <w:p w:rsidR="005767A1" w:rsidRDefault="005767A1" w14:paraId="279A8457" w14:textId="76DD303F">
          <w:pPr>
            <w:pStyle w:val="TOC2"/>
            <w:tabs>
              <w:tab w:val="right" w:leader="dot" w:pos="9350"/>
            </w:tabs>
            <w:rPr>
              <w:rFonts w:asciiTheme="minorHAnsi" w:hAnsiTheme="minorHAnsi" w:cstheme="minorBidi"/>
              <w:noProof/>
              <w:sz w:val="22"/>
            </w:rPr>
          </w:pPr>
          <w:hyperlink w:history="1" w:anchor="_Toc122180458">
            <w:r w:rsidRPr="009A7B16">
              <w:rPr>
                <w:rStyle w:val="Hyperlink"/>
                <w:noProof/>
              </w:rPr>
              <w:t>5.5.</w:t>
            </w:r>
            <w:r>
              <w:rPr>
                <w:rFonts w:asciiTheme="minorHAnsi" w:hAnsiTheme="minorHAnsi" w:cstheme="minorBidi"/>
                <w:noProof/>
                <w:sz w:val="22"/>
              </w:rPr>
              <w:tab/>
            </w:r>
            <w:r w:rsidRPr="009A7B16">
              <w:rPr>
                <w:rStyle w:val="Hyperlink"/>
                <w:noProof/>
              </w:rPr>
              <w:t>Other Issues</w:t>
            </w:r>
            <w:r>
              <w:rPr>
                <w:noProof/>
                <w:webHidden/>
              </w:rPr>
              <w:tab/>
            </w:r>
            <w:r>
              <w:rPr>
                <w:noProof/>
                <w:webHidden/>
              </w:rPr>
              <w:fldChar w:fldCharType="begin"/>
            </w:r>
            <w:r>
              <w:rPr>
                <w:noProof/>
                <w:webHidden/>
              </w:rPr>
              <w:instrText xml:space="preserve"> PAGEREF _Toc122180458 \h </w:instrText>
            </w:r>
            <w:r>
              <w:rPr>
                <w:noProof/>
                <w:webHidden/>
              </w:rPr>
            </w:r>
            <w:r>
              <w:rPr>
                <w:noProof/>
                <w:webHidden/>
              </w:rPr>
              <w:fldChar w:fldCharType="separate"/>
            </w:r>
            <w:r>
              <w:rPr>
                <w:noProof/>
                <w:webHidden/>
              </w:rPr>
              <w:t>35</w:t>
            </w:r>
            <w:r>
              <w:rPr>
                <w:noProof/>
                <w:webHidden/>
              </w:rPr>
              <w:fldChar w:fldCharType="end"/>
            </w:r>
          </w:hyperlink>
        </w:p>
        <w:p w:rsidR="005767A1" w:rsidRDefault="005767A1" w14:paraId="6DD3D80B" w14:textId="6DBD768E">
          <w:pPr>
            <w:pStyle w:val="TOC1"/>
            <w:tabs>
              <w:tab w:val="right" w:leader="dot" w:pos="9350"/>
            </w:tabs>
            <w:rPr>
              <w:rFonts w:asciiTheme="minorHAnsi" w:hAnsiTheme="minorHAnsi" w:cstheme="minorBidi"/>
              <w:noProof/>
              <w:sz w:val="22"/>
            </w:rPr>
          </w:pPr>
          <w:hyperlink w:history="1" w:anchor="_Toc122180459">
            <w:r w:rsidRPr="009A7B16">
              <w:rPr>
                <w:rStyle w:val="Hyperlink"/>
                <w:noProof/>
              </w:rPr>
              <w:t>6.</w:t>
            </w:r>
            <w:r>
              <w:rPr>
                <w:rFonts w:asciiTheme="minorHAnsi" w:hAnsiTheme="minorHAnsi" w:cstheme="minorBidi"/>
                <w:noProof/>
                <w:sz w:val="22"/>
              </w:rPr>
              <w:tab/>
            </w:r>
            <w:r w:rsidRPr="009A7B16">
              <w:rPr>
                <w:rStyle w:val="Hyperlink"/>
                <w:noProof/>
              </w:rPr>
              <w:t>SMJUs</w:t>
            </w:r>
            <w:r>
              <w:rPr>
                <w:noProof/>
                <w:webHidden/>
              </w:rPr>
              <w:tab/>
            </w:r>
            <w:r>
              <w:rPr>
                <w:noProof/>
                <w:webHidden/>
              </w:rPr>
              <w:fldChar w:fldCharType="begin"/>
            </w:r>
            <w:r>
              <w:rPr>
                <w:noProof/>
                <w:webHidden/>
              </w:rPr>
              <w:instrText xml:space="preserve"> PAGEREF _Toc122180459 \h </w:instrText>
            </w:r>
            <w:r>
              <w:rPr>
                <w:noProof/>
                <w:webHidden/>
              </w:rPr>
            </w:r>
            <w:r>
              <w:rPr>
                <w:noProof/>
                <w:webHidden/>
              </w:rPr>
              <w:fldChar w:fldCharType="separate"/>
            </w:r>
            <w:r>
              <w:rPr>
                <w:noProof/>
                <w:webHidden/>
              </w:rPr>
              <w:t>36</w:t>
            </w:r>
            <w:r>
              <w:rPr>
                <w:noProof/>
                <w:webHidden/>
              </w:rPr>
              <w:fldChar w:fldCharType="end"/>
            </w:r>
          </w:hyperlink>
        </w:p>
        <w:p w:rsidR="005767A1" w:rsidRDefault="005767A1" w14:paraId="7314010C" w14:textId="16CC3810">
          <w:pPr>
            <w:pStyle w:val="TOC2"/>
            <w:tabs>
              <w:tab w:val="right" w:leader="dot" w:pos="9350"/>
            </w:tabs>
            <w:rPr>
              <w:rFonts w:asciiTheme="minorHAnsi" w:hAnsiTheme="minorHAnsi" w:cstheme="minorBidi"/>
              <w:noProof/>
              <w:sz w:val="22"/>
            </w:rPr>
          </w:pPr>
          <w:hyperlink w:history="1" w:anchor="_Toc122180460">
            <w:r w:rsidRPr="009A7B16">
              <w:rPr>
                <w:rStyle w:val="Hyperlink"/>
                <w:noProof/>
              </w:rPr>
              <w:t>6.1.</w:t>
            </w:r>
            <w:r>
              <w:rPr>
                <w:rFonts w:asciiTheme="minorHAnsi" w:hAnsiTheme="minorHAnsi" w:cstheme="minorBidi"/>
                <w:noProof/>
                <w:sz w:val="22"/>
              </w:rPr>
              <w:tab/>
            </w:r>
            <w:r w:rsidRPr="009A7B16">
              <w:rPr>
                <w:rStyle w:val="Hyperlink"/>
                <w:noProof/>
              </w:rPr>
              <w:t>BVES’ Draft 2022 RPS Plan</w:t>
            </w:r>
            <w:r>
              <w:rPr>
                <w:noProof/>
                <w:webHidden/>
              </w:rPr>
              <w:tab/>
            </w:r>
            <w:r>
              <w:rPr>
                <w:noProof/>
                <w:webHidden/>
              </w:rPr>
              <w:fldChar w:fldCharType="begin"/>
            </w:r>
            <w:r>
              <w:rPr>
                <w:noProof/>
                <w:webHidden/>
              </w:rPr>
              <w:instrText xml:space="preserve"> PAGEREF _Toc122180460 \h </w:instrText>
            </w:r>
            <w:r>
              <w:rPr>
                <w:noProof/>
                <w:webHidden/>
              </w:rPr>
            </w:r>
            <w:r>
              <w:rPr>
                <w:noProof/>
                <w:webHidden/>
              </w:rPr>
              <w:fldChar w:fldCharType="separate"/>
            </w:r>
            <w:r>
              <w:rPr>
                <w:noProof/>
                <w:webHidden/>
              </w:rPr>
              <w:t>37</w:t>
            </w:r>
            <w:r>
              <w:rPr>
                <w:noProof/>
                <w:webHidden/>
              </w:rPr>
              <w:fldChar w:fldCharType="end"/>
            </w:r>
          </w:hyperlink>
        </w:p>
        <w:p w:rsidR="005767A1" w:rsidRDefault="005767A1" w14:paraId="61792EA8" w14:textId="61CF746D">
          <w:pPr>
            <w:pStyle w:val="TOC3"/>
            <w:tabs>
              <w:tab w:val="left" w:pos="1296"/>
              <w:tab w:val="right" w:leader="dot" w:pos="9350"/>
            </w:tabs>
            <w:rPr>
              <w:rFonts w:asciiTheme="minorHAnsi" w:hAnsiTheme="minorHAnsi" w:cstheme="minorBidi"/>
              <w:noProof/>
              <w:sz w:val="22"/>
            </w:rPr>
          </w:pPr>
          <w:hyperlink w:history="1" w:anchor="_Toc122180461">
            <w:r w:rsidRPr="009A7B16">
              <w:rPr>
                <w:rStyle w:val="Hyperlink"/>
                <w:noProof/>
              </w:rPr>
              <w:t>6.1.1.</w:t>
            </w:r>
            <w:r>
              <w:rPr>
                <w:rFonts w:asciiTheme="minorHAnsi" w:hAnsiTheme="minorHAnsi" w:cstheme="minorBidi"/>
                <w:noProof/>
                <w:sz w:val="22"/>
              </w:rPr>
              <w:tab/>
            </w:r>
            <w:r w:rsidRPr="009A7B16">
              <w:rPr>
                <w:rStyle w:val="Hyperlink"/>
                <w:noProof/>
              </w:rPr>
              <w:t>BVES’ Portfolio Supply and Demand,</w:t>
            </w:r>
            <w:r>
              <w:rPr>
                <w:rStyle w:val="Hyperlink"/>
                <w:noProof/>
              </w:rPr>
              <w:br/>
            </w:r>
            <w:r w:rsidRPr="009A7B16">
              <w:rPr>
                <w:rStyle w:val="Hyperlink"/>
                <w:noProof/>
              </w:rPr>
              <w:t>Long-Term Procurement, and Risk Assessment</w:t>
            </w:r>
            <w:r>
              <w:rPr>
                <w:noProof/>
                <w:webHidden/>
              </w:rPr>
              <w:tab/>
            </w:r>
            <w:r>
              <w:rPr>
                <w:noProof/>
                <w:webHidden/>
              </w:rPr>
              <w:fldChar w:fldCharType="begin"/>
            </w:r>
            <w:r>
              <w:rPr>
                <w:noProof/>
                <w:webHidden/>
              </w:rPr>
              <w:instrText xml:space="preserve"> PAGEREF _Toc122180461 \h </w:instrText>
            </w:r>
            <w:r>
              <w:rPr>
                <w:noProof/>
                <w:webHidden/>
              </w:rPr>
            </w:r>
            <w:r>
              <w:rPr>
                <w:noProof/>
                <w:webHidden/>
              </w:rPr>
              <w:fldChar w:fldCharType="separate"/>
            </w:r>
            <w:r>
              <w:rPr>
                <w:noProof/>
                <w:webHidden/>
              </w:rPr>
              <w:t>37</w:t>
            </w:r>
            <w:r>
              <w:rPr>
                <w:noProof/>
                <w:webHidden/>
              </w:rPr>
              <w:fldChar w:fldCharType="end"/>
            </w:r>
          </w:hyperlink>
        </w:p>
        <w:p w:rsidR="005767A1" w:rsidRDefault="005767A1" w14:paraId="00FFC245" w14:textId="5C3F3A23">
          <w:pPr>
            <w:pStyle w:val="TOC3"/>
            <w:tabs>
              <w:tab w:val="left" w:pos="1296"/>
              <w:tab w:val="right" w:leader="dot" w:pos="9350"/>
            </w:tabs>
            <w:rPr>
              <w:rFonts w:asciiTheme="minorHAnsi" w:hAnsiTheme="minorHAnsi" w:cstheme="minorBidi"/>
              <w:noProof/>
              <w:sz w:val="22"/>
            </w:rPr>
          </w:pPr>
          <w:hyperlink w:history="1" w:anchor="_Toc122180462">
            <w:r w:rsidRPr="009A7B16">
              <w:rPr>
                <w:rStyle w:val="Hyperlink"/>
                <w:noProof/>
              </w:rPr>
              <w:t>6.1.2.</w:t>
            </w:r>
            <w:r>
              <w:rPr>
                <w:rFonts w:asciiTheme="minorHAnsi" w:hAnsiTheme="minorHAnsi" w:cstheme="minorBidi"/>
                <w:noProof/>
                <w:sz w:val="22"/>
              </w:rPr>
              <w:tab/>
            </w:r>
            <w:r w:rsidRPr="009A7B16">
              <w:rPr>
                <w:rStyle w:val="Hyperlink"/>
                <w:noProof/>
              </w:rPr>
              <w:t>BVES’ Transportation Electrification Forecast</w:t>
            </w:r>
            <w:r>
              <w:rPr>
                <w:noProof/>
                <w:webHidden/>
              </w:rPr>
              <w:tab/>
            </w:r>
            <w:r>
              <w:rPr>
                <w:noProof/>
                <w:webHidden/>
              </w:rPr>
              <w:fldChar w:fldCharType="begin"/>
            </w:r>
            <w:r>
              <w:rPr>
                <w:noProof/>
                <w:webHidden/>
              </w:rPr>
              <w:instrText xml:space="preserve"> PAGEREF _Toc122180462 \h </w:instrText>
            </w:r>
            <w:r>
              <w:rPr>
                <w:noProof/>
                <w:webHidden/>
              </w:rPr>
            </w:r>
            <w:r>
              <w:rPr>
                <w:noProof/>
                <w:webHidden/>
              </w:rPr>
              <w:fldChar w:fldCharType="separate"/>
            </w:r>
            <w:r>
              <w:rPr>
                <w:noProof/>
                <w:webHidden/>
              </w:rPr>
              <w:t>38</w:t>
            </w:r>
            <w:r>
              <w:rPr>
                <w:noProof/>
                <w:webHidden/>
              </w:rPr>
              <w:fldChar w:fldCharType="end"/>
            </w:r>
          </w:hyperlink>
        </w:p>
        <w:p w:rsidR="005767A1" w:rsidRDefault="005767A1" w14:paraId="6ECC7F5F" w14:textId="1D050B29">
          <w:pPr>
            <w:pStyle w:val="TOC3"/>
            <w:tabs>
              <w:tab w:val="left" w:pos="1296"/>
              <w:tab w:val="right" w:leader="dot" w:pos="9350"/>
            </w:tabs>
            <w:rPr>
              <w:rFonts w:asciiTheme="minorHAnsi" w:hAnsiTheme="minorHAnsi" w:cstheme="minorBidi"/>
              <w:noProof/>
              <w:sz w:val="22"/>
            </w:rPr>
          </w:pPr>
          <w:hyperlink w:history="1" w:anchor="_Toc122180463">
            <w:r w:rsidRPr="009A7B16">
              <w:rPr>
                <w:rStyle w:val="Hyperlink"/>
                <w:noProof/>
              </w:rPr>
              <w:t>6.1.3.</w:t>
            </w:r>
            <w:r>
              <w:rPr>
                <w:rFonts w:asciiTheme="minorHAnsi" w:hAnsiTheme="minorHAnsi" w:cstheme="minorBidi"/>
                <w:noProof/>
                <w:sz w:val="22"/>
              </w:rPr>
              <w:tab/>
            </w:r>
            <w:r w:rsidRPr="009A7B16">
              <w:rPr>
                <w:rStyle w:val="Hyperlink"/>
                <w:noProof/>
              </w:rPr>
              <w:t>BVES’ Implementation of SB 255</w:t>
            </w:r>
            <w:r>
              <w:rPr>
                <w:noProof/>
                <w:webHidden/>
              </w:rPr>
              <w:tab/>
            </w:r>
            <w:r>
              <w:rPr>
                <w:noProof/>
                <w:webHidden/>
              </w:rPr>
              <w:fldChar w:fldCharType="begin"/>
            </w:r>
            <w:r>
              <w:rPr>
                <w:noProof/>
                <w:webHidden/>
              </w:rPr>
              <w:instrText xml:space="preserve"> PAGEREF _Toc122180463 \h </w:instrText>
            </w:r>
            <w:r>
              <w:rPr>
                <w:noProof/>
                <w:webHidden/>
              </w:rPr>
            </w:r>
            <w:r>
              <w:rPr>
                <w:noProof/>
                <w:webHidden/>
              </w:rPr>
              <w:fldChar w:fldCharType="separate"/>
            </w:r>
            <w:r>
              <w:rPr>
                <w:noProof/>
                <w:webHidden/>
              </w:rPr>
              <w:t>39</w:t>
            </w:r>
            <w:r>
              <w:rPr>
                <w:noProof/>
                <w:webHidden/>
              </w:rPr>
              <w:fldChar w:fldCharType="end"/>
            </w:r>
          </w:hyperlink>
        </w:p>
        <w:p w:rsidR="005767A1" w:rsidRDefault="005767A1" w14:paraId="363F4318" w14:textId="6EC7E3F9">
          <w:pPr>
            <w:pStyle w:val="TOC2"/>
            <w:tabs>
              <w:tab w:val="right" w:leader="dot" w:pos="9350"/>
            </w:tabs>
            <w:rPr>
              <w:rFonts w:asciiTheme="minorHAnsi" w:hAnsiTheme="minorHAnsi" w:cstheme="minorBidi"/>
              <w:noProof/>
              <w:sz w:val="22"/>
            </w:rPr>
          </w:pPr>
          <w:hyperlink w:history="1" w:anchor="_Toc122180464">
            <w:r w:rsidRPr="009A7B16">
              <w:rPr>
                <w:rStyle w:val="Hyperlink"/>
                <w:noProof/>
              </w:rPr>
              <w:t>6.2.</w:t>
            </w:r>
            <w:r>
              <w:rPr>
                <w:rFonts w:asciiTheme="minorHAnsi" w:hAnsiTheme="minorHAnsi" w:cstheme="minorBidi"/>
                <w:noProof/>
                <w:sz w:val="22"/>
              </w:rPr>
              <w:tab/>
            </w:r>
            <w:r w:rsidRPr="009A7B16">
              <w:rPr>
                <w:rStyle w:val="Hyperlink"/>
                <w:noProof/>
              </w:rPr>
              <w:t>Liberty’s D</w:t>
            </w:r>
            <w:r w:rsidRPr="009A7B16">
              <w:rPr>
                <w:rStyle w:val="Hyperlink"/>
                <w:rFonts w:eastAsiaTheme="majorEastAsia" w:cstheme="majorBidi"/>
                <w:noProof/>
              </w:rPr>
              <w:t xml:space="preserve">raft </w:t>
            </w:r>
            <w:r w:rsidRPr="009A7B16">
              <w:rPr>
                <w:rStyle w:val="Hyperlink"/>
                <w:noProof/>
              </w:rPr>
              <w:t>2022 RPS Plan</w:t>
            </w:r>
            <w:r>
              <w:rPr>
                <w:noProof/>
                <w:webHidden/>
              </w:rPr>
              <w:tab/>
            </w:r>
            <w:r>
              <w:rPr>
                <w:noProof/>
                <w:webHidden/>
              </w:rPr>
              <w:fldChar w:fldCharType="begin"/>
            </w:r>
            <w:r>
              <w:rPr>
                <w:noProof/>
                <w:webHidden/>
              </w:rPr>
              <w:instrText xml:space="preserve"> PAGEREF _Toc122180464 \h </w:instrText>
            </w:r>
            <w:r>
              <w:rPr>
                <w:noProof/>
                <w:webHidden/>
              </w:rPr>
            </w:r>
            <w:r>
              <w:rPr>
                <w:noProof/>
                <w:webHidden/>
              </w:rPr>
              <w:fldChar w:fldCharType="separate"/>
            </w:r>
            <w:r>
              <w:rPr>
                <w:noProof/>
                <w:webHidden/>
              </w:rPr>
              <w:t>39</w:t>
            </w:r>
            <w:r>
              <w:rPr>
                <w:noProof/>
                <w:webHidden/>
              </w:rPr>
              <w:fldChar w:fldCharType="end"/>
            </w:r>
          </w:hyperlink>
        </w:p>
        <w:p w:rsidR="005767A1" w:rsidRDefault="005767A1" w14:paraId="33FDBE2B" w14:textId="436D160E">
          <w:pPr>
            <w:pStyle w:val="TOC3"/>
            <w:tabs>
              <w:tab w:val="left" w:pos="1296"/>
              <w:tab w:val="right" w:leader="dot" w:pos="9350"/>
            </w:tabs>
            <w:rPr>
              <w:rFonts w:asciiTheme="minorHAnsi" w:hAnsiTheme="minorHAnsi" w:cstheme="minorBidi"/>
              <w:noProof/>
              <w:sz w:val="22"/>
            </w:rPr>
          </w:pPr>
          <w:hyperlink w:history="1" w:anchor="_Toc122180465">
            <w:r w:rsidRPr="009A7B16">
              <w:rPr>
                <w:rStyle w:val="Hyperlink"/>
                <w:noProof/>
              </w:rPr>
              <w:t>6.2.1.</w:t>
            </w:r>
            <w:r>
              <w:rPr>
                <w:rFonts w:asciiTheme="minorHAnsi" w:hAnsiTheme="minorHAnsi" w:cstheme="minorBidi"/>
                <w:noProof/>
                <w:sz w:val="22"/>
              </w:rPr>
              <w:tab/>
            </w:r>
            <w:r w:rsidRPr="009A7B16">
              <w:rPr>
                <w:rStyle w:val="Hyperlink"/>
                <w:noProof/>
              </w:rPr>
              <w:t>Liberty’s Long-Term Contracting</w:t>
            </w:r>
            <w:r>
              <w:rPr>
                <w:noProof/>
                <w:webHidden/>
              </w:rPr>
              <w:tab/>
            </w:r>
            <w:r>
              <w:rPr>
                <w:noProof/>
                <w:webHidden/>
              </w:rPr>
              <w:fldChar w:fldCharType="begin"/>
            </w:r>
            <w:r>
              <w:rPr>
                <w:noProof/>
                <w:webHidden/>
              </w:rPr>
              <w:instrText xml:space="preserve"> PAGEREF _Toc122180465 \h </w:instrText>
            </w:r>
            <w:r>
              <w:rPr>
                <w:noProof/>
                <w:webHidden/>
              </w:rPr>
            </w:r>
            <w:r>
              <w:rPr>
                <w:noProof/>
                <w:webHidden/>
              </w:rPr>
              <w:fldChar w:fldCharType="separate"/>
            </w:r>
            <w:r>
              <w:rPr>
                <w:noProof/>
                <w:webHidden/>
              </w:rPr>
              <w:t>40</w:t>
            </w:r>
            <w:r>
              <w:rPr>
                <w:noProof/>
                <w:webHidden/>
              </w:rPr>
              <w:fldChar w:fldCharType="end"/>
            </w:r>
          </w:hyperlink>
        </w:p>
        <w:p w:rsidR="005767A1" w:rsidRDefault="005767A1" w14:paraId="28755848" w14:textId="6CE9060D">
          <w:pPr>
            <w:pStyle w:val="TOC3"/>
            <w:tabs>
              <w:tab w:val="left" w:pos="1296"/>
              <w:tab w:val="right" w:leader="dot" w:pos="9350"/>
            </w:tabs>
            <w:rPr>
              <w:rFonts w:asciiTheme="minorHAnsi" w:hAnsiTheme="minorHAnsi" w:cstheme="minorBidi"/>
              <w:noProof/>
              <w:sz w:val="22"/>
            </w:rPr>
          </w:pPr>
          <w:hyperlink w:history="1" w:anchor="_Toc122180466">
            <w:r w:rsidRPr="009A7B16">
              <w:rPr>
                <w:rStyle w:val="Hyperlink"/>
                <w:noProof/>
              </w:rPr>
              <w:t>6.2.2.</w:t>
            </w:r>
            <w:r>
              <w:rPr>
                <w:rFonts w:asciiTheme="minorHAnsi" w:hAnsiTheme="minorHAnsi" w:cstheme="minorBidi"/>
                <w:noProof/>
                <w:sz w:val="22"/>
              </w:rPr>
              <w:tab/>
            </w:r>
            <w:r w:rsidRPr="009A7B16">
              <w:rPr>
                <w:rStyle w:val="Hyperlink"/>
                <w:noProof/>
              </w:rPr>
              <w:t>Liberty to Describe Its VMOP</w:t>
            </w:r>
            <w:r>
              <w:rPr>
                <w:noProof/>
                <w:webHidden/>
              </w:rPr>
              <w:tab/>
            </w:r>
            <w:r>
              <w:rPr>
                <w:noProof/>
                <w:webHidden/>
              </w:rPr>
              <w:fldChar w:fldCharType="begin"/>
            </w:r>
            <w:r>
              <w:rPr>
                <w:noProof/>
                <w:webHidden/>
              </w:rPr>
              <w:instrText xml:space="preserve"> PAGEREF _Toc122180466 \h </w:instrText>
            </w:r>
            <w:r>
              <w:rPr>
                <w:noProof/>
                <w:webHidden/>
              </w:rPr>
            </w:r>
            <w:r>
              <w:rPr>
                <w:noProof/>
                <w:webHidden/>
              </w:rPr>
              <w:fldChar w:fldCharType="separate"/>
            </w:r>
            <w:r>
              <w:rPr>
                <w:noProof/>
                <w:webHidden/>
              </w:rPr>
              <w:t>41</w:t>
            </w:r>
            <w:r>
              <w:rPr>
                <w:noProof/>
                <w:webHidden/>
              </w:rPr>
              <w:fldChar w:fldCharType="end"/>
            </w:r>
          </w:hyperlink>
        </w:p>
        <w:p w:rsidR="005767A1" w:rsidRDefault="005767A1" w14:paraId="38C881C5" w14:textId="19CDE91B">
          <w:pPr>
            <w:pStyle w:val="TOC3"/>
            <w:tabs>
              <w:tab w:val="left" w:pos="1296"/>
              <w:tab w:val="right" w:leader="dot" w:pos="9350"/>
            </w:tabs>
            <w:rPr>
              <w:rFonts w:asciiTheme="minorHAnsi" w:hAnsiTheme="minorHAnsi" w:cstheme="minorBidi"/>
              <w:noProof/>
              <w:sz w:val="22"/>
            </w:rPr>
          </w:pPr>
          <w:hyperlink w:history="1" w:anchor="_Toc122180467">
            <w:r w:rsidRPr="009A7B16">
              <w:rPr>
                <w:rStyle w:val="Hyperlink"/>
                <w:noProof/>
              </w:rPr>
              <w:t>6.2.3.</w:t>
            </w:r>
            <w:r>
              <w:rPr>
                <w:rFonts w:asciiTheme="minorHAnsi" w:hAnsiTheme="minorHAnsi" w:cstheme="minorBidi"/>
                <w:noProof/>
                <w:sz w:val="22"/>
              </w:rPr>
              <w:tab/>
            </w:r>
            <w:r w:rsidRPr="009A7B16">
              <w:rPr>
                <w:rStyle w:val="Hyperlink"/>
                <w:noProof/>
              </w:rPr>
              <w:t>Liberty to Provide a Compliance Risk Severity Analysis</w:t>
            </w:r>
            <w:r>
              <w:rPr>
                <w:noProof/>
                <w:webHidden/>
              </w:rPr>
              <w:tab/>
            </w:r>
            <w:r>
              <w:rPr>
                <w:noProof/>
                <w:webHidden/>
              </w:rPr>
              <w:fldChar w:fldCharType="begin"/>
            </w:r>
            <w:r>
              <w:rPr>
                <w:noProof/>
                <w:webHidden/>
              </w:rPr>
              <w:instrText xml:space="preserve"> PAGEREF _Toc122180467 \h </w:instrText>
            </w:r>
            <w:r>
              <w:rPr>
                <w:noProof/>
                <w:webHidden/>
              </w:rPr>
            </w:r>
            <w:r>
              <w:rPr>
                <w:noProof/>
                <w:webHidden/>
              </w:rPr>
              <w:fldChar w:fldCharType="separate"/>
            </w:r>
            <w:r>
              <w:rPr>
                <w:noProof/>
                <w:webHidden/>
              </w:rPr>
              <w:t>41</w:t>
            </w:r>
            <w:r>
              <w:rPr>
                <w:noProof/>
                <w:webHidden/>
              </w:rPr>
              <w:fldChar w:fldCharType="end"/>
            </w:r>
          </w:hyperlink>
        </w:p>
        <w:p w:rsidR="005767A1" w:rsidRDefault="005767A1" w14:paraId="7F274492" w14:textId="0AFC694D">
          <w:pPr>
            <w:pStyle w:val="TOC3"/>
            <w:tabs>
              <w:tab w:val="left" w:pos="1296"/>
              <w:tab w:val="right" w:leader="dot" w:pos="9350"/>
            </w:tabs>
            <w:rPr>
              <w:rFonts w:asciiTheme="minorHAnsi" w:hAnsiTheme="minorHAnsi" w:cstheme="minorBidi"/>
              <w:noProof/>
              <w:sz w:val="22"/>
            </w:rPr>
          </w:pPr>
          <w:hyperlink w:history="1" w:anchor="_Toc122180468">
            <w:r w:rsidRPr="009A7B16">
              <w:rPr>
                <w:rStyle w:val="Hyperlink"/>
                <w:noProof/>
              </w:rPr>
              <w:t>6.2.4.</w:t>
            </w:r>
            <w:r>
              <w:rPr>
                <w:rFonts w:asciiTheme="minorHAnsi" w:hAnsiTheme="minorHAnsi" w:cstheme="minorBidi"/>
                <w:noProof/>
                <w:sz w:val="22"/>
              </w:rPr>
              <w:tab/>
            </w:r>
            <w:r w:rsidRPr="009A7B16">
              <w:rPr>
                <w:rStyle w:val="Hyperlink"/>
                <w:noProof/>
              </w:rPr>
              <w:t>Liberty’s Transportation Electrification Forecast</w:t>
            </w:r>
            <w:r>
              <w:rPr>
                <w:noProof/>
                <w:webHidden/>
              </w:rPr>
              <w:tab/>
            </w:r>
            <w:r>
              <w:rPr>
                <w:noProof/>
                <w:webHidden/>
              </w:rPr>
              <w:fldChar w:fldCharType="begin"/>
            </w:r>
            <w:r>
              <w:rPr>
                <w:noProof/>
                <w:webHidden/>
              </w:rPr>
              <w:instrText xml:space="preserve"> PAGEREF _Toc122180468 \h </w:instrText>
            </w:r>
            <w:r>
              <w:rPr>
                <w:noProof/>
                <w:webHidden/>
              </w:rPr>
            </w:r>
            <w:r>
              <w:rPr>
                <w:noProof/>
                <w:webHidden/>
              </w:rPr>
              <w:fldChar w:fldCharType="separate"/>
            </w:r>
            <w:r>
              <w:rPr>
                <w:noProof/>
                <w:webHidden/>
              </w:rPr>
              <w:t>41</w:t>
            </w:r>
            <w:r>
              <w:rPr>
                <w:noProof/>
                <w:webHidden/>
              </w:rPr>
              <w:fldChar w:fldCharType="end"/>
            </w:r>
          </w:hyperlink>
        </w:p>
        <w:p w:rsidR="005767A1" w:rsidRDefault="005767A1" w14:paraId="207E855C" w14:textId="50356D95">
          <w:pPr>
            <w:pStyle w:val="TOC3"/>
            <w:tabs>
              <w:tab w:val="left" w:pos="1296"/>
              <w:tab w:val="right" w:leader="dot" w:pos="9350"/>
            </w:tabs>
            <w:rPr>
              <w:rFonts w:asciiTheme="minorHAnsi" w:hAnsiTheme="minorHAnsi" w:cstheme="minorBidi"/>
              <w:noProof/>
              <w:sz w:val="22"/>
            </w:rPr>
          </w:pPr>
          <w:hyperlink w:history="1" w:anchor="_Toc122180469">
            <w:r w:rsidRPr="009A7B16">
              <w:rPr>
                <w:rStyle w:val="Hyperlink"/>
                <w:noProof/>
              </w:rPr>
              <w:t>6.2.5.</w:t>
            </w:r>
            <w:r>
              <w:rPr>
                <w:rFonts w:asciiTheme="minorHAnsi" w:hAnsiTheme="minorHAnsi" w:cstheme="minorBidi"/>
                <w:noProof/>
                <w:sz w:val="22"/>
              </w:rPr>
              <w:tab/>
            </w:r>
            <w:r w:rsidRPr="009A7B16">
              <w:rPr>
                <w:rStyle w:val="Hyperlink"/>
                <w:noProof/>
              </w:rPr>
              <w:t>Liberty’s Project Development Status Update Template</w:t>
            </w:r>
            <w:r>
              <w:rPr>
                <w:noProof/>
                <w:webHidden/>
              </w:rPr>
              <w:tab/>
            </w:r>
            <w:r>
              <w:rPr>
                <w:noProof/>
                <w:webHidden/>
              </w:rPr>
              <w:fldChar w:fldCharType="begin"/>
            </w:r>
            <w:r>
              <w:rPr>
                <w:noProof/>
                <w:webHidden/>
              </w:rPr>
              <w:instrText xml:space="preserve"> PAGEREF _Toc122180469 \h </w:instrText>
            </w:r>
            <w:r>
              <w:rPr>
                <w:noProof/>
                <w:webHidden/>
              </w:rPr>
            </w:r>
            <w:r>
              <w:rPr>
                <w:noProof/>
                <w:webHidden/>
              </w:rPr>
              <w:fldChar w:fldCharType="separate"/>
            </w:r>
            <w:r>
              <w:rPr>
                <w:noProof/>
                <w:webHidden/>
              </w:rPr>
              <w:t>42</w:t>
            </w:r>
            <w:r>
              <w:rPr>
                <w:noProof/>
                <w:webHidden/>
              </w:rPr>
              <w:fldChar w:fldCharType="end"/>
            </w:r>
          </w:hyperlink>
        </w:p>
        <w:p w:rsidR="005767A1" w:rsidRDefault="005767A1" w14:paraId="30CED8B0" w14:textId="0BBAB3AA">
          <w:pPr>
            <w:pStyle w:val="TOC3"/>
            <w:tabs>
              <w:tab w:val="left" w:pos="1296"/>
              <w:tab w:val="right" w:leader="dot" w:pos="9350"/>
            </w:tabs>
            <w:rPr>
              <w:rFonts w:asciiTheme="minorHAnsi" w:hAnsiTheme="minorHAnsi" w:cstheme="minorBidi"/>
              <w:noProof/>
              <w:sz w:val="22"/>
            </w:rPr>
          </w:pPr>
          <w:hyperlink w:history="1" w:anchor="_Toc122180470">
            <w:r w:rsidRPr="009A7B16">
              <w:rPr>
                <w:rStyle w:val="Hyperlink"/>
                <w:noProof/>
              </w:rPr>
              <w:t>6.2.6.</w:t>
            </w:r>
            <w:r>
              <w:rPr>
                <w:rFonts w:asciiTheme="minorHAnsi" w:hAnsiTheme="minorHAnsi" w:cstheme="minorBidi"/>
                <w:noProof/>
                <w:sz w:val="22"/>
              </w:rPr>
              <w:tab/>
            </w:r>
            <w:r w:rsidRPr="009A7B16">
              <w:rPr>
                <w:rStyle w:val="Hyperlink"/>
                <w:noProof/>
              </w:rPr>
              <w:t>Liberty’s SB 255 Implementation</w:t>
            </w:r>
            <w:r>
              <w:rPr>
                <w:noProof/>
                <w:webHidden/>
              </w:rPr>
              <w:tab/>
            </w:r>
            <w:r>
              <w:rPr>
                <w:noProof/>
                <w:webHidden/>
              </w:rPr>
              <w:fldChar w:fldCharType="begin"/>
            </w:r>
            <w:r>
              <w:rPr>
                <w:noProof/>
                <w:webHidden/>
              </w:rPr>
              <w:instrText xml:space="preserve"> PAGEREF _Toc122180470 \h </w:instrText>
            </w:r>
            <w:r>
              <w:rPr>
                <w:noProof/>
                <w:webHidden/>
              </w:rPr>
            </w:r>
            <w:r>
              <w:rPr>
                <w:noProof/>
                <w:webHidden/>
              </w:rPr>
              <w:fldChar w:fldCharType="separate"/>
            </w:r>
            <w:r>
              <w:rPr>
                <w:noProof/>
                <w:webHidden/>
              </w:rPr>
              <w:t>42</w:t>
            </w:r>
            <w:r>
              <w:rPr>
                <w:noProof/>
                <w:webHidden/>
              </w:rPr>
              <w:fldChar w:fldCharType="end"/>
            </w:r>
          </w:hyperlink>
        </w:p>
        <w:p w:rsidR="005767A1" w:rsidRDefault="005767A1" w14:paraId="0A5BAF9B" w14:textId="37D08F25">
          <w:pPr>
            <w:pStyle w:val="TOC2"/>
            <w:tabs>
              <w:tab w:val="right" w:leader="dot" w:pos="9350"/>
            </w:tabs>
            <w:rPr>
              <w:rFonts w:asciiTheme="minorHAnsi" w:hAnsiTheme="minorHAnsi" w:cstheme="minorBidi"/>
              <w:noProof/>
              <w:sz w:val="22"/>
            </w:rPr>
          </w:pPr>
          <w:hyperlink w:history="1" w:anchor="_Toc122180471">
            <w:r w:rsidRPr="009A7B16">
              <w:rPr>
                <w:rStyle w:val="Hyperlink"/>
                <w:noProof/>
              </w:rPr>
              <w:t>6.3.</w:t>
            </w:r>
            <w:r>
              <w:rPr>
                <w:rFonts w:asciiTheme="minorHAnsi" w:hAnsiTheme="minorHAnsi" w:cstheme="minorBidi"/>
                <w:noProof/>
                <w:sz w:val="22"/>
              </w:rPr>
              <w:tab/>
            </w:r>
            <w:r w:rsidRPr="009A7B16">
              <w:rPr>
                <w:rStyle w:val="Hyperlink"/>
                <w:noProof/>
              </w:rPr>
              <w:t>PacifiCorp’s Draft 2022 RPS Plan</w:t>
            </w:r>
            <w:r>
              <w:rPr>
                <w:noProof/>
                <w:webHidden/>
              </w:rPr>
              <w:tab/>
            </w:r>
            <w:r>
              <w:rPr>
                <w:noProof/>
                <w:webHidden/>
              </w:rPr>
              <w:fldChar w:fldCharType="begin"/>
            </w:r>
            <w:r>
              <w:rPr>
                <w:noProof/>
                <w:webHidden/>
              </w:rPr>
              <w:instrText xml:space="preserve"> PAGEREF _Toc122180471 \h </w:instrText>
            </w:r>
            <w:r>
              <w:rPr>
                <w:noProof/>
                <w:webHidden/>
              </w:rPr>
            </w:r>
            <w:r>
              <w:rPr>
                <w:noProof/>
                <w:webHidden/>
              </w:rPr>
              <w:fldChar w:fldCharType="separate"/>
            </w:r>
            <w:r>
              <w:rPr>
                <w:noProof/>
                <w:webHidden/>
              </w:rPr>
              <w:t>42</w:t>
            </w:r>
            <w:r>
              <w:rPr>
                <w:noProof/>
                <w:webHidden/>
              </w:rPr>
              <w:fldChar w:fldCharType="end"/>
            </w:r>
          </w:hyperlink>
        </w:p>
        <w:p w:rsidR="005767A1" w:rsidRDefault="005767A1" w14:paraId="7A6C94B6" w14:textId="10923714">
          <w:pPr>
            <w:pStyle w:val="TOC3"/>
            <w:tabs>
              <w:tab w:val="left" w:pos="1296"/>
              <w:tab w:val="right" w:leader="dot" w:pos="9350"/>
            </w:tabs>
            <w:rPr>
              <w:rFonts w:asciiTheme="minorHAnsi" w:hAnsiTheme="minorHAnsi" w:cstheme="minorBidi"/>
              <w:noProof/>
              <w:sz w:val="22"/>
            </w:rPr>
          </w:pPr>
          <w:hyperlink w:history="1" w:anchor="_Toc122180472">
            <w:r w:rsidRPr="009A7B16">
              <w:rPr>
                <w:rStyle w:val="Hyperlink"/>
                <w:noProof/>
              </w:rPr>
              <w:t>6.3.1.</w:t>
            </w:r>
            <w:r>
              <w:rPr>
                <w:rFonts w:asciiTheme="minorHAnsi" w:hAnsiTheme="minorHAnsi" w:cstheme="minorBidi"/>
                <w:noProof/>
                <w:sz w:val="22"/>
              </w:rPr>
              <w:tab/>
            </w:r>
            <w:r w:rsidRPr="009A7B16">
              <w:rPr>
                <w:rStyle w:val="Hyperlink"/>
                <w:noProof/>
              </w:rPr>
              <w:t>PacifiCorp’s Compliance Planning,</w:t>
            </w:r>
            <w:r>
              <w:rPr>
                <w:rStyle w:val="Hyperlink"/>
                <w:noProof/>
              </w:rPr>
              <w:br/>
            </w:r>
            <w:r w:rsidRPr="009A7B16">
              <w:rPr>
                <w:rStyle w:val="Hyperlink"/>
                <w:noProof/>
              </w:rPr>
              <w:t>Long-Term Compliance, and</w:t>
            </w:r>
            <w:r>
              <w:rPr>
                <w:rStyle w:val="Hyperlink"/>
                <w:noProof/>
              </w:rPr>
              <w:br/>
            </w:r>
            <w:r w:rsidRPr="009A7B16">
              <w:rPr>
                <w:rStyle w:val="Hyperlink"/>
                <w:noProof/>
              </w:rPr>
              <w:t>Potential Compliance Delays</w:t>
            </w:r>
            <w:r>
              <w:rPr>
                <w:noProof/>
                <w:webHidden/>
              </w:rPr>
              <w:tab/>
            </w:r>
            <w:r>
              <w:rPr>
                <w:noProof/>
                <w:webHidden/>
              </w:rPr>
              <w:fldChar w:fldCharType="begin"/>
            </w:r>
            <w:r>
              <w:rPr>
                <w:noProof/>
                <w:webHidden/>
              </w:rPr>
              <w:instrText xml:space="preserve"> PAGEREF _Toc122180472 \h </w:instrText>
            </w:r>
            <w:r>
              <w:rPr>
                <w:noProof/>
                <w:webHidden/>
              </w:rPr>
            </w:r>
            <w:r>
              <w:rPr>
                <w:noProof/>
                <w:webHidden/>
              </w:rPr>
              <w:fldChar w:fldCharType="separate"/>
            </w:r>
            <w:r>
              <w:rPr>
                <w:noProof/>
                <w:webHidden/>
              </w:rPr>
              <w:t>43</w:t>
            </w:r>
            <w:r>
              <w:rPr>
                <w:noProof/>
                <w:webHidden/>
              </w:rPr>
              <w:fldChar w:fldCharType="end"/>
            </w:r>
          </w:hyperlink>
        </w:p>
        <w:p w:rsidR="005767A1" w:rsidRDefault="005767A1" w14:paraId="32920E4B" w14:textId="62677B06">
          <w:pPr>
            <w:pStyle w:val="TOC3"/>
            <w:tabs>
              <w:tab w:val="left" w:pos="1296"/>
              <w:tab w:val="right" w:leader="dot" w:pos="9350"/>
            </w:tabs>
            <w:rPr>
              <w:rFonts w:asciiTheme="minorHAnsi" w:hAnsiTheme="minorHAnsi" w:cstheme="minorBidi"/>
              <w:noProof/>
              <w:sz w:val="22"/>
            </w:rPr>
          </w:pPr>
          <w:hyperlink w:history="1" w:anchor="_Toc122180473">
            <w:r w:rsidRPr="009A7B16">
              <w:rPr>
                <w:rStyle w:val="Hyperlink"/>
                <w:noProof/>
              </w:rPr>
              <w:t>6.3.2.</w:t>
            </w:r>
            <w:r>
              <w:rPr>
                <w:rFonts w:asciiTheme="minorHAnsi" w:hAnsiTheme="minorHAnsi" w:cstheme="minorBidi"/>
                <w:noProof/>
                <w:sz w:val="22"/>
              </w:rPr>
              <w:tab/>
            </w:r>
            <w:r w:rsidRPr="009A7B16">
              <w:rPr>
                <w:rStyle w:val="Hyperlink"/>
                <w:noProof/>
              </w:rPr>
              <w:t>Procurement Quantity Requirement for CP 4</w:t>
            </w:r>
            <w:r>
              <w:rPr>
                <w:noProof/>
                <w:webHidden/>
              </w:rPr>
              <w:tab/>
            </w:r>
            <w:r>
              <w:rPr>
                <w:noProof/>
                <w:webHidden/>
              </w:rPr>
              <w:fldChar w:fldCharType="begin"/>
            </w:r>
            <w:r>
              <w:rPr>
                <w:noProof/>
                <w:webHidden/>
              </w:rPr>
              <w:instrText xml:space="preserve"> PAGEREF _Toc122180473 \h </w:instrText>
            </w:r>
            <w:r>
              <w:rPr>
                <w:noProof/>
                <w:webHidden/>
              </w:rPr>
            </w:r>
            <w:r>
              <w:rPr>
                <w:noProof/>
                <w:webHidden/>
              </w:rPr>
              <w:fldChar w:fldCharType="separate"/>
            </w:r>
            <w:r>
              <w:rPr>
                <w:noProof/>
                <w:webHidden/>
              </w:rPr>
              <w:t>44</w:t>
            </w:r>
            <w:r>
              <w:rPr>
                <w:noProof/>
                <w:webHidden/>
              </w:rPr>
              <w:fldChar w:fldCharType="end"/>
            </w:r>
          </w:hyperlink>
        </w:p>
        <w:p w:rsidR="005767A1" w:rsidRDefault="005767A1" w14:paraId="283B169C" w14:textId="41BFAE8F">
          <w:pPr>
            <w:pStyle w:val="TOC3"/>
            <w:tabs>
              <w:tab w:val="left" w:pos="1296"/>
              <w:tab w:val="right" w:leader="dot" w:pos="9350"/>
            </w:tabs>
            <w:rPr>
              <w:rFonts w:asciiTheme="minorHAnsi" w:hAnsiTheme="minorHAnsi" w:cstheme="minorBidi"/>
              <w:noProof/>
              <w:sz w:val="22"/>
            </w:rPr>
          </w:pPr>
          <w:hyperlink w:history="1" w:anchor="_Toc122180474">
            <w:r w:rsidRPr="009A7B16">
              <w:rPr>
                <w:rStyle w:val="Hyperlink"/>
                <w:noProof/>
              </w:rPr>
              <w:t>6.3.3.</w:t>
            </w:r>
            <w:r>
              <w:rPr>
                <w:rFonts w:asciiTheme="minorHAnsi" w:hAnsiTheme="minorHAnsi" w:cstheme="minorBidi"/>
                <w:noProof/>
                <w:sz w:val="22"/>
              </w:rPr>
              <w:tab/>
            </w:r>
            <w:r w:rsidRPr="009A7B16">
              <w:rPr>
                <w:rStyle w:val="Hyperlink"/>
                <w:noProof/>
              </w:rPr>
              <w:t>Issues Related to SB 255 and Transportation</w:t>
            </w:r>
            <w:r>
              <w:rPr>
                <w:rStyle w:val="Hyperlink"/>
                <w:noProof/>
              </w:rPr>
              <w:br/>
            </w:r>
            <w:r w:rsidRPr="009A7B16">
              <w:rPr>
                <w:rStyle w:val="Hyperlink"/>
                <w:noProof/>
              </w:rPr>
              <w:t>Electrification Forecast</w:t>
            </w:r>
            <w:r>
              <w:rPr>
                <w:noProof/>
                <w:webHidden/>
              </w:rPr>
              <w:tab/>
            </w:r>
            <w:r>
              <w:rPr>
                <w:noProof/>
                <w:webHidden/>
              </w:rPr>
              <w:fldChar w:fldCharType="begin"/>
            </w:r>
            <w:r>
              <w:rPr>
                <w:noProof/>
                <w:webHidden/>
              </w:rPr>
              <w:instrText xml:space="preserve"> PAGEREF _Toc122180474 \h </w:instrText>
            </w:r>
            <w:r>
              <w:rPr>
                <w:noProof/>
                <w:webHidden/>
              </w:rPr>
            </w:r>
            <w:r>
              <w:rPr>
                <w:noProof/>
                <w:webHidden/>
              </w:rPr>
              <w:fldChar w:fldCharType="separate"/>
            </w:r>
            <w:r>
              <w:rPr>
                <w:noProof/>
                <w:webHidden/>
              </w:rPr>
              <w:t>44</w:t>
            </w:r>
            <w:r>
              <w:rPr>
                <w:noProof/>
                <w:webHidden/>
              </w:rPr>
              <w:fldChar w:fldCharType="end"/>
            </w:r>
          </w:hyperlink>
        </w:p>
        <w:p w:rsidR="005767A1" w:rsidRDefault="005767A1" w14:paraId="7DDF1D75" w14:textId="3515E570">
          <w:pPr>
            <w:pStyle w:val="TOC3"/>
            <w:tabs>
              <w:tab w:val="left" w:pos="1296"/>
              <w:tab w:val="right" w:leader="dot" w:pos="9350"/>
            </w:tabs>
            <w:rPr>
              <w:rFonts w:asciiTheme="minorHAnsi" w:hAnsiTheme="minorHAnsi" w:cstheme="minorBidi"/>
              <w:noProof/>
              <w:sz w:val="22"/>
            </w:rPr>
          </w:pPr>
          <w:hyperlink w:history="1" w:anchor="_Toc122180475">
            <w:r w:rsidRPr="009A7B16">
              <w:rPr>
                <w:rStyle w:val="Hyperlink"/>
                <w:noProof/>
              </w:rPr>
              <w:t>6.3.4.</w:t>
            </w:r>
            <w:r>
              <w:rPr>
                <w:rFonts w:asciiTheme="minorHAnsi" w:hAnsiTheme="minorHAnsi" w:cstheme="minorBidi"/>
                <w:noProof/>
                <w:sz w:val="22"/>
              </w:rPr>
              <w:tab/>
            </w:r>
            <w:r w:rsidRPr="009A7B16">
              <w:rPr>
                <w:rStyle w:val="Hyperlink"/>
                <w:noProof/>
              </w:rPr>
              <w:t>PacifiCorp’s Risk Assessment and MMoP</w:t>
            </w:r>
            <w:r>
              <w:rPr>
                <w:noProof/>
                <w:webHidden/>
              </w:rPr>
              <w:tab/>
            </w:r>
            <w:r>
              <w:rPr>
                <w:noProof/>
                <w:webHidden/>
              </w:rPr>
              <w:fldChar w:fldCharType="begin"/>
            </w:r>
            <w:r>
              <w:rPr>
                <w:noProof/>
                <w:webHidden/>
              </w:rPr>
              <w:instrText xml:space="preserve"> PAGEREF _Toc122180475 \h </w:instrText>
            </w:r>
            <w:r>
              <w:rPr>
                <w:noProof/>
                <w:webHidden/>
              </w:rPr>
            </w:r>
            <w:r>
              <w:rPr>
                <w:noProof/>
                <w:webHidden/>
              </w:rPr>
              <w:fldChar w:fldCharType="separate"/>
            </w:r>
            <w:r>
              <w:rPr>
                <w:noProof/>
                <w:webHidden/>
              </w:rPr>
              <w:t>45</w:t>
            </w:r>
            <w:r>
              <w:rPr>
                <w:noProof/>
                <w:webHidden/>
              </w:rPr>
              <w:fldChar w:fldCharType="end"/>
            </w:r>
          </w:hyperlink>
        </w:p>
        <w:p w:rsidR="005767A1" w:rsidRDefault="005767A1" w14:paraId="737A19F2" w14:textId="4E8EA688">
          <w:pPr>
            <w:pStyle w:val="TOC1"/>
            <w:tabs>
              <w:tab w:val="right" w:leader="dot" w:pos="9350"/>
            </w:tabs>
            <w:rPr>
              <w:rFonts w:asciiTheme="minorHAnsi" w:hAnsiTheme="minorHAnsi" w:cstheme="minorBidi"/>
              <w:noProof/>
              <w:sz w:val="22"/>
            </w:rPr>
          </w:pPr>
          <w:hyperlink w:history="1" w:anchor="_Toc122180476">
            <w:r w:rsidRPr="009A7B16">
              <w:rPr>
                <w:rStyle w:val="Hyperlink"/>
                <w:noProof/>
              </w:rPr>
              <w:t>7.</w:t>
            </w:r>
            <w:r>
              <w:rPr>
                <w:rFonts w:asciiTheme="minorHAnsi" w:hAnsiTheme="minorHAnsi" w:cstheme="minorBidi"/>
                <w:noProof/>
                <w:sz w:val="22"/>
              </w:rPr>
              <w:tab/>
            </w:r>
            <w:r w:rsidRPr="009A7B16">
              <w:rPr>
                <w:rStyle w:val="Hyperlink"/>
                <w:noProof/>
              </w:rPr>
              <w:t>CCAs and ESPs</w:t>
            </w:r>
            <w:r>
              <w:rPr>
                <w:noProof/>
                <w:webHidden/>
              </w:rPr>
              <w:tab/>
            </w:r>
            <w:r>
              <w:rPr>
                <w:noProof/>
                <w:webHidden/>
              </w:rPr>
              <w:fldChar w:fldCharType="begin"/>
            </w:r>
            <w:r>
              <w:rPr>
                <w:noProof/>
                <w:webHidden/>
              </w:rPr>
              <w:instrText xml:space="preserve"> PAGEREF _Toc122180476 \h </w:instrText>
            </w:r>
            <w:r>
              <w:rPr>
                <w:noProof/>
                <w:webHidden/>
              </w:rPr>
            </w:r>
            <w:r>
              <w:rPr>
                <w:noProof/>
                <w:webHidden/>
              </w:rPr>
              <w:fldChar w:fldCharType="separate"/>
            </w:r>
            <w:r>
              <w:rPr>
                <w:noProof/>
                <w:webHidden/>
              </w:rPr>
              <w:t>45</w:t>
            </w:r>
            <w:r>
              <w:rPr>
                <w:noProof/>
                <w:webHidden/>
              </w:rPr>
              <w:fldChar w:fldCharType="end"/>
            </w:r>
          </w:hyperlink>
        </w:p>
        <w:p w:rsidR="005767A1" w:rsidRDefault="005767A1" w14:paraId="2E425047" w14:textId="5F0BCDA7">
          <w:pPr>
            <w:pStyle w:val="TOC2"/>
            <w:tabs>
              <w:tab w:val="right" w:leader="dot" w:pos="9350"/>
            </w:tabs>
            <w:rPr>
              <w:rFonts w:asciiTheme="minorHAnsi" w:hAnsiTheme="minorHAnsi" w:cstheme="minorBidi"/>
              <w:noProof/>
              <w:sz w:val="22"/>
            </w:rPr>
          </w:pPr>
          <w:hyperlink w:history="1" w:anchor="_Toc122180477">
            <w:r w:rsidRPr="009A7B16">
              <w:rPr>
                <w:rStyle w:val="Hyperlink"/>
                <w:noProof/>
              </w:rPr>
              <w:t>7.1.</w:t>
            </w:r>
            <w:r>
              <w:rPr>
                <w:rFonts w:asciiTheme="minorHAnsi" w:hAnsiTheme="minorHAnsi" w:cstheme="minorBidi"/>
                <w:noProof/>
                <w:sz w:val="22"/>
              </w:rPr>
              <w:tab/>
            </w:r>
            <w:r w:rsidRPr="009A7B16">
              <w:rPr>
                <w:rStyle w:val="Hyperlink"/>
                <w:noProof/>
              </w:rPr>
              <w:t>CCAs Need to Procure</w:t>
            </w:r>
            <w:r>
              <w:rPr>
                <w:noProof/>
                <w:webHidden/>
              </w:rPr>
              <w:tab/>
            </w:r>
            <w:r>
              <w:rPr>
                <w:noProof/>
                <w:webHidden/>
              </w:rPr>
              <w:fldChar w:fldCharType="begin"/>
            </w:r>
            <w:r>
              <w:rPr>
                <w:noProof/>
                <w:webHidden/>
              </w:rPr>
              <w:instrText xml:space="preserve"> PAGEREF _Toc122180477 \h </w:instrText>
            </w:r>
            <w:r>
              <w:rPr>
                <w:noProof/>
                <w:webHidden/>
              </w:rPr>
            </w:r>
            <w:r>
              <w:rPr>
                <w:noProof/>
                <w:webHidden/>
              </w:rPr>
              <w:fldChar w:fldCharType="separate"/>
            </w:r>
            <w:r>
              <w:rPr>
                <w:noProof/>
                <w:webHidden/>
              </w:rPr>
              <w:t>46</w:t>
            </w:r>
            <w:r>
              <w:rPr>
                <w:noProof/>
                <w:webHidden/>
              </w:rPr>
              <w:fldChar w:fldCharType="end"/>
            </w:r>
          </w:hyperlink>
        </w:p>
        <w:p w:rsidR="005767A1" w:rsidRDefault="005767A1" w14:paraId="410E74E8" w14:textId="4598997A">
          <w:pPr>
            <w:pStyle w:val="TOC2"/>
            <w:tabs>
              <w:tab w:val="right" w:leader="dot" w:pos="9350"/>
            </w:tabs>
            <w:rPr>
              <w:rFonts w:asciiTheme="minorHAnsi" w:hAnsiTheme="minorHAnsi" w:cstheme="minorBidi"/>
              <w:noProof/>
              <w:sz w:val="22"/>
            </w:rPr>
          </w:pPr>
          <w:hyperlink w:history="1" w:anchor="_Toc122180478">
            <w:r w:rsidRPr="009A7B16">
              <w:rPr>
                <w:rStyle w:val="Hyperlink"/>
                <w:noProof/>
              </w:rPr>
              <w:t>7.2.</w:t>
            </w:r>
            <w:r>
              <w:rPr>
                <w:rFonts w:asciiTheme="minorHAnsi" w:hAnsiTheme="minorHAnsi" w:cstheme="minorBidi"/>
                <w:noProof/>
                <w:sz w:val="22"/>
              </w:rPr>
              <w:tab/>
            </w:r>
            <w:r w:rsidRPr="009A7B16">
              <w:rPr>
                <w:rStyle w:val="Hyperlink"/>
                <w:noProof/>
              </w:rPr>
              <w:t>ESPs Need to Procure</w:t>
            </w:r>
            <w:r>
              <w:rPr>
                <w:noProof/>
                <w:webHidden/>
              </w:rPr>
              <w:tab/>
            </w:r>
            <w:r>
              <w:rPr>
                <w:noProof/>
                <w:webHidden/>
              </w:rPr>
              <w:fldChar w:fldCharType="begin"/>
            </w:r>
            <w:r>
              <w:rPr>
                <w:noProof/>
                <w:webHidden/>
              </w:rPr>
              <w:instrText xml:space="preserve"> PAGEREF _Toc122180478 \h </w:instrText>
            </w:r>
            <w:r>
              <w:rPr>
                <w:noProof/>
                <w:webHidden/>
              </w:rPr>
            </w:r>
            <w:r>
              <w:rPr>
                <w:noProof/>
                <w:webHidden/>
              </w:rPr>
              <w:fldChar w:fldCharType="separate"/>
            </w:r>
            <w:r>
              <w:rPr>
                <w:noProof/>
                <w:webHidden/>
              </w:rPr>
              <w:t>47</w:t>
            </w:r>
            <w:r>
              <w:rPr>
                <w:noProof/>
                <w:webHidden/>
              </w:rPr>
              <w:fldChar w:fldCharType="end"/>
            </w:r>
          </w:hyperlink>
        </w:p>
        <w:p w:rsidR="005767A1" w:rsidRDefault="005767A1" w14:paraId="62A7BC33" w14:textId="022FBF48">
          <w:pPr>
            <w:pStyle w:val="TOC2"/>
            <w:tabs>
              <w:tab w:val="right" w:leader="dot" w:pos="9350"/>
            </w:tabs>
            <w:rPr>
              <w:rFonts w:asciiTheme="minorHAnsi" w:hAnsiTheme="minorHAnsi" w:cstheme="minorBidi"/>
              <w:noProof/>
              <w:sz w:val="22"/>
            </w:rPr>
          </w:pPr>
          <w:hyperlink w:history="1" w:anchor="_Toc122180479">
            <w:r w:rsidRPr="009A7B16">
              <w:rPr>
                <w:rStyle w:val="Hyperlink"/>
                <w:noProof/>
              </w:rPr>
              <w:t>7.3.</w:t>
            </w:r>
            <w:r>
              <w:rPr>
                <w:rFonts w:asciiTheme="minorHAnsi" w:hAnsiTheme="minorHAnsi" w:cstheme="minorBidi"/>
                <w:noProof/>
                <w:sz w:val="22"/>
              </w:rPr>
              <w:tab/>
            </w:r>
            <w:r w:rsidRPr="009A7B16">
              <w:rPr>
                <w:rStyle w:val="Hyperlink"/>
                <w:noProof/>
              </w:rPr>
              <w:t>CCA- and ESP-Related Issues to Address in the</w:t>
            </w:r>
            <w:r>
              <w:rPr>
                <w:rStyle w:val="Hyperlink"/>
                <w:noProof/>
              </w:rPr>
              <w:br/>
            </w:r>
            <w:r w:rsidRPr="009A7B16">
              <w:rPr>
                <w:rStyle w:val="Hyperlink"/>
                <w:noProof/>
              </w:rPr>
              <w:t>Final 2022 RPS Plans</w:t>
            </w:r>
            <w:r>
              <w:rPr>
                <w:noProof/>
                <w:webHidden/>
              </w:rPr>
              <w:tab/>
            </w:r>
            <w:r>
              <w:rPr>
                <w:noProof/>
                <w:webHidden/>
              </w:rPr>
              <w:fldChar w:fldCharType="begin"/>
            </w:r>
            <w:r>
              <w:rPr>
                <w:noProof/>
                <w:webHidden/>
              </w:rPr>
              <w:instrText xml:space="preserve"> PAGEREF _Toc122180479 \h </w:instrText>
            </w:r>
            <w:r>
              <w:rPr>
                <w:noProof/>
                <w:webHidden/>
              </w:rPr>
            </w:r>
            <w:r>
              <w:rPr>
                <w:noProof/>
                <w:webHidden/>
              </w:rPr>
              <w:fldChar w:fldCharType="separate"/>
            </w:r>
            <w:r>
              <w:rPr>
                <w:noProof/>
                <w:webHidden/>
              </w:rPr>
              <w:t>48</w:t>
            </w:r>
            <w:r>
              <w:rPr>
                <w:noProof/>
                <w:webHidden/>
              </w:rPr>
              <w:fldChar w:fldCharType="end"/>
            </w:r>
          </w:hyperlink>
        </w:p>
        <w:p w:rsidR="005767A1" w:rsidRDefault="005767A1" w14:paraId="57EBDB26" w14:textId="2D36FF01">
          <w:pPr>
            <w:pStyle w:val="TOC3"/>
            <w:tabs>
              <w:tab w:val="left" w:pos="1296"/>
              <w:tab w:val="right" w:leader="dot" w:pos="9350"/>
            </w:tabs>
            <w:rPr>
              <w:rFonts w:asciiTheme="minorHAnsi" w:hAnsiTheme="minorHAnsi" w:cstheme="minorBidi"/>
              <w:noProof/>
              <w:sz w:val="22"/>
            </w:rPr>
          </w:pPr>
          <w:hyperlink w:history="1" w:anchor="_Toc122180480">
            <w:r w:rsidRPr="009A7B16">
              <w:rPr>
                <w:rStyle w:val="Hyperlink"/>
                <w:noProof/>
              </w:rPr>
              <w:t>7.3.1.</w:t>
            </w:r>
            <w:r>
              <w:rPr>
                <w:rFonts w:asciiTheme="minorHAnsi" w:hAnsiTheme="minorHAnsi" w:cstheme="minorBidi"/>
                <w:noProof/>
                <w:sz w:val="22"/>
              </w:rPr>
              <w:tab/>
            </w:r>
            <w:r w:rsidRPr="009A7B16">
              <w:rPr>
                <w:rStyle w:val="Hyperlink"/>
                <w:noProof/>
              </w:rPr>
              <w:t>Project Development Status Update</w:t>
            </w:r>
            <w:r>
              <w:rPr>
                <w:noProof/>
                <w:webHidden/>
              </w:rPr>
              <w:tab/>
            </w:r>
            <w:r>
              <w:rPr>
                <w:noProof/>
                <w:webHidden/>
              </w:rPr>
              <w:fldChar w:fldCharType="begin"/>
            </w:r>
            <w:r>
              <w:rPr>
                <w:noProof/>
                <w:webHidden/>
              </w:rPr>
              <w:instrText xml:space="preserve"> PAGEREF _Toc122180480 \h </w:instrText>
            </w:r>
            <w:r>
              <w:rPr>
                <w:noProof/>
                <w:webHidden/>
              </w:rPr>
            </w:r>
            <w:r>
              <w:rPr>
                <w:noProof/>
                <w:webHidden/>
              </w:rPr>
              <w:fldChar w:fldCharType="separate"/>
            </w:r>
            <w:r>
              <w:rPr>
                <w:noProof/>
                <w:webHidden/>
              </w:rPr>
              <w:t>48</w:t>
            </w:r>
            <w:r>
              <w:rPr>
                <w:noProof/>
                <w:webHidden/>
              </w:rPr>
              <w:fldChar w:fldCharType="end"/>
            </w:r>
          </w:hyperlink>
        </w:p>
        <w:p w:rsidR="005767A1" w:rsidRDefault="005767A1" w14:paraId="0E432CDB" w14:textId="7F8E0B7F">
          <w:pPr>
            <w:pStyle w:val="TOC3"/>
            <w:tabs>
              <w:tab w:val="left" w:pos="1296"/>
              <w:tab w:val="right" w:leader="dot" w:pos="9350"/>
            </w:tabs>
            <w:rPr>
              <w:rFonts w:asciiTheme="minorHAnsi" w:hAnsiTheme="minorHAnsi" w:cstheme="minorBidi"/>
              <w:noProof/>
              <w:sz w:val="22"/>
            </w:rPr>
          </w:pPr>
          <w:hyperlink w:history="1" w:anchor="_Toc122180481">
            <w:r w:rsidRPr="009A7B16">
              <w:rPr>
                <w:rStyle w:val="Hyperlink"/>
                <w:noProof/>
              </w:rPr>
              <w:t>7.3.2.</w:t>
            </w:r>
            <w:r>
              <w:rPr>
                <w:rFonts w:asciiTheme="minorHAnsi" w:hAnsiTheme="minorHAnsi" w:cstheme="minorBidi"/>
                <w:noProof/>
                <w:sz w:val="22"/>
              </w:rPr>
              <w:tab/>
            </w:r>
            <w:r w:rsidRPr="009A7B16">
              <w:rPr>
                <w:rStyle w:val="Hyperlink"/>
                <w:noProof/>
              </w:rPr>
              <w:t>Risk Assessment and Potential Compliance Delay</w:t>
            </w:r>
            <w:r>
              <w:rPr>
                <w:noProof/>
                <w:webHidden/>
              </w:rPr>
              <w:tab/>
            </w:r>
            <w:r>
              <w:rPr>
                <w:noProof/>
                <w:webHidden/>
              </w:rPr>
              <w:fldChar w:fldCharType="begin"/>
            </w:r>
            <w:r>
              <w:rPr>
                <w:noProof/>
                <w:webHidden/>
              </w:rPr>
              <w:instrText xml:space="preserve"> PAGEREF _Toc122180481 \h </w:instrText>
            </w:r>
            <w:r>
              <w:rPr>
                <w:noProof/>
                <w:webHidden/>
              </w:rPr>
            </w:r>
            <w:r>
              <w:rPr>
                <w:noProof/>
                <w:webHidden/>
              </w:rPr>
              <w:fldChar w:fldCharType="separate"/>
            </w:r>
            <w:r>
              <w:rPr>
                <w:noProof/>
                <w:webHidden/>
              </w:rPr>
              <w:t>50</w:t>
            </w:r>
            <w:r>
              <w:rPr>
                <w:noProof/>
                <w:webHidden/>
              </w:rPr>
              <w:fldChar w:fldCharType="end"/>
            </w:r>
          </w:hyperlink>
        </w:p>
        <w:p w:rsidR="005767A1" w:rsidRDefault="005767A1" w14:paraId="421C7E30" w14:textId="557A6030">
          <w:pPr>
            <w:pStyle w:val="TOC3"/>
            <w:tabs>
              <w:tab w:val="left" w:pos="1296"/>
              <w:tab w:val="right" w:leader="dot" w:pos="9350"/>
            </w:tabs>
            <w:rPr>
              <w:rFonts w:asciiTheme="minorHAnsi" w:hAnsiTheme="minorHAnsi" w:cstheme="minorBidi"/>
              <w:noProof/>
              <w:sz w:val="22"/>
            </w:rPr>
          </w:pPr>
          <w:hyperlink w:history="1" w:anchor="_Toc122180482">
            <w:r w:rsidRPr="009A7B16">
              <w:rPr>
                <w:rStyle w:val="Hyperlink"/>
                <w:noProof/>
              </w:rPr>
              <w:t>7.3.3.</w:t>
            </w:r>
            <w:r>
              <w:rPr>
                <w:rFonts w:asciiTheme="minorHAnsi" w:hAnsiTheme="minorHAnsi" w:cstheme="minorBidi"/>
                <w:noProof/>
                <w:sz w:val="22"/>
              </w:rPr>
              <w:tab/>
            </w:r>
            <w:r w:rsidRPr="009A7B16">
              <w:rPr>
                <w:rStyle w:val="Hyperlink"/>
                <w:noProof/>
              </w:rPr>
              <w:t>MMoP</w:t>
            </w:r>
            <w:r>
              <w:rPr>
                <w:noProof/>
                <w:webHidden/>
              </w:rPr>
              <w:tab/>
            </w:r>
            <w:r>
              <w:rPr>
                <w:noProof/>
                <w:webHidden/>
              </w:rPr>
              <w:fldChar w:fldCharType="begin"/>
            </w:r>
            <w:r>
              <w:rPr>
                <w:noProof/>
                <w:webHidden/>
              </w:rPr>
              <w:instrText xml:space="preserve"> PAGEREF _Toc122180482 \h </w:instrText>
            </w:r>
            <w:r>
              <w:rPr>
                <w:noProof/>
                <w:webHidden/>
              </w:rPr>
            </w:r>
            <w:r>
              <w:rPr>
                <w:noProof/>
                <w:webHidden/>
              </w:rPr>
              <w:fldChar w:fldCharType="separate"/>
            </w:r>
            <w:r>
              <w:rPr>
                <w:noProof/>
                <w:webHidden/>
              </w:rPr>
              <w:t>54</w:t>
            </w:r>
            <w:r>
              <w:rPr>
                <w:noProof/>
                <w:webHidden/>
              </w:rPr>
              <w:fldChar w:fldCharType="end"/>
            </w:r>
          </w:hyperlink>
        </w:p>
        <w:p w:rsidR="005767A1" w:rsidRDefault="005767A1" w14:paraId="5A21CCDB" w14:textId="58F6EA70">
          <w:pPr>
            <w:pStyle w:val="TOC3"/>
            <w:tabs>
              <w:tab w:val="left" w:pos="1296"/>
              <w:tab w:val="right" w:leader="dot" w:pos="9350"/>
            </w:tabs>
            <w:rPr>
              <w:rFonts w:asciiTheme="minorHAnsi" w:hAnsiTheme="minorHAnsi" w:cstheme="minorBidi"/>
              <w:noProof/>
              <w:sz w:val="22"/>
            </w:rPr>
          </w:pPr>
          <w:hyperlink w:history="1" w:anchor="_Toc122180483">
            <w:r w:rsidRPr="009A7B16">
              <w:rPr>
                <w:rStyle w:val="Hyperlink"/>
                <w:noProof/>
              </w:rPr>
              <w:t>7.3.4.</w:t>
            </w:r>
            <w:r>
              <w:rPr>
                <w:rFonts w:asciiTheme="minorHAnsi" w:hAnsiTheme="minorHAnsi" w:cstheme="minorBidi"/>
                <w:noProof/>
                <w:sz w:val="22"/>
              </w:rPr>
              <w:tab/>
            </w:r>
            <w:r w:rsidRPr="009A7B16">
              <w:rPr>
                <w:rStyle w:val="Hyperlink"/>
                <w:noProof/>
              </w:rPr>
              <w:t>Safety Considerations</w:t>
            </w:r>
            <w:r>
              <w:rPr>
                <w:noProof/>
                <w:webHidden/>
              </w:rPr>
              <w:tab/>
            </w:r>
            <w:r>
              <w:rPr>
                <w:noProof/>
                <w:webHidden/>
              </w:rPr>
              <w:fldChar w:fldCharType="begin"/>
            </w:r>
            <w:r>
              <w:rPr>
                <w:noProof/>
                <w:webHidden/>
              </w:rPr>
              <w:instrText xml:space="preserve"> PAGEREF _Toc122180483 \h </w:instrText>
            </w:r>
            <w:r>
              <w:rPr>
                <w:noProof/>
                <w:webHidden/>
              </w:rPr>
            </w:r>
            <w:r>
              <w:rPr>
                <w:noProof/>
                <w:webHidden/>
              </w:rPr>
              <w:fldChar w:fldCharType="separate"/>
            </w:r>
            <w:r>
              <w:rPr>
                <w:noProof/>
                <w:webHidden/>
              </w:rPr>
              <w:t>56</w:t>
            </w:r>
            <w:r>
              <w:rPr>
                <w:noProof/>
                <w:webHidden/>
              </w:rPr>
              <w:fldChar w:fldCharType="end"/>
            </w:r>
          </w:hyperlink>
        </w:p>
        <w:p w:rsidR="005767A1" w:rsidRDefault="005767A1" w14:paraId="5DBCCA18" w14:textId="5DF9102F">
          <w:pPr>
            <w:pStyle w:val="TOC3"/>
            <w:tabs>
              <w:tab w:val="left" w:pos="1296"/>
              <w:tab w:val="right" w:leader="dot" w:pos="9350"/>
            </w:tabs>
            <w:rPr>
              <w:rFonts w:asciiTheme="minorHAnsi" w:hAnsiTheme="minorHAnsi" w:cstheme="minorBidi"/>
              <w:noProof/>
              <w:sz w:val="22"/>
            </w:rPr>
          </w:pPr>
          <w:hyperlink w:history="1" w:anchor="_Toc122180484">
            <w:r w:rsidRPr="009A7B16">
              <w:rPr>
                <w:rStyle w:val="Hyperlink"/>
                <w:noProof/>
              </w:rPr>
              <w:t>7.3.5.</w:t>
            </w:r>
            <w:r>
              <w:rPr>
                <w:rFonts w:asciiTheme="minorHAnsi" w:hAnsiTheme="minorHAnsi" w:cstheme="minorBidi"/>
                <w:noProof/>
                <w:sz w:val="22"/>
              </w:rPr>
              <w:tab/>
            </w:r>
            <w:r w:rsidRPr="009A7B16">
              <w:rPr>
                <w:rStyle w:val="Hyperlink"/>
                <w:noProof/>
              </w:rPr>
              <w:t>Curtailment Frequency, Forecasting, Costs</w:t>
            </w:r>
            <w:r>
              <w:rPr>
                <w:noProof/>
                <w:webHidden/>
              </w:rPr>
              <w:tab/>
            </w:r>
            <w:r>
              <w:rPr>
                <w:noProof/>
                <w:webHidden/>
              </w:rPr>
              <w:fldChar w:fldCharType="begin"/>
            </w:r>
            <w:r>
              <w:rPr>
                <w:noProof/>
                <w:webHidden/>
              </w:rPr>
              <w:instrText xml:space="preserve"> PAGEREF _Toc122180484 \h </w:instrText>
            </w:r>
            <w:r>
              <w:rPr>
                <w:noProof/>
                <w:webHidden/>
              </w:rPr>
            </w:r>
            <w:r>
              <w:rPr>
                <w:noProof/>
                <w:webHidden/>
              </w:rPr>
              <w:fldChar w:fldCharType="separate"/>
            </w:r>
            <w:r>
              <w:rPr>
                <w:noProof/>
                <w:webHidden/>
              </w:rPr>
              <w:t>57</w:t>
            </w:r>
            <w:r>
              <w:rPr>
                <w:noProof/>
                <w:webHidden/>
              </w:rPr>
              <w:fldChar w:fldCharType="end"/>
            </w:r>
          </w:hyperlink>
        </w:p>
        <w:p w:rsidR="005767A1" w:rsidRDefault="005767A1" w14:paraId="2EA1E112" w14:textId="7230C46F">
          <w:pPr>
            <w:pStyle w:val="TOC3"/>
            <w:tabs>
              <w:tab w:val="left" w:pos="1296"/>
              <w:tab w:val="right" w:leader="dot" w:pos="9350"/>
            </w:tabs>
            <w:rPr>
              <w:rFonts w:asciiTheme="minorHAnsi" w:hAnsiTheme="minorHAnsi" w:cstheme="minorBidi"/>
              <w:noProof/>
              <w:sz w:val="22"/>
            </w:rPr>
          </w:pPr>
          <w:hyperlink w:history="1" w:anchor="_Toc122180485">
            <w:r w:rsidRPr="009A7B16">
              <w:rPr>
                <w:rStyle w:val="Hyperlink"/>
                <w:noProof/>
              </w:rPr>
              <w:t>7.3.6.</w:t>
            </w:r>
            <w:r>
              <w:rPr>
                <w:rFonts w:asciiTheme="minorHAnsi" w:hAnsiTheme="minorHAnsi" w:cstheme="minorBidi"/>
                <w:noProof/>
                <w:sz w:val="22"/>
              </w:rPr>
              <w:tab/>
            </w:r>
            <w:r w:rsidRPr="009A7B16">
              <w:rPr>
                <w:rStyle w:val="Hyperlink"/>
                <w:noProof/>
              </w:rPr>
              <w:t>Renewable Net Short Calculations</w:t>
            </w:r>
            <w:r>
              <w:rPr>
                <w:noProof/>
                <w:webHidden/>
              </w:rPr>
              <w:tab/>
            </w:r>
            <w:r>
              <w:rPr>
                <w:noProof/>
                <w:webHidden/>
              </w:rPr>
              <w:fldChar w:fldCharType="begin"/>
            </w:r>
            <w:r>
              <w:rPr>
                <w:noProof/>
                <w:webHidden/>
              </w:rPr>
              <w:instrText xml:space="preserve"> PAGEREF _Toc122180485 \h </w:instrText>
            </w:r>
            <w:r>
              <w:rPr>
                <w:noProof/>
                <w:webHidden/>
              </w:rPr>
            </w:r>
            <w:r>
              <w:rPr>
                <w:noProof/>
                <w:webHidden/>
              </w:rPr>
              <w:fldChar w:fldCharType="separate"/>
            </w:r>
            <w:r>
              <w:rPr>
                <w:noProof/>
                <w:webHidden/>
              </w:rPr>
              <w:t>59</w:t>
            </w:r>
            <w:r>
              <w:rPr>
                <w:noProof/>
                <w:webHidden/>
              </w:rPr>
              <w:fldChar w:fldCharType="end"/>
            </w:r>
          </w:hyperlink>
        </w:p>
        <w:p w:rsidR="005767A1" w:rsidRDefault="005767A1" w14:paraId="13444E07" w14:textId="684697EA">
          <w:pPr>
            <w:pStyle w:val="TOC3"/>
            <w:tabs>
              <w:tab w:val="left" w:pos="1296"/>
              <w:tab w:val="right" w:leader="dot" w:pos="9350"/>
            </w:tabs>
            <w:rPr>
              <w:rFonts w:asciiTheme="minorHAnsi" w:hAnsiTheme="minorHAnsi" w:cstheme="minorBidi"/>
              <w:noProof/>
              <w:sz w:val="22"/>
            </w:rPr>
          </w:pPr>
          <w:hyperlink w:history="1" w:anchor="_Toc122180486">
            <w:r w:rsidRPr="009A7B16">
              <w:rPr>
                <w:rStyle w:val="Hyperlink"/>
                <w:noProof/>
              </w:rPr>
              <w:t>7.3.7.</w:t>
            </w:r>
            <w:r>
              <w:rPr>
                <w:rFonts w:asciiTheme="minorHAnsi" w:hAnsiTheme="minorHAnsi" w:cstheme="minorBidi"/>
                <w:noProof/>
                <w:sz w:val="22"/>
              </w:rPr>
              <w:tab/>
            </w:r>
            <w:r w:rsidRPr="009A7B16">
              <w:rPr>
                <w:rStyle w:val="Hyperlink"/>
                <w:noProof/>
              </w:rPr>
              <w:t>Supplier Diversity</w:t>
            </w:r>
            <w:r>
              <w:rPr>
                <w:noProof/>
                <w:webHidden/>
              </w:rPr>
              <w:tab/>
            </w:r>
            <w:r>
              <w:rPr>
                <w:noProof/>
                <w:webHidden/>
              </w:rPr>
              <w:fldChar w:fldCharType="begin"/>
            </w:r>
            <w:r>
              <w:rPr>
                <w:noProof/>
                <w:webHidden/>
              </w:rPr>
              <w:instrText xml:space="preserve"> PAGEREF _Toc122180486 \h </w:instrText>
            </w:r>
            <w:r>
              <w:rPr>
                <w:noProof/>
                <w:webHidden/>
              </w:rPr>
            </w:r>
            <w:r>
              <w:rPr>
                <w:noProof/>
                <w:webHidden/>
              </w:rPr>
              <w:fldChar w:fldCharType="separate"/>
            </w:r>
            <w:r>
              <w:rPr>
                <w:noProof/>
                <w:webHidden/>
              </w:rPr>
              <w:t>60</w:t>
            </w:r>
            <w:r>
              <w:rPr>
                <w:noProof/>
                <w:webHidden/>
              </w:rPr>
              <w:fldChar w:fldCharType="end"/>
            </w:r>
          </w:hyperlink>
        </w:p>
        <w:p w:rsidR="005767A1" w:rsidRDefault="005767A1" w14:paraId="3E7217E4" w14:textId="29BEC31B">
          <w:pPr>
            <w:pStyle w:val="TOC3"/>
            <w:tabs>
              <w:tab w:val="left" w:pos="1296"/>
              <w:tab w:val="right" w:leader="dot" w:pos="9350"/>
            </w:tabs>
            <w:rPr>
              <w:rFonts w:asciiTheme="minorHAnsi" w:hAnsiTheme="minorHAnsi" w:cstheme="minorBidi"/>
              <w:noProof/>
              <w:sz w:val="22"/>
            </w:rPr>
          </w:pPr>
          <w:hyperlink w:history="1" w:anchor="_Toc122180487">
            <w:r w:rsidRPr="009A7B16">
              <w:rPr>
                <w:rStyle w:val="Hyperlink"/>
                <w:noProof/>
              </w:rPr>
              <w:t>7.3.8.</w:t>
            </w:r>
            <w:r>
              <w:rPr>
                <w:rFonts w:asciiTheme="minorHAnsi" w:hAnsiTheme="minorHAnsi" w:cstheme="minorBidi"/>
                <w:noProof/>
                <w:sz w:val="22"/>
              </w:rPr>
              <w:tab/>
            </w:r>
            <w:r w:rsidRPr="009A7B16">
              <w:rPr>
                <w:rStyle w:val="Hyperlink"/>
                <w:noProof/>
              </w:rPr>
              <w:t>Cost Quantification</w:t>
            </w:r>
            <w:r>
              <w:rPr>
                <w:noProof/>
                <w:webHidden/>
              </w:rPr>
              <w:tab/>
            </w:r>
            <w:r>
              <w:rPr>
                <w:noProof/>
                <w:webHidden/>
              </w:rPr>
              <w:fldChar w:fldCharType="begin"/>
            </w:r>
            <w:r>
              <w:rPr>
                <w:noProof/>
                <w:webHidden/>
              </w:rPr>
              <w:instrText xml:space="preserve"> PAGEREF _Toc122180487 \h </w:instrText>
            </w:r>
            <w:r>
              <w:rPr>
                <w:noProof/>
                <w:webHidden/>
              </w:rPr>
            </w:r>
            <w:r>
              <w:rPr>
                <w:noProof/>
                <w:webHidden/>
              </w:rPr>
              <w:fldChar w:fldCharType="separate"/>
            </w:r>
            <w:r>
              <w:rPr>
                <w:noProof/>
                <w:webHidden/>
              </w:rPr>
              <w:t>62</w:t>
            </w:r>
            <w:r>
              <w:rPr>
                <w:noProof/>
                <w:webHidden/>
              </w:rPr>
              <w:fldChar w:fldCharType="end"/>
            </w:r>
          </w:hyperlink>
        </w:p>
        <w:p w:rsidR="005767A1" w:rsidRDefault="005767A1" w14:paraId="3A0B6C41" w14:textId="6091DD5E">
          <w:pPr>
            <w:pStyle w:val="TOC1"/>
            <w:tabs>
              <w:tab w:val="right" w:leader="dot" w:pos="9350"/>
            </w:tabs>
            <w:rPr>
              <w:rFonts w:asciiTheme="minorHAnsi" w:hAnsiTheme="minorHAnsi" w:cstheme="minorBidi"/>
              <w:noProof/>
              <w:sz w:val="22"/>
            </w:rPr>
          </w:pPr>
          <w:hyperlink w:history="1" w:anchor="_Toc122180488">
            <w:r w:rsidRPr="009A7B16">
              <w:rPr>
                <w:rStyle w:val="Hyperlink"/>
                <w:noProof/>
              </w:rPr>
              <w:t>8.</w:t>
            </w:r>
            <w:r>
              <w:rPr>
                <w:rFonts w:asciiTheme="minorHAnsi" w:hAnsiTheme="minorHAnsi" w:cstheme="minorBidi"/>
                <w:noProof/>
                <w:sz w:val="22"/>
              </w:rPr>
              <w:tab/>
            </w:r>
            <w:r w:rsidRPr="009A7B16">
              <w:rPr>
                <w:rStyle w:val="Hyperlink"/>
                <w:rFonts w:eastAsia="Arial" w:cs="Arial"/>
                <w:noProof/>
              </w:rPr>
              <w:t>Motions for Confidentiality and Late-Filing</w:t>
            </w:r>
            <w:r>
              <w:rPr>
                <w:noProof/>
                <w:webHidden/>
              </w:rPr>
              <w:tab/>
            </w:r>
            <w:r>
              <w:rPr>
                <w:noProof/>
                <w:webHidden/>
              </w:rPr>
              <w:fldChar w:fldCharType="begin"/>
            </w:r>
            <w:r>
              <w:rPr>
                <w:noProof/>
                <w:webHidden/>
              </w:rPr>
              <w:instrText xml:space="preserve"> PAGEREF _Toc122180488 \h </w:instrText>
            </w:r>
            <w:r>
              <w:rPr>
                <w:noProof/>
                <w:webHidden/>
              </w:rPr>
            </w:r>
            <w:r>
              <w:rPr>
                <w:noProof/>
                <w:webHidden/>
              </w:rPr>
              <w:fldChar w:fldCharType="separate"/>
            </w:r>
            <w:r>
              <w:rPr>
                <w:noProof/>
                <w:webHidden/>
              </w:rPr>
              <w:t>64</w:t>
            </w:r>
            <w:r>
              <w:rPr>
                <w:noProof/>
                <w:webHidden/>
              </w:rPr>
              <w:fldChar w:fldCharType="end"/>
            </w:r>
          </w:hyperlink>
        </w:p>
        <w:p w:rsidR="005767A1" w:rsidRDefault="005767A1" w14:paraId="6344DF10" w14:textId="3F224C56">
          <w:pPr>
            <w:pStyle w:val="TOC1"/>
            <w:tabs>
              <w:tab w:val="right" w:leader="dot" w:pos="9350"/>
            </w:tabs>
            <w:rPr>
              <w:rFonts w:asciiTheme="minorHAnsi" w:hAnsiTheme="minorHAnsi" w:cstheme="minorBidi"/>
              <w:noProof/>
              <w:sz w:val="22"/>
            </w:rPr>
          </w:pPr>
          <w:hyperlink w:history="1" w:anchor="_Toc122180489">
            <w:r w:rsidRPr="009A7B16">
              <w:rPr>
                <w:rStyle w:val="Hyperlink"/>
                <w:noProof/>
              </w:rPr>
              <w:t>9.</w:t>
            </w:r>
            <w:r>
              <w:rPr>
                <w:rFonts w:asciiTheme="minorHAnsi" w:hAnsiTheme="minorHAnsi" w:cstheme="minorBidi"/>
                <w:noProof/>
                <w:sz w:val="22"/>
              </w:rPr>
              <w:tab/>
            </w:r>
            <w:r w:rsidRPr="009A7B16">
              <w:rPr>
                <w:rStyle w:val="Hyperlink"/>
                <w:noProof/>
              </w:rPr>
              <w:t>Comments on Proposed Decision</w:t>
            </w:r>
            <w:r>
              <w:rPr>
                <w:noProof/>
                <w:webHidden/>
              </w:rPr>
              <w:tab/>
            </w:r>
            <w:r>
              <w:rPr>
                <w:noProof/>
                <w:webHidden/>
              </w:rPr>
              <w:fldChar w:fldCharType="begin"/>
            </w:r>
            <w:r>
              <w:rPr>
                <w:noProof/>
                <w:webHidden/>
              </w:rPr>
              <w:instrText xml:space="preserve"> PAGEREF _Toc122180489 \h </w:instrText>
            </w:r>
            <w:r>
              <w:rPr>
                <w:noProof/>
                <w:webHidden/>
              </w:rPr>
            </w:r>
            <w:r>
              <w:rPr>
                <w:noProof/>
                <w:webHidden/>
              </w:rPr>
              <w:fldChar w:fldCharType="separate"/>
            </w:r>
            <w:r>
              <w:rPr>
                <w:noProof/>
                <w:webHidden/>
              </w:rPr>
              <w:t>66</w:t>
            </w:r>
            <w:r>
              <w:rPr>
                <w:noProof/>
                <w:webHidden/>
              </w:rPr>
              <w:fldChar w:fldCharType="end"/>
            </w:r>
          </w:hyperlink>
        </w:p>
        <w:p w:rsidR="005767A1" w:rsidRDefault="005767A1" w14:paraId="642E66C4" w14:textId="366D3162">
          <w:pPr>
            <w:pStyle w:val="TOC1"/>
            <w:tabs>
              <w:tab w:val="right" w:leader="dot" w:pos="9350"/>
            </w:tabs>
            <w:rPr>
              <w:rFonts w:asciiTheme="minorHAnsi" w:hAnsiTheme="minorHAnsi" w:cstheme="minorBidi"/>
              <w:noProof/>
              <w:sz w:val="22"/>
            </w:rPr>
          </w:pPr>
          <w:hyperlink w:history="1" w:anchor="_Toc122180490">
            <w:r w:rsidRPr="009A7B16">
              <w:rPr>
                <w:rStyle w:val="Hyperlink"/>
                <w:noProof/>
              </w:rPr>
              <w:t>10.</w:t>
            </w:r>
            <w:r>
              <w:rPr>
                <w:rFonts w:asciiTheme="minorHAnsi" w:hAnsiTheme="minorHAnsi" w:cstheme="minorBidi"/>
                <w:noProof/>
                <w:sz w:val="22"/>
              </w:rPr>
              <w:tab/>
            </w:r>
            <w:r w:rsidRPr="009A7B16">
              <w:rPr>
                <w:rStyle w:val="Hyperlink"/>
                <w:noProof/>
              </w:rPr>
              <w:t>Assignment of Proceeding</w:t>
            </w:r>
            <w:r>
              <w:rPr>
                <w:noProof/>
                <w:webHidden/>
              </w:rPr>
              <w:tab/>
            </w:r>
            <w:r>
              <w:rPr>
                <w:noProof/>
                <w:webHidden/>
              </w:rPr>
              <w:fldChar w:fldCharType="begin"/>
            </w:r>
            <w:r>
              <w:rPr>
                <w:noProof/>
                <w:webHidden/>
              </w:rPr>
              <w:instrText xml:space="preserve"> PAGEREF _Toc122180490 \h </w:instrText>
            </w:r>
            <w:r>
              <w:rPr>
                <w:noProof/>
                <w:webHidden/>
              </w:rPr>
            </w:r>
            <w:r>
              <w:rPr>
                <w:noProof/>
                <w:webHidden/>
              </w:rPr>
              <w:fldChar w:fldCharType="separate"/>
            </w:r>
            <w:r>
              <w:rPr>
                <w:noProof/>
                <w:webHidden/>
              </w:rPr>
              <w:t>69</w:t>
            </w:r>
            <w:r>
              <w:rPr>
                <w:noProof/>
                <w:webHidden/>
              </w:rPr>
              <w:fldChar w:fldCharType="end"/>
            </w:r>
          </w:hyperlink>
        </w:p>
        <w:p w:rsidR="005767A1" w:rsidRDefault="005767A1" w14:paraId="63295401" w14:textId="5D93ED9D">
          <w:pPr>
            <w:pStyle w:val="TOC1"/>
            <w:tabs>
              <w:tab w:val="right" w:leader="dot" w:pos="9350"/>
            </w:tabs>
            <w:rPr>
              <w:rFonts w:asciiTheme="minorHAnsi" w:hAnsiTheme="minorHAnsi" w:cstheme="minorBidi"/>
              <w:noProof/>
              <w:sz w:val="22"/>
            </w:rPr>
          </w:pPr>
          <w:hyperlink w:history="1" w:anchor="_Toc122180491">
            <w:r w:rsidRPr="009A7B16">
              <w:rPr>
                <w:rStyle w:val="Hyperlink"/>
                <w:noProof/>
              </w:rPr>
              <w:t>Findings of Fact</w:t>
            </w:r>
            <w:r>
              <w:rPr>
                <w:noProof/>
                <w:webHidden/>
              </w:rPr>
              <w:tab/>
            </w:r>
            <w:r>
              <w:rPr>
                <w:noProof/>
                <w:webHidden/>
              </w:rPr>
              <w:fldChar w:fldCharType="begin"/>
            </w:r>
            <w:r>
              <w:rPr>
                <w:noProof/>
                <w:webHidden/>
              </w:rPr>
              <w:instrText xml:space="preserve"> PAGEREF _Toc122180491 \h </w:instrText>
            </w:r>
            <w:r>
              <w:rPr>
                <w:noProof/>
                <w:webHidden/>
              </w:rPr>
            </w:r>
            <w:r>
              <w:rPr>
                <w:noProof/>
                <w:webHidden/>
              </w:rPr>
              <w:fldChar w:fldCharType="separate"/>
            </w:r>
            <w:r>
              <w:rPr>
                <w:noProof/>
                <w:webHidden/>
              </w:rPr>
              <w:t>69</w:t>
            </w:r>
            <w:r>
              <w:rPr>
                <w:noProof/>
                <w:webHidden/>
              </w:rPr>
              <w:fldChar w:fldCharType="end"/>
            </w:r>
          </w:hyperlink>
        </w:p>
        <w:p w:rsidR="005767A1" w:rsidRDefault="005767A1" w14:paraId="43888C4B" w14:textId="4DB473C3">
          <w:pPr>
            <w:pStyle w:val="TOC1"/>
            <w:tabs>
              <w:tab w:val="right" w:leader="dot" w:pos="9350"/>
            </w:tabs>
            <w:rPr>
              <w:rFonts w:asciiTheme="minorHAnsi" w:hAnsiTheme="minorHAnsi" w:cstheme="minorBidi"/>
              <w:noProof/>
              <w:sz w:val="22"/>
            </w:rPr>
          </w:pPr>
          <w:hyperlink w:history="1" w:anchor="_Toc122180492">
            <w:r w:rsidRPr="009A7B16">
              <w:rPr>
                <w:rStyle w:val="Hyperlink"/>
                <w:noProof/>
              </w:rPr>
              <w:t>Conclusions of Law</w:t>
            </w:r>
            <w:r>
              <w:rPr>
                <w:noProof/>
                <w:webHidden/>
              </w:rPr>
              <w:tab/>
            </w:r>
            <w:r>
              <w:rPr>
                <w:noProof/>
                <w:webHidden/>
              </w:rPr>
              <w:fldChar w:fldCharType="begin"/>
            </w:r>
            <w:r>
              <w:rPr>
                <w:noProof/>
                <w:webHidden/>
              </w:rPr>
              <w:instrText xml:space="preserve"> PAGEREF _Toc122180492 \h </w:instrText>
            </w:r>
            <w:r>
              <w:rPr>
                <w:noProof/>
                <w:webHidden/>
              </w:rPr>
            </w:r>
            <w:r>
              <w:rPr>
                <w:noProof/>
                <w:webHidden/>
              </w:rPr>
              <w:fldChar w:fldCharType="separate"/>
            </w:r>
            <w:r>
              <w:rPr>
                <w:noProof/>
                <w:webHidden/>
              </w:rPr>
              <w:t>75</w:t>
            </w:r>
            <w:r>
              <w:rPr>
                <w:noProof/>
                <w:webHidden/>
              </w:rPr>
              <w:fldChar w:fldCharType="end"/>
            </w:r>
          </w:hyperlink>
        </w:p>
        <w:p w:rsidR="005767A1" w:rsidRDefault="005767A1" w14:paraId="687B0298" w14:textId="7BD4A573">
          <w:pPr>
            <w:pStyle w:val="TOC1"/>
            <w:tabs>
              <w:tab w:val="right" w:leader="dot" w:pos="9350"/>
            </w:tabs>
            <w:rPr>
              <w:rFonts w:asciiTheme="minorHAnsi" w:hAnsiTheme="minorHAnsi" w:cstheme="minorBidi"/>
              <w:noProof/>
              <w:sz w:val="22"/>
            </w:rPr>
          </w:pPr>
          <w:hyperlink w:history="1" w:anchor="_Toc122180493">
            <w:r w:rsidRPr="009A7B16">
              <w:rPr>
                <w:rStyle w:val="Hyperlink"/>
                <w:noProof/>
              </w:rPr>
              <w:t>ORDER</w:t>
            </w:r>
            <w:r>
              <w:rPr>
                <w:noProof/>
                <w:webHidden/>
              </w:rPr>
              <w:tab/>
            </w:r>
            <w:r>
              <w:rPr>
                <w:noProof/>
                <w:webHidden/>
              </w:rPr>
              <w:fldChar w:fldCharType="begin"/>
            </w:r>
            <w:r>
              <w:rPr>
                <w:noProof/>
                <w:webHidden/>
              </w:rPr>
              <w:instrText xml:space="preserve"> PAGEREF _Toc122180493 \h </w:instrText>
            </w:r>
            <w:r>
              <w:rPr>
                <w:noProof/>
                <w:webHidden/>
              </w:rPr>
            </w:r>
            <w:r>
              <w:rPr>
                <w:noProof/>
                <w:webHidden/>
              </w:rPr>
              <w:fldChar w:fldCharType="separate"/>
            </w:r>
            <w:r>
              <w:rPr>
                <w:noProof/>
                <w:webHidden/>
              </w:rPr>
              <w:t>78</w:t>
            </w:r>
            <w:r>
              <w:rPr>
                <w:noProof/>
                <w:webHidden/>
              </w:rPr>
              <w:fldChar w:fldCharType="end"/>
            </w:r>
          </w:hyperlink>
        </w:p>
        <w:p w:rsidR="00D82A43" w:rsidP="00DA2AB1" w:rsidRDefault="008C7413" w14:paraId="06C9522E" w14:textId="521F69E5">
          <w:pPr>
            <w:pStyle w:val="TOC1"/>
            <w:tabs>
              <w:tab w:val="right" w:leader="dot" w:pos="9350"/>
            </w:tabs>
            <w:ind w:left="0" w:firstLine="0"/>
          </w:pPr>
          <w:r>
            <w:rPr>
              <w:rFonts w:asciiTheme="minorHAnsi" w:hAnsiTheme="minorHAnsi"/>
              <w:color w:val="2B579A"/>
              <w:sz w:val="22"/>
              <w:shd w:val="clear" w:color="auto" w:fill="E6E6E6"/>
            </w:rPr>
            <w:fldChar w:fldCharType="end"/>
          </w:r>
        </w:p>
      </w:sdtContent>
    </w:sdt>
    <w:p w:rsidR="00D44DB6" w:rsidP="00D44DB6" w:rsidRDefault="00D44DB6" w14:paraId="42329075" w14:textId="77777777">
      <w:pPr>
        <w:spacing w:line="240" w:lineRule="auto"/>
        <w:ind w:firstLine="0"/>
        <w:rPr>
          <w:rFonts w:cs="Arial"/>
          <w:szCs w:val="26"/>
        </w:rPr>
      </w:pPr>
    </w:p>
    <w:p w:rsidRPr="00D44DB6" w:rsidR="00D44DB6" w:rsidP="00D44DB6" w:rsidRDefault="00D44DB6" w14:paraId="28DC9FB0" w14:textId="54AE2DEA">
      <w:pPr>
        <w:spacing w:line="240" w:lineRule="auto"/>
        <w:ind w:firstLine="0"/>
        <w:rPr>
          <w:rFonts w:cs="Arial"/>
          <w:i/>
          <w:szCs w:val="26"/>
        </w:rPr>
        <w:sectPr w:rsidRPr="00D44DB6" w:rsidR="00D44DB6" w:rsidSect="00CC3059">
          <w:headerReference w:type="default" r:id="rId15"/>
          <w:footerReference w:type="default" r:id="rId16"/>
          <w:pgSz w:w="12240" w:h="15840" w:code="1"/>
          <w:pgMar w:top="1728" w:right="1440" w:bottom="1440" w:left="1440" w:header="720" w:footer="720" w:gutter="0"/>
          <w:pgNumType w:fmt="lowerRoman" w:start="1"/>
          <w:cols w:space="720"/>
          <w:docGrid w:linePitch="360"/>
        </w:sectPr>
      </w:pPr>
    </w:p>
    <w:p w:rsidRPr="008658CC" w:rsidR="006B54E3" w:rsidP="006B54E3" w:rsidRDefault="006B54E3" w14:paraId="424A4172" w14:textId="313DA04F">
      <w:pPr>
        <w:spacing w:after="160" w:line="240" w:lineRule="auto"/>
        <w:ind w:firstLine="0"/>
        <w:contextualSpacing/>
        <w:jc w:val="center"/>
        <w:rPr>
          <w:rFonts w:ascii="Arial" w:hAnsi="Arial" w:cs="Arial"/>
          <w:b/>
          <w:szCs w:val="26"/>
        </w:rPr>
      </w:pPr>
      <w:bookmarkStart w:name="_Toc8123714" w:id="3"/>
      <w:r w:rsidRPr="00B628D6">
        <w:rPr>
          <w:rFonts w:ascii="Arial" w:hAnsi="Arial" w:cs="Arial"/>
          <w:b/>
          <w:szCs w:val="26"/>
        </w:rPr>
        <w:lastRenderedPageBreak/>
        <w:t>DECISION ON 202</w:t>
      </w:r>
      <w:r>
        <w:rPr>
          <w:rFonts w:ascii="Arial" w:hAnsi="Arial" w:cs="Arial"/>
          <w:b/>
          <w:szCs w:val="26"/>
        </w:rPr>
        <w:t>2</w:t>
      </w:r>
      <w:r w:rsidRPr="00B628D6">
        <w:rPr>
          <w:rFonts w:ascii="Arial" w:hAnsi="Arial" w:cs="Arial"/>
          <w:b/>
          <w:szCs w:val="26"/>
        </w:rPr>
        <w:t xml:space="preserve"> RENEWABLES PORTFOLIO</w:t>
      </w:r>
      <w:r>
        <w:rPr>
          <w:rFonts w:ascii="Arial" w:hAnsi="Arial" w:cs="Arial"/>
          <w:b/>
          <w:szCs w:val="26"/>
        </w:rPr>
        <w:br/>
      </w:r>
      <w:r w:rsidRPr="00B628D6">
        <w:rPr>
          <w:rFonts w:ascii="Arial" w:hAnsi="Arial" w:cs="Arial"/>
          <w:b/>
          <w:szCs w:val="26"/>
        </w:rPr>
        <w:t>STANDARD PROCUREMENT PLANS</w:t>
      </w:r>
    </w:p>
    <w:p w:rsidR="005A148C" w:rsidP="005A148C" w:rsidRDefault="005A148C" w14:paraId="5FF28D31" w14:textId="77777777">
      <w:pPr>
        <w:pStyle w:val="Dummy"/>
      </w:pPr>
      <w:bookmarkStart w:name="_Toc122180435" w:id="4"/>
      <w:r>
        <w:t>Summary</w:t>
      </w:r>
      <w:bookmarkEnd w:id="3"/>
      <w:bookmarkEnd w:id="4"/>
    </w:p>
    <w:p w:rsidR="00426272" w:rsidP="006E6574" w:rsidRDefault="00426272" w14:paraId="1DE01C7E" w14:textId="27E09F96">
      <w:pPr>
        <w:pStyle w:val="Standard"/>
      </w:pPr>
      <w:r w:rsidRPr="00426272">
        <w:t xml:space="preserve">Today's </w:t>
      </w:r>
      <w:r w:rsidR="00DC452E">
        <w:t>d</w:t>
      </w:r>
      <w:r w:rsidRPr="00426272">
        <w:t xml:space="preserve">ecision adopts, with modifications, the </w:t>
      </w:r>
      <w:r w:rsidR="007B299C">
        <w:t>D</w:t>
      </w:r>
      <w:r w:rsidRPr="00426272">
        <w:t>raft 202</w:t>
      </w:r>
      <w:r w:rsidR="00BB3E2F">
        <w:t>2</w:t>
      </w:r>
      <w:r w:rsidRPr="00426272">
        <w:t xml:space="preserve"> Renewables Portfolio Standard Procurement Plans (RPS Plans) of the following retail sellers:</w:t>
      </w:r>
    </w:p>
    <w:p w:rsidR="0073353F" w:rsidP="00CC3059" w:rsidRDefault="00426272" w14:paraId="68FE9CEB" w14:textId="4CDB01E9">
      <w:pPr>
        <w:pStyle w:val="Standard"/>
        <w:numPr>
          <w:ilvl w:val="2"/>
          <w:numId w:val="12"/>
        </w:numPr>
        <w:spacing w:after="120" w:line="240" w:lineRule="auto"/>
        <w:ind w:right="1440"/>
      </w:pPr>
      <w:r w:rsidRPr="00426272">
        <w:t>The large Investor-Owned Utilities (IOU) the Commission regulates:  Pacific Gas and Electric Company (PG&amp;E), Southern California Edison Company (SCE), and San</w:t>
      </w:r>
      <w:r w:rsidR="00DA2AB1">
        <w:t> </w:t>
      </w:r>
      <w:r w:rsidRPr="00426272">
        <w:t xml:space="preserve">Diego Gas &amp; Electric Company (SDG&amp;E). </w:t>
      </w:r>
    </w:p>
    <w:p w:rsidR="002A4B50" w:rsidP="00CC3059" w:rsidRDefault="000B4CAE" w14:paraId="15F9E429" w14:textId="4F7721EB">
      <w:pPr>
        <w:pStyle w:val="Standard"/>
        <w:numPr>
          <w:ilvl w:val="2"/>
          <w:numId w:val="12"/>
        </w:numPr>
        <w:spacing w:after="120" w:line="240" w:lineRule="auto"/>
        <w:ind w:right="1440"/>
      </w:pPr>
      <w:r w:rsidRPr="000B4CAE">
        <w:t>The Small and Multi-</w:t>
      </w:r>
      <w:r w:rsidR="00AA6A1F">
        <w:t>J</w:t>
      </w:r>
      <w:r w:rsidRPr="000B4CAE">
        <w:t xml:space="preserve">urisdictional Utilities (SMJU) under our jurisdiction:  Bear Valley Electric </w:t>
      </w:r>
      <w:r w:rsidR="001E6E49">
        <w:t>Service, Inc.</w:t>
      </w:r>
      <w:r w:rsidRPr="000B4CAE">
        <w:t xml:space="preserve"> (BVES or Bear Valley) and Liberty Utilities (CalPeco Electric), LLC (Liberty).  PacifiCorp, d/b/a Pacific Power (PacifiCorp) is required to file a </w:t>
      </w:r>
      <w:r w:rsidR="000159B9">
        <w:t xml:space="preserve">final </w:t>
      </w:r>
      <w:r w:rsidRPr="000B4CAE">
        <w:t>“O</w:t>
      </w:r>
      <w:r w:rsidR="00551587">
        <w:t>ff</w:t>
      </w:r>
      <w:r w:rsidRPr="000B4CAE">
        <w:t xml:space="preserve">-Year </w:t>
      </w:r>
      <w:r w:rsidR="00551587">
        <w:t>S</w:t>
      </w:r>
      <w:r w:rsidRPr="000B4CAE">
        <w:t xml:space="preserve">upplement” that provides additional information relevant to the RPS program.  </w:t>
      </w:r>
    </w:p>
    <w:p w:rsidR="000B4CAE" w:rsidP="00CC3059" w:rsidRDefault="000B4CAE" w14:paraId="06F943F9" w14:textId="394D1C2A">
      <w:pPr>
        <w:pStyle w:val="Standard"/>
        <w:numPr>
          <w:ilvl w:val="2"/>
          <w:numId w:val="12"/>
        </w:numPr>
        <w:spacing w:after="120" w:line="240" w:lineRule="auto"/>
        <w:ind w:right="1440"/>
      </w:pPr>
      <w:bookmarkStart w:name="_Hlk121139424" w:id="5"/>
      <w:r w:rsidRPr="000B4CAE">
        <w:t>Community Choice Aggregators (CCAs):  Apple Valley Choice Energy; Central Coast Community Energy; City of</w:t>
      </w:r>
      <w:r w:rsidR="00431027">
        <w:t> </w:t>
      </w:r>
      <w:r w:rsidRPr="000B4CAE">
        <w:t>Palmdale; City of Pomona; City of Santa Barbara; Clean Energy Alliance; Clean Power Alliance; CleanPowerSF; Desert Community Energy; East Bay Community Energy; King City Community Power; Lancaster Choice Energy; Marin Clean Energy; Orange County Power Authority; Peninsula Clean Energy; Pico Rivera Innovative Municipal Energy; Pioneer Community Energy; Rancho Mirage Energy Authority; Redwood Coast Energy Authority; San</w:t>
      </w:r>
      <w:r w:rsidR="00431027">
        <w:t> </w:t>
      </w:r>
      <w:r w:rsidRPr="000B4CAE">
        <w:t>Diego Community Power; San Jacinto Power; San</w:t>
      </w:r>
      <w:r w:rsidR="00431027">
        <w:t> </w:t>
      </w:r>
      <w:r w:rsidRPr="000B4CAE">
        <w:t>Jose Clean Energy; Silicon Valley</w:t>
      </w:r>
      <w:r w:rsidR="00206559">
        <w:t xml:space="preserve"> </w:t>
      </w:r>
      <w:r w:rsidRPr="00206559" w:rsidR="00206559">
        <w:t>Clean Energy Authority; Sonoma Clean Power; and Valley Clean Energy Alliance.</w:t>
      </w:r>
    </w:p>
    <w:p w:rsidR="00206559" w:rsidP="00CC3059" w:rsidRDefault="00206559" w14:paraId="7D9561B9" w14:textId="3A26629C">
      <w:pPr>
        <w:pStyle w:val="Standard"/>
        <w:numPr>
          <w:ilvl w:val="2"/>
          <w:numId w:val="12"/>
        </w:numPr>
        <w:spacing w:after="120" w:line="240" w:lineRule="auto"/>
        <w:ind w:right="1440"/>
      </w:pPr>
      <w:r w:rsidRPr="00206559">
        <w:t>Electric Service Providers (ESP):  3 Phases Renewables</w:t>
      </w:r>
      <w:r w:rsidR="00E33FF6">
        <w:t>, Inc.</w:t>
      </w:r>
      <w:r w:rsidRPr="00206559">
        <w:t>; Calpine Energy Solutions</w:t>
      </w:r>
      <w:r w:rsidR="00BD4FD2">
        <w:t>, LLC</w:t>
      </w:r>
      <w:r w:rsidRPr="00206559">
        <w:t xml:space="preserve">; </w:t>
      </w:r>
      <w:r w:rsidR="006A5307">
        <w:t xml:space="preserve">Brookfield Renewable Energy Marketing US LLC; </w:t>
      </w:r>
      <w:r w:rsidRPr="00206559">
        <w:t>Calpine PowerAmerica-CA, LLC; Commercial Energy of California; Constellation NewEnergy, Inc; Direct Energy Business</w:t>
      </w:r>
      <w:r w:rsidR="00BD4FD2">
        <w:t>, LLC</w:t>
      </w:r>
      <w:r w:rsidRPr="00206559">
        <w:t xml:space="preserve">; EDF Industrial Power Services (CA), LLC; Pilot Power Group, </w:t>
      </w:r>
      <w:r w:rsidR="00BD4FD2">
        <w:lastRenderedPageBreak/>
        <w:t>LLC</w:t>
      </w:r>
      <w:r w:rsidRPr="00206559">
        <w:t>; Shell</w:t>
      </w:r>
      <w:r w:rsidR="00DA2AB1">
        <w:t> </w:t>
      </w:r>
      <w:r w:rsidRPr="00206559">
        <w:t>Energy</w:t>
      </w:r>
      <w:r w:rsidR="0076256B">
        <w:t xml:space="preserve"> North America</w:t>
      </w:r>
      <w:r w:rsidR="00CD3E09">
        <w:t xml:space="preserve"> (US), L.P.</w:t>
      </w:r>
      <w:r w:rsidRPr="00206559">
        <w:t>; and The Regents of the University of California.</w:t>
      </w:r>
    </w:p>
    <w:bookmarkEnd w:id="5"/>
    <w:p w:rsidR="003912F8" w:rsidP="003912F8" w:rsidRDefault="008D2DC6" w14:paraId="2EFF3DFB" w14:textId="39BDE3EE">
      <w:r>
        <w:t xml:space="preserve">The </w:t>
      </w:r>
      <w:r w:rsidRPr="003912F8" w:rsidR="003912F8">
        <w:t xml:space="preserve">Final </w:t>
      </w:r>
      <w:r>
        <w:t xml:space="preserve">2022 RPS </w:t>
      </w:r>
      <w:r w:rsidRPr="003912F8" w:rsidR="003912F8">
        <w:t xml:space="preserve">Plans are due no later than 30 days following the issuance of this </w:t>
      </w:r>
      <w:r w:rsidR="00DC452E">
        <w:t>d</w:t>
      </w:r>
      <w:r w:rsidRPr="003912F8" w:rsidR="003912F8">
        <w:t xml:space="preserve">ecision by the California Public Utilities Commission (Commission).  This </w:t>
      </w:r>
      <w:r w:rsidR="005D6A74">
        <w:t>d</w:t>
      </w:r>
      <w:r w:rsidRPr="003912F8" w:rsidR="003912F8">
        <w:t xml:space="preserve">ecision adopts the following directives:  </w:t>
      </w:r>
    </w:p>
    <w:p w:rsidRPr="008068B2" w:rsidR="00206559" w:rsidP="00724C6E" w:rsidRDefault="003912F8" w14:paraId="0B907A06" w14:textId="1ED6BC37">
      <w:pPr>
        <w:keepNext/>
        <w:rPr>
          <w:u w:val="single"/>
        </w:rPr>
      </w:pPr>
      <w:r w:rsidRPr="008068B2">
        <w:rPr>
          <w:u w:val="single"/>
        </w:rPr>
        <w:t>Large Investor-Owned Utilities:</w:t>
      </w:r>
    </w:p>
    <w:p w:rsidR="0036018D" w:rsidP="00724C6E" w:rsidRDefault="004B0EA4" w14:paraId="45D1BC9A" w14:textId="77777777">
      <w:pPr>
        <w:pStyle w:val="Standard"/>
        <w:keepNext/>
        <w:numPr>
          <w:ilvl w:val="0"/>
          <w:numId w:val="13"/>
        </w:numPr>
        <w:spacing w:after="120" w:line="240" w:lineRule="auto"/>
        <w:ind w:left="1080" w:right="1440"/>
      </w:pPr>
      <w:r>
        <w:t xml:space="preserve">The IOUs shall update their Final 2022 RPS Plans with updated information on the status of their </w:t>
      </w:r>
      <w:r w:rsidR="00F85B01">
        <w:t>Voluntary</w:t>
      </w:r>
      <w:r>
        <w:t xml:space="preserve"> Allocation and </w:t>
      </w:r>
      <w:r w:rsidR="00F85B01">
        <w:t>Market Offer (VAMO) process and the outcome of the</w:t>
      </w:r>
      <w:r w:rsidR="0010317B">
        <w:t xml:space="preserve">ir mid-term reliability procurements </w:t>
      </w:r>
      <w:r w:rsidR="008B5456">
        <w:t xml:space="preserve">pursuant to </w:t>
      </w:r>
      <w:r w:rsidR="00CE37B3">
        <w:t xml:space="preserve">their </w:t>
      </w:r>
      <w:r w:rsidRPr="008068B2" w:rsidR="00CE37B3">
        <w:t xml:space="preserve">Integrated Resources Planning </w:t>
      </w:r>
      <w:r w:rsidRPr="008068B2" w:rsidR="0078783D">
        <w:t xml:space="preserve"> mandates.</w:t>
      </w:r>
      <w:r w:rsidR="004E7BB8">
        <w:t xml:space="preserve"> </w:t>
      </w:r>
    </w:p>
    <w:p w:rsidR="004E7BB8" w:rsidP="00845ED4" w:rsidRDefault="008A3F67" w14:paraId="50593240" w14:textId="6C6602F8">
      <w:pPr>
        <w:pStyle w:val="Standard"/>
        <w:numPr>
          <w:ilvl w:val="0"/>
          <w:numId w:val="13"/>
        </w:numPr>
        <w:spacing w:after="120" w:line="240" w:lineRule="auto"/>
        <w:ind w:left="1080" w:right="1440"/>
      </w:pPr>
      <w:r>
        <w:t xml:space="preserve">PG&amp;E’s </w:t>
      </w:r>
      <w:r w:rsidR="0078783D">
        <w:t>solicitation protocol is approved with modifications</w:t>
      </w:r>
      <w:r w:rsidR="00845ED4">
        <w:t>, as PG&amp;E is required to</w:t>
      </w:r>
      <w:r w:rsidR="004E7BB8">
        <w:t xml:space="preserve"> modify its procurement pro forma agreement.</w:t>
      </w:r>
    </w:p>
    <w:p w:rsidRPr="0078783D" w:rsidR="0036018D" w:rsidP="0036018D" w:rsidRDefault="0036018D" w14:paraId="4E29F2C8" w14:textId="0F8E73C1">
      <w:pPr>
        <w:pStyle w:val="Standard"/>
        <w:keepNext/>
        <w:numPr>
          <w:ilvl w:val="0"/>
          <w:numId w:val="13"/>
        </w:numPr>
        <w:spacing w:after="120" w:line="240" w:lineRule="auto"/>
        <w:ind w:left="1080" w:right="1440"/>
      </w:pPr>
      <w:r>
        <w:t xml:space="preserve">PG&amp;E shall update its renewable net short calculations </w:t>
      </w:r>
      <w:r w:rsidRPr="00A7259D">
        <w:t xml:space="preserve">and any sections of their </w:t>
      </w:r>
      <w:r>
        <w:t xml:space="preserve">final </w:t>
      </w:r>
      <w:r w:rsidRPr="00A7259D">
        <w:t xml:space="preserve">plans where the analysis changes because actual VAMO and </w:t>
      </w:r>
      <w:r>
        <w:t>mid-term reliability (MTR)</w:t>
      </w:r>
      <w:r w:rsidRPr="00A7259D">
        <w:t xml:space="preserve"> results </w:t>
      </w:r>
      <w:r w:rsidR="00945B8F">
        <w:t xml:space="preserve">do </w:t>
      </w:r>
      <w:r w:rsidRPr="00A7259D">
        <w:t>not align with their assumptions in their draft plan.</w:t>
      </w:r>
    </w:p>
    <w:p w:rsidR="0078783D" w:rsidP="00724C6E" w:rsidRDefault="0078783D" w14:paraId="146EC23D" w14:textId="516A2859">
      <w:pPr>
        <w:pStyle w:val="Standard"/>
        <w:numPr>
          <w:ilvl w:val="0"/>
          <w:numId w:val="13"/>
        </w:numPr>
        <w:spacing w:after="120" w:line="240" w:lineRule="auto"/>
        <w:ind w:left="1080" w:right="1440"/>
      </w:pPr>
      <w:r>
        <w:t xml:space="preserve">PG&amp;E is allowed to rely on its RPS bank to </w:t>
      </w:r>
      <w:r w:rsidR="002B5592">
        <w:t xml:space="preserve">meet </w:t>
      </w:r>
      <w:r w:rsidR="00A554DB">
        <w:t>RPS</w:t>
      </w:r>
      <w:r w:rsidR="00DA2AB1">
        <w:t> </w:t>
      </w:r>
      <w:r w:rsidR="00A554DB">
        <w:t>compliance</w:t>
      </w:r>
      <w:r w:rsidR="002B5592">
        <w:t xml:space="preserve"> </w:t>
      </w:r>
      <w:r w:rsidR="68D400AC">
        <w:t xml:space="preserve">obligations </w:t>
      </w:r>
      <w:r w:rsidR="002B5592">
        <w:t>through 202</w:t>
      </w:r>
      <w:r w:rsidR="299F309D">
        <w:t>8</w:t>
      </w:r>
      <w:r w:rsidR="002B5592">
        <w:t xml:space="preserve">. </w:t>
      </w:r>
    </w:p>
    <w:p w:rsidR="008A3F67" w:rsidP="00724C6E" w:rsidRDefault="008A3F67" w14:paraId="5A1A14B0" w14:textId="74BE920B">
      <w:pPr>
        <w:pStyle w:val="Standard"/>
        <w:numPr>
          <w:ilvl w:val="0"/>
          <w:numId w:val="13"/>
        </w:numPr>
        <w:spacing w:after="120" w:line="240" w:lineRule="auto"/>
        <w:ind w:left="1080" w:right="1440"/>
      </w:pPr>
      <w:r>
        <w:t>SCE</w:t>
      </w:r>
      <w:r w:rsidR="00BF4A4C">
        <w:t>’s</w:t>
      </w:r>
      <w:r>
        <w:t xml:space="preserve"> an</w:t>
      </w:r>
      <w:r w:rsidR="000108A3">
        <w:t>d</w:t>
      </w:r>
      <w:r>
        <w:t xml:space="preserve"> SDG&amp;E’s sales solicitation protocol</w:t>
      </w:r>
      <w:r w:rsidR="00D47E44">
        <w:t>s</w:t>
      </w:r>
      <w:r>
        <w:t xml:space="preserve"> </w:t>
      </w:r>
      <w:r w:rsidR="00D47E44">
        <w:t>are</w:t>
      </w:r>
      <w:r>
        <w:t xml:space="preserve"> approved. </w:t>
      </w:r>
    </w:p>
    <w:p w:rsidR="00F15603" w:rsidP="00724C6E" w:rsidRDefault="002D066E" w14:paraId="11175542" w14:textId="33C08D90">
      <w:pPr>
        <w:pStyle w:val="Standard"/>
        <w:numPr>
          <w:ilvl w:val="0"/>
          <w:numId w:val="13"/>
        </w:numPr>
        <w:spacing w:after="120" w:line="240" w:lineRule="auto"/>
        <w:ind w:left="1080" w:right="1440"/>
      </w:pPr>
      <w:r>
        <w:t xml:space="preserve">SCE’s modified </w:t>
      </w:r>
      <w:r w:rsidR="00804BE5">
        <w:t xml:space="preserve">pro forma </w:t>
      </w:r>
      <w:r w:rsidR="00A1138F">
        <w:t xml:space="preserve">power </w:t>
      </w:r>
      <w:r w:rsidR="00804BE5">
        <w:t>purchase agreement is approved.</w:t>
      </w:r>
    </w:p>
    <w:p w:rsidRPr="008068B2" w:rsidR="002B5592" w:rsidP="00724C6E" w:rsidRDefault="728FDAF6" w14:paraId="24A7274D" w14:textId="012EB74E">
      <w:pPr>
        <w:pStyle w:val="Standard"/>
        <w:numPr>
          <w:ilvl w:val="0"/>
          <w:numId w:val="13"/>
        </w:numPr>
        <w:spacing w:after="120" w:line="240" w:lineRule="auto"/>
        <w:ind w:left="1080" w:right="1440"/>
      </w:pPr>
      <w:r>
        <w:t xml:space="preserve">The IOUs have the option to hold an RPS </w:t>
      </w:r>
      <w:r w:rsidR="005C5FC1">
        <w:t xml:space="preserve">procurement </w:t>
      </w:r>
      <w:r>
        <w:t>solicitation in the 2022 solicitation cycle to meet their RPS</w:t>
      </w:r>
      <w:r w:rsidR="00DA2AB1">
        <w:t> </w:t>
      </w:r>
      <w:r>
        <w:t>compliance obligations</w:t>
      </w:r>
      <w:r w:rsidR="7519787C">
        <w:t>,</w:t>
      </w:r>
      <w:r>
        <w:t xml:space="preserve"> should they fall short after</w:t>
      </w:r>
      <w:r w:rsidR="00DA2AB1">
        <w:br/>
      </w:r>
      <w:r>
        <w:t>the completion of sale of excess RPS resources under the VAMO process.</w:t>
      </w:r>
    </w:p>
    <w:p w:rsidR="00CE4440" w:rsidP="00724C6E" w:rsidRDefault="696AB5AE" w14:paraId="1AF8DBA2" w14:textId="2C6C3F9E">
      <w:pPr>
        <w:pStyle w:val="Standard"/>
        <w:numPr>
          <w:ilvl w:val="0"/>
          <w:numId w:val="13"/>
        </w:numPr>
        <w:spacing w:after="120" w:line="240" w:lineRule="auto"/>
        <w:ind w:left="1080" w:right="1440"/>
      </w:pPr>
      <w:r>
        <w:lastRenderedPageBreak/>
        <w:t xml:space="preserve">The IOUs may </w:t>
      </w:r>
      <w:r w:rsidR="79CBCF3E">
        <w:t>sell</w:t>
      </w:r>
      <w:r>
        <w:t xml:space="preserve"> R</w:t>
      </w:r>
      <w:r w:rsidR="79CBCF3E">
        <w:t>PS</w:t>
      </w:r>
      <w:r>
        <w:t xml:space="preserve"> volumes for the period covered by the 2022 RPS Procurement Plans to balance their respective RPS portfolio.</w:t>
      </w:r>
    </w:p>
    <w:p w:rsidR="002A4B50" w:rsidP="00724C6E" w:rsidRDefault="005C5FC1" w14:paraId="18D3BC9A" w14:textId="2C6FA5B0">
      <w:pPr>
        <w:pStyle w:val="Standard"/>
        <w:numPr>
          <w:ilvl w:val="0"/>
          <w:numId w:val="13"/>
        </w:numPr>
        <w:spacing w:after="120" w:line="240" w:lineRule="auto"/>
        <w:ind w:left="1080" w:right="1440"/>
      </w:pPr>
      <w:r>
        <w:t xml:space="preserve">PG&amp;E, SCE, and </w:t>
      </w:r>
      <w:r w:rsidR="6F3C5468">
        <w:t xml:space="preserve">SDG&amp;E </w:t>
      </w:r>
      <w:r>
        <w:t>are</w:t>
      </w:r>
      <w:r w:rsidR="6F3C5468">
        <w:t xml:space="preserve"> authorized to hold </w:t>
      </w:r>
      <w:r w:rsidR="309F2C0C">
        <w:t>a</w:t>
      </w:r>
      <w:r w:rsidR="6F3C5468">
        <w:t xml:space="preserve"> R</w:t>
      </w:r>
      <w:r w:rsidR="309F2C0C">
        <w:t>equest for Information</w:t>
      </w:r>
      <w:r w:rsidR="6F3C5468">
        <w:t xml:space="preserve"> in the 2022 RPS cycle pursuant to D</w:t>
      </w:r>
      <w:r w:rsidR="309F2C0C">
        <w:t>ecision</w:t>
      </w:r>
      <w:r w:rsidR="00724C6E">
        <w:t> </w:t>
      </w:r>
      <w:r w:rsidR="6F3C5468">
        <w:t>21</w:t>
      </w:r>
      <w:r w:rsidR="00724C6E">
        <w:noBreakHyphen/>
      </w:r>
      <w:r w:rsidR="6F3C5468">
        <w:t>05</w:t>
      </w:r>
      <w:r w:rsidR="00724C6E">
        <w:noBreakHyphen/>
      </w:r>
      <w:r w:rsidR="6F3C5468">
        <w:t>030</w:t>
      </w:r>
      <w:r w:rsidR="309F2C0C">
        <w:t xml:space="preserve">. </w:t>
      </w:r>
    </w:p>
    <w:p w:rsidR="00C203AD" w:rsidP="00C203AD" w:rsidRDefault="00C203AD" w14:paraId="7D25A615" w14:textId="16BB656B">
      <w:pPr>
        <w:pStyle w:val="Standard"/>
        <w:keepNext/>
        <w:numPr>
          <w:ilvl w:val="0"/>
          <w:numId w:val="13"/>
        </w:numPr>
        <w:spacing w:after="120" w:line="240" w:lineRule="auto"/>
        <w:ind w:left="1080" w:right="1440"/>
      </w:pPr>
      <w:r>
        <w:t xml:space="preserve">The </w:t>
      </w:r>
      <w:r w:rsidRPr="006A365E">
        <w:t xml:space="preserve">Market Offer process </w:t>
      </w:r>
      <w:r>
        <w:t xml:space="preserve">is </w:t>
      </w:r>
      <w:r w:rsidRPr="006A365E">
        <w:t>open to all market participants, including the IOU administering the process</w:t>
      </w:r>
      <w:r>
        <w:t xml:space="preserve">. Therefore, each IOUs is allowed to participate as a bidder in the </w:t>
      </w:r>
      <w:r w:rsidRPr="00A7259D">
        <w:t xml:space="preserve">Market Offer solicitation </w:t>
      </w:r>
      <w:r>
        <w:t>offered by the other two</w:t>
      </w:r>
      <w:r w:rsidR="00C84ADD">
        <w:t> </w:t>
      </w:r>
      <w:r>
        <w:t>IOUs.</w:t>
      </w:r>
    </w:p>
    <w:p w:rsidR="00C203AD" w:rsidP="00724C6E" w:rsidRDefault="00C203AD" w14:paraId="52341EDD" w14:textId="36B7283C">
      <w:pPr>
        <w:pStyle w:val="Standard"/>
        <w:numPr>
          <w:ilvl w:val="0"/>
          <w:numId w:val="13"/>
        </w:numPr>
        <w:spacing w:after="120" w:line="240" w:lineRule="auto"/>
        <w:ind w:left="1080" w:right="1440"/>
      </w:pPr>
      <w:r>
        <w:t xml:space="preserve">The </w:t>
      </w:r>
      <w:r w:rsidR="009A6E50">
        <w:t xml:space="preserve">procuring </w:t>
      </w:r>
      <w:r>
        <w:t xml:space="preserve">IOUs shall submit </w:t>
      </w:r>
      <w:r w:rsidR="005643BC">
        <w:t xml:space="preserve">either Tier 1 </w:t>
      </w:r>
      <w:r w:rsidR="00C62B73">
        <w:t xml:space="preserve">or </w:t>
      </w:r>
      <w:r>
        <w:t xml:space="preserve">Tier 3 Advice Letters seeking approval of </w:t>
      </w:r>
      <w:r w:rsidR="00B3443B">
        <w:t xml:space="preserve">short-term or </w:t>
      </w:r>
      <w:r>
        <w:t>long-term procurement contracts</w:t>
      </w:r>
      <w:r w:rsidR="00B3443B">
        <w:t>, respectively,</w:t>
      </w:r>
      <w:r w:rsidR="00100E71">
        <w:t xml:space="preserve"> and follow the Commission’s Energy Resource Recovery Account (ERRA) ratemaking process for cost recovery. </w:t>
      </w:r>
    </w:p>
    <w:p w:rsidR="00BE129B" w:rsidP="00724C6E" w:rsidRDefault="00F46888" w14:paraId="5C9D19CD" w14:textId="58AEF330">
      <w:pPr>
        <w:pStyle w:val="Standard"/>
        <w:keepNext/>
        <w:spacing w:after="120" w:line="240" w:lineRule="auto"/>
        <w:ind w:right="720"/>
        <w:rPr>
          <w:u w:val="single"/>
        </w:rPr>
      </w:pPr>
      <w:r w:rsidRPr="00F46888">
        <w:rPr>
          <w:u w:val="single"/>
        </w:rPr>
        <w:t>Small and Multi</w:t>
      </w:r>
      <w:r w:rsidR="00ED0D84">
        <w:rPr>
          <w:u w:val="single"/>
        </w:rPr>
        <w:t>-J</w:t>
      </w:r>
      <w:r w:rsidRPr="00F46888">
        <w:rPr>
          <w:u w:val="single"/>
        </w:rPr>
        <w:t>urisdictional Utilities:</w:t>
      </w:r>
    </w:p>
    <w:p w:rsidR="000B4020" w:rsidP="00724C6E" w:rsidRDefault="000B4020" w14:paraId="2E251AC6" w14:textId="378804EE">
      <w:pPr>
        <w:pStyle w:val="Standard"/>
        <w:keepNext/>
        <w:numPr>
          <w:ilvl w:val="0"/>
          <w:numId w:val="13"/>
        </w:numPr>
        <w:spacing w:after="120" w:line="240" w:lineRule="auto"/>
        <w:ind w:left="1080" w:right="1440"/>
      </w:pPr>
      <w:r>
        <w:t xml:space="preserve">BVES </w:t>
      </w:r>
      <w:r w:rsidR="00A70544">
        <w:t>sh</w:t>
      </w:r>
      <w:r w:rsidR="00466FC9">
        <w:t>all</w:t>
      </w:r>
      <w:r w:rsidR="00A70544">
        <w:t xml:space="preserve"> </w:t>
      </w:r>
      <w:r w:rsidRPr="0064006E" w:rsidR="00B8062A">
        <w:t xml:space="preserve">update </w:t>
      </w:r>
      <w:r w:rsidR="00CE2C19">
        <w:t>the</w:t>
      </w:r>
      <w:r w:rsidRPr="0064006E" w:rsidR="00B8062A">
        <w:t xml:space="preserve"> </w:t>
      </w:r>
      <w:r w:rsidR="00513BAB">
        <w:t xml:space="preserve">plan </w:t>
      </w:r>
      <w:r w:rsidRPr="0064006E" w:rsidR="00B8062A">
        <w:t xml:space="preserve">narrative </w:t>
      </w:r>
      <w:r w:rsidR="00CE2C19">
        <w:t>in its Final 2022</w:t>
      </w:r>
      <w:r w:rsidR="00C84ADD">
        <w:t> </w:t>
      </w:r>
      <w:r w:rsidR="00CE2C19">
        <w:t xml:space="preserve">RPS Plan </w:t>
      </w:r>
      <w:r w:rsidRPr="0064006E" w:rsidR="00B8062A">
        <w:t xml:space="preserve">to </w:t>
      </w:r>
      <w:r w:rsidR="00A1138F">
        <w:t xml:space="preserve">reconcile </w:t>
      </w:r>
      <w:r w:rsidR="001A13C4">
        <w:t>it to</w:t>
      </w:r>
      <w:r w:rsidR="00475582">
        <w:t xml:space="preserve"> </w:t>
      </w:r>
      <w:r w:rsidR="001A13C4">
        <w:t>the</w:t>
      </w:r>
      <w:r w:rsidR="00A1138F">
        <w:t xml:space="preserve"> R</w:t>
      </w:r>
      <w:r w:rsidR="001A13C4">
        <w:t xml:space="preserve">esidual </w:t>
      </w:r>
      <w:r w:rsidR="00A1138F">
        <w:t>N</w:t>
      </w:r>
      <w:r w:rsidR="001A13C4">
        <w:t xml:space="preserve">et </w:t>
      </w:r>
      <w:r w:rsidR="00A1138F">
        <w:t>S</w:t>
      </w:r>
      <w:r w:rsidR="001A13C4">
        <w:t>hort</w:t>
      </w:r>
      <w:r w:rsidRPr="0064006E" w:rsidR="00B8062A">
        <w:t xml:space="preserve"> </w:t>
      </w:r>
      <w:r w:rsidR="001A13C4">
        <w:t xml:space="preserve">(RNS) </w:t>
      </w:r>
      <w:r w:rsidR="00CE2C19">
        <w:t xml:space="preserve">calculation </w:t>
      </w:r>
      <w:r w:rsidR="001A13C4">
        <w:t xml:space="preserve">which </w:t>
      </w:r>
      <w:r w:rsidR="00A1138F">
        <w:t>show</w:t>
      </w:r>
      <w:r w:rsidR="001A13C4">
        <w:t>s</w:t>
      </w:r>
      <w:r w:rsidR="00A1138F">
        <w:t xml:space="preserve"> </w:t>
      </w:r>
      <w:r w:rsidR="001A13C4">
        <w:t>that BVES</w:t>
      </w:r>
      <w:r w:rsidR="00A1138F">
        <w:t xml:space="preserve"> </w:t>
      </w:r>
      <w:r w:rsidRPr="0064006E" w:rsidR="00B8062A">
        <w:t xml:space="preserve">lacks sufficient supply to meet current and future compliance period obligations. </w:t>
      </w:r>
    </w:p>
    <w:p w:rsidR="00F46888" w:rsidP="00724C6E" w:rsidRDefault="00B8062A" w14:paraId="640F8C1F" w14:textId="3DEB3027">
      <w:pPr>
        <w:pStyle w:val="Standard"/>
        <w:numPr>
          <w:ilvl w:val="0"/>
          <w:numId w:val="13"/>
        </w:numPr>
        <w:spacing w:after="120" w:line="240" w:lineRule="auto"/>
        <w:ind w:left="1080" w:right="1440"/>
      </w:pPr>
      <w:r w:rsidRPr="0064006E">
        <w:t xml:space="preserve">BVES </w:t>
      </w:r>
      <w:r w:rsidR="00466FC9">
        <w:t>shall</w:t>
      </w:r>
      <w:r w:rsidRPr="0064006E">
        <w:t xml:space="preserve"> provide </w:t>
      </w:r>
      <w:r w:rsidR="0029786A">
        <w:t xml:space="preserve">in its Final 2022 RPS Plan </w:t>
      </w:r>
      <w:r w:rsidRPr="0064006E">
        <w:t>the following</w:t>
      </w:r>
      <w:r w:rsidR="000A2C03">
        <w:t xml:space="preserve"> information</w:t>
      </w:r>
      <w:r w:rsidRPr="0064006E">
        <w:t xml:space="preserve"> to meet the requirements of the 2022 </w:t>
      </w:r>
      <w:r w:rsidR="00A1138F">
        <w:t>RPS Procurement Plan Assigned Commissioner Ruling (</w:t>
      </w:r>
      <w:r w:rsidRPr="0064006E">
        <w:t>ACR</w:t>
      </w:r>
      <w:r w:rsidR="00A1138F">
        <w:t>)</w:t>
      </w:r>
      <w:r w:rsidR="00513BAB">
        <w:t>.</w:t>
      </w:r>
      <w:r w:rsidRPr="0064006E">
        <w:t xml:space="preserve"> </w:t>
      </w:r>
      <w:r w:rsidR="00513BAB">
        <w:t xml:space="preserve">BVES shall </w:t>
      </w:r>
      <w:r w:rsidRPr="0064006E">
        <w:t xml:space="preserve">(1) provide an update on its procurement activities or indicate how it will mitigate upcoming compliance risk in the event its February 21, 2022 </w:t>
      </w:r>
      <w:r w:rsidR="00A90505">
        <w:t xml:space="preserve">Request for Proposals </w:t>
      </w:r>
      <w:r w:rsidRPr="0064006E">
        <w:t xml:space="preserve">or efforts to develop a solar plus storage facility are not successful; (2) include a quantitative analysis of its long-term procurement position for the current compliance and future compliance </w:t>
      </w:r>
      <w:r w:rsidR="0054104B">
        <w:t>periods</w:t>
      </w:r>
      <w:r w:rsidRPr="0064006E">
        <w:t>; (3)</w:t>
      </w:r>
      <w:r w:rsidR="00C84ADD">
        <w:t> </w:t>
      </w:r>
      <w:r w:rsidRPr="0064006E">
        <w:t>include a full risk assessment discussion, including all subsections outlined in the ACR (</w:t>
      </w:r>
      <w:r w:rsidR="00FE5CAB">
        <w:t>c</w:t>
      </w:r>
      <w:r w:rsidRPr="0064006E">
        <w:t xml:space="preserve">ompliance </w:t>
      </w:r>
      <w:r w:rsidR="00FE5CAB">
        <w:t>r</w:t>
      </w:r>
      <w:r w:rsidRPr="0064006E">
        <w:t>isk</w:t>
      </w:r>
      <w:r w:rsidR="00D87B28">
        <w:t>,</w:t>
      </w:r>
      <w:r w:rsidRPr="0064006E">
        <w:t xml:space="preserve"> </w:t>
      </w:r>
      <w:r w:rsidR="00FE5CAB">
        <w:t>r</w:t>
      </w:r>
      <w:r w:rsidRPr="0064006E">
        <w:t xml:space="preserve">isk </w:t>
      </w:r>
      <w:r w:rsidR="00FE5CAB">
        <w:t>m</w:t>
      </w:r>
      <w:r w:rsidRPr="0064006E">
        <w:t xml:space="preserve">odeling and </w:t>
      </w:r>
      <w:r w:rsidR="00FE5CAB">
        <w:t>r</w:t>
      </w:r>
      <w:r w:rsidRPr="0064006E">
        <w:t xml:space="preserve">isk </w:t>
      </w:r>
      <w:r w:rsidR="00FE5CAB">
        <w:t>f</w:t>
      </w:r>
      <w:r w:rsidRPr="0064006E">
        <w:t>actors</w:t>
      </w:r>
      <w:r w:rsidR="00D87B28">
        <w:t>,</w:t>
      </w:r>
      <w:r w:rsidRPr="0064006E">
        <w:t xml:space="preserve"> </w:t>
      </w:r>
      <w:r w:rsidR="00FE5CAB">
        <w:t>s</w:t>
      </w:r>
      <w:r w:rsidRPr="0064006E">
        <w:t xml:space="preserve">ystem </w:t>
      </w:r>
      <w:r w:rsidR="00FE5CAB">
        <w:t>r</w:t>
      </w:r>
      <w:r w:rsidRPr="0064006E">
        <w:t>eliability</w:t>
      </w:r>
      <w:r w:rsidR="00D87B28">
        <w:t>,</w:t>
      </w:r>
      <w:r w:rsidRPr="0064006E">
        <w:t xml:space="preserve"> and </w:t>
      </w:r>
      <w:r w:rsidR="00FE5CAB">
        <w:t>l</w:t>
      </w:r>
      <w:r w:rsidRPr="0064006E">
        <w:t xml:space="preserve">essons </w:t>
      </w:r>
      <w:r w:rsidR="00FE5CAB">
        <w:t>l</w:t>
      </w:r>
      <w:r w:rsidRPr="0064006E">
        <w:t>earned)</w:t>
      </w:r>
      <w:r w:rsidR="00D87B28">
        <w:t xml:space="preserve">, </w:t>
      </w:r>
      <w:r w:rsidRPr="0064006E">
        <w:t xml:space="preserve">and discuss severity of risk (high, medium, and low) in the </w:t>
      </w:r>
      <w:r w:rsidR="00B62B1C">
        <w:t>c</w:t>
      </w:r>
      <w:r w:rsidRPr="0064006E">
        <w:t xml:space="preserve">ompliance </w:t>
      </w:r>
      <w:r w:rsidR="00B62B1C">
        <w:t>r</w:t>
      </w:r>
      <w:r w:rsidRPr="0064006E">
        <w:t>isk subsection</w:t>
      </w:r>
      <w:r w:rsidR="00574879">
        <w:t xml:space="preserve"> </w:t>
      </w:r>
      <w:r w:rsidR="00D36E6D">
        <w:t>(4)</w:t>
      </w:r>
      <w:r w:rsidR="006777EB">
        <w:t xml:space="preserve"> </w:t>
      </w:r>
      <w:r w:rsidRPr="00B8062A" w:rsidR="003C3D54">
        <w:t xml:space="preserve">provide details </w:t>
      </w:r>
      <w:r w:rsidRPr="00B8062A" w:rsidR="003C3D54">
        <w:lastRenderedPageBreak/>
        <w:t>regarding its transportation electrification load forecasting</w:t>
      </w:r>
      <w:r w:rsidR="006777EB">
        <w:t>; and</w:t>
      </w:r>
      <w:r w:rsidRPr="00230AA4" w:rsidR="006777EB">
        <w:t xml:space="preserve"> (</w:t>
      </w:r>
      <w:r w:rsidR="00745CEB">
        <w:t>5</w:t>
      </w:r>
      <w:r w:rsidRPr="00230AA4" w:rsidR="006777EB">
        <w:t>)</w:t>
      </w:r>
      <w:r w:rsidR="004628E9">
        <w:t> </w:t>
      </w:r>
      <w:r w:rsidR="004D6433">
        <w:t xml:space="preserve">submit additional information on its </w:t>
      </w:r>
      <w:r w:rsidR="005C5FC1">
        <w:t>implementation of</w:t>
      </w:r>
      <w:r w:rsidR="004D6433">
        <w:t xml:space="preserve"> </w:t>
      </w:r>
      <w:r w:rsidR="00431027">
        <w:t>Senate Bill (</w:t>
      </w:r>
      <w:r w:rsidR="004D6433">
        <w:t>SB</w:t>
      </w:r>
      <w:r w:rsidR="00431027">
        <w:t>)</w:t>
      </w:r>
      <w:r w:rsidR="00DA2AB1">
        <w:t> </w:t>
      </w:r>
      <w:r w:rsidR="004D6433">
        <w:t>255</w:t>
      </w:r>
      <w:r w:rsidRPr="0064006E">
        <w:t>.</w:t>
      </w:r>
    </w:p>
    <w:p w:rsidR="00B8062A" w:rsidP="00724C6E" w:rsidRDefault="00B8062A" w14:paraId="5214059F" w14:textId="4274247C">
      <w:pPr>
        <w:pStyle w:val="Standard"/>
        <w:numPr>
          <w:ilvl w:val="0"/>
          <w:numId w:val="13"/>
        </w:numPr>
        <w:spacing w:after="120" w:line="240" w:lineRule="auto"/>
        <w:ind w:left="1080" w:right="1440"/>
      </w:pPr>
      <w:r w:rsidRPr="00B8062A">
        <w:t>Liberty</w:t>
      </w:r>
      <w:r w:rsidR="00FE1EB3">
        <w:t xml:space="preserve"> shall provide the following</w:t>
      </w:r>
      <w:r w:rsidRPr="00B8062A">
        <w:t xml:space="preserve"> </w:t>
      </w:r>
      <w:r w:rsidR="000A2C03">
        <w:t xml:space="preserve">information </w:t>
      </w:r>
      <w:r w:rsidR="00FE1EB3">
        <w:t xml:space="preserve">in its </w:t>
      </w:r>
      <w:r w:rsidRPr="00B8062A">
        <w:t>Final 2022 RPS Plan</w:t>
      </w:r>
      <w:r w:rsidRPr="0064006E" w:rsidR="003A6BC3">
        <w:t xml:space="preserve"> to meet the requirements of the 2022 ACR</w:t>
      </w:r>
      <w:r w:rsidR="00513BAB">
        <w:t>.</w:t>
      </w:r>
      <w:r w:rsidRPr="00B8062A">
        <w:t xml:space="preserve"> </w:t>
      </w:r>
      <w:r w:rsidR="00513BAB">
        <w:t xml:space="preserve">Liberty shall </w:t>
      </w:r>
      <w:r w:rsidRPr="00B8062A">
        <w:t xml:space="preserve">(1) provide a quantitative assessment of its long-term procurement position and provide additional discussion regarding its alternative long-term procurement compliance plan, should its Luning Expansion project not receive Commission approval as proposed; (2) describe </w:t>
      </w:r>
      <w:r w:rsidR="00F0326C">
        <w:t xml:space="preserve">the </w:t>
      </w:r>
      <w:r w:rsidRPr="00B8062A">
        <w:t xml:space="preserve">voluntary margin of over-procurement, </w:t>
      </w:r>
      <w:r w:rsidR="00C83D90">
        <w:t>(3)</w:t>
      </w:r>
      <w:r w:rsidR="004628E9">
        <w:t> </w:t>
      </w:r>
      <w:r w:rsidRPr="0064006E" w:rsidR="00F11D35">
        <w:t xml:space="preserve">include a full risk assessment discussion, including severity of risk (high, medium, and low) in the </w:t>
      </w:r>
      <w:r w:rsidR="00B62B1C">
        <w:t>c</w:t>
      </w:r>
      <w:r w:rsidRPr="0064006E" w:rsidR="00F11D35">
        <w:t xml:space="preserve">ompliance </w:t>
      </w:r>
      <w:r w:rsidR="00B62B1C">
        <w:t>r</w:t>
      </w:r>
      <w:r w:rsidRPr="0064006E" w:rsidR="00F11D35">
        <w:t>isk subsection</w:t>
      </w:r>
      <w:r w:rsidR="00A53517">
        <w:t xml:space="preserve"> and </w:t>
      </w:r>
      <w:r w:rsidRPr="00946B29" w:rsidR="00A53517">
        <w:t xml:space="preserve">explain how </w:t>
      </w:r>
      <w:r w:rsidR="00A53517">
        <w:t xml:space="preserve">it would manage either unexpected increases in demand or decreases in generation; </w:t>
      </w:r>
      <w:r w:rsidRPr="00B8062A">
        <w:t>(</w:t>
      </w:r>
      <w:r w:rsidR="00190FE0">
        <w:t>4</w:t>
      </w:r>
      <w:r w:rsidRPr="00B8062A">
        <w:t>) provide details regarding its transportation electrification load forecasting</w:t>
      </w:r>
      <w:r w:rsidR="004E707C">
        <w:t>; (5) include the Luning Expansion project in its</w:t>
      </w:r>
      <w:r w:rsidR="00596D43">
        <w:t xml:space="preserve"> project development status update</w:t>
      </w:r>
      <w:r w:rsidR="004E707C">
        <w:t xml:space="preserve"> template; and (6) submit additional information on its </w:t>
      </w:r>
      <w:r w:rsidR="00357D25">
        <w:t>implementation of</w:t>
      </w:r>
      <w:r w:rsidR="004E707C">
        <w:t xml:space="preserve"> SB 255</w:t>
      </w:r>
      <w:r>
        <w:t>.</w:t>
      </w:r>
    </w:p>
    <w:p w:rsidR="00230AA4" w:rsidP="00724C6E" w:rsidRDefault="00230AA4" w14:paraId="3FED8442" w14:textId="449A889B">
      <w:pPr>
        <w:pStyle w:val="Standard"/>
        <w:numPr>
          <w:ilvl w:val="0"/>
          <w:numId w:val="13"/>
        </w:numPr>
        <w:spacing w:after="120" w:line="240" w:lineRule="auto"/>
        <w:ind w:left="1080" w:right="1440"/>
      </w:pPr>
      <w:r w:rsidRPr="00230AA4">
        <w:t xml:space="preserve">PacifiCorp’s </w:t>
      </w:r>
      <w:r w:rsidR="003A6BC3">
        <w:t xml:space="preserve">final </w:t>
      </w:r>
      <w:r w:rsidRPr="00230AA4">
        <w:t xml:space="preserve">off-year 2022 supplement </w:t>
      </w:r>
      <w:r w:rsidR="003A6BC3">
        <w:t>shall</w:t>
      </w:r>
      <w:r w:rsidRPr="0064006E" w:rsidR="003A6BC3">
        <w:t xml:space="preserve"> provide the following information to meet the requirements of the 2022 ACR</w:t>
      </w:r>
      <w:r w:rsidR="00513BAB">
        <w:t>.</w:t>
      </w:r>
      <w:r w:rsidRPr="0064006E" w:rsidR="003A6BC3">
        <w:t xml:space="preserve"> </w:t>
      </w:r>
      <w:r w:rsidR="00513BAB">
        <w:t xml:space="preserve">PacifiCorp shall </w:t>
      </w:r>
      <w:r w:rsidRPr="00230AA4">
        <w:t>(</w:t>
      </w:r>
      <w:r w:rsidR="009C543B">
        <w:t>1</w:t>
      </w:r>
      <w:r w:rsidRPr="00230AA4">
        <w:t xml:space="preserve">) </w:t>
      </w:r>
      <w:r w:rsidR="0036152E">
        <w:t xml:space="preserve">describe </w:t>
      </w:r>
      <w:r w:rsidRPr="00230AA4">
        <w:t>Procurement Quantity Requirement need for Compliance Period</w:t>
      </w:r>
      <w:r w:rsidR="008A5F3D">
        <w:t xml:space="preserve"> </w:t>
      </w:r>
      <w:r w:rsidRPr="00230AA4">
        <w:t>4, (</w:t>
      </w:r>
      <w:r w:rsidR="009C543B">
        <w:t>2</w:t>
      </w:r>
      <w:r w:rsidRPr="00230AA4">
        <w:t>)</w:t>
      </w:r>
      <w:r w:rsidR="00C84ADD">
        <w:t> </w:t>
      </w:r>
      <w:r w:rsidR="00A1138F">
        <w:t>incorporate</w:t>
      </w:r>
      <w:r w:rsidR="00C85B39">
        <w:t xml:space="preserve"> </w:t>
      </w:r>
      <w:r w:rsidRPr="00230AA4">
        <w:t>RNS figures</w:t>
      </w:r>
      <w:r w:rsidR="00A1138F">
        <w:t xml:space="preserve"> into its compliance narrative</w:t>
      </w:r>
      <w:r w:rsidRPr="00230AA4">
        <w:t>, (</w:t>
      </w:r>
      <w:r w:rsidR="009C543B">
        <w:t>3</w:t>
      </w:r>
      <w:r w:rsidRPr="00230AA4">
        <w:t>)</w:t>
      </w:r>
      <w:r w:rsidR="00C84ADD">
        <w:t> </w:t>
      </w:r>
      <w:r w:rsidR="00591A5A">
        <w:t xml:space="preserve">describe </w:t>
      </w:r>
      <w:r w:rsidRPr="00230AA4">
        <w:t>transportation electrification load forecasting, (</w:t>
      </w:r>
      <w:r w:rsidR="009C543B">
        <w:t>4</w:t>
      </w:r>
      <w:r w:rsidRPr="00230AA4">
        <w:t>)</w:t>
      </w:r>
      <w:r w:rsidR="00C84ADD">
        <w:t> </w:t>
      </w:r>
      <w:r w:rsidR="009B333B">
        <w:t xml:space="preserve">describe </w:t>
      </w:r>
      <w:r w:rsidRPr="00230AA4">
        <w:t>implementation of</w:t>
      </w:r>
      <w:r w:rsidR="00654830">
        <w:t xml:space="preserve"> supplier diversity mandates of</w:t>
      </w:r>
      <w:r w:rsidRPr="00230AA4">
        <w:t xml:space="preserve"> </w:t>
      </w:r>
      <w:r w:rsidR="00DA2AB1">
        <w:t>Senate Bill</w:t>
      </w:r>
      <w:r w:rsidR="00E764C7">
        <w:t> </w:t>
      </w:r>
      <w:r w:rsidRPr="00230AA4">
        <w:t>255, (</w:t>
      </w:r>
      <w:r w:rsidR="009C543B">
        <w:t>5</w:t>
      </w:r>
      <w:r w:rsidRPr="00230AA4">
        <w:t>)</w:t>
      </w:r>
      <w:r w:rsidR="00C84ADD">
        <w:t> </w:t>
      </w:r>
      <w:r w:rsidR="00EA728E">
        <w:t xml:space="preserve">provide </w:t>
      </w:r>
      <w:r w:rsidRPr="00230AA4">
        <w:t xml:space="preserve">risk assessment </w:t>
      </w:r>
      <w:r w:rsidR="00567A8A">
        <w:t xml:space="preserve">formatted with required subsections as well as a severity </w:t>
      </w:r>
      <w:r w:rsidR="004512EA">
        <w:t xml:space="preserve">analysis for compliance risks, </w:t>
      </w:r>
      <w:r w:rsidRPr="00230AA4">
        <w:t xml:space="preserve">and </w:t>
      </w:r>
      <w:r w:rsidR="003E3484">
        <w:t>(</w:t>
      </w:r>
      <w:r w:rsidR="009C543B">
        <w:t>6</w:t>
      </w:r>
      <w:r w:rsidR="003E3484">
        <w:t>)</w:t>
      </w:r>
      <w:r w:rsidR="00C84ADD">
        <w:t> </w:t>
      </w:r>
      <w:r w:rsidR="00513BAB">
        <w:t xml:space="preserve">provide </w:t>
      </w:r>
      <w:r w:rsidRPr="00230AA4">
        <w:t xml:space="preserve">Minimum Margin of Procurement </w:t>
      </w:r>
      <w:r w:rsidR="003E3484">
        <w:t>scenarios</w:t>
      </w:r>
      <w:r w:rsidRPr="00230AA4">
        <w:t>.</w:t>
      </w:r>
    </w:p>
    <w:p w:rsidR="002526C0" w:rsidP="00724C6E" w:rsidRDefault="002526C0" w14:paraId="171750AF" w14:textId="43D3DDE6">
      <w:pPr>
        <w:pStyle w:val="Standard"/>
        <w:keepNext/>
        <w:spacing w:after="120" w:line="240" w:lineRule="auto"/>
        <w:ind w:right="720"/>
        <w:rPr>
          <w:u w:val="single"/>
        </w:rPr>
      </w:pPr>
      <w:r w:rsidRPr="002526C0">
        <w:rPr>
          <w:u w:val="single"/>
        </w:rPr>
        <w:lastRenderedPageBreak/>
        <w:t xml:space="preserve">Community Choice Aggregators and Energy Service Providers: </w:t>
      </w:r>
    </w:p>
    <w:p w:rsidRPr="00724C6E" w:rsidR="008068B2" w:rsidP="00724C6E" w:rsidRDefault="001C3204" w14:paraId="1FAF946F" w14:textId="1CE183C3">
      <w:pPr>
        <w:pStyle w:val="Standard"/>
        <w:keepNext/>
        <w:numPr>
          <w:ilvl w:val="0"/>
          <w:numId w:val="13"/>
        </w:numPr>
        <w:spacing w:after="120" w:line="240" w:lineRule="auto"/>
        <w:ind w:left="1080" w:right="1440"/>
      </w:pPr>
      <w:r w:rsidRPr="001C3204">
        <w:t xml:space="preserve">CCAs and ESPs must supplement their final 2022 RPS Plans according to the directives provided in </w:t>
      </w:r>
      <w:r w:rsidR="00BB709A">
        <w:t xml:space="preserve">Section 7 and its subsections of </w:t>
      </w:r>
      <w:r w:rsidRPr="001C3204">
        <w:t xml:space="preserve">this decision. </w:t>
      </w:r>
    </w:p>
    <w:p w:rsidRPr="00121089" w:rsidR="005A148C" w:rsidP="00A55ACD" w:rsidRDefault="002C7FE9" w14:paraId="0AD6CC20" w14:textId="77777777">
      <w:pPr>
        <w:pStyle w:val="Heading1"/>
        <w:numPr>
          <w:ilvl w:val="0"/>
          <w:numId w:val="2"/>
        </w:numPr>
      </w:pPr>
      <w:bookmarkStart w:name="_Toc8123715" w:id="6"/>
      <w:bookmarkStart w:name="_Toc122180436" w:id="7"/>
      <w:r w:rsidRPr="00121089">
        <w:t>Background</w:t>
      </w:r>
      <w:bookmarkEnd w:id="6"/>
      <w:bookmarkEnd w:id="7"/>
    </w:p>
    <w:p w:rsidR="00945AEA" w:rsidP="002D76F7" w:rsidRDefault="00945AEA" w14:paraId="21D78BE4" w14:textId="020E32A6">
      <w:r>
        <w:t xml:space="preserve">The California </w:t>
      </w:r>
      <w:r w:rsidR="00FA6AAC">
        <w:t>Renewables Portfolio Standard (</w:t>
      </w:r>
      <w:r>
        <w:t>RPS</w:t>
      </w:r>
      <w:r w:rsidR="00FA6AAC">
        <w:t>)</w:t>
      </w:r>
      <w:r>
        <w:t xml:space="preserve"> program was established by Chapter 516, Statutes of 2002 (Senate Bill (SB) 1078), and has been subsequently modified by Chapter 464, Statutes of 2006 (SB 107); Chapter 685, Statutes of 2007 (SB 1036); Chapter 1, Statutes of 2011 (SBX1-2); Chapter 547, Statutes of 2015 (SB 350); and Chapter 312, Statutes of 2018 (SB 100). The RPS program is codified in Public Utilities (Pub. Util.) Code </w:t>
      </w:r>
      <w:r w:rsidR="00E764C7">
        <w:t>S</w:t>
      </w:r>
      <w:r>
        <w:t>ections 399.11-399.33.</w:t>
      </w:r>
      <w:r w:rsidR="009B38E0">
        <w:rPr>
          <w:rStyle w:val="FootnoteReference"/>
        </w:rPr>
        <w:footnoteReference w:id="2"/>
      </w:r>
      <w:r>
        <w:t xml:space="preserve"> </w:t>
      </w:r>
      <w:r w:rsidRPr="005E7733" w:rsidR="0038320C">
        <w:rPr>
          <w:rFonts w:eastAsia="Times New Roman" w:cs="Times New Roman"/>
          <w:szCs w:val="20"/>
        </w:rPr>
        <w:t>SB</w:t>
      </w:r>
      <w:r w:rsidR="0038320C">
        <w:rPr>
          <w:rFonts w:eastAsia="Times New Roman" w:cs="Times New Roman"/>
          <w:szCs w:val="20"/>
        </w:rPr>
        <w:t> </w:t>
      </w:r>
      <w:r w:rsidRPr="005E7733" w:rsidR="0038320C">
        <w:rPr>
          <w:rFonts w:eastAsia="Times New Roman" w:cs="Times New Roman"/>
          <w:szCs w:val="20"/>
        </w:rPr>
        <w:t xml:space="preserve">350 includes interim annual RPS targets with </w:t>
      </w:r>
      <w:r w:rsidR="007C0001">
        <w:rPr>
          <w:rFonts w:eastAsia="Times New Roman" w:cs="Times New Roman"/>
          <w:szCs w:val="20"/>
        </w:rPr>
        <w:t>three-year</w:t>
      </w:r>
      <w:r w:rsidRPr="005E7733" w:rsidR="0038320C">
        <w:rPr>
          <w:rFonts w:eastAsia="Times New Roman" w:cs="Times New Roman"/>
          <w:szCs w:val="20"/>
        </w:rPr>
        <w:t xml:space="preserve"> compliance periods and requires 65 percent of RPS procurement to be derived from long-term contracts of 10 or more years.</w:t>
      </w:r>
      <w:r w:rsidR="0038320C">
        <w:rPr>
          <w:rFonts w:eastAsia="Times New Roman" w:cs="Times New Roman"/>
          <w:szCs w:val="20"/>
        </w:rPr>
        <w:t xml:space="preserve"> </w:t>
      </w:r>
      <w:r w:rsidR="00431027">
        <w:rPr>
          <w:rFonts w:eastAsia="Times New Roman" w:cs="Times New Roman"/>
          <w:szCs w:val="20"/>
        </w:rPr>
        <w:t xml:space="preserve"> </w:t>
      </w:r>
      <w:r w:rsidRPr="005E7733" w:rsidR="0038320C">
        <w:rPr>
          <w:rFonts w:eastAsia="Times New Roman" w:cs="Times New Roman"/>
          <w:szCs w:val="20"/>
        </w:rPr>
        <w:t>In 2018, SB 100 (de</w:t>
      </w:r>
      <w:r w:rsidR="0038320C">
        <w:rPr>
          <w:rFonts w:eastAsia="Times New Roman" w:cs="Times New Roman"/>
          <w:szCs w:val="20"/>
        </w:rPr>
        <w:t> </w:t>
      </w:r>
      <w:r w:rsidRPr="005E7733" w:rsidR="0038320C">
        <w:rPr>
          <w:rFonts w:eastAsia="Times New Roman" w:cs="Times New Roman"/>
          <w:szCs w:val="20"/>
        </w:rPr>
        <w:t xml:space="preserve">León, 2018) was signed into law, which again increases and accelerates the RPS procurement to 60 percent by 2030 and sets the goal </w:t>
      </w:r>
      <w:r w:rsidR="0038320C">
        <w:rPr>
          <w:rFonts w:eastAsia="Times New Roman" w:cs="Times New Roman"/>
          <w:szCs w:val="20"/>
        </w:rPr>
        <w:t xml:space="preserve">for </w:t>
      </w:r>
      <w:r>
        <w:t>100 percent of the state’s electricity to come from carbon-free resources by 2045.</w:t>
      </w:r>
    </w:p>
    <w:p w:rsidRPr="005E7733" w:rsidR="001F1E58" w:rsidP="001F1E58" w:rsidRDefault="001F1E58" w14:paraId="6ABF3089" w14:textId="1EED227F">
      <w:pPr>
        <w:rPr>
          <w:rFonts w:eastAsia="Times New Roman" w:cs="Times New Roman"/>
          <w:szCs w:val="20"/>
        </w:rPr>
      </w:pPr>
      <w:r w:rsidRPr="005E7733">
        <w:rPr>
          <w:rFonts w:eastAsia="Times New Roman" w:cs="Times New Roman"/>
          <w:szCs w:val="20"/>
        </w:rPr>
        <w:t>In Decision (D.) 12-11-016, the California Public Utilities Commission (CPUC or Commission) refined the RPS procurement process as part of its implementation SB 2 (1X) (Simitian, Stats. 2011, ch.1).</w:t>
      </w:r>
      <w:r>
        <w:rPr>
          <w:rFonts w:eastAsia="Times New Roman" w:cs="Times New Roman"/>
          <w:szCs w:val="20"/>
        </w:rPr>
        <w:t xml:space="preserve"> </w:t>
      </w:r>
      <w:r w:rsidR="00431027">
        <w:rPr>
          <w:rFonts w:eastAsia="Times New Roman" w:cs="Times New Roman"/>
          <w:szCs w:val="20"/>
        </w:rPr>
        <w:t xml:space="preserve"> </w:t>
      </w:r>
      <w:r w:rsidRPr="005E7733">
        <w:rPr>
          <w:rFonts w:eastAsia="Times New Roman" w:cs="Times New Roman"/>
          <w:szCs w:val="20"/>
        </w:rPr>
        <w:t>In</w:t>
      </w:r>
      <w:r>
        <w:rPr>
          <w:rFonts w:eastAsia="Times New Roman" w:cs="Times New Roman"/>
          <w:szCs w:val="20"/>
        </w:rPr>
        <w:t xml:space="preserve"> </w:t>
      </w:r>
      <w:r w:rsidRPr="005E7733">
        <w:rPr>
          <w:rFonts w:eastAsia="Times New Roman" w:cs="Times New Roman"/>
          <w:szCs w:val="20"/>
        </w:rPr>
        <w:t>prior decisions, the Commission had set forth the process for filing and evaluating the RPS Procurement Plans (</w:t>
      </w:r>
      <w:r w:rsidR="00E33FF6">
        <w:rPr>
          <w:rFonts w:eastAsia="Times New Roman" w:cs="Times New Roman"/>
          <w:szCs w:val="20"/>
        </w:rPr>
        <w:t xml:space="preserve">RPS </w:t>
      </w:r>
      <w:r w:rsidRPr="005E7733">
        <w:rPr>
          <w:rFonts w:eastAsia="Times New Roman" w:cs="Times New Roman"/>
          <w:szCs w:val="20"/>
        </w:rPr>
        <w:t xml:space="preserve">Plans) of electrical corporations and other retail sellers. </w:t>
      </w:r>
      <w:r>
        <w:rPr>
          <w:rFonts w:eastAsia="Times New Roman" w:cs="Times New Roman"/>
          <w:szCs w:val="20"/>
        </w:rPr>
        <w:t xml:space="preserve"> </w:t>
      </w:r>
      <w:r w:rsidRPr="005E7733">
        <w:rPr>
          <w:rFonts w:eastAsia="Times New Roman" w:cs="Times New Roman"/>
          <w:szCs w:val="20"/>
        </w:rPr>
        <w:t xml:space="preserve">The statutory definition of </w:t>
      </w:r>
      <w:r>
        <w:rPr>
          <w:rFonts w:eastAsia="Times New Roman" w:cs="Times New Roman"/>
          <w:szCs w:val="20"/>
        </w:rPr>
        <w:t>“</w:t>
      </w:r>
      <w:r w:rsidRPr="005E7733">
        <w:rPr>
          <w:rFonts w:eastAsia="Times New Roman" w:cs="Times New Roman"/>
          <w:szCs w:val="20"/>
        </w:rPr>
        <w:t>retail seller</w:t>
      </w:r>
      <w:r>
        <w:rPr>
          <w:rFonts w:eastAsia="Times New Roman" w:cs="Times New Roman"/>
          <w:szCs w:val="20"/>
        </w:rPr>
        <w:t>”</w:t>
      </w:r>
      <w:r w:rsidRPr="005E7733">
        <w:rPr>
          <w:rFonts w:eastAsia="Times New Roman" w:cs="Times New Roman"/>
          <w:szCs w:val="20"/>
        </w:rPr>
        <w:t xml:space="preserve"> includes small and large electrical </w:t>
      </w:r>
      <w:r w:rsidRPr="005E7733">
        <w:rPr>
          <w:rFonts w:eastAsia="Times New Roman" w:cs="Times New Roman"/>
          <w:szCs w:val="20"/>
        </w:rPr>
        <w:lastRenderedPageBreak/>
        <w:t xml:space="preserve">corporations, </w:t>
      </w:r>
      <w:r w:rsidR="00151F7D">
        <w:rPr>
          <w:rFonts w:eastAsia="Times New Roman" w:cs="Times New Roman"/>
          <w:szCs w:val="20"/>
        </w:rPr>
        <w:t>Community Choice Aggregators (</w:t>
      </w:r>
      <w:r w:rsidRPr="005E7733">
        <w:rPr>
          <w:rFonts w:eastAsia="Times New Roman" w:cs="Times New Roman"/>
          <w:szCs w:val="20"/>
        </w:rPr>
        <w:t>CCAs</w:t>
      </w:r>
      <w:r w:rsidR="00151F7D">
        <w:rPr>
          <w:rFonts w:eastAsia="Times New Roman" w:cs="Times New Roman"/>
          <w:szCs w:val="20"/>
        </w:rPr>
        <w:t>)</w:t>
      </w:r>
      <w:r>
        <w:rPr>
          <w:rFonts w:eastAsia="Times New Roman" w:cs="Times New Roman"/>
          <w:szCs w:val="20"/>
        </w:rPr>
        <w:t>,</w:t>
      </w:r>
      <w:r w:rsidRPr="005E7733">
        <w:rPr>
          <w:rFonts w:eastAsia="Times New Roman" w:cs="Times New Roman"/>
          <w:szCs w:val="20"/>
        </w:rPr>
        <w:t xml:space="preserve"> and Electric Service Providers (ESPs).</w:t>
      </w:r>
      <w:r w:rsidRPr="005E7733">
        <w:rPr>
          <w:rFonts w:eastAsia="Times New Roman" w:cs="Times New Roman"/>
          <w:szCs w:val="20"/>
          <w:vertAlign w:val="superscript"/>
        </w:rPr>
        <w:footnoteReference w:id="3"/>
      </w:r>
      <w:r w:rsidRPr="005E7733">
        <w:rPr>
          <w:rFonts w:eastAsia="Times New Roman" w:cs="Times New Roman"/>
          <w:szCs w:val="20"/>
        </w:rPr>
        <w:t xml:space="preserve">  </w:t>
      </w:r>
    </w:p>
    <w:p w:rsidRPr="00C4255B" w:rsidR="00E47AAF" w:rsidP="00E47AAF" w:rsidRDefault="00E47AAF" w14:paraId="04D550C3" w14:textId="092D2AE2">
      <w:pPr>
        <w:pStyle w:val="Standard"/>
      </w:pPr>
      <w:r w:rsidRPr="0058215F">
        <w:t xml:space="preserve">On May 20, 2021, </w:t>
      </w:r>
      <w:r w:rsidR="00E95A34">
        <w:t>we</w:t>
      </w:r>
      <w:r w:rsidRPr="0058215F">
        <w:t xml:space="preserve"> adopted </w:t>
      </w:r>
      <w:r w:rsidR="00E95A34">
        <w:t>D.</w:t>
      </w:r>
      <w:r w:rsidRPr="0058215F">
        <w:t>21-05-03</w:t>
      </w:r>
      <w:r>
        <w:t>0</w:t>
      </w:r>
      <w:r w:rsidRPr="0058215F">
        <w:t xml:space="preserve"> in Rulemaking (R.)</w:t>
      </w:r>
      <w:r w:rsidR="00431027">
        <w:t> </w:t>
      </w:r>
      <w:r w:rsidRPr="0058215F">
        <w:t xml:space="preserve">17-06-026, setting rules to implement the Voluntary Allocation, Market Offer, and Request for Information (RFI) processes for RPS contracts subject to the Power Charge Indifference Adjustment (PCIA) mechanism. </w:t>
      </w:r>
      <w:r w:rsidR="00431027">
        <w:t xml:space="preserve"> </w:t>
      </w:r>
      <w:r>
        <w:t>According to</w:t>
      </w:r>
      <w:r w:rsidRPr="0014673E">
        <w:t xml:space="preserve"> D.21-05-030, all</w:t>
      </w:r>
      <w:r w:rsidRPr="0058215F">
        <w:t xml:space="preserve"> </w:t>
      </w:r>
      <w:r>
        <w:t>load</w:t>
      </w:r>
      <w:r w:rsidR="00E764C7">
        <w:noBreakHyphen/>
      </w:r>
      <w:r>
        <w:t>serving entities</w:t>
      </w:r>
      <w:r w:rsidR="00005565">
        <w:t xml:space="preserve"> (LSEs)</w:t>
      </w:r>
      <w:r w:rsidR="007204B5">
        <w:rPr>
          <w:rStyle w:val="FootnoteReference"/>
        </w:rPr>
        <w:t xml:space="preserve"> </w:t>
      </w:r>
      <w:r>
        <w:t>must</w:t>
      </w:r>
      <w:r w:rsidRPr="0058215F">
        <w:t xml:space="preserve"> report </w:t>
      </w:r>
      <w:r>
        <w:t xml:space="preserve">their Voluntary Allocation and Market Offer (VAMO) </w:t>
      </w:r>
      <w:r w:rsidRPr="000218BE">
        <w:t xml:space="preserve">participation in their annual </w:t>
      </w:r>
      <w:r w:rsidR="00FA6AAC">
        <w:t xml:space="preserve">RPS Plans </w:t>
      </w:r>
      <w:r w:rsidRPr="000218BE">
        <w:t>and RPS compliance reports.</w:t>
      </w:r>
      <w:r>
        <w:rPr>
          <w:rStyle w:val="FootnoteReference"/>
        </w:rPr>
        <w:footnoteReference w:id="4"/>
      </w:r>
      <w:r>
        <w:t xml:space="preserve"> </w:t>
      </w:r>
      <w:r w:rsidR="00431027">
        <w:t xml:space="preserve"> </w:t>
      </w:r>
      <w:r w:rsidRPr="00C4255B">
        <w:t xml:space="preserve">Additionally, the investor-owned utilities (IOUs) must file their </w:t>
      </w:r>
      <w:r>
        <w:t xml:space="preserve">proposed </w:t>
      </w:r>
      <w:r w:rsidRPr="00C4255B">
        <w:t>Market Offer process in their annual RPS Plans.</w:t>
      </w:r>
      <w:r w:rsidRPr="00C4255B">
        <w:rPr>
          <w:rStyle w:val="FootnoteReference"/>
        </w:rPr>
        <w:footnoteReference w:id="5"/>
      </w:r>
      <w:r w:rsidRPr="00C4255B">
        <w:t xml:space="preserve"> </w:t>
      </w:r>
    </w:p>
    <w:p w:rsidR="003C1341" w:rsidP="00256D15" w:rsidRDefault="003C1341" w14:paraId="5E701F10" w14:textId="565FD0CF">
      <w:pPr>
        <w:pStyle w:val="Standard"/>
      </w:pPr>
      <w:r w:rsidRPr="00C4255B">
        <w:t xml:space="preserve">On April </w:t>
      </w:r>
      <w:r w:rsidR="00B62740">
        <w:t>11</w:t>
      </w:r>
      <w:r w:rsidRPr="00C4255B">
        <w:t xml:space="preserve">, 2022, an </w:t>
      </w:r>
      <w:r w:rsidR="00E764C7">
        <w:t>a</w:t>
      </w:r>
      <w:r w:rsidR="005F0E12">
        <w:t xml:space="preserve">ssigned Commissioner and </w:t>
      </w:r>
      <w:r w:rsidR="00E764C7">
        <w:t>a</w:t>
      </w:r>
      <w:r w:rsidR="005F0E12">
        <w:t xml:space="preserve">ssigned Administrative Law Judge </w:t>
      </w:r>
      <w:r w:rsidR="00FA6AAC">
        <w:t xml:space="preserve">Ruling </w:t>
      </w:r>
      <w:r w:rsidR="00FB76B3">
        <w:t>(</w:t>
      </w:r>
      <w:r w:rsidR="00256D15">
        <w:t xml:space="preserve">2022 </w:t>
      </w:r>
      <w:r w:rsidR="00FB76B3">
        <w:t xml:space="preserve">ACR) </w:t>
      </w:r>
      <w:r w:rsidR="00FA6AAC">
        <w:t xml:space="preserve">was issued </w:t>
      </w:r>
      <w:r w:rsidR="00915155">
        <w:t>according to</w:t>
      </w:r>
      <w:r w:rsidRPr="00FD1CFA" w:rsidR="00FD1CFA">
        <w:t xml:space="preserve"> the authority provided in Pub. Util. Code</w:t>
      </w:r>
      <w:r w:rsidR="00E764C7">
        <w:t xml:space="preserve"> Section </w:t>
      </w:r>
      <w:r w:rsidRPr="00FD1CFA" w:rsidR="00FD1CFA">
        <w:t>399.13(a)(1)</w:t>
      </w:r>
      <w:r w:rsidR="00132119">
        <w:t xml:space="preserve">. </w:t>
      </w:r>
      <w:r w:rsidR="00431027">
        <w:t xml:space="preserve"> </w:t>
      </w:r>
      <w:r w:rsidR="00132119">
        <w:t>T</w:t>
      </w:r>
      <w:r w:rsidRPr="00FD1CFA" w:rsidR="00FD1CFA">
        <w:t>his Ruling identifie</w:t>
      </w:r>
      <w:r w:rsidR="00132119">
        <w:t>d</w:t>
      </w:r>
      <w:r w:rsidRPr="00FD1CFA" w:rsidR="00FD1CFA">
        <w:t xml:space="preserve"> the 2022</w:t>
      </w:r>
      <w:r w:rsidR="0064257A">
        <w:t> </w:t>
      </w:r>
      <w:r w:rsidRPr="00FD1CFA" w:rsidR="00FD1CFA">
        <w:t>RPS Procurement Plan filing requirements for all retail sellers of electricity</w:t>
      </w:r>
      <w:r w:rsidR="00103D01">
        <w:t xml:space="preserve">. </w:t>
      </w:r>
      <w:r w:rsidR="00431027">
        <w:t xml:space="preserve"> </w:t>
      </w:r>
      <w:r w:rsidR="00103D01">
        <w:t>It set</w:t>
      </w:r>
      <w:r w:rsidRPr="00FD1CFA" w:rsidR="00FD1CFA">
        <w:t xml:space="preserve"> a schedule for the Commission’s review of the 2022 RPS Procurement Plans (</w:t>
      </w:r>
      <w:r w:rsidR="00FA3691">
        <w:t>2022</w:t>
      </w:r>
      <w:r w:rsidR="0064257A">
        <w:t> </w:t>
      </w:r>
      <w:r w:rsidRPr="00FD1CFA" w:rsidR="00FD1CFA">
        <w:t>RPS Plans).</w:t>
      </w:r>
      <w:r w:rsidR="00FB76B3">
        <w:t xml:space="preserve"> </w:t>
      </w:r>
      <w:r w:rsidR="00431027">
        <w:t xml:space="preserve"> </w:t>
      </w:r>
      <w:r w:rsidR="00FB76B3">
        <w:t xml:space="preserve">The </w:t>
      </w:r>
      <w:r w:rsidR="00256D15">
        <w:t xml:space="preserve">2022 </w:t>
      </w:r>
      <w:r w:rsidR="00FB76B3">
        <w:t xml:space="preserve">ACR </w:t>
      </w:r>
      <w:r w:rsidR="00132119">
        <w:t xml:space="preserve">also </w:t>
      </w:r>
      <w:r>
        <w:t>adopted a procedural schedule for the parallel tracks (Track 1 and 2) to review VAMO information as part of the 2022</w:t>
      </w:r>
      <w:r w:rsidR="0064257A">
        <w:t> </w:t>
      </w:r>
      <w:r>
        <w:t xml:space="preserve">RPS Plans. </w:t>
      </w:r>
    </w:p>
    <w:p w:rsidR="00C65875" w:rsidP="00C65875" w:rsidRDefault="00C65875" w14:paraId="0B017E80" w14:textId="3B9A9C07">
      <w:pPr>
        <w:pStyle w:val="Standard"/>
      </w:pPr>
      <w:r>
        <w:t xml:space="preserve">On May 2, 2022, a </w:t>
      </w:r>
      <w:r w:rsidRPr="007A32EB">
        <w:t xml:space="preserve">Joint </w:t>
      </w:r>
      <w:r>
        <w:t>Market Offer proposal was</w:t>
      </w:r>
      <w:r w:rsidRPr="007A32EB">
        <w:t xml:space="preserve"> filed by Pacific Gas and Electric Company</w:t>
      </w:r>
      <w:r>
        <w:t xml:space="preserve"> (PG&amp;E)</w:t>
      </w:r>
      <w:r w:rsidRPr="007A32EB">
        <w:t>, Southern California Edison Company</w:t>
      </w:r>
      <w:r>
        <w:t xml:space="preserve"> (SCE)</w:t>
      </w:r>
      <w:r w:rsidRPr="007A32EB">
        <w:t>, and San</w:t>
      </w:r>
      <w:r w:rsidR="00431027">
        <w:t> </w:t>
      </w:r>
      <w:r w:rsidRPr="007A32EB">
        <w:t>Diego Gas &amp; Electric Company</w:t>
      </w:r>
      <w:r>
        <w:t xml:space="preserve"> (SDG&amp;E)</w:t>
      </w:r>
      <w:r w:rsidRPr="007A32EB">
        <w:t xml:space="preserve"> </w:t>
      </w:r>
      <w:r>
        <w:t xml:space="preserve">as </w:t>
      </w:r>
      <w:r w:rsidRPr="00901BE1">
        <w:t>Track 1</w:t>
      </w:r>
      <w:r>
        <w:t xml:space="preserve"> of their </w:t>
      </w:r>
      <w:r w:rsidR="007B299C">
        <w:t>D</w:t>
      </w:r>
      <w:r>
        <w:t>raft 2022</w:t>
      </w:r>
      <w:r w:rsidR="0064257A">
        <w:t> </w:t>
      </w:r>
      <w:r>
        <w:t>RPS Plan.</w:t>
      </w:r>
      <w:r w:rsidRPr="009542E9">
        <w:t xml:space="preserve"> </w:t>
      </w:r>
    </w:p>
    <w:p w:rsidR="00C65875" w:rsidP="00C65875" w:rsidRDefault="00C65875" w14:paraId="535EB397" w14:textId="1D19C30A">
      <w:pPr>
        <w:pStyle w:val="Standard"/>
      </w:pPr>
      <w:r>
        <w:lastRenderedPageBreak/>
        <w:t xml:space="preserve">On May 16, 2022, each IOU filed a confidential version of Track 1 Draft </w:t>
      </w:r>
      <w:r w:rsidR="004F18BF">
        <w:t xml:space="preserve">2022 </w:t>
      </w:r>
      <w:r>
        <w:t xml:space="preserve">RPS Plans with their Market Offer solicitation protocols. </w:t>
      </w:r>
    </w:p>
    <w:p w:rsidRPr="005A2F47" w:rsidR="005A2F47" w:rsidP="005A2F47" w:rsidRDefault="005A2F47" w14:paraId="4E4A8443" w14:textId="3A91FED8">
      <w:pPr>
        <w:pStyle w:val="Standard"/>
      </w:pPr>
      <w:r>
        <w:t xml:space="preserve">On July 1, 2022, the following </w:t>
      </w:r>
      <w:r w:rsidR="00777770">
        <w:t>retail sellers</w:t>
      </w:r>
      <w:r>
        <w:t xml:space="preserve"> filed their </w:t>
      </w:r>
      <w:r w:rsidR="007B299C">
        <w:t>D</w:t>
      </w:r>
      <w:r>
        <w:t xml:space="preserve">raft 2022 RPS Plans, including the best available information on their Voluntary Allocations: </w:t>
      </w:r>
      <w:r w:rsidR="00431027">
        <w:t xml:space="preserve"> </w:t>
      </w:r>
      <w:r>
        <w:t>3 Phases Renewables</w:t>
      </w:r>
      <w:r w:rsidR="0076256B">
        <w:t>,</w:t>
      </w:r>
      <w:r>
        <w:t xml:space="preserve"> Inc</w:t>
      </w:r>
      <w:r w:rsidR="002C6E1F">
        <w:t>.</w:t>
      </w:r>
      <w:r>
        <w:t xml:space="preserve"> (3 Phases Renewables), Apple Valley Choice, Bear</w:t>
      </w:r>
      <w:r w:rsidR="00431027">
        <w:t> </w:t>
      </w:r>
      <w:r>
        <w:t xml:space="preserve">Valley Electric </w:t>
      </w:r>
      <w:r w:rsidR="001E6E49">
        <w:t>Service, Inc.</w:t>
      </w:r>
      <w:r>
        <w:t xml:space="preserve"> (BVES or Bear Valley), Calpine Energy Solutions</w:t>
      </w:r>
      <w:r w:rsidR="001D5561">
        <w:t>, LLC</w:t>
      </w:r>
      <w:r>
        <w:t>, Calpine PowerAmerica-CA, Central Coast Community Energy, City of Palmdale, City of Pomona, City of Santa Barbara, Clean Energy Alliance, Clean Power Alliance, CleanPowerSF, Commercial Energy of California, Constellation NewEnergy</w:t>
      </w:r>
      <w:r w:rsidR="005A6394">
        <w:t>, Inc.</w:t>
      </w:r>
      <w:r>
        <w:t>, Desert Community Energy, Direct Energy Business</w:t>
      </w:r>
      <w:r w:rsidR="004D6ABF">
        <w:t>, LLC</w:t>
      </w:r>
      <w:r>
        <w:t>, East</w:t>
      </w:r>
      <w:r w:rsidR="0064257A">
        <w:t> </w:t>
      </w:r>
      <w:r>
        <w:t>Bay Community Energy, EDF Industrial Power Services (CA)</w:t>
      </w:r>
      <w:r w:rsidR="00FE5C77">
        <w:t>, LLC</w:t>
      </w:r>
      <w:r>
        <w:t>, King</w:t>
      </w:r>
      <w:r w:rsidR="00C84ADD">
        <w:t> </w:t>
      </w:r>
      <w:r>
        <w:t>City Community Power, Lancaster Choice, Liberty Utilities (CalPeco Electric), LLC (Liberty), Marin Clean Energy, Orange County Power Authority, P</w:t>
      </w:r>
      <w:r w:rsidR="00ED3CFD">
        <w:t>acific Gas and Electric Company (P</w:t>
      </w:r>
      <w:r>
        <w:t>G&amp;E</w:t>
      </w:r>
      <w:r w:rsidR="00ED3CFD">
        <w:t>)</w:t>
      </w:r>
      <w:r>
        <w:t>, PacifiCorp, d/b/a Pacific Power (PacifiCorp), Peninsula Clean Energy, Pico Rivera Innovative Municipal Energy, Pilot Power Group</w:t>
      </w:r>
      <w:r w:rsidR="001D5561">
        <w:t>, LLC</w:t>
      </w:r>
      <w:r>
        <w:t xml:space="preserve">, Pioneer Community Energy, Rancho Mirage Energy Authority, Redwood Coast Energy Authority, San Diego Community Power, </w:t>
      </w:r>
      <w:r w:rsidR="00ED3CFD">
        <w:t>San</w:t>
      </w:r>
      <w:r w:rsidR="00C84ADD">
        <w:t> </w:t>
      </w:r>
      <w:r w:rsidR="00ED3CFD">
        <w:t xml:space="preserve">Diego Gas </w:t>
      </w:r>
      <w:r w:rsidR="005D6A74">
        <w:t xml:space="preserve">&amp; </w:t>
      </w:r>
      <w:r w:rsidR="00ED3CFD">
        <w:t>Electric Company (</w:t>
      </w:r>
      <w:r>
        <w:t>SDG&amp;E</w:t>
      </w:r>
      <w:r w:rsidR="00ED3CFD">
        <w:t>)</w:t>
      </w:r>
      <w:r>
        <w:t>, San Jacinto Power, San Jose Community Energy, Shell Energy North America</w:t>
      </w:r>
      <w:r w:rsidR="00AF549E">
        <w:t xml:space="preserve"> (US), L.P.</w:t>
      </w:r>
      <w:r>
        <w:t xml:space="preserve">, Silicon Valley Clean Energy, Sonoma Clean Power, </w:t>
      </w:r>
      <w:r w:rsidR="00ED3CFD">
        <w:t>Southern California Edison (</w:t>
      </w:r>
      <w:r>
        <w:t>SCE</w:t>
      </w:r>
      <w:r w:rsidR="00ED3CFD">
        <w:t>)</w:t>
      </w:r>
      <w:r>
        <w:t xml:space="preserve">, The Regents of the University of California, and Valley Clean Energy Alliance. </w:t>
      </w:r>
      <w:r w:rsidR="00C84ADD">
        <w:t xml:space="preserve"> </w:t>
      </w:r>
      <w:r w:rsidR="003A2246">
        <w:t xml:space="preserve">On July 28, 2022, </w:t>
      </w:r>
      <w:r w:rsidRPr="003A2246" w:rsidR="0060415A">
        <w:t>Brookfield Renewable</w:t>
      </w:r>
      <w:r w:rsidRPr="003A2246" w:rsidR="003A2246">
        <w:t xml:space="preserve"> Energy Marketing US LLC</w:t>
      </w:r>
      <w:r w:rsidR="003A2246">
        <w:t xml:space="preserve"> filed its </w:t>
      </w:r>
      <w:r w:rsidR="007B299C">
        <w:t>D</w:t>
      </w:r>
      <w:r w:rsidR="003A2246">
        <w:t xml:space="preserve">raft 2022 RPS Plan. </w:t>
      </w:r>
    </w:p>
    <w:p w:rsidRPr="005E7733" w:rsidR="00127B0F" w:rsidP="00511F81" w:rsidRDefault="00127B0F" w14:paraId="7EE1FC3D" w14:textId="0CBB6F4C">
      <w:pPr>
        <w:pStyle w:val="Standard"/>
      </w:pPr>
      <w:r w:rsidRPr="005E7733">
        <w:t xml:space="preserve">Comments on the proposed plans were due on </w:t>
      </w:r>
      <w:r w:rsidR="000B38E4">
        <w:t>August 1,</w:t>
      </w:r>
      <w:r>
        <w:t xml:space="preserve"> 2022</w:t>
      </w:r>
      <w:r w:rsidRPr="005E7733">
        <w:t xml:space="preserve">. </w:t>
      </w:r>
      <w:r w:rsidR="00FA3691">
        <w:t xml:space="preserve"> </w:t>
      </w:r>
      <w:r w:rsidRPr="005E7733">
        <w:t xml:space="preserve">Reply comments on draft RPS Plans were due on </w:t>
      </w:r>
      <w:r w:rsidR="00635CEB">
        <w:t xml:space="preserve">August 15, </w:t>
      </w:r>
      <w:r>
        <w:t>2022</w:t>
      </w:r>
      <w:r w:rsidRPr="005E7733">
        <w:t xml:space="preserve">. </w:t>
      </w:r>
      <w:r w:rsidR="00FA3691">
        <w:t xml:space="preserve"> </w:t>
      </w:r>
      <w:r w:rsidRPr="005E7733">
        <w:t xml:space="preserve">Motions to update RPS Plans were due on </w:t>
      </w:r>
      <w:r>
        <w:t>August 15, 2022</w:t>
      </w:r>
      <w:r w:rsidRPr="005E7733">
        <w:t xml:space="preserve">. </w:t>
      </w:r>
      <w:r w:rsidR="00C84ADD">
        <w:t xml:space="preserve"> </w:t>
      </w:r>
      <w:r w:rsidRPr="00EB2D06" w:rsidR="005D6A74">
        <w:t>On</w:t>
      </w:r>
      <w:r w:rsidR="005D6A74">
        <w:t xml:space="preserve"> August 15, 2022, most retail sellers filed motions to update their draft RPS Plans. </w:t>
      </w:r>
    </w:p>
    <w:p w:rsidR="00127B0F" w:rsidP="00ED3CFD" w:rsidRDefault="00127B0F" w14:paraId="34D93E77" w14:textId="009EA7ED">
      <w:r>
        <w:lastRenderedPageBreak/>
        <w:t>All RPS Plans were filed on time</w:t>
      </w:r>
      <w:r w:rsidR="00334D64">
        <w:t>, with the exception of</w:t>
      </w:r>
      <w:r w:rsidR="005B2A7D">
        <w:t xml:space="preserve"> </w:t>
      </w:r>
      <w:r w:rsidR="0008173C">
        <w:t xml:space="preserve">Brookfield Renewable Energy Marketing US LLC </w:t>
      </w:r>
      <w:r w:rsidR="00921E5F">
        <w:t xml:space="preserve">who is a new ESP and 3 </w:t>
      </w:r>
      <w:r w:rsidR="004E5C88">
        <w:t>P</w:t>
      </w:r>
      <w:r w:rsidR="00921E5F">
        <w:t>hases</w:t>
      </w:r>
      <w:r w:rsidR="004E5C88">
        <w:t xml:space="preserve"> Renewables</w:t>
      </w:r>
      <w:r w:rsidR="00921E5F">
        <w:t xml:space="preserve"> who </w:t>
      </w:r>
      <w:r w:rsidR="005E727F">
        <w:t>filed their update</w:t>
      </w:r>
      <w:r w:rsidR="006416C2">
        <w:t>d</w:t>
      </w:r>
      <w:r w:rsidR="005E727F">
        <w:t xml:space="preserve"> draft</w:t>
      </w:r>
      <w:r w:rsidR="008D7747">
        <w:t xml:space="preserve"> RPS Plan on </w:t>
      </w:r>
      <w:r w:rsidR="00CD0055">
        <w:t xml:space="preserve">October </w:t>
      </w:r>
      <w:r w:rsidR="00925544">
        <w:t>19, 2022</w:t>
      </w:r>
      <w:r>
        <w:t xml:space="preserve">.  Comments on the </w:t>
      </w:r>
      <w:r w:rsidR="006416C2">
        <w:t xml:space="preserve">RPS </w:t>
      </w:r>
      <w:r>
        <w:t xml:space="preserve">Plans were filed by </w:t>
      </w:r>
      <w:r w:rsidR="00ED3CFD">
        <w:t>PG&amp;E</w:t>
      </w:r>
      <w:r>
        <w:t>, Green Power Institute (GPI), and the Small Business Utility Advocates (SBUA).</w:t>
      </w:r>
      <w:r w:rsidR="00ED3CFD">
        <w:t xml:space="preserve"> </w:t>
      </w:r>
      <w:r w:rsidR="00FA3691">
        <w:t xml:space="preserve"> </w:t>
      </w:r>
      <w:r>
        <w:t xml:space="preserve">Reply comments were filed by GPI, </w:t>
      </w:r>
      <w:r w:rsidR="00ED3CFD">
        <w:t>SDG&amp;E</w:t>
      </w:r>
      <w:r>
        <w:t xml:space="preserve">, </w:t>
      </w:r>
      <w:r w:rsidR="00ED3CFD">
        <w:t>PG&amp;E</w:t>
      </w:r>
      <w:r w:rsidR="00103D01">
        <w:t>,</w:t>
      </w:r>
      <w:r w:rsidR="00ED3CFD">
        <w:t xml:space="preserve"> and SCE</w:t>
      </w:r>
      <w:r>
        <w:t>.</w:t>
      </w:r>
    </w:p>
    <w:p w:rsidR="00D52A14" w:rsidP="00D52A14" w:rsidRDefault="002445CE" w14:paraId="6DDD9781" w14:textId="073C9B87">
      <w:pPr>
        <w:pStyle w:val="Standard"/>
      </w:pPr>
      <w:r w:rsidRPr="00155111">
        <w:t xml:space="preserve">On </w:t>
      </w:r>
      <w:r w:rsidRPr="00155111" w:rsidR="006416C2">
        <w:t>September 29</w:t>
      </w:r>
      <w:r w:rsidRPr="00155111">
        <w:t>, 2022</w:t>
      </w:r>
      <w:r>
        <w:t xml:space="preserve">, </w:t>
      </w:r>
      <w:r w:rsidR="006416C2">
        <w:t>a proposed decision was issued to adopt</w:t>
      </w:r>
      <w:r w:rsidR="00C423D2">
        <w:t xml:space="preserve"> </w:t>
      </w:r>
      <w:r w:rsidR="00D52A14">
        <w:t>Voluntary Allocations and modif</w:t>
      </w:r>
      <w:r w:rsidR="000E2719">
        <w:t>y</w:t>
      </w:r>
      <w:r w:rsidR="00D52A14">
        <w:t xml:space="preserve"> the Market Offer process proposals under Track 1 </w:t>
      </w:r>
      <w:r w:rsidR="0028328C">
        <w:t>of the 2022 RPS Plans</w:t>
      </w:r>
      <w:r w:rsidR="00D52A14">
        <w:t xml:space="preserve">. </w:t>
      </w:r>
    </w:p>
    <w:p w:rsidR="005A148C" w:rsidP="00C62CA5" w:rsidRDefault="005939A5" w14:paraId="30B9F528" w14:textId="6247ABC7">
      <w:pPr>
        <w:pStyle w:val="Heading1"/>
        <w:numPr>
          <w:ilvl w:val="0"/>
          <w:numId w:val="2"/>
        </w:numPr>
      </w:pPr>
      <w:bookmarkStart w:name="_Toc8123719" w:id="8"/>
      <w:bookmarkStart w:name="_Toc122180437" w:id="9"/>
      <w:r>
        <w:t>Issues Before the Commission</w:t>
      </w:r>
      <w:bookmarkEnd w:id="8"/>
      <w:bookmarkEnd w:id="9"/>
    </w:p>
    <w:p w:rsidRPr="005E7733" w:rsidR="00CA17F4" w:rsidP="00CA17F4" w:rsidRDefault="00CA17F4" w14:paraId="1299CCFC" w14:textId="21C26708">
      <w:pPr>
        <w:rPr>
          <w:rFonts w:eastAsia="Times New Roman" w:cs="Times New Roman"/>
          <w:szCs w:val="20"/>
        </w:rPr>
      </w:pPr>
      <w:r w:rsidRPr="005E7733">
        <w:rPr>
          <w:rFonts w:eastAsia="Times New Roman" w:cs="Times New Roman"/>
          <w:szCs w:val="20"/>
        </w:rPr>
        <w:t xml:space="preserve">In this </w:t>
      </w:r>
      <w:r w:rsidR="005D6A74">
        <w:rPr>
          <w:rFonts w:eastAsia="Times New Roman" w:cs="Times New Roman"/>
          <w:szCs w:val="20"/>
        </w:rPr>
        <w:t>d</w:t>
      </w:r>
      <w:r w:rsidRPr="005E7733">
        <w:rPr>
          <w:rFonts w:eastAsia="Times New Roman" w:cs="Times New Roman"/>
          <w:szCs w:val="20"/>
        </w:rPr>
        <w:t xml:space="preserve">ecision, </w:t>
      </w:r>
      <w:r w:rsidR="002C4E06">
        <w:rPr>
          <w:rFonts w:eastAsia="Times New Roman" w:cs="Times New Roman"/>
          <w:szCs w:val="20"/>
        </w:rPr>
        <w:t xml:space="preserve">we review Track 2 of </w:t>
      </w:r>
      <w:r w:rsidRPr="005E7733">
        <w:rPr>
          <w:rFonts w:eastAsia="Times New Roman" w:cs="Times New Roman"/>
          <w:szCs w:val="20"/>
        </w:rPr>
        <w:t xml:space="preserve">the </w:t>
      </w:r>
      <w:r w:rsidR="007B299C">
        <w:rPr>
          <w:rFonts w:eastAsia="Times New Roman" w:cs="Times New Roman"/>
          <w:szCs w:val="20"/>
        </w:rPr>
        <w:t>D</w:t>
      </w:r>
      <w:r w:rsidR="00BF7931">
        <w:rPr>
          <w:rFonts w:eastAsia="Times New Roman" w:cs="Times New Roman"/>
          <w:szCs w:val="20"/>
        </w:rPr>
        <w:t xml:space="preserve">raft 2022 </w:t>
      </w:r>
      <w:r w:rsidR="002C4E06">
        <w:rPr>
          <w:rFonts w:eastAsia="Times New Roman" w:cs="Times New Roman"/>
          <w:szCs w:val="20"/>
        </w:rPr>
        <w:t xml:space="preserve">RPS Plans </w:t>
      </w:r>
      <w:r w:rsidR="00981743">
        <w:rPr>
          <w:rFonts w:eastAsia="Times New Roman" w:cs="Times New Roman"/>
          <w:szCs w:val="20"/>
        </w:rPr>
        <w:t>for</w:t>
      </w:r>
      <w:r w:rsidRPr="005E7733">
        <w:rPr>
          <w:rFonts w:eastAsia="Times New Roman" w:cs="Times New Roman"/>
          <w:szCs w:val="20"/>
        </w:rPr>
        <w:t xml:space="preserve"> information required by statute and the 202</w:t>
      </w:r>
      <w:r>
        <w:rPr>
          <w:rFonts w:eastAsia="Times New Roman" w:cs="Times New Roman"/>
          <w:szCs w:val="20"/>
        </w:rPr>
        <w:t>2</w:t>
      </w:r>
      <w:r w:rsidRPr="005E7733">
        <w:rPr>
          <w:rFonts w:eastAsia="Times New Roman" w:cs="Times New Roman"/>
          <w:szCs w:val="20"/>
        </w:rPr>
        <w:t xml:space="preserve"> ACR and dispose of any requests or proposals specific to each retail seller. </w:t>
      </w:r>
    </w:p>
    <w:p w:rsidRPr="005E7733" w:rsidR="00CA17F4" w:rsidP="00CA17F4" w:rsidRDefault="00CA17F4" w14:paraId="31599858" w14:textId="517CD346">
      <w:pPr>
        <w:rPr>
          <w:rFonts w:eastAsia="Times New Roman" w:cs="Times New Roman"/>
          <w:szCs w:val="20"/>
        </w:rPr>
      </w:pPr>
      <w:r w:rsidRPr="005E7733">
        <w:rPr>
          <w:rFonts w:eastAsia="Times New Roman" w:cs="Times New Roman"/>
          <w:szCs w:val="20"/>
        </w:rPr>
        <w:t xml:space="preserve">To help retail sellers organize the submission of comprehensive </w:t>
      </w:r>
      <w:r w:rsidR="00FA3691">
        <w:rPr>
          <w:rFonts w:eastAsia="Times New Roman" w:cs="Times New Roman"/>
          <w:szCs w:val="20"/>
        </w:rPr>
        <w:t>2022</w:t>
      </w:r>
      <w:r w:rsidR="0064257A">
        <w:rPr>
          <w:rFonts w:eastAsia="Times New Roman" w:cs="Times New Roman"/>
          <w:szCs w:val="20"/>
        </w:rPr>
        <w:t> </w:t>
      </w:r>
      <w:r w:rsidRPr="005E7733">
        <w:rPr>
          <w:rFonts w:eastAsia="Times New Roman" w:cs="Times New Roman"/>
          <w:szCs w:val="20"/>
        </w:rPr>
        <w:t>RPS Plans, the 202</w:t>
      </w:r>
      <w:r>
        <w:rPr>
          <w:rFonts w:eastAsia="Times New Roman" w:cs="Times New Roman"/>
          <w:szCs w:val="20"/>
        </w:rPr>
        <w:t>2</w:t>
      </w:r>
      <w:r w:rsidRPr="005E7733">
        <w:rPr>
          <w:rFonts w:eastAsia="Times New Roman" w:cs="Times New Roman"/>
          <w:szCs w:val="20"/>
        </w:rPr>
        <w:t xml:space="preserve"> ACR listed specific issues to address and guidance on managing the information, including quantitative analysis and narratives supporting the retail seller</w:t>
      </w:r>
      <w:r>
        <w:rPr>
          <w:rFonts w:eastAsia="Times New Roman" w:cs="Times New Roman"/>
          <w:szCs w:val="20"/>
        </w:rPr>
        <w:t>’</w:t>
      </w:r>
      <w:r w:rsidRPr="005E7733">
        <w:rPr>
          <w:rFonts w:eastAsia="Times New Roman" w:cs="Times New Roman"/>
          <w:szCs w:val="20"/>
        </w:rPr>
        <w:t>s assessment of its portfolio</w:t>
      </w:r>
      <w:r>
        <w:rPr>
          <w:rFonts w:eastAsia="Times New Roman" w:cs="Times New Roman"/>
          <w:szCs w:val="20"/>
        </w:rPr>
        <w:t>'s</w:t>
      </w:r>
      <w:r w:rsidRPr="005E7733">
        <w:rPr>
          <w:rFonts w:eastAsia="Times New Roman" w:cs="Times New Roman"/>
          <w:szCs w:val="20"/>
        </w:rPr>
        <w:t xml:space="preserve"> future procurement decisions.  </w:t>
      </w:r>
    </w:p>
    <w:p w:rsidRPr="005E7733" w:rsidR="00CA17F4" w:rsidP="00CA17F4" w:rsidRDefault="00CA17F4" w14:paraId="553635AB" w14:textId="1548C398">
      <w:pPr>
        <w:spacing w:after="120" w:line="240" w:lineRule="auto"/>
        <w:ind w:left="720" w:firstLine="0"/>
        <w:rPr>
          <w:rFonts w:eastAsia="Times New Roman" w:cs="Times New Roman"/>
          <w:szCs w:val="20"/>
        </w:rPr>
      </w:pPr>
      <w:r w:rsidRPr="005E7733">
        <w:rPr>
          <w:rFonts w:eastAsia="Times New Roman" w:cs="Times New Roman"/>
          <w:szCs w:val="20"/>
          <w:u w:val="single"/>
        </w:rPr>
        <w:t xml:space="preserve">The issues </w:t>
      </w:r>
      <w:r w:rsidR="005D6A74">
        <w:rPr>
          <w:rFonts w:eastAsia="Times New Roman" w:cs="Times New Roman"/>
          <w:szCs w:val="20"/>
          <w:u w:val="single"/>
        </w:rPr>
        <w:t>required</w:t>
      </w:r>
      <w:r w:rsidRPr="005E7733" w:rsidR="005D6A74">
        <w:rPr>
          <w:rFonts w:eastAsia="Times New Roman" w:cs="Times New Roman"/>
          <w:szCs w:val="20"/>
          <w:u w:val="single"/>
        </w:rPr>
        <w:t xml:space="preserve"> </w:t>
      </w:r>
      <w:r w:rsidRPr="005E7733">
        <w:rPr>
          <w:rFonts w:eastAsia="Times New Roman" w:cs="Times New Roman"/>
          <w:szCs w:val="20"/>
          <w:u w:val="single"/>
        </w:rPr>
        <w:t>by statute and the 202</w:t>
      </w:r>
      <w:r>
        <w:rPr>
          <w:rFonts w:eastAsia="Times New Roman" w:cs="Times New Roman"/>
          <w:szCs w:val="20"/>
          <w:u w:val="single"/>
        </w:rPr>
        <w:t>2</w:t>
      </w:r>
      <w:r w:rsidRPr="005E7733">
        <w:rPr>
          <w:rFonts w:eastAsia="Times New Roman" w:cs="Times New Roman"/>
          <w:szCs w:val="20"/>
          <w:u w:val="single"/>
        </w:rPr>
        <w:t xml:space="preserve"> ACR are as follows</w:t>
      </w:r>
      <w:r w:rsidRPr="005E7733">
        <w:rPr>
          <w:rFonts w:eastAsia="Times New Roman" w:cs="Times New Roman"/>
          <w:szCs w:val="20"/>
        </w:rPr>
        <w:t>:</w:t>
      </w:r>
    </w:p>
    <w:p w:rsidRPr="005E7733" w:rsidR="00CA17F4" w:rsidP="00724C6E" w:rsidRDefault="00CA17F4" w14:paraId="1BB5C8D3" w14:textId="77777777">
      <w:pPr>
        <w:numPr>
          <w:ilvl w:val="0"/>
          <w:numId w:val="8"/>
        </w:numPr>
        <w:spacing w:after="120" w:line="240" w:lineRule="auto"/>
        <w:ind w:left="1080" w:right="1440"/>
        <w:rPr>
          <w:rFonts w:eastAsia="Palatino Linotype" w:cs="Palatino Linotype"/>
          <w:spacing w:val="-10"/>
          <w:szCs w:val="26"/>
        </w:rPr>
      </w:pPr>
      <w:r w:rsidRPr="005E7733">
        <w:rPr>
          <w:rFonts w:eastAsia="Palatino Linotype" w:cs="Times New Roman"/>
          <w:szCs w:val="26"/>
        </w:rPr>
        <w:t xml:space="preserve">Assessment </w:t>
      </w:r>
      <w:r w:rsidRPr="005E7733">
        <w:rPr>
          <w:rFonts w:eastAsia="Palatino Linotype" w:cs="Times New Roman"/>
          <w:spacing w:val="-1"/>
          <w:szCs w:val="26"/>
        </w:rPr>
        <w:t>o</w:t>
      </w:r>
      <w:r w:rsidRPr="005E7733">
        <w:rPr>
          <w:rFonts w:eastAsia="Palatino Linotype" w:cs="Times New Roman"/>
          <w:szCs w:val="26"/>
        </w:rPr>
        <w:t xml:space="preserve">f </w:t>
      </w:r>
      <w:r w:rsidRPr="005E7733">
        <w:rPr>
          <w:rFonts w:eastAsia="Palatino Linotype" w:cs="Times New Roman"/>
          <w:spacing w:val="-1"/>
          <w:szCs w:val="26"/>
        </w:rPr>
        <w:t>RP</w:t>
      </w:r>
      <w:r w:rsidRPr="005E7733">
        <w:rPr>
          <w:rFonts w:eastAsia="Palatino Linotype" w:cs="Times New Roman"/>
          <w:szCs w:val="26"/>
        </w:rPr>
        <w:t>S Portfolio</w:t>
      </w:r>
      <w:r w:rsidRPr="005E7733">
        <w:rPr>
          <w:rFonts w:eastAsia="Palatino Linotype" w:cs="Times New Roman"/>
          <w:spacing w:val="-1"/>
          <w:szCs w:val="26"/>
        </w:rPr>
        <w:t xml:space="preserve"> </w:t>
      </w:r>
      <w:r w:rsidRPr="005E7733">
        <w:rPr>
          <w:rFonts w:eastAsia="Palatino Linotype" w:cs="Times New Roman"/>
          <w:szCs w:val="26"/>
        </w:rPr>
        <w:t xml:space="preserve">Supplies and </w:t>
      </w:r>
      <w:r w:rsidRPr="005E7733">
        <w:rPr>
          <w:rFonts w:eastAsia="Palatino Linotype" w:cs="Times New Roman"/>
          <w:spacing w:val="-1"/>
          <w:szCs w:val="26"/>
        </w:rPr>
        <w:t>Demand</w:t>
      </w:r>
      <w:r w:rsidRPr="005E7733">
        <w:rPr>
          <w:rFonts w:eastAsia="Palatino Linotype" w:cs="Palatino Linotype"/>
          <w:spacing w:val="-10"/>
          <w:szCs w:val="26"/>
        </w:rPr>
        <w:t xml:space="preserve"> </w:t>
      </w:r>
    </w:p>
    <w:p w:rsidRPr="005E7733" w:rsidR="00CA17F4" w:rsidP="00724C6E" w:rsidRDefault="00CA17F4" w14:paraId="27E6091E" w14:textId="65D353A2">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pacing w:val="-10"/>
          <w:szCs w:val="26"/>
        </w:rPr>
        <w:t>P</w:t>
      </w:r>
      <w:r w:rsidRPr="005E7733">
        <w:rPr>
          <w:rFonts w:eastAsia="Palatino Linotype" w:cs="Palatino Linotype"/>
          <w:szCs w:val="26"/>
        </w:rPr>
        <w:t>r</w:t>
      </w:r>
      <w:r w:rsidRPr="005E7733">
        <w:rPr>
          <w:rFonts w:eastAsia="Palatino Linotype" w:cs="Palatino Linotype"/>
          <w:spacing w:val="-10"/>
          <w:szCs w:val="26"/>
        </w:rPr>
        <w:t>o</w:t>
      </w:r>
      <w:r w:rsidRPr="005E7733">
        <w:rPr>
          <w:rFonts w:eastAsia="Palatino Linotype" w:cs="Palatino Linotype"/>
          <w:szCs w:val="26"/>
        </w:rPr>
        <w:t>ject</w:t>
      </w:r>
      <w:r w:rsidRPr="005E7733">
        <w:rPr>
          <w:rFonts w:eastAsia="Palatino Linotype" w:cs="Palatino Linotype"/>
          <w:spacing w:val="-10"/>
          <w:szCs w:val="26"/>
        </w:rPr>
        <w:t xml:space="preserve"> </w:t>
      </w:r>
      <w:r w:rsidRPr="00724C6E">
        <w:rPr>
          <w:rFonts w:eastAsia="Palatino Linotype" w:cs="Times New Roman"/>
          <w:szCs w:val="26"/>
        </w:rPr>
        <w:t>Develo</w:t>
      </w:r>
      <w:r w:rsidRPr="00724C6E">
        <w:rPr>
          <w:rFonts w:eastAsia="Palatino Linotype" w:cs="Times New Roman"/>
          <w:spacing w:val="-10"/>
          <w:szCs w:val="26"/>
        </w:rPr>
        <w:t>p</w:t>
      </w:r>
      <w:r w:rsidRPr="00724C6E">
        <w:rPr>
          <w:rFonts w:eastAsia="Palatino Linotype" w:cs="Times New Roman"/>
          <w:szCs w:val="26"/>
        </w:rPr>
        <w:t>ment</w:t>
      </w:r>
      <w:r w:rsidRPr="005E7733">
        <w:rPr>
          <w:rFonts w:eastAsia="Palatino Linotype" w:cs="Palatino Linotype"/>
          <w:spacing w:val="-10"/>
          <w:szCs w:val="26"/>
        </w:rPr>
        <w:t xml:space="preserve"> S</w:t>
      </w:r>
      <w:r w:rsidRPr="005E7733">
        <w:rPr>
          <w:rFonts w:eastAsia="Palatino Linotype" w:cs="Palatino Linotype"/>
          <w:szCs w:val="26"/>
        </w:rPr>
        <w:t>t</w:t>
      </w:r>
      <w:r w:rsidRPr="005E7733">
        <w:rPr>
          <w:rFonts w:eastAsia="Palatino Linotype" w:cs="Palatino Linotype"/>
          <w:spacing w:val="-10"/>
          <w:szCs w:val="26"/>
        </w:rPr>
        <w:t>atu</w:t>
      </w:r>
      <w:r w:rsidRPr="005E7733">
        <w:rPr>
          <w:rFonts w:eastAsia="Palatino Linotype" w:cs="Palatino Linotype"/>
          <w:szCs w:val="26"/>
        </w:rPr>
        <w:t>s Update</w:t>
      </w:r>
      <w:r w:rsidR="00A1138F">
        <w:rPr>
          <w:rFonts w:eastAsia="Palatino Linotype" w:cs="Palatino Linotype"/>
          <w:szCs w:val="26"/>
        </w:rPr>
        <w:t xml:space="preserve"> (PDSU)</w:t>
      </w:r>
    </w:p>
    <w:p w:rsidRPr="005E7733" w:rsidR="00CA17F4" w:rsidP="00724C6E" w:rsidRDefault="00CA17F4" w14:paraId="3EF87BCC"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zCs w:val="26"/>
        </w:rPr>
        <w:t>Pote</w:t>
      </w:r>
      <w:r w:rsidRPr="005E7733">
        <w:rPr>
          <w:rFonts w:eastAsia="Palatino Linotype" w:cs="Palatino Linotype"/>
          <w:spacing w:val="-10"/>
          <w:szCs w:val="26"/>
        </w:rPr>
        <w:t>n</w:t>
      </w:r>
      <w:r w:rsidRPr="005E7733">
        <w:rPr>
          <w:rFonts w:eastAsia="Palatino Linotype" w:cs="Palatino Linotype"/>
          <w:szCs w:val="26"/>
        </w:rPr>
        <w:t xml:space="preserve">tial </w:t>
      </w:r>
      <w:r w:rsidRPr="00724C6E">
        <w:rPr>
          <w:rFonts w:eastAsia="Palatino Linotype" w:cs="Times New Roman"/>
          <w:szCs w:val="26"/>
        </w:rPr>
        <w:t>Compl</w:t>
      </w:r>
      <w:r w:rsidRPr="00724C6E">
        <w:rPr>
          <w:rFonts w:eastAsia="Palatino Linotype" w:cs="Times New Roman"/>
          <w:spacing w:val="-10"/>
          <w:szCs w:val="26"/>
        </w:rPr>
        <w:t>i</w:t>
      </w:r>
      <w:r w:rsidRPr="00724C6E">
        <w:rPr>
          <w:rFonts w:eastAsia="Palatino Linotype" w:cs="Times New Roman"/>
          <w:szCs w:val="26"/>
        </w:rPr>
        <w:t>ance</w:t>
      </w:r>
      <w:r w:rsidRPr="005E7733">
        <w:rPr>
          <w:rFonts w:eastAsia="Palatino Linotype" w:cs="Palatino Linotype"/>
          <w:szCs w:val="26"/>
        </w:rPr>
        <w:t xml:space="preserve"> De</w:t>
      </w:r>
      <w:r w:rsidRPr="005E7733">
        <w:rPr>
          <w:rFonts w:eastAsia="Palatino Linotype" w:cs="Palatino Linotype"/>
          <w:spacing w:val="-10"/>
          <w:szCs w:val="26"/>
        </w:rPr>
        <w:t>l</w:t>
      </w:r>
      <w:r w:rsidRPr="005E7733">
        <w:rPr>
          <w:rFonts w:eastAsia="Palatino Linotype" w:cs="Palatino Linotype"/>
          <w:szCs w:val="26"/>
        </w:rPr>
        <w:t>ays</w:t>
      </w:r>
    </w:p>
    <w:p w:rsidRPr="005E7733" w:rsidR="00CA17F4" w:rsidP="00724C6E" w:rsidRDefault="00CA17F4" w14:paraId="5DB207EA"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pacing w:val="-10"/>
          <w:szCs w:val="26"/>
        </w:rPr>
        <w:t>Ris</w:t>
      </w:r>
      <w:r w:rsidRPr="005E7733">
        <w:rPr>
          <w:rFonts w:eastAsia="Palatino Linotype" w:cs="Palatino Linotype"/>
          <w:szCs w:val="26"/>
        </w:rPr>
        <w:t>k</w:t>
      </w:r>
      <w:r w:rsidRPr="005E7733">
        <w:rPr>
          <w:rFonts w:eastAsia="Palatino Linotype" w:cs="Palatino Linotype"/>
          <w:spacing w:val="-10"/>
          <w:szCs w:val="26"/>
        </w:rPr>
        <w:t xml:space="preserve"> </w:t>
      </w:r>
      <w:r w:rsidRPr="00724C6E">
        <w:rPr>
          <w:rFonts w:eastAsia="Palatino Linotype" w:cs="Times New Roman"/>
          <w:szCs w:val="26"/>
        </w:rPr>
        <w:t>Assessment</w:t>
      </w:r>
    </w:p>
    <w:p w:rsidRPr="005E7733" w:rsidR="00CA17F4" w:rsidP="00724C6E" w:rsidRDefault="00CA17F4" w14:paraId="11E68ECD"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zCs w:val="26"/>
        </w:rPr>
        <w:t xml:space="preserve">Renewable </w:t>
      </w:r>
      <w:r w:rsidRPr="00724C6E">
        <w:rPr>
          <w:rFonts w:eastAsia="Palatino Linotype" w:cs="Times New Roman"/>
          <w:szCs w:val="26"/>
        </w:rPr>
        <w:t>Net</w:t>
      </w:r>
      <w:r w:rsidRPr="005E7733">
        <w:rPr>
          <w:rFonts w:eastAsia="Palatino Linotype" w:cs="Palatino Linotype"/>
          <w:szCs w:val="26"/>
        </w:rPr>
        <w:t xml:space="preserve"> Short Calculation (RNS)</w:t>
      </w:r>
    </w:p>
    <w:p w:rsidRPr="005E7733" w:rsidR="00CA17F4" w:rsidP="00724C6E" w:rsidRDefault="00CA17F4" w14:paraId="55010C70"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zCs w:val="26"/>
        </w:rPr>
        <w:t>Min</w:t>
      </w:r>
      <w:r w:rsidRPr="005E7733">
        <w:rPr>
          <w:rFonts w:eastAsia="Palatino Linotype" w:cs="Palatino Linotype"/>
          <w:spacing w:val="-10"/>
          <w:szCs w:val="26"/>
        </w:rPr>
        <w:t>imu</w:t>
      </w:r>
      <w:r w:rsidRPr="005E7733">
        <w:rPr>
          <w:rFonts w:eastAsia="Palatino Linotype" w:cs="Palatino Linotype"/>
          <w:szCs w:val="26"/>
        </w:rPr>
        <w:t xml:space="preserve">m </w:t>
      </w:r>
      <w:r w:rsidRPr="00724C6E">
        <w:rPr>
          <w:rFonts w:eastAsia="Palatino Linotype" w:cs="Times New Roman"/>
          <w:szCs w:val="26"/>
        </w:rPr>
        <w:t>Margin</w:t>
      </w:r>
      <w:r w:rsidRPr="005E7733">
        <w:rPr>
          <w:rFonts w:eastAsia="Palatino Linotype" w:cs="Palatino Linotype"/>
          <w:szCs w:val="26"/>
        </w:rPr>
        <w:t xml:space="preserve"> </w:t>
      </w:r>
      <w:r w:rsidRPr="005E7733">
        <w:rPr>
          <w:rFonts w:eastAsia="Palatino Linotype" w:cs="Palatino Linotype"/>
          <w:spacing w:val="-10"/>
          <w:szCs w:val="26"/>
        </w:rPr>
        <w:t>o</w:t>
      </w:r>
      <w:r w:rsidRPr="005E7733">
        <w:rPr>
          <w:rFonts w:eastAsia="Palatino Linotype" w:cs="Palatino Linotype"/>
          <w:szCs w:val="26"/>
        </w:rPr>
        <w:t>f Procureme</w:t>
      </w:r>
      <w:r w:rsidRPr="005E7733">
        <w:rPr>
          <w:rFonts w:eastAsia="Palatino Linotype" w:cs="Palatino Linotype"/>
          <w:spacing w:val="-10"/>
          <w:szCs w:val="26"/>
        </w:rPr>
        <w:t>n</w:t>
      </w:r>
      <w:r w:rsidRPr="005E7733">
        <w:rPr>
          <w:rFonts w:eastAsia="Palatino Linotype" w:cs="Palatino Linotype"/>
          <w:szCs w:val="26"/>
        </w:rPr>
        <w:t>t (MMoP)</w:t>
      </w:r>
    </w:p>
    <w:p w:rsidRPr="005E7733" w:rsidR="00CA17F4" w:rsidP="00724C6E" w:rsidRDefault="00CA17F4" w14:paraId="244706D8"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zCs w:val="26"/>
        </w:rPr>
        <w:t>Bid So</w:t>
      </w:r>
      <w:r w:rsidRPr="005E7733">
        <w:rPr>
          <w:rFonts w:eastAsia="Palatino Linotype" w:cs="Palatino Linotype"/>
          <w:spacing w:val="-10"/>
          <w:szCs w:val="26"/>
        </w:rPr>
        <w:t>l</w:t>
      </w:r>
      <w:r w:rsidRPr="005E7733">
        <w:rPr>
          <w:rFonts w:eastAsia="Palatino Linotype" w:cs="Palatino Linotype"/>
          <w:szCs w:val="26"/>
        </w:rPr>
        <w:t xml:space="preserve">icitation </w:t>
      </w:r>
      <w:r w:rsidRPr="00724C6E">
        <w:rPr>
          <w:rFonts w:eastAsia="Palatino Linotype" w:cs="Times New Roman"/>
          <w:szCs w:val="26"/>
        </w:rPr>
        <w:t>Protocol</w:t>
      </w:r>
    </w:p>
    <w:p w:rsidRPr="005E7733" w:rsidR="00CA17F4" w:rsidP="00724C6E" w:rsidRDefault="00CA17F4" w14:paraId="53DE645C"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pacing w:val="-10"/>
          <w:szCs w:val="26"/>
        </w:rPr>
        <w:t>Safet</w:t>
      </w:r>
      <w:r w:rsidRPr="005E7733">
        <w:rPr>
          <w:rFonts w:eastAsia="Palatino Linotype" w:cs="Palatino Linotype"/>
          <w:szCs w:val="26"/>
        </w:rPr>
        <w:t xml:space="preserve">y </w:t>
      </w:r>
      <w:r w:rsidRPr="00724C6E">
        <w:rPr>
          <w:rFonts w:eastAsia="Palatino Linotype" w:cs="Times New Roman"/>
          <w:szCs w:val="26"/>
        </w:rPr>
        <w:t>Considerations</w:t>
      </w:r>
    </w:p>
    <w:p w:rsidRPr="005E7733" w:rsidR="00CA17F4" w:rsidP="00724C6E" w:rsidRDefault="00CA17F4" w14:paraId="15BCF9BD" w14:textId="77777777">
      <w:pPr>
        <w:numPr>
          <w:ilvl w:val="0"/>
          <w:numId w:val="8"/>
        </w:numPr>
        <w:spacing w:after="120" w:line="240" w:lineRule="auto"/>
        <w:ind w:left="1080" w:right="1440"/>
        <w:rPr>
          <w:rFonts w:eastAsia="Palatino Linotype" w:cs="Palatino Linotype"/>
          <w:szCs w:val="26"/>
        </w:rPr>
      </w:pPr>
      <w:r w:rsidRPr="005E7733">
        <w:rPr>
          <w:rFonts w:eastAsia="Palatino Linotype" w:cs="Palatino Linotype"/>
          <w:szCs w:val="26"/>
        </w:rPr>
        <w:t>Cons</w:t>
      </w:r>
      <w:r w:rsidRPr="005E7733">
        <w:rPr>
          <w:rFonts w:eastAsia="Palatino Linotype" w:cs="Palatino Linotype"/>
          <w:spacing w:val="-10"/>
          <w:szCs w:val="26"/>
        </w:rPr>
        <w:t>id</w:t>
      </w:r>
      <w:r w:rsidRPr="005E7733">
        <w:rPr>
          <w:rFonts w:eastAsia="Palatino Linotype" w:cs="Palatino Linotype"/>
          <w:szCs w:val="26"/>
        </w:rPr>
        <w:t>eration</w:t>
      </w:r>
      <w:r w:rsidRPr="005E7733">
        <w:rPr>
          <w:rFonts w:eastAsia="Palatino Linotype" w:cs="Palatino Linotype"/>
          <w:spacing w:val="-10"/>
          <w:szCs w:val="26"/>
        </w:rPr>
        <w:t xml:space="preserve"> o</w:t>
      </w:r>
      <w:r w:rsidRPr="005E7733">
        <w:rPr>
          <w:rFonts w:eastAsia="Palatino Linotype" w:cs="Palatino Linotype"/>
          <w:szCs w:val="26"/>
        </w:rPr>
        <w:t>f</w:t>
      </w:r>
      <w:r w:rsidRPr="005E7733">
        <w:rPr>
          <w:rFonts w:eastAsia="Palatino Linotype" w:cs="Palatino Linotype"/>
          <w:spacing w:val="-10"/>
          <w:szCs w:val="26"/>
        </w:rPr>
        <w:t xml:space="preserve"> </w:t>
      </w:r>
      <w:r w:rsidRPr="00724C6E">
        <w:rPr>
          <w:rFonts w:eastAsia="Palatino Linotype" w:cs="Times New Roman"/>
          <w:szCs w:val="26"/>
        </w:rPr>
        <w:t>Price</w:t>
      </w:r>
      <w:r w:rsidRPr="005E7733">
        <w:rPr>
          <w:rFonts w:eastAsia="Palatino Linotype" w:cs="Palatino Linotype"/>
          <w:szCs w:val="26"/>
        </w:rPr>
        <w:t xml:space="preserve"> </w:t>
      </w:r>
      <w:r w:rsidRPr="005E7733">
        <w:rPr>
          <w:rFonts w:eastAsia="Palatino Linotype" w:cs="Palatino Linotype"/>
          <w:spacing w:val="-10"/>
          <w:szCs w:val="26"/>
        </w:rPr>
        <w:t>Adjustm</w:t>
      </w:r>
      <w:r w:rsidRPr="005E7733">
        <w:rPr>
          <w:rFonts w:eastAsia="Palatino Linotype" w:cs="Palatino Linotype"/>
          <w:szCs w:val="26"/>
        </w:rPr>
        <w:t>e</w:t>
      </w:r>
      <w:r w:rsidRPr="005E7733">
        <w:rPr>
          <w:rFonts w:eastAsia="Palatino Linotype" w:cs="Palatino Linotype"/>
          <w:spacing w:val="-10"/>
          <w:szCs w:val="26"/>
        </w:rPr>
        <w:t xml:space="preserve">nts </w:t>
      </w:r>
      <w:r w:rsidRPr="005E7733">
        <w:rPr>
          <w:rFonts w:eastAsia="Palatino Linotype" w:cs="Palatino Linotype"/>
          <w:szCs w:val="26"/>
        </w:rPr>
        <w:t>Mechanisms</w:t>
      </w:r>
    </w:p>
    <w:p w:rsidRPr="005E7733" w:rsidR="00CA17F4" w:rsidP="00724C6E" w:rsidRDefault="00CA17F4" w14:paraId="0DC572BF" w14:textId="77777777">
      <w:pPr>
        <w:numPr>
          <w:ilvl w:val="0"/>
          <w:numId w:val="8"/>
        </w:numPr>
        <w:spacing w:after="120" w:line="240" w:lineRule="auto"/>
        <w:ind w:left="1080" w:right="1440" w:hanging="450"/>
        <w:rPr>
          <w:rFonts w:eastAsia="Palatino Linotype" w:cs="Palatino Linotype"/>
          <w:szCs w:val="26"/>
        </w:rPr>
      </w:pPr>
      <w:r w:rsidRPr="005E7733">
        <w:rPr>
          <w:rFonts w:eastAsia="Palatino Linotype" w:cs="Palatino Linotype"/>
          <w:spacing w:val="-10"/>
          <w:szCs w:val="26"/>
        </w:rPr>
        <w:lastRenderedPageBreak/>
        <w:t>Curta</w:t>
      </w:r>
      <w:r w:rsidRPr="005E7733">
        <w:rPr>
          <w:rFonts w:eastAsia="Palatino Linotype" w:cs="Palatino Linotype"/>
          <w:szCs w:val="26"/>
        </w:rPr>
        <w:t>i</w:t>
      </w:r>
      <w:r w:rsidRPr="005E7733">
        <w:rPr>
          <w:rFonts w:eastAsia="Palatino Linotype" w:cs="Palatino Linotype"/>
          <w:spacing w:val="-10"/>
          <w:szCs w:val="26"/>
        </w:rPr>
        <w:t>lmen</w:t>
      </w:r>
      <w:r w:rsidRPr="005E7733">
        <w:rPr>
          <w:rFonts w:eastAsia="Palatino Linotype" w:cs="Palatino Linotype"/>
          <w:szCs w:val="26"/>
        </w:rPr>
        <w:t>t</w:t>
      </w:r>
      <w:r w:rsidRPr="005E7733">
        <w:rPr>
          <w:rFonts w:eastAsia="Palatino Linotype" w:cs="Palatino Linotype"/>
          <w:spacing w:val="-10"/>
          <w:szCs w:val="26"/>
        </w:rPr>
        <w:t xml:space="preserve"> </w:t>
      </w:r>
      <w:r w:rsidRPr="00724C6E">
        <w:rPr>
          <w:rFonts w:eastAsia="Palatino Linotype" w:cs="Times New Roman"/>
          <w:szCs w:val="26"/>
        </w:rPr>
        <w:t>Frequency</w:t>
      </w:r>
      <w:r w:rsidRPr="005E7733">
        <w:rPr>
          <w:rFonts w:eastAsia="Palatino Linotype" w:cs="Palatino Linotype"/>
          <w:szCs w:val="26"/>
        </w:rPr>
        <w:t>,</w:t>
      </w:r>
      <w:r w:rsidRPr="005E7733">
        <w:rPr>
          <w:rFonts w:eastAsia="Palatino Linotype" w:cs="Palatino Linotype"/>
          <w:spacing w:val="-10"/>
          <w:szCs w:val="26"/>
        </w:rPr>
        <w:t xml:space="preserve"> </w:t>
      </w:r>
      <w:r w:rsidRPr="005E7733">
        <w:rPr>
          <w:rFonts w:eastAsia="Palatino Linotype" w:cs="Palatino Linotype"/>
          <w:szCs w:val="26"/>
        </w:rPr>
        <w:t>Forecasting, Costs</w:t>
      </w:r>
    </w:p>
    <w:p w:rsidRPr="005E7733" w:rsidR="00CA17F4" w:rsidP="00724C6E" w:rsidRDefault="00CA17F4" w14:paraId="6ACFCDDE" w14:textId="77777777">
      <w:pPr>
        <w:numPr>
          <w:ilvl w:val="0"/>
          <w:numId w:val="8"/>
        </w:numPr>
        <w:spacing w:after="120" w:line="240" w:lineRule="auto"/>
        <w:ind w:left="1080" w:right="1440" w:hanging="450"/>
        <w:rPr>
          <w:rFonts w:eastAsia="Palatino Linotype" w:cs="Palatino Linotype"/>
          <w:szCs w:val="26"/>
        </w:rPr>
      </w:pPr>
      <w:r w:rsidRPr="00724C6E">
        <w:rPr>
          <w:rFonts w:eastAsia="Palatino Linotype" w:cs="Palatino Linotype"/>
          <w:spacing w:val="-10"/>
          <w:szCs w:val="26"/>
        </w:rPr>
        <w:t>Cost</w:t>
      </w:r>
      <w:r w:rsidRPr="005E7733">
        <w:rPr>
          <w:rFonts w:eastAsia="Palatino Linotype" w:cs="Palatino Linotype"/>
          <w:spacing w:val="-10"/>
          <w:szCs w:val="26"/>
        </w:rPr>
        <w:t xml:space="preserve"> </w:t>
      </w:r>
      <w:r w:rsidRPr="00724C6E">
        <w:rPr>
          <w:rFonts w:eastAsia="Palatino Linotype" w:cs="Times New Roman"/>
          <w:szCs w:val="26"/>
        </w:rPr>
        <w:t>Quantification</w:t>
      </w:r>
    </w:p>
    <w:p w:rsidRPr="005E7733" w:rsidR="00CA17F4" w:rsidP="00724C6E" w:rsidRDefault="00CA17F4" w14:paraId="4119BE9A" w14:textId="77777777">
      <w:pPr>
        <w:numPr>
          <w:ilvl w:val="0"/>
          <w:numId w:val="8"/>
        </w:numPr>
        <w:spacing w:after="120" w:line="240" w:lineRule="auto"/>
        <w:ind w:left="1080" w:right="1440" w:hanging="450"/>
        <w:rPr>
          <w:rFonts w:eastAsia="Times New Roman" w:cs="Times New Roman"/>
          <w:szCs w:val="26"/>
        </w:rPr>
      </w:pPr>
      <w:r w:rsidRPr="00724C6E">
        <w:rPr>
          <w:rFonts w:eastAsia="Palatino Linotype" w:cs="Palatino Linotype"/>
          <w:spacing w:val="-10"/>
          <w:szCs w:val="26"/>
        </w:rPr>
        <w:t>Coordination</w:t>
      </w:r>
      <w:r w:rsidRPr="005E7733">
        <w:rPr>
          <w:rFonts w:eastAsia="Palatino Linotype" w:cs="Palatino Linotype"/>
          <w:szCs w:val="26"/>
        </w:rPr>
        <w:t xml:space="preserve"> </w:t>
      </w:r>
      <w:r w:rsidRPr="00724C6E">
        <w:rPr>
          <w:rFonts w:eastAsia="Palatino Linotype" w:cs="Times New Roman"/>
          <w:szCs w:val="26"/>
        </w:rPr>
        <w:t>with</w:t>
      </w:r>
      <w:r w:rsidRPr="005E7733">
        <w:rPr>
          <w:rFonts w:eastAsia="Palatino Linotype" w:cs="Palatino Linotype"/>
          <w:szCs w:val="26"/>
        </w:rPr>
        <w:t xml:space="preserve"> the </w:t>
      </w:r>
      <w:r w:rsidRPr="009C311B">
        <w:rPr>
          <w:rFonts w:eastAsia="Palatino Linotype" w:cs="Palatino Linotype"/>
          <w:szCs w:val="26"/>
        </w:rPr>
        <w:t xml:space="preserve">Integrated Resources Planning </w:t>
      </w:r>
      <w:r>
        <w:rPr>
          <w:rFonts w:eastAsia="Palatino Linotype" w:cs="Palatino Linotype"/>
          <w:szCs w:val="26"/>
        </w:rPr>
        <w:t>(</w:t>
      </w:r>
      <w:r w:rsidRPr="005E7733">
        <w:rPr>
          <w:rFonts w:eastAsia="Palatino Linotype" w:cs="Palatino Linotype"/>
          <w:szCs w:val="26"/>
        </w:rPr>
        <w:t>IRP</w:t>
      </w:r>
      <w:r>
        <w:rPr>
          <w:rFonts w:eastAsia="Palatino Linotype" w:cs="Palatino Linotype"/>
          <w:szCs w:val="26"/>
        </w:rPr>
        <w:t>)</w:t>
      </w:r>
      <w:r w:rsidRPr="005E7733">
        <w:rPr>
          <w:rFonts w:eastAsia="Palatino Linotype" w:cs="Palatino Linotype"/>
          <w:szCs w:val="26"/>
        </w:rPr>
        <w:t xml:space="preserve"> Proceeding</w:t>
      </w:r>
    </w:p>
    <w:p w:rsidRPr="005E7733" w:rsidR="00CA17F4" w:rsidP="00CA17F4" w:rsidRDefault="00CA17F4" w14:paraId="13B1E4A7" w14:textId="467B510A">
      <w:pPr>
        <w:rPr>
          <w:rFonts w:eastAsia="Times New Roman" w:cs="Times New Roman"/>
          <w:szCs w:val="20"/>
        </w:rPr>
      </w:pPr>
      <w:r w:rsidRPr="005E7733">
        <w:rPr>
          <w:rFonts w:eastAsia="Times New Roman" w:cs="Times New Roman"/>
          <w:szCs w:val="20"/>
        </w:rPr>
        <w:t xml:space="preserve">We reviewed the </w:t>
      </w:r>
      <w:r w:rsidR="009C5C09">
        <w:rPr>
          <w:rFonts w:eastAsia="Times New Roman" w:cs="Times New Roman"/>
          <w:szCs w:val="20"/>
        </w:rPr>
        <w:t>D</w:t>
      </w:r>
      <w:r w:rsidRPr="005E7733">
        <w:rPr>
          <w:rFonts w:eastAsia="Times New Roman" w:cs="Times New Roman"/>
          <w:szCs w:val="20"/>
        </w:rPr>
        <w:t>raft 202</w:t>
      </w:r>
      <w:r>
        <w:rPr>
          <w:rFonts w:eastAsia="Times New Roman" w:cs="Times New Roman"/>
          <w:szCs w:val="20"/>
        </w:rPr>
        <w:t>2</w:t>
      </w:r>
      <w:r w:rsidRPr="005E7733">
        <w:rPr>
          <w:rFonts w:eastAsia="Times New Roman" w:cs="Times New Roman"/>
          <w:szCs w:val="20"/>
        </w:rPr>
        <w:t xml:space="preserve"> RPS Plans for completeness, accuracy, and compliance.</w:t>
      </w:r>
      <w:r>
        <w:rPr>
          <w:rFonts w:eastAsia="Times New Roman" w:cs="Times New Roman"/>
          <w:szCs w:val="20"/>
        </w:rPr>
        <w:t xml:space="preserve"> </w:t>
      </w:r>
      <w:r w:rsidRPr="005E7733">
        <w:rPr>
          <w:rFonts w:eastAsia="Times New Roman" w:cs="Times New Roman"/>
          <w:szCs w:val="20"/>
        </w:rPr>
        <w:t>Based on the guidance in the 202</w:t>
      </w:r>
      <w:r>
        <w:rPr>
          <w:rFonts w:eastAsia="Times New Roman" w:cs="Times New Roman"/>
          <w:szCs w:val="20"/>
        </w:rPr>
        <w:t>2</w:t>
      </w:r>
      <w:r w:rsidRPr="005E7733">
        <w:rPr>
          <w:rFonts w:eastAsia="Times New Roman" w:cs="Times New Roman"/>
          <w:szCs w:val="20"/>
        </w:rPr>
        <w:t xml:space="preserve"> ACR, we also examined the </w:t>
      </w:r>
      <w:r w:rsidR="0076256B">
        <w:rPr>
          <w:rFonts w:eastAsia="Times New Roman" w:cs="Times New Roman"/>
          <w:szCs w:val="20"/>
        </w:rPr>
        <w:t>D</w:t>
      </w:r>
      <w:r w:rsidRPr="005E7733">
        <w:rPr>
          <w:rFonts w:eastAsia="Times New Roman" w:cs="Times New Roman"/>
          <w:szCs w:val="20"/>
        </w:rPr>
        <w:t xml:space="preserve">raft </w:t>
      </w:r>
      <w:r w:rsidR="0076256B">
        <w:rPr>
          <w:rFonts w:eastAsia="Times New Roman" w:cs="Times New Roman"/>
          <w:szCs w:val="20"/>
        </w:rPr>
        <w:t xml:space="preserve">2022 RPS </w:t>
      </w:r>
      <w:r w:rsidRPr="005E7733">
        <w:rPr>
          <w:rFonts w:eastAsia="Times New Roman" w:cs="Times New Roman"/>
          <w:szCs w:val="20"/>
        </w:rPr>
        <w:t>Plans for</w:t>
      </w:r>
      <w:r w:rsidR="009C5C09">
        <w:rPr>
          <w:rFonts w:eastAsia="Times New Roman" w:cs="Times New Roman"/>
          <w:szCs w:val="20"/>
        </w:rPr>
        <w:t xml:space="preserve"> the following</w:t>
      </w:r>
      <w:r w:rsidRPr="005E7733">
        <w:rPr>
          <w:rFonts w:eastAsia="Times New Roman" w:cs="Times New Roman"/>
          <w:szCs w:val="20"/>
        </w:rPr>
        <w:t>:</w:t>
      </w:r>
    </w:p>
    <w:p w:rsidRPr="005E7733" w:rsidR="00CA17F4" w:rsidP="00724C6E" w:rsidRDefault="00CA17F4" w14:paraId="2A9D91D1" w14:textId="25FF6569">
      <w:pPr>
        <w:numPr>
          <w:ilvl w:val="0"/>
          <w:numId w:val="35"/>
        </w:numPr>
        <w:spacing w:after="120" w:line="240" w:lineRule="auto"/>
        <w:ind w:left="1080" w:right="1440"/>
        <w:rPr>
          <w:rFonts w:eastAsia="Times New Roman" w:cs="Times New Roman"/>
          <w:szCs w:val="20"/>
        </w:rPr>
      </w:pPr>
      <w:r w:rsidRPr="00724C6E">
        <w:rPr>
          <w:rFonts w:eastAsia="Palatino Linotype" w:cs="Times New Roman"/>
          <w:szCs w:val="26"/>
        </w:rPr>
        <w:t>Compliance</w:t>
      </w:r>
      <w:r w:rsidRPr="005E7733">
        <w:rPr>
          <w:rFonts w:eastAsia="Times New Roman" w:cs="Times New Roman"/>
          <w:szCs w:val="20"/>
        </w:rPr>
        <w:t xml:space="preserve"> with Table 1 of the 202</w:t>
      </w:r>
      <w:r>
        <w:rPr>
          <w:rFonts w:eastAsia="Times New Roman" w:cs="Times New Roman"/>
          <w:szCs w:val="20"/>
        </w:rPr>
        <w:t>2</w:t>
      </w:r>
      <w:r w:rsidRPr="005E7733">
        <w:rPr>
          <w:rFonts w:eastAsia="Times New Roman" w:cs="Times New Roman"/>
          <w:szCs w:val="20"/>
        </w:rPr>
        <w:t xml:space="preserve"> ACR, which required all RPS Plans to be accompanied by a </w:t>
      </w:r>
      <w:r w:rsidR="003266BF">
        <w:rPr>
          <w:rFonts w:eastAsia="Times New Roman" w:cs="Times New Roman"/>
          <w:szCs w:val="20"/>
        </w:rPr>
        <w:t>c</w:t>
      </w:r>
      <w:r w:rsidRPr="005E7733">
        <w:rPr>
          <w:rFonts w:eastAsia="Times New Roman" w:cs="Times New Roman"/>
          <w:szCs w:val="20"/>
        </w:rPr>
        <w:t>hecklist;</w:t>
      </w:r>
    </w:p>
    <w:p w:rsidRPr="005E7733" w:rsidR="00CA17F4" w:rsidP="00724C6E" w:rsidRDefault="00CA17F4" w14:paraId="79EFCCC6" w14:textId="0B5F5C5E">
      <w:pPr>
        <w:numPr>
          <w:ilvl w:val="0"/>
          <w:numId w:val="35"/>
        </w:numPr>
        <w:spacing w:after="120" w:line="240" w:lineRule="auto"/>
        <w:ind w:left="1080" w:right="1440"/>
        <w:rPr>
          <w:rFonts w:eastAsia="Times New Roman" w:cs="Times New Roman"/>
          <w:szCs w:val="20"/>
        </w:rPr>
      </w:pPr>
      <w:r w:rsidRPr="005E7733">
        <w:rPr>
          <w:rFonts w:eastAsia="Times New Roman" w:cs="Times New Roman"/>
          <w:szCs w:val="20"/>
        </w:rPr>
        <w:t>Description of the retail seller’s</w:t>
      </w:r>
      <w:r>
        <w:rPr>
          <w:rFonts w:eastAsia="Times New Roman" w:cs="Times New Roman"/>
          <w:szCs w:val="20"/>
        </w:rPr>
        <w:t xml:space="preserve"> </w:t>
      </w:r>
      <w:r w:rsidRPr="005E7733">
        <w:rPr>
          <w:rFonts w:eastAsia="Times New Roman" w:cs="Times New Roman"/>
          <w:szCs w:val="20"/>
        </w:rPr>
        <w:t xml:space="preserve">overall plan for procuring RPS </w:t>
      </w:r>
      <w:r w:rsidRPr="00724C6E">
        <w:rPr>
          <w:rFonts w:eastAsia="Palatino Linotype" w:cs="Times New Roman"/>
          <w:szCs w:val="26"/>
        </w:rPr>
        <w:t>resources</w:t>
      </w:r>
      <w:r w:rsidRPr="005E7733">
        <w:rPr>
          <w:rFonts w:eastAsia="Times New Roman" w:cs="Times New Roman"/>
          <w:szCs w:val="20"/>
        </w:rPr>
        <w:t xml:space="preserve"> to satisfy the RPS program requirements while minimizing cost and maximizing value to customers, as well as demonstrating how retail sellers comply with direction for RPS planning in SB 350, SB 100, and SB 901 (Dodd, Stats. 2018, ch.626). </w:t>
      </w:r>
      <w:r>
        <w:rPr>
          <w:rFonts w:eastAsia="Times New Roman" w:cs="Times New Roman"/>
          <w:szCs w:val="20"/>
        </w:rPr>
        <w:t xml:space="preserve"> </w:t>
      </w:r>
      <w:r w:rsidRPr="005E7733">
        <w:rPr>
          <w:rFonts w:eastAsia="Times New Roman" w:cs="Times New Roman"/>
          <w:szCs w:val="20"/>
        </w:rPr>
        <w:t xml:space="preserve">This includes, but is not limited to, any plans for building retail seller-owned resources, investing in renewable resources, and engaging in the sales of </w:t>
      </w:r>
      <w:r w:rsidR="000A3E0D">
        <w:rPr>
          <w:rFonts w:eastAsia="Times New Roman" w:cs="Times New Roman"/>
          <w:szCs w:val="20"/>
        </w:rPr>
        <w:t>RPS-eligible</w:t>
      </w:r>
      <w:r w:rsidRPr="005E7733">
        <w:rPr>
          <w:rFonts w:eastAsia="Times New Roman" w:cs="Times New Roman"/>
          <w:szCs w:val="20"/>
        </w:rPr>
        <w:t xml:space="preserve"> resources.</w:t>
      </w:r>
    </w:p>
    <w:p w:rsidRPr="005E7733" w:rsidR="00CA17F4" w:rsidP="00724C6E" w:rsidRDefault="00CA17F4" w14:paraId="7F8FBD90" w14:textId="190105A5">
      <w:pPr>
        <w:numPr>
          <w:ilvl w:val="0"/>
          <w:numId w:val="35"/>
        </w:numPr>
        <w:spacing w:after="120" w:line="240" w:lineRule="auto"/>
        <w:ind w:left="1080" w:right="1440"/>
        <w:rPr>
          <w:rFonts w:eastAsia="Times New Roman" w:cs="Times New Roman"/>
          <w:szCs w:val="20"/>
        </w:rPr>
      </w:pPr>
      <w:r w:rsidRPr="00724C6E">
        <w:rPr>
          <w:rFonts w:eastAsia="Palatino Linotype" w:cs="Times New Roman"/>
          <w:szCs w:val="26"/>
        </w:rPr>
        <w:t>Consistency</w:t>
      </w:r>
      <w:r w:rsidRPr="005E7733">
        <w:rPr>
          <w:rFonts w:eastAsia="Times New Roman" w:cs="Times New Roman"/>
          <w:szCs w:val="20"/>
        </w:rPr>
        <w:t xml:space="preserve"> of information in the RPS Plan.  </w:t>
      </w:r>
    </w:p>
    <w:p w:rsidRPr="005E7733" w:rsidR="00CA17F4" w:rsidP="00724C6E" w:rsidRDefault="00CA17F4" w14:paraId="48684468" w14:textId="5585822D">
      <w:pPr>
        <w:numPr>
          <w:ilvl w:val="0"/>
          <w:numId w:val="35"/>
        </w:numPr>
        <w:spacing w:after="120" w:line="240" w:lineRule="auto"/>
        <w:ind w:left="1080" w:right="1440"/>
        <w:rPr>
          <w:rFonts w:eastAsia="Times New Roman" w:cs="Times New Roman"/>
          <w:szCs w:val="20"/>
        </w:rPr>
      </w:pPr>
      <w:r w:rsidRPr="005E7733">
        <w:rPr>
          <w:rFonts w:eastAsia="Times New Roman" w:cs="Times New Roman"/>
          <w:szCs w:val="20"/>
        </w:rPr>
        <w:t>Thorough</w:t>
      </w:r>
      <w:r>
        <w:rPr>
          <w:rFonts w:eastAsia="Times New Roman" w:cs="Times New Roman"/>
          <w:szCs w:val="20"/>
        </w:rPr>
        <w:t xml:space="preserve">ly </w:t>
      </w:r>
      <w:r w:rsidRPr="005E7733">
        <w:rPr>
          <w:rFonts w:eastAsia="Times New Roman" w:cs="Times New Roman"/>
          <w:szCs w:val="20"/>
        </w:rPr>
        <w:t xml:space="preserve">describing and addressing procurement and sales of </w:t>
      </w:r>
      <w:r w:rsidR="000A3E0D">
        <w:rPr>
          <w:rFonts w:eastAsia="Times New Roman" w:cs="Times New Roman"/>
          <w:szCs w:val="20"/>
        </w:rPr>
        <w:t>RPS-eligible</w:t>
      </w:r>
      <w:r w:rsidRPr="005E7733">
        <w:rPr>
          <w:rFonts w:eastAsia="Times New Roman" w:cs="Times New Roman"/>
          <w:szCs w:val="20"/>
        </w:rPr>
        <w:t xml:space="preserve"> resources to demonstrate reliability and </w:t>
      </w:r>
      <w:r w:rsidRPr="00724C6E">
        <w:rPr>
          <w:rFonts w:eastAsia="Palatino Linotype" w:cs="Times New Roman"/>
          <w:szCs w:val="26"/>
        </w:rPr>
        <w:t>alignment</w:t>
      </w:r>
      <w:r w:rsidRPr="005E7733">
        <w:rPr>
          <w:rFonts w:eastAsia="Times New Roman" w:cs="Times New Roman"/>
          <w:szCs w:val="20"/>
        </w:rPr>
        <w:t xml:space="preserve"> with the State</w:t>
      </w:r>
      <w:r>
        <w:rPr>
          <w:rFonts w:eastAsia="Times New Roman" w:cs="Times New Roman"/>
          <w:szCs w:val="20"/>
        </w:rPr>
        <w:t>’</w:t>
      </w:r>
      <w:r w:rsidRPr="005E7733">
        <w:rPr>
          <w:rFonts w:eastAsia="Times New Roman" w:cs="Times New Roman"/>
          <w:szCs w:val="20"/>
        </w:rPr>
        <w:t xml:space="preserve">s policy goals. </w:t>
      </w:r>
      <w:r>
        <w:rPr>
          <w:rFonts w:eastAsia="Times New Roman" w:cs="Times New Roman"/>
          <w:szCs w:val="20"/>
        </w:rPr>
        <w:t xml:space="preserve"> </w:t>
      </w:r>
      <w:r w:rsidRPr="005E7733">
        <w:rPr>
          <w:rFonts w:eastAsia="Times New Roman" w:cs="Times New Roman"/>
          <w:szCs w:val="20"/>
        </w:rPr>
        <w:t>The 202</w:t>
      </w:r>
      <w:r>
        <w:rPr>
          <w:rFonts w:eastAsia="Times New Roman" w:cs="Times New Roman"/>
          <w:szCs w:val="20"/>
        </w:rPr>
        <w:t>2</w:t>
      </w:r>
      <w:r w:rsidRPr="005E7733">
        <w:rPr>
          <w:rFonts w:eastAsia="Times New Roman" w:cs="Times New Roman"/>
          <w:szCs w:val="20"/>
        </w:rPr>
        <w:t xml:space="preserve"> ACR required responses that provide summaries and detailed descriptions necessary to understand how a retail seller</w:t>
      </w:r>
      <w:r>
        <w:rPr>
          <w:rFonts w:eastAsia="Times New Roman" w:cs="Times New Roman"/>
          <w:szCs w:val="20"/>
        </w:rPr>
        <w:t>’</w:t>
      </w:r>
      <w:r w:rsidRPr="005E7733">
        <w:rPr>
          <w:rFonts w:eastAsia="Times New Roman" w:cs="Times New Roman"/>
          <w:szCs w:val="20"/>
        </w:rPr>
        <w:t xml:space="preserve">s planning and procurement strategies address state goals and satisfy statutory requirements.  </w:t>
      </w:r>
    </w:p>
    <w:p w:rsidRPr="00D575B5" w:rsidR="005939A5" w:rsidP="00724C6E" w:rsidRDefault="001C7D9E" w14:paraId="68FEBAA6" w14:textId="67181D01">
      <w:pPr>
        <w:numPr>
          <w:ilvl w:val="0"/>
          <w:numId w:val="35"/>
        </w:numPr>
        <w:spacing w:after="120" w:line="240" w:lineRule="auto"/>
        <w:ind w:left="1080" w:right="1440"/>
        <w:rPr>
          <w:rFonts w:eastAsia="Times New Roman" w:cs="Times New Roman"/>
          <w:szCs w:val="20"/>
        </w:rPr>
      </w:pPr>
      <w:r>
        <w:rPr>
          <w:rFonts w:eastAsia="Times New Roman" w:cs="Times New Roman"/>
          <w:szCs w:val="20"/>
        </w:rPr>
        <w:t>Compliance with</w:t>
      </w:r>
      <w:r w:rsidRPr="005E7733" w:rsidR="00CA17F4">
        <w:rPr>
          <w:rFonts w:eastAsia="Times New Roman" w:cs="Times New Roman"/>
          <w:szCs w:val="20"/>
        </w:rPr>
        <w:t xml:space="preserve"> the format and numbering convention in Table 1 </w:t>
      </w:r>
      <w:r w:rsidRPr="00724C6E" w:rsidR="00CA17F4">
        <w:rPr>
          <w:rFonts w:eastAsia="Palatino Linotype" w:cs="Times New Roman"/>
          <w:szCs w:val="26"/>
        </w:rPr>
        <w:t>of</w:t>
      </w:r>
      <w:r w:rsidRPr="005E7733" w:rsidR="00CA17F4">
        <w:rPr>
          <w:rFonts w:eastAsia="Times New Roman" w:cs="Times New Roman"/>
          <w:szCs w:val="20"/>
        </w:rPr>
        <w:t xml:space="preserve"> the 202</w:t>
      </w:r>
      <w:r w:rsidR="004339D6">
        <w:rPr>
          <w:rFonts w:eastAsia="Times New Roman" w:cs="Times New Roman"/>
          <w:szCs w:val="20"/>
        </w:rPr>
        <w:t>2</w:t>
      </w:r>
      <w:r w:rsidRPr="005E7733" w:rsidR="00CA17F4">
        <w:rPr>
          <w:rFonts w:eastAsia="Times New Roman" w:cs="Times New Roman"/>
          <w:szCs w:val="20"/>
        </w:rPr>
        <w:t xml:space="preserve"> ACR.  </w:t>
      </w:r>
    </w:p>
    <w:p w:rsidR="00D575B5" w:rsidP="00330F91" w:rsidRDefault="00D575B5" w14:paraId="5C85A8E3" w14:textId="29787F31">
      <w:pPr>
        <w:pStyle w:val="Heading1"/>
        <w:numPr>
          <w:ilvl w:val="0"/>
          <w:numId w:val="2"/>
        </w:numPr>
      </w:pPr>
      <w:bookmarkStart w:name="_Toc8123720" w:id="10"/>
      <w:bookmarkStart w:name="_Toc122180438" w:id="11"/>
      <w:r>
        <w:t xml:space="preserve">Organization of </w:t>
      </w:r>
      <w:r w:rsidR="00724C6E">
        <w:t>t</w:t>
      </w:r>
      <w:r>
        <w:t xml:space="preserve">he </w:t>
      </w:r>
      <w:r w:rsidR="00724C6E">
        <w:t>D</w:t>
      </w:r>
      <w:r>
        <w:t>ecision</w:t>
      </w:r>
      <w:bookmarkEnd w:id="11"/>
    </w:p>
    <w:p w:rsidR="009B6642" w:rsidP="00D575B5" w:rsidRDefault="006A6DAF" w14:paraId="1F98A220" w14:textId="524D2B96">
      <w:pPr>
        <w:pStyle w:val="Standard"/>
      </w:pPr>
      <w:r>
        <w:t>The RPS statute requires that retail sellers prepare an annual RPS procurement plan for Commission review.</w:t>
      </w:r>
      <w:r>
        <w:rPr>
          <w:rStyle w:val="FootnoteReference"/>
        </w:rPr>
        <w:footnoteReference w:id="6"/>
      </w:r>
      <w:r>
        <w:t xml:space="preserve"> </w:t>
      </w:r>
      <w:r w:rsidR="00E60171">
        <w:t xml:space="preserve"> </w:t>
      </w:r>
      <w:r w:rsidR="00821FBF">
        <w:t xml:space="preserve">This decision reviews </w:t>
      </w:r>
      <w:r w:rsidRPr="00821FBF" w:rsidR="00821FBF">
        <w:t>4</w:t>
      </w:r>
      <w:r w:rsidR="00C63B10">
        <w:t>2</w:t>
      </w:r>
      <w:r w:rsidR="00821FBF">
        <w:t xml:space="preserve"> </w:t>
      </w:r>
      <w:r w:rsidRPr="00821FBF" w:rsidR="00821FBF">
        <w:t xml:space="preserve">Draft </w:t>
      </w:r>
      <w:r w:rsidRPr="00821FBF" w:rsidR="00821FBF">
        <w:lastRenderedPageBreak/>
        <w:t>2022</w:t>
      </w:r>
      <w:r w:rsidR="00431027">
        <w:t> </w:t>
      </w:r>
      <w:r w:rsidRPr="00821FBF" w:rsidR="00821FBF">
        <w:t>RPS plans</w:t>
      </w:r>
      <w:r w:rsidR="00821FBF">
        <w:t xml:space="preserve"> </w:t>
      </w:r>
      <w:r w:rsidRPr="00821FBF" w:rsidR="00821FBF">
        <w:t>filed by the</w:t>
      </w:r>
      <w:r w:rsidR="00821FBF">
        <w:t xml:space="preserve"> </w:t>
      </w:r>
      <w:r w:rsidRPr="00821FBF" w:rsidR="00821FBF">
        <w:t>IOUs</w:t>
      </w:r>
      <w:r w:rsidR="00821FBF">
        <w:t xml:space="preserve"> </w:t>
      </w:r>
      <w:r w:rsidRPr="00821FBF" w:rsidR="00821FBF">
        <w:t>(3), SMJUs</w:t>
      </w:r>
      <w:r w:rsidR="00821FBF">
        <w:t xml:space="preserve"> </w:t>
      </w:r>
      <w:r w:rsidRPr="00821FBF" w:rsidR="00821FBF">
        <w:t>(3), ESPs</w:t>
      </w:r>
      <w:r w:rsidR="00821FBF">
        <w:t xml:space="preserve"> </w:t>
      </w:r>
      <w:r w:rsidRPr="00821FBF" w:rsidR="00821FBF">
        <w:t>(</w:t>
      </w:r>
      <w:r w:rsidR="003266BF">
        <w:t>11</w:t>
      </w:r>
      <w:r w:rsidRPr="00821FBF" w:rsidR="00821FBF">
        <w:t>)</w:t>
      </w:r>
      <w:r w:rsidR="000A3E0D">
        <w:t>,</w:t>
      </w:r>
      <w:r w:rsidR="00821FBF">
        <w:t xml:space="preserve"> </w:t>
      </w:r>
      <w:r w:rsidRPr="00821FBF" w:rsidR="00821FBF">
        <w:t>and CCAs</w:t>
      </w:r>
      <w:r>
        <w:t xml:space="preserve"> </w:t>
      </w:r>
      <w:r w:rsidRPr="00821FBF" w:rsidR="00821FBF">
        <w:t>(25).</w:t>
      </w:r>
      <w:r w:rsidR="00821FBF">
        <w:t xml:space="preserve"> </w:t>
      </w:r>
      <w:r w:rsidR="00431027">
        <w:t xml:space="preserve"> </w:t>
      </w:r>
      <w:r w:rsidR="00057376">
        <w:t xml:space="preserve">The Commission has reviewed and approved or accepted annual RPS procurement plans for over </w:t>
      </w:r>
      <w:r w:rsidR="000A3E0D">
        <w:t xml:space="preserve">a </w:t>
      </w:r>
      <w:r w:rsidR="001A3782">
        <w:t>decade</w:t>
      </w:r>
      <w:r w:rsidR="00057376">
        <w:t xml:space="preserve">. </w:t>
      </w:r>
      <w:r w:rsidR="00431027">
        <w:t xml:space="preserve"> </w:t>
      </w:r>
      <w:r w:rsidR="00272B14">
        <w:t>This year</w:t>
      </w:r>
      <w:r w:rsidR="00057376">
        <w:t xml:space="preserve"> </w:t>
      </w:r>
      <w:r w:rsidR="00B81DFD">
        <w:t xml:space="preserve">is unique for the retail sellers as the IOUs are implementing </w:t>
      </w:r>
      <w:r w:rsidR="00272B14">
        <w:t>the VAMO process</w:t>
      </w:r>
      <w:r w:rsidR="000A3E0D">
        <w:t>,</w:t>
      </w:r>
      <w:r w:rsidR="00272B14">
        <w:t xml:space="preserve"> and there is uncertainty </w:t>
      </w:r>
      <w:r w:rsidR="003477F7">
        <w:t xml:space="preserve">around the near-term sale and procurement needs. </w:t>
      </w:r>
      <w:r w:rsidR="00C1234A">
        <w:t xml:space="preserve"> </w:t>
      </w:r>
      <w:r w:rsidR="003112DF">
        <w:t xml:space="preserve">While all IOUs </w:t>
      </w:r>
      <w:r w:rsidR="00172AA9">
        <w:t>are</w:t>
      </w:r>
      <w:r w:rsidR="003112DF">
        <w:t xml:space="preserve"> long on their RPS positions</w:t>
      </w:r>
      <w:r w:rsidR="000F5CFB">
        <w:t>, the VAMO implementation might change their RPS needs in the coming years</w:t>
      </w:r>
      <w:r w:rsidR="00162626">
        <w:t xml:space="preserve">. </w:t>
      </w:r>
      <w:r w:rsidR="00C1234A">
        <w:t xml:space="preserve"> </w:t>
      </w:r>
      <w:r w:rsidR="00162626">
        <w:t>This year all the IOUs are requesting to count their renewable generation procurements from the IRP solicitations towards the RPS eligibility.</w:t>
      </w:r>
    </w:p>
    <w:p w:rsidRPr="00D575B5" w:rsidR="00D575B5" w:rsidP="009B6642" w:rsidRDefault="00162626" w14:paraId="06B7B694" w14:textId="1E896CED">
      <w:pPr>
        <w:pStyle w:val="Standard"/>
      </w:pPr>
      <w:r>
        <w:t>Besides reviewing the need for procurement and sale of RPS resources to balance the</w:t>
      </w:r>
      <w:r w:rsidR="00BE5C6D">
        <w:t>ir</w:t>
      </w:r>
      <w:r>
        <w:t xml:space="preserve"> portfolio</w:t>
      </w:r>
      <w:r w:rsidR="00BE5C6D">
        <w:t>s</w:t>
      </w:r>
      <w:r>
        <w:t xml:space="preserve">, </w:t>
      </w:r>
      <w:r w:rsidR="00496919">
        <w:t>reviewing</w:t>
      </w:r>
      <w:r>
        <w:t xml:space="preserve"> the three large IOUs’ procurement plans has become routine. This decision </w:t>
      </w:r>
      <w:r w:rsidR="00057376">
        <w:t>describes only the sections of the IOUs’, ESPs’</w:t>
      </w:r>
      <w:r w:rsidR="00AE53AF">
        <w:t>,</w:t>
      </w:r>
      <w:r w:rsidR="00057376">
        <w:t xml:space="preserve"> and</w:t>
      </w:r>
      <w:r w:rsidR="00AE53AF">
        <w:t xml:space="preserve"> </w:t>
      </w:r>
      <w:r w:rsidR="00057376">
        <w:t xml:space="preserve">CCAs’ procurement plans that are key, disputed, or </w:t>
      </w:r>
      <w:r w:rsidR="002B204F">
        <w:t>seeking specific requests</w:t>
      </w:r>
      <w:r w:rsidR="00057376">
        <w:t>.</w:t>
      </w:r>
    </w:p>
    <w:p w:rsidR="00784289" w:rsidP="00784289" w:rsidRDefault="00784289" w14:paraId="379BFCE0" w14:textId="339951DC">
      <w:pPr>
        <w:pStyle w:val="Heading1"/>
        <w:numPr>
          <w:ilvl w:val="0"/>
          <w:numId w:val="2"/>
        </w:numPr>
      </w:pPr>
      <w:bookmarkStart w:name="_Toc122180439" w:id="12"/>
      <w:r>
        <w:t>Assessment of RPS Portfolio</w:t>
      </w:r>
      <w:r w:rsidR="00724C6E">
        <w:br/>
      </w:r>
      <w:r>
        <w:t>Supplies and Demand</w:t>
      </w:r>
      <w:bookmarkEnd w:id="12"/>
    </w:p>
    <w:p w:rsidR="680F724B" w:rsidP="15D87781" w:rsidRDefault="680F724B" w14:paraId="44F69DB6" w14:textId="1F9E88A4">
      <w:pPr>
        <w:rPr>
          <w:rFonts w:eastAsia="Book Antiqua" w:cs="Book Antiqua"/>
          <w:color w:val="000000" w:themeColor="text1"/>
          <w:szCs w:val="26"/>
        </w:rPr>
      </w:pPr>
      <w:r w:rsidRPr="15D87781">
        <w:rPr>
          <w:rFonts w:eastAsia="Book Antiqua" w:cs="Book Antiqua"/>
          <w:color w:val="000000" w:themeColor="text1"/>
          <w:szCs w:val="26"/>
        </w:rPr>
        <w:t>We discuss our findings and give guidance to all retail sellers in this section.</w:t>
      </w:r>
    </w:p>
    <w:p w:rsidR="133F45FE" w:rsidP="00CC3059" w:rsidRDefault="133F45FE" w14:paraId="13836DD4" w14:textId="5D542909">
      <w:pPr>
        <w:pStyle w:val="Heading2"/>
        <w:numPr>
          <w:ilvl w:val="1"/>
          <w:numId w:val="2"/>
        </w:numPr>
        <w:rPr>
          <w:rFonts w:asciiTheme="minorHAnsi" w:hAnsiTheme="minorHAnsi" w:eastAsiaTheme="minorEastAsia" w:cstheme="minorBidi"/>
          <w:bCs/>
          <w:color w:val="000000" w:themeColor="text1"/>
        </w:rPr>
      </w:pPr>
      <w:bookmarkStart w:name="_Toc122180440" w:id="13"/>
      <w:r>
        <w:t>Long-Term Procurement</w:t>
      </w:r>
      <w:bookmarkEnd w:id="13"/>
    </w:p>
    <w:p w:rsidR="49420FA2" w:rsidP="00E84EFA" w:rsidRDefault="49420FA2" w14:paraId="2E879666" w14:textId="6964A322">
      <w:pPr>
        <w:rPr>
          <w:rFonts w:eastAsia="Book Antiqua" w:cs="Book Antiqua"/>
          <w:color w:val="000000" w:themeColor="text1"/>
          <w:szCs w:val="26"/>
        </w:rPr>
      </w:pPr>
      <w:r w:rsidRPr="15D87781">
        <w:rPr>
          <w:rFonts w:eastAsia="Book Antiqua" w:cs="Book Antiqua"/>
          <w:color w:val="000000" w:themeColor="text1"/>
          <w:szCs w:val="26"/>
        </w:rPr>
        <w:t>S</w:t>
      </w:r>
      <w:r w:rsidR="00C65E52">
        <w:rPr>
          <w:rFonts w:eastAsia="Book Antiqua" w:cs="Book Antiqua"/>
          <w:color w:val="000000" w:themeColor="text1"/>
          <w:szCs w:val="26"/>
        </w:rPr>
        <w:t>B</w:t>
      </w:r>
      <w:r w:rsidRPr="15D87781">
        <w:rPr>
          <w:rFonts w:eastAsia="Book Antiqua" w:cs="Book Antiqua"/>
          <w:color w:val="000000" w:themeColor="text1"/>
          <w:szCs w:val="26"/>
        </w:rPr>
        <w:t xml:space="preserve"> 350 (Statutes of 2015, Chapter 547) increased the RPS long-term contracting requirement such that 65% of all procurement used for RPS compliance must be through contracts with terms of 10 years or longer.  The 65</w:t>
      </w:r>
      <w:r w:rsidR="00724C6E">
        <w:rPr>
          <w:rFonts w:eastAsia="Book Antiqua" w:cs="Book Antiqua"/>
          <w:color w:val="000000" w:themeColor="text1"/>
          <w:szCs w:val="26"/>
        </w:rPr>
        <w:t> </w:t>
      </w:r>
      <w:r w:rsidR="00E84EFA">
        <w:rPr>
          <w:rFonts w:eastAsia="Book Antiqua" w:cs="Book Antiqua"/>
          <w:color w:val="000000" w:themeColor="text1"/>
          <w:szCs w:val="26"/>
        </w:rPr>
        <w:t>percent</w:t>
      </w:r>
      <w:r w:rsidRPr="15D87781">
        <w:rPr>
          <w:rFonts w:eastAsia="Book Antiqua" w:cs="Book Antiqua"/>
          <w:color w:val="000000" w:themeColor="text1"/>
          <w:szCs w:val="26"/>
        </w:rPr>
        <w:t xml:space="preserve"> long-term requirement becomes effective for all retail sellers in the 2021 – 2024 compliance period, though some elected for early compliance in the 2017 – 2020 compliance period.  Prudent</w:t>
      </w:r>
      <w:r w:rsidRPr="15D87781">
        <w:rPr>
          <w:rFonts w:ascii="Times New Roman" w:hAnsi="Times New Roman" w:eastAsia="Times New Roman" w:cs="Times New Roman"/>
          <w:color w:val="000000" w:themeColor="text1"/>
          <w:szCs w:val="26"/>
        </w:rPr>
        <w:t> </w:t>
      </w:r>
      <w:r w:rsidRPr="15D87781">
        <w:rPr>
          <w:rFonts w:eastAsia="Book Antiqua" w:cs="Book Antiqua"/>
          <w:color w:val="000000" w:themeColor="text1"/>
          <w:szCs w:val="26"/>
        </w:rPr>
        <w:t>long-term contracting assessments</w:t>
      </w:r>
      <w:r w:rsidRPr="15D87781">
        <w:rPr>
          <w:rFonts w:ascii="Times New Roman" w:hAnsi="Times New Roman" w:eastAsia="Times New Roman" w:cs="Times New Roman"/>
          <w:color w:val="000000" w:themeColor="text1"/>
          <w:szCs w:val="26"/>
        </w:rPr>
        <w:t> </w:t>
      </w:r>
      <w:r w:rsidRPr="15D87781">
        <w:rPr>
          <w:rFonts w:eastAsia="Book Antiqua" w:cs="Book Antiqua"/>
          <w:color w:val="000000" w:themeColor="text1"/>
          <w:szCs w:val="26"/>
        </w:rPr>
        <w:t>should be used to inform a retail seller’s</w:t>
      </w:r>
      <w:r w:rsidRPr="15D87781">
        <w:rPr>
          <w:rFonts w:ascii="Times New Roman" w:hAnsi="Times New Roman" w:eastAsia="Times New Roman" w:cs="Times New Roman"/>
          <w:color w:val="000000" w:themeColor="text1"/>
          <w:szCs w:val="26"/>
        </w:rPr>
        <w:t> </w:t>
      </w:r>
      <w:r w:rsidRPr="15D87781">
        <w:rPr>
          <w:rFonts w:eastAsia="Book Antiqua" w:cs="Book Antiqua"/>
          <w:color w:val="000000" w:themeColor="text1"/>
          <w:szCs w:val="26"/>
        </w:rPr>
        <w:t>RPS procurement planning and procurement decisions for current and future compliance periods.  </w:t>
      </w:r>
    </w:p>
    <w:p w:rsidR="49420FA2" w:rsidP="15D87781" w:rsidRDefault="49420FA2" w14:paraId="7700A125" w14:textId="1260BF6C">
      <w:pPr>
        <w:rPr>
          <w:rFonts w:eastAsia="Book Antiqua" w:cs="Book Antiqua"/>
          <w:color w:val="000000" w:themeColor="text1"/>
          <w:szCs w:val="26"/>
        </w:rPr>
      </w:pPr>
      <w:r w:rsidRPr="15D87781">
        <w:rPr>
          <w:rFonts w:eastAsia="Book Antiqua" w:cs="Book Antiqua"/>
          <w:color w:val="000000" w:themeColor="text1"/>
          <w:szCs w:val="26"/>
        </w:rPr>
        <w:t>Our assessment of the Draft 202</w:t>
      </w:r>
      <w:r w:rsidRPr="00CA6961">
        <w:rPr>
          <w:rFonts w:eastAsia="Book Antiqua" w:cs="Book Antiqua"/>
          <w:szCs w:val="26"/>
        </w:rPr>
        <w:t>2</w:t>
      </w:r>
      <w:r w:rsidRPr="15D87781">
        <w:rPr>
          <w:rFonts w:eastAsia="Book Antiqua" w:cs="Book Antiqua"/>
          <w:color w:val="000000" w:themeColor="text1"/>
          <w:szCs w:val="26"/>
        </w:rPr>
        <w:t xml:space="preserve"> RPS Plans’ compliance with the long</w:t>
      </w:r>
      <w:r w:rsidR="00C1234A">
        <w:rPr>
          <w:rFonts w:eastAsia="Book Antiqua" w:cs="Book Antiqua"/>
          <w:color w:val="000000" w:themeColor="text1"/>
          <w:szCs w:val="26"/>
        </w:rPr>
        <w:noBreakHyphen/>
      </w:r>
      <w:r w:rsidRPr="15D87781">
        <w:rPr>
          <w:rFonts w:eastAsia="Book Antiqua" w:cs="Book Antiqua"/>
          <w:color w:val="000000" w:themeColor="text1"/>
          <w:szCs w:val="26"/>
        </w:rPr>
        <w:t xml:space="preserve">term procurement requirements for retail sellers is shown </w:t>
      </w:r>
      <w:r w:rsidR="007941D8">
        <w:rPr>
          <w:rFonts w:eastAsia="Book Antiqua" w:cs="Book Antiqua"/>
          <w:color w:val="000000" w:themeColor="text1"/>
          <w:szCs w:val="26"/>
        </w:rPr>
        <w:t xml:space="preserve">in Table 1 </w:t>
      </w:r>
      <w:r w:rsidRPr="15D87781">
        <w:rPr>
          <w:rFonts w:eastAsia="Book Antiqua" w:cs="Book Antiqua"/>
          <w:color w:val="000000" w:themeColor="text1"/>
          <w:szCs w:val="26"/>
        </w:rPr>
        <w:t>below</w:t>
      </w:r>
      <w:r w:rsidR="007941D8">
        <w:rPr>
          <w:rFonts w:eastAsia="Book Antiqua" w:cs="Book Antiqua"/>
          <w:color w:val="000000" w:themeColor="text1"/>
          <w:szCs w:val="26"/>
        </w:rPr>
        <w:t>.</w:t>
      </w:r>
    </w:p>
    <w:p w:rsidRPr="00F014E0" w:rsidR="00E813E5" w:rsidP="00431027" w:rsidRDefault="49420FA2" w14:paraId="3F95153B" w14:textId="7A2C0792">
      <w:pPr>
        <w:spacing w:after="120" w:line="276" w:lineRule="auto"/>
        <w:ind w:firstLine="0"/>
        <w:jc w:val="center"/>
        <w:rPr>
          <w:rFonts w:eastAsia="Book Antiqua" w:cs="Book Antiqua"/>
          <w:b/>
          <w:bCs/>
          <w:color w:val="000000" w:themeColor="text1"/>
          <w:szCs w:val="26"/>
        </w:rPr>
      </w:pPr>
      <w:r w:rsidRPr="00D84417">
        <w:rPr>
          <w:rFonts w:eastAsia="Book Antiqua" w:cs="Book Antiqua"/>
          <w:b/>
          <w:bCs/>
          <w:color w:val="000000" w:themeColor="text1"/>
          <w:szCs w:val="26"/>
        </w:rPr>
        <w:lastRenderedPageBreak/>
        <w:t xml:space="preserve">Table </w:t>
      </w:r>
      <w:r w:rsidRPr="00D84417" w:rsidR="00E84EFA">
        <w:rPr>
          <w:rFonts w:eastAsia="Book Antiqua" w:cs="Book Antiqua"/>
          <w:b/>
          <w:bCs/>
          <w:color w:val="000000" w:themeColor="text1"/>
          <w:szCs w:val="26"/>
        </w:rPr>
        <w:t>1</w:t>
      </w:r>
      <w:r w:rsidRPr="00D84417">
        <w:rPr>
          <w:rFonts w:eastAsia="Book Antiqua" w:cs="Book Antiqua"/>
          <w:b/>
          <w:bCs/>
          <w:color w:val="000000" w:themeColor="text1"/>
          <w:szCs w:val="26"/>
        </w:rPr>
        <w:t>:  Forecasted Long-Term Contracting Positions of</w:t>
      </w:r>
      <w:r w:rsidR="00F014E0">
        <w:rPr>
          <w:rFonts w:eastAsia="Book Antiqua" w:cs="Book Antiqua"/>
          <w:b/>
          <w:bCs/>
          <w:color w:val="000000" w:themeColor="text1"/>
          <w:szCs w:val="26"/>
        </w:rPr>
        <w:br/>
      </w:r>
      <w:r w:rsidRPr="00D84417">
        <w:rPr>
          <w:rFonts w:eastAsia="Book Antiqua" w:cs="Book Antiqua"/>
          <w:b/>
          <w:bCs/>
          <w:color w:val="000000" w:themeColor="text1"/>
          <w:szCs w:val="26"/>
        </w:rPr>
        <w:t>Retail Sellers for</w:t>
      </w:r>
      <w:r w:rsidR="00E813E5">
        <w:rPr>
          <w:rFonts w:eastAsia="Book Antiqua" w:cs="Book Antiqua"/>
          <w:color w:val="000000" w:themeColor="text1"/>
          <w:szCs w:val="26"/>
        </w:rPr>
        <w:t xml:space="preserve"> </w:t>
      </w:r>
      <w:r w:rsidRPr="00D84417">
        <w:rPr>
          <w:rFonts w:eastAsia="Book Antiqua" w:cs="Book Antiqua"/>
          <w:b/>
          <w:bCs/>
          <w:color w:val="000000" w:themeColor="text1"/>
          <w:szCs w:val="26"/>
        </w:rPr>
        <w:t>2021-2024 Compliance Period</w:t>
      </w:r>
    </w:p>
    <w:tbl>
      <w:tblPr>
        <w:tblW w:w="0" w:type="auto"/>
        <w:jc w:val="center"/>
        <w:tblLook w:val="04A0" w:firstRow="1" w:lastRow="0" w:firstColumn="1" w:lastColumn="0" w:noHBand="0" w:noVBand="1"/>
      </w:tblPr>
      <w:tblGrid>
        <w:gridCol w:w="3114"/>
        <w:gridCol w:w="3628"/>
        <w:gridCol w:w="2602"/>
      </w:tblGrid>
      <w:tr w:rsidR="15D87781" w:rsidTr="00F014E0" w14:paraId="3D39D97D" w14:textId="77777777">
        <w:trPr>
          <w:trHeight w:val="300"/>
          <w:tblHeader/>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C3A69" w:rsidR="15D87781" w:rsidP="00F014E0" w:rsidRDefault="15D87781" w14:paraId="7DD5838F" w14:textId="26AF4384">
            <w:pPr>
              <w:spacing w:line="240" w:lineRule="auto"/>
              <w:ind w:firstLine="0"/>
              <w:jc w:val="center"/>
              <w:rPr>
                <w:rFonts w:eastAsia="Garamond" w:cs="Garamond"/>
                <w:sz w:val="24"/>
                <w:szCs w:val="24"/>
              </w:rPr>
            </w:pPr>
            <w:r w:rsidRPr="005C3A69">
              <w:rPr>
                <w:rFonts w:eastAsia="Garamond" w:cs="Garamond"/>
                <w:b/>
                <w:bCs/>
                <w:sz w:val="24"/>
                <w:szCs w:val="24"/>
              </w:rPr>
              <w:t xml:space="preserve">Current Contracts Forecasted to Meet </w:t>
            </w:r>
            <w:r w:rsidR="00CA6961">
              <w:rPr>
                <w:rFonts w:eastAsia="Garamond" w:cs="Garamond"/>
                <w:b/>
                <w:bCs/>
                <w:sz w:val="24"/>
                <w:szCs w:val="24"/>
              </w:rPr>
              <w:t xml:space="preserve">the </w:t>
            </w:r>
            <w:r w:rsidRPr="005C3A69">
              <w:rPr>
                <w:rFonts w:eastAsia="Garamond" w:cs="Garamond"/>
                <w:b/>
                <w:bCs/>
                <w:sz w:val="24"/>
                <w:szCs w:val="24"/>
              </w:rPr>
              <w:t>65% Long-Term Contract Requirement</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C3A69" w:rsidR="15D87781" w:rsidP="00F014E0" w:rsidRDefault="15D87781" w14:paraId="17C8F801" w14:textId="7956822C">
            <w:pPr>
              <w:spacing w:line="240" w:lineRule="auto"/>
              <w:ind w:firstLine="0"/>
              <w:jc w:val="center"/>
              <w:rPr>
                <w:rFonts w:eastAsia="Garamond" w:cs="Garamond"/>
                <w:sz w:val="24"/>
                <w:szCs w:val="24"/>
              </w:rPr>
            </w:pPr>
            <w:r w:rsidRPr="005C3A69">
              <w:rPr>
                <w:rFonts w:eastAsia="Garamond" w:cs="Garamond"/>
                <w:b/>
                <w:bCs/>
                <w:sz w:val="24"/>
                <w:szCs w:val="24"/>
              </w:rPr>
              <w:t>Contracted above 5% of RPS Contracts as Long-Term Contracts but Less Than 65%</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C3A69" w:rsidR="15D87781" w:rsidP="00F014E0" w:rsidRDefault="15D87781" w14:paraId="3F9CBC17" w14:textId="06CCBD6F">
            <w:pPr>
              <w:spacing w:line="240" w:lineRule="auto"/>
              <w:ind w:firstLine="0"/>
              <w:jc w:val="center"/>
              <w:rPr>
                <w:rFonts w:eastAsia="Garamond" w:cs="Garamond"/>
                <w:sz w:val="24"/>
                <w:szCs w:val="24"/>
              </w:rPr>
            </w:pPr>
            <w:r w:rsidRPr="005C3A69">
              <w:rPr>
                <w:rFonts w:eastAsia="Garamond" w:cs="Garamond"/>
                <w:b/>
                <w:bCs/>
                <w:sz w:val="24"/>
                <w:szCs w:val="24"/>
              </w:rPr>
              <w:t>No Long-Term Contracts or Less Than 5% Long-Term Contracts</w:t>
            </w:r>
          </w:p>
        </w:tc>
      </w:tr>
      <w:tr w:rsidR="00867B7E" w:rsidTr="00F014E0" w14:paraId="74301956"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16BA2D05" w14:textId="7BF23203">
            <w:pPr>
              <w:spacing w:line="240" w:lineRule="auto"/>
              <w:ind w:firstLine="0"/>
              <w:rPr>
                <w:rFonts w:eastAsia="Garamond" w:cs="Garamond"/>
                <w:sz w:val="24"/>
                <w:szCs w:val="24"/>
              </w:rPr>
            </w:pPr>
            <w:r w:rsidRPr="00D84417">
              <w:rPr>
                <w:rFonts w:eastAsia="Garamond" w:cs="Garamond"/>
                <w:sz w:val="24"/>
                <w:szCs w:val="24"/>
              </w:rPr>
              <w:t>PG&amp;E</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5D23CFE2" w14:textId="581E516B">
            <w:pPr>
              <w:spacing w:line="240" w:lineRule="auto"/>
              <w:ind w:firstLine="0"/>
              <w:rPr>
                <w:rFonts w:eastAsia="Garamond" w:cs="Garamond"/>
                <w:sz w:val="24"/>
                <w:szCs w:val="24"/>
              </w:rPr>
            </w:pPr>
            <w:r w:rsidRPr="00D84417">
              <w:rPr>
                <w:rFonts w:eastAsia="Garamond" w:cs="Garamond"/>
                <w:sz w:val="24"/>
                <w:szCs w:val="24"/>
              </w:rPr>
              <w:t>San Diego Community Power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5A9F9F81" w14:textId="3A906BE5">
            <w:pPr>
              <w:spacing w:line="240" w:lineRule="auto"/>
              <w:ind w:firstLine="0"/>
              <w:rPr>
                <w:rFonts w:eastAsia="Garamond" w:cs="Garamond"/>
                <w:sz w:val="24"/>
                <w:szCs w:val="24"/>
              </w:rPr>
            </w:pPr>
            <w:r w:rsidRPr="00D84417">
              <w:rPr>
                <w:rFonts w:eastAsia="Garamond" w:cs="Garamond"/>
                <w:sz w:val="24"/>
                <w:szCs w:val="24"/>
              </w:rPr>
              <w:t>Brookfield Renewable Energy Marketing US</w:t>
            </w:r>
          </w:p>
        </w:tc>
      </w:tr>
      <w:tr w:rsidR="00867B7E" w:rsidTr="00F014E0" w14:paraId="71C9C771"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1117B602" w14:textId="2FCB355A">
            <w:pPr>
              <w:spacing w:line="240" w:lineRule="auto"/>
              <w:ind w:firstLine="0"/>
              <w:rPr>
                <w:rFonts w:eastAsia="Garamond" w:cs="Garamond"/>
                <w:sz w:val="24"/>
                <w:szCs w:val="24"/>
              </w:rPr>
            </w:pPr>
            <w:r w:rsidRPr="00D84417">
              <w:rPr>
                <w:rFonts w:eastAsia="Garamond" w:cs="Garamond"/>
                <w:sz w:val="24"/>
                <w:szCs w:val="24"/>
              </w:rPr>
              <w:t>SCE</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347E18" w:rsidR="00867B7E" w:rsidP="00F014E0" w:rsidRDefault="00867B7E" w14:paraId="2F058E7B" w14:textId="1E265B07">
            <w:pPr>
              <w:spacing w:line="240" w:lineRule="auto"/>
              <w:ind w:firstLine="0"/>
              <w:rPr>
                <w:rFonts w:eastAsia="Garamond" w:cs="Garamond"/>
                <w:sz w:val="24"/>
                <w:szCs w:val="24"/>
              </w:rPr>
            </w:pPr>
            <w:r w:rsidRPr="00347E18">
              <w:rPr>
                <w:rFonts w:eastAsia="Garamond" w:cs="Garamond"/>
                <w:sz w:val="24"/>
                <w:szCs w:val="24"/>
              </w:rPr>
              <w:t>San Jacinto Power</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4B456FFB" w14:textId="5187F4FA">
            <w:pPr>
              <w:spacing w:line="240" w:lineRule="auto"/>
              <w:rPr>
                <w:rFonts w:eastAsia="Garamond" w:cs="Garamond"/>
                <w:sz w:val="24"/>
                <w:szCs w:val="24"/>
              </w:rPr>
            </w:pPr>
          </w:p>
        </w:tc>
      </w:tr>
      <w:tr w:rsidR="00867B7E" w:rsidTr="00F014E0" w14:paraId="3A46A080"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3C0459F7" w14:textId="1228AB59">
            <w:pPr>
              <w:spacing w:line="240" w:lineRule="auto"/>
              <w:ind w:firstLine="0"/>
              <w:rPr>
                <w:rFonts w:eastAsia="Garamond" w:cs="Garamond"/>
                <w:sz w:val="24"/>
                <w:szCs w:val="24"/>
              </w:rPr>
            </w:pPr>
            <w:r w:rsidRPr="00D84417">
              <w:rPr>
                <w:rFonts w:eastAsia="Garamond" w:cs="Garamond"/>
                <w:sz w:val="24"/>
                <w:szCs w:val="24"/>
              </w:rPr>
              <w:t>SDG&amp;E</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77CCD112" w14:textId="595F4839">
            <w:pPr>
              <w:spacing w:line="240" w:lineRule="auto"/>
              <w:ind w:firstLine="0"/>
              <w:rPr>
                <w:rFonts w:eastAsia="Garamond" w:cs="Garamond"/>
                <w:sz w:val="24"/>
                <w:szCs w:val="24"/>
              </w:rPr>
            </w:pPr>
            <w:r w:rsidRPr="00D84417">
              <w:rPr>
                <w:rFonts w:eastAsia="Garamond" w:cs="Garamond"/>
                <w:sz w:val="24"/>
                <w:szCs w:val="24"/>
              </w:rPr>
              <w:t>Commercial Energy of CA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17A1B694" w14:textId="67CDEAEB">
            <w:pPr>
              <w:spacing w:line="240" w:lineRule="auto"/>
              <w:rPr>
                <w:rFonts w:eastAsia="Garamond" w:cs="Garamond"/>
                <w:sz w:val="24"/>
                <w:szCs w:val="24"/>
              </w:rPr>
            </w:pPr>
          </w:p>
        </w:tc>
      </w:tr>
      <w:tr w:rsidR="00867B7E" w:rsidTr="00F014E0" w14:paraId="6B1DF841"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127F0FFE" w14:textId="37CAF540">
            <w:pPr>
              <w:spacing w:line="240" w:lineRule="auto"/>
              <w:ind w:firstLine="0"/>
              <w:rPr>
                <w:rFonts w:eastAsia="Garamond" w:cs="Garamond"/>
                <w:sz w:val="24"/>
                <w:szCs w:val="24"/>
              </w:rPr>
            </w:pPr>
            <w:r w:rsidRPr="00D84417">
              <w:rPr>
                <w:rFonts w:eastAsia="Garamond" w:cs="Garamond"/>
                <w:sz w:val="24"/>
                <w:szCs w:val="24"/>
              </w:rPr>
              <w:t>BVES</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613218E6" w14:textId="37628AF0">
            <w:pPr>
              <w:spacing w:line="240" w:lineRule="auto"/>
              <w:ind w:firstLine="0"/>
              <w:rPr>
                <w:rFonts w:eastAsia="Garamond" w:cs="Garamond"/>
                <w:sz w:val="24"/>
                <w:szCs w:val="24"/>
              </w:rPr>
            </w:pPr>
            <w:r w:rsidRPr="00D84417">
              <w:rPr>
                <w:rFonts w:eastAsia="Garamond" w:cs="Garamond"/>
                <w:sz w:val="24"/>
                <w:szCs w:val="24"/>
              </w:rPr>
              <w:t>Constellation New Energy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61F49952" w14:textId="61BA19E1">
            <w:pPr>
              <w:spacing w:line="240" w:lineRule="auto"/>
              <w:rPr>
                <w:rFonts w:eastAsia="Segoe UI" w:cs="Segoe UI"/>
                <w:sz w:val="24"/>
                <w:szCs w:val="24"/>
              </w:rPr>
            </w:pPr>
          </w:p>
        </w:tc>
      </w:tr>
      <w:tr w:rsidR="00867B7E" w:rsidTr="00F014E0" w14:paraId="2A58ABF6"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0FD053E4" w14:textId="2F031680">
            <w:pPr>
              <w:spacing w:line="240" w:lineRule="auto"/>
              <w:ind w:firstLine="0"/>
              <w:rPr>
                <w:rFonts w:eastAsia="Garamond" w:cs="Garamond"/>
                <w:sz w:val="24"/>
                <w:szCs w:val="24"/>
              </w:rPr>
            </w:pPr>
            <w:r w:rsidRPr="00D84417">
              <w:rPr>
                <w:rFonts w:eastAsia="Garamond" w:cs="Garamond"/>
                <w:sz w:val="24"/>
                <w:szCs w:val="24"/>
              </w:rPr>
              <w:t>Liberty</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52D84E79" w14:textId="13CDB1DB">
            <w:pPr>
              <w:spacing w:line="240" w:lineRule="auto"/>
              <w:ind w:firstLine="0"/>
              <w:rPr>
                <w:rFonts w:eastAsia="Garamond" w:cs="Garamond"/>
                <w:sz w:val="24"/>
                <w:szCs w:val="24"/>
              </w:rPr>
            </w:pPr>
            <w:r w:rsidRPr="00D84417">
              <w:rPr>
                <w:rFonts w:eastAsia="Garamond" w:cs="Garamond"/>
                <w:sz w:val="24"/>
                <w:szCs w:val="24"/>
              </w:rPr>
              <w:t>Pilot Power Group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37544A7F" w14:textId="663CDC8C">
            <w:pPr>
              <w:spacing w:line="240" w:lineRule="auto"/>
              <w:ind w:firstLine="0"/>
              <w:rPr>
                <w:rFonts w:eastAsia="Segoe UI" w:cs="Segoe UI"/>
                <w:sz w:val="24"/>
                <w:szCs w:val="24"/>
              </w:rPr>
            </w:pPr>
          </w:p>
        </w:tc>
      </w:tr>
      <w:tr w:rsidR="00867B7E" w:rsidTr="00F014E0" w14:paraId="6CEB605B"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17EF3237" w14:textId="2F2EC17E">
            <w:pPr>
              <w:spacing w:line="240" w:lineRule="auto"/>
              <w:ind w:firstLine="0"/>
              <w:rPr>
                <w:rFonts w:eastAsia="Garamond" w:cs="Garamond"/>
                <w:sz w:val="24"/>
                <w:szCs w:val="24"/>
              </w:rPr>
            </w:pPr>
            <w:r w:rsidRPr="00D84417">
              <w:rPr>
                <w:rFonts w:eastAsia="Garamond" w:cs="Garamond"/>
                <w:sz w:val="24"/>
                <w:szCs w:val="24"/>
              </w:rPr>
              <w:t>PacifiCorp</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347E18" w:rsidR="00867B7E" w:rsidP="00F014E0" w:rsidRDefault="00867B7E" w14:paraId="463F8AB4" w14:textId="552CEAFC">
            <w:pPr>
              <w:spacing w:line="240" w:lineRule="auto"/>
              <w:ind w:firstLine="0"/>
              <w:rPr>
                <w:rFonts w:eastAsia="Garamond" w:cs="Garamond"/>
                <w:sz w:val="24"/>
                <w:szCs w:val="24"/>
              </w:rPr>
            </w:pPr>
            <w:r w:rsidRPr="00347E18">
              <w:rPr>
                <w:rFonts w:eastAsia="Segoe UI" w:cs="Segoe UI"/>
                <w:sz w:val="24"/>
                <w:szCs w:val="24"/>
              </w:rPr>
              <w:t>City of Santa Barbara</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5FBD7969" w14:textId="45ABA053">
            <w:pPr>
              <w:spacing w:line="240" w:lineRule="auto"/>
              <w:ind w:firstLine="0"/>
              <w:rPr>
                <w:rFonts w:eastAsia="Segoe UI" w:cs="Segoe UI"/>
                <w:sz w:val="24"/>
                <w:szCs w:val="24"/>
              </w:rPr>
            </w:pPr>
          </w:p>
        </w:tc>
      </w:tr>
      <w:tr w:rsidR="00867B7E" w:rsidTr="00F014E0" w14:paraId="5BD2773B"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6C82CBEE" w14:textId="7F0B13D9">
            <w:pPr>
              <w:spacing w:line="240" w:lineRule="auto"/>
              <w:ind w:firstLine="0"/>
              <w:rPr>
                <w:rFonts w:eastAsia="Garamond" w:cs="Garamond"/>
                <w:sz w:val="24"/>
                <w:szCs w:val="24"/>
              </w:rPr>
            </w:pPr>
            <w:r w:rsidRPr="00D84417">
              <w:rPr>
                <w:rFonts w:eastAsia="Garamond" w:cs="Garamond"/>
                <w:sz w:val="24"/>
                <w:szCs w:val="24"/>
              </w:rPr>
              <w:t>Central Coast Community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347E18" w:rsidR="00867B7E" w:rsidP="00F014E0" w:rsidRDefault="00867B7E" w14:paraId="373FA9E0" w14:textId="77777777">
            <w:pPr>
              <w:spacing w:line="240" w:lineRule="auto"/>
              <w:ind w:firstLine="0"/>
              <w:rPr>
                <w:rFonts w:eastAsia="Garamond" w:cs="Garamond"/>
                <w:sz w:val="24"/>
                <w:szCs w:val="24"/>
              </w:rPr>
            </w:pPr>
            <w:r w:rsidRPr="00347E18">
              <w:rPr>
                <w:rFonts w:eastAsia="Garamond" w:cs="Garamond"/>
                <w:sz w:val="24"/>
                <w:szCs w:val="24"/>
              </w:rPr>
              <w:t>City of Palmdale </w:t>
            </w:r>
          </w:p>
          <w:p w:rsidRPr="00347E18" w:rsidR="00867B7E" w:rsidP="00F014E0" w:rsidRDefault="00867B7E" w14:paraId="72339E2F" w14:textId="6801B2BE">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867B7E" w:rsidP="00F014E0" w:rsidRDefault="00867B7E" w14:paraId="6DD718A9" w14:textId="1DE8C1B4">
            <w:pPr>
              <w:spacing w:line="240" w:lineRule="auto"/>
              <w:ind w:firstLine="0"/>
              <w:rPr>
                <w:rFonts w:eastAsia="Segoe UI" w:cs="Segoe UI"/>
                <w:sz w:val="24"/>
                <w:szCs w:val="24"/>
              </w:rPr>
            </w:pPr>
          </w:p>
        </w:tc>
      </w:tr>
      <w:tr w:rsidR="000050FC" w:rsidTr="00F014E0" w14:paraId="045E5467"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1193D97F" w14:textId="50CA5460">
            <w:pPr>
              <w:spacing w:line="240" w:lineRule="auto"/>
              <w:ind w:firstLine="0"/>
              <w:rPr>
                <w:rFonts w:eastAsia="Garamond" w:cs="Garamond"/>
                <w:sz w:val="24"/>
                <w:szCs w:val="24"/>
              </w:rPr>
            </w:pPr>
            <w:r w:rsidRPr="00D84417">
              <w:rPr>
                <w:rFonts w:eastAsia="Garamond" w:cs="Garamond"/>
                <w:sz w:val="24"/>
                <w:szCs w:val="24"/>
              </w:rPr>
              <w:t>City of Pomona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347E18" w:rsidR="000050FC" w:rsidP="00F014E0" w:rsidRDefault="000050FC" w14:paraId="48C58B07" w14:textId="2064D889">
            <w:pPr>
              <w:spacing w:line="240" w:lineRule="auto"/>
              <w:ind w:firstLine="0"/>
              <w:rPr>
                <w:rFonts w:eastAsia="Garamond" w:cs="Garamond"/>
                <w:sz w:val="24"/>
                <w:szCs w:val="24"/>
              </w:rPr>
            </w:pPr>
            <w:r w:rsidRPr="00347E18">
              <w:rPr>
                <w:rFonts w:eastAsia="Garamond" w:cs="Garamond"/>
                <w:sz w:val="24"/>
                <w:szCs w:val="24"/>
              </w:rPr>
              <w:t>Redwood Coast Energy Authority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1D381D16" w14:textId="1E339961">
            <w:pPr>
              <w:spacing w:line="240" w:lineRule="auto"/>
              <w:ind w:firstLine="0"/>
              <w:rPr>
                <w:rFonts w:eastAsia="Garamond" w:cs="Garamond"/>
                <w:sz w:val="24"/>
                <w:szCs w:val="24"/>
              </w:rPr>
            </w:pPr>
          </w:p>
        </w:tc>
      </w:tr>
      <w:tr w:rsidR="000050FC" w:rsidTr="00F014E0" w14:paraId="1BDEA789"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11D94719" w14:textId="7D8C7358">
            <w:pPr>
              <w:spacing w:line="240" w:lineRule="auto"/>
              <w:ind w:firstLine="0"/>
              <w:rPr>
                <w:rFonts w:eastAsia="Garamond" w:cs="Garamond"/>
                <w:sz w:val="24"/>
                <w:szCs w:val="24"/>
              </w:rPr>
            </w:pPr>
            <w:r w:rsidRPr="00D84417">
              <w:rPr>
                <w:rFonts w:eastAsia="Garamond" w:cs="Garamond"/>
                <w:sz w:val="24"/>
                <w:szCs w:val="24"/>
              </w:rPr>
              <w:t>CleanPowerSF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347E18" w:rsidR="000050FC" w:rsidP="00F014E0" w:rsidRDefault="000050FC" w14:paraId="07DABA12" w14:textId="2896BB2D">
            <w:pPr>
              <w:spacing w:line="240" w:lineRule="auto"/>
              <w:ind w:firstLine="0"/>
              <w:rPr>
                <w:rFonts w:eastAsia="Garamond" w:cs="Garamond"/>
                <w:sz w:val="24"/>
                <w:szCs w:val="24"/>
              </w:rPr>
            </w:pPr>
            <w:r w:rsidRPr="00347E18">
              <w:rPr>
                <w:rFonts w:eastAsia="Garamond" w:cs="Garamond"/>
                <w:sz w:val="24"/>
                <w:szCs w:val="24"/>
              </w:rPr>
              <w:t>Orange County Power Authority </w:t>
            </w: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1FA240AF" w14:textId="5050637E">
            <w:pPr>
              <w:spacing w:line="240" w:lineRule="auto"/>
              <w:ind w:firstLine="0"/>
              <w:rPr>
                <w:rFonts w:eastAsia="Garamond" w:cs="Garamond"/>
                <w:sz w:val="24"/>
                <w:szCs w:val="24"/>
              </w:rPr>
            </w:pPr>
          </w:p>
        </w:tc>
      </w:tr>
      <w:tr w:rsidR="000050FC" w:rsidTr="00F014E0" w14:paraId="207DF180"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6FFB110A" w14:textId="64A28A3C">
            <w:pPr>
              <w:spacing w:line="240" w:lineRule="auto"/>
              <w:ind w:firstLine="0"/>
              <w:rPr>
                <w:rFonts w:eastAsia="Garamond" w:cs="Garamond"/>
                <w:sz w:val="24"/>
                <w:szCs w:val="24"/>
              </w:rPr>
            </w:pPr>
            <w:r w:rsidRPr="00D84417">
              <w:rPr>
                <w:rFonts w:eastAsia="Garamond" w:cs="Garamond"/>
                <w:sz w:val="24"/>
                <w:szCs w:val="24"/>
              </w:rPr>
              <w:t>King City Community Power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5DEFEC4E" w14:textId="7E1648C7">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0C1B8458" w14:textId="013EA00B">
            <w:pPr>
              <w:spacing w:line="240" w:lineRule="auto"/>
              <w:ind w:firstLine="0"/>
              <w:rPr>
                <w:rFonts w:eastAsia="Garamond" w:cs="Garamond"/>
                <w:sz w:val="24"/>
                <w:szCs w:val="24"/>
              </w:rPr>
            </w:pPr>
          </w:p>
        </w:tc>
      </w:tr>
      <w:tr w:rsidR="000050FC" w:rsidTr="00F014E0" w14:paraId="45CA78FD"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5953C7CE" w14:textId="2B58FE8D">
            <w:pPr>
              <w:spacing w:line="240" w:lineRule="auto"/>
              <w:ind w:firstLine="0"/>
              <w:rPr>
                <w:rFonts w:eastAsia="Garamond" w:cs="Garamond"/>
                <w:sz w:val="24"/>
                <w:szCs w:val="24"/>
              </w:rPr>
            </w:pPr>
            <w:r w:rsidRPr="00D84417">
              <w:rPr>
                <w:rFonts w:eastAsia="Garamond" w:cs="Garamond"/>
                <w:sz w:val="24"/>
                <w:szCs w:val="24"/>
              </w:rPr>
              <w:t>Lancaster Choice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2168A327" w14:textId="37F2EE35">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4985D182" w14:textId="6EA04074">
            <w:pPr>
              <w:spacing w:line="240" w:lineRule="auto"/>
              <w:ind w:firstLine="0"/>
              <w:rPr>
                <w:rFonts w:eastAsia="Garamond" w:cs="Garamond"/>
                <w:sz w:val="24"/>
                <w:szCs w:val="24"/>
              </w:rPr>
            </w:pPr>
          </w:p>
        </w:tc>
      </w:tr>
      <w:tr w:rsidR="000050FC" w:rsidTr="00F014E0" w14:paraId="3CC618B3"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60F42F39" w14:textId="3BD3253E">
            <w:pPr>
              <w:spacing w:line="240" w:lineRule="auto"/>
              <w:ind w:firstLine="0"/>
              <w:rPr>
                <w:rFonts w:eastAsia="Garamond" w:cs="Garamond"/>
                <w:sz w:val="24"/>
                <w:szCs w:val="24"/>
              </w:rPr>
            </w:pPr>
            <w:r w:rsidRPr="00D84417">
              <w:rPr>
                <w:rFonts w:eastAsia="Garamond" w:cs="Garamond"/>
                <w:sz w:val="24"/>
                <w:szCs w:val="24"/>
              </w:rPr>
              <w:t>Marin Clean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3F591656" w14:textId="7DA94117">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2A45E339" w14:textId="562CF895">
            <w:pPr>
              <w:spacing w:line="240" w:lineRule="auto"/>
              <w:ind w:firstLine="0"/>
              <w:rPr>
                <w:rFonts w:eastAsia="Garamond" w:cs="Garamond"/>
                <w:sz w:val="24"/>
                <w:szCs w:val="24"/>
              </w:rPr>
            </w:pPr>
          </w:p>
        </w:tc>
      </w:tr>
      <w:tr w:rsidR="000050FC" w:rsidTr="00F014E0" w14:paraId="60C45E33"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331F9F5D" w14:textId="2EA2E479">
            <w:pPr>
              <w:spacing w:line="240" w:lineRule="auto"/>
              <w:ind w:firstLine="0"/>
              <w:rPr>
                <w:rFonts w:eastAsia="Garamond" w:cs="Garamond"/>
                <w:sz w:val="24"/>
                <w:szCs w:val="24"/>
              </w:rPr>
            </w:pPr>
            <w:r w:rsidRPr="00D84417">
              <w:rPr>
                <w:rFonts w:eastAsia="Garamond" w:cs="Garamond"/>
                <w:sz w:val="24"/>
                <w:szCs w:val="24"/>
              </w:rPr>
              <w:t>Pico Rivera Innovative Municipal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19F1E197" w14:textId="119765F1">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471FDEDA" w14:textId="4272E522">
            <w:pPr>
              <w:spacing w:line="240" w:lineRule="auto"/>
              <w:ind w:firstLine="0"/>
              <w:rPr>
                <w:rFonts w:eastAsia="Garamond" w:cs="Garamond"/>
                <w:sz w:val="24"/>
                <w:szCs w:val="24"/>
              </w:rPr>
            </w:pPr>
          </w:p>
        </w:tc>
      </w:tr>
      <w:tr w:rsidR="000050FC" w:rsidTr="00F014E0" w14:paraId="7A2E244C"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61ECC6B7" w14:textId="06896918">
            <w:pPr>
              <w:spacing w:line="240" w:lineRule="auto"/>
              <w:ind w:firstLine="0"/>
              <w:rPr>
                <w:rFonts w:eastAsia="Garamond" w:cs="Garamond"/>
                <w:sz w:val="24"/>
                <w:szCs w:val="24"/>
              </w:rPr>
            </w:pPr>
            <w:r w:rsidRPr="00D84417">
              <w:rPr>
                <w:rFonts w:eastAsia="Garamond" w:cs="Garamond"/>
                <w:sz w:val="24"/>
                <w:szCs w:val="24"/>
              </w:rPr>
              <w:t>Rancho Mirage Energy Authority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7BC025C9" w14:textId="782E973A">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2D59B138" w14:textId="30C2B5D1">
            <w:pPr>
              <w:spacing w:line="240" w:lineRule="auto"/>
              <w:ind w:firstLine="0"/>
              <w:rPr>
                <w:rFonts w:eastAsia="Garamond" w:cs="Garamond"/>
                <w:sz w:val="24"/>
                <w:szCs w:val="24"/>
              </w:rPr>
            </w:pPr>
          </w:p>
        </w:tc>
      </w:tr>
      <w:tr w:rsidR="000050FC" w:rsidTr="00F014E0" w14:paraId="4B4878A3"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342B85CC" w14:textId="4565CBB5">
            <w:pPr>
              <w:spacing w:line="240" w:lineRule="auto"/>
              <w:ind w:firstLine="0"/>
              <w:rPr>
                <w:rFonts w:eastAsia="Garamond" w:cs="Garamond"/>
                <w:sz w:val="24"/>
                <w:szCs w:val="24"/>
              </w:rPr>
            </w:pPr>
            <w:r w:rsidRPr="00D84417">
              <w:rPr>
                <w:rFonts w:eastAsia="Garamond" w:cs="Garamond"/>
                <w:sz w:val="24"/>
                <w:szCs w:val="24"/>
              </w:rPr>
              <w:t>San José Clean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0C7047DB" w14:textId="55A22BEC">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5C5F8DEC" w14:textId="178356DC">
            <w:pPr>
              <w:spacing w:line="240" w:lineRule="auto"/>
              <w:rPr>
                <w:rFonts w:eastAsia="Garamond" w:cs="Garamond"/>
                <w:sz w:val="24"/>
                <w:szCs w:val="24"/>
              </w:rPr>
            </w:pPr>
          </w:p>
        </w:tc>
      </w:tr>
      <w:tr w:rsidR="000050FC" w:rsidTr="00F014E0" w14:paraId="703ABB82"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0B934B86" w14:textId="02617A43">
            <w:pPr>
              <w:spacing w:line="240" w:lineRule="auto"/>
              <w:ind w:firstLine="0"/>
              <w:rPr>
                <w:rFonts w:eastAsia="Garamond" w:cs="Garamond"/>
                <w:sz w:val="24"/>
                <w:szCs w:val="24"/>
              </w:rPr>
            </w:pPr>
            <w:r w:rsidRPr="007C61C4">
              <w:rPr>
                <w:rFonts w:eastAsia="Garamond" w:cs="Garamond"/>
                <w:sz w:val="24"/>
                <w:szCs w:val="24"/>
              </w:rPr>
              <w:t xml:space="preserve">Silicon Valley Clean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3537B019" w14:textId="1815A9BB">
            <w:pPr>
              <w:spacing w:line="240" w:lineRule="auto"/>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D84417" w:rsidR="000050FC" w:rsidP="00F014E0" w:rsidRDefault="000050FC" w14:paraId="0E086097" w14:textId="2CA645A2">
            <w:pPr>
              <w:spacing w:line="240" w:lineRule="auto"/>
              <w:rPr>
                <w:rFonts w:eastAsia="Garamond" w:cs="Garamond"/>
                <w:sz w:val="24"/>
                <w:szCs w:val="24"/>
              </w:rPr>
            </w:pPr>
          </w:p>
        </w:tc>
      </w:tr>
      <w:tr w:rsidR="000050FC" w:rsidTr="00F014E0" w14:paraId="6F2238A8" w14:textId="77777777">
        <w:trPr>
          <w:trHeight w:val="315"/>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7BA278C9" w14:textId="2F3149ED">
            <w:pPr>
              <w:spacing w:line="240" w:lineRule="auto"/>
              <w:ind w:firstLine="0"/>
              <w:rPr>
                <w:rFonts w:eastAsia="Garamond" w:cs="Garamond"/>
                <w:sz w:val="24"/>
                <w:szCs w:val="24"/>
              </w:rPr>
            </w:pPr>
            <w:r w:rsidRPr="007C61C4">
              <w:rPr>
                <w:rFonts w:eastAsia="Garamond" w:cs="Garamond"/>
                <w:sz w:val="24"/>
                <w:szCs w:val="24"/>
              </w:rPr>
              <w:t>Solana Energy Alliance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3DE358B6" w14:textId="121D26CE">
            <w:pPr>
              <w:spacing w:line="240" w:lineRule="auto"/>
              <w:rPr>
                <w:rFonts w:eastAsia="Segoe UI" w:cs="Segoe UI"/>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6E5C28AB" w14:textId="3540A20C">
            <w:pPr>
              <w:spacing w:line="240" w:lineRule="auto"/>
              <w:rPr>
                <w:rFonts w:eastAsia="Garamond" w:cs="Garamond"/>
                <w:sz w:val="24"/>
                <w:szCs w:val="24"/>
              </w:rPr>
            </w:pPr>
          </w:p>
        </w:tc>
      </w:tr>
      <w:tr w:rsidR="000050FC" w:rsidTr="00F014E0" w14:paraId="09B1DD2E"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25E7AB64" w14:textId="1183DEB9">
            <w:pPr>
              <w:spacing w:line="240" w:lineRule="auto"/>
              <w:ind w:firstLine="0"/>
              <w:rPr>
                <w:rFonts w:eastAsia="Garamond" w:cs="Garamond"/>
                <w:sz w:val="24"/>
                <w:szCs w:val="24"/>
              </w:rPr>
            </w:pPr>
            <w:r w:rsidRPr="001106E4">
              <w:rPr>
                <w:rFonts w:eastAsia="Garamond" w:cs="Garamond"/>
                <w:sz w:val="24"/>
                <w:szCs w:val="24"/>
              </w:rPr>
              <w:t>Sonoma Clean Power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52087ED7" w14:textId="5C1D4C2A">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00D67DF" w14:textId="543971DB">
            <w:pPr>
              <w:spacing w:line="240" w:lineRule="auto"/>
              <w:jc w:val="center"/>
              <w:rPr>
                <w:rFonts w:eastAsia="Garamond" w:cs="Garamond"/>
                <w:sz w:val="24"/>
                <w:szCs w:val="24"/>
              </w:rPr>
            </w:pPr>
            <w:r w:rsidRPr="001106E4">
              <w:rPr>
                <w:rFonts w:eastAsia="Garamond" w:cs="Garamond"/>
                <w:sz w:val="24"/>
                <w:szCs w:val="24"/>
              </w:rPr>
              <w:t> </w:t>
            </w:r>
          </w:p>
        </w:tc>
      </w:tr>
      <w:tr w:rsidR="000050FC" w:rsidTr="00F014E0" w14:paraId="438FE94A"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11FEFCB" w14:textId="397830C7">
            <w:pPr>
              <w:spacing w:line="240" w:lineRule="auto"/>
              <w:ind w:firstLine="0"/>
              <w:rPr>
                <w:rFonts w:eastAsia="Garamond" w:cs="Garamond"/>
                <w:sz w:val="24"/>
                <w:szCs w:val="24"/>
              </w:rPr>
            </w:pPr>
            <w:r w:rsidRPr="001106E4">
              <w:rPr>
                <w:rFonts w:eastAsia="Garamond" w:cs="Garamond"/>
                <w:sz w:val="24"/>
                <w:szCs w:val="24"/>
              </w:rPr>
              <w:t>Valley Clean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6E7C54D" w14:textId="61549ABF">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06B4CE70" w14:textId="3AD1B40D">
            <w:pPr>
              <w:spacing w:line="240" w:lineRule="auto"/>
              <w:jc w:val="center"/>
              <w:rPr>
                <w:rFonts w:eastAsia="Garamond" w:cs="Garamond"/>
                <w:sz w:val="24"/>
                <w:szCs w:val="24"/>
              </w:rPr>
            </w:pPr>
          </w:p>
        </w:tc>
      </w:tr>
      <w:tr w:rsidR="000050FC" w:rsidTr="00F014E0" w14:paraId="70AB3875"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4E225989" w14:textId="7827AA32">
            <w:pPr>
              <w:spacing w:line="240" w:lineRule="auto"/>
              <w:ind w:firstLine="0"/>
              <w:rPr>
                <w:rFonts w:eastAsia="Garamond" w:cs="Garamond"/>
                <w:sz w:val="24"/>
                <w:szCs w:val="24"/>
              </w:rPr>
            </w:pPr>
            <w:r w:rsidRPr="001106E4">
              <w:rPr>
                <w:rFonts w:eastAsia="Garamond" w:cs="Garamond"/>
                <w:sz w:val="24"/>
                <w:szCs w:val="24"/>
              </w:rPr>
              <w:t>Direct Energy Business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0A6ABE99" w14:textId="3E14AB19">
            <w:pPr>
              <w:spacing w:line="240" w:lineRule="auto"/>
              <w:jc w:val="center"/>
              <w:rPr>
                <w:rFonts w:eastAsia="Segoe UI" w:cs="Segoe UI"/>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2834656" w14:textId="19F53A3B">
            <w:pPr>
              <w:spacing w:line="240" w:lineRule="auto"/>
              <w:jc w:val="center"/>
              <w:rPr>
                <w:rFonts w:eastAsia="Garamond" w:cs="Garamond"/>
                <w:sz w:val="24"/>
                <w:szCs w:val="24"/>
              </w:rPr>
            </w:pPr>
          </w:p>
        </w:tc>
      </w:tr>
      <w:tr w:rsidR="000050FC" w:rsidTr="00F014E0" w14:paraId="0BBCB572"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470DD89B" w14:textId="707178B4">
            <w:pPr>
              <w:spacing w:line="240" w:lineRule="auto"/>
              <w:ind w:firstLine="0"/>
              <w:rPr>
                <w:rFonts w:eastAsia="Garamond" w:cs="Garamond"/>
                <w:sz w:val="24"/>
                <w:szCs w:val="24"/>
              </w:rPr>
            </w:pPr>
            <w:r w:rsidRPr="007C61C4">
              <w:rPr>
                <w:rFonts w:eastAsia="Garamond" w:cs="Garamond"/>
                <w:sz w:val="24"/>
                <w:szCs w:val="24"/>
              </w:rPr>
              <w:t>Shell Energy North America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381D08B" w14:textId="2DD07601">
            <w:pPr>
              <w:spacing w:line="240" w:lineRule="auto"/>
              <w:rPr>
                <w:rFonts w:eastAsia="Segoe UI" w:cs="Segoe UI"/>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187B175" w14:textId="6FC7A54C">
            <w:pPr>
              <w:spacing w:line="240" w:lineRule="auto"/>
              <w:jc w:val="center"/>
              <w:rPr>
                <w:rFonts w:eastAsia="Garamond" w:cs="Garamond"/>
                <w:sz w:val="24"/>
                <w:szCs w:val="24"/>
              </w:rPr>
            </w:pPr>
          </w:p>
        </w:tc>
      </w:tr>
      <w:tr w:rsidR="000050FC" w:rsidTr="00F014E0" w14:paraId="21C9D1B6"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411A3A0C" w14:textId="7F149CF7">
            <w:pPr>
              <w:spacing w:line="240" w:lineRule="auto"/>
              <w:ind w:firstLine="0"/>
              <w:rPr>
                <w:rFonts w:eastAsia="Garamond" w:cs="Garamond"/>
                <w:sz w:val="24"/>
                <w:szCs w:val="24"/>
              </w:rPr>
            </w:pPr>
            <w:r w:rsidRPr="001106E4">
              <w:rPr>
                <w:rFonts w:eastAsia="Garamond" w:cs="Garamond"/>
                <w:sz w:val="24"/>
                <w:szCs w:val="24"/>
              </w:rPr>
              <w:t>UC Regents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06CB598D" w14:textId="62130352">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7C61C4" w:rsidR="000050FC" w:rsidP="00F014E0" w:rsidRDefault="000050FC" w14:paraId="38025F3B" w14:textId="5B1C45B4">
            <w:pPr>
              <w:spacing w:line="240" w:lineRule="auto"/>
              <w:jc w:val="center"/>
              <w:rPr>
                <w:rFonts w:eastAsia="Garamond" w:cs="Garamond"/>
                <w:sz w:val="24"/>
                <w:szCs w:val="24"/>
              </w:rPr>
            </w:pPr>
          </w:p>
        </w:tc>
      </w:tr>
      <w:tr w:rsidR="000050FC" w:rsidTr="00F014E0" w14:paraId="7EA58AA9"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C958B38" w14:textId="48B871B6">
            <w:pPr>
              <w:spacing w:line="240" w:lineRule="auto"/>
              <w:ind w:firstLine="0"/>
              <w:rPr>
                <w:rFonts w:eastAsia="Garamond" w:cs="Garamond"/>
                <w:sz w:val="24"/>
                <w:szCs w:val="24"/>
              </w:rPr>
            </w:pPr>
            <w:r w:rsidRPr="001106E4">
              <w:rPr>
                <w:rFonts w:eastAsia="Garamond" w:cs="Garamond"/>
                <w:sz w:val="24"/>
                <w:szCs w:val="24"/>
              </w:rPr>
              <w:t>EDF Industrial Power Services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763DDBC" w14:textId="22E582C8">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366A2CE" w14:textId="5D65AA8C">
            <w:pPr>
              <w:spacing w:line="240" w:lineRule="auto"/>
              <w:jc w:val="center"/>
              <w:rPr>
                <w:rFonts w:eastAsia="Garamond" w:cs="Garamond"/>
                <w:sz w:val="24"/>
                <w:szCs w:val="24"/>
              </w:rPr>
            </w:pPr>
          </w:p>
        </w:tc>
      </w:tr>
      <w:tr w:rsidR="000050FC" w:rsidTr="00F014E0" w14:paraId="2D4BD2E4"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7F4EDB9" w14:textId="7EAB3B0C">
            <w:pPr>
              <w:spacing w:line="240" w:lineRule="auto"/>
              <w:ind w:firstLine="0"/>
              <w:rPr>
                <w:rFonts w:eastAsia="Garamond" w:cs="Garamond"/>
                <w:sz w:val="24"/>
                <w:szCs w:val="24"/>
              </w:rPr>
            </w:pPr>
            <w:r w:rsidRPr="001106E4">
              <w:rPr>
                <w:rFonts w:eastAsia="Garamond" w:cs="Garamond"/>
                <w:sz w:val="24"/>
                <w:szCs w:val="24"/>
              </w:rPr>
              <w:t>3 Phases Renewables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25378B34" w14:textId="3AACFD5E">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4C079B16" w14:textId="6CE7EB11">
            <w:pPr>
              <w:spacing w:line="240" w:lineRule="auto"/>
              <w:jc w:val="center"/>
              <w:rPr>
                <w:rFonts w:eastAsia="Garamond" w:cs="Garamond"/>
                <w:sz w:val="24"/>
                <w:szCs w:val="24"/>
              </w:rPr>
            </w:pPr>
          </w:p>
        </w:tc>
      </w:tr>
      <w:tr w:rsidR="000050FC" w:rsidTr="00F014E0" w14:paraId="12E91A82"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6B24ABA7" w14:textId="03555150">
            <w:pPr>
              <w:spacing w:line="240" w:lineRule="auto"/>
              <w:ind w:firstLine="0"/>
              <w:rPr>
                <w:rFonts w:eastAsia="Garamond" w:cs="Garamond"/>
                <w:sz w:val="24"/>
                <w:szCs w:val="24"/>
              </w:rPr>
            </w:pPr>
            <w:r w:rsidRPr="001106E4">
              <w:rPr>
                <w:rFonts w:eastAsia="Garamond" w:cs="Garamond"/>
                <w:sz w:val="24"/>
                <w:szCs w:val="24"/>
              </w:rPr>
              <w:t>Calpine Energy Solutions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6EC07BF6" w14:textId="033EE5F1">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21C0A858" w14:textId="56788E67">
            <w:pPr>
              <w:spacing w:line="240" w:lineRule="auto"/>
              <w:jc w:val="center"/>
              <w:rPr>
                <w:rFonts w:eastAsia="Garamond" w:cs="Garamond"/>
                <w:sz w:val="24"/>
                <w:szCs w:val="24"/>
              </w:rPr>
            </w:pPr>
          </w:p>
        </w:tc>
      </w:tr>
      <w:tr w:rsidR="000050FC" w:rsidTr="00F014E0" w14:paraId="0D6F1566"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50EDC36" w14:textId="24374903">
            <w:pPr>
              <w:spacing w:line="240" w:lineRule="auto"/>
              <w:ind w:firstLine="0"/>
              <w:rPr>
                <w:rFonts w:eastAsia="Garamond" w:cs="Garamond"/>
                <w:sz w:val="24"/>
                <w:szCs w:val="24"/>
              </w:rPr>
            </w:pPr>
            <w:r w:rsidRPr="001106E4">
              <w:rPr>
                <w:rFonts w:eastAsia="Garamond" w:cs="Garamond"/>
                <w:sz w:val="24"/>
                <w:szCs w:val="24"/>
              </w:rPr>
              <w:t>Apple Valley Choice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52EF733" w14:textId="1620CB8B">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5EC153AF" w14:textId="2EBD4F7D">
            <w:pPr>
              <w:spacing w:line="240" w:lineRule="auto"/>
              <w:jc w:val="center"/>
              <w:rPr>
                <w:rFonts w:eastAsia="Garamond" w:cs="Garamond"/>
                <w:sz w:val="24"/>
                <w:szCs w:val="24"/>
              </w:rPr>
            </w:pPr>
          </w:p>
        </w:tc>
      </w:tr>
      <w:tr w:rsidR="000050FC" w:rsidTr="00F014E0" w14:paraId="5128A29D"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D3C6083" w14:textId="1BC9151B">
            <w:pPr>
              <w:spacing w:line="240" w:lineRule="auto"/>
              <w:ind w:firstLine="0"/>
              <w:rPr>
                <w:rFonts w:eastAsia="Garamond" w:cs="Garamond"/>
                <w:sz w:val="24"/>
                <w:szCs w:val="24"/>
              </w:rPr>
            </w:pPr>
            <w:r w:rsidRPr="001106E4">
              <w:rPr>
                <w:rFonts w:eastAsia="Garamond" w:cs="Garamond"/>
                <w:sz w:val="24"/>
                <w:szCs w:val="24"/>
              </w:rPr>
              <w:t>Clean Energy Alliance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0452BD6" w14:textId="58FEE946">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27D87393" w14:textId="4A47A65E">
            <w:pPr>
              <w:spacing w:line="240" w:lineRule="auto"/>
              <w:jc w:val="center"/>
              <w:rPr>
                <w:rFonts w:eastAsia="Garamond" w:cs="Garamond"/>
                <w:sz w:val="24"/>
                <w:szCs w:val="24"/>
              </w:rPr>
            </w:pPr>
          </w:p>
        </w:tc>
      </w:tr>
      <w:tr w:rsidR="000050FC" w:rsidTr="00F014E0" w14:paraId="4C7F9E20" w14:textId="77777777">
        <w:trPr>
          <w:trHeight w:val="30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0B5E463" w14:textId="5FE0800C">
            <w:pPr>
              <w:spacing w:line="240" w:lineRule="auto"/>
              <w:ind w:firstLine="0"/>
              <w:rPr>
                <w:rFonts w:eastAsia="Garamond" w:cs="Garamond"/>
                <w:sz w:val="24"/>
                <w:szCs w:val="24"/>
              </w:rPr>
            </w:pPr>
            <w:r w:rsidRPr="001106E4">
              <w:rPr>
                <w:rFonts w:eastAsia="Garamond" w:cs="Garamond"/>
                <w:sz w:val="24"/>
                <w:szCs w:val="24"/>
              </w:rPr>
              <w:t>Clean Power Alliance</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922E690" w14:textId="11FE74AD">
            <w:pPr>
              <w:spacing w:line="240" w:lineRule="auto"/>
              <w:jc w:val="center"/>
              <w:rPr>
                <w:rFonts w:eastAsia="Garamond" w:cs="Garamond"/>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04C432C4" w14:textId="10983B1E">
            <w:pPr>
              <w:spacing w:line="240" w:lineRule="auto"/>
              <w:jc w:val="center"/>
              <w:rPr>
                <w:rFonts w:eastAsia="Garamond" w:cs="Garamond"/>
                <w:sz w:val="24"/>
                <w:szCs w:val="24"/>
              </w:rPr>
            </w:pPr>
          </w:p>
        </w:tc>
      </w:tr>
      <w:tr w:rsidR="000050FC" w:rsidTr="00F014E0" w14:paraId="6221E5FF" w14:textId="77777777">
        <w:trPr>
          <w:trHeight w:val="54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0AA6BAE1" w14:textId="256CDA8F">
            <w:pPr>
              <w:spacing w:line="240" w:lineRule="auto"/>
              <w:ind w:firstLine="0"/>
              <w:rPr>
                <w:rFonts w:eastAsia="Garamond" w:cs="Garamond"/>
                <w:sz w:val="24"/>
                <w:szCs w:val="24"/>
              </w:rPr>
            </w:pPr>
            <w:r w:rsidRPr="001106E4">
              <w:rPr>
                <w:rFonts w:eastAsia="Garamond" w:cs="Garamond"/>
                <w:sz w:val="24"/>
                <w:szCs w:val="24"/>
              </w:rPr>
              <w:t>Peninsula Clean Energy</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2217C53" w14:textId="097768C9">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482D4E38" w14:textId="69F3623A">
            <w:pPr>
              <w:spacing w:line="240" w:lineRule="auto"/>
              <w:jc w:val="center"/>
              <w:rPr>
                <w:rFonts w:eastAsia="Book Antiqua" w:cs="Book Antiqua"/>
                <w:sz w:val="24"/>
                <w:szCs w:val="24"/>
              </w:rPr>
            </w:pPr>
          </w:p>
        </w:tc>
      </w:tr>
      <w:tr w:rsidR="000050FC" w:rsidTr="00F014E0" w14:paraId="2B6FDA0B" w14:textId="77777777">
        <w:trPr>
          <w:trHeight w:val="54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53597F6F" w14:textId="388A316C">
            <w:pPr>
              <w:spacing w:line="240" w:lineRule="auto"/>
              <w:ind w:firstLine="0"/>
              <w:rPr>
                <w:rFonts w:eastAsia="Garamond" w:cs="Garamond"/>
                <w:sz w:val="24"/>
                <w:szCs w:val="24"/>
              </w:rPr>
            </w:pPr>
            <w:r w:rsidRPr="001106E4">
              <w:rPr>
                <w:rFonts w:eastAsia="Garamond" w:cs="Garamond"/>
                <w:sz w:val="24"/>
                <w:szCs w:val="24"/>
              </w:rPr>
              <w:t>Desert Community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22B850B7" w14:textId="51A97300">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9262090" w14:textId="1C083AA0">
            <w:pPr>
              <w:spacing w:line="240" w:lineRule="auto"/>
              <w:jc w:val="center"/>
              <w:rPr>
                <w:rFonts w:eastAsia="Book Antiqua" w:cs="Book Antiqua"/>
                <w:sz w:val="24"/>
                <w:szCs w:val="24"/>
              </w:rPr>
            </w:pPr>
          </w:p>
        </w:tc>
      </w:tr>
      <w:tr w:rsidR="000050FC" w:rsidTr="00F014E0" w14:paraId="62541756" w14:textId="77777777">
        <w:trPr>
          <w:trHeight w:val="54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443F1542" w14:textId="3B2DE827">
            <w:pPr>
              <w:spacing w:line="240" w:lineRule="auto"/>
              <w:ind w:firstLine="0"/>
              <w:rPr>
                <w:rFonts w:eastAsia="Garamond" w:cs="Garamond"/>
                <w:sz w:val="24"/>
                <w:szCs w:val="24"/>
              </w:rPr>
            </w:pPr>
            <w:r w:rsidRPr="001106E4">
              <w:rPr>
                <w:rFonts w:eastAsia="Garamond" w:cs="Garamond"/>
                <w:sz w:val="24"/>
                <w:szCs w:val="24"/>
              </w:rPr>
              <w:t>Pioneer Community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1ECBDB2F" w14:textId="0EEDDCC8">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749AB606" w14:textId="5E9E6C29">
            <w:pPr>
              <w:spacing w:line="240" w:lineRule="auto"/>
              <w:jc w:val="center"/>
              <w:rPr>
                <w:rFonts w:eastAsia="Book Antiqua" w:cs="Book Antiqua"/>
                <w:sz w:val="24"/>
                <w:szCs w:val="24"/>
              </w:rPr>
            </w:pPr>
          </w:p>
        </w:tc>
      </w:tr>
      <w:tr w:rsidR="000050FC" w:rsidTr="00F014E0" w14:paraId="00064793" w14:textId="77777777">
        <w:trPr>
          <w:trHeight w:val="54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250C65F2" w14:textId="28D0C4D5">
            <w:pPr>
              <w:spacing w:line="240" w:lineRule="auto"/>
              <w:ind w:firstLine="0"/>
              <w:rPr>
                <w:rFonts w:eastAsia="Garamond" w:cs="Garamond"/>
                <w:sz w:val="24"/>
                <w:szCs w:val="24"/>
              </w:rPr>
            </w:pPr>
            <w:r w:rsidRPr="001106E4">
              <w:rPr>
                <w:rFonts w:eastAsia="Garamond" w:cs="Garamond"/>
                <w:sz w:val="24"/>
                <w:szCs w:val="24"/>
              </w:rPr>
              <w:t>Calpine Power America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684B06E4" w14:textId="7F122621">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BD84DCD" w14:textId="560C18B8">
            <w:pPr>
              <w:spacing w:line="240" w:lineRule="auto"/>
              <w:jc w:val="center"/>
              <w:rPr>
                <w:rFonts w:eastAsia="Book Antiqua" w:cs="Book Antiqua"/>
                <w:sz w:val="24"/>
                <w:szCs w:val="24"/>
              </w:rPr>
            </w:pPr>
          </w:p>
        </w:tc>
      </w:tr>
      <w:tr w:rsidR="000050FC" w:rsidTr="00F014E0" w14:paraId="601E1004" w14:textId="77777777">
        <w:trPr>
          <w:trHeight w:val="540"/>
          <w:jc w:val="center"/>
        </w:trPr>
        <w:tc>
          <w:tcPr>
            <w:tcW w:w="311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6541D2B" w14:textId="07FB2D9B">
            <w:pPr>
              <w:spacing w:line="240" w:lineRule="auto"/>
              <w:ind w:firstLine="0"/>
              <w:rPr>
                <w:rFonts w:eastAsia="Garamond" w:cs="Garamond"/>
                <w:sz w:val="24"/>
                <w:szCs w:val="24"/>
              </w:rPr>
            </w:pPr>
            <w:r w:rsidRPr="001106E4">
              <w:rPr>
                <w:rFonts w:eastAsia="Garamond" w:cs="Garamond"/>
                <w:sz w:val="24"/>
                <w:szCs w:val="24"/>
              </w:rPr>
              <w:t>East Bay Community Energy </w:t>
            </w:r>
          </w:p>
        </w:tc>
        <w:tc>
          <w:tcPr>
            <w:tcW w:w="362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5C147C3A" w14:textId="1301E4D8">
            <w:pPr>
              <w:spacing w:line="240" w:lineRule="auto"/>
              <w:jc w:val="center"/>
              <w:rPr>
                <w:rFonts w:eastAsia="Book Antiqua" w:cs="Book Antiqua"/>
                <w:sz w:val="24"/>
                <w:szCs w:val="24"/>
              </w:rPr>
            </w:pPr>
          </w:p>
        </w:tc>
        <w:tc>
          <w:tcPr>
            <w:tcW w:w="260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Pr="001106E4" w:rsidR="000050FC" w:rsidP="00F014E0" w:rsidRDefault="000050FC" w14:paraId="3375E24A" w14:textId="28157E74">
            <w:pPr>
              <w:spacing w:line="240" w:lineRule="auto"/>
              <w:jc w:val="center"/>
              <w:rPr>
                <w:rFonts w:eastAsia="Book Antiqua" w:cs="Book Antiqua"/>
                <w:sz w:val="24"/>
                <w:szCs w:val="24"/>
              </w:rPr>
            </w:pPr>
          </w:p>
        </w:tc>
      </w:tr>
    </w:tbl>
    <w:p w:rsidR="15D87781" w:rsidP="15D87781" w:rsidRDefault="15D87781" w14:paraId="6C8898BA" w14:textId="360F092A">
      <w:pPr>
        <w:spacing w:line="240" w:lineRule="auto"/>
        <w:rPr>
          <w:rFonts w:eastAsia="Book Antiqua" w:cs="Book Antiqua"/>
          <w:color w:val="000000" w:themeColor="text1"/>
          <w:szCs w:val="26"/>
        </w:rPr>
      </w:pPr>
    </w:p>
    <w:p w:rsidR="49420FA2" w:rsidP="15D87781" w:rsidRDefault="49420FA2" w14:paraId="11373602" w14:textId="6154FFC2">
      <w:pPr>
        <w:rPr>
          <w:rFonts w:eastAsia="Book Antiqua" w:cs="Book Antiqua"/>
          <w:color w:val="000000" w:themeColor="text1"/>
          <w:szCs w:val="26"/>
        </w:rPr>
      </w:pPr>
      <w:r w:rsidRPr="15D87781">
        <w:rPr>
          <w:rFonts w:eastAsia="Book Antiqua" w:cs="Book Antiqua"/>
          <w:color w:val="000000" w:themeColor="text1"/>
          <w:szCs w:val="26"/>
        </w:rPr>
        <w:t xml:space="preserve">The Commission encourages early planning on long-term procurement to hedge for delays in project development for new renewable build and potential project performance issues. </w:t>
      </w:r>
      <w:r w:rsidR="00C1234A">
        <w:rPr>
          <w:rFonts w:eastAsia="Book Antiqua" w:cs="Book Antiqua"/>
          <w:color w:val="000000" w:themeColor="text1"/>
          <w:szCs w:val="26"/>
        </w:rPr>
        <w:t xml:space="preserve"> </w:t>
      </w:r>
      <w:r w:rsidRPr="15D87781">
        <w:rPr>
          <w:rFonts w:eastAsia="Book Antiqua" w:cs="Book Antiqua"/>
          <w:color w:val="000000" w:themeColor="text1"/>
          <w:szCs w:val="26"/>
        </w:rPr>
        <w:t xml:space="preserve">Inadequate long-term procurement planning can impact the risk profile of a retail seller’s portfolio and the State achieving its renewable goals.  The vast majority of existing renewable energy procurement for IOUs and SMJUs is derived from long-term contracts. </w:t>
      </w:r>
      <w:r w:rsidR="00E60171">
        <w:rPr>
          <w:rFonts w:eastAsia="Book Antiqua" w:cs="Book Antiqua"/>
          <w:color w:val="000000" w:themeColor="text1"/>
          <w:szCs w:val="26"/>
        </w:rPr>
        <w:t xml:space="preserve"> </w:t>
      </w:r>
      <w:r w:rsidRPr="15D87781">
        <w:rPr>
          <w:rFonts w:eastAsia="Book Antiqua" w:cs="Book Antiqua"/>
          <w:color w:val="000000" w:themeColor="text1"/>
          <w:szCs w:val="26"/>
        </w:rPr>
        <w:t>In comparison,</w:t>
      </w:r>
      <w:r w:rsidR="00C1234A">
        <w:rPr>
          <w:rFonts w:eastAsia="Book Antiqua" w:cs="Book Antiqua"/>
          <w:color w:val="000000" w:themeColor="text1"/>
          <w:szCs w:val="26"/>
        </w:rPr>
        <w:t xml:space="preserve"> </w:t>
      </w:r>
      <w:r w:rsidRPr="15D87781">
        <w:rPr>
          <w:rFonts w:eastAsia="Book Antiqua" w:cs="Book Antiqua"/>
          <w:color w:val="000000" w:themeColor="text1"/>
          <w:szCs w:val="26"/>
        </w:rPr>
        <w:t>some</w:t>
      </w:r>
      <w:r w:rsidR="00C1234A">
        <w:rPr>
          <w:rFonts w:eastAsia="Book Antiqua" w:cs="Book Antiqua"/>
          <w:color w:val="000000" w:themeColor="text1"/>
          <w:szCs w:val="26"/>
        </w:rPr>
        <w:t xml:space="preserve"> </w:t>
      </w:r>
      <w:r w:rsidRPr="15D87781">
        <w:rPr>
          <w:rFonts w:eastAsia="Book Antiqua" w:cs="Book Antiqua"/>
          <w:color w:val="000000" w:themeColor="text1"/>
          <w:szCs w:val="26"/>
        </w:rPr>
        <w:t>CCAs and ESPs have not yet procured enough RPS energy from long-term contracts to meet the 65</w:t>
      </w:r>
      <w:r w:rsidR="00E84EFA">
        <w:rPr>
          <w:rFonts w:eastAsia="Book Antiqua" w:cs="Book Antiqua"/>
          <w:color w:val="000000" w:themeColor="text1"/>
          <w:szCs w:val="26"/>
        </w:rPr>
        <w:t xml:space="preserve"> percent</w:t>
      </w:r>
      <w:r w:rsidRPr="15D87781">
        <w:rPr>
          <w:rFonts w:eastAsia="Book Antiqua" w:cs="Book Antiqua"/>
          <w:color w:val="000000" w:themeColor="text1"/>
          <w:szCs w:val="26"/>
        </w:rPr>
        <w:t xml:space="preserve"> requirement. </w:t>
      </w:r>
    </w:p>
    <w:p w:rsidR="49420FA2" w:rsidP="15D87781" w:rsidRDefault="49420FA2" w14:paraId="226C0C79" w14:textId="53783097">
      <w:pPr>
        <w:rPr>
          <w:rFonts w:eastAsia="Book Antiqua" w:cs="Book Antiqua"/>
          <w:color w:val="000000" w:themeColor="text1"/>
          <w:szCs w:val="26"/>
        </w:rPr>
      </w:pPr>
      <w:r w:rsidRPr="15D87781">
        <w:rPr>
          <w:rFonts w:eastAsia="Book Antiqua" w:cs="Book Antiqua"/>
          <w:color w:val="000000" w:themeColor="text1"/>
          <w:szCs w:val="26"/>
        </w:rPr>
        <w:t>The Commission directed retail sellers to provide a detailed plan for how they will meet the long-term contracting requirement and conduct risk assessments in their RPS Procurement Plans.  The expectation set in the 202</w:t>
      </w:r>
      <w:r w:rsidRPr="00B21B23">
        <w:rPr>
          <w:rFonts w:eastAsia="Book Antiqua" w:cs="Book Antiqua"/>
          <w:szCs w:val="26"/>
        </w:rPr>
        <w:t>2</w:t>
      </w:r>
      <w:r w:rsidR="00F014E0">
        <w:rPr>
          <w:rFonts w:eastAsia="Book Antiqua" w:cs="Book Antiqua"/>
          <w:szCs w:val="26"/>
        </w:rPr>
        <w:t> </w:t>
      </w:r>
      <w:r w:rsidRPr="15D87781">
        <w:rPr>
          <w:rFonts w:eastAsia="Book Antiqua" w:cs="Book Antiqua"/>
          <w:color w:val="000000" w:themeColor="text1"/>
          <w:szCs w:val="26"/>
        </w:rPr>
        <w:t>ACR was that both narratives would consider the risk, such as failure to construct a project or delayed construction, resulting in electricity not being delivered as required by the contract.  Effective procurement planning should inform retail sellers’ procurement decisions while minimizing compliance risks and the effects of potential project delays.</w:t>
      </w:r>
    </w:p>
    <w:p w:rsidR="49420FA2" w:rsidP="15D87781" w:rsidRDefault="49420FA2" w14:paraId="3BA2CE1C" w14:textId="55C07712">
      <w:pPr>
        <w:rPr>
          <w:rFonts w:eastAsia="Book Antiqua" w:cs="Book Antiqua"/>
          <w:color w:val="000000" w:themeColor="text1"/>
          <w:szCs w:val="26"/>
        </w:rPr>
      </w:pPr>
      <w:r w:rsidRPr="15D87781">
        <w:rPr>
          <w:rFonts w:eastAsia="Book Antiqua" w:cs="Book Antiqua"/>
          <w:color w:val="000000" w:themeColor="text1"/>
          <w:szCs w:val="26"/>
        </w:rPr>
        <w:t xml:space="preserve">The Draft </w:t>
      </w:r>
      <w:r w:rsidR="001D2A41">
        <w:rPr>
          <w:rFonts w:eastAsia="Book Antiqua" w:cs="Book Antiqua"/>
          <w:color w:val="000000" w:themeColor="text1"/>
          <w:szCs w:val="26"/>
        </w:rPr>
        <w:t xml:space="preserve">2022 </w:t>
      </w:r>
      <w:r w:rsidRPr="15D87781">
        <w:rPr>
          <w:rFonts w:eastAsia="Book Antiqua" w:cs="Book Antiqua"/>
          <w:color w:val="000000" w:themeColor="text1"/>
          <w:szCs w:val="26"/>
        </w:rPr>
        <w:t xml:space="preserve">RPS Plans demonstrate that some retail sellers are prudently procuring new renewables with sufficient lead-time to allow for potential delays in project development, but others are not.  Failure to meet the long-term requirement </w:t>
      </w:r>
      <w:r w:rsidR="00172AA9">
        <w:rPr>
          <w:rFonts w:eastAsia="Book Antiqua" w:cs="Book Antiqua"/>
          <w:color w:val="000000" w:themeColor="text1"/>
          <w:szCs w:val="26"/>
        </w:rPr>
        <w:t xml:space="preserve">has significant consequences and </w:t>
      </w:r>
      <w:r w:rsidRPr="15D87781">
        <w:rPr>
          <w:rFonts w:eastAsia="Book Antiqua" w:cs="Book Antiqua"/>
          <w:color w:val="000000" w:themeColor="text1"/>
          <w:szCs w:val="26"/>
        </w:rPr>
        <w:t>will result in a retail seller failing to meet overall RPS requirements.  Thus, inadequate procurement planning may cause retail sellers not to meet the State’s needs, negative</w:t>
      </w:r>
      <w:r w:rsidR="00172AA9">
        <w:rPr>
          <w:rFonts w:eastAsia="Book Antiqua" w:cs="Book Antiqua"/>
          <w:color w:val="000000" w:themeColor="text1"/>
          <w:szCs w:val="26"/>
        </w:rPr>
        <w:t>ly</w:t>
      </w:r>
      <w:r w:rsidRPr="15D87781">
        <w:rPr>
          <w:rFonts w:eastAsia="Book Antiqua" w:cs="Book Antiqua"/>
          <w:color w:val="000000" w:themeColor="text1"/>
          <w:szCs w:val="26"/>
        </w:rPr>
        <w:t xml:space="preserve"> implicati</w:t>
      </w:r>
      <w:r w:rsidR="00172AA9">
        <w:rPr>
          <w:rFonts w:eastAsia="Book Antiqua" w:cs="Book Antiqua"/>
          <w:color w:val="000000" w:themeColor="text1"/>
          <w:szCs w:val="26"/>
        </w:rPr>
        <w:t>ng</w:t>
      </w:r>
      <w:r w:rsidRPr="15D87781">
        <w:rPr>
          <w:rFonts w:eastAsia="Book Antiqua" w:cs="Book Antiqua"/>
          <w:color w:val="000000" w:themeColor="text1"/>
          <w:szCs w:val="26"/>
        </w:rPr>
        <w:t xml:space="preserve"> </w:t>
      </w:r>
      <w:r w:rsidR="00172AA9">
        <w:rPr>
          <w:rFonts w:eastAsia="Book Antiqua" w:cs="Book Antiqua"/>
          <w:color w:val="000000" w:themeColor="text1"/>
          <w:szCs w:val="26"/>
        </w:rPr>
        <w:t>electric</w:t>
      </w:r>
      <w:r w:rsidRPr="15D87781">
        <w:rPr>
          <w:rFonts w:eastAsia="Book Antiqua" w:cs="Book Antiqua"/>
          <w:color w:val="000000" w:themeColor="text1"/>
          <w:szCs w:val="26"/>
        </w:rPr>
        <w:t xml:space="preserve"> reliability </w:t>
      </w:r>
      <w:r w:rsidR="00172AA9">
        <w:rPr>
          <w:rFonts w:eastAsia="Book Antiqua" w:cs="Book Antiqua"/>
          <w:color w:val="000000" w:themeColor="text1"/>
          <w:szCs w:val="26"/>
        </w:rPr>
        <w:t>and progress towards SB 100 goals</w:t>
      </w:r>
      <w:r w:rsidR="00A8054E">
        <w:rPr>
          <w:rFonts w:eastAsia="Book Antiqua" w:cs="Book Antiqua"/>
          <w:color w:val="000000" w:themeColor="text1"/>
          <w:szCs w:val="26"/>
        </w:rPr>
        <w:t>.</w:t>
      </w:r>
      <w:r w:rsidRPr="15D87781" w:rsidR="00172AA9">
        <w:rPr>
          <w:rFonts w:eastAsia="Book Antiqua" w:cs="Book Antiqua"/>
          <w:color w:val="000000" w:themeColor="text1"/>
          <w:szCs w:val="26"/>
        </w:rPr>
        <w:t xml:space="preserve"> </w:t>
      </w:r>
      <w:r w:rsidR="00C84ADD">
        <w:rPr>
          <w:rFonts w:eastAsia="Book Antiqua" w:cs="Book Antiqua"/>
          <w:color w:val="000000" w:themeColor="text1"/>
          <w:szCs w:val="26"/>
        </w:rPr>
        <w:t xml:space="preserve"> </w:t>
      </w:r>
      <w:r w:rsidR="004833B0">
        <w:rPr>
          <w:rFonts w:eastAsia="Book Antiqua" w:cs="Book Antiqua"/>
          <w:color w:val="000000" w:themeColor="text1"/>
          <w:szCs w:val="26"/>
        </w:rPr>
        <w:t>The</w:t>
      </w:r>
      <w:r w:rsidR="00172AA9">
        <w:rPr>
          <w:rFonts w:eastAsia="Book Antiqua" w:cs="Book Antiqua"/>
          <w:color w:val="000000" w:themeColor="text1"/>
          <w:szCs w:val="26"/>
        </w:rPr>
        <w:t xml:space="preserve"> retail seller may incur</w:t>
      </w:r>
      <w:r w:rsidRPr="15D87781" w:rsidR="00172AA9">
        <w:rPr>
          <w:rFonts w:eastAsia="Book Antiqua" w:cs="Book Antiqua"/>
          <w:color w:val="000000" w:themeColor="text1"/>
          <w:szCs w:val="26"/>
        </w:rPr>
        <w:t xml:space="preserve"> </w:t>
      </w:r>
      <w:r w:rsidRPr="15D87781">
        <w:rPr>
          <w:rFonts w:eastAsia="Book Antiqua" w:cs="Book Antiqua"/>
          <w:color w:val="000000" w:themeColor="text1"/>
          <w:szCs w:val="26"/>
        </w:rPr>
        <w:t xml:space="preserve">financial penalties </w:t>
      </w:r>
      <w:r w:rsidR="00A8054E">
        <w:rPr>
          <w:rFonts w:eastAsia="Book Antiqua" w:cs="Book Antiqua"/>
          <w:color w:val="000000" w:themeColor="text1"/>
          <w:szCs w:val="26"/>
        </w:rPr>
        <w:t xml:space="preserve">to be borne by its shareholders </w:t>
      </w:r>
      <w:r w:rsidRPr="15D87781">
        <w:rPr>
          <w:rFonts w:eastAsia="Book Antiqua" w:cs="Book Antiqua"/>
          <w:color w:val="000000" w:themeColor="text1"/>
          <w:szCs w:val="26"/>
        </w:rPr>
        <w:t xml:space="preserve">that could significantly impact </w:t>
      </w:r>
      <w:r w:rsidR="00172AA9">
        <w:rPr>
          <w:rFonts w:eastAsia="Book Antiqua" w:cs="Book Antiqua"/>
          <w:color w:val="000000" w:themeColor="text1"/>
          <w:szCs w:val="26"/>
        </w:rPr>
        <w:t xml:space="preserve">its </w:t>
      </w:r>
      <w:r w:rsidR="004833B0">
        <w:rPr>
          <w:rFonts w:eastAsia="Book Antiqua" w:cs="Book Antiqua"/>
          <w:color w:val="000000" w:themeColor="text1"/>
          <w:szCs w:val="26"/>
        </w:rPr>
        <w:t xml:space="preserve">financial </w:t>
      </w:r>
      <w:r w:rsidRPr="15D87781">
        <w:rPr>
          <w:rFonts w:eastAsia="Book Antiqua" w:cs="Book Antiqua"/>
          <w:color w:val="000000" w:themeColor="text1"/>
          <w:szCs w:val="26"/>
        </w:rPr>
        <w:t xml:space="preserve">viability and </w:t>
      </w:r>
      <w:r w:rsidR="00A8054E">
        <w:rPr>
          <w:rFonts w:eastAsia="Book Antiqua" w:cs="Book Antiqua"/>
          <w:color w:val="000000" w:themeColor="text1"/>
          <w:szCs w:val="26"/>
        </w:rPr>
        <w:t xml:space="preserve">at the same time burden </w:t>
      </w:r>
      <w:r w:rsidRPr="15D87781">
        <w:rPr>
          <w:rFonts w:eastAsia="Book Antiqua" w:cs="Book Antiqua"/>
          <w:color w:val="000000" w:themeColor="text1"/>
          <w:szCs w:val="26"/>
        </w:rPr>
        <w:t>ratepayer</w:t>
      </w:r>
      <w:r w:rsidR="00A8054E">
        <w:rPr>
          <w:rFonts w:eastAsia="Book Antiqua" w:cs="Book Antiqua"/>
          <w:color w:val="000000" w:themeColor="text1"/>
          <w:szCs w:val="26"/>
        </w:rPr>
        <w:t xml:space="preserve">s with </w:t>
      </w:r>
      <w:r w:rsidR="00C44E13">
        <w:rPr>
          <w:rFonts w:eastAsia="Book Antiqua" w:cs="Book Antiqua"/>
          <w:color w:val="000000" w:themeColor="text1"/>
          <w:szCs w:val="26"/>
        </w:rPr>
        <w:t>less reasonably cost options</w:t>
      </w:r>
      <w:r w:rsidRPr="15D87781">
        <w:rPr>
          <w:rFonts w:eastAsia="Book Antiqua" w:cs="Book Antiqua"/>
          <w:color w:val="000000" w:themeColor="text1"/>
          <w:szCs w:val="26"/>
        </w:rPr>
        <w:t>.   </w:t>
      </w:r>
    </w:p>
    <w:p w:rsidR="49420FA2" w:rsidP="15D87781" w:rsidRDefault="007B74C2" w14:paraId="5B4D979D" w14:textId="374676E6">
      <w:pPr>
        <w:rPr>
          <w:rFonts w:eastAsia="Book Antiqua" w:cs="Book Antiqua"/>
          <w:color w:val="000000" w:themeColor="text1"/>
          <w:szCs w:val="26"/>
        </w:rPr>
      </w:pPr>
      <w:r>
        <w:rPr>
          <w:rFonts w:eastAsia="Book Antiqua" w:cs="Book Antiqua"/>
          <w:color w:val="000000" w:themeColor="text1"/>
          <w:szCs w:val="26"/>
        </w:rPr>
        <w:t xml:space="preserve">Retail sellers are required to present a narrative description about how their </w:t>
      </w:r>
      <w:r w:rsidRPr="15D87781" w:rsidR="49420FA2">
        <w:rPr>
          <w:rFonts w:eastAsia="Book Antiqua" w:cs="Book Antiqua"/>
          <w:color w:val="000000" w:themeColor="text1"/>
          <w:szCs w:val="26"/>
        </w:rPr>
        <w:t xml:space="preserve">current and planned RPS portfolios will comply with the long-term contracting rules, and </w:t>
      </w:r>
      <w:r>
        <w:rPr>
          <w:rFonts w:eastAsia="Book Antiqua" w:cs="Book Antiqua"/>
          <w:color w:val="000000" w:themeColor="text1"/>
          <w:szCs w:val="26"/>
        </w:rPr>
        <w:t xml:space="preserve">include </w:t>
      </w:r>
      <w:r w:rsidRPr="15D87781" w:rsidR="49420FA2">
        <w:rPr>
          <w:rFonts w:eastAsia="Book Antiqua" w:cs="Book Antiqua"/>
          <w:color w:val="000000" w:themeColor="text1"/>
          <w:szCs w:val="26"/>
        </w:rPr>
        <w:t>a quantitative assessment of retail sellers’ long-term RPS position</w:t>
      </w:r>
      <w:r w:rsidR="00E60171">
        <w:rPr>
          <w:rFonts w:eastAsia="Book Antiqua" w:cs="Book Antiqua"/>
          <w:color w:val="000000" w:themeColor="text1"/>
          <w:szCs w:val="26"/>
        </w:rPr>
        <w:t>s</w:t>
      </w:r>
      <w:r w:rsidRPr="15D87781" w:rsidR="49420FA2">
        <w:rPr>
          <w:rFonts w:eastAsia="Book Antiqua" w:cs="Book Antiqua"/>
          <w:color w:val="000000" w:themeColor="text1"/>
          <w:szCs w:val="26"/>
        </w:rPr>
        <w:t>.  All Final 202</w:t>
      </w:r>
      <w:r w:rsidRPr="00B21B23" w:rsidR="49420FA2">
        <w:rPr>
          <w:rFonts w:eastAsia="Book Antiqua" w:cs="Book Antiqua"/>
          <w:szCs w:val="26"/>
        </w:rPr>
        <w:t>2</w:t>
      </w:r>
      <w:r w:rsidR="00C1234A">
        <w:rPr>
          <w:rFonts w:eastAsia="Book Antiqua" w:cs="Book Antiqua"/>
          <w:szCs w:val="26"/>
        </w:rPr>
        <w:t> </w:t>
      </w:r>
      <w:r w:rsidRPr="15D87781" w:rsidR="49420FA2">
        <w:rPr>
          <w:rFonts w:eastAsia="Book Antiqua" w:cs="Book Antiqua"/>
          <w:color w:val="000000" w:themeColor="text1"/>
          <w:szCs w:val="26"/>
        </w:rPr>
        <w:t>RPS Plans must include a timeline for how retail sellers will ramp up to the 65</w:t>
      </w:r>
      <w:r w:rsidR="00C1234A">
        <w:rPr>
          <w:rFonts w:eastAsia="Book Antiqua" w:cs="Book Antiqua"/>
          <w:color w:val="000000" w:themeColor="text1"/>
          <w:szCs w:val="26"/>
        </w:rPr>
        <w:t> </w:t>
      </w:r>
      <w:r w:rsidR="00E84EFA">
        <w:rPr>
          <w:rFonts w:eastAsia="Book Antiqua" w:cs="Book Antiqua"/>
          <w:color w:val="000000" w:themeColor="text1"/>
          <w:szCs w:val="26"/>
        </w:rPr>
        <w:t xml:space="preserve">percent </w:t>
      </w:r>
      <w:r w:rsidRPr="15D87781" w:rsidR="49420FA2">
        <w:rPr>
          <w:rFonts w:eastAsia="Book Antiqua" w:cs="Book Antiqua"/>
          <w:color w:val="000000" w:themeColor="text1"/>
          <w:szCs w:val="26"/>
        </w:rPr>
        <w:t>long-term procurement requirement, if they have not already met it, and detail how they will continue to meet the long-term procurement requirement in the future.  </w:t>
      </w:r>
    </w:p>
    <w:p w:rsidR="49420FA2" w:rsidP="410B2AA0" w:rsidRDefault="49420FA2" w14:paraId="7A4E1646" w14:textId="5EC546BF">
      <w:pPr>
        <w:rPr>
          <w:rFonts w:eastAsia="Book Antiqua" w:cs="Book Antiqua"/>
          <w:color w:val="000000" w:themeColor="text1"/>
        </w:rPr>
      </w:pPr>
      <w:r w:rsidRPr="410B2AA0">
        <w:rPr>
          <w:rFonts w:eastAsia="Book Antiqua" w:cs="Book Antiqua"/>
          <w:color w:val="000000" w:themeColor="text1"/>
        </w:rPr>
        <w:t xml:space="preserve">We have identified the long-term procurement sections provided by </w:t>
      </w:r>
      <w:r w:rsidRPr="001106E4">
        <w:rPr>
          <w:rFonts w:eastAsia="Book Antiqua" w:cs="Book Antiqua"/>
          <w:color w:val="000000" w:themeColor="text1"/>
        </w:rPr>
        <w:t>SCE, CleanPowerSF, and Central Coast Community Energy</w:t>
      </w:r>
      <w:r w:rsidRPr="410B2AA0">
        <w:rPr>
          <w:rFonts w:eastAsia="Book Antiqua" w:cs="Book Antiqua"/>
          <w:color w:val="000000" w:themeColor="text1"/>
        </w:rPr>
        <w:t xml:space="preserve"> as examples to serve as the best examples for long-term procurement planning.  In their Final 202</w:t>
      </w:r>
      <w:r w:rsidRPr="00587225">
        <w:rPr>
          <w:rFonts w:eastAsia="Book Antiqua" w:cs="Book Antiqua"/>
        </w:rPr>
        <w:t>2</w:t>
      </w:r>
      <w:r w:rsidRPr="410B2AA0">
        <w:rPr>
          <w:rFonts w:eastAsia="Book Antiqua" w:cs="Book Antiqua"/>
          <w:color w:val="000000" w:themeColor="text1"/>
        </w:rPr>
        <w:t xml:space="preserve"> RPS Plans, the retail sellers identified in Table </w:t>
      </w:r>
      <w:r w:rsidRPr="410B2AA0" w:rsidR="00867B7E">
        <w:rPr>
          <w:rFonts w:eastAsia="Book Antiqua" w:cs="Book Antiqua"/>
          <w:color w:val="000000" w:themeColor="text1"/>
        </w:rPr>
        <w:t>2</w:t>
      </w:r>
      <w:r w:rsidRPr="410B2AA0">
        <w:rPr>
          <w:rFonts w:eastAsia="Book Antiqua" w:cs="Book Antiqua"/>
          <w:color w:val="000000" w:themeColor="text1"/>
        </w:rPr>
        <w:t xml:space="preserve"> shall update their long-term procurement sections to include a quantitative assessment of their</w:t>
      </w:r>
      <w:r w:rsidR="00C1234A">
        <w:rPr>
          <w:rFonts w:eastAsia="Book Antiqua" w:cs="Book Antiqua"/>
          <w:color w:val="000000" w:themeColor="text1"/>
        </w:rPr>
        <w:t xml:space="preserve"> </w:t>
      </w:r>
      <w:r w:rsidRPr="410B2AA0" w:rsidR="0090493C">
        <w:rPr>
          <w:rFonts w:eastAsia="Book Antiqua" w:cs="Book Antiqua"/>
          <w:color w:val="000000" w:themeColor="text1"/>
        </w:rPr>
        <w:t>long</w:t>
      </w:r>
      <w:r w:rsidR="00C1234A">
        <w:rPr>
          <w:rFonts w:eastAsia="Book Antiqua" w:cs="Book Antiqua"/>
          <w:color w:val="000000" w:themeColor="text1"/>
        </w:rPr>
        <w:noBreakHyphen/>
      </w:r>
      <w:r w:rsidRPr="410B2AA0" w:rsidR="0090493C">
        <w:rPr>
          <w:rFonts w:eastAsia="Book Antiqua" w:cs="Book Antiqua"/>
          <w:color w:val="000000" w:themeColor="text1"/>
        </w:rPr>
        <w:t>term</w:t>
      </w:r>
      <w:r w:rsidRPr="410B2AA0">
        <w:rPr>
          <w:rFonts w:eastAsia="Book Antiqua" w:cs="Book Antiqua"/>
          <w:color w:val="000000" w:themeColor="text1"/>
        </w:rPr>
        <w:t> RPS positions.</w:t>
      </w:r>
      <w:r w:rsidR="00C1234A">
        <w:rPr>
          <w:rFonts w:eastAsia="Book Antiqua" w:cs="Book Antiqua"/>
          <w:color w:val="000000" w:themeColor="text1"/>
        </w:rPr>
        <w:t xml:space="preserve">  </w:t>
      </w:r>
      <w:r w:rsidR="00B21B23">
        <w:rPr>
          <w:rFonts w:eastAsia="Book Antiqua" w:cs="Book Antiqua"/>
          <w:color w:val="000000" w:themeColor="text1"/>
        </w:rPr>
        <w:t xml:space="preserve">For many retail sellers, the </w:t>
      </w:r>
      <w:r w:rsidRPr="00B21B23" w:rsidR="00B21B23">
        <w:rPr>
          <w:rFonts w:eastAsia="Book Antiqua" w:cs="Book Antiqua"/>
          <w:color w:val="000000" w:themeColor="text1"/>
        </w:rPr>
        <w:t>Progress Towards Long</w:t>
      </w:r>
      <w:r w:rsidR="00C1234A">
        <w:rPr>
          <w:rFonts w:eastAsia="Book Antiqua" w:cs="Book Antiqua"/>
          <w:color w:val="000000" w:themeColor="text1"/>
        </w:rPr>
        <w:noBreakHyphen/>
      </w:r>
      <w:r w:rsidRPr="00B21B23" w:rsidR="00B21B23">
        <w:rPr>
          <w:rFonts w:eastAsia="Book Antiqua" w:cs="Book Antiqua"/>
          <w:color w:val="000000" w:themeColor="text1"/>
        </w:rPr>
        <w:t>Term RPS Contracting Requirement</w:t>
      </w:r>
      <w:r w:rsidR="00B21B23">
        <w:rPr>
          <w:rFonts w:eastAsia="Book Antiqua" w:cs="Book Antiqua"/>
          <w:color w:val="000000" w:themeColor="text1"/>
        </w:rPr>
        <w:t xml:space="preserve"> graph </w:t>
      </w:r>
      <w:r w:rsidR="008446D5">
        <w:rPr>
          <w:rFonts w:eastAsia="Book Antiqua" w:cs="Book Antiqua"/>
          <w:color w:val="000000" w:themeColor="text1"/>
        </w:rPr>
        <w:t xml:space="preserve">filed with their plan </w:t>
      </w:r>
      <w:r w:rsidR="00B21B23">
        <w:rPr>
          <w:rFonts w:eastAsia="Book Antiqua" w:cs="Book Antiqua"/>
          <w:color w:val="000000" w:themeColor="text1"/>
        </w:rPr>
        <w:t xml:space="preserve">was insufficient to gauge the retail seller’s position. </w:t>
      </w:r>
    </w:p>
    <w:p w:rsidRPr="00B01137" w:rsidR="49420FA2" w:rsidP="00F014E0" w:rsidRDefault="49420FA2" w14:paraId="64FED3BE" w14:textId="15CED189">
      <w:pPr>
        <w:keepNext/>
        <w:ind w:firstLine="0"/>
        <w:jc w:val="center"/>
        <w:rPr>
          <w:rFonts w:eastAsia="Garamond" w:cs="Garamond"/>
          <w:color w:val="000000" w:themeColor="text1"/>
          <w:szCs w:val="26"/>
        </w:rPr>
      </w:pPr>
      <w:r w:rsidRPr="00B01137">
        <w:rPr>
          <w:rFonts w:eastAsia="Garamond" w:cs="Garamond"/>
          <w:b/>
          <w:bCs/>
          <w:color w:val="000000" w:themeColor="text1"/>
          <w:szCs w:val="26"/>
        </w:rPr>
        <w:t xml:space="preserve">Table </w:t>
      </w:r>
      <w:r w:rsidRPr="00B01137" w:rsidR="00E84EFA">
        <w:rPr>
          <w:rFonts w:eastAsia="Garamond" w:cs="Garamond"/>
          <w:b/>
          <w:bCs/>
          <w:color w:val="000000" w:themeColor="text1"/>
          <w:szCs w:val="26"/>
        </w:rPr>
        <w:t>2</w:t>
      </w:r>
      <w:r w:rsidRPr="00B01137">
        <w:rPr>
          <w:rFonts w:eastAsia="Garamond" w:cs="Garamond"/>
          <w:b/>
          <w:bCs/>
          <w:color w:val="000000" w:themeColor="text1"/>
          <w:szCs w:val="26"/>
        </w:rPr>
        <w:t>:  Long-Term Procurement</w:t>
      </w:r>
    </w:p>
    <w:tbl>
      <w:tblPr>
        <w:tblW w:w="0" w:type="auto"/>
        <w:jc w:val="center"/>
        <w:tblLook w:val="04A0" w:firstRow="1" w:lastRow="0" w:firstColumn="1" w:lastColumn="0" w:noHBand="0" w:noVBand="1"/>
      </w:tblPr>
      <w:tblGrid>
        <w:gridCol w:w="2679"/>
        <w:gridCol w:w="6665"/>
      </w:tblGrid>
      <w:tr w:rsidRPr="00AF0C32" w:rsidR="00AF0C32" w:rsidTr="00F014E0" w14:paraId="565065E6" w14:textId="77777777">
        <w:trPr>
          <w:trHeight w:val="300"/>
          <w:tblHeader/>
          <w:jc w:val="center"/>
        </w:trPr>
        <w:tc>
          <w:tcPr>
            <w:tcW w:w="0" w:type="auto"/>
            <w:tcBorders>
              <w:top w:val="single" w:color="auto" w:sz="6" w:space="0"/>
              <w:left w:val="single" w:color="auto" w:sz="6" w:space="0"/>
              <w:bottom w:val="single" w:color="auto" w:sz="6" w:space="0"/>
              <w:right w:val="single" w:color="auto" w:sz="6" w:space="0"/>
            </w:tcBorders>
          </w:tcPr>
          <w:p w:rsidRPr="00C1234A" w:rsidR="15D87781" w:rsidP="00F014E0" w:rsidRDefault="15D87781" w14:paraId="516B5A58" w14:textId="74FB21A3">
            <w:pPr>
              <w:keepNext/>
              <w:spacing w:line="240" w:lineRule="auto"/>
              <w:ind w:firstLine="0"/>
              <w:jc w:val="center"/>
              <w:rPr>
                <w:rFonts w:eastAsia="Garamond" w:cs="Garamond"/>
                <w:sz w:val="24"/>
                <w:szCs w:val="24"/>
              </w:rPr>
            </w:pPr>
            <w:r w:rsidRPr="00C1234A">
              <w:rPr>
                <w:rFonts w:eastAsia="Garamond" w:cs="Garamond"/>
                <w:b/>
                <w:bCs/>
                <w:sz w:val="24"/>
                <w:szCs w:val="24"/>
              </w:rPr>
              <w:t>Retail Seller </w:t>
            </w:r>
            <w:r w:rsidRPr="00C1234A">
              <w:rPr>
                <w:rFonts w:eastAsia="Garamond" w:cs="Garamond"/>
                <w:sz w:val="24"/>
                <w:szCs w:val="24"/>
              </w:rPr>
              <w:t> </w:t>
            </w:r>
          </w:p>
        </w:tc>
        <w:tc>
          <w:tcPr>
            <w:tcW w:w="0" w:type="auto"/>
            <w:tcBorders>
              <w:top w:val="single" w:color="auto" w:sz="6" w:space="0"/>
              <w:left w:val="single" w:color="auto" w:sz="6" w:space="0"/>
              <w:bottom w:val="single" w:color="auto" w:sz="6" w:space="0"/>
              <w:right w:val="single" w:color="auto" w:sz="6" w:space="0"/>
            </w:tcBorders>
          </w:tcPr>
          <w:p w:rsidRPr="00C1234A" w:rsidR="15D87781" w:rsidP="00F014E0" w:rsidRDefault="15D87781" w14:paraId="02E87E59" w14:textId="05C2426D">
            <w:pPr>
              <w:keepNext/>
              <w:spacing w:line="240" w:lineRule="auto"/>
              <w:ind w:firstLine="0"/>
              <w:jc w:val="center"/>
              <w:rPr>
                <w:rFonts w:eastAsia="Garamond" w:cs="Garamond"/>
                <w:sz w:val="24"/>
                <w:szCs w:val="24"/>
              </w:rPr>
            </w:pPr>
            <w:r w:rsidRPr="00C1234A">
              <w:rPr>
                <w:rFonts w:eastAsia="Garamond" w:cs="Garamond"/>
                <w:b/>
                <w:bCs/>
                <w:sz w:val="24"/>
                <w:szCs w:val="24"/>
              </w:rPr>
              <w:t>Commission Finding </w:t>
            </w:r>
            <w:r w:rsidRPr="00C1234A">
              <w:rPr>
                <w:rFonts w:eastAsia="Garamond" w:cs="Garamond"/>
                <w:sz w:val="24"/>
                <w:szCs w:val="24"/>
              </w:rPr>
              <w:t> </w:t>
            </w:r>
          </w:p>
        </w:tc>
      </w:tr>
      <w:tr w:rsidRPr="00AF0C32" w:rsidR="00AF0C32" w:rsidTr="00C1234A" w14:paraId="64A109A8"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F014E0" w:rsidRDefault="15D87781" w14:paraId="3857D55F" w14:textId="51E8C026">
            <w:pPr>
              <w:keepNext/>
              <w:spacing w:line="240" w:lineRule="auto"/>
              <w:ind w:firstLine="0"/>
              <w:rPr>
                <w:rFonts w:eastAsia="Garamond" w:cs="Garamond"/>
                <w:sz w:val="22"/>
              </w:rPr>
            </w:pPr>
            <w:r w:rsidRPr="00B01137">
              <w:rPr>
                <w:rFonts w:eastAsia="Garamond" w:cs="Garamond"/>
                <w:sz w:val="22"/>
              </w:rPr>
              <w:t>Liberty</w:t>
            </w:r>
          </w:p>
        </w:tc>
        <w:tc>
          <w:tcPr>
            <w:tcW w:w="0" w:type="auto"/>
            <w:tcBorders>
              <w:top w:val="single" w:color="auto" w:sz="6" w:space="0"/>
              <w:left w:val="single" w:color="auto" w:sz="6" w:space="0"/>
              <w:bottom w:val="single" w:color="auto" w:sz="6" w:space="0"/>
              <w:right w:val="single" w:color="auto" w:sz="6" w:space="0"/>
            </w:tcBorders>
          </w:tcPr>
          <w:p w:rsidRPr="00B01137" w:rsidR="15D87781" w:rsidP="00F014E0" w:rsidRDefault="15D87781" w14:paraId="263BB9D6" w14:textId="328E4486">
            <w:pPr>
              <w:keepNext/>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its long-term</w:t>
            </w:r>
            <w:r w:rsidRPr="00B01137">
              <w:rPr>
                <w:rFonts w:eastAsia="Garamond" w:cs="Garamond"/>
                <w:sz w:val="22"/>
              </w:rPr>
              <w:t xml:space="preserve"> position for current and future compliance periods. </w:t>
            </w:r>
          </w:p>
        </w:tc>
      </w:tr>
      <w:tr w:rsidRPr="00AF0C32" w:rsidR="00AF0C32" w:rsidTr="00C1234A" w14:paraId="601FA158"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55FF4345" w14:textId="467AA4CB">
            <w:pPr>
              <w:spacing w:line="240" w:lineRule="auto"/>
              <w:ind w:firstLine="0"/>
              <w:rPr>
                <w:rFonts w:eastAsia="Garamond" w:cs="Garamond"/>
                <w:sz w:val="22"/>
              </w:rPr>
            </w:pPr>
            <w:r w:rsidRPr="00B01137">
              <w:rPr>
                <w:rFonts w:eastAsia="Garamond" w:cs="Garamond"/>
                <w:sz w:val="22"/>
              </w:rPr>
              <w:t>BVES</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798ED0C4" w14:textId="2AB4F028">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its long-term</w:t>
            </w:r>
            <w:r w:rsidRPr="00B01137">
              <w:rPr>
                <w:rFonts w:eastAsia="Garamond" w:cs="Garamond"/>
                <w:sz w:val="22"/>
              </w:rPr>
              <w:t xml:space="preserve"> position for current and future compliance periods. </w:t>
            </w:r>
          </w:p>
        </w:tc>
      </w:tr>
      <w:tr w:rsidRPr="00AF0C32" w:rsidR="00AF0C32" w:rsidTr="00C1234A" w14:paraId="0BEFB03D"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512D4A58" w14:textId="5372F1AA">
            <w:pPr>
              <w:spacing w:line="240" w:lineRule="auto"/>
              <w:ind w:firstLine="0"/>
              <w:rPr>
                <w:rFonts w:eastAsia="Garamond" w:cs="Garamond"/>
                <w:sz w:val="22"/>
              </w:rPr>
            </w:pPr>
            <w:r w:rsidRPr="00B01137">
              <w:rPr>
                <w:rFonts w:eastAsia="Garamond" w:cs="Garamond"/>
                <w:sz w:val="22"/>
              </w:rPr>
              <w:t>PacifiCorp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70B29ED8" w14:textId="048EFBA3">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its long-term</w:t>
            </w:r>
            <w:r w:rsidRPr="00B01137">
              <w:rPr>
                <w:rFonts w:eastAsia="Garamond" w:cs="Garamond"/>
                <w:sz w:val="22"/>
              </w:rPr>
              <w:t xml:space="preserve"> position for current and future compliance periods. </w:t>
            </w:r>
          </w:p>
        </w:tc>
      </w:tr>
      <w:tr w:rsidRPr="00AF0C32" w:rsidR="00AF0C32" w:rsidTr="00C1234A" w14:paraId="556A14F0"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5AF654EA" w14:textId="2B19AD7F">
            <w:pPr>
              <w:spacing w:line="240" w:lineRule="auto"/>
              <w:ind w:firstLine="0"/>
              <w:rPr>
                <w:rFonts w:eastAsia="Garamond" w:cs="Garamond"/>
                <w:sz w:val="22"/>
              </w:rPr>
            </w:pPr>
            <w:r w:rsidRPr="00B01137">
              <w:rPr>
                <w:rFonts w:eastAsia="Garamond" w:cs="Garamond"/>
                <w:sz w:val="22"/>
              </w:rPr>
              <w:t>Apple Valley Choice Energy</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79F5FABA" w14:textId="7FECF541">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its 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(graph</w:t>
            </w:r>
            <w:r w:rsidR="00B21B23">
              <w:rPr>
                <w:rFonts w:eastAsia="Garamond" w:cs="Garamond"/>
                <w:sz w:val="22"/>
              </w:rPr>
              <w:t xml:space="preserve"> is </w:t>
            </w:r>
            <w:r w:rsidRPr="00B01137">
              <w:rPr>
                <w:rFonts w:eastAsia="Garamond" w:cs="Garamond"/>
                <w:sz w:val="22"/>
              </w:rPr>
              <w:t>insufficient to gauge position)</w:t>
            </w:r>
          </w:p>
        </w:tc>
      </w:tr>
      <w:tr w:rsidRPr="00AF0C32" w:rsidR="00AF0C32" w:rsidTr="00C1234A" w14:paraId="2771AFCF"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2EBE217D" w14:textId="103519DD">
            <w:pPr>
              <w:spacing w:line="240" w:lineRule="auto"/>
              <w:ind w:firstLine="0"/>
              <w:rPr>
                <w:rFonts w:eastAsia="Garamond" w:cs="Garamond"/>
                <w:sz w:val="22"/>
              </w:rPr>
            </w:pPr>
            <w:r w:rsidRPr="00B01137">
              <w:rPr>
                <w:rFonts w:eastAsia="Garamond" w:cs="Garamond"/>
                <w:sz w:val="22"/>
              </w:rPr>
              <w:t>City of Palmdale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6D2868F8" w14:textId="4089A950">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149F86C7"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401EB077" w14:textId="08378BE0">
            <w:pPr>
              <w:spacing w:line="240" w:lineRule="auto"/>
              <w:ind w:firstLine="0"/>
              <w:rPr>
                <w:rFonts w:eastAsia="Garamond" w:cs="Garamond"/>
                <w:sz w:val="22"/>
              </w:rPr>
            </w:pPr>
            <w:r w:rsidRPr="00B01137">
              <w:rPr>
                <w:rFonts w:eastAsia="Garamond" w:cs="Garamond"/>
                <w:sz w:val="22"/>
              </w:rPr>
              <w:t>City of Pomona</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184E8D56" w14:textId="05D9F55B">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061E56B7"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47FA39FD" w14:textId="05145A6B">
            <w:pPr>
              <w:spacing w:line="240" w:lineRule="auto"/>
              <w:ind w:firstLine="0"/>
              <w:rPr>
                <w:rFonts w:eastAsia="Garamond" w:cs="Garamond"/>
                <w:sz w:val="22"/>
              </w:rPr>
            </w:pPr>
            <w:r w:rsidRPr="00B01137">
              <w:rPr>
                <w:rFonts w:eastAsia="Garamond" w:cs="Garamond"/>
                <w:sz w:val="22"/>
              </w:rPr>
              <w:t>City of Santa Barbara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1EDD442D" w14:textId="41D78FF8">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p>
        </w:tc>
      </w:tr>
      <w:tr w:rsidRPr="00AF0C32" w:rsidR="00AF0C32" w:rsidTr="00C1234A" w14:paraId="7AD4CDF9"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0896A674" w14:textId="22DF7155">
            <w:pPr>
              <w:spacing w:line="240" w:lineRule="auto"/>
              <w:ind w:firstLine="0"/>
              <w:rPr>
                <w:rFonts w:eastAsia="Garamond" w:cs="Garamond"/>
                <w:sz w:val="22"/>
              </w:rPr>
            </w:pPr>
            <w:r w:rsidRPr="00B01137">
              <w:rPr>
                <w:rFonts w:eastAsia="Garamond" w:cs="Garamond"/>
                <w:sz w:val="22"/>
              </w:rPr>
              <w:t>Clean Energy Alliance</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B390903" w14:textId="28E37B2B">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747DA80D"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54B4DEE6" w14:textId="386A25E8">
            <w:pPr>
              <w:spacing w:line="240" w:lineRule="auto"/>
              <w:ind w:firstLine="0"/>
              <w:rPr>
                <w:rFonts w:eastAsia="Garamond" w:cs="Garamond"/>
                <w:sz w:val="22"/>
              </w:rPr>
            </w:pPr>
            <w:r w:rsidRPr="00B01137">
              <w:rPr>
                <w:rFonts w:eastAsia="Garamond" w:cs="Garamond"/>
                <w:sz w:val="22"/>
              </w:rPr>
              <w:t>Clean Power Alliance</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5AA1C4A1" w14:textId="7F11E182">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w:t>
            </w:r>
          </w:p>
        </w:tc>
      </w:tr>
      <w:tr w:rsidRPr="00AF0C32" w:rsidR="00AF0C32" w:rsidTr="00C1234A" w14:paraId="4C73C88B"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01D101F5" w14:textId="149E71DA">
            <w:pPr>
              <w:spacing w:line="240" w:lineRule="auto"/>
              <w:ind w:firstLine="0"/>
              <w:rPr>
                <w:rFonts w:eastAsia="Garamond" w:cs="Garamond"/>
                <w:sz w:val="22"/>
              </w:rPr>
            </w:pPr>
            <w:r w:rsidRPr="00B01137">
              <w:rPr>
                <w:rFonts w:eastAsia="Garamond" w:cs="Garamond"/>
                <w:sz w:val="22"/>
              </w:rPr>
              <w:t>Lancaster Choice Energy</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28F62CA0" w14:textId="1D3AAEBC">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23B90161"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296CE388" w14:textId="27BC5D8B">
            <w:pPr>
              <w:spacing w:line="240" w:lineRule="auto"/>
              <w:ind w:firstLine="0"/>
              <w:rPr>
                <w:rFonts w:eastAsia="Garamond" w:cs="Garamond"/>
                <w:sz w:val="22"/>
              </w:rPr>
            </w:pPr>
            <w:r w:rsidRPr="00B01137">
              <w:rPr>
                <w:rFonts w:eastAsia="Garamond" w:cs="Garamond"/>
                <w:sz w:val="22"/>
              </w:rPr>
              <w:t>Orange County Power Authority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99CCE79" w14:textId="0FA8F8FB">
            <w:pPr>
              <w:spacing w:line="240" w:lineRule="auto"/>
              <w:ind w:firstLine="0"/>
              <w:rPr>
                <w:rFonts w:eastAsia="Garamond" w:cs="Garamond"/>
                <w:sz w:val="22"/>
              </w:rPr>
            </w:pPr>
            <w:r w:rsidRPr="00B01137">
              <w:rPr>
                <w:rFonts w:eastAsia="Garamond" w:cs="Garamond"/>
                <w:sz w:val="22"/>
              </w:rPr>
              <w:t>Provide an update on new contracts executed as a result of the recent solicitation. </w:t>
            </w:r>
            <w:r w:rsidR="00C1234A">
              <w:rPr>
                <w:rFonts w:eastAsia="Garamond" w:cs="Garamond"/>
                <w:sz w:val="22"/>
              </w:rPr>
              <w:t> </w:t>
            </w:r>
            <w:r w:rsidRPr="00B01137">
              <w:rPr>
                <w:rFonts w:eastAsia="Garamond" w:cs="Garamond"/>
                <w:sz w:val="22"/>
              </w:rPr>
              <w:t xml:space="preserve">(Second long-term solicitation) </w:t>
            </w:r>
          </w:p>
        </w:tc>
      </w:tr>
      <w:tr w:rsidRPr="00AF0C32" w:rsidR="00AF0C32" w:rsidTr="00C1234A" w14:paraId="2943AB17" w14:textId="77777777">
        <w:trPr>
          <w:trHeight w:val="315"/>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630C2632" w14:textId="216F8E75">
            <w:pPr>
              <w:spacing w:line="240" w:lineRule="auto"/>
              <w:ind w:firstLine="0"/>
              <w:rPr>
                <w:rFonts w:eastAsia="Garamond" w:cs="Garamond"/>
                <w:sz w:val="22"/>
              </w:rPr>
            </w:pPr>
            <w:r w:rsidRPr="00B01137">
              <w:rPr>
                <w:rFonts w:eastAsia="Garamond" w:cs="Garamond"/>
                <w:sz w:val="22"/>
              </w:rPr>
              <w:t>Pico Rivera Innovative Municipal Energy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2F38343" w14:textId="23FC03B4">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1CA100A6" w14:textId="77777777">
        <w:trPr>
          <w:trHeight w:val="315"/>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7A9A45F4" w14:textId="12F60CC5">
            <w:pPr>
              <w:spacing w:line="240" w:lineRule="auto"/>
              <w:ind w:firstLine="0"/>
              <w:rPr>
                <w:rFonts w:eastAsia="Garamond" w:cs="Garamond"/>
                <w:sz w:val="22"/>
              </w:rPr>
            </w:pPr>
            <w:r w:rsidRPr="00B01137">
              <w:rPr>
                <w:rFonts w:eastAsia="Garamond" w:cs="Garamond"/>
                <w:sz w:val="22"/>
              </w:rPr>
              <w:t>Rancho Mirage Energy Authority</w:t>
            </w:r>
          </w:p>
        </w:tc>
        <w:tc>
          <w:tcPr>
            <w:tcW w:w="0" w:type="auto"/>
            <w:tcBorders>
              <w:top w:val="single" w:color="auto" w:sz="6" w:space="0"/>
              <w:left w:val="single" w:color="auto" w:sz="6" w:space="0"/>
              <w:bottom w:val="single" w:color="auto" w:sz="6" w:space="0"/>
              <w:right w:val="single" w:color="auto" w:sz="6" w:space="0"/>
            </w:tcBorders>
          </w:tcPr>
          <w:p w:rsidR="00C1234A" w:rsidP="00B01137" w:rsidRDefault="15D87781" w14:paraId="6BEF4262" w14:textId="77777777">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current and future compliance periods. </w:t>
            </w:r>
          </w:p>
          <w:p w:rsidRPr="00B01137" w:rsidR="15D87781" w:rsidP="00B01137" w:rsidRDefault="15D87781" w14:paraId="1B6D35AB" w14:textId="54D28FE1">
            <w:pPr>
              <w:spacing w:line="240" w:lineRule="auto"/>
              <w:ind w:firstLine="0"/>
              <w:rPr>
                <w:rFonts w:eastAsia="Garamond" w:cs="Garamond"/>
                <w:sz w:val="22"/>
              </w:rPr>
            </w:pP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29F2E588" w14:textId="77777777">
        <w:trPr>
          <w:trHeight w:val="315"/>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0F21A38C" w14:textId="564EB317">
            <w:pPr>
              <w:spacing w:line="240" w:lineRule="auto"/>
              <w:ind w:firstLine="0"/>
              <w:rPr>
                <w:rFonts w:eastAsia="Garamond" w:cs="Garamond"/>
                <w:sz w:val="22"/>
              </w:rPr>
            </w:pPr>
            <w:r w:rsidRPr="00B01137">
              <w:rPr>
                <w:rFonts w:eastAsia="Garamond" w:cs="Garamond"/>
                <w:sz w:val="22"/>
              </w:rPr>
              <w:t>San Diego Community Power</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9AAE1A1" w14:textId="2CE68255">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  </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4B1C1B55" w14:textId="77777777">
        <w:trPr>
          <w:trHeight w:val="315"/>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693A76D0" w14:textId="0520960C">
            <w:pPr>
              <w:spacing w:line="240" w:lineRule="auto"/>
              <w:ind w:firstLine="0"/>
              <w:rPr>
                <w:rFonts w:eastAsia="Garamond" w:cs="Garamond"/>
                <w:sz w:val="22"/>
              </w:rPr>
            </w:pPr>
            <w:r w:rsidRPr="00B01137">
              <w:rPr>
                <w:rFonts w:eastAsia="Garamond" w:cs="Garamond"/>
                <w:sz w:val="22"/>
              </w:rPr>
              <w:t>San Jacinto Power</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F842DDB" w14:textId="5DEC75ED">
            <w:pPr>
              <w:spacing w:line="240" w:lineRule="auto"/>
              <w:ind w:firstLine="0"/>
              <w:rPr>
                <w:rFonts w:eastAsia="Garamond" w:cs="Garamond"/>
                <w:sz w:val="22"/>
              </w:rPr>
            </w:pPr>
            <w:r w:rsidRPr="00B01137">
              <w:rPr>
                <w:rFonts w:eastAsia="Garamond" w:cs="Garamond"/>
                <w:sz w:val="22"/>
              </w:rPr>
              <w:t xml:space="preserve">Must provide a clear quantitative assessment of </w:t>
            </w:r>
            <w:r w:rsidR="0090493C">
              <w:rPr>
                <w:rFonts w:eastAsia="Garamond" w:cs="Garamond"/>
                <w:sz w:val="22"/>
              </w:rPr>
              <w:t>long-term</w:t>
            </w:r>
            <w:r w:rsidRPr="00B01137">
              <w:rPr>
                <w:rFonts w:eastAsia="Garamond" w:cs="Garamond"/>
                <w:sz w:val="22"/>
              </w:rPr>
              <w:t xml:space="preserve"> position for current and future compliance periods.</w:t>
            </w:r>
            <w:r w:rsidR="00C1234A">
              <w:rPr>
                <w:rFonts w:eastAsia="Garamond" w:cs="Garamond"/>
                <w:sz w:val="22"/>
              </w:rPr>
              <w:br/>
            </w:r>
            <w:r w:rsidRPr="00B01137">
              <w:rPr>
                <w:rFonts w:eastAsia="Garamond" w:cs="Garamond"/>
                <w:sz w:val="22"/>
              </w:rPr>
              <w:t xml:space="preserve">(graph </w:t>
            </w:r>
            <w:r w:rsidR="00B21B23">
              <w:rPr>
                <w:rFonts w:eastAsia="Garamond" w:cs="Garamond"/>
                <w:sz w:val="22"/>
              </w:rPr>
              <w:t xml:space="preserve">is </w:t>
            </w:r>
            <w:r w:rsidRPr="00B01137">
              <w:rPr>
                <w:rFonts w:eastAsia="Garamond" w:cs="Garamond"/>
                <w:sz w:val="22"/>
              </w:rPr>
              <w:t>insufficient to gauge position)</w:t>
            </w:r>
          </w:p>
        </w:tc>
      </w:tr>
      <w:tr w:rsidRPr="00AF0C32" w:rsidR="00AF0C32" w:rsidTr="00C1234A" w14:paraId="5414D161"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6327969B" w14:textId="4B0CD5CE">
            <w:pPr>
              <w:spacing w:line="240" w:lineRule="auto"/>
              <w:ind w:firstLine="0"/>
              <w:rPr>
                <w:rFonts w:eastAsia="Garamond" w:cs="Garamond"/>
                <w:sz w:val="22"/>
              </w:rPr>
            </w:pPr>
            <w:r w:rsidRPr="00B01137">
              <w:rPr>
                <w:rFonts w:eastAsia="Garamond" w:cs="Garamond"/>
                <w:sz w:val="22"/>
              </w:rPr>
              <w:t>3 Phases Renewables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22362E9A" w14:textId="66F61025">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current and future compliance periods. </w:t>
            </w:r>
          </w:p>
        </w:tc>
      </w:tr>
      <w:tr w:rsidRPr="00AF0C32" w:rsidR="00AF0C32" w:rsidTr="00C1234A" w14:paraId="3F4A5A83"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08CA1890" w14:textId="0BA236F6">
            <w:pPr>
              <w:spacing w:line="240" w:lineRule="auto"/>
              <w:ind w:firstLine="0"/>
              <w:rPr>
                <w:rFonts w:eastAsia="Garamond" w:cs="Garamond"/>
                <w:sz w:val="22"/>
              </w:rPr>
            </w:pPr>
            <w:r w:rsidRPr="00B01137">
              <w:rPr>
                <w:rFonts w:eastAsia="Garamond" w:cs="Garamond"/>
                <w:sz w:val="22"/>
              </w:rPr>
              <w:t>Calpine Power America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37F9AF20" w14:textId="353B35E1">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individual compliance periods, current and future. </w:t>
            </w:r>
          </w:p>
        </w:tc>
      </w:tr>
      <w:tr w:rsidRPr="00AF0C32" w:rsidR="00AF0C32" w:rsidTr="00C1234A" w14:paraId="75831A5E"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595F52E6" w14:textId="6E3B02BF">
            <w:pPr>
              <w:spacing w:line="240" w:lineRule="auto"/>
              <w:ind w:firstLine="0"/>
              <w:rPr>
                <w:rFonts w:eastAsia="Garamond" w:cs="Garamond"/>
                <w:sz w:val="22"/>
              </w:rPr>
            </w:pPr>
            <w:r w:rsidRPr="00B01137">
              <w:rPr>
                <w:rFonts w:eastAsia="Garamond" w:cs="Garamond"/>
                <w:sz w:val="22"/>
              </w:rPr>
              <w:t>Commercial Energy of CA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4BE4A2CA" w14:textId="270ACEDC">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including for current CP</w:t>
            </w:r>
            <w:r w:rsidR="0018759A">
              <w:rPr>
                <w:rFonts w:eastAsia="Garamond" w:cs="Garamond"/>
                <w:sz w:val="22"/>
              </w:rPr>
              <w:t xml:space="preserve"> </w:t>
            </w:r>
            <w:r w:rsidRPr="00B01137">
              <w:rPr>
                <w:rFonts w:eastAsia="Garamond" w:cs="Garamond"/>
                <w:sz w:val="22"/>
              </w:rPr>
              <w:t>4 and future compliance period CP</w:t>
            </w:r>
            <w:r w:rsidR="0018759A">
              <w:rPr>
                <w:rFonts w:eastAsia="Garamond" w:cs="Garamond"/>
                <w:sz w:val="22"/>
              </w:rPr>
              <w:t xml:space="preserve"> </w:t>
            </w:r>
            <w:r w:rsidRPr="00B01137">
              <w:rPr>
                <w:rFonts w:eastAsia="Garamond" w:cs="Garamond"/>
                <w:sz w:val="22"/>
              </w:rPr>
              <w:t>5. </w:t>
            </w:r>
          </w:p>
        </w:tc>
      </w:tr>
      <w:tr w:rsidRPr="00AF0C32" w:rsidR="00AF0C32" w:rsidTr="00C1234A" w14:paraId="5DDB3E2E"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74DDB6B9" w14:textId="27DC464B">
            <w:pPr>
              <w:spacing w:line="240" w:lineRule="auto"/>
              <w:ind w:firstLine="0"/>
              <w:rPr>
                <w:rFonts w:eastAsia="Garamond" w:cs="Garamond"/>
                <w:sz w:val="22"/>
              </w:rPr>
            </w:pPr>
            <w:r w:rsidRPr="00B01137">
              <w:rPr>
                <w:rFonts w:eastAsia="Garamond" w:cs="Garamond"/>
                <w:sz w:val="22"/>
              </w:rPr>
              <w:t>Pilot Power Group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3FFDB140" w14:textId="49C50D91">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current and future compliance periods. </w:t>
            </w:r>
          </w:p>
        </w:tc>
      </w:tr>
      <w:tr w:rsidRPr="00AF0C32" w:rsidR="00AF0C32" w:rsidTr="00C1234A" w14:paraId="1F81E3C5" w14:textId="77777777">
        <w:trPr>
          <w:trHeight w:val="300"/>
          <w:jc w:val="center"/>
        </w:trPr>
        <w:tc>
          <w:tcPr>
            <w:tcW w:w="0" w:type="auto"/>
            <w:tcBorders>
              <w:top w:val="single" w:color="auto" w:sz="6" w:space="0"/>
              <w:left w:val="single" w:color="auto" w:sz="6" w:space="0"/>
              <w:bottom w:val="single" w:color="auto" w:sz="6" w:space="0"/>
              <w:right w:val="single" w:color="auto" w:sz="6" w:space="0"/>
            </w:tcBorders>
            <w:vAlign w:val="center"/>
          </w:tcPr>
          <w:p w:rsidRPr="00B01137" w:rsidR="15D87781" w:rsidP="00E31832" w:rsidRDefault="15D87781" w14:paraId="338DA946" w14:textId="0A7E598B">
            <w:pPr>
              <w:spacing w:line="240" w:lineRule="auto"/>
              <w:ind w:firstLine="0"/>
              <w:rPr>
                <w:rFonts w:eastAsia="Garamond" w:cs="Garamond"/>
                <w:sz w:val="22"/>
              </w:rPr>
            </w:pPr>
            <w:r w:rsidRPr="00B01137">
              <w:rPr>
                <w:rFonts w:eastAsia="Garamond" w:cs="Garamond"/>
                <w:sz w:val="22"/>
              </w:rPr>
              <w:t>UC Regents </w:t>
            </w:r>
          </w:p>
        </w:tc>
        <w:tc>
          <w:tcPr>
            <w:tcW w:w="0" w:type="auto"/>
            <w:tcBorders>
              <w:top w:val="single" w:color="auto" w:sz="6" w:space="0"/>
              <w:left w:val="single" w:color="auto" w:sz="6" w:space="0"/>
              <w:bottom w:val="single" w:color="auto" w:sz="6" w:space="0"/>
              <w:right w:val="single" w:color="auto" w:sz="6" w:space="0"/>
            </w:tcBorders>
          </w:tcPr>
          <w:p w:rsidRPr="00B01137" w:rsidR="15D87781" w:rsidP="00B01137" w:rsidRDefault="15D87781" w14:paraId="28675F78" w14:textId="5965F2A5">
            <w:pPr>
              <w:spacing w:line="240" w:lineRule="auto"/>
              <w:ind w:firstLine="0"/>
              <w:rPr>
                <w:rFonts w:eastAsia="Garamond" w:cs="Garamond"/>
                <w:sz w:val="22"/>
              </w:rPr>
            </w:pPr>
            <w:r w:rsidRPr="00B01137">
              <w:rPr>
                <w:rFonts w:eastAsia="Garamond" w:cs="Garamond"/>
                <w:sz w:val="22"/>
              </w:rPr>
              <w:t xml:space="preserve">Must provide a quantitative assessment of </w:t>
            </w:r>
            <w:r w:rsidR="0090493C">
              <w:rPr>
                <w:rFonts w:eastAsia="Garamond" w:cs="Garamond"/>
                <w:sz w:val="22"/>
              </w:rPr>
              <w:t>long-term</w:t>
            </w:r>
            <w:r w:rsidRPr="00B01137" w:rsidR="0090493C">
              <w:rPr>
                <w:rFonts w:eastAsia="Garamond" w:cs="Garamond"/>
                <w:sz w:val="22"/>
              </w:rPr>
              <w:t xml:space="preserve"> </w:t>
            </w:r>
            <w:r w:rsidRPr="00B01137">
              <w:rPr>
                <w:rFonts w:eastAsia="Garamond" w:cs="Garamond"/>
                <w:sz w:val="22"/>
              </w:rPr>
              <w:t>position for future compliance periods. </w:t>
            </w:r>
          </w:p>
        </w:tc>
      </w:tr>
    </w:tbl>
    <w:p w:rsidR="00784289" w:rsidP="00F014E0" w:rsidRDefault="133F45FE" w14:paraId="31FC94F3" w14:textId="23AB8F82">
      <w:pPr>
        <w:pStyle w:val="Heading2"/>
        <w:numPr>
          <w:ilvl w:val="1"/>
          <w:numId w:val="2"/>
        </w:numPr>
        <w:spacing w:before="240"/>
      </w:pPr>
      <w:bookmarkStart w:name="_Toc122180441" w:id="14"/>
      <w:r>
        <w:t>Portfolio Diversity and Reliability</w:t>
      </w:r>
      <w:bookmarkEnd w:id="14"/>
    </w:p>
    <w:p w:rsidR="0D64B374" w:rsidP="15D87781" w:rsidRDefault="0D64B374" w14:paraId="518D4F1B" w14:textId="23F02413">
      <w:pPr>
        <w:rPr>
          <w:rFonts w:eastAsia="Book Antiqua" w:cs="Book Antiqua"/>
          <w:color w:val="000000" w:themeColor="text1"/>
          <w:szCs w:val="26"/>
          <w:vertAlign w:val="superscript"/>
        </w:rPr>
      </w:pPr>
      <w:r w:rsidRPr="15D87781">
        <w:rPr>
          <w:rFonts w:eastAsia="Book Antiqua" w:cs="Book Antiqua"/>
          <w:color w:val="000000" w:themeColor="text1"/>
          <w:szCs w:val="26"/>
        </w:rPr>
        <w:t>Under Section 399.13(a)(6)(A), retail sellers are required to discuss portfolio diversity and reliability and how their decisions contribute to grid reliability.  Pursuant to the 202</w:t>
      </w:r>
      <w:r w:rsidRPr="00B206B8">
        <w:rPr>
          <w:rFonts w:eastAsia="Book Antiqua" w:cs="Book Antiqua"/>
          <w:szCs w:val="26"/>
        </w:rPr>
        <w:t>2</w:t>
      </w:r>
      <w:r w:rsidRPr="15D87781">
        <w:rPr>
          <w:rFonts w:eastAsia="Book Antiqua" w:cs="Book Antiqua"/>
          <w:color w:val="000000" w:themeColor="text1"/>
          <w:szCs w:val="26"/>
        </w:rPr>
        <w:t xml:space="preserve"> ACR, Section </w:t>
      </w:r>
      <w:r w:rsidRPr="00867B7E" w:rsidR="00867B7E">
        <w:rPr>
          <w:rFonts w:eastAsia="Book Antiqua" w:cs="Book Antiqua"/>
          <w:color w:val="000000" w:themeColor="text1"/>
          <w:szCs w:val="26"/>
        </w:rPr>
        <w:t>6</w:t>
      </w:r>
      <w:r w:rsidRPr="00867B7E">
        <w:rPr>
          <w:rFonts w:eastAsia="Book Antiqua" w:cs="Book Antiqua"/>
          <w:color w:val="000000" w:themeColor="text1"/>
          <w:szCs w:val="26"/>
        </w:rPr>
        <w:t>.4</w:t>
      </w:r>
      <w:r w:rsidRPr="15D87781">
        <w:rPr>
          <w:rFonts w:eastAsia="Book Antiqua" w:cs="Book Antiqua"/>
          <w:color w:val="000000" w:themeColor="text1"/>
          <w:szCs w:val="26"/>
        </w:rPr>
        <w:t xml:space="preserve">, the retail sellers’ “written description should . . . address issues of renewable integration, new resource development risks, under-utilization of existing RPS-eligible generation, increases in transportation electrification, and maximizing ratepayer value.”  Today we find most of the CCA and ESP RPS Plans had no or limited supporting information on the impact of transportation electrification load on their portfolio diversity and reliability.  </w:t>
      </w:r>
      <w:r w:rsidR="00AF0C32">
        <w:rPr>
          <w:rFonts w:eastAsia="Book Antiqua" w:cs="Book Antiqua"/>
          <w:color w:val="000000" w:themeColor="text1"/>
          <w:szCs w:val="26"/>
        </w:rPr>
        <w:t>E</w:t>
      </w:r>
      <w:r w:rsidRPr="15D87781">
        <w:rPr>
          <w:rFonts w:eastAsia="Book Antiqua" w:cs="Book Antiqua"/>
          <w:color w:val="000000" w:themeColor="text1"/>
          <w:szCs w:val="26"/>
        </w:rPr>
        <w:t>ach retail seller must address local transportation electrification adoption trends while planning for portfolio diversity and renewable resource procurement to meet incremental RPS requirements.  It is therefore increasingly important for CCAs and ESPs to develop forecasts and load profiles with transportation electrification scenarios</w:t>
      </w:r>
      <w:r w:rsidR="00CE75D8">
        <w:rPr>
          <w:rFonts w:eastAsia="Book Antiqua" w:cs="Book Antiqua"/>
          <w:color w:val="000000" w:themeColor="text1"/>
          <w:szCs w:val="26"/>
        </w:rPr>
        <w:t>, consistent with Ordering Paragraph 3 of D.18-05-026,</w:t>
      </w:r>
      <w:r w:rsidRPr="15D87781">
        <w:rPr>
          <w:rFonts w:eastAsia="Book Antiqua" w:cs="Book Antiqua"/>
          <w:color w:val="000000" w:themeColor="text1"/>
          <w:szCs w:val="26"/>
        </w:rPr>
        <w:t xml:space="preserve"> for RPS planning purposes given that the RPS-eligible share of total procurement is required to grow to 60% by 2030, pursuant to SB 100, and that transportation electrification will be a significant contributor to retail sellers’ incremental load growth.</w:t>
      </w:r>
    </w:p>
    <w:p w:rsidRPr="00174529" w:rsidR="00174529" w:rsidP="0064257A" w:rsidRDefault="0D64B374" w14:paraId="0CE50741" w14:textId="4BC21C85">
      <w:pPr>
        <w:keepNext/>
        <w:ind w:firstLine="0"/>
        <w:jc w:val="center"/>
        <w:rPr>
          <w:rFonts w:eastAsia="Garamond" w:cs="Garamond"/>
          <w:szCs w:val="26"/>
        </w:rPr>
      </w:pPr>
      <w:r w:rsidRPr="00174529">
        <w:rPr>
          <w:rFonts w:eastAsia="Garamond" w:cs="Garamond"/>
          <w:b/>
          <w:bCs/>
          <w:szCs w:val="26"/>
        </w:rPr>
        <w:t xml:space="preserve">Table </w:t>
      </w:r>
      <w:r w:rsidRPr="00174529" w:rsidR="00E84EFA">
        <w:rPr>
          <w:rFonts w:eastAsia="Garamond" w:cs="Garamond"/>
          <w:b/>
          <w:bCs/>
          <w:szCs w:val="26"/>
        </w:rPr>
        <w:t>3</w:t>
      </w:r>
      <w:r w:rsidRPr="00174529">
        <w:rPr>
          <w:rFonts w:eastAsia="Garamond" w:cs="Garamond"/>
          <w:b/>
          <w:bCs/>
          <w:szCs w:val="26"/>
        </w:rPr>
        <w:t>:  Transportation Electrification</w:t>
      </w:r>
    </w:p>
    <w:tbl>
      <w:tblPr>
        <w:tblStyle w:val="TableGrid"/>
        <w:tblW w:w="0" w:type="auto"/>
        <w:jc w:val="center"/>
        <w:tblLayout w:type="fixed"/>
        <w:tblLook w:val="04A0" w:firstRow="1" w:lastRow="0" w:firstColumn="1" w:lastColumn="0" w:noHBand="0" w:noVBand="1"/>
      </w:tblPr>
      <w:tblGrid>
        <w:gridCol w:w="2245"/>
        <w:gridCol w:w="2135"/>
        <w:gridCol w:w="2745"/>
        <w:gridCol w:w="2190"/>
      </w:tblGrid>
      <w:tr w:rsidRPr="00174529" w:rsidR="00AF0C32" w:rsidTr="00C1234A" w14:paraId="40477D18" w14:textId="77777777">
        <w:trPr>
          <w:trHeight w:val="3410"/>
          <w:tblHeader/>
          <w:jc w:val="center"/>
        </w:trPr>
        <w:tc>
          <w:tcPr>
            <w:tcW w:w="2245" w:type="dxa"/>
            <w:vAlign w:val="center"/>
          </w:tcPr>
          <w:p w:rsidRPr="00174529" w:rsidR="15D87781" w:rsidP="0064257A" w:rsidRDefault="00AF0C32" w14:paraId="20491FC8" w14:textId="7EDF69C0">
            <w:pPr>
              <w:keepNext/>
              <w:spacing w:line="240" w:lineRule="auto"/>
              <w:ind w:firstLine="0"/>
              <w:rPr>
                <w:rFonts w:eastAsia="Book Antiqua" w:cs="Book Antiqua"/>
                <w:b/>
                <w:bCs/>
                <w:sz w:val="22"/>
              </w:rPr>
            </w:pPr>
            <w:r w:rsidRPr="00174529">
              <w:rPr>
                <w:rFonts w:eastAsia="Book Antiqua" w:cs="Book Antiqua"/>
                <w:b/>
                <w:bCs/>
                <w:sz w:val="22"/>
              </w:rPr>
              <w:t>1)</w:t>
            </w:r>
            <w:r w:rsidR="00F014E0">
              <w:rPr>
                <w:rFonts w:eastAsia="Book Antiqua" w:cs="Book Antiqua"/>
                <w:b/>
                <w:bCs/>
                <w:sz w:val="22"/>
              </w:rPr>
              <w:t> </w:t>
            </w:r>
            <w:r w:rsidRPr="00174529" w:rsidR="15D87781">
              <w:rPr>
                <w:rFonts w:eastAsia="Book Antiqua" w:cs="Book Antiqua"/>
                <w:b/>
                <w:bCs/>
                <w:sz w:val="22"/>
              </w:rPr>
              <w:t>Explicitly referencing forecasted transportation electrification,</w:t>
            </w:r>
            <w:r w:rsidR="00174529">
              <w:rPr>
                <w:rFonts w:eastAsia="Book Antiqua" w:cs="Book Antiqua"/>
                <w:b/>
                <w:bCs/>
                <w:sz w:val="22"/>
              </w:rPr>
              <w:t xml:space="preserve"> </w:t>
            </w:r>
            <w:r w:rsidRPr="00174529" w:rsidR="15D87781">
              <w:rPr>
                <w:rFonts w:eastAsia="Book Antiqua" w:cs="Book Antiqua"/>
                <w:b/>
                <w:bCs/>
                <w:sz w:val="22"/>
              </w:rPr>
              <w:t>2)</w:t>
            </w:r>
            <w:r w:rsidR="00F014E0">
              <w:rPr>
                <w:rFonts w:eastAsia="Book Antiqua" w:cs="Book Antiqua"/>
                <w:b/>
                <w:bCs/>
                <w:sz w:val="22"/>
              </w:rPr>
              <w:t> </w:t>
            </w:r>
            <w:r w:rsidRPr="00174529" w:rsidR="15D87781">
              <w:rPr>
                <w:rFonts w:eastAsia="Book Antiqua" w:cs="Book Antiqua"/>
                <w:b/>
                <w:bCs/>
                <w:sz w:val="22"/>
              </w:rPr>
              <w:t xml:space="preserve">Detailed description of the data and method used to support their forecast, and </w:t>
            </w:r>
          </w:p>
          <w:p w:rsidRPr="00174529" w:rsidR="15D87781" w:rsidP="0064257A" w:rsidRDefault="15D87781" w14:paraId="6A6A7211" w14:textId="5374F770">
            <w:pPr>
              <w:keepNext/>
              <w:spacing w:line="240" w:lineRule="auto"/>
              <w:ind w:firstLine="0"/>
              <w:rPr>
                <w:rFonts w:eastAsia="Book Antiqua" w:cs="Book Antiqua"/>
                <w:b/>
                <w:bCs/>
                <w:sz w:val="22"/>
              </w:rPr>
            </w:pPr>
            <w:r w:rsidRPr="00174529">
              <w:rPr>
                <w:rFonts w:eastAsia="Book Antiqua" w:cs="Book Antiqua"/>
                <w:b/>
                <w:bCs/>
                <w:sz w:val="22"/>
              </w:rPr>
              <w:t>3)</w:t>
            </w:r>
            <w:r w:rsidR="00F014E0">
              <w:rPr>
                <w:rFonts w:eastAsia="Book Antiqua" w:cs="Book Antiqua"/>
                <w:b/>
                <w:bCs/>
                <w:sz w:val="22"/>
              </w:rPr>
              <w:t> </w:t>
            </w:r>
            <w:r w:rsidRPr="00174529">
              <w:rPr>
                <w:rFonts w:eastAsia="Book Antiqua" w:cs="Book Antiqua"/>
                <w:b/>
                <w:bCs/>
                <w:sz w:val="22"/>
              </w:rPr>
              <w:t>IEPR comparison</w:t>
            </w:r>
          </w:p>
        </w:tc>
        <w:tc>
          <w:tcPr>
            <w:tcW w:w="2135" w:type="dxa"/>
            <w:vAlign w:val="center"/>
          </w:tcPr>
          <w:p w:rsidRPr="00174529" w:rsidR="15D87781" w:rsidP="0064257A" w:rsidRDefault="00AF0C32" w14:paraId="513EC5C0" w14:textId="7BEB8897">
            <w:pPr>
              <w:keepNext/>
              <w:spacing w:line="240" w:lineRule="auto"/>
              <w:ind w:firstLine="0"/>
              <w:rPr>
                <w:rFonts w:eastAsia="Book Antiqua" w:cs="Book Antiqua"/>
                <w:b/>
                <w:bCs/>
                <w:sz w:val="22"/>
              </w:rPr>
            </w:pPr>
            <w:r w:rsidRPr="00174529">
              <w:rPr>
                <w:rFonts w:eastAsia="Book Antiqua" w:cs="Book Antiqua"/>
                <w:b/>
                <w:bCs/>
                <w:sz w:val="22"/>
              </w:rPr>
              <w:t xml:space="preserve">1) </w:t>
            </w:r>
            <w:r w:rsidRPr="00174529" w:rsidR="15D87781">
              <w:rPr>
                <w:rFonts w:eastAsia="Book Antiqua" w:cs="Book Antiqua"/>
                <w:b/>
                <w:bCs/>
                <w:sz w:val="22"/>
              </w:rPr>
              <w:t>Explicitly referencing forecasted transportation electrification, and 2) Detailed description of the data and method used to support their forecast, but no IEPR comparison</w:t>
            </w:r>
          </w:p>
        </w:tc>
        <w:tc>
          <w:tcPr>
            <w:tcW w:w="2745" w:type="dxa"/>
            <w:vAlign w:val="center"/>
          </w:tcPr>
          <w:p w:rsidRPr="00174529" w:rsidR="15D87781" w:rsidP="0064257A" w:rsidRDefault="15D87781" w14:paraId="6039BFE8" w14:textId="16A0A793">
            <w:pPr>
              <w:keepNext/>
              <w:spacing w:line="240" w:lineRule="auto"/>
              <w:ind w:firstLine="0"/>
              <w:rPr>
                <w:rFonts w:eastAsia="Book Antiqua" w:cs="Book Antiqua"/>
                <w:b/>
                <w:bCs/>
                <w:sz w:val="22"/>
              </w:rPr>
            </w:pPr>
            <w:r w:rsidRPr="00174529">
              <w:rPr>
                <w:rFonts w:eastAsia="Book Antiqua" w:cs="Book Antiqua"/>
                <w:b/>
                <w:bCs/>
                <w:sz w:val="22"/>
              </w:rPr>
              <w:t>Explicitly referencing forecasted transportation electrification, but no detailed methodology or comparison to IEPR</w:t>
            </w:r>
          </w:p>
        </w:tc>
        <w:tc>
          <w:tcPr>
            <w:tcW w:w="2190" w:type="dxa"/>
            <w:vAlign w:val="center"/>
          </w:tcPr>
          <w:p w:rsidRPr="00174529" w:rsidR="15D87781" w:rsidP="0064257A" w:rsidRDefault="15D87781" w14:paraId="59E6EE48" w14:textId="15E3FA4D">
            <w:pPr>
              <w:keepNext/>
              <w:spacing w:line="240" w:lineRule="auto"/>
              <w:ind w:firstLine="0"/>
              <w:rPr>
                <w:rFonts w:eastAsia="Book Antiqua" w:cs="Book Antiqua"/>
                <w:b/>
                <w:bCs/>
                <w:sz w:val="22"/>
              </w:rPr>
            </w:pPr>
            <w:r w:rsidRPr="00174529">
              <w:rPr>
                <w:rFonts w:eastAsia="Book Antiqua" w:cs="Book Antiqua"/>
                <w:b/>
                <w:bCs/>
                <w:sz w:val="22"/>
              </w:rPr>
              <w:t xml:space="preserve">Insufficient or No Analysis </w:t>
            </w:r>
          </w:p>
        </w:tc>
      </w:tr>
      <w:tr w:rsidRPr="00174529" w:rsidR="00AF0C32" w:rsidTr="00F014E0" w14:paraId="3EE9FB0E" w14:textId="77777777">
        <w:trPr>
          <w:jc w:val="center"/>
        </w:trPr>
        <w:tc>
          <w:tcPr>
            <w:tcW w:w="2245" w:type="dxa"/>
          </w:tcPr>
          <w:p w:rsidR="00A27800" w:rsidP="00A27800" w:rsidRDefault="15D87781" w14:paraId="3A422535" w14:textId="77777777">
            <w:pPr>
              <w:pStyle w:val="Standard"/>
              <w:spacing w:line="240" w:lineRule="auto"/>
              <w:ind w:firstLine="0"/>
              <w:rPr>
                <w:rFonts w:eastAsia="Book Antiqua" w:cs="Book Antiqua"/>
                <w:sz w:val="22"/>
              </w:rPr>
            </w:pPr>
            <w:r w:rsidRPr="00174529">
              <w:rPr>
                <w:rFonts w:eastAsia="Book Antiqua" w:cs="Book Antiqua"/>
                <w:sz w:val="22"/>
              </w:rPr>
              <w:t>PG&amp;E</w:t>
            </w:r>
          </w:p>
          <w:p w:rsidRPr="00174529" w:rsidR="15D87781" w:rsidP="00A27800" w:rsidRDefault="15D87781" w14:paraId="2E1AFE71" w14:textId="34F2028C">
            <w:pPr>
              <w:pStyle w:val="Standard"/>
              <w:spacing w:line="240" w:lineRule="auto"/>
              <w:ind w:firstLine="0"/>
              <w:rPr>
                <w:rFonts w:eastAsia="Book Antiqua" w:cs="Book Antiqua"/>
                <w:sz w:val="22"/>
              </w:rPr>
            </w:pPr>
            <w:r w:rsidRPr="00174529">
              <w:rPr>
                <w:rFonts w:eastAsia="Book Antiqua" w:cs="Book Antiqua"/>
                <w:sz w:val="22"/>
              </w:rPr>
              <w:t>SCE</w:t>
            </w:r>
          </w:p>
          <w:p w:rsidRPr="00174529" w:rsidR="15D87781" w:rsidP="00A27800" w:rsidRDefault="15D87781" w14:paraId="35E48FEF" w14:textId="47BBEEB3">
            <w:pPr>
              <w:pStyle w:val="Standard"/>
              <w:spacing w:line="240" w:lineRule="auto"/>
              <w:ind w:firstLine="0"/>
              <w:rPr>
                <w:rFonts w:eastAsia="Book Antiqua" w:cs="Book Antiqua"/>
                <w:sz w:val="22"/>
              </w:rPr>
            </w:pPr>
            <w:r w:rsidRPr="00174529">
              <w:rPr>
                <w:rFonts w:eastAsia="Book Antiqua" w:cs="Book Antiqua"/>
                <w:sz w:val="22"/>
              </w:rPr>
              <w:t>SDG&amp;E</w:t>
            </w:r>
          </w:p>
        </w:tc>
        <w:tc>
          <w:tcPr>
            <w:tcW w:w="2135" w:type="dxa"/>
          </w:tcPr>
          <w:p w:rsidRPr="00174529" w:rsidR="15D87781" w:rsidP="003C061E" w:rsidRDefault="15D87781" w14:paraId="39E0ECB7" w14:textId="176EE58B">
            <w:pPr>
              <w:pStyle w:val="Standard"/>
              <w:spacing w:line="240" w:lineRule="auto"/>
              <w:ind w:firstLine="0"/>
              <w:rPr>
                <w:rFonts w:eastAsia="Book Antiqua" w:cs="Book Antiqua"/>
                <w:sz w:val="22"/>
              </w:rPr>
            </w:pPr>
            <w:r w:rsidRPr="00174529">
              <w:rPr>
                <w:rFonts w:eastAsia="Book Antiqua" w:cs="Book Antiqua"/>
                <w:sz w:val="22"/>
              </w:rPr>
              <w:t>Valley Clean Energy Alliance</w:t>
            </w:r>
          </w:p>
        </w:tc>
        <w:tc>
          <w:tcPr>
            <w:tcW w:w="2745" w:type="dxa"/>
          </w:tcPr>
          <w:p w:rsidRPr="00174529" w:rsidR="15D87781" w:rsidP="00A27800" w:rsidRDefault="15D87781" w14:paraId="03D758B1" w14:textId="01A478D7">
            <w:pPr>
              <w:pStyle w:val="Standard"/>
              <w:spacing w:line="240" w:lineRule="auto"/>
              <w:ind w:firstLine="0"/>
              <w:rPr>
                <w:rFonts w:eastAsia="Book Antiqua" w:cs="Book Antiqua"/>
                <w:sz w:val="22"/>
              </w:rPr>
            </w:pPr>
            <w:r w:rsidRPr="00174529">
              <w:rPr>
                <w:rFonts w:eastAsia="Book Antiqua" w:cs="Book Antiqua"/>
                <w:sz w:val="22"/>
              </w:rPr>
              <w:t xml:space="preserve">3 Phases Renewable; Constellation NewEnergy; Shell Energy North America; Apple </w:t>
            </w:r>
            <w:r w:rsidR="00A27800">
              <w:rPr>
                <w:rFonts w:eastAsia="Book Antiqua" w:cs="Book Antiqua"/>
                <w:sz w:val="22"/>
              </w:rPr>
              <w:t>V</w:t>
            </w:r>
            <w:r w:rsidRPr="00174529">
              <w:rPr>
                <w:rFonts w:eastAsia="Book Antiqua" w:cs="Book Antiqua"/>
                <w:sz w:val="22"/>
              </w:rPr>
              <w:t>alley Choice Energy; City of Palmdale; City of Pomona; CleanPowerSF; Clean Energy Alliance; Desert Community Energy; Calpine Power America; East Bay Community Energy; Lancaster Choice Energy; Marin Clean Energy; Pioneer Community Energy; Pilot Power Group</w:t>
            </w:r>
            <w:r w:rsidR="00A27800">
              <w:rPr>
                <w:rFonts w:eastAsia="Book Antiqua" w:cs="Book Antiqua"/>
                <w:sz w:val="22"/>
              </w:rPr>
              <w:t>;</w:t>
            </w:r>
            <w:r w:rsidRPr="00174529">
              <w:rPr>
                <w:rFonts w:eastAsia="Book Antiqua" w:cs="Book Antiqua"/>
                <w:sz w:val="22"/>
              </w:rPr>
              <w:t xml:space="preserve"> Pico Rivera Innovative Municipal Energy; Redwood Coast Energy Authority; Rancho Mirage Energy Authority;  San Diego Community Power; San</w:t>
            </w:r>
            <w:r w:rsidR="00B91CAB">
              <w:rPr>
                <w:rFonts w:eastAsia="Book Antiqua" w:cs="Book Antiqua"/>
                <w:sz w:val="22"/>
              </w:rPr>
              <w:t> </w:t>
            </w:r>
            <w:r w:rsidRPr="00174529">
              <w:rPr>
                <w:rFonts w:eastAsia="Book Antiqua" w:cs="Book Antiqua"/>
                <w:sz w:val="22"/>
              </w:rPr>
              <w:t>Jose Clean Energy; San Jacinto Power;  Silicon Valley Clean Energy; EDF Industrial Power Services ; Orange County Power Authority;</w:t>
            </w:r>
          </w:p>
          <w:p w:rsidRPr="00174529" w:rsidR="15D87781" w:rsidP="00A27800" w:rsidRDefault="15D87781" w14:paraId="2D08F0F0" w14:textId="256CE6D2">
            <w:pPr>
              <w:pStyle w:val="Standard"/>
              <w:spacing w:line="240" w:lineRule="auto"/>
              <w:ind w:firstLine="0"/>
              <w:rPr>
                <w:rFonts w:eastAsia="Book Antiqua" w:cs="Book Antiqua"/>
                <w:sz w:val="22"/>
              </w:rPr>
            </w:pPr>
            <w:r w:rsidRPr="00174529">
              <w:rPr>
                <w:rFonts w:eastAsia="Book Antiqua" w:cs="Book Antiqua"/>
                <w:sz w:val="22"/>
              </w:rPr>
              <w:t>Peninsula Clean Energy; King City Community Power; Liberty; BVES</w:t>
            </w:r>
            <w:r w:rsidR="00A27800">
              <w:rPr>
                <w:rFonts w:eastAsia="Book Antiqua" w:cs="Book Antiqua"/>
                <w:sz w:val="22"/>
              </w:rPr>
              <w:t>.</w:t>
            </w:r>
          </w:p>
        </w:tc>
        <w:tc>
          <w:tcPr>
            <w:tcW w:w="2190" w:type="dxa"/>
          </w:tcPr>
          <w:p w:rsidRPr="00174529" w:rsidR="15D87781" w:rsidP="00A27800" w:rsidRDefault="15D87781" w14:paraId="0ACE551B" w14:textId="5DDFD423">
            <w:pPr>
              <w:pStyle w:val="Standard"/>
              <w:spacing w:line="240" w:lineRule="auto"/>
              <w:ind w:firstLine="0"/>
              <w:rPr>
                <w:rFonts w:eastAsia="Book Antiqua" w:cs="Book Antiqua"/>
                <w:sz w:val="22"/>
              </w:rPr>
            </w:pPr>
            <w:r w:rsidRPr="00174529">
              <w:rPr>
                <w:rFonts w:eastAsia="Book Antiqua" w:cs="Book Antiqua"/>
                <w:sz w:val="22"/>
              </w:rPr>
              <w:t>Clean Power</w:t>
            </w:r>
            <w:r w:rsidR="00A27800">
              <w:rPr>
                <w:rFonts w:eastAsia="Book Antiqua" w:cs="Book Antiqua"/>
                <w:sz w:val="22"/>
              </w:rPr>
              <w:t xml:space="preserve"> </w:t>
            </w:r>
            <w:r w:rsidRPr="00174529">
              <w:rPr>
                <w:rFonts w:eastAsia="Book Antiqua" w:cs="Book Antiqua"/>
                <w:sz w:val="22"/>
              </w:rPr>
              <w:t>Alliance; Commercial Energy of CA; Direct Energy Business; Calpine Energy Solutions; UC Regents; PacifiCorp</w:t>
            </w:r>
            <w:r w:rsidR="00A27800">
              <w:rPr>
                <w:rFonts w:eastAsia="Book Antiqua" w:cs="Book Antiqua"/>
                <w:sz w:val="22"/>
              </w:rPr>
              <w:t>.</w:t>
            </w:r>
          </w:p>
        </w:tc>
      </w:tr>
    </w:tbl>
    <w:p w:rsidRPr="00E05E00" w:rsidR="00330F91" w:rsidP="00F014E0" w:rsidRDefault="6F7C291A" w14:paraId="41EEF41E" w14:textId="457198B8">
      <w:pPr>
        <w:pStyle w:val="Heading1"/>
        <w:numPr>
          <w:ilvl w:val="0"/>
          <w:numId w:val="2"/>
        </w:numPr>
        <w:spacing w:before="240"/>
        <w:rPr>
          <w:rFonts w:ascii="Book Antiqua" w:hAnsi="Book Antiqua"/>
          <w:szCs w:val="26"/>
        </w:rPr>
      </w:pPr>
      <w:bookmarkStart w:name="_Toc122180442" w:id="15"/>
      <w:r w:rsidRPr="00E05E00">
        <w:rPr>
          <w:rFonts w:ascii="Book Antiqua" w:hAnsi="Book Antiqua"/>
          <w:szCs w:val="26"/>
        </w:rPr>
        <w:t>IOU</w:t>
      </w:r>
      <w:r w:rsidRPr="00E05E00" w:rsidR="7EDFA0E9">
        <w:rPr>
          <w:rFonts w:ascii="Book Antiqua" w:hAnsi="Book Antiqua"/>
          <w:szCs w:val="26"/>
        </w:rPr>
        <w:t>s</w:t>
      </w:r>
      <w:r w:rsidRPr="00E05E00" w:rsidR="664CC9BB">
        <w:rPr>
          <w:rFonts w:ascii="Book Antiqua" w:hAnsi="Book Antiqua"/>
          <w:szCs w:val="26"/>
        </w:rPr>
        <w:t>’ 2022 RPS Plans</w:t>
      </w:r>
      <w:bookmarkEnd w:id="15"/>
    </w:p>
    <w:p w:rsidRPr="005E7733" w:rsidR="00330F91" w:rsidP="00330F91" w:rsidRDefault="00330F91" w14:paraId="07180BE0" w14:textId="5FCC7D31">
      <w:r w:rsidRPr="00E05E00">
        <w:rPr>
          <w:szCs w:val="26"/>
        </w:rPr>
        <w:t>The three large IOUs – PG&amp;E, SCE, and SDG&amp;E – report RPS progress at or above the program procurement requirements.  For 202</w:t>
      </w:r>
      <w:r w:rsidRPr="00E05E00" w:rsidR="00622911">
        <w:rPr>
          <w:szCs w:val="26"/>
        </w:rPr>
        <w:t>1</w:t>
      </w:r>
      <w:r w:rsidRPr="00E05E00">
        <w:rPr>
          <w:szCs w:val="26"/>
        </w:rPr>
        <w:t xml:space="preserve">, </w:t>
      </w:r>
      <w:r w:rsidRPr="00E05E00" w:rsidR="00281EB5">
        <w:rPr>
          <w:szCs w:val="26"/>
        </w:rPr>
        <w:t>the</w:t>
      </w:r>
      <w:r w:rsidRPr="00E05E00">
        <w:rPr>
          <w:szCs w:val="26"/>
        </w:rPr>
        <w:t xml:space="preserve"> IOUs reported the following percentages of their elec</w:t>
      </w:r>
      <w:r w:rsidRPr="005E7733">
        <w:t>tric load from RPS</w:t>
      </w:r>
      <w:r w:rsidR="00A41C6F">
        <w:t>-</w:t>
      </w:r>
      <w:r w:rsidRPr="005E7733">
        <w:t xml:space="preserve">eligible resources: </w:t>
      </w:r>
      <w:r>
        <w:t xml:space="preserve"> </w:t>
      </w:r>
      <w:r w:rsidRPr="005E7733">
        <w:t xml:space="preserve">PG&amp;E </w:t>
      </w:r>
      <w:r w:rsidR="00E73119">
        <w:t xml:space="preserve">is </w:t>
      </w:r>
      <w:r w:rsidRPr="005E7733">
        <w:t>3</w:t>
      </w:r>
      <w:r>
        <w:t>6</w:t>
      </w:r>
      <w:r w:rsidR="00F67606">
        <w:t xml:space="preserve"> percent</w:t>
      </w:r>
      <w:r w:rsidRPr="005E7733">
        <w:t xml:space="preserve">, SCE </w:t>
      </w:r>
      <w:r w:rsidR="00E73119">
        <w:t xml:space="preserve">is </w:t>
      </w:r>
      <w:r>
        <w:t>36</w:t>
      </w:r>
      <w:r w:rsidR="00F67606">
        <w:t xml:space="preserve"> percent</w:t>
      </w:r>
      <w:r w:rsidRPr="005E7733">
        <w:t xml:space="preserve">, and SDG&amp;E </w:t>
      </w:r>
      <w:r w:rsidR="00E73119">
        <w:t xml:space="preserve">is </w:t>
      </w:r>
      <w:r>
        <w:t>55</w:t>
      </w:r>
      <w:r w:rsidR="00F67606">
        <w:t xml:space="preserve"> percent</w:t>
      </w:r>
      <w:r w:rsidR="00622911">
        <w:t>.</w:t>
      </w:r>
      <w:r w:rsidR="00622911">
        <w:rPr>
          <w:rStyle w:val="FootnoteReference"/>
        </w:rPr>
        <w:footnoteReference w:id="7"/>
      </w:r>
      <w:r w:rsidR="00622911">
        <w:t xml:space="preserve"> </w:t>
      </w:r>
      <w:r w:rsidR="00E1191B">
        <w:t xml:space="preserve"> </w:t>
      </w:r>
      <w:r w:rsidRPr="005E7733">
        <w:t>None of the three large IOUs conducted a 202</w:t>
      </w:r>
      <w:r>
        <w:t>1</w:t>
      </w:r>
      <w:r w:rsidRPr="005E7733">
        <w:t xml:space="preserve"> annual RPS procurement solicitation.  </w:t>
      </w:r>
    </w:p>
    <w:p w:rsidR="00330F91" w:rsidP="006E1FFF" w:rsidRDefault="00330F91" w14:paraId="408C5635" w14:textId="27436F13">
      <w:r w:rsidRPr="005E7733">
        <w:t>Figure 1 summarizes the large IOUs</w:t>
      </w:r>
      <w:r>
        <w:t>’</w:t>
      </w:r>
      <w:r w:rsidRPr="005E7733">
        <w:t xml:space="preserve"> actual and forecasted progress toward </w:t>
      </w:r>
      <w:r w:rsidRPr="006E1FFF">
        <w:t xml:space="preserve">meeting the 60 percent RPS mandate by 2030.  Based on the IOUs’ </w:t>
      </w:r>
      <w:r w:rsidRPr="006E1FFF" w:rsidR="00540D7C">
        <w:t>renewables net short</w:t>
      </w:r>
      <w:r w:rsidRPr="006E1FFF">
        <w:t xml:space="preserve"> reporting,</w:t>
      </w:r>
      <w:r w:rsidRPr="006E1FFF">
        <w:rPr>
          <w:vertAlign w:val="superscript"/>
        </w:rPr>
        <w:footnoteReference w:id="8"/>
      </w:r>
      <w:r w:rsidRPr="006E1FFF">
        <w:t xml:space="preserve"> we expect a need for additional procurement starting in 2028 </w:t>
      </w:r>
      <w:r w:rsidRPr="006E1FFF" w:rsidR="008E4C2A">
        <w:t xml:space="preserve">for </w:t>
      </w:r>
      <w:r w:rsidRPr="006E1FFF" w:rsidR="002C5617">
        <w:t xml:space="preserve">the IOUs. </w:t>
      </w:r>
      <w:r w:rsidR="00C1234A">
        <w:t xml:space="preserve"> </w:t>
      </w:r>
      <w:r w:rsidRPr="006E1FFF" w:rsidR="002C5617">
        <w:t>However</w:t>
      </w:r>
      <w:r w:rsidRPr="006E1FFF">
        <w:t xml:space="preserve">, the first year of the </w:t>
      </w:r>
      <w:r w:rsidR="00496919">
        <w:t>collectively</w:t>
      </w:r>
      <w:r w:rsidRPr="006E1FFF">
        <w:t xml:space="preserve"> projected shortfall is extended by several years through the forecasted use of excess renewable energy credits (RECs) that have been or will be “</w:t>
      </w:r>
      <w:r w:rsidRPr="006E1FFF" w:rsidR="00AE1B6D">
        <w:t>b</w:t>
      </w:r>
      <w:r w:rsidRPr="006E1FFF">
        <w:t>anked” as excess procurement.</w:t>
      </w:r>
      <w:r w:rsidRPr="006E1FFF">
        <w:rPr>
          <w:vertAlign w:val="superscript"/>
        </w:rPr>
        <w:footnoteReference w:id="9"/>
      </w:r>
      <w:r w:rsidRPr="006E1FFF">
        <w:t xml:space="preserve">  </w:t>
      </w:r>
      <w:r w:rsidRPr="006E1FFF" w:rsidR="009C7E65">
        <w:t>In 2023, the</w:t>
      </w:r>
      <w:r w:rsidRPr="006E1FFF">
        <w:t xml:space="preserve"> IOUs’ share of retail sales </w:t>
      </w:r>
      <w:r w:rsidRPr="006E1FFF" w:rsidR="00045C82">
        <w:t xml:space="preserve">is projected </w:t>
      </w:r>
      <w:r w:rsidRPr="006E1FFF" w:rsidR="00962F47">
        <w:t>at</w:t>
      </w:r>
      <w:r w:rsidR="006E1FFF">
        <w:t xml:space="preserve"> </w:t>
      </w:r>
      <w:r w:rsidRPr="006E1FFF">
        <w:t>83,600</w:t>
      </w:r>
      <w:r w:rsidR="00C1234A">
        <w:t> </w:t>
      </w:r>
      <w:r w:rsidR="00EA4147">
        <w:t>Gigawatt</w:t>
      </w:r>
      <w:r w:rsidR="00F75F9C">
        <w:t>-</w:t>
      </w:r>
      <w:r w:rsidR="00EA4147">
        <w:t>hours</w:t>
      </w:r>
      <w:r w:rsidR="00F75F9C">
        <w:t xml:space="preserve"> (GWh)</w:t>
      </w:r>
      <w:r w:rsidRPr="005E7733">
        <w:t xml:space="preserve"> </w:t>
      </w:r>
      <w:r w:rsidR="00962F47">
        <w:t xml:space="preserve">which is less than 50 percent of the </w:t>
      </w:r>
      <w:r w:rsidR="009C7E65">
        <w:t>projected total retail sales at 172,300 G</w:t>
      </w:r>
      <w:r w:rsidR="00F75F9C">
        <w:t>Wh</w:t>
      </w:r>
      <w:r w:rsidRPr="005E7733">
        <w:t xml:space="preserve">, primarily due to </w:t>
      </w:r>
      <w:r w:rsidR="00B875E4">
        <w:t xml:space="preserve">IOU customers joining </w:t>
      </w:r>
      <w:r w:rsidRPr="005E7733">
        <w:t>CCA</w:t>
      </w:r>
      <w:r w:rsidR="00B875E4">
        <w:t>s</w:t>
      </w:r>
      <w:r w:rsidRPr="005E7733">
        <w:t>.</w:t>
      </w:r>
      <w:r w:rsidRPr="005E7733">
        <w:rPr>
          <w:vertAlign w:val="superscript"/>
        </w:rPr>
        <w:footnoteReference w:id="10"/>
      </w:r>
      <w:r w:rsidRPr="005E7733">
        <w:t xml:space="preserve"> </w:t>
      </w:r>
      <w:r>
        <w:t xml:space="preserve"> </w:t>
      </w:r>
      <w:r w:rsidRPr="005E7733">
        <w:t>This change, and the associated shift in compliance obligations from IOUs to CCAs, explains how the IOUs</w:t>
      </w:r>
      <w:r>
        <w:t>’</w:t>
      </w:r>
      <w:r w:rsidRPr="005E7733">
        <w:t xml:space="preserve"> RPS position increases even though their procurement level remains relatively stable.</w:t>
      </w:r>
    </w:p>
    <w:p w:rsidRPr="005E7733" w:rsidR="00752171" w:rsidP="00F014E0" w:rsidRDefault="00752171" w14:paraId="0249CA7B" w14:textId="6F6C8988">
      <w:pPr>
        <w:keepNext/>
        <w:ind w:firstLine="0"/>
        <w:jc w:val="center"/>
        <w:rPr>
          <w:b/>
          <w:bCs/>
          <w:szCs w:val="26"/>
        </w:rPr>
      </w:pPr>
      <w:r w:rsidRPr="005E7733">
        <w:rPr>
          <w:b/>
          <w:bCs/>
          <w:szCs w:val="26"/>
        </w:rPr>
        <w:t xml:space="preserve">Figure </w:t>
      </w:r>
      <w:r w:rsidR="00E57305">
        <w:rPr>
          <w:b/>
          <w:bCs/>
          <w:szCs w:val="26"/>
        </w:rPr>
        <w:t>1</w:t>
      </w:r>
      <w:r w:rsidRPr="005E7733">
        <w:rPr>
          <w:b/>
          <w:bCs/>
          <w:szCs w:val="26"/>
        </w:rPr>
        <w:t xml:space="preserve">: </w:t>
      </w:r>
      <w:r>
        <w:rPr>
          <w:b/>
          <w:bCs/>
          <w:szCs w:val="26"/>
        </w:rPr>
        <w:t xml:space="preserve"> </w:t>
      </w:r>
      <w:r w:rsidRPr="005E7733">
        <w:rPr>
          <w:b/>
          <w:bCs/>
          <w:szCs w:val="26"/>
        </w:rPr>
        <w:t>Aggregated IOU Progress Towards 60% RPS</w:t>
      </w:r>
      <w:r w:rsidR="00496919">
        <w:rPr>
          <w:b/>
          <w:bCs/>
          <w:szCs w:val="26"/>
        </w:rPr>
        <w:t>.</w:t>
      </w:r>
    </w:p>
    <w:p w:rsidRPr="005E7733" w:rsidR="00752171" w:rsidP="00F014E0" w:rsidRDefault="00752171" w14:paraId="63E9879B" w14:textId="77777777">
      <w:pPr>
        <w:ind w:firstLine="0"/>
        <w:jc w:val="center"/>
      </w:pPr>
      <w:r>
        <w:rPr>
          <w:noProof/>
          <w:color w:val="2B579A"/>
          <w:shd w:val="clear" w:color="auto" w:fill="E6E6E6"/>
        </w:rPr>
        <w:drawing>
          <wp:inline distT="0" distB="0" distL="0" distR="0" wp14:anchorId="1104249F" wp14:editId="0943580E">
            <wp:extent cx="5943600" cy="2490470"/>
            <wp:effectExtent l="0" t="0" r="0" b="5080"/>
            <wp:docPr id="8" name="Chart 8">
              <a:extLst xmlns:a="http://schemas.openxmlformats.org/drawingml/2006/main">
                <a:ext uri="{FF2B5EF4-FFF2-40B4-BE49-F238E27FC236}">
                  <a16:creationId xmlns:a16="http://schemas.microsoft.com/office/drawing/2014/main" id="{3C8208A3-2CC2-1C42-8601-1B5CF0028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506F" w:rsidP="0030506F" w:rsidRDefault="0030506F" w14:paraId="59DCC5C8" w14:textId="3FC920A7">
      <w:bookmarkStart w:name="_Toc89176326" w:id="16"/>
      <w:bookmarkStart w:name="_Toc92717498" w:id="17"/>
      <w:bookmarkStart w:name="_Toc92727920" w:id="18"/>
      <w:r>
        <w:t xml:space="preserve">The other notable </w:t>
      </w:r>
      <w:r w:rsidR="00496919">
        <w:t>element</w:t>
      </w:r>
      <w:r>
        <w:t xml:space="preserve"> of the IOU</w:t>
      </w:r>
      <w:r w:rsidR="00196715">
        <w:t>s’ RPS Plan</w:t>
      </w:r>
      <w:r w:rsidR="00356BD6">
        <w:t>s</w:t>
      </w:r>
      <w:r w:rsidR="00196715">
        <w:t xml:space="preserve"> is the impact of the VAMO process on </w:t>
      </w:r>
      <w:r w:rsidR="005A7EDE">
        <w:t>t</w:t>
      </w:r>
      <w:r w:rsidR="00496919">
        <w:t xml:space="preserve">he </w:t>
      </w:r>
      <w:r w:rsidR="005A7EDE">
        <w:t>R</w:t>
      </w:r>
      <w:r w:rsidR="00196715">
        <w:t>PS portfolio</w:t>
      </w:r>
      <w:r w:rsidR="00EE3A3F">
        <w:t xml:space="preserve">. </w:t>
      </w:r>
      <w:r w:rsidR="00C1234A">
        <w:t xml:space="preserve"> </w:t>
      </w:r>
      <w:r w:rsidR="00F26442">
        <w:t>Retail sellers have only completed the Voluntary Allocations and are yet to</w:t>
      </w:r>
      <w:r w:rsidR="00250E26">
        <w:t xml:space="preserve"> participate in the Market Offer </w:t>
      </w:r>
      <w:r w:rsidR="0087735D">
        <w:t xml:space="preserve">process. </w:t>
      </w:r>
      <w:r w:rsidR="000D3E65">
        <w:t xml:space="preserve"> </w:t>
      </w:r>
      <w:r w:rsidR="00356BD6">
        <w:t>GPI states, and w</w:t>
      </w:r>
      <w:r w:rsidR="000D3E65">
        <w:t>e agree</w:t>
      </w:r>
      <w:r w:rsidR="00356BD6">
        <w:t>,</w:t>
      </w:r>
      <w:r w:rsidR="000D3E65">
        <w:t xml:space="preserve"> that </w:t>
      </w:r>
      <w:r w:rsidRPr="000D3E65" w:rsidR="000D3E65">
        <w:t>the VAMO process</w:t>
      </w:r>
      <w:r w:rsidR="00F74A98">
        <w:t xml:space="preserve"> </w:t>
      </w:r>
      <w:r w:rsidRPr="000D3E65" w:rsidR="000D3E65">
        <w:t xml:space="preserve">will provide a pathway for IOUs to redistribute excess RPS energy </w:t>
      </w:r>
      <w:r w:rsidR="00C15C8C">
        <w:t xml:space="preserve">due to load migration </w:t>
      </w:r>
      <w:r w:rsidRPr="000D3E65" w:rsidR="000D3E65">
        <w:t>to CCAs and ESPs</w:t>
      </w:r>
      <w:r w:rsidR="000D3E65">
        <w:t>.</w:t>
      </w:r>
      <w:r w:rsidR="00360E87">
        <w:t xml:space="preserve"> </w:t>
      </w:r>
      <w:r w:rsidR="00C1234A">
        <w:t xml:space="preserve"> </w:t>
      </w:r>
      <w:r w:rsidR="003279B5">
        <w:t xml:space="preserve">GPI </w:t>
      </w:r>
      <w:r w:rsidR="00356BD6">
        <w:t xml:space="preserve">also </w:t>
      </w:r>
      <w:r w:rsidR="003279B5">
        <w:t>states that t</w:t>
      </w:r>
      <w:r w:rsidR="00F50136">
        <w:t>he o</w:t>
      </w:r>
      <w:r w:rsidRPr="00F50136" w:rsidR="00F50136">
        <w:t xml:space="preserve">ngoing fluctuations </w:t>
      </w:r>
      <w:r w:rsidR="00C02D63">
        <w:t xml:space="preserve">due to load departure </w:t>
      </w:r>
      <w:r w:rsidRPr="00F50136" w:rsidR="00F50136">
        <w:t>between CCAs</w:t>
      </w:r>
      <w:r w:rsidR="00C02D63">
        <w:t xml:space="preserve"> </w:t>
      </w:r>
      <w:r w:rsidRPr="00F50136" w:rsidR="00F50136">
        <w:t>and IOUs result in RPS planning uncertainty, procurement risk,</w:t>
      </w:r>
      <w:r w:rsidR="003279B5">
        <w:t xml:space="preserve"> </w:t>
      </w:r>
      <w:r w:rsidRPr="00F50136" w:rsidR="00F50136">
        <w:t>and</w:t>
      </w:r>
      <w:r w:rsidR="003279B5">
        <w:t xml:space="preserve"> </w:t>
      </w:r>
      <w:r w:rsidRPr="00F50136" w:rsidR="00F50136">
        <w:t>increased VAMO volume</w:t>
      </w:r>
      <w:r w:rsidR="003279B5">
        <w:t xml:space="preserve"> </w:t>
      </w:r>
      <w:r w:rsidRPr="00F50136" w:rsidR="00F50136">
        <w:t>impacts</w:t>
      </w:r>
      <w:r w:rsidR="00496919">
        <w:t>,</w:t>
      </w:r>
      <w:r w:rsidR="003279B5">
        <w:t xml:space="preserve"> </w:t>
      </w:r>
      <w:r w:rsidRPr="00F50136" w:rsidR="00F50136">
        <w:t>among other effects</w:t>
      </w:r>
      <w:r w:rsidR="00C1234A">
        <w:t>.</w:t>
      </w:r>
      <w:r w:rsidR="00F50136">
        <w:rPr>
          <w:rFonts w:ascii="Arial" w:hAnsi="Arial" w:cs="Arial"/>
          <w:sz w:val="16"/>
          <w:szCs w:val="16"/>
          <w:shd w:val="clear" w:color="auto" w:fill="FAF9F8"/>
        </w:rPr>
        <w:t xml:space="preserve"> </w:t>
      </w:r>
      <w:r w:rsidR="00C1234A">
        <w:rPr>
          <w:rFonts w:ascii="Arial" w:hAnsi="Arial" w:cs="Arial"/>
          <w:sz w:val="16"/>
          <w:szCs w:val="16"/>
          <w:shd w:val="clear" w:color="auto" w:fill="FAF9F8"/>
        </w:rPr>
        <w:t xml:space="preserve"> </w:t>
      </w:r>
      <w:r w:rsidR="00B875E4">
        <w:t xml:space="preserve">We expect the IOU’s RPS positions to change </w:t>
      </w:r>
      <w:r w:rsidR="00A8054E">
        <w:t>because of</w:t>
      </w:r>
      <w:r w:rsidR="00B875E4">
        <w:t xml:space="preserve"> the Market Offer process, however the extent of that change is unknown because the Market Offer is </w:t>
      </w:r>
      <w:r w:rsidR="00A8054E">
        <w:t xml:space="preserve">yet to be </w:t>
      </w:r>
      <w:r w:rsidR="00B875E4">
        <w:t xml:space="preserve">implemented. </w:t>
      </w:r>
      <w:r w:rsidR="00C84ADD">
        <w:t xml:space="preserve"> </w:t>
      </w:r>
      <w:r w:rsidR="00746FF3">
        <w:t>The</w:t>
      </w:r>
      <w:r w:rsidR="00B4209C">
        <w:t xml:space="preserve"> IOUs’</w:t>
      </w:r>
      <w:r w:rsidR="00746FF3">
        <w:t xml:space="preserve"> RPS positions</w:t>
      </w:r>
      <w:r w:rsidR="00E13A6B">
        <w:t xml:space="preserve"> will become </w:t>
      </w:r>
      <w:r w:rsidR="00841898">
        <w:t>more evident</w:t>
      </w:r>
      <w:r w:rsidR="00E13A6B">
        <w:t xml:space="preserve"> in next year’s RPS Plans</w:t>
      </w:r>
      <w:r w:rsidR="009809A1">
        <w:t>.</w:t>
      </w:r>
    </w:p>
    <w:p w:rsidR="003E3517" w:rsidP="00CC3059" w:rsidRDefault="003E3517" w14:paraId="3E7F5F8F" w14:textId="633080DA">
      <w:pPr>
        <w:pStyle w:val="Heading2"/>
        <w:numPr>
          <w:ilvl w:val="1"/>
          <w:numId w:val="2"/>
        </w:numPr>
      </w:pPr>
      <w:bookmarkStart w:name="_Toc122180443" w:id="19"/>
      <w:r>
        <w:t xml:space="preserve">Comments and Reply </w:t>
      </w:r>
      <w:r w:rsidR="00F014E0">
        <w:t>R</w:t>
      </w:r>
      <w:r>
        <w:t>egarding</w:t>
      </w:r>
      <w:r w:rsidR="00F014E0">
        <w:br/>
      </w:r>
      <w:r>
        <w:t>RPS Plans</w:t>
      </w:r>
      <w:bookmarkEnd w:id="19"/>
    </w:p>
    <w:p w:rsidR="003E3517" w:rsidP="003E3517" w:rsidRDefault="003E3517" w14:paraId="3781C060" w14:textId="0EA9C2E5">
      <w:pPr>
        <w:pStyle w:val="Standard"/>
      </w:pPr>
      <w:r w:rsidRPr="004955E6">
        <w:t xml:space="preserve">PG&amp;E states that while the </w:t>
      </w:r>
      <w:r w:rsidR="00FF4C5D">
        <w:t>2022 ACR</w:t>
      </w:r>
      <w:r w:rsidRPr="004955E6">
        <w:t xml:space="preserve"> seeks information concerning the IRP in Draft RPS </w:t>
      </w:r>
      <w:r w:rsidR="00954389">
        <w:t>P</w:t>
      </w:r>
      <w:r w:rsidRPr="004955E6">
        <w:t xml:space="preserve">lans, utilization of such information provided in Draft RPS Plans in the IRP proceeding is equally </w:t>
      </w:r>
      <w:r>
        <w:t>essential</w:t>
      </w:r>
      <w:r w:rsidRPr="004955E6">
        <w:t>.</w:t>
      </w:r>
      <w:r>
        <w:t xml:space="preserve"> </w:t>
      </w:r>
      <w:r w:rsidR="00C1234A">
        <w:t xml:space="preserve"> </w:t>
      </w:r>
      <w:r w:rsidRPr="004955E6">
        <w:t xml:space="preserve">PG&amp;E </w:t>
      </w:r>
      <w:r>
        <w:t xml:space="preserve">encourages </w:t>
      </w:r>
      <w:r w:rsidRPr="004955E6">
        <w:t xml:space="preserve">the Commission to resolve </w:t>
      </w:r>
      <w:r w:rsidRPr="00060613">
        <w:t xml:space="preserve">IRP and RPS coordination and alignment matters </w:t>
      </w:r>
      <w:r w:rsidRPr="004955E6">
        <w:t xml:space="preserve">in this docket.  </w:t>
      </w:r>
      <w:r w:rsidRPr="003B3291">
        <w:t xml:space="preserve">PG&amp;E clarifies that PG&amp;E’s Voluntary Allocation process was offered to all eligible </w:t>
      </w:r>
      <w:r>
        <w:t>retail sellers</w:t>
      </w:r>
      <w:r w:rsidRPr="003B3291">
        <w:t>.</w:t>
      </w:r>
    </w:p>
    <w:p w:rsidR="003E3517" w:rsidP="003E3517" w:rsidRDefault="003E3517" w14:paraId="07BDEB09" w14:textId="09CC3E68">
      <w:pPr>
        <w:pStyle w:val="Standard"/>
      </w:pPr>
      <w:r>
        <w:t xml:space="preserve">SBUA filed comments seeking clarification on specific issues in the IOUs’ RPS Plans. </w:t>
      </w:r>
      <w:r w:rsidR="00C1234A">
        <w:t xml:space="preserve"> </w:t>
      </w:r>
      <w:r>
        <w:t>SBUA requests that PG&amp;E’</w:t>
      </w:r>
      <w:r w:rsidR="00746FF3">
        <w:t>s</w:t>
      </w:r>
      <w:r>
        <w:t xml:space="preserve"> and SCE’s Draft 2022 RPS Plan</w:t>
      </w:r>
      <w:r w:rsidR="009F590D">
        <w:t>s</w:t>
      </w:r>
      <w:r>
        <w:t xml:space="preserve"> be updated to explain the discrepancy between the 2019 RPS Plan and the Draft 2022 RPS Plan</w:t>
      </w:r>
      <w:r w:rsidR="00FF33AD">
        <w:t>s</w:t>
      </w:r>
      <w:r>
        <w:t xml:space="preserve">. </w:t>
      </w:r>
      <w:r w:rsidR="00C1234A">
        <w:t xml:space="preserve"> </w:t>
      </w:r>
      <w:r>
        <w:t xml:space="preserve">It states that PG&amp;E does not “provide a timeline for compliance with </w:t>
      </w:r>
      <w:r w:rsidR="00192BD7">
        <w:t>[General Order</w:t>
      </w:r>
      <w:r w:rsidR="009F590D">
        <w:t xml:space="preserve"> (GO)</w:t>
      </w:r>
      <w:r w:rsidR="00192BD7">
        <w:t xml:space="preserve">] </w:t>
      </w:r>
      <w:r>
        <w:t>156” and requests that the IOUs provide appendices explaining their GO</w:t>
      </w:r>
      <w:r w:rsidR="00001CC6">
        <w:t> </w:t>
      </w:r>
      <w:r>
        <w:t xml:space="preserve">156-related outreach. </w:t>
      </w:r>
      <w:r w:rsidR="00C1234A">
        <w:t xml:space="preserve"> </w:t>
      </w:r>
      <w:r>
        <w:t xml:space="preserve">It further states that </w:t>
      </w:r>
      <w:r w:rsidRPr="00C54827">
        <w:t>SDG&amp;E does not</w:t>
      </w:r>
      <w:r>
        <w:t xml:space="preserve"> </w:t>
      </w:r>
      <w:r w:rsidRPr="00C54827">
        <w:t xml:space="preserve">describe its outreach efforts to eligible </w:t>
      </w:r>
      <w:r w:rsidRPr="00C54827" w:rsidR="00706550">
        <w:t>businesses</w:t>
      </w:r>
      <w:r w:rsidR="00706550">
        <w:t xml:space="preserve"> and</w:t>
      </w:r>
      <w:r>
        <w:t xml:space="preserve"> </w:t>
      </w:r>
      <w:r w:rsidRPr="00837302">
        <w:t>SCE does not describe how it intends to “encourage” participation.</w:t>
      </w:r>
      <w:r>
        <w:rPr>
          <w:rFonts w:ascii="Arial" w:hAnsi="Arial" w:cs="Arial"/>
          <w:sz w:val="16"/>
          <w:szCs w:val="16"/>
          <w:shd w:val="clear" w:color="auto" w:fill="FAF9F8"/>
        </w:rPr>
        <w:t xml:space="preserve"> </w:t>
      </w:r>
    </w:p>
    <w:p w:rsidR="003E3517" w:rsidP="003E3517" w:rsidRDefault="003E3517" w14:paraId="1BEE68AD" w14:textId="62E70DB8">
      <w:pPr>
        <w:pStyle w:val="Standard"/>
      </w:pPr>
      <w:r>
        <w:t>Regarding transmission capacity, SBUA states that PG&amp;E’s RPS Plan is not as specific as other IOUs</w:t>
      </w:r>
      <w:r w:rsidR="009F590D">
        <w:t>’ RPS Plans</w:t>
      </w:r>
      <w:r>
        <w:t xml:space="preserve"> and requests further clarification concerning whether transmission poses a barrier to the RPS’ goal. </w:t>
      </w:r>
      <w:r w:rsidR="00C1234A">
        <w:t xml:space="preserve"> </w:t>
      </w:r>
      <w:r>
        <w:t xml:space="preserve">SBUA seeks clarification from PG&amp;E and SDG&amp;E on contract termination criteria pursuant to its </w:t>
      </w:r>
      <w:r w:rsidR="00286250">
        <w:t>RFI</w:t>
      </w:r>
      <w:r>
        <w:t xml:space="preserve"> activities. </w:t>
      </w:r>
      <w:r w:rsidR="009F590D">
        <w:t xml:space="preserve"> </w:t>
      </w:r>
      <w:r>
        <w:t>Finally, it states that PG&amp;E should</w:t>
      </w:r>
      <w:r w:rsidRPr="00976044">
        <w:t xml:space="preserve"> </w:t>
      </w:r>
      <w:r>
        <w:t>a</w:t>
      </w:r>
      <w:r w:rsidRPr="00976044">
        <w:t xml:space="preserve">ddress RPS Compliance </w:t>
      </w:r>
      <w:r>
        <w:t>u</w:t>
      </w:r>
      <w:r w:rsidRPr="00976044">
        <w:t xml:space="preserve">ncertainty that </w:t>
      </w:r>
      <w:r>
        <w:t>m</w:t>
      </w:r>
      <w:r w:rsidRPr="00976044">
        <w:t xml:space="preserve">ay </w:t>
      </w:r>
      <w:r>
        <w:t>ar</w:t>
      </w:r>
      <w:r w:rsidRPr="00976044">
        <w:t xml:space="preserve">ise from its </w:t>
      </w:r>
      <w:r>
        <w:t>o</w:t>
      </w:r>
      <w:r w:rsidRPr="00976044">
        <w:t xml:space="preserve">wn </w:t>
      </w:r>
      <w:r>
        <w:t>c</w:t>
      </w:r>
      <w:r w:rsidRPr="00976044">
        <w:t xml:space="preserve">limate </w:t>
      </w:r>
      <w:r>
        <w:t>g</w:t>
      </w:r>
      <w:r w:rsidRPr="00976044">
        <w:t>oals</w:t>
      </w:r>
      <w:r>
        <w:t xml:space="preserve">. </w:t>
      </w:r>
    </w:p>
    <w:p w:rsidR="003E3517" w:rsidP="003E3517" w:rsidRDefault="003E3517" w14:paraId="2432755D" w14:textId="66B08B08">
      <w:pPr>
        <w:pStyle w:val="Standard"/>
      </w:pPr>
      <w:r>
        <w:t xml:space="preserve">In its </w:t>
      </w:r>
      <w:r w:rsidR="00B875E4">
        <w:t>r</w:t>
      </w:r>
      <w:r w:rsidR="00A8054E">
        <w:t>eply</w:t>
      </w:r>
      <w:r w:rsidR="00B875E4">
        <w:t xml:space="preserve"> to SBUA’s </w:t>
      </w:r>
      <w:r>
        <w:t>comments, PG&amp;E states that regulatory conditions in 2019</w:t>
      </w:r>
      <w:r w:rsidR="00C1234A">
        <w:t> </w:t>
      </w:r>
      <w:r>
        <w:t>markedly differ from those in 2022.</w:t>
      </w:r>
      <w:r w:rsidR="00C1234A">
        <w:t xml:space="preserve"> </w:t>
      </w:r>
      <w:r>
        <w:t xml:space="preserve"> It further states that it has explained the discrepancy of assumptions between </w:t>
      </w:r>
      <w:r w:rsidR="00FF33AD">
        <w:t>its</w:t>
      </w:r>
      <w:r>
        <w:t xml:space="preserve"> 2019 RPS Plan and </w:t>
      </w:r>
      <w:r w:rsidR="00FF33AD">
        <w:t>its</w:t>
      </w:r>
      <w:r>
        <w:t xml:space="preserve"> Draft 2022 RPS Plan arising from the impact of the VAMO process, M</w:t>
      </w:r>
      <w:r w:rsidR="007B3A2E">
        <w:t>id-Term Reliability (MTR)</w:t>
      </w:r>
      <w:r>
        <w:t xml:space="preserve"> solicitations, and resource needs for its </w:t>
      </w:r>
      <w:r w:rsidR="00AE2072">
        <w:t>Green Tariff Shared Renewables (</w:t>
      </w:r>
      <w:r>
        <w:t>GTSR</w:t>
      </w:r>
      <w:r w:rsidR="00AE2072">
        <w:t>)</w:t>
      </w:r>
      <w:r>
        <w:t xml:space="preserve"> customers. </w:t>
      </w:r>
      <w:r w:rsidR="00C1234A">
        <w:t xml:space="preserve"> </w:t>
      </w:r>
      <w:r>
        <w:t xml:space="preserve">SCE opposes SBUA’s comments and states that it fully explained </w:t>
      </w:r>
      <w:r w:rsidR="00B875E4">
        <w:t xml:space="preserve">the </w:t>
      </w:r>
      <w:r>
        <w:t xml:space="preserve">change </w:t>
      </w:r>
      <w:r w:rsidR="00B875E4">
        <w:t xml:space="preserve">from the 2019 RPS Plan </w:t>
      </w:r>
      <w:r>
        <w:t xml:space="preserve">in its 2021 RPS Plan and in its 2022 RPS Plan. </w:t>
      </w:r>
      <w:r w:rsidR="00C1234A">
        <w:t xml:space="preserve"> </w:t>
      </w:r>
      <w:r>
        <w:t xml:space="preserve">SCE asserts that it has explained in its </w:t>
      </w:r>
      <w:r w:rsidR="007B299C">
        <w:t>D</w:t>
      </w:r>
      <w:r>
        <w:t xml:space="preserve">raft 2022 RPS Plan </w:t>
      </w:r>
      <w:r w:rsidR="00954389">
        <w:t xml:space="preserve">that </w:t>
      </w:r>
      <w:r>
        <w:t xml:space="preserve">its need to procure resources is due to the implementation of the VAMO process and the IRP Decision. </w:t>
      </w:r>
      <w:r w:rsidR="00C1234A">
        <w:t xml:space="preserve"> </w:t>
      </w:r>
      <w:r>
        <w:t xml:space="preserve">Similarly, in its response, SDG&amp;E states that its request to undertake near-term procurement is based on its RNS analysis, VAMO process, IRP procurement scenarios, and ongoing load departure. </w:t>
      </w:r>
      <w:r w:rsidR="00C1234A">
        <w:t xml:space="preserve"> </w:t>
      </w:r>
      <w:r>
        <w:t xml:space="preserve">It further states that while it is early to state any </w:t>
      </w:r>
      <w:r w:rsidR="00A8054E">
        <w:t>lessons l</w:t>
      </w:r>
      <w:r>
        <w:t>earned</w:t>
      </w:r>
      <w:r w:rsidR="009F590D">
        <w:t>,</w:t>
      </w:r>
      <w:r>
        <w:t xml:space="preserve"> as requested by SBUA, it is amenable to discuss </w:t>
      </w:r>
      <w:r w:rsidR="009F590D">
        <w:t xml:space="preserve">these </w:t>
      </w:r>
      <w:r>
        <w:t xml:space="preserve">findings in its future RPS Plan. </w:t>
      </w:r>
    </w:p>
    <w:p w:rsidR="003E3517" w:rsidP="003E3517" w:rsidRDefault="003E3517" w14:paraId="3ECD3352" w14:textId="32837CAE">
      <w:pPr>
        <w:pStyle w:val="Standard"/>
      </w:pPr>
      <w:r>
        <w:t>Regarding compliance with GO 156, PG&amp;E and SCE</w:t>
      </w:r>
      <w:r w:rsidR="00FF33AD">
        <w:t xml:space="preserve"> both</w:t>
      </w:r>
      <w:r>
        <w:t xml:space="preserve"> assert that the Supplier Diversity Annual Report and the Annual Report to the Commission’s Executive Director </w:t>
      </w:r>
      <w:r w:rsidR="00FF33AD">
        <w:t>are</w:t>
      </w:r>
      <w:r>
        <w:t xml:space="preserve"> the appropriate venue</w:t>
      </w:r>
      <w:r w:rsidR="00FF33AD">
        <w:t>s</w:t>
      </w:r>
      <w:r>
        <w:t xml:space="preserve"> to address any concerns. </w:t>
      </w:r>
      <w:r w:rsidR="00C1234A">
        <w:t xml:space="preserve"> </w:t>
      </w:r>
      <w:r>
        <w:t>SCE states that it has provided Public Appendix I.1 as part of its RPS Plan with its 2022</w:t>
      </w:r>
      <w:r w:rsidR="00C1234A">
        <w:t> </w:t>
      </w:r>
      <w:r>
        <w:t>Procurement Protocol, in which SCE encourages Diverse Business Enterprises to participate in the RPS Solicitation</w:t>
      </w:r>
      <w:r w:rsidR="009F590D">
        <w:t>,</w:t>
      </w:r>
      <w:r>
        <w:t xml:space="preserve"> and</w:t>
      </w:r>
      <w:r w:rsidR="00B875E4">
        <w:t xml:space="preserve"> provides</w:t>
      </w:r>
      <w:r>
        <w:t xml:space="preserve"> a link to SCE’s website with information on SCE’s Supplier Diversity Program. </w:t>
      </w:r>
      <w:r w:rsidR="00C1234A">
        <w:t xml:space="preserve"> </w:t>
      </w:r>
      <w:r>
        <w:t xml:space="preserve">In its reply comments, SDG&amp;E summarizes the protocols it follows to do business with diverse suppliers.  </w:t>
      </w:r>
    </w:p>
    <w:p w:rsidR="003E3517" w:rsidP="003E3517" w:rsidRDefault="00B875E4" w14:paraId="6136B604" w14:textId="1413D289">
      <w:pPr>
        <w:pStyle w:val="Standard"/>
      </w:pPr>
      <w:r>
        <w:t xml:space="preserve">In response to </w:t>
      </w:r>
      <w:r w:rsidR="003E3517">
        <w:t xml:space="preserve">SBUA’s comments regarding transmission capacity, PG&amp;E states that transmission does not pose a near-term challenge for PG&amp;E to meet its RPS program compliance requirements. </w:t>
      </w:r>
    </w:p>
    <w:p w:rsidR="003E3517" w:rsidP="003E3517" w:rsidRDefault="003E3517" w14:paraId="0AF1A082" w14:textId="6F6CC5E7">
      <w:pPr>
        <w:pStyle w:val="Standard"/>
      </w:pPr>
      <w:r>
        <w:t xml:space="preserve">Regarding contract termination, PG&amp;E clarifies that it is utilizing the same structure and evaluation process that was in place for the RFI held in 2022, for its next RFI process to be held in 2023. </w:t>
      </w:r>
      <w:r w:rsidR="009F590D">
        <w:t xml:space="preserve"> </w:t>
      </w:r>
      <w:r>
        <w:t xml:space="preserve">PG&amp;E states that it will evaluate proposals </w:t>
      </w:r>
      <w:r w:rsidR="00FF33AD">
        <w:t xml:space="preserve">based </w:t>
      </w:r>
      <w:r>
        <w:t xml:space="preserve">on Net Market Value to provide net benefit value to customers. </w:t>
      </w:r>
      <w:r w:rsidR="00C1234A">
        <w:t xml:space="preserve"> </w:t>
      </w:r>
      <w:r>
        <w:t xml:space="preserve">SDG&amp;E opposes SBUA’s comments and states that its draft RPS Plan had a section explaining the RFI process. </w:t>
      </w:r>
      <w:r w:rsidR="00C1234A">
        <w:t xml:space="preserve"> </w:t>
      </w:r>
      <w:r>
        <w:t xml:space="preserve">SDG&amp;E further states that Appendix 16 of its RPS Plan explains the responses to the RFI. </w:t>
      </w:r>
      <w:r w:rsidR="00C1234A">
        <w:t xml:space="preserve"> </w:t>
      </w:r>
      <w:r>
        <w:t>SDG&amp;E states that all interests received from the RFI solicitations are subject to evaluation to ensure benefit to ratepayers and SDG&amp;E’s compliance with the RPS requirements.</w:t>
      </w:r>
    </w:p>
    <w:p w:rsidRPr="003E3517" w:rsidR="003E3517" w:rsidP="003E3517" w:rsidRDefault="003E3517" w14:paraId="59D79516" w14:textId="750DB40A">
      <w:pPr>
        <w:pStyle w:val="Standard"/>
        <w:rPr>
          <w:rFonts w:eastAsia="Book Antiqua" w:cs="Book Antiqua"/>
        </w:rPr>
      </w:pPr>
      <w:r>
        <w:t xml:space="preserve">Finally, </w:t>
      </w:r>
      <w:r w:rsidR="00B875E4">
        <w:t xml:space="preserve">in response to SBUA’s comments about PG&amp;E’s </w:t>
      </w:r>
      <w:r w:rsidRPr="00981F94" w:rsidR="00B875E4">
        <w:t>RPS Compliance uncertainty that may arise from its own climate goals</w:t>
      </w:r>
      <w:r>
        <w:t xml:space="preserve">, PG&amp;E states that in the future it intends to incorporate its voluntary greenhouse gas reduction goals into its RPS Plans. </w:t>
      </w:r>
    </w:p>
    <w:p w:rsidRPr="00F02A03" w:rsidR="00424695" w:rsidP="00CC3059" w:rsidRDefault="00424695" w14:paraId="77BB6191" w14:textId="78C724F6">
      <w:pPr>
        <w:pStyle w:val="Heading2"/>
        <w:numPr>
          <w:ilvl w:val="1"/>
          <w:numId w:val="2"/>
        </w:numPr>
      </w:pPr>
      <w:bookmarkStart w:name="_Toc122180444" w:id="20"/>
      <w:r>
        <w:t>PG&amp;E</w:t>
      </w:r>
      <w:r w:rsidR="001D2A41">
        <w:t>’</w:t>
      </w:r>
      <w:r>
        <w:t>s Draft 2022 RPS Plan</w:t>
      </w:r>
      <w:bookmarkEnd w:id="16"/>
      <w:bookmarkEnd w:id="17"/>
      <w:bookmarkEnd w:id="18"/>
      <w:bookmarkEnd w:id="20"/>
    </w:p>
    <w:p w:rsidRPr="006971C0" w:rsidR="006971C0" w:rsidP="006971C0" w:rsidRDefault="006971C0" w14:paraId="58C14446" w14:textId="6A4F8CAA">
      <w:pPr>
        <w:rPr>
          <w:rFonts w:cs="Arial"/>
          <w:szCs w:val="26"/>
        </w:rPr>
      </w:pPr>
      <w:r>
        <w:t xml:space="preserve">PG&amp;E’s </w:t>
      </w:r>
      <w:r w:rsidR="009C7DA9">
        <w:t>D</w:t>
      </w:r>
      <w:r w:rsidR="00954389">
        <w:t xml:space="preserve">raft 2022 RPS </w:t>
      </w:r>
      <w:r>
        <w:t xml:space="preserve">Plan contains each of the elements required in Table 1 of the </w:t>
      </w:r>
      <w:r w:rsidR="00FF4C5D">
        <w:t xml:space="preserve">2022 </w:t>
      </w:r>
      <w:r>
        <w:t>ACR.</w:t>
      </w:r>
      <w:r w:rsidR="00E216D8">
        <w:t xml:space="preserve"> </w:t>
      </w:r>
      <w:r w:rsidR="00C1234A">
        <w:t xml:space="preserve"> </w:t>
      </w:r>
      <w:r>
        <w:t xml:space="preserve">The following sections primarily addresses key issues in PG&amp;E’s Plan that require Commission approval. </w:t>
      </w:r>
      <w:r w:rsidR="009C7DA9">
        <w:t xml:space="preserve"> </w:t>
      </w:r>
      <w:r w:rsidR="00FE5376">
        <w:t>Regarding</w:t>
      </w:r>
      <w:r>
        <w:t xml:space="preserve"> the other requirements, PG&amp;E’s draft Plan contains the required elements.</w:t>
      </w:r>
    </w:p>
    <w:p w:rsidR="00FE5376" w:rsidP="11203191" w:rsidRDefault="00424695" w14:paraId="6822F88E" w14:textId="450CFFAA">
      <w:pPr>
        <w:rPr>
          <w:rFonts w:cs="Arial"/>
        </w:rPr>
      </w:pPr>
      <w:r>
        <w:t xml:space="preserve">PG&amp;E’s </w:t>
      </w:r>
      <w:r w:rsidR="009C7DA9">
        <w:t>D</w:t>
      </w:r>
      <w:r>
        <w:t>raft 2022 RPS Plan</w:t>
      </w:r>
      <w:r w:rsidR="00B70089">
        <w:t xml:space="preserve"> is approved</w:t>
      </w:r>
      <w:r w:rsidR="00E216D8">
        <w:t xml:space="preserve"> with modifications</w:t>
      </w:r>
      <w:r w:rsidR="002545A1">
        <w:t xml:space="preserve">.  </w:t>
      </w:r>
      <w:r w:rsidRPr="11203191" w:rsidR="00FE5376">
        <w:t>We approve PG&amp;E to use its RPS “bank” to</w:t>
      </w:r>
      <w:r w:rsidRPr="11203191" w:rsidR="00FE5376">
        <w:rPr>
          <w:rFonts w:cs="Arial"/>
        </w:rPr>
        <w:t xml:space="preserve"> achieve compliance with its RPS obligations through</w:t>
      </w:r>
      <w:r w:rsidRPr="007362DF" w:rsidR="00FE5376">
        <w:rPr>
          <w:szCs w:val="26"/>
        </w:rPr>
        <w:t xml:space="preserve"> </w:t>
      </w:r>
      <w:r w:rsidRPr="11203191" w:rsidR="00FE5376">
        <w:rPr>
          <w:rFonts w:cs="Arial"/>
        </w:rPr>
        <w:t>2028.</w:t>
      </w:r>
      <w:r w:rsidRPr="11203191" w:rsidR="00FE5376">
        <w:rPr>
          <w:rStyle w:val="FootnoteReference"/>
          <w:rFonts w:cs="Arial"/>
        </w:rPr>
        <w:footnoteReference w:id="11"/>
      </w:r>
      <w:r w:rsidRPr="11203191" w:rsidR="00FE5376">
        <w:rPr>
          <w:rFonts w:cs="Arial"/>
        </w:rPr>
        <w:t xml:space="preserve"> </w:t>
      </w:r>
      <w:r w:rsidR="00C1234A">
        <w:rPr>
          <w:rFonts w:cs="Arial"/>
        </w:rPr>
        <w:t xml:space="preserve"> </w:t>
      </w:r>
      <w:r w:rsidRPr="11203191" w:rsidR="00FE5376">
        <w:t xml:space="preserve">Additionally, PG&amp;E may hold solicitations to buy RPS products and/or sell RPS volumes </w:t>
      </w:r>
      <w:r w:rsidRPr="11203191" w:rsidR="3A93120B">
        <w:t>and issue a</w:t>
      </w:r>
      <w:r w:rsidR="00D3015B">
        <w:t>n</w:t>
      </w:r>
      <w:r w:rsidRPr="11203191" w:rsidR="3A93120B">
        <w:t xml:space="preserve"> R</w:t>
      </w:r>
      <w:r w:rsidR="00D3015B">
        <w:t>FI</w:t>
      </w:r>
      <w:r w:rsidRPr="11203191" w:rsidR="3A93120B">
        <w:t xml:space="preserve"> </w:t>
      </w:r>
      <w:r w:rsidRPr="37959C8E" w:rsidR="00FE5376">
        <w:t>during</w:t>
      </w:r>
      <w:r w:rsidRPr="11203191" w:rsidR="00FE5376">
        <w:t xml:space="preserve"> the 2022</w:t>
      </w:r>
      <w:r w:rsidR="00C1234A">
        <w:t> </w:t>
      </w:r>
      <w:r w:rsidRPr="11203191" w:rsidR="00FE5376">
        <w:t>RPS Plan Cycle</w:t>
      </w:r>
      <w:r w:rsidRPr="11203191" w:rsidR="00FE5376">
        <w:rPr>
          <w:rFonts w:cs="Arial"/>
        </w:rPr>
        <w:t xml:space="preserve">. </w:t>
      </w:r>
    </w:p>
    <w:p w:rsidR="00EE4B4C" w:rsidP="00EE4B4C" w:rsidRDefault="002545A1" w14:paraId="7A538B89" w14:textId="20A64B43">
      <w:r>
        <w:t xml:space="preserve">PG&amp;E shall </w:t>
      </w:r>
      <w:r w:rsidR="78026610">
        <w:t>update its final RPS Plan with up-to-date information</w:t>
      </w:r>
      <w:r w:rsidR="090C4CCE">
        <w:t xml:space="preserve"> </w:t>
      </w:r>
      <w:r w:rsidR="78026610">
        <w:t>from</w:t>
      </w:r>
      <w:r w:rsidR="4E599F6A">
        <w:t xml:space="preserve"> the VAMO process</w:t>
      </w:r>
      <w:r w:rsidR="00307B0F">
        <w:rPr>
          <w:rStyle w:val="CommentReference"/>
        </w:rPr>
        <w:t xml:space="preserve"> </w:t>
      </w:r>
      <w:r>
        <w:t>and mid-term reliability procurement requirements.</w:t>
      </w:r>
    </w:p>
    <w:p w:rsidRPr="00B568F8" w:rsidR="00B568F8" w:rsidP="00F014E0" w:rsidRDefault="00B568F8" w14:paraId="4482F5C4" w14:textId="67280BE8">
      <w:pPr>
        <w:pStyle w:val="Heading3"/>
        <w:numPr>
          <w:ilvl w:val="2"/>
          <w:numId w:val="2"/>
        </w:numPr>
      </w:pPr>
      <w:bookmarkStart w:name="_Toc89176327" w:id="21"/>
      <w:bookmarkStart w:name="_Toc92717499" w:id="22"/>
      <w:bookmarkStart w:name="_Toc92727921" w:id="23"/>
      <w:bookmarkStart w:name="_Toc122180445" w:id="24"/>
      <w:r>
        <w:t>PG&amp;E’s Bank Usage to Meet Compliance through 2028 and Procurement Needs</w:t>
      </w:r>
      <w:bookmarkEnd w:id="24"/>
    </w:p>
    <w:p w:rsidR="00FA1582" w:rsidP="00FA1582" w:rsidRDefault="00FA1582" w14:paraId="21F3A3CD" w14:textId="789413BE">
      <w:pPr>
        <w:rPr>
          <w:rFonts w:eastAsia="Book Antiqua" w:cs="Book Antiqua"/>
          <w:color w:val="000000" w:themeColor="text1"/>
          <w:szCs w:val="26"/>
        </w:rPr>
      </w:pPr>
      <w:r w:rsidRPr="49D3B57F">
        <w:rPr>
          <w:rFonts w:eastAsia="Book Antiqua" w:cs="Book Antiqua"/>
          <w:color w:val="000000" w:themeColor="text1"/>
        </w:rPr>
        <w:t>PG&amp;E states that it will be physically short</w:t>
      </w:r>
      <w:r w:rsidRPr="49D3B57F">
        <w:rPr>
          <w:rFonts w:eastAsia="Book Antiqua" w:cs="Book Antiqua"/>
          <w:color w:val="000000" w:themeColor="text1"/>
          <w:vertAlign w:val="superscript"/>
        </w:rPr>
        <w:footnoteReference w:id="12"/>
      </w:r>
      <w:r w:rsidRPr="49D3B57F">
        <w:rPr>
          <w:rFonts w:eastAsia="Book Antiqua" w:cs="Book Antiqua"/>
          <w:color w:val="000000" w:themeColor="text1"/>
        </w:rPr>
        <w:t xml:space="preserve"> of its RPS requirement beginning in 2023. </w:t>
      </w:r>
      <w:r w:rsidR="00C1234A">
        <w:rPr>
          <w:rFonts w:eastAsia="Book Antiqua" w:cs="Book Antiqua"/>
          <w:color w:val="000000" w:themeColor="text1"/>
        </w:rPr>
        <w:t xml:space="preserve"> </w:t>
      </w:r>
      <w:r w:rsidRPr="49D3B57F">
        <w:rPr>
          <w:rFonts w:eastAsia="Book Antiqua" w:cs="Book Antiqua"/>
          <w:color w:val="000000" w:themeColor="text1"/>
        </w:rPr>
        <w:t xml:space="preserve">PG&amp;E attributes this shortfall </w:t>
      </w:r>
      <w:r w:rsidR="00C249E9">
        <w:rPr>
          <w:rFonts w:eastAsia="Book Antiqua" w:cs="Book Antiqua"/>
          <w:color w:val="000000" w:themeColor="text1"/>
        </w:rPr>
        <w:t>to</w:t>
      </w:r>
      <w:r w:rsidRPr="49D3B57F">
        <w:rPr>
          <w:rFonts w:eastAsia="Book Antiqua" w:cs="Book Antiqua"/>
          <w:color w:val="000000" w:themeColor="text1"/>
        </w:rPr>
        <w:t xml:space="preserve"> its projections of allocating and selling renewable resources under the VAMO process</w:t>
      </w:r>
      <w:r w:rsidRPr="49D3B57F">
        <w:rPr>
          <w:rStyle w:val="FootnoteReference"/>
          <w:rFonts w:eastAsia="Book Antiqua" w:cs="Book Antiqua"/>
          <w:color w:val="000000" w:themeColor="text1"/>
        </w:rPr>
        <w:footnoteReference w:id="13"/>
      </w:r>
      <w:r w:rsidRPr="49D3B57F">
        <w:rPr>
          <w:rFonts w:eastAsia="Book Antiqua" w:cs="Book Antiqua"/>
          <w:color w:val="000000" w:themeColor="text1"/>
        </w:rPr>
        <w:t xml:space="preserve"> and using its existing renewable resources to meet the needs of its </w:t>
      </w:r>
      <w:r w:rsidRPr="49D3B57F">
        <w:t>GTSR Program</w:t>
      </w:r>
      <w:r w:rsidRPr="49D3B57F">
        <w:rPr>
          <w:rFonts w:eastAsia="Book Antiqua" w:cs="Book Antiqua"/>
          <w:color w:val="000000" w:themeColor="text1"/>
        </w:rPr>
        <w:t>.</w:t>
      </w:r>
      <w:r w:rsidRPr="49D3B57F">
        <w:rPr>
          <w:rStyle w:val="FootnoteReference"/>
          <w:rFonts w:eastAsia="Book Antiqua" w:cs="Book Antiqua"/>
          <w:color w:val="000000" w:themeColor="text1"/>
        </w:rPr>
        <w:footnoteReference w:id="14"/>
      </w:r>
      <w:r w:rsidRPr="49D3B57F">
        <w:rPr>
          <w:rFonts w:eastAsia="Book Antiqua" w:cs="Book Antiqua"/>
          <w:color w:val="000000" w:themeColor="text1"/>
        </w:rPr>
        <w:t xml:space="preserve"> </w:t>
      </w:r>
    </w:p>
    <w:p w:rsidRPr="007210E1" w:rsidR="00FA1582" w:rsidP="00FA1582" w:rsidRDefault="00FA1582" w14:paraId="1ADFB396" w14:textId="4349CA6D">
      <w:pPr>
        <w:rPr>
          <w:rFonts w:eastAsia="Book Antiqua" w:cs="Book Antiqua"/>
          <w:color w:val="000000" w:themeColor="text1"/>
          <w:szCs w:val="26"/>
        </w:rPr>
      </w:pPr>
      <w:r>
        <w:rPr>
          <w:rFonts w:eastAsia="Book Antiqua" w:cs="Book Antiqua"/>
          <w:color w:val="000000" w:themeColor="text1"/>
          <w:szCs w:val="26"/>
        </w:rPr>
        <w:t xml:space="preserve">Based on its assumptions, </w:t>
      </w:r>
      <w:r w:rsidRPr="005D206B">
        <w:rPr>
          <w:rFonts w:eastAsia="Book Antiqua" w:cs="Book Antiqua"/>
          <w:color w:val="000000" w:themeColor="text1"/>
          <w:szCs w:val="26"/>
        </w:rPr>
        <w:t xml:space="preserve">PG&amp;E </w:t>
      </w:r>
      <w:r w:rsidRPr="007210E1">
        <w:rPr>
          <w:rFonts w:eastAsia="Book Antiqua" w:cs="Book Antiqua"/>
          <w:color w:val="000000" w:themeColor="text1"/>
          <w:szCs w:val="26"/>
        </w:rPr>
        <w:t xml:space="preserve">proposes to </w:t>
      </w:r>
      <w:r w:rsidRPr="005D206B">
        <w:rPr>
          <w:rFonts w:eastAsia="Book Antiqua" w:cs="Book Antiqua"/>
          <w:color w:val="000000" w:themeColor="text1"/>
          <w:szCs w:val="26"/>
        </w:rPr>
        <w:t xml:space="preserve">rely on its </w:t>
      </w:r>
      <w:r w:rsidRPr="007210E1">
        <w:rPr>
          <w:szCs w:val="26"/>
        </w:rPr>
        <w:t>pre-2023 RPS procurement that was above PG&amp;E’s bundled service customer annual compliance targets (</w:t>
      </w:r>
      <w:r w:rsidR="00197953">
        <w:rPr>
          <w:szCs w:val="26"/>
        </w:rPr>
        <w:t>excess procurement or b</w:t>
      </w:r>
      <w:r w:rsidRPr="007210E1">
        <w:rPr>
          <w:szCs w:val="26"/>
        </w:rPr>
        <w:t>ank)</w:t>
      </w:r>
      <w:r w:rsidRPr="005D206B">
        <w:rPr>
          <w:rFonts w:eastAsia="Book Antiqua" w:cs="Book Antiqua"/>
          <w:color w:val="000000" w:themeColor="text1"/>
          <w:szCs w:val="26"/>
        </w:rPr>
        <w:t xml:space="preserve"> to meet RPS Compliance starting in 2023 up until 2029, at which point PG&amp;E </w:t>
      </w:r>
      <w:r w:rsidR="00B875E4">
        <w:rPr>
          <w:rFonts w:eastAsia="Book Antiqua" w:cs="Book Antiqua"/>
          <w:color w:val="000000" w:themeColor="text1"/>
          <w:szCs w:val="26"/>
        </w:rPr>
        <w:t xml:space="preserve">forecasts that it will </w:t>
      </w:r>
      <w:r w:rsidRPr="005D206B">
        <w:rPr>
          <w:rFonts w:eastAsia="Book Antiqua" w:cs="Book Antiqua"/>
          <w:color w:val="000000" w:themeColor="text1"/>
          <w:szCs w:val="26"/>
        </w:rPr>
        <w:t>have an RPS procurement need.</w:t>
      </w:r>
      <w:r w:rsidR="002C51AE">
        <w:rPr>
          <w:rStyle w:val="FootnoteReference"/>
          <w:rFonts w:eastAsia="Book Antiqua" w:cs="Book Antiqua"/>
          <w:color w:val="000000" w:themeColor="text1"/>
          <w:szCs w:val="26"/>
        </w:rPr>
        <w:footnoteReference w:id="15"/>
      </w:r>
      <w:r w:rsidRPr="005D206B">
        <w:rPr>
          <w:rFonts w:eastAsia="Book Antiqua" w:cs="Book Antiqua"/>
          <w:color w:val="000000" w:themeColor="text1"/>
          <w:szCs w:val="26"/>
        </w:rPr>
        <w:t xml:space="preserve"> </w:t>
      </w:r>
    </w:p>
    <w:p w:rsidRPr="00AF2702" w:rsidR="00FA1582" w:rsidP="00FA1582" w:rsidRDefault="00FA1582" w14:paraId="12F9393E" w14:textId="5A1C8F89">
      <w:pPr>
        <w:rPr>
          <w:szCs w:val="26"/>
        </w:rPr>
      </w:pPr>
      <w:r w:rsidRPr="00B91533">
        <w:rPr>
          <w:szCs w:val="26"/>
        </w:rPr>
        <w:t xml:space="preserve">PG&amp;E intends to utilize </w:t>
      </w:r>
      <w:r w:rsidR="00197953">
        <w:rPr>
          <w:szCs w:val="26"/>
        </w:rPr>
        <w:t>its RPS bank</w:t>
      </w:r>
      <w:r w:rsidRPr="00B91533">
        <w:rPr>
          <w:szCs w:val="26"/>
        </w:rPr>
        <w:t xml:space="preserve"> in the form of compliance instruments purchased through bundled service customer rates established in the annual Energy Resource Recovery Account (ERRA) forecast proceeding through 2028. </w:t>
      </w:r>
    </w:p>
    <w:p w:rsidR="00FA1582" w:rsidP="00FA1582" w:rsidRDefault="00FA1582" w14:paraId="7E15B864" w14:textId="7CFE7658">
      <w:pPr>
        <w:rPr>
          <w:rFonts w:eastAsia="Book Antiqua" w:cs="Book Antiqua"/>
          <w:color w:val="000000" w:themeColor="text1"/>
        </w:rPr>
      </w:pPr>
      <w:r w:rsidRPr="0050080B">
        <w:rPr>
          <w:rFonts w:eastAsia="Book Antiqua" w:cs="Book Antiqua"/>
          <w:color w:val="000000" w:themeColor="text1"/>
        </w:rPr>
        <w:t>PG&amp;E requests that the Commission authorize RPS procurement activities to provide PG&amp;E with the flexibility to plan for RPS compliance obligations and to meet emerging procurement needs with RPS-eligible resources</w:t>
      </w:r>
      <w:r>
        <w:rPr>
          <w:rFonts w:eastAsia="Book Antiqua" w:cs="Book Antiqua"/>
          <w:color w:val="000000" w:themeColor="text1"/>
        </w:rPr>
        <w:t xml:space="preserve">. </w:t>
      </w:r>
      <w:r w:rsidR="00C1234A">
        <w:rPr>
          <w:rFonts w:eastAsia="Book Antiqua" w:cs="Book Antiqua"/>
          <w:color w:val="000000" w:themeColor="text1"/>
        </w:rPr>
        <w:t xml:space="preserve"> </w:t>
      </w:r>
      <w:r w:rsidRPr="007210E1">
        <w:rPr>
          <w:rFonts w:eastAsia="Book Antiqua" w:cs="Book Antiqua"/>
          <w:color w:val="000000" w:themeColor="text1"/>
          <w:szCs w:val="26"/>
        </w:rPr>
        <w:t>PG&amp;E states that under MTR</w:t>
      </w:r>
      <w:r w:rsidRPr="001933EA">
        <w:rPr>
          <w:rFonts w:eastAsia="Book Antiqua" w:cs="Book Antiqua"/>
          <w:color w:val="000000" w:themeColor="text1"/>
        </w:rPr>
        <w:t xml:space="preserve"> needs pursuant to solicitations ordered in D.21-06-035</w:t>
      </w:r>
      <w:r>
        <w:rPr>
          <w:rFonts w:eastAsia="Book Antiqua" w:cs="Book Antiqua"/>
          <w:color w:val="000000" w:themeColor="text1"/>
        </w:rPr>
        <w:t xml:space="preserve">, </w:t>
      </w:r>
      <w:r w:rsidRPr="00767B1B" w:rsidR="009C7DA9">
        <w:rPr>
          <w:rFonts w:eastAsia="Book Antiqua" w:cs="Book Antiqua"/>
          <w:color w:val="000000" w:themeColor="text1"/>
        </w:rPr>
        <w:t>Requiring Procurement to Address Mid-Term Reliability (2023-2026)</w:t>
      </w:r>
      <w:r w:rsidRPr="001933EA" w:rsidDel="009C7DA9" w:rsidR="009C7DA9">
        <w:rPr>
          <w:rFonts w:eastAsia="Book Antiqua" w:cs="Book Antiqua"/>
          <w:color w:val="000000" w:themeColor="text1"/>
        </w:rPr>
        <w:t xml:space="preserve"> </w:t>
      </w:r>
      <w:r>
        <w:rPr>
          <w:rFonts w:eastAsia="Book Antiqua" w:cs="Book Antiqua"/>
          <w:color w:val="000000" w:themeColor="text1"/>
        </w:rPr>
        <w:t>(IRP Decision</w:t>
      </w:r>
      <w:r w:rsidRPr="001933EA">
        <w:rPr>
          <w:rFonts w:eastAsia="Book Antiqua" w:cs="Book Antiqua"/>
          <w:color w:val="000000" w:themeColor="text1"/>
        </w:rPr>
        <w:t xml:space="preserve">), </w:t>
      </w:r>
      <w:r w:rsidR="009C7DA9">
        <w:rPr>
          <w:rFonts w:eastAsia="Book Antiqua" w:cs="Book Antiqua"/>
          <w:color w:val="000000" w:themeColor="text1"/>
        </w:rPr>
        <w:t>PG&amp;E</w:t>
      </w:r>
      <w:r w:rsidRPr="001933EA">
        <w:rPr>
          <w:rFonts w:eastAsia="Book Antiqua" w:cs="Book Antiqua"/>
          <w:color w:val="000000" w:themeColor="text1"/>
        </w:rPr>
        <w:t xml:space="preserve"> is responsible for 2,302 Megawatts</w:t>
      </w:r>
      <w:r>
        <w:rPr>
          <w:rFonts w:eastAsia="Book Antiqua" w:cs="Book Antiqua"/>
          <w:color w:val="000000" w:themeColor="text1"/>
        </w:rPr>
        <w:t xml:space="preserve"> of procurement</w:t>
      </w:r>
      <w:r w:rsidRPr="001933EA">
        <w:rPr>
          <w:rFonts w:eastAsia="Book Antiqua" w:cs="Book Antiqua"/>
          <w:color w:val="000000" w:themeColor="text1"/>
        </w:rPr>
        <w:t xml:space="preserve">. </w:t>
      </w:r>
      <w:r w:rsidR="00C1234A">
        <w:rPr>
          <w:rFonts w:eastAsia="Book Antiqua" w:cs="Book Antiqua"/>
          <w:color w:val="000000" w:themeColor="text1"/>
        </w:rPr>
        <w:t xml:space="preserve"> </w:t>
      </w:r>
      <w:r w:rsidRPr="001933EA">
        <w:rPr>
          <w:rFonts w:eastAsia="Book Antiqua" w:cs="Book Antiqua"/>
          <w:color w:val="000000" w:themeColor="text1"/>
        </w:rPr>
        <w:t xml:space="preserve">PG&amp;E further states that its </w:t>
      </w:r>
      <w:r w:rsidR="00522B12">
        <w:rPr>
          <w:rFonts w:eastAsia="Book Antiqua" w:cs="Book Antiqua"/>
          <w:color w:val="000000" w:themeColor="text1"/>
        </w:rPr>
        <w:t>2,</w:t>
      </w:r>
      <w:r w:rsidR="00304082">
        <w:rPr>
          <w:rFonts w:eastAsia="Book Antiqua" w:cs="Book Antiqua"/>
          <w:color w:val="000000" w:themeColor="text1"/>
        </w:rPr>
        <w:t xml:space="preserve">302 </w:t>
      </w:r>
      <w:r w:rsidR="009C7DA9">
        <w:rPr>
          <w:rFonts w:eastAsia="Book Antiqua" w:cs="Book Antiqua"/>
          <w:color w:val="000000" w:themeColor="text1"/>
        </w:rPr>
        <w:t>megawatt (</w:t>
      </w:r>
      <w:r w:rsidR="00304082">
        <w:rPr>
          <w:rFonts w:eastAsia="Book Antiqua" w:cs="Book Antiqua"/>
          <w:color w:val="000000" w:themeColor="text1"/>
        </w:rPr>
        <w:t>MW</w:t>
      </w:r>
      <w:r w:rsidR="009C7DA9">
        <w:rPr>
          <w:rFonts w:eastAsia="Book Antiqua" w:cs="Book Antiqua"/>
          <w:color w:val="000000" w:themeColor="text1"/>
        </w:rPr>
        <w:t>)</w:t>
      </w:r>
      <w:r w:rsidR="00304082">
        <w:rPr>
          <w:rFonts w:eastAsia="Book Antiqua" w:cs="Book Antiqua"/>
          <w:color w:val="000000" w:themeColor="text1"/>
        </w:rPr>
        <w:t xml:space="preserve"> </w:t>
      </w:r>
      <w:r w:rsidRPr="001933EA">
        <w:rPr>
          <w:rFonts w:eastAsia="Book Antiqua" w:cs="Book Antiqua"/>
          <w:color w:val="000000" w:themeColor="text1"/>
        </w:rPr>
        <w:t xml:space="preserve">procurement requirement includes </w:t>
      </w:r>
      <w:r w:rsidR="00197953">
        <w:rPr>
          <w:rFonts w:eastAsia="Book Antiqua" w:cs="Book Antiqua"/>
          <w:color w:val="000000" w:themeColor="text1"/>
        </w:rPr>
        <w:t xml:space="preserve">both </w:t>
      </w:r>
      <w:r w:rsidRPr="001933EA">
        <w:rPr>
          <w:rFonts w:eastAsia="Book Antiqua" w:cs="Book Antiqua"/>
          <w:color w:val="000000" w:themeColor="text1"/>
        </w:rPr>
        <w:t>500 MW of zero-emitting resources to be online by June 1, 2025, and 200</w:t>
      </w:r>
      <w:r w:rsidR="00C84ADD">
        <w:rPr>
          <w:rFonts w:eastAsia="Book Antiqua" w:cs="Book Antiqua"/>
          <w:color w:val="000000" w:themeColor="text1"/>
        </w:rPr>
        <w:t> </w:t>
      </w:r>
      <w:r w:rsidRPr="001933EA">
        <w:rPr>
          <w:rFonts w:eastAsia="Book Antiqua" w:cs="Book Antiqua"/>
          <w:color w:val="000000" w:themeColor="text1"/>
        </w:rPr>
        <w:t>MW of firm zero-emitting resources to be online by June 1, 2026.</w:t>
      </w:r>
      <w:r w:rsidRPr="00AB445B">
        <w:rPr>
          <w:rFonts w:eastAsia="Book Antiqua" w:cs="Book Antiqua"/>
          <w:color w:val="000000" w:themeColor="text1"/>
        </w:rPr>
        <w:t xml:space="preserve"> </w:t>
      </w:r>
      <w:r w:rsidR="00C1234A">
        <w:rPr>
          <w:rFonts w:eastAsia="Book Antiqua" w:cs="Book Antiqua"/>
          <w:color w:val="000000" w:themeColor="text1"/>
        </w:rPr>
        <w:t xml:space="preserve"> </w:t>
      </w:r>
      <w:r w:rsidRPr="00AB445B">
        <w:rPr>
          <w:rFonts w:eastAsia="Book Antiqua" w:cs="Book Antiqua"/>
          <w:color w:val="000000" w:themeColor="text1"/>
        </w:rPr>
        <w:t xml:space="preserve">PG&amp;E states that it seeks to procure new RPS-eligible resources pursuant to </w:t>
      </w:r>
      <w:r w:rsidR="00200E62">
        <w:rPr>
          <w:rFonts w:eastAsia="Book Antiqua" w:cs="Book Antiqua"/>
          <w:color w:val="000000" w:themeColor="text1"/>
        </w:rPr>
        <w:t xml:space="preserve">its </w:t>
      </w:r>
      <w:r>
        <w:rPr>
          <w:rFonts w:eastAsia="Book Antiqua" w:cs="Book Antiqua"/>
          <w:color w:val="000000" w:themeColor="text1"/>
        </w:rPr>
        <w:t>MTR</w:t>
      </w:r>
      <w:r w:rsidRPr="00AB445B">
        <w:rPr>
          <w:rFonts w:eastAsia="Book Antiqua" w:cs="Book Antiqua"/>
          <w:color w:val="000000" w:themeColor="text1"/>
        </w:rPr>
        <w:t xml:space="preserve"> requirement, with deliveries of approximately 4,000</w:t>
      </w:r>
      <w:r w:rsidR="00C84ADD">
        <w:rPr>
          <w:rFonts w:eastAsia="Book Antiqua" w:cs="Book Antiqua"/>
          <w:color w:val="000000" w:themeColor="text1"/>
        </w:rPr>
        <w:t> </w:t>
      </w:r>
      <w:r w:rsidR="00F75F9C">
        <w:rPr>
          <w:rFonts w:eastAsia="Book Antiqua" w:cs="Book Antiqua"/>
          <w:color w:val="000000" w:themeColor="text1"/>
        </w:rPr>
        <w:t>GWh</w:t>
      </w:r>
      <w:r w:rsidRPr="00AB445B">
        <w:rPr>
          <w:rFonts w:eastAsia="Book Antiqua" w:cs="Book Antiqua"/>
          <w:color w:val="000000" w:themeColor="text1"/>
        </w:rPr>
        <w:t xml:space="preserve"> per year once all projects are operating, to mitigate the impact of VAMO by adding to its bundled service customers’ RPS position.</w:t>
      </w:r>
      <w:r w:rsidR="00422AB3">
        <w:rPr>
          <w:rStyle w:val="FootnoteReference"/>
          <w:rFonts w:eastAsia="Book Antiqua" w:cs="Book Antiqua"/>
          <w:color w:val="000000" w:themeColor="text1"/>
        </w:rPr>
        <w:footnoteReference w:id="16"/>
      </w:r>
    </w:p>
    <w:p w:rsidRPr="005D206B" w:rsidR="00FA1582" w:rsidP="00FA1582" w:rsidRDefault="00FA1582" w14:paraId="224FCF5D" w14:textId="6B89AD5E">
      <w:r w:rsidRPr="005D206B">
        <w:t>PG&amp;E’s RPS portfolio consists of over 7,000 MW of projects that are either online or under development.</w:t>
      </w:r>
      <w:r w:rsidRPr="005D206B">
        <w:rPr>
          <w:vertAlign w:val="superscript"/>
        </w:rPr>
        <w:footnoteReference w:id="17"/>
      </w:r>
      <w:r w:rsidRPr="005D206B">
        <w:t xml:space="preserve"> </w:t>
      </w:r>
      <w:r w:rsidR="00957613">
        <w:t xml:space="preserve"> </w:t>
      </w:r>
      <w:r w:rsidRPr="005D206B">
        <w:t xml:space="preserve">PG&amp;E asserts that its forecasted RPS need is subject to considerable uncertainty arising from several factors, </w:t>
      </w:r>
      <w:r>
        <w:t>such as</w:t>
      </w:r>
      <w:r w:rsidRPr="005D206B">
        <w:t xml:space="preserve"> uncertainty regarding the outcome of VAMO implementation; </w:t>
      </w:r>
      <w:r>
        <w:t xml:space="preserve">the </w:t>
      </w:r>
      <w:r w:rsidRPr="005D206B">
        <w:t>outcome of midterm reliability; additional mandated procurement (</w:t>
      </w:r>
      <w:r w:rsidRPr="00957613">
        <w:rPr>
          <w:i/>
          <w:iCs/>
        </w:rPr>
        <w:t>e.g</w:t>
      </w:r>
      <w:r w:rsidRPr="005D206B">
        <w:t xml:space="preserve">., for reliability purposes, procurement ordered via the IRP proceeding, etc.); increased </w:t>
      </w:r>
      <w:r w:rsidR="00B875E4">
        <w:t xml:space="preserve">customer departure to </w:t>
      </w:r>
      <w:r w:rsidR="00D210DD">
        <w:t>Community Choice Aggregator</w:t>
      </w:r>
      <w:r w:rsidR="00B875E4">
        <w:t>s</w:t>
      </w:r>
      <w:r w:rsidR="00D210DD">
        <w:t xml:space="preserve"> (</w:t>
      </w:r>
      <w:r w:rsidRPr="005D206B">
        <w:t>CCA</w:t>
      </w:r>
      <w:r w:rsidR="00D210DD">
        <w:t>)</w:t>
      </w:r>
      <w:r w:rsidRPr="005D206B">
        <w:t>; customer return, or forecasted CCA formation not materializing; new laws</w:t>
      </w:r>
      <w:r>
        <w:t xml:space="preserve"> </w:t>
      </w:r>
      <w:r w:rsidRPr="005D206B">
        <w:t xml:space="preserve">increasing RPS or </w:t>
      </w:r>
      <w:r w:rsidR="00D210DD">
        <w:t xml:space="preserve">greenhouse </w:t>
      </w:r>
      <w:r w:rsidR="00AD7825">
        <w:t>g</w:t>
      </w:r>
      <w:r w:rsidR="00D210DD">
        <w:t>as</w:t>
      </w:r>
      <w:r w:rsidRPr="005D206B">
        <w:t>-free requirements, and PG&amp;E’s voluntary climate goals.</w:t>
      </w:r>
      <w:r w:rsidRPr="005D206B">
        <w:rPr>
          <w:vertAlign w:val="superscript"/>
        </w:rPr>
        <w:footnoteReference w:id="18"/>
      </w:r>
      <w:r w:rsidRPr="005D206B">
        <w:t xml:space="preserve"> </w:t>
      </w:r>
    </w:p>
    <w:p w:rsidR="00FA1582" w:rsidP="00FA1582" w:rsidRDefault="00FA1582" w14:paraId="36EE08F1" w14:textId="085B4253">
      <w:r>
        <w:t>PG&amp;E states that to</w:t>
      </w:r>
      <w:r w:rsidRPr="005D206B">
        <w:t xml:space="preserve"> begin procuring additional RPS resources</w:t>
      </w:r>
      <w:r w:rsidR="00197D46">
        <w:t xml:space="preserve"> </w:t>
      </w:r>
      <w:r w:rsidRPr="49D3B57F">
        <w:t>it could hold at least one RPS solicitation for the procurement o</w:t>
      </w:r>
      <w:r w:rsidRPr="49D3B57F">
        <w:rPr>
          <w:rFonts w:cs="Arial"/>
        </w:rPr>
        <w:t>f short- and/or long-term RPS</w:t>
      </w:r>
      <w:r w:rsidRPr="49D3B57F">
        <w:t xml:space="preserve"> during its 2022 </w:t>
      </w:r>
      <w:r w:rsidR="00955C32">
        <w:t xml:space="preserve">RPS </w:t>
      </w:r>
      <w:r w:rsidRPr="49D3B57F">
        <w:t>Plan cycle</w:t>
      </w:r>
      <w:r w:rsidRPr="49D3B57F" w:rsidR="00E821A5">
        <w:t xml:space="preserve"> for </w:t>
      </w:r>
      <w:r w:rsidR="0028325C">
        <w:t xml:space="preserve">resources </w:t>
      </w:r>
      <w:r w:rsidRPr="00643C92" w:rsidR="0028325C">
        <w:t>with online dates ahead of PG&amp;E’s need year</w:t>
      </w:r>
      <w:r w:rsidR="0028325C">
        <w:t xml:space="preserve"> and for an amount that is</w:t>
      </w:r>
      <w:r w:rsidR="00577D51">
        <w:t xml:space="preserve"> </w:t>
      </w:r>
      <w:r w:rsidRPr="001A0A1E" w:rsidR="0028325C">
        <w:t xml:space="preserve">calculated </w:t>
      </w:r>
      <w:r w:rsidR="00D9530A">
        <w:t>based on the volume need</w:t>
      </w:r>
      <w:r w:rsidR="006A3C08">
        <w:t xml:space="preserve">ed and years until the procurement </w:t>
      </w:r>
      <w:r w:rsidR="00676657">
        <w:t xml:space="preserve">is </w:t>
      </w:r>
      <w:r w:rsidR="006A3C08">
        <w:t>need</w:t>
      </w:r>
      <w:r w:rsidR="00676657">
        <w:t>ed</w:t>
      </w:r>
      <w:r w:rsidR="0AE67743">
        <w:t>.</w:t>
      </w:r>
      <w:r w:rsidRPr="49D3B57F">
        <w:rPr>
          <w:vertAlign w:val="superscript"/>
        </w:rPr>
        <w:footnoteReference w:id="19"/>
      </w:r>
      <w:r>
        <w:rPr>
          <w:szCs w:val="26"/>
        </w:rPr>
        <w:t xml:space="preserve"> </w:t>
      </w:r>
    </w:p>
    <w:p w:rsidR="00FA1582" w:rsidP="00FA1582" w:rsidRDefault="00FA1582" w14:paraId="64D9D832" w14:textId="462ADB93">
      <w:pPr>
        <w:rPr>
          <w:szCs w:val="26"/>
        </w:rPr>
      </w:pPr>
      <w:r w:rsidRPr="002B038F">
        <w:rPr>
          <w:szCs w:val="26"/>
        </w:rPr>
        <w:t xml:space="preserve">A change in either of PG&amp;E’s assumptions, such as </w:t>
      </w:r>
      <w:r>
        <w:rPr>
          <w:szCs w:val="26"/>
        </w:rPr>
        <w:t xml:space="preserve">either </w:t>
      </w:r>
      <w:r w:rsidRPr="002B038F">
        <w:rPr>
          <w:szCs w:val="26"/>
        </w:rPr>
        <w:t xml:space="preserve">low </w:t>
      </w:r>
      <w:r>
        <w:rPr>
          <w:szCs w:val="26"/>
        </w:rPr>
        <w:t xml:space="preserve">participation </w:t>
      </w:r>
      <w:r w:rsidRPr="002B038F">
        <w:rPr>
          <w:szCs w:val="26"/>
        </w:rPr>
        <w:t xml:space="preserve">or </w:t>
      </w:r>
      <w:r>
        <w:rPr>
          <w:szCs w:val="26"/>
        </w:rPr>
        <w:t xml:space="preserve">a </w:t>
      </w:r>
      <w:r w:rsidRPr="002B038F">
        <w:rPr>
          <w:szCs w:val="26"/>
        </w:rPr>
        <w:t xml:space="preserve">100 percent uptake in the Market Offers or </w:t>
      </w:r>
      <w:r>
        <w:rPr>
          <w:szCs w:val="26"/>
        </w:rPr>
        <w:t xml:space="preserve">unsuccessful </w:t>
      </w:r>
      <w:r w:rsidRPr="002B038F">
        <w:rPr>
          <w:szCs w:val="26"/>
        </w:rPr>
        <w:t xml:space="preserve">MTR solicitation could impact </w:t>
      </w:r>
      <w:r>
        <w:rPr>
          <w:szCs w:val="26"/>
        </w:rPr>
        <w:t>RPS compliance needs</w:t>
      </w:r>
      <w:r w:rsidRPr="002B038F">
        <w:rPr>
          <w:szCs w:val="26"/>
        </w:rPr>
        <w:t xml:space="preserve">. </w:t>
      </w:r>
      <w:r w:rsidR="00957613">
        <w:rPr>
          <w:szCs w:val="26"/>
        </w:rPr>
        <w:t xml:space="preserve"> </w:t>
      </w:r>
      <w:r w:rsidRPr="002B038F">
        <w:rPr>
          <w:szCs w:val="26"/>
        </w:rPr>
        <w:t>We agree with PG&amp;E that</w:t>
      </w:r>
      <w:r w:rsidR="00C953EE">
        <w:rPr>
          <w:szCs w:val="26"/>
        </w:rPr>
        <w:t xml:space="preserve"> these ongoing activities make</w:t>
      </w:r>
      <w:r w:rsidRPr="002B038F">
        <w:rPr>
          <w:szCs w:val="26"/>
        </w:rPr>
        <w:t xml:space="preserve"> this RPS Plan cycle unique </w:t>
      </w:r>
      <w:r w:rsidR="00C953EE">
        <w:rPr>
          <w:szCs w:val="26"/>
        </w:rPr>
        <w:t xml:space="preserve">and presents some </w:t>
      </w:r>
      <w:r w:rsidRPr="002B038F">
        <w:rPr>
          <w:szCs w:val="26"/>
        </w:rPr>
        <w:t xml:space="preserve">uncertainty about </w:t>
      </w:r>
      <w:r w:rsidR="00C953EE">
        <w:rPr>
          <w:szCs w:val="26"/>
        </w:rPr>
        <w:t xml:space="preserve">the years in which </w:t>
      </w:r>
      <w:r w:rsidR="00A90505">
        <w:rPr>
          <w:szCs w:val="26"/>
        </w:rPr>
        <w:t>PG&amp;E</w:t>
      </w:r>
      <w:r w:rsidR="00C953EE">
        <w:rPr>
          <w:szCs w:val="26"/>
        </w:rPr>
        <w:t xml:space="preserve"> will have an </w:t>
      </w:r>
      <w:r w:rsidRPr="002B038F">
        <w:rPr>
          <w:szCs w:val="26"/>
        </w:rPr>
        <w:t xml:space="preserve">RPS </w:t>
      </w:r>
      <w:r>
        <w:rPr>
          <w:szCs w:val="26"/>
        </w:rPr>
        <w:t>need year</w:t>
      </w:r>
      <w:r w:rsidRPr="002B038F">
        <w:rPr>
          <w:szCs w:val="26"/>
        </w:rPr>
        <w:t xml:space="preserve"> before running a 2023</w:t>
      </w:r>
      <w:r w:rsidR="00FE7E22">
        <w:rPr>
          <w:szCs w:val="26"/>
        </w:rPr>
        <w:t> </w:t>
      </w:r>
      <w:r w:rsidRPr="002B038F">
        <w:rPr>
          <w:szCs w:val="26"/>
        </w:rPr>
        <w:t xml:space="preserve">solicitation. </w:t>
      </w:r>
    </w:p>
    <w:p w:rsidRPr="005D206B" w:rsidR="00FA1582" w:rsidP="00FA1582" w:rsidRDefault="00C953EE" w14:paraId="1447DD6B" w14:textId="41F6094B">
      <w:r>
        <w:t>W</w:t>
      </w:r>
      <w:r w:rsidRPr="005D206B" w:rsidR="00FA1582">
        <w:t>e find it reasonable to approve PG&amp;E’s proposal to conduct</w:t>
      </w:r>
      <w:r w:rsidR="00034748">
        <w:t xml:space="preserve"> a</w:t>
      </w:r>
      <w:r w:rsidRPr="005D206B" w:rsidR="00FA1582">
        <w:t xml:space="preserve"> RPS solicitation to buy incremental RPS-eligible products during the 2022</w:t>
      </w:r>
      <w:r w:rsidR="00FE7E22">
        <w:t> </w:t>
      </w:r>
      <w:r w:rsidRPr="005D206B" w:rsidR="00FA1582">
        <w:t xml:space="preserve">RPS Plan cycle, given </w:t>
      </w:r>
      <w:r w:rsidR="00A90505">
        <w:t>PG&amp;E’s</w:t>
      </w:r>
      <w:r w:rsidRPr="005D206B" w:rsidR="00FA1582">
        <w:t xml:space="preserve"> proposed sales framework assumptions and current RPS compliance position, IRP’s mid-term reliability procurement, VAMO implementation, and PG&amp;E’s Excess Procurement Bank size. </w:t>
      </w:r>
    </w:p>
    <w:p w:rsidR="00FA1582" w:rsidP="00FA1582" w:rsidRDefault="00FA1582" w14:paraId="240610E3" w14:textId="149096E8">
      <w:pPr>
        <w:rPr>
          <w:szCs w:val="26"/>
        </w:rPr>
      </w:pPr>
      <w:r w:rsidRPr="002B038F">
        <w:rPr>
          <w:szCs w:val="26"/>
        </w:rPr>
        <w:t xml:space="preserve"> </w:t>
      </w:r>
      <w:r>
        <w:rPr>
          <w:szCs w:val="26"/>
        </w:rPr>
        <w:t xml:space="preserve">PG&amp;E shall </w:t>
      </w:r>
      <w:r w:rsidRPr="005D206B">
        <w:rPr>
          <w:rFonts w:cs="Arial"/>
          <w:szCs w:val="26"/>
        </w:rPr>
        <w:t xml:space="preserve">update </w:t>
      </w:r>
      <w:r>
        <w:rPr>
          <w:rFonts w:cs="Arial"/>
          <w:szCs w:val="26"/>
        </w:rPr>
        <w:t xml:space="preserve">its </w:t>
      </w:r>
      <w:r w:rsidRPr="005D206B">
        <w:rPr>
          <w:rFonts w:cs="Arial"/>
          <w:szCs w:val="26"/>
        </w:rPr>
        <w:t>final</w:t>
      </w:r>
      <w:r w:rsidRPr="005D206B">
        <w:t xml:space="preserve"> </w:t>
      </w:r>
      <w:r w:rsidRPr="005D206B">
        <w:rPr>
          <w:rFonts w:cs="Arial"/>
          <w:szCs w:val="26"/>
        </w:rPr>
        <w:t>2022 RPS Plan filing based on more current information, primarily from PG&amp;E’s Phase 2</w:t>
      </w:r>
      <w:r w:rsidRPr="005D206B">
        <w:t xml:space="preserve"> </w:t>
      </w:r>
      <w:r w:rsidRPr="005D206B">
        <w:rPr>
          <w:rFonts w:cs="Arial"/>
          <w:szCs w:val="26"/>
        </w:rPr>
        <w:t xml:space="preserve">Mid-Term Reliability </w:t>
      </w:r>
      <w:r w:rsidR="00A90505">
        <w:rPr>
          <w:rFonts w:cs="Arial"/>
          <w:szCs w:val="26"/>
        </w:rPr>
        <w:t>Request for Offers (</w:t>
      </w:r>
      <w:r w:rsidRPr="005D206B">
        <w:rPr>
          <w:rFonts w:cs="Arial"/>
          <w:szCs w:val="26"/>
        </w:rPr>
        <w:t>RFO</w:t>
      </w:r>
      <w:r w:rsidR="00A90505">
        <w:rPr>
          <w:rFonts w:cs="Arial"/>
          <w:szCs w:val="26"/>
        </w:rPr>
        <w:t>)</w:t>
      </w:r>
      <w:r>
        <w:rPr>
          <w:rFonts w:cs="Arial"/>
          <w:szCs w:val="26"/>
        </w:rPr>
        <w:t xml:space="preserve"> and any updated information resulting from the VAMO process</w:t>
      </w:r>
      <w:r w:rsidRPr="005D206B">
        <w:rPr>
          <w:rFonts w:cs="Arial"/>
          <w:szCs w:val="26"/>
        </w:rPr>
        <w:t>.</w:t>
      </w:r>
      <w:r w:rsidRPr="005D206B">
        <w:rPr>
          <w:rFonts w:cs="Arial"/>
          <w:szCs w:val="26"/>
          <w:vertAlign w:val="superscript"/>
        </w:rPr>
        <w:footnoteReference w:id="20"/>
      </w:r>
    </w:p>
    <w:p w:rsidR="007C3AD8" w:rsidP="007536FF" w:rsidRDefault="00FA1582" w14:paraId="3B9717DD" w14:textId="77777777">
      <w:pPr>
        <w:rPr>
          <w:rFonts w:cs="TimesNewRoman"/>
          <w:szCs w:val="26"/>
        </w:rPr>
      </w:pPr>
      <w:r w:rsidRPr="00504C3B">
        <w:rPr>
          <w:rFonts w:cs="TimesNewRoman"/>
          <w:szCs w:val="26"/>
        </w:rPr>
        <w:t xml:space="preserve">As variability in key factors changes, so will the need to change the minimum size of </w:t>
      </w:r>
      <w:r w:rsidR="00197953">
        <w:rPr>
          <w:rFonts w:cs="TimesNewRoman"/>
          <w:szCs w:val="26"/>
        </w:rPr>
        <w:t>its RPS bank</w:t>
      </w:r>
      <w:r w:rsidRPr="00504C3B">
        <w:rPr>
          <w:rFonts w:cs="TimesNewRoman"/>
          <w:szCs w:val="26"/>
        </w:rPr>
        <w:t xml:space="preserve"> to maintain future compliance success. </w:t>
      </w:r>
      <w:r w:rsidR="00957613">
        <w:rPr>
          <w:rFonts w:cs="TimesNewRoman"/>
          <w:szCs w:val="26"/>
        </w:rPr>
        <w:t xml:space="preserve"> </w:t>
      </w:r>
      <w:r w:rsidRPr="00504C3B">
        <w:rPr>
          <w:rFonts w:cs="TimesNewRoman"/>
          <w:szCs w:val="26"/>
        </w:rPr>
        <w:t xml:space="preserve">Therefore, PG&amp;E should maintain its </w:t>
      </w:r>
      <w:r w:rsidR="00197953">
        <w:rPr>
          <w:rFonts w:cs="TimesNewRoman"/>
          <w:szCs w:val="26"/>
        </w:rPr>
        <w:t>b</w:t>
      </w:r>
      <w:r w:rsidRPr="00504C3B" w:rsidR="00197953">
        <w:rPr>
          <w:rFonts w:cs="TimesNewRoman"/>
          <w:szCs w:val="26"/>
        </w:rPr>
        <w:t xml:space="preserve">anked </w:t>
      </w:r>
      <w:r w:rsidRPr="00504C3B">
        <w:rPr>
          <w:rFonts w:cs="TimesNewRoman"/>
          <w:szCs w:val="26"/>
        </w:rPr>
        <w:t xml:space="preserve">RECs above the </w:t>
      </w:r>
      <w:r w:rsidRPr="00504C3B" w:rsidR="00083416">
        <w:rPr>
          <w:rFonts w:cs="TimesNewRoman"/>
          <w:szCs w:val="26"/>
        </w:rPr>
        <w:t>procurement quantity requirement</w:t>
      </w:r>
      <w:r w:rsidRPr="00504C3B">
        <w:rPr>
          <w:rFonts w:cs="TimesNewRoman"/>
          <w:szCs w:val="26"/>
        </w:rPr>
        <w:t>.</w:t>
      </w:r>
      <w:r>
        <w:rPr>
          <w:rFonts w:cs="TimesNewRoman"/>
          <w:szCs w:val="26"/>
        </w:rPr>
        <w:t xml:space="preserve"> </w:t>
      </w:r>
    </w:p>
    <w:p w:rsidR="007536FF" w:rsidP="007536FF" w:rsidRDefault="009D191B" w14:paraId="4316DE6F" w14:textId="2C3D0289">
      <w:r>
        <w:t xml:space="preserve">PG&amp;E shall seek Commission approval of any RPS contracts consistent with existing procedures.  </w:t>
      </w:r>
      <w:r w:rsidRPr="005D206B" w:rsidR="00FA1582">
        <w:t xml:space="preserve">Such procurement requests shall </w:t>
      </w:r>
      <w:r>
        <w:t>describe any relationship to PG&amp;E’s MTR requirements or other CPUC directed procurement</w:t>
      </w:r>
      <w:r w:rsidRPr="00F02A03" w:rsidR="007536FF">
        <w:t xml:space="preserve">. </w:t>
      </w:r>
    </w:p>
    <w:p w:rsidRPr="00F02A03" w:rsidR="00424695" w:rsidP="00FB4DD7" w:rsidRDefault="00424695" w14:paraId="5C45D0CB" w14:textId="38D5E843">
      <w:pPr>
        <w:pStyle w:val="Heading3"/>
        <w:numPr>
          <w:ilvl w:val="2"/>
          <w:numId w:val="2"/>
        </w:numPr>
      </w:pPr>
      <w:bookmarkStart w:name="_Toc89176328" w:id="25"/>
      <w:bookmarkStart w:name="_Toc92717500" w:id="26"/>
      <w:bookmarkStart w:name="_Toc92727922" w:id="27"/>
      <w:bookmarkStart w:name="_Toc122180446" w:id="28"/>
      <w:bookmarkEnd w:id="21"/>
      <w:bookmarkEnd w:id="22"/>
      <w:bookmarkEnd w:id="23"/>
      <w:r>
        <w:t>PG&amp;E’s RPS Sales Framework</w:t>
      </w:r>
      <w:r w:rsidR="007E35B1">
        <w:t xml:space="preserve"> – Sale of </w:t>
      </w:r>
      <w:r>
        <w:t>RPS Volumes</w:t>
      </w:r>
      <w:bookmarkEnd w:id="25"/>
      <w:bookmarkEnd w:id="26"/>
      <w:bookmarkEnd w:id="27"/>
      <w:bookmarkEnd w:id="28"/>
    </w:p>
    <w:p w:rsidRPr="005D206B" w:rsidR="00D27B36" w:rsidP="00D27B36" w:rsidRDefault="00D27B36" w14:paraId="7F8BACF2" w14:textId="5DCF7CF1">
      <w:r w:rsidRPr="005D206B">
        <w:t xml:space="preserve">PG&amp;E </w:t>
      </w:r>
      <w:r w:rsidR="007E35B1">
        <w:t>seeks</w:t>
      </w:r>
      <w:r w:rsidRPr="005D206B">
        <w:t xml:space="preserve"> approval to issue up to three solicitations for short-term sales of RPS products during the 2022 RPS Plan cycle.  PG&amp;E states that it anticipates selling short-term products, which PG&amp;E defines as contracts of one or two years in duration.</w:t>
      </w:r>
      <w:r w:rsidRPr="005D206B">
        <w:rPr>
          <w:vertAlign w:val="superscript"/>
        </w:rPr>
        <w:footnoteReference w:id="21"/>
      </w:r>
      <w:r w:rsidRPr="005D206B">
        <w:t xml:space="preserve"> </w:t>
      </w:r>
    </w:p>
    <w:p w:rsidRPr="001A612F" w:rsidR="00AE2B1F" w:rsidP="001A612F" w:rsidRDefault="00AE2B1F" w14:paraId="20EE552A" w14:textId="25501638">
      <w:pPr>
        <w:rPr>
          <w:rFonts w:eastAsia="Book Antiqua" w:cs="Book Antiqua"/>
        </w:rPr>
      </w:pPr>
      <w:r w:rsidRPr="001A612F">
        <w:rPr>
          <w:rFonts w:eastAsia="Book Antiqua" w:cs="Book Antiqua"/>
        </w:rPr>
        <w:t xml:space="preserve">PG&amp;E </w:t>
      </w:r>
      <w:r w:rsidR="001A612F">
        <w:rPr>
          <w:rFonts w:eastAsia="Book Antiqua" w:cs="Book Antiqua"/>
        </w:rPr>
        <w:t xml:space="preserve">states its assumption that </w:t>
      </w:r>
      <w:r w:rsidRPr="001A612F">
        <w:rPr>
          <w:rFonts w:eastAsia="Book Antiqua" w:cs="Book Antiqua"/>
        </w:rPr>
        <w:t>it will only retain 100 percent of</w:t>
      </w:r>
      <w:r w:rsidR="001A612F">
        <w:rPr>
          <w:rFonts w:eastAsia="Book Antiqua" w:cs="Book Antiqua"/>
        </w:rPr>
        <w:t xml:space="preserve"> </w:t>
      </w:r>
      <w:r w:rsidRPr="001A612F">
        <w:rPr>
          <w:rFonts w:eastAsia="Book Antiqua" w:cs="Book Antiqua"/>
        </w:rPr>
        <w:t>its allocated share subject to VAMO and all other</w:t>
      </w:r>
      <w:r w:rsidR="001A612F">
        <w:rPr>
          <w:rFonts w:eastAsia="Book Antiqua" w:cs="Book Antiqua"/>
        </w:rPr>
        <w:t xml:space="preserve"> </w:t>
      </w:r>
      <w:r w:rsidRPr="001A612F">
        <w:rPr>
          <w:rFonts w:eastAsia="Book Antiqua" w:cs="Book Antiqua"/>
        </w:rPr>
        <w:t>volumes will either be allocated or sold through</w:t>
      </w:r>
      <w:r w:rsidR="001A612F">
        <w:rPr>
          <w:rFonts w:eastAsia="Book Antiqua" w:cs="Book Antiqua"/>
        </w:rPr>
        <w:t xml:space="preserve"> </w:t>
      </w:r>
      <w:r w:rsidRPr="001A612F">
        <w:rPr>
          <w:rFonts w:eastAsia="Book Antiqua" w:cs="Book Antiqua"/>
        </w:rPr>
        <w:t xml:space="preserve">the </w:t>
      </w:r>
      <w:r w:rsidR="00980599">
        <w:rPr>
          <w:rFonts w:eastAsia="Book Antiqua" w:cs="Book Antiqua"/>
        </w:rPr>
        <w:t>M</w:t>
      </w:r>
      <w:r w:rsidRPr="001A612F">
        <w:rPr>
          <w:rFonts w:eastAsia="Book Antiqua" w:cs="Book Antiqua"/>
        </w:rPr>
        <w:t xml:space="preserve">arket </w:t>
      </w:r>
      <w:r w:rsidR="00980599">
        <w:rPr>
          <w:rFonts w:eastAsia="Book Antiqua" w:cs="Book Antiqua"/>
        </w:rPr>
        <w:t>O</w:t>
      </w:r>
      <w:r w:rsidRPr="001A612F">
        <w:rPr>
          <w:rFonts w:eastAsia="Book Antiqua" w:cs="Book Antiqua"/>
        </w:rPr>
        <w:t>ffer process.</w:t>
      </w:r>
      <w:r w:rsidR="001A612F">
        <w:rPr>
          <w:rFonts w:eastAsia="Book Antiqua" w:cs="Book Antiqua"/>
        </w:rPr>
        <w:t xml:space="preserve"> </w:t>
      </w:r>
      <w:r w:rsidR="00957613">
        <w:rPr>
          <w:rFonts w:eastAsia="Book Antiqua" w:cs="Book Antiqua"/>
        </w:rPr>
        <w:t xml:space="preserve"> </w:t>
      </w:r>
      <w:r w:rsidR="001A612F">
        <w:rPr>
          <w:rFonts w:eastAsia="Book Antiqua" w:cs="Book Antiqua"/>
        </w:rPr>
        <w:t>Therefore, it is assuming</w:t>
      </w:r>
      <w:r w:rsidR="00B91873">
        <w:rPr>
          <w:rFonts w:eastAsia="Book Antiqua" w:cs="Book Antiqua"/>
        </w:rPr>
        <w:t xml:space="preserve"> a 100</w:t>
      </w:r>
      <w:r w:rsidR="00957613">
        <w:rPr>
          <w:rFonts w:eastAsia="Book Antiqua" w:cs="Book Antiqua"/>
        </w:rPr>
        <w:t> </w:t>
      </w:r>
      <w:r w:rsidR="00B91873">
        <w:rPr>
          <w:rFonts w:eastAsia="Book Antiqua" w:cs="Book Antiqua"/>
        </w:rPr>
        <w:t>percent success rate such</w:t>
      </w:r>
      <w:r w:rsidR="001A612F">
        <w:rPr>
          <w:rFonts w:eastAsia="Book Antiqua" w:cs="Book Antiqua"/>
        </w:rPr>
        <w:t xml:space="preserve"> that </w:t>
      </w:r>
      <w:r w:rsidR="00B56012">
        <w:rPr>
          <w:rFonts w:eastAsia="Book Antiqua" w:cs="Book Antiqua"/>
        </w:rPr>
        <w:t xml:space="preserve">all of the remaining RPS resources will be </w:t>
      </w:r>
      <w:r w:rsidR="00B91873">
        <w:rPr>
          <w:rFonts w:eastAsia="Book Antiqua" w:cs="Book Antiqua"/>
        </w:rPr>
        <w:t>sold in the Market Offer process</w:t>
      </w:r>
      <w:r w:rsidR="00B56012">
        <w:rPr>
          <w:rFonts w:eastAsia="Book Antiqua" w:cs="Book Antiqua"/>
        </w:rPr>
        <w:t xml:space="preserve"> from its RPS portfolio. </w:t>
      </w:r>
    </w:p>
    <w:p w:rsidR="00D86020" w:rsidP="00A90505" w:rsidRDefault="00C14089" w14:paraId="343DDF73" w14:textId="4922C409">
      <w:pPr>
        <w:rPr>
          <w:rFonts w:eastAsia="Book Antiqua" w:cs="Book Antiqua"/>
        </w:rPr>
      </w:pPr>
      <w:r w:rsidRPr="49D3B57F">
        <w:rPr>
          <w:rFonts w:eastAsia="Book Antiqua" w:cs="Book Antiqua"/>
        </w:rPr>
        <w:t xml:space="preserve">PG&amp;E states that </w:t>
      </w:r>
      <w:r w:rsidRPr="49D3B57F" w:rsidR="00250EF7">
        <w:rPr>
          <w:rFonts w:eastAsia="Book Antiqua" w:cs="Book Antiqua"/>
        </w:rPr>
        <w:t>while it currently forecasts a short 2023 and 2024 RPS position if VAMO is successful</w:t>
      </w:r>
      <w:r w:rsidRPr="49D3B57F" w:rsidR="00C268ED">
        <w:rPr>
          <w:rFonts w:eastAsia="Book Antiqua" w:cs="Book Antiqua"/>
        </w:rPr>
        <w:t>,</w:t>
      </w:r>
      <w:r w:rsidRPr="49D3B57F" w:rsidR="00C341DC">
        <w:rPr>
          <w:rFonts w:eastAsia="Book Antiqua" w:cs="Book Antiqua"/>
        </w:rPr>
        <w:t xml:space="preserve"> </w:t>
      </w:r>
      <w:r w:rsidRPr="49D3B57F" w:rsidR="00250EF7">
        <w:rPr>
          <w:rFonts w:eastAsia="Book Antiqua" w:cs="Book Antiqua"/>
        </w:rPr>
        <w:t xml:space="preserve">the outcome of Voluntary Allocation acceptance and subsequent Market Offer transactions is unknown. </w:t>
      </w:r>
      <w:r w:rsidR="00957613">
        <w:rPr>
          <w:rFonts w:eastAsia="Book Antiqua" w:cs="Book Antiqua"/>
        </w:rPr>
        <w:t xml:space="preserve"> </w:t>
      </w:r>
      <w:r w:rsidRPr="49D3B57F" w:rsidR="00D86020">
        <w:rPr>
          <w:rFonts w:eastAsia="Book Antiqua" w:cs="Book Antiqua"/>
        </w:rPr>
        <w:t xml:space="preserve">PG&amp;E argues that </w:t>
      </w:r>
      <w:r w:rsidRPr="49D3B57F">
        <w:rPr>
          <w:rFonts w:eastAsia="Book Antiqua" w:cs="Book Antiqua"/>
        </w:rPr>
        <w:t xml:space="preserve">if the VAMO process does not result in the disposition of departing load’s share of PG&amp;E’s RPS resources that are eligible for Voluntary Allocations and/or Market Offer transactions, PG&amp;E’s bundled service customers may be left with RPS energy in excess of </w:t>
      </w:r>
      <w:r w:rsidR="00A90505">
        <w:rPr>
          <w:rFonts w:eastAsia="Book Antiqua" w:cs="Book Antiqua"/>
        </w:rPr>
        <w:t>PG&amp;E’s</w:t>
      </w:r>
      <w:r w:rsidRPr="49D3B57F">
        <w:rPr>
          <w:rFonts w:eastAsia="Book Antiqua" w:cs="Book Antiqua"/>
        </w:rPr>
        <w:t xml:space="preserve"> 2023 and 2024 RPS targets. </w:t>
      </w:r>
      <w:r w:rsidR="00957613">
        <w:rPr>
          <w:rFonts w:eastAsia="Book Antiqua" w:cs="Book Antiqua"/>
        </w:rPr>
        <w:t xml:space="preserve"> </w:t>
      </w:r>
      <w:r w:rsidRPr="49D3B57F" w:rsidR="00D27B36">
        <w:rPr>
          <w:rFonts w:eastAsia="Book Antiqua" w:cs="Book Antiqua"/>
        </w:rPr>
        <w:t xml:space="preserve">PG&amp;E </w:t>
      </w:r>
      <w:r w:rsidR="00FE140C">
        <w:rPr>
          <w:rFonts w:eastAsia="Book Antiqua" w:cs="Book Antiqua"/>
        </w:rPr>
        <w:t xml:space="preserve">thus </w:t>
      </w:r>
      <w:r w:rsidRPr="49D3B57F" w:rsidR="00D86020">
        <w:rPr>
          <w:rFonts w:eastAsia="Book Antiqua" w:cs="Book Antiqua"/>
        </w:rPr>
        <w:t>proposes</w:t>
      </w:r>
      <w:r w:rsidRPr="49D3B57F" w:rsidR="00D27B36">
        <w:rPr>
          <w:rFonts w:eastAsia="Book Antiqua" w:cs="Book Antiqua"/>
        </w:rPr>
        <w:t xml:space="preserve"> a REC</w:t>
      </w:r>
      <w:r w:rsidRPr="49D3B57F" w:rsidR="00BC2DD0">
        <w:rPr>
          <w:rFonts w:eastAsia="Book Antiqua" w:cs="Book Antiqua"/>
        </w:rPr>
        <w:t xml:space="preserve"> sales</w:t>
      </w:r>
      <w:r w:rsidRPr="49D3B57F" w:rsidR="00D27B36">
        <w:rPr>
          <w:rFonts w:eastAsia="Book Antiqua" w:cs="Book Antiqua"/>
        </w:rPr>
        <w:t xml:space="preserve"> framework to provide </w:t>
      </w:r>
      <w:r w:rsidRPr="49D3B57F" w:rsidR="00E16AFF">
        <w:rPr>
          <w:rFonts w:eastAsia="Book Antiqua" w:cs="Book Antiqua"/>
        </w:rPr>
        <w:t>itself</w:t>
      </w:r>
      <w:r w:rsidRPr="49D3B57F" w:rsidR="00D27B36">
        <w:rPr>
          <w:rFonts w:eastAsia="Book Antiqua" w:cs="Book Antiqua"/>
        </w:rPr>
        <w:t xml:space="preserve"> </w:t>
      </w:r>
      <w:r w:rsidRPr="49D3B57F" w:rsidR="00D86020">
        <w:rPr>
          <w:rFonts w:eastAsia="Book Antiqua" w:cs="Book Antiqua"/>
        </w:rPr>
        <w:t xml:space="preserve">the </w:t>
      </w:r>
      <w:r w:rsidRPr="49D3B57F" w:rsidR="00D27B36">
        <w:rPr>
          <w:rFonts w:eastAsia="Book Antiqua" w:cs="Book Antiqua"/>
        </w:rPr>
        <w:t>flexibility to sell</w:t>
      </w:r>
      <w:r w:rsidRPr="49D3B57F" w:rsidR="00864E8E">
        <w:rPr>
          <w:rFonts w:eastAsia="Book Antiqua" w:cs="Book Antiqua"/>
        </w:rPr>
        <w:t xml:space="preserve"> RPS</w:t>
      </w:r>
      <w:r w:rsidRPr="49D3B57F" w:rsidR="00D27B36">
        <w:rPr>
          <w:rFonts w:eastAsia="Book Antiqua" w:cs="Book Antiqua"/>
        </w:rPr>
        <w:t xml:space="preserve"> volume</w:t>
      </w:r>
      <w:r w:rsidRPr="49D3B57F" w:rsidR="3A2F9EB8">
        <w:rPr>
          <w:rFonts w:eastAsia="Book Antiqua" w:cs="Book Antiqua"/>
        </w:rPr>
        <w:t>s</w:t>
      </w:r>
      <w:r w:rsidRPr="49D3B57F" w:rsidR="00D27B36">
        <w:rPr>
          <w:rFonts w:eastAsia="Book Antiqua" w:cs="Book Antiqua"/>
        </w:rPr>
        <w:t xml:space="preserve"> for 2023 and 2024</w:t>
      </w:r>
      <w:r w:rsidR="00957613">
        <w:rPr>
          <w:rFonts w:eastAsia="Book Antiqua" w:cs="Book Antiqua"/>
        </w:rPr>
        <w:t> </w:t>
      </w:r>
      <w:r w:rsidRPr="49D3B57F" w:rsidR="00D27B36">
        <w:rPr>
          <w:rFonts w:eastAsia="Book Antiqua" w:cs="Book Antiqua"/>
        </w:rPr>
        <w:t>deliveries</w:t>
      </w:r>
      <w:r w:rsidR="00FE140C">
        <w:rPr>
          <w:rFonts w:eastAsia="Book Antiqua" w:cs="Book Antiqua"/>
        </w:rPr>
        <w:t xml:space="preserve"> if the VAMO process does not result in a more balanced portfolio without significant excess</w:t>
      </w:r>
      <w:r w:rsidRPr="49D3B57F" w:rsidR="00E16AFF">
        <w:rPr>
          <w:rFonts w:eastAsia="Book Antiqua" w:cs="Book Antiqua"/>
        </w:rPr>
        <w:t xml:space="preserve">. </w:t>
      </w:r>
    </w:p>
    <w:p w:rsidRPr="00B7512D" w:rsidR="00B7512D" w:rsidP="00B7512D" w:rsidRDefault="00555791" w14:paraId="42128E4D" w14:textId="2DE6F3C7">
      <w:pPr>
        <w:rPr>
          <w:rFonts w:eastAsia="Book Antiqua" w:cs="Book Antiqua"/>
        </w:rPr>
      </w:pPr>
      <w:r w:rsidRPr="00555791">
        <w:rPr>
          <w:rFonts w:eastAsia="Book Antiqua" w:cs="Book Antiqua"/>
        </w:rPr>
        <w:t>PG&amp;E proposes an updated RPS Sales Framework to assess short</w:t>
      </w:r>
      <w:r w:rsidR="00957613">
        <w:rPr>
          <w:rFonts w:eastAsia="Book Antiqua" w:cs="Book Antiqua"/>
        </w:rPr>
        <w:noBreakHyphen/>
      </w:r>
      <w:r w:rsidRPr="00555791">
        <w:rPr>
          <w:rFonts w:eastAsia="Book Antiqua" w:cs="Book Antiqua"/>
        </w:rPr>
        <w:t>term sales opportunities.</w:t>
      </w:r>
      <w:r>
        <w:rPr>
          <w:rFonts w:eastAsia="Book Antiqua" w:cs="Book Antiqua"/>
        </w:rPr>
        <w:t xml:space="preserve"> </w:t>
      </w:r>
      <w:r w:rsidR="00957613">
        <w:rPr>
          <w:rFonts w:eastAsia="Book Antiqua" w:cs="Book Antiqua"/>
        </w:rPr>
        <w:t xml:space="preserve"> </w:t>
      </w:r>
      <w:r w:rsidR="009537A1">
        <w:rPr>
          <w:rFonts w:eastAsia="Book Antiqua" w:cs="Book Antiqua"/>
        </w:rPr>
        <w:t>PG&amp;E</w:t>
      </w:r>
      <w:r w:rsidR="00D86020">
        <w:rPr>
          <w:rFonts w:eastAsia="Book Antiqua" w:cs="Book Antiqua"/>
        </w:rPr>
        <w:t xml:space="preserve"> </w:t>
      </w:r>
      <w:r w:rsidR="009537A1">
        <w:rPr>
          <w:rFonts w:eastAsia="Book Antiqua" w:cs="Book Antiqua"/>
        </w:rPr>
        <w:t xml:space="preserve">states that its </w:t>
      </w:r>
      <w:r w:rsidRPr="00555791" w:rsidR="00CE5909">
        <w:rPr>
          <w:rFonts w:eastAsia="Book Antiqua" w:cs="Book Antiqua"/>
        </w:rPr>
        <w:t>sales solicitation protocol is largely unchanged from the</w:t>
      </w:r>
      <w:r w:rsidR="009537A1">
        <w:rPr>
          <w:rFonts w:eastAsia="Book Antiqua" w:cs="Book Antiqua"/>
        </w:rPr>
        <w:t xml:space="preserve"> </w:t>
      </w:r>
      <w:r w:rsidRPr="00555791" w:rsidR="00CE5909">
        <w:rPr>
          <w:rFonts w:eastAsia="Book Antiqua" w:cs="Book Antiqua"/>
        </w:rPr>
        <w:t>protocol approved in the 2021 RPS Plan cycle.</w:t>
      </w:r>
      <w:r w:rsidR="00216F0D">
        <w:rPr>
          <w:rFonts w:eastAsia="Book Antiqua" w:cs="Book Antiqua"/>
        </w:rPr>
        <w:t xml:space="preserve"> </w:t>
      </w:r>
      <w:r w:rsidR="00957613">
        <w:rPr>
          <w:rFonts w:eastAsia="Book Antiqua" w:cs="Book Antiqua"/>
        </w:rPr>
        <w:t xml:space="preserve"> </w:t>
      </w:r>
      <w:r w:rsidR="00B7512D">
        <w:rPr>
          <w:rFonts w:eastAsia="Book Antiqua" w:cs="Book Antiqua"/>
        </w:rPr>
        <w:t>PG&amp;E further states that s</w:t>
      </w:r>
      <w:r w:rsidRPr="00B7512D" w:rsidR="00B7512D">
        <w:rPr>
          <w:rFonts w:eastAsia="Book Antiqua" w:cs="Book Antiqua"/>
        </w:rPr>
        <w:t>hort-term sales agreements resulting from a solicitation, with any</w:t>
      </w:r>
      <w:r w:rsidR="00B7512D">
        <w:rPr>
          <w:rFonts w:eastAsia="Book Antiqua" w:cs="Book Antiqua"/>
        </w:rPr>
        <w:t xml:space="preserve"> </w:t>
      </w:r>
      <w:r w:rsidRPr="00B7512D" w:rsidR="00B7512D">
        <w:rPr>
          <w:rFonts w:eastAsia="Book Antiqua" w:cs="Book Antiqua"/>
        </w:rPr>
        <w:t>necessary modifications</w:t>
      </w:r>
      <w:r w:rsidR="00B7512D">
        <w:rPr>
          <w:rFonts w:eastAsia="Book Antiqua" w:cs="Book Antiqua"/>
        </w:rPr>
        <w:t>,</w:t>
      </w:r>
      <w:r w:rsidRPr="00B7512D" w:rsidR="00B7512D">
        <w:rPr>
          <w:rFonts w:eastAsia="Book Antiqua" w:cs="Book Antiqua"/>
        </w:rPr>
        <w:t xml:space="preserve"> will be filed as Tier 1 </w:t>
      </w:r>
      <w:r w:rsidR="00957613">
        <w:rPr>
          <w:rFonts w:eastAsia="Book Antiqua" w:cs="Book Antiqua"/>
        </w:rPr>
        <w:t>A</w:t>
      </w:r>
      <w:r w:rsidR="001D2A41">
        <w:rPr>
          <w:rFonts w:eastAsia="Book Antiqua" w:cs="Book Antiqua"/>
        </w:rPr>
        <w:t>l</w:t>
      </w:r>
      <w:r w:rsidRPr="00B7512D" w:rsidR="00B7512D">
        <w:rPr>
          <w:rFonts w:eastAsia="Book Antiqua" w:cs="Book Antiqua"/>
        </w:rPr>
        <w:t>s for Commission approval.</w:t>
      </w:r>
    </w:p>
    <w:p w:rsidR="006D72EB" w:rsidP="11203191" w:rsidRDefault="0029268C" w14:paraId="02429A7D" w14:textId="5EDFF3CE">
      <w:pPr>
        <w:rPr>
          <w:rFonts w:eastAsia="Book Antiqua" w:cs="Book Antiqua"/>
        </w:rPr>
      </w:pPr>
      <w:r w:rsidRPr="11203191">
        <w:rPr>
          <w:rFonts w:eastAsia="Book Antiqua" w:cs="Book Antiqua"/>
        </w:rPr>
        <w:t xml:space="preserve">As stated above there is uncertainty around the </w:t>
      </w:r>
      <w:r w:rsidR="00F1323D">
        <w:rPr>
          <w:rFonts w:eastAsia="Book Antiqua" w:cs="Book Antiqua"/>
        </w:rPr>
        <w:t xml:space="preserve">outcome </w:t>
      </w:r>
      <w:r w:rsidRPr="11203191">
        <w:rPr>
          <w:rFonts w:eastAsia="Book Antiqua" w:cs="Book Antiqua"/>
        </w:rPr>
        <w:t xml:space="preserve">of VAMO </w:t>
      </w:r>
      <w:r w:rsidRPr="11203191" w:rsidR="00FE1DB5">
        <w:rPr>
          <w:rFonts w:eastAsia="Book Antiqua" w:cs="Book Antiqua"/>
        </w:rPr>
        <w:t xml:space="preserve">in this RPS cycle, with that in consideration, we find that PG&amp;E’s </w:t>
      </w:r>
      <w:r w:rsidRPr="11203191" w:rsidR="0007633E">
        <w:rPr>
          <w:rFonts w:eastAsia="Book Antiqua" w:cs="Book Antiqua"/>
        </w:rPr>
        <w:t xml:space="preserve">request for options to manage its portfolio is reasonable. </w:t>
      </w:r>
      <w:r w:rsidR="00957613">
        <w:rPr>
          <w:rFonts w:eastAsia="Book Antiqua" w:cs="Book Antiqua"/>
        </w:rPr>
        <w:t xml:space="preserve"> </w:t>
      </w:r>
      <w:r w:rsidRPr="11203191" w:rsidR="003530F3">
        <w:rPr>
          <w:rFonts w:eastAsia="Book Antiqua" w:cs="Book Antiqua"/>
        </w:rPr>
        <w:t>Allowing PG&amp;E to sell its</w:t>
      </w:r>
      <w:r w:rsidRPr="11203191" w:rsidR="00A1596F">
        <w:rPr>
          <w:rFonts w:eastAsia="Book Antiqua" w:cs="Book Antiqua"/>
        </w:rPr>
        <w:t xml:space="preserve"> excess RPS volumes </w:t>
      </w:r>
      <w:r w:rsidRPr="11203191" w:rsidR="004D316B">
        <w:rPr>
          <w:rFonts w:eastAsia="Book Antiqua" w:cs="Book Antiqua"/>
        </w:rPr>
        <w:t>would help</w:t>
      </w:r>
      <w:r w:rsidRPr="11203191" w:rsidR="00A1596F">
        <w:rPr>
          <w:rFonts w:eastAsia="Book Antiqua" w:cs="Book Antiqua"/>
        </w:rPr>
        <w:t xml:space="preserve"> lower costs for its bundled </w:t>
      </w:r>
      <w:r w:rsidRPr="11203191" w:rsidR="00B7512D">
        <w:rPr>
          <w:rFonts w:eastAsia="Book Antiqua" w:cs="Book Antiqua"/>
        </w:rPr>
        <w:t xml:space="preserve">customers and </w:t>
      </w:r>
      <w:r w:rsidR="00F1323D">
        <w:rPr>
          <w:rFonts w:eastAsia="Book Antiqua" w:cs="Book Antiqua"/>
        </w:rPr>
        <w:t>improve</w:t>
      </w:r>
      <w:r w:rsidRPr="11203191" w:rsidR="006D72EB">
        <w:rPr>
          <w:rFonts w:eastAsia="Book Antiqua" w:cs="Book Antiqua"/>
        </w:rPr>
        <w:t xml:space="preserve"> customer</w:t>
      </w:r>
      <w:r w:rsidRPr="11203191" w:rsidR="004D316B">
        <w:rPr>
          <w:rFonts w:eastAsia="Book Antiqua" w:cs="Book Antiqua"/>
        </w:rPr>
        <w:t xml:space="preserve"> </w:t>
      </w:r>
      <w:r w:rsidRPr="11203191" w:rsidR="006D72EB">
        <w:rPr>
          <w:rFonts w:eastAsia="Book Antiqua" w:cs="Book Antiqua"/>
        </w:rPr>
        <w:t xml:space="preserve">affordability </w:t>
      </w:r>
      <w:r w:rsidRPr="11203191" w:rsidR="00DA07FC">
        <w:rPr>
          <w:rFonts w:eastAsia="Book Antiqua" w:cs="Book Antiqua"/>
        </w:rPr>
        <w:t>while</w:t>
      </w:r>
      <w:r w:rsidRPr="11203191" w:rsidR="006D72EB">
        <w:rPr>
          <w:rFonts w:eastAsia="Book Antiqua" w:cs="Book Antiqua"/>
        </w:rPr>
        <w:t xml:space="preserve"> maintaining RPS compliance</w:t>
      </w:r>
      <w:r w:rsidRPr="11203191" w:rsidR="7E2AD97D">
        <w:rPr>
          <w:rFonts w:eastAsia="Book Antiqua" w:cs="Book Antiqua"/>
        </w:rPr>
        <w:t xml:space="preserve">. </w:t>
      </w:r>
      <w:r w:rsidR="00957613">
        <w:rPr>
          <w:rFonts w:eastAsia="Book Antiqua" w:cs="Book Antiqua"/>
        </w:rPr>
        <w:t xml:space="preserve"> </w:t>
      </w:r>
      <w:r w:rsidRPr="11203191" w:rsidR="7E2AD97D">
        <w:rPr>
          <w:rFonts w:eastAsia="Book Antiqua" w:cs="Book Antiqua"/>
        </w:rPr>
        <w:t xml:space="preserve">Thus, </w:t>
      </w:r>
      <w:r w:rsidRPr="11203191" w:rsidR="7BCF127F">
        <w:rPr>
          <w:rFonts w:eastAsia="Book Antiqua" w:cs="Book Antiqua"/>
        </w:rPr>
        <w:t xml:space="preserve">we find </w:t>
      </w:r>
      <w:r w:rsidR="00A90505">
        <w:rPr>
          <w:rFonts w:eastAsia="Book Antiqua" w:cs="Book Antiqua"/>
        </w:rPr>
        <w:t>PG&amp;E’s RPS sales framework</w:t>
      </w:r>
      <w:r w:rsidRPr="11203191" w:rsidR="00EB2E63">
        <w:rPr>
          <w:rFonts w:eastAsia="Book Antiqua" w:cs="Book Antiqua"/>
        </w:rPr>
        <w:t xml:space="preserve"> </w:t>
      </w:r>
      <w:r w:rsidR="00A90505">
        <w:rPr>
          <w:rFonts w:eastAsia="Book Antiqua" w:cs="Book Antiqua"/>
        </w:rPr>
        <w:t xml:space="preserve">is </w:t>
      </w:r>
      <w:r w:rsidRPr="11203191" w:rsidR="00EB2E63">
        <w:rPr>
          <w:rFonts w:eastAsia="Book Antiqua" w:cs="Book Antiqua"/>
        </w:rPr>
        <w:t>reasonable and should be approved</w:t>
      </w:r>
      <w:r w:rsidRPr="11203191" w:rsidR="006D72EB">
        <w:rPr>
          <w:rFonts w:eastAsia="Book Antiqua" w:cs="Book Antiqua"/>
        </w:rPr>
        <w:t>.</w:t>
      </w:r>
    </w:p>
    <w:p w:rsidR="006D72EB" w:rsidP="00957613" w:rsidRDefault="0E8845B5" w14:paraId="3A4FD64A" w14:textId="4ADCD814">
      <w:pPr>
        <w:pStyle w:val="Heading3"/>
        <w:numPr>
          <w:ilvl w:val="2"/>
          <w:numId w:val="2"/>
        </w:numPr>
        <w:rPr>
          <w:rFonts w:asciiTheme="minorHAnsi" w:hAnsiTheme="minorHAnsi" w:eastAsiaTheme="minorEastAsia" w:cstheme="minorBidi"/>
        </w:rPr>
      </w:pPr>
      <w:bookmarkStart w:name="_Toc122180447" w:id="29"/>
      <w:r>
        <w:t>R</w:t>
      </w:r>
      <w:r w:rsidR="00D3015B">
        <w:t>FI</w:t>
      </w:r>
      <w:r>
        <w:t xml:space="preserve"> for Contract Assignments and</w:t>
      </w:r>
      <w:r w:rsidR="00C84ADD">
        <w:br/>
      </w:r>
      <w:r>
        <w:t>Contract Modifications.</w:t>
      </w:r>
      <w:bookmarkEnd w:id="29"/>
      <w:r>
        <w:t xml:space="preserve"> </w:t>
      </w:r>
    </w:p>
    <w:p w:rsidR="006D72EB" w:rsidP="11203191" w:rsidRDefault="0E8845B5" w14:paraId="359EA805" w14:textId="6B043ADF">
      <w:pPr>
        <w:rPr>
          <w:rFonts w:eastAsia="Calibri" w:cs="Arial"/>
          <w:szCs w:val="26"/>
        </w:rPr>
      </w:pPr>
      <w:r>
        <w:t>PG&amp;E states that, as directed by D.21-05-030, it will hold a</w:t>
      </w:r>
      <w:r w:rsidR="01AFB803">
        <w:t>n</w:t>
      </w:r>
      <w:r>
        <w:t xml:space="preserve"> RFI to reduce excess and/or uneconomic resources.</w:t>
      </w:r>
      <w:r w:rsidR="64C572C1">
        <w:t xml:space="preserve">  </w:t>
      </w:r>
      <w:r w:rsidR="00E752BF">
        <w:t xml:space="preserve">Upon review, </w:t>
      </w:r>
      <w:r w:rsidR="00A86E1D">
        <w:t>w</w:t>
      </w:r>
      <w:r w:rsidR="00C50605">
        <w:t>e find it</w:t>
      </w:r>
      <w:r w:rsidR="64C572C1">
        <w:t xml:space="preserve"> reasonable for PG&amp;E to issue another RFI in the 2022 RPS cycle </w:t>
      </w:r>
      <w:r w:rsidR="7AE1DF69">
        <w:t>because t</w:t>
      </w:r>
      <w:r w:rsidR="64C572C1">
        <w:t xml:space="preserve">he RFI solicitation will enable PG&amp;E to </w:t>
      </w:r>
      <w:r w:rsidR="6604DEAF">
        <w:t>further optimize its</w:t>
      </w:r>
      <w:r w:rsidR="64C572C1">
        <w:t xml:space="preserve"> renewable energy portfolio.</w:t>
      </w:r>
    </w:p>
    <w:p w:rsidRPr="005D206B" w:rsidR="00205109" w:rsidP="00FB4DD7" w:rsidRDefault="00205109" w14:paraId="26C25B1B" w14:textId="51014056">
      <w:pPr>
        <w:pStyle w:val="Heading3"/>
        <w:numPr>
          <w:ilvl w:val="2"/>
          <w:numId w:val="2"/>
        </w:numPr>
      </w:pPr>
      <w:bookmarkStart w:name="_Toc122180448" w:id="30"/>
      <w:r>
        <w:t xml:space="preserve">PG&amp;E’s Proposals to Modify its </w:t>
      </w:r>
      <w:r w:rsidR="00AD4418">
        <w:t xml:space="preserve">Procurement </w:t>
      </w:r>
      <w:r>
        <w:t>Pro Forma Agreements</w:t>
      </w:r>
      <w:bookmarkEnd w:id="30"/>
      <w:r>
        <w:t xml:space="preserve"> </w:t>
      </w:r>
    </w:p>
    <w:p w:rsidRPr="005D206B" w:rsidR="00A76977" w:rsidP="006423EC" w:rsidRDefault="006423EC" w14:paraId="692E5B06" w14:textId="7AFAB5E6">
      <w:pPr>
        <w:autoSpaceDE w:val="0"/>
        <w:autoSpaceDN w:val="0"/>
        <w:adjustRightInd w:val="0"/>
        <w:rPr>
          <w:szCs w:val="26"/>
        </w:rPr>
      </w:pPr>
      <w:r w:rsidRPr="006423EC">
        <w:rPr>
          <w:szCs w:val="26"/>
        </w:rPr>
        <w:t xml:space="preserve">PG&amp;E </w:t>
      </w:r>
      <w:r>
        <w:rPr>
          <w:szCs w:val="26"/>
        </w:rPr>
        <w:t xml:space="preserve">states that it </w:t>
      </w:r>
      <w:r w:rsidRPr="006423EC">
        <w:rPr>
          <w:szCs w:val="26"/>
        </w:rPr>
        <w:t xml:space="preserve">intends to update the </w:t>
      </w:r>
      <w:r w:rsidR="00AD4418">
        <w:rPr>
          <w:szCs w:val="26"/>
        </w:rPr>
        <w:t>procurement</w:t>
      </w:r>
      <w:r w:rsidRPr="006423EC">
        <w:rPr>
          <w:szCs w:val="26"/>
        </w:rPr>
        <w:t xml:space="preserve"> pro forma agreement to accommodate </w:t>
      </w:r>
      <w:r w:rsidR="000A646E">
        <w:rPr>
          <w:szCs w:val="26"/>
        </w:rPr>
        <w:t xml:space="preserve">the </w:t>
      </w:r>
      <w:r w:rsidRPr="006423EC">
        <w:rPr>
          <w:szCs w:val="26"/>
        </w:rPr>
        <w:t>execution of a Portfolio</w:t>
      </w:r>
      <w:r>
        <w:rPr>
          <w:szCs w:val="26"/>
        </w:rPr>
        <w:t xml:space="preserve"> </w:t>
      </w:r>
      <w:r w:rsidRPr="006423EC">
        <w:rPr>
          <w:szCs w:val="26"/>
        </w:rPr>
        <w:t>Content Category (PCC) 2 RPS product</w:t>
      </w:r>
      <w:r>
        <w:rPr>
          <w:szCs w:val="26"/>
        </w:rPr>
        <w:t xml:space="preserve"> (short-term</w:t>
      </w:r>
      <w:r w:rsidR="00904E6D">
        <w:rPr>
          <w:szCs w:val="26"/>
        </w:rPr>
        <w:t xml:space="preserve"> contracts)</w:t>
      </w:r>
      <w:r w:rsidR="00E752BF">
        <w:rPr>
          <w:szCs w:val="26"/>
        </w:rPr>
        <w:t>,</w:t>
      </w:r>
      <w:r w:rsidRPr="006423EC">
        <w:rPr>
          <w:szCs w:val="26"/>
        </w:rPr>
        <w:t xml:space="preserve"> if needed.</w:t>
      </w:r>
      <w:r>
        <w:rPr>
          <w:szCs w:val="26"/>
        </w:rPr>
        <w:t xml:space="preserve"> </w:t>
      </w:r>
      <w:r w:rsidR="00957613">
        <w:rPr>
          <w:szCs w:val="26"/>
        </w:rPr>
        <w:t xml:space="preserve"> </w:t>
      </w:r>
      <w:r w:rsidR="00A76977">
        <w:rPr>
          <w:szCs w:val="26"/>
        </w:rPr>
        <w:t>PG&amp;E states that a</w:t>
      </w:r>
      <w:r w:rsidRPr="005D206B" w:rsidR="00A76977">
        <w:rPr>
          <w:szCs w:val="26"/>
        </w:rPr>
        <w:t xml:space="preserve">greements resulting from a solicitation, with any necessary modifications, will be filed in a Tier 1 </w:t>
      </w:r>
      <w:r w:rsidR="00957613">
        <w:rPr>
          <w:szCs w:val="26"/>
        </w:rPr>
        <w:t>A</w:t>
      </w:r>
      <w:r w:rsidRPr="005D206B" w:rsidR="00A76977">
        <w:rPr>
          <w:szCs w:val="26"/>
        </w:rPr>
        <w:t>L for Commission approval.</w:t>
      </w:r>
      <w:r w:rsidRPr="005D206B" w:rsidR="00A76977">
        <w:rPr>
          <w:szCs w:val="26"/>
          <w:vertAlign w:val="superscript"/>
        </w:rPr>
        <w:footnoteReference w:id="22"/>
      </w:r>
      <w:r w:rsidRPr="005D206B" w:rsidR="00A76977">
        <w:rPr>
          <w:szCs w:val="26"/>
        </w:rPr>
        <w:t xml:space="preserve"> </w:t>
      </w:r>
      <w:r w:rsidR="00957613">
        <w:rPr>
          <w:szCs w:val="26"/>
        </w:rPr>
        <w:t xml:space="preserve"> </w:t>
      </w:r>
      <w:r w:rsidRPr="005D206B" w:rsidR="00A76977">
        <w:rPr>
          <w:szCs w:val="26"/>
        </w:rPr>
        <w:t xml:space="preserve">For long-term procurement, PG&amp;E </w:t>
      </w:r>
      <w:r w:rsidR="00904E6D">
        <w:rPr>
          <w:szCs w:val="26"/>
        </w:rPr>
        <w:t>plans</w:t>
      </w:r>
      <w:r w:rsidRPr="005D206B" w:rsidR="00A76977">
        <w:rPr>
          <w:szCs w:val="26"/>
        </w:rPr>
        <w:t xml:space="preserve"> to modify its pro forma agreement to be in line with the RPS term sheet PG&amp;E used in its MTR RFO Phase 2 solicitation</w:t>
      </w:r>
      <w:r w:rsidR="00A76977">
        <w:rPr>
          <w:szCs w:val="26"/>
        </w:rPr>
        <w:t>.</w:t>
      </w:r>
      <w:r w:rsidRPr="005D206B" w:rsidR="00A76977">
        <w:rPr>
          <w:szCs w:val="26"/>
          <w:vertAlign w:val="superscript"/>
        </w:rPr>
        <w:footnoteReference w:id="23"/>
      </w:r>
      <w:r w:rsidR="00A76977">
        <w:rPr>
          <w:szCs w:val="26"/>
        </w:rPr>
        <w:t xml:space="preserve"> </w:t>
      </w:r>
      <w:r w:rsidR="00957613">
        <w:rPr>
          <w:szCs w:val="26"/>
        </w:rPr>
        <w:t xml:space="preserve"> </w:t>
      </w:r>
      <w:r w:rsidR="00A76977">
        <w:rPr>
          <w:szCs w:val="26"/>
        </w:rPr>
        <w:t xml:space="preserve">PG&amp;E </w:t>
      </w:r>
      <w:r w:rsidR="004B4CB9">
        <w:rPr>
          <w:szCs w:val="26"/>
        </w:rPr>
        <w:t>states</w:t>
      </w:r>
      <w:r w:rsidR="008C5292">
        <w:rPr>
          <w:szCs w:val="26"/>
        </w:rPr>
        <w:t xml:space="preserve"> that it</w:t>
      </w:r>
      <w:r w:rsidR="00896558">
        <w:rPr>
          <w:szCs w:val="26"/>
        </w:rPr>
        <w:t xml:space="preserve">s modified pro forma will </w:t>
      </w:r>
      <w:r w:rsidR="00A76977">
        <w:rPr>
          <w:szCs w:val="26"/>
        </w:rPr>
        <w:t xml:space="preserve">propose </w:t>
      </w:r>
      <w:r w:rsidRPr="005D206B" w:rsidR="00A76977">
        <w:rPr>
          <w:szCs w:val="26"/>
        </w:rPr>
        <w:t xml:space="preserve">that </w:t>
      </w:r>
      <w:r w:rsidR="00230960">
        <w:rPr>
          <w:szCs w:val="26"/>
        </w:rPr>
        <w:t>the seller</w:t>
      </w:r>
      <w:r w:rsidRPr="005D206B" w:rsidR="00A76977">
        <w:rPr>
          <w:szCs w:val="26"/>
        </w:rPr>
        <w:t xml:space="preserve"> will assume the role of scheduling coordinator. </w:t>
      </w:r>
      <w:r w:rsidR="00957613">
        <w:rPr>
          <w:szCs w:val="26"/>
        </w:rPr>
        <w:t xml:space="preserve"> </w:t>
      </w:r>
      <w:r w:rsidR="00A76977">
        <w:rPr>
          <w:szCs w:val="26"/>
        </w:rPr>
        <w:t>It further states that a</w:t>
      </w:r>
      <w:r w:rsidRPr="005D206B" w:rsidR="00A76977">
        <w:rPr>
          <w:szCs w:val="26"/>
        </w:rPr>
        <w:t>greements resulting from a solicitation, with any necessary modifications, will be filed in a Tier 3 AL for Commission approval.</w:t>
      </w:r>
      <w:r w:rsidRPr="005D206B" w:rsidR="00A76977">
        <w:rPr>
          <w:szCs w:val="26"/>
          <w:vertAlign w:val="superscript"/>
        </w:rPr>
        <w:footnoteReference w:id="24"/>
      </w:r>
    </w:p>
    <w:p w:rsidR="00A76977" w:rsidP="00A76977" w:rsidRDefault="0045177A" w14:paraId="3266DE75" w14:textId="17DC847F">
      <w:pPr>
        <w:tabs>
          <w:tab w:val="left" w:pos="1260"/>
        </w:tabs>
        <w:rPr>
          <w:szCs w:val="26"/>
        </w:rPr>
      </w:pPr>
      <w:r>
        <w:rPr>
          <w:szCs w:val="26"/>
        </w:rPr>
        <w:t>While PG&amp;E provided the background information on its proposed revis</w:t>
      </w:r>
      <w:r w:rsidR="003B1580">
        <w:rPr>
          <w:szCs w:val="26"/>
        </w:rPr>
        <w:t>ions to</w:t>
      </w:r>
      <w:r>
        <w:rPr>
          <w:szCs w:val="26"/>
        </w:rPr>
        <w:t xml:space="preserve"> pro forma agreements</w:t>
      </w:r>
      <w:r w:rsidR="00763C01">
        <w:rPr>
          <w:szCs w:val="26"/>
        </w:rPr>
        <w:t>,</w:t>
      </w:r>
      <w:r>
        <w:rPr>
          <w:szCs w:val="26"/>
        </w:rPr>
        <w:t xml:space="preserve"> it did not submit </w:t>
      </w:r>
      <w:r w:rsidR="00E67A47">
        <w:rPr>
          <w:szCs w:val="26"/>
        </w:rPr>
        <w:t xml:space="preserve">the actual revisions. </w:t>
      </w:r>
      <w:r w:rsidR="00957613">
        <w:rPr>
          <w:szCs w:val="26"/>
        </w:rPr>
        <w:t xml:space="preserve"> </w:t>
      </w:r>
      <w:r w:rsidR="00F03E6D">
        <w:rPr>
          <w:szCs w:val="26"/>
        </w:rPr>
        <w:t xml:space="preserve">PG&amp;E </w:t>
      </w:r>
      <w:r w:rsidR="00C96E89">
        <w:rPr>
          <w:szCs w:val="26"/>
        </w:rPr>
        <w:t>plans to file Tier 1 and Tier 3 Advice Letters to seek Commission approval for these short-term pro forma and long-term pro forma revisions, respectively</w:t>
      </w:r>
      <w:r w:rsidR="009F0B12">
        <w:rPr>
          <w:szCs w:val="26"/>
        </w:rPr>
        <w:t xml:space="preserve">. </w:t>
      </w:r>
    </w:p>
    <w:p w:rsidR="00B7512D" w:rsidP="00763C01" w:rsidRDefault="009F37ED" w14:paraId="11D884B2" w14:textId="44E56DA5">
      <w:pPr>
        <w:rPr>
          <w:szCs w:val="26"/>
        </w:rPr>
      </w:pPr>
      <w:r>
        <w:rPr>
          <w:szCs w:val="26"/>
        </w:rPr>
        <w:t xml:space="preserve">Since PG&amp;E is seeking </w:t>
      </w:r>
      <w:r w:rsidR="00681398">
        <w:rPr>
          <w:szCs w:val="26"/>
        </w:rPr>
        <w:t>flexibility to conduct RPS eligible procurements in the 2022 cycle we find it reaso</w:t>
      </w:r>
      <w:r w:rsidR="00603275">
        <w:rPr>
          <w:szCs w:val="26"/>
        </w:rPr>
        <w:t>nable to review and approve associated pro forma agreements as part of the RPS Plan</w:t>
      </w:r>
      <w:r w:rsidR="00D8440E">
        <w:rPr>
          <w:szCs w:val="26"/>
        </w:rPr>
        <w:t>.  Submitting A</w:t>
      </w:r>
      <w:r w:rsidR="005F175F">
        <w:rPr>
          <w:szCs w:val="26"/>
        </w:rPr>
        <w:t>L</w:t>
      </w:r>
      <w:r w:rsidR="00D8440E">
        <w:rPr>
          <w:szCs w:val="26"/>
        </w:rPr>
        <w:t>s later in the year to seek approval of revised pro forma</w:t>
      </w:r>
      <w:r w:rsidR="00763C01">
        <w:rPr>
          <w:szCs w:val="26"/>
        </w:rPr>
        <w:t xml:space="preserve"> agreements</w:t>
      </w:r>
      <w:r w:rsidR="00D8440E">
        <w:rPr>
          <w:szCs w:val="26"/>
        </w:rPr>
        <w:t xml:space="preserve"> delays the </w:t>
      </w:r>
      <w:r w:rsidR="00EE3923">
        <w:rPr>
          <w:szCs w:val="26"/>
        </w:rPr>
        <w:t xml:space="preserve">review and approval </w:t>
      </w:r>
      <w:r w:rsidR="00D8440E">
        <w:rPr>
          <w:szCs w:val="26"/>
        </w:rPr>
        <w:t xml:space="preserve">process </w:t>
      </w:r>
      <w:r w:rsidR="00EE3923">
        <w:rPr>
          <w:szCs w:val="26"/>
        </w:rPr>
        <w:t xml:space="preserve">and is an inefficient use of Commission resources. </w:t>
      </w:r>
      <w:r w:rsidR="00200607">
        <w:rPr>
          <w:szCs w:val="26"/>
        </w:rPr>
        <w:t xml:space="preserve"> </w:t>
      </w:r>
      <w:r w:rsidR="006F3391">
        <w:rPr>
          <w:szCs w:val="26"/>
        </w:rPr>
        <w:t xml:space="preserve">Reviewing pro forma </w:t>
      </w:r>
      <w:r w:rsidR="00763C01">
        <w:rPr>
          <w:szCs w:val="26"/>
        </w:rPr>
        <w:t xml:space="preserve">agreements </w:t>
      </w:r>
      <w:r w:rsidR="006F3391">
        <w:rPr>
          <w:szCs w:val="26"/>
        </w:rPr>
        <w:t>as part of the RP</w:t>
      </w:r>
      <w:r w:rsidR="00085E17">
        <w:rPr>
          <w:szCs w:val="26"/>
        </w:rPr>
        <w:t xml:space="preserve">S Plan is efficient </w:t>
      </w:r>
      <w:r w:rsidR="00672A5E">
        <w:rPr>
          <w:szCs w:val="26"/>
        </w:rPr>
        <w:t xml:space="preserve">because </w:t>
      </w:r>
      <w:r w:rsidRPr="00504C3B" w:rsidR="00672A5E">
        <w:rPr>
          <w:szCs w:val="26"/>
        </w:rPr>
        <w:t xml:space="preserve">we review this information as a whole and not </w:t>
      </w:r>
      <w:r w:rsidR="00763C01">
        <w:rPr>
          <w:szCs w:val="26"/>
        </w:rPr>
        <w:t xml:space="preserve">as </w:t>
      </w:r>
      <w:r w:rsidR="000A646E">
        <w:rPr>
          <w:szCs w:val="26"/>
        </w:rPr>
        <w:t>piecemeal</w:t>
      </w:r>
      <w:r w:rsidR="00763C01">
        <w:rPr>
          <w:szCs w:val="26"/>
        </w:rPr>
        <w:t xml:space="preserve"> agreements</w:t>
      </w:r>
      <w:r w:rsidRPr="00504C3B" w:rsidR="001340F6">
        <w:rPr>
          <w:szCs w:val="26"/>
        </w:rPr>
        <w:t>.</w:t>
      </w:r>
      <w:r w:rsidR="00763C01">
        <w:rPr>
          <w:szCs w:val="26"/>
        </w:rPr>
        <w:t xml:space="preserve"> </w:t>
      </w:r>
      <w:r w:rsidDel="00AD3A2E" w:rsidR="001340F6">
        <w:rPr>
          <w:szCs w:val="26"/>
        </w:rPr>
        <w:t xml:space="preserve"> </w:t>
      </w:r>
      <w:r w:rsidR="00AD4E9C">
        <w:rPr>
          <w:szCs w:val="26"/>
        </w:rPr>
        <w:t xml:space="preserve">Should </w:t>
      </w:r>
      <w:r w:rsidRPr="00504C3B" w:rsidR="006B0B48">
        <w:rPr>
          <w:szCs w:val="26"/>
        </w:rPr>
        <w:t xml:space="preserve">PG&amp;E </w:t>
      </w:r>
      <w:r w:rsidR="00AD4E9C">
        <w:rPr>
          <w:szCs w:val="26"/>
        </w:rPr>
        <w:t xml:space="preserve">determine </w:t>
      </w:r>
      <w:r w:rsidR="00A67CB5">
        <w:rPr>
          <w:szCs w:val="26"/>
        </w:rPr>
        <w:t xml:space="preserve">a need to procure during the 2022 </w:t>
      </w:r>
      <w:r w:rsidR="007A38C3">
        <w:rPr>
          <w:szCs w:val="26"/>
        </w:rPr>
        <w:t xml:space="preserve">RPS </w:t>
      </w:r>
      <w:r w:rsidR="00E3194C">
        <w:rPr>
          <w:szCs w:val="26"/>
        </w:rPr>
        <w:t xml:space="preserve">Plan cycle, PG&amp;E </w:t>
      </w:r>
      <w:r w:rsidRPr="00504C3B" w:rsidR="006F3391">
        <w:rPr>
          <w:szCs w:val="26"/>
        </w:rPr>
        <w:t xml:space="preserve">should </w:t>
      </w:r>
      <w:r w:rsidRPr="00504C3B" w:rsidR="006B0B48">
        <w:rPr>
          <w:szCs w:val="26"/>
        </w:rPr>
        <w:t xml:space="preserve">file </w:t>
      </w:r>
      <w:r w:rsidR="005839F9">
        <w:rPr>
          <w:szCs w:val="26"/>
        </w:rPr>
        <w:t xml:space="preserve">its </w:t>
      </w:r>
      <w:r w:rsidRPr="00504C3B" w:rsidR="00A76977">
        <w:rPr>
          <w:szCs w:val="26"/>
        </w:rPr>
        <w:t xml:space="preserve">modified pro forma </w:t>
      </w:r>
      <w:r w:rsidRPr="00504C3B" w:rsidR="006B0B48">
        <w:rPr>
          <w:szCs w:val="26"/>
        </w:rPr>
        <w:t xml:space="preserve">agreements </w:t>
      </w:r>
      <w:r w:rsidR="003C2FAC">
        <w:rPr>
          <w:szCs w:val="26"/>
        </w:rPr>
        <w:t xml:space="preserve">with </w:t>
      </w:r>
      <w:r w:rsidRPr="005839F9" w:rsidR="005839F9">
        <w:rPr>
          <w:i/>
          <w:iCs/>
          <w:szCs w:val="26"/>
        </w:rPr>
        <w:t>only</w:t>
      </w:r>
      <w:r w:rsidR="005839F9">
        <w:rPr>
          <w:szCs w:val="26"/>
        </w:rPr>
        <w:t xml:space="preserve"> </w:t>
      </w:r>
      <w:r w:rsidR="00126136">
        <w:rPr>
          <w:szCs w:val="26"/>
        </w:rPr>
        <w:t xml:space="preserve">the proposed </w:t>
      </w:r>
      <w:r w:rsidR="003C2FAC">
        <w:rPr>
          <w:szCs w:val="26"/>
        </w:rPr>
        <w:t xml:space="preserve">revisions </w:t>
      </w:r>
      <w:r w:rsidR="005839F9">
        <w:rPr>
          <w:szCs w:val="26"/>
        </w:rPr>
        <w:t xml:space="preserve">described </w:t>
      </w:r>
      <w:r w:rsidRPr="00504C3B" w:rsidR="006B0B48">
        <w:rPr>
          <w:szCs w:val="26"/>
        </w:rPr>
        <w:t>with</w:t>
      </w:r>
      <w:r w:rsidR="00763C01">
        <w:rPr>
          <w:szCs w:val="26"/>
        </w:rPr>
        <w:t>in</w:t>
      </w:r>
      <w:r w:rsidRPr="00504C3B" w:rsidR="006B0B48">
        <w:rPr>
          <w:szCs w:val="26"/>
        </w:rPr>
        <w:t xml:space="preserve"> </w:t>
      </w:r>
      <w:r w:rsidR="00126136">
        <w:rPr>
          <w:szCs w:val="26"/>
        </w:rPr>
        <w:t>its</w:t>
      </w:r>
      <w:r w:rsidRPr="00504C3B" w:rsidR="00A76977">
        <w:rPr>
          <w:szCs w:val="26"/>
        </w:rPr>
        <w:t xml:space="preserve"> Final 2022 RPS Procurement Plan</w:t>
      </w:r>
      <w:r w:rsidR="00BF672B">
        <w:rPr>
          <w:szCs w:val="26"/>
        </w:rPr>
        <w:t xml:space="preserve"> or </w:t>
      </w:r>
      <w:r w:rsidR="00126136">
        <w:rPr>
          <w:szCs w:val="26"/>
        </w:rPr>
        <w:t>PG&amp;E should</w:t>
      </w:r>
      <w:r w:rsidRPr="00504C3B" w:rsidR="00126136">
        <w:rPr>
          <w:szCs w:val="26"/>
        </w:rPr>
        <w:t xml:space="preserve"> </w:t>
      </w:r>
      <w:r w:rsidR="00BF672B">
        <w:rPr>
          <w:szCs w:val="26"/>
        </w:rPr>
        <w:t xml:space="preserve">use previously approved pro forma </w:t>
      </w:r>
      <w:r w:rsidR="00763C01">
        <w:rPr>
          <w:szCs w:val="26"/>
        </w:rPr>
        <w:t xml:space="preserve">agreements </w:t>
      </w:r>
      <w:r w:rsidR="00BF672B">
        <w:rPr>
          <w:szCs w:val="26"/>
        </w:rPr>
        <w:t xml:space="preserve">as </w:t>
      </w:r>
      <w:r w:rsidR="00C10249">
        <w:rPr>
          <w:szCs w:val="26"/>
        </w:rPr>
        <w:t xml:space="preserve">submitted with </w:t>
      </w:r>
      <w:r w:rsidR="00763C01">
        <w:rPr>
          <w:szCs w:val="26"/>
        </w:rPr>
        <w:t>PG&amp;E’s</w:t>
      </w:r>
      <w:r w:rsidR="00C10249">
        <w:rPr>
          <w:szCs w:val="26"/>
        </w:rPr>
        <w:t xml:space="preserve"> </w:t>
      </w:r>
      <w:r w:rsidR="00EA147B">
        <w:rPr>
          <w:szCs w:val="26"/>
        </w:rPr>
        <w:t xml:space="preserve">Draft </w:t>
      </w:r>
      <w:r w:rsidR="00C10249">
        <w:rPr>
          <w:szCs w:val="26"/>
        </w:rPr>
        <w:t>2022 RPS Plan.</w:t>
      </w:r>
    </w:p>
    <w:p w:rsidRPr="00D02BC2" w:rsidR="00424695" w:rsidP="00CC3059" w:rsidRDefault="00424695" w14:paraId="1EEF07E5" w14:textId="7FF263A7">
      <w:pPr>
        <w:pStyle w:val="Heading2"/>
        <w:numPr>
          <w:ilvl w:val="1"/>
          <w:numId w:val="2"/>
        </w:numPr>
        <w:rPr>
          <w:rFonts w:asciiTheme="minorHAnsi" w:hAnsiTheme="minorHAnsi" w:eastAsiaTheme="minorEastAsia"/>
        </w:rPr>
      </w:pPr>
      <w:bookmarkStart w:name="_Toc61360953" w:id="31"/>
      <w:bookmarkStart w:name="_Toc89176330" w:id="32"/>
      <w:bookmarkStart w:name="_Toc92717502" w:id="33"/>
      <w:bookmarkStart w:name="_Toc92727924" w:id="34"/>
      <w:bookmarkStart w:name="_Toc122180449" w:id="35"/>
      <w:r>
        <w:t>SCE</w:t>
      </w:r>
      <w:r w:rsidR="00763C01">
        <w:t>’s</w:t>
      </w:r>
      <w:r>
        <w:t xml:space="preserve"> Draft 202</w:t>
      </w:r>
      <w:r w:rsidR="00C249E9">
        <w:t>2</w:t>
      </w:r>
      <w:r>
        <w:t xml:space="preserve"> RPS Plan</w:t>
      </w:r>
      <w:bookmarkEnd w:id="31"/>
      <w:bookmarkEnd w:id="32"/>
      <w:bookmarkEnd w:id="33"/>
      <w:bookmarkEnd w:id="34"/>
      <w:bookmarkEnd w:id="35"/>
    </w:p>
    <w:p w:rsidRPr="00F02A03" w:rsidR="00424695" w:rsidP="008A4FDA" w:rsidRDefault="006F6A8D" w14:paraId="530E985C" w14:textId="1506A60F">
      <w:r w:rsidRPr="008A4FDA">
        <w:rPr>
          <w:szCs w:val="26"/>
        </w:rPr>
        <w:t>SCE’s</w:t>
      </w:r>
      <w:r>
        <w:t xml:space="preserve"> </w:t>
      </w:r>
      <w:r w:rsidR="00EA147B">
        <w:t>D</w:t>
      </w:r>
      <w:r>
        <w:t>raft 2022 RPS Plan contains each of the elements required in Table</w:t>
      </w:r>
      <w:r w:rsidR="008A4FDA">
        <w:t> </w:t>
      </w:r>
      <w:r>
        <w:t>1</w:t>
      </w:r>
      <w:r w:rsidR="006B2FD7">
        <w:t xml:space="preserve"> of the </w:t>
      </w:r>
      <w:r w:rsidR="00FF4C5D">
        <w:t xml:space="preserve">2022 </w:t>
      </w:r>
      <w:r w:rsidR="006B2FD7">
        <w:t>ACR</w:t>
      </w:r>
      <w:r>
        <w:t xml:space="preserve">. </w:t>
      </w:r>
      <w:r w:rsidR="00367B12">
        <w:t xml:space="preserve"> </w:t>
      </w:r>
      <w:r w:rsidR="00227F44">
        <w:t xml:space="preserve">SCE </w:t>
      </w:r>
      <w:r w:rsidR="00C75833">
        <w:t>is authorized to</w:t>
      </w:r>
      <w:r w:rsidR="00227F44">
        <w:t xml:space="preserve"> hold an RPS</w:t>
      </w:r>
      <w:r w:rsidR="0F8AC68C">
        <w:t xml:space="preserve"> </w:t>
      </w:r>
      <w:r w:rsidR="7D0C6148">
        <w:t>procurement</w:t>
      </w:r>
      <w:r w:rsidR="00227F44">
        <w:t xml:space="preserve"> solicitation to meet</w:t>
      </w:r>
      <w:r w:rsidR="007F4207">
        <w:t xml:space="preserve"> </w:t>
      </w:r>
      <w:r w:rsidR="00227F44">
        <w:t>any</w:t>
      </w:r>
      <w:r w:rsidR="007F4207">
        <w:t xml:space="preserve"> </w:t>
      </w:r>
      <w:r w:rsidR="00227F44">
        <w:t>short</w:t>
      </w:r>
      <w:r w:rsidR="009A2251">
        <w:t xml:space="preserve">falls </w:t>
      </w:r>
      <w:r w:rsidR="009C62E9">
        <w:t xml:space="preserve">in </w:t>
      </w:r>
      <w:r w:rsidR="009A2251">
        <w:t xml:space="preserve">the event </w:t>
      </w:r>
      <w:r w:rsidR="009C62E9">
        <w:t>it i</w:t>
      </w:r>
      <w:r w:rsidR="009A2251">
        <w:t>s unable to meet all its RPS and/or MTR requirements through</w:t>
      </w:r>
      <w:r w:rsidR="009C62E9">
        <w:t xml:space="preserve"> its planned</w:t>
      </w:r>
      <w:r w:rsidR="009A2251">
        <w:t xml:space="preserve"> IRP solicitations</w:t>
      </w:r>
      <w:r w:rsidR="00227F44">
        <w:t>.</w:t>
      </w:r>
      <w:r w:rsidR="00CC3D6F">
        <w:t xml:space="preserve"> </w:t>
      </w:r>
      <w:r w:rsidR="00061B09">
        <w:t xml:space="preserve"> </w:t>
      </w:r>
      <w:r w:rsidR="00212595">
        <w:t xml:space="preserve">SCE </w:t>
      </w:r>
      <w:r w:rsidR="00DF2F1E">
        <w:t xml:space="preserve">may </w:t>
      </w:r>
      <w:r w:rsidR="4F92057F">
        <w:t xml:space="preserve">also </w:t>
      </w:r>
      <w:r w:rsidR="00DF2F1E">
        <w:t>sell</w:t>
      </w:r>
      <w:r w:rsidR="00212595">
        <w:t xml:space="preserve"> </w:t>
      </w:r>
      <w:r w:rsidR="00425B6C">
        <w:t xml:space="preserve">RECs </w:t>
      </w:r>
      <w:r w:rsidR="74A0DCF8">
        <w:t xml:space="preserve">and issue an RFI </w:t>
      </w:r>
      <w:r w:rsidR="00425B6C">
        <w:t xml:space="preserve">as proposed in </w:t>
      </w:r>
      <w:r w:rsidR="00495DBF">
        <w:t xml:space="preserve">its </w:t>
      </w:r>
      <w:r w:rsidR="00EA147B">
        <w:t>D</w:t>
      </w:r>
      <w:r w:rsidR="00495DBF">
        <w:t>raft</w:t>
      </w:r>
      <w:r w:rsidR="00425B6C">
        <w:t xml:space="preserve"> 2022 RPS Plan</w:t>
      </w:r>
      <w:r w:rsidR="00DF2F1E">
        <w:t xml:space="preserve">. </w:t>
      </w:r>
      <w:r w:rsidR="005B1A23">
        <w:t xml:space="preserve"> </w:t>
      </w:r>
      <w:r w:rsidR="00CC2188">
        <w:t xml:space="preserve">This decision authorizes </w:t>
      </w:r>
      <w:r w:rsidR="00D779FB">
        <w:t xml:space="preserve">SCE </w:t>
      </w:r>
      <w:r w:rsidR="00424695">
        <w:t xml:space="preserve">to update its pro forma RPS Power </w:t>
      </w:r>
      <w:r w:rsidR="00C96D02">
        <w:t xml:space="preserve">Purchase </w:t>
      </w:r>
      <w:r w:rsidR="0064451B">
        <w:t>A</w:t>
      </w:r>
      <w:r w:rsidR="00C96D02">
        <w:t>greement</w:t>
      </w:r>
      <w:r w:rsidR="00CF75F4">
        <w:t xml:space="preserve"> </w:t>
      </w:r>
      <w:r w:rsidR="0064451B">
        <w:t xml:space="preserve">(PPA) </w:t>
      </w:r>
      <w:r w:rsidR="00CF75F4">
        <w:t xml:space="preserve">as </w:t>
      </w:r>
      <w:r w:rsidR="00270430">
        <w:t>proposed in its</w:t>
      </w:r>
      <w:r w:rsidR="00061B09">
        <w:t xml:space="preserve"> Draft 2022</w:t>
      </w:r>
      <w:r w:rsidR="00270430">
        <w:t xml:space="preserve"> RPS Plan</w:t>
      </w:r>
      <w:r w:rsidR="00424695">
        <w:t xml:space="preserve">. </w:t>
      </w:r>
      <w:r w:rsidR="005B1A23">
        <w:t xml:space="preserve"> </w:t>
      </w:r>
      <w:r w:rsidR="009402BE">
        <w:t xml:space="preserve">SCE shall update its final </w:t>
      </w:r>
      <w:r w:rsidR="00061B09">
        <w:t xml:space="preserve">2022 </w:t>
      </w:r>
      <w:r w:rsidR="009402BE">
        <w:t xml:space="preserve">RPS Plan </w:t>
      </w:r>
      <w:r w:rsidR="00DE53C9">
        <w:t xml:space="preserve">with up-to-date information resulting from the VAMO process. </w:t>
      </w:r>
    </w:p>
    <w:p w:rsidRPr="00F02A03" w:rsidR="00424695" w:rsidP="00FB4DD7" w:rsidRDefault="00424695" w14:paraId="71F7D5CA" w14:textId="77777777">
      <w:pPr>
        <w:pStyle w:val="Heading3"/>
        <w:numPr>
          <w:ilvl w:val="2"/>
          <w:numId w:val="2"/>
        </w:numPr>
      </w:pPr>
      <w:bookmarkStart w:name="_Toc89176331" w:id="36"/>
      <w:bookmarkStart w:name="_Toc92717503" w:id="37"/>
      <w:bookmarkStart w:name="_Toc92727925" w:id="38"/>
      <w:bookmarkStart w:name="_Toc122180450" w:id="39"/>
      <w:r>
        <w:t>SCE’s Forecasted Short RPS Position and Proposed Procurement Solicitation</w:t>
      </w:r>
      <w:bookmarkEnd w:id="36"/>
      <w:bookmarkEnd w:id="37"/>
      <w:bookmarkEnd w:id="38"/>
      <w:bookmarkEnd w:id="39"/>
    </w:p>
    <w:p w:rsidR="00995D6B" w:rsidP="008A4FDA" w:rsidRDefault="00A2497A" w14:paraId="74E7E795" w14:textId="186869F1">
      <w:r>
        <w:t xml:space="preserve">SCE states that it </w:t>
      </w:r>
      <w:r w:rsidRPr="00A2497A">
        <w:t xml:space="preserve">did not hold an RPS </w:t>
      </w:r>
      <w:r w:rsidR="00710749">
        <w:t>procurement s</w:t>
      </w:r>
      <w:r w:rsidRPr="00A2497A">
        <w:t xml:space="preserve">olicitation </w:t>
      </w:r>
      <w:r w:rsidR="00CB015F">
        <w:t>between</w:t>
      </w:r>
      <w:r w:rsidRPr="00A2497A">
        <w:t xml:space="preserve"> 2016</w:t>
      </w:r>
      <w:r w:rsidR="002C7A19">
        <w:t xml:space="preserve"> and </w:t>
      </w:r>
      <w:r w:rsidRPr="00A2497A">
        <w:t xml:space="preserve">2021. </w:t>
      </w:r>
      <w:r w:rsidR="008A4FDA">
        <w:t xml:space="preserve"> </w:t>
      </w:r>
      <w:r w:rsidR="002C7A19">
        <w:t>It states that b</w:t>
      </w:r>
      <w:r w:rsidRPr="00A2497A">
        <w:t xml:space="preserve">etween 2021 through June 2022, </w:t>
      </w:r>
      <w:r w:rsidR="002C7A19">
        <w:t>it</w:t>
      </w:r>
      <w:r w:rsidRPr="00A2497A">
        <w:t xml:space="preserve"> has signed renewable contracts for its GTSR </w:t>
      </w:r>
      <w:r w:rsidR="00270430">
        <w:t>customers</w:t>
      </w:r>
      <w:r w:rsidR="00A1138F">
        <w:t>.</w:t>
      </w:r>
      <w:r w:rsidR="00B1314D">
        <w:t xml:space="preserve"> </w:t>
      </w:r>
      <w:r w:rsidR="005B1A23">
        <w:t xml:space="preserve"> </w:t>
      </w:r>
      <w:r w:rsidR="00A1138F">
        <w:t xml:space="preserve">Moreover, SCE states it may </w:t>
      </w:r>
      <w:r w:rsidRPr="00A2497A">
        <w:t>hold a</w:t>
      </w:r>
      <w:r w:rsidR="00CC6EE9">
        <w:t>n RPS</w:t>
      </w:r>
      <w:r w:rsidRPr="00A2497A">
        <w:t xml:space="preserve"> </w:t>
      </w:r>
      <w:r w:rsidR="00A90D9C">
        <w:t xml:space="preserve">procurement </w:t>
      </w:r>
      <w:r w:rsidRPr="00A2497A">
        <w:t>solicitation in September 2022.</w:t>
      </w:r>
      <w:r w:rsidR="00A1138F">
        <w:rPr>
          <w:rStyle w:val="FootnoteReference"/>
        </w:rPr>
        <w:footnoteReference w:id="25"/>
      </w:r>
      <w:r w:rsidRPr="00A2497A">
        <w:t xml:space="preserve"> </w:t>
      </w:r>
    </w:p>
    <w:p w:rsidR="00B1314D" w:rsidP="008A4FDA" w:rsidRDefault="00995D6B" w14:paraId="16000023" w14:textId="0B06ACE3">
      <w:r>
        <w:t xml:space="preserve">SCE </w:t>
      </w:r>
      <w:r w:rsidRPr="00A85B7D" w:rsidR="00A2497A">
        <w:t xml:space="preserve">forecasts a net short position starting in 2023 without the use of the RPS bank. </w:t>
      </w:r>
      <w:r w:rsidR="005B1A23">
        <w:t xml:space="preserve"> </w:t>
      </w:r>
      <w:r w:rsidRPr="00A85B7D" w:rsidR="00A2497A">
        <w:t xml:space="preserve">SCE forecasts a net long position through the end of </w:t>
      </w:r>
      <w:r>
        <w:t xml:space="preserve">CP 5 </w:t>
      </w:r>
      <w:r w:rsidRPr="00A85B7D" w:rsidR="00A2497A">
        <w:t xml:space="preserve">(2025-2027) with the use of the RPS bank. </w:t>
      </w:r>
      <w:r w:rsidR="005B1A23">
        <w:t xml:space="preserve"> </w:t>
      </w:r>
      <w:r w:rsidRPr="00A85B7D" w:rsidR="00B1314D">
        <w:t xml:space="preserve">In its </w:t>
      </w:r>
      <w:r w:rsidR="00137A99">
        <w:t xml:space="preserve">Draft 2022 </w:t>
      </w:r>
      <w:r w:rsidRPr="00A85B7D" w:rsidR="00B1314D">
        <w:t>RPS Plan, SCE determined its expected renewable procurement need by comparing its forecasted RPS</w:t>
      </w:r>
      <w:r w:rsidR="00B1314D">
        <w:t xml:space="preserve"> </w:t>
      </w:r>
      <w:r w:rsidRPr="00A85B7D" w:rsidR="00B1314D">
        <w:t xml:space="preserve">targets to its forecasted energy deliveries from contracted projects. </w:t>
      </w:r>
    </w:p>
    <w:p w:rsidR="000F7660" w:rsidP="008A4FDA" w:rsidRDefault="00A2497A" w14:paraId="5D539B5F" w14:textId="4FD1E413">
      <w:r w:rsidRPr="00A85B7D">
        <w:t>SCE requests the option to hold an RPS</w:t>
      </w:r>
      <w:r w:rsidR="2E2A1719">
        <w:t xml:space="preserve"> </w:t>
      </w:r>
      <w:r w:rsidR="1738D92D">
        <w:t>procurement</w:t>
      </w:r>
      <w:r w:rsidRPr="00A85B7D">
        <w:t xml:space="preserve"> solicitation to meet any shortfalls in the event it is unable to meet all its RPS and/or MTR needs pursuant to solicitations under </w:t>
      </w:r>
      <w:r w:rsidR="009A5042">
        <w:t xml:space="preserve">the </w:t>
      </w:r>
      <w:r w:rsidRPr="00A85B7D">
        <w:t xml:space="preserve">IRP Decision. </w:t>
      </w:r>
      <w:r w:rsidR="005B1A23">
        <w:t xml:space="preserve"> </w:t>
      </w:r>
      <w:r w:rsidRPr="00A85B7D">
        <w:t xml:space="preserve">SCE states that its need for new RPS-eligible resources for IRP compliance is substantially greater than its need for RPS-eligible resources for RPS compliance starting in CP 5 (2025-2027), under presently expected Power Charge Indifference Adjustment (PCIA) allocation assumptions. </w:t>
      </w:r>
      <w:r w:rsidR="005B1A23">
        <w:t xml:space="preserve"> </w:t>
      </w:r>
      <w:r w:rsidRPr="00A85B7D">
        <w:t xml:space="preserve">SCE intends to proceed with one or more </w:t>
      </w:r>
      <w:r w:rsidR="00046B87">
        <w:t xml:space="preserve">MTR </w:t>
      </w:r>
      <w:r w:rsidRPr="00A85B7D">
        <w:t xml:space="preserve">solicitations to begin procuring new eligible renewable resources under long-term contracts that can come online between 2024 through 2026 to deliver, cumulatively, 300 GWh in 2024, 300 GWh in 2025, 900 GWh in 2026, and 200 GWh in 2027 for a total of 13,700 GWh.  </w:t>
      </w:r>
      <w:r>
        <w:t xml:space="preserve">It states that its MTR solicitation to procure resources to come online in 2023 and 2024 is currently underway and it may still be in the process of procuring for 2023 and 2024 when it launches an </w:t>
      </w:r>
      <w:r w:rsidR="00046B87">
        <w:t>MTR</w:t>
      </w:r>
      <w:r>
        <w:t xml:space="preserve"> solicitation to procure resources to come online in 2025 and 2026. </w:t>
      </w:r>
    </w:p>
    <w:p w:rsidRPr="000F7660" w:rsidR="000F7660" w:rsidP="008A4FDA" w:rsidRDefault="000F7660" w14:paraId="22847BDF" w14:textId="6E6A87B9">
      <w:r>
        <w:t>In</w:t>
      </w:r>
      <w:r w:rsidRPr="000F7660">
        <w:t xml:space="preserve"> D.2</w:t>
      </w:r>
      <w:r w:rsidR="005644B3">
        <w:t>2</w:t>
      </w:r>
      <w:r w:rsidRPr="000F7660">
        <w:t>-</w:t>
      </w:r>
      <w:r w:rsidR="00E678AD">
        <w:t>0</w:t>
      </w:r>
      <w:r w:rsidR="005644B3">
        <w:t>1</w:t>
      </w:r>
      <w:r w:rsidR="00E678AD">
        <w:t>-0</w:t>
      </w:r>
      <w:r w:rsidR="005644B3">
        <w:t>04</w:t>
      </w:r>
      <w:r w:rsidRPr="000F7660">
        <w:t>,</w:t>
      </w:r>
      <w:r>
        <w:t xml:space="preserve"> we </w:t>
      </w:r>
      <w:r w:rsidRPr="000F7660">
        <w:t xml:space="preserve">authorized </w:t>
      </w:r>
      <w:r>
        <w:t xml:space="preserve">SCE </w:t>
      </w:r>
      <w:r w:rsidRPr="000F7660">
        <w:t xml:space="preserve">to procure new RPS resources to meet its RPS requirements, as well as to meet its procurement targets for 2023 through 2026 pursuant to the IRP Decision. </w:t>
      </w:r>
      <w:r w:rsidR="00F41567">
        <w:t xml:space="preserve"> </w:t>
      </w:r>
      <w:r w:rsidR="003B362A">
        <w:t>It</w:t>
      </w:r>
      <w:r w:rsidRPr="000F7660">
        <w:t xml:space="preserve"> is reasonable for SCE to continue this renewable portfolio optimization strategy throughout 2023. </w:t>
      </w:r>
      <w:r w:rsidR="00F41567">
        <w:t xml:space="preserve"> </w:t>
      </w:r>
      <w:r w:rsidRPr="000F7660">
        <w:t xml:space="preserve">Allowing SCE to count its </w:t>
      </w:r>
      <w:r w:rsidR="00200FBB">
        <w:t xml:space="preserve">RPS-eligible </w:t>
      </w:r>
      <w:r w:rsidR="00046B87">
        <w:t>MTR</w:t>
      </w:r>
      <w:r w:rsidRPr="000F7660">
        <w:t xml:space="preserve"> </w:t>
      </w:r>
      <w:r w:rsidR="00200FBB">
        <w:t>procurement</w:t>
      </w:r>
      <w:r w:rsidRPr="000F7660" w:rsidR="00200FBB">
        <w:t xml:space="preserve"> </w:t>
      </w:r>
      <w:r w:rsidRPr="000F7660">
        <w:t xml:space="preserve">towards RPS compliance is a step toward coordinating procurement activities across </w:t>
      </w:r>
      <w:r w:rsidR="00917CF9">
        <w:t xml:space="preserve">RPS and IRP </w:t>
      </w:r>
      <w:r w:rsidRPr="000F7660">
        <w:t xml:space="preserve">proceedings. </w:t>
      </w:r>
      <w:r w:rsidR="00F41567">
        <w:t xml:space="preserve"> </w:t>
      </w:r>
      <w:r w:rsidR="00832EDD">
        <w:t xml:space="preserve">As noted above, SCE’s </w:t>
      </w:r>
      <w:r w:rsidR="00A13C05">
        <w:t>solicitation to procure resources to meet its 2023 and 2024</w:t>
      </w:r>
      <w:r w:rsidR="00F41567">
        <w:t xml:space="preserve"> </w:t>
      </w:r>
      <w:r w:rsidR="00A13C05">
        <w:t xml:space="preserve">IRP targets is underway. </w:t>
      </w:r>
      <w:r w:rsidR="00F41567">
        <w:t xml:space="preserve"> </w:t>
      </w:r>
      <w:r w:rsidR="00A13C05">
        <w:t>As the</w:t>
      </w:r>
      <w:r w:rsidR="00705FFD">
        <w:t xml:space="preserve"> IRP</w:t>
      </w:r>
      <w:r w:rsidR="00A13C05">
        <w:t xml:space="preserve"> contract</w:t>
      </w:r>
      <w:r w:rsidR="00705FFD">
        <w:t>ing progresses</w:t>
      </w:r>
      <w:r w:rsidR="00A13C05">
        <w:t xml:space="preserve">, we expect SCE to review its RPS portfolio to determine </w:t>
      </w:r>
      <w:r w:rsidR="00705FFD">
        <w:t xml:space="preserve">its compliance position </w:t>
      </w:r>
      <w:r w:rsidR="00A13C05">
        <w:t xml:space="preserve">after accounting for these new resources. </w:t>
      </w:r>
      <w:r w:rsidR="00F41567">
        <w:t xml:space="preserve"> </w:t>
      </w:r>
      <w:r w:rsidR="00705FFD">
        <w:t xml:space="preserve">If </w:t>
      </w:r>
      <w:r w:rsidRPr="000F7660">
        <w:t>SCE determine</w:t>
      </w:r>
      <w:r w:rsidR="00705FFD">
        <w:t>s</w:t>
      </w:r>
      <w:r w:rsidRPr="000F7660">
        <w:t xml:space="preserve"> that an RPS solicitation or bilateral contracts are needed during the time covered by the 2022 </w:t>
      </w:r>
      <w:r w:rsidR="00705FFD">
        <w:t>RPS Plan</w:t>
      </w:r>
      <w:r w:rsidRPr="000F7660" w:rsidR="00705FFD">
        <w:t xml:space="preserve"> </w:t>
      </w:r>
      <w:r w:rsidRPr="000F7660">
        <w:t xml:space="preserve">cycle, SCE </w:t>
      </w:r>
      <w:r w:rsidR="00C3496A">
        <w:t xml:space="preserve">may hold an RPS </w:t>
      </w:r>
      <w:r w:rsidR="2629A76F">
        <w:t xml:space="preserve">procurement </w:t>
      </w:r>
      <w:r w:rsidR="00C3496A">
        <w:t>solicitation</w:t>
      </w:r>
      <w:r w:rsidR="007E1359">
        <w:t xml:space="preserve"> to meet its RPS compliance </w:t>
      </w:r>
      <w:r w:rsidR="00372D94">
        <w:t>needs</w:t>
      </w:r>
      <w:r w:rsidR="00C3496A">
        <w:t>.</w:t>
      </w:r>
      <w:r w:rsidR="00BB3C2D">
        <w:t xml:space="preserve"> </w:t>
      </w:r>
    </w:p>
    <w:p w:rsidRPr="00F02A03" w:rsidR="00D14D00" w:rsidP="00FB4DD7" w:rsidRDefault="00D14D00" w14:paraId="6A712A2A" w14:textId="7CAF9B38">
      <w:pPr>
        <w:pStyle w:val="Heading3"/>
        <w:numPr>
          <w:ilvl w:val="2"/>
          <w:numId w:val="2"/>
        </w:numPr>
      </w:pPr>
      <w:bookmarkStart w:name="_Toc89176332" w:id="40"/>
      <w:bookmarkStart w:name="_Toc92717504" w:id="41"/>
      <w:bookmarkStart w:name="_Toc92727926" w:id="42"/>
      <w:bookmarkStart w:name="_Toc122180451" w:id="43"/>
      <w:r>
        <w:t>SCE’s Plan to Sell RPS Volumes</w:t>
      </w:r>
      <w:bookmarkEnd w:id="43"/>
      <w:r>
        <w:t xml:space="preserve"> </w:t>
      </w:r>
      <w:bookmarkEnd w:id="40"/>
      <w:bookmarkEnd w:id="41"/>
      <w:bookmarkEnd w:id="42"/>
    </w:p>
    <w:p w:rsidR="007E734E" w:rsidP="007E734E" w:rsidRDefault="00BF14D7" w14:paraId="151414E0" w14:textId="06A0334E">
      <w:r w:rsidRPr="003A045C">
        <w:t>SCE requests authority to conduct REC sales consistent with approval granted in its 2021 RPS Plan by maintaining a 100</w:t>
      </w:r>
      <w:r w:rsidR="00F74F29">
        <w:t xml:space="preserve"> percent </w:t>
      </w:r>
      <w:r w:rsidRPr="003A045C">
        <w:t>and 95</w:t>
      </w:r>
      <w:r w:rsidR="00F74F29">
        <w:t xml:space="preserve"> percent</w:t>
      </w:r>
      <w:r w:rsidRPr="003A045C">
        <w:t xml:space="preserve"> confidence level of compliance in CP 4 (2021-2024) and CP 5 (2025-2027), respectively.</w:t>
      </w:r>
      <w:r w:rsidR="0055660B">
        <w:t xml:space="preserve"> </w:t>
      </w:r>
      <w:r w:rsidR="0005788C">
        <w:t xml:space="preserve"> </w:t>
      </w:r>
      <w:r w:rsidR="0055660B">
        <w:t>SCE argues that it h</w:t>
      </w:r>
      <w:r w:rsidRPr="003A045C" w:rsidR="003A045C">
        <w:t>as accumulated a large REC bank</w:t>
      </w:r>
      <w:r w:rsidR="0055660B">
        <w:t xml:space="preserve"> </w:t>
      </w:r>
      <w:r w:rsidRPr="003A045C" w:rsidR="003A045C">
        <w:t>(22,934 GWh at the start of 2023) and has received authority to continue REC sales when such sales are</w:t>
      </w:r>
      <w:r w:rsidR="0055660B">
        <w:t xml:space="preserve"> </w:t>
      </w:r>
      <w:r w:rsidRPr="003A045C" w:rsidR="003A045C">
        <w:t>consistent with maintaining a high level of confidence in meeting SCE’s RPS goals.</w:t>
      </w:r>
      <w:r w:rsidR="00D14D00">
        <w:t xml:space="preserve"> </w:t>
      </w:r>
      <w:r w:rsidR="00F41567">
        <w:t xml:space="preserve"> </w:t>
      </w:r>
      <w:r w:rsidRPr="00F02A03" w:rsidR="00D14D00">
        <w:t xml:space="preserve">SCE proposes to sell PCC 1 RECs </w:t>
      </w:r>
      <w:r w:rsidR="00104C3B">
        <w:t>(</w:t>
      </w:r>
      <w:r w:rsidRPr="00F02A03" w:rsidR="00D14D00">
        <w:t>RECs and energy</w:t>
      </w:r>
      <w:r w:rsidR="00104C3B">
        <w:t>)</w:t>
      </w:r>
      <w:r w:rsidRPr="00F02A03" w:rsidR="00D14D00">
        <w:t xml:space="preserve"> related to its Bio</w:t>
      </w:r>
      <w:r w:rsidR="0002784E">
        <w:t>energy</w:t>
      </w:r>
      <w:r w:rsidRPr="00F02A03" w:rsidR="00D14D00">
        <w:t xml:space="preserve"> Renewable Auction Mechanism (BioRAM) contracts, as directed in D.18-12-003.</w:t>
      </w:r>
      <w:r w:rsidRPr="00F02A03" w:rsidR="00D14D00">
        <w:rPr>
          <w:vertAlign w:val="superscript"/>
        </w:rPr>
        <w:footnoteReference w:id="26"/>
      </w:r>
      <w:r w:rsidRPr="00F02A03" w:rsidR="00D14D00">
        <w:t xml:space="preserve"> </w:t>
      </w:r>
      <w:r w:rsidR="00D14D00">
        <w:t xml:space="preserve"> </w:t>
      </w:r>
      <w:r w:rsidRPr="00F02A03" w:rsidR="00D14D00">
        <w:t xml:space="preserve">SCE states that, even with implementing the VAMO Decision and the sale of additional RECs in </w:t>
      </w:r>
      <w:r w:rsidR="00441BAA">
        <w:t>C</w:t>
      </w:r>
      <w:r w:rsidR="008A5F3D">
        <w:t>P</w:t>
      </w:r>
      <w:r w:rsidRPr="00F02A03" w:rsidR="00441BAA">
        <w:t xml:space="preserve"> </w:t>
      </w:r>
      <w:r w:rsidRPr="00F02A03" w:rsidR="00D14D00">
        <w:t>4 (2021-2024), SCE will maintain confidence levels of 100</w:t>
      </w:r>
      <w:r w:rsidR="00441BAA">
        <w:t xml:space="preserve"> percent</w:t>
      </w:r>
      <w:r w:rsidRPr="00F02A03" w:rsidR="00441BAA">
        <w:t xml:space="preserve"> </w:t>
      </w:r>
      <w:r w:rsidRPr="00F02A03" w:rsidR="00D14D00">
        <w:t>and 95</w:t>
      </w:r>
      <w:r w:rsidR="00441BAA">
        <w:t xml:space="preserve"> percent</w:t>
      </w:r>
      <w:r w:rsidRPr="00F02A03" w:rsidR="00D14D00">
        <w:t xml:space="preserve"> for meeting its RPS C</w:t>
      </w:r>
      <w:r w:rsidR="00AF3909">
        <w:t>P</w:t>
      </w:r>
      <w:r w:rsidRPr="00F02A03" w:rsidR="00D14D00">
        <w:t xml:space="preserve"> 4 and C</w:t>
      </w:r>
      <w:r w:rsidR="00CC32B8">
        <w:t>P</w:t>
      </w:r>
      <w:r w:rsidRPr="00F02A03" w:rsidR="00D14D00">
        <w:t xml:space="preserve"> 5 targets, respectively.</w:t>
      </w:r>
      <w:r w:rsidRPr="00F02A03" w:rsidR="00D14D00">
        <w:rPr>
          <w:vertAlign w:val="superscript"/>
        </w:rPr>
        <w:footnoteReference w:id="27"/>
      </w:r>
      <w:r w:rsidRPr="00F02A03" w:rsidR="00D14D00">
        <w:t xml:space="preserve"> </w:t>
      </w:r>
      <w:r w:rsidR="00D14D00">
        <w:t xml:space="preserve"> </w:t>
      </w:r>
      <w:r w:rsidRPr="00F02A03" w:rsidR="00D14D00">
        <w:t>Further, SCE notes that selling RECs during C</w:t>
      </w:r>
      <w:r w:rsidR="008A5F3D">
        <w:t>P</w:t>
      </w:r>
      <w:r w:rsidRPr="00F02A03" w:rsidR="00D14D00">
        <w:t xml:space="preserve"> 4 at a higher price than it may be able to procure them in future years for </w:t>
      </w:r>
      <w:r w:rsidR="00CC32B8">
        <w:t>CP</w:t>
      </w:r>
      <w:r w:rsidRPr="00F02A03" w:rsidR="00D14D00">
        <w:t xml:space="preserve"> 5 will provide rate stabilization</w:t>
      </w:r>
      <w:r w:rsidRPr="00F02A03" w:rsidR="5CA23D51">
        <w:t>.</w:t>
      </w:r>
      <w:r w:rsidRPr="00F02A03" w:rsidR="00D14D00">
        <w:rPr>
          <w:vertAlign w:val="superscript"/>
        </w:rPr>
        <w:footnoteReference w:id="28"/>
      </w:r>
      <w:r w:rsidR="0000684E">
        <w:t xml:space="preserve"> </w:t>
      </w:r>
      <w:r w:rsidR="00F41567">
        <w:t xml:space="preserve"> </w:t>
      </w:r>
      <w:r w:rsidRPr="0000684E" w:rsidR="0000684E">
        <w:t xml:space="preserve">SCE contends that when </w:t>
      </w:r>
      <w:r w:rsidR="00D93BCD">
        <w:t>it is</w:t>
      </w:r>
      <w:r w:rsidRPr="0000684E" w:rsidR="00D93BCD">
        <w:t xml:space="preserve"> </w:t>
      </w:r>
      <w:r w:rsidRPr="0000684E" w:rsidR="0000684E">
        <w:t>considering whether to engage in sales of renewable energy products, it compares the value obtained from selling RECs to the costs of having to procure additional renewable energy in the future.</w:t>
      </w:r>
      <w:r w:rsidRPr="00F02A03" w:rsidR="00D14D00">
        <w:t xml:space="preserve"> </w:t>
      </w:r>
      <w:r w:rsidR="00425A3F">
        <w:t xml:space="preserve"> </w:t>
      </w:r>
      <w:r w:rsidR="00DD52BC">
        <w:t>SCE argues that selling RPS products is better than banking</w:t>
      </w:r>
      <w:r w:rsidR="00AA499A">
        <w:t xml:space="preserve"> up to the established limits. </w:t>
      </w:r>
    </w:p>
    <w:p w:rsidR="007E734E" w:rsidP="007E734E" w:rsidRDefault="007E734E" w14:paraId="0AF9838F" w14:textId="359C2911">
      <w:r>
        <w:t xml:space="preserve">Regarding </w:t>
      </w:r>
      <w:r w:rsidRPr="00F02A03">
        <w:t>bilaterally negotiated REC sales agreements</w:t>
      </w:r>
      <w:r>
        <w:t>, SCE states that</w:t>
      </w:r>
      <w:r w:rsidR="00977C31">
        <w:t>,</w:t>
      </w:r>
      <w:r>
        <w:t xml:space="preserve"> </w:t>
      </w:r>
      <w:r w:rsidR="00524EF8">
        <w:t xml:space="preserve">if </w:t>
      </w:r>
      <w:r>
        <w:t>these</w:t>
      </w:r>
      <w:r w:rsidRPr="007E734E">
        <w:t xml:space="preserve"> transactions </w:t>
      </w:r>
      <w:r w:rsidR="00524EF8">
        <w:t>have terms extending beyond 2024</w:t>
      </w:r>
      <w:r w:rsidR="30D26506">
        <w:t>,</w:t>
      </w:r>
      <w:r w:rsidR="00524EF8">
        <w:t xml:space="preserve"> they </w:t>
      </w:r>
      <w:r w:rsidRPr="007E734E">
        <w:t>would be subject to the Commission’s review and approval of</w:t>
      </w:r>
      <w:r>
        <w:t xml:space="preserve"> </w:t>
      </w:r>
      <w:r w:rsidRPr="007E734E">
        <w:t xml:space="preserve">completed transactions through a </w:t>
      </w:r>
      <w:r w:rsidRPr="00504C3B">
        <w:t>Tier</w:t>
      </w:r>
      <w:r w:rsidR="00FB4DD7">
        <w:t> </w:t>
      </w:r>
      <w:r w:rsidRPr="00504C3B">
        <w:t>3</w:t>
      </w:r>
      <w:r w:rsidRPr="007E734E">
        <w:t xml:space="preserve"> AL process.</w:t>
      </w:r>
    </w:p>
    <w:p w:rsidR="00310FCC" w:rsidP="00310FCC" w:rsidRDefault="00D14D00" w14:paraId="64A23A96" w14:textId="3615AB3D">
      <w:r w:rsidRPr="00F02A03">
        <w:t xml:space="preserve">We agree </w:t>
      </w:r>
      <w:r w:rsidR="00094F06">
        <w:t xml:space="preserve">with </w:t>
      </w:r>
      <w:r w:rsidRPr="00F02A03">
        <w:t xml:space="preserve">SCE’s overall approach </w:t>
      </w:r>
      <w:r w:rsidR="00094F06">
        <w:t xml:space="preserve">to </w:t>
      </w:r>
      <w:r w:rsidRPr="00F02A03">
        <w:t>appropriately balance the risks and costs of selling renewable energy products with the risks and costs of maintaining an RPS bank.</w:t>
      </w:r>
      <w:r>
        <w:rPr>
          <w:rStyle w:val="FootnoteReference"/>
        </w:rPr>
        <w:footnoteReference w:id="29"/>
      </w:r>
      <w:r>
        <w:t xml:space="preserve"> </w:t>
      </w:r>
      <w:r w:rsidRPr="00F02A03">
        <w:t xml:space="preserve"> </w:t>
      </w:r>
      <w:r w:rsidR="00AA499A">
        <w:t xml:space="preserve">We find merit in a </w:t>
      </w:r>
      <w:r w:rsidRPr="00AA499A" w:rsidR="00996886">
        <w:t xml:space="preserve">combination of </w:t>
      </w:r>
      <w:r w:rsidR="00BE0CA5">
        <w:t>approaches</w:t>
      </w:r>
      <w:r w:rsidR="00AA499A">
        <w:t xml:space="preserve"> that allows </w:t>
      </w:r>
      <w:r w:rsidRPr="00AA499A" w:rsidR="00996886">
        <w:t>long-term and short-term RPS procurement</w:t>
      </w:r>
      <w:r w:rsidR="00977C31">
        <w:t xml:space="preserve"> as well as</w:t>
      </w:r>
      <w:r w:rsidRPr="00AA499A" w:rsidR="00996886">
        <w:t xml:space="preserve"> simultaneous </w:t>
      </w:r>
      <w:r w:rsidRPr="00AA499A" w:rsidR="00AA499A">
        <w:t>short-term</w:t>
      </w:r>
      <w:r w:rsidRPr="00AA499A" w:rsidR="00094F06">
        <w:t xml:space="preserve"> </w:t>
      </w:r>
      <w:r w:rsidRPr="00AA499A" w:rsidR="00996886">
        <w:t>sales</w:t>
      </w:r>
      <w:r w:rsidR="00977C31">
        <w:t>, which</w:t>
      </w:r>
      <w:r w:rsidRPr="00AA499A" w:rsidR="00996886">
        <w:t xml:space="preserve"> will allow SCE to realize </w:t>
      </w:r>
      <w:r w:rsidRPr="00AA499A" w:rsidR="00AA499A">
        <w:t xml:space="preserve">the </w:t>
      </w:r>
      <w:r w:rsidRPr="00AA499A" w:rsidR="00996886">
        <w:t xml:space="preserve">incremental value to its customers while allowing </w:t>
      </w:r>
      <w:r w:rsidR="000E45EB">
        <w:t>retail sellers</w:t>
      </w:r>
      <w:r w:rsidRPr="00AA499A" w:rsidR="00996886">
        <w:t xml:space="preserve"> to build</w:t>
      </w:r>
      <w:r w:rsidRPr="00AA499A" w:rsidR="00094F06">
        <w:t xml:space="preserve"> </w:t>
      </w:r>
      <w:r w:rsidRPr="00AA499A" w:rsidR="00996886">
        <w:t>more cost-effective portfolios for their customers.</w:t>
      </w:r>
      <w:r w:rsidRPr="00541EB6" w:rsidR="00310FCC">
        <w:t xml:space="preserve"> </w:t>
      </w:r>
      <w:r w:rsidR="00977C31">
        <w:t xml:space="preserve"> </w:t>
      </w:r>
      <w:r w:rsidRPr="00541EB6" w:rsidR="00310FCC">
        <w:t xml:space="preserve">Therefore, </w:t>
      </w:r>
      <w:r w:rsidRPr="00F02A03">
        <w:t xml:space="preserve">SCE’s request to continue to engage in short-term REC sales </w:t>
      </w:r>
      <w:r w:rsidR="00310FCC">
        <w:t xml:space="preserve">is </w:t>
      </w:r>
      <w:r w:rsidRPr="00F02A03">
        <w:t>reasonable.</w:t>
      </w:r>
      <w:r>
        <w:t xml:space="preserve"> </w:t>
      </w:r>
      <w:r w:rsidRPr="00F02A03">
        <w:t xml:space="preserve"> </w:t>
      </w:r>
    </w:p>
    <w:p w:rsidR="55F67D09" w:rsidP="00FB4DD7" w:rsidRDefault="55F67D09" w14:paraId="32CF2CBA" w14:textId="691D9A1F">
      <w:pPr>
        <w:pStyle w:val="Heading3"/>
        <w:numPr>
          <w:ilvl w:val="2"/>
          <w:numId w:val="2"/>
        </w:numPr>
        <w:rPr>
          <w:rFonts w:asciiTheme="minorHAnsi" w:hAnsiTheme="minorHAnsi" w:eastAsiaTheme="minorEastAsia"/>
        </w:rPr>
      </w:pPr>
      <w:bookmarkStart w:name="_Toc122180452" w:id="44"/>
      <w:r>
        <w:t>R</w:t>
      </w:r>
      <w:r w:rsidR="00FF2F94">
        <w:t>FI</w:t>
      </w:r>
      <w:r>
        <w:t xml:space="preserve"> for</w:t>
      </w:r>
      <w:r w:rsidR="008A4FDA">
        <w:br/>
      </w:r>
      <w:r>
        <w:t>Contract Assignments and</w:t>
      </w:r>
      <w:r w:rsidR="00FB4DD7">
        <w:br/>
      </w:r>
      <w:r>
        <w:t>Contract Modifications</w:t>
      </w:r>
      <w:bookmarkEnd w:id="44"/>
      <w:r>
        <w:t xml:space="preserve"> </w:t>
      </w:r>
    </w:p>
    <w:p w:rsidR="55F67D09" w:rsidP="008A4FDA" w:rsidRDefault="55F67D09" w14:paraId="7E4F907F" w14:textId="679766E9">
      <w:pPr>
        <w:rPr>
          <w:rFonts w:eastAsia="Calibri" w:cs="Arial"/>
          <w:color w:val="000000" w:themeColor="text1"/>
        </w:rPr>
      </w:pPr>
      <w:r>
        <w:t xml:space="preserve">SCE states that, as directed by D.21-05-030, it will hold an RFI to reduce excess and/or uneconomic resources. </w:t>
      </w:r>
      <w:r w:rsidR="008A4FDA">
        <w:t xml:space="preserve"> </w:t>
      </w:r>
      <w:r w:rsidR="00FF2F94">
        <w:t>We find</w:t>
      </w:r>
      <w:r>
        <w:t xml:space="preserve"> </w:t>
      </w:r>
      <w:r w:rsidR="00FF2F94">
        <w:t>i</w:t>
      </w:r>
      <w:r>
        <w:t>t is reasonable for SCE to issue another RFI in the 2022 RPS cycle because the RFI solicitation will enable SCE to further optimize its renewable energy portfolio.</w:t>
      </w:r>
    </w:p>
    <w:p w:rsidR="005E5E08" w:rsidP="00FB4DD7" w:rsidRDefault="005E5E08" w14:paraId="00D3B6B4" w14:textId="13E44402">
      <w:pPr>
        <w:pStyle w:val="Heading3"/>
        <w:numPr>
          <w:ilvl w:val="2"/>
          <w:numId w:val="2"/>
        </w:numPr>
      </w:pPr>
      <w:bookmarkStart w:name="_Toc122180453" w:id="45"/>
      <w:r>
        <w:t>SCE’s Proposal to Modify its</w:t>
      </w:r>
      <w:r w:rsidR="00FB4DD7">
        <w:br/>
      </w:r>
      <w:r>
        <w:t xml:space="preserve">Pro Forma </w:t>
      </w:r>
      <w:r w:rsidR="004452E7">
        <w:t xml:space="preserve">Power </w:t>
      </w:r>
      <w:r>
        <w:t>Purchase Agreement</w:t>
      </w:r>
      <w:bookmarkEnd w:id="45"/>
    </w:p>
    <w:p w:rsidRPr="009A0F24" w:rsidR="00F77F37" w:rsidP="00F77F37" w:rsidRDefault="00453EEB" w14:paraId="6510489C" w14:textId="29C0D826">
      <w:r>
        <w:t xml:space="preserve">SCE seeks authority </w:t>
      </w:r>
      <w:r w:rsidR="00F52B35">
        <w:t xml:space="preserve">to </w:t>
      </w:r>
      <w:r w:rsidR="000676D8">
        <w:t xml:space="preserve">use </w:t>
      </w:r>
      <w:r w:rsidR="001C6CAC">
        <w:t xml:space="preserve">its </w:t>
      </w:r>
      <w:r w:rsidR="000676D8">
        <w:t xml:space="preserve">proposed </w:t>
      </w:r>
      <w:r w:rsidR="00C4021D">
        <w:t xml:space="preserve">2022 </w:t>
      </w:r>
      <w:r w:rsidR="0005178F">
        <w:t>pro forma R</w:t>
      </w:r>
      <w:r w:rsidR="0095503C">
        <w:t>enewable</w:t>
      </w:r>
      <w:r w:rsidR="00284A1B">
        <w:t xml:space="preserve"> </w:t>
      </w:r>
      <w:r w:rsidR="0095503C">
        <w:t>PPA</w:t>
      </w:r>
      <w:r w:rsidR="00852137">
        <w:t xml:space="preserve"> </w:t>
      </w:r>
      <w:r w:rsidR="003864EE">
        <w:t xml:space="preserve">for RPS </w:t>
      </w:r>
      <w:r w:rsidR="000B70C9">
        <w:t xml:space="preserve">procurement </w:t>
      </w:r>
      <w:r w:rsidR="003864EE">
        <w:t>solicitation</w:t>
      </w:r>
      <w:r w:rsidR="00852137">
        <w:t>s</w:t>
      </w:r>
      <w:r w:rsidR="003864EE">
        <w:t xml:space="preserve">. </w:t>
      </w:r>
      <w:r w:rsidR="00F41567">
        <w:t xml:space="preserve"> </w:t>
      </w:r>
      <w:r w:rsidR="003864EE">
        <w:t xml:space="preserve">SCE states that </w:t>
      </w:r>
      <w:r w:rsidR="007B467C">
        <w:t xml:space="preserve">its proposed pro forma Renewable PPA </w:t>
      </w:r>
      <w:r w:rsidR="00650B13">
        <w:t xml:space="preserve">aligns with its </w:t>
      </w:r>
      <w:r w:rsidRPr="009A0F24" w:rsidR="0005178F">
        <w:t xml:space="preserve">current </w:t>
      </w:r>
      <w:r w:rsidR="00441BAA">
        <w:t>t</w:t>
      </w:r>
      <w:r w:rsidRPr="009A0F24" w:rsidR="00441BAA">
        <w:t>echnology</w:t>
      </w:r>
      <w:r w:rsidR="00441BAA">
        <w:t xml:space="preserve"> n</w:t>
      </w:r>
      <w:r w:rsidRPr="009A0F24" w:rsidR="00441BAA">
        <w:t xml:space="preserve">eutral </w:t>
      </w:r>
      <w:r w:rsidRPr="009A0F24" w:rsidR="0005178F">
        <w:t>Pro Forma contract</w:t>
      </w:r>
      <w:r w:rsidR="00990238">
        <w:t>, which SCE</w:t>
      </w:r>
      <w:r w:rsidRPr="009A0F24" w:rsidR="0005178F">
        <w:t xml:space="preserve"> used in its </w:t>
      </w:r>
      <w:r w:rsidRPr="009A0F24" w:rsidR="009A0F24">
        <w:t>midterm</w:t>
      </w:r>
      <w:r w:rsidRPr="009A0F24" w:rsidR="00F77F37">
        <w:t xml:space="preserve"> reliability</w:t>
      </w:r>
      <w:r w:rsidRPr="009A0F24" w:rsidR="0005178F">
        <w:t xml:space="preserve"> solicitation.</w:t>
      </w:r>
      <w:r w:rsidRPr="009A0F24" w:rsidR="00F77F37">
        <w:t xml:space="preserve"> </w:t>
      </w:r>
      <w:r w:rsidR="00F41567">
        <w:t xml:space="preserve"> </w:t>
      </w:r>
      <w:r w:rsidRPr="009A0F24" w:rsidR="00F77F37">
        <w:t xml:space="preserve">SCE states that </w:t>
      </w:r>
      <w:r w:rsidR="002C109E">
        <w:t>the</w:t>
      </w:r>
      <w:r w:rsidR="00990238">
        <w:t xml:space="preserve"> PPA will</w:t>
      </w:r>
      <w:r w:rsidRPr="009A0F24" w:rsidR="00F77F37">
        <w:t xml:space="preserve"> ha</w:t>
      </w:r>
      <w:r w:rsidR="00990238">
        <w:t>ve</w:t>
      </w:r>
      <w:r w:rsidRPr="009A0F24" w:rsidR="00F77F37">
        <w:t xml:space="preserve"> the following provisions:</w:t>
      </w:r>
    </w:p>
    <w:p w:rsidRPr="009A0F24" w:rsidR="00F77F37" w:rsidP="00FB4DD7" w:rsidRDefault="0005178F" w14:paraId="60FD3DB8" w14:textId="63383C52">
      <w:pPr>
        <w:pStyle w:val="ListParagraph"/>
        <w:numPr>
          <w:ilvl w:val="0"/>
          <w:numId w:val="9"/>
        </w:numPr>
        <w:autoSpaceDE w:val="0"/>
        <w:autoSpaceDN w:val="0"/>
        <w:adjustRightInd w:val="0"/>
        <w:spacing w:after="120" w:line="240" w:lineRule="auto"/>
        <w:ind w:right="1440"/>
        <w:contextualSpacing w:val="0"/>
      </w:pPr>
      <w:r w:rsidRPr="009A0F24">
        <w:t>Attachment 1 includes additional information, provisions, and obligations of Seller and</w:t>
      </w:r>
      <w:r w:rsidRPr="009A0F24" w:rsidR="00F77F37">
        <w:t xml:space="preserve"> </w:t>
      </w:r>
      <w:r w:rsidRPr="009A0F24">
        <w:t>Buyer related to the renewable facility.</w:t>
      </w:r>
    </w:p>
    <w:p w:rsidRPr="009A0F24" w:rsidR="00F77F37" w:rsidP="00FB4DD7" w:rsidRDefault="0005178F" w14:paraId="2C81F02D" w14:textId="77777777">
      <w:pPr>
        <w:pStyle w:val="ListParagraph"/>
        <w:numPr>
          <w:ilvl w:val="0"/>
          <w:numId w:val="9"/>
        </w:numPr>
        <w:autoSpaceDE w:val="0"/>
        <w:autoSpaceDN w:val="0"/>
        <w:adjustRightInd w:val="0"/>
        <w:spacing w:after="120" w:line="240" w:lineRule="auto"/>
        <w:ind w:right="1440"/>
        <w:contextualSpacing w:val="0"/>
      </w:pPr>
      <w:r w:rsidRPr="009A0F24">
        <w:t>Attachment 2 includes technical specifications of the renewable project and equipment.</w:t>
      </w:r>
      <w:r w:rsidRPr="009A0F24" w:rsidR="00F77F37">
        <w:t xml:space="preserve"> </w:t>
      </w:r>
    </w:p>
    <w:p w:rsidRPr="009A0F24" w:rsidR="00F77F37" w:rsidP="00FB4DD7" w:rsidRDefault="00F77F37" w14:paraId="1381A9F0" w14:textId="77777777">
      <w:pPr>
        <w:pStyle w:val="ListParagraph"/>
        <w:numPr>
          <w:ilvl w:val="0"/>
          <w:numId w:val="9"/>
        </w:numPr>
        <w:autoSpaceDE w:val="0"/>
        <w:autoSpaceDN w:val="0"/>
        <w:adjustRightInd w:val="0"/>
        <w:spacing w:after="120" w:line="240" w:lineRule="auto"/>
        <w:ind w:right="1440"/>
        <w:contextualSpacing w:val="0"/>
      </w:pPr>
      <w:r w:rsidRPr="009A0F24">
        <w:t>A</w:t>
      </w:r>
      <w:r w:rsidRPr="009A0F24" w:rsidR="0005178F">
        <w:t>ttachment 3 includes certain commercial terms that entirely moved from the Base PPA to</w:t>
      </w:r>
      <w:r w:rsidRPr="009A0F24">
        <w:t xml:space="preserve"> </w:t>
      </w:r>
      <w:r w:rsidRPr="009A0F24" w:rsidR="0005178F">
        <w:t>this Attachment.</w:t>
      </w:r>
    </w:p>
    <w:p w:rsidR="0005178F" w:rsidP="009A0F24" w:rsidRDefault="0005178F" w14:paraId="2560E832" w14:textId="39A11B6B">
      <w:r w:rsidRPr="009A0F24">
        <w:t xml:space="preserve">SCE </w:t>
      </w:r>
      <w:r w:rsidRPr="009A0F24" w:rsidR="00F77F37">
        <w:t xml:space="preserve">further states that it has </w:t>
      </w:r>
      <w:r w:rsidRPr="009A0F24">
        <w:t xml:space="preserve">deleted certain provisions related to products that will not be procured </w:t>
      </w:r>
      <w:r w:rsidRPr="009A0F24" w:rsidR="009A0F24">
        <w:t>in the 2022 RPS Plan cycle</w:t>
      </w:r>
      <w:r w:rsidRPr="009A0F24">
        <w:t xml:space="preserve">, such as configurations for </w:t>
      </w:r>
      <w:r w:rsidRPr="009A0F24" w:rsidR="009A0F24">
        <w:t>behind-the-meter</w:t>
      </w:r>
      <w:r w:rsidRPr="009A0F24">
        <w:t xml:space="preserve"> projects, energy efficiency, demand response, tolling or non</w:t>
      </w:r>
      <w:r w:rsidR="00367B12">
        <w:noBreakHyphen/>
      </w:r>
      <w:r w:rsidRPr="009A0F24">
        <w:t>tolling energy storage, put options,</w:t>
      </w:r>
      <w:r w:rsidRPr="009A0F24" w:rsidR="009A0F24">
        <w:t xml:space="preserve"> </w:t>
      </w:r>
      <w:r w:rsidRPr="009A0F24">
        <w:t>hybrid</w:t>
      </w:r>
      <w:r w:rsidR="004A026B">
        <w:t xml:space="preserve"> resources</w:t>
      </w:r>
      <w:r w:rsidRPr="009A0F24">
        <w:t>, products related to distribution deferral and provisions related to Local Resource Constrained</w:t>
      </w:r>
      <w:r w:rsidRPr="009A0F24" w:rsidR="009A0F24">
        <w:t xml:space="preserve"> </w:t>
      </w:r>
      <w:r w:rsidRPr="009A0F24">
        <w:t xml:space="preserve">Days. </w:t>
      </w:r>
      <w:r w:rsidR="00367B12">
        <w:t xml:space="preserve"> </w:t>
      </w:r>
      <w:r w:rsidR="003C655D">
        <w:t>SCE states that it</w:t>
      </w:r>
      <w:r w:rsidRPr="009A0F24">
        <w:t xml:space="preserve"> expects to procure most, if not all, of the RPS resources required to</w:t>
      </w:r>
      <w:r w:rsidRPr="009A0F24" w:rsidR="009A0F24">
        <w:t xml:space="preserve"> </w:t>
      </w:r>
      <w:r w:rsidRPr="009A0F24">
        <w:t xml:space="preserve">meet its </w:t>
      </w:r>
      <w:r w:rsidR="003C655D">
        <w:t xml:space="preserve">midterm reliability </w:t>
      </w:r>
      <w:r w:rsidRPr="009A0F24">
        <w:t xml:space="preserve">requirements through the authority given under the IRP Decision. </w:t>
      </w:r>
      <w:r w:rsidR="00001CC6">
        <w:t xml:space="preserve"> </w:t>
      </w:r>
      <w:r w:rsidR="003C655D">
        <w:t>SCE contends</w:t>
      </w:r>
      <w:r w:rsidRPr="009A0F24">
        <w:t xml:space="preserve"> </w:t>
      </w:r>
      <w:r w:rsidR="003C655D">
        <w:t xml:space="preserve">that it deleted </w:t>
      </w:r>
      <w:r w:rsidRPr="009A0F24">
        <w:t>these</w:t>
      </w:r>
      <w:r w:rsidR="00BB12FF">
        <w:t xml:space="preserve"> provisions because it plans to procure the related</w:t>
      </w:r>
      <w:r w:rsidRPr="009A0F24">
        <w:t xml:space="preserve"> products</w:t>
      </w:r>
      <w:r w:rsidRPr="009A0F24" w:rsidR="009A0F24">
        <w:t xml:space="preserve"> </w:t>
      </w:r>
      <w:r w:rsidRPr="009A0F24">
        <w:t xml:space="preserve">under the </w:t>
      </w:r>
      <w:r w:rsidR="003C655D">
        <w:t xml:space="preserve">IRP </w:t>
      </w:r>
      <w:r w:rsidRPr="009A0F24">
        <w:t xml:space="preserve">Decision, if needed, rather than this RPS Plan. </w:t>
      </w:r>
    </w:p>
    <w:p w:rsidR="00046B87" w:rsidP="00DF4E52" w:rsidRDefault="00D41550" w14:paraId="26095C65" w14:textId="6630EEA9">
      <w:r>
        <w:t>We find SCE’s</w:t>
      </w:r>
      <w:r w:rsidRPr="00DF4E52" w:rsidR="00E62E18">
        <w:t xml:space="preserve"> 2022 PPA </w:t>
      </w:r>
      <w:r w:rsidRPr="00DF4E52" w:rsidR="00AC604C">
        <w:t>is</w:t>
      </w:r>
      <w:r w:rsidRPr="00DF4E52" w:rsidR="00E62E18">
        <w:t xml:space="preserve"> based on the technology neutral pro forma contract</w:t>
      </w:r>
      <w:r w:rsidR="00AC604C">
        <w:t xml:space="preserve"> </w:t>
      </w:r>
      <w:r w:rsidRPr="00DF4E52" w:rsidR="00E62E18">
        <w:t xml:space="preserve">approved by the Commission in Resolution E-5004 for contracting for </w:t>
      </w:r>
      <w:r w:rsidR="00DF4E52">
        <w:t>in-front-of-the-meter</w:t>
      </w:r>
      <w:r w:rsidRPr="00DF4E52" w:rsidR="00E62E18">
        <w:t xml:space="preserve"> renewable</w:t>
      </w:r>
      <w:r w:rsidR="00DF4E52">
        <w:t xml:space="preserve"> </w:t>
      </w:r>
      <w:r w:rsidRPr="00DF4E52" w:rsidR="00E62E18">
        <w:t>energy resources</w:t>
      </w:r>
      <w:r w:rsidR="00953B18">
        <w:t xml:space="preserve">. </w:t>
      </w:r>
      <w:r w:rsidR="00001CC6">
        <w:t xml:space="preserve"> </w:t>
      </w:r>
      <w:r w:rsidR="00953B18">
        <w:t xml:space="preserve">The revised </w:t>
      </w:r>
      <w:r w:rsidR="002C109E">
        <w:t xml:space="preserve">PPA </w:t>
      </w:r>
      <w:r w:rsidR="00953B18">
        <w:t xml:space="preserve">is based on </w:t>
      </w:r>
      <w:r w:rsidRPr="00DF4E52" w:rsidR="00E62E18">
        <w:t>provisions consistent with SCE’s MTR solicitations for new</w:t>
      </w:r>
      <w:r w:rsidRPr="00DF4E52" w:rsidR="00DF4E52">
        <w:t xml:space="preserve"> </w:t>
      </w:r>
      <w:r w:rsidRPr="00DF4E52" w:rsidR="00E62E18">
        <w:t>projects</w:t>
      </w:r>
      <w:r w:rsidR="00DF4E52">
        <w:t xml:space="preserve"> </w:t>
      </w:r>
      <w:r w:rsidRPr="00DF4E52" w:rsidR="00E62E18">
        <w:t>to achieve commercial operation in 2023 and 2024.</w:t>
      </w:r>
      <w:r w:rsidR="00DF4E52">
        <w:t xml:space="preserve"> </w:t>
      </w:r>
      <w:r w:rsidR="00001CC6">
        <w:t xml:space="preserve"> </w:t>
      </w:r>
      <w:r w:rsidR="008A0626">
        <w:t>Given the fact that SCE plans to procure</w:t>
      </w:r>
      <w:r w:rsidR="007F3ADE">
        <w:t xml:space="preserve"> </w:t>
      </w:r>
      <w:r w:rsidR="008A0626">
        <w:t>only in-front-of the meter resources</w:t>
      </w:r>
      <w:r w:rsidR="00406378">
        <w:t xml:space="preserve"> that </w:t>
      </w:r>
      <w:r w:rsidR="00D04C8D">
        <w:t>are</w:t>
      </w:r>
      <w:r w:rsidR="00406378">
        <w:t xml:space="preserve"> RPS eligible</w:t>
      </w:r>
      <w:r w:rsidR="008A0626">
        <w:t xml:space="preserve"> </w:t>
      </w:r>
      <w:r w:rsidR="00406378">
        <w:t xml:space="preserve">it </w:t>
      </w:r>
      <w:r w:rsidR="0066433D">
        <w:t>is logical to use the revised</w:t>
      </w:r>
      <w:r w:rsidR="00D041F5">
        <w:t xml:space="preserve"> PPA. </w:t>
      </w:r>
      <w:r w:rsidR="00001CC6">
        <w:t xml:space="preserve"> </w:t>
      </w:r>
      <w:r w:rsidR="00D041F5">
        <w:t xml:space="preserve">Therefore, we grant SCE approval to use revised PPA to procure RPS eligible resources. </w:t>
      </w:r>
    </w:p>
    <w:p w:rsidRPr="00F02A03" w:rsidR="00D14D00" w:rsidP="00CC3059" w:rsidRDefault="00D14D00" w14:paraId="650EEBB5" w14:textId="2C6F5B80">
      <w:pPr>
        <w:pStyle w:val="Heading2"/>
        <w:numPr>
          <w:ilvl w:val="1"/>
          <w:numId w:val="2"/>
        </w:numPr>
        <w:rPr>
          <w:rFonts w:asciiTheme="minorHAnsi" w:hAnsiTheme="minorHAnsi" w:eastAsiaTheme="minorEastAsia"/>
        </w:rPr>
      </w:pPr>
      <w:bookmarkStart w:name="_Toc122180454" w:id="46"/>
      <w:r>
        <w:t>SDG&amp;E</w:t>
      </w:r>
      <w:r w:rsidR="00A2386A">
        <w:t>’</w:t>
      </w:r>
      <w:r>
        <w:t xml:space="preserve"> Draft 202</w:t>
      </w:r>
      <w:r w:rsidR="0006011F">
        <w:t>2</w:t>
      </w:r>
      <w:r>
        <w:t xml:space="preserve"> RPS Plan</w:t>
      </w:r>
      <w:bookmarkEnd w:id="46"/>
    </w:p>
    <w:p w:rsidR="003C31B0" w:rsidP="00BD3611" w:rsidRDefault="00D14D00" w14:paraId="609C5793" w14:textId="37D88EA4">
      <w:r>
        <w:t xml:space="preserve">SDG&amp;E’s </w:t>
      </w:r>
      <w:r w:rsidR="00A2386A">
        <w:t xml:space="preserve">Draft </w:t>
      </w:r>
      <w:r w:rsidR="006B2FD7">
        <w:t>2022 RPS Plan contains each of the elements required in Table</w:t>
      </w:r>
      <w:r w:rsidR="00001CC6">
        <w:t> </w:t>
      </w:r>
      <w:r w:rsidR="006B2FD7">
        <w:t>1</w:t>
      </w:r>
      <w:r w:rsidR="00001CC6">
        <w:t> </w:t>
      </w:r>
      <w:r w:rsidR="006B2FD7">
        <w:t xml:space="preserve">of the </w:t>
      </w:r>
      <w:r w:rsidR="00FF4C5D">
        <w:t xml:space="preserve">2022 </w:t>
      </w:r>
      <w:r w:rsidR="006B2FD7">
        <w:t>ACR.</w:t>
      </w:r>
    </w:p>
    <w:p w:rsidR="001554EE" w:rsidP="00BD3611" w:rsidRDefault="00300146" w14:paraId="5DE2A33E" w14:textId="3113101C">
      <w:r>
        <w:t xml:space="preserve">Upon review, we find </w:t>
      </w:r>
      <w:r w:rsidR="00306676">
        <w:t xml:space="preserve">SDG&amp;E is authorized </w:t>
      </w:r>
      <w:r w:rsidR="00313723">
        <w:t xml:space="preserve">to conduct an </w:t>
      </w:r>
      <w:r w:rsidR="00306676">
        <w:t xml:space="preserve">RPS procurement </w:t>
      </w:r>
      <w:r w:rsidR="00284A1B">
        <w:t xml:space="preserve">solicitation </w:t>
      </w:r>
      <w:r w:rsidR="00306676">
        <w:t xml:space="preserve">and optional RPS sales </w:t>
      </w:r>
      <w:r w:rsidR="00284A1B">
        <w:t>solicitations</w:t>
      </w:r>
      <w:r w:rsidR="00313723">
        <w:t xml:space="preserve">, if needed to balance its portfolio. </w:t>
      </w:r>
      <w:r w:rsidR="00001CC6">
        <w:t xml:space="preserve"> </w:t>
      </w:r>
      <w:r w:rsidR="003C31B0">
        <w:t xml:space="preserve">Additionally, SDG&amp;E </w:t>
      </w:r>
      <w:r w:rsidR="003247CB">
        <w:t>is au</w:t>
      </w:r>
      <w:r w:rsidR="00541C60">
        <w:t>thorized to hold an RFI in the 202</w:t>
      </w:r>
      <w:r w:rsidR="00FD7909">
        <w:t>2</w:t>
      </w:r>
      <w:r w:rsidR="00541C60">
        <w:t xml:space="preserve"> RPS cycle pursuant to D.21-05-030.</w:t>
      </w:r>
    </w:p>
    <w:p w:rsidRPr="00F02A03" w:rsidR="00BD3611" w:rsidP="00FB4DD7" w:rsidRDefault="00BD3611" w14:paraId="19FCA393" w14:textId="64A5A9CF">
      <w:pPr>
        <w:pStyle w:val="Heading3"/>
        <w:numPr>
          <w:ilvl w:val="2"/>
          <w:numId w:val="2"/>
        </w:numPr>
      </w:pPr>
      <w:bookmarkStart w:name="_Toc122180455" w:id="47"/>
      <w:r>
        <w:t>Request</w:t>
      </w:r>
      <w:r w:rsidR="005D101F">
        <w:t xml:space="preserve"> to Procure </w:t>
      </w:r>
      <w:r w:rsidR="003247CB">
        <w:t>RPS</w:t>
      </w:r>
      <w:r w:rsidR="00FB4DD7">
        <w:br/>
        <w:t>E</w:t>
      </w:r>
      <w:r w:rsidR="003247CB">
        <w:t>ligible Resources</w:t>
      </w:r>
      <w:bookmarkEnd w:id="47"/>
    </w:p>
    <w:p w:rsidR="00D536C7" w:rsidP="008C3030" w:rsidRDefault="00975F11" w14:paraId="311A5715" w14:textId="5F8B626C">
      <w:r>
        <w:t>SDG&amp;E seeks approval for optional RPS procurement.</w:t>
      </w:r>
      <w:r w:rsidR="009B5B95">
        <w:t xml:space="preserve"> </w:t>
      </w:r>
      <w:r>
        <w:t xml:space="preserve"> SDG&amp;E states that the cumulative impact of departing load and the VAMO process could result in it being in a short position.</w:t>
      </w:r>
      <w:r w:rsidR="008C3030">
        <w:t xml:space="preserve"> </w:t>
      </w:r>
      <w:r w:rsidR="00001CC6">
        <w:t xml:space="preserve"> </w:t>
      </w:r>
      <w:r w:rsidRPr="008C3030" w:rsidR="00D536C7">
        <w:t xml:space="preserve">SDG&amp;E contents that </w:t>
      </w:r>
      <w:r w:rsidRPr="008C3030" w:rsidR="000C0C10">
        <w:t>a r</w:t>
      </w:r>
      <w:r w:rsidRPr="008C3030" w:rsidR="00D536C7">
        <w:t xml:space="preserve">eduction in SDG&amp;E’s RPS portfolio </w:t>
      </w:r>
      <w:r w:rsidRPr="008C3030" w:rsidR="000C0C10">
        <w:t xml:space="preserve">assumes that CCAs and ESPs in its </w:t>
      </w:r>
      <w:r w:rsidRPr="008C3030" w:rsidR="00D536C7">
        <w:t>territory will either accept 100</w:t>
      </w:r>
      <w:r w:rsidR="00001CC6">
        <w:t> </w:t>
      </w:r>
      <w:r w:rsidRPr="008C3030" w:rsidR="000C0C10">
        <w:t>percent</w:t>
      </w:r>
      <w:r w:rsidRPr="008C3030" w:rsidR="00D536C7">
        <w:t xml:space="preserve"> of their voluntary allocation, or that all unallocated</w:t>
      </w:r>
      <w:r w:rsidRPr="008C3030" w:rsidR="000C0C10">
        <w:t xml:space="preserve"> </w:t>
      </w:r>
      <w:r w:rsidRPr="008C3030" w:rsidR="00D536C7">
        <w:t>amounts will</w:t>
      </w:r>
      <w:r w:rsidR="008A4FDA">
        <w:br/>
      </w:r>
      <w:r w:rsidRPr="008C3030" w:rsidR="00D536C7">
        <w:t>be sold in the Market Offer process.</w:t>
      </w:r>
    </w:p>
    <w:p w:rsidR="00AC16A7" w:rsidP="00AC16A7" w:rsidRDefault="00E129B8" w14:paraId="46534A0A" w14:textId="49B2F717">
      <w:r w:rsidRPr="0060332C">
        <w:t xml:space="preserve">As part of SDG&amp;E’s conforming </w:t>
      </w:r>
      <w:r>
        <w:t>RNS</w:t>
      </w:r>
      <w:r w:rsidRPr="0060332C">
        <w:t xml:space="preserve"> modeling, </w:t>
      </w:r>
      <w:r w:rsidRPr="00E41476" w:rsidR="00E41476">
        <w:t xml:space="preserve">SDG&amp;E anticipates </w:t>
      </w:r>
      <w:r>
        <w:t xml:space="preserve">being short in the near future. </w:t>
      </w:r>
      <w:r w:rsidR="000A05B9">
        <w:t xml:space="preserve">Nonetheless, SDG&amp;E anticipated </w:t>
      </w:r>
      <w:r w:rsidRPr="00E41476" w:rsidR="00E41476">
        <w:t>meeting its RPS</w:t>
      </w:r>
      <w:r w:rsidR="00E41476">
        <w:t xml:space="preserve"> </w:t>
      </w:r>
      <w:r w:rsidRPr="00E41476" w:rsidR="00E41476">
        <w:t xml:space="preserve">requirements for each </w:t>
      </w:r>
      <w:r w:rsidR="00E41476">
        <w:t>compliance period</w:t>
      </w:r>
      <w:r w:rsidRPr="00E41476" w:rsidR="00E41476">
        <w:t xml:space="preserve"> through 2032 </w:t>
      </w:r>
      <w:r w:rsidR="009B5B95">
        <w:t>using:  (1)</w:t>
      </w:r>
      <w:r w:rsidRPr="00E41476" w:rsidR="00E41476">
        <w:t xml:space="preserve"> its portion of the RPS portfolio</w:t>
      </w:r>
      <w:r w:rsidR="009B5B95">
        <w:t>,</w:t>
      </w:r>
      <w:r w:rsidRPr="00E41476" w:rsidR="00E41476">
        <w:t xml:space="preserve"> after impacts of the</w:t>
      </w:r>
      <w:r w:rsidR="00E41476">
        <w:t xml:space="preserve"> </w:t>
      </w:r>
      <w:r w:rsidR="009715F2">
        <w:t>VAMO process</w:t>
      </w:r>
      <w:r w:rsidRPr="00E41476" w:rsidR="00E41476">
        <w:t xml:space="preserve"> are considered</w:t>
      </w:r>
      <w:r w:rsidR="009B5B95">
        <w:t>;</w:t>
      </w:r>
      <w:r w:rsidRPr="00E41476" w:rsidR="00E41476">
        <w:t xml:space="preserve"> </w:t>
      </w:r>
      <w:r w:rsidR="009B5B95">
        <w:t>(2)</w:t>
      </w:r>
      <w:r w:rsidRPr="00E41476" w:rsidR="00E41476">
        <w:t xml:space="preserve"> by procuring new renewable</w:t>
      </w:r>
      <w:r w:rsidR="00E41476">
        <w:t xml:space="preserve"> </w:t>
      </w:r>
      <w:r w:rsidRPr="00E41476" w:rsidR="00E41476">
        <w:t>resources</w:t>
      </w:r>
      <w:r w:rsidR="00E41476">
        <w:t xml:space="preserve"> </w:t>
      </w:r>
      <w:r w:rsidR="00F0276D">
        <w:t xml:space="preserve">either </w:t>
      </w:r>
      <w:r w:rsidRPr="00E41476" w:rsidR="00E41476">
        <w:t>through a competitive solicitation</w:t>
      </w:r>
      <w:r w:rsidR="00F0276D">
        <w:t xml:space="preserve"> </w:t>
      </w:r>
      <w:r w:rsidRPr="00E41476" w:rsidR="00E41476">
        <w:t>or bilaterally, as needed</w:t>
      </w:r>
      <w:r w:rsidR="009B5B95">
        <w:t>;</w:t>
      </w:r>
      <w:r w:rsidRPr="00E41476" w:rsidR="00E41476">
        <w:t xml:space="preserve"> or </w:t>
      </w:r>
      <w:r w:rsidR="009B5B95">
        <w:t>(</w:t>
      </w:r>
      <w:r w:rsidR="006E551C">
        <w:t>3</w:t>
      </w:r>
      <w:r w:rsidR="009B5B95">
        <w:t xml:space="preserve">) </w:t>
      </w:r>
      <w:r w:rsidRPr="00E41476" w:rsidR="00E41476">
        <w:t>by leveraging the bank.</w:t>
      </w:r>
      <w:r w:rsidR="00AC16A7">
        <w:t xml:space="preserve"> </w:t>
      </w:r>
      <w:r w:rsidR="00001CC6">
        <w:t xml:space="preserve"> </w:t>
      </w:r>
      <w:r w:rsidR="006F428E">
        <w:t>SDG&amp;E</w:t>
      </w:r>
      <w:r w:rsidR="00863F27">
        <w:t xml:space="preserve"> further states that </w:t>
      </w:r>
      <w:r w:rsidR="008268C3">
        <w:t xml:space="preserve">it seeks an option to hold </w:t>
      </w:r>
      <w:r w:rsidR="00EF1613">
        <w:t xml:space="preserve">procurement </w:t>
      </w:r>
      <w:r w:rsidR="008268C3">
        <w:t xml:space="preserve">solicitations </w:t>
      </w:r>
      <w:r w:rsidR="00863F27">
        <w:t>if its projected resources</w:t>
      </w:r>
      <w:r w:rsidR="006F428E">
        <w:t>,</w:t>
      </w:r>
      <w:r w:rsidR="00863F27">
        <w:t xml:space="preserve"> such as geothermal or </w:t>
      </w:r>
      <w:r w:rsidR="001D5914">
        <w:t>RPS-eligible hybrid resources</w:t>
      </w:r>
      <w:r w:rsidR="006F428E">
        <w:t>,</w:t>
      </w:r>
      <w:r w:rsidR="001D5914">
        <w:t xml:space="preserve"> are unable to deliver</w:t>
      </w:r>
      <w:r w:rsidR="007C0001">
        <w:t xml:space="preserve">. </w:t>
      </w:r>
      <w:r w:rsidR="001D5914">
        <w:t xml:space="preserve"> </w:t>
      </w:r>
    </w:p>
    <w:p w:rsidR="00966436" w:rsidP="00904ECD" w:rsidRDefault="00966436" w14:paraId="59B86520" w14:textId="135E01D6">
      <w:r w:rsidRPr="00F02A03">
        <w:t xml:space="preserve">Given the </w:t>
      </w:r>
      <w:r>
        <w:t>uncertain final</w:t>
      </w:r>
      <w:r w:rsidRPr="00F02A03">
        <w:t xml:space="preserve"> impact of VAMO</w:t>
      </w:r>
      <w:r w:rsidR="00AC16A7">
        <w:t xml:space="preserve"> and the impact of</w:t>
      </w:r>
      <w:r w:rsidR="00A24776">
        <w:t xml:space="preserve"> departing load</w:t>
      </w:r>
      <w:r w:rsidR="003223AB">
        <w:t>,</w:t>
      </w:r>
      <w:r w:rsidR="00A24776">
        <w:t xml:space="preserve"> </w:t>
      </w:r>
      <w:r w:rsidRPr="00F02A03">
        <w:t>SDG&amp;E</w:t>
      </w:r>
      <w:r>
        <w:t xml:space="preserve">’s desire to have flexibility in optimizing </w:t>
      </w:r>
      <w:r w:rsidR="006F428E">
        <w:t>its</w:t>
      </w:r>
      <w:r>
        <w:t xml:space="preserve"> portfolio has merit</w:t>
      </w:r>
      <w:r w:rsidR="003223AB">
        <w:t xml:space="preserve">. </w:t>
      </w:r>
      <w:r w:rsidR="00001CC6">
        <w:t xml:space="preserve"> </w:t>
      </w:r>
      <w:r w:rsidR="003223AB">
        <w:t xml:space="preserve">It is reasonable </w:t>
      </w:r>
      <w:r>
        <w:t xml:space="preserve">to </w:t>
      </w:r>
      <w:r w:rsidR="00904ECD">
        <w:t xml:space="preserve">grant </w:t>
      </w:r>
      <w:r>
        <w:t>optional procurement.</w:t>
      </w:r>
      <w:r w:rsidR="00904ECD">
        <w:t xml:space="preserve"> </w:t>
      </w:r>
      <w:r w:rsidR="00001CC6">
        <w:t xml:space="preserve"> </w:t>
      </w:r>
      <w:r>
        <w:t xml:space="preserve">For procurement activities, any solicitation must be subject to the volumetric cap identified in </w:t>
      </w:r>
      <w:r w:rsidR="006F428E">
        <w:t>SDG&amp;E’s</w:t>
      </w:r>
      <w:r>
        <w:t xml:space="preserve"> </w:t>
      </w:r>
      <w:r w:rsidR="00EA147B">
        <w:t>D</w:t>
      </w:r>
      <w:r w:rsidR="004D68B1">
        <w:t>raft 2022 RPS P</w:t>
      </w:r>
      <w:r>
        <w:t xml:space="preserve">lan.  </w:t>
      </w:r>
    </w:p>
    <w:p w:rsidRPr="00F02A03" w:rsidR="003F2482" w:rsidP="00FB4DD7" w:rsidRDefault="003F2482" w14:paraId="5BDE3FFD" w14:textId="77777777">
      <w:pPr>
        <w:pStyle w:val="Heading3"/>
        <w:numPr>
          <w:ilvl w:val="2"/>
          <w:numId w:val="2"/>
        </w:numPr>
      </w:pPr>
      <w:bookmarkStart w:name="_Toc122180456" w:id="48"/>
      <w:r>
        <w:t>RPS Sales Framework</w:t>
      </w:r>
      <w:bookmarkEnd w:id="48"/>
      <w:r>
        <w:t xml:space="preserve"> </w:t>
      </w:r>
    </w:p>
    <w:p w:rsidR="003F2482" w:rsidP="003F2482" w:rsidRDefault="003F2482" w14:paraId="7849AD0A" w14:textId="77777777">
      <w:pPr>
        <w:pStyle w:val="Standard"/>
      </w:pPr>
      <w:r w:rsidRPr="004D6953">
        <w:t>Regarding RPS Sales, SDG&amp;E also requests optional authorization to sell RPS volumes in</w:t>
      </w:r>
      <w:r>
        <w:t xml:space="preserve"> </w:t>
      </w:r>
      <w:r w:rsidRPr="004D6953">
        <w:t>accordance with SDG&amp;E’s RECs Sales Framework to further optimize SDG&amp;E’s portfolio and to</w:t>
      </w:r>
      <w:r>
        <w:t xml:space="preserve"> </w:t>
      </w:r>
      <w:r w:rsidRPr="004D6953">
        <w:t xml:space="preserve">provide benefits to customers, if necessary, while maintaining RPS compliance. </w:t>
      </w:r>
    </w:p>
    <w:p w:rsidR="003F2482" w:rsidP="003F2482" w:rsidRDefault="003F2482" w14:paraId="3D805A8F" w14:textId="77777777">
      <w:r>
        <w:t xml:space="preserve">SDG&amp;E states that </w:t>
      </w:r>
      <w:r w:rsidRPr="00530AD7">
        <w:t>appropriate price thresholds of any potential sales opportunity will be</w:t>
      </w:r>
      <w:r>
        <w:t xml:space="preserve"> </w:t>
      </w:r>
      <w:r w:rsidRPr="00530AD7">
        <w:t>dependent upon the results of SDG&amp;E’s quantitative and qualitative evaluation at the time of the transaction, and its reasonableness will be determined by the Commission as it acts on SDG&amp;E’s advice letter requesting approval of the transaction.</w:t>
      </w:r>
      <w:r>
        <w:t xml:space="preserve"> </w:t>
      </w:r>
    </w:p>
    <w:p w:rsidRPr="00F02A03" w:rsidR="003F2482" w:rsidP="003F2482" w:rsidRDefault="003F2482" w14:paraId="001EF898" w14:textId="6C303AED">
      <w:r>
        <w:t xml:space="preserve">Given that there is uncertainty on how much RPS-eligible resources will remain in SDG&amp;E’s RPS portfolio after the VAMO cycle, </w:t>
      </w:r>
      <w:r w:rsidR="001A10CC">
        <w:t xml:space="preserve">we find </w:t>
      </w:r>
      <w:r>
        <w:t>it is reasonable for SDG&amp;E to have the option to consider</w:t>
      </w:r>
      <w:r w:rsidR="001A10CC">
        <w:t>,</w:t>
      </w:r>
      <w:r>
        <w:t xml:space="preserve"> via qualitative and quantitative assessment</w:t>
      </w:r>
      <w:r w:rsidR="001A10CC">
        <w:t>,</w:t>
      </w:r>
      <w:r>
        <w:t xml:space="preserve"> whether it wants to sell RPS resources or bank them. </w:t>
      </w:r>
      <w:r w:rsidR="00001CC6">
        <w:t xml:space="preserve"> </w:t>
      </w:r>
      <w:r>
        <w:t xml:space="preserve">If the market is favorable and there is opportunity to sell excess RPS resources as an economically beneficial option for the customer, then it is reasonable for SDG&amp;E to sell the excess resources.  Therefore, </w:t>
      </w:r>
      <w:r w:rsidR="001A10CC">
        <w:t xml:space="preserve">we authorize </w:t>
      </w:r>
      <w:r>
        <w:t xml:space="preserve">SDG&amp;E to </w:t>
      </w:r>
      <w:r w:rsidRPr="00114397">
        <w:t xml:space="preserve">sell RPS volumes in accordance </w:t>
      </w:r>
      <w:r w:rsidRPr="00114397" w:rsidR="00706550">
        <w:t>with</w:t>
      </w:r>
      <w:r w:rsidRPr="00114397">
        <w:t xml:space="preserve"> SDG&amp;E’s RECs Sales Framework to further optimize </w:t>
      </w:r>
      <w:r w:rsidR="0013102E">
        <w:t>it</w:t>
      </w:r>
      <w:r w:rsidRPr="00114397">
        <w:t xml:space="preserve">s portfolio. </w:t>
      </w:r>
    </w:p>
    <w:p w:rsidRPr="004D6953" w:rsidR="003F2482" w:rsidP="003F2482" w:rsidRDefault="003F2482" w14:paraId="3F338E20" w14:textId="655CC91B">
      <w:pPr>
        <w:pStyle w:val="Standard"/>
      </w:pPr>
      <w:r w:rsidRPr="004D6953">
        <w:t>In accordance</w:t>
      </w:r>
      <w:r>
        <w:t xml:space="preserve"> </w:t>
      </w:r>
      <w:r w:rsidRPr="004D6953">
        <w:t xml:space="preserve">with D.22-01-004, SDG&amp;E </w:t>
      </w:r>
      <w:r>
        <w:t>s</w:t>
      </w:r>
      <w:r w:rsidRPr="004D6953">
        <w:t>ubmit</w:t>
      </w:r>
      <w:r>
        <w:t>ted</w:t>
      </w:r>
      <w:r w:rsidRPr="004D6953">
        <w:t xml:space="preserve"> final versions of its short- and long-term procurement</w:t>
      </w:r>
      <w:r>
        <w:t xml:space="preserve"> PPAs, </w:t>
      </w:r>
      <w:r w:rsidRPr="004D6953">
        <w:t>bundled and unbundled pro forma sales contracts,</w:t>
      </w:r>
      <w:r>
        <w:t xml:space="preserve"> </w:t>
      </w:r>
      <w:r w:rsidRPr="004D6953">
        <w:t>including a pro</w:t>
      </w:r>
      <w:r w:rsidR="00AE16FF">
        <w:t xml:space="preserve"> </w:t>
      </w:r>
      <w:r w:rsidRPr="004D6953">
        <w:t xml:space="preserve">forma contract specific to </w:t>
      </w:r>
      <w:r>
        <w:t xml:space="preserve">BioRAM </w:t>
      </w:r>
      <w:r w:rsidRPr="004D6953">
        <w:t>REC sales, and its RPS sales framework.</w:t>
      </w:r>
    </w:p>
    <w:p w:rsidR="003F2482" w:rsidP="003F2482" w:rsidRDefault="00AE16FF" w14:paraId="37E0303A" w14:textId="3B481D57">
      <w:r>
        <w:t xml:space="preserve">We find </w:t>
      </w:r>
      <w:r w:rsidR="003F2482">
        <w:t xml:space="preserve">SDG&amp;E’s supporting PPAs, and pro forma contracts reasonable and should be approved.  </w:t>
      </w:r>
    </w:p>
    <w:p w:rsidR="008B381B" w:rsidP="00FB4DD7" w:rsidRDefault="008B381B" w14:paraId="139BBC25" w14:textId="60AC0CDE">
      <w:pPr>
        <w:pStyle w:val="Heading3"/>
        <w:numPr>
          <w:ilvl w:val="2"/>
          <w:numId w:val="2"/>
        </w:numPr>
      </w:pPr>
      <w:bookmarkStart w:name="_Toc122180457" w:id="49"/>
      <w:r>
        <w:t>R</w:t>
      </w:r>
      <w:r w:rsidR="00D3015B">
        <w:t>FI</w:t>
      </w:r>
      <w:r>
        <w:t xml:space="preserve"> for</w:t>
      </w:r>
      <w:r w:rsidR="00851420">
        <w:t xml:space="preserve"> </w:t>
      </w:r>
      <w:r>
        <w:t xml:space="preserve">Contract Assignments </w:t>
      </w:r>
      <w:r w:rsidR="0054549C">
        <w:t>and</w:t>
      </w:r>
      <w:r w:rsidR="00FB4DD7">
        <w:br/>
      </w:r>
      <w:r w:rsidR="0054549C">
        <w:t>Contract Modifications</w:t>
      </w:r>
      <w:bookmarkEnd w:id="49"/>
    </w:p>
    <w:p w:rsidR="00AF7813" w:rsidP="00B8143F" w:rsidRDefault="007374C7" w14:paraId="03127BFD" w14:textId="0ECBC506">
      <w:pPr>
        <w:rPr>
          <w:rFonts w:eastAsia="Book Antiqua" w:cs="Book Antiqua"/>
        </w:rPr>
      </w:pPr>
      <w:r w:rsidRPr="00155F19">
        <w:t>In D.21-05-030, we directed SDG&amp;E to optimize its RPS portfolio, specifically</w:t>
      </w:r>
      <w:r w:rsidR="00155F19">
        <w:t xml:space="preserve"> </w:t>
      </w:r>
      <w:r w:rsidRPr="00155F19">
        <w:t>utilizing a</w:t>
      </w:r>
      <w:r w:rsidR="00D3015B">
        <w:t>n RFI</w:t>
      </w:r>
      <w:r w:rsidRPr="00155F19">
        <w:t xml:space="preserve"> process for Contract Assignments and Contract</w:t>
      </w:r>
      <w:r w:rsidR="00210C5F">
        <w:t xml:space="preserve"> </w:t>
      </w:r>
      <w:r w:rsidRPr="00155F19">
        <w:t>Modifications to right-size its supply portfolio</w:t>
      </w:r>
      <w:r w:rsidR="00F10591">
        <w:t>.</w:t>
      </w:r>
      <w:r w:rsidR="00F10591">
        <w:rPr>
          <w:rStyle w:val="FootnoteReference"/>
        </w:rPr>
        <w:footnoteReference w:id="30"/>
      </w:r>
      <w:r w:rsidRPr="00155F19">
        <w:t xml:space="preserve"> </w:t>
      </w:r>
      <w:r w:rsidR="00001CC6">
        <w:t xml:space="preserve"> </w:t>
      </w:r>
      <w:r w:rsidRPr="00AF7813" w:rsidR="00AF7813">
        <w:t>SDG&amp;E’s</w:t>
      </w:r>
      <w:r w:rsidR="00AF7813">
        <w:rPr>
          <w:rFonts w:hint="eastAsia" w:eastAsia="Book Antiqua" w:cs="Book Antiqua"/>
        </w:rPr>
        <w:t xml:space="preserve"> </w:t>
      </w:r>
      <w:r w:rsidRPr="00AF7813" w:rsidR="00AF7813">
        <w:t>RFI</w:t>
      </w:r>
      <w:r w:rsidR="00AF7813">
        <w:rPr>
          <w:rFonts w:hint="eastAsia" w:eastAsia="Book Antiqua" w:cs="Book Antiqua"/>
        </w:rPr>
        <w:t xml:space="preserve"> </w:t>
      </w:r>
      <w:r w:rsidRPr="00AF7813" w:rsidR="00AF7813">
        <w:t>process</w:t>
      </w:r>
      <w:r w:rsidR="00AF7813">
        <w:rPr>
          <w:rFonts w:hint="eastAsia" w:eastAsia="Book Antiqua" w:cs="Book Antiqua"/>
        </w:rPr>
        <w:t xml:space="preserve"> </w:t>
      </w:r>
      <w:r w:rsidRPr="00AF7813" w:rsidR="00AF7813">
        <w:t>from</w:t>
      </w:r>
      <w:r w:rsidR="00AF7813">
        <w:rPr>
          <w:rFonts w:hint="eastAsia" w:eastAsia="Book Antiqua" w:cs="Book Antiqua"/>
        </w:rPr>
        <w:t xml:space="preserve"> </w:t>
      </w:r>
      <w:r w:rsidRPr="00AF7813" w:rsidR="00AF7813">
        <w:t>the</w:t>
      </w:r>
      <w:r w:rsidR="00AF7813">
        <w:rPr>
          <w:rFonts w:hint="eastAsia" w:eastAsia="Book Antiqua" w:cs="Book Antiqua"/>
        </w:rPr>
        <w:t xml:space="preserve"> </w:t>
      </w:r>
      <w:r w:rsidRPr="00AF7813" w:rsidR="00AF7813">
        <w:t>2021</w:t>
      </w:r>
      <w:r w:rsidR="00AF7813">
        <w:rPr>
          <w:rFonts w:hint="eastAsia" w:eastAsia="Book Antiqua" w:cs="Book Antiqua"/>
        </w:rPr>
        <w:t xml:space="preserve"> </w:t>
      </w:r>
      <w:r w:rsidRPr="00AF7813" w:rsidR="00AF7813">
        <w:t>RPS</w:t>
      </w:r>
      <w:r w:rsidR="00AF7813">
        <w:rPr>
          <w:rFonts w:hint="eastAsia" w:eastAsia="Book Antiqua" w:cs="Book Antiqua"/>
        </w:rPr>
        <w:t xml:space="preserve"> </w:t>
      </w:r>
      <w:r w:rsidRPr="00AF7813" w:rsidR="00AF7813">
        <w:t>Plan</w:t>
      </w:r>
      <w:r w:rsidR="00AF7813">
        <w:rPr>
          <w:rFonts w:hint="eastAsia" w:eastAsia="Book Antiqua" w:cs="Book Antiqua"/>
        </w:rPr>
        <w:t xml:space="preserve"> </w:t>
      </w:r>
      <w:r w:rsidRPr="00AF7813" w:rsidR="00AF7813">
        <w:t>cycle</w:t>
      </w:r>
      <w:r w:rsidR="00AF7813">
        <w:rPr>
          <w:rFonts w:hint="eastAsia" w:eastAsia="Book Antiqua" w:cs="Book Antiqua"/>
        </w:rPr>
        <w:t xml:space="preserve"> </w:t>
      </w:r>
      <w:r w:rsidR="00501E4D">
        <w:t xml:space="preserve">is </w:t>
      </w:r>
      <w:r w:rsidR="00B8143F">
        <w:t>underway,</w:t>
      </w:r>
      <w:r w:rsidR="00501E4D">
        <w:t xml:space="preserve"> and the negotiations are ongoing</w:t>
      </w:r>
      <w:r w:rsidR="00B8143F">
        <w:t>.</w:t>
      </w:r>
      <w:r w:rsidR="00AF7813">
        <w:rPr>
          <w:rFonts w:hint="eastAsia" w:eastAsia="Book Antiqua" w:cs="Book Antiqua"/>
        </w:rPr>
        <w:t xml:space="preserve">  </w:t>
      </w:r>
      <w:r w:rsidRPr="00AF7813" w:rsidR="00AF7813">
        <w:t>SDG&amp;E</w:t>
      </w:r>
      <w:r w:rsidR="00AF7813">
        <w:rPr>
          <w:rFonts w:hint="eastAsia" w:eastAsia="Book Antiqua" w:cs="Book Antiqua"/>
        </w:rPr>
        <w:t xml:space="preserve"> </w:t>
      </w:r>
      <w:r w:rsidR="00AF7813">
        <w:rPr>
          <w:rFonts w:eastAsia="Book Antiqua" w:cs="Book Antiqua"/>
        </w:rPr>
        <w:t xml:space="preserve">seeks approval to </w:t>
      </w:r>
      <w:r w:rsidRPr="00AF7813" w:rsidR="00AF7813">
        <w:t>issue</w:t>
      </w:r>
      <w:r w:rsidR="00AF7813">
        <w:rPr>
          <w:rFonts w:hint="eastAsia" w:eastAsia="Book Antiqua" w:cs="Book Antiqua"/>
        </w:rPr>
        <w:t xml:space="preserve"> </w:t>
      </w:r>
      <w:r w:rsidRPr="00AF7813" w:rsidR="00AF7813">
        <w:t>another</w:t>
      </w:r>
      <w:r w:rsidR="00AF7813">
        <w:rPr>
          <w:rFonts w:hint="eastAsia" w:eastAsia="Book Antiqua" w:cs="Book Antiqua"/>
        </w:rPr>
        <w:t xml:space="preserve"> </w:t>
      </w:r>
      <w:r w:rsidRPr="00AF7813" w:rsidR="00AF7813">
        <w:t>RFI</w:t>
      </w:r>
      <w:r w:rsidR="00AF7813">
        <w:rPr>
          <w:rFonts w:hint="eastAsia" w:eastAsia="Book Antiqua" w:cs="Book Antiqua"/>
        </w:rPr>
        <w:t xml:space="preserve"> </w:t>
      </w:r>
      <w:r w:rsidRPr="00AF7813" w:rsidR="00AF7813">
        <w:t>outreach</w:t>
      </w:r>
      <w:r w:rsidR="00AF7813">
        <w:rPr>
          <w:rFonts w:hint="eastAsia" w:eastAsia="Book Antiqua" w:cs="Book Antiqua"/>
        </w:rPr>
        <w:t xml:space="preserve"> </w:t>
      </w:r>
      <w:r w:rsidRPr="00AF7813" w:rsidR="00AF7813">
        <w:t>in</w:t>
      </w:r>
      <w:r w:rsidR="00AF7813">
        <w:rPr>
          <w:rFonts w:hint="eastAsia" w:eastAsia="Book Antiqua" w:cs="Book Antiqua"/>
        </w:rPr>
        <w:t xml:space="preserve"> </w:t>
      </w:r>
      <w:r w:rsidRPr="00AF7813" w:rsidR="00AF7813">
        <w:t>the</w:t>
      </w:r>
      <w:r w:rsidR="00AF7813">
        <w:rPr>
          <w:rFonts w:hint="eastAsia" w:eastAsia="Book Antiqua" w:cs="Book Antiqua"/>
        </w:rPr>
        <w:t xml:space="preserve"> </w:t>
      </w:r>
      <w:r w:rsidRPr="00AF7813" w:rsidR="00AF7813">
        <w:t>2022</w:t>
      </w:r>
      <w:r w:rsidR="00AF7813">
        <w:rPr>
          <w:rFonts w:hint="eastAsia" w:eastAsia="Book Antiqua" w:cs="Book Antiqua"/>
        </w:rPr>
        <w:t xml:space="preserve"> </w:t>
      </w:r>
      <w:r w:rsidRPr="00AF7813" w:rsidR="00AF7813">
        <w:t>RPS</w:t>
      </w:r>
      <w:r w:rsidR="00AF7813">
        <w:rPr>
          <w:rFonts w:hint="eastAsia" w:eastAsia="Book Antiqua" w:cs="Book Antiqua"/>
        </w:rPr>
        <w:t xml:space="preserve"> </w:t>
      </w:r>
      <w:r w:rsidRPr="00AF7813" w:rsidR="00AF7813">
        <w:t>Plan</w:t>
      </w:r>
      <w:r w:rsidR="00AF7813">
        <w:rPr>
          <w:rFonts w:hint="eastAsia" w:eastAsia="Book Antiqua" w:cs="Book Antiqua"/>
        </w:rPr>
        <w:t xml:space="preserve"> </w:t>
      </w:r>
      <w:r w:rsidRPr="00AF7813" w:rsidR="00AF7813">
        <w:t>cycle.</w:t>
      </w:r>
      <w:r w:rsidR="00AF7813">
        <w:rPr>
          <w:rFonts w:hint="eastAsia" w:eastAsia="Book Antiqua" w:cs="Book Antiqua"/>
        </w:rPr>
        <w:t xml:space="preserve">  </w:t>
      </w:r>
    </w:p>
    <w:p w:rsidR="003657DF" w:rsidP="00D8478B" w:rsidRDefault="00D8478B" w14:paraId="258A0C90" w14:textId="155C6F87">
      <w:r>
        <w:t>SDG&amp;E states that t</w:t>
      </w:r>
      <w:r w:rsidRPr="00D8478B">
        <w:t>o</w:t>
      </w:r>
      <w:r w:rsidRPr="00D8478B">
        <w:rPr>
          <w:rFonts w:hint="eastAsia"/>
        </w:rPr>
        <w:t xml:space="preserve"> </w:t>
      </w:r>
      <w:r w:rsidRPr="00D8478B">
        <w:t>reduce</w:t>
      </w:r>
      <w:r w:rsidRPr="00D8478B">
        <w:rPr>
          <w:rFonts w:hint="eastAsia"/>
        </w:rPr>
        <w:t xml:space="preserve"> </w:t>
      </w:r>
      <w:r w:rsidRPr="00D8478B">
        <w:t>excess</w:t>
      </w:r>
      <w:r w:rsidRPr="00D8478B">
        <w:rPr>
          <w:rFonts w:hint="eastAsia"/>
        </w:rPr>
        <w:t xml:space="preserve"> </w:t>
      </w:r>
      <w:r w:rsidRPr="00D8478B">
        <w:t>and/or</w:t>
      </w:r>
      <w:r w:rsidRPr="00D8478B">
        <w:rPr>
          <w:rFonts w:hint="eastAsia"/>
        </w:rPr>
        <w:t xml:space="preserve"> </w:t>
      </w:r>
      <w:r w:rsidRPr="00D8478B">
        <w:t>uneconomic</w:t>
      </w:r>
      <w:r w:rsidRPr="00D8478B">
        <w:rPr>
          <w:rFonts w:hint="eastAsia"/>
        </w:rPr>
        <w:t xml:space="preserve"> </w:t>
      </w:r>
      <w:r w:rsidRPr="00D8478B">
        <w:t>resources,</w:t>
      </w:r>
      <w:r w:rsidRPr="00D8478B">
        <w:rPr>
          <w:rFonts w:hint="eastAsia"/>
        </w:rPr>
        <w:t xml:space="preserve"> </w:t>
      </w:r>
      <w:r w:rsidRPr="00D8478B">
        <w:t>as</w:t>
      </w:r>
      <w:r w:rsidRPr="00D8478B">
        <w:rPr>
          <w:rFonts w:hint="eastAsia"/>
        </w:rPr>
        <w:t xml:space="preserve"> </w:t>
      </w:r>
      <w:r w:rsidRPr="00D8478B">
        <w:t>directed</w:t>
      </w:r>
      <w:r w:rsidRPr="00D8478B">
        <w:rPr>
          <w:rFonts w:hint="eastAsia"/>
        </w:rPr>
        <w:t xml:space="preserve"> </w:t>
      </w:r>
      <w:r w:rsidRPr="00D8478B">
        <w:t>by</w:t>
      </w:r>
      <w:r w:rsidRPr="00D8478B">
        <w:rPr>
          <w:rFonts w:hint="eastAsia"/>
        </w:rPr>
        <w:t xml:space="preserve"> </w:t>
      </w:r>
      <w:r w:rsidRPr="00D8478B">
        <w:t>D.21-05-030,</w:t>
      </w:r>
      <w:r w:rsidRPr="00D8478B">
        <w:rPr>
          <w:rFonts w:hint="eastAsia"/>
        </w:rPr>
        <w:t xml:space="preserve"> </w:t>
      </w:r>
      <w:r w:rsidRPr="00D8478B">
        <w:t>SDG&amp;E</w:t>
      </w:r>
      <w:r w:rsidRPr="00D8478B">
        <w:rPr>
          <w:rFonts w:hint="eastAsia"/>
        </w:rPr>
        <w:t xml:space="preserve"> </w:t>
      </w:r>
      <w:r w:rsidRPr="00D8478B">
        <w:t>held</w:t>
      </w:r>
      <w:r w:rsidRPr="00D8478B">
        <w:rPr>
          <w:rFonts w:hint="eastAsia"/>
        </w:rPr>
        <w:t xml:space="preserve"> </w:t>
      </w:r>
      <w:r w:rsidRPr="00D8478B">
        <w:t>a</w:t>
      </w:r>
      <w:r w:rsidRPr="00D8478B">
        <w:rPr>
          <w:rFonts w:hint="eastAsia"/>
        </w:rPr>
        <w:t xml:space="preserve"> </w:t>
      </w:r>
      <w:r w:rsidRPr="00D8478B">
        <w:t>RFI</w:t>
      </w:r>
      <w:r w:rsidRPr="00D8478B">
        <w:rPr>
          <w:rFonts w:hint="eastAsia"/>
        </w:rPr>
        <w:t xml:space="preserve"> </w:t>
      </w:r>
      <w:r w:rsidRPr="00D8478B">
        <w:t>process</w:t>
      </w:r>
      <w:r w:rsidRPr="00D8478B">
        <w:rPr>
          <w:rFonts w:hint="eastAsia"/>
        </w:rPr>
        <w:t xml:space="preserve"> </w:t>
      </w:r>
      <w:r>
        <w:t xml:space="preserve">in 2021 RPS cycle </w:t>
      </w:r>
      <w:r w:rsidRPr="00D8478B">
        <w:t>with</w:t>
      </w:r>
      <w:r w:rsidRPr="00D8478B">
        <w:rPr>
          <w:rFonts w:hint="eastAsia"/>
        </w:rPr>
        <w:t xml:space="preserve"> </w:t>
      </w:r>
      <w:r w:rsidRPr="00D8478B">
        <w:t>its</w:t>
      </w:r>
      <w:r w:rsidRPr="00D8478B">
        <w:rPr>
          <w:rFonts w:hint="eastAsia"/>
        </w:rPr>
        <w:t xml:space="preserve"> </w:t>
      </w:r>
      <w:r w:rsidRPr="00D8478B">
        <w:t>supplier</w:t>
      </w:r>
      <w:r w:rsidRPr="00D8478B">
        <w:rPr>
          <w:rFonts w:hint="eastAsia"/>
        </w:rPr>
        <w:t xml:space="preserve"> </w:t>
      </w:r>
      <w:r w:rsidRPr="00D8478B">
        <w:t>counterparties</w:t>
      </w:r>
      <w:r w:rsidRPr="00D8478B">
        <w:rPr>
          <w:rFonts w:hint="eastAsia"/>
        </w:rPr>
        <w:t xml:space="preserve"> </w:t>
      </w:r>
      <w:r w:rsidRPr="00D8478B">
        <w:t>and</w:t>
      </w:r>
      <w:r w:rsidRPr="00D8478B">
        <w:rPr>
          <w:rFonts w:hint="eastAsia"/>
        </w:rPr>
        <w:t xml:space="preserve"> </w:t>
      </w:r>
      <w:r w:rsidRPr="00D8478B">
        <w:t>market</w:t>
      </w:r>
      <w:r w:rsidRPr="00D8478B">
        <w:rPr>
          <w:rFonts w:hint="eastAsia"/>
        </w:rPr>
        <w:t xml:space="preserve"> </w:t>
      </w:r>
      <w:r w:rsidRPr="00D8478B">
        <w:t>participants</w:t>
      </w:r>
      <w:r w:rsidRPr="00D8478B">
        <w:rPr>
          <w:rFonts w:hint="eastAsia"/>
        </w:rPr>
        <w:t xml:space="preserve"> </w:t>
      </w:r>
      <w:r w:rsidRPr="00D8478B">
        <w:t>to</w:t>
      </w:r>
      <w:r w:rsidRPr="00D8478B">
        <w:rPr>
          <w:rFonts w:hint="eastAsia"/>
        </w:rPr>
        <w:t xml:space="preserve"> </w:t>
      </w:r>
      <w:r w:rsidRPr="00D8478B">
        <w:t>determine</w:t>
      </w:r>
      <w:r w:rsidRPr="00D8478B">
        <w:rPr>
          <w:rFonts w:hint="eastAsia"/>
        </w:rPr>
        <w:t xml:space="preserve"> </w:t>
      </w:r>
      <w:r w:rsidRPr="00D8478B">
        <w:t>interest</w:t>
      </w:r>
      <w:r w:rsidRPr="00D8478B">
        <w:rPr>
          <w:rFonts w:hint="eastAsia"/>
        </w:rPr>
        <w:t xml:space="preserve"> </w:t>
      </w:r>
      <w:r w:rsidRPr="00D8478B">
        <w:t>in</w:t>
      </w:r>
      <w:r w:rsidRPr="00D8478B">
        <w:rPr>
          <w:rFonts w:hint="eastAsia"/>
        </w:rPr>
        <w:t xml:space="preserve"> </w:t>
      </w:r>
      <w:r w:rsidRPr="00D8478B">
        <w:t>contract</w:t>
      </w:r>
      <w:r w:rsidRPr="00D8478B">
        <w:rPr>
          <w:rFonts w:hint="eastAsia"/>
        </w:rPr>
        <w:t xml:space="preserve"> </w:t>
      </w:r>
      <w:r w:rsidRPr="00D8478B">
        <w:t>assignments</w:t>
      </w:r>
      <w:r w:rsidRPr="00D8478B">
        <w:rPr>
          <w:rFonts w:hint="eastAsia"/>
        </w:rPr>
        <w:t xml:space="preserve"> </w:t>
      </w:r>
      <w:r w:rsidRPr="00D8478B">
        <w:t>or</w:t>
      </w:r>
      <w:r w:rsidRPr="00D8478B">
        <w:rPr>
          <w:rFonts w:hint="eastAsia"/>
        </w:rPr>
        <w:t xml:space="preserve"> </w:t>
      </w:r>
      <w:r w:rsidRPr="00D8478B">
        <w:t>other</w:t>
      </w:r>
      <w:r w:rsidRPr="00D8478B">
        <w:rPr>
          <w:rFonts w:hint="eastAsia"/>
        </w:rPr>
        <w:t xml:space="preserve"> </w:t>
      </w:r>
      <w:r w:rsidRPr="00D8478B">
        <w:t>contractual</w:t>
      </w:r>
      <w:r w:rsidRPr="00D8478B">
        <w:rPr>
          <w:rFonts w:hint="eastAsia"/>
        </w:rPr>
        <w:t xml:space="preserve"> </w:t>
      </w:r>
      <w:r w:rsidRPr="00D8478B">
        <w:t>structures</w:t>
      </w:r>
      <w:r w:rsidRPr="00D8478B">
        <w:rPr>
          <w:rFonts w:hint="eastAsia"/>
        </w:rPr>
        <w:t xml:space="preserve"> </w:t>
      </w:r>
      <w:r w:rsidRPr="00D8478B">
        <w:t>to</w:t>
      </w:r>
      <w:r w:rsidRPr="00D8478B">
        <w:rPr>
          <w:rFonts w:hint="eastAsia"/>
        </w:rPr>
        <w:t xml:space="preserve"> </w:t>
      </w:r>
      <w:r w:rsidRPr="00D8478B">
        <w:t>optimize</w:t>
      </w:r>
      <w:r w:rsidRPr="00D8478B">
        <w:rPr>
          <w:rFonts w:hint="eastAsia"/>
        </w:rPr>
        <w:t xml:space="preserve"> </w:t>
      </w:r>
      <w:r w:rsidRPr="00D8478B">
        <w:t>SDG&amp;E’s</w:t>
      </w:r>
      <w:r w:rsidRPr="00D8478B">
        <w:rPr>
          <w:rFonts w:hint="eastAsia"/>
        </w:rPr>
        <w:t xml:space="preserve"> </w:t>
      </w:r>
      <w:r w:rsidRPr="00D8478B">
        <w:t>RPS</w:t>
      </w:r>
      <w:r w:rsidRPr="00D8478B">
        <w:rPr>
          <w:rFonts w:hint="eastAsia"/>
        </w:rPr>
        <w:t xml:space="preserve"> </w:t>
      </w:r>
      <w:r w:rsidRPr="00D8478B">
        <w:t>portfoli</w:t>
      </w:r>
      <w:r w:rsidR="00481007">
        <w:t xml:space="preserve">o. </w:t>
      </w:r>
      <w:r w:rsidR="004F1997">
        <w:t xml:space="preserve">It further states that resulting contracts, if any, </w:t>
      </w:r>
      <w:r w:rsidR="002E719F">
        <w:t xml:space="preserve">from the RFI process will be submitted for Commission approval via a Tier 3 AL. </w:t>
      </w:r>
    </w:p>
    <w:p w:rsidR="00D8478B" w:rsidP="00D8478B" w:rsidRDefault="00FD5BC0" w14:paraId="16048123" w14:textId="3F6A4624">
      <w:r>
        <w:t>It is</w:t>
      </w:r>
      <w:r w:rsidR="00481007">
        <w:t xml:space="preserve"> reasonable </w:t>
      </w:r>
      <w:r>
        <w:t xml:space="preserve">for </w:t>
      </w:r>
      <w:r w:rsidR="00481007">
        <w:t>SDG&amp;</w:t>
      </w:r>
      <w:r>
        <w:t xml:space="preserve">E to issue another RFI in the </w:t>
      </w:r>
      <w:r w:rsidR="0054549C">
        <w:t xml:space="preserve">2022 </w:t>
      </w:r>
      <w:r>
        <w:t>RPS cycle</w:t>
      </w:r>
      <w:r w:rsidR="00C9797A">
        <w:t xml:space="preserve"> as </w:t>
      </w:r>
      <w:r w:rsidR="009278F3">
        <w:t>directed in D.21-05-030</w:t>
      </w:r>
      <w:r w:rsidR="003657DF">
        <w:t xml:space="preserve">. </w:t>
      </w:r>
      <w:r w:rsidR="00001CC6">
        <w:t xml:space="preserve"> </w:t>
      </w:r>
      <w:r w:rsidR="00265031">
        <w:t xml:space="preserve">In addition to the </w:t>
      </w:r>
      <w:r w:rsidR="009278F3">
        <w:t xml:space="preserve">ongoing </w:t>
      </w:r>
      <w:r w:rsidR="00265031">
        <w:t>Market Offer process</w:t>
      </w:r>
      <w:r w:rsidR="009278F3">
        <w:t>, the</w:t>
      </w:r>
      <w:r w:rsidR="00265031">
        <w:t xml:space="preserve"> RFI </w:t>
      </w:r>
      <w:r w:rsidR="00BF1AA9">
        <w:t>solicitation</w:t>
      </w:r>
      <w:r w:rsidR="00265031">
        <w:t xml:space="preserve"> will </w:t>
      </w:r>
      <w:r w:rsidR="00BF1AA9">
        <w:t xml:space="preserve">enable </w:t>
      </w:r>
      <w:r w:rsidR="006E1EC3">
        <w:t xml:space="preserve">SDG&amp;E to gather information and gauge the interest </w:t>
      </w:r>
      <w:r w:rsidR="00A85E9D">
        <w:t>of</w:t>
      </w:r>
      <w:r w:rsidR="002F4026">
        <w:t xml:space="preserve"> market participants (third parties) who are interested in</w:t>
      </w:r>
      <w:r w:rsidR="002417DB">
        <w:t xml:space="preserve"> </w:t>
      </w:r>
      <w:r w:rsidR="00FC5EC6">
        <w:t>contract arrangements for eligible renewable energy from its portfolio.</w:t>
      </w:r>
      <w:r w:rsidR="00A85E9D">
        <w:t xml:space="preserve"> </w:t>
      </w:r>
    </w:p>
    <w:p w:rsidR="00A065E9" w:rsidP="00CC3059" w:rsidRDefault="00A065E9" w14:paraId="1C1FA097" w14:textId="299E6E21">
      <w:pPr>
        <w:pStyle w:val="Heading2"/>
        <w:numPr>
          <w:ilvl w:val="1"/>
          <w:numId w:val="2"/>
        </w:numPr>
      </w:pPr>
      <w:bookmarkStart w:name="_Toc122180458" w:id="50"/>
      <w:r>
        <w:t>O</w:t>
      </w:r>
      <w:r w:rsidR="00F9729B">
        <w:t>ther Issues</w:t>
      </w:r>
      <w:bookmarkEnd w:id="50"/>
    </w:p>
    <w:p w:rsidR="00A065E9" w:rsidP="00A065E9" w:rsidRDefault="00A065E9" w14:paraId="55C169C3" w14:textId="46BEA1CA">
      <w:r>
        <w:t xml:space="preserve">Regarding SBUA’s comments that </w:t>
      </w:r>
      <w:r w:rsidRPr="008923D7">
        <w:t>large utilities</w:t>
      </w:r>
      <w:r>
        <w:t xml:space="preserve"> </w:t>
      </w:r>
      <w:r w:rsidR="00D3015B">
        <w:t xml:space="preserve">should </w:t>
      </w:r>
      <w:r w:rsidRPr="008923D7">
        <w:t>provide appendices</w:t>
      </w:r>
      <w:r>
        <w:t xml:space="preserve"> </w:t>
      </w:r>
      <w:r w:rsidRPr="008923D7">
        <w:t xml:space="preserve">explaining their </w:t>
      </w:r>
      <w:r>
        <w:t>outreach methods</w:t>
      </w:r>
      <w:r w:rsidRPr="008923D7">
        <w:t xml:space="preserve"> to GO 156-targeted entities</w:t>
      </w:r>
      <w:r>
        <w:t xml:space="preserve">, we find that the IOUs have met the requirement set in the </w:t>
      </w:r>
      <w:r w:rsidR="00FF4C5D">
        <w:t xml:space="preserve">2022 </w:t>
      </w:r>
      <w:r>
        <w:t xml:space="preserve">ACR. </w:t>
      </w:r>
      <w:r w:rsidR="00D3015B">
        <w:t xml:space="preserve"> </w:t>
      </w:r>
      <w:r>
        <w:t xml:space="preserve">We agree with PG&amp;E and SCE that </w:t>
      </w:r>
      <w:r w:rsidR="00D3015B">
        <w:t xml:space="preserve">the </w:t>
      </w:r>
      <w:r w:rsidRPr="00F94955">
        <w:t>Draft 2022 RPS Plan</w:t>
      </w:r>
      <w:r w:rsidR="00D3015B">
        <w:t>s</w:t>
      </w:r>
      <w:r w:rsidRPr="00F94955">
        <w:t xml:space="preserve"> </w:t>
      </w:r>
      <w:r w:rsidR="00D3015B">
        <w:t>are</w:t>
      </w:r>
      <w:r w:rsidRPr="00F94955">
        <w:t xml:space="preserve"> not the appropriate venue to </w:t>
      </w:r>
      <w:r>
        <w:t xml:space="preserve">enforce the provisions of </w:t>
      </w:r>
      <w:r w:rsidRPr="00F94955">
        <w:t>GO</w:t>
      </w:r>
      <w:r w:rsidR="00001CC6">
        <w:t> </w:t>
      </w:r>
      <w:r w:rsidRPr="00F94955">
        <w:t>156-related outreach methods</w:t>
      </w:r>
      <w:r>
        <w:t xml:space="preserve">. </w:t>
      </w:r>
      <w:r w:rsidR="00001CC6">
        <w:t xml:space="preserve"> </w:t>
      </w:r>
      <w:r>
        <w:t xml:space="preserve">SBUA should raise concerns </w:t>
      </w:r>
      <w:r w:rsidR="00D3015B">
        <w:t>regarding</w:t>
      </w:r>
      <w:r>
        <w:t xml:space="preserve"> the</w:t>
      </w:r>
      <w:r w:rsidR="00D3015B">
        <w:t xml:space="preserve"> IOUs’</w:t>
      </w:r>
      <w:r>
        <w:t xml:space="preserve"> lack of planning and outreach in the</w:t>
      </w:r>
      <w:r w:rsidR="00D3015B">
        <w:t xml:space="preserve"> IOUs’</w:t>
      </w:r>
      <w:r w:rsidRPr="00F94955">
        <w:t xml:space="preserve"> Annual Report to the Commission’s Executive Director, which </w:t>
      </w:r>
      <w:r w:rsidR="00D3015B">
        <w:t>the IOUs</w:t>
      </w:r>
      <w:r w:rsidRPr="00F94955">
        <w:t xml:space="preserve"> file in compliance with GO 156.</w:t>
      </w:r>
    </w:p>
    <w:p w:rsidR="00A065E9" w:rsidP="00D16FDA" w:rsidRDefault="00F9729B" w14:paraId="71BED3B9" w14:textId="214DBD5F">
      <w:r>
        <w:t xml:space="preserve">Regarding coordination between </w:t>
      </w:r>
      <w:r w:rsidR="00D3015B">
        <w:t xml:space="preserve">the </w:t>
      </w:r>
      <w:r>
        <w:t xml:space="preserve">RPS and IRP proceedings, we appreciate the party </w:t>
      </w:r>
      <w:r w:rsidR="004519D4">
        <w:t>comments,</w:t>
      </w:r>
      <w:r>
        <w:t xml:space="preserve"> and the Commission will </w:t>
      </w:r>
      <w:r w:rsidR="00D16FDA">
        <w:t>address streaml</w:t>
      </w:r>
      <w:r w:rsidR="003223AB">
        <w:t>ining</w:t>
      </w:r>
      <w:r w:rsidR="00D16FDA">
        <w:t xml:space="preserve"> </w:t>
      </w:r>
      <w:r w:rsidR="004519D4">
        <w:t xml:space="preserve">the filings and </w:t>
      </w:r>
      <w:r w:rsidR="00D16FDA">
        <w:t xml:space="preserve">coordination issues </w:t>
      </w:r>
      <w:r>
        <w:t xml:space="preserve">in </w:t>
      </w:r>
      <w:r w:rsidR="009C09DE">
        <w:t>the future</w:t>
      </w:r>
      <w:r w:rsidR="004519D4">
        <w:t>.</w:t>
      </w:r>
      <w:r w:rsidR="009C09DE">
        <w:t xml:space="preserve"> </w:t>
      </w:r>
    </w:p>
    <w:p w:rsidR="0064006E" w:rsidP="0064006E" w:rsidRDefault="399B0937" w14:paraId="3AB850FC" w14:textId="3484892D">
      <w:pPr>
        <w:pStyle w:val="Heading1"/>
        <w:numPr>
          <w:ilvl w:val="0"/>
          <w:numId w:val="2"/>
        </w:numPr>
      </w:pPr>
      <w:bookmarkStart w:name="_Toc116301940" w:id="51"/>
      <w:bookmarkStart w:name="_Toc122180459" w:id="52"/>
      <w:r>
        <w:t>S</w:t>
      </w:r>
      <w:r w:rsidR="00E4593C">
        <w:t>MJU</w:t>
      </w:r>
      <w:r>
        <w:t>s</w:t>
      </w:r>
      <w:bookmarkEnd w:id="51"/>
      <w:bookmarkEnd w:id="52"/>
    </w:p>
    <w:p w:rsidRPr="0064006E" w:rsidR="0064006E" w:rsidP="0064006E" w:rsidRDefault="0064006E" w14:paraId="4A57A99B" w14:textId="736A618E">
      <w:pPr>
        <w:pStyle w:val="Standard"/>
      </w:pPr>
      <w:r w:rsidRPr="0064006E">
        <w:t>SMJUs make up a small share of California’s energy market.</w:t>
      </w:r>
      <w:r w:rsidRPr="0064006E">
        <w:rPr>
          <w:vertAlign w:val="superscript"/>
        </w:rPr>
        <w:footnoteReference w:id="31"/>
      </w:r>
      <w:r w:rsidRPr="0064006E">
        <w:t xml:space="preserve">  Upon review of the </w:t>
      </w:r>
      <w:r w:rsidR="007B299C">
        <w:t>D</w:t>
      </w:r>
      <w:r w:rsidRPr="0064006E">
        <w:t>raft 2022 RPS Plans, the Commission finds that the three SMJUs</w:t>
      </w:r>
      <w:r w:rsidR="00D3015B">
        <w:t xml:space="preserve"> (</w:t>
      </w:r>
      <w:r w:rsidRPr="0064006E">
        <w:t>BVES, PacifiCorp, and Liberty, collectively</w:t>
      </w:r>
      <w:r w:rsidR="00D3015B">
        <w:t>)</w:t>
      </w:r>
      <w:r w:rsidRPr="0064006E">
        <w:t xml:space="preserve"> need to procure more RPS eligible renewables beginning in 2023 to meet their respective RPS requirements (</w:t>
      </w:r>
      <w:r w:rsidRPr="0064006E">
        <w:rPr>
          <w:i/>
          <w:iCs/>
        </w:rPr>
        <w:t xml:space="preserve">See </w:t>
      </w:r>
      <w:r w:rsidRPr="0064006E">
        <w:t xml:space="preserve">Figure </w:t>
      </w:r>
      <w:r w:rsidR="00E57305">
        <w:t>2</w:t>
      </w:r>
      <w:r w:rsidRPr="0064006E">
        <w:rPr>
          <w:i/>
          <w:iCs/>
        </w:rPr>
        <w:t xml:space="preserve">). </w:t>
      </w:r>
    </w:p>
    <w:p w:rsidR="0064006E" w:rsidP="0064006E" w:rsidRDefault="0064006E" w14:paraId="4B62F788" w14:textId="532D8516">
      <w:pPr>
        <w:pStyle w:val="Standard"/>
      </w:pPr>
      <w:r w:rsidRPr="0064006E">
        <w:t>The RPS procurement requirements for SMJUs are different from those for the large IOUs.  The RPS statute allows these utilities to meet their RPS procurement obligations without regard to the Portfolio Balance Requirement established in Section 399.16.</w:t>
      </w:r>
      <w:r w:rsidRPr="0064006E">
        <w:rPr>
          <w:vertAlign w:val="superscript"/>
        </w:rPr>
        <w:footnoteReference w:id="32"/>
      </w:r>
      <w:r w:rsidRPr="0064006E">
        <w:t xml:space="preserve">  The </w:t>
      </w:r>
      <w:r w:rsidR="00F03351">
        <w:t>Portfolio Balance Requirement is</w:t>
      </w:r>
      <w:r w:rsidRPr="0064006E">
        <w:t xml:space="preserve"> designed to ensure that most renewable energy procurement takes the form of in-state generation, rather than pure compliance instruments such as unbundled RECs.  Given their near-term need for RPS-compliant resources, the Commission continues to encourage SMJUs to consider early procurement of resources rather than last-minute unbundled REC purchases.</w:t>
      </w:r>
    </w:p>
    <w:p w:rsidRPr="003C061E" w:rsidR="0064006E" w:rsidP="003C061E" w:rsidRDefault="0064006E" w14:paraId="60B87595" w14:textId="79F3D755">
      <w:pPr>
        <w:pStyle w:val="Standard"/>
        <w:keepNext/>
        <w:ind w:firstLine="0"/>
        <w:jc w:val="center"/>
        <w:rPr>
          <w:b/>
          <w:bCs/>
        </w:rPr>
      </w:pPr>
      <w:r w:rsidRPr="0064006E">
        <w:rPr>
          <w:b/>
        </w:rPr>
        <w:t xml:space="preserve">Figure </w:t>
      </w:r>
      <w:r w:rsidR="00E57305">
        <w:rPr>
          <w:b/>
        </w:rPr>
        <w:t>2</w:t>
      </w:r>
      <w:r w:rsidRPr="0064006E">
        <w:rPr>
          <w:b/>
          <w:bCs/>
        </w:rPr>
        <w:t>:  Aggregated SMJU Progress Towards 60% RPS</w:t>
      </w:r>
    </w:p>
    <w:p w:rsidRPr="0064006E" w:rsidR="0064006E" w:rsidP="00FE7E22" w:rsidRDefault="0064006E" w14:paraId="1F83C034" w14:textId="77777777">
      <w:pPr>
        <w:pStyle w:val="Standard"/>
        <w:ind w:firstLine="0"/>
        <w:jc w:val="center"/>
      </w:pPr>
      <w:r w:rsidRPr="0064006E">
        <w:rPr>
          <w:noProof/>
          <w:color w:val="2B579A"/>
          <w:shd w:val="clear" w:color="auto" w:fill="E6E6E6"/>
        </w:rPr>
        <w:drawing>
          <wp:inline distT="0" distB="0" distL="0" distR="0" wp14:anchorId="21697515" wp14:editId="514DB4EC">
            <wp:extent cx="5521960" cy="2827020"/>
            <wp:effectExtent l="0" t="0" r="2540" b="11430"/>
            <wp:docPr id="7" name="Chart 7">
              <a:extLst xmlns:a="http://schemas.openxmlformats.org/drawingml/2006/main">
                <a:ext uri="{FF2B5EF4-FFF2-40B4-BE49-F238E27FC236}">
                  <a16:creationId xmlns:a16="http://schemas.microsoft.com/office/drawing/2014/main" id="{F04EC5A1-0DB9-F440-A057-BAF980D05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4006E" w:rsidP="00001CC6" w:rsidRDefault="0064006E" w14:paraId="57044C87" w14:textId="20A8F577">
      <w:pPr>
        <w:pStyle w:val="Standard"/>
        <w:spacing w:before="120"/>
      </w:pPr>
      <w:r w:rsidRPr="0064006E">
        <w:t xml:space="preserve">In this section, we discuss the SMJUs’ </w:t>
      </w:r>
      <w:r w:rsidR="007B299C">
        <w:t>D</w:t>
      </w:r>
      <w:r w:rsidRPr="0064006E">
        <w:t xml:space="preserve">raft 2022 RPS Plans and direct specific modifications to each, as necessary. </w:t>
      </w:r>
    </w:p>
    <w:p w:rsidR="0064006E" w:rsidP="0064006E" w:rsidRDefault="0064006E" w14:paraId="723C165B" w14:textId="56B4C5E6">
      <w:pPr>
        <w:pStyle w:val="Heading2"/>
        <w:numPr>
          <w:ilvl w:val="1"/>
          <w:numId w:val="2"/>
        </w:numPr>
      </w:pPr>
      <w:bookmarkStart w:name="_Toc122180460" w:id="53"/>
      <w:r>
        <w:t>B</w:t>
      </w:r>
      <w:r w:rsidR="00E4593C">
        <w:t>VES</w:t>
      </w:r>
      <w:r w:rsidR="00632A7E">
        <w:t>’</w:t>
      </w:r>
      <w:r>
        <w:t xml:space="preserve"> Draft 2022 RPS Plan</w:t>
      </w:r>
      <w:bookmarkEnd w:id="53"/>
    </w:p>
    <w:p w:rsidR="0064006E" w:rsidP="0064006E" w:rsidRDefault="0064006E" w14:paraId="3688F475" w14:textId="31F9AA0B">
      <w:pPr>
        <w:pStyle w:val="Standard"/>
      </w:pPr>
      <w:r w:rsidRPr="0064006E">
        <w:t xml:space="preserve">The Commission approves the </w:t>
      </w:r>
      <w:r w:rsidR="003E393F">
        <w:t>D</w:t>
      </w:r>
      <w:r w:rsidRPr="0064006E">
        <w:t xml:space="preserve">raft 2022 RPS Plan filed by BVES with modifications described below. </w:t>
      </w:r>
      <w:r w:rsidR="008A4FDA">
        <w:t xml:space="preserve"> </w:t>
      </w:r>
      <w:r w:rsidRPr="0064006E">
        <w:t xml:space="preserve">These modifications concern </w:t>
      </w:r>
      <w:r w:rsidR="009A5E4E">
        <w:t>BVES’</w:t>
      </w:r>
      <w:r w:rsidR="00E4593C">
        <w:t>:</w:t>
      </w:r>
      <w:r w:rsidR="009A5E4E">
        <w:t xml:space="preserve"> </w:t>
      </w:r>
      <w:r w:rsidR="003C5143">
        <w:t>(1)</w:t>
      </w:r>
      <w:r w:rsidR="00001CC6">
        <w:t> </w:t>
      </w:r>
      <w:r w:rsidR="00A1138F">
        <w:t>reconciliation of</w:t>
      </w:r>
      <w:r w:rsidR="003C5143">
        <w:t xml:space="preserve"> </w:t>
      </w:r>
      <w:r w:rsidR="00A1138F">
        <w:t xml:space="preserve">figures in </w:t>
      </w:r>
      <w:r w:rsidR="00EB487E">
        <w:t xml:space="preserve">the </w:t>
      </w:r>
      <w:r w:rsidR="00A1138F">
        <w:t>RNS template with the compliance narrative</w:t>
      </w:r>
      <w:r w:rsidR="00E4593C">
        <w:t>;</w:t>
      </w:r>
      <w:r w:rsidR="00A1138F">
        <w:t xml:space="preserve"> </w:t>
      </w:r>
      <w:r w:rsidR="009533C4">
        <w:t>(</w:t>
      </w:r>
      <w:r w:rsidR="003C5143">
        <w:t>2</w:t>
      </w:r>
      <w:r w:rsidR="009533C4">
        <w:t xml:space="preserve">) </w:t>
      </w:r>
      <w:r w:rsidRPr="0064006E">
        <w:t>portfolio supply and demand</w:t>
      </w:r>
      <w:r w:rsidR="00E4593C">
        <w:t>;</w:t>
      </w:r>
      <w:r w:rsidRPr="0064006E">
        <w:t xml:space="preserve"> </w:t>
      </w:r>
      <w:r w:rsidR="003C5143">
        <w:t>(</w:t>
      </w:r>
      <w:r w:rsidR="00F01380">
        <w:t>3</w:t>
      </w:r>
      <w:r w:rsidR="003C5143">
        <w:t xml:space="preserve">) </w:t>
      </w:r>
      <w:r w:rsidRPr="0064006E">
        <w:t>long-term procurement</w:t>
      </w:r>
      <w:r w:rsidR="00E4593C">
        <w:t>;</w:t>
      </w:r>
      <w:r w:rsidRPr="0064006E">
        <w:t xml:space="preserve"> </w:t>
      </w:r>
      <w:r w:rsidR="003C5143">
        <w:t>(</w:t>
      </w:r>
      <w:r w:rsidR="00F01380">
        <w:t>4</w:t>
      </w:r>
      <w:r w:rsidR="003C5143">
        <w:t xml:space="preserve">) </w:t>
      </w:r>
      <w:r w:rsidRPr="0064006E">
        <w:t>risk assessment</w:t>
      </w:r>
      <w:r w:rsidR="00E4593C">
        <w:t>;</w:t>
      </w:r>
      <w:r w:rsidRPr="0064006E">
        <w:t xml:space="preserve"> </w:t>
      </w:r>
      <w:r w:rsidR="009533C4">
        <w:t>(</w:t>
      </w:r>
      <w:r w:rsidR="00F01380">
        <w:t>5</w:t>
      </w:r>
      <w:r w:rsidR="009533C4">
        <w:t xml:space="preserve">) </w:t>
      </w:r>
      <w:r w:rsidR="006C54A6">
        <w:t>transportation electrification load forecasting</w:t>
      </w:r>
      <w:r w:rsidR="00E4593C">
        <w:t>;</w:t>
      </w:r>
      <w:r w:rsidR="00745CEB">
        <w:t xml:space="preserve"> </w:t>
      </w:r>
      <w:r w:rsidRPr="0064006E">
        <w:t xml:space="preserve">and </w:t>
      </w:r>
      <w:r w:rsidR="009533C4">
        <w:t>(</w:t>
      </w:r>
      <w:r w:rsidR="00F01380">
        <w:t>6</w:t>
      </w:r>
      <w:r w:rsidR="009533C4">
        <w:t xml:space="preserve">) </w:t>
      </w:r>
      <w:r w:rsidRPr="0064006E">
        <w:t>implementation of SB</w:t>
      </w:r>
      <w:r w:rsidR="00001CC6">
        <w:t> </w:t>
      </w:r>
      <w:r w:rsidRPr="0064006E">
        <w:t xml:space="preserve">255. </w:t>
      </w:r>
    </w:p>
    <w:p w:rsidR="0064006E" w:rsidP="00FE7E22" w:rsidRDefault="0064006E" w14:paraId="4F3EC92E" w14:textId="42357D0A">
      <w:pPr>
        <w:pStyle w:val="Heading3"/>
        <w:numPr>
          <w:ilvl w:val="2"/>
          <w:numId w:val="2"/>
        </w:numPr>
      </w:pPr>
      <w:bookmarkStart w:name="_Toc122180461" w:id="54"/>
      <w:r>
        <w:t>BVES</w:t>
      </w:r>
      <w:r w:rsidR="00096E79">
        <w:t>’</w:t>
      </w:r>
      <w:r>
        <w:t xml:space="preserve"> Portfolio Supply and</w:t>
      </w:r>
      <w:r w:rsidR="00FB4DD7">
        <w:br/>
      </w:r>
      <w:r>
        <w:t>Demand, Long-Term Procurement, and</w:t>
      </w:r>
      <w:r w:rsidR="00FB4DD7">
        <w:br/>
      </w:r>
      <w:r>
        <w:t>Risk Assessment</w:t>
      </w:r>
      <w:bookmarkEnd w:id="54"/>
    </w:p>
    <w:p w:rsidRPr="0064006E" w:rsidR="0064006E" w:rsidP="0064006E" w:rsidRDefault="0064006E" w14:paraId="07387A91" w14:textId="10CD7A20">
      <w:pPr>
        <w:pStyle w:val="Standard"/>
      </w:pPr>
      <w:bookmarkStart w:name="_Hlk117502337" w:id="55"/>
      <w:r w:rsidRPr="0064006E">
        <w:t xml:space="preserve">The Commission finds that BVES’ narrative summary of its portfolio management strategy does not align with the quantitative analysis provided in its RNS template. </w:t>
      </w:r>
      <w:r w:rsidR="00001CC6">
        <w:t xml:space="preserve"> </w:t>
      </w:r>
      <w:r w:rsidRPr="0064006E">
        <w:t xml:space="preserve">In its </w:t>
      </w:r>
      <w:r w:rsidR="00394ECA">
        <w:t>D</w:t>
      </w:r>
      <w:r w:rsidRPr="0064006E">
        <w:t>raft 2022 RPS Plan, BVES states that it forecasts meeting compliance targets through 2023 and beyond.</w:t>
      </w:r>
      <w:r w:rsidRPr="0064006E">
        <w:rPr>
          <w:vertAlign w:val="superscript"/>
        </w:rPr>
        <w:footnoteReference w:id="33"/>
      </w:r>
      <w:r w:rsidRPr="0064006E">
        <w:t xml:space="preserve"> </w:t>
      </w:r>
      <w:r w:rsidR="00001CC6">
        <w:t xml:space="preserve"> </w:t>
      </w:r>
      <w:r w:rsidRPr="0064006E">
        <w:t xml:space="preserve">However, this is not a correct reflection of the values shown in BVES’ RNS. </w:t>
      </w:r>
      <w:r w:rsidR="00001CC6">
        <w:t xml:space="preserve"> </w:t>
      </w:r>
      <w:r w:rsidRPr="0064006E">
        <w:t xml:space="preserve">Therefore, BVES must update its narrative to indicate that it currently lacks sufficient supply to meet current and future compliance period obligations. </w:t>
      </w:r>
    </w:p>
    <w:p w:rsidRPr="0064006E" w:rsidR="0064006E" w:rsidP="0064006E" w:rsidRDefault="0064006E" w14:paraId="1CC2D37C" w14:textId="7D27E0AD">
      <w:pPr>
        <w:pStyle w:val="Standard"/>
      </w:pPr>
      <w:r w:rsidRPr="0064006E">
        <w:t xml:space="preserve">Furthermore, in its final plan, BVES must provide the following information to meet the requirements of the 2022 ACR: </w:t>
      </w:r>
      <w:r w:rsidR="00001CC6">
        <w:t xml:space="preserve"> </w:t>
      </w:r>
      <w:r w:rsidRPr="0064006E">
        <w:t xml:space="preserve">(1) BVES </w:t>
      </w:r>
      <w:r w:rsidR="00D30C2F">
        <w:t>must</w:t>
      </w:r>
      <w:r w:rsidRPr="0064006E">
        <w:t xml:space="preserve"> provide an update on its procurement activities or indicate how it will mitigate upcoming compliance risk in the event its February 21, 2022 RFP or efforts to develop a solar plus storage facility are not successful; (2) BVES must include a quantitative analysis of its long-term procurement position for the current compliance period and future compliance in its </w:t>
      </w:r>
      <w:r w:rsidR="00096E79">
        <w:t>F</w:t>
      </w:r>
      <w:r w:rsidRPr="0064006E">
        <w:t xml:space="preserve">inal 2022 RPS Plan; and (3) BVES must include a full risk assessment discussion, including all subsections outlined in the </w:t>
      </w:r>
      <w:r w:rsidR="00FF4C5D">
        <w:t>2022</w:t>
      </w:r>
      <w:r w:rsidR="00FE7E22">
        <w:t> </w:t>
      </w:r>
      <w:r w:rsidRPr="0064006E">
        <w:t>ACR (Compliance Risk; Risk Modeling and Risk Factors; System Reliability; and Lessons Learned) and discuss severity of risk (high, medium, and low) in the Compliance Risk subsection.</w:t>
      </w:r>
      <w:bookmarkEnd w:id="55"/>
      <w:r w:rsidRPr="0064006E">
        <w:t xml:space="preserve"> </w:t>
      </w:r>
    </w:p>
    <w:p w:rsidR="009C3560" w:rsidP="00B91CAB" w:rsidRDefault="009C3560" w14:paraId="2629B4FC" w14:textId="027189E1">
      <w:pPr>
        <w:pStyle w:val="Heading3"/>
        <w:numPr>
          <w:ilvl w:val="2"/>
          <w:numId w:val="2"/>
        </w:numPr>
      </w:pPr>
      <w:bookmarkStart w:name="_Toc116301943" w:id="56"/>
      <w:bookmarkStart w:name="_Toc122180462" w:id="57"/>
      <w:r>
        <w:t>BVES</w:t>
      </w:r>
      <w:r w:rsidR="00096E79">
        <w:t>’</w:t>
      </w:r>
      <w:r>
        <w:t xml:space="preserve"> Transportation Electrification Forecast</w:t>
      </w:r>
      <w:bookmarkEnd w:id="57"/>
    </w:p>
    <w:p w:rsidRPr="00A15004" w:rsidR="00A15004" w:rsidP="00A15004" w:rsidRDefault="00A15004" w14:paraId="0EBB8758" w14:textId="12209A7F">
      <w:pPr>
        <w:pStyle w:val="Standard"/>
      </w:pPr>
      <w:bookmarkStart w:name="_Hlk115254401" w:id="58"/>
      <w:bookmarkStart w:name="_Hlk116299972" w:id="59"/>
      <w:bookmarkEnd w:id="56"/>
      <w:r w:rsidRPr="00A15004">
        <w:t>In D.18-05-026</w:t>
      </w:r>
      <w:bookmarkEnd w:id="58"/>
      <w:r w:rsidRPr="00A15004">
        <w:t xml:space="preserve">, </w:t>
      </w:r>
      <w:r w:rsidR="003407EF">
        <w:t>t</w:t>
      </w:r>
      <w:r w:rsidRPr="00A15004">
        <w:t>he Commission required all retail sellers to explicitly reference forecasted transportation electrification in their R</w:t>
      </w:r>
      <w:r w:rsidR="0045273B">
        <w:t>PS Plans</w:t>
      </w:r>
      <w:r w:rsidRPr="00A15004">
        <w:t xml:space="preserve">; provide a detailed description of the data and method used to support their forecast; and explain how they considered the California Energy Commission’s </w:t>
      </w:r>
      <w:r w:rsidR="00525E76">
        <w:t xml:space="preserve">(CEC’s) </w:t>
      </w:r>
      <w:r w:rsidRPr="00A15004">
        <w:t xml:space="preserve">Integrated Energy Policy Report </w:t>
      </w:r>
      <w:r w:rsidR="00525E76">
        <w:t>(IEPR)</w:t>
      </w:r>
      <w:r w:rsidRPr="00A15004">
        <w:t xml:space="preserve"> transportation electricity demand forecast in creating their own forecast.</w:t>
      </w:r>
      <w:r w:rsidRPr="00A15004">
        <w:rPr>
          <w:vertAlign w:val="superscript"/>
        </w:rPr>
        <w:footnoteReference w:id="34"/>
      </w:r>
    </w:p>
    <w:bookmarkEnd w:id="59"/>
    <w:p w:rsidRPr="00A15004" w:rsidR="00A15004" w:rsidP="00A15004" w:rsidRDefault="00A15004" w14:paraId="3FDFE0CD" w14:textId="21071E26">
      <w:pPr>
        <w:pStyle w:val="Standard"/>
      </w:pPr>
      <w:r w:rsidRPr="00A15004">
        <w:t xml:space="preserve">In its </w:t>
      </w:r>
      <w:r w:rsidR="0045273B">
        <w:t>D</w:t>
      </w:r>
      <w:r w:rsidRPr="00A15004">
        <w:t>raft 2022 RPS Plan, BVES merely mentions that transportation electrification informs its load forecast.</w:t>
      </w:r>
      <w:r w:rsidRPr="00A15004">
        <w:rPr>
          <w:vertAlign w:val="superscript"/>
        </w:rPr>
        <w:footnoteReference w:id="35"/>
      </w:r>
      <w:r w:rsidRPr="00A15004">
        <w:t xml:space="preserve"> </w:t>
      </w:r>
      <w:r w:rsidR="00001CC6">
        <w:t xml:space="preserve"> </w:t>
      </w:r>
      <w:r w:rsidRPr="00A15004">
        <w:t>Therefore, to comply with D.18-05-026, BVES must provide further discussion of how BVES forecasts transportation electrification load and compares it to the CEC’s IEPR forecast</w:t>
      </w:r>
      <w:r w:rsidRPr="0045273B" w:rsidR="0045273B">
        <w:t xml:space="preserve"> </w:t>
      </w:r>
      <w:r w:rsidRPr="00A15004" w:rsidR="0045273B">
        <w:t xml:space="preserve">in its </w:t>
      </w:r>
      <w:r w:rsidR="0045273B">
        <w:t>F</w:t>
      </w:r>
      <w:r w:rsidRPr="00A15004" w:rsidR="0045273B">
        <w:t>inal RPS Plan</w:t>
      </w:r>
      <w:r w:rsidRPr="00A15004">
        <w:t>.</w:t>
      </w:r>
    </w:p>
    <w:p w:rsidR="00A15004" w:rsidP="00FB4DD7" w:rsidRDefault="63B4DBC3" w14:paraId="61E2A64E" w14:textId="68467D9B">
      <w:pPr>
        <w:pStyle w:val="Heading3"/>
        <w:numPr>
          <w:ilvl w:val="2"/>
          <w:numId w:val="2"/>
        </w:numPr>
      </w:pPr>
      <w:bookmarkStart w:name="_Toc116301944" w:id="60"/>
      <w:bookmarkStart w:name="_Toc122180463" w:id="61"/>
      <w:r>
        <w:t>BVES’ Implementation of SB 255</w:t>
      </w:r>
      <w:bookmarkEnd w:id="60"/>
      <w:bookmarkEnd w:id="61"/>
    </w:p>
    <w:p w:rsidRPr="00AC3F4E" w:rsidR="00A15004" w:rsidP="00AC3F4E" w:rsidRDefault="00A15004" w14:paraId="734D8D1B" w14:textId="2D2F0FE5">
      <w:pPr>
        <w:pStyle w:val="Standard"/>
        <w:rPr>
          <w:bCs/>
        </w:rPr>
      </w:pPr>
      <w:bookmarkStart w:name="_Hlk116300156" w:id="62"/>
      <w:r w:rsidRPr="00A15004">
        <w:rPr>
          <w:bCs/>
        </w:rPr>
        <w:t xml:space="preserve">The 2022 ACR required retail sellers to summarize how their plans comply with SB 255 and address supplier diversity. </w:t>
      </w:r>
      <w:r w:rsidR="00001CC6">
        <w:rPr>
          <w:bCs/>
        </w:rPr>
        <w:t xml:space="preserve"> </w:t>
      </w:r>
      <w:r w:rsidRPr="00A15004">
        <w:rPr>
          <w:bCs/>
        </w:rPr>
        <w:t xml:space="preserve">However, BVES’ </w:t>
      </w:r>
      <w:r w:rsidR="003407EF">
        <w:rPr>
          <w:bCs/>
        </w:rPr>
        <w:t>D</w:t>
      </w:r>
      <w:r w:rsidRPr="00A15004">
        <w:rPr>
          <w:bCs/>
        </w:rPr>
        <w:t xml:space="preserve">raft 2022 RPS supplement did not discuss its implementation of SB 255. </w:t>
      </w:r>
      <w:r w:rsidR="00001CC6">
        <w:rPr>
          <w:bCs/>
        </w:rPr>
        <w:t xml:space="preserve"> </w:t>
      </w:r>
      <w:r w:rsidRPr="00A15004">
        <w:rPr>
          <w:bCs/>
        </w:rPr>
        <w:t xml:space="preserve">Therefore, </w:t>
      </w:r>
      <w:r w:rsidR="003407EF">
        <w:rPr>
          <w:bCs/>
        </w:rPr>
        <w:t xml:space="preserve">the </w:t>
      </w:r>
      <w:r w:rsidRPr="00A15004">
        <w:rPr>
          <w:bCs/>
        </w:rPr>
        <w:t>Commission directs BVES to explain how it is implementing supplier diversity pursuant to SB</w:t>
      </w:r>
      <w:r w:rsidR="00FB4DD7">
        <w:rPr>
          <w:bCs/>
        </w:rPr>
        <w:t> </w:t>
      </w:r>
      <w:r w:rsidRPr="00A15004">
        <w:rPr>
          <w:bCs/>
        </w:rPr>
        <w:t>255.</w:t>
      </w:r>
      <w:bookmarkEnd w:id="62"/>
    </w:p>
    <w:p w:rsidR="0064006E" w:rsidP="00AC3F4E" w:rsidRDefault="00AC3F4E" w14:paraId="6A5510AC" w14:textId="552E0F74">
      <w:pPr>
        <w:pStyle w:val="Heading2"/>
        <w:numPr>
          <w:ilvl w:val="1"/>
          <w:numId w:val="2"/>
        </w:numPr>
      </w:pPr>
      <w:bookmarkStart w:name="_Toc122180464" w:id="63"/>
      <w:r>
        <w:t>Liberty</w:t>
      </w:r>
      <w:r w:rsidR="003407EF">
        <w:t>’s</w:t>
      </w:r>
      <w:r>
        <w:t xml:space="preserve"> </w:t>
      </w:r>
      <w:r w:rsidR="001D2A41">
        <w:t>D</w:t>
      </w:r>
      <w:r w:rsidR="001D2A41">
        <w:rPr>
          <w:rFonts w:eastAsiaTheme="majorEastAsia" w:cstheme="majorBidi"/>
          <w:szCs w:val="32"/>
        </w:rPr>
        <w:t xml:space="preserve">raft </w:t>
      </w:r>
      <w:r>
        <w:t>2022 RPS Plan</w:t>
      </w:r>
      <w:bookmarkEnd w:id="63"/>
    </w:p>
    <w:p w:rsidRPr="00946B29" w:rsidR="00946B29" w:rsidP="00946B29" w:rsidRDefault="00946B29" w14:paraId="5DF78397" w14:textId="35140C1E">
      <w:pPr>
        <w:pStyle w:val="Standard"/>
      </w:pPr>
      <w:r w:rsidRPr="00946B29">
        <w:t xml:space="preserve">The Commission approves Liberty’s request to implement a long-term REC procurement strategy to acquire PCC 3 RECs up to three years in advance, and to otherwise meet RPS compliance through its existing, utility-owned Luning and Turquoise solar resources and banked RECs.  </w:t>
      </w:r>
    </w:p>
    <w:p w:rsidRPr="00946B29" w:rsidR="00946B29" w:rsidP="00946B29" w:rsidRDefault="00946B29" w14:paraId="7B802446" w14:textId="6EDFBF98">
      <w:pPr>
        <w:pStyle w:val="Standard"/>
      </w:pPr>
      <w:r w:rsidRPr="00946B29">
        <w:t xml:space="preserve">Liberty is excluded from the PCC requirements and can meet its RPS compliance exclusively with PCC 3 RECs, if necessary. </w:t>
      </w:r>
      <w:r w:rsidR="00001CC6">
        <w:t xml:space="preserve"> </w:t>
      </w:r>
      <w:r w:rsidRPr="00946B29">
        <w:t xml:space="preserve">In its </w:t>
      </w:r>
      <w:r w:rsidR="001D2A41">
        <w:t xml:space="preserve">Draft </w:t>
      </w:r>
      <w:r w:rsidRPr="00946B29">
        <w:t>2022 RPS Plan, Liberty specifically proposes to, in a given year, be granted authority to buy up to 100% of the current year’s, 75% of the following year’s, 50% of the third year’s, and 25% of the fourth year’s</w:t>
      </w:r>
      <w:r w:rsidR="00F16F7B">
        <w:t xml:space="preserve"> </w:t>
      </w:r>
      <w:r w:rsidRPr="00946B29" w:rsidR="00F16F7B">
        <w:t>RPS procurement obligation</w:t>
      </w:r>
      <w:r w:rsidRPr="00946B29">
        <w:t>.</w:t>
      </w:r>
      <w:r w:rsidR="00E41180">
        <w:rPr>
          <w:rStyle w:val="FootnoteReference"/>
        </w:rPr>
        <w:footnoteReference w:id="36"/>
      </w:r>
      <w:r w:rsidRPr="00946B29">
        <w:t xml:space="preserve"> </w:t>
      </w:r>
      <w:r w:rsidR="00001CC6">
        <w:t xml:space="preserve"> </w:t>
      </w:r>
      <w:r w:rsidRPr="00946B29">
        <w:t xml:space="preserve">Liberty’s proposed RPS compliance hedging strategy is designed to offset any increase in the cost of PCC 3 RECs over time, until its Luning Solar facility expansion is online and generating power and RECs. </w:t>
      </w:r>
    </w:p>
    <w:p w:rsidRPr="00946B29" w:rsidR="00946B29" w:rsidP="00946B29" w:rsidRDefault="00946B29" w14:paraId="7DFC8B42" w14:textId="616B94E3">
      <w:pPr>
        <w:pStyle w:val="Standard"/>
      </w:pPr>
      <w:r w:rsidRPr="00946B29">
        <w:t xml:space="preserve">Liberty submits that </w:t>
      </w:r>
      <w:r w:rsidR="00F16F7B">
        <w:t>it</w:t>
      </w:r>
      <w:r w:rsidRPr="00946B29">
        <w:t>s overall plan for RPS procurement is expected to exceed SB 100 RPS mandates, ensuring continued compliance with the RPS program.</w:t>
      </w:r>
      <w:r w:rsidRPr="00946B29">
        <w:rPr>
          <w:vertAlign w:val="superscript"/>
        </w:rPr>
        <w:footnoteReference w:id="37"/>
      </w:r>
      <w:r w:rsidRPr="00946B29">
        <w:t xml:space="preserve"> </w:t>
      </w:r>
      <w:r w:rsidR="00001CC6">
        <w:t xml:space="preserve"> </w:t>
      </w:r>
      <w:r w:rsidRPr="00946B29">
        <w:t xml:space="preserve">Liberty states that the majority of </w:t>
      </w:r>
      <w:r w:rsidR="00F16F7B">
        <w:t>it</w:t>
      </w:r>
      <w:r w:rsidRPr="00946B29">
        <w:t xml:space="preserve">s RPS requirements will be met with output from Luning and Turquoise and the future Luning Expansion Project. </w:t>
      </w:r>
      <w:r w:rsidR="00001CC6">
        <w:t xml:space="preserve"> </w:t>
      </w:r>
      <w:r w:rsidRPr="00946B29">
        <w:t>Any additional procurement necessary for RPS compliance will be met with PCC</w:t>
      </w:r>
      <w:r w:rsidR="007B3A2E">
        <w:t xml:space="preserve"> </w:t>
      </w:r>
      <w:r w:rsidRPr="00946B29">
        <w:t>3 REC purchases.</w:t>
      </w:r>
    </w:p>
    <w:p w:rsidRPr="00946B29" w:rsidR="00946B29" w:rsidP="00946B29" w:rsidRDefault="00B32557" w14:paraId="5C7770AA" w14:textId="5E52B8FF">
      <w:pPr>
        <w:pStyle w:val="Standard"/>
      </w:pPr>
      <w:bookmarkStart w:name="_Hlk117502645" w:id="64"/>
      <w:r w:rsidRPr="0064006E">
        <w:t xml:space="preserve">The Commission approves the </w:t>
      </w:r>
      <w:r w:rsidR="00F16F7B">
        <w:t>D</w:t>
      </w:r>
      <w:r w:rsidRPr="0064006E">
        <w:t xml:space="preserve">raft 2022 RPS Plan filed by </w:t>
      </w:r>
      <w:r w:rsidR="00B962A3">
        <w:t>Liberty</w:t>
      </w:r>
      <w:r w:rsidRPr="0064006E">
        <w:t xml:space="preserve"> with modifications described below. </w:t>
      </w:r>
      <w:r w:rsidR="00F16F7B">
        <w:t xml:space="preserve"> </w:t>
      </w:r>
      <w:r w:rsidRPr="0064006E">
        <w:t xml:space="preserve">These modifications concern </w:t>
      </w:r>
      <w:r w:rsidRPr="00946B29" w:rsidR="00946B29">
        <w:t>Liberty’s</w:t>
      </w:r>
      <w:r w:rsidR="00F16F7B">
        <w:t xml:space="preserve">: </w:t>
      </w:r>
      <w:r w:rsidRPr="00946B29" w:rsidR="00946B29">
        <w:t xml:space="preserve"> (1) long-term </w:t>
      </w:r>
      <w:r w:rsidR="00F92E55">
        <w:t>contracting</w:t>
      </w:r>
      <w:r w:rsidR="00F16F7B">
        <w:t>;</w:t>
      </w:r>
      <w:r w:rsidRPr="00946B29" w:rsidR="00946B29">
        <w:t xml:space="preserve"> (2) voluntary margin of over-procurement (VMoP)</w:t>
      </w:r>
      <w:r w:rsidR="00F16F7B">
        <w:t>;</w:t>
      </w:r>
      <w:r w:rsidRPr="00946B29" w:rsidR="00946B29">
        <w:t xml:space="preserve"> </w:t>
      </w:r>
      <w:r w:rsidR="000408E8">
        <w:t>(3)</w:t>
      </w:r>
      <w:r w:rsidRPr="00946B29" w:rsidR="00946B29">
        <w:t xml:space="preserve"> Risk Assessment</w:t>
      </w:r>
      <w:r w:rsidR="00F16F7B">
        <w:t>;</w:t>
      </w:r>
      <w:r w:rsidRPr="00946B29" w:rsidR="00946B29">
        <w:t xml:space="preserve"> (</w:t>
      </w:r>
      <w:r w:rsidR="0027054B">
        <w:t>4</w:t>
      </w:r>
      <w:r w:rsidRPr="00946B29" w:rsidR="00946B29">
        <w:t>) transportation electrification load forecasting</w:t>
      </w:r>
      <w:bookmarkEnd w:id="64"/>
      <w:r w:rsidR="00F16F7B">
        <w:t>;</w:t>
      </w:r>
      <w:r w:rsidR="00CE651F">
        <w:t xml:space="preserve"> </w:t>
      </w:r>
      <w:r w:rsidR="00205EAB">
        <w:t>(</w:t>
      </w:r>
      <w:r w:rsidR="00B24236">
        <w:t xml:space="preserve">5) </w:t>
      </w:r>
      <w:r w:rsidR="00A1138F">
        <w:t>PDSU</w:t>
      </w:r>
      <w:r w:rsidR="00F16F7B">
        <w:t>;</w:t>
      </w:r>
      <w:r w:rsidR="00B24236">
        <w:t xml:space="preserve"> and </w:t>
      </w:r>
      <w:r w:rsidR="000254CF">
        <w:t>(6</w:t>
      </w:r>
      <w:r w:rsidR="00502BF0">
        <w:t>)</w:t>
      </w:r>
      <w:r w:rsidR="00FB4DD7">
        <w:t> </w:t>
      </w:r>
      <w:r w:rsidR="00502BF0">
        <w:t xml:space="preserve">implementation of </w:t>
      </w:r>
      <w:r w:rsidR="000254CF">
        <w:t>SB</w:t>
      </w:r>
      <w:r w:rsidR="00502BF0">
        <w:t xml:space="preserve"> </w:t>
      </w:r>
      <w:r w:rsidR="000254CF">
        <w:t>255</w:t>
      </w:r>
      <w:r w:rsidR="00AE4C60">
        <w:t>.</w:t>
      </w:r>
    </w:p>
    <w:p w:rsidRPr="00AC3F4E" w:rsidR="00AC3F4E" w:rsidP="00B91CAB" w:rsidRDefault="00946B29" w14:paraId="74F876BC" w14:textId="734762E4">
      <w:pPr>
        <w:pStyle w:val="Heading3"/>
        <w:numPr>
          <w:ilvl w:val="2"/>
          <w:numId w:val="2"/>
        </w:numPr>
      </w:pPr>
      <w:bookmarkStart w:name="_Toc122180465" w:id="65"/>
      <w:r>
        <w:t>Liberty’s Long-Term Contracting</w:t>
      </w:r>
      <w:bookmarkEnd w:id="65"/>
    </w:p>
    <w:p w:rsidR="00946B29" w:rsidP="00946B29" w:rsidRDefault="00946B29" w14:paraId="56BCCA47" w14:textId="03694F67">
      <w:pPr>
        <w:pStyle w:val="Standard"/>
      </w:pPr>
      <w:r w:rsidRPr="00946B29">
        <w:t xml:space="preserve">The Commission finds several omissions in Liberty’s </w:t>
      </w:r>
      <w:r w:rsidR="0006575A">
        <w:t>D</w:t>
      </w:r>
      <w:r w:rsidRPr="00946B29">
        <w:t xml:space="preserve">raft 2022 RPS Plan. </w:t>
      </w:r>
      <w:r w:rsidR="00CE0546">
        <w:t xml:space="preserve"> </w:t>
      </w:r>
      <w:r w:rsidRPr="00946B29">
        <w:t>First, Liberty does not provide a quantitative assessment of its long-term contracting compliance forecast.  Second, Liberty suggests that its expansion of the Luning Solar Project will support its future RPS compliance but does not provide a contingency strategy to remain in compliance if the project is not approved by the Commission as proposed or otherwise does not achieve an early 2024 online date.</w:t>
      </w:r>
      <w:r w:rsidRPr="00946B29">
        <w:rPr>
          <w:vertAlign w:val="superscript"/>
        </w:rPr>
        <w:footnoteReference w:id="38"/>
      </w:r>
      <w:r w:rsidRPr="00946B29">
        <w:t xml:space="preserve"> </w:t>
      </w:r>
      <w:r w:rsidR="00001CC6">
        <w:t xml:space="preserve"> </w:t>
      </w:r>
      <w:r w:rsidRPr="00946B29">
        <w:t xml:space="preserve">Therefore, Liberty must include further discussion of the following issues in its final 2022 RPS Plan: </w:t>
      </w:r>
      <w:r w:rsidR="00001CC6">
        <w:t xml:space="preserve"> </w:t>
      </w:r>
      <w:r w:rsidRPr="00946B29">
        <w:t xml:space="preserve">(1) how Liberty is positioned to quantitatively meet long-term procurement obligation for current and future compliance periods; </w:t>
      </w:r>
      <w:r w:rsidR="00352FB8">
        <w:t xml:space="preserve">and </w:t>
      </w:r>
      <w:r w:rsidRPr="00946B29">
        <w:t>(2) how Liberty could comply with its long-term RPS procurement requirements if its Luning Solar Project expansion is not approved as proposed in A</w:t>
      </w:r>
      <w:r w:rsidR="00001CC6">
        <w:t>pplication (A.) </w:t>
      </w:r>
      <w:r w:rsidRPr="00946B29">
        <w:t>21</w:t>
      </w:r>
      <w:r w:rsidR="00001CC6">
        <w:noBreakHyphen/>
      </w:r>
      <w:r w:rsidRPr="00946B29">
        <w:t>04</w:t>
      </w:r>
      <w:r w:rsidR="00001CC6">
        <w:noBreakHyphen/>
      </w:r>
      <w:r w:rsidRPr="00946B29">
        <w:t>006.</w:t>
      </w:r>
    </w:p>
    <w:p w:rsidR="00946B29" w:rsidP="00FB4DD7" w:rsidRDefault="00946B29" w14:paraId="54D9A6C3" w14:textId="403E70C2">
      <w:pPr>
        <w:pStyle w:val="Heading3"/>
        <w:numPr>
          <w:ilvl w:val="2"/>
          <w:numId w:val="2"/>
        </w:numPr>
      </w:pPr>
      <w:bookmarkStart w:name="_Toc116301947" w:id="66"/>
      <w:bookmarkStart w:name="_Toc122180466" w:id="67"/>
      <w:r>
        <w:t>Liberty to Describe Its VMOP</w:t>
      </w:r>
      <w:bookmarkEnd w:id="66"/>
      <w:bookmarkEnd w:id="67"/>
      <w:r>
        <w:t xml:space="preserve"> </w:t>
      </w:r>
    </w:p>
    <w:p w:rsidRPr="00F2189F" w:rsidR="00946B29" w:rsidP="00946B29" w:rsidRDefault="00946B29" w14:paraId="35DBBAAB" w14:textId="16C13B42">
      <w:pPr>
        <w:pStyle w:val="Standard"/>
      </w:pPr>
      <w:r>
        <w:t xml:space="preserve">Based on the review of Liberty’s </w:t>
      </w:r>
      <w:r w:rsidR="00CE0546">
        <w:t>D</w:t>
      </w:r>
      <w:r>
        <w:t>raft 2022 RPS Plan and supporting documents, the Commission finds that</w:t>
      </w:r>
      <w:r w:rsidRPr="00F2189F">
        <w:t xml:space="preserve"> Liberty’s narrative plan does not describe its VMoP</w:t>
      </w:r>
      <w:r>
        <w:t xml:space="preserve"> </w:t>
      </w:r>
      <w:r w:rsidRPr="00F2189F">
        <w:t>included in its RNS spreadsheet.</w:t>
      </w:r>
      <w:r>
        <w:t xml:space="preserve"> </w:t>
      </w:r>
      <w:r w:rsidR="00001CC6">
        <w:t xml:space="preserve"> </w:t>
      </w:r>
      <w:r>
        <w:t xml:space="preserve">Therefore, </w:t>
      </w:r>
      <w:r w:rsidRPr="00F2189F">
        <w:t xml:space="preserve">Liberty </w:t>
      </w:r>
      <w:r>
        <w:t>must c</w:t>
      </w:r>
      <w:r w:rsidRPr="00F2189F">
        <w:t>learly describe its VMoP</w:t>
      </w:r>
      <w:r>
        <w:t xml:space="preserve"> in its </w:t>
      </w:r>
      <w:r w:rsidR="00CE0546">
        <w:t>F</w:t>
      </w:r>
      <w:r>
        <w:t xml:space="preserve">inal 2022 RPS Plan. </w:t>
      </w:r>
    </w:p>
    <w:p w:rsidR="00946B29" w:rsidP="00FB4DD7" w:rsidRDefault="00946B29" w14:paraId="6D995A77" w14:textId="16FC5CF6">
      <w:pPr>
        <w:pStyle w:val="Heading3"/>
        <w:numPr>
          <w:ilvl w:val="2"/>
          <w:numId w:val="2"/>
        </w:numPr>
      </w:pPr>
      <w:bookmarkStart w:name="_Toc116301948" w:id="68"/>
      <w:bookmarkStart w:name="_Toc122180467" w:id="69"/>
      <w:r>
        <w:t>Liberty to Provide a Compliance Risk Severity Analysis</w:t>
      </w:r>
      <w:bookmarkEnd w:id="69"/>
      <w:r>
        <w:t xml:space="preserve"> </w:t>
      </w:r>
      <w:bookmarkEnd w:id="68"/>
    </w:p>
    <w:p w:rsidR="00946B29" w:rsidP="00946B29" w:rsidRDefault="00946B29" w14:paraId="12D81115" w14:textId="1FF38EDC">
      <w:pPr>
        <w:pStyle w:val="Standard"/>
      </w:pPr>
      <w:r w:rsidRPr="00946B29">
        <w:t xml:space="preserve">The Commission finds that Liberty’s </w:t>
      </w:r>
      <w:r w:rsidR="00CE0546">
        <w:t>D</w:t>
      </w:r>
      <w:r w:rsidRPr="00946B29">
        <w:t xml:space="preserve">raft 2022 RPS Plan does not provide a severity analysis of compliance risk (high, medium, or low) in the risk assessment section as required by the 2022 ACR. </w:t>
      </w:r>
      <w:r w:rsidR="00001CC6">
        <w:t xml:space="preserve"> </w:t>
      </w:r>
      <w:r w:rsidRPr="00946B29">
        <w:t xml:space="preserve">Moreover, Liberty’s plan does not provide a description of how Liberty plans to comply with its RPS obligations if the existing contracted generation resources underperforms or its load increases. </w:t>
      </w:r>
      <w:r w:rsidR="00001CC6">
        <w:t xml:space="preserve"> </w:t>
      </w:r>
      <w:r w:rsidRPr="00946B29">
        <w:t xml:space="preserve">Therefore, in its </w:t>
      </w:r>
      <w:r w:rsidR="00CE0546">
        <w:t>F</w:t>
      </w:r>
      <w:r w:rsidRPr="00946B29">
        <w:t>inal 2022 RPS Plan, Liberty must</w:t>
      </w:r>
      <w:r w:rsidR="00CE0546">
        <w:t xml:space="preserve">: </w:t>
      </w:r>
      <w:r w:rsidRPr="00946B29">
        <w:t xml:space="preserve"> (1) provide a severity analysis (high, medium, and low) of compliance risks in the Risk Assessment section</w:t>
      </w:r>
      <w:r w:rsidR="00CE0546">
        <w:t>;</w:t>
      </w:r>
      <w:r w:rsidRPr="00946B29">
        <w:t xml:space="preserve"> and (2) explain how Liberty plans to comply with its RPS obligations if its existing renewable contracts have lower-than-expected generation or if it faces unexpected increases in retail sales</w:t>
      </w:r>
      <w:r>
        <w:t>.</w:t>
      </w:r>
    </w:p>
    <w:p w:rsidR="00946B29" w:rsidP="00FB4DD7" w:rsidRDefault="004E4EC9" w14:paraId="704BDF37" w14:textId="6468C94F">
      <w:pPr>
        <w:pStyle w:val="Heading3"/>
        <w:numPr>
          <w:ilvl w:val="2"/>
          <w:numId w:val="2"/>
        </w:numPr>
      </w:pPr>
      <w:bookmarkStart w:name="_Toc122180468" w:id="70"/>
      <w:r>
        <w:t>Liberty’s Transportation</w:t>
      </w:r>
      <w:r w:rsidR="00B91CAB">
        <w:br/>
      </w:r>
      <w:r>
        <w:t>Electrification Forecast</w:t>
      </w:r>
      <w:bookmarkEnd w:id="70"/>
    </w:p>
    <w:p w:rsidR="004E4EC9" w:rsidP="004E4EC9" w:rsidRDefault="004E4EC9" w14:paraId="04473183" w14:textId="0CAA6EDD">
      <w:pPr>
        <w:pStyle w:val="Standard"/>
      </w:pPr>
      <w:r w:rsidRPr="004E4EC9">
        <w:t xml:space="preserve">In D.18-05-026, </w:t>
      </w:r>
      <w:r w:rsidR="00001CC6">
        <w:t>t</w:t>
      </w:r>
      <w:r w:rsidRPr="004E4EC9">
        <w:t xml:space="preserve">he Commission required all retail sellers to explicitly reference forecasted transportation electrification in their </w:t>
      </w:r>
      <w:r w:rsidR="00CE0546">
        <w:t>RPS</w:t>
      </w:r>
      <w:r w:rsidRPr="004E4EC9">
        <w:t xml:space="preserve"> </w:t>
      </w:r>
      <w:r w:rsidR="00CE0546">
        <w:t>P</w:t>
      </w:r>
      <w:r w:rsidRPr="004E4EC9">
        <w:t xml:space="preserve">lans; provide a detailed description of the data and method used to support their forecast; and explaining how they considered the </w:t>
      </w:r>
      <w:r w:rsidR="00525E76">
        <w:t>CEC’s IEPR</w:t>
      </w:r>
      <w:r w:rsidRPr="004E4EC9">
        <w:t xml:space="preserve"> transportation electricity demand forecast in creating their own forecast.  Liberty merely mentions that transportation electrification informs its load forecast.  Therefore, to comply with D.18-05-026, Liberty must include in its </w:t>
      </w:r>
      <w:r w:rsidR="00CE0546">
        <w:t>F</w:t>
      </w:r>
      <w:r w:rsidRPr="004E4EC9">
        <w:t>inal 2022 RPS Plan further discussion of its forecasting methodology and a comparison to the CEC’s IEPR.</w:t>
      </w:r>
    </w:p>
    <w:p w:rsidR="004E4EC9" w:rsidP="00FB4DD7" w:rsidRDefault="004E4EC9" w14:paraId="69A5AC40" w14:textId="223739D5">
      <w:pPr>
        <w:pStyle w:val="Heading3"/>
        <w:numPr>
          <w:ilvl w:val="2"/>
          <w:numId w:val="2"/>
        </w:numPr>
      </w:pPr>
      <w:bookmarkStart w:name="_Toc122180469" w:id="71"/>
      <w:r>
        <w:t>Liberty</w:t>
      </w:r>
      <w:r w:rsidR="00CE0546">
        <w:t>’s</w:t>
      </w:r>
      <w:r>
        <w:t xml:space="preserve"> Project Development Status</w:t>
      </w:r>
      <w:r w:rsidR="00B91CAB">
        <w:br/>
      </w:r>
      <w:r>
        <w:t>Update Template</w:t>
      </w:r>
      <w:bookmarkEnd w:id="71"/>
    </w:p>
    <w:p w:rsidR="004E4EC9" w:rsidP="004E4EC9" w:rsidRDefault="004E4EC9" w14:paraId="56C3BE01" w14:textId="42A6BB2C">
      <w:pPr>
        <w:pStyle w:val="Standard"/>
      </w:pPr>
      <w:r w:rsidRPr="004E4EC9">
        <w:t>The 2022 ACR Section 6.5 requires that all retail sellers report the projects “currently under contract (or retail seller-owned)” and in the</w:t>
      </w:r>
      <w:r w:rsidR="00BF3C34">
        <w:t xml:space="preserve"> </w:t>
      </w:r>
      <w:r w:rsidRPr="004E4EC9">
        <w:t xml:space="preserve">”pre-construction … phase.” </w:t>
      </w:r>
      <w:r w:rsidR="00BF3C34">
        <w:t xml:space="preserve"> </w:t>
      </w:r>
      <w:r w:rsidRPr="004E4EC9">
        <w:t xml:space="preserve">In order to meet the requirements of 2022 ACR, Liberty must include the Luning Expansion project in the </w:t>
      </w:r>
      <w:r w:rsidR="00A1138F">
        <w:t xml:space="preserve">PDSU </w:t>
      </w:r>
      <w:r w:rsidRPr="004E4EC9">
        <w:t xml:space="preserve">template. </w:t>
      </w:r>
      <w:r w:rsidR="00BF3C34">
        <w:t xml:space="preserve"> </w:t>
      </w:r>
      <w:r w:rsidRPr="004E4EC9">
        <w:t>Liberty stated that “Liberty conducted an initial solicitation in September 2020 for engineering, procurement, and construction (EPC) services and plans to take on the role of project developer itself…”</w:t>
      </w:r>
      <w:r w:rsidRPr="004E4EC9">
        <w:rPr>
          <w:vertAlign w:val="superscript"/>
        </w:rPr>
        <w:footnoteReference w:id="39"/>
      </w:r>
      <w:r w:rsidRPr="004E4EC9">
        <w:t xml:space="preserve"> </w:t>
      </w:r>
      <w:r w:rsidR="00BF3C34">
        <w:t xml:space="preserve"> </w:t>
      </w:r>
      <w:r w:rsidRPr="004E4EC9">
        <w:t>Therefore, we conclude that the Luning Expansion project is in the pre-construction phase and therefore must be included in the P</w:t>
      </w:r>
      <w:r w:rsidR="00A010A4">
        <w:t>D</w:t>
      </w:r>
      <w:r w:rsidRPr="004E4EC9">
        <w:t xml:space="preserve">SU template. </w:t>
      </w:r>
    </w:p>
    <w:p w:rsidR="004E4EC9" w:rsidP="00FB4DD7" w:rsidRDefault="004E4EC9" w14:paraId="3F7C40DA" w14:textId="7A4EDBF2">
      <w:pPr>
        <w:pStyle w:val="Heading3"/>
        <w:numPr>
          <w:ilvl w:val="2"/>
          <w:numId w:val="2"/>
        </w:numPr>
      </w:pPr>
      <w:bookmarkStart w:name="_Toc122180470" w:id="72"/>
      <w:r>
        <w:t>Liberty’s SB 255 Implementation</w:t>
      </w:r>
      <w:bookmarkEnd w:id="72"/>
    </w:p>
    <w:p w:rsidRPr="004E4EC9" w:rsidR="004E4EC9" w:rsidP="004E4EC9" w:rsidRDefault="004E4EC9" w14:paraId="3E58D8BD" w14:textId="5DA1069D">
      <w:pPr>
        <w:pStyle w:val="Standard"/>
      </w:pPr>
      <w:r w:rsidRPr="004E4EC9">
        <w:t xml:space="preserve">Section 6.3 of the 2022 ACR required retail sellers to summarize how their plans comply with SB 255 among other legislative and regulatory changes. </w:t>
      </w:r>
      <w:r w:rsidR="00BF3C34">
        <w:t xml:space="preserve"> </w:t>
      </w:r>
      <w:r w:rsidRPr="004E4EC9">
        <w:t xml:space="preserve">In its </w:t>
      </w:r>
      <w:r w:rsidR="00C85B33">
        <w:t>D</w:t>
      </w:r>
      <w:r w:rsidRPr="004E4EC9">
        <w:t>raft 2022 RPS Plan, Liberty states that it will comply with the recent changes to GO 15</w:t>
      </w:r>
      <w:r w:rsidR="005765AB">
        <w:t>6</w:t>
      </w:r>
      <w:r w:rsidRPr="004E4EC9">
        <w:t xml:space="preserve"> which reflect the SB 255 program.  Therefore, the Commission directs Liberty to submit more detailed information in its future filings as Liberty makes progress in implementing SB 255.</w:t>
      </w:r>
    </w:p>
    <w:p w:rsidR="004E4EC9" w:rsidP="00CC2E9B" w:rsidRDefault="00CC2E9B" w14:paraId="4B1F2E3C" w14:textId="2FCB8BD4">
      <w:pPr>
        <w:pStyle w:val="Heading2"/>
        <w:numPr>
          <w:ilvl w:val="1"/>
          <w:numId w:val="2"/>
        </w:numPr>
      </w:pPr>
      <w:bookmarkStart w:name="_Toc122180471" w:id="73"/>
      <w:r>
        <w:t>PacifiCorp</w:t>
      </w:r>
      <w:r w:rsidR="00632A7E">
        <w:t>’s</w:t>
      </w:r>
      <w:r>
        <w:t xml:space="preserve"> </w:t>
      </w:r>
      <w:r w:rsidR="001D2A41">
        <w:t xml:space="preserve">Draft </w:t>
      </w:r>
      <w:r>
        <w:t>2022 RPS Plan</w:t>
      </w:r>
      <w:bookmarkEnd w:id="73"/>
    </w:p>
    <w:p w:rsidRPr="00CC2E9B" w:rsidR="00CC2E9B" w:rsidP="00CC2E9B" w:rsidRDefault="00CC2E9B" w14:paraId="60A2FAAE" w14:textId="675A83F8">
      <w:pPr>
        <w:pStyle w:val="Standard"/>
      </w:pPr>
      <w:r w:rsidRPr="00CC2E9B">
        <w:t xml:space="preserve">The Commission approves PacifiCorp’s off-year 2022 supplement with modifications described below. </w:t>
      </w:r>
      <w:r w:rsidR="00BF3C34">
        <w:t xml:space="preserve"> </w:t>
      </w:r>
      <w:r w:rsidRPr="00CC2E9B">
        <w:t>These modifications concern PacifiCorp’s</w:t>
      </w:r>
      <w:r w:rsidR="00C85B33">
        <w:t xml:space="preserve">:  </w:t>
      </w:r>
      <w:r w:rsidRPr="00CC2E9B">
        <w:t xml:space="preserve"> (</w:t>
      </w:r>
      <w:r w:rsidR="009C543B">
        <w:t>1</w:t>
      </w:r>
      <w:r w:rsidRPr="00CC2E9B">
        <w:t>)</w:t>
      </w:r>
      <w:r w:rsidR="008A4FDA">
        <w:t> </w:t>
      </w:r>
      <w:r w:rsidRPr="00CC2E9B">
        <w:t>Procurement Quantity Requirement need for C</w:t>
      </w:r>
      <w:r w:rsidR="008A5F3D">
        <w:t>P</w:t>
      </w:r>
      <w:r w:rsidRPr="00CC2E9B">
        <w:t xml:space="preserve"> 4</w:t>
      </w:r>
      <w:r w:rsidR="00C85B33">
        <w:t>;</w:t>
      </w:r>
      <w:r w:rsidRPr="00CC2E9B">
        <w:t xml:space="preserve"> (</w:t>
      </w:r>
      <w:r w:rsidR="009C543B">
        <w:t>2</w:t>
      </w:r>
      <w:r w:rsidRPr="00CC2E9B">
        <w:t xml:space="preserve">) </w:t>
      </w:r>
      <w:r w:rsidR="002C6C1B">
        <w:t>incorporation</w:t>
      </w:r>
      <w:r w:rsidRPr="00CC2E9B" w:rsidR="00FC5763">
        <w:t xml:space="preserve"> </w:t>
      </w:r>
      <w:r w:rsidRPr="00CC2E9B">
        <w:t>RNS figures</w:t>
      </w:r>
      <w:r w:rsidR="001A4988">
        <w:t xml:space="preserve"> in </w:t>
      </w:r>
      <w:r w:rsidR="002C6C1B">
        <w:t xml:space="preserve">the </w:t>
      </w:r>
      <w:r w:rsidR="001A4988">
        <w:t>compliance narrative</w:t>
      </w:r>
      <w:r w:rsidR="00C85B33">
        <w:t>;</w:t>
      </w:r>
      <w:r w:rsidRPr="00CC2E9B">
        <w:t xml:space="preserve"> (</w:t>
      </w:r>
      <w:r w:rsidR="009C543B">
        <w:t>3</w:t>
      </w:r>
      <w:r w:rsidRPr="00CC2E9B">
        <w:t>) transportation electrification load forecasting</w:t>
      </w:r>
      <w:r w:rsidR="00C85B33">
        <w:t>;</w:t>
      </w:r>
      <w:r w:rsidRPr="00CC2E9B">
        <w:t xml:space="preserve"> (</w:t>
      </w:r>
      <w:r w:rsidR="009C543B">
        <w:t>4</w:t>
      </w:r>
      <w:r w:rsidRPr="00CC2E9B">
        <w:t>) implementation of SB 255</w:t>
      </w:r>
      <w:r w:rsidR="00C85B33">
        <w:t>;</w:t>
      </w:r>
      <w:r w:rsidRPr="00CC2E9B">
        <w:t xml:space="preserve"> (</w:t>
      </w:r>
      <w:r w:rsidR="009C543B">
        <w:t>5</w:t>
      </w:r>
      <w:r w:rsidRPr="00CC2E9B">
        <w:t>)</w:t>
      </w:r>
      <w:r w:rsidR="00FE7E22">
        <w:t> </w:t>
      </w:r>
      <w:r w:rsidRPr="00CC2E9B">
        <w:t>risk assessment</w:t>
      </w:r>
      <w:r w:rsidR="00C85B33">
        <w:t>;</w:t>
      </w:r>
      <w:r w:rsidRPr="00CC2E9B">
        <w:t xml:space="preserve"> and </w:t>
      </w:r>
      <w:r w:rsidR="00216068">
        <w:t>(</w:t>
      </w:r>
      <w:r w:rsidR="009C543B">
        <w:t>6</w:t>
      </w:r>
      <w:r w:rsidR="00216068">
        <w:t xml:space="preserve">) </w:t>
      </w:r>
      <w:r w:rsidRPr="00CC2E9B">
        <w:t>M</w:t>
      </w:r>
      <w:r w:rsidR="00583112">
        <w:t>MoP</w:t>
      </w:r>
      <w:r w:rsidRPr="00CC2E9B">
        <w:t xml:space="preserve"> analysis. </w:t>
      </w:r>
    </w:p>
    <w:p w:rsidRPr="00CC2E9B" w:rsidR="00CC2E9B" w:rsidP="00CC2E9B" w:rsidRDefault="00CC2E9B" w14:paraId="6777DCB8" w14:textId="1AEB97B6">
      <w:pPr>
        <w:pStyle w:val="Standard"/>
      </w:pPr>
      <w:r w:rsidRPr="00CC2E9B">
        <w:t>PacifiCorp follows a different schedule from other retail sellers and is required to file its Integrated Resource Plan</w:t>
      </w:r>
      <w:r w:rsidR="007A6F39">
        <w:t xml:space="preserve"> </w:t>
      </w:r>
      <w:r w:rsidRPr="00CC2E9B">
        <w:t>and IRP supplement in accordance with the 2022 ACR.</w:t>
      </w:r>
      <w:r w:rsidRPr="00CC2E9B">
        <w:rPr>
          <w:vertAlign w:val="superscript"/>
        </w:rPr>
        <w:footnoteReference w:id="40"/>
      </w:r>
      <w:r w:rsidRPr="00CC2E9B">
        <w:t xml:space="preserve">  For 2022, PacifiCorp must file an off-year supplement that provides information as directed in Section 6.1-6.12 and 6.14</w:t>
      </w:r>
      <w:r w:rsidR="00EB645E">
        <w:noBreakHyphen/>
      </w:r>
      <w:r w:rsidRPr="00CC2E9B">
        <w:t xml:space="preserve">6.15 of the </w:t>
      </w:r>
      <w:r w:rsidR="00FF4C5D">
        <w:t>2022</w:t>
      </w:r>
      <w:r w:rsidR="00FE7E22">
        <w:t> </w:t>
      </w:r>
      <w:r w:rsidRPr="00CC2E9B">
        <w:t xml:space="preserve">ACR. </w:t>
      </w:r>
    </w:p>
    <w:p w:rsidRPr="00CC2E9B" w:rsidR="00CC2E9B" w:rsidP="00CC2E9B" w:rsidRDefault="00CC2E9B" w14:paraId="7C5B742E" w14:textId="76DAB792">
      <w:pPr>
        <w:pStyle w:val="Standard"/>
      </w:pPr>
      <w:r w:rsidRPr="00CC2E9B">
        <w:t xml:space="preserve">PacifiCorp’s off-year supplement, which was filed on July 1, 2022, provides an RPS compliance strategy that is similar to its on-year supplement filed in 2021, but PacifiCorp has provided additional information and aligned with the formatting requirements established in the </w:t>
      </w:r>
      <w:r w:rsidR="00FF4C5D">
        <w:t xml:space="preserve">2022 </w:t>
      </w:r>
      <w:r w:rsidRPr="00CC2E9B">
        <w:t>ACR.  PacifiCorp states that it intends to meet its RPS program requirements using existing eligible renewable energy and RECs procured within PacifiCorp’s system, consistent with PacifiCorp’s integrated system planning for its multi</w:t>
      </w:r>
      <w:r w:rsidRPr="00CC2E9B">
        <w:noBreakHyphen/>
        <w:t>state service territory and overall system operation, or RECs procured through solicitations seeking current-year vintage unbundled RECs in 2021 and future years.</w:t>
      </w:r>
      <w:r w:rsidRPr="00CC2E9B">
        <w:rPr>
          <w:vertAlign w:val="superscript"/>
        </w:rPr>
        <w:footnoteReference w:id="41"/>
      </w:r>
    </w:p>
    <w:p w:rsidR="00CC2E9B" w:rsidP="00FB4DD7" w:rsidRDefault="00CC2E9B" w14:paraId="104261F4" w14:textId="02D5D5DE">
      <w:pPr>
        <w:pStyle w:val="Heading3"/>
        <w:numPr>
          <w:ilvl w:val="2"/>
          <w:numId w:val="2"/>
        </w:numPr>
      </w:pPr>
      <w:bookmarkStart w:name="_Toc89176347" w:id="74"/>
      <w:bookmarkStart w:name="_Toc92717519" w:id="75"/>
      <w:bookmarkStart w:name="_Toc92727941" w:id="76"/>
      <w:bookmarkStart w:name="_Toc116301953" w:id="77"/>
      <w:bookmarkStart w:name="_Toc122180472" w:id="78"/>
      <w:r>
        <w:t>PacifiCorp</w:t>
      </w:r>
      <w:r w:rsidR="004D0ADB">
        <w:t>’s</w:t>
      </w:r>
      <w:r>
        <w:t xml:space="preserve"> Compliance Planning, Long-Term Compliance, and Potential Compliance Delays</w:t>
      </w:r>
      <w:bookmarkEnd w:id="74"/>
      <w:bookmarkEnd w:id="75"/>
      <w:bookmarkEnd w:id="76"/>
      <w:bookmarkEnd w:id="77"/>
      <w:bookmarkEnd w:id="78"/>
    </w:p>
    <w:p w:rsidRPr="00CC2E9B" w:rsidR="00CC2E9B" w:rsidP="0060332C" w:rsidRDefault="00CC2E9B" w14:paraId="4C4353A4" w14:textId="6DE37D22">
      <w:pPr>
        <w:pStyle w:val="Standard"/>
      </w:pPr>
      <w:r w:rsidRPr="00CC2E9B">
        <w:t>While PacifiCorp provided notice that it complied with the 65</w:t>
      </w:r>
      <w:r w:rsidR="00C72959">
        <w:t xml:space="preserve"> percent</w:t>
      </w:r>
      <w:r w:rsidRPr="00CC2E9B">
        <w:t xml:space="preserve"> long-term procurement requirement early in the prior compliance period and states </w:t>
      </w:r>
      <w:r w:rsidR="005E10E7">
        <w:t xml:space="preserve">that </w:t>
      </w:r>
      <w:r w:rsidRPr="00CC2E9B">
        <w:t>it will maintain the 65</w:t>
      </w:r>
      <w:r w:rsidR="00C72959">
        <w:t xml:space="preserve"> percent</w:t>
      </w:r>
      <w:r w:rsidRPr="00CC2E9B">
        <w:t xml:space="preserve"> long-term procurement threshold for the current compliance period, it did not provide a quantitative assessment of its long-term procurement position for the current and future compliance periods as required by D.2</w:t>
      </w:r>
      <w:r w:rsidR="009C543B">
        <w:t>2</w:t>
      </w:r>
      <w:r w:rsidRPr="00CC2E9B">
        <w:t>-01-004.  PacifiCorp suggests that its compliance risks are largely associated with government policies in California and Washington State</w:t>
      </w:r>
      <w:r w:rsidR="00C72959">
        <w:t>,</w:t>
      </w:r>
      <w:r w:rsidRPr="00CC2E9B">
        <w:t xml:space="preserve"> and potential changes in load and transmission infrastructure availability.  Its filing suggests these compliance risks create uncertainty in predicting the scope, timing, and cost impact of compliance with emissions reduction and renewable energy policy targets.</w:t>
      </w:r>
      <w:r w:rsidRPr="00CC2E9B">
        <w:rPr>
          <w:vertAlign w:val="superscript"/>
        </w:rPr>
        <w:footnoteReference w:id="42"/>
      </w:r>
      <w:r w:rsidRPr="00CC2E9B">
        <w:t xml:space="preserve">  PacifiCorp’s filing, however, fails to connect its o</w:t>
      </w:r>
      <w:r w:rsidRPr="00CC2E9B" w:rsidR="1FC4DD17">
        <w:t>ff</w:t>
      </w:r>
      <w:r w:rsidRPr="00CC2E9B">
        <w:t>-year IRP supplement with its long-term procurement compliance requirements.  Therefore, PacifiCorp is directed to include the following discussion in its final off-year 2022 IRP supplement:</w:t>
      </w:r>
      <w:r w:rsidR="0043449E">
        <w:t xml:space="preserve"> </w:t>
      </w:r>
      <w:r w:rsidR="008A4FDA">
        <w:t xml:space="preserve"> </w:t>
      </w:r>
      <w:r w:rsidRPr="00CC2E9B">
        <w:t>Provide a quantitative assessment of its long-term procurement position for the current and future compliance periods</w:t>
      </w:r>
      <w:r w:rsidR="0043449E">
        <w:t>.</w:t>
      </w:r>
    </w:p>
    <w:p w:rsidR="00CC2E9B" w:rsidP="008A4FDA" w:rsidRDefault="00CC2E9B" w14:paraId="5AE5530D" w14:textId="10C5FE39">
      <w:pPr>
        <w:pStyle w:val="Heading3"/>
        <w:numPr>
          <w:ilvl w:val="2"/>
          <w:numId w:val="2"/>
        </w:numPr>
      </w:pPr>
      <w:bookmarkStart w:name="_Toc116301954" w:id="79"/>
      <w:bookmarkStart w:name="_Toc122180473" w:id="80"/>
      <w:r>
        <w:t>Procurement Quantity Requirement for C</w:t>
      </w:r>
      <w:r w:rsidR="008A5F3D">
        <w:t>P</w:t>
      </w:r>
      <w:r>
        <w:t xml:space="preserve"> 4</w:t>
      </w:r>
      <w:bookmarkEnd w:id="79"/>
      <w:bookmarkEnd w:id="80"/>
    </w:p>
    <w:p w:rsidRPr="00CC2E9B" w:rsidR="00CC2E9B" w:rsidP="00CC2E9B" w:rsidRDefault="00CC2E9B" w14:paraId="019090CA" w14:textId="6AF3264E">
      <w:pPr>
        <w:pStyle w:val="Standard"/>
      </w:pPr>
      <w:r w:rsidRPr="00CC2E9B">
        <w:t xml:space="preserve">PacifiCorp did not include any information about how it will specifically address its procurement need for </w:t>
      </w:r>
      <w:r w:rsidR="00771B02">
        <w:t>C</w:t>
      </w:r>
      <w:r w:rsidR="008A5F3D">
        <w:t>P</w:t>
      </w:r>
      <w:r w:rsidRPr="00CC2E9B">
        <w:t xml:space="preserve"> 4 as shown in its RNS.  While PacifiCorp does state that it will meet its RPS obligations, it does not provide information on any planned actions that PacifiCorp will take to meet its </w:t>
      </w:r>
      <w:r w:rsidRPr="00CC2E9B" w:rsidR="0099345A">
        <w:t>near-term</w:t>
      </w:r>
      <w:r w:rsidRPr="00CC2E9B">
        <w:t xml:space="preserve"> </w:t>
      </w:r>
      <w:r w:rsidR="00485340">
        <w:t>Procurement Quantity Requirement (</w:t>
      </w:r>
      <w:r w:rsidRPr="00CC2E9B">
        <w:t>PQR</w:t>
      </w:r>
      <w:r w:rsidR="00485340">
        <w:t>)</w:t>
      </w:r>
      <w:r w:rsidRPr="00CC2E9B">
        <w:t xml:space="preserve">. </w:t>
      </w:r>
      <w:r w:rsidR="00BF3C34">
        <w:t xml:space="preserve"> </w:t>
      </w:r>
      <w:r w:rsidRPr="00CC2E9B">
        <w:t>Therefore, PacifiCorp is directed to include a narrative update on procurement strategy and concrete steps it will take to satisfy its PQR in its final off-year 2022 IRP supplement.</w:t>
      </w:r>
    </w:p>
    <w:p w:rsidR="00CC2E9B" w:rsidP="00BF3C34" w:rsidRDefault="00707E55" w14:paraId="71474F2E" w14:textId="333A0CA2">
      <w:pPr>
        <w:pStyle w:val="Heading3"/>
        <w:numPr>
          <w:ilvl w:val="2"/>
          <w:numId w:val="2"/>
        </w:numPr>
        <w:tabs>
          <w:tab w:val="clear" w:pos="1656"/>
          <w:tab w:val="num" w:pos="1800"/>
        </w:tabs>
      </w:pPr>
      <w:bookmarkStart w:name="_Toc122180474" w:id="81"/>
      <w:r>
        <w:t>Issues Related to SB 255 and</w:t>
      </w:r>
      <w:r w:rsidR="00EB645E">
        <w:br/>
      </w:r>
      <w:r>
        <w:t>Transportation Electrification Forecast</w:t>
      </w:r>
      <w:bookmarkEnd w:id="81"/>
    </w:p>
    <w:p w:rsidR="00707E55" w:rsidP="00707E55" w:rsidRDefault="00707E55" w14:paraId="41078E49" w14:textId="22044990">
      <w:pPr>
        <w:pStyle w:val="Standard"/>
      </w:pPr>
      <w:r>
        <w:t>The Commission finds that PacifiCorp’s off-year 2022 RPS supplement is deficient in implementing SB</w:t>
      </w:r>
      <w:r w:rsidR="00AC6D04">
        <w:t xml:space="preserve"> </w:t>
      </w:r>
      <w:r>
        <w:t xml:space="preserve">255 and </w:t>
      </w:r>
      <w:r w:rsidR="0032698B">
        <w:t xml:space="preserve">providing </w:t>
      </w:r>
      <w:r>
        <w:t xml:space="preserve">its transportation electrification forecast. </w:t>
      </w:r>
      <w:r w:rsidR="00BF3C34">
        <w:t xml:space="preserve"> </w:t>
      </w:r>
      <w:r>
        <w:t xml:space="preserve">First, the </w:t>
      </w:r>
      <w:r w:rsidR="00407DE8">
        <w:t xml:space="preserve">2022 </w:t>
      </w:r>
      <w:r>
        <w:t xml:space="preserve">ACR required retail sellers to summarize how their plans comply with SB 255, regarding supplier diversity; however, PacifiCorp’s off-year 2022 RPS supplement did not discuss its implementation of SB 255. </w:t>
      </w:r>
      <w:r w:rsidR="00BF3C34">
        <w:t xml:space="preserve"> </w:t>
      </w:r>
      <w:r>
        <w:t xml:space="preserve">Second, PacifiCorp merely mentions </w:t>
      </w:r>
      <w:r w:rsidR="00DF6416">
        <w:t xml:space="preserve">how </w:t>
      </w:r>
      <w:r>
        <w:t>transportation electrification inform</w:t>
      </w:r>
      <w:r w:rsidR="00D15653">
        <w:t>s</w:t>
      </w:r>
      <w:r>
        <w:t xml:space="preserve"> its load forecast in its off-year 2022 I</w:t>
      </w:r>
      <w:r w:rsidR="00DF6416">
        <w:t>RP</w:t>
      </w:r>
      <w:r>
        <w:t xml:space="preserve"> </w:t>
      </w:r>
      <w:r w:rsidR="00706550">
        <w:t>supplement, but</w:t>
      </w:r>
      <w:r>
        <w:t xml:space="preserve"> does not include criteria required by D.18-05-026. </w:t>
      </w:r>
    </w:p>
    <w:p w:rsidRPr="00707E55" w:rsidR="00707E55" w:rsidP="00707E55" w:rsidRDefault="00707E55" w14:paraId="5263B9BB" w14:textId="4B4476B0">
      <w:pPr>
        <w:pStyle w:val="Standard"/>
      </w:pPr>
      <w:r>
        <w:t xml:space="preserve">Therefore, PacifiCorp must include further discussion of the following issues in its final off-year 2022 IRP supplement: </w:t>
      </w:r>
      <w:r w:rsidR="00BF3C34">
        <w:t xml:space="preserve"> </w:t>
      </w:r>
      <w:r>
        <w:t>(1) how PacifiCorp is implementing the supplier diversity mandates of SB 255</w:t>
      </w:r>
      <w:r w:rsidR="00DF6416">
        <w:t>;</w:t>
      </w:r>
      <w:r>
        <w:t xml:space="preserve"> and (2) how PacifiCorp has structured its methodology to forecast transportation electrification load and include a comparison to the CEC’s IE</w:t>
      </w:r>
      <w:r w:rsidR="00250C53">
        <w:t>P</w:t>
      </w:r>
      <w:r>
        <w:t>R.</w:t>
      </w:r>
    </w:p>
    <w:p w:rsidR="00946B29" w:rsidP="00FB4DD7" w:rsidRDefault="00707E55" w14:paraId="03D984DF" w14:textId="7F84F3EC">
      <w:pPr>
        <w:pStyle w:val="Heading3"/>
        <w:numPr>
          <w:ilvl w:val="2"/>
          <w:numId w:val="2"/>
        </w:numPr>
      </w:pPr>
      <w:bookmarkStart w:name="_Toc122180475" w:id="82"/>
      <w:r>
        <w:t>PacifiCorp’s Risk Assessment and MMoP</w:t>
      </w:r>
      <w:bookmarkEnd w:id="82"/>
    </w:p>
    <w:p w:rsidRPr="00707E55" w:rsidR="00707E55" w:rsidP="00707E55" w:rsidRDefault="00707E55" w14:paraId="0336B520" w14:textId="6EDB6DF7">
      <w:pPr>
        <w:pStyle w:val="Standard"/>
      </w:pPr>
      <w:r w:rsidRPr="00707E55">
        <w:t xml:space="preserve">Requirements associated with Risk Assessment and MMoP are established in </w:t>
      </w:r>
      <w:r w:rsidR="00BF3C34">
        <w:t>S</w:t>
      </w:r>
      <w:r w:rsidRPr="00707E55">
        <w:t>ection 6.9</w:t>
      </w:r>
      <w:r w:rsidR="0032698B">
        <w:t xml:space="preserve"> of the</w:t>
      </w:r>
      <w:r w:rsidR="00407DE8">
        <w:t xml:space="preserve"> 2022</w:t>
      </w:r>
      <w:r w:rsidR="0032698B">
        <w:t xml:space="preserve"> ACR</w:t>
      </w:r>
      <w:r w:rsidRPr="00707E55">
        <w:t xml:space="preserve">. </w:t>
      </w:r>
      <w:r w:rsidR="00BF3C34">
        <w:t xml:space="preserve"> </w:t>
      </w:r>
      <w:r w:rsidRPr="00707E55">
        <w:t>PacifiCorp has not met these requirements in its 2022</w:t>
      </w:r>
      <w:r w:rsidR="00BF3C34">
        <w:t> </w:t>
      </w:r>
      <w:r w:rsidRPr="00707E55">
        <w:t xml:space="preserve">off-year supplement.  Therefore, in its final off-year 2022 IRP supplement, PacifiCorp must ensure that it meets the </w:t>
      </w:r>
      <w:r w:rsidR="00407DE8">
        <w:t xml:space="preserve">2022 </w:t>
      </w:r>
      <w:r w:rsidRPr="00707E55">
        <w:t>ACR requirements. Specifically,</w:t>
      </w:r>
      <w:r w:rsidR="00BF3C34">
        <w:t> </w:t>
      </w:r>
      <w:r w:rsidRPr="00707E55">
        <w:t>PacifiCorp’s risk assessment must include</w:t>
      </w:r>
      <w:r w:rsidR="00DF6416">
        <w:t>:  (1)</w:t>
      </w:r>
      <w:r w:rsidRPr="00707E55">
        <w:t xml:space="preserve"> a discussion broken out into all subsections outlined in the </w:t>
      </w:r>
      <w:r w:rsidR="00407DE8">
        <w:t xml:space="preserve">2022 </w:t>
      </w:r>
      <w:r w:rsidRPr="00707E55">
        <w:t>ACR: Compliance Risk; Risk Modeling and Risk Factors; System Reliability; and Lessons Learned; (2)</w:t>
      </w:r>
      <w:r w:rsidR="008A4FDA">
        <w:t> </w:t>
      </w:r>
      <w:r w:rsidR="00DF6416">
        <w:t>a</w:t>
      </w:r>
      <w:r w:rsidRPr="00707E55">
        <w:t xml:space="preserve"> discuss</w:t>
      </w:r>
      <w:r w:rsidR="00DF6416">
        <w:t>ion of</w:t>
      </w:r>
      <w:r w:rsidRPr="00707E55">
        <w:t xml:space="preserve"> the severity of risks (high, medium, and low) in its Compliance Risk subsection; </w:t>
      </w:r>
      <w:r w:rsidR="0032698B">
        <w:t xml:space="preserve">and </w:t>
      </w:r>
      <w:r w:rsidRPr="00707E55">
        <w:t xml:space="preserve">(3) </w:t>
      </w:r>
      <w:r w:rsidR="00DF6416">
        <w:t>a</w:t>
      </w:r>
      <w:r w:rsidRPr="00707E55">
        <w:t xml:space="preserve"> discuss</w:t>
      </w:r>
      <w:r w:rsidR="00DF6416">
        <w:t>ion of</w:t>
      </w:r>
      <w:r w:rsidRPr="00707E55">
        <w:t xml:space="preserve"> its MMoP Scenarios. </w:t>
      </w:r>
    </w:p>
    <w:p w:rsidR="0064006E" w:rsidP="00F11B79" w:rsidRDefault="21DA83A3" w14:paraId="16691389" w14:textId="7555200A">
      <w:pPr>
        <w:pStyle w:val="Heading1"/>
        <w:numPr>
          <w:ilvl w:val="0"/>
          <w:numId w:val="2"/>
        </w:numPr>
      </w:pPr>
      <w:bookmarkStart w:name="_Toc122180476" w:id="83"/>
      <w:r>
        <w:t>CCAs and ESPs</w:t>
      </w:r>
      <w:bookmarkEnd w:id="83"/>
    </w:p>
    <w:p w:rsidR="00F11B79" w:rsidP="00F11B79" w:rsidRDefault="00F11B79" w14:paraId="5E257238" w14:textId="6A5460A8">
      <w:pPr>
        <w:pStyle w:val="Standard"/>
      </w:pPr>
      <w:r>
        <w:t xml:space="preserve">The Commission approves the CCAs’ and ESPs’ </w:t>
      </w:r>
      <w:r w:rsidR="00FE2713">
        <w:t>D</w:t>
      </w:r>
      <w:r>
        <w:t xml:space="preserve">raft 2022 RPS Plans with modifications. </w:t>
      </w:r>
    </w:p>
    <w:p w:rsidR="00F11B79" w:rsidP="00F11B79" w:rsidRDefault="00F11B79" w14:paraId="5D9BA5B5" w14:textId="7D09B7C4">
      <w:pPr>
        <w:pStyle w:val="Standard"/>
      </w:pPr>
      <w:r>
        <w:t xml:space="preserve">The Commission reviewed 25 CCA and 11 ESP </w:t>
      </w:r>
      <w:r w:rsidR="00D90EBD">
        <w:t>D</w:t>
      </w:r>
      <w:r>
        <w:t xml:space="preserve">raft 2022 RPS Plans for completeness, accuracy of information, and compliance with the 2022 ACR.  </w:t>
      </w:r>
    </w:p>
    <w:p w:rsidR="00F11B79" w:rsidP="000B57FC" w:rsidRDefault="00F11B79" w14:paraId="5DBB1173" w14:textId="7E11B87C">
      <w:pPr>
        <w:pStyle w:val="Standard"/>
        <w:ind w:firstLine="0"/>
      </w:pPr>
      <w:r>
        <w:t xml:space="preserve">The CCA and ESP Draft 2022 RPS Plans were compliant </w:t>
      </w:r>
      <w:r w:rsidR="00256BB3">
        <w:t>with respect to</w:t>
      </w:r>
      <w:r>
        <w:t xml:space="preserve"> the following issues:  </w:t>
      </w:r>
      <w:r w:rsidR="00765EF1">
        <w:t xml:space="preserve">(1) </w:t>
      </w:r>
      <w:r>
        <w:t>Bid Solicitation Protocol, including Least-Cost Best-Fit Methodologies</w:t>
      </w:r>
      <w:r w:rsidR="00765EF1">
        <w:t>;</w:t>
      </w:r>
      <w:r>
        <w:t xml:space="preserve"> </w:t>
      </w:r>
      <w:r w:rsidR="00765EF1">
        <w:t xml:space="preserve">(2) </w:t>
      </w:r>
      <w:r>
        <w:t>Consideration of Price Adjustment Mechanisms</w:t>
      </w:r>
      <w:r w:rsidR="00765EF1">
        <w:t>;</w:t>
      </w:r>
      <w:r>
        <w:t xml:space="preserve"> and </w:t>
      </w:r>
      <w:r w:rsidR="00765EF1">
        <w:t>(3)</w:t>
      </w:r>
      <w:r w:rsidR="00FE7E22">
        <w:t> </w:t>
      </w:r>
      <w:r>
        <w:t xml:space="preserve">Coordination with the IRP Proceeding.  </w:t>
      </w:r>
      <w:r w:rsidR="00EF56DA">
        <w:t>Regarding</w:t>
      </w:r>
      <w:r w:rsidR="00AD4350">
        <w:t xml:space="preserve"> other </w:t>
      </w:r>
      <w:r w:rsidR="00AB00DF">
        <w:t>requirements of the 2022 ACR</w:t>
      </w:r>
      <w:r w:rsidR="00AD4350">
        <w:t xml:space="preserve">, </w:t>
      </w:r>
      <w:r w:rsidRPr="00AF0C32">
        <w:t>Section</w:t>
      </w:r>
      <w:r w:rsidR="006B3BC2">
        <w:t>s</w:t>
      </w:r>
      <w:r w:rsidRPr="00AF0C32">
        <w:t xml:space="preserve"> </w:t>
      </w:r>
      <w:r w:rsidR="00562F50">
        <w:t>7</w:t>
      </w:r>
      <w:r w:rsidRPr="00AF0C32" w:rsidR="00256BB3">
        <w:t xml:space="preserve">.1 </w:t>
      </w:r>
      <w:r w:rsidRPr="00AF0C32">
        <w:t xml:space="preserve">through </w:t>
      </w:r>
      <w:r w:rsidR="00562F50">
        <w:t>7</w:t>
      </w:r>
      <w:r w:rsidRPr="00AF0C32" w:rsidR="00256BB3">
        <w:t>.3</w:t>
      </w:r>
      <w:r w:rsidR="00256BB3">
        <w:t xml:space="preserve"> of this decision</w:t>
      </w:r>
      <w:r>
        <w:t xml:space="preserve"> provide the Commission’s disposition on CCAs</w:t>
      </w:r>
      <w:r w:rsidR="006B3BC2">
        <w:t>’</w:t>
      </w:r>
      <w:r>
        <w:t xml:space="preserve"> and ESPs’ </w:t>
      </w:r>
      <w:r w:rsidR="006B3BC2">
        <w:t>D</w:t>
      </w:r>
      <w:r>
        <w:t xml:space="preserve">raft 2022 RPS Plans.  We have also identified the </w:t>
      </w:r>
      <w:r w:rsidR="000759CA">
        <w:t>D</w:t>
      </w:r>
      <w:r>
        <w:t>raft 2022 RPS Plans that serve as the best examples for each issue</w:t>
      </w:r>
      <w:r w:rsidR="00256BB3">
        <w:t>,</w:t>
      </w:r>
      <w:r>
        <w:t xml:space="preserve"> as discussed in the following subsections</w:t>
      </w:r>
      <w:r w:rsidR="00256BB3">
        <w:t xml:space="preserve">. </w:t>
      </w:r>
      <w:r w:rsidR="00BF3C34">
        <w:t xml:space="preserve"> </w:t>
      </w:r>
      <w:r w:rsidR="00256BB3">
        <w:t xml:space="preserve">These best examples </w:t>
      </w:r>
      <w:r>
        <w:t xml:space="preserve">can be </w:t>
      </w:r>
      <w:r w:rsidR="00FB3DDA">
        <w:t>used</w:t>
      </w:r>
      <w:r>
        <w:t xml:space="preserve"> as </w:t>
      </w:r>
      <w:r w:rsidR="00256BB3">
        <w:t xml:space="preserve">references, as </w:t>
      </w:r>
      <w:r>
        <w:t>retail sellers finalize their 2022 RPS Plans.</w:t>
      </w:r>
    </w:p>
    <w:p w:rsidR="00F11B79" w:rsidP="00F11B79" w:rsidRDefault="00F11B79" w14:paraId="2B82E5D4" w14:textId="0C555961">
      <w:pPr>
        <w:pStyle w:val="Heading2"/>
        <w:numPr>
          <w:ilvl w:val="1"/>
          <w:numId w:val="2"/>
        </w:numPr>
      </w:pPr>
      <w:bookmarkStart w:name="_Toc122180477" w:id="84"/>
      <w:r>
        <w:t>CCAs Need to Procure</w:t>
      </w:r>
      <w:bookmarkEnd w:id="84"/>
    </w:p>
    <w:p w:rsidRPr="00F11B79" w:rsidR="00F11B79" w:rsidP="00F11B79" w:rsidRDefault="00F11B79" w14:paraId="02C12697" w14:textId="7B61252C">
      <w:pPr>
        <w:pStyle w:val="Standard"/>
      </w:pPr>
      <w:r w:rsidRPr="00F11B79">
        <w:t xml:space="preserve">The Commission reviewed </w:t>
      </w:r>
      <w:r w:rsidR="004D4072">
        <w:t>D</w:t>
      </w:r>
      <w:r w:rsidRPr="00F11B79">
        <w:t xml:space="preserve">raft 2022 RPS Plans for 25 CCAs, including CCAs currently serving retail load or planning to start serving retail load in 2022 or 2023. </w:t>
      </w:r>
      <w:r w:rsidR="00BF3C34">
        <w:t xml:space="preserve"> </w:t>
      </w:r>
      <w:r w:rsidRPr="00F11B79">
        <w:t>Collectively, the CCAs have executed enough renewable energy contracts to exceed their forecasted need in 2022 and plan to serve over 64,000</w:t>
      </w:r>
      <w:r w:rsidR="00FE7E22">
        <w:t> </w:t>
      </w:r>
      <w:r w:rsidRPr="00F11B79">
        <w:t>GWh of retail load in 2023.</w:t>
      </w:r>
    </w:p>
    <w:p w:rsidRPr="00F11B79" w:rsidR="00F11B79" w:rsidP="00F11B79" w:rsidRDefault="00F11B79" w14:paraId="46F21EBC" w14:textId="37A50402">
      <w:pPr>
        <w:pStyle w:val="Standard"/>
      </w:pPr>
      <w:r w:rsidRPr="00F11B79">
        <w:t>In D.21-01-005, we noted that the CCAs’ share of retail sales is projected to grow from less than 10,000 GWh in 2016 to 62,000 GWh in 2023.  Given the updated information, we now find that the projected CCA retail sales growth in 2023 has increased to 64,000 GWh.  Based on the CCAs’ RNS reporting, several CCAs are expected to need additional RPS procurement beginning in 2022.</w:t>
      </w:r>
    </w:p>
    <w:p w:rsidRPr="00F11B79" w:rsidR="00F11B79" w:rsidP="00FE7E22" w:rsidRDefault="00F11B79" w14:paraId="66817EDC" w14:textId="662BBAD2">
      <w:pPr>
        <w:pStyle w:val="Standard"/>
        <w:keepNext/>
        <w:ind w:firstLine="0"/>
        <w:jc w:val="center"/>
        <w:rPr>
          <w:b/>
          <w:bCs/>
        </w:rPr>
      </w:pPr>
      <w:r w:rsidRPr="00F11B79">
        <w:rPr>
          <w:b/>
          <w:bCs/>
        </w:rPr>
        <w:t xml:space="preserve">Figure </w:t>
      </w:r>
      <w:r w:rsidR="00E57305">
        <w:rPr>
          <w:b/>
          <w:bCs/>
        </w:rPr>
        <w:t>3</w:t>
      </w:r>
      <w:r w:rsidRPr="00F11B79">
        <w:rPr>
          <w:b/>
          <w:bCs/>
        </w:rPr>
        <w:t>:  Aggregated CCA Progress Towards 60% RPS</w:t>
      </w:r>
    </w:p>
    <w:p w:rsidRPr="005C0862" w:rsidR="005C0862" w:rsidP="00FE7E22" w:rsidRDefault="005C0862" w14:paraId="263C043F" w14:textId="77777777">
      <w:pPr>
        <w:pStyle w:val="Standard"/>
        <w:ind w:firstLine="0"/>
        <w:jc w:val="center"/>
      </w:pPr>
      <w:r w:rsidRPr="005C0862">
        <w:rPr>
          <w:noProof/>
          <w:color w:val="2B579A"/>
          <w:shd w:val="clear" w:color="auto" w:fill="E6E6E6"/>
        </w:rPr>
        <w:drawing>
          <wp:inline distT="0" distB="0" distL="0" distR="0" wp14:anchorId="0BD5F65B" wp14:editId="231C3F7D">
            <wp:extent cx="5886450" cy="3161665"/>
            <wp:effectExtent l="0" t="0" r="0" b="635"/>
            <wp:docPr id="2" name="Chart 2">
              <a:extLst xmlns:a="http://schemas.openxmlformats.org/drawingml/2006/main">
                <a:ext uri="{FF2B5EF4-FFF2-40B4-BE49-F238E27FC236}">
                  <a16:creationId xmlns:a16="http://schemas.microsoft.com/office/drawing/2014/main" id="{7DF90392-C684-3B45-BDED-E11807EE84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1B79" w:rsidP="008A4FDA" w:rsidRDefault="005C0862" w14:paraId="54F79737" w14:textId="149B6FF7">
      <w:pPr>
        <w:pStyle w:val="Heading2"/>
        <w:numPr>
          <w:ilvl w:val="1"/>
          <w:numId w:val="2"/>
        </w:numPr>
        <w:spacing w:before="120"/>
      </w:pPr>
      <w:bookmarkStart w:name="_Toc122180478" w:id="85"/>
      <w:r>
        <w:t>ESPs Need to Procure</w:t>
      </w:r>
      <w:bookmarkEnd w:id="85"/>
    </w:p>
    <w:p w:rsidRPr="005C0862" w:rsidR="005C0862" w:rsidP="005C0862" w:rsidRDefault="005C0862" w14:paraId="33F47534" w14:textId="2912A751">
      <w:pPr>
        <w:pStyle w:val="Standard"/>
      </w:pPr>
      <w:bookmarkStart w:name="_Hlk117492450" w:id="86"/>
      <w:r w:rsidRPr="005C0862">
        <w:t xml:space="preserve">The Commission reviewed </w:t>
      </w:r>
      <w:r w:rsidR="00B66F65">
        <w:t>D</w:t>
      </w:r>
      <w:r w:rsidRPr="005C0862">
        <w:t xml:space="preserve">raft 2022 RPS Plans filed by 11 ESPs.  Based on these ESPs’ RNS reporting,  </w:t>
      </w:r>
      <w:r w:rsidR="00CB1766">
        <w:t>we</w:t>
      </w:r>
      <w:r w:rsidR="00050F5E">
        <w:t xml:space="preserve"> find </w:t>
      </w:r>
      <w:r w:rsidRPr="005C0862">
        <w:t xml:space="preserve">that the ESPs will collectively need additional procurement to meet RPS obligations </w:t>
      </w:r>
      <w:r w:rsidR="00220C96">
        <w:t xml:space="preserve">this year and then </w:t>
      </w:r>
      <w:r w:rsidRPr="005C0862">
        <w:t>beginning in 2025</w:t>
      </w:r>
      <w:r w:rsidR="00EF6EEF">
        <w:t xml:space="preserve">, </w:t>
      </w:r>
      <w:bookmarkEnd w:id="86"/>
      <w:r w:rsidR="00EF6EEF">
        <w:rPr>
          <w:i/>
          <w:iCs/>
        </w:rPr>
        <w:t>s</w:t>
      </w:r>
      <w:r w:rsidRPr="005C0862">
        <w:rPr>
          <w:i/>
          <w:iCs/>
        </w:rPr>
        <w:t xml:space="preserve">ee </w:t>
      </w:r>
      <w:r w:rsidRPr="005C0862">
        <w:t xml:space="preserve">Figure </w:t>
      </w:r>
      <w:r w:rsidR="00E93D38">
        <w:t>4</w:t>
      </w:r>
      <w:r w:rsidR="00CB1766">
        <w:t>,</w:t>
      </w:r>
      <w:bookmarkStart w:name="_Hlk117492471" w:id="87"/>
      <w:r w:rsidRPr="005C0862">
        <w:t xml:space="preserve"> a</w:t>
      </w:r>
      <w:r w:rsidR="00CB1766">
        <w:t>s a</w:t>
      </w:r>
      <w:r w:rsidRPr="005C0862">
        <w:t xml:space="preserve"> result of historically relying on short-term contracts to match their RPS obligation to their overall retail sales</w:t>
      </w:r>
      <w:bookmarkEnd w:id="87"/>
      <w:r w:rsidRPr="005C0862">
        <w:t>.</w:t>
      </w:r>
    </w:p>
    <w:p w:rsidRPr="005C0862" w:rsidR="005C0862" w:rsidP="008A4FDA" w:rsidRDefault="005C0862" w14:paraId="1FF64054" w14:textId="6129F51B">
      <w:pPr>
        <w:pStyle w:val="Standard"/>
        <w:keepNext/>
        <w:spacing w:before="120"/>
        <w:ind w:firstLine="0"/>
        <w:jc w:val="center"/>
        <w:rPr>
          <w:b/>
          <w:bCs/>
        </w:rPr>
      </w:pPr>
      <w:r w:rsidRPr="005C0862">
        <w:rPr>
          <w:b/>
          <w:bCs/>
        </w:rPr>
        <w:t xml:space="preserve">Figure </w:t>
      </w:r>
      <w:r w:rsidR="00E57305">
        <w:rPr>
          <w:b/>
          <w:bCs/>
        </w:rPr>
        <w:t>4</w:t>
      </w:r>
      <w:r w:rsidRPr="005C0862">
        <w:rPr>
          <w:b/>
          <w:bCs/>
        </w:rPr>
        <w:t>:  Aggregated ESP Progress Towards 60% RPS</w:t>
      </w:r>
    </w:p>
    <w:p w:rsidRPr="005C0862" w:rsidR="005C0862" w:rsidP="00FE7E22" w:rsidRDefault="00962F92" w14:paraId="450EA557" w14:textId="2903906F">
      <w:pPr>
        <w:pStyle w:val="Standard"/>
        <w:ind w:firstLine="0"/>
        <w:jc w:val="center"/>
      </w:pPr>
      <w:r>
        <w:rPr>
          <w:noProof/>
          <w:color w:val="2B579A"/>
          <w:shd w:val="clear" w:color="auto" w:fill="E6E6E6"/>
        </w:rPr>
        <w:drawing>
          <wp:inline distT="0" distB="0" distL="0" distR="0" wp14:anchorId="7CF822B8" wp14:editId="0E586CBC">
            <wp:extent cx="5943600" cy="2202180"/>
            <wp:effectExtent l="0" t="0" r="0" b="7620"/>
            <wp:docPr id="1" name="Chart 1">
              <a:extLst xmlns:a="http://schemas.openxmlformats.org/drawingml/2006/main">
                <a:ext uri="{FF2B5EF4-FFF2-40B4-BE49-F238E27FC236}">
                  <a16:creationId xmlns:a16="http://schemas.microsoft.com/office/drawing/2014/main" id="{9D8979F9-6D75-2240-8B90-4B79BE546F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0998" w:rsidP="0029496C" w:rsidRDefault="00500998" w14:paraId="2C3AEC4A" w14:textId="56CA0486">
      <w:pPr>
        <w:pStyle w:val="Heading2"/>
        <w:numPr>
          <w:ilvl w:val="1"/>
          <w:numId w:val="2"/>
        </w:numPr>
        <w:spacing w:before="240"/>
      </w:pPr>
      <w:bookmarkStart w:name="_Toc116301960" w:id="88"/>
      <w:bookmarkStart w:name="_Toc122180479" w:id="89"/>
      <w:r>
        <w:t>CCA</w:t>
      </w:r>
      <w:r w:rsidR="00DB4B71">
        <w:t>-</w:t>
      </w:r>
      <w:r>
        <w:t xml:space="preserve"> and ESP</w:t>
      </w:r>
      <w:r w:rsidR="00DB4B71">
        <w:t>-</w:t>
      </w:r>
      <w:r>
        <w:t>Related Issues to Address in</w:t>
      </w:r>
      <w:r w:rsidR="0029496C">
        <w:br/>
      </w:r>
      <w:r>
        <w:t>the Final 2022 RPS Plans</w:t>
      </w:r>
      <w:bookmarkEnd w:id="88"/>
      <w:bookmarkEnd w:id="89"/>
      <w:r>
        <w:t xml:space="preserve"> </w:t>
      </w:r>
    </w:p>
    <w:p w:rsidR="00500998" w:rsidP="00FB4DD7" w:rsidRDefault="00500998" w14:paraId="5C177091" w14:textId="27AEA0B9">
      <w:pPr>
        <w:pStyle w:val="Heading3"/>
        <w:numPr>
          <w:ilvl w:val="2"/>
          <w:numId w:val="2"/>
        </w:numPr>
      </w:pPr>
      <w:bookmarkStart w:name="_Toc122180480" w:id="90"/>
      <w:r>
        <w:t>Project Development Status Update</w:t>
      </w:r>
      <w:bookmarkEnd w:id="90"/>
    </w:p>
    <w:p w:rsidRPr="0096660C" w:rsidR="00500998" w:rsidP="00500998" w:rsidRDefault="00500998" w14:paraId="02C762CF" w14:textId="77777777">
      <w:pPr>
        <w:pStyle w:val="Standard"/>
      </w:pPr>
      <w:r w:rsidRPr="0096660C">
        <w:t>Section 399.13 requires retail sellers to include a status update on the development schedule of all eligible renewable energy resources currently under contract in their RPS Plans.  This information is important for the Commission to monitor retail sellers’ ability to meet RPS compliance obligations.  Additionally, the Commission is required to report RPS capacity additions and contracts signed for new RPS projects to the Legislature.  Without the information in RPS Plans, the Commission cannot accurately report to the Legislature. </w:t>
      </w:r>
    </w:p>
    <w:p w:rsidRPr="0096660C" w:rsidR="00500998" w:rsidP="00500998" w:rsidRDefault="00500998" w14:paraId="362660D6" w14:textId="0EB2C2F8">
      <w:pPr>
        <w:pStyle w:val="Standard"/>
      </w:pPr>
      <w:bookmarkStart w:name="_Hlk117492522" w:id="91"/>
      <w:r w:rsidRPr="0096660C">
        <w:t xml:space="preserve">In their </w:t>
      </w:r>
      <w:r w:rsidR="00E04B09">
        <w:t>D</w:t>
      </w:r>
      <w:r w:rsidRPr="0096660C">
        <w:t xml:space="preserve">raft 2022 RPS Plans, most CCAs and ESPs include their respective PDSU spreadsheet, however some failed to use the correct format prescribed by the </w:t>
      </w:r>
      <w:r w:rsidR="00FF4C5D">
        <w:t xml:space="preserve">2022 </w:t>
      </w:r>
      <w:r w:rsidRPr="0096660C">
        <w:t>ACR, and many others only provided basic information on project development that is of limited use for RPS analyses</w:t>
      </w:r>
      <w:bookmarkEnd w:id="91"/>
      <w:r w:rsidRPr="0096660C">
        <w:t>. </w:t>
      </w:r>
    </w:p>
    <w:p w:rsidRPr="0096660C" w:rsidR="00500998" w:rsidP="00500998" w:rsidRDefault="007B7464" w14:paraId="795DD013" w14:textId="039C3A5C">
      <w:pPr>
        <w:pStyle w:val="Standard"/>
      </w:pPr>
      <w:bookmarkStart w:name="_Hlk117492558" w:id="92"/>
      <w:r>
        <w:t>Therefore, we direct retail sellers to provide</w:t>
      </w:r>
      <w:r w:rsidRPr="0096660C" w:rsidR="00500998">
        <w:t xml:space="preserve"> additional</w:t>
      </w:r>
      <w:r>
        <w:t xml:space="preserve"> narrative</w:t>
      </w:r>
      <w:r w:rsidRPr="0096660C" w:rsidR="00500998">
        <w:t>,</w:t>
      </w:r>
      <w:r>
        <w:t xml:space="preserve"> with</w:t>
      </w:r>
      <w:r w:rsidRPr="0096660C" w:rsidR="00500998">
        <w:t xml:space="preserve"> more granular detail on the status of projects’ development, beyond just the bare categories of the PDSU attachment, including any significant deviations from preceding attachments</w:t>
      </w:r>
      <w:bookmarkEnd w:id="92"/>
      <w:r w:rsidRPr="0096660C" w:rsidR="00500998">
        <w:t xml:space="preserve">.  As such, the </w:t>
      </w:r>
      <w:r>
        <w:t>retail seller’s F</w:t>
      </w:r>
      <w:r w:rsidRPr="0096660C" w:rsidR="00500998">
        <w:t xml:space="preserve">inal RPS Plans should explain the reasons for any project delays, including but not limited to supply chain disruptions, interconnection issues, financing issues, or construction interruptions.  Additionally, the </w:t>
      </w:r>
      <w:r w:rsidR="003B2C15">
        <w:t xml:space="preserve">retail sellers shall include any omissions from the </w:t>
      </w:r>
      <w:r w:rsidRPr="0096660C" w:rsidR="00500998">
        <w:t xml:space="preserve">required </w:t>
      </w:r>
      <w:r w:rsidR="00500998">
        <w:t>11</w:t>
      </w:r>
      <w:r w:rsidR="00BF3C34">
        <w:t> </w:t>
      </w:r>
      <w:r w:rsidRPr="0096660C" w:rsidR="00500998">
        <w:t>elements</w:t>
      </w:r>
      <w:r w:rsidR="00500998">
        <w:t xml:space="preserve"> in Section 6.5 of the </w:t>
      </w:r>
      <w:r w:rsidR="00FF4C5D">
        <w:t xml:space="preserve">2022 </w:t>
      </w:r>
      <w:r w:rsidR="00500998">
        <w:t>ACR</w:t>
      </w:r>
      <w:r w:rsidRPr="0096660C" w:rsidR="00500998">
        <w:t xml:space="preserve">, </w:t>
      </w:r>
      <w:r w:rsidR="003B2C15">
        <w:t xml:space="preserve">particularly frequently omitted elements </w:t>
      </w:r>
      <w:r w:rsidRPr="0096660C" w:rsidR="00500998">
        <w:t>such as “commercial</w:t>
      </w:r>
      <w:r w:rsidR="00BF3C34">
        <w:t xml:space="preserve"> </w:t>
      </w:r>
      <w:r w:rsidRPr="0096660C" w:rsidR="00500998">
        <w:t>online</w:t>
      </w:r>
      <w:r w:rsidR="00BF3C34">
        <w:t xml:space="preserve"> </w:t>
      </w:r>
      <w:r w:rsidRPr="0096660C" w:rsidR="00500998">
        <w:t>date”</w:t>
      </w:r>
      <w:r w:rsidR="00BF3C34">
        <w:t xml:space="preserve"> </w:t>
      </w:r>
      <w:r w:rsidRPr="0096660C" w:rsidR="00500998">
        <w:t>and</w:t>
      </w:r>
      <w:r w:rsidR="00BF3C34">
        <w:t xml:space="preserve"> </w:t>
      </w:r>
      <w:r w:rsidRPr="0096660C" w:rsidR="00500998">
        <w:t>“status of any required new transmission line or transmission upgrades for each facility</w:t>
      </w:r>
      <w:r w:rsidR="003B2C15">
        <w:t>.</w:t>
      </w:r>
      <w:r w:rsidRPr="0096660C" w:rsidR="00500998">
        <w:t>”. </w:t>
      </w:r>
    </w:p>
    <w:p w:rsidRPr="0096660C" w:rsidR="00500998" w:rsidP="00500998" w:rsidRDefault="00500998" w14:paraId="1F04740C" w14:textId="06525A1B">
      <w:pPr>
        <w:pStyle w:val="Standard"/>
      </w:pPr>
      <w:r w:rsidRPr="00DB1DAB">
        <w:t xml:space="preserve">We have identified PDSU narratives provided in </w:t>
      </w:r>
      <w:r w:rsidR="00686093">
        <w:t>D</w:t>
      </w:r>
      <w:r w:rsidRPr="00DB1DAB">
        <w:t>raft 2022 RPS Plans that can serve as the best examples for retail sellers to consult when developing their Final 2022 RPS Plan</w:t>
      </w:r>
      <w:r w:rsidR="00B8690A">
        <w:t>s</w:t>
      </w:r>
      <w:r w:rsidRPr="00DB1DAB">
        <w:t xml:space="preserve">, and they include:  </w:t>
      </w:r>
      <w:bookmarkStart w:name="_Hlk117492595" w:id="93"/>
      <w:r w:rsidRPr="00DB1DAB">
        <w:t>Desert Community Energy, East Bay Community Energy, Constellation NewEnergy, and Pioneer Community Energy.</w:t>
      </w:r>
      <w:r>
        <w:t> </w:t>
      </w:r>
    </w:p>
    <w:bookmarkEnd w:id="93"/>
    <w:p w:rsidRPr="0096660C" w:rsidR="00500998" w:rsidP="00500998" w:rsidRDefault="00500998" w14:paraId="08E4AFAD" w14:textId="77777777">
      <w:pPr>
        <w:pStyle w:val="Standard"/>
      </w:pPr>
      <w:r w:rsidRPr="0096660C">
        <w:t xml:space="preserve">Retail sellers identified in the table below </w:t>
      </w:r>
      <w:r>
        <w:t>must</w:t>
      </w:r>
      <w:r w:rsidRPr="0096660C">
        <w:t xml:space="preserve"> update the PDSU section in their Final 2022 RPS Plans pursuant to the findings below.   </w:t>
      </w:r>
    </w:p>
    <w:p w:rsidRPr="0029496C" w:rsidR="00500998" w:rsidP="0029496C" w:rsidRDefault="00500998" w14:paraId="186D88A0" w14:textId="528E04E0">
      <w:pPr>
        <w:spacing w:after="120" w:line="240" w:lineRule="auto"/>
        <w:ind w:firstLine="0"/>
        <w:jc w:val="center"/>
        <w:textAlignment w:val="baseline"/>
        <w:rPr>
          <w:rFonts w:eastAsia="Times New Roman" w:cs="Times New Roman"/>
          <w:color w:val="000000"/>
          <w:szCs w:val="26"/>
        </w:rPr>
      </w:pPr>
      <w:r w:rsidRPr="00FF0912">
        <w:rPr>
          <w:rFonts w:eastAsia="Times New Roman" w:cs="Times New Roman"/>
          <w:b/>
          <w:bCs/>
          <w:color w:val="000000"/>
          <w:szCs w:val="26"/>
        </w:rPr>
        <w:t xml:space="preserve">Table </w:t>
      </w:r>
      <w:r w:rsidR="00AF0C32">
        <w:rPr>
          <w:rFonts w:eastAsia="Times New Roman" w:cs="Times New Roman"/>
          <w:b/>
          <w:bCs/>
          <w:color w:val="000000"/>
          <w:szCs w:val="26"/>
        </w:rPr>
        <w:t>4</w:t>
      </w:r>
      <w:r w:rsidRPr="00FF0912">
        <w:rPr>
          <w:rFonts w:eastAsia="Times New Roman" w:cs="Times New Roman"/>
          <w:b/>
          <w:bCs/>
          <w:color w:val="000000"/>
          <w:szCs w:val="26"/>
        </w:rPr>
        <w:t xml:space="preserve">:  Project Development Status </w:t>
      </w:r>
    </w:p>
    <w:tbl>
      <w:tblPr>
        <w:tblW w:w="933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35"/>
        <w:gridCol w:w="6195"/>
      </w:tblGrid>
      <w:tr w:rsidRPr="0029496C" w:rsidR="00500998" w:rsidTr="00D74826" w14:paraId="61EA1556" w14:textId="77777777">
        <w:trPr>
          <w:trHeight w:val="453"/>
          <w:jc w:val="center"/>
        </w:trPr>
        <w:tc>
          <w:tcPr>
            <w:tcW w:w="3135"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hideMark/>
          </w:tcPr>
          <w:p w:rsidRPr="0029496C" w:rsidR="00500998" w:rsidRDefault="00500998" w14:paraId="3D1F1ED1" w14:textId="77777777">
            <w:pPr>
              <w:spacing w:line="240" w:lineRule="auto"/>
              <w:ind w:firstLine="0"/>
              <w:jc w:val="center"/>
              <w:textAlignment w:val="baseline"/>
              <w:rPr>
                <w:rFonts w:eastAsia="Times New Roman" w:cs="Times New Roman"/>
                <w:b/>
                <w:color w:val="000000"/>
                <w:sz w:val="24"/>
                <w:szCs w:val="24"/>
              </w:rPr>
            </w:pPr>
            <w:r w:rsidRPr="0029496C">
              <w:rPr>
                <w:rFonts w:eastAsia="Times New Roman" w:cs="Times New Roman"/>
                <w:b/>
                <w:color w:val="000000"/>
                <w:sz w:val="24"/>
                <w:szCs w:val="24"/>
              </w:rPr>
              <w:t>Retail Seller (CCAs) </w:t>
            </w:r>
          </w:p>
        </w:tc>
        <w:tc>
          <w:tcPr>
            <w:tcW w:w="6195"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hideMark/>
          </w:tcPr>
          <w:p w:rsidRPr="0029496C" w:rsidR="00500998" w:rsidRDefault="00500998" w14:paraId="6DEE16B5" w14:textId="77777777">
            <w:pPr>
              <w:spacing w:line="240" w:lineRule="auto"/>
              <w:ind w:firstLine="0"/>
              <w:jc w:val="center"/>
              <w:textAlignment w:val="baseline"/>
              <w:rPr>
                <w:rFonts w:eastAsia="Times New Roman" w:cs="Times New Roman"/>
                <w:b/>
                <w:color w:val="000000"/>
                <w:sz w:val="24"/>
                <w:szCs w:val="24"/>
              </w:rPr>
            </w:pPr>
            <w:r w:rsidRPr="0029496C">
              <w:rPr>
                <w:rFonts w:eastAsia="Times New Roman" w:cs="Times New Roman"/>
                <w:b/>
                <w:color w:val="000000"/>
                <w:sz w:val="24"/>
                <w:szCs w:val="24"/>
              </w:rPr>
              <w:t>Commission Finding </w:t>
            </w:r>
          </w:p>
        </w:tc>
      </w:tr>
      <w:tr w:rsidRPr="0029496C" w:rsidR="00500998" w:rsidTr="0029496C" w14:paraId="79695705" w14:textId="77777777">
        <w:trPr>
          <w:jc w:val="center"/>
        </w:trPr>
        <w:tc>
          <w:tcPr>
            <w:tcW w:w="31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RDefault="00500998" w14:paraId="6C41808C" w14:textId="77777777">
            <w:pPr>
              <w:spacing w:line="240" w:lineRule="auto"/>
              <w:ind w:firstLine="0"/>
              <w:textAlignment w:val="baseline"/>
              <w:rPr>
                <w:rFonts w:eastAsia="Times New Roman" w:cs="Times New Roman"/>
                <w:b/>
                <w:bCs/>
                <w:color w:val="000000"/>
                <w:sz w:val="24"/>
                <w:szCs w:val="24"/>
              </w:rPr>
            </w:pPr>
            <w:bookmarkStart w:name="_Hlk117499869" w:id="94"/>
            <w:r w:rsidRPr="0029496C">
              <w:rPr>
                <w:rFonts w:eastAsia="Times New Roman" w:cs="Times New Roman"/>
                <w:b/>
                <w:bCs/>
                <w:color w:val="000000"/>
                <w:sz w:val="24"/>
                <w:szCs w:val="24"/>
              </w:rPr>
              <w:t>Central Coast Community Energy</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P="00BF3C34" w:rsidRDefault="00500998" w14:paraId="27ED61D0"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Limited narrative description of project status </w:t>
            </w:r>
          </w:p>
          <w:p w:rsidRPr="0029496C" w:rsidR="00500998" w:rsidP="00BF3C34" w:rsidRDefault="00500998" w14:paraId="58CE3237"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Missing transmission status information from PDSU spreadsheet</w:t>
            </w:r>
          </w:p>
        </w:tc>
      </w:tr>
      <w:tr w:rsidRPr="0029496C" w:rsidR="00500998" w:rsidTr="0029496C" w14:paraId="2E130876" w14:textId="77777777">
        <w:trPr>
          <w:jc w:val="center"/>
        </w:trPr>
        <w:tc>
          <w:tcPr>
            <w:tcW w:w="31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RDefault="00500998" w14:paraId="593C625C"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Clean Power Alliance of Southern California</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P="00BF3C34" w:rsidRDefault="00500998" w14:paraId="2E1D1DF5" w14:textId="34DB1FD8">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Commercial Online Date not provided for all projects on spreadsheet</w:t>
            </w:r>
          </w:p>
        </w:tc>
      </w:tr>
      <w:tr w:rsidRPr="0029496C" w:rsidR="00500998" w:rsidDel="00162907" w:rsidTr="0029496C" w14:paraId="15C4042D" w14:textId="77777777">
        <w:trPr>
          <w:jc w:val="center"/>
        </w:trPr>
        <w:tc>
          <w:tcPr>
            <w:tcW w:w="31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Del="00162907" w:rsidRDefault="00500998" w14:paraId="528F226F" w14:textId="77777777">
            <w:pPr>
              <w:spacing w:line="240" w:lineRule="auto"/>
              <w:ind w:firstLine="0"/>
              <w:textAlignment w:val="baseline"/>
              <w:rPr>
                <w:rFonts w:eastAsia="Times New Roman" w:cs="Times New Roman"/>
                <w:b/>
                <w:bCs/>
                <w:color w:val="000000"/>
                <w:sz w:val="24"/>
                <w:szCs w:val="24"/>
              </w:rPr>
            </w:pPr>
            <w:r w:rsidRPr="0029496C" w:rsidDel="00162907">
              <w:rPr>
                <w:rFonts w:eastAsia="Times New Roman" w:cs="Times New Roman"/>
                <w:b/>
                <w:bCs/>
                <w:color w:val="000000"/>
                <w:sz w:val="24"/>
                <w:szCs w:val="24"/>
              </w:rPr>
              <w:t>Pico Rivera Innovative Municipal Energy</w:t>
            </w:r>
            <w:r w:rsidRPr="0029496C" w:rsidDel="00162907">
              <w:rPr>
                <w:rFonts w:ascii="Times New Roman" w:hAnsi="Times New Roman" w:eastAsia="Times New Roman" w:cs="Times New Roman"/>
                <w:b/>
                <w:bCs/>
                <w:color w:val="000000"/>
                <w:sz w:val="24"/>
                <w:szCs w:val="24"/>
              </w:rPr>
              <w:t> </w:t>
            </w:r>
            <w:r w:rsidRPr="0029496C" w:rsidDel="00162907">
              <w:rPr>
                <w:rFonts w:eastAsia="Times New Roman" w:cs="Times New Roman"/>
                <w:b/>
                <w:bCs/>
                <w:color w:val="000000"/>
                <w:sz w:val="24"/>
                <w:szCs w:val="24"/>
              </w:rPr>
              <w:t> </w:t>
            </w:r>
          </w:p>
        </w:tc>
        <w:tc>
          <w:tcPr>
            <w:tcW w:w="6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P="00BF3C34" w:rsidRDefault="00500998" w14:paraId="5828DFAE"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Narrative mentions entering into three RPS supply agreements supporting new renewable infrastructure, however PDSU spreadsheet has only one entry</w:t>
            </w:r>
          </w:p>
          <w:p w:rsidRPr="0029496C" w:rsidR="00500998" w:rsidDel="00162907" w:rsidP="00BF3C34" w:rsidRDefault="00500998" w14:paraId="04463DF8" w14:textId="6A5DDDF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RECs are not reflected in RNS spreadsheet</w:t>
            </w:r>
          </w:p>
        </w:tc>
      </w:tr>
      <w:tr w:rsidRPr="0029496C" w:rsidR="00500998" w:rsidDel="003B2F86" w:rsidTr="0029496C" w14:paraId="3B277E16" w14:textId="77777777">
        <w:trPr>
          <w:jc w:val="center"/>
        </w:trPr>
        <w:tc>
          <w:tcPr>
            <w:tcW w:w="31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Del="003B2F86" w:rsidRDefault="00500998" w14:paraId="1BE0E4DA" w14:textId="77777777">
            <w:pPr>
              <w:spacing w:line="240" w:lineRule="auto"/>
              <w:ind w:firstLine="0"/>
              <w:textAlignment w:val="baseline"/>
              <w:rPr>
                <w:rFonts w:eastAsia="Times New Roman" w:cs="Times New Roman"/>
                <w:b/>
                <w:bCs/>
                <w:color w:val="000000"/>
                <w:sz w:val="24"/>
                <w:szCs w:val="24"/>
              </w:rPr>
            </w:pPr>
            <w:r w:rsidRPr="0029496C" w:rsidDel="003B2F86">
              <w:rPr>
                <w:rFonts w:eastAsia="Times New Roman" w:cs="Times New Roman"/>
                <w:b/>
                <w:bCs/>
                <w:color w:val="000000"/>
                <w:sz w:val="24"/>
                <w:szCs w:val="24"/>
              </w:rPr>
              <w:t>Rancho Mirage Energy Authority</w:t>
            </w:r>
            <w:r w:rsidRPr="0029496C" w:rsidDel="003B2F86">
              <w:rPr>
                <w:rFonts w:ascii="Times New Roman" w:hAnsi="Times New Roman" w:eastAsia="Times New Roman" w:cs="Times New Roman"/>
                <w:b/>
                <w:bCs/>
                <w:color w:val="000000"/>
                <w:sz w:val="24"/>
                <w:szCs w:val="24"/>
              </w:rPr>
              <w:t> </w:t>
            </w:r>
            <w:r w:rsidRPr="0029496C" w:rsidDel="003B2F86">
              <w:rPr>
                <w:rFonts w:eastAsia="Times New Roman" w:cs="Times New Roman"/>
                <w:b/>
                <w:bCs/>
                <w:color w:val="000000"/>
                <w:sz w:val="24"/>
                <w:szCs w:val="24"/>
              </w:rPr>
              <w:t> </w:t>
            </w:r>
          </w:p>
        </w:tc>
        <w:tc>
          <w:tcPr>
            <w:tcW w:w="61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9496C" w:rsidR="00500998" w:rsidP="00BF3C34" w:rsidRDefault="00500998" w14:paraId="1DB84302"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Narrative mentions entering into three RPS supply agreements supporting new renewable infrastructure, however, PDSU spreadsheet has only one entry</w:t>
            </w:r>
          </w:p>
          <w:p w:rsidRPr="0029496C" w:rsidR="00500998" w:rsidDel="003B2F86" w:rsidP="00BF3C34" w:rsidRDefault="00500998" w14:paraId="40EF65F7"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RECs are not reflected in RNS spreadsheet</w:t>
            </w:r>
          </w:p>
        </w:tc>
      </w:tr>
      <w:tr w:rsidRPr="0029496C" w:rsidR="00500998" w:rsidTr="0029496C" w14:paraId="6A1627EA" w14:textId="77777777">
        <w:trPr>
          <w:jc w:val="center"/>
        </w:trPr>
        <w:tc>
          <w:tcPr>
            <w:tcW w:w="313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751CE529"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Redwood Coast Energy Authority</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BF3C34" w:rsidRDefault="00500998" w14:paraId="7090478F"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Commercial Online Date may have typographical errors</w:t>
            </w:r>
          </w:p>
        </w:tc>
      </w:tr>
      <w:tr w:rsidRPr="0029496C" w:rsidR="00500998" w:rsidTr="0029496C" w14:paraId="1CA279E0"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6F063CA8"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San Diego Community Power</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BF3C34" w:rsidRDefault="00500998" w14:paraId="5D51F483"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Limited narrative description of project status </w:t>
            </w:r>
          </w:p>
          <w:p w:rsidRPr="0029496C" w:rsidR="00500998" w:rsidP="00BF3C34" w:rsidRDefault="00500998" w14:paraId="2C1E2C9E"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Missing transmission and COD status information from the PDSU spreadsheet</w:t>
            </w:r>
          </w:p>
        </w:tc>
      </w:tr>
      <w:tr w:rsidRPr="0029496C" w:rsidR="00500998" w:rsidDel="00E258FD" w:rsidTr="0029496C" w14:paraId="6565D55F"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Del="00E258FD" w:rsidRDefault="00500998" w14:paraId="202A3D00" w14:textId="77777777">
            <w:pPr>
              <w:spacing w:line="240" w:lineRule="auto"/>
              <w:ind w:firstLine="0"/>
              <w:textAlignment w:val="baseline"/>
              <w:rPr>
                <w:rFonts w:eastAsia="Times New Roman" w:cs="Times New Roman"/>
                <w:b/>
                <w:bCs/>
                <w:color w:val="000000"/>
                <w:sz w:val="24"/>
                <w:szCs w:val="24"/>
              </w:rPr>
            </w:pPr>
            <w:r w:rsidRPr="0029496C" w:rsidDel="00E258FD">
              <w:rPr>
                <w:rFonts w:eastAsia="Times New Roman" w:cs="Times New Roman"/>
                <w:b/>
                <w:bCs/>
                <w:color w:val="000000"/>
                <w:sz w:val="24"/>
                <w:szCs w:val="24"/>
              </w:rPr>
              <w:t>San Jacinto Power</w:t>
            </w:r>
            <w:r w:rsidRPr="0029496C" w:rsidDel="00E258FD">
              <w:rPr>
                <w:rFonts w:ascii="Times New Roman" w:hAnsi="Times New Roman" w:eastAsia="Times New Roman" w:cs="Times New Roman"/>
                <w:b/>
                <w:bCs/>
                <w:color w:val="000000"/>
                <w:sz w:val="24"/>
                <w:szCs w:val="24"/>
              </w:rPr>
              <w:t> </w:t>
            </w:r>
            <w:r w:rsidRPr="0029496C" w:rsidDel="00E258FD">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BF3C34" w:rsidRDefault="00500998" w14:paraId="0F72EC70"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Narrative mentions entering into three RPS supply agreements supporting new renewable infrastructure; however, PDSU spreadsheet has only one entry</w:t>
            </w:r>
          </w:p>
          <w:p w:rsidRPr="0029496C" w:rsidR="00500998" w:rsidDel="00E258FD" w:rsidP="00BF3C34" w:rsidRDefault="00500998" w14:paraId="46E54A72"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RECs are not reflected in RNS spreadsheet</w:t>
            </w:r>
          </w:p>
        </w:tc>
      </w:tr>
      <w:tr w:rsidRPr="0029496C" w:rsidR="00500998" w:rsidDel="00894119" w:rsidTr="0029496C" w14:paraId="169D5506" w14:textId="77777777">
        <w:trPr>
          <w:trHeight w:val="285"/>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Del="00894119" w:rsidRDefault="00500998" w14:paraId="0EB7952D" w14:textId="77777777">
            <w:pPr>
              <w:spacing w:line="240" w:lineRule="auto"/>
              <w:ind w:firstLine="0"/>
              <w:textAlignment w:val="baseline"/>
              <w:rPr>
                <w:rFonts w:eastAsia="Times New Roman" w:cs="Times New Roman"/>
                <w:b/>
                <w:bCs/>
                <w:color w:val="000000"/>
                <w:sz w:val="24"/>
                <w:szCs w:val="24"/>
              </w:rPr>
            </w:pPr>
            <w:r w:rsidRPr="0029496C" w:rsidDel="00894119">
              <w:rPr>
                <w:rFonts w:eastAsia="Times New Roman" w:cs="Times New Roman"/>
                <w:b/>
                <w:bCs/>
                <w:color w:val="000000"/>
                <w:sz w:val="24"/>
                <w:szCs w:val="24"/>
              </w:rPr>
              <w:t>San Jose Clean Energy</w:t>
            </w:r>
            <w:r w:rsidRPr="0029496C" w:rsidDel="00894119">
              <w:rPr>
                <w:rFonts w:ascii="Times New Roman" w:hAnsi="Times New Roman" w:eastAsia="Times New Roman" w:cs="Times New Roman"/>
                <w:b/>
                <w:bCs/>
                <w:color w:val="000000"/>
                <w:sz w:val="24"/>
                <w:szCs w:val="24"/>
              </w:rPr>
              <w:t> </w:t>
            </w:r>
            <w:r w:rsidRPr="0029496C" w:rsidDel="00894119">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Del="00894119" w:rsidP="00BF3C34" w:rsidRDefault="00500998" w14:paraId="33E295E6"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Missing </w:t>
            </w:r>
            <w:r w:rsidRPr="0029496C" w:rsidDel="00894119">
              <w:rPr>
                <w:rFonts w:eastAsia="Times New Roman" w:cs="Times New Roman"/>
                <w:color w:val="000000" w:themeColor="text1"/>
                <w:sz w:val="24"/>
                <w:szCs w:val="24"/>
              </w:rPr>
              <w:t>transmission status information for</w:t>
            </w:r>
            <w:r w:rsidRPr="0029496C">
              <w:rPr>
                <w:rFonts w:eastAsia="Times New Roman" w:cs="Times New Roman"/>
                <w:color w:val="000000" w:themeColor="text1"/>
                <w:sz w:val="24"/>
                <w:szCs w:val="24"/>
              </w:rPr>
              <w:t xml:space="preserve"> one project. </w:t>
            </w:r>
          </w:p>
        </w:tc>
      </w:tr>
      <w:tr w:rsidRPr="0029496C" w:rsidR="00500998" w:rsidTr="0029496C" w14:paraId="41039017"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2CD3910F"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Silicon Valley Clean Energy</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BF3C34" w:rsidRDefault="00500998" w14:paraId="4B70CA09"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Missing transmission status information in the PDSU spreadsheet. </w:t>
            </w:r>
          </w:p>
        </w:tc>
      </w:tr>
      <w:tr w:rsidRPr="0029496C" w:rsidR="00500998" w:rsidTr="0029496C" w14:paraId="32711B0F" w14:textId="77777777">
        <w:trPr>
          <w:trHeight w:val="300"/>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D74826" w:rsidRDefault="00500998" w14:paraId="3174ED11" w14:textId="1A20E446">
            <w:pPr>
              <w:keepNext/>
              <w:spacing w:line="240" w:lineRule="auto"/>
              <w:ind w:firstLine="0"/>
              <w:jc w:val="center"/>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Retail Seller (ESPs)</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D74826" w:rsidRDefault="00500998" w14:paraId="6DB77785" w14:textId="77777777">
            <w:pPr>
              <w:keepNext/>
              <w:spacing w:line="240" w:lineRule="auto"/>
              <w:ind w:firstLine="0"/>
              <w:jc w:val="center"/>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Commission Finding </w:t>
            </w:r>
          </w:p>
        </w:tc>
      </w:tr>
      <w:tr w:rsidRPr="0029496C" w:rsidR="00500998" w:rsidTr="0029496C" w14:paraId="0F764FD9"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P="00D74826" w:rsidRDefault="00500998" w14:paraId="3827DE19" w14:textId="77777777">
            <w:pPr>
              <w:keepNext/>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3 Phase Renewables</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Del="00F02A03" w:rsidP="00D74826" w:rsidRDefault="00500998" w14:paraId="6C804224" w14:textId="77777777">
            <w:pPr>
              <w:pStyle w:val="ListParagraph"/>
              <w:keepNext/>
              <w:numPr>
                <w:ilvl w:val="0"/>
                <w:numId w:val="15"/>
              </w:numPr>
              <w:spacing w:line="240" w:lineRule="auto"/>
              <w:ind w:left="541"/>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COD and Capacity not filled out in spreadsheet</w:t>
            </w:r>
          </w:p>
        </w:tc>
      </w:tr>
      <w:tr w:rsidRPr="0029496C" w:rsidR="00500998" w:rsidTr="0029496C" w14:paraId="6B320B4D"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D74826" w:rsidRDefault="00500998" w14:paraId="48E1F98B" w14:textId="77777777">
            <w:pPr>
              <w:keepNext/>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Calpine</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PowerAmerica</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D74826" w:rsidRDefault="00500998" w14:paraId="202F2ECD" w14:textId="77777777">
            <w:pPr>
              <w:pStyle w:val="ListParagraph"/>
              <w:keepNext/>
              <w:numPr>
                <w:ilvl w:val="0"/>
                <w:numId w:val="15"/>
              </w:numPr>
              <w:spacing w:line="240" w:lineRule="auto"/>
              <w:ind w:left="541"/>
              <w:textAlignment w:val="baseline"/>
              <w:rPr>
                <w:rFonts w:eastAsiaTheme="minorEastAsia"/>
                <w:color w:val="000000" w:themeColor="text1"/>
                <w:sz w:val="24"/>
                <w:szCs w:val="24"/>
              </w:rPr>
            </w:pPr>
            <w:r w:rsidRPr="0029496C">
              <w:rPr>
                <w:rFonts w:eastAsia="Times New Roman" w:cs="Times New Roman"/>
                <w:color w:val="000000" w:themeColor="text1"/>
                <w:sz w:val="24"/>
                <w:szCs w:val="24"/>
              </w:rPr>
              <w:t xml:space="preserve">Limited narrative description of project status </w:t>
            </w:r>
          </w:p>
          <w:p w:rsidRPr="0029496C" w:rsidR="00500998" w:rsidP="00D74826" w:rsidRDefault="00500998" w14:paraId="5B2D12AB" w14:textId="27200E0E">
            <w:pPr>
              <w:pStyle w:val="ListParagraph"/>
              <w:keepNext/>
              <w:numPr>
                <w:ilvl w:val="0"/>
                <w:numId w:val="15"/>
              </w:numPr>
              <w:spacing w:line="240" w:lineRule="auto"/>
              <w:ind w:left="541"/>
              <w:textAlignment w:val="baseline"/>
              <w:rPr>
                <w:rFonts w:eastAsiaTheme="minorEastAsia"/>
                <w:color w:val="000000" w:themeColor="text1"/>
                <w:sz w:val="24"/>
                <w:szCs w:val="24"/>
              </w:rPr>
            </w:pPr>
            <w:r w:rsidRPr="0029496C">
              <w:rPr>
                <w:rFonts w:eastAsia="Times New Roman" w:cs="Times New Roman"/>
                <w:color w:val="000000" w:themeColor="text1"/>
                <w:sz w:val="24"/>
                <w:szCs w:val="24"/>
              </w:rPr>
              <w:t>Missing transmission status information </w:t>
            </w:r>
          </w:p>
        </w:tc>
      </w:tr>
      <w:tr w:rsidRPr="0029496C" w:rsidR="00500998" w:rsidTr="0029496C" w14:paraId="1038335B"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Del="0011260E" w:rsidRDefault="00500998" w14:paraId="79E8795D"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EDF Industrial Power Services</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Del="00F02A03" w:rsidP="00BF3C34" w:rsidRDefault="00500998" w14:paraId="6684D04E"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Limited narrative description of project status </w:t>
            </w:r>
          </w:p>
        </w:tc>
      </w:tr>
      <w:tr w:rsidRPr="0029496C" w:rsidR="00500998" w:rsidTr="0029496C" w14:paraId="52530D4E"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5716D691" w14:textId="77777777">
            <w:pPr>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Shell Energy North America</w:t>
            </w:r>
            <w:r w:rsidRPr="0029496C">
              <w:rPr>
                <w:rFonts w:ascii="Times New Roman" w:hAnsi="Times New Roman" w:eastAsia="Times New Roman" w:cs="Times New Roman"/>
                <w:b/>
                <w:bCs/>
                <w:color w:val="000000"/>
                <w:sz w:val="24"/>
                <w:szCs w:val="24"/>
              </w:rPr>
              <w:t> </w:t>
            </w:r>
            <w:r w:rsidRPr="0029496C">
              <w:rPr>
                <w:rFonts w:eastAsia="Times New Roman" w:cs="Times New Roman"/>
                <w:b/>
                <w:bCs/>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BF3C34" w:rsidRDefault="00500998" w14:paraId="22324E79" w14:textId="77777777">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Limited narrative description of project status </w:t>
            </w:r>
          </w:p>
          <w:p w:rsidRPr="0029496C" w:rsidR="00500998" w:rsidP="00BF3C34" w:rsidRDefault="00500998" w14:paraId="37E4746B" w14:textId="133DC44B">
            <w:pPr>
              <w:pStyle w:val="ListParagraph"/>
              <w:numPr>
                <w:ilvl w:val="0"/>
                <w:numId w:val="15"/>
              </w:numPr>
              <w:spacing w:line="240" w:lineRule="auto"/>
              <w:ind w:left="541"/>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Missing transmission status information </w:t>
            </w:r>
          </w:p>
        </w:tc>
      </w:tr>
    </w:tbl>
    <w:p w:rsidR="00500998" w:rsidP="0029496C" w:rsidRDefault="00500998" w14:paraId="71589A9E" w14:textId="74EEDFB6">
      <w:pPr>
        <w:pStyle w:val="Heading3"/>
        <w:numPr>
          <w:ilvl w:val="2"/>
          <w:numId w:val="2"/>
        </w:numPr>
        <w:spacing w:before="240"/>
      </w:pPr>
      <w:bookmarkStart w:name="_Toc122180481" w:id="95"/>
      <w:bookmarkEnd w:id="94"/>
      <w:r>
        <w:t>Risk Assessment and</w:t>
      </w:r>
      <w:r w:rsidR="0029496C">
        <w:br/>
      </w:r>
      <w:r>
        <w:t>Potential Compliance Delay</w:t>
      </w:r>
      <w:bookmarkEnd w:id="95"/>
    </w:p>
    <w:p w:rsidRPr="000403D7" w:rsidR="00500998" w:rsidP="00500998" w:rsidRDefault="00500998" w14:paraId="097962C1" w14:textId="3B038107">
      <w:pPr>
        <w:pStyle w:val="Standard"/>
      </w:pPr>
      <w:r w:rsidRPr="000403D7">
        <w:t xml:space="preserve">This </w:t>
      </w:r>
      <w:r w:rsidR="00AB606F">
        <w:t>d</w:t>
      </w:r>
      <w:r w:rsidRPr="000403D7">
        <w:t xml:space="preserve">ecision </w:t>
      </w:r>
      <w:bookmarkStart w:name="_Hlk117492747" w:id="96"/>
      <w:r w:rsidRPr="000403D7">
        <w:t>requires retail sellers identified in this section to expand their risk assessments including analysis of any potential compliance delays on delivery of renewable energy.</w:t>
      </w:r>
      <w:bookmarkEnd w:id="96"/>
      <w:r w:rsidRPr="000403D7">
        <w:t xml:space="preserve">  Section 399.13(a)(6)(F) requires an assessment of the risk that an eligible renewable energy resource will not be built, or that construction will be delayed or reduced in size, with the result that electricity will not be delivered as required by the contract. </w:t>
      </w:r>
    </w:p>
    <w:p w:rsidRPr="000403D7" w:rsidR="00500998" w:rsidP="00500998" w:rsidRDefault="00500998" w14:paraId="10CE4F19" w14:textId="77777777">
      <w:pPr>
        <w:pStyle w:val="Standard"/>
      </w:pPr>
      <w:r w:rsidRPr="00977D8E">
        <w:t>We have identified PG&amp;E, CleanPowerSF, Redwood Coast Energy Authority, and Sonoma Clean Power Authority’s risk assessment and compliance delay assessment section in draft 2022 RPS Plans to serve as the best examples for retail sellers to consult with developing their Final 2022 RPS Plan.</w:t>
      </w:r>
      <w:r>
        <w:t xml:space="preserve">  Additionally, Direct Energy Business had a good example for the risk assessment section and Clean Power Alliance’s </w:t>
      </w:r>
      <w:r w:rsidRPr="00446C82">
        <w:t>"Risk Variables"</w:t>
      </w:r>
      <w:r>
        <w:t xml:space="preserve"> section</w:t>
      </w:r>
      <w:r w:rsidRPr="00446C82">
        <w:t xml:space="preserve"> is a good example of categorizing</w:t>
      </w:r>
      <w:r>
        <w:t xml:space="preserve"> </w:t>
      </w:r>
      <w:r w:rsidRPr="00446C82">
        <w:t xml:space="preserve">risk </w:t>
      </w:r>
      <w:r>
        <w:t xml:space="preserve">severity </w:t>
      </w:r>
      <w:r w:rsidRPr="00446C82">
        <w:t>factors</w:t>
      </w:r>
      <w:r>
        <w:t xml:space="preserve"> with supporting discussion.</w:t>
      </w:r>
    </w:p>
    <w:p w:rsidRPr="00AD426B" w:rsidR="00500998" w:rsidP="00500998" w:rsidRDefault="00500998" w14:paraId="55BD2269" w14:textId="77777777">
      <w:pPr>
        <w:pStyle w:val="Standard"/>
        <w:rPr>
          <w:b/>
          <w:bCs/>
        </w:rPr>
      </w:pPr>
      <w:r w:rsidRPr="000403D7">
        <w:t xml:space="preserve">The retail sellers identified below </w:t>
      </w:r>
      <w:r>
        <w:t>must</w:t>
      </w:r>
      <w:r w:rsidRPr="000403D7">
        <w:t xml:space="preserve"> update their Final 202</w:t>
      </w:r>
      <w:r>
        <w:t>2</w:t>
      </w:r>
      <w:r w:rsidRPr="000403D7">
        <w:t xml:space="preserve"> RPS Plans to address the Commission findings on risk assessment.</w:t>
      </w:r>
      <w:r w:rsidRPr="000403D7">
        <w:rPr>
          <w:b/>
          <w:bCs/>
        </w:rPr>
        <w:t> </w:t>
      </w:r>
    </w:p>
    <w:p w:rsidRPr="0029496C" w:rsidR="00500998" w:rsidP="00D74826" w:rsidRDefault="00500998" w14:paraId="05353DBF" w14:textId="3F326125">
      <w:pPr>
        <w:keepNext/>
        <w:spacing w:after="120" w:line="240" w:lineRule="auto"/>
        <w:ind w:firstLine="0"/>
        <w:jc w:val="center"/>
        <w:textAlignment w:val="baseline"/>
        <w:rPr>
          <w:rFonts w:eastAsia="Times New Roman" w:cs="Segoe UI"/>
          <w:b/>
          <w:bCs/>
          <w:color w:val="000000"/>
          <w:szCs w:val="26"/>
        </w:rPr>
      </w:pPr>
      <w:r w:rsidRPr="00AD426B">
        <w:rPr>
          <w:rFonts w:eastAsia="Times New Roman" w:cs="Segoe UI"/>
          <w:b/>
          <w:bCs/>
          <w:color w:val="000000"/>
          <w:szCs w:val="26"/>
        </w:rPr>
        <w:t xml:space="preserve">Table </w:t>
      </w:r>
      <w:r w:rsidR="00955469">
        <w:rPr>
          <w:rFonts w:eastAsia="Times New Roman" w:cs="Segoe UI"/>
          <w:b/>
          <w:bCs/>
          <w:color w:val="000000"/>
          <w:szCs w:val="26"/>
        </w:rPr>
        <w:t>5</w:t>
      </w:r>
      <w:r w:rsidRPr="00AD426B">
        <w:rPr>
          <w:rFonts w:eastAsia="Times New Roman" w:cs="Segoe UI"/>
          <w:b/>
          <w:bCs/>
          <w:color w:val="000000"/>
          <w:szCs w:val="26"/>
        </w:rPr>
        <w:t>: </w:t>
      </w:r>
      <w:r w:rsidR="00B91CAB">
        <w:rPr>
          <w:rFonts w:eastAsia="Times New Roman" w:cs="Segoe UI"/>
          <w:b/>
          <w:bCs/>
          <w:color w:val="000000"/>
          <w:szCs w:val="26"/>
        </w:rPr>
        <w:t> </w:t>
      </w:r>
      <w:r>
        <w:rPr>
          <w:rFonts w:eastAsia="Times New Roman" w:cs="Segoe UI"/>
          <w:b/>
          <w:bCs/>
          <w:color w:val="000000"/>
          <w:szCs w:val="26"/>
        </w:rPr>
        <w:t>Commission Findings on the</w:t>
      </w:r>
      <w:r w:rsidR="00BF3C34">
        <w:rPr>
          <w:rFonts w:eastAsia="Times New Roman" w:cs="Segoe UI"/>
          <w:b/>
          <w:bCs/>
          <w:color w:val="000000"/>
          <w:szCs w:val="26"/>
        </w:rPr>
        <w:br/>
      </w:r>
      <w:r w:rsidRPr="00AD426B">
        <w:rPr>
          <w:rFonts w:eastAsia="Times New Roman" w:cs="Segoe UI"/>
          <w:b/>
          <w:bCs/>
          <w:color w:val="000000"/>
          <w:szCs w:val="26"/>
        </w:rPr>
        <w:t>Retail Sellers’ Risk Assessments and Compliance Delay</w:t>
      </w:r>
    </w:p>
    <w:tbl>
      <w:tblPr>
        <w:tblW w:w="933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35"/>
        <w:gridCol w:w="6195"/>
      </w:tblGrid>
      <w:tr w:rsidRPr="0029496C" w:rsidR="00500998" w:rsidTr="0014541C" w14:paraId="1A77C453" w14:textId="77777777">
        <w:trPr>
          <w:cantSplit/>
          <w:trHeight w:val="408"/>
          <w:tblHeade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D74826" w:rsidRDefault="00500998" w14:paraId="668E86E0" w14:textId="77777777">
            <w:pPr>
              <w:keepNext/>
              <w:spacing w:line="240" w:lineRule="auto"/>
              <w:ind w:firstLine="0"/>
              <w:jc w:val="center"/>
              <w:textAlignment w:val="baseline"/>
              <w:rPr>
                <w:rFonts w:eastAsia="Times New Roman" w:cs="Times New Roman"/>
                <w:sz w:val="24"/>
                <w:szCs w:val="24"/>
              </w:rPr>
            </w:pPr>
            <w:r w:rsidRPr="0029496C">
              <w:rPr>
                <w:rFonts w:eastAsia="Times New Roman" w:cs="Times New Roman"/>
                <w:b/>
                <w:bCs/>
                <w:color w:val="000000"/>
                <w:sz w:val="24"/>
                <w:szCs w:val="24"/>
              </w:rPr>
              <w:t>Retail Seller (CCAs)</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D74826" w:rsidRDefault="00500998" w14:paraId="04D92BF3" w14:textId="77777777">
            <w:pPr>
              <w:keepNext/>
              <w:spacing w:line="240" w:lineRule="auto"/>
              <w:ind w:firstLine="0"/>
              <w:jc w:val="center"/>
              <w:textAlignment w:val="baseline"/>
              <w:rPr>
                <w:rFonts w:eastAsia="Times New Roman" w:cs="Times New Roman"/>
                <w:sz w:val="24"/>
                <w:szCs w:val="24"/>
              </w:rPr>
            </w:pPr>
            <w:r w:rsidRPr="0029496C">
              <w:rPr>
                <w:rFonts w:eastAsia="Times New Roman" w:cs="Times New Roman"/>
                <w:b/>
                <w:bCs/>
                <w:color w:val="000000"/>
                <w:sz w:val="24"/>
                <w:szCs w:val="24"/>
              </w:rPr>
              <w:t>Commission Finding</w:t>
            </w:r>
            <w:r w:rsidRPr="0029496C">
              <w:rPr>
                <w:rFonts w:eastAsia="Times New Roman" w:cs="Times New Roman"/>
                <w:color w:val="000000"/>
                <w:sz w:val="24"/>
                <w:szCs w:val="24"/>
              </w:rPr>
              <w:t> </w:t>
            </w:r>
          </w:p>
        </w:tc>
      </w:tr>
      <w:tr w:rsidRPr="0029496C" w:rsidR="00500998" w:rsidTr="0029496C" w14:paraId="6CF32035" w14:textId="77777777">
        <w:trPr>
          <w:trHeight w:val="2655"/>
          <w:jc w:val="center"/>
        </w:trPr>
        <w:tc>
          <w:tcPr>
            <w:tcW w:w="3135" w:type="dxa"/>
            <w:tcBorders>
              <w:top w:val="single" w:color="000000" w:themeColor="text1" w:sz="6" w:space="0"/>
              <w:left w:val="single" w:color="000000" w:themeColor="text1" w:sz="6" w:space="0"/>
              <w:right w:val="single" w:color="000000" w:themeColor="text1" w:sz="6" w:space="0"/>
            </w:tcBorders>
            <w:shd w:val="clear" w:color="auto" w:fill="auto"/>
            <w:vAlign w:val="center"/>
            <w:hideMark/>
          </w:tcPr>
          <w:p w:rsidRPr="0029496C" w:rsidR="00500998" w:rsidRDefault="00500998" w14:paraId="7FB35CB8"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b/>
                <w:bCs/>
                <w:color w:val="000000"/>
                <w:sz w:val="24"/>
                <w:szCs w:val="24"/>
              </w:rPr>
              <w:t>Pico Rivera Innovative Municipal Energy</w:t>
            </w:r>
            <w:r w:rsidRPr="0029496C">
              <w:rPr>
                <w:rFonts w:eastAsia="Times New Roman" w:cs="Times New Roman"/>
                <w:color w:val="000000"/>
                <w:sz w:val="24"/>
                <w:szCs w:val="24"/>
              </w:rPr>
              <w:t> </w:t>
            </w:r>
          </w:p>
          <w:p w:rsidRPr="0029496C" w:rsidR="00500998" w:rsidRDefault="00500998" w14:paraId="1EF9045E" w14:textId="77777777">
            <w:pPr>
              <w:spacing w:line="240" w:lineRule="auto"/>
              <w:ind w:firstLine="0"/>
              <w:textAlignment w:val="baseline"/>
              <w:rPr>
                <w:rFonts w:eastAsia="Times New Roman" w:cs="Times New Roman"/>
                <w:sz w:val="24"/>
                <w:szCs w:val="24"/>
              </w:rPr>
            </w:pPr>
          </w:p>
          <w:p w:rsidRPr="0029496C" w:rsidR="00500998" w:rsidRDefault="00500998" w14:paraId="52295800"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b/>
                <w:bCs/>
                <w:color w:val="000000"/>
                <w:sz w:val="24"/>
                <w:szCs w:val="24"/>
              </w:rPr>
              <w:t>Rancho Mirage Energy Authority</w:t>
            </w:r>
            <w:r w:rsidRPr="0029496C">
              <w:rPr>
                <w:rFonts w:eastAsia="Times New Roman" w:cs="Times New Roman"/>
                <w:color w:val="000000"/>
                <w:sz w:val="24"/>
                <w:szCs w:val="24"/>
              </w:rPr>
              <w:t> </w:t>
            </w:r>
          </w:p>
          <w:p w:rsidRPr="0029496C" w:rsidR="00500998" w:rsidRDefault="00500998" w14:paraId="1721C747" w14:textId="77777777">
            <w:pPr>
              <w:spacing w:line="240" w:lineRule="auto"/>
              <w:ind w:firstLine="0"/>
              <w:textAlignment w:val="baseline"/>
              <w:rPr>
                <w:rFonts w:eastAsia="Times New Roman" w:cs="Times New Roman"/>
                <w:sz w:val="24"/>
                <w:szCs w:val="24"/>
              </w:rPr>
            </w:pPr>
          </w:p>
          <w:p w:rsidRPr="0029496C" w:rsidR="00500998" w:rsidRDefault="00500998" w14:paraId="05E6A904" w14:textId="77777777">
            <w:pPr>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San Jacinto Power</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7CEEB718" w14:textId="4FD04FA1">
            <w:pPr>
              <w:spacing w:line="240" w:lineRule="auto"/>
              <w:ind w:firstLine="0"/>
              <w:textAlignment w:val="baseline"/>
              <w:rPr>
                <w:rFonts w:eastAsia="Times New Roman" w:cs="Times New Roman"/>
                <w:sz w:val="24"/>
                <w:szCs w:val="24"/>
              </w:rPr>
            </w:pPr>
            <w:r w:rsidRPr="0029496C">
              <w:rPr>
                <w:rFonts w:eastAsia="Times New Roman" w:cs="Times New Roman"/>
                <w:color w:val="000000"/>
                <w:sz w:val="24"/>
                <w:szCs w:val="24"/>
              </w:rPr>
              <w:t>Discussion</w:t>
            </w:r>
            <w:r w:rsidRPr="0029496C" w:rsidR="009944B8">
              <w:rPr>
                <w:rFonts w:eastAsia="Times New Roman" w:cs="Times New Roman"/>
                <w:color w:val="000000"/>
                <w:sz w:val="24"/>
                <w:szCs w:val="24"/>
              </w:rPr>
              <w:t xml:space="preserve"> should</w:t>
            </w:r>
            <w:r w:rsidRPr="0029496C">
              <w:rPr>
                <w:rFonts w:eastAsia="Times New Roman" w:cs="Times New Roman"/>
                <w:color w:val="000000"/>
                <w:sz w:val="24"/>
                <w:szCs w:val="24"/>
              </w:rPr>
              <w:t xml:space="preserve"> explain the results of its contract-specific risk assessment with volumetric risk adjustments now that the retail seller has executed contracts for renewable resources.</w:t>
            </w:r>
          </w:p>
        </w:tc>
      </w:tr>
      <w:tr w:rsidRPr="0029496C" w:rsidR="00500998" w:rsidTr="0029496C" w14:paraId="652DAA39" w14:textId="77777777">
        <w:trPr>
          <w:trHeight w:val="1182"/>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RDefault="00500998" w14:paraId="46278146" w14:textId="77777777">
            <w:pPr>
              <w:spacing w:line="240" w:lineRule="auto"/>
              <w:ind w:firstLine="0"/>
              <w:textAlignment w:val="baseline"/>
              <w:rPr>
                <w:rFonts w:eastAsia="Times New Roman" w:cs="Times New Roman"/>
                <w:b/>
                <w:color w:val="000000" w:themeColor="text1"/>
                <w:sz w:val="24"/>
                <w:szCs w:val="24"/>
              </w:rPr>
            </w:pPr>
            <w:r w:rsidRPr="0029496C">
              <w:rPr>
                <w:rFonts w:eastAsia="Times New Roman" w:cs="Times New Roman"/>
                <w:b/>
                <w:color w:val="000000" w:themeColor="text1"/>
                <w:sz w:val="24"/>
                <w:szCs w:val="24"/>
              </w:rPr>
              <w:t>Clean Power Alliance</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500998" w:rsidRDefault="00500998" w14:paraId="703407AD"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Discussion of </w:t>
            </w:r>
            <w:r w:rsidRPr="0029496C">
              <w:rPr>
                <w:rFonts w:eastAsia="Times New Roman" w:cs="Times New Roman"/>
                <w:color w:val="000000"/>
                <w:sz w:val="24"/>
                <w:szCs w:val="24"/>
              </w:rPr>
              <w:t>risk assessment should include all subsections outlined in the ACR: Compliance Risk; System Reliability; and Lessons Learned should be clarified.</w:t>
            </w:r>
          </w:p>
          <w:p w:rsidRPr="0029496C" w:rsidR="0029496C" w:rsidRDefault="0029496C" w14:paraId="7497232F" w14:textId="25D179A2">
            <w:pPr>
              <w:spacing w:line="240" w:lineRule="auto"/>
              <w:ind w:firstLine="0"/>
              <w:textAlignment w:val="baseline"/>
              <w:rPr>
                <w:rFonts w:eastAsia="Times New Roman" w:cs="Times New Roman"/>
                <w:color w:val="000000" w:themeColor="text1"/>
                <w:sz w:val="24"/>
                <w:szCs w:val="24"/>
              </w:rPr>
            </w:pPr>
          </w:p>
        </w:tc>
      </w:tr>
      <w:tr w:rsidRPr="0029496C" w:rsidR="00500998" w:rsidTr="0029496C" w14:paraId="52116DC7"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Del="31E38D96" w:rsidRDefault="00500998" w14:paraId="7F81EE65" w14:textId="77777777">
            <w:pPr>
              <w:spacing w:line="240" w:lineRule="auto"/>
              <w:ind w:firstLine="0"/>
              <w:textAlignment w:val="baseline"/>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City of Pomona</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RDefault="00500998" w14:paraId="36A3A243" w14:textId="77777777">
            <w:pPr>
              <w:spacing w:line="240" w:lineRule="auto"/>
              <w:ind w:firstLine="0"/>
              <w:textAlignment w:val="baseline"/>
              <w:rPr>
                <w:rFonts w:eastAsia="Times New Roman" w:cs="Times New Roman"/>
                <w:color w:val="000000" w:themeColor="text1"/>
                <w:sz w:val="24"/>
                <w:szCs w:val="24"/>
              </w:rPr>
            </w:pPr>
          </w:p>
          <w:p w:rsidRPr="0029496C" w:rsidR="00500998" w:rsidRDefault="00500998" w14:paraId="3E94AAB3"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Discussion of risk assessment should include all subsections outlined in the ACR: Compliance Risk; Risk Modeling and Risk Factors; System Reliability; and Lessons Learned. </w:t>
            </w:r>
          </w:p>
          <w:p w:rsidRPr="0029496C" w:rsidR="00500998" w:rsidRDefault="00500998" w14:paraId="68655E01"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Compliance Risk section should discuss severity of risk (high, medium, and low). </w:t>
            </w:r>
          </w:p>
          <w:p w:rsidRPr="0029496C" w:rsidR="00500998" w:rsidDel="31E38D96" w:rsidRDefault="00500998" w14:paraId="13D4496C" w14:textId="77777777">
            <w:pPr>
              <w:spacing w:line="240" w:lineRule="auto"/>
              <w:ind w:firstLine="0"/>
              <w:textAlignment w:val="baseline"/>
              <w:rPr>
                <w:rFonts w:eastAsia="Times New Roman" w:cs="Times New Roman"/>
                <w:color w:val="000000" w:themeColor="text1"/>
                <w:sz w:val="24"/>
                <w:szCs w:val="24"/>
              </w:rPr>
            </w:pPr>
          </w:p>
        </w:tc>
      </w:tr>
      <w:tr w:rsidRPr="0029496C" w:rsidR="00500998" w:rsidTr="0029496C" w14:paraId="39F142BC" w14:textId="77777777">
        <w:trPr>
          <w:trHeight w:val="984"/>
          <w:jc w:val="center"/>
        </w:trPr>
        <w:tc>
          <w:tcPr>
            <w:tcW w:w="3135" w:type="dxa"/>
            <w:vMerge w:val="restart"/>
            <w:tcBorders>
              <w:top w:val="single" w:color="000000" w:themeColor="text1" w:sz="6" w:space="0"/>
              <w:left w:val="single" w:color="000000" w:themeColor="text1" w:sz="6" w:space="0"/>
              <w:bottom w:val="nil"/>
              <w:right w:val="single" w:color="auto" w:sz="4" w:space="0"/>
            </w:tcBorders>
            <w:shd w:val="clear" w:color="auto" w:fill="auto"/>
            <w:vAlign w:val="center"/>
            <w:hideMark/>
          </w:tcPr>
          <w:p w:rsidR="0029496C" w:rsidP="00FE7E22" w:rsidRDefault="00500998" w14:paraId="05AAB1AB" w14:textId="515ED1F4">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City of Santa Barbara</w:t>
            </w:r>
          </w:p>
          <w:p w:rsidRPr="0029496C" w:rsidR="000F2D61" w:rsidP="00FE7E22" w:rsidRDefault="000F2D61" w14:paraId="3DA96C3C" w14:textId="77777777">
            <w:pPr>
              <w:keepNext/>
              <w:spacing w:line="240" w:lineRule="auto"/>
              <w:ind w:firstLine="0"/>
              <w:rPr>
                <w:rFonts w:eastAsia="Times New Roman" w:cs="Times New Roman"/>
                <w:b/>
                <w:bCs/>
                <w:color w:val="000000" w:themeColor="text1"/>
                <w:sz w:val="24"/>
                <w:szCs w:val="24"/>
              </w:rPr>
            </w:pPr>
          </w:p>
          <w:p w:rsidR="0029496C" w:rsidP="00FE7E22" w:rsidRDefault="00500998" w14:paraId="3052F0E6" w14:textId="27AA1789">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San Jacinto Power</w:t>
            </w:r>
          </w:p>
          <w:p w:rsidRPr="0029496C" w:rsidR="000F2D61" w:rsidP="00FE7E22" w:rsidRDefault="000F2D61" w14:paraId="43559F29"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17B1D296" w14:textId="46C7D12B">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Apple Valley Choice Energy</w:t>
            </w:r>
          </w:p>
          <w:p w:rsidRPr="0029496C" w:rsidR="000F2D61" w:rsidP="00FE7E22" w:rsidRDefault="000F2D61" w14:paraId="7AB04053"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1BE8702E" w14:textId="56A0AAF5">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City of Palmdale</w:t>
            </w:r>
          </w:p>
          <w:p w:rsidRPr="0029496C" w:rsidR="000F2D61" w:rsidP="00FE7E22" w:rsidRDefault="000F2D61" w14:paraId="6CCB6E1D"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3F244437" w14:textId="534C4B11">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Clean Energy Alliance</w:t>
            </w:r>
          </w:p>
          <w:p w:rsidRPr="0029496C" w:rsidR="000F2D61" w:rsidP="00FE7E22" w:rsidRDefault="000F2D61" w14:paraId="30E8A0D2"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6D59D1F6" w14:textId="676E635D">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Lancaster Choice Energy</w:t>
            </w:r>
          </w:p>
          <w:p w:rsidRPr="0029496C" w:rsidR="000F2D61" w:rsidP="00FE7E22" w:rsidRDefault="000F2D61" w14:paraId="10E6E724"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29D8BE5C" w14:textId="053E0954">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Pico Rivera Innovative Municipal Energy</w:t>
            </w:r>
          </w:p>
          <w:p w:rsidRPr="0029496C" w:rsidR="000F2D61" w:rsidP="00FE7E22" w:rsidRDefault="000F2D61" w14:paraId="37F8864D"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7B0B89CA" w14:textId="544506F2">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Rancho Mirage Energy Authority</w:t>
            </w:r>
          </w:p>
          <w:p w:rsidRPr="0029496C" w:rsidR="000F2D61" w:rsidP="00FE7E22" w:rsidRDefault="000F2D61" w14:paraId="77285CFC" w14:textId="77777777">
            <w:pPr>
              <w:keepNext/>
              <w:spacing w:line="240" w:lineRule="auto"/>
              <w:ind w:firstLine="0"/>
              <w:rPr>
                <w:rFonts w:eastAsia="Times New Roman" w:cs="Times New Roman"/>
                <w:b/>
                <w:bCs/>
                <w:color w:val="000000" w:themeColor="text1"/>
                <w:sz w:val="24"/>
                <w:szCs w:val="24"/>
              </w:rPr>
            </w:pPr>
          </w:p>
          <w:p w:rsidR="00500998" w:rsidP="00FE7E22" w:rsidRDefault="00500998" w14:paraId="04B1F755" w14:textId="5F2EB9F5">
            <w:pPr>
              <w:keepNext/>
              <w:spacing w:line="240" w:lineRule="auto"/>
              <w:ind w:firstLine="0"/>
              <w:rPr>
                <w:rFonts w:eastAsia="Times New Roman" w:cs="Times New Roman"/>
                <w:b/>
                <w:bCs/>
                <w:color w:val="000000" w:themeColor="text1"/>
                <w:sz w:val="24"/>
                <w:szCs w:val="24"/>
              </w:rPr>
            </w:pPr>
            <w:r w:rsidRPr="0029496C">
              <w:rPr>
                <w:rFonts w:eastAsia="Times New Roman" w:cs="Times New Roman"/>
                <w:b/>
                <w:bCs/>
                <w:color w:val="000000" w:themeColor="text1"/>
                <w:sz w:val="24"/>
                <w:szCs w:val="24"/>
              </w:rPr>
              <w:t>San Diego Community Power</w:t>
            </w:r>
          </w:p>
          <w:p w:rsidRPr="0029496C" w:rsidR="000F2D61" w:rsidP="00FE7E22" w:rsidRDefault="000F2D61" w14:paraId="1EA0C8D8" w14:textId="77777777">
            <w:pPr>
              <w:keepNext/>
              <w:spacing w:line="240" w:lineRule="auto"/>
              <w:ind w:firstLine="0"/>
              <w:rPr>
                <w:rFonts w:eastAsia="Times New Roman" w:cs="Times New Roman"/>
                <w:b/>
                <w:bCs/>
                <w:color w:val="000000" w:themeColor="text1"/>
                <w:sz w:val="24"/>
                <w:szCs w:val="24"/>
              </w:rPr>
            </w:pPr>
          </w:p>
          <w:p w:rsidR="000F2D61" w:rsidP="00FE7E22" w:rsidRDefault="00500998" w14:paraId="01A7A744" w14:textId="77777777">
            <w:pPr>
              <w:keepNext/>
              <w:spacing w:line="240" w:lineRule="auto"/>
              <w:ind w:firstLine="0"/>
              <w:rPr>
                <w:rFonts w:eastAsia="Calibri" w:cs="Arial"/>
                <w:b/>
                <w:color w:val="000000" w:themeColor="text1"/>
                <w:sz w:val="24"/>
                <w:szCs w:val="24"/>
              </w:rPr>
            </w:pPr>
            <w:r w:rsidRPr="0029496C">
              <w:rPr>
                <w:rFonts w:eastAsia="Calibri" w:cs="Arial"/>
                <w:b/>
                <w:color w:val="000000" w:themeColor="text1"/>
                <w:sz w:val="24"/>
                <w:szCs w:val="24"/>
              </w:rPr>
              <w:t xml:space="preserve">Marin Clean </w:t>
            </w:r>
            <w:r w:rsidRPr="0029496C">
              <w:rPr>
                <w:rFonts w:eastAsia="Times New Roman" w:cs="Times New Roman"/>
                <w:b/>
                <w:bCs/>
                <w:color w:val="000000" w:themeColor="text1"/>
                <w:sz w:val="24"/>
                <w:szCs w:val="24"/>
              </w:rPr>
              <w:t>Energy</w:t>
            </w:r>
            <w:r w:rsidRPr="0029496C">
              <w:rPr>
                <w:rFonts w:eastAsia="Calibri" w:cs="Arial"/>
                <w:b/>
                <w:color w:val="000000" w:themeColor="text1"/>
                <w:sz w:val="24"/>
                <w:szCs w:val="24"/>
              </w:rPr>
              <w:t>,</w:t>
            </w:r>
          </w:p>
          <w:p w:rsidRPr="0029496C" w:rsidR="00500998" w:rsidP="00FE7E22" w:rsidRDefault="00500998" w14:paraId="3A6A2F8D" w14:textId="62841F0A">
            <w:pPr>
              <w:keepNext/>
              <w:spacing w:line="240" w:lineRule="auto"/>
              <w:ind w:firstLine="0"/>
              <w:rPr>
                <w:rFonts w:eastAsia="Calibri" w:cs="Arial"/>
                <w:b/>
                <w:color w:val="000000" w:themeColor="text1"/>
                <w:sz w:val="24"/>
                <w:szCs w:val="24"/>
              </w:rPr>
            </w:pPr>
            <w:r w:rsidRPr="0029496C">
              <w:rPr>
                <w:rFonts w:eastAsia="Calibri" w:cs="Arial"/>
                <w:b/>
                <w:color w:val="000000" w:themeColor="text1"/>
                <w:sz w:val="24"/>
                <w:szCs w:val="24"/>
              </w:rPr>
              <w:t xml:space="preserve"> </w:t>
            </w:r>
          </w:p>
          <w:p w:rsidR="00500998" w:rsidP="00FE7E22" w:rsidRDefault="00500998" w14:paraId="16AF0C7E" w14:textId="17C88D02">
            <w:pPr>
              <w:keepNext/>
              <w:spacing w:line="240" w:lineRule="auto"/>
              <w:ind w:firstLine="0"/>
              <w:rPr>
                <w:rFonts w:eastAsia="Calibri" w:cs="Arial"/>
                <w:b/>
                <w:color w:val="000000" w:themeColor="text1"/>
                <w:sz w:val="24"/>
                <w:szCs w:val="24"/>
              </w:rPr>
            </w:pPr>
            <w:r w:rsidRPr="0029496C">
              <w:rPr>
                <w:rFonts w:eastAsia="Calibri" w:cs="Arial"/>
                <w:b/>
                <w:color w:val="000000" w:themeColor="text1"/>
                <w:sz w:val="24"/>
                <w:szCs w:val="24"/>
              </w:rPr>
              <w:t>East Bay Community Energy</w:t>
            </w:r>
          </w:p>
          <w:p w:rsidRPr="0029496C" w:rsidR="000F2D61" w:rsidP="00FE7E22" w:rsidRDefault="000F2D61" w14:paraId="03D64D23" w14:textId="77777777">
            <w:pPr>
              <w:keepNext/>
              <w:spacing w:line="240" w:lineRule="auto"/>
              <w:ind w:firstLine="0"/>
              <w:rPr>
                <w:rFonts w:eastAsia="Calibri" w:cs="Arial"/>
                <w:b/>
                <w:color w:val="000000" w:themeColor="text1"/>
                <w:sz w:val="24"/>
                <w:szCs w:val="24"/>
              </w:rPr>
            </w:pPr>
          </w:p>
          <w:p w:rsidR="00500998" w:rsidP="00FE7E22" w:rsidRDefault="00500998" w14:paraId="547EF033" w14:textId="4F59FAAA">
            <w:pPr>
              <w:keepNext/>
              <w:spacing w:line="240" w:lineRule="auto"/>
              <w:ind w:firstLine="0"/>
              <w:rPr>
                <w:rFonts w:eastAsia="Calibri" w:cs="Arial"/>
                <w:b/>
                <w:color w:val="000000" w:themeColor="text1"/>
                <w:sz w:val="24"/>
                <w:szCs w:val="24"/>
              </w:rPr>
            </w:pPr>
            <w:r w:rsidRPr="0029496C">
              <w:rPr>
                <w:rFonts w:eastAsia="Calibri" w:cs="Arial"/>
                <w:b/>
                <w:color w:val="000000" w:themeColor="text1"/>
                <w:sz w:val="24"/>
                <w:szCs w:val="24"/>
              </w:rPr>
              <w:t xml:space="preserve">Pioneer </w:t>
            </w:r>
            <w:r w:rsidRPr="0029496C">
              <w:rPr>
                <w:rFonts w:eastAsia="Times New Roman" w:cs="Times New Roman"/>
                <w:b/>
                <w:bCs/>
                <w:color w:val="000000" w:themeColor="text1"/>
                <w:sz w:val="24"/>
                <w:szCs w:val="24"/>
              </w:rPr>
              <w:t>Community</w:t>
            </w:r>
            <w:r w:rsidRPr="0029496C">
              <w:rPr>
                <w:rFonts w:eastAsia="Calibri" w:cs="Arial"/>
                <w:b/>
                <w:color w:val="000000" w:themeColor="text1"/>
                <w:sz w:val="24"/>
                <w:szCs w:val="24"/>
              </w:rPr>
              <w:t xml:space="preserve"> Energy </w:t>
            </w:r>
          </w:p>
          <w:p w:rsidRPr="0029496C" w:rsidR="000F2D61" w:rsidP="00FE7E22" w:rsidRDefault="000F2D61" w14:paraId="49F21DC4" w14:textId="77777777">
            <w:pPr>
              <w:keepNext/>
              <w:spacing w:line="240" w:lineRule="auto"/>
              <w:ind w:firstLine="0"/>
              <w:rPr>
                <w:rFonts w:eastAsia="Calibri" w:cs="Arial"/>
                <w:b/>
                <w:color w:val="000000" w:themeColor="text1"/>
                <w:sz w:val="24"/>
                <w:szCs w:val="24"/>
              </w:rPr>
            </w:pPr>
          </w:p>
          <w:p w:rsidR="00500998" w:rsidP="00FE7E22" w:rsidRDefault="00500998" w14:paraId="24D1B7BC" w14:textId="686CCDCE">
            <w:pPr>
              <w:keepNext/>
              <w:spacing w:line="240" w:lineRule="auto"/>
              <w:ind w:firstLine="0"/>
              <w:rPr>
                <w:rFonts w:eastAsia="Calibri" w:cs="Arial"/>
                <w:b/>
                <w:color w:val="000000" w:themeColor="text1"/>
                <w:sz w:val="24"/>
                <w:szCs w:val="24"/>
              </w:rPr>
            </w:pPr>
            <w:r w:rsidRPr="0029496C">
              <w:rPr>
                <w:rFonts w:eastAsia="Calibri" w:cs="Arial"/>
                <w:b/>
                <w:color w:val="000000" w:themeColor="text1"/>
                <w:sz w:val="24"/>
                <w:szCs w:val="24"/>
              </w:rPr>
              <w:t xml:space="preserve">Desert </w:t>
            </w:r>
            <w:r w:rsidRPr="0029496C">
              <w:rPr>
                <w:rFonts w:eastAsia="Times New Roman" w:cs="Times New Roman"/>
                <w:b/>
                <w:bCs/>
                <w:color w:val="000000" w:themeColor="text1"/>
                <w:sz w:val="24"/>
                <w:szCs w:val="24"/>
              </w:rPr>
              <w:t>Community</w:t>
            </w:r>
            <w:r w:rsidRPr="0029496C">
              <w:rPr>
                <w:rFonts w:eastAsia="Calibri" w:cs="Arial"/>
                <w:b/>
                <w:color w:val="000000" w:themeColor="text1"/>
                <w:sz w:val="24"/>
                <w:szCs w:val="24"/>
              </w:rPr>
              <w:t xml:space="preserve"> Energy</w:t>
            </w:r>
          </w:p>
          <w:p w:rsidRPr="0029496C" w:rsidR="000F2D61" w:rsidP="00FE7E22" w:rsidRDefault="000F2D61" w14:paraId="31203D5D" w14:textId="77777777">
            <w:pPr>
              <w:keepNext/>
              <w:spacing w:line="240" w:lineRule="auto"/>
              <w:ind w:firstLine="0"/>
              <w:rPr>
                <w:rFonts w:eastAsia="Calibri" w:cs="Arial"/>
                <w:b/>
                <w:color w:val="000000" w:themeColor="text1"/>
                <w:sz w:val="24"/>
                <w:szCs w:val="24"/>
              </w:rPr>
            </w:pPr>
          </w:p>
          <w:p w:rsidRPr="0029496C" w:rsidR="00500998" w:rsidP="00FE7E22" w:rsidRDefault="00500998" w14:paraId="1C826DA8" w14:textId="77777777">
            <w:pPr>
              <w:keepNext/>
              <w:spacing w:line="240" w:lineRule="auto"/>
              <w:ind w:firstLine="0"/>
              <w:rPr>
                <w:rFonts w:eastAsia="Times New Roman" w:cs="Times New Roman"/>
                <w:sz w:val="24"/>
                <w:szCs w:val="24"/>
              </w:rPr>
            </w:pPr>
            <w:r w:rsidRPr="0029496C">
              <w:rPr>
                <w:rFonts w:eastAsia="Times New Roman" w:cs="Times New Roman"/>
                <w:b/>
                <w:color w:val="000000" w:themeColor="text1"/>
                <w:sz w:val="24"/>
                <w:szCs w:val="24"/>
              </w:rPr>
              <w:t>Central Coast Community Energy</w:t>
            </w:r>
            <w:r w:rsidRPr="0029496C">
              <w:rPr>
                <w:rFonts w:eastAsia="Times New Roman" w:cs="Times New Roman"/>
                <w:color w:val="000000" w:themeColor="text1"/>
                <w:sz w:val="24"/>
                <w:szCs w:val="24"/>
              </w:rPr>
              <w:t> </w:t>
            </w:r>
            <w:r w:rsidRPr="0029496C">
              <w:rPr>
                <w:rFonts w:eastAsia="Calibri" w:cs="Arial"/>
                <w:b/>
                <w:color w:val="000000" w:themeColor="text1"/>
                <w:sz w:val="24"/>
                <w:szCs w:val="24"/>
              </w:rPr>
              <w:t xml:space="preserve"> </w:t>
            </w:r>
          </w:p>
          <w:p w:rsidRPr="0029496C" w:rsidR="00500998" w:rsidP="00FE7E22" w:rsidRDefault="00500998" w14:paraId="52B58F03" w14:textId="77777777">
            <w:pPr>
              <w:keepNext/>
              <w:spacing w:line="240" w:lineRule="auto"/>
              <w:rPr>
                <w:rFonts w:eastAsia="Times New Roman" w:cs="Times New Roman"/>
                <w:b/>
                <w:color w:val="000000" w:themeColor="text1"/>
                <w:sz w:val="24"/>
                <w:szCs w:val="24"/>
              </w:rPr>
            </w:pPr>
          </w:p>
        </w:tc>
        <w:tc>
          <w:tcPr>
            <w:tcW w:w="6195" w:type="dxa"/>
            <w:tcBorders>
              <w:top w:val="single" w:color="000000" w:themeColor="text1" w:sz="6" w:space="0"/>
              <w:left w:val="single" w:color="auto" w:sz="4" w:space="0"/>
              <w:bottom w:val="nil"/>
              <w:right w:val="single" w:color="000000" w:themeColor="text1" w:sz="6" w:space="0"/>
            </w:tcBorders>
            <w:shd w:val="clear" w:color="auto" w:fill="auto"/>
            <w:vAlign w:val="center"/>
            <w:hideMark/>
          </w:tcPr>
          <w:p w:rsidR="00BF3C34" w:rsidP="00FE7E22" w:rsidRDefault="00BF3C34" w14:paraId="55775245"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443A64D9"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029DE700"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4E4BE38B"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5316E8C2"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72A541D1"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1014EDC2"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14AF550C"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309BE494"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075F7DF5"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60B468F6"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1805F487" w14:textId="77777777">
            <w:pPr>
              <w:keepNext/>
              <w:spacing w:line="240" w:lineRule="auto"/>
              <w:ind w:firstLine="0"/>
              <w:textAlignment w:val="baseline"/>
              <w:rPr>
                <w:rFonts w:eastAsia="Times New Roman" w:cs="Times New Roman"/>
                <w:color w:val="000000" w:themeColor="text1"/>
                <w:sz w:val="24"/>
                <w:szCs w:val="24"/>
              </w:rPr>
            </w:pPr>
          </w:p>
          <w:p w:rsidR="00BF3C34" w:rsidP="00FE7E22" w:rsidRDefault="00BF3C34" w14:paraId="26F6CD18" w14:textId="77777777">
            <w:pPr>
              <w:keepNext/>
              <w:spacing w:line="240" w:lineRule="auto"/>
              <w:ind w:firstLine="0"/>
              <w:textAlignment w:val="baseline"/>
              <w:rPr>
                <w:rFonts w:eastAsia="Times New Roman" w:cs="Times New Roman"/>
                <w:color w:val="000000" w:themeColor="text1"/>
                <w:sz w:val="24"/>
                <w:szCs w:val="24"/>
              </w:rPr>
            </w:pPr>
          </w:p>
          <w:p w:rsidR="000F2D61" w:rsidP="00FE7E22" w:rsidRDefault="00500998" w14:paraId="423C5DEF" w14:textId="5D8956CA">
            <w:pPr>
              <w:keepNext/>
              <w:spacing w:line="240" w:lineRule="auto"/>
              <w:ind w:firstLine="0"/>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 xml:space="preserve">Discussion of risk assessment should include all subsections outlined in the ACR: Compliance Risk; Risk Modeling and Risk Factors; System Reliability; and Lessons Learned. </w:t>
            </w:r>
          </w:p>
          <w:p w:rsidRPr="000F2D61" w:rsidR="00C56292" w:rsidP="00FE7E22" w:rsidRDefault="00C56292" w14:paraId="78D3604A" w14:textId="77777777">
            <w:pPr>
              <w:keepNext/>
              <w:spacing w:line="240" w:lineRule="auto"/>
              <w:ind w:firstLine="0"/>
              <w:textAlignment w:val="baseline"/>
              <w:rPr>
                <w:rFonts w:eastAsia="Times New Roman" w:cs="Times New Roman"/>
                <w:color w:val="000000" w:themeColor="text1"/>
                <w:sz w:val="24"/>
                <w:szCs w:val="24"/>
              </w:rPr>
            </w:pPr>
          </w:p>
          <w:p w:rsidRPr="0029496C" w:rsidR="00500998" w:rsidP="00FE7E22" w:rsidRDefault="00500998" w14:paraId="13F4A491" w14:textId="77777777">
            <w:pPr>
              <w:keepNext/>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Compliance Risk section should discuss severity of risk (high, medium, and low). </w:t>
            </w:r>
          </w:p>
          <w:p w:rsidRPr="0029496C" w:rsidR="00500998" w:rsidP="00FE7E22" w:rsidRDefault="00500998" w14:paraId="2B5A1556" w14:textId="77777777">
            <w:pPr>
              <w:keepNext/>
              <w:spacing w:line="240" w:lineRule="auto"/>
              <w:ind w:firstLine="0"/>
              <w:rPr>
                <w:rFonts w:eastAsia="Book Antiqua" w:cs="Book Antiqua"/>
                <w:color w:val="4472C4" w:themeColor="accent1"/>
                <w:sz w:val="24"/>
                <w:szCs w:val="24"/>
              </w:rPr>
            </w:pPr>
          </w:p>
        </w:tc>
      </w:tr>
      <w:tr w:rsidRPr="0029496C" w:rsidR="00500998" w:rsidTr="0029496C" w14:paraId="5CE52000" w14:textId="77777777">
        <w:trPr>
          <w:trHeight w:val="30"/>
          <w:jc w:val="center"/>
        </w:trPr>
        <w:tc>
          <w:tcPr>
            <w:tcW w:w="3135" w:type="dxa"/>
            <w:vMerge/>
            <w:vAlign w:val="center"/>
          </w:tcPr>
          <w:p w:rsidRPr="0029496C" w:rsidR="00500998" w:rsidRDefault="00500998" w14:paraId="7799EC80" w14:textId="77777777">
            <w:pPr>
              <w:spacing w:line="240" w:lineRule="auto"/>
              <w:rPr>
                <w:rFonts w:eastAsia="Times New Roman" w:cs="Times New Roman"/>
                <w:b/>
                <w:bCs/>
                <w:color w:val="000000" w:themeColor="text1"/>
                <w:sz w:val="24"/>
                <w:szCs w:val="24"/>
              </w:rPr>
            </w:pPr>
          </w:p>
        </w:tc>
        <w:tc>
          <w:tcPr>
            <w:tcW w:w="6195" w:type="dxa"/>
            <w:tcBorders>
              <w:top w:val="nil"/>
              <w:left w:val="single" w:color="auto" w:sz="4" w:space="0"/>
              <w:bottom w:val="nil"/>
            </w:tcBorders>
            <w:vAlign w:val="center"/>
          </w:tcPr>
          <w:p w:rsidRPr="0029496C" w:rsidR="00500998" w:rsidP="00BF3C34" w:rsidRDefault="00500998" w14:paraId="6712F245" w14:textId="77777777">
            <w:pPr>
              <w:spacing w:line="240" w:lineRule="auto"/>
              <w:ind w:firstLine="0"/>
              <w:rPr>
                <w:rFonts w:eastAsia="Book Antiqua" w:cs="Book Antiqua"/>
                <w:color w:val="000000" w:themeColor="text1"/>
                <w:sz w:val="24"/>
                <w:szCs w:val="24"/>
              </w:rPr>
            </w:pPr>
          </w:p>
        </w:tc>
      </w:tr>
      <w:tr w:rsidRPr="0029496C" w:rsidR="00500998" w:rsidTr="0029496C" w14:paraId="11294FEC" w14:textId="77777777">
        <w:trPr>
          <w:trHeight w:val="30"/>
          <w:jc w:val="center"/>
        </w:trPr>
        <w:tc>
          <w:tcPr>
            <w:tcW w:w="3135" w:type="dxa"/>
            <w:vMerge/>
            <w:vAlign w:val="center"/>
          </w:tcPr>
          <w:p w:rsidRPr="0029496C" w:rsidR="00500998" w:rsidRDefault="00500998" w14:paraId="5D097F28" w14:textId="77777777">
            <w:pPr>
              <w:spacing w:line="240" w:lineRule="auto"/>
              <w:rPr>
                <w:rFonts w:eastAsia="Times New Roman" w:cs="Times New Roman"/>
                <w:b/>
                <w:bCs/>
                <w:color w:val="000000" w:themeColor="text1"/>
                <w:sz w:val="24"/>
                <w:szCs w:val="24"/>
              </w:rPr>
            </w:pPr>
          </w:p>
        </w:tc>
        <w:tc>
          <w:tcPr>
            <w:tcW w:w="6195" w:type="dxa"/>
            <w:tcBorders>
              <w:top w:val="nil"/>
              <w:left w:val="single" w:color="auto" w:sz="4" w:space="0"/>
              <w:bottom w:val="nil"/>
            </w:tcBorders>
            <w:vAlign w:val="center"/>
          </w:tcPr>
          <w:p w:rsidRPr="0029496C" w:rsidR="00500998" w:rsidRDefault="00500998" w14:paraId="50601598" w14:textId="77777777">
            <w:pPr>
              <w:spacing w:line="240" w:lineRule="auto"/>
              <w:rPr>
                <w:rFonts w:eastAsia="Book Antiqua" w:cs="Book Antiqua"/>
                <w:color w:val="000000" w:themeColor="text1"/>
                <w:sz w:val="24"/>
                <w:szCs w:val="24"/>
              </w:rPr>
            </w:pPr>
          </w:p>
        </w:tc>
      </w:tr>
      <w:tr w:rsidRPr="0029496C" w:rsidR="00500998" w:rsidTr="0029496C" w14:paraId="701A338D" w14:textId="77777777">
        <w:trPr>
          <w:trHeight w:val="30"/>
          <w:jc w:val="center"/>
        </w:trPr>
        <w:tc>
          <w:tcPr>
            <w:tcW w:w="3135" w:type="dxa"/>
            <w:vMerge/>
            <w:vAlign w:val="center"/>
          </w:tcPr>
          <w:p w:rsidRPr="0029496C" w:rsidR="00500998" w:rsidRDefault="00500998" w14:paraId="78EBD331" w14:textId="77777777">
            <w:pPr>
              <w:spacing w:line="240" w:lineRule="auto"/>
              <w:rPr>
                <w:rFonts w:eastAsia="Times New Roman" w:cs="Times New Roman"/>
                <w:b/>
                <w:bCs/>
                <w:color w:val="000000" w:themeColor="text1"/>
                <w:sz w:val="24"/>
                <w:szCs w:val="24"/>
              </w:rPr>
            </w:pPr>
          </w:p>
        </w:tc>
        <w:tc>
          <w:tcPr>
            <w:tcW w:w="6195" w:type="dxa"/>
            <w:tcBorders>
              <w:top w:val="nil"/>
              <w:left w:val="single" w:color="auto" w:sz="4" w:space="0"/>
              <w:bottom w:val="nil"/>
            </w:tcBorders>
            <w:vAlign w:val="center"/>
          </w:tcPr>
          <w:p w:rsidRPr="0029496C" w:rsidR="00500998" w:rsidRDefault="00500998" w14:paraId="0A12036D" w14:textId="77777777">
            <w:pPr>
              <w:spacing w:line="240" w:lineRule="auto"/>
              <w:rPr>
                <w:rFonts w:eastAsia="Book Antiqua" w:cs="Book Antiqua"/>
                <w:color w:val="000000" w:themeColor="text1"/>
                <w:sz w:val="24"/>
                <w:szCs w:val="24"/>
              </w:rPr>
            </w:pPr>
          </w:p>
        </w:tc>
      </w:tr>
      <w:tr w:rsidRPr="0029496C" w:rsidR="00500998" w:rsidTr="0029496C" w14:paraId="1CEEE86F" w14:textId="77777777">
        <w:trPr>
          <w:trHeight w:val="30"/>
          <w:jc w:val="center"/>
        </w:trPr>
        <w:tc>
          <w:tcPr>
            <w:tcW w:w="3135" w:type="dxa"/>
            <w:vMerge/>
            <w:vAlign w:val="center"/>
          </w:tcPr>
          <w:p w:rsidRPr="0029496C" w:rsidR="00500998" w:rsidRDefault="00500998" w14:paraId="3838A8F3" w14:textId="77777777">
            <w:pPr>
              <w:spacing w:line="240" w:lineRule="auto"/>
              <w:ind w:firstLine="0"/>
              <w:rPr>
                <w:rFonts w:eastAsia="Calibri" w:cs="Arial"/>
                <w:b/>
                <w:color w:val="000000" w:themeColor="text1"/>
                <w:sz w:val="24"/>
                <w:szCs w:val="24"/>
              </w:rPr>
            </w:pPr>
          </w:p>
        </w:tc>
        <w:tc>
          <w:tcPr>
            <w:tcW w:w="6195" w:type="dxa"/>
            <w:tcBorders>
              <w:top w:val="nil"/>
              <w:left w:val="single" w:color="auto" w:sz="4" w:space="0"/>
              <w:bottom w:val="single" w:color="auto" w:sz="4" w:space="0"/>
            </w:tcBorders>
            <w:vAlign w:val="center"/>
          </w:tcPr>
          <w:p w:rsidRPr="0029496C" w:rsidR="00500998" w:rsidP="00BF3C34" w:rsidRDefault="00500998" w14:paraId="70B64E83" w14:textId="77777777">
            <w:pPr>
              <w:spacing w:line="240" w:lineRule="auto"/>
              <w:ind w:firstLine="0"/>
              <w:rPr>
                <w:rFonts w:eastAsia="Book Antiqua" w:cs="Book Antiqua"/>
                <w:color w:val="000000" w:themeColor="text1"/>
                <w:sz w:val="24"/>
                <w:szCs w:val="24"/>
              </w:rPr>
            </w:pPr>
          </w:p>
        </w:tc>
      </w:tr>
    </w:tbl>
    <w:p w:rsidR="0014541C" w:rsidRDefault="0014541C" w14:paraId="61F88FF4" w14:textId="77777777"/>
    <w:tbl>
      <w:tblPr>
        <w:tblW w:w="933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35"/>
        <w:gridCol w:w="6195"/>
      </w:tblGrid>
      <w:tr w:rsidRPr="0029496C" w:rsidR="00500998" w:rsidTr="0014541C" w14:paraId="113044C8" w14:textId="77777777">
        <w:trPr>
          <w:trHeight w:val="345"/>
          <w:tblHeade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14541C" w:rsidRDefault="00500998" w14:paraId="1457B315" w14:textId="4AC4E720">
            <w:pPr>
              <w:keepNext/>
              <w:spacing w:line="240" w:lineRule="auto"/>
              <w:ind w:firstLine="0"/>
              <w:jc w:val="center"/>
              <w:textAlignment w:val="baseline"/>
              <w:rPr>
                <w:rFonts w:eastAsia="Times New Roman" w:cs="Times New Roman"/>
                <w:sz w:val="24"/>
                <w:szCs w:val="24"/>
              </w:rPr>
            </w:pPr>
            <w:r w:rsidRPr="0029496C">
              <w:rPr>
                <w:rFonts w:eastAsia="Times New Roman" w:cs="Times New Roman"/>
                <w:b/>
                <w:bCs/>
                <w:color w:val="000000"/>
                <w:sz w:val="24"/>
                <w:szCs w:val="24"/>
              </w:rPr>
              <w:t>Retail Seller (ESPs)</w:t>
            </w:r>
          </w:p>
        </w:tc>
        <w:tc>
          <w:tcPr>
            <w:tcW w:w="619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vAlign w:val="center"/>
            <w:hideMark/>
          </w:tcPr>
          <w:p w:rsidRPr="0029496C" w:rsidR="00500998" w:rsidP="0014541C" w:rsidRDefault="00500998" w14:paraId="037DEE6C" w14:textId="3A3B74B0">
            <w:pPr>
              <w:keepNext/>
              <w:spacing w:line="240" w:lineRule="auto"/>
              <w:ind w:firstLine="0"/>
              <w:jc w:val="center"/>
              <w:textAlignment w:val="baseline"/>
              <w:rPr>
                <w:rFonts w:eastAsia="Times New Roman" w:cs="Times New Roman"/>
                <w:sz w:val="24"/>
                <w:szCs w:val="24"/>
              </w:rPr>
            </w:pPr>
            <w:r w:rsidRPr="0029496C">
              <w:rPr>
                <w:rFonts w:eastAsia="Times New Roman" w:cs="Times New Roman"/>
                <w:b/>
                <w:bCs/>
                <w:color w:val="000000"/>
                <w:sz w:val="24"/>
                <w:szCs w:val="24"/>
              </w:rPr>
              <w:t>Commission Finding</w:t>
            </w:r>
          </w:p>
        </w:tc>
      </w:tr>
      <w:tr w:rsidRPr="0029496C" w:rsidR="00500998" w:rsidTr="0029496C" w14:paraId="0FB63863"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P="00D74826" w:rsidRDefault="00500998" w14:paraId="03CB7232" w14:textId="77777777">
            <w:pPr>
              <w:keepNext/>
              <w:spacing w:after="120" w:line="240" w:lineRule="auto"/>
              <w:ind w:firstLine="0"/>
              <w:rPr>
                <w:rFonts w:eastAsia="Times New Roman" w:cs="Times New Roman"/>
                <w:b/>
                <w:bCs/>
                <w:color w:val="000000"/>
                <w:sz w:val="24"/>
                <w:szCs w:val="24"/>
              </w:rPr>
            </w:pPr>
            <w:r w:rsidRPr="0029496C">
              <w:rPr>
                <w:rFonts w:eastAsia="Times New Roman" w:cs="Times New Roman"/>
                <w:b/>
                <w:bCs/>
                <w:color w:val="000000"/>
                <w:sz w:val="24"/>
                <w:szCs w:val="24"/>
              </w:rPr>
              <w:t xml:space="preserve">Calpine Energy </w:t>
            </w:r>
            <w:r w:rsidRPr="0029496C">
              <w:rPr>
                <w:rFonts w:eastAsia="Times New Roman" w:cs="Times New Roman"/>
                <w:b/>
                <w:bCs/>
                <w:color w:val="000000" w:themeColor="text1"/>
                <w:sz w:val="24"/>
                <w:szCs w:val="24"/>
              </w:rPr>
              <w:t>Solutions</w:t>
            </w:r>
            <w:r w:rsidRPr="0029496C">
              <w:rPr>
                <w:rFonts w:eastAsia="Times New Roman" w:cs="Times New Roman"/>
                <w:b/>
                <w:bCs/>
                <w:color w:val="000000"/>
                <w:sz w:val="24"/>
                <w:szCs w:val="24"/>
              </w:rPr>
              <w:t xml:space="preserve"> </w:t>
            </w:r>
          </w:p>
          <w:p w:rsidRPr="0029496C" w:rsidR="00500998" w:rsidP="00D74826" w:rsidRDefault="00500998" w14:paraId="74CAF7E9" w14:textId="77777777">
            <w:pPr>
              <w:keepNext/>
              <w:spacing w:after="120" w:line="240" w:lineRule="auto"/>
              <w:ind w:firstLine="0"/>
              <w:rPr>
                <w:rFonts w:eastAsia="Times New Roman" w:cs="Times New Roman"/>
                <w:b/>
                <w:bCs/>
                <w:color w:val="000000"/>
                <w:sz w:val="24"/>
                <w:szCs w:val="24"/>
              </w:rPr>
            </w:pPr>
            <w:r w:rsidRPr="0029496C">
              <w:rPr>
                <w:rFonts w:eastAsia="Times New Roman" w:cs="Times New Roman"/>
                <w:b/>
                <w:bCs/>
                <w:color w:val="000000"/>
                <w:sz w:val="24"/>
                <w:szCs w:val="24"/>
              </w:rPr>
              <w:t xml:space="preserve">3 Phases </w:t>
            </w:r>
            <w:r w:rsidRPr="0029496C">
              <w:rPr>
                <w:rFonts w:eastAsia="Times New Roman" w:cs="Times New Roman"/>
                <w:b/>
                <w:bCs/>
                <w:color w:val="000000" w:themeColor="text1"/>
                <w:sz w:val="24"/>
                <w:szCs w:val="24"/>
              </w:rPr>
              <w:t>Renewables</w:t>
            </w:r>
          </w:p>
          <w:p w:rsidRPr="0029496C" w:rsidR="00162CD7" w:rsidP="00D74826" w:rsidRDefault="00162CD7" w14:paraId="16575237" w14:textId="77777777">
            <w:pPr>
              <w:keepNext/>
              <w:spacing w:after="120" w:line="240" w:lineRule="auto"/>
              <w:ind w:firstLine="0"/>
              <w:rPr>
                <w:rFonts w:eastAsia="Times New Roman" w:cs="Times New Roman"/>
                <w:color w:val="000000"/>
                <w:sz w:val="24"/>
                <w:szCs w:val="24"/>
              </w:rPr>
            </w:pPr>
            <w:r w:rsidRPr="0029496C">
              <w:rPr>
                <w:rFonts w:eastAsia="Times New Roman" w:cs="Times New Roman"/>
                <w:b/>
                <w:bCs/>
                <w:color w:val="000000"/>
                <w:sz w:val="24"/>
                <w:szCs w:val="24"/>
              </w:rPr>
              <w:t>EDF Industrial Power Services</w:t>
            </w:r>
            <w:r w:rsidRPr="0029496C">
              <w:rPr>
                <w:rFonts w:eastAsia="Times New Roman" w:cs="Times New Roman"/>
                <w:color w:val="000000"/>
                <w:sz w:val="24"/>
                <w:szCs w:val="24"/>
              </w:rPr>
              <w:t> </w:t>
            </w:r>
          </w:p>
          <w:p w:rsidRPr="0029496C" w:rsidR="00162CD7" w:rsidP="00D74826" w:rsidRDefault="00162CD7" w14:paraId="2EE88ADB" w14:textId="70CFF028">
            <w:pPr>
              <w:keepNext/>
              <w:spacing w:line="240" w:lineRule="auto"/>
              <w:ind w:firstLine="0"/>
              <w:textAlignment w:val="baseline"/>
              <w:rPr>
                <w:rFonts w:eastAsia="Times New Roman" w:cs="Times New Roman"/>
                <w:b/>
                <w:bCs/>
                <w:color w:val="000000"/>
                <w:sz w:val="24"/>
                <w:szCs w:val="24"/>
              </w:rPr>
            </w:pPr>
            <w:r w:rsidRPr="0029496C">
              <w:rPr>
                <w:rFonts w:eastAsia="Times New Roman" w:cs="Times New Roman"/>
                <w:b/>
                <w:bCs/>
                <w:color w:val="000000"/>
                <w:sz w:val="24"/>
                <w:szCs w:val="24"/>
              </w:rPr>
              <w:t>Brookfield Renewable Energy US</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P="00D74826" w:rsidRDefault="00500998" w14:paraId="3B1E2D22" w14:textId="1BAEEE71">
            <w:pPr>
              <w:keepNext/>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Compliance Risk section should discuss severity of risk (high, medium, and low). </w:t>
            </w:r>
          </w:p>
        </w:tc>
      </w:tr>
      <w:tr w:rsidRPr="0029496C" w:rsidR="00500998" w:rsidTr="0029496C" w14:paraId="5861F3DA"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P="00D74826" w:rsidRDefault="00500998" w14:paraId="5C9DE8EF" w14:textId="77777777">
            <w:pPr>
              <w:keepNext/>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Calpine PowerAmerica</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500998" w:rsidP="00D74826" w:rsidRDefault="00500998" w14:paraId="30FDF0CB" w14:textId="7B190A12">
            <w:pPr>
              <w:keepNext/>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sz w:val="24"/>
                <w:szCs w:val="24"/>
              </w:rPr>
              <w:t xml:space="preserve">Assessment should consider impacts of reduced generation.  </w:t>
            </w:r>
          </w:p>
          <w:p w:rsidRPr="0029496C" w:rsidR="00C56292" w:rsidP="00D74826" w:rsidRDefault="00C56292" w14:paraId="0AA4429D" w14:textId="77777777">
            <w:pPr>
              <w:keepNext/>
              <w:spacing w:line="240" w:lineRule="auto"/>
              <w:ind w:firstLine="0"/>
              <w:textAlignment w:val="baseline"/>
              <w:rPr>
                <w:rFonts w:eastAsia="Times New Roman" w:cs="Times New Roman"/>
                <w:color w:val="000000"/>
                <w:sz w:val="24"/>
                <w:szCs w:val="24"/>
              </w:rPr>
            </w:pPr>
          </w:p>
          <w:p w:rsidR="00500998" w:rsidP="00D74826" w:rsidRDefault="00500998" w14:paraId="190B58AA" w14:textId="5A9C2E11">
            <w:pPr>
              <w:keepNext/>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sz w:val="24"/>
                <w:szCs w:val="24"/>
              </w:rPr>
              <w:t xml:space="preserve">Discussion of risk assessment should include all subsections outlined in the ACR: Compliance Risk; Risk Modeling and Risk Factors; System Reliability; and Lessons Learned. </w:t>
            </w:r>
          </w:p>
          <w:p w:rsidRPr="0029496C" w:rsidR="00C56292" w:rsidP="00D74826" w:rsidRDefault="00C56292" w14:paraId="34A02262" w14:textId="77777777">
            <w:pPr>
              <w:keepNext/>
              <w:spacing w:line="240" w:lineRule="auto"/>
              <w:ind w:firstLine="0"/>
              <w:textAlignment w:val="baseline"/>
              <w:rPr>
                <w:rFonts w:eastAsia="Times New Roman" w:cs="Times New Roman"/>
                <w:color w:val="000000"/>
                <w:sz w:val="24"/>
                <w:szCs w:val="24"/>
              </w:rPr>
            </w:pPr>
          </w:p>
          <w:p w:rsidRPr="0029496C" w:rsidR="00500998" w:rsidP="00D74826" w:rsidRDefault="00500998" w14:paraId="63553F15" w14:textId="77777777">
            <w:pPr>
              <w:keepNext/>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sz w:val="24"/>
                <w:szCs w:val="24"/>
              </w:rPr>
              <w:t xml:space="preserve">Compliance Risk section should discuss severity of risk (high, medium, and low). </w:t>
            </w:r>
          </w:p>
        </w:tc>
      </w:tr>
      <w:tr w:rsidRPr="0029496C" w:rsidR="00500998" w:rsidTr="0029496C" w14:paraId="771FA845"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40D4C943" w14:textId="77777777">
            <w:pPr>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Commercial Energy</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500998" w:rsidRDefault="00500998" w14:paraId="3E39EBBA" w14:textId="7E53EC21">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Discussion of </w:t>
            </w:r>
            <w:r w:rsidRPr="0029496C">
              <w:rPr>
                <w:rFonts w:eastAsia="Times New Roman" w:cs="Times New Roman"/>
                <w:color w:val="000000"/>
                <w:sz w:val="24"/>
                <w:szCs w:val="24"/>
              </w:rPr>
              <w:t xml:space="preserve">risk assessment should include all subsections outlined in the ACR: Compliance Risk; Risk Modeling and Risk Factors; System Reliability; and Lessons Learned. </w:t>
            </w:r>
          </w:p>
          <w:p w:rsidRPr="0029496C" w:rsidR="00C56292" w:rsidRDefault="00C56292" w14:paraId="7496A8B8" w14:textId="77777777">
            <w:pPr>
              <w:spacing w:line="240" w:lineRule="auto"/>
              <w:ind w:firstLine="0"/>
              <w:textAlignment w:val="baseline"/>
              <w:rPr>
                <w:rFonts w:eastAsia="Times New Roman" w:cs="Times New Roman"/>
                <w:color w:val="000000"/>
                <w:sz w:val="24"/>
                <w:szCs w:val="24"/>
              </w:rPr>
            </w:pPr>
          </w:p>
          <w:p w:rsidRPr="0029496C" w:rsidR="00500998" w:rsidRDefault="00500998" w14:paraId="4F1516FC"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sz w:val="24"/>
                <w:szCs w:val="24"/>
              </w:rPr>
              <w:t>Compliance Risk subsection should discuss severity of risk (high, medium, and low).</w:t>
            </w:r>
          </w:p>
        </w:tc>
      </w:tr>
      <w:tr w:rsidRPr="0029496C" w:rsidR="00500998" w:rsidTr="0029496C" w14:paraId="59CB6E38"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4F2486C5" w14:textId="77777777">
            <w:pPr>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Pilot Power Group</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475317F8" w14:textId="77777777">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sz w:val="24"/>
                <w:szCs w:val="24"/>
              </w:rPr>
              <w:t>Discussion should assess severity of compliance risks, include concrete steps to overcome compliance risks with a timeline, consider how the retail seller’s portfolio supports or undermines system reliability.</w:t>
            </w:r>
          </w:p>
        </w:tc>
      </w:tr>
      <w:tr w:rsidRPr="0029496C" w:rsidR="00500998" w:rsidTr="0029496C" w14:paraId="2D901713" w14:textId="77777777">
        <w:trPr>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29496C" w:rsidR="00500998" w:rsidRDefault="00500998" w14:paraId="6C502E1C" w14:textId="77777777">
            <w:pPr>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Shell Energy North America</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500998" w:rsidRDefault="00500998" w14:paraId="5B05EB38" w14:textId="52D38910">
            <w:pPr>
              <w:spacing w:line="240" w:lineRule="auto"/>
              <w:ind w:firstLine="0"/>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 xml:space="preserve">Discussion of risk assessment should include all subsections outlined in the ACR: Compliance Risk; Risk Modeling and Risk Factors; System Reliability; and Lessons Learned. </w:t>
            </w:r>
          </w:p>
          <w:p w:rsidRPr="0029496C" w:rsidR="00C56292" w:rsidRDefault="00C56292" w14:paraId="183E0C26" w14:textId="77777777">
            <w:pPr>
              <w:spacing w:line="240" w:lineRule="auto"/>
              <w:ind w:firstLine="0"/>
              <w:textAlignment w:val="baseline"/>
              <w:rPr>
                <w:rFonts w:eastAsia="Times New Roman" w:cs="Times New Roman"/>
                <w:color w:val="000000"/>
                <w:sz w:val="24"/>
                <w:szCs w:val="24"/>
              </w:rPr>
            </w:pPr>
          </w:p>
          <w:p w:rsidR="00C56292" w:rsidRDefault="00500998" w14:paraId="770FDC0F" w14:textId="77777777">
            <w:pPr>
              <w:spacing w:line="240" w:lineRule="auto"/>
              <w:ind w:firstLine="0"/>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Compliance Risk section should discuss severity of risk (high, medium, and low).</w:t>
            </w:r>
          </w:p>
          <w:p w:rsidRPr="0029496C" w:rsidR="00500998" w:rsidRDefault="00500998" w14:paraId="0D1DB7B6" w14:textId="1F64BF69">
            <w:pPr>
              <w:spacing w:line="240" w:lineRule="auto"/>
              <w:ind w:firstLine="0"/>
              <w:textAlignment w:val="baseline"/>
              <w:rPr>
                <w:rFonts w:eastAsia="Times New Roman" w:cs="Times New Roman"/>
                <w:color w:val="000000"/>
                <w:sz w:val="24"/>
                <w:szCs w:val="24"/>
              </w:rPr>
            </w:pPr>
            <w:r w:rsidRPr="0029496C">
              <w:rPr>
                <w:rFonts w:eastAsia="Times New Roman" w:cs="Times New Roman"/>
                <w:color w:val="000000" w:themeColor="text1"/>
                <w:sz w:val="24"/>
                <w:szCs w:val="24"/>
              </w:rPr>
              <w:t xml:space="preserve"> </w:t>
            </w:r>
          </w:p>
          <w:p w:rsidRPr="0029496C" w:rsidR="00500998" w:rsidRDefault="00500998" w14:paraId="481D77F7" w14:textId="77777777">
            <w:pPr>
              <w:spacing w:line="240" w:lineRule="auto"/>
              <w:ind w:firstLine="0"/>
              <w:textAlignment w:val="baseline"/>
              <w:rPr>
                <w:rFonts w:eastAsia="Times New Roman" w:cs="Times New Roman"/>
                <w:sz w:val="24"/>
                <w:szCs w:val="24"/>
              </w:rPr>
            </w:pPr>
            <w:r w:rsidRPr="0029496C">
              <w:rPr>
                <w:rFonts w:eastAsia="Times New Roman" w:cs="Times New Roman"/>
                <w:color w:val="000000"/>
                <w:sz w:val="24"/>
                <w:szCs w:val="24"/>
              </w:rPr>
              <w:t>Discussion should also consider how the retail seller’s portfolio supports or undermines system reliability. </w:t>
            </w:r>
          </w:p>
        </w:tc>
      </w:tr>
      <w:tr w:rsidRPr="0029496C" w:rsidR="00500998" w:rsidTr="0029496C" w14:paraId="31170B6A" w14:textId="77777777">
        <w:trPr>
          <w:trHeight w:val="1335"/>
          <w:jc w:val="center"/>
        </w:trPr>
        <w:tc>
          <w:tcPr>
            <w:tcW w:w="31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29496C" w:rsidR="00500998" w:rsidP="00C56292" w:rsidRDefault="00500998" w14:paraId="0BD1ED4D" w14:textId="77777777">
            <w:pPr>
              <w:keepNext/>
              <w:spacing w:line="240" w:lineRule="auto"/>
              <w:ind w:firstLine="0"/>
              <w:textAlignment w:val="baseline"/>
              <w:rPr>
                <w:rFonts w:eastAsia="Times New Roman" w:cs="Times New Roman"/>
                <w:sz w:val="24"/>
                <w:szCs w:val="24"/>
              </w:rPr>
            </w:pPr>
            <w:r w:rsidRPr="0029496C">
              <w:rPr>
                <w:rFonts w:eastAsia="Times New Roman" w:cs="Times New Roman"/>
                <w:b/>
                <w:bCs/>
                <w:color w:val="000000"/>
                <w:sz w:val="24"/>
                <w:szCs w:val="24"/>
              </w:rPr>
              <w:t>The Regents of the University of California</w:t>
            </w:r>
            <w:r w:rsidRPr="0029496C">
              <w:rPr>
                <w:rFonts w:eastAsia="Times New Roman" w:cs="Times New Roman"/>
                <w:color w:val="000000"/>
                <w:sz w:val="24"/>
                <w:szCs w:val="24"/>
              </w:rPr>
              <w:t> </w:t>
            </w:r>
          </w:p>
        </w:tc>
        <w:tc>
          <w:tcPr>
            <w:tcW w:w="61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500998" w:rsidP="00C56292" w:rsidRDefault="00B36042" w14:paraId="0F895BB2" w14:textId="32A50A41">
            <w:pPr>
              <w:keepNext/>
              <w:spacing w:line="240" w:lineRule="auto"/>
              <w:ind w:firstLine="0"/>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F</w:t>
            </w:r>
            <w:r w:rsidRPr="0029496C" w:rsidR="00500998">
              <w:rPr>
                <w:rFonts w:eastAsia="Times New Roman" w:cs="Times New Roman"/>
                <w:color w:val="000000" w:themeColor="text1"/>
                <w:sz w:val="24"/>
                <w:szCs w:val="24"/>
              </w:rPr>
              <w:t>ailure rate</w:t>
            </w:r>
            <w:r w:rsidRPr="0029496C">
              <w:rPr>
                <w:rFonts w:eastAsia="Times New Roman" w:cs="Times New Roman"/>
                <w:color w:val="000000" w:themeColor="text1"/>
                <w:sz w:val="24"/>
                <w:szCs w:val="24"/>
              </w:rPr>
              <w:t xml:space="preserve"> should be explained</w:t>
            </w:r>
            <w:r w:rsidRPr="0029496C" w:rsidR="00500998">
              <w:rPr>
                <w:rFonts w:eastAsia="Times New Roman" w:cs="Times New Roman"/>
                <w:color w:val="000000" w:themeColor="text1"/>
                <w:sz w:val="24"/>
                <w:szCs w:val="24"/>
              </w:rPr>
              <w:t xml:space="preserve">. </w:t>
            </w:r>
          </w:p>
          <w:p w:rsidRPr="0029496C" w:rsidR="00C56292" w:rsidP="00C56292" w:rsidRDefault="00C56292" w14:paraId="00873C01" w14:textId="77777777">
            <w:pPr>
              <w:keepNext/>
              <w:spacing w:line="240" w:lineRule="auto"/>
              <w:ind w:firstLine="0"/>
              <w:textAlignment w:val="baseline"/>
              <w:rPr>
                <w:rFonts w:eastAsia="Times New Roman" w:cs="Times New Roman"/>
                <w:color w:val="000000"/>
                <w:sz w:val="24"/>
                <w:szCs w:val="24"/>
              </w:rPr>
            </w:pPr>
          </w:p>
          <w:p w:rsidR="00500998" w:rsidP="00C56292" w:rsidRDefault="00500998" w14:paraId="538A4883" w14:textId="367A1F24">
            <w:pPr>
              <w:keepNext/>
              <w:spacing w:line="240" w:lineRule="auto"/>
              <w:ind w:firstLine="0"/>
              <w:textAlignment w:val="baseline"/>
              <w:rPr>
                <w:rFonts w:eastAsia="Times New Roman" w:cs="Times New Roman"/>
                <w:color w:val="000000" w:themeColor="text1"/>
                <w:sz w:val="24"/>
                <w:szCs w:val="24"/>
              </w:rPr>
            </w:pPr>
            <w:r w:rsidRPr="0029496C">
              <w:rPr>
                <w:rFonts w:eastAsia="Times New Roman" w:cs="Times New Roman"/>
                <w:color w:val="000000" w:themeColor="text1"/>
                <w:sz w:val="24"/>
                <w:szCs w:val="24"/>
              </w:rPr>
              <w:t xml:space="preserve">Discussion of risk assessment should include all subsections outlined in the ACR: Compliance Risk; Risk Modeling and Risk Factors; System Reliability; and Lessons Learned. </w:t>
            </w:r>
          </w:p>
          <w:p w:rsidRPr="0029496C" w:rsidR="00C56292" w:rsidP="00C56292" w:rsidRDefault="00C56292" w14:paraId="06096CF1" w14:textId="77777777">
            <w:pPr>
              <w:keepNext/>
              <w:spacing w:line="240" w:lineRule="auto"/>
              <w:ind w:firstLine="0"/>
              <w:textAlignment w:val="baseline"/>
              <w:rPr>
                <w:rFonts w:eastAsia="Times New Roman" w:cs="Times New Roman"/>
                <w:color w:val="000000"/>
                <w:sz w:val="24"/>
                <w:szCs w:val="24"/>
              </w:rPr>
            </w:pPr>
          </w:p>
          <w:p w:rsidRPr="0029496C" w:rsidR="00500998" w:rsidP="00C56292" w:rsidRDefault="00500998" w14:paraId="7B0CB209" w14:textId="77777777">
            <w:pPr>
              <w:keepNext/>
              <w:spacing w:line="240" w:lineRule="auto"/>
              <w:ind w:firstLine="0"/>
              <w:textAlignment w:val="baseline"/>
              <w:rPr>
                <w:rFonts w:eastAsia="Times New Roman" w:cs="Times New Roman"/>
                <w:sz w:val="24"/>
                <w:szCs w:val="24"/>
              </w:rPr>
            </w:pPr>
            <w:r w:rsidRPr="0029496C">
              <w:rPr>
                <w:rFonts w:eastAsia="Times New Roman" w:cs="Times New Roman"/>
                <w:color w:val="000000"/>
                <w:sz w:val="24"/>
                <w:szCs w:val="24"/>
              </w:rPr>
              <w:t>Compliance Risk subsection should discuss severity of risk (high, medium, and low).</w:t>
            </w:r>
          </w:p>
        </w:tc>
      </w:tr>
    </w:tbl>
    <w:p w:rsidR="00382BB4" w:rsidP="00C56292" w:rsidRDefault="00382BB4" w14:paraId="26E284BF" w14:textId="45275C93">
      <w:pPr>
        <w:pStyle w:val="Heading3"/>
        <w:numPr>
          <w:ilvl w:val="2"/>
          <w:numId w:val="2"/>
        </w:numPr>
        <w:spacing w:before="240"/>
      </w:pPr>
      <w:bookmarkStart w:name="_Toc122180482" w:id="97"/>
      <w:r>
        <w:t>M</w:t>
      </w:r>
      <w:r w:rsidR="00583112">
        <w:t>MoP</w:t>
      </w:r>
      <w:bookmarkEnd w:id="97"/>
    </w:p>
    <w:p w:rsidRPr="00C901E8" w:rsidR="00382BB4" w:rsidP="00382BB4" w:rsidRDefault="00382BB4" w14:paraId="322A27D1" w14:textId="0D70CA14">
      <w:pPr>
        <w:pStyle w:val="Standard"/>
      </w:pPr>
      <w:r w:rsidRPr="00AD108E">
        <w:t xml:space="preserve">The Commission finds that the CCAs and ESPs, identified later in this section, </w:t>
      </w:r>
      <w:bookmarkStart w:name="_Hlk117492810" w:id="98"/>
      <w:r w:rsidRPr="00AD108E">
        <w:t>must provide complete sections on MMoP methodology and criteria for Final 2022 RPS Plan submissions.</w:t>
      </w:r>
      <w:r w:rsidRPr="00C901E8">
        <w:t xml:space="preserve"> </w:t>
      </w:r>
      <w:bookmarkEnd w:id="98"/>
    </w:p>
    <w:p w:rsidRPr="00C901E8" w:rsidR="00382BB4" w:rsidP="00382BB4" w:rsidRDefault="00382BB4" w14:paraId="16464708" w14:textId="72959FD0">
      <w:pPr>
        <w:pStyle w:val="Standard"/>
      </w:pPr>
      <w:r w:rsidRPr="00C901E8">
        <w:t xml:space="preserve">The use of an MMoP is necessary to mitigate risk and ensure that retail sellers meet the State’s climate and reliability goals, particularly as California moves toward aggressive long-term RPS contracting requirements that promote the development of new renewable generation resources.  Section 399.13(a)(5)(D) requires that “an appropriate </w:t>
      </w:r>
      <w:r w:rsidR="00DB5458">
        <w:t>[</w:t>
      </w:r>
      <w:r w:rsidR="00583112">
        <w:t>MMoP</w:t>
      </w:r>
      <w:r w:rsidR="00DB5458">
        <w:t>]</w:t>
      </w:r>
      <w:r w:rsidRPr="00C901E8">
        <w:t xml:space="preserve"> above the minimum RPS procurement level is necessary to comply with the RPS to mitigate the risk that renewable projects planned or under contract are delayed or canceled.”  The Commission’s 2014 RNS Ruling provides clear instructions on how retail sellers are to incorporate MMoP when developing risk-adjusted portfolios, and how additional RPS procurement above a risk-adjusted portfolio (</w:t>
      </w:r>
      <w:r w:rsidRPr="000F2D61" w:rsidR="00062946">
        <w:rPr>
          <w:i/>
          <w:iCs/>
        </w:rPr>
        <w:t>i.e</w:t>
      </w:r>
      <w:r w:rsidR="00062946">
        <w:t>.</w:t>
      </w:r>
      <w:r w:rsidR="009E66EE">
        <w:t>,</w:t>
      </w:r>
      <w:r w:rsidR="00062946">
        <w:t xml:space="preserve"> </w:t>
      </w:r>
      <w:r w:rsidRPr="00C901E8">
        <w:t>VMoP) should be reported in retail sellers’ RNS.</w:t>
      </w:r>
      <w:r w:rsidR="00062946">
        <w:rPr>
          <w:rStyle w:val="FootnoteReference"/>
        </w:rPr>
        <w:footnoteReference w:id="43"/>
      </w:r>
    </w:p>
    <w:p w:rsidRPr="00C901E8" w:rsidR="00382BB4" w:rsidP="00382BB4" w:rsidRDefault="00382BB4" w14:paraId="211FCA09" w14:textId="77777777">
      <w:pPr>
        <w:pStyle w:val="Standard"/>
      </w:pPr>
      <w:r w:rsidRPr="00C901E8">
        <w:t>While the Commission allows retail sellers to devise their own MMoP methodology, retail sellers should clearly explain how their risk-informed methodology is included in their RNS as well as how it is consistent with that methodology in the MMoP narrative.  Further, retail sellers should not report MMoP values in Row D of their RNS; rather, the need for additional procurement above a retail seller’s risk-adjusted portfolio should be explained and supported by the VMoP reported in the quantitative analysis.</w:t>
      </w:r>
    </w:p>
    <w:p w:rsidRPr="00C901E8" w:rsidR="00382BB4" w:rsidP="00382BB4" w:rsidRDefault="00382BB4" w14:paraId="5B9683B9" w14:textId="77777777">
      <w:pPr>
        <w:pStyle w:val="Standard"/>
      </w:pPr>
      <w:r w:rsidRPr="00C901E8">
        <w:t>Retail sellers should clearly distinguish between established statutory MMoP and VMoP.  Retail sellers should not have a VMoP in place of an MMoP but should only have a VMoP after establishing and quantifying an MMoP.</w:t>
      </w:r>
    </w:p>
    <w:p w:rsidRPr="00C901E8" w:rsidR="00382BB4" w:rsidP="00382BB4" w:rsidRDefault="00382BB4" w14:paraId="384842D9" w14:textId="77777777">
      <w:pPr>
        <w:pStyle w:val="Standard"/>
      </w:pPr>
      <w:r w:rsidRPr="00AD108E">
        <w:t xml:space="preserve">We have identified </w:t>
      </w:r>
      <w:bookmarkStart w:name="_Hlk117492845" w:id="99"/>
      <w:r w:rsidRPr="00AD108E">
        <w:t xml:space="preserve">CleanPowerSF’s and Desert Community Energy’s approach to MMoP as the best examples for CCAs and ESPs to consult when developing </w:t>
      </w:r>
      <w:r>
        <w:t xml:space="preserve">their </w:t>
      </w:r>
      <w:r w:rsidRPr="00AD108E">
        <w:t>Final 2022 RPS</w:t>
      </w:r>
      <w:r>
        <w:t xml:space="preserve"> Plans.</w:t>
      </w:r>
    </w:p>
    <w:bookmarkEnd w:id="99"/>
    <w:p w:rsidR="00382BB4" w:rsidP="00382BB4" w:rsidRDefault="00382BB4" w14:paraId="47395539" w14:textId="77777777">
      <w:pPr>
        <w:pStyle w:val="Standard"/>
      </w:pPr>
      <w:r w:rsidRPr="00C901E8">
        <w:t>The retail sellers identified below are required to modify the MMoP section of their Final 202</w:t>
      </w:r>
      <w:r>
        <w:t>2</w:t>
      </w:r>
      <w:r w:rsidRPr="00C901E8">
        <w:t xml:space="preserve"> Plans commensurate with the guidance provided in this section. </w:t>
      </w:r>
    </w:p>
    <w:p w:rsidRPr="00FE7E22" w:rsidR="00382BB4" w:rsidP="00FE7E22" w:rsidRDefault="00382BB4" w14:paraId="7D87561A" w14:textId="4E82B6B0">
      <w:pPr>
        <w:pStyle w:val="Standard"/>
        <w:keepNext/>
        <w:ind w:firstLine="0"/>
        <w:jc w:val="center"/>
        <w:rPr>
          <w:szCs w:val="26"/>
        </w:rPr>
      </w:pPr>
      <w:r w:rsidRPr="00FE7E22">
        <w:rPr>
          <w:rFonts w:eastAsia="Times New Roman" w:cs="Times New Roman"/>
          <w:b/>
          <w:bCs/>
          <w:color w:val="000000"/>
          <w:szCs w:val="26"/>
        </w:rPr>
        <w:t xml:space="preserve">Table </w:t>
      </w:r>
      <w:r w:rsidRPr="00FE7E22" w:rsidR="00955469">
        <w:rPr>
          <w:rFonts w:eastAsia="Times New Roman" w:cs="Times New Roman"/>
          <w:b/>
          <w:bCs/>
          <w:color w:val="000000"/>
          <w:szCs w:val="26"/>
        </w:rPr>
        <w:t>6</w:t>
      </w:r>
      <w:r w:rsidRPr="00FE7E22">
        <w:rPr>
          <w:rFonts w:eastAsia="Times New Roman" w:cs="Times New Roman"/>
          <w:b/>
          <w:bCs/>
          <w:color w:val="000000"/>
          <w:szCs w:val="26"/>
        </w:rPr>
        <w:t>:  M</w:t>
      </w:r>
      <w:r w:rsidRPr="00FE7E22" w:rsidR="002B2EF2">
        <w:rPr>
          <w:rFonts w:eastAsia="Times New Roman" w:cs="Times New Roman"/>
          <w:b/>
          <w:bCs/>
          <w:color w:val="000000"/>
          <w:szCs w:val="26"/>
        </w:rPr>
        <w:t>MoP</w:t>
      </w:r>
    </w:p>
    <w:tbl>
      <w:tblPr>
        <w:tblStyle w:val="TableGrid1"/>
        <w:tblW w:w="0" w:type="auto"/>
        <w:jc w:val="center"/>
        <w:tblLook w:val="04A0" w:firstRow="1" w:lastRow="0" w:firstColumn="1" w:lastColumn="0" w:noHBand="0" w:noVBand="1"/>
      </w:tblPr>
      <w:tblGrid>
        <w:gridCol w:w="5395"/>
        <w:gridCol w:w="3955"/>
      </w:tblGrid>
      <w:tr w:rsidRPr="0014541C" w:rsidR="00382BB4" w:rsidTr="000F2D61" w14:paraId="336F1405" w14:textId="77777777">
        <w:trPr>
          <w:jc w:val="center"/>
        </w:trPr>
        <w:tc>
          <w:tcPr>
            <w:tcW w:w="5395" w:type="dxa"/>
            <w:shd w:val="clear" w:color="auto" w:fill="BFBFBF" w:themeFill="background1" w:themeFillShade="BF"/>
            <w:vAlign w:val="center"/>
          </w:tcPr>
          <w:p w:rsidRPr="0014541C" w:rsidR="00382BB4" w:rsidP="00B91CAB" w:rsidRDefault="00382BB4" w14:paraId="4BFF20F3" w14:textId="77777777">
            <w:pPr>
              <w:keepNext/>
              <w:spacing w:line="240" w:lineRule="auto"/>
              <w:ind w:firstLine="0"/>
              <w:jc w:val="center"/>
              <w:rPr>
                <w:b/>
                <w:color w:val="000000" w:themeColor="text1"/>
                <w:sz w:val="24"/>
                <w:szCs w:val="24"/>
              </w:rPr>
            </w:pPr>
            <w:r w:rsidRPr="0014541C">
              <w:rPr>
                <w:b/>
                <w:color w:val="000000" w:themeColor="text1"/>
                <w:sz w:val="24"/>
                <w:szCs w:val="24"/>
              </w:rPr>
              <w:t>Retail Seller (CCAs)</w:t>
            </w:r>
          </w:p>
        </w:tc>
        <w:tc>
          <w:tcPr>
            <w:tcW w:w="3955" w:type="dxa"/>
            <w:shd w:val="clear" w:color="auto" w:fill="BFBFBF" w:themeFill="background1" w:themeFillShade="BF"/>
            <w:vAlign w:val="center"/>
          </w:tcPr>
          <w:p w:rsidRPr="0014541C" w:rsidR="00382BB4" w:rsidP="00B91CAB" w:rsidRDefault="00382BB4" w14:paraId="159FEDB6" w14:textId="77777777">
            <w:pPr>
              <w:keepNext/>
              <w:spacing w:line="240" w:lineRule="auto"/>
              <w:ind w:hanging="14"/>
              <w:jc w:val="center"/>
              <w:rPr>
                <w:b/>
                <w:color w:val="000000" w:themeColor="text1"/>
                <w:sz w:val="24"/>
                <w:szCs w:val="24"/>
              </w:rPr>
            </w:pPr>
            <w:r w:rsidRPr="0014541C">
              <w:rPr>
                <w:b/>
                <w:color w:val="000000" w:themeColor="text1"/>
                <w:sz w:val="24"/>
                <w:szCs w:val="24"/>
              </w:rPr>
              <w:t>Commission Finding</w:t>
            </w:r>
          </w:p>
        </w:tc>
      </w:tr>
      <w:tr w:rsidRPr="0014541C" w:rsidR="00382BB4" w:rsidTr="000F2D61" w14:paraId="4FD14C6C" w14:textId="77777777">
        <w:trPr>
          <w:jc w:val="center"/>
        </w:trPr>
        <w:tc>
          <w:tcPr>
            <w:tcW w:w="5395" w:type="dxa"/>
            <w:vAlign w:val="center"/>
          </w:tcPr>
          <w:p w:rsidRPr="0014541C" w:rsidR="00382BB4" w:rsidDel="31E38D96" w:rsidP="00B91CAB" w:rsidRDefault="00382BB4" w14:paraId="475FC06F" w14:textId="77777777">
            <w:pPr>
              <w:keepNext/>
              <w:spacing w:line="240" w:lineRule="auto"/>
              <w:ind w:firstLine="0"/>
              <w:rPr>
                <w:b/>
                <w:bCs/>
                <w:color w:val="000000" w:themeColor="text1"/>
                <w:sz w:val="24"/>
                <w:szCs w:val="24"/>
              </w:rPr>
            </w:pPr>
            <w:r w:rsidRPr="0014541C">
              <w:rPr>
                <w:b/>
                <w:bCs/>
                <w:color w:val="000000" w:themeColor="text1"/>
                <w:sz w:val="24"/>
                <w:szCs w:val="24"/>
              </w:rPr>
              <w:t>City of Palmdale</w:t>
            </w:r>
          </w:p>
        </w:tc>
        <w:tc>
          <w:tcPr>
            <w:tcW w:w="3955" w:type="dxa"/>
          </w:tcPr>
          <w:p w:rsidRPr="0014541C" w:rsidR="00382BB4" w:rsidDel="31E38D96" w:rsidP="00B91CAB" w:rsidRDefault="00382BB4" w14:paraId="3F663A24" w14:textId="78BAF83C">
            <w:pPr>
              <w:keepNext/>
              <w:autoSpaceDE w:val="0"/>
              <w:autoSpaceDN w:val="0"/>
              <w:adjustRightInd w:val="0"/>
              <w:spacing w:line="240" w:lineRule="auto"/>
              <w:ind w:firstLine="0"/>
              <w:rPr>
                <w:rFonts w:eastAsiaTheme="minorEastAsia"/>
                <w:color w:val="000000" w:themeColor="text1"/>
                <w:sz w:val="24"/>
                <w:szCs w:val="24"/>
              </w:rPr>
            </w:pPr>
            <w:r w:rsidRPr="0014541C">
              <w:rPr>
                <w:rFonts w:eastAsiaTheme="minorEastAsia"/>
                <w:color w:val="000000" w:themeColor="text1"/>
                <w:sz w:val="24"/>
                <w:szCs w:val="24"/>
              </w:rPr>
              <w:t>Statement that the city “does not yet have any RPS supply under contract”</w:t>
            </w:r>
            <w:r w:rsidRPr="0014541C">
              <w:rPr>
                <w:rStyle w:val="FootnoteReference"/>
                <w:rFonts w:eastAsiaTheme="minorEastAsia"/>
                <w:color w:val="000000" w:themeColor="text1"/>
                <w:sz w:val="24"/>
                <w:szCs w:val="24"/>
              </w:rPr>
              <w:footnoteReference w:id="44"/>
            </w:r>
            <w:r w:rsidRPr="0014541C">
              <w:rPr>
                <w:rFonts w:eastAsiaTheme="minorEastAsia"/>
                <w:color w:val="000000" w:themeColor="text1"/>
                <w:sz w:val="24"/>
                <w:szCs w:val="24"/>
              </w:rPr>
              <w:t xml:space="preserve"> is at odds with </w:t>
            </w:r>
            <w:r w:rsidRPr="0014541C" w:rsidR="00DB45D5">
              <w:rPr>
                <w:rFonts w:eastAsiaTheme="minorEastAsia"/>
                <w:color w:val="000000" w:themeColor="text1"/>
                <w:sz w:val="24"/>
                <w:szCs w:val="24"/>
              </w:rPr>
              <w:t xml:space="preserve">the </w:t>
            </w:r>
            <w:r w:rsidRPr="0014541C">
              <w:rPr>
                <w:rFonts w:eastAsiaTheme="minorEastAsia"/>
                <w:color w:val="000000" w:themeColor="text1"/>
                <w:sz w:val="24"/>
                <w:szCs w:val="24"/>
              </w:rPr>
              <w:t>RNS and cost sheets showing procurement</w:t>
            </w:r>
            <w:r w:rsidRPr="0014541C" w:rsidR="00DB45D5">
              <w:rPr>
                <w:rFonts w:eastAsiaTheme="minorEastAsia"/>
                <w:color w:val="000000" w:themeColor="text1"/>
                <w:sz w:val="24"/>
                <w:szCs w:val="24"/>
              </w:rPr>
              <w:t>.</w:t>
            </w:r>
          </w:p>
        </w:tc>
      </w:tr>
      <w:tr w:rsidRPr="0014541C" w:rsidR="00382BB4" w:rsidTr="000F2D61" w14:paraId="5C499C06" w14:textId="77777777">
        <w:trPr>
          <w:jc w:val="center"/>
        </w:trPr>
        <w:tc>
          <w:tcPr>
            <w:tcW w:w="5395" w:type="dxa"/>
            <w:vAlign w:val="center"/>
          </w:tcPr>
          <w:p w:rsidRPr="0014541C" w:rsidR="00382BB4" w:rsidP="00B91CAB" w:rsidRDefault="00382BB4" w14:paraId="2B6DA0CE" w14:textId="77777777">
            <w:pPr>
              <w:spacing w:line="240" w:lineRule="auto"/>
              <w:ind w:firstLine="0"/>
              <w:rPr>
                <w:b/>
                <w:bCs/>
                <w:color w:val="000000" w:themeColor="text1"/>
                <w:sz w:val="24"/>
                <w:szCs w:val="24"/>
              </w:rPr>
            </w:pPr>
            <w:r w:rsidRPr="0014541C">
              <w:rPr>
                <w:b/>
                <w:color w:val="000000" w:themeColor="text1"/>
                <w:sz w:val="24"/>
                <w:szCs w:val="24"/>
              </w:rPr>
              <w:t>Clean Power Alliance</w:t>
            </w:r>
          </w:p>
        </w:tc>
        <w:tc>
          <w:tcPr>
            <w:tcW w:w="3955" w:type="dxa"/>
          </w:tcPr>
          <w:p w:rsidRPr="0014541C" w:rsidR="00382BB4" w:rsidP="00B91CAB" w:rsidRDefault="00382BB4" w14:paraId="27BEC2F3" w14:textId="4BE620F1">
            <w:pPr>
              <w:autoSpaceDE w:val="0"/>
              <w:autoSpaceDN w:val="0"/>
              <w:adjustRightInd w:val="0"/>
              <w:spacing w:line="240" w:lineRule="auto"/>
              <w:ind w:firstLine="0"/>
              <w:rPr>
                <w:rFonts w:eastAsiaTheme="minorEastAsia"/>
                <w:color w:val="000000" w:themeColor="text1"/>
                <w:sz w:val="24"/>
                <w:szCs w:val="24"/>
              </w:rPr>
            </w:pPr>
            <w:r w:rsidRPr="0014541C">
              <w:rPr>
                <w:rFonts w:eastAsiaTheme="minorEastAsia"/>
                <w:color w:val="000000" w:themeColor="text1"/>
                <w:sz w:val="24"/>
                <w:szCs w:val="24"/>
              </w:rPr>
              <w:t xml:space="preserve">Over procurement does not always clearly </w:t>
            </w:r>
            <w:r w:rsidRPr="0014541C" w:rsidR="00E45738">
              <w:rPr>
                <w:rFonts w:eastAsiaTheme="minorEastAsia"/>
                <w:color w:val="000000" w:themeColor="text1"/>
                <w:sz w:val="24"/>
                <w:szCs w:val="24"/>
              </w:rPr>
              <w:t>distinguish</w:t>
            </w:r>
            <w:r w:rsidRPr="0014541C">
              <w:rPr>
                <w:rFonts w:eastAsiaTheme="minorEastAsia"/>
                <w:color w:val="000000" w:themeColor="text1"/>
                <w:sz w:val="24"/>
                <w:szCs w:val="24"/>
              </w:rPr>
              <w:t xml:space="preserve"> between VMOP and MMOP</w:t>
            </w:r>
            <w:r w:rsidRPr="0014541C" w:rsidR="00E45738">
              <w:rPr>
                <w:rFonts w:eastAsiaTheme="minorEastAsia"/>
                <w:color w:val="000000" w:themeColor="text1"/>
                <w:sz w:val="24"/>
                <w:szCs w:val="24"/>
              </w:rPr>
              <w:t>.</w:t>
            </w:r>
          </w:p>
        </w:tc>
      </w:tr>
      <w:tr w:rsidRPr="0014541C" w:rsidR="00382BB4" w:rsidTr="000F2D61" w14:paraId="7E3CD5ED" w14:textId="77777777">
        <w:trPr>
          <w:jc w:val="center"/>
        </w:trPr>
        <w:tc>
          <w:tcPr>
            <w:tcW w:w="5395" w:type="dxa"/>
            <w:shd w:val="clear" w:color="auto" w:fill="BFBFBF" w:themeFill="background1" w:themeFillShade="BF"/>
            <w:vAlign w:val="center"/>
          </w:tcPr>
          <w:p w:rsidRPr="0014541C" w:rsidR="00382BB4" w:rsidP="00B91CAB" w:rsidRDefault="00382BB4" w14:paraId="0EF3716B" w14:textId="77777777">
            <w:pPr>
              <w:keepNext/>
              <w:spacing w:line="240" w:lineRule="auto"/>
              <w:ind w:firstLine="0"/>
              <w:jc w:val="center"/>
              <w:rPr>
                <w:b/>
                <w:color w:val="000000" w:themeColor="text1"/>
                <w:sz w:val="24"/>
                <w:szCs w:val="24"/>
              </w:rPr>
            </w:pPr>
            <w:r w:rsidRPr="0014541C">
              <w:rPr>
                <w:b/>
                <w:color w:val="000000" w:themeColor="text1"/>
                <w:sz w:val="24"/>
                <w:szCs w:val="24"/>
              </w:rPr>
              <w:t>Retail Seller (ESPs)</w:t>
            </w:r>
          </w:p>
        </w:tc>
        <w:tc>
          <w:tcPr>
            <w:tcW w:w="3955" w:type="dxa"/>
            <w:shd w:val="clear" w:color="auto" w:fill="BFBFBF" w:themeFill="background1" w:themeFillShade="BF"/>
            <w:vAlign w:val="center"/>
          </w:tcPr>
          <w:p w:rsidRPr="0014541C" w:rsidR="00382BB4" w:rsidP="00B91CAB" w:rsidRDefault="00382BB4" w14:paraId="2C52C42E" w14:textId="77777777">
            <w:pPr>
              <w:keepNext/>
              <w:spacing w:line="240" w:lineRule="auto"/>
              <w:ind w:firstLine="0"/>
              <w:jc w:val="center"/>
              <w:rPr>
                <w:color w:val="000000" w:themeColor="text1"/>
                <w:sz w:val="24"/>
                <w:szCs w:val="24"/>
              </w:rPr>
            </w:pPr>
            <w:r w:rsidRPr="0014541C">
              <w:rPr>
                <w:b/>
                <w:color w:val="000000" w:themeColor="text1"/>
                <w:sz w:val="24"/>
                <w:szCs w:val="24"/>
              </w:rPr>
              <w:t>Commission Finding</w:t>
            </w:r>
          </w:p>
        </w:tc>
      </w:tr>
      <w:tr w:rsidRPr="0014541C" w:rsidR="00382BB4" w:rsidTr="000F2D61" w14:paraId="053372FA" w14:textId="77777777">
        <w:trPr>
          <w:trHeight w:val="1292"/>
          <w:jc w:val="center"/>
        </w:trPr>
        <w:tc>
          <w:tcPr>
            <w:tcW w:w="5395" w:type="dxa"/>
            <w:vAlign w:val="center"/>
          </w:tcPr>
          <w:p w:rsidRPr="0014541C" w:rsidR="00382BB4" w:rsidP="00B91CAB" w:rsidRDefault="00382BB4" w14:paraId="7EE7CE4B" w14:textId="77777777">
            <w:pPr>
              <w:keepNext/>
              <w:spacing w:line="240" w:lineRule="auto"/>
              <w:ind w:firstLine="0"/>
              <w:rPr>
                <w:b/>
                <w:color w:val="000000" w:themeColor="text1"/>
                <w:sz w:val="24"/>
                <w:szCs w:val="24"/>
              </w:rPr>
            </w:pPr>
            <w:r w:rsidRPr="0014541C">
              <w:rPr>
                <w:b/>
                <w:color w:val="000000" w:themeColor="text1"/>
                <w:sz w:val="24"/>
                <w:szCs w:val="24"/>
              </w:rPr>
              <w:t>Calpine Energy Solutions</w:t>
            </w:r>
          </w:p>
        </w:tc>
        <w:tc>
          <w:tcPr>
            <w:tcW w:w="3955" w:type="dxa"/>
            <w:vAlign w:val="center"/>
          </w:tcPr>
          <w:p w:rsidRPr="0014541C" w:rsidR="00382BB4" w:rsidP="00B91CAB" w:rsidRDefault="00382BB4" w14:paraId="1DE2145A" w14:textId="77777777">
            <w:pPr>
              <w:keepNext/>
              <w:autoSpaceDE w:val="0"/>
              <w:autoSpaceDN w:val="0"/>
              <w:adjustRightInd w:val="0"/>
              <w:spacing w:line="240" w:lineRule="auto"/>
              <w:ind w:firstLine="0"/>
              <w:rPr>
                <w:rFonts w:eastAsiaTheme="minorEastAsia"/>
                <w:color w:val="000000" w:themeColor="text1"/>
                <w:sz w:val="24"/>
                <w:szCs w:val="24"/>
              </w:rPr>
            </w:pPr>
            <w:r w:rsidRPr="0014541C">
              <w:rPr>
                <w:rFonts w:eastAsiaTheme="minorEastAsia"/>
                <w:color w:val="000000" w:themeColor="text1"/>
                <w:sz w:val="24"/>
                <w:szCs w:val="24"/>
              </w:rPr>
              <w:t>Discussion should reflect RNS inputs and clearly distinguish between established statutory MMoP and VMoP.</w:t>
            </w:r>
          </w:p>
        </w:tc>
      </w:tr>
      <w:tr w:rsidRPr="0014541C" w:rsidR="00382BB4" w:rsidTr="000F2D61" w14:paraId="3E6FDD37" w14:textId="77777777">
        <w:trPr>
          <w:jc w:val="center"/>
        </w:trPr>
        <w:tc>
          <w:tcPr>
            <w:tcW w:w="5395" w:type="dxa"/>
            <w:vAlign w:val="center"/>
          </w:tcPr>
          <w:p w:rsidRPr="0014541C" w:rsidR="00382BB4" w:rsidP="00B91CAB" w:rsidRDefault="00382BB4" w14:paraId="21CE8FBA" w14:textId="77777777">
            <w:pPr>
              <w:keepNext/>
              <w:spacing w:line="240" w:lineRule="auto"/>
              <w:ind w:firstLine="0"/>
              <w:rPr>
                <w:b/>
                <w:color w:val="000000" w:themeColor="text1"/>
                <w:sz w:val="24"/>
                <w:szCs w:val="24"/>
              </w:rPr>
            </w:pPr>
            <w:r w:rsidRPr="0014541C">
              <w:rPr>
                <w:b/>
                <w:color w:val="000000" w:themeColor="text1"/>
                <w:sz w:val="24"/>
                <w:szCs w:val="24"/>
              </w:rPr>
              <w:t>Calpine PowerAmerica</w:t>
            </w:r>
          </w:p>
        </w:tc>
        <w:tc>
          <w:tcPr>
            <w:tcW w:w="3955" w:type="dxa"/>
          </w:tcPr>
          <w:p w:rsidRPr="0014541C" w:rsidR="00382BB4" w:rsidP="00B91CAB" w:rsidRDefault="00382BB4" w14:paraId="0C6CA12C" w14:textId="1D79B1A9">
            <w:pPr>
              <w:keepNext/>
              <w:autoSpaceDE w:val="0"/>
              <w:autoSpaceDN w:val="0"/>
              <w:adjustRightInd w:val="0"/>
              <w:spacing w:line="240" w:lineRule="auto"/>
              <w:ind w:firstLine="0"/>
              <w:rPr>
                <w:rFonts w:eastAsiaTheme="minorEastAsia"/>
                <w:color w:val="000000" w:themeColor="text1"/>
                <w:sz w:val="24"/>
                <w:szCs w:val="24"/>
              </w:rPr>
            </w:pPr>
            <w:r w:rsidRPr="0014541C">
              <w:rPr>
                <w:rFonts w:eastAsiaTheme="minorEastAsia"/>
                <w:color w:val="000000" w:themeColor="text1"/>
                <w:sz w:val="24"/>
                <w:szCs w:val="24"/>
              </w:rPr>
              <w:t xml:space="preserve">MMoP methodology </w:t>
            </w:r>
            <w:r w:rsidRPr="0014541C" w:rsidR="00E45738">
              <w:rPr>
                <w:rFonts w:eastAsiaTheme="minorEastAsia"/>
                <w:color w:val="000000" w:themeColor="text1"/>
                <w:sz w:val="24"/>
                <w:szCs w:val="24"/>
              </w:rPr>
              <w:t xml:space="preserve">should be described </w:t>
            </w:r>
            <w:r w:rsidRPr="0014541C">
              <w:rPr>
                <w:rFonts w:eastAsiaTheme="minorEastAsia"/>
                <w:color w:val="000000" w:themeColor="text1"/>
                <w:sz w:val="24"/>
                <w:szCs w:val="24"/>
              </w:rPr>
              <w:t>to support the proposed quantified MMoP in risk-adjusted portfolio, and format section using the subsections required by the ACR.</w:t>
            </w:r>
          </w:p>
        </w:tc>
      </w:tr>
      <w:tr w:rsidRPr="0014541C" w:rsidR="00382BB4" w:rsidTr="000F2D61" w14:paraId="35CD1E12" w14:textId="77777777">
        <w:trPr>
          <w:jc w:val="center"/>
        </w:trPr>
        <w:tc>
          <w:tcPr>
            <w:tcW w:w="5395" w:type="dxa"/>
            <w:vAlign w:val="center"/>
          </w:tcPr>
          <w:p w:rsidRPr="0014541C" w:rsidR="00382BB4" w:rsidP="00B91CAB" w:rsidRDefault="00382BB4" w14:paraId="11C7ABA5" w14:textId="77777777">
            <w:pPr>
              <w:keepNext/>
              <w:spacing w:line="240" w:lineRule="auto"/>
              <w:ind w:firstLine="0"/>
              <w:rPr>
                <w:b/>
                <w:color w:val="000000" w:themeColor="text1"/>
                <w:sz w:val="24"/>
                <w:szCs w:val="24"/>
              </w:rPr>
            </w:pPr>
            <w:r w:rsidRPr="0014541C">
              <w:rPr>
                <w:b/>
                <w:color w:val="000000" w:themeColor="text1"/>
                <w:sz w:val="24"/>
                <w:szCs w:val="24"/>
              </w:rPr>
              <w:t>3 Phases Renewables</w:t>
            </w:r>
          </w:p>
          <w:p w:rsidRPr="0014541C" w:rsidR="00A02D6F" w:rsidP="00B91CAB" w:rsidRDefault="00A02D6F" w14:paraId="648664B7" w14:textId="17DB8A54">
            <w:pPr>
              <w:keepNext/>
              <w:spacing w:line="240" w:lineRule="auto"/>
              <w:ind w:firstLine="0"/>
              <w:rPr>
                <w:b/>
                <w:color w:val="000000" w:themeColor="text1"/>
                <w:sz w:val="24"/>
                <w:szCs w:val="24"/>
              </w:rPr>
            </w:pPr>
            <w:r w:rsidRPr="0014541C">
              <w:rPr>
                <w:b/>
                <w:color w:val="000000" w:themeColor="text1"/>
                <w:sz w:val="24"/>
                <w:szCs w:val="24"/>
              </w:rPr>
              <w:t>EDF Industrial Power Services</w:t>
            </w:r>
          </w:p>
        </w:tc>
        <w:tc>
          <w:tcPr>
            <w:tcW w:w="3955" w:type="dxa"/>
          </w:tcPr>
          <w:p w:rsidRPr="0014541C" w:rsidR="00382BB4" w:rsidP="00B91CAB" w:rsidRDefault="00382BB4" w14:paraId="12D2A33D" w14:textId="60A160E8">
            <w:pPr>
              <w:keepNext/>
              <w:autoSpaceDE w:val="0"/>
              <w:autoSpaceDN w:val="0"/>
              <w:adjustRightInd w:val="0"/>
              <w:spacing w:line="240" w:lineRule="auto"/>
              <w:ind w:firstLine="0"/>
              <w:rPr>
                <w:rFonts w:eastAsiaTheme="minorEastAsia"/>
                <w:color w:val="000000" w:themeColor="text1"/>
                <w:sz w:val="24"/>
                <w:szCs w:val="24"/>
              </w:rPr>
            </w:pPr>
            <w:r w:rsidRPr="0014541C">
              <w:rPr>
                <w:rFonts w:eastAsiaTheme="minorEastAsia"/>
                <w:color w:val="000000" w:themeColor="text1"/>
                <w:sz w:val="24"/>
                <w:szCs w:val="24"/>
              </w:rPr>
              <w:t>Discussion should be updated to reflect that it has a contract for a project that is under development</w:t>
            </w:r>
            <w:r w:rsidRPr="0014541C" w:rsidR="00E45738">
              <w:rPr>
                <w:rFonts w:eastAsiaTheme="minorEastAsia"/>
                <w:color w:val="000000" w:themeColor="text1"/>
                <w:sz w:val="24"/>
                <w:szCs w:val="24"/>
              </w:rPr>
              <w:t>.</w:t>
            </w:r>
          </w:p>
        </w:tc>
      </w:tr>
      <w:tr w:rsidRPr="0014541C" w:rsidR="00382BB4" w:rsidTr="000F2D61" w14:paraId="122265DB" w14:textId="77777777">
        <w:trPr>
          <w:jc w:val="center"/>
        </w:trPr>
        <w:tc>
          <w:tcPr>
            <w:tcW w:w="5395" w:type="dxa"/>
            <w:vAlign w:val="center"/>
          </w:tcPr>
          <w:p w:rsidRPr="0014541C" w:rsidR="00382BB4" w:rsidP="00B91CAB" w:rsidRDefault="00382BB4" w14:paraId="50EE24C9" w14:textId="77777777">
            <w:pPr>
              <w:spacing w:line="240" w:lineRule="auto"/>
              <w:ind w:firstLine="0"/>
              <w:rPr>
                <w:b/>
                <w:color w:val="000000" w:themeColor="text1"/>
                <w:sz w:val="24"/>
                <w:szCs w:val="24"/>
              </w:rPr>
            </w:pPr>
            <w:r w:rsidRPr="0014541C">
              <w:rPr>
                <w:b/>
                <w:color w:val="000000" w:themeColor="text1"/>
                <w:sz w:val="24"/>
                <w:szCs w:val="24"/>
              </w:rPr>
              <w:t>Brookfield Renewable Energy US</w:t>
            </w:r>
          </w:p>
        </w:tc>
        <w:tc>
          <w:tcPr>
            <w:tcW w:w="3955" w:type="dxa"/>
          </w:tcPr>
          <w:p w:rsidRPr="0014541C" w:rsidR="00382BB4" w:rsidP="00B91CAB" w:rsidRDefault="00382BB4" w14:paraId="5B060CB5" w14:textId="07D0B9C2">
            <w:pPr>
              <w:autoSpaceDE w:val="0"/>
              <w:autoSpaceDN w:val="0"/>
              <w:adjustRightInd w:val="0"/>
              <w:spacing w:line="240" w:lineRule="auto"/>
              <w:ind w:firstLine="0"/>
              <w:rPr>
                <w:rFonts w:cs="TimesNewRomanPSMT"/>
                <w:sz w:val="24"/>
                <w:szCs w:val="24"/>
              </w:rPr>
            </w:pPr>
            <w:r w:rsidRPr="0014541C">
              <w:rPr>
                <w:rFonts w:eastAsiaTheme="minorEastAsia"/>
                <w:color w:val="000000" w:themeColor="text1"/>
                <w:sz w:val="24"/>
                <w:szCs w:val="24"/>
              </w:rPr>
              <w:t xml:space="preserve">Discussion should be updated to better explain or change its assumption about why a new LSE should use a </w:t>
            </w:r>
            <w:r w:rsidRPr="0014541C">
              <w:rPr>
                <w:rFonts w:cs="TimesNewRomanPSMT"/>
                <w:sz w:val="24"/>
                <w:szCs w:val="24"/>
              </w:rPr>
              <w:t>forecast failure rate for facilities in development (</w:t>
            </w:r>
            <w:r w:rsidRPr="0014541C" w:rsidR="00B86B84">
              <w:rPr>
                <w:rFonts w:cs="TimesNewRomanPSMT"/>
                <w:sz w:val="24"/>
                <w:szCs w:val="24"/>
              </w:rPr>
              <w:t>FRFID</w:t>
            </w:r>
            <w:r w:rsidRPr="0014541C">
              <w:rPr>
                <w:rFonts w:cs="TimesNewRomanPSMT"/>
                <w:sz w:val="24"/>
                <w:szCs w:val="24"/>
              </w:rPr>
              <w:t>)</w:t>
            </w:r>
            <w:r w:rsidRPr="0014541C">
              <w:rPr>
                <w:rFonts w:eastAsiaTheme="minorEastAsia"/>
                <w:color w:val="000000" w:themeColor="text1"/>
                <w:sz w:val="24"/>
                <w:szCs w:val="24"/>
              </w:rPr>
              <w:t xml:space="preserve"> close to zero percent whereas experienced LSEs utilize higher FRFIDs.</w:t>
            </w:r>
          </w:p>
        </w:tc>
      </w:tr>
    </w:tbl>
    <w:p w:rsidR="00500998" w:rsidP="00B91CAB" w:rsidRDefault="000F2B1E" w14:paraId="45BF221D" w14:textId="5E43FA55">
      <w:pPr>
        <w:pStyle w:val="Heading3"/>
        <w:numPr>
          <w:ilvl w:val="2"/>
          <w:numId w:val="2"/>
        </w:numPr>
        <w:spacing w:before="240"/>
      </w:pPr>
      <w:bookmarkStart w:name="_Toc122180483" w:id="100"/>
      <w:r>
        <w:t>Safety Considerations</w:t>
      </w:r>
      <w:bookmarkEnd w:id="100"/>
    </w:p>
    <w:p w:rsidRPr="000F2B1E" w:rsidR="000F2B1E" w:rsidP="000F2B1E" w:rsidRDefault="000F2B1E" w14:paraId="241AD84D" w14:textId="3282515E">
      <w:pPr>
        <w:pStyle w:val="Standard"/>
      </w:pPr>
      <w:r w:rsidRPr="000F2B1E">
        <w:t>The 2022 ACR directed the retail sellers to describe how they incorporate safety considerations into their RPS planning and procurement decisions.  The 2022</w:t>
      </w:r>
      <w:r w:rsidR="00C56292">
        <w:t> </w:t>
      </w:r>
      <w:r w:rsidRPr="000F2B1E">
        <w:t>ACR provided relevant safety issues to address, including future land use impacts due to climate change (</w:t>
      </w:r>
      <w:r w:rsidRPr="000F2B1E">
        <w:rPr>
          <w:i/>
          <w:iCs/>
        </w:rPr>
        <w:t>e.g</w:t>
      </w:r>
      <w:r w:rsidRPr="000F2B1E">
        <w:t>., sea level rise), Public Safety Power Shut-off (PSPS) events, wildfire risk mitigation, or a combination of these approaches to overall system and public safety.</w:t>
      </w:r>
      <w:r w:rsidRPr="000F2B1E">
        <w:rPr>
          <w:vertAlign w:val="superscript"/>
        </w:rPr>
        <w:footnoteReference w:id="45"/>
      </w:r>
      <w:r w:rsidRPr="000F2B1E">
        <w:t> </w:t>
      </w:r>
    </w:p>
    <w:p w:rsidRPr="000F2B1E" w:rsidR="000F2B1E" w:rsidP="000F2B1E" w:rsidRDefault="000F2B1E" w14:paraId="34E8CF86" w14:textId="610FC19E">
      <w:pPr>
        <w:pStyle w:val="Standard"/>
      </w:pPr>
      <w:bookmarkStart w:name="_Hlk117492900" w:id="101"/>
      <w:r w:rsidRPr="000F2B1E">
        <w:t xml:space="preserve">In their </w:t>
      </w:r>
      <w:r w:rsidR="00DB5458">
        <w:t>D</w:t>
      </w:r>
      <w:r w:rsidRPr="000F2B1E">
        <w:t>raft 2022 RPS Plans, retail sellers provided information describing their efforts at addressing safety considerations, while the remaining retail sellers acknowledged these considerations and stated that they would evaluate the risks in their future actions, whether through procurement, siting, decommissioning, etc</w:t>
      </w:r>
      <w:bookmarkEnd w:id="101"/>
      <w:r w:rsidRPr="000F2B1E">
        <w:t xml:space="preserve">.  In all cases, </w:t>
      </w:r>
      <w:bookmarkStart w:name="_Hlk117492931" w:id="102"/>
      <w:r w:rsidRPr="000F2B1E">
        <w:t>the retail sellers fulfilled the obligations</w:t>
      </w:r>
      <w:r w:rsidR="003A67E1">
        <w:t xml:space="preserve"> </w:t>
      </w:r>
      <w:r w:rsidRPr="000F2B1E">
        <w:t>to consider and provide their approach to safety in the RPS program</w:t>
      </w:r>
      <w:bookmarkEnd w:id="102"/>
      <w:r w:rsidR="003A67E1">
        <w:t>, as directed by the 2022 ACR</w:t>
      </w:r>
      <w:r w:rsidRPr="000F2B1E">
        <w:t>.  </w:t>
      </w:r>
    </w:p>
    <w:p w:rsidR="000F2B1E" w:rsidP="000F2B1E" w:rsidRDefault="000F2B1E" w14:paraId="70E78A35" w14:textId="7036E906">
      <w:pPr>
        <w:pStyle w:val="Heading3"/>
        <w:numPr>
          <w:ilvl w:val="2"/>
          <w:numId w:val="2"/>
        </w:numPr>
      </w:pPr>
      <w:bookmarkStart w:name="_Toc122180484" w:id="103"/>
      <w:r>
        <w:t>Curtailment Frequency,</w:t>
      </w:r>
      <w:r w:rsidR="000F2D61">
        <w:br/>
      </w:r>
      <w:r>
        <w:t>Forecasting, Costs</w:t>
      </w:r>
      <w:bookmarkEnd w:id="103"/>
    </w:p>
    <w:p w:rsidRPr="00F02A03" w:rsidR="000F2B1E" w:rsidP="000F2B1E" w:rsidRDefault="000F2B1E" w14:paraId="7A4C1381" w14:textId="481319F8">
      <w:pPr>
        <w:rPr>
          <w:rFonts w:eastAsia="Times New Roman" w:cs="Times New Roman"/>
          <w:color w:val="000000"/>
          <w:szCs w:val="26"/>
        </w:rPr>
      </w:pPr>
      <w:r w:rsidRPr="65B700B1">
        <w:rPr>
          <w:rFonts w:eastAsia="Times New Roman" w:cs="Times New Roman"/>
          <w:color w:val="000000"/>
        </w:rPr>
        <w:t>The 202</w:t>
      </w:r>
      <w:r>
        <w:rPr>
          <w:rFonts w:eastAsia="Times New Roman" w:cs="Times New Roman"/>
          <w:color w:val="000000"/>
        </w:rPr>
        <w:t>2</w:t>
      </w:r>
      <w:r w:rsidRPr="65B700B1">
        <w:rPr>
          <w:rFonts w:eastAsia="Times New Roman" w:cs="Times New Roman"/>
          <w:color w:val="000000"/>
        </w:rPr>
        <w:t xml:space="preserve"> ACR directed retail sellers to discuss curtailment in RPS Plans, including possible incidences of overgeneration impacting retail sellers’ portfolios.</w:t>
      </w:r>
      <w:r w:rsidRPr="65B700B1">
        <w:rPr>
          <w:rFonts w:eastAsia="Times New Roman" w:cs="Times New Roman"/>
          <w:color w:val="000000"/>
          <w:vertAlign w:val="superscript"/>
        </w:rPr>
        <w:footnoteReference w:id="46"/>
      </w:r>
      <w:r w:rsidRPr="65B700B1">
        <w:rPr>
          <w:rFonts w:eastAsia="Times New Roman" w:cs="Times New Roman"/>
          <w:color w:val="000000"/>
        </w:rPr>
        <w:t xml:space="preserve">  As a growing number of retail sellers begin serving load, we need to understand their unique experiences related to economic curtailment.  Renewables continue to account for a greater percentage of load on the system, highlighting the need for retail sellers to demonstrate how their procurement planning addresses instances of overgeneration.  In D.14-11-042, the Commission approved curtailment terms for the IOUs’ pro forma contracts and required additional information about curtailment in their procurement planning to be included in annual RPS Plans and regular reporting to Procurement Review Groups.  Other retail sellers, however, are not required to seek Commission approval for standard contract terms, including curtailment provisions, highlighting the importance of complete and in-depth assessments of curtailment, forecasting, and costs in retail sellers’ RPS Plans.</w:t>
      </w:r>
    </w:p>
    <w:p w:rsidRPr="00F02A03" w:rsidR="000F2B1E" w:rsidP="000F2B1E" w:rsidRDefault="000F2B1E" w14:paraId="53954701" w14:textId="0D7B539B">
      <w:pPr>
        <w:rPr>
          <w:rFonts w:eastAsia="Times New Roman" w:cs="Times New Roman"/>
          <w:color w:val="000000"/>
          <w:szCs w:val="26"/>
        </w:rPr>
      </w:pPr>
      <w:r>
        <w:rPr>
          <w:rFonts w:eastAsia="Times New Roman" w:cs="Times New Roman"/>
          <w:color w:val="000000"/>
          <w:szCs w:val="26"/>
        </w:rPr>
        <w:t>The Commission</w:t>
      </w:r>
      <w:r w:rsidRPr="00F02A03">
        <w:rPr>
          <w:rFonts w:eastAsia="Times New Roman" w:cs="Times New Roman"/>
          <w:color w:val="000000"/>
          <w:szCs w:val="26"/>
        </w:rPr>
        <w:t xml:space="preserve"> find</w:t>
      </w:r>
      <w:r w:rsidR="00B86B84">
        <w:rPr>
          <w:rFonts w:eastAsia="Times New Roman" w:cs="Times New Roman"/>
          <w:color w:val="000000"/>
          <w:szCs w:val="26"/>
        </w:rPr>
        <w:t>s</w:t>
      </w:r>
      <w:r w:rsidRPr="00F02A03">
        <w:rPr>
          <w:rFonts w:eastAsia="Times New Roman" w:cs="Times New Roman"/>
          <w:color w:val="000000"/>
          <w:szCs w:val="26"/>
        </w:rPr>
        <w:t xml:space="preserve"> RPS Plans submitted with no or limited curtailment assessment to be deficient and non-compliant with the 202</w:t>
      </w:r>
      <w:r>
        <w:rPr>
          <w:rFonts w:eastAsia="Times New Roman" w:cs="Times New Roman"/>
          <w:color w:val="000000"/>
          <w:szCs w:val="26"/>
        </w:rPr>
        <w:t>2</w:t>
      </w:r>
      <w:r w:rsidRPr="00F02A03">
        <w:rPr>
          <w:rFonts w:eastAsia="Times New Roman" w:cs="Times New Roman"/>
          <w:color w:val="000000"/>
          <w:szCs w:val="26"/>
        </w:rPr>
        <w:t xml:space="preserve"> ACR. </w:t>
      </w:r>
      <w:r>
        <w:rPr>
          <w:rFonts w:eastAsia="Times New Roman" w:cs="Times New Roman"/>
          <w:color w:val="000000"/>
          <w:szCs w:val="26"/>
        </w:rPr>
        <w:t xml:space="preserve"> </w:t>
      </w:r>
      <w:r w:rsidRPr="00F02A03">
        <w:rPr>
          <w:rFonts w:eastAsia="Times New Roman" w:cs="Times New Roman"/>
          <w:color w:val="000000"/>
          <w:szCs w:val="26"/>
        </w:rPr>
        <w:t xml:space="preserve">We require </w:t>
      </w:r>
      <w:bookmarkStart w:name="_Hlk117492978" w:id="104"/>
      <w:r w:rsidRPr="00F02A03">
        <w:rPr>
          <w:rFonts w:eastAsia="Times New Roman" w:cs="Times New Roman"/>
          <w:color w:val="000000"/>
          <w:szCs w:val="26"/>
        </w:rPr>
        <w:t>the CCAs and ESPs, identified later in this section, to provide an expanded curtailment analysis that meets the criteria set forth in the 202</w:t>
      </w:r>
      <w:r>
        <w:rPr>
          <w:rFonts w:eastAsia="Times New Roman" w:cs="Times New Roman"/>
          <w:color w:val="000000"/>
          <w:szCs w:val="26"/>
        </w:rPr>
        <w:t>2</w:t>
      </w:r>
      <w:r w:rsidRPr="00F02A03">
        <w:rPr>
          <w:rFonts w:eastAsia="Times New Roman" w:cs="Times New Roman"/>
          <w:color w:val="000000"/>
          <w:szCs w:val="26"/>
        </w:rPr>
        <w:t xml:space="preserve"> ACR for Final 202</w:t>
      </w:r>
      <w:r>
        <w:rPr>
          <w:rFonts w:eastAsia="Times New Roman" w:cs="Times New Roman"/>
          <w:color w:val="000000"/>
          <w:szCs w:val="26"/>
        </w:rPr>
        <w:t>2</w:t>
      </w:r>
      <w:r w:rsidRPr="00F02A03">
        <w:rPr>
          <w:rFonts w:eastAsia="Times New Roman" w:cs="Times New Roman"/>
          <w:color w:val="000000"/>
          <w:szCs w:val="26"/>
        </w:rPr>
        <w:t xml:space="preserve"> RPS Plan submissions</w:t>
      </w:r>
      <w:bookmarkEnd w:id="104"/>
      <w:r w:rsidRPr="00F02A03">
        <w:rPr>
          <w:rFonts w:eastAsia="Times New Roman" w:cs="Times New Roman"/>
          <w:color w:val="000000"/>
          <w:szCs w:val="26"/>
        </w:rPr>
        <w:t>.</w:t>
      </w:r>
      <w:r>
        <w:rPr>
          <w:rFonts w:eastAsia="Times New Roman" w:cs="Times New Roman"/>
          <w:color w:val="000000"/>
          <w:szCs w:val="26"/>
        </w:rPr>
        <w:t xml:space="preserve"> </w:t>
      </w:r>
      <w:r w:rsidRPr="00F02A03">
        <w:rPr>
          <w:rFonts w:eastAsia="Times New Roman" w:cs="Times New Roman"/>
          <w:color w:val="000000"/>
          <w:szCs w:val="26"/>
        </w:rPr>
        <w:t xml:space="preserve"> </w:t>
      </w:r>
      <w:r>
        <w:rPr>
          <w:rFonts w:eastAsia="Times New Roman" w:cs="Times New Roman"/>
          <w:color w:val="000000"/>
          <w:szCs w:val="26"/>
        </w:rPr>
        <w:t xml:space="preserve">Section 6.13 of </w:t>
      </w:r>
      <w:r w:rsidRPr="00A23930">
        <w:rPr>
          <w:rFonts w:eastAsia="Times New Roman" w:cs="Times New Roman"/>
          <w:color w:val="000000"/>
          <w:szCs w:val="26"/>
        </w:rPr>
        <w:t>the 2022 ACR required</w:t>
      </w:r>
      <w:r w:rsidRPr="00F02A03">
        <w:rPr>
          <w:rFonts w:eastAsia="Times New Roman" w:cs="Times New Roman"/>
          <w:color w:val="000000"/>
          <w:szCs w:val="26"/>
        </w:rPr>
        <w:t xml:space="preserve"> the retail sellers to specifically address the following issues:</w:t>
      </w:r>
    </w:p>
    <w:p w:rsidRPr="00F02A03" w:rsidR="000F2B1E" w:rsidP="000F2D61" w:rsidRDefault="000F2B1E" w14:paraId="20D1D70B" w14:textId="77777777">
      <w:pPr>
        <w:numPr>
          <w:ilvl w:val="0"/>
          <w:numId w:val="19"/>
        </w:numPr>
        <w:spacing w:after="120" w:line="240" w:lineRule="auto"/>
        <w:ind w:left="1080" w:right="1440"/>
        <w:rPr>
          <w:rFonts w:eastAsia="Times New Roman" w:cs="Times New Roman"/>
          <w:color w:val="000000"/>
          <w:szCs w:val="26"/>
        </w:rPr>
      </w:pPr>
      <w:r w:rsidRPr="00F02A03">
        <w:rPr>
          <w:rFonts w:eastAsia="Times New Roman" w:cs="Times New Roman"/>
          <w:color w:val="000000"/>
          <w:szCs w:val="26"/>
        </w:rPr>
        <w:t>Factors having the most impact on the projected increases in incidences of overgeneration and negative market price hours;</w:t>
      </w:r>
    </w:p>
    <w:p w:rsidRPr="00F02A03" w:rsidR="000F2B1E" w:rsidRDefault="000F2B1E" w14:paraId="2D338721" w14:textId="77777777">
      <w:pPr>
        <w:numPr>
          <w:ilvl w:val="0"/>
          <w:numId w:val="19"/>
        </w:numPr>
        <w:spacing w:after="120" w:line="240" w:lineRule="auto"/>
        <w:ind w:left="1080" w:right="1440"/>
        <w:rPr>
          <w:rFonts w:eastAsia="Times New Roman" w:cs="Times New Roman"/>
          <w:color w:val="000000"/>
          <w:szCs w:val="26"/>
        </w:rPr>
      </w:pPr>
      <w:r w:rsidRPr="00F02A03">
        <w:rPr>
          <w:rFonts w:eastAsia="Times New Roman" w:cs="Times New Roman"/>
          <w:color w:val="000000"/>
          <w:szCs w:val="26"/>
        </w:rPr>
        <w:t>Written description of quantitative analysis of forecast of the number of hours per year of negative market pricing for the next 10 years;</w:t>
      </w:r>
    </w:p>
    <w:p w:rsidRPr="00F02A03" w:rsidR="000F2B1E" w:rsidRDefault="000F2B1E" w14:paraId="2CD3D76E" w14:textId="77777777">
      <w:pPr>
        <w:numPr>
          <w:ilvl w:val="0"/>
          <w:numId w:val="19"/>
        </w:numPr>
        <w:spacing w:after="120" w:line="240" w:lineRule="auto"/>
        <w:ind w:left="1080" w:right="1440"/>
        <w:rPr>
          <w:rFonts w:eastAsia="Times New Roman" w:cs="Times New Roman"/>
          <w:color w:val="000000"/>
          <w:szCs w:val="26"/>
        </w:rPr>
      </w:pPr>
      <w:r w:rsidRPr="00F02A03">
        <w:rPr>
          <w:rFonts w:eastAsia="Times New Roman" w:cs="Times New Roman"/>
          <w:color w:val="000000"/>
          <w:szCs w:val="26"/>
        </w:rPr>
        <w:t>Experience, to date, with managing exposure to negative market prices and or lessons learned from other retail sellers in California;</w:t>
      </w:r>
    </w:p>
    <w:p w:rsidRPr="00F02A03" w:rsidR="000F2B1E" w:rsidRDefault="000F2B1E" w14:paraId="55FC53A7" w14:textId="77777777">
      <w:pPr>
        <w:numPr>
          <w:ilvl w:val="0"/>
          <w:numId w:val="19"/>
        </w:numPr>
        <w:spacing w:after="120" w:line="240" w:lineRule="auto"/>
        <w:ind w:left="1080" w:right="1440"/>
        <w:rPr>
          <w:rFonts w:eastAsia="Times New Roman" w:cs="Times New Roman"/>
          <w:color w:val="000000"/>
          <w:szCs w:val="26"/>
        </w:rPr>
      </w:pPr>
      <w:r w:rsidRPr="00F02A03">
        <w:rPr>
          <w:rFonts w:eastAsia="Times New Roman" w:cs="Times New Roman"/>
          <w:color w:val="000000"/>
          <w:szCs w:val="26"/>
        </w:rPr>
        <w:t>Direct costs incurred, to date, for incidences of overgeneration and associated negative market prices;</w:t>
      </w:r>
    </w:p>
    <w:p w:rsidR="000F2B1E" w:rsidRDefault="000F2B1E" w14:paraId="4C220C74" w14:textId="22A95F0A">
      <w:pPr>
        <w:numPr>
          <w:ilvl w:val="0"/>
          <w:numId w:val="19"/>
        </w:numPr>
        <w:spacing w:after="120" w:line="240" w:lineRule="auto"/>
        <w:ind w:left="1080" w:right="1440"/>
        <w:rPr>
          <w:rFonts w:eastAsia="Times New Roman" w:cs="Times New Roman"/>
          <w:color w:val="000000"/>
          <w:szCs w:val="26"/>
        </w:rPr>
      </w:pPr>
      <w:r w:rsidRPr="00F02A03">
        <w:rPr>
          <w:rFonts w:eastAsia="Times New Roman" w:cs="Times New Roman"/>
          <w:color w:val="000000"/>
          <w:szCs w:val="26"/>
        </w:rPr>
        <w:t>An overall strategy for managing the overall cost impact of increasing incidences of overgeneration and negative market prices</w:t>
      </w:r>
      <w:r w:rsidR="000F2D61">
        <w:rPr>
          <w:rFonts w:eastAsia="Times New Roman" w:cs="Times New Roman"/>
          <w:color w:val="000000"/>
          <w:szCs w:val="26"/>
        </w:rPr>
        <w:t>; and</w:t>
      </w:r>
    </w:p>
    <w:p w:rsidRPr="00F02A03" w:rsidR="000F2B1E" w:rsidRDefault="000F2B1E" w14:paraId="51448F5D" w14:textId="77777777">
      <w:pPr>
        <w:numPr>
          <w:ilvl w:val="0"/>
          <w:numId w:val="19"/>
        </w:numPr>
        <w:spacing w:after="120" w:line="240" w:lineRule="auto"/>
        <w:ind w:left="1080" w:right="1440"/>
        <w:rPr>
          <w:rFonts w:eastAsia="Times New Roman" w:cs="Times New Roman"/>
          <w:color w:val="000000"/>
        </w:rPr>
      </w:pPr>
      <w:r>
        <w:t xml:space="preserve">Contract </w:t>
      </w:r>
      <w:r w:rsidRPr="000F2D61">
        <w:rPr>
          <w:rFonts w:eastAsia="Times New Roman" w:cs="Times New Roman"/>
          <w:color w:val="000000"/>
          <w:szCs w:val="26"/>
        </w:rPr>
        <w:t>terms</w:t>
      </w:r>
      <w:r>
        <w:t xml:space="preserve"> included in RPS contracts intended to reduce the likelihood of curtailment or protect against negative prices.</w:t>
      </w:r>
    </w:p>
    <w:p w:rsidRPr="00F02A03" w:rsidR="000F2B1E" w:rsidP="000F2B1E" w:rsidRDefault="000F2B1E" w14:paraId="4E3CB8BA" w14:textId="77777777">
      <w:pPr>
        <w:rPr>
          <w:rFonts w:eastAsia="Times New Roman" w:cs="Times New Roman"/>
          <w:color w:val="000000"/>
          <w:szCs w:val="26"/>
        </w:rPr>
      </w:pPr>
      <w:r w:rsidRPr="00F02A03">
        <w:rPr>
          <w:rFonts w:eastAsia="Times New Roman" w:cs="Times New Roman"/>
          <w:color w:val="000000"/>
          <w:szCs w:val="26"/>
        </w:rPr>
        <w:t>In Final 202</w:t>
      </w:r>
      <w:r>
        <w:rPr>
          <w:rFonts w:eastAsia="Times New Roman" w:cs="Times New Roman"/>
          <w:color w:val="000000"/>
          <w:szCs w:val="26"/>
        </w:rPr>
        <w:t>2</w:t>
      </w:r>
      <w:r w:rsidRPr="00F02A03">
        <w:rPr>
          <w:rFonts w:eastAsia="Times New Roman" w:cs="Times New Roman"/>
          <w:color w:val="000000"/>
          <w:szCs w:val="26"/>
        </w:rPr>
        <w:t xml:space="preserve"> RPS Plans, retail sellers are required to provide the specific information sought in the 202</w:t>
      </w:r>
      <w:r>
        <w:rPr>
          <w:rFonts w:eastAsia="Times New Roman" w:cs="Times New Roman"/>
          <w:color w:val="000000"/>
          <w:szCs w:val="26"/>
        </w:rPr>
        <w:t>2</w:t>
      </w:r>
      <w:r w:rsidRPr="00F02A03">
        <w:rPr>
          <w:rFonts w:eastAsia="Times New Roman" w:cs="Times New Roman"/>
          <w:color w:val="000000"/>
          <w:szCs w:val="26"/>
        </w:rPr>
        <w:t xml:space="preserve"> ACR, including the five challenges explicitly presented to them.</w:t>
      </w:r>
      <w:r>
        <w:rPr>
          <w:rFonts w:eastAsia="Times New Roman" w:cs="Times New Roman"/>
          <w:color w:val="000000"/>
          <w:szCs w:val="26"/>
        </w:rPr>
        <w:t xml:space="preserve"> </w:t>
      </w:r>
      <w:r w:rsidRPr="00F02A03">
        <w:rPr>
          <w:rFonts w:eastAsia="Times New Roman" w:cs="Times New Roman"/>
          <w:color w:val="000000"/>
          <w:szCs w:val="26"/>
        </w:rPr>
        <w:t xml:space="preserve"> It is not sufficient for retail sellers without generation facilities to shift their obligation to consider the impacts of curtailment to third</w:t>
      </w:r>
      <w:r>
        <w:rPr>
          <w:rFonts w:eastAsia="Times New Roman" w:cs="Times New Roman"/>
          <w:color w:val="000000"/>
          <w:szCs w:val="26"/>
        </w:rPr>
        <w:noBreakHyphen/>
      </w:r>
      <w:r w:rsidRPr="00F02A03">
        <w:rPr>
          <w:rFonts w:eastAsia="Times New Roman" w:cs="Times New Roman"/>
          <w:color w:val="000000"/>
          <w:szCs w:val="26"/>
        </w:rPr>
        <w:t xml:space="preserve">party generators. </w:t>
      </w:r>
      <w:r>
        <w:rPr>
          <w:rFonts w:eastAsia="Times New Roman" w:cs="Times New Roman"/>
          <w:color w:val="000000"/>
          <w:szCs w:val="26"/>
        </w:rPr>
        <w:t xml:space="preserve"> </w:t>
      </w:r>
      <w:r w:rsidRPr="00F02A03">
        <w:rPr>
          <w:rFonts w:eastAsia="Times New Roman" w:cs="Times New Roman"/>
          <w:color w:val="000000"/>
          <w:szCs w:val="26"/>
        </w:rPr>
        <w:t xml:space="preserve">All retail sellers </w:t>
      </w:r>
      <w:r>
        <w:rPr>
          <w:rFonts w:eastAsia="Times New Roman" w:cs="Times New Roman"/>
          <w:color w:val="000000"/>
          <w:szCs w:val="26"/>
        </w:rPr>
        <w:t>must</w:t>
      </w:r>
      <w:r w:rsidRPr="00F02A03">
        <w:rPr>
          <w:rFonts w:eastAsia="Times New Roman" w:cs="Times New Roman"/>
          <w:color w:val="000000"/>
          <w:szCs w:val="26"/>
        </w:rPr>
        <w:t xml:space="preserve"> describe any contract terms included in RPS contracts intended to reduce the likelihood of curtailment or protect against negative prices. </w:t>
      </w:r>
    </w:p>
    <w:p w:rsidRPr="00F02A03" w:rsidR="000F2B1E" w:rsidP="000F2B1E" w:rsidRDefault="000F2B1E" w14:paraId="0A879E86" w14:textId="78CC2793">
      <w:pPr>
        <w:rPr>
          <w:rFonts w:eastAsia="Times New Roman" w:cs="Times New Roman"/>
          <w:color w:val="000000"/>
        </w:rPr>
      </w:pPr>
      <w:bookmarkStart w:name="_Hlk117493037" w:id="105"/>
      <w:r w:rsidRPr="60102E90">
        <w:rPr>
          <w:rFonts w:eastAsia="Times New Roman" w:cs="Times New Roman"/>
          <w:color w:val="000000" w:themeColor="text1"/>
        </w:rPr>
        <w:t xml:space="preserve">Draft 2022 RPS Plans that provide the </w:t>
      </w:r>
      <w:r w:rsidRPr="00A23930">
        <w:rPr>
          <w:rFonts w:eastAsia="Times New Roman" w:cs="Times New Roman"/>
          <w:color w:val="000000" w:themeColor="text1"/>
        </w:rPr>
        <w:t xml:space="preserve">best examples of robust curtailment analyses include PG&amp;E, Marin Clean Energy, Clean Power SF, Peninsula Clean Energy, Redwood Coast Energy Authority, and Pioneer.  Additionally, Lancaster Choice Energy provided a </w:t>
      </w:r>
      <w:r w:rsidRPr="00A23930" w:rsidR="00706550">
        <w:rPr>
          <w:rFonts w:eastAsia="Times New Roman" w:cs="Times New Roman"/>
          <w:color w:val="000000" w:themeColor="text1"/>
        </w:rPr>
        <w:t>widely cited</w:t>
      </w:r>
      <w:r w:rsidRPr="00A23930">
        <w:rPr>
          <w:rFonts w:eastAsia="Times New Roman" w:cs="Times New Roman"/>
          <w:color w:val="000000" w:themeColor="text1"/>
        </w:rPr>
        <w:t xml:space="preserve"> lessons learned from its Western Antelope Dry Ranch PV facility, and San Diego Community Power had a useful negative pricing analysis as well as a nuanced discussion of using various contract terms to mitigate negative pricing.</w:t>
      </w:r>
    </w:p>
    <w:bookmarkEnd w:id="105"/>
    <w:p w:rsidRPr="00F02A03" w:rsidR="000F2B1E" w:rsidP="000F2B1E" w:rsidRDefault="000F2B1E" w14:paraId="0FD94430" w14:textId="37B4EF6C">
      <w:pPr>
        <w:rPr>
          <w:rFonts w:eastAsia="Times New Roman" w:cs="Times New Roman"/>
          <w:color w:val="000000"/>
          <w:szCs w:val="26"/>
        </w:rPr>
      </w:pPr>
      <w:r w:rsidRPr="00F02A03">
        <w:rPr>
          <w:rFonts w:eastAsia="Times New Roman" w:cs="Times New Roman"/>
          <w:color w:val="000000"/>
          <w:szCs w:val="26"/>
        </w:rPr>
        <w:t>ESPs generally claimed that they are not responsible for curtailment events because they do not own the generation facilities.</w:t>
      </w:r>
      <w:r>
        <w:rPr>
          <w:rStyle w:val="FootnoteReference"/>
          <w:rFonts w:eastAsia="Times New Roman" w:cs="Times New Roman"/>
          <w:color w:val="000000"/>
          <w:szCs w:val="26"/>
        </w:rPr>
        <w:footnoteReference w:id="47"/>
      </w:r>
      <w:r w:rsidRPr="00F02A03">
        <w:rPr>
          <w:rFonts w:eastAsia="Times New Roman" w:cs="Times New Roman"/>
          <w:color w:val="000000"/>
          <w:szCs w:val="26"/>
        </w:rPr>
        <w:t xml:space="preserve"> </w:t>
      </w:r>
      <w:r>
        <w:rPr>
          <w:rFonts w:eastAsia="Times New Roman" w:cs="Times New Roman"/>
          <w:color w:val="000000"/>
          <w:szCs w:val="26"/>
        </w:rPr>
        <w:t xml:space="preserve"> </w:t>
      </w:r>
      <w:r w:rsidRPr="00F02A03">
        <w:rPr>
          <w:rFonts w:eastAsia="Times New Roman" w:cs="Times New Roman"/>
          <w:color w:val="000000"/>
          <w:szCs w:val="26"/>
        </w:rPr>
        <w:t>Though it is true that generators often take curtailment risk and pricing into account when contracting their generation and that ESPs do not have operational control of the facility, ESPs should explain their approach to contractual terms with generators to protect them from the risk of curtailment.</w:t>
      </w:r>
    </w:p>
    <w:p w:rsidR="000F2B1E" w:rsidP="000F2B1E" w:rsidRDefault="000F2B1E" w14:paraId="1D19A02F" w14:textId="45C69C1B">
      <w:pPr>
        <w:rPr>
          <w:rFonts w:eastAsia="Times New Roman" w:cs="Times New Roman"/>
          <w:color w:val="000000"/>
          <w:szCs w:val="26"/>
        </w:rPr>
      </w:pPr>
      <w:r w:rsidRPr="00F02A03">
        <w:rPr>
          <w:rFonts w:eastAsia="Times New Roman" w:cs="Times New Roman"/>
          <w:color w:val="000000"/>
          <w:szCs w:val="26"/>
        </w:rPr>
        <w:t>In Final 202</w:t>
      </w:r>
      <w:r>
        <w:rPr>
          <w:rFonts w:eastAsia="Times New Roman" w:cs="Times New Roman"/>
          <w:color w:val="000000"/>
          <w:szCs w:val="26"/>
        </w:rPr>
        <w:t>2</w:t>
      </w:r>
      <w:r w:rsidRPr="00F02A03">
        <w:rPr>
          <w:rFonts w:eastAsia="Times New Roman" w:cs="Times New Roman"/>
          <w:color w:val="000000"/>
          <w:szCs w:val="26"/>
        </w:rPr>
        <w:t xml:space="preserve"> RPS Plans, </w:t>
      </w:r>
      <w:r>
        <w:rPr>
          <w:rFonts w:eastAsia="Times New Roman" w:cs="Times New Roman"/>
          <w:color w:val="000000"/>
          <w:szCs w:val="26"/>
        </w:rPr>
        <w:t>East Bay Community Energy and King City Community Power</w:t>
      </w:r>
      <w:r w:rsidRPr="00F02A03">
        <w:rPr>
          <w:rFonts w:eastAsia="Times New Roman" w:cs="Times New Roman"/>
          <w:color w:val="000000"/>
          <w:szCs w:val="26"/>
        </w:rPr>
        <w:t xml:space="preserve"> </w:t>
      </w:r>
      <w:r>
        <w:rPr>
          <w:rFonts w:eastAsia="Times New Roman" w:cs="Times New Roman"/>
          <w:color w:val="000000"/>
          <w:szCs w:val="26"/>
        </w:rPr>
        <w:t>must</w:t>
      </w:r>
      <w:r w:rsidRPr="00F02A03">
        <w:rPr>
          <w:rFonts w:eastAsia="Times New Roman" w:cs="Times New Roman"/>
          <w:color w:val="000000"/>
          <w:szCs w:val="26"/>
        </w:rPr>
        <w:t xml:space="preserve"> update their curtailment assessments to address the Commission findings </w:t>
      </w:r>
      <w:r w:rsidR="00DF4140">
        <w:rPr>
          <w:rFonts w:eastAsia="Times New Roman" w:cs="Times New Roman"/>
          <w:color w:val="000000"/>
          <w:szCs w:val="26"/>
        </w:rPr>
        <w:t xml:space="preserve">listed </w:t>
      </w:r>
      <w:r w:rsidRPr="00F02A03">
        <w:rPr>
          <w:rFonts w:eastAsia="Times New Roman" w:cs="Times New Roman"/>
          <w:color w:val="000000"/>
          <w:szCs w:val="26"/>
        </w:rPr>
        <w:t>in the table below.</w:t>
      </w:r>
    </w:p>
    <w:p w:rsidRPr="003A5903" w:rsidR="000F2B1E" w:rsidP="00C56292" w:rsidRDefault="000F2B1E" w14:paraId="7B22EE22" w14:textId="51B0DE8B">
      <w:pPr>
        <w:keepNext/>
        <w:ind w:firstLine="0"/>
        <w:jc w:val="center"/>
        <w:rPr>
          <w:rFonts w:eastAsia="Times New Roman" w:cs="Times New Roman"/>
          <w:b/>
          <w:bCs/>
          <w:color w:val="000000"/>
          <w:szCs w:val="26"/>
        </w:rPr>
      </w:pPr>
      <w:r w:rsidRPr="003A5903">
        <w:rPr>
          <w:rFonts w:eastAsia="Times New Roman" w:cs="Times New Roman"/>
          <w:b/>
          <w:bCs/>
          <w:color w:val="000000"/>
          <w:szCs w:val="26"/>
        </w:rPr>
        <w:t xml:space="preserve">Table </w:t>
      </w:r>
      <w:r w:rsidR="00955469">
        <w:rPr>
          <w:rFonts w:eastAsia="Times New Roman" w:cs="Times New Roman"/>
          <w:b/>
          <w:bCs/>
          <w:color w:val="000000"/>
          <w:szCs w:val="26"/>
        </w:rPr>
        <w:t>7</w:t>
      </w:r>
      <w:r w:rsidRPr="003A5903">
        <w:rPr>
          <w:rFonts w:eastAsia="Times New Roman" w:cs="Times New Roman"/>
          <w:b/>
          <w:bCs/>
          <w:color w:val="000000"/>
          <w:szCs w:val="26"/>
        </w:rPr>
        <w:t xml:space="preserve">: </w:t>
      </w:r>
      <w:r w:rsidR="00B91CAB">
        <w:rPr>
          <w:rFonts w:eastAsia="Times New Roman" w:cs="Times New Roman"/>
          <w:b/>
          <w:bCs/>
          <w:color w:val="000000"/>
          <w:szCs w:val="26"/>
        </w:rPr>
        <w:t xml:space="preserve"> </w:t>
      </w:r>
      <w:r w:rsidRPr="003A5903">
        <w:rPr>
          <w:rFonts w:eastAsia="Times New Roman" w:cs="Times New Roman"/>
          <w:b/>
          <w:bCs/>
          <w:color w:val="000000"/>
          <w:szCs w:val="26"/>
        </w:rPr>
        <w:t>Curtailment Frequency</w:t>
      </w:r>
    </w:p>
    <w:tbl>
      <w:tblPr>
        <w:tblStyle w:val="TableGrid1"/>
        <w:tblW w:w="0" w:type="auto"/>
        <w:jc w:val="center"/>
        <w:tblLook w:val="04A0" w:firstRow="1" w:lastRow="0" w:firstColumn="1" w:lastColumn="0" w:noHBand="0" w:noVBand="1"/>
      </w:tblPr>
      <w:tblGrid>
        <w:gridCol w:w="3145"/>
        <w:gridCol w:w="6205"/>
      </w:tblGrid>
      <w:tr w:rsidRPr="00F02A03" w:rsidR="000F2B1E" w:rsidTr="00C56292" w14:paraId="33F7A646" w14:textId="77777777">
        <w:trPr>
          <w:jc w:val="center"/>
        </w:trPr>
        <w:tc>
          <w:tcPr>
            <w:tcW w:w="3145" w:type="dxa"/>
            <w:shd w:val="clear" w:color="auto" w:fill="D0CECE" w:themeFill="background2" w:themeFillShade="E6"/>
            <w:vAlign w:val="center"/>
          </w:tcPr>
          <w:p w:rsidRPr="00C56292" w:rsidR="000F2B1E" w:rsidP="003C061E" w:rsidRDefault="000F2B1E" w14:paraId="06167E00" w14:textId="77777777">
            <w:pPr>
              <w:keepNext/>
              <w:keepLines/>
              <w:spacing w:line="240" w:lineRule="auto"/>
              <w:ind w:firstLine="0"/>
              <w:jc w:val="center"/>
              <w:rPr>
                <w:b/>
                <w:color w:val="000000" w:themeColor="text1"/>
                <w:sz w:val="24"/>
                <w:szCs w:val="24"/>
              </w:rPr>
            </w:pPr>
            <w:bookmarkStart w:name="_Hlk115267214" w:id="106"/>
            <w:r w:rsidRPr="00C56292">
              <w:rPr>
                <w:b/>
                <w:color w:val="000000" w:themeColor="text1"/>
                <w:sz w:val="24"/>
                <w:szCs w:val="24"/>
              </w:rPr>
              <w:t>Retail Seller</w:t>
            </w:r>
          </w:p>
        </w:tc>
        <w:tc>
          <w:tcPr>
            <w:tcW w:w="6205" w:type="dxa"/>
            <w:shd w:val="clear" w:color="auto" w:fill="D0CECE" w:themeFill="background2" w:themeFillShade="E6"/>
            <w:vAlign w:val="center"/>
          </w:tcPr>
          <w:p w:rsidRPr="00C56292" w:rsidR="000F2B1E" w:rsidP="003C061E" w:rsidRDefault="000F2B1E" w14:paraId="27EC6BFE" w14:textId="77777777">
            <w:pPr>
              <w:keepNext/>
              <w:keepLines/>
              <w:spacing w:line="240" w:lineRule="auto"/>
              <w:ind w:firstLine="0"/>
              <w:jc w:val="center"/>
              <w:rPr>
                <w:b/>
                <w:color w:val="000000" w:themeColor="text1"/>
                <w:sz w:val="24"/>
                <w:szCs w:val="24"/>
              </w:rPr>
            </w:pPr>
            <w:r w:rsidRPr="00C56292">
              <w:rPr>
                <w:b/>
                <w:color w:val="000000" w:themeColor="text1"/>
                <w:sz w:val="24"/>
                <w:szCs w:val="24"/>
              </w:rPr>
              <w:t>Commission Finding</w:t>
            </w:r>
          </w:p>
        </w:tc>
      </w:tr>
      <w:bookmarkEnd w:id="106"/>
      <w:tr w:rsidRPr="00F02A03" w:rsidR="000F2B1E" w:rsidTr="003C061E" w14:paraId="106C22E2" w14:textId="77777777">
        <w:trPr>
          <w:jc w:val="center"/>
        </w:trPr>
        <w:tc>
          <w:tcPr>
            <w:tcW w:w="3145" w:type="dxa"/>
            <w:vAlign w:val="center"/>
          </w:tcPr>
          <w:p w:rsidRPr="00B03A2C" w:rsidR="000F2B1E" w:rsidP="000F2D61" w:rsidRDefault="000F2B1E" w14:paraId="3EB28B58" w14:textId="77777777">
            <w:pPr>
              <w:keepNext/>
              <w:keepLines/>
              <w:spacing w:line="276" w:lineRule="auto"/>
              <w:ind w:firstLine="0"/>
              <w:rPr>
                <w:b/>
                <w:bCs/>
                <w:color w:val="000000" w:themeColor="text1"/>
                <w:sz w:val="24"/>
                <w:szCs w:val="24"/>
              </w:rPr>
            </w:pPr>
            <w:r w:rsidRPr="00B03A2C">
              <w:rPr>
                <w:b/>
                <w:bCs/>
                <w:color w:val="000000" w:themeColor="text1"/>
                <w:sz w:val="24"/>
                <w:szCs w:val="24"/>
              </w:rPr>
              <w:t xml:space="preserve">East Bay Community Energy   </w:t>
            </w:r>
          </w:p>
        </w:tc>
        <w:tc>
          <w:tcPr>
            <w:tcW w:w="6205" w:type="dxa"/>
          </w:tcPr>
          <w:p w:rsidRPr="00891659" w:rsidR="000F2B1E" w:rsidP="000F2D61" w:rsidRDefault="000F2B1E" w14:paraId="6298867C" w14:textId="76EF7979">
            <w:pPr>
              <w:pStyle w:val="ListParagraph"/>
              <w:keepNext/>
              <w:keepLines/>
              <w:numPr>
                <w:ilvl w:val="0"/>
                <w:numId w:val="23"/>
              </w:numPr>
              <w:spacing w:line="276" w:lineRule="auto"/>
              <w:rPr>
                <w:color w:val="000000" w:themeColor="text1"/>
                <w:sz w:val="24"/>
                <w:szCs w:val="24"/>
              </w:rPr>
            </w:pPr>
            <w:r w:rsidRPr="00891659">
              <w:rPr>
                <w:color w:val="000000" w:themeColor="text1"/>
                <w:sz w:val="24"/>
                <w:szCs w:val="24"/>
              </w:rPr>
              <w:t>Missing forecast of the number of hours per year of negative market pricing for the next 10 years</w:t>
            </w:r>
          </w:p>
        </w:tc>
      </w:tr>
      <w:tr w:rsidRPr="00F02A03" w:rsidR="000F2B1E" w:rsidTr="00B91CAB" w14:paraId="5BE84FAC" w14:textId="77777777">
        <w:trPr>
          <w:trHeight w:val="2150"/>
          <w:jc w:val="center"/>
        </w:trPr>
        <w:tc>
          <w:tcPr>
            <w:tcW w:w="3145" w:type="dxa"/>
            <w:vAlign w:val="center"/>
          </w:tcPr>
          <w:p w:rsidRPr="00B03A2C" w:rsidR="000F2B1E" w:rsidP="00B91CAB" w:rsidRDefault="000F2B1E" w14:paraId="7E68E95B" w14:textId="65B96295">
            <w:pPr>
              <w:keepNext/>
              <w:keepLines/>
              <w:spacing w:line="276" w:lineRule="auto"/>
              <w:ind w:firstLine="0"/>
              <w:rPr>
                <w:b/>
                <w:color w:val="000000" w:themeColor="text1"/>
                <w:sz w:val="24"/>
                <w:szCs w:val="24"/>
              </w:rPr>
            </w:pPr>
            <w:r w:rsidRPr="00B03A2C">
              <w:rPr>
                <w:b/>
                <w:color w:val="000000" w:themeColor="text1"/>
                <w:sz w:val="24"/>
                <w:szCs w:val="24"/>
              </w:rPr>
              <w:t>King City Community Power</w:t>
            </w:r>
          </w:p>
        </w:tc>
        <w:tc>
          <w:tcPr>
            <w:tcW w:w="6205" w:type="dxa"/>
          </w:tcPr>
          <w:p w:rsidRPr="00B03A2C" w:rsidR="000F2B1E" w:rsidRDefault="000F2B1E" w14:paraId="19CD3442" w14:textId="77777777">
            <w:pPr>
              <w:pStyle w:val="ListParagraph"/>
              <w:keepNext/>
              <w:keepLines/>
              <w:numPr>
                <w:ilvl w:val="0"/>
                <w:numId w:val="20"/>
              </w:numPr>
              <w:spacing w:line="276" w:lineRule="auto"/>
              <w:rPr>
                <w:color w:val="000000" w:themeColor="text1"/>
                <w:sz w:val="24"/>
                <w:szCs w:val="24"/>
              </w:rPr>
            </w:pPr>
            <w:r w:rsidRPr="00B03A2C">
              <w:rPr>
                <w:color w:val="000000" w:themeColor="text1"/>
                <w:sz w:val="24"/>
                <w:szCs w:val="24"/>
              </w:rPr>
              <w:t>I</w:t>
            </w:r>
            <w:r w:rsidRPr="00B03A2C">
              <w:rPr>
                <w:sz w:val="24"/>
                <w:szCs w:val="24"/>
              </w:rPr>
              <w:t xml:space="preserve">nsufficient description of </w:t>
            </w:r>
            <w:r w:rsidRPr="00B03A2C">
              <w:rPr>
                <w:color w:val="000000" w:themeColor="text1"/>
                <w:sz w:val="24"/>
                <w:szCs w:val="24"/>
              </w:rPr>
              <w:t>strategy for managing the overall cost impact of increasing incidences of overgeneration and negative market prices</w:t>
            </w:r>
          </w:p>
          <w:p w:rsidRPr="00B03A2C" w:rsidR="000F2B1E" w:rsidRDefault="000F2B1E" w14:paraId="705A868A" w14:textId="77777777">
            <w:pPr>
              <w:pStyle w:val="ListParagraph"/>
              <w:keepNext/>
              <w:keepLines/>
              <w:numPr>
                <w:ilvl w:val="0"/>
                <w:numId w:val="20"/>
              </w:numPr>
              <w:spacing w:line="276" w:lineRule="auto"/>
              <w:rPr>
                <w:color w:val="000000" w:themeColor="text1"/>
                <w:sz w:val="24"/>
                <w:szCs w:val="24"/>
              </w:rPr>
            </w:pPr>
            <w:r w:rsidRPr="00B03A2C">
              <w:rPr>
                <w:color w:val="000000" w:themeColor="text1"/>
                <w:sz w:val="24"/>
                <w:szCs w:val="24"/>
              </w:rPr>
              <w:t>Insufficient description of direct costs incurred, to date, for incidences of overgeneration and associated negative market prices.</w:t>
            </w:r>
          </w:p>
        </w:tc>
      </w:tr>
    </w:tbl>
    <w:p w:rsidR="000F2B1E" w:rsidP="005A3675" w:rsidRDefault="000F2B1E" w14:paraId="6A774933" w14:textId="5CB49F4F">
      <w:pPr>
        <w:pStyle w:val="Heading3"/>
        <w:numPr>
          <w:ilvl w:val="2"/>
          <w:numId w:val="2"/>
        </w:numPr>
        <w:spacing w:before="240"/>
      </w:pPr>
      <w:bookmarkStart w:name="_Toc122180485" w:id="107"/>
      <w:r>
        <w:t>Renewable Net Short Calculations</w:t>
      </w:r>
      <w:bookmarkEnd w:id="107"/>
    </w:p>
    <w:p w:rsidRPr="000F2B1E" w:rsidR="000F2B1E" w:rsidP="000F2B1E" w:rsidRDefault="000F2B1E" w14:paraId="73E8985A" w14:textId="43D7EB07">
      <w:pPr>
        <w:pStyle w:val="Standard"/>
      </w:pPr>
      <w:r w:rsidRPr="000F2B1E">
        <w:t xml:space="preserve">Section 6.8 of the 2022 ACR directed all retail sellers </w:t>
      </w:r>
      <w:bookmarkStart w:name="_Hlk117493147" w:id="108"/>
      <w:r w:rsidRPr="000F2B1E">
        <w:t>to provide both a narrative and quantitative response demonstrating how the results of their risk assessments have been incorporated into their 2022 RNS calculations</w:t>
      </w:r>
      <w:bookmarkEnd w:id="108"/>
      <w:r w:rsidRPr="000F2B1E">
        <w:t>.</w:t>
      </w:r>
    </w:p>
    <w:p w:rsidR="000F2B1E" w:rsidP="002E6574" w:rsidRDefault="000F2B1E" w14:paraId="4575806F" w14:textId="24412F08">
      <w:pPr>
        <w:pStyle w:val="Standard"/>
      </w:pPr>
      <w:r w:rsidRPr="000F2B1E">
        <w:t xml:space="preserve">The Commission finds that </w:t>
      </w:r>
      <w:bookmarkStart w:name="_Hlk117493128" w:id="109"/>
      <w:r w:rsidRPr="000F2B1E">
        <w:t>the majority of retail sellers met the 2022</w:t>
      </w:r>
      <w:r w:rsidR="00FE7E22">
        <w:t> </w:t>
      </w:r>
      <w:r w:rsidRPr="000F2B1E">
        <w:t xml:space="preserve">ACR requirements. </w:t>
      </w:r>
      <w:r w:rsidR="00DB5458">
        <w:t xml:space="preserve"> However, t</w:t>
      </w:r>
      <w:bookmarkEnd w:id="109"/>
      <w:r w:rsidRPr="000F2B1E">
        <w:t xml:space="preserve">he Commission </w:t>
      </w:r>
      <w:r w:rsidR="00DB5458">
        <w:t xml:space="preserve">also </w:t>
      </w:r>
      <w:r w:rsidRPr="000F2B1E">
        <w:t xml:space="preserve">finds </w:t>
      </w:r>
      <w:bookmarkStart w:name="_Hlk117493173" w:id="110"/>
      <w:r w:rsidRPr="000F2B1E">
        <w:t xml:space="preserve">several retail sellers’ </w:t>
      </w:r>
      <w:r w:rsidR="00DB5458">
        <w:t>D</w:t>
      </w:r>
      <w:r w:rsidRPr="000F2B1E">
        <w:t xml:space="preserve">raft 2022 RPS Plans deficient in this matter and </w:t>
      </w:r>
      <w:bookmarkEnd w:id="110"/>
      <w:r w:rsidRPr="000F2B1E">
        <w:t>directs them to supplement their final 2022 RPS Plan</w:t>
      </w:r>
      <w:r w:rsidR="00DB5458">
        <w:t>s</w:t>
      </w:r>
      <w:r w:rsidRPr="000F2B1E">
        <w:t xml:space="preserve"> based on the finding</w:t>
      </w:r>
      <w:r w:rsidR="00DB5458">
        <w:t>s</w:t>
      </w:r>
      <w:r w:rsidRPr="000F2B1E">
        <w:t xml:space="preserve"> described in Table 9.</w:t>
      </w:r>
    </w:p>
    <w:p w:rsidRPr="00FC1374" w:rsidR="000F2B1E" w:rsidP="00C56292" w:rsidRDefault="000F2B1E" w14:paraId="47CD0228" w14:textId="0E403EAB">
      <w:pPr>
        <w:pStyle w:val="Standard"/>
        <w:keepNext/>
        <w:ind w:firstLine="0"/>
        <w:jc w:val="center"/>
        <w:rPr>
          <w:b/>
          <w:bCs/>
        </w:rPr>
      </w:pPr>
      <w:r w:rsidRPr="00FC1374">
        <w:rPr>
          <w:b/>
          <w:bCs/>
        </w:rPr>
        <w:t xml:space="preserve">Table </w:t>
      </w:r>
      <w:r w:rsidR="00955469">
        <w:rPr>
          <w:b/>
          <w:bCs/>
        </w:rPr>
        <w:t>8</w:t>
      </w:r>
      <w:r w:rsidR="00B91CAB">
        <w:rPr>
          <w:b/>
          <w:bCs/>
        </w:rPr>
        <w:t>:</w:t>
      </w:r>
      <w:r w:rsidRPr="00FC1374">
        <w:rPr>
          <w:b/>
          <w:bCs/>
        </w:rPr>
        <w:t xml:space="preserve"> </w:t>
      </w:r>
      <w:r w:rsidR="00B91CAB">
        <w:rPr>
          <w:b/>
          <w:bCs/>
        </w:rPr>
        <w:t xml:space="preserve"> </w:t>
      </w:r>
      <w:r w:rsidRPr="00FC1374">
        <w:rPr>
          <w:b/>
          <w:bCs/>
        </w:rPr>
        <w:t>Renewable Net Short</w:t>
      </w:r>
      <w:r>
        <w:rPr>
          <w:b/>
          <w:bCs/>
        </w:rPr>
        <w:t xml:space="preserve"> Calculations</w:t>
      </w:r>
    </w:p>
    <w:tbl>
      <w:tblPr>
        <w:tblStyle w:val="TableGrid"/>
        <w:tblW w:w="0" w:type="auto"/>
        <w:jc w:val="center"/>
        <w:tblLook w:val="04A0" w:firstRow="1" w:lastRow="0" w:firstColumn="1" w:lastColumn="0" w:noHBand="0" w:noVBand="1"/>
      </w:tblPr>
      <w:tblGrid>
        <w:gridCol w:w="2282"/>
        <w:gridCol w:w="7068"/>
      </w:tblGrid>
      <w:tr w:rsidRPr="00B03A2C" w:rsidR="000F2B1E" w:rsidTr="00C56292" w14:paraId="38A608A4" w14:textId="77777777">
        <w:trPr>
          <w:tblHeader/>
          <w:jc w:val="center"/>
        </w:trPr>
        <w:tc>
          <w:tcPr>
            <w:tcW w:w="0" w:type="auto"/>
            <w:shd w:val="clear" w:color="auto" w:fill="D0CECE" w:themeFill="background2" w:themeFillShade="E6"/>
            <w:vAlign w:val="center"/>
          </w:tcPr>
          <w:p w:rsidRPr="00B03A2C" w:rsidR="000F2B1E" w:rsidP="00B91CAB" w:rsidRDefault="000F2B1E" w14:paraId="1ED89E96" w14:textId="77777777">
            <w:pPr>
              <w:pStyle w:val="Standard"/>
              <w:keepNext/>
              <w:spacing w:line="240" w:lineRule="auto"/>
              <w:ind w:firstLine="0"/>
              <w:jc w:val="center"/>
              <w:rPr>
                <w:b/>
                <w:bCs/>
                <w:sz w:val="24"/>
                <w:szCs w:val="24"/>
              </w:rPr>
            </w:pPr>
            <w:r w:rsidRPr="00B03A2C">
              <w:rPr>
                <w:b/>
                <w:bCs/>
                <w:sz w:val="24"/>
                <w:szCs w:val="24"/>
              </w:rPr>
              <w:t>Retail Seller</w:t>
            </w:r>
          </w:p>
        </w:tc>
        <w:tc>
          <w:tcPr>
            <w:tcW w:w="0" w:type="auto"/>
            <w:shd w:val="clear" w:color="auto" w:fill="D0CECE" w:themeFill="background2" w:themeFillShade="E6"/>
            <w:vAlign w:val="center"/>
          </w:tcPr>
          <w:p w:rsidRPr="00B03A2C" w:rsidR="000F2B1E" w:rsidP="00B91CAB" w:rsidRDefault="000F2B1E" w14:paraId="7748A31A" w14:textId="77777777">
            <w:pPr>
              <w:keepNext/>
              <w:spacing w:line="240" w:lineRule="auto"/>
              <w:ind w:firstLine="0"/>
              <w:jc w:val="center"/>
              <w:rPr>
                <w:rFonts w:eastAsia="Times New Roman" w:cs="Segoe UI"/>
                <w:b/>
                <w:bCs/>
                <w:sz w:val="24"/>
                <w:szCs w:val="24"/>
              </w:rPr>
            </w:pPr>
            <w:r w:rsidRPr="00B03A2C">
              <w:rPr>
                <w:b/>
                <w:bCs/>
                <w:sz w:val="24"/>
                <w:szCs w:val="24"/>
              </w:rPr>
              <w:t>Commission Finding</w:t>
            </w:r>
          </w:p>
        </w:tc>
      </w:tr>
      <w:tr w:rsidRPr="00B03A2C" w:rsidR="000F2B1E" w:rsidTr="00B91CAB" w14:paraId="685A9AAA" w14:textId="77777777">
        <w:trPr>
          <w:jc w:val="center"/>
        </w:trPr>
        <w:tc>
          <w:tcPr>
            <w:tcW w:w="0" w:type="auto"/>
            <w:vAlign w:val="center"/>
          </w:tcPr>
          <w:p w:rsidRPr="00B03A2C" w:rsidR="000F2B1E" w:rsidP="003C061E" w:rsidRDefault="000F2B1E" w14:paraId="54A66081" w14:textId="77777777">
            <w:pPr>
              <w:pStyle w:val="Standard"/>
              <w:keepNext/>
              <w:spacing w:line="240" w:lineRule="auto"/>
              <w:ind w:firstLine="0"/>
              <w:rPr>
                <w:b/>
                <w:bCs/>
                <w:sz w:val="24"/>
                <w:szCs w:val="24"/>
              </w:rPr>
            </w:pPr>
            <w:r w:rsidRPr="00B03A2C">
              <w:rPr>
                <w:b/>
                <w:bCs/>
                <w:sz w:val="24"/>
                <w:szCs w:val="24"/>
              </w:rPr>
              <w:t>3 Phases</w:t>
            </w:r>
          </w:p>
        </w:tc>
        <w:tc>
          <w:tcPr>
            <w:tcW w:w="0" w:type="auto"/>
            <w:vAlign w:val="center"/>
          </w:tcPr>
          <w:p w:rsidRPr="00B03A2C" w:rsidR="000F2B1E" w:rsidP="003C061E" w:rsidRDefault="000F2B1E" w14:paraId="0DD12868" w14:textId="030049DB">
            <w:pPr>
              <w:pStyle w:val="ListParagraph"/>
              <w:keepNext/>
              <w:numPr>
                <w:ilvl w:val="0"/>
                <w:numId w:val="21"/>
              </w:numPr>
              <w:spacing w:before="120" w:after="120" w:line="240" w:lineRule="auto"/>
              <w:ind w:left="418"/>
              <w:contextualSpacing w:val="0"/>
              <w:rPr>
                <w:rFonts w:eastAsia="Times New Roman" w:cs="Segoe UI"/>
                <w:sz w:val="24"/>
                <w:szCs w:val="24"/>
              </w:rPr>
            </w:pPr>
            <w:r w:rsidRPr="00B03A2C">
              <w:rPr>
                <w:rFonts w:eastAsia="Times New Roman" w:cs="Segoe UI"/>
                <w:sz w:val="24"/>
                <w:szCs w:val="24"/>
              </w:rPr>
              <w:t xml:space="preserve">The RNS narrative states 3 Phases </w:t>
            </w:r>
            <w:r w:rsidR="00DB5458">
              <w:rPr>
                <w:rFonts w:eastAsia="Times New Roman" w:cs="Segoe UI"/>
                <w:sz w:val="24"/>
                <w:szCs w:val="24"/>
              </w:rPr>
              <w:t xml:space="preserve">Renewables </w:t>
            </w:r>
            <w:r w:rsidRPr="00B03A2C">
              <w:rPr>
                <w:rFonts w:eastAsia="Times New Roman" w:cs="Segoe UI"/>
                <w:sz w:val="24"/>
                <w:szCs w:val="24"/>
              </w:rPr>
              <w:t>will have a positive Gross RPS position going forward, but this is not reflected in the RNS Template for CP</w:t>
            </w:r>
            <w:r w:rsidR="00771B02">
              <w:rPr>
                <w:rFonts w:eastAsia="Times New Roman" w:cs="Segoe UI"/>
                <w:sz w:val="24"/>
                <w:szCs w:val="24"/>
              </w:rPr>
              <w:t xml:space="preserve"> </w:t>
            </w:r>
            <w:r w:rsidRPr="00B03A2C">
              <w:rPr>
                <w:rFonts w:eastAsia="Times New Roman" w:cs="Segoe UI"/>
                <w:sz w:val="24"/>
                <w:szCs w:val="24"/>
              </w:rPr>
              <w:t xml:space="preserve">4. </w:t>
            </w:r>
          </w:p>
          <w:p w:rsidRPr="00B03A2C" w:rsidR="000F2B1E" w:rsidP="003C061E" w:rsidRDefault="000F2B1E" w14:paraId="2C07D4B5" w14:textId="77777777">
            <w:pPr>
              <w:pStyle w:val="ListParagraph"/>
              <w:keepNext/>
              <w:numPr>
                <w:ilvl w:val="0"/>
                <w:numId w:val="21"/>
              </w:numPr>
              <w:spacing w:after="120" w:line="240" w:lineRule="auto"/>
              <w:ind w:left="418"/>
              <w:contextualSpacing w:val="0"/>
              <w:rPr>
                <w:rFonts w:eastAsia="Times New Roman" w:cs="Segoe UI"/>
                <w:sz w:val="24"/>
                <w:szCs w:val="24"/>
              </w:rPr>
            </w:pPr>
            <w:r w:rsidRPr="00B03A2C">
              <w:rPr>
                <w:rFonts w:eastAsia="Times New Roman" w:cs="Segoe UI"/>
                <w:sz w:val="24"/>
                <w:szCs w:val="24"/>
              </w:rPr>
              <w:t>The narrative and quantitative analysis should be aligned, as well as Section IV.A, if necessary.</w:t>
            </w:r>
          </w:p>
          <w:p w:rsidRPr="00B03A2C" w:rsidR="000F2B1E" w:rsidP="003C061E" w:rsidRDefault="000F2B1E" w14:paraId="4377DCB3" w14:textId="5B3B9743">
            <w:pPr>
              <w:pStyle w:val="ListParagraph"/>
              <w:keepNext/>
              <w:numPr>
                <w:ilvl w:val="0"/>
                <w:numId w:val="21"/>
              </w:numPr>
              <w:spacing w:after="120" w:line="240" w:lineRule="auto"/>
              <w:ind w:left="418"/>
              <w:contextualSpacing w:val="0"/>
              <w:rPr>
                <w:rFonts w:eastAsia="Times New Roman" w:cs="Segoe UI"/>
                <w:sz w:val="24"/>
                <w:szCs w:val="24"/>
              </w:rPr>
            </w:pPr>
            <w:r w:rsidRPr="00B03A2C">
              <w:rPr>
                <w:rFonts w:eastAsia="Times New Roman" w:cs="Segoe UI"/>
                <w:sz w:val="24"/>
                <w:szCs w:val="24"/>
              </w:rPr>
              <w:t>The RNS template has no in-development generation, despite having the Harquahala Sun project in development.</w:t>
            </w:r>
          </w:p>
        </w:tc>
      </w:tr>
      <w:tr w:rsidRPr="00B03A2C" w:rsidR="000F2B1E" w:rsidTr="00B91CAB" w14:paraId="5D812CE0" w14:textId="77777777">
        <w:trPr>
          <w:jc w:val="center"/>
        </w:trPr>
        <w:tc>
          <w:tcPr>
            <w:tcW w:w="0" w:type="auto"/>
            <w:vAlign w:val="center"/>
          </w:tcPr>
          <w:p w:rsidRPr="00B03A2C" w:rsidR="000F2B1E" w:rsidRDefault="000F2B1E" w14:paraId="76EC4B37" w14:textId="77777777">
            <w:pPr>
              <w:pStyle w:val="Standard"/>
              <w:spacing w:line="240" w:lineRule="auto"/>
              <w:ind w:firstLine="0"/>
              <w:rPr>
                <w:b/>
                <w:bCs/>
                <w:sz w:val="24"/>
                <w:szCs w:val="24"/>
              </w:rPr>
            </w:pPr>
            <w:r w:rsidRPr="00B03A2C">
              <w:rPr>
                <w:b/>
                <w:bCs/>
                <w:sz w:val="24"/>
                <w:szCs w:val="24"/>
              </w:rPr>
              <w:t>Calpine Energy Solutions</w:t>
            </w:r>
          </w:p>
        </w:tc>
        <w:tc>
          <w:tcPr>
            <w:tcW w:w="0" w:type="auto"/>
            <w:vAlign w:val="center"/>
          </w:tcPr>
          <w:p w:rsidRPr="00B03A2C" w:rsidR="000F2B1E" w:rsidRDefault="002E6574" w14:paraId="620E668D" w14:textId="68C5BA38">
            <w:pPr>
              <w:pStyle w:val="Standard"/>
              <w:spacing w:line="240" w:lineRule="auto"/>
              <w:ind w:firstLine="0"/>
              <w:rPr>
                <w:sz w:val="24"/>
                <w:szCs w:val="24"/>
              </w:rPr>
            </w:pPr>
            <w:r>
              <w:rPr>
                <w:sz w:val="24"/>
                <w:szCs w:val="24"/>
              </w:rPr>
              <w:t>W</w:t>
            </w:r>
            <w:r w:rsidRPr="00B03A2C" w:rsidR="000F2B1E">
              <w:rPr>
                <w:sz w:val="24"/>
                <w:szCs w:val="24"/>
              </w:rPr>
              <w:t xml:space="preserve">hether or not there is a shortfall in </w:t>
            </w:r>
            <w:r w:rsidR="00771B02">
              <w:rPr>
                <w:sz w:val="24"/>
                <w:szCs w:val="24"/>
              </w:rPr>
              <w:t>C</w:t>
            </w:r>
            <w:r w:rsidR="008A5F3D">
              <w:rPr>
                <w:sz w:val="24"/>
                <w:szCs w:val="24"/>
              </w:rPr>
              <w:t>P</w:t>
            </w:r>
            <w:r w:rsidRPr="00B03A2C" w:rsidR="000F2B1E">
              <w:rPr>
                <w:sz w:val="24"/>
                <w:szCs w:val="24"/>
              </w:rPr>
              <w:t xml:space="preserve"> 4</w:t>
            </w:r>
            <w:r>
              <w:rPr>
                <w:sz w:val="24"/>
                <w:szCs w:val="24"/>
              </w:rPr>
              <w:t xml:space="preserve"> should be confirmed.</w:t>
            </w:r>
          </w:p>
        </w:tc>
      </w:tr>
      <w:tr w:rsidRPr="00B03A2C" w:rsidR="000F2B1E" w:rsidTr="00B91CAB" w14:paraId="5974A9D5" w14:textId="77777777">
        <w:trPr>
          <w:jc w:val="center"/>
        </w:trPr>
        <w:tc>
          <w:tcPr>
            <w:tcW w:w="0" w:type="auto"/>
            <w:vAlign w:val="center"/>
          </w:tcPr>
          <w:p w:rsidRPr="00B03A2C" w:rsidR="000F2B1E" w:rsidRDefault="000F2B1E" w14:paraId="3FA37EAB" w14:textId="77777777">
            <w:pPr>
              <w:pStyle w:val="Standard"/>
              <w:spacing w:line="240" w:lineRule="auto"/>
              <w:ind w:firstLine="0"/>
              <w:rPr>
                <w:b/>
                <w:bCs/>
                <w:sz w:val="24"/>
                <w:szCs w:val="24"/>
              </w:rPr>
            </w:pPr>
            <w:r w:rsidRPr="00B03A2C">
              <w:rPr>
                <w:b/>
                <w:bCs/>
                <w:sz w:val="24"/>
                <w:szCs w:val="24"/>
              </w:rPr>
              <w:t>City of Palmdale</w:t>
            </w:r>
          </w:p>
        </w:tc>
        <w:tc>
          <w:tcPr>
            <w:tcW w:w="0" w:type="auto"/>
            <w:vAlign w:val="center"/>
          </w:tcPr>
          <w:p w:rsidRPr="00B03A2C" w:rsidR="000F2B1E" w:rsidRDefault="000F2B1E" w14:paraId="7E3F322B" w14:textId="024A5396">
            <w:pPr>
              <w:pStyle w:val="Standard"/>
              <w:spacing w:line="240" w:lineRule="auto"/>
              <w:ind w:firstLine="0"/>
              <w:rPr>
                <w:sz w:val="24"/>
                <w:szCs w:val="24"/>
              </w:rPr>
            </w:pPr>
            <w:r w:rsidRPr="00B03A2C">
              <w:rPr>
                <w:sz w:val="24"/>
                <w:szCs w:val="24"/>
              </w:rPr>
              <w:t>Forecast failure rate for Online Generation is not explained</w:t>
            </w:r>
            <w:r w:rsidR="002E6574">
              <w:rPr>
                <w:sz w:val="24"/>
                <w:szCs w:val="24"/>
              </w:rPr>
              <w:t>.</w:t>
            </w:r>
          </w:p>
        </w:tc>
      </w:tr>
      <w:tr w:rsidRPr="00B03A2C" w:rsidR="000F2B1E" w:rsidTr="00B91CAB" w14:paraId="47658892" w14:textId="77777777">
        <w:trPr>
          <w:jc w:val="center"/>
        </w:trPr>
        <w:tc>
          <w:tcPr>
            <w:tcW w:w="0" w:type="auto"/>
            <w:vAlign w:val="center"/>
          </w:tcPr>
          <w:p w:rsidRPr="00B03A2C" w:rsidR="000F2B1E" w:rsidRDefault="000F2B1E" w14:paraId="6BA4474A" w14:textId="77777777">
            <w:pPr>
              <w:pStyle w:val="Standard"/>
              <w:spacing w:line="240" w:lineRule="auto"/>
              <w:ind w:firstLine="0"/>
              <w:rPr>
                <w:b/>
                <w:bCs/>
                <w:sz w:val="24"/>
                <w:szCs w:val="24"/>
              </w:rPr>
            </w:pPr>
            <w:r w:rsidRPr="00B03A2C">
              <w:rPr>
                <w:b/>
                <w:bCs/>
                <w:sz w:val="24"/>
                <w:szCs w:val="24"/>
              </w:rPr>
              <w:t>Clean Energy Alliance</w:t>
            </w:r>
          </w:p>
        </w:tc>
        <w:tc>
          <w:tcPr>
            <w:tcW w:w="0" w:type="auto"/>
            <w:vAlign w:val="center"/>
          </w:tcPr>
          <w:p w:rsidRPr="00B03A2C" w:rsidR="000F2B1E" w:rsidRDefault="000F2B1E" w14:paraId="184FC5D7" w14:textId="7875605B">
            <w:pPr>
              <w:pStyle w:val="Standard"/>
              <w:spacing w:line="240" w:lineRule="auto"/>
              <w:ind w:firstLine="0"/>
              <w:rPr>
                <w:sz w:val="24"/>
                <w:szCs w:val="24"/>
              </w:rPr>
            </w:pPr>
            <w:r w:rsidRPr="00B03A2C">
              <w:rPr>
                <w:sz w:val="24"/>
                <w:szCs w:val="24"/>
              </w:rPr>
              <w:t>RNS failure rate methodology was not clearly articulated</w:t>
            </w:r>
            <w:r w:rsidR="002E6574">
              <w:rPr>
                <w:sz w:val="24"/>
                <w:szCs w:val="24"/>
              </w:rPr>
              <w:t>.</w:t>
            </w:r>
          </w:p>
        </w:tc>
      </w:tr>
      <w:tr w:rsidRPr="00B03A2C" w:rsidR="000F2B1E" w:rsidTr="00B91CAB" w14:paraId="3EFE32F4" w14:textId="77777777">
        <w:trPr>
          <w:jc w:val="center"/>
        </w:trPr>
        <w:tc>
          <w:tcPr>
            <w:tcW w:w="0" w:type="auto"/>
            <w:vAlign w:val="center"/>
          </w:tcPr>
          <w:p w:rsidRPr="00B03A2C" w:rsidR="000F2B1E" w:rsidRDefault="000F2B1E" w14:paraId="1D351D1C" w14:textId="77777777">
            <w:pPr>
              <w:pStyle w:val="Standard"/>
              <w:spacing w:line="240" w:lineRule="auto"/>
              <w:ind w:firstLine="0"/>
              <w:rPr>
                <w:b/>
                <w:bCs/>
                <w:sz w:val="24"/>
                <w:szCs w:val="24"/>
              </w:rPr>
            </w:pPr>
            <w:r w:rsidRPr="00B03A2C">
              <w:rPr>
                <w:b/>
                <w:bCs/>
                <w:sz w:val="24"/>
                <w:szCs w:val="24"/>
              </w:rPr>
              <w:t>Clean Power Alliance</w:t>
            </w:r>
          </w:p>
        </w:tc>
        <w:tc>
          <w:tcPr>
            <w:tcW w:w="0" w:type="auto"/>
            <w:vAlign w:val="center"/>
          </w:tcPr>
          <w:p w:rsidRPr="00B03A2C" w:rsidR="000F2B1E" w:rsidRDefault="000F2B1E" w14:paraId="19AA8D5F" w14:textId="77777777">
            <w:pPr>
              <w:pStyle w:val="Standard"/>
              <w:spacing w:line="240" w:lineRule="auto"/>
              <w:ind w:firstLine="0"/>
              <w:rPr>
                <w:sz w:val="24"/>
                <w:szCs w:val="24"/>
              </w:rPr>
            </w:pPr>
            <w:r w:rsidRPr="00B03A2C">
              <w:rPr>
                <w:sz w:val="24"/>
                <w:szCs w:val="24"/>
              </w:rPr>
              <w:t>It is not clear how failure rates align with description in the Risk Assessment section.</w:t>
            </w:r>
          </w:p>
        </w:tc>
      </w:tr>
      <w:tr w:rsidRPr="00B03A2C" w:rsidR="000F2B1E" w:rsidTr="00B91CAB" w14:paraId="7C565B82" w14:textId="77777777">
        <w:trPr>
          <w:jc w:val="center"/>
        </w:trPr>
        <w:tc>
          <w:tcPr>
            <w:tcW w:w="0" w:type="auto"/>
            <w:vAlign w:val="center"/>
          </w:tcPr>
          <w:p w:rsidRPr="00B03A2C" w:rsidR="000F2B1E" w:rsidRDefault="000F2B1E" w14:paraId="38F59262" w14:textId="77777777">
            <w:pPr>
              <w:pStyle w:val="Standard"/>
              <w:spacing w:line="240" w:lineRule="auto"/>
              <w:ind w:firstLine="0"/>
              <w:rPr>
                <w:b/>
                <w:bCs/>
                <w:sz w:val="24"/>
                <w:szCs w:val="24"/>
              </w:rPr>
            </w:pPr>
            <w:r w:rsidRPr="00B03A2C">
              <w:rPr>
                <w:b/>
                <w:bCs/>
                <w:sz w:val="24"/>
                <w:szCs w:val="24"/>
              </w:rPr>
              <w:t>Pico Rivera Innovative Municipal Energy</w:t>
            </w:r>
          </w:p>
        </w:tc>
        <w:tc>
          <w:tcPr>
            <w:tcW w:w="0" w:type="auto"/>
            <w:vAlign w:val="center"/>
          </w:tcPr>
          <w:p w:rsidRPr="00B03A2C" w:rsidR="000F2B1E" w:rsidRDefault="000F2B1E" w14:paraId="3FFD87FA" w14:textId="3F664323">
            <w:pPr>
              <w:pStyle w:val="Standard"/>
              <w:spacing w:line="240" w:lineRule="auto"/>
              <w:ind w:firstLine="0"/>
              <w:rPr>
                <w:sz w:val="24"/>
                <w:szCs w:val="24"/>
              </w:rPr>
            </w:pPr>
            <w:r>
              <w:rPr>
                <w:sz w:val="24"/>
                <w:szCs w:val="24"/>
              </w:rPr>
              <w:t xml:space="preserve">Although PRIME’s </w:t>
            </w:r>
            <w:r w:rsidRPr="00B03A2C">
              <w:rPr>
                <w:sz w:val="24"/>
                <w:szCs w:val="24"/>
              </w:rPr>
              <w:t xml:space="preserve">Project Development Status narrative describes </w:t>
            </w:r>
            <w:r>
              <w:rPr>
                <w:sz w:val="24"/>
                <w:szCs w:val="24"/>
              </w:rPr>
              <w:t xml:space="preserve">having </w:t>
            </w:r>
            <w:r w:rsidR="002E6574">
              <w:rPr>
                <w:sz w:val="24"/>
                <w:szCs w:val="24"/>
              </w:rPr>
              <w:t>three</w:t>
            </w:r>
            <w:r w:rsidRPr="00B03A2C">
              <w:rPr>
                <w:sz w:val="24"/>
                <w:szCs w:val="24"/>
              </w:rPr>
              <w:t xml:space="preserve"> </w:t>
            </w:r>
            <w:r>
              <w:rPr>
                <w:sz w:val="24"/>
                <w:szCs w:val="24"/>
              </w:rPr>
              <w:t>agreements</w:t>
            </w:r>
            <w:r w:rsidRPr="00B03A2C">
              <w:rPr>
                <w:sz w:val="24"/>
                <w:szCs w:val="24"/>
              </w:rPr>
              <w:t xml:space="preserve"> </w:t>
            </w:r>
            <w:r>
              <w:rPr>
                <w:sz w:val="24"/>
                <w:szCs w:val="24"/>
              </w:rPr>
              <w:t xml:space="preserve">for new </w:t>
            </w:r>
            <w:r w:rsidRPr="00B03A2C">
              <w:rPr>
                <w:sz w:val="24"/>
                <w:szCs w:val="24"/>
              </w:rPr>
              <w:t xml:space="preserve">facilities, no RECs </w:t>
            </w:r>
            <w:r>
              <w:rPr>
                <w:sz w:val="24"/>
                <w:szCs w:val="24"/>
              </w:rPr>
              <w:t xml:space="preserve">are </w:t>
            </w:r>
            <w:r w:rsidRPr="00B03A2C">
              <w:rPr>
                <w:sz w:val="24"/>
                <w:szCs w:val="24"/>
              </w:rPr>
              <w:t xml:space="preserve">listed under </w:t>
            </w:r>
            <w:r>
              <w:rPr>
                <w:sz w:val="24"/>
                <w:szCs w:val="24"/>
              </w:rPr>
              <w:t xml:space="preserve">the </w:t>
            </w:r>
            <w:r w:rsidRPr="00B03A2C">
              <w:rPr>
                <w:sz w:val="24"/>
                <w:szCs w:val="24"/>
              </w:rPr>
              <w:t xml:space="preserve">RNS projects in development section, </w:t>
            </w:r>
            <w:r>
              <w:rPr>
                <w:sz w:val="24"/>
                <w:szCs w:val="24"/>
              </w:rPr>
              <w:t xml:space="preserve">and there is </w:t>
            </w:r>
            <w:r w:rsidRPr="00B03A2C">
              <w:rPr>
                <w:sz w:val="24"/>
                <w:szCs w:val="24"/>
              </w:rPr>
              <w:t>also no associated failure rate</w:t>
            </w:r>
            <w:r w:rsidR="002E6574">
              <w:rPr>
                <w:sz w:val="24"/>
                <w:szCs w:val="24"/>
              </w:rPr>
              <w:t>.</w:t>
            </w:r>
          </w:p>
        </w:tc>
      </w:tr>
      <w:tr w:rsidRPr="00B03A2C" w:rsidR="000F2B1E" w:rsidTr="00B91CAB" w14:paraId="2D2B6D7F" w14:textId="77777777">
        <w:trPr>
          <w:jc w:val="center"/>
        </w:trPr>
        <w:tc>
          <w:tcPr>
            <w:tcW w:w="0" w:type="auto"/>
            <w:vAlign w:val="center"/>
          </w:tcPr>
          <w:p w:rsidRPr="00B03A2C" w:rsidR="000F2B1E" w:rsidRDefault="000F2B1E" w14:paraId="18017454" w14:textId="77777777">
            <w:pPr>
              <w:pStyle w:val="Standard"/>
              <w:spacing w:line="240" w:lineRule="auto"/>
              <w:ind w:firstLine="0"/>
              <w:rPr>
                <w:b/>
                <w:bCs/>
                <w:sz w:val="24"/>
                <w:szCs w:val="24"/>
              </w:rPr>
            </w:pPr>
            <w:r w:rsidRPr="00B03A2C">
              <w:rPr>
                <w:b/>
                <w:bCs/>
                <w:sz w:val="24"/>
                <w:szCs w:val="24"/>
              </w:rPr>
              <w:t>San Diego Community Power</w:t>
            </w:r>
          </w:p>
        </w:tc>
        <w:tc>
          <w:tcPr>
            <w:tcW w:w="0" w:type="auto"/>
            <w:vAlign w:val="center"/>
          </w:tcPr>
          <w:p w:rsidRPr="00B03A2C" w:rsidR="000F2B1E" w:rsidRDefault="000F2B1E" w14:paraId="0AD875CA" w14:textId="6FF40DFF">
            <w:pPr>
              <w:pStyle w:val="Standard"/>
              <w:spacing w:line="240" w:lineRule="auto"/>
              <w:ind w:firstLine="0"/>
              <w:rPr>
                <w:sz w:val="24"/>
                <w:szCs w:val="24"/>
              </w:rPr>
            </w:pPr>
            <w:r w:rsidRPr="00B03A2C">
              <w:rPr>
                <w:sz w:val="24"/>
                <w:szCs w:val="24"/>
              </w:rPr>
              <w:t xml:space="preserve">RNS failure rate methodology </w:t>
            </w:r>
            <w:r w:rsidR="002E6574">
              <w:rPr>
                <w:sz w:val="24"/>
                <w:szCs w:val="24"/>
              </w:rPr>
              <w:t>i</w:t>
            </w:r>
            <w:r w:rsidRPr="00B03A2C">
              <w:rPr>
                <w:sz w:val="24"/>
                <w:szCs w:val="24"/>
              </w:rPr>
              <w:t>s not clearly articulated</w:t>
            </w:r>
            <w:r w:rsidR="002E6574">
              <w:rPr>
                <w:sz w:val="24"/>
                <w:szCs w:val="24"/>
              </w:rPr>
              <w:t>.</w:t>
            </w:r>
          </w:p>
        </w:tc>
      </w:tr>
    </w:tbl>
    <w:p w:rsidR="000F2B1E" w:rsidP="003C061E" w:rsidRDefault="000F2B1E" w14:paraId="2B00678A" w14:textId="54F156AC">
      <w:pPr>
        <w:pStyle w:val="Heading3"/>
        <w:numPr>
          <w:ilvl w:val="2"/>
          <w:numId w:val="2"/>
        </w:numPr>
        <w:spacing w:before="240"/>
      </w:pPr>
      <w:bookmarkStart w:name="_Toc122180486" w:id="111"/>
      <w:r>
        <w:t>Supplier Diversity</w:t>
      </w:r>
      <w:bookmarkEnd w:id="111"/>
    </w:p>
    <w:p w:rsidR="000F2B1E" w:rsidP="000F2B1E" w:rsidRDefault="000F2B1E" w14:paraId="6D2A8297" w14:textId="60E4858C">
      <w:pPr>
        <w:pStyle w:val="Standard"/>
      </w:pPr>
      <w:r w:rsidRPr="00986DBE">
        <w:t>SB 255 (Bradford</w:t>
      </w:r>
      <w:r>
        <w:t xml:space="preserve">, </w:t>
      </w:r>
      <w:r w:rsidRPr="00986DBE">
        <w:t>2019)</w:t>
      </w:r>
      <w:r>
        <w:t xml:space="preserve"> Stat.2019, Ch.407 </w:t>
      </w:r>
      <w:r w:rsidRPr="00986DBE">
        <w:t xml:space="preserve">amended Sections 366.2 and 8283 of the Public Utilities Code, </w:t>
      </w:r>
      <w:r w:rsidRPr="00CA5D21">
        <w:t>requir</w:t>
      </w:r>
      <w:r>
        <w:t>ing</w:t>
      </w:r>
      <w:r w:rsidRPr="00CA5D21">
        <w:t xml:space="preserve"> CCAs </w:t>
      </w:r>
      <w:r>
        <w:t xml:space="preserve">and ESPs </w:t>
      </w:r>
      <w:r w:rsidRPr="00CA5D21">
        <w:t>with more than $15</w:t>
      </w:r>
      <w:r w:rsidR="00C56292">
        <w:t> </w:t>
      </w:r>
      <w:r w:rsidRPr="00CA5D21">
        <w:t>million in annual revenues to submit a Supplier Diversity Report and Plan to the C</w:t>
      </w:r>
      <w:r w:rsidR="0005660F">
        <w:t>ommission</w:t>
      </w:r>
      <w:r w:rsidRPr="00986DBE">
        <w:t xml:space="preserve">. </w:t>
      </w:r>
      <w:r w:rsidR="00C56292">
        <w:t xml:space="preserve"> </w:t>
      </w:r>
      <w:r w:rsidRPr="004B784B">
        <w:t>On April 7, 2022, the Commission issued D.22-04-035 implementing SB 255 and revising</w:t>
      </w:r>
      <w:r>
        <w:t xml:space="preserve"> </w:t>
      </w:r>
      <w:r w:rsidRPr="004B784B">
        <w:t xml:space="preserve">GO 156 governing its Supplier Diversity Program. </w:t>
      </w:r>
      <w:r w:rsidR="00C56292">
        <w:t xml:space="preserve"> </w:t>
      </w:r>
      <w:r w:rsidRPr="00880156">
        <w:t>Reporting requirements include an</w:t>
      </w:r>
      <w:r>
        <w:t xml:space="preserve"> </w:t>
      </w:r>
      <w:r w:rsidRPr="00880156">
        <w:t>annual plan describing activities to increase procurement, including but not limited to energy</w:t>
      </w:r>
      <w:r>
        <w:t xml:space="preserve"> </w:t>
      </w:r>
      <w:r w:rsidRPr="00880156">
        <w:t>supply, from small, local, and diverse business enterprises.</w:t>
      </w:r>
      <w:r>
        <w:rPr>
          <w:rStyle w:val="FootnoteReference"/>
        </w:rPr>
        <w:footnoteReference w:id="48"/>
      </w:r>
    </w:p>
    <w:p w:rsidR="000F2B1E" w:rsidP="000F2B1E" w:rsidRDefault="000F2B1E" w14:paraId="12E0CB8D" w14:textId="50D7F7BA">
      <w:pPr>
        <w:pStyle w:val="Standard"/>
      </w:pPr>
      <w:bookmarkStart w:name="_Hlk117493590" w:id="112"/>
      <w:r>
        <w:t xml:space="preserve">CleanPowerSF provides the best practice </w:t>
      </w:r>
      <w:r w:rsidR="008672D2">
        <w:t xml:space="preserve">in this matter </w:t>
      </w:r>
      <w:r>
        <w:t>by i</w:t>
      </w:r>
      <w:r w:rsidRPr="006C38F9">
        <w:t>ncorporat</w:t>
      </w:r>
      <w:r>
        <w:t xml:space="preserve">ing </w:t>
      </w:r>
      <w:r w:rsidR="008672D2">
        <w:t xml:space="preserve">supplier diversity </w:t>
      </w:r>
      <w:r w:rsidRPr="006C38F9">
        <w:t xml:space="preserve">in bid selection </w:t>
      </w:r>
      <w:r>
        <w:t>protocols</w:t>
      </w:r>
      <w:r w:rsidRPr="006C38F9">
        <w:t xml:space="preserve"> and</w:t>
      </w:r>
      <w:r w:rsidR="0005660F">
        <w:t xml:space="preserve"> </w:t>
      </w:r>
      <w:r w:rsidR="00055DAA">
        <w:t>Least-Cost Best-Fit (</w:t>
      </w:r>
      <w:r w:rsidRPr="006C38F9">
        <w:t>LCBF</w:t>
      </w:r>
      <w:r w:rsidR="00055DAA">
        <w:t>)</w:t>
      </w:r>
      <w:r w:rsidRPr="006C38F9">
        <w:t xml:space="preserve"> Criteria (Section X</w:t>
      </w:r>
      <w:r w:rsidRPr="006C38F9" w:rsidR="00706550">
        <w:t>)</w:t>
      </w:r>
      <w:r w:rsidR="00706550">
        <w:t xml:space="preserve"> and</w:t>
      </w:r>
      <w:r w:rsidRPr="006C38F9">
        <w:t xml:space="preserve"> includes a link to</w:t>
      </w:r>
      <w:r w:rsidR="00DB5458">
        <w:t xml:space="preserve"> the</w:t>
      </w:r>
      <w:r w:rsidRPr="006C38F9">
        <w:t xml:space="preserve"> 2022 Supplier Diversity Annual Plan</w:t>
      </w:r>
      <w:r w:rsidR="00DB5458">
        <w:t>,</w:t>
      </w:r>
      <w:r w:rsidRPr="006C38F9">
        <w:t xml:space="preserve"> w</w:t>
      </w:r>
      <w:r w:rsidR="00DB5458">
        <w:t>hich identifies</w:t>
      </w:r>
      <w:r w:rsidRPr="006C38F9">
        <w:t xml:space="preserve"> concrete steps to incorporate into all procurement practices</w:t>
      </w:r>
      <w:bookmarkEnd w:id="112"/>
      <w:r w:rsidRPr="006C38F9">
        <w:t>.</w:t>
      </w:r>
      <w:r>
        <w:rPr>
          <w:rStyle w:val="FootnoteReference"/>
        </w:rPr>
        <w:footnoteReference w:id="49"/>
      </w:r>
    </w:p>
    <w:p w:rsidR="000F2B1E" w:rsidP="0005660F" w:rsidRDefault="000F2B1E" w14:paraId="3A5BFF49" w14:textId="0953A6BE">
      <w:pPr>
        <w:pStyle w:val="Standard"/>
      </w:pPr>
      <w:bookmarkStart w:name="_Hlk117493473" w:id="113"/>
      <w:r>
        <w:t xml:space="preserve">The Commission finds that the majority of CCAs and ESPs do not mention SB 255 or mention it but provide no information on how they implement it. Several retail sellers do not mention SB </w:t>
      </w:r>
      <w:r w:rsidR="00706550">
        <w:t>255,</w:t>
      </w:r>
      <w:r>
        <w:t xml:space="preserve"> but supplier diversity is one of the criteria used in their solicitation materials, as shown below.</w:t>
      </w:r>
      <w:bookmarkEnd w:id="113"/>
    </w:p>
    <w:p w:rsidR="000F2B1E" w:rsidP="00E8262E" w:rsidRDefault="000F2B1E" w14:paraId="765D60EB" w14:textId="5F981AA8">
      <w:pPr>
        <w:pStyle w:val="Standard"/>
        <w:keepNext/>
        <w:ind w:firstLine="0"/>
        <w:jc w:val="center"/>
        <w:rPr>
          <w:b/>
          <w:bCs/>
        </w:rPr>
      </w:pPr>
      <w:r w:rsidRPr="005172AA">
        <w:rPr>
          <w:b/>
          <w:bCs/>
        </w:rPr>
        <w:t xml:space="preserve">Table </w:t>
      </w:r>
      <w:r w:rsidR="00955469">
        <w:rPr>
          <w:b/>
          <w:bCs/>
        </w:rPr>
        <w:t>9</w:t>
      </w:r>
      <w:r w:rsidR="003C061E">
        <w:rPr>
          <w:b/>
          <w:bCs/>
        </w:rPr>
        <w:t>:</w:t>
      </w:r>
      <w:r w:rsidRPr="005172AA">
        <w:rPr>
          <w:b/>
          <w:bCs/>
        </w:rPr>
        <w:t xml:space="preserve"> </w:t>
      </w:r>
      <w:r w:rsidR="00B91CAB">
        <w:rPr>
          <w:b/>
          <w:bCs/>
        </w:rPr>
        <w:t xml:space="preserve"> </w:t>
      </w:r>
      <w:r w:rsidRPr="005172AA">
        <w:rPr>
          <w:b/>
          <w:bCs/>
        </w:rPr>
        <w:t>Findings Regarding Implementation of SB 255</w:t>
      </w:r>
    </w:p>
    <w:tbl>
      <w:tblPr>
        <w:tblStyle w:val="TableGrid"/>
        <w:tblW w:w="0" w:type="auto"/>
        <w:jc w:val="center"/>
        <w:tblLook w:val="04A0" w:firstRow="1" w:lastRow="0" w:firstColumn="1" w:lastColumn="0" w:noHBand="0" w:noVBand="1"/>
      </w:tblPr>
      <w:tblGrid>
        <w:gridCol w:w="9350"/>
      </w:tblGrid>
      <w:tr w:rsidR="000F2B1E" w:rsidTr="003C061E" w14:paraId="72C83CCF" w14:textId="77777777">
        <w:trPr>
          <w:jc w:val="center"/>
        </w:trPr>
        <w:tc>
          <w:tcPr>
            <w:tcW w:w="0" w:type="auto"/>
          </w:tcPr>
          <w:p w:rsidRPr="00B03A2C" w:rsidR="000F2B1E" w:rsidP="003C061E" w:rsidRDefault="000F2B1E" w14:paraId="20E7AC43" w14:textId="77777777">
            <w:pPr>
              <w:pStyle w:val="Standard"/>
              <w:keepNext/>
              <w:spacing w:line="240" w:lineRule="auto"/>
              <w:ind w:firstLine="0"/>
              <w:rPr>
                <w:b/>
                <w:bCs/>
                <w:sz w:val="24"/>
                <w:szCs w:val="24"/>
              </w:rPr>
            </w:pPr>
            <w:r w:rsidRPr="00B03A2C">
              <w:rPr>
                <w:b/>
                <w:bCs/>
                <w:sz w:val="24"/>
                <w:szCs w:val="24"/>
              </w:rPr>
              <w:t>Goes Beyond Bid Criteria</w:t>
            </w:r>
          </w:p>
        </w:tc>
      </w:tr>
      <w:tr w:rsidR="000F2B1E" w:rsidTr="003C061E" w14:paraId="3AA8CAC0" w14:textId="77777777">
        <w:trPr>
          <w:jc w:val="center"/>
        </w:trPr>
        <w:tc>
          <w:tcPr>
            <w:tcW w:w="0" w:type="auto"/>
          </w:tcPr>
          <w:p w:rsidRPr="00B03A2C" w:rsidR="000F2B1E" w:rsidP="003C061E" w:rsidRDefault="000F2B1E" w14:paraId="06D1D36E" w14:textId="77777777">
            <w:pPr>
              <w:pStyle w:val="Standard"/>
              <w:keepNext/>
              <w:spacing w:line="240" w:lineRule="auto"/>
              <w:ind w:firstLine="0"/>
              <w:rPr>
                <w:sz w:val="24"/>
                <w:szCs w:val="24"/>
              </w:rPr>
            </w:pPr>
            <w:r w:rsidRPr="00B03A2C">
              <w:rPr>
                <w:sz w:val="24"/>
                <w:szCs w:val="24"/>
              </w:rPr>
              <w:t>CleanPowerSF, Redwood Coast Energy Authority, Desert Community Energy.</w:t>
            </w:r>
          </w:p>
        </w:tc>
      </w:tr>
      <w:tr w:rsidR="000F2B1E" w:rsidTr="003C061E" w14:paraId="055D13DF" w14:textId="77777777">
        <w:trPr>
          <w:jc w:val="center"/>
        </w:trPr>
        <w:tc>
          <w:tcPr>
            <w:tcW w:w="0" w:type="auto"/>
          </w:tcPr>
          <w:p w:rsidRPr="00B03A2C" w:rsidR="000F2B1E" w:rsidRDefault="000F2B1E" w14:paraId="7876EC88" w14:textId="77777777">
            <w:pPr>
              <w:pStyle w:val="Standard"/>
              <w:spacing w:line="240" w:lineRule="auto"/>
              <w:ind w:firstLine="0"/>
              <w:rPr>
                <w:sz w:val="24"/>
                <w:szCs w:val="24"/>
              </w:rPr>
            </w:pPr>
          </w:p>
        </w:tc>
      </w:tr>
      <w:tr w:rsidR="000F2B1E" w:rsidTr="003C061E" w14:paraId="6E721271" w14:textId="77777777">
        <w:trPr>
          <w:jc w:val="center"/>
        </w:trPr>
        <w:tc>
          <w:tcPr>
            <w:tcW w:w="0" w:type="auto"/>
          </w:tcPr>
          <w:p w:rsidRPr="00B03A2C" w:rsidR="000F2B1E" w:rsidP="003C061E" w:rsidRDefault="000F2B1E" w14:paraId="5ED00C3B" w14:textId="0FF98960">
            <w:pPr>
              <w:pStyle w:val="Standard"/>
              <w:spacing w:line="240" w:lineRule="auto"/>
              <w:ind w:firstLine="0"/>
              <w:rPr>
                <w:b/>
                <w:bCs/>
                <w:sz w:val="24"/>
                <w:szCs w:val="24"/>
              </w:rPr>
            </w:pPr>
            <w:r w:rsidRPr="00B03A2C">
              <w:rPr>
                <w:b/>
                <w:bCs/>
                <w:sz w:val="24"/>
                <w:szCs w:val="24"/>
              </w:rPr>
              <w:t xml:space="preserve">Mentions SB 255 and </w:t>
            </w:r>
            <w:r w:rsidR="003C061E">
              <w:rPr>
                <w:b/>
                <w:bCs/>
                <w:sz w:val="24"/>
                <w:szCs w:val="24"/>
              </w:rPr>
              <w:t>I</w:t>
            </w:r>
            <w:r w:rsidRPr="00B03A2C">
              <w:rPr>
                <w:b/>
                <w:bCs/>
                <w:sz w:val="24"/>
                <w:szCs w:val="24"/>
              </w:rPr>
              <w:t xml:space="preserve">ncorporates </w:t>
            </w:r>
            <w:r w:rsidR="003C061E">
              <w:rPr>
                <w:b/>
                <w:bCs/>
                <w:sz w:val="24"/>
                <w:szCs w:val="24"/>
              </w:rPr>
              <w:t>S</w:t>
            </w:r>
            <w:r w:rsidRPr="00B03A2C">
              <w:rPr>
                <w:b/>
                <w:bCs/>
                <w:sz w:val="24"/>
                <w:szCs w:val="24"/>
              </w:rPr>
              <w:t>upplier</w:t>
            </w:r>
            <w:r w:rsidR="003C061E">
              <w:rPr>
                <w:b/>
                <w:bCs/>
                <w:sz w:val="24"/>
                <w:szCs w:val="24"/>
              </w:rPr>
              <w:t xml:space="preserve"> D</w:t>
            </w:r>
            <w:r w:rsidRPr="00B03A2C">
              <w:rPr>
                <w:b/>
                <w:bCs/>
                <w:sz w:val="24"/>
                <w:szCs w:val="24"/>
              </w:rPr>
              <w:t xml:space="preserve">iversity into </w:t>
            </w:r>
            <w:r w:rsidR="003C061E">
              <w:rPr>
                <w:b/>
                <w:bCs/>
                <w:sz w:val="24"/>
                <w:szCs w:val="24"/>
              </w:rPr>
              <w:t>B</w:t>
            </w:r>
            <w:r w:rsidRPr="00B03A2C">
              <w:rPr>
                <w:b/>
                <w:bCs/>
                <w:sz w:val="24"/>
                <w:szCs w:val="24"/>
              </w:rPr>
              <w:t xml:space="preserve">id </w:t>
            </w:r>
            <w:r w:rsidR="003C061E">
              <w:rPr>
                <w:b/>
                <w:bCs/>
                <w:sz w:val="24"/>
                <w:szCs w:val="24"/>
              </w:rPr>
              <w:t>C</w:t>
            </w:r>
            <w:r w:rsidRPr="00B03A2C">
              <w:rPr>
                <w:b/>
                <w:bCs/>
                <w:sz w:val="24"/>
                <w:szCs w:val="24"/>
              </w:rPr>
              <w:t xml:space="preserve">riteria and/or </w:t>
            </w:r>
            <w:r w:rsidR="003C061E">
              <w:rPr>
                <w:b/>
                <w:bCs/>
                <w:sz w:val="24"/>
                <w:szCs w:val="24"/>
              </w:rPr>
              <w:t>S</w:t>
            </w:r>
            <w:r w:rsidRPr="00B03A2C">
              <w:rPr>
                <w:b/>
                <w:bCs/>
                <w:sz w:val="24"/>
                <w:szCs w:val="24"/>
              </w:rPr>
              <w:t xml:space="preserve">olicitation </w:t>
            </w:r>
            <w:r w:rsidR="003C061E">
              <w:rPr>
                <w:b/>
                <w:bCs/>
                <w:sz w:val="24"/>
                <w:szCs w:val="24"/>
              </w:rPr>
              <w:t>P</w:t>
            </w:r>
            <w:r w:rsidRPr="00B03A2C">
              <w:rPr>
                <w:b/>
                <w:bCs/>
                <w:sz w:val="24"/>
                <w:szCs w:val="24"/>
              </w:rPr>
              <w:t>rotocols</w:t>
            </w:r>
          </w:p>
        </w:tc>
      </w:tr>
      <w:tr w:rsidR="000F2B1E" w:rsidTr="003C061E" w14:paraId="350CABD4" w14:textId="77777777">
        <w:trPr>
          <w:jc w:val="center"/>
        </w:trPr>
        <w:tc>
          <w:tcPr>
            <w:tcW w:w="0" w:type="auto"/>
          </w:tcPr>
          <w:p w:rsidRPr="00B03A2C" w:rsidR="000F2B1E" w:rsidRDefault="000F2B1E" w14:paraId="293A5F2E" w14:textId="77777777">
            <w:pPr>
              <w:pStyle w:val="Standard"/>
              <w:spacing w:line="240" w:lineRule="auto"/>
              <w:ind w:firstLine="0"/>
              <w:rPr>
                <w:sz w:val="24"/>
                <w:szCs w:val="24"/>
              </w:rPr>
            </w:pPr>
            <w:r w:rsidRPr="00B03A2C">
              <w:rPr>
                <w:sz w:val="24"/>
                <w:szCs w:val="24"/>
              </w:rPr>
              <w:t>EDF, Orange County Power Authority, Pilot Power Group, San Diego Community Power, Silicon Valley Clean Energy, Valley Clean Energy Alliance,</w:t>
            </w:r>
          </w:p>
          <w:p w:rsidRPr="00B03A2C" w:rsidR="000F2B1E" w:rsidRDefault="000F2B1E" w14:paraId="3F62315E" w14:textId="77777777">
            <w:pPr>
              <w:pStyle w:val="Standard"/>
              <w:spacing w:line="240" w:lineRule="auto"/>
              <w:ind w:firstLine="0"/>
              <w:rPr>
                <w:sz w:val="24"/>
                <w:szCs w:val="24"/>
              </w:rPr>
            </w:pPr>
            <w:r w:rsidRPr="00B03A2C">
              <w:rPr>
                <w:sz w:val="24"/>
                <w:szCs w:val="24"/>
              </w:rPr>
              <w:t>Industrial Power Services, 3 Phases Renewables.</w:t>
            </w:r>
          </w:p>
        </w:tc>
      </w:tr>
      <w:tr w:rsidR="000F2B1E" w:rsidTr="003C061E" w14:paraId="3121FF8F" w14:textId="77777777">
        <w:trPr>
          <w:jc w:val="center"/>
        </w:trPr>
        <w:tc>
          <w:tcPr>
            <w:tcW w:w="0" w:type="auto"/>
          </w:tcPr>
          <w:p w:rsidRPr="00B03A2C" w:rsidR="000F2B1E" w:rsidRDefault="000F2B1E" w14:paraId="4228C533" w14:textId="77777777">
            <w:pPr>
              <w:pStyle w:val="Standard"/>
              <w:spacing w:line="240" w:lineRule="auto"/>
              <w:ind w:firstLine="0"/>
              <w:rPr>
                <w:sz w:val="24"/>
                <w:szCs w:val="24"/>
              </w:rPr>
            </w:pPr>
          </w:p>
        </w:tc>
      </w:tr>
      <w:tr w:rsidR="000F2B1E" w:rsidTr="003C061E" w14:paraId="7803BCBF" w14:textId="77777777">
        <w:trPr>
          <w:jc w:val="center"/>
        </w:trPr>
        <w:tc>
          <w:tcPr>
            <w:tcW w:w="0" w:type="auto"/>
          </w:tcPr>
          <w:p w:rsidRPr="00B03A2C" w:rsidR="000F2B1E" w:rsidP="003C061E" w:rsidRDefault="000F2B1E" w14:paraId="0055D61D" w14:textId="7BFC4C2D">
            <w:pPr>
              <w:pStyle w:val="Standard"/>
              <w:spacing w:line="240" w:lineRule="auto"/>
              <w:ind w:firstLine="0"/>
              <w:rPr>
                <w:b/>
                <w:bCs/>
                <w:sz w:val="24"/>
                <w:szCs w:val="24"/>
              </w:rPr>
            </w:pPr>
            <w:r w:rsidRPr="00B03A2C">
              <w:rPr>
                <w:b/>
                <w:bCs/>
                <w:sz w:val="24"/>
                <w:szCs w:val="24"/>
              </w:rPr>
              <w:t xml:space="preserve">Mentions </w:t>
            </w:r>
            <w:r w:rsidR="003C061E">
              <w:rPr>
                <w:b/>
                <w:bCs/>
                <w:sz w:val="24"/>
                <w:szCs w:val="24"/>
              </w:rPr>
              <w:t>I</w:t>
            </w:r>
            <w:r>
              <w:rPr>
                <w:b/>
                <w:bCs/>
                <w:sz w:val="24"/>
                <w:szCs w:val="24"/>
              </w:rPr>
              <w:t xml:space="preserve">ntent to </w:t>
            </w:r>
            <w:r w:rsidR="003C061E">
              <w:rPr>
                <w:b/>
                <w:bCs/>
                <w:sz w:val="24"/>
                <w:szCs w:val="24"/>
              </w:rPr>
              <w:t>C</w:t>
            </w:r>
            <w:r>
              <w:rPr>
                <w:b/>
                <w:bCs/>
                <w:sz w:val="24"/>
                <w:szCs w:val="24"/>
              </w:rPr>
              <w:t>omply with SB</w:t>
            </w:r>
            <w:r w:rsidR="00B86B84">
              <w:rPr>
                <w:b/>
                <w:bCs/>
                <w:sz w:val="24"/>
                <w:szCs w:val="24"/>
              </w:rPr>
              <w:t xml:space="preserve"> </w:t>
            </w:r>
            <w:r>
              <w:rPr>
                <w:b/>
                <w:bCs/>
                <w:sz w:val="24"/>
                <w:szCs w:val="24"/>
              </w:rPr>
              <w:t xml:space="preserve">255, </w:t>
            </w:r>
            <w:r w:rsidRPr="00B03A2C">
              <w:rPr>
                <w:b/>
                <w:bCs/>
                <w:sz w:val="24"/>
                <w:szCs w:val="24"/>
              </w:rPr>
              <w:t>but</w:t>
            </w:r>
            <w:r>
              <w:rPr>
                <w:b/>
                <w:bCs/>
                <w:sz w:val="24"/>
                <w:szCs w:val="24"/>
              </w:rPr>
              <w:t xml:space="preserve"> </w:t>
            </w:r>
            <w:r w:rsidR="003C061E">
              <w:rPr>
                <w:b/>
                <w:bCs/>
                <w:sz w:val="24"/>
                <w:szCs w:val="24"/>
              </w:rPr>
              <w:t>T</w:t>
            </w:r>
            <w:r>
              <w:rPr>
                <w:b/>
                <w:bCs/>
                <w:sz w:val="24"/>
                <w:szCs w:val="24"/>
              </w:rPr>
              <w:t xml:space="preserve">akes </w:t>
            </w:r>
            <w:r w:rsidR="003C061E">
              <w:rPr>
                <w:b/>
                <w:bCs/>
                <w:sz w:val="24"/>
                <w:szCs w:val="24"/>
              </w:rPr>
              <w:t>N</w:t>
            </w:r>
            <w:r>
              <w:rPr>
                <w:b/>
                <w:bCs/>
                <w:sz w:val="24"/>
                <w:szCs w:val="24"/>
              </w:rPr>
              <w:t xml:space="preserve">o </w:t>
            </w:r>
            <w:r w:rsidR="003C061E">
              <w:rPr>
                <w:b/>
                <w:bCs/>
                <w:sz w:val="24"/>
                <w:szCs w:val="24"/>
              </w:rPr>
              <w:t>S</w:t>
            </w:r>
            <w:r>
              <w:rPr>
                <w:b/>
                <w:bCs/>
                <w:sz w:val="24"/>
                <w:szCs w:val="24"/>
              </w:rPr>
              <w:t>teps to</w:t>
            </w:r>
            <w:r w:rsidRPr="00B03A2C">
              <w:rPr>
                <w:b/>
                <w:bCs/>
                <w:sz w:val="24"/>
                <w:szCs w:val="24"/>
              </w:rPr>
              <w:t xml:space="preserve"> </w:t>
            </w:r>
            <w:r w:rsidR="003C061E">
              <w:rPr>
                <w:b/>
                <w:bCs/>
                <w:sz w:val="24"/>
                <w:szCs w:val="24"/>
              </w:rPr>
              <w:t>I</w:t>
            </w:r>
            <w:r w:rsidRPr="00B03A2C">
              <w:rPr>
                <w:b/>
                <w:bCs/>
                <w:sz w:val="24"/>
                <w:szCs w:val="24"/>
              </w:rPr>
              <w:t>mplementation</w:t>
            </w:r>
            <w:r>
              <w:rPr>
                <w:b/>
                <w:bCs/>
                <w:sz w:val="24"/>
                <w:szCs w:val="24"/>
              </w:rPr>
              <w:t xml:space="preserve"> in </w:t>
            </w:r>
            <w:r w:rsidR="003C061E">
              <w:rPr>
                <w:b/>
                <w:bCs/>
                <w:sz w:val="24"/>
                <w:szCs w:val="24"/>
              </w:rPr>
              <w:t>T</w:t>
            </w:r>
            <w:r>
              <w:rPr>
                <w:b/>
                <w:bCs/>
                <w:sz w:val="24"/>
                <w:szCs w:val="24"/>
              </w:rPr>
              <w:t xml:space="preserve">heir </w:t>
            </w:r>
            <w:r w:rsidR="003C061E">
              <w:rPr>
                <w:b/>
                <w:bCs/>
                <w:sz w:val="24"/>
                <w:szCs w:val="24"/>
              </w:rPr>
              <w:t>P</w:t>
            </w:r>
            <w:r>
              <w:rPr>
                <w:b/>
                <w:bCs/>
                <w:sz w:val="24"/>
                <w:szCs w:val="24"/>
              </w:rPr>
              <w:t>lan</w:t>
            </w:r>
          </w:p>
        </w:tc>
      </w:tr>
      <w:tr w:rsidR="000F2B1E" w:rsidTr="003C061E" w14:paraId="39745CBC" w14:textId="77777777">
        <w:trPr>
          <w:jc w:val="center"/>
        </w:trPr>
        <w:tc>
          <w:tcPr>
            <w:tcW w:w="0" w:type="auto"/>
          </w:tcPr>
          <w:p w:rsidRPr="00B03A2C" w:rsidR="000F2B1E" w:rsidRDefault="000F2B1E" w14:paraId="426CDDA7" w14:textId="77777777">
            <w:pPr>
              <w:pStyle w:val="Standard"/>
              <w:spacing w:line="240" w:lineRule="auto"/>
              <w:ind w:firstLine="0"/>
              <w:rPr>
                <w:sz w:val="24"/>
                <w:szCs w:val="24"/>
              </w:rPr>
            </w:pPr>
            <w:r w:rsidRPr="00B03A2C">
              <w:rPr>
                <w:sz w:val="24"/>
                <w:szCs w:val="24"/>
              </w:rPr>
              <w:t xml:space="preserve">Clean Power Alliance, University of California Regents, Constellation NewEnergy, Direct Energy Business, Sonoma Clean Power Authority, </w:t>
            </w:r>
          </w:p>
          <w:p w:rsidRPr="00B03A2C" w:rsidR="000F2B1E" w:rsidRDefault="000F2B1E" w14:paraId="6580380B" w14:textId="77777777">
            <w:pPr>
              <w:pStyle w:val="Standard"/>
              <w:spacing w:line="240" w:lineRule="auto"/>
              <w:ind w:firstLine="0"/>
              <w:rPr>
                <w:sz w:val="24"/>
                <w:szCs w:val="24"/>
              </w:rPr>
            </w:pPr>
            <w:r w:rsidRPr="00B03A2C">
              <w:rPr>
                <w:sz w:val="24"/>
                <w:szCs w:val="24"/>
              </w:rPr>
              <w:t xml:space="preserve">Marin Clean Energy, San Jose Clean Energy, Brookfield Renewable Energy US, </w:t>
            </w:r>
          </w:p>
          <w:p w:rsidRPr="00B03A2C" w:rsidR="000F2B1E" w:rsidRDefault="000F2B1E" w14:paraId="02F2D8D0" w14:textId="77777777">
            <w:pPr>
              <w:pStyle w:val="Standard"/>
              <w:spacing w:line="240" w:lineRule="auto"/>
              <w:ind w:firstLine="0"/>
              <w:rPr>
                <w:b/>
                <w:bCs/>
                <w:sz w:val="24"/>
                <w:szCs w:val="24"/>
              </w:rPr>
            </w:pPr>
            <w:r w:rsidRPr="00B03A2C">
              <w:rPr>
                <w:sz w:val="24"/>
                <w:szCs w:val="24"/>
              </w:rPr>
              <w:t>Calpine Energy Solutions, Calpine Power America, Pilot Power Group</w:t>
            </w:r>
            <w:r>
              <w:rPr>
                <w:sz w:val="24"/>
                <w:szCs w:val="24"/>
              </w:rPr>
              <w:t xml:space="preserve">. </w:t>
            </w:r>
            <w:r w:rsidRPr="00B03A2C">
              <w:rPr>
                <w:sz w:val="24"/>
                <w:szCs w:val="24"/>
              </w:rPr>
              <w:t>King City Community Power</w:t>
            </w:r>
            <w:r>
              <w:rPr>
                <w:sz w:val="24"/>
                <w:szCs w:val="24"/>
              </w:rPr>
              <w:t>.</w:t>
            </w:r>
          </w:p>
        </w:tc>
      </w:tr>
      <w:tr w:rsidR="000F2B1E" w:rsidTr="003C061E" w14:paraId="35CCCC6B" w14:textId="77777777">
        <w:trPr>
          <w:jc w:val="center"/>
        </w:trPr>
        <w:tc>
          <w:tcPr>
            <w:tcW w:w="0" w:type="auto"/>
          </w:tcPr>
          <w:p w:rsidRPr="00B03A2C" w:rsidR="000F2B1E" w:rsidRDefault="000F2B1E" w14:paraId="4016627B" w14:textId="77777777">
            <w:pPr>
              <w:pStyle w:val="Standard"/>
              <w:spacing w:line="240" w:lineRule="auto"/>
              <w:ind w:firstLine="0"/>
              <w:rPr>
                <w:sz w:val="24"/>
                <w:szCs w:val="24"/>
              </w:rPr>
            </w:pPr>
          </w:p>
        </w:tc>
      </w:tr>
      <w:tr w:rsidR="000F2B1E" w:rsidTr="003C061E" w14:paraId="63C55056" w14:textId="77777777">
        <w:trPr>
          <w:jc w:val="center"/>
        </w:trPr>
        <w:tc>
          <w:tcPr>
            <w:tcW w:w="0" w:type="auto"/>
          </w:tcPr>
          <w:p w:rsidRPr="00B03A2C" w:rsidR="000F2B1E" w:rsidP="003C061E" w:rsidRDefault="000F2B1E" w14:paraId="0CCB0682" w14:textId="5002A58C">
            <w:pPr>
              <w:pStyle w:val="Standard"/>
              <w:keepNext/>
              <w:spacing w:line="240" w:lineRule="auto"/>
              <w:ind w:firstLine="0"/>
              <w:rPr>
                <w:b/>
                <w:bCs/>
                <w:sz w:val="24"/>
                <w:szCs w:val="24"/>
              </w:rPr>
            </w:pPr>
            <w:r w:rsidRPr="00B03A2C">
              <w:rPr>
                <w:b/>
                <w:bCs/>
                <w:sz w:val="24"/>
                <w:szCs w:val="24"/>
              </w:rPr>
              <w:t xml:space="preserve">No Mention of SB 255 but </w:t>
            </w:r>
            <w:r w:rsidR="003C061E">
              <w:rPr>
                <w:b/>
                <w:bCs/>
                <w:sz w:val="24"/>
                <w:szCs w:val="24"/>
              </w:rPr>
              <w:t>S</w:t>
            </w:r>
            <w:r w:rsidRPr="00B03A2C">
              <w:rPr>
                <w:b/>
                <w:bCs/>
                <w:sz w:val="24"/>
                <w:szCs w:val="24"/>
              </w:rPr>
              <w:t xml:space="preserve">upplier </w:t>
            </w:r>
            <w:r w:rsidR="003C061E">
              <w:rPr>
                <w:b/>
                <w:bCs/>
                <w:sz w:val="24"/>
                <w:szCs w:val="24"/>
              </w:rPr>
              <w:t>D</w:t>
            </w:r>
            <w:r w:rsidRPr="00B03A2C">
              <w:rPr>
                <w:b/>
                <w:bCs/>
                <w:sz w:val="24"/>
                <w:szCs w:val="24"/>
              </w:rPr>
              <w:t xml:space="preserve">iversity in </w:t>
            </w:r>
            <w:r w:rsidR="003C061E">
              <w:rPr>
                <w:b/>
                <w:bCs/>
                <w:sz w:val="24"/>
                <w:szCs w:val="24"/>
              </w:rPr>
              <w:t>S</w:t>
            </w:r>
            <w:r w:rsidRPr="00B03A2C">
              <w:rPr>
                <w:b/>
                <w:bCs/>
                <w:sz w:val="24"/>
                <w:szCs w:val="24"/>
              </w:rPr>
              <w:t xml:space="preserve">olicitation </w:t>
            </w:r>
            <w:r w:rsidR="003C061E">
              <w:rPr>
                <w:b/>
                <w:bCs/>
                <w:sz w:val="24"/>
                <w:szCs w:val="24"/>
              </w:rPr>
              <w:t>M</w:t>
            </w:r>
            <w:r w:rsidRPr="00B03A2C">
              <w:rPr>
                <w:b/>
                <w:bCs/>
                <w:sz w:val="24"/>
                <w:szCs w:val="24"/>
              </w:rPr>
              <w:t>aterials</w:t>
            </w:r>
          </w:p>
        </w:tc>
      </w:tr>
      <w:tr w:rsidR="000F2B1E" w:rsidTr="003C061E" w14:paraId="7C24FA3D" w14:textId="77777777">
        <w:trPr>
          <w:jc w:val="center"/>
        </w:trPr>
        <w:tc>
          <w:tcPr>
            <w:tcW w:w="0" w:type="auto"/>
          </w:tcPr>
          <w:p w:rsidRPr="00B03A2C" w:rsidR="000F2B1E" w:rsidP="003C061E" w:rsidRDefault="000F2B1E" w14:paraId="23A7EC67" w14:textId="77777777">
            <w:pPr>
              <w:pStyle w:val="Standard"/>
              <w:keepNext/>
              <w:spacing w:line="240" w:lineRule="auto"/>
              <w:ind w:firstLine="0"/>
              <w:rPr>
                <w:sz w:val="24"/>
                <w:szCs w:val="24"/>
              </w:rPr>
            </w:pPr>
            <w:r w:rsidRPr="00B03A2C">
              <w:rPr>
                <w:sz w:val="24"/>
                <w:szCs w:val="24"/>
              </w:rPr>
              <w:t xml:space="preserve">BVES; East Bay Community Energy, Pioneer Community Energy. </w:t>
            </w:r>
          </w:p>
        </w:tc>
      </w:tr>
      <w:tr w:rsidR="000F2B1E" w:rsidTr="003C061E" w14:paraId="079699D8" w14:textId="77777777">
        <w:trPr>
          <w:jc w:val="center"/>
        </w:trPr>
        <w:tc>
          <w:tcPr>
            <w:tcW w:w="0" w:type="auto"/>
          </w:tcPr>
          <w:p w:rsidRPr="00B03A2C" w:rsidR="000F2B1E" w:rsidRDefault="000F2B1E" w14:paraId="31A0F9A9" w14:textId="77777777">
            <w:pPr>
              <w:pStyle w:val="Standard"/>
              <w:spacing w:line="240" w:lineRule="auto"/>
              <w:ind w:firstLine="0"/>
              <w:rPr>
                <w:sz w:val="24"/>
                <w:szCs w:val="24"/>
              </w:rPr>
            </w:pPr>
          </w:p>
        </w:tc>
      </w:tr>
      <w:tr w:rsidR="000F2B1E" w:rsidTr="003C061E" w14:paraId="78D5E63A" w14:textId="77777777">
        <w:trPr>
          <w:jc w:val="center"/>
        </w:trPr>
        <w:tc>
          <w:tcPr>
            <w:tcW w:w="0" w:type="auto"/>
          </w:tcPr>
          <w:p w:rsidRPr="00B03A2C" w:rsidR="000F2B1E" w:rsidRDefault="000F2B1E" w14:paraId="3798B7F4" w14:textId="77777777">
            <w:pPr>
              <w:pStyle w:val="Standard"/>
              <w:spacing w:line="240" w:lineRule="auto"/>
              <w:ind w:firstLine="0"/>
              <w:rPr>
                <w:b/>
                <w:bCs/>
                <w:sz w:val="24"/>
                <w:szCs w:val="24"/>
              </w:rPr>
            </w:pPr>
            <w:r w:rsidRPr="00B03A2C">
              <w:rPr>
                <w:b/>
                <w:bCs/>
                <w:sz w:val="24"/>
                <w:szCs w:val="24"/>
              </w:rPr>
              <w:t>No Mention of SB 255</w:t>
            </w:r>
          </w:p>
        </w:tc>
      </w:tr>
      <w:tr w:rsidR="000F2B1E" w:rsidTr="003C061E" w14:paraId="0CB6AC5C" w14:textId="77777777">
        <w:trPr>
          <w:jc w:val="center"/>
        </w:trPr>
        <w:tc>
          <w:tcPr>
            <w:tcW w:w="0" w:type="auto"/>
          </w:tcPr>
          <w:p w:rsidRPr="00B03A2C" w:rsidR="000F2B1E" w:rsidRDefault="000F2B1E" w14:paraId="40EE3010" w14:textId="354A3E72">
            <w:pPr>
              <w:pStyle w:val="Standard"/>
              <w:spacing w:line="240" w:lineRule="auto"/>
              <w:ind w:firstLine="0"/>
              <w:rPr>
                <w:b/>
                <w:bCs/>
                <w:sz w:val="24"/>
                <w:szCs w:val="24"/>
              </w:rPr>
            </w:pPr>
            <w:r w:rsidRPr="00B03A2C">
              <w:rPr>
                <w:sz w:val="24"/>
                <w:szCs w:val="24"/>
              </w:rPr>
              <w:t>Apple Valley Choice Energy, City of Palmdale, City of Pomona, Clean Energy Alliance, Lancaster Choice Energy, Pico Rivera Innovative Municipal Energy, Rancho Mirage Energy Authority, San Jacinto Power, Commercial Energy, Shell Energy North America, City of Santa Barbara, Central Coast Community Energy, Peninsula Clean Energy</w:t>
            </w:r>
            <w:r w:rsidR="00B91CAB">
              <w:rPr>
                <w:sz w:val="24"/>
                <w:szCs w:val="24"/>
              </w:rPr>
              <w:t>.</w:t>
            </w:r>
          </w:p>
        </w:tc>
      </w:tr>
    </w:tbl>
    <w:p w:rsidRPr="00500998" w:rsidR="00500998" w:rsidP="003C061E" w:rsidRDefault="0001706B" w14:paraId="3D67943A" w14:textId="68F97113">
      <w:pPr>
        <w:pStyle w:val="Standard"/>
        <w:spacing w:before="240"/>
      </w:pPr>
      <w:r>
        <w:t>Retail sellers</w:t>
      </w:r>
      <w:r w:rsidRPr="0001706B">
        <w:t xml:space="preserve"> that did not address SB</w:t>
      </w:r>
      <w:r w:rsidR="008672D2">
        <w:t xml:space="preserve"> </w:t>
      </w:r>
      <w:r w:rsidRPr="0001706B">
        <w:t xml:space="preserve">255 </w:t>
      </w:r>
      <w:r>
        <w:t xml:space="preserve">in their </w:t>
      </w:r>
      <w:r w:rsidR="00B66F65">
        <w:t xml:space="preserve">Draft </w:t>
      </w:r>
      <w:r>
        <w:t xml:space="preserve">2022 RPS Plans must </w:t>
      </w:r>
      <w:r w:rsidRPr="0001706B">
        <w:t xml:space="preserve">at least mention it consistent with </w:t>
      </w:r>
      <w:r>
        <w:t xml:space="preserve">2022 </w:t>
      </w:r>
      <w:r w:rsidRPr="0001706B">
        <w:t xml:space="preserve">ACR section 6.3. </w:t>
      </w:r>
      <w:r w:rsidR="00C56292">
        <w:t xml:space="preserve"> </w:t>
      </w:r>
      <w:r>
        <w:t xml:space="preserve">The Commission </w:t>
      </w:r>
      <w:r w:rsidRPr="0001706B">
        <w:t>encourag</w:t>
      </w:r>
      <w:r>
        <w:t xml:space="preserve">es all retail sellers </w:t>
      </w:r>
      <w:r w:rsidRPr="0001706B">
        <w:t xml:space="preserve">to follow </w:t>
      </w:r>
      <w:r w:rsidR="00F43098">
        <w:t xml:space="preserve">the </w:t>
      </w:r>
      <w:r w:rsidRPr="0001706B">
        <w:t>best examples who express a commitment to supplier diversity and incorporate it into their procurement efforts enterprise wide.</w:t>
      </w:r>
    </w:p>
    <w:p w:rsidR="005C0862" w:rsidP="005A3805" w:rsidRDefault="005A3805" w14:paraId="2A23009E" w14:textId="62850DEC">
      <w:pPr>
        <w:pStyle w:val="Heading3"/>
        <w:numPr>
          <w:ilvl w:val="2"/>
          <w:numId w:val="2"/>
        </w:numPr>
      </w:pPr>
      <w:bookmarkStart w:name="_Toc122180487" w:id="114"/>
      <w:r>
        <w:t>Cost Quantification</w:t>
      </w:r>
      <w:bookmarkEnd w:id="114"/>
    </w:p>
    <w:p w:rsidRPr="005A3805" w:rsidR="005A3805" w:rsidP="005A3805" w:rsidRDefault="005A3805" w14:paraId="5F8C697B" w14:textId="5DF31804">
      <w:pPr>
        <w:pStyle w:val="Standard"/>
      </w:pPr>
      <w:r w:rsidRPr="005A3805">
        <w:t xml:space="preserve">The Commission requires retail sellers listed in Table </w:t>
      </w:r>
      <w:r w:rsidR="00A35D01">
        <w:t>10</w:t>
      </w:r>
      <w:r w:rsidRPr="005A3805">
        <w:t xml:space="preserve"> to provide complete and/or corrected information or explain discrepancies between the submitted RNS calculations and Cost Quantification sheets in their Final 2022</w:t>
      </w:r>
      <w:r w:rsidR="003C061E">
        <w:t> </w:t>
      </w:r>
      <w:r w:rsidRPr="005A3805">
        <w:t>RPS Plans.</w:t>
      </w:r>
    </w:p>
    <w:p w:rsidRPr="005A3805" w:rsidR="005A3805" w:rsidP="005A3805" w:rsidRDefault="005A3805" w14:paraId="28B77CCF" w14:textId="77777777">
      <w:pPr>
        <w:pStyle w:val="Standard"/>
      </w:pPr>
      <w:r w:rsidRPr="005A3805">
        <w:t>Pursuant to the 2022 ACR requirements, “All retail sellers must submit the native file versions of the required Microsoft Excel spreadsheets for the RNS calculations, Project Development Status Update, and Cost Quantification to Energy Division staff through the CPUC’s Secure File Transfer Protocol (FTP).  This submission is in addition to including the required data in the retail sellers’ RPS Plan.”</w:t>
      </w:r>
      <w:r w:rsidRPr="005A3805">
        <w:rPr>
          <w:vertAlign w:val="superscript"/>
        </w:rPr>
        <w:footnoteReference w:id="50"/>
      </w:r>
    </w:p>
    <w:p w:rsidRPr="005A3805" w:rsidR="005A3805" w:rsidP="005A3805" w:rsidRDefault="005A3805" w14:paraId="223BE4F9" w14:textId="08909300">
      <w:pPr>
        <w:pStyle w:val="Standard"/>
      </w:pPr>
      <w:r w:rsidRPr="005A3805">
        <w:t xml:space="preserve">The Commission finds that </w:t>
      </w:r>
      <w:bookmarkStart w:name="_Hlk117493688" w:id="115"/>
      <w:r w:rsidR="00852DA4">
        <w:t>five</w:t>
      </w:r>
      <w:r w:rsidRPr="005A3805" w:rsidR="00852DA4">
        <w:t xml:space="preserve"> </w:t>
      </w:r>
      <w:r w:rsidRPr="005A3805">
        <w:t>CCAs, namely, Clean Energy Alliance, City of Pomona, and San Diego Community Power, did not submit complete</w:t>
      </w:r>
      <w:r w:rsidR="008672D2">
        <w:t xml:space="preserve"> and </w:t>
      </w:r>
      <w:r w:rsidRPr="005A3805">
        <w:t xml:space="preserve">correct Cost Quantification sheets.  </w:t>
      </w:r>
      <w:bookmarkEnd w:id="115"/>
    </w:p>
    <w:p w:rsidRPr="005A3805" w:rsidR="005A3805" w:rsidP="005A3805" w:rsidRDefault="005A3805" w14:paraId="6ECBDAC7" w14:textId="77777777">
      <w:pPr>
        <w:pStyle w:val="Standard"/>
      </w:pPr>
      <w:r w:rsidRPr="005A3805">
        <w:t xml:space="preserve">These retail sellers </w:t>
      </w:r>
      <w:bookmarkStart w:name="_Hlk117493743" w:id="116"/>
      <w:r w:rsidRPr="005A3805">
        <w:t>should review the table below to see the precise issue and must make corrections ac</w:t>
      </w:r>
      <w:bookmarkEnd w:id="116"/>
      <w:r w:rsidRPr="005A3805">
        <w:t>cordingly.  In some cases, cells were left empty where it appears likely that values would have been zero, however the retail seller should enter “0” instead to avoid confusion.</w:t>
      </w:r>
    </w:p>
    <w:p w:rsidRPr="005A3805" w:rsidR="005A3805" w:rsidP="005A3805" w:rsidRDefault="005A3805" w14:paraId="1D94F896" w14:textId="6C745432">
      <w:pPr>
        <w:pStyle w:val="Standard"/>
      </w:pPr>
      <w:r w:rsidRPr="005A3805">
        <w:t>Additionally, the Commission found numerous instances where equivalent metrics did not align between the cost quantification and RNS spreadsheets.  Absent explanation, a given measure cannot have multiple values and be correct.  The table below lists the retail sellers with data discrepancies.  The retail sellers must review the findings below and correct or explain the differences in their 2022</w:t>
      </w:r>
      <w:r w:rsidR="007B299C">
        <w:t xml:space="preserve"> Final</w:t>
      </w:r>
      <w:r w:rsidRPr="005A3805">
        <w:t xml:space="preserve"> RPS Plans.</w:t>
      </w:r>
    </w:p>
    <w:p w:rsidRPr="00B91CAB" w:rsidR="005A3805" w:rsidP="00B91CAB" w:rsidRDefault="005A3805" w14:paraId="16601282" w14:textId="7C4A73AD">
      <w:pPr>
        <w:keepNext/>
        <w:spacing w:after="120" w:line="240" w:lineRule="auto"/>
        <w:ind w:firstLine="0"/>
        <w:jc w:val="center"/>
        <w:rPr>
          <w:b/>
          <w:bCs/>
          <w:szCs w:val="26"/>
        </w:rPr>
      </w:pPr>
      <w:r w:rsidRPr="008F46E2">
        <w:rPr>
          <w:b/>
          <w:bCs/>
          <w:szCs w:val="26"/>
        </w:rPr>
        <w:t xml:space="preserve">Table </w:t>
      </w:r>
      <w:r w:rsidR="00FD5EC7">
        <w:rPr>
          <w:b/>
          <w:bCs/>
          <w:szCs w:val="26"/>
        </w:rPr>
        <w:t>1</w:t>
      </w:r>
      <w:r w:rsidR="00955469">
        <w:rPr>
          <w:b/>
          <w:bCs/>
          <w:szCs w:val="26"/>
        </w:rPr>
        <w:t>0</w:t>
      </w:r>
      <w:r w:rsidRPr="008F46E2">
        <w:rPr>
          <w:b/>
          <w:bCs/>
          <w:szCs w:val="26"/>
        </w:rPr>
        <w:t xml:space="preserve">:  Cost Quantification </w:t>
      </w:r>
    </w:p>
    <w:tbl>
      <w:tblPr>
        <w:tblStyle w:val="TableGrid1"/>
        <w:tblW w:w="0" w:type="auto"/>
        <w:tblLook w:val="04A0" w:firstRow="1" w:lastRow="0" w:firstColumn="1" w:lastColumn="0" w:noHBand="0" w:noVBand="1"/>
      </w:tblPr>
      <w:tblGrid>
        <w:gridCol w:w="3145"/>
        <w:gridCol w:w="6205"/>
      </w:tblGrid>
      <w:tr w:rsidRPr="00F02A03" w:rsidR="005A3805" w:rsidTr="00E8262E" w14:paraId="27D55EFE" w14:textId="77777777">
        <w:tc>
          <w:tcPr>
            <w:tcW w:w="3145" w:type="dxa"/>
            <w:shd w:val="clear" w:color="auto" w:fill="BFBFBF" w:themeFill="background1" w:themeFillShade="BF"/>
            <w:vAlign w:val="center"/>
          </w:tcPr>
          <w:p w:rsidRPr="006F2BE9" w:rsidR="005A3805" w:rsidP="006F2BE9" w:rsidRDefault="005A3805" w14:paraId="7EB2D3AC" w14:textId="12998004">
            <w:pPr>
              <w:keepNext/>
              <w:spacing w:line="240" w:lineRule="auto"/>
              <w:ind w:firstLine="0"/>
              <w:jc w:val="center"/>
              <w:rPr>
                <w:b/>
                <w:color w:val="000000" w:themeColor="text1"/>
                <w:sz w:val="24"/>
                <w:szCs w:val="24"/>
              </w:rPr>
            </w:pPr>
            <w:r w:rsidRPr="006F2BE9">
              <w:rPr>
                <w:b/>
                <w:color w:val="000000" w:themeColor="text1"/>
                <w:sz w:val="24"/>
                <w:szCs w:val="24"/>
              </w:rPr>
              <w:t>Retail Seller</w:t>
            </w:r>
            <w:r w:rsidR="006F2BE9">
              <w:rPr>
                <w:b/>
                <w:color w:val="000000" w:themeColor="text1"/>
                <w:sz w:val="24"/>
                <w:szCs w:val="24"/>
              </w:rPr>
              <w:t xml:space="preserve"> </w:t>
            </w:r>
            <w:r w:rsidRPr="006F2BE9">
              <w:rPr>
                <w:b/>
                <w:bCs/>
                <w:color w:val="000000" w:themeColor="text1"/>
                <w:sz w:val="24"/>
                <w:szCs w:val="24"/>
              </w:rPr>
              <w:t>(CCAs)</w:t>
            </w:r>
          </w:p>
        </w:tc>
        <w:tc>
          <w:tcPr>
            <w:tcW w:w="6205" w:type="dxa"/>
            <w:shd w:val="clear" w:color="auto" w:fill="BFBFBF" w:themeFill="background1" w:themeFillShade="BF"/>
            <w:vAlign w:val="center"/>
          </w:tcPr>
          <w:p w:rsidRPr="006F2BE9" w:rsidR="005A3805" w:rsidP="006F2BE9" w:rsidRDefault="005A3805" w14:paraId="2D6F7482" w14:textId="77777777">
            <w:pPr>
              <w:keepNext/>
              <w:spacing w:line="240" w:lineRule="auto"/>
              <w:ind w:firstLine="0"/>
              <w:jc w:val="center"/>
              <w:rPr>
                <w:b/>
                <w:color w:val="000000" w:themeColor="text1"/>
                <w:sz w:val="24"/>
                <w:szCs w:val="24"/>
              </w:rPr>
            </w:pPr>
            <w:r w:rsidRPr="006F2BE9">
              <w:rPr>
                <w:b/>
                <w:color w:val="000000" w:themeColor="text1"/>
                <w:sz w:val="24"/>
                <w:szCs w:val="24"/>
              </w:rPr>
              <w:t>Commission Finding</w:t>
            </w:r>
          </w:p>
        </w:tc>
      </w:tr>
      <w:tr w:rsidRPr="00F02A03" w:rsidR="005A3805" w:rsidTr="00E8262E" w14:paraId="2546B374" w14:textId="77777777">
        <w:tc>
          <w:tcPr>
            <w:tcW w:w="3145" w:type="dxa"/>
            <w:vAlign w:val="center"/>
          </w:tcPr>
          <w:p w:rsidRPr="006F2BE9" w:rsidR="005A3805" w:rsidP="006F2BE9" w:rsidRDefault="005A3805" w14:paraId="32709261" w14:textId="77777777">
            <w:pPr>
              <w:keepNext/>
              <w:spacing w:line="240" w:lineRule="auto"/>
              <w:ind w:firstLine="0"/>
              <w:rPr>
                <w:b/>
                <w:color w:val="000000" w:themeColor="text1"/>
                <w:sz w:val="24"/>
                <w:szCs w:val="24"/>
              </w:rPr>
            </w:pPr>
            <w:bookmarkStart w:name="_Hlk117500620" w:id="117"/>
            <w:r w:rsidRPr="006F2BE9">
              <w:rPr>
                <w:b/>
                <w:color w:val="000000" w:themeColor="text1"/>
                <w:sz w:val="24"/>
                <w:szCs w:val="24"/>
              </w:rPr>
              <w:t>Clean Energy Alliance</w:t>
            </w:r>
          </w:p>
        </w:tc>
        <w:tc>
          <w:tcPr>
            <w:tcW w:w="6205" w:type="dxa"/>
            <w:vAlign w:val="center"/>
          </w:tcPr>
          <w:p w:rsidRPr="006F2BE9" w:rsidR="005A3805" w:rsidP="00B91CAB" w:rsidRDefault="005A3805" w14:paraId="23AC5507" w14:textId="77A133B7">
            <w:pPr>
              <w:keepNext/>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RPS-Eligible procurement was significantly different from RNS sheet for 2023-2032</w:t>
            </w:r>
            <w:r w:rsidRPr="006F2BE9" w:rsidR="008672D2">
              <w:rPr>
                <w:rFonts w:eastAsia="Times New Roman" w:cs="Times New Roman"/>
                <w:color w:val="000000" w:themeColor="text1"/>
                <w:sz w:val="24"/>
                <w:szCs w:val="24"/>
              </w:rPr>
              <w:t>.</w:t>
            </w:r>
          </w:p>
        </w:tc>
      </w:tr>
      <w:tr w:rsidR="005A3805" w:rsidTr="00E8262E" w14:paraId="5CCE5A94" w14:textId="77777777">
        <w:tc>
          <w:tcPr>
            <w:tcW w:w="3145" w:type="dxa"/>
            <w:vAlign w:val="center"/>
          </w:tcPr>
          <w:p w:rsidRPr="006F2BE9" w:rsidR="005A3805" w:rsidP="006F2BE9" w:rsidRDefault="005A3805" w14:paraId="245F2EAD" w14:textId="77777777">
            <w:pPr>
              <w:spacing w:line="240" w:lineRule="auto"/>
              <w:ind w:firstLine="0"/>
              <w:rPr>
                <w:rFonts w:eastAsia="Calibri" w:cs="Arial"/>
                <w:b/>
                <w:color w:val="000000" w:themeColor="text1"/>
                <w:sz w:val="24"/>
                <w:szCs w:val="24"/>
              </w:rPr>
            </w:pPr>
            <w:r w:rsidRPr="006F2BE9">
              <w:rPr>
                <w:rFonts w:eastAsia="Calibri" w:cs="Arial"/>
                <w:b/>
                <w:bCs/>
                <w:color w:val="000000" w:themeColor="text1"/>
                <w:sz w:val="24"/>
                <w:szCs w:val="24"/>
              </w:rPr>
              <w:t>CleanPower SF</w:t>
            </w:r>
          </w:p>
        </w:tc>
        <w:tc>
          <w:tcPr>
            <w:tcW w:w="6205" w:type="dxa"/>
            <w:vAlign w:val="center"/>
          </w:tcPr>
          <w:p w:rsidRPr="006F2BE9" w:rsidR="005A3805" w:rsidRDefault="005A3805" w14:paraId="728E6BE6" w14:textId="700A9E91">
            <w:pPr>
              <w:spacing w:line="240" w:lineRule="auto"/>
              <w:ind w:firstLine="0"/>
              <w:rPr>
                <w:rFonts w:asciiTheme="minorHAnsi" w:hAnsiTheme="minorHAnsi" w:eastAsiaTheme="minorEastAsia"/>
                <w:color w:val="000000" w:themeColor="text1"/>
                <w:sz w:val="24"/>
                <w:szCs w:val="24"/>
              </w:rPr>
            </w:pPr>
            <w:r w:rsidRPr="006F2BE9">
              <w:rPr>
                <w:rFonts w:eastAsia="Times New Roman" w:cs="Times New Roman"/>
                <w:color w:val="000000" w:themeColor="text1"/>
                <w:sz w:val="24"/>
                <w:szCs w:val="24"/>
              </w:rPr>
              <w:t>“Total RPS Eligible procurement” is not consistent between Cost Quantification and RNS sheets for 2022</w:t>
            </w:r>
            <w:r w:rsidR="006F2BE9">
              <w:rPr>
                <w:rFonts w:eastAsia="Times New Roman" w:cs="Times New Roman"/>
                <w:color w:val="000000" w:themeColor="text1"/>
                <w:sz w:val="24"/>
                <w:szCs w:val="24"/>
              </w:rPr>
              <w:noBreakHyphen/>
            </w:r>
            <w:r w:rsidRPr="006F2BE9">
              <w:rPr>
                <w:rFonts w:eastAsia="Times New Roman" w:cs="Times New Roman"/>
                <w:color w:val="000000" w:themeColor="text1"/>
                <w:sz w:val="24"/>
                <w:szCs w:val="24"/>
              </w:rPr>
              <w:t>2024.</w:t>
            </w:r>
          </w:p>
        </w:tc>
      </w:tr>
      <w:tr w:rsidRPr="00F02A03" w:rsidR="005A3805" w:rsidTr="00E8262E" w14:paraId="78A34BA9" w14:textId="77777777">
        <w:tc>
          <w:tcPr>
            <w:tcW w:w="3145" w:type="dxa"/>
            <w:vAlign w:val="center"/>
          </w:tcPr>
          <w:p w:rsidRPr="006F2BE9" w:rsidR="005A3805" w:rsidP="006F2BE9" w:rsidRDefault="005A3805" w14:paraId="7375BBB3" w14:textId="77777777">
            <w:pPr>
              <w:spacing w:after="200" w:line="240" w:lineRule="auto"/>
              <w:ind w:firstLine="0"/>
              <w:rPr>
                <w:b/>
                <w:color w:val="000000" w:themeColor="text1"/>
                <w:sz w:val="24"/>
                <w:szCs w:val="24"/>
              </w:rPr>
            </w:pPr>
            <w:r w:rsidRPr="006F2BE9">
              <w:rPr>
                <w:b/>
                <w:color w:val="000000" w:themeColor="text1"/>
                <w:sz w:val="24"/>
                <w:szCs w:val="24"/>
              </w:rPr>
              <w:t>City of Pomona</w:t>
            </w:r>
          </w:p>
        </w:tc>
        <w:tc>
          <w:tcPr>
            <w:tcW w:w="6205" w:type="dxa"/>
            <w:vAlign w:val="center"/>
          </w:tcPr>
          <w:p w:rsidRPr="006F2BE9" w:rsidR="005A3805" w:rsidRDefault="005A3805" w14:paraId="06AEBD5D" w14:textId="7E49F1CE">
            <w:pPr>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Cost Quantification Table 1 for 2019 should be 0, not blank</w:t>
            </w:r>
            <w:r w:rsidRPr="006F2BE9" w:rsidR="008672D2">
              <w:rPr>
                <w:rFonts w:eastAsia="Times New Roman" w:cs="Times New Roman"/>
                <w:color w:val="000000" w:themeColor="text1"/>
                <w:sz w:val="24"/>
                <w:szCs w:val="24"/>
              </w:rPr>
              <w:t>.</w:t>
            </w:r>
          </w:p>
        </w:tc>
      </w:tr>
      <w:tr w:rsidRPr="00F02A03" w:rsidR="005A3805" w:rsidTr="00E8262E" w14:paraId="29CE4F08" w14:textId="77777777">
        <w:tc>
          <w:tcPr>
            <w:tcW w:w="3145" w:type="dxa"/>
            <w:vAlign w:val="center"/>
          </w:tcPr>
          <w:p w:rsidRPr="006F2BE9" w:rsidR="005A3805" w:rsidDel="31E38D96" w:rsidP="006F2BE9" w:rsidRDefault="005A3805" w14:paraId="2B9A790C" w14:textId="77777777">
            <w:pPr>
              <w:spacing w:line="240" w:lineRule="auto"/>
              <w:ind w:firstLine="0"/>
              <w:rPr>
                <w:b/>
                <w:bCs/>
                <w:color w:val="000000" w:themeColor="text1"/>
                <w:sz w:val="24"/>
                <w:szCs w:val="24"/>
              </w:rPr>
            </w:pPr>
            <w:r w:rsidRPr="006F2BE9">
              <w:rPr>
                <w:b/>
                <w:bCs/>
                <w:color w:val="000000" w:themeColor="text1"/>
                <w:sz w:val="24"/>
                <w:szCs w:val="24"/>
              </w:rPr>
              <w:t>Lancaster Choice Energy</w:t>
            </w:r>
          </w:p>
        </w:tc>
        <w:tc>
          <w:tcPr>
            <w:tcW w:w="6205" w:type="dxa"/>
            <w:vAlign w:val="center"/>
          </w:tcPr>
          <w:p w:rsidRPr="006F2BE9" w:rsidR="005A3805" w:rsidDel="31E38D96" w:rsidRDefault="005A3805" w14:paraId="60229581" w14:textId="77777777">
            <w:pPr>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Executed REC sales in 2022 not consistent between Cost and RNS sheets.</w:t>
            </w:r>
          </w:p>
        </w:tc>
      </w:tr>
      <w:tr w:rsidRPr="00F02A03" w:rsidR="005A3805" w:rsidTr="00E8262E" w14:paraId="5926984A" w14:textId="77777777">
        <w:tc>
          <w:tcPr>
            <w:tcW w:w="3145" w:type="dxa"/>
            <w:vAlign w:val="center"/>
          </w:tcPr>
          <w:p w:rsidRPr="006F2BE9" w:rsidR="005A3805" w:rsidP="006F2BE9" w:rsidRDefault="005A3805" w14:paraId="6ABA9F39" w14:textId="77777777">
            <w:pPr>
              <w:spacing w:line="240" w:lineRule="auto"/>
              <w:ind w:firstLine="0"/>
              <w:rPr>
                <w:b/>
                <w:color w:val="000000" w:themeColor="text1"/>
                <w:sz w:val="24"/>
                <w:szCs w:val="24"/>
              </w:rPr>
            </w:pPr>
            <w:r w:rsidRPr="006F2BE9">
              <w:rPr>
                <w:b/>
                <w:color w:val="000000" w:themeColor="text1"/>
                <w:sz w:val="24"/>
                <w:szCs w:val="24"/>
              </w:rPr>
              <w:t>San Diego Community Power</w:t>
            </w:r>
          </w:p>
        </w:tc>
        <w:tc>
          <w:tcPr>
            <w:tcW w:w="6205" w:type="dxa"/>
            <w:vAlign w:val="center"/>
          </w:tcPr>
          <w:p w:rsidRPr="006F2BE9" w:rsidR="005A3805" w:rsidRDefault="005A3805" w14:paraId="147B4C30" w14:textId="75CE75A0">
            <w:pPr>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Cost Quantification Table 1 is blank</w:t>
            </w:r>
            <w:r w:rsidRPr="006F2BE9" w:rsidR="008672D2">
              <w:rPr>
                <w:rFonts w:eastAsia="Times New Roman" w:cs="Times New Roman"/>
                <w:color w:val="000000" w:themeColor="text1"/>
                <w:sz w:val="24"/>
                <w:szCs w:val="24"/>
              </w:rPr>
              <w:t>.</w:t>
            </w:r>
          </w:p>
        </w:tc>
      </w:tr>
      <w:tr w:rsidR="005A3805" w:rsidTr="00E8262E" w14:paraId="66844F6E" w14:textId="77777777">
        <w:tc>
          <w:tcPr>
            <w:tcW w:w="3145" w:type="dxa"/>
            <w:vAlign w:val="center"/>
          </w:tcPr>
          <w:p w:rsidRPr="006F2BE9" w:rsidR="005A3805" w:rsidP="006F2BE9" w:rsidRDefault="005A3805" w14:paraId="38AD3A55" w14:textId="77777777">
            <w:pPr>
              <w:spacing w:line="240" w:lineRule="auto"/>
              <w:ind w:firstLine="0"/>
              <w:rPr>
                <w:rFonts w:eastAsia="Calibri" w:cs="Arial"/>
                <w:b/>
                <w:bCs/>
                <w:color w:val="000000" w:themeColor="text1"/>
                <w:sz w:val="24"/>
                <w:szCs w:val="24"/>
              </w:rPr>
            </w:pPr>
            <w:r w:rsidRPr="006F2BE9">
              <w:rPr>
                <w:rFonts w:eastAsia="Calibri" w:cs="Arial"/>
                <w:b/>
                <w:bCs/>
                <w:color w:val="000000" w:themeColor="text1"/>
                <w:sz w:val="24"/>
                <w:szCs w:val="24"/>
              </w:rPr>
              <w:t xml:space="preserve">San Jose Clean Energy </w:t>
            </w:r>
          </w:p>
        </w:tc>
        <w:tc>
          <w:tcPr>
            <w:tcW w:w="6205" w:type="dxa"/>
            <w:vAlign w:val="center"/>
          </w:tcPr>
          <w:p w:rsidRPr="006F2BE9" w:rsidR="005A3805" w:rsidRDefault="005A3805" w14:paraId="68A3947C" w14:textId="50304061">
            <w:pPr>
              <w:spacing w:line="240" w:lineRule="auto"/>
              <w:ind w:firstLine="0"/>
              <w:rPr>
                <w:rFonts w:asciiTheme="minorHAnsi" w:hAnsiTheme="minorHAnsi" w:eastAsiaTheme="minorEastAsia"/>
                <w:color w:val="000000" w:themeColor="text1"/>
                <w:sz w:val="24"/>
                <w:szCs w:val="24"/>
              </w:rPr>
            </w:pPr>
            <w:r w:rsidRPr="006F2BE9">
              <w:rPr>
                <w:rFonts w:eastAsia="Times New Roman" w:cs="Times New Roman"/>
                <w:color w:val="000000" w:themeColor="text1"/>
                <w:sz w:val="24"/>
                <w:szCs w:val="24"/>
              </w:rPr>
              <w:t>“Total RPS Eligible procurement” is not consistent between Cost Quantification and RNS sheets for 2022</w:t>
            </w:r>
            <w:r w:rsidR="006F2BE9">
              <w:rPr>
                <w:rFonts w:eastAsia="Times New Roman" w:cs="Times New Roman"/>
                <w:color w:val="000000" w:themeColor="text1"/>
                <w:sz w:val="24"/>
                <w:szCs w:val="24"/>
              </w:rPr>
              <w:noBreakHyphen/>
            </w:r>
            <w:r w:rsidRPr="006F2BE9">
              <w:rPr>
                <w:rFonts w:eastAsia="Times New Roman" w:cs="Times New Roman"/>
                <w:color w:val="000000" w:themeColor="text1"/>
                <w:sz w:val="24"/>
                <w:szCs w:val="24"/>
              </w:rPr>
              <w:t>2032.</w:t>
            </w:r>
          </w:p>
        </w:tc>
      </w:tr>
      <w:tr w:rsidRPr="00F02A03" w:rsidR="005A3805" w:rsidTr="00E8262E" w14:paraId="1C2FEF71" w14:textId="77777777">
        <w:tc>
          <w:tcPr>
            <w:tcW w:w="3145" w:type="dxa"/>
            <w:shd w:val="clear" w:color="auto" w:fill="BFBFBF" w:themeFill="background1" w:themeFillShade="BF"/>
            <w:vAlign w:val="center"/>
          </w:tcPr>
          <w:p w:rsidRPr="006F2BE9" w:rsidR="005A3805" w:rsidP="00101D91" w:rsidRDefault="005A3805" w14:paraId="7CE82EDC" w14:textId="77777777">
            <w:pPr>
              <w:keepNext/>
              <w:spacing w:line="240" w:lineRule="auto"/>
              <w:ind w:firstLine="0"/>
              <w:jc w:val="center"/>
              <w:rPr>
                <w:color w:val="000000" w:themeColor="text1"/>
                <w:sz w:val="24"/>
                <w:szCs w:val="24"/>
              </w:rPr>
            </w:pPr>
            <w:r w:rsidRPr="006F2BE9">
              <w:rPr>
                <w:b/>
                <w:bCs/>
                <w:color w:val="000000" w:themeColor="text1"/>
                <w:sz w:val="24"/>
                <w:szCs w:val="24"/>
              </w:rPr>
              <w:t>Retail Seller (ESPs)</w:t>
            </w:r>
          </w:p>
        </w:tc>
        <w:tc>
          <w:tcPr>
            <w:tcW w:w="6205" w:type="dxa"/>
            <w:shd w:val="clear" w:color="auto" w:fill="BFBFBF" w:themeFill="background1" w:themeFillShade="BF"/>
            <w:vAlign w:val="center"/>
          </w:tcPr>
          <w:p w:rsidRPr="006F2BE9" w:rsidR="005A3805" w:rsidP="00101D91" w:rsidRDefault="005A3805" w14:paraId="725AB072" w14:textId="77777777">
            <w:pPr>
              <w:keepNext/>
              <w:spacing w:line="240" w:lineRule="auto"/>
              <w:ind w:firstLine="0"/>
              <w:jc w:val="center"/>
              <w:rPr>
                <w:color w:val="000000" w:themeColor="text1"/>
                <w:sz w:val="24"/>
                <w:szCs w:val="24"/>
              </w:rPr>
            </w:pPr>
            <w:r w:rsidRPr="006F2BE9">
              <w:rPr>
                <w:b/>
                <w:bCs/>
                <w:color w:val="000000" w:themeColor="text1"/>
                <w:sz w:val="24"/>
                <w:szCs w:val="24"/>
              </w:rPr>
              <w:t>Commission Finding</w:t>
            </w:r>
          </w:p>
        </w:tc>
      </w:tr>
      <w:tr w:rsidRPr="00F02A03" w:rsidR="005A3805" w:rsidTr="00E8262E" w14:paraId="0EC475B6" w14:textId="77777777">
        <w:tc>
          <w:tcPr>
            <w:tcW w:w="3145" w:type="dxa"/>
            <w:vAlign w:val="center"/>
          </w:tcPr>
          <w:p w:rsidRPr="006F2BE9" w:rsidR="005A3805" w:rsidP="00101D91" w:rsidRDefault="005A3805" w14:paraId="7601766C" w14:textId="77777777">
            <w:pPr>
              <w:keepNext/>
              <w:spacing w:line="240" w:lineRule="auto"/>
              <w:ind w:firstLine="0"/>
              <w:rPr>
                <w:b/>
                <w:color w:val="000000" w:themeColor="text1"/>
                <w:sz w:val="24"/>
                <w:szCs w:val="24"/>
              </w:rPr>
            </w:pPr>
            <w:r w:rsidRPr="006F2BE9">
              <w:rPr>
                <w:b/>
                <w:color w:val="000000" w:themeColor="text1"/>
                <w:sz w:val="24"/>
                <w:szCs w:val="24"/>
              </w:rPr>
              <w:t>3 Phases Renewables</w:t>
            </w:r>
          </w:p>
        </w:tc>
        <w:tc>
          <w:tcPr>
            <w:tcW w:w="6205" w:type="dxa"/>
            <w:vAlign w:val="center"/>
          </w:tcPr>
          <w:p w:rsidRPr="006F2BE9" w:rsidR="005A3805" w:rsidP="00101D91" w:rsidRDefault="005A3805" w14:paraId="31290C2A" w14:textId="0C837CD4">
            <w:pPr>
              <w:keepNext/>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“Executed REC Sales” are not consistent between Cost Quantification and RNS sheets for 2022-2030</w:t>
            </w:r>
            <w:r w:rsidRPr="006F2BE9" w:rsidR="008672D2">
              <w:rPr>
                <w:rFonts w:eastAsia="Times New Roman" w:cs="Times New Roman"/>
                <w:color w:val="000000" w:themeColor="text1"/>
                <w:sz w:val="24"/>
                <w:szCs w:val="24"/>
              </w:rPr>
              <w:t>.</w:t>
            </w:r>
          </w:p>
        </w:tc>
      </w:tr>
      <w:tr w:rsidRPr="00F02A03" w:rsidR="005A3805" w:rsidTr="00E8262E" w14:paraId="432AAA45" w14:textId="77777777">
        <w:tc>
          <w:tcPr>
            <w:tcW w:w="3145" w:type="dxa"/>
            <w:vAlign w:val="center"/>
          </w:tcPr>
          <w:p w:rsidRPr="006F2BE9" w:rsidR="005A3805" w:rsidP="006F2BE9" w:rsidRDefault="005A3805" w14:paraId="21E4816A" w14:textId="77777777">
            <w:pPr>
              <w:spacing w:line="240" w:lineRule="auto"/>
              <w:ind w:firstLine="0"/>
              <w:rPr>
                <w:b/>
                <w:color w:val="000000" w:themeColor="text1"/>
                <w:sz w:val="24"/>
                <w:szCs w:val="24"/>
              </w:rPr>
            </w:pPr>
            <w:r w:rsidRPr="006F2BE9">
              <w:rPr>
                <w:b/>
                <w:color w:val="000000" w:themeColor="text1"/>
                <w:sz w:val="24"/>
                <w:szCs w:val="24"/>
              </w:rPr>
              <w:t>Direct Energy Business</w:t>
            </w:r>
          </w:p>
        </w:tc>
        <w:tc>
          <w:tcPr>
            <w:tcW w:w="6205" w:type="dxa"/>
            <w:vAlign w:val="center"/>
          </w:tcPr>
          <w:p w:rsidRPr="006F2BE9" w:rsidR="005A3805" w:rsidRDefault="005A3805" w14:paraId="56457F1F" w14:textId="5841BA2C">
            <w:pPr>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“Total RPS Eligible procurement” is not consistent between Cost Quantification and RNS sheets for 202</w:t>
            </w:r>
            <w:r w:rsidRPr="006F2BE9" w:rsidR="00EA4B86">
              <w:rPr>
                <w:rFonts w:eastAsia="Times New Roman" w:cs="Times New Roman"/>
                <w:color w:val="000000" w:themeColor="text1"/>
                <w:sz w:val="24"/>
                <w:szCs w:val="24"/>
              </w:rPr>
              <w:t>3</w:t>
            </w:r>
            <w:r w:rsidR="006F2BE9">
              <w:rPr>
                <w:rFonts w:eastAsia="Times New Roman" w:cs="Times New Roman"/>
                <w:color w:val="000000" w:themeColor="text1"/>
                <w:sz w:val="24"/>
                <w:szCs w:val="24"/>
              </w:rPr>
              <w:noBreakHyphen/>
            </w:r>
            <w:r w:rsidRPr="006F2BE9">
              <w:rPr>
                <w:rFonts w:eastAsia="Times New Roman" w:cs="Times New Roman"/>
                <w:color w:val="000000" w:themeColor="text1"/>
                <w:sz w:val="24"/>
                <w:szCs w:val="24"/>
              </w:rPr>
              <w:t>2032</w:t>
            </w:r>
            <w:r w:rsidRPr="006F2BE9" w:rsidR="008672D2">
              <w:rPr>
                <w:rFonts w:eastAsia="Times New Roman" w:cs="Times New Roman"/>
                <w:color w:val="000000" w:themeColor="text1"/>
                <w:sz w:val="24"/>
                <w:szCs w:val="24"/>
              </w:rPr>
              <w:t>.</w:t>
            </w:r>
          </w:p>
        </w:tc>
      </w:tr>
      <w:tr w:rsidRPr="00F02A03" w:rsidR="005A3805" w:rsidTr="00E8262E" w14:paraId="2F92DC36" w14:textId="77777777">
        <w:trPr>
          <w:trHeight w:val="872"/>
        </w:trPr>
        <w:tc>
          <w:tcPr>
            <w:tcW w:w="3145" w:type="dxa"/>
            <w:vAlign w:val="center"/>
          </w:tcPr>
          <w:p w:rsidRPr="006F2BE9" w:rsidR="005A3805" w:rsidP="006F2BE9" w:rsidRDefault="005A3805" w14:paraId="56D2E305" w14:textId="77777777">
            <w:pPr>
              <w:spacing w:line="240" w:lineRule="auto"/>
              <w:ind w:firstLine="0"/>
              <w:rPr>
                <w:b/>
                <w:color w:val="000000" w:themeColor="text1"/>
                <w:sz w:val="24"/>
                <w:szCs w:val="24"/>
              </w:rPr>
            </w:pPr>
            <w:r w:rsidRPr="006F2BE9">
              <w:rPr>
                <w:b/>
                <w:color w:val="000000" w:themeColor="text1"/>
                <w:sz w:val="24"/>
                <w:szCs w:val="24"/>
              </w:rPr>
              <w:t>The Regents of the University of California</w:t>
            </w:r>
          </w:p>
        </w:tc>
        <w:tc>
          <w:tcPr>
            <w:tcW w:w="6205" w:type="dxa"/>
            <w:vAlign w:val="center"/>
          </w:tcPr>
          <w:p w:rsidRPr="006F2BE9" w:rsidR="005A3805" w:rsidRDefault="005A3805" w14:paraId="735C1B5E" w14:textId="004C8B84">
            <w:pPr>
              <w:spacing w:line="240" w:lineRule="auto"/>
              <w:ind w:firstLine="0"/>
              <w:contextualSpacing/>
              <w:rPr>
                <w:rFonts w:eastAsia="Times New Roman" w:cs="Times New Roman"/>
                <w:color w:val="000000" w:themeColor="text1"/>
                <w:sz w:val="24"/>
                <w:szCs w:val="24"/>
              </w:rPr>
            </w:pPr>
            <w:r w:rsidRPr="006F2BE9">
              <w:rPr>
                <w:rFonts w:eastAsia="Times New Roman" w:cs="Times New Roman"/>
                <w:color w:val="000000" w:themeColor="text1"/>
                <w:sz w:val="24"/>
                <w:szCs w:val="24"/>
              </w:rPr>
              <w:t>“Total RPS Eligible procurement” is not consistent between Cost Quantification and RNS sheets for 2022</w:t>
            </w:r>
            <w:r w:rsidRPr="006F2BE9" w:rsidR="008672D2">
              <w:rPr>
                <w:rFonts w:eastAsia="Times New Roman" w:cs="Times New Roman"/>
                <w:color w:val="000000" w:themeColor="text1"/>
                <w:sz w:val="24"/>
                <w:szCs w:val="24"/>
              </w:rPr>
              <w:t>.</w:t>
            </w:r>
          </w:p>
        </w:tc>
      </w:tr>
    </w:tbl>
    <w:p w:rsidR="00FA1B4F" w:rsidP="006F2BE9" w:rsidRDefault="39802591" w14:paraId="6EE9809E" w14:textId="2F66772D">
      <w:pPr>
        <w:pStyle w:val="Heading1"/>
        <w:numPr>
          <w:ilvl w:val="0"/>
          <w:numId w:val="2"/>
        </w:numPr>
        <w:spacing w:before="240"/>
        <w:rPr>
          <w:rFonts w:asciiTheme="minorHAnsi" w:hAnsiTheme="minorHAnsi" w:eastAsiaTheme="minorEastAsia" w:cstheme="minorBidi"/>
          <w:color w:val="000000" w:themeColor="text1"/>
        </w:rPr>
      </w:pPr>
      <w:bookmarkStart w:name="_Toc122180488" w:id="118"/>
      <w:bookmarkEnd w:id="117"/>
      <w:r w:rsidRPr="15D87781">
        <w:rPr>
          <w:rFonts w:eastAsia="Arial" w:cs="Arial"/>
          <w:color w:val="000000" w:themeColor="text1"/>
        </w:rPr>
        <w:t>Motions for Confidentiality and</w:t>
      </w:r>
      <w:r w:rsidR="00872B55">
        <w:rPr>
          <w:rFonts w:eastAsia="Arial" w:cs="Arial"/>
          <w:color w:val="000000" w:themeColor="text1"/>
        </w:rPr>
        <w:t xml:space="preserve"> Late-Fil</w:t>
      </w:r>
      <w:r w:rsidR="00F54DA4">
        <w:rPr>
          <w:rFonts w:eastAsia="Arial" w:cs="Arial"/>
          <w:color w:val="000000" w:themeColor="text1"/>
        </w:rPr>
        <w:t>ing</w:t>
      </w:r>
      <w:bookmarkEnd w:id="118"/>
    </w:p>
    <w:p w:rsidR="00FA1B4F" w:rsidP="00FC472D" w:rsidRDefault="39802591" w14:paraId="562CDE27" w14:textId="3FA2A2CA">
      <w:pPr>
        <w:ind w:firstLine="450"/>
        <w:rPr>
          <w:rFonts w:eastAsia="Calibri" w:cs="Arial"/>
          <w:color w:val="000000" w:themeColor="text1"/>
          <w:szCs w:val="26"/>
        </w:rPr>
      </w:pPr>
      <w:bookmarkStart w:name="_Hlk118320249" w:id="119"/>
      <w:r w:rsidRPr="244ADB1F">
        <w:rPr>
          <w:rFonts w:eastAsia="Book Antiqua" w:cs="Book Antiqua"/>
          <w:color w:val="000000" w:themeColor="text1"/>
          <w:szCs w:val="26"/>
        </w:rPr>
        <w:t xml:space="preserve">The motions for confidentiality of retail sellers named in Table </w:t>
      </w:r>
      <w:r w:rsidR="00562F50">
        <w:rPr>
          <w:rFonts w:eastAsia="Book Antiqua" w:cs="Book Antiqua"/>
          <w:color w:val="000000" w:themeColor="text1"/>
          <w:szCs w:val="26"/>
        </w:rPr>
        <w:t>1</w:t>
      </w:r>
      <w:r w:rsidR="00E21CEC">
        <w:rPr>
          <w:rFonts w:eastAsia="Book Antiqua" w:cs="Book Antiqua"/>
          <w:color w:val="000000" w:themeColor="text1"/>
          <w:szCs w:val="26"/>
        </w:rPr>
        <w:t>1</w:t>
      </w:r>
      <w:r w:rsidRPr="244ADB1F">
        <w:rPr>
          <w:rFonts w:eastAsia="Book Antiqua" w:cs="Book Antiqua"/>
          <w:color w:val="000000" w:themeColor="text1"/>
          <w:szCs w:val="26"/>
        </w:rPr>
        <w:t xml:space="preserve"> are partially approved.  </w:t>
      </w:r>
      <w:bookmarkEnd w:id="119"/>
      <w:r w:rsidRPr="244ADB1F">
        <w:rPr>
          <w:rFonts w:eastAsia="Book Antiqua" w:cs="Book Antiqua"/>
          <w:color w:val="000000" w:themeColor="text1"/>
          <w:szCs w:val="26"/>
        </w:rPr>
        <w:t>The Commission reviewed draft 2022 RPS Plans to ensure retail sellers did not excessively redact information</w:t>
      </w:r>
      <w:r w:rsidRPr="244ADB1F" w:rsidR="13D17E60">
        <w:rPr>
          <w:rFonts w:eastAsia="Book Antiqua" w:cs="Book Antiqua"/>
          <w:color w:val="000000" w:themeColor="text1"/>
          <w:szCs w:val="26"/>
        </w:rPr>
        <w:t>.</w:t>
      </w:r>
      <w:r w:rsidRPr="244ADB1F">
        <w:rPr>
          <w:rFonts w:eastAsia="Book Antiqua" w:cs="Book Antiqua"/>
          <w:color w:val="000000" w:themeColor="text1"/>
          <w:szCs w:val="26"/>
        </w:rPr>
        <w:t xml:space="preserve"> </w:t>
      </w:r>
      <w:r w:rsidR="00101D91">
        <w:rPr>
          <w:rFonts w:eastAsia="Book Antiqua" w:cs="Book Antiqua"/>
          <w:color w:val="000000" w:themeColor="text1"/>
          <w:szCs w:val="26"/>
        </w:rPr>
        <w:t xml:space="preserve"> </w:t>
      </w:r>
      <w:r w:rsidRPr="244ADB1F">
        <w:rPr>
          <w:rFonts w:eastAsia="Book Antiqua" w:cs="Book Antiqua"/>
          <w:color w:val="000000" w:themeColor="text1"/>
          <w:szCs w:val="26"/>
        </w:rPr>
        <w:t>Th</w:t>
      </w:r>
      <w:r w:rsidR="003206C2">
        <w:rPr>
          <w:rFonts w:eastAsia="Book Antiqua" w:cs="Book Antiqua"/>
          <w:color w:val="000000" w:themeColor="text1"/>
          <w:szCs w:val="26"/>
        </w:rPr>
        <w:t>is</w:t>
      </w:r>
      <w:r w:rsidRPr="244ADB1F">
        <w:rPr>
          <w:rFonts w:eastAsia="Book Antiqua" w:cs="Book Antiqua"/>
          <w:color w:val="000000" w:themeColor="text1"/>
          <w:szCs w:val="26"/>
        </w:rPr>
        <w:t xml:space="preserve"> decision orders retail sellers identified in the table below to correct their excess redactions in their Final 202</w:t>
      </w:r>
      <w:r w:rsidRPr="244ADB1F" w:rsidR="66DAF652">
        <w:rPr>
          <w:rFonts w:eastAsia="Book Antiqua" w:cs="Book Antiqua"/>
          <w:color w:val="000000" w:themeColor="text1"/>
          <w:szCs w:val="26"/>
        </w:rPr>
        <w:t>2</w:t>
      </w:r>
      <w:r w:rsidRPr="244ADB1F">
        <w:rPr>
          <w:rFonts w:eastAsia="Book Antiqua" w:cs="Book Antiqua"/>
          <w:color w:val="000000" w:themeColor="text1"/>
          <w:szCs w:val="26"/>
        </w:rPr>
        <w:t xml:space="preserve"> RPS Plans.    </w:t>
      </w:r>
    </w:p>
    <w:p w:rsidR="00FA1B4F" w:rsidP="0025277B" w:rsidRDefault="39802591" w14:paraId="254646D0" w14:textId="696C4DF4">
      <w:pPr>
        <w:rPr>
          <w:rFonts w:eastAsia="Calibri" w:cs="Arial"/>
          <w:color w:val="000000" w:themeColor="text1"/>
        </w:rPr>
      </w:pPr>
      <w:r w:rsidRPr="74F98E9C">
        <w:rPr>
          <w:rFonts w:eastAsia="Book Antiqua" w:cs="Book Antiqua"/>
          <w:color w:val="000000" w:themeColor="text1"/>
        </w:rPr>
        <w:t>The underlying principle of confidentiality pursuant to the 202</w:t>
      </w:r>
      <w:r w:rsidRPr="74F98E9C" w:rsidR="70CE4AEB">
        <w:rPr>
          <w:rFonts w:eastAsia="Book Antiqua" w:cs="Book Antiqua"/>
          <w:color w:val="000000" w:themeColor="text1"/>
        </w:rPr>
        <w:t>2</w:t>
      </w:r>
      <w:r w:rsidRPr="74F98E9C">
        <w:rPr>
          <w:rFonts w:eastAsia="Book Antiqua" w:cs="Book Antiqua"/>
          <w:color w:val="000000" w:themeColor="text1"/>
        </w:rPr>
        <w:t xml:space="preserve"> ACR and D.06-06-066</w:t>
      </w:r>
      <w:r w:rsidRPr="74F98E9C" w:rsidR="12D1F549">
        <w:rPr>
          <w:rFonts w:eastAsia="Book Antiqua" w:cs="Book Antiqua"/>
          <w:color w:val="000000" w:themeColor="text1"/>
        </w:rPr>
        <w:t xml:space="preserve">, </w:t>
      </w:r>
      <w:r w:rsidR="003206C2">
        <w:rPr>
          <w:rFonts w:eastAsia="Book Antiqua" w:cs="Book Antiqua"/>
          <w:color w:val="000000" w:themeColor="text1"/>
        </w:rPr>
        <w:t>as modified by</w:t>
      </w:r>
      <w:r w:rsidRPr="74F98E9C" w:rsidR="12D1F549">
        <w:rPr>
          <w:rFonts w:eastAsia="Book Antiqua" w:cs="Book Antiqua"/>
          <w:color w:val="000000" w:themeColor="text1"/>
        </w:rPr>
        <w:t xml:space="preserve"> </w:t>
      </w:r>
      <w:r w:rsidRPr="48009F1D" w:rsidR="12D1F549">
        <w:rPr>
          <w:rFonts w:eastAsia="Book Antiqua" w:cs="Book Antiqua"/>
          <w:color w:val="000000" w:themeColor="text1"/>
        </w:rPr>
        <w:t>D</w:t>
      </w:r>
      <w:r w:rsidRPr="7CC8375E" w:rsidR="12D1F549">
        <w:rPr>
          <w:rFonts w:eastAsia="Book Antiqua" w:cs="Book Antiqua"/>
          <w:color w:val="000000" w:themeColor="text1"/>
        </w:rPr>
        <w:t>.21-</w:t>
      </w:r>
      <w:r w:rsidRPr="7FFF40A8" w:rsidR="12D1F549">
        <w:rPr>
          <w:rFonts w:eastAsia="Book Antiqua" w:cs="Book Antiqua"/>
          <w:color w:val="000000" w:themeColor="text1"/>
        </w:rPr>
        <w:t>11-029</w:t>
      </w:r>
      <w:r w:rsidR="0077341C">
        <w:rPr>
          <w:rFonts w:eastAsia="Book Antiqua" w:cs="Book Antiqua"/>
          <w:color w:val="000000" w:themeColor="text1"/>
        </w:rPr>
        <w:t>,</w:t>
      </w:r>
      <w:r w:rsidRPr="7FFF40A8" w:rsidR="12D1F549">
        <w:rPr>
          <w:rFonts w:eastAsia="Book Antiqua" w:cs="Book Antiqua"/>
          <w:color w:val="000000" w:themeColor="text1"/>
        </w:rPr>
        <w:t xml:space="preserve"> </w:t>
      </w:r>
      <w:r w:rsidRPr="74F98E9C">
        <w:rPr>
          <w:rFonts w:eastAsia="Book Antiqua" w:cs="Book Antiqua"/>
          <w:color w:val="000000" w:themeColor="text1"/>
        </w:rPr>
        <w:t>is about making information publicly accessible to the greatest extent possible while protecting certain market-sensitive information.  As such, the party seeking confidentiality protection for data in RPS Plans must make claims consistent with the confidentiality matrices in D.06-06-066</w:t>
      </w:r>
      <w:r w:rsidR="0077341C">
        <w:rPr>
          <w:rFonts w:eastAsia="Book Antiqua" w:cs="Book Antiqua"/>
          <w:color w:val="000000" w:themeColor="text1"/>
        </w:rPr>
        <w:t>,</w:t>
      </w:r>
      <w:r w:rsidRPr="24AB5DCB" w:rsidR="48384CAC">
        <w:rPr>
          <w:rFonts w:eastAsia="Book Antiqua" w:cs="Book Antiqua"/>
          <w:color w:val="000000" w:themeColor="text1"/>
        </w:rPr>
        <w:t xml:space="preserve"> </w:t>
      </w:r>
      <w:r w:rsidR="003206C2">
        <w:rPr>
          <w:rFonts w:eastAsia="Book Antiqua" w:cs="Book Antiqua"/>
          <w:color w:val="000000" w:themeColor="text1"/>
        </w:rPr>
        <w:t>as modified</w:t>
      </w:r>
      <w:r w:rsidRPr="74F98E9C">
        <w:rPr>
          <w:rFonts w:eastAsia="Book Antiqua" w:cs="Book Antiqua"/>
          <w:color w:val="000000" w:themeColor="text1"/>
        </w:rPr>
        <w:t xml:space="preserve"> </w:t>
      </w:r>
      <w:r w:rsidRPr="47F355BD" w:rsidR="48384CAC">
        <w:rPr>
          <w:rFonts w:eastAsia="Book Antiqua" w:cs="Book Antiqua"/>
          <w:color w:val="000000" w:themeColor="text1"/>
        </w:rPr>
        <w:t>D.21-11-</w:t>
      </w:r>
      <w:r w:rsidRPr="5653E951" w:rsidR="48384CAC">
        <w:rPr>
          <w:rFonts w:eastAsia="Book Antiqua" w:cs="Book Antiqua"/>
          <w:color w:val="000000" w:themeColor="text1"/>
        </w:rPr>
        <w:t>029</w:t>
      </w:r>
      <w:r w:rsidRPr="74F98E9C">
        <w:rPr>
          <w:rFonts w:eastAsia="Book Antiqua" w:cs="Book Antiqua"/>
          <w:color w:val="000000" w:themeColor="text1"/>
        </w:rPr>
        <w:t xml:space="preserve">.  The party seeking confidentiality bears the burden of proof.  </w:t>
      </w:r>
    </w:p>
    <w:p w:rsidR="00FA1B4F" w:rsidP="0025277B" w:rsidRDefault="39802591" w14:paraId="7BCEE4E2" w14:textId="4B31A24C">
      <w:pPr>
        <w:rPr>
          <w:rFonts w:eastAsia="Book Antiqua" w:cs="Book Antiqua"/>
          <w:color w:val="000000" w:themeColor="text1"/>
          <w:szCs w:val="26"/>
        </w:rPr>
      </w:pPr>
      <w:r w:rsidRPr="005F7BDE">
        <w:rPr>
          <w:rFonts w:eastAsia="Book Antiqua" w:cs="Book Antiqua"/>
          <w:color w:val="000000" w:themeColor="text1"/>
          <w:szCs w:val="26"/>
        </w:rPr>
        <w:t xml:space="preserve">We find some retail sellers have excessively redacted the information, thus disregarding prior </w:t>
      </w:r>
      <w:r w:rsidR="000C5B68">
        <w:rPr>
          <w:rFonts w:eastAsia="Book Antiqua" w:cs="Book Antiqua"/>
          <w:color w:val="000000" w:themeColor="text1"/>
          <w:szCs w:val="26"/>
        </w:rPr>
        <w:t>CPUC</w:t>
      </w:r>
      <w:r w:rsidRPr="005F7BDE">
        <w:rPr>
          <w:rFonts w:eastAsia="Book Antiqua" w:cs="Book Antiqua"/>
          <w:color w:val="000000" w:themeColor="text1"/>
          <w:szCs w:val="26"/>
        </w:rPr>
        <w:t xml:space="preserve"> guidance.  The table below lists retail sellers for whom</w:t>
      </w:r>
      <w:r w:rsidR="00723517">
        <w:rPr>
          <w:rFonts w:eastAsia="Book Antiqua" w:cs="Book Antiqua"/>
          <w:color w:val="000000" w:themeColor="text1"/>
          <w:szCs w:val="26"/>
        </w:rPr>
        <w:t xml:space="preserve"> Commission</w:t>
      </w:r>
      <w:r w:rsidRPr="005F7BDE">
        <w:rPr>
          <w:rFonts w:eastAsia="Book Antiqua" w:cs="Book Antiqua"/>
          <w:color w:val="000000" w:themeColor="text1"/>
          <w:szCs w:val="26"/>
        </w:rPr>
        <w:t xml:space="preserve"> review found unauthorized redactions.  </w:t>
      </w:r>
      <w:r w:rsidRPr="00C56292">
        <w:rPr>
          <w:rFonts w:eastAsia="Book Antiqua" w:cs="Book Antiqua"/>
          <w:color w:val="000000" w:themeColor="text1"/>
          <w:szCs w:val="26"/>
          <w:shd w:val="clear" w:color="auto" w:fill="FFFFFF" w:themeFill="background1"/>
        </w:rPr>
        <w:t>Final 202</w:t>
      </w:r>
      <w:r w:rsidRPr="00C56292" w:rsidR="0025277B">
        <w:rPr>
          <w:rFonts w:eastAsia="Book Antiqua" w:cs="Book Antiqua"/>
          <w:color w:val="000000" w:themeColor="text1"/>
          <w:szCs w:val="26"/>
          <w:shd w:val="clear" w:color="auto" w:fill="FFFFFF" w:themeFill="background1"/>
        </w:rPr>
        <w:t>2</w:t>
      </w:r>
      <w:r w:rsidRPr="00C56292">
        <w:rPr>
          <w:rFonts w:eastAsia="Book Antiqua" w:cs="Book Antiqua"/>
          <w:color w:val="000000" w:themeColor="text1"/>
          <w:szCs w:val="26"/>
          <w:shd w:val="clear" w:color="auto" w:fill="FFFFFF" w:themeFill="background1"/>
        </w:rPr>
        <w:t xml:space="preserve"> RPS </w:t>
      </w:r>
      <w:r w:rsidR="00723517">
        <w:rPr>
          <w:rFonts w:eastAsia="Book Antiqua" w:cs="Book Antiqua"/>
          <w:color w:val="000000" w:themeColor="text1"/>
          <w:szCs w:val="26"/>
          <w:shd w:val="clear" w:color="auto" w:fill="FFFFFF" w:themeFill="background1"/>
        </w:rPr>
        <w:t>P</w:t>
      </w:r>
      <w:r w:rsidRPr="00C56292">
        <w:rPr>
          <w:rFonts w:eastAsia="Book Antiqua" w:cs="Book Antiqua"/>
          <w:color w:val="000000" w:themeColor="text1"/>
          <w:szCs w:val="26"/>
          <w:shd w:val="clear" w:color="auto" w:fill="FFFFFF" w:themeFill="background1"/>
        </w:rPr>
        <w:t>lans</w:t>
      </w:r>
      <w:r w:rsidRPr="005F7BDE">
        <w:rPr>
          <w:rFonts w:eastAsia="Book Antiqua" w:cs="Book Antiqua"/>
          <w:color w:val="000000" w:themeColor="text1"/>
          <w:szCs w:val="26"/>
        </w:rPr>
        <w:t xml:space="preserve"> must be revised to comply with the guidance in D.06-06-066, </w:t>
      </w:r>
      <w:r w:rsidR="00BC271E">
        <w:rPr>
          <w:rFonts w:eastAsia="Book Antiqua" w:cs="Book Antiqua"/>
          <w:color w:val="000000" w:themeColor="text1"/>
          <w:szCs w:val="26"/>
        </w:rPr>
        <w:t xml:space="preserve">as </w:t>
      </w:r>
      <w:r w:rsidRPr="005F7BDE">
        <w:rPr>
          <w:rFonts w:eastAsia="Book Antiqua" w:cs="Book Antiqua"/>
          <w:color w:val="000000" w:themeColor="text1"/>
          <w:szCs w:val="26"/>
        </w:rPr>
        <w:t>modified by D.21</w:t>
      </w:r>
      <w:r w:rsidR="00DE2647">
        <w:rPr>
          <w:rFonts w:eastAsia="Book Antiqua" w:cs="Book Antiqua"/>
          <w:color w:val="000000" w:themeColor="text1"/>
          <w:szCs w:val="26"/>
        </w:rPr>
        <w:noBreakHyphen/>
      </w:r>
      <w:r w:rsidRPr="005F7BDE">
        <w:rPr>
          <w:rFonts w:eastAsia="Book Antiqua" w:cs="Book Antiqua"/>
          <w:color w:val="000000" w:themeColor="text1"/>
          <w:szCs w:val="26"/>
        </w:rPr>
        <w:t>11</w:t>
      </w:r>
      <w:r w:rsidR="00DE2647">
        <w:rPr>
          <w:rFonts w:eastAsia="Book Antiqua" w:cs="Book Antiqua"/>
          <w:color w:val="000000" w:themeColor="text1"/>
          <w:szCs w:val="26"/>
        </w:rPr>
        <w:noBreakHyphen/>
      </w:r>
      <w:r w:rsidRPr="005F7BDE">
        <w:rPr>
          <w:rFonts w:eastAsia="Book Antiqua" w:cs="Book Antiqua"/>
          <w:color w:val="000000" w:themeColor="text1"/>
          <w:szCs w:val="26"/>
        </w:rPr>
        <w:t>029.</w:t>
      </w:r>
    </w:p>
    <w:p w:rsidRPr="00FE7E22" w:rsidR="00FA1B4F" w:rsidP="004905AD" w:rsidRDefault="39802591" w14:paraId="3A8D8C3C" w14:textId="4EA08FA9">
      <w:pPr>
        <w:pStyle w:val="ListParagraph"/>
        <w:keepNext/>
        <w:spacing w:before="120" w:after="120" w:line="240" w:lineRule="auto"/>
        <w:ind w:left="0" w:firstLine="0"/>
        <w:contextualSpacing w:val="0"/>
        <w:jc w:val="center"/>
        <w:rPr>
          <w:rFonts w:asciiTheme="minorHAnsi" w:hAnsiTheme="minorHAnsi" w:eastAsiaTheme="minorEastAsia"/>
          <w:color w:val="000000" w:themeColor="text1"/>
          <w:szCs w:val="26"/>
        </w:rPr>
      </w:pPr>
      <w:r w:rsidRPr="00FE7E22">
        <w:rPr>
          <w:rFonts w:eastAsia="Book Antiqua" w:cs="Book Antiqua"/>
          <w:b/>
          <w:bCs/>
          <w:color w:val="000000" w:themeColor="text1"/>
          <w:szCs w:val="26"/>
        </w:rPr>
        <w:t>Table 1</w:t>
      </w:r>
      <w:r w:rsidRPr="00FE7E22" w:rsidR="00C334DA">
        <w:rPr>
          <w:rFonts w:eastAsia="Book Antiqua" w:cs="Book Antiqua"/>
          <w:b/>
          <w:bCs/>
          <w:color w:val="000000" w:themeColor="text1"/>
          <w:szCs w:val="26"/>
        </w:rPr>
        <w:t>1</w:t>
      </w:r>
      <w:r w:rsidRPr="00FE7E22">
        <w:rPr>
          <w:rFonts w:eastAsia="Book Antiqua" w:cs="Book Antiqua"/>
          <w:b/>
          <w:bCs/>
          <w:color w:val="000000" w:themeColor="text1"/>
          <w:szCs w:val="26"/>
        </w:rPr>
        <w:t>:  Confidentiality Redactions and</w:t>
      </w:r>
      <w:r w:rsidRPr="00FE7E22" w:rsidR="00C56292">
        <w:rPr>
          <w:rFonts w:eastAsia="Book Antiqua" w:cs="Book Antiqua"/>
          <w:b/>
          <w:bCs/>
          <w:color w:val="000000" w:themeColor="text1"/>
          <w:szCs w:val="26"/>
        </w:rPr>
        <w:br/>
      </w:r>
      <w:r w:rsidRPr="00FE7E22">
        <w:rPr>
          <w:rFonts w:eastAsia="Book Antiqua" w:cs="Book Antiqua"/>
          <w:b/>
          <w:bCs/>
          <w:color w:val="000000" w:themeColor="text1"/>
          <w:szCs w:val="26"/>
        </w:rPr>
        <w:t>Commission Findings</w:t>
      </w:r>
    </w:p>
    <w:tbl>
      <w:tblPr>
        <w:tblStyle w:val="TableGrid"/>
        <w:tblW w:w="0" w:type="auto"/>
        <w:tblLayout w:type="fixed"/>
        <w:tblLook w:val="0000" w:firstRow="0" w:lastRow="0" w:firstColumn="0" w:lastColumn="0" w:noHBand="0" w:noVBand="0"/>
      </w:tblPr>
      <w:tblGrid>
        <w:gridCol w:w="2370"/>
        <w:gridCol w:w="6960"/>
      </w:tblGrid>
      <w:tr w:rsidRPr="006F2BE9" w:rsidR="244ADB1F" w:rsidTr="00DA2AB1" w14:paraId="39128174" w14:textId="77777777">
        <w:trPr>
          <w:tblHeader/>
        </w:trPr>
        <w:tc>
          <w:tcPr>
            <w:tcW w:w="2370" w:type="dxa"/>
            <w:tcBorders>
              <w:top w:val="single" w:color="auto" w:sz="6" w:space="0"/>
              <w:left w:val="single" w:color="auto" w:sz="6" w:space="0"/>
              <w:bottom w:val="single" w:color="auto" w:sz="6" w:space="0"/>
              <w:right w:val="single" w:color="auto" w:sz="6" w:space="0"/>
            </w:tcBorders>
            <w:shd w:val="clear" w:color="auto" w:fill="auto"/>
          </w:tcPr>
          <w:p w:rsidRPr="006F2BE9" w:rsidR="244ADB1F" w:rsidP="00FE7E22" w:rsidRDefault="006F2BE9" w14:paraId="4FE9DA3C" w14:textId="6F6DC831">
            <w:pPr>
              <w:keepNext/>
              <w:spacing w:line="240" w:lineRule="auto"/>
              <w:ind w:firstLine="0"/>
              <w:jc w:val="center"/>
              <w:rPr>
                <w:rFonts w:eastAsia="Book Antiqua" w:cs="Book Antiqua"/>
                <w:b/>
                <w:bCs/>
                <w:sz w:val="24"/>
                <w:szCs w:val="24"/>
              </w:rPr>
            </w:pPr>
            <w:r w:rsidRPr="006F2BE9">
              <w:rPr>
                <w:rFonts w:eastAsia="Book Antiqua" w:cs="Book Antiqua"/>
                <w:b/>
                <w:bCs/>
                <w:sz w:val="24"/>
                <w:szCs w:val="24"/>
              </w:rPr>
              <w:t>Retail Seller</w:t>
            </w:r>
          </w:p>
        </w:tc>
        <w:tc>
          <w:tcPr>
            <w:tcW w:w="6960" w:type="dxa"/>
            <w:tcBorders>
              <w:top w:val="single" w:color="auto" w:sz="6" w:space="0"/>
              <w:left w:val="single" w:color="auto" w:sz="6" w:space="0"/>
              <w:bottom w:val="single" w:color="auto" w:sz="6" w:space="0"/>
              <w:right w:val="single" w:color="auto" w:sz="6" w:space="0"/>
            </w:tcBorders>
            <w:shd w:val="clear" w:color="auto" w:fill="auto"/>
          </w:tcPr>
          <w:p w:rsidRPr="006F2BE9" w:rsidR="244ADB1F" w:rsidP="00FE7E22" w:rsidRDefault="006F2BE9" w14:paraId="51E03DD9" w14:textId="2EE95D6F">
            <w:pPr>
              <w:keepNext/>
              <w:spacing w:line="240" w:lineRule="auto"/>
              <w:ind w:firstLine="0"/>
              <w:jc w:val="center"/>
              <w:rPr>
                <w:rFonts w:eastAsia="Book Antiqua" w:cs="Book Antiqua"/>
                <w:sz w:val="24"/>
                <w:szCs w:val="24"/>
              </w:rPr>
            </w:pPr>
            <w:r>
              <w:rPr>
                <w:rFonts w:eastAsia="Book Antiqua" w:cs="Book Antiqua"/>
                <w:b/>
                <w:bCs/>
                <w:sz w:val="24"/>
                <w:szCs w:val="24"/>
              </w:rPr>
              <w:t>Commission Finding</w:t>
            </w:r>
          </w:p>
        </w:tc>
      </w:tr>
      <w:tr w:rsidRPr="006F2BE9" w:rsidR="244ADB1F" w:rsidTr="006F2BE9" w14:paraId="5BD1515F"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244ADB1F" w:rsidP="00FE7E22" w:rsidRDefault="4B146777" w14:paraId="42825BB0" w14:textId="0D44356C">
            <w:pPr>
              <w:keepNext/>
              <w:spacing w:line="276" w:lineRule="auto"/>
              <w:ind w:firstLine="0"/>
              <w:rPr>
                <w:rFonts w:eastAsia="Book Antiqua" w:cs="Book Antiqua"/>
                <w:sz w:val="22"/>
              </w:rPr>
            </w:pPr>
            <w:bookmarkStart w:name="_Hlk118320616" w:id="120"/>
            <w:r w:rsidRPr="006F2BE9">
              <w:rPr>
                <w:rFonts w:eastAsia="Book Antiqua" w:cs="Book Antiqua"/>
                <w:sz w:val="22"/>
              </w:rPr>
              <w:t xml:space="preserve">BVES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244ADB1F" w:rsidP="00FE7E22" w:rsidRDefault="4B146777" w14:paraId="0E3F2AD5" w14:textId="1705058B">
            <w:pPr>
              <w:keepNext/>
              <w:spacing w:line="276" w:lineRule="auto"/>
              <w:ind w:firstLine="0"/>
              <w:rPr>
                <w:rFonts w:eastAsia="Book Antiqua" w:cs="Book Antiqua"/>
                <w:sz w:val="22"/>
              </w:rPr>
            </w:pPr>
            <w:r w:rsidRPr="006F2BE9">
              <w:rPr>
                <w:rFonts w:eastAsia="Book Antiqua" w:cs="Book Antiqua"/>
                <w:sz w:val="22"/>
              </w:rPr>
              <w:t xml:space="preserve">RNS </w:t>
            </w:r>
            <w:r w:rsidRPr="006F2BE9" w:rsidR="56DCD78C">
              <w:rPr>
                <w:rFonts w:eastAsia="Book Antiqua" w:cs="Book Antiqua"/>
                <w:sz w:val="22"/>
              </w:rPr>
              <w:t xml:space="preserve">Variables </w:t>
            </w:r>
            <w:r w:rsidRPr="006F2BE9">
              <w:rPr>
                <w:rFonts w:eastAsia="Book Antiqua" w:cs="Book Antiqua"/>
                <w:sz w:val="22"/>
              </w:rPr>
              <w:t>Ia</w:t>
            </w:r>
            <w:r w:rsidRPr="006F2BE9" w:rsidR="7BF20FE5">
              <w:rPr>
                <w:rFonts w:eastAsia="Book Antiqua" w:cs="Book Antiqua"/>
                <w:sz w:val="22"/>
              </w:rPr>
              <w:t>, Ib, J, J0-J2, La</w:t>
            </w:r>
            <w:r w:rsidRPr="006F2BE9" w:rsidR="3D9C39D1">
              <w:rPr>
                <w:rFonts w:eastAsia="Book Antiqua" w:cs="Book Antiqua"/>
                <w:sz w:val="22"/>
              </w:rPr>
              <w:t>,</w:t>
            </w:r>
            <w:r w:rsidRPr="006F2BE9" w:rsidR="7BF20FE5">
              <w:rPr>
                <w:rFonts w:eastAsia="Book Antiqua" w:cs="Book Antiqua"/>
                <w:sz w:val="22"/>
              </w:rPr>
              <w:t xml:space="preserve"> and L</w:t>
            </w:r>
            <w:r w:rsidRPr="006F2BE9">
              <w:rPr>
                <w:rFonts w:eastAsia="Book Antiqua" w:cs="Book Antiqua"/>
                <w:sz w:val="22"/>
              </w:rPr>
              <w:t>b are inappropriately redacted for 2017-2021</w:t>
            </w:r>
            <w:r w:rsidRPr="006F2BE9" w:rsidR="7CE447BF">
              <w:rPr>
                <w:rFonts w:eastAsia="Book Antiqua" w:cs="Book Antiqua"/>
                <w:sz w:val="22"/>
              </w:rPr>
              <w:t xml:space="preserve"> and CP</w:t>
            </w:r>
            <w:r w:rsidRPr="006F2BE9" w:rsidR="0018759A">
              <w:rPr>
                <w:rFonts w:eastAsia="Book Antiqua" w:cs="Book Antiqua"/>
                <w:sz w:val="22"/>
              </w:rPr>
              <w:t xml:space="preserve"> </w:t>
            </w:r>
            <w:r w:rsidRPr="006F2BE9" w:rsidR="7CE447BF">
              <w:rPr>
                <w:rFonts w:eastAsia="Book Antiqua" w:cs="Book Antiqua"/>
                <w:sz w:val="22"/>
              </w:rPr>
              <w:t xml:space="preserve">3. </w:t>
            </w:r>
          </w:p>
        </w:tc>
      </w:tr>
      <w:tr w:rsidRPr="006F2BE9" w:rsidR="02760BE7" w:rsidTr="006F2BE9" w14:paraId="567C04CA"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2472A920" w:rsidP="00FE7E22" w:rsidRDefault="2472A920" w14:paraId="01A78046" w14:textId="0E1D12CE">
            <w:pPr>
              <w:keepNext/>
              <w:spacing w:line="276" w:lineRule="auto"/>
              <w:ind w:firstLine="0"/>
              <w:rPr>
                <w:rFonts w:eastAsia="Book Antiqua" w:cs="Book Antiqua"/>
                <w:sz w:val="22"/>
              </w:rPr>
            </w:pPr>
            <w:r w:rsidRPr="006F2BE9">
              <w:rPr>
                <w:rFonts w:eastAsia="Book Antiqua" w:cs="Book Antiqua"/>
                <w:sz w:val="22"/>
              </w:rPr>
              <w:t xml:space="preserve">Central Coast Community Energy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02760BE7" w:rsidP="00FE7E22" w:rsidRDefault="2472A920" w14:paraId="6A7CFA9F" w14:textId="4D3ECD7A">
            <w:pPr>
              <w:keepNext/>
              <w:spacing w:line="276" w:lineRule="auto"/>
              <w:ind w:firstLine="0"/>
              <w:rPr>
                <w:rFonts w:eastAsia="Book Antiqua" w:cs="Book Antiqua"/>
                <w:sz w:val="22"/>
              </w:rPr>
            </w:pPr>
            <w:r w:rsidRPr="006F2BE9">
              <w:rPr>
                <w:rFonts w:eastAsia="Book Antiqua" w:cs="Book Antiqua"/>
                <w:sz w:val="22"/>
              </w:rPr>
              <w:t xml:space="preserve">RNS </w:t>
            </w:r>
            <w:r w:rsidRPr="006F2BE9" w:rsidR="613E80A1">
              <w:rPr>
                <w:rFonts w:eastAsia="Book Antiqua" w:cs="Book Antiqua"/>
                <w:sz w:val="22"/>
              </w:rPr>
              <w:t>Variables</w:t>
            </w:r>
            <w:r w:rsidRPr="006F2BE9">
              <w:rPr>
                <w:rFonts w:eastAsia="Book Antiqua" w:cs="Book Antiqua"/>
                <w:sz w:val="22"/>
              </w:rPr>
              <w:t xml:space="preserve"> Fa</w:t>
            </w:r>
            <w:r w:rsidRPr="006F2BE9" w:rsidR="4A7F9A1F">
              <w:rPr>
                <w:rFonts w:eastAsia="Book Antiqua" w:cs="Book Antiqua"/>
                <w:sz w:val="22"/>
              </w:rPr>
              <w:t xml:space="preserve">, Fb, Fc, Fd, F, F0-F3 </w:t>
            </w:r>
            <w:r w:rsidRPr="006F2BE9" w:rsidR="32E5703E">
              <w:rPr>
                <w:rFonts w:eastAsia="Book Antiqua" w:cs="Book Antiqua"/>
                <w:sz w:val="22"/>
              </w:rPr>
              <w:t xml:space="preserve">are </w:t>
            </w:r>
            <w:r w:rsidRPr="006F2BE9">
              <w:rPr>
                <w:rFonts w:eastAsia="Book Antiqua" w:cs="Book Antiqua"/>
                <w:sz w:val="22"/>
              </w:rPr>
              <w:t>inappropriately redacted fo</w:t>
            </w:r>
            <w:r w:rsidRPr="006F2BE9" w:rsidR="59373AA7">
              <w:rPr>
                <w:rFonts w:eastAsia="Book Antiqua" w:cs="Book Antiqua"/>
                <w:sz w:val="22"/>
              </w:rPr>
              <w:t>r 2025</w:t>
            </w:r>
            <w:r w:rsidRPr="006F2BE9">
              <w:rPr>
                <w:rFonts w:eastAsia="Book Antiqua" w:cs="Book Antiqua"/>
                <w:sz w:val="22"/>
              </w:rPr>
              <w:t>-20</w:t>
            </w:r>
            <w:r w:rsidRPr="006F2BE9" w:rsidR="75915EA5">
              <w:rPr>
                <w:rFonts w:eastAsia="Book Antiqua" w:cs="Book Antiqua"/>
                <w:sz w:val="22"/>
              </w:rPr>
              <w:t>32</w:t>
            </w:r>
            <w:r w:rsidRPr="006F2BE9">
              <w:rPr>
                <w:rFonts w:eastAsia="Book Antiqua" w:cs="Book Antiqua"/>
                <w:sz w:val="22"/>
              </w:rPr>
              <w:t>.</w:t>
            </w:r>
          </w:p>
        </w:tc>
      </w:tr>
      <w:tr w:rsidRPr="006F2BE9" w:rsidR="244ADB1F" w:rsidTr="006F2BE9" w14:paraId="629A3400"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244ADB1F" w:rsidP="001106E4" w:rsidRDefault="67C73B75" w14:paraId="042562CC" w14:textId="22A5DAF3">
            <w:pPr>
              <w:spacing w:line="276" w:lineRule="auto"/>
              <w:ind w:firstLine="0"/>
              <w:rPr>
                <w:rFonts w:eastAsia="Book Antiqua" w:cs="Book Antiqua"/>
                <w:sz w:val="22"/>
              </w:rPr>
            </w:pPr>
            <w:r w:rsidRPr="006F2BE9">
              <w:rPr>
                <w:rFonts w:eastAsia="Book Antiqua" w:cs="Book Antiqua"/>
                <w:sz w:val="22"/>
              </w:rPr>
              <w:t>Clean Power A</w:t>
            </w:r>
            <w:r w:rsidRPr="006F2BE9" w:rsidR="1C0C782B">
              <w:rPr>
                <w:rFonts w:eastAsia="Book Antiqua" w:cs="Book Antiqua"/>
                <w:sz w:val="22"/>
              </w:rPr>
              <w:t>lliance</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244ADB1F" w:rsidP="006F2BE9" w:rsidRDefault="5E6FDE37" w14:paraId="62685A17" w14:textId="23AEF2E5">
            <w:pPr>
              <w:spacing w:line="276" w:lineRule="auto"/>
              <w:ind w:firstLine="0"/>
              <w:rPr>
                <w:rFonts w:eastAsia="Book Antiqua" w:cs="Book Antiqua"/>
                <w:sz w:val="22"/>
              </w:rPr>
            </w:pPr>
            <w:r w:rsidRPr="006F2BE9">
              <w:rPr>
                <w:rFonts w:eastAsia="Book Antiqua" w:cs="Book Antiqua"/>
                <w:sz w:val="22"/>
              </w:rPr>
              <w:t>The COD redactions in Project Development Status Update in Plan Body Section V, Pages 15-16,</w:t>
            </w:r>
            <w:r w:rsidRPr="006F2BE9" w:rsidR="3EC2BE4D">
              <w:rPr>
                <w:rFonts w:eastAsia="Book Antiqua" w:cs="Book Antiqua"/>
                <w:sz w:val="22"/>
              </w:rPr>
              <w:t xml:space="preserve"> do not match </w:t>
            </w:r>
            <w:r w:rsidRPr="006F2BE9" w:rsidR="72FA0649">
              <w:rPr>
                <w:rFonts w:eastAsia="Book Antiqua" w:cs="Book Antiqua"/>
                <w:sz w:val="22"/>
              </w:rPr>
              <w:t xml:space="preserve">the </w:t>
            </w:r>
            <w:r w:rsidRPr="006F2BE9" w:rsidR="3EC2BE4D">
              <w:rPr>
                <w:rFonts w:eastAsia="Book Antiqua" w:cs="Book Antiqua"/>
                <w:sz w:val="22"/>
              </w:rPr>
              <w:t xml:space="preserve">COD in </w:t>
            </w:r>
            <w:r w:rsidRPr="006F2BE9">
              <w:rPr>
                <w:rFonts w:eastAsia="Book Antiqua" w:cs="Book Antiqua"/>
                <w:sz w:val="22"/>
              </w:rPr>
              <w:t xml:space="preserve">the </w:t>
            </w:r>
            <w:r w:rsidRPr="006F2BE9" w:rsidR="72852E95">
              <w:rPr>
                <w:rFonts w:eastAsia="Book Antiqua" w:cs="Book Antiqua"/>
                <w:sz w:val="22"/>
              </w:rPr>
              <w:t>PDSU attachment (Appendix D) whi</w:t>
            </w:r>
            <w:r w:rsidRPr="006F2BE9">
              <w:rPr>
                <w:rFonts w:eastAsia="Book Antiqua" w:cs="Book Antiqua"/>
                <w:sz w:val="22"/>
              </w:rPr>
              <w:t>ch has no redactions.</w:t>
            </w:r>
          </w:p>
        </w:tc>
      </w:tr>
      <w:tr w:rsidRPr="006F2BE9" w:rsidR="6C5A8740" w:rsidTr="006F2BE9" w14:paraId="55A9ECBE"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561C1763" w:rsidP="02760BE7" w:rsidRDefault="414CA74F" w14:paraId="7B1D3047" w14:textId="1F33301D">
            <w:pPr>
              <w:spacing w:line="276" w:lineRule="auto"/>
              <w:ind w:firstLine="0"/>
              <w:rPr>
                <w:rFonts w:eastAsia="Book Antiqua" w:cs="Book Antiqua"/>
                <w:sz w:val="22"/>
              </w:rPr>
            </w:pPr>
            <w:r w:rsidRPr="006F2BE9">
              <w:rPr>
                <w:rFonts w:eastAsia="Book Antiqua" w:cs="Book Antiqua"/>
                <w:sz w:val="22"/>
              </w:rPr>
              <w:t>Calpine PowerAmerica</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266B018B" w:rsidP="006F2BE9" w:rsidRDefault="63638E2A" w14:paraId="49362354" w14:textId="15FCFEFB">
            <w:pPr>
              <w:spacing w:line="276" w:lineRule="auto"/>
              <w:ind w:firstLine="0"/>
              <w:rPr>
                <w:rFonts w:eastAsia="Book Antiqua" w:cs="Book Antiqua"/>
                <w:sz w:val="22"/>
              </w:rPr>
            </w:pPr>
            <w:r w:rsidRPr="006F2BE9">
              <w:rPr>
                <w:rFonts w:eastAsia="Book Antiqua" w:cs="Book Antiqua"/>
                <w:sz w:val="22"/>
              </w:rPr>
              <w:t xml:space="preserve">The Cost Quantification Sheet </w:t>
            </w:r>
            <w:r w:rsidRPr="006F2BE9" w:rsidR="4952FCFE">
              <w:rPr>
                <w:rFonts w:eastAsia="Book Antiqua" w:cs="Book Antiqua"/>
                <w:sz w:val="22"/>
              </w:rPr>
              <w:t>i</w:t>
            </w:r>
            <w:r w:rsidRPr="006F2BE9" w:rsidR="00B34F50">
              <w:rPr>
                <w:rFonts w:eastAsia="Book Antiqua" w:cs="Book Antiqua"/>
                <w:sz w:val="22"/>
              </w:rPr>
              <w:t>s</w:t>
            </w:r>
            <w:r w:rsidRPr="006F2BE9" w:rsidR="4952FCFE">
              <w:rPr>
                <w:rFonts w:eastAsia="Book Antiqua" w:cs="Book Antiqua"/>
                <w:sz w:val="22"/>
              </w:rPr>
              <w:t xml:space="preserve"> </w:t>
            </w:r>
            <w:r w:rsidRPr="006F2BE9" w:rsidR="17835ADD">
              <w:rPr>
                <w:rFonts w:eastAsia="Book Antiqua" w:cs="Book Antiqua"/>
                <w:sz w:val="22"/>
              </w:rPr>
              <w:t>inappropriately</w:t>
            </w:r>
            <w:r w:rsidRPr="006F2BE9" w:rsidR="4952FCFE">
              <w:rPr>
                <w:rFonts w:eastAsia="Book Antiqua" w:cs="Book Antiqua"/>
                <w:sz w:val="22"/>
              </w:rPr>
              <w:t xml:space="preserve"> </w:t>
            </w:r>
            <w:r w:rsidRPr="006F2BE9" w:rsidR="3A40F2F4">
              <w:rPr>
                <w:rFonts w:eastAsia="Book Antiqua" w:cs="Book Antiqua"/>
                <w:sz w:val="22"/>
              </w:rPr>
              <w:t>redacted</w:t>
            </w:r>
            <w:r w:rsidRPr="006F2BE9" w:rsidR="4952FCFE">
              <w:rPr>
                <w:rFonts w:eastAsia="Book Antiqua" w:cs="Book Antiqua"/>
                <w:sz w:val="22"/>
              </w:rPr>
              <w:t xml:space="preserve"> </w:t>
            </w:r>
            <w:r w:rsidRPr="006F2BE9" w:rsidR="7F5B7997">
              <w:rPr>
                <w:rFonts w:eastAsia="Book Antiqua" w:cs="Book Antiqua"/>
                <w:sz w:val="22"/>
              </w:rPr>
              <w:t>in</w:t>
            </w:r>
            <w:r w:rsidRPr="006F2BE9" w:rsidR="4952FCFE">
              <w:rPr>
                <w:rFonts w:eastAsia="Book Antiqua" w:cs="Book Antiqua"/>
                <w:sz w:val="22"/>
              </w:rPr>
              <w:t xml:space="preserve"> </w:t>
            </w:r>
            <w:r w:rsidRPr="006F2BE9">
              <w:rPr>
                <w:rFonts w:eastAsia="Book Antiqua" w:cs="Book Antiqua"/>
                <w:sz w:val="22"/>
              </w:rPr>
              <w:t>Table</w:t>
            </w:r>
            <w:r w:rsidRPr="006F2BE9" w:rsidR="3D061C86">
              <w:rPr>
                <w:rFonts w:eastAsia="Book Antiqua" w:cs="Book Antiqua"/>
                <w:sz w:val="22"/>
              </w:rPr>
              <w:t xml:space="preserve"> 1</w:t>
            </w:r>
            <w:r w:rsidRPr="006F2BE9" w:rsidR="1AC8552B">
              <w:rPr>
                <w:rFonts w:eastAsia="Book Antiqua" w:cs="Book Antiqua"/>
                <w:sz w:val="22"/>
              </w:rPr>
              <w:t>;</w:t>
            </w:r>
            <w:r w:rsidRPr="006F2BE9" w:rsidR="3D061C86">
              <w:rPr>
                <w:rFonts w:eastAsia="Book Antiqua" w:cs="Book Antiqua"/>
                <w:sz w:val="22"/>
              </w:rPr>
              <w:t xml:space="preserve"> bundled sales amount for </w:t>
            </w:r>
            <w:r w:rsidRPr="006F2BE9" w:rsidR="0F061994">
              <w:rPr>
                <w:rFonts w:eastAsia="Book Antiqua" w:cs="Book Antiqua"/>
                <w:sz w:val="22"/>
              </w:rPr>
              <w:t xml:space="preserve">the </w:t>
            </w:r>
            <w:r w:rsidRPr="006F2BE9" w:rsidR="3D061C86">
              <w:rPr>
                <w:rFonts w:eastAsia="Book Antiqua" w:cs="Book Antiqua"/>
                <w:sz w:val="22"/>
              </w:rPr>
              <w:t xml:space="preserve">year 2025 </w:t>
            </w:r>
            <w:r w:rsidRPr="006F2BE9" w:rsidR="00B34F50">
              <w:rPr>
                <w:rFonts w:eastAsia="Book Antiqua" w:cs="Book Antiqua"/>
                <w:sz w:val="22"/>
              </w:rPr>
              <w:t xml:space="preserve">in Table 2; </w:t>
            </w:r>
            <w:r w:rsidRPr="006F2BE9" w:rsidR="3D061C86">
              <w:rPr>
                <w:rFonts w:eastAsia="Book Antiqua" w:cs="Book Antiqua"/>
                <w:sz w:val="22"/>
              </w:rPr>
              <w:t xml:space="preserve">and </w:t>
            </w:r>
            <w:r w:rsidRPr="006F2BE9" w:rsidR="41617735">
              <w:rPr>
                <w:rFonts w:eastAsia="Book Antiqua" w:cs="Book Antiqua"/>
                <w:sz w:val="22"/>
              </w:rPr>
              <w:t xml:space="preserve">in </w:t>
            </w:r>
            <w:r w:rsidRPr="006F2BE9" w:rsidR="3D061C86">
              <w:rPr>
                <w:rFonts w:eastAsia="Book Antiqua" w:cs="Book Antiqua"/>
                <w:sz w:val="22"/>
              </w:rPr>
              <w:t xml:space="preserve">Table 4 </w:t>
            </w:r>
            <w:r w:rsidRPr="006F2BE9" w:rsidR="5E523641">
              <w:rPr>
                <w:rFonts w:eastAsia="Book Antiqua" w:cs="Book Antiqua"/>
                <w:sz w:val="22"/>
              </w:rPr>
              <w:t xml:space="preserve">the </w:t>
            </w:r>
            <w:r w:rsidRPr="006F2BE9" w:rsidR="3D061C86">
              <w:rPr>
                <w:rFonts w:eastAsia="Book Antiqua" w:cs="Book Antiqua"/>
                <w:sz w:val="22"/>
              </w:rPr>
              <w:t>year 2025</w:t>
            </w:r>
            <w:r w:rsidRPr="006F2BE9" w:rsidR="451C5FA3">
              <w:rPr>
                <w:rFonts w:eastAsia="Book Antiqua" w:cs="Book Antiqua"/>
                <w:sz w:val="22"/>
              </w:rPr>
              <w:t>.</w:t>
            </w:r>
          </w:p>
        </w:tc>
      </w:tr>
      <w:tr w:rsidRPr="006F2BE9" w:rsidR="364A8DDD" w:rsidTr="006F2BE9" w14:paraId="2D4B8DCE"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17A39248" w:rsidP="02760BE7" w:rsidRDefault="5D7741B5" w14:paraId="12DF1F0E" w14:textId="61ECE600">
            <w:pPr>
              <w:spacing w:line="276" w:lineRule="auto"/>
              <w:ind w:firstLine="0"/>
              <w:rPr>
                <w:rFonts w:eastAsia="Book Antiqua" w:cs="Book Antiqua"/>
                <w:sz w:val="22"/>
              </w:rPr>
            </w:pPr>
            <w:r w:rsidRPr="006F2BE9">
              <w:rPr>
                <w:rFonts w:eastAsia="Book Antiqua" w:cs="Book Antiqua"/>
                <w:sz w:val="22"/>
              </w:rPr>
              <w:t xml:space="preserve">Commercial Energy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364A8DDD" w:rsidP="006F2BE9" w:rsidRDefault="5D7741B5" w14:paraId="2EC99D83" w14:textId="33CD226E">
            <w:pPr>
              <w:spacing w:line="276" w:lineRule="auto"/>
              <w:ind w:firstLine="0"/>
              <w:rPr>
                <w:rFonts w:eastAsia="Book Antiqua" w:cs="Book Antiqua"/>
                <w:sz w:val="22"/>
              </w:rPr>
            </w:pPr>
            <w:r w:rsidRPr="006F2BE9">
              <w:rPr>
                <w:rFonts w:eastAsia="Book Antiqua" w:cs="Book Antiqua"/>
                <w:sz w:val="22"/>
              </w:rPr>
              <w:t>Table 1 in the Cost Quantification Sheet</w:t>
            </w:r>
            <w:r w:rsidRPr="006F2BE9" w:rsidR="6A265BD6">
              <w:rPr>
                <w:rFonts w:eastAsia="Book Antiqua" w:cs="Book Antiqua"/>
                <w:sz w:val="22"/>
              </w:rPr>
              <w:t xml:space="preserve"> should be unredacted. </w:t>
            </w:r>
          </w:p>
        </w:tc>
      </w:tr>
      <w:tr w:rsidRPr="006F2BE9" w:rsidR="746DB881" w:rsidTr="006F2BE9" w14:paraId="29675019"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17A39248" w:rsidP="02760BE7" w:rsidRDefault="5D7741B5" w14:paraId="25F8D5BB" w14:textId="3512D798">
            <w:pPr>
              <w:spacing w:line="276" w:lineRule="auto"/>
              <w:ind w:firstLine="0"/>
              <w:rPr>
                <w:rFonts w:eastAsia="Book Antiqua" w:cs="Book Antiqua"/>
                <w:sz w:val="22"/>
              </w:rPr>
            </w:pPr>
            <w:r w:rsidRPr="006F2BE9">
              <w:rPr>
                <w:rFonts w:eastAsia="Book Antiqua" w:cs="Book Antiqua"/>
                <w:sz w:val="22"/>
              </w:rPr>
              <w:t xml:space="preserve">Constellation NewEnergy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4F130694" w:rsidP="006F2BE9" w:rsidRDefault="2F4D00D3" w14:paraId="0D9EC14E" w14:textId="36B25081">
            <w:pPr>
              <w:spacing w:line="276" w:lineRule="auto"/>
              <w:ind w:firstLine="0"/>
              <w:rPr>
                <w:rFonts w:eastAsia="Book Antiqua" w:cs="Book Antiqua"/>
                <w:sz w:val="22"/>
              </w:rPr>
            </w:pPr>
            <w:r w:rsidRPr="006F2BE9">
              <w:rPr>
                <w:rFonts w:eastAsia="Book Antiqua" w:cs="Book Antiqua"/>
                <w:sz w:val="22"/>
              </w:rPr>
              <w:t>RNS Variables Ia, Ib, J, J0-J2, La, and Lb are inappropriately redacted for 2017-2021 and CP</w:t>
            </w:r>
            <w:r w:rsidRPr="006F2BE9" w:rsidR="0018759A">
              <w:rPr>
                <w:rFonts w:eastAsia="Book Antiqua" w:cs="Book Antiqua"/>
                <w:sz w:val="22"/>
              </w:rPr>
              <w:t xml:space="preserve"> </w:t>
            </w:r>
            <w:r w:rsidRPr="006F2BE9">
              <w:rPr>
                <w:rFonts w:eastAsia="Book Antiqua" w:cs="Book Antiqua"/>
                <w:sz w:val="22"/>
              </w:rPr>
              <w:t>3.</w:t>
            </w:r>
          </w:p>
        </w:tc>
      </w:tr>
      <w:tr w:rsidRPr="006F2BE9" w:rsidR="746DB881" w:rsidTr="006F2BE9" w14:paraId="0AF654F6"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17A39248" w:rsidP="02760BE7" w:rsidRDefault="5D7741B5" w14:paraId="379E678C" w14:textId="6CD8FC33">
            <w:pPr>
              <w:spacing w:line="276" w:lineRule="auto"/>
              <w:ind w:firstLine="0"/>
              <w:rPr>
                <w:rFonts w:eastAsia="Book Antiqua" w:cs="Book Antiqua"/>
                <w:sz w:val="22"/>
              </w:rPr>
            </w:pPr>
            <w:r w:rsidRPr="006F2BE9">
              <w:rPr>
                <w:rFonts w:eastAsia="Book Antiqua" w:cs="Book Antiqua"/>
                <w:sz w:val="22"/>
              </w:rPr>
              <w:t xml:space="preserve">Direct Energy Business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746DB881" w:rsidP="006F2BE9" w:rsidRDefault="06103CF3" w14:paraId="7D7B3AC7" w14:textId="18E47ABF">
            <w:pPr>
              <w:spacing w:line="276" w:lineRule="auto"/>
              <w:ind w:firstLine="0"/>
              <w:rPr>
                <w:rFonts w:eastAsia="Book Antiqua" w:cs="Book Antiqua"/>
                <w:sz w:val="22"/>
              </w:rPr>
            </w:pPr>
            <w:r w:rsidRPr="006F2BE9">
              <w:rPr>
                <w:rFonts w:eastAsia="Book Antiqua" w:cs="Book Antiqua"/>
                <w:sz w:val="22"/>
              </w:rPr>
              <w:t>Table 1 in the Cost Quantification Sheet should be unredacted.</w:t>
            </w:r>
          </w:p>
        </w:tc>
      </w:tr>
      <w:tr w:rsidRPr="006F2BE9" w:rsidR="244ADB1F" w:rsidTr="006F2BE9" w14:paraId="7303C994"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244ADB1F" w:rsidP="00FC472D" w:rsidRDefault="28A5ACCC" w14:paraId="7BB36EC7" w14:textId="60F9F586">
            <w:pPr>
              <w:spacing w:line="276" w:lineRule="auto"/>
              <w:ind w:firstLine="0"/>
              <w:rPr>
                <w:rFonts w:eastAsia="Book Antiqua" w:cs="Book Antiqua"/>
                <w:sz w:val="22"/>
              </w:rPr>
            </w:pPr>
            <w:r w:rsidRPr="006F2BE9">
              <w:rPr>
                <w:rFonts w:eastAsia="Book Antiqua" w:cs="Book Antiqua"/>
                <w:color w:val="000000" w:themeColor="text1"/>
                <w:sz w:val="22"/>
              </w:rPr>
              <w:t xml:space="preserve">East Bay Community Energy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244ADB1F" w:rsidP="006F2BE9" w:rsidRDefault="71328EEA" w14:paraId="5ADE997B" w14:textId="70DF3BEB">
            <w:pPr>
              <w:spacing w:line="276" w:lineRule="auto"/>
              <w:ind w:firstLine="0"/>
            </w:pPr>
            <w:r w:rsidRPr="006F2BE9">
              <w:rPr>
                <w:rFonts w:eastAsia="Book Antiqua" w:cs="Book Antiqua"/>
                <w:color w:val="2B579A"/>
                <w:sz w:val="22"/>
              </w:rPr>
              <w:t xml:space="preserve"> </w:t>
            </w:r>
            <w:r w:rsidRPr="00A25E86" w:rsidR="15FD2D68">
              <w:rPr>
                <w:rFonts w:eastAsia="Book Antiqua" w:cs="Book Antiqua"/>
                <w:sz w:val="22"/>
              </w:rPr>
              <w:t>S</w:t>
            </w:r>
            <w:r w:rsidRPr="00BC271E" w:rsidR="15FD2D68">
              <w:rPr>
                <w:rFonts w:eastAsia="Book Antiqua" w:cs="Book Antiqua"/>
                <w:sz w:val="22"/>
              </w:rPr>
              <w:t>hal</w:t>
            </w:r>
            <w:r w:rsidRPr="006F2BE9" w:rsidR="15FD2D68">
              <w:rPr>
                <w:rFonts w:eastAsia="Book Antiqua" w:cs="Book Antiqua"/>
                <w:sz w:val="22"/>
              </w:rPr>
              <w:t>l update its final RPS Plan and unredact VAMO information that is now public.</w:t>
            </w:r>
            <w:r w:rsidRPr="006F2BE9" w:rsidR="15FD2D68">
              <w:t xml:space="preserve"> </w:t>
            </w:r>
          </w:p>
        </w:tc>
      </w:tr>
      <w:tr w:rsidRPr="006F2BE9" w:rsidR="00AC120D" w:rsidTr="006F2BE9" w14:paraId="3F66185E"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00AC120D" w:rsidP="001106E4" w:rsidRDefault="6FEC3287" w14:paraId="2857A0BF" w14:textId="59337750">
            <w:pPr>
              <w:spacing w:line="276" w:lineRule="auto"/>
              <w:ind w:firstLine="0"/>
              <w:rPr>
                <w:rFonts w:eastAsia="Book Antiqua" w:cs="Book Antiqua"/>
                <w:color w:val="000000" w:themeColor="text1"/>
                <w:sz w:val="22"/>
              </w:rPr>
            </w:pPr>
            <w:r w:rsidRPr="006F2BE9">
              <w:rPr>
                <w:rFonts w:eastAsia="Book Antiqua" w:cs="Book Antiqua"/>
                <w:color w:val="000000" w:themeColor="text1"/>
                <w:sz w:val="22"/>
              </w:rPr>
              <w:t xml:space="preserve">Marin Clean Energy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00831D84" w:rsidP="006F2BE9" w:rsidRDefault="15FAF501" w14:paraId="1A8F0F0A" w14:textId="317FF1A8">
            <w:pPr>
              <w:spacing w:line="276" w:lineRule="auto"/>
              <w:ind w:firstLine="0"/>
              <w:rPr>
                <w:rFonts w:cs="Book Antiqua" w:eastAsiaTheme="minorEastAsia"/>
                <w:color w:val="000000" w:themeColor="text1"/>
                <w:sz w:val="24"/>
                <w:szCs w:val="24"/>
              </w:rPr>
            </w:pPr>
            <w:r w:rsidRPr="006F2BE9">
              <w:rPr>
                <w:rFonts w:eastAsia="Book Antiqua" w:cs="Book Antiqua"/>
                <w:color w:val="000000" w:themeColor="text1"/>
                <w:sz w:val="22"/>
              </w:rPr>
              <w:t xml:space="preserve">Should </w:t>
            </w:r>
            <w:r w:rsidRPr="006F2BE9" w:rsidR="73484247">
              <w:rPr>
                <w:rFonts w:eastAsia="Book Antiqua" w:cs="Book Antiqua"/>
                <w:color w:val="000000" w:themeColor="text1"/>
                <w:sz w:val="22"/>
              </w:rPr>
              <w:t>unred</w:t>
            </w:r>
            <w:r w:rsidRPr="006F2BE9" w:rsidR="00B34F50">
              <w:rPr>
                <w:rFonts w:eastAsia="Book Antiqua" w:cs="Book Antiqua"/>
                <w:color w:val="000000" w:themeColor="text1"/>
                <w:sz w:val="22"/>
              </w:rPr>
              <w:t>act</w:t>
            </w:r>
            <w:r w:rsidRPr="006F2BE9">
              <w:rPr>
                <w:rFonts w:eastAsia="Book Antiqua" w:cs="Book Antiqua"/>
                <w:color w:val="000000" w:themeColor="text1"/>
                <w:sz w:val="22"/>
              </w:rPr>
              <w:t xml:space="preserve"> </w:t>
            </w:r>
            <w:r w:rsidRPr="006F2BE9" w:rsidR="7B163D07">
              <w:rPr>
                <w:rFonts w:eastAsia="Book Antiqua" w:cs="Book Antiqua"/>
                <w:color w:val="000000" w:themeColor="text1"/>
                <w:sz w:val="22"/>
              </w:rPr>
              <w:t>“</w:t>
            </w:r>
            <w:r w:rsidRPr="006F2BE9" w:rsidR="6FEC3287">
              <w:rPr>
                <w:rFonts w:eastAsia="Book Antiqua" w:cs="Book Antiqua"/>
                <w:color w:val="000000" w:themeColor="text1"/>
                <w:sz w:val="22"/>
              </w:rPr>
              <w:t xml:space="preserve">Network </w:t>
            </w:r>
            <w:r w:rsidRPr="006F2BE9" w:rsidR="5ECD22A6">
              <w:rPr>
                <w:rFonts w:eastAsia="Book Antiqua" w:cs="Book Antiqua"/>
                <w:color w:val="000000" w:themeColor="text1"/>
                <w:sz w:val="22"/>
              </w:rPr>
              <w:t>Update</w:t>
            </w:r>
            <w:r w:rsidRPr="006F2BE9" w:rsidR="6FEC3287">
              <w:rPr>
                <w:rFonts w:eastAsia="Book Antiqua" w:cs="Book Antiqua"/>
                <w:color w:val="000000" w:themeColor="text1"/>
                <w:sz w:val="22"/>
              </w:rPr>
              <w:t xml:space="preserve"> Milestones</w:t>
            </w:r>
            <w:r w:rsidRPr="006F2BE9" w:rsidR="281040D7">
              <w:rPr>
                <w:rFonts w:eastAsia="Book Antiqua" w:cs="Book Antiqua"/>
                <w:color w:val="000000" w:themeColor="text1"/>
                <w:sz w:val="22"/>
              </w:rPr>
              <w:t>”</w:t>
            </w:r>
            <w:r w:rsidRPr="006F2BE9" w:rsidR="6FEC3287">
              <w:rPr>
                <w:rFonts w:eastAsia="Book Antiqua" w:cs="Book Antiqua"/>
                <w:color w:val="000000" w:themeColor="text1"/>
                <w:sz w:val="22"/>
              </w:rPr>
              <w:t xml:space="preserve"> </w:t>
            </w:r>
            <w:r w:rsidRPr="006F2BE9" w:rsidR="4234083E">
              <w:rPr>
                <w:rFonts w:eastAsia="Book Antiqua" w:cs="Book Antiqua"/>
                <w:color w:val="000000" w:themeColor="text1"/>
                <w:sz w:val="22"/>
              </w:rPr>
              <w:t>o</w:t>
            </w:r>
            <w:r w:rsidRPr="006F2BE9">
              <w:rPr>
                <w:rFonts w:eastAsia="Book Antiqua" w:cs="Book Antiqua"/>
                <w:color w:val="000000" w:themeColor="text1"/>
                <w:sz w:val="22"/>
              </w:rPr>
              <w:t>n P</w:t>
            </w:r>
            <w:r w:rsidRPr="006F2BE9" w:rsidR="6FEC3287">
              <w:rPr>
                <w:rFonts w:eastAsia="Book Antiqua" w:cs="Book Antiqua"/>
                <w:color w:val="000000" w:themeColor="text1"/>
                <w:sz w:val="22"/>
              </w:rPr>
              <w:t>age 35</w:t>
            </w:r>
            <w:r w:rsidRPr="006F2BE9">
              <w:rPr>
                <w:rFonts w:eastAsia="Book Antiqua" w:cs="Book Antiqua"/>
                <w:color w:val="000000" w:themeColor="text1"/>
                <w:sz w:val="22"/>
              </w:rPr>
              <w:t xml:space="preserve"> of Plan Body. </w:t>
            </w:r>
            <w:r w:rsidRPr="006F2BE9" w:rsidR="6FEC3287">
              <w:rPr>
                <w:rFonts w:eastAsia="Book Antiqua" w:cs="Book Antiqua"/>
                <w:color w:val="000000" w:themeColor="text1"/>
                <w:sz w:val="22"/>
              </w:rPr>
              <w:t xml:space="preserve"> </w:t>
            </w:r>
          </w:p>
          <w:p w:rsidRPr="006F2BE9" w:rsidR="00AC120D" w:rsidP="006F2BE9" w:rsidRDefault="64470B79" w14:paraId="370C66AB" w14:textId="2250B841">
            <w:pPr>
              <w:spacing w:line="276" w:lineRule="auto"/>
              <w:ind w:firstLine="0"/>
              <w:rPr>
                <w:rFonts w:eastAsia="Book Antiqua" w:cs="Book Antiqua"/>
                <w:color w:val="000000" w:themeColor="text1"/>
                <w:sz w:val="22"/>
              </w:rPr>
            </w:pPr>
            <w:r w:rsidRPr="006F2BE9">
              <w:rPr>
                <w:rFonts w:eastAsia="Book Antiqua" w:cs="Book Antiqua"/>
                <w:color w:val="000000" w:themeColor="text1"/>
                <w:sz w:val="22"/>
              </w:rPr>
              <w:t>Column</w:t>
            </w:r>
            <w:r w:rsidRPr="006F2BE9" w:rsidR="781C4016">
              <w:rPr>
                <w:rFonts w:eastAsia="Book Antiqua" w:cs="Book Antiqua"/>
                <w:color w:val="000000" w:themeColor="text1"/>
                <w:sz w:val="22"/>
              </w:rPr>
              <w:t xml:space="preserve"> U </w:t>
            </w:r>
            <w:r w:rsidRPr="006F2BE9" w:rsidR="2796A718">
              <w:rPr>
                <w:rFonts w:eastAsia="Book Antiqua" w:cs="Book Antiqua"/>
                <w:color w:val="000000" w:themeColor="text1"/>
                <w:sz w:val="22"/>
              </w:rPr>
              <w:t>should be unredacted in</w:t>
            </w:r>
            <w:r w:rsidRPr="006F2BE9" w:rsidR="7EE56937">
              <w:rPr>
                <w:rFonts w:eastAsia="Book Antiqua" w:cs="Book Antiqua"/>
                <w:color w:val="000000" w:themeColor="text1"/>
                <w:sz w:val="22"/>
              </w:rPr>
              <w:t xml:space="preserve"> P</w:t>
            </w:r>
            <w:r w:rsidRPr="006F2BE9" w:rsidR="7DA5F920">
              <w:rPr>
                <w:rFonts w:eastAsia="Book Antiqua" w:cs="Book Antiqua"/>
                <w:color w:val="000000" w:themeColor="text1"/>
                <w:sz w:val="22"/>
              </w:rPr>
              <w:t>DSU Sheet</w:t>
            </w:r>
            <w:r w:rsidRPr="006F2BE9" w:rsidR="00B34F50">
              <w:rPr>
                <w:rFonts w:eastAsia="Book Antiqua" w:cs="Book Antiqua"/>
                <w:color w:val="000000" w:themeColor="text1"/>
                <w:sz w:val="22"/>
              </w:rPr>
              <w:t>.</w:t>
            </w:r>
            <w:r w:rsidRPr="006F2BE9" w:rsidR="7DA5F920">
              <w:rPr>
                <w:rFonts w:eastAsia="Book Antiqua" w:cs="Book Antiqua"/>
                <w:color w:val="000000" w:themeColor="text1"/>
                <w:sz w:val="22"/>
              </w:rPr>
              <w:t xml:space="preserve"> </w:t>
            </w:r>
          </w:p>
        </w:tc>
      </w:tr>
      <w:tr w:rsidRPr="006F2BE9" w:rsidR="00AC120D" w:rsidTr="006F2BE9" w14:paraId="4501A0EF"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00AC120D" w:rsidP="001106E4" w:rsidRDefault="532FDC3D" w14:paraId="3B1D3215" w14:textId="7995ECA2">
            <w:pPr>
              <w:spacing w:line="276" w:lineRule="auto"/>
              <w:ind w:firstLine="0"/>
              <w:rPr>
                <w:rFonts w:eastAsia="Book Antiqua" w:cs="Book Antiqua"/>
                <w:color w:val="000000" w:themeColor="text1"/>
                <w:sz w:val="22"/>
              </w:rPr>
            </w:pPr>
            <w:r w:rsidRPr="006F2BE9">
              <w:rPr>
                <w:rFonts w:eastAsia="Book Antiqua" w:cs="Book Antiqua"/>
                <w:color w:val="000000" w:themeColor="text1"/>
                <w:sz w:val="22"/>
              </w:rPr>
              <w:t>Redwood Coast Energy Authority</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00AC120D" w:rsidP="006F2BE9" w:rsidRDefault="522F4DD4" w14:paraId="06D2915A" w14:textId="340758C0">
            <w:pPr>
              <w:spacing w:line="276" w:lineRule="auto"/>
              <w:ind w:firstLine="0"/>
              <w:rPr>
                <w:rFonts w:eastAsia="Book Antiqua" w:cs="Book Antiqua"/>
                <w:color w:val="000000" w:themeColor="text1"/>
                <w:sz w:val="22"/>
              </w:rPr>
            </w:pPr>
            <w:r w:rsidRPr="006F2BE9">
              <w:rPr>
                <w:rFonts w:eastAsia="Book Antiqua" w:cs="Book Antiqua"/>
                <w:color w:val="000000" w:themeColor="text1"/>
                <w:sz w:val="22"/>
              </w:rPr>
              <w:t xml:space="preserve">The Cost Quantification </w:t>
            </w:r>
            <w:r w:rsidRPr="006F2BE9" w:rsidR="547C87B0">
              <w:rPr>
                <w:rFonts w:eastAsia="Book Antiqua" w:cs="Book Antiqua"/>
                <w:color w:val="000000" w:themeColor="text1"/>
                <w:sz w:val="22"/>
              </w:rPr>
              <w:t>Table</w:t>
            </w:r>
            <w:r w:rsidRPr="006F2BE9">
              <w:rPr>
                <w:rFonts w:eastAsia="Book Antiqua" w:cs="Book Antiqua"/>
                <w:color w:val="000000" w:themeColor="text1"/>
                <w:sz w:val="22"/>
              </w:rPr>
              <w:t xml:space="preserve"> 1 </w:t>
            </w:r>
            <w:r w:rsidRPr="006F2BE9" w:rsidR="7CF6FA84">
              <w:rPr>
                <w:rFonts w:eastAsia="Book Antiqua" w:cs="Book Antiqua"/>
                <w:color w:val="000000" w:themeColor="text1"/>
                <w:sz w:val="22"/>
              </w:rPr>
              <w:t xml:space="preserve">should be unredacted and </w:t>
            </w:r>
            <w:r w:rsidRPr="006F2BE9" w:rsidR="00B34F50">
              <w:rPr>
                <w:rFonts w:eastAsia="Book Antiqua" w:cs="Book Antiqua"/>
                <w:color w:val="000000" w:themeColor="text1"/>
                <w:sz w:val="22"/>
              </w:rPr>
              <w:t xml:space="preserve">in </w:t>
            </w:r>
            <w:r w:rsidRPr="006F2BE9" w:rsidR="7CF6FA84">
              <w:rPr>
                <w:rFonts w:eastAsia="Book Antiqua" w:cs="Book Antiqua"/>
                <w:color w:val="000000" w:themeColor="text1"/>
                <w:sz w:val="22"/>
              </w:rPr>
              <w:t>Table</w:t>
            </w:r>
            <w:r w:rsidRPr="006F2BE9">
              <w:rPr>
                <w:rFonts w:eastAsia="Book Antiqua" w:cs="Book Antiqua"/>
                <w:color w:val="000000" w:themeColor="text1"/>
                <w:sz w:val="22"/>
              </w:rPr>
              <w:t xml:space="preserve"> </w:t>
            </w:r>
            <w:r w:rsidRPr="006F2BE9" w:rsidR="5A4F7BA6">
              <w:rPr>
                <w:rFonts w:eastAsia="Book Antiqua" w:cs="Book Antiqua"/>
                <w:color w:val="000000" w:themeColor="text1"/>
                <w:sz w:val="22"/>
              </w:rPr>
              <w:t>2 bundled</w:t>
            </w:r>
            <w:r w:rsidRPr="006F2BE9" w:rsidR="2500226C">
              <w:rPr>
                <w:rFonts w:eastAsia="Book Antiqua" w:cs="Book Antiqua"/>
                <w:color w:val="000000" w:themeColor="text1"/>
                <w:sz w:val="22"/>
              </w:rPr>
              <w:t xml:space="preserve"> sales </w:t>
            </w:r>
            <w:r w:rsidRPr="006F2BE9" w:rsidR="5A4F7BA6">
              <w:rPr>
                <w:rFonts w:eastAsia="Book Antiqua" w:cs="Book Antiqua"/>
                <w:color w:val="000000" w:themeColor="text1"/>
                <w:sz w:val="22"/>
              </w:rPr>
              <w:t>amounts</w:t>
            </w:r>
            <w:r w:rsidRPr="006F2BE9" w:rsidR="15FAF501">
              <w:rPr>
                <w:rFonts w:eastAsia="Book Antiqua" w:cs="Book Antiqua"/>
                <w:color w:val="000000" w:themeColor="text1"/>
                <w:sz w:val="22"/>
              </w:rPr>
              <w:t xml:space="preserve"> </w:t>
            </w:r>
            <w:r w:rsidRPr="006F2BE9" w:rsidR="56377B0C">
              <w:rPr>
                <w:rFonts w:eastAsia="Book Antiqua" w:cs="Book Antiqua"/>
                <w:color w:val="000000" w:themeColor="text1"/>
                <w:sz w:val="22"/>
              </w:rPr>
              <w:t xml:space="preserve">should be </w:t>
            </w:r>
            <w:r w:rsidRPr="006F2BE9" w:rsidR="5A4F7BA6">
              <w:rPr>
                <w:rFonts w:eastAsia="Book Antiqua" w:cs="Book Antiqua"/>
                <w:color w:val="000000" w:themeColor="text1"/>
                <w:sz w:val="22"/>
              </w:rPr>
              <w:t>unredacted</w:t>
            </w:r>
            <w:r w:rsidRPr="006F2BE9" w:rsidR="2500226C">
              <w:rPr>
                <w:rFonts w:eastAsia="Book Antiqua" w:cs="Book Antiqua"/>
                <w:color w:val="000000" w:themeColor="text1"/>
                <w:sz w:val="22"/>
              </w:rPr>
              <w:t xml:space="preserve"> outside of the 2022</w:t>
            </w:r>
            <w:r w:rsidR="00C56292">
              <w:rPr>
                <w:rFonts w:eastAsia="Book Antiqua" w:cs="Book Antiqua"/>
                <w:color w:val="000000" w:themeColor="text1"/>
                <w:sz w:val="22"/>
              </w:rPr>
              <w:noBreakHyphen/>
            </w:r>
            <w:r w:rsidRPr="006F2BE9" w:rsidR="2500226C">
              <w:rPr>
                <w:rFonts w:eastAsia="Book Antiqua" w:cs="Book Antiqua"/>
                <w:color w:val="000000" w:themeColor="text1"/>
                <w:sz w:val="22"/>
              </w:rPr>
              <w:t>2024 period</w:t>
            </w:r>
            <w:r w:rsidRPr="006F2BE9" w:rsidR="00B34F50">
              <w:rPr>
                <w:rFonts w:eastAsia="Book Antiqua" w:cs="Book Antiqua"/>
                <w:color w:val="000000" w:themeColor="text1"/>
                <w:sz w:val="22"/>
              </w:rPr>
              <w:t>.</w:t>
            </w:r>
          </w:p>
        </w:tc>
      </w:tr>
      <w:tr w:rsidRPr="006F2BE9" w:rsidR="00AC120D" w:rsidTr="006F2BE9" w14:paraId="622F8F54"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00AC120D" w:rsidP="001106E4" w:rsidRDefault="1A61DEC5" w14:paraId="318F4F09" w14:textId="36699B70">
            <w:pPr>
              <w:spacing w:line="276" w:lineRule="auto"/>
              <w:ind w:firstLine="0"/>
              <w:rPr>
                <w:rFonts w:eastAsia="Book Antiqua" w:cs="Book Antiqua"/>
                <w:sz w:val="22"/>
              </w:rPr>
            </w:pPr>
            <w:r w:rsidRPr="006F2BE9">
              <w:rPr>
                <w:rFonts w:eastAsia="Book Antiqua" w:cs="Book Antiqua"/>
                <w:sz w:val="22"/>
              </w:rPr>
              <w:t xml:space="preserve">PG&amp;E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00AC120D" w:rsidP="006F2BE9" w:rsidRDefault="0A5728C6" w14:paraId="22DE0758" w14:textId="6E9180A4">
            <w:pPr>
              <w:spacing w:line="276" w:lineRule="auto"/>
              <w:ind w:firstLine="0"/>
              <w:rPr>
                <w:rFonts w:eastAsia="Book Antiqua" w:cs="Book Antiqua"/>
                <w:sz w:val="22"/>
              </w:rPr>
            </w:pPr>
            <w:r w:rsidRPr="006F2BE9">
              <w:rPr>
                <w:rFonts w:eastAsia="Book Antiqua" w:cs="Book Antiqua"/>
                <w:sz w:val="22"/>
              </w:rPr>
              <w:t xml:space="preserve">RNS Variable D is </w:t>
            </w:r>
            <w:r w:rsidRPr="006F2BE9" w:rsidR="10D37483">
              <w:rPr>
                <w:rFonts w:eastAsia="Book Antiqua" w:cs="Book Antiqua"/>
                <w:sz w:val="22"/>
              </w:rPr>
              <w:t>inappropriately</w:t>
            </w:r>
            <w:r w:rsidRPr="006F2BE9" w:rsidR="1A61DEC5">
              <w:rPr>
                <w:rFonts w:eastAsia="Book Antiqua" w:cs="Book Antiqua"/>
                <w:sz w:val="22"/>
              </w:rPr>
              <w:t xml:space="preserve"> red</w:t>
            </w:r>
            <w:r w:rsidRPr="006F2BE9" w:rsidR="57815DF4">
              <w:rPr>
                <w:rFonts w:eastAsia="Book Antiqua" w:cs="Book Antiqua"/>
                <w:sz w:val="22"/>
              </w:rPr>
              <w:t>ac</w:t>
            </w:r>
            <w:r w:rsidRPr="006F2BE9" w:rsidR="1A61DEC5">
              <w:rPr>
                <w:rFonts w:eastAsia="Book Antiqua" w:cs="Book Antiqua"/>
                <w:sz w:val="22"/>
              </w:rPr>
              <w:t xml:space="preserve">ted </w:t>
            </w:r>
            <w:r w:rsidRPr="006F2BE9" w:rsidR="3EEBF35F">
              <w:rPr>
                <w:rFonts w:eastAsia="Book Antiqua" w:cs="Book Antiqua"/>
                <w:sz w:val="22"/>
              </w:rPr>
              <w:t>for 2028-2032.</w:t>
            </w:r>
          </w:p>
        </w:tc>
      </w:tr>
      <w:tr w:rsidRPr="006F2BE9" w:rsidR="746DB881" w:rsidTr="006F2BE9" w14:paraId="08F7EB24"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42E3CD94" w:rsidP="02760BE7" w:rsidRDefault="22D3E4A6" w14:paraId="73958B3B" w14:textId="1A8DA9A4">
            <w:pPr>
              <w:spacing w:line="276" w:lineRule="auto"/>
              <w:ind w:firstLine="0"/>
              <w:rPr>
                <w:rFonts w:eastAsia="Book Antiqua" w:cs="Book Antiqua"/>
                <w:sz w:val="22"/>
              </w:rPr>
            </w:pPr>
            <w:r w:rsidRPr="006F2BE9">
              <w:rPr>
                <w:rFonts w:eastAsia="Book Antiqua" w:cs="Book Antiqua"/>
                <w:sz w:val="22"/>
              </w:rPr>
              <w:t xml:space="preserve">Pilot Power Group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42E3CD94" w:rsidP="006F2BE9" w:rsidRDefault="6DDE2E2B" w14:paraId="20784833" w14:textId="71C748BD">
            <w:pPr>
              <w:spacing w:line="276" w:lineRule="auto"/>
              <w:ind w:firstLine="0"/>
              <w:rPr>
                <w:rFonts w:eastAsia="Book Antiqua" w:cs="Book Antiqua"/>
                <w:sz w:val="22"/>
              </w:rPr>
            </w:pPr>
            <w:r w:rsidRPr="006F2BE9">
              <w:rPr>
                <w:rFonts w:eastAsia="Book Antiqua" w:cs="Book Antiqua"/>
                <w:sz w:val="22"/>
              </w:rPr>
              <w:t>RNS Variables Ia, Ib, J, J0-J2, La, and Lb are inappropriately redacted for 2017-2021 and CP</w:t>
            </w:r>
            <w:r w:rsidRPr="006F2BE9" w:rsidR="0018759A">
              <w:rPr>
                <w:rFonts w:eastAsia="Book Antiqua" w:cs="Book Antiqua"/>
                <w:sz w:val="22"/>
              </w:rPr>
              <w:t xml:space="preserve"> </w:t>
            </w:r>
            <w:r w:rsidRPr="006F2BE9">
              <w:rPr>
                <w:rFonts w:eastAsia="Book Antiqua" w:cs="Book Antiqua"/>
                <w:sz w:val="22"/>
              </w:rPr>
              <w:t>3.</w:t>
            </w:r>
          </w:p>
        </w:tc>
      </w:tr>
      <w:tr w:rsidRPr="006F2BE9" w:rsidR="00AC120D" w:rsidTr="006F2BE9" w14:paraId="7C1CAAB6"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00AC120D" w:rsidP="001106E4" w:rsidRDefault="631131EA" w14:paraId="06E8E88C" w14:textId="02311F3E">
            <w:pPr>
              <w:spacing w:line="276" w:lineRule="auto"/>
              <w:ind w:firstLine="0"/>
              <w:rPr>
                <w:rFonts w:eastAsia="Book Antiqua" w:cs="Book Antiqua"/>
                <w:sz w:val="22"/>
              </w:rPr>
            </w:pPr>
            <w:r w:rsidRPr="006F2BE9">
              <w:rPr>
                <w:rFonts w:eastAsia="Book Antiqua" w:cs="Book Antiqua"/>
                <w:sz w:val="22"/>
              </w:rPr>
              <w:t>SDG&amp;E</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00AC120D" w:rsidP="006F2BE9" w:rsidRDefault="02EC4A60" w14:paraId="7A3EBC38" w14:textId="313AE2C2">
            <w:pPr>
              <w:spacing w:line="276" w:lineRule="auto"/>
              <w:ind w:firstLine="0"/>
              <w:rPr>
                <w:rFonts w:eastAsia="Book Antiqua" w:cs="Book Antiqua"/>
                <w:sz w:val="22"/>
              </w:rPr>
            </w:pPr>
            <w:r w:rsidRPr="006F2BE9">
              <w:rPr>
                <w:rFonts w:eastAsia="Book Antiqua" w:cs="Book Antiqua"/>
                <w:color w:val="000000" w:themeColor="text1"/>
                <w:sz w:val="22"/>
              </w:rPr>
              <w:t>RNS</w:t>
            </w:r>
            <w:r w:rsidRPr="006F2BE9" w:rsidR="05633A7C">
              <w:rPr>
                <w:rFonts w:eastAsia="Book Antiqua" w:cs="Book Antiqua"/>
                <w:color w:val="000000" w:themeColor="text1"/>
                <w:sz w:val="22"/>
              </w:rPr>
              <w:t xml:space="preserve"> Variables A, C, D, E, </w:t>
            </w:r>
            <w:r w:rsidRPr="006F2BE9" w:rsidR="556E2E88">
              <w:rPr>
                <w:rFonts w:eastAsia="Book Antiqua" w:cs="Book Antiqua"/>
                <w:sz w:val="22"/>
              </w:rPr>
              <w:t>Fa, Fb, Fc, Fd, F, F0-F3 are inappropriately redacted for 2025.</w:t>
            </w:r>
          </w:p>
          <w:p w:rsidRPr="006F2BE9" w:rsidR="00AC120D" w:rsidP="006F2BE9" w:rsidRDefault="004145DC" w14:paraId="2101F545" w14:textId="40148980">
            <w:pPr>
              <w:spacing w:line="276" w:lineRule="auto"/>
              <w:ind w:firstLine="0"/>
              <w:rPr>
                <w:rFonts w:eastAsia="Book Antiqua" w:cs="Book Antiqua"/>
                <w:color w:val="000000" w:themeColor="text1"/>
                <w:sz w:val="22"/>
              </w:rPr>
            </w:pPr>
            <w:r w:rsidRPr="006F2BE9">
              <w:rPr>
                <w:rFonts w:eastAsia="Book Antiqua" w:cs="Book Antiqua"/>
                <w:color w:val="000000" w:themeColor="text1"/>
                <w:sz w:val="22"/>
              </w:rPr>
              <w:t xml:space="preserve">In </w:t>
            </w:r>
            <w:r w:rsidRPr="006F2BE9" w:rsidR="556E2E88">
              <w:rPr>
                <w:rFonts w:eastAsia="Book Antiqua" w:cs="Book Antiqua"/>
                <w:color w:val="000000" w:themeColor="text1"/>
                <w:sz w:val="22"/>
              </w:rPr>
              <w:t>The Cost Quantification Table 2</w:t>
            </w:r>
            <w:r w:rsidRPr="006F2BE9">
              <w:rPr>
                <w:rFonts w:eastAsia="Book Antiqua" w:cs="Book Antiqua"/>
                <w:color w:val="000000" w:themeColor="text1"/>
                <w:sz w:val="22"/>
              </w:rPr>
              <w:t>,</w:t>
            </w:r>
            <w:r w:rsidRPr="006F2BE9" w:rsidR="556E2E88">
              <w:rPr>
                <w:rFonts w:eastAsia="Book Antiqua" w:cs="Book Antiqua"/>
                <w:color w:val="000000" w:themeColor="text1"/>
                <w:sz w:val="22"/>
              </w:rPr>
              <w:t xml:space="preserve"> bundled sales amounts should be unredacted for 2025.</w:t>
            </w:r>
          </w:p>
        </w:tc>
      </w:tr>
      <w:tr w:rsidRPr="006F2BE9" w:rsidR="76B458D7" w:rsidTr="006F2BE9" w14:paraId="2E5BD27D" w14:textId="77777777">
        <w:tc>
          <w:tcPr>
            <w:tcW w:w="2370" w:type="dxa"/>
            <w:tcBorders>
              <w:top w:val="single" w:color="auto" w:sz="6" w:space="0"/>
              <w:left w:val="single" w:color="auto" w:sz="6" w:space="0"/>
              <w:bottom w:val="single" w:color="auto" w:sz="6" w:space="0"/>
              <w:right w:val="single" w:color="auto" w:sz="6" w:space="0"/>
            </w:tcBorders>
            <w:vAlign w:val="center"/>
          </w:tcPr>
          <w:p w:rsidRPr="006F2BE9" w:rsidR="76B458D7" w:rsidP="02760BE7" w:rsidRDefault="6F10DED0" w14:paraId="7F04F67C" w14:textId="10907665">
            <w:pPr>
              <w:spacing w:line="276" w:lineRule="auto"/>
              <w:ind w:firstLine="0"/>
              <w:rPr>
                <w:rFonts w:eastAsia="Book Antiqua" w:cs="Book Antiqua"/>
                <w:sz w:val="22"/>
              </w:rPr>
            </w:pPr>
            <w:r w:rsidRPr="006F2BE9">
              <w:rPr>
                <w:rFonts w:eastAsia="Book Antiqua" w:cs="Book Antiqua"/>
                <w:sz w:val="22"/>
              </w:rPr>
              <w:t xml:space="preserve">Sonoma Clean Power </w:t>
            </w:r>
          </w:p>
        </w:tc>
        <w:tc>
          <w:tcPr>
            <w:tcW w:w="6960" w:type="dxa"/>
            <w:tcBorders>
              <w:top w:val="single" w:color="auto" w:sz="6" w:space="0"/>
              <w:left w:val="single" w:color="auto" w:sz="6" w:space="0"/>
              <w:bottom w:val="single" w:color="auto" w:sz="6" w:space="0"/>
              <w:right w:val="single" w:color="auto" w:sz="6" w:space="0"/>
            </w:tcBorders>
            <w:vAlign w:val="center"/>
          </w:tcPr>
          <w:p w:rsidRPr="006F2BE9" w:rsidR="76B458D7" w:rsidP="006F2BE9" w:rsidRDefault="6F10DED0" w14:paraId="572266E6" w14:textId="4B0F7CB8">
            <w:pPr>
              <w:spacing w:line="276" w:lineRule="auto"/>
              <w:ind w:firstLine="0"/>
              <w:rPr>
                <w:rFonts w:eastAsia="Book Antiqua" w:cs="Book Antiqua"/>
                <w:sz w:val="22"/>
              </w:rPr>
            </w:pPr>
            <w:r w:rsidRPr="006F2BE9">
              <w:rPr>
                <w:rFonts w:eastAsia="Book Antiqua" w:cs="Book Antiqua"/>
                <w:sz w:val="22"/>
              </w:rPr>
              <w:t>Table 1 in the Cost Quantification Sheet should be unredacted.</w:t>
            </w:r>
          </w:p>
        </w:tc>
      </w:tr>
    </w:tbl>
    <w:bookmarkEnd w:id="10"/>
    <w:bookmarkEnd w:id="120"/>
    <w:p w:rsidRPr="002A69B2" w:rsidR="002A69B2" w:rsidP="00C56292" w:rsidRDefault="00DA0883" w14:paraId="6830201A" w14:textId="68E7A4E6">
      <w:pPr>
        <w:pStyle w:val="Standard"/>
        <w:spacing w:before="240"/>
      </w:pPr>
      <w:r>
        <w:t>Only one retail seller filed a</w:t>
      </w:r>
      <w:r w:rsidR="00916D71">
        <w:t xml:space="preserve"> motion for leave to late-file</w:t>
      </w:r>
      <w:r w:rsidR="00BC271E">
        <w:t xml:space="preserve"> its</w:t>
      </w:r>
      <w:r w:rsidR="00916D71">
        <w:t xml:space="preserve"> </w:t>
      </w:r>
      <w:r w:rsidR="00BC271E">
        <w:t>D</w:t>
      </w:r>
      <w:r w:rsidR="00916D71">
        <w:t xml:space="preserve">raft RPS Plan. </w:t>
      </w:r>
      <w:r w:rsidRPr="002A69B2" w:rsidR="002A69B2">
        <w:t>Good cause being show</w:t>
      </w:r>
      <w:r w:rsidR="003751CB">
        <w:t>n</w:t>
      </w:r>
      <w:r w:rsidRPr="002A69B2" w:rsidR="002A69B2">
        <w:t>, Motion for leave to late-file Draft 2022 R</w:t>
      </w:r>
      <w:r w:rsidR="00BC271E">
        <w:t>PS</w:t>
      </w:r>
      <w:r w:rsidRPr="002A69B2" w:rsidR="002A69B2">
        <w:t xml:space="preserve"> Plan </w:t>
      </w:r>
      <w:r w:rsidR="00916D71">
        <w:t xml:space="preserve">filed </w:t>
      </w:r>
      <w:r w:rsidRPr="002A69B2" w:rsidR="002A69B2">
        <w:t>by Brookfield Renewable Energy Marketing US LL</w:t>
      </w:r>
      <w:r w:rsidR="003763E4">
        <w:t>C</w:t>
      </w:r>
      <w:r w:rsidRPr="002A69B2" w:rsidR="002A69B2">
        <w:t>, dated July 28, 2022</w:t>
      </w:r>
      <w:r w:rsidR="002A69B2">
        <w:t xml:space="preserve">, is granted. </w:t>
      </w:r>
    </w:p>
    <w:p w:rsidR="005939A5" w:rsidP="00B40A5A" w:rsidRDefault="61B6FE82" w14:paraId="32EB8B75" w14:textId="737580F5">
      <w:pPr>
        <w:pStyle w:val="Heading1"/>
        <w:numPr>
          <w:ilvl w:val="0"/>
          <w:numId w:val="2"/>
        </w:numPr>
      </w:pPr>
      <w:bookmarkStart w:name="_Toc8123723" w:id="121"/>
      <w:bookmarkStart w:name="_Toc122180489" w:id="122"/>
      <w:r>
        <w:t>Comments on Proposed Decision</w:t>
      </w:r>
      <w:bookmarkEnd w:id="121"/>
      <w:bookmarkEnd w:id="122"/>
    </w:p>
    <w:p w:rsidR="00DA2AB1" w:rsidP="00DA2AB1" w:rsidRDefault="00DA2AB1" w14:paraId="0FCB35F8" w14:textId="5BB293D8">
      <w:pPr>
        <w:pStyle w:val="Standard"/>
      </w:pPr>
      <w:bookmarkStart w:name="_Toc8123724" w:id="123"/>
      <w:r w:rsidRPr="002777E2">
        <w:t>The proposed decision of A</w:t>
      </w:r>
      <w:r w:rsidR="00DE2647">
        <w:t xml:space="preserve">dministrative Law Judges (ALJs) </w:t>
      </w:r>
      <w:r w:rsidRPr="00DA2AB1">
        <w:t>Manisha</w:t>
      </w:r>
      <w:r w:rsidR="00DE2647">
        <w:t> </w:t>
      </w:r>
      <w:r w:rsidRPr="00DA2AB1">
        <w:t>Lakhanpal and Nilgun</w:t>
      </w:r>
      <w:r w:rsidR="00DE2647">
        <w:t> </w:t>
      </w:r>
      <w:r w:rsidRPr="00DA2AB1">
        <w:t xml:space="preserve">Atamturk </w:t>
      </w:r>
      <w:r w:rsidRPr="002777E2">
        <w:t>in this matter was mailed to the parties in accordance with Section</w:t>
      </w:r>
      <w:r w:rsidR="00DE2647">
        <w:t> </w:t>
      </w:r>
      <w:r w:rsidRPr="002777E2">
        <w:t>311 of the Public Utilities Code and comments were allowed under Rule</w:t>
      </w:r>
      <w:r w:rsidR="00DE2647">
        <w:t> </w:t>
      </w:r>
      <w:r w:rsidRPr="002777E2">
        <w:t xml:space="preserve">14.3 of the Commission’s Rules of Practice and Procedure. </w:t>
      </w:r>
      <w:r w:rsidR="00C56292">
        <w:t xml:space="preserve"> </w:t>
      </w:r>
      <w:r w:rsidRPr="002777E2">
        <w:t xml:space="preserve">Comments were filed on </w:t>
      </w:r>
      <w:r w:rsidR="003908FD">
        <w:t>November 29, 2022, by BVES, Clean PowerSF, GPI, PacifiCorp, PG&amp;E, SBUA, SDG&amp;E, and SCE.</w:t>
      </w:r>
      <w:r w:rsidR="008806BB">
        <w:t xml:space="preserve">  </w:t>
      </w:r>
      <w:r w:rsidR="003908FD">
        <w:t>R</w:t>
      </w:r>
      <w:r w:rsidRPr="002777E2">
        <w:t xml:space="preserve">eply comments were filed on </w:t>
      </w:r>
      <w:r w:rsidR="003908FD">
        <w:t>December 5, 2022</w:t>
      </w:r>
      <w:r w:rsidR="00101D91">
        <w:t>,</w:t>
      </w:r>
      <w:r w:rsidRPr="002777E2">
        <w:t xml:space="preserve"> by</w:t>
      </w:r>
      <w:r w:rsidR="003908FD">
        <w:t xml:space="preserve"> SBUA, SCE, and SDG&amp;E</w:t>
      </w:r>
      <w:r w:rsidRPr="002777E2">
        <w:t>.</w:t>
      </w:r>
      <w:r w:rsidR="003908FD">
        <w:t xml:space="preserve"> </w:t>
      </w:r>
      <w:r w:rsidR="00101D91">
        <w:t xml:space="preserve"> </w:t>
      </w:r>
      <w:r w:rsidR="003908FD">
        <w:t xml:space="preserve">All comments and reply comments have been carefully reviewed. </w:t>
      </w:r>
      <w:r w:rsidR="008806BB">
        <w:t xml:space="preserve"> </w:t>
      </w:r>
      <w:r w:rsidR="003908FD">
        <w:t xml:space="preserve">We respond to some of these comments below. </w:t>
      </w:r>
    </w:p>
    <w:p w:rsidR="00DA3EC4" w:rsidP="00DA3EC4" w:rsidRDefault="000764A9" w14:paraId="699B8D0B" w14:textId="6CDEABD2">
      <w:pPr>
        <w:pStyle w:val="Standard"/>
      </w:pPr>
      <w:r>
        <w:t xml:space="preserve">In its opening comments, PG&amp;E </w:t>
      </w:r>
      <w:r w:rsidRPr="007C3A4B">
        <w:t xml:space="preserve">requests authority to procure long-term RPS products in </w:t>
      </w:r>
      <w:r>
        <w:t xml:space="preserve">the </w:t>
      </w:r>
      <w:r w:rsidRPr="007C3A4B">
        <w:t xml:space="preserve">Market Offer process </w:t>
      </w:r>
      <w:r>
        <w:t xml:space="preserve">of the other two IOUs </w:t>
      </w:r>
      <w:r w:rsidRPr="007C3A4B">
        <w:t>as part of its Final 2022 RPS Procurement Plan.</w:t>
      </w:r>
      <w:r w:rsidR="00FF2ABF">
        <w:rPr>
          <w:rStyle w:val="FootnoteReference"/>
        </w:rPr>
        <w:footnoteReference w:id="51"/>
      </w:r>
      <w:r w:rsidRPr="007C3A4B">
        <w:t xml:space="preserve"> </w:t>
      </w:r>
      <w:r w:rsidRPr="0019549F">
        <w:t xml:space="preserve"> </w:t>
      </w:r>
      <w:r>
        <w:t xml:space="preserve">PG&amp;E states that </w:t>
      </w:r>
      <w:r w:rsidRPr="007C3A4B">
        <w:t xml:space="preserve">participation in the other IOUs’ Market Offer processes will provide PG&amp;E with flexibility to meet its RPS procurement needs through additional solicitation processes, </w:t>
      </w:r>
      <w:r w:rsidRPr="003A5FC3" w:rsidR="003A5FC3">
        <w:t>like</w:t>
      </w:r>
      <w:r w:rsidRPr="007C3A4B">
        <w:t xml:space="preserve"> other market participants who can optimize their RPS portfolios through participation in the Market Offer process. </w:t>
      </w:r>
      <w:r w:rsidR="00101D91">
        <w:t xml:space="preserve"> </w:t>
      </w:r>
      <w:r w:rsidR="00DA3EC4">
        <w:t xml:space="preserve">PG&amp;E also seeks </w:t>
      </w:r>
      <w:r w:rsidRPr="007C3A4B" w:rsidR="00DA3EC4">
        <w:t>clarif</w:t>
      </w:r>
      <w:r w:rsidR="00DA3EC4">
        <w:t xml:space="preserve">ication </w:t>
      </w:r>
      <w:r w:rsidRPr="007C3A4B" w:rsidR="00DA3EC4">
        <w:t xml:space="preserve">that, in the event an IOU procures </w:t>
      </w:r>
      <w:r w:rsidR="008F7B8B">
        <w:t xml:space="preserve">long-term </w:t>
      </w:r>
      <w:r w:rsidRPr="007C3A4B" w:rsidR="00DA3EC4">
        <w:t>Market Offer products through a different IOU’s solicitation, the costs of any resulting transaction is pre-approved for cost recovery as a Power Charge Indifference Adjustment (“PCIA”)- eligible contract for the term of the contract.</w:t>
      </w:r>
    </w:p>
    <w:p w:rsidR="007E4036" w:rsidP="003D024C" w:rsidRDefault="003D024C" w14:paraId="73ABC0AD" w14:textId="5C200AD0">
      <w:pPr>
        <w:pStyle w:val="Standard"/>
      </w:pPr>
      <w:r>
        <w:t xml:space="preserve">Reply comments </w:t>
      </w:r>
      <w:r w:rsidR="002C733E">
        <w:t xml:space="preserve">in response to PG&amp;E’s comments </w:t>
      </w:r>
      <w:r>
        <w:t xml:space="preserve">were filed by SCE, SDG&amp;E and SBUA. </w:t>
      </w:r>
      <w:r w:rsidR="00101D91">
        <w:t xml:space="preserve"> </w:t>
      </w:r>
      <w:r w:rsidR="000764A9">
        <w:t>SCE</w:t>
      </w:r>
      <w:r w:rsidR="00DA3EC4">
        <w:t xml:space="preserve">’s </w:t>
      </w:r>
      <w:r w:rsidR="000764A9">
        <w:t>reply comments support PG&amp;E’s request to allow the IOUs to participate in the other IOUs</w:t>
      </w:r>
      <w:r w:rsidR="00DA3EC4">
        <w:t xml:space="preserve">’ </w:t>
      </w:r>
      <w:r w:rsidRPr="007C3A4B" w:rsidR="000764A9">
        <w:t xml:space="preserve">Market Offer </w:t>
      </w:r>
      <w:r w:rsidR="00DA3EC4">
        <w:t xml:space="preserve">solicitations. </w:t>
      </w:r>
      <w:r w:rsidRPr="007C3A4B" w:rsidR="000764A9">
        <w:t xml:space="preserve"> SCE </w:t>
      </w:r>
      <w:r w:rsidR="00DA3EC4">
        <w:t xml:space="preserve">states that </w:t>
      </w:r>
      <w:r w:rsidR="00110BDD">
        <w:t>participating as a bidder in the Market Offer process will</w:t>
      </w:r>
      <w:r w:rsidR="00DA3EC4">
        <w:t xml:space="preserve"> give it an</w:t>
      </w:r>
      <w:r w:rsidRPr="007C3A4B" w:rsidR="000764A9">
        <w:t xml:space="preserve"> opportunity to fulfill its </w:t>
      </w:r>
      <w:r w:rsidRPr="00DA3EC4" w:rsidR="00DA3EC4">
        <w:t>long-term</w:t>
      </w:r>
      <w:r w:rsidR="00DA3EC4">
        <w:t xml:space="preserve"> </w:t>
      </w:r>
      <w:r w:rsidRPr="007C3A4B" w:rsidR="000764A9">
        <w:t>RPS need at uniquely competitive pricing</w:t>
      </w:r>
      <w:r w:rsidR="00DA3EC4">
        <w:t xml:space="preserve">. </w:t>
      </w:r>
      <w:r w:rsidR="00101D91">
        <w:t xml:space="preserve"> </w:t>
      </w:r>
      <w:r w:rsidR="007E4036">
        <w:t xml:space="preserve">SCE also supports PG&amp;E’s request for clarification that </w:t>
      </w:r>
      <w:r w:rsidRPr="007C3A4B" w:rsidR="007E4036">
        <w:t>the cost of any such transaction is pre-approved for cost recovery as a PCIA-eligible contract for the term of the contract.</w:t>
      </w:r>
      <w:r>
        <w:t xml:space="preserve">  </w:t>
      </w:r>
      <w:r w:rsidR="007E4036">
        <w:t>SDG&amp;E</w:t>
      </w:r>
      <w:r w:rsidR="00EC1834">
        <w:t xml:space="preserve"> </w:t>
      </w:r>
      <w:r>
        <w:t>reply comments state</w:t>
      </w:r>
      <w:r w:rsidR="00EC1834">
        <w:t xml:space="preserve"> that </w:t>
      </w:r>
      <w:r w:rsidRPr="007C3A4B" w:rsidR="00EC1834">
        <w:t>any resulting transactions from an IOU’s participation in another IOU’s Market Offer solicitation should be fully recoverable in rates.</w:t>
      </w:r>
      <w:r w:rsidR="007E4036">
        <w:t xml:space="preserve"> </w:t>
      </w:r>
      <w:r>
        <w:t xml:space="preserve"> </w:t>
      </w:r>
      <w:r w:rsidR="006B2A7F">
        <w:t>I</w:t>
      </w:r>
      <w:r w:rsidR="007E4036">
        <w:t xml:space="preserve">n its reply comments, SBUA </w:t>
      </w:r>
      <w:r w:rsidRPr="007C3A4B">
        <w:t xml:space="preserve">requests that the Commission approve PG&amp;E's request to participate but continue to subject </w:t>
      </w:r>
      <w:r w:rsidRPr="009E49F2">
        <w:t>cost recovery to the Tier 3 process.</w:t>
      </w:r>
      <w:r>
        <w:t xml:space="preserve"> </w:t>
      </w:r>
    </w:p>
    <w:p w:rsidR="00100E71" w:rsidP="009E49F2" w:rsidRDefault="002C733E" w14:paraId="292C5EB5" w14:textId="357275C6">
      <w:pPr>
        <w:pStyle w:val="Standard"/>
      </w:pPr>
      <w:r>
        <w:t xml:space="preserve">Pursuant to </w:t>
      </w:r>
      <w:r w:rsidR="008725BE">
        <w:t>D.21-05-03</w:t>
      </w:r>
      <w:r w:rsidR="00E82340">
        <w:t>0</w:t>
      </w:r>
      <w:r w:rsidR="008725BE">
        <w:t xml:space="preserve">, the Market Offer process </w:t>
      </w:r>
      <w:r>
        <w:t>is</w:t>
      </w:r>
      <w:r w:rsidR="008725BE">
        <w:t xml:space="preserve"> open to all market participants</w:t>
      </w:r>
      <w:r>
        <w:t xml:space="preserve"> including the IOUs administering the Market Offer process.</w:t>
      </w:r>
      <w:r>
        <w:rPr>
          <w:rStyle w:val="FootnoteReference"/>
        </w:rPr>
        <w:footnoteReference w:id="52"/>
      </w:r>
      <w:r>
        <w:t xml:space="preserve"> </w:t>
      </w:r>
      <w:r w:rsidR="00F15B3B">
        <w:t xml:space="preserve"> If the</w:t>
      </w:r>
      <w:r>
        <w:t xml:space="preserve"> IOUs can participate in their own Market Offer </w:t>
      </w:r>
      <w:r w:rsidR="000E74F7">
        <w:t>process</w:t>
      </w:r>
      <w:r w:rsidR="00303AFA">
        <w:t>, which includes both short-term and long-term solicitations</w:t>
      </w:r>
      <w:r w:rsidR="000E74F7">
        <w:t xml:space="preserve">, </w:t>
      </w:r>
      <w:r>
        <w:t xml:space="preserve">we do not </w:t>
      </w:r>
      <w:r w:rsidR="00B20456">
        <w:t xml:space="preserve">see a reason </w:t>
      </w:r>
      <w:r>
        <w:t xml:space="preserve">to exclude them for participating as bidders in the other IOUs’ Market Offer process. </w:t>
      </w:r>
      <w:r w:rsidR="00101D91">
        <w:t xml:space="preserve"> </w:t>
      </w:r>
      <w:r w:rsidR="000E74F7">
        <w:t>Moreover, if</w:t>
      </w:r>
      <w:r w:rsidR="0062782E">
        <w:t xml:space="preserve"> the VAMO is successful </w:t>
      </w:r>
      <w:r w:rsidR="000E74F7">
        <w:t xml:space="preserve">in its </w:t>
      </w:r>
      <w:r w:rsidRPr="000E74F7" w:rsidR="000E74F7">
        <w:t>goal of reducing excess and/or uneconomic resources in utilities’ PCIA portfolios</w:t>
      </w:r>
      <w:r w:rsidR="0062782E">
        <w:t xml:space="preserve"> as envisioned in D.21-05-03</w:t>
      </w:r>
      <w:r w:rsidR="00507EC0">
        <w:t>0</w:t>
      </w:r>
      <w:r w:rsidR="0062782E">
        <w:t xml:space="preserve">, the IOUs may end up in a short position in the coming few years. </w:t>
      </w:r>
      <w:r w:rsidR="00101D91">
        <w:t xml:space="preserve"> </w:t>
      </w:r>
      <w:r w:rsidR="0062782E">
        <w:t xml:space="preserve">It is reasonable </w:t>
      </w:r>
      <w:r w:rsidR="00F15B3B">
        <w:t>for</w:t>
      </w:r>
      <w:r w:rsidR="0062782E">
        <w:t xml:space="preserve"> the IOUs</w:t>
      </w:r>
      <w:r w:rsidRPr="009E49F2" w:rsidR="0062782E">
        <w:t xml:space="preserve">, on behalf of </w:t>
      </w:r>
      <w:r w:rsidR="0062782E">
        <w:t>their</w:t>
      </w:r>
      <w:r w:rsidRPr="009E49F2" w:rsidR="0062782E">
        <w:t xml:space="preserve"> current bundled service customers, to take advantage of the same procurement opportunities as other </w:t>
      </w:r>
      <w:r w:rsidR="0062782E">
        <w:t xml:space="preserve">market participants </w:t>
      </w:r>
      <w:r w:rsidRPr="009E49F2" w:rsidR="0062782E">
        <w:t>to transact in the</w:t>
      </w:r>
      <w:r w:rsidR="0062782E">
        <w:t xml:space="preserve"> </w:t>
      </w:r>
      <w:r w:rsidRPr="009B5F38" w:rsidR="0062782E">
        <w:t>Market Offer process.</w:t>
      </w:r>
      <w:r w:rsidR="0062782E">
        <w:t xml:space="preserve"> </w:t>
      </w:r>
      <w:r w:rsidR="00101D91">
        <w:t xml:space="preserve"> </w:t>
      </w:r>
      <w:r w:rsidR="0062782E">
        <w:t xml:space="preserve">Therefore, we should allow the IOUs to participate as bidders and avail the opportunity to balance their portfolios as they see fit under the Market Offer process. </w:t>
      </w:r>
    </w:p>
    <w:p w:rsidR="00396B4D" w:rsidP="00100E71" w:rsidRDefault="0062782E" w14:paraId="66241A9B" w14:textId="4290CA29">
      <w:pPr>
        <w:pStyle w:val="Standard"/>
      </w:pPr>
      <w:r>
        <w:t xml:space="preserve">Regarding the PG&amp;E’s assertion that the </w:t>
      </w:r>
      <w:r w:rsidRPr="009B5F38">
        <w:t xml:space="preserve">costs of any resulting transaction is pre-approved for cost recovery as </w:t>
      </w:r>
      <w:r>
        <w:t>a PCIA-eligible</w:t>
      </w:r>
      <w:r w:rsidRPr="009B5F38">
        <w:t xml:space="preserve"> contract for the term of the contract</w:t>
      </w:r>
      <w:r>
        <w:t xml:space="preserve">, we clarify that </w:t>
      </w:r>
      <w:r w:rsidR="0021315D">
        <w:t xml:space="preserve">review of </w:t>
      </w:r>
      <w:r>
        <w:t>long-term</w:t>
      </w:r>
      <w:r w:rsidR="00413B40">
        <w:t xml:space="preserve"> procurement</w:t>
      </w:r>
      <w:r>
        <w:t xml:space="preserve"> contracts</w:t>
      </w:r>
      <w:r w:rsidR="0021315D">
        <w:rPr>
          <w:rStyle w:val="FootnoteReference"/>
        </w:rPr>
        <w:footnoteReference w:id="53"/>
      </w:r>
      <w:r>
        <w:t xml:space="preserve"> </w:t>
      </w:r>
      <w:r w:rsidR="00413B40">
        <w:t>under the Market Offer solicitation</w:t>
      </w:r>
      <w:r>
        <w:t xml:space="preserve"> shall follow the same review </w:t>
      </w:r>
      <w:r w:rsidR="00413B40">
        <w:t xml:space="preserve">and approval process </w:t>
      </w:r>
      <w:r>
        <w:t xml:space="preserve">as </w:t>
      </w:r>
      <w:r w:rsidR="00413B40">
        <w:t xml:space="preserve">the </w:t>
      </w:r>
      <w:r>
        <w:t xml:space="preserve">current </w:t>
      </w:r>
      <w:r w:rsidRPr="00191FF7">
        <w:t>RPS procurement</w:t>
      </w:r>
      <w:r w:rsidRPr="00191FF7" w:rsidR="00413B40">
        <w:t xml:space="preserve"> </w:t>
      </w:r>
      <w:r w:rsidRPr="00191FF7" w:rsidR="0021315D">
        <w:t>review</w:t>
      </w:r>
      <w:r>
        <w:t>.</w:t>
      </w:r>
      <w:r w:rsidR="0064501C">
        <w:t xml:space="preserve"> </w:t>
      </w:r>
      <w:r w:rsidR="00156C7D">
        <w:t xml:space="preserve"> U</w:t>
      </w:r>
      <w:r w:rsidRPr="00156C7D" w:rsidR="00156C7D">
        <w:t>nder the RPS program, utilities seek pre-approval for cost recovery for</w:t>
      </w:r>
      <w:r w:rsidR="00F329DB">
        <w:t xml:space="preserve"> long-term</w:t>
      </w:r>
      <w:r w:rsidRPr="00156C7D" w:rsidR="00156C7D">
        <w:t xml:space="preserve"> RPS contracts (with some exceptions), by a Tier 3 Advice Letter.</w:t>
      </w:r>
      <w:r w:rsidR="0021315D">
        <w:rPr>
          <w:rStyle w:val="FootnoteReference"/>
        </w:rPr>
        <w:footnoteReference w:id="54"/>
      </w:r>
      <w:r w:rsidR="0021315D">
        <w:t xml:space="preserve"> </w:t>
      </w:r>
      <w:r w:rsidR="00101D91">
        <w:t xml:space="preserve"> </w:t>
      </w:r>
      <w:r w:rsidR="00191FF7">
        <w:t xml:space="preserve">For </w:t>
      </w:r>
      <w:r w:rsidR="0080484B">
        <w:t xml:space="preserve">long-term </w:t>
      </w:r>
      <w:r w:rsidR="00191FF7">
        <w:t xml:space="preserve">RPS procurement made under the Market Offer process, the IOUs </w:t>
      </w:r>
      <w:r w:rsidR="0064501C">
        <w:t xml:space="preserve">shall file Tier 3 Advice Letters </w:t>
      </w:r>
      <w:r w:rsidR="00964165">
        <w:t xml:space="preserve">for Commission review and approval </w:t>
      </w:r>
      <w:r w:rsidR="00250C50">
        <w:t xml:space="preserve">and a Tier 1 Advice Letter for contracts less than five years of </w:t>
      </w:r>
      <w:r w:rsidR="003C4DE7">
        <w:t>contract term</w:t>
      </w:r>
      <w:r w:rsidR="00BA76BE">
        <w:t xml:space="preserve"> </w:t>
      </w:r>
      <w:r w:rsidR="00764398">
        <w:t>pursuant to D.</w:t>
      </w:r>
      <w:r w:rsidR="008A4125">
        <w:t xml:space="preserve">09-06-050, </w:t>
      </w:r>
      <w:r w:rsidR="00764398">
        <w:t>D.14-11-042</w:t>
      </w:r>
      <w:r w:rsidR="008A4125">
        <w:t>,</w:t>
      </w:r>
      <w:r w:rsidR="00764398">
        <w:t xml:space="preserve"> and D.17</w:t>
      </w:r>
      <w:r w:rsidR="00964165">
        <w:t xml:space="preserve">-12-007. </w:t>
      </w:r>
      <w:r w:rsidR="00F15B3B">
        <w:t xml:space="preserve"> </w:t>
      </w:r>
    </w:p>
    <w:p w:rsidR="00513481" w:rsidP="00396B4D" w:rsidRDefault="00F16F26" w14:paraId="21FADF59" w14:textId="19E8A8A9">
      <w:pPr>
        <w:pStyle w:val="Standard"/>
      </w:pPr>
      <w:r>
        <w:t xml:space="preserve">Besides filing the </w:t>
      </w:r>
      <w:r w:rsidR="00BA76BE">
        <w:t xml:space="preserve">appropriate </w:t>
      </w:r>
      <w:r>
        <w:t>Advice Letter</w:t>
      </w:r>
      <w:r w:rsidR="00BA76BE">
        <w:t>s</w:t>
      </w:r>
      <w:r>
        <w:t xml:space="preserve"> for approval of contract</w:t>
      </w:r>
      <w:r w:rsidR="00617020">
        <w:t>s</w:t>
      </w:r>
      <w:r>
        <w:t xml:space="preserve">, the IOUs </w:t>
      </w:r>
      <w:r w:rsidR="009254FA">
        <w:t xml:space="preserve">shall </w:t>
      </w:r>
      <w:r>
        <w:t xml:space="preserve">follow ERRA ratemaking process for cost recovery associated with </w:t>
      </w:r>
      <w:r w:rsidR="009254FA">
        <w:t>RPS procurement contracts.</w:t>
      </w:r>
      <w:r w:rsidR="00100E71">
        <w:t xml:space="preserve"> </w:t>
      </w:r>
      <w:r w:rsidR="00101D91">
        <w:t xml:space="preserve"> </w:t>
      </w:r>
      <w:r w:rsidRPr="00513481" w:rsidR="00513481">
        <w:t xml:space="preserve">Any IOU transaction(s) that are the result of participation in another IOU’s Market Offer process </w:t>
      </w:r>
      <w:r w:rsidR="00396B4D">
        <w:t xml:space="preserve">will be </w:t>
      </w:r>
      <w:r w:rsidRPr="00513481" w:rsidR="00396B4D">
        <w:t xml:space="preserve">subject to </w:t>
      </w:r>
      <w:r w:rsidR="00396B4D">
        <w:t xml:space="preserve">Commission’s </w:t>
      </w:r>
      <w:r w:rsidRPr="00513481" w:rsidR="00396B4D">
        <w:t>review of the IOU’s administration of the transaction</w:t>
      </w:r>
      <w:r w:rsidR="00396B4D">
        <w:t xml:space="preserve"> before rate recovery </w:t>
      </w:r>
      <w:r w:rsidRPr="00513481" w:rsidR="00396B4D">
        <w:t>through</w:t>
      </w:r>
      <w:r w:rsidRPr="00513481" w:rsidR="00513481">
        <w:t xml:space="preserve"> the</w:t>
      </w:r>
      <w:r w:rsidR="00591FAD">
        <w:t xml:space="preserve"> ERRA </w:t>
      </w:r>
      <w:r w:rsidR="00FC1A26">
        <w:t xml:space="preserve">ratemaking </w:t>
      </w:r>
      <w:r w:rsidR="00302F01">
        <w:t xml:space="preserve">process via the </w:t>
      </w:r>
      <w:r w:rsidR="000F2A53">
        <w:t>Portfolio Allocation Balancing Account (</w:t>
      </w:r>
      <w:r w:rsidRPr="00513481" w:rsidR="00513481">
        <w:t>PABA</w:t>
      </w:r>
      <w:r w:rsidR="000F2A53">
        <w:t>)</w:t>
      </w:r>
      <w:r w:rsidRPr="00513481" w:rsidR="00513481">
        <w:t xml:space="preserve"> as a PCIA-eligible contract over the life of the transaction.   </w:t>
      </w:r>
    </w:p>
    <w:p w:rsidR="009E39A9" w:rsidP="009E39A9" w:rsidRDefault="009E39A9" w14:paraId="20676FBB" w14:textId="11DE648A">
      <w:pPr>
        <w:pStyle w:val="Standard"/>
      </w:pPr>
      <w:r>
        <w:t xml:space="preserve">In response to PacifiCorp’s comments, the proposed decision is modified to eliminate the requirement for PacifiCorp to include </w:t>
      </w:r>
      <w:r w:rsidR="00DF3862">
        <w:t xml:space="preserve">in its final 2022 Off-Year supplement additional </w:t>
      </w:r>
      <w:r>
        <w:t xml:space="preserve">discussion on local and regional policies and an assessment of any potential compliance </w:t>
      </w:r>
      <w:r w:rsidR="00200A7A">
        <w:t xml:space="preserve">delays </w:t>
      </w:r>
      <w:r>
        <w:t xml:space="preserve">that could impact its compliance with the 65 percent long-term procurement target. </w:t>
      </w:r>
      <w:r w:rsidR="00101D91">
        <w:t xml:space="preserve"> </w:t>
      </w:r>
      <w:r w:rsidR="003908FD">
        <w:t xml:space="preserve">As directed in </w:t>
      </w:r>
      <w:r>
        <w:t>Ordering Paragraph</w:t>
      </w:r>
      <w:r w:rsidR="00101D91">
        <w:t> </w:t>
      </w:r>
      <w:r>
        <w:t>26 of D.22-01-004</w:t>
      </w:r>
      <w:r w:rsidR="003908FD">
        <w:t xml:space="preserve">, </w:t>
      </w:r>
      <w:r>
        <w:t>PacifiCorp</w:t>
      </w:r>
      <w:r w:rsidR="003908FD">
        <w:t xml:space="preserve"> shall</w:t>
      </w:r>
      <w:r>
        <w:t xml:space="preserve"> include this information in its 2023</w:t>
      </w:r>
      <w:r w:rsidR="00101D91">
        <w:t> </w:t>
      </w:r>
      <w:r>
        <w:t>On-Year I</w:t>
      </w:r>
      <w:r w:rsidR="00200A7A">
        <w:t>RP</w:t>
      </w:r>
      <w:r>
        <w:t xml:space="preserve"> </w:t>
      </w:r>
      <w:r w:rsidR="00AD3D30">
        <w:t xml:space="preserve">supplemental </w:t>
      </w:r>
      <w:r>
        <w:t xml:space="preserve">filing. </w:t>
      </w:r>
    </w:p>
    <w:p w:rsidR="009E39A9" w:rsidP="00101D91" w:rsidRDefault="0013587A" w14:paraId="2F83A5B2" w14:textId="1477B8B8">
      <w:r w:rsidRPr="0013587A">
        <w:t>CleanPowerSF requests that the final decision approve CleanPowerSF’s Motion to Update Draft 2022 Renewable Portfolio Standard Procurement Plan of CleanPowerSF and Appendices A, G, and O.</w:t>
      </w:r>
      <w:r w:rsidR="00390E0D">
        <w:t xml:space="preserve"> </w:t>
      </w:r>
      <w:r w:rsidR="00101D91">
        <w:t xml:space="preserve"> </w:t>
      </w:r>
      <w:r w:rsidRPr="00307721" w:rsidR="00307721">
        <w:t xml:space="preserve">On August 15, 2022, most retail sellers filed motions to update their draft RPS Plans. </w:t>
      </w:r>
      <w:r w:rsidR="00101D91">
        <w:t xml:space="preserve"> </w:t>
      </w:r>
      <w:r w:rsidR="00E97C9E">
        <w:t>These retail sellers are</w:t>
      </w:r>
      <w:r w:rsidR="00C94F89">
        <w:t xml:space="preserve"> Apple Valley Choice Energy; City of Palmdale; City of Pomona; City of San Jose; City of Santa Barbara; Clean Energy Alliance; CleanPowerSF; Desert Community Energy; East Bay Community Energy; Lancaster Choice Energy; Orange County Power Authority; Pico Rivera Innovative Municipal Energy; Rancho Mirage Energy Authority; San Diego Community Power; San Jacinto Power; Silicon</w:t>
      </w:r>
      <w:r w:rsidR="00101D91">
        <w:t> </w:t>
      </w:r>
      <w:r w:rsidR="00C94F89">
        <w:t xml:space="preserve">Valley Clean Energy Authority; Valley Clean Energy Alliance; 3 Phases Renewables, Inc.; Shell Energy North America (US), L.P.; PG&amp;E; and SCE. </w:t>
      </w:r>
      <w:r w:rsidR="00101D91">
        <w:t xml:space="preserve"> </w:t>
      </w:r>
      <w:r w:rsidR="00390E0D">
        <w:t xml:space="preserve">The proposed decision is modified to </w:t>
      </w:r>
      <w:r w:rsidR="00307721">
        <w:t>grant</w:t>
      </w:r>
      <w:r w:rsidR="00390E0D">
        <w:t xml:space="preserve"> the</w:t>
      </w:r>
      <w:r w:rsidR="00307721">
        <w:t>se</w:t>
      </w:r>
      <w:r w:rsidR="00390E0D">
        <w:t xml:space="preserve"> retail sellers’ motions to update their draft 2022 RPS Plans.</w:t>
      </w:r>
      <w:r w:rsidR="000D661A">
        <w:t xml:space="preserve"> </w:t>
      </w:r>
    </w:p>
    <w:p w:rsidR="005939A5" w:rsidP="00B40A5A" w:rsidRDefault="61B6FE82" w14:paraId="0B5334C2" w14:textId="4C67A3A5">
      <w:pPr>
        <w:pStyle w:val="Heading1"/>
        <w:numPr>
          <w:ilvl w:val="0"/>
          <w:numId w:val="2"/>
        </w:numPr>
      </w:pPr>
      <w:bookmarkStart w:name="_Toc122180490" w:id="124"/>
      <w:r>
        <w:t>Assignment of Proceeding</w:t>
      </w:r>
      <w:bookmarkEnd w:id="123"/>
      <w:bookmarkEnd w:id="124"/>
    </w:p>
    <w:p w:rsidR="005939A5" w:rsidP="006E6574" w:rsidRDefault="000C0DB0" w14:paraId="121BB7AB" w14:textId="48EA0298">
      <w:pPr>
        <w:pStyle w:val="Standard"/>
      </w:pPr>
      <w:r>
        <w:t>Clifford Rechtschaffen</w:t>
      </w:r>
      <w:r w:rsidR="005939A5">
        <w:t xml:space="preserve"> is the assigned Commissioner and </w:t>
      </w:r>
      <w:r>
        <w:t>Manisha</w:t>
      </w:r>
      <w:r w:rsidR="00DE2647">
        <w:t> </w:t>
      </w:r>
      <w:r>
        <w:t>Lakhanpal and Nilgun Atamturk</w:t>
      </w:r>
      <w:r w:rsidR="005939A5">
        <w:t xml:space="preserve"> </w:t>
      </w:r>
      <w:r>
        <w:t>are</w:t>
      </w:r>
      <w:r w:rsidR="005939A5">
        <w:t xml:space="preserve"> the assigned ALJ</w:t>
      </w:r>
      <w:r w:rsidR="00DE2647">
        <w:t>s</w:t>
      </w:r>
      <w:r w:rsidR="005939A5">
        <w:t xml:space="preserve"> in this proceeding.</w:t>
      </w:r>
    </w:p>
    <w:p w:rsidR="005939A5" w:rsidP="005939A5" w:rsidRDefault="005939A5" w14:paraId="4C61CFA5" w14:textId="77777777">
      <w:pPr>
        <w:pStyle w:val="Dummy"/>
      </w:pPr>
      <w:bookmarkStart w:name="_Toc8123725" w:id="125"/>
      <w:bookmarkStart w:name="_Toc122180491" w:id="126"/>
      <w:r>
        <w:t>Findings of Fact</w:t>
      </w:r>
      <w:bookmarkEnd w:id="125"/>
      <w:bookmarkEnd w:id="126"/>
    </w:p>
    <w:p w:rsidR="00711D8B" w:rsidRDefault="00711D8B" w14:paraId="2F9BECA6" w14:textId="1AEBEEF9">
      <w:pPr>
        <w:pStyle w:val="CoL"/>
      </w:pPr>
      <w:r>
        <w:t xml:space="preserve">PG&amp;E’s </w:t>
      </w:r>
      <w:r w:rsidR="001D2A41">
        <w:t xml:space="preserve">Draft </w:t>
      </w:r>
      <w:r>
        <w:t xml:space="preserve">2022 RPS Plan contains the required elements. </w:t>
      </w:r>
    </w:p>
    <w:p w:rsidR="00711D8B" w:rsidRDefault="00711D8B" w14:paraId="403346E1" w14:textId="683B85EB">
      <w:pPr>
        <w:pStyle w:val="CoL"/>
      </w:pPr>
      <w:r>
        <w:t xml:space="preserve">SCE’s </w:t>
      </w:r>
      <w:r w:rsidR="001D2A41">
        <w:t xml:space="preserve">Draft </w:t>
      </w:r>
      <w:r>
        <w:t xml:space="preserve">2022 RPS Plan contains the required elements. </w:t>
      </w:r>
    </w:p>
    <w:p w:rsidR="00E54505" w:rsidRDefault="00711D8B" w14:paraId="59A3791F" w14:textId="4E8D82CE">
      <w:pPr>
        <w:pStyle w:val="CoL"/>
      </w:pPr>
      <w:r>
        <w:t xml:space="preserve">SDG&amp;E’s </w:t>
      </w:r>
      <w:r w:rsidR="001D2A41">
        <w:t xml:space="preserve">Draft </w:t>
      </w:r>
      <w:r>
        <w:t xml:space="preserve">2022 RPS Plan contains the required elements. </w:t>
      </w:r>
    </w:p>
    <w:p w:rsidR="00FD5EC7" w:rsidRDefault="00FD5EC7" w14:paraId="41716389" w14:textId="2B9DB793">
      <w:pPr>
        <w:pStyle w:val="CoL"/>
      </w:pPr>
      <w:r w:rsidRPr="00FD5EC7">
        <w:t xml:space="preserve">The 65 percent long-term requirement becomes effective for all retail sellers in the 2021 – 2024 compliance period, though some elected for early compliance in the 2017 – 2020 compliance period.  </w:t>
      </w:r>
    </w:p>
    <w:p w:rsidR="00E70DC3" w:rsidRDefault="00E70DC3" w14:paraId="5C984C0E" w14:textId="3D8BC989">
      <w:pPr>
        <w:pStyle w:val="CoL"/>
      </w:pPr>
      <w:r>
        <w:t>Some CCA and ESP have not yet procured enough RPS energy from long-term contracts to meet the requirement.</w:t>
      </w:r>
    </w:p>
    <w:p w:rsidR="00E70DC3" w:rsidRDefault="00E70DC3" w14:paraId="36BF4F15" w14:textId="5ECAF94B">
      <w:pPr>
        <w:pStyle w:val="CoL"/>
      </w:pPr>
      <w:r>
        <w:t>For many retail sellers, the Progress Towards Long-Term RPS Contracting Requirement graph filed with their plan was insufficient to gauge the retail seller’s position.</w:t>
      </w:r>
    </w:p>
    <w:p w:rsidR="00FD5EC7" w:rsidRDefault="00FD5EC7" w14:paraId="5F8AAE14" w14:textId="369ABD12">
      <w:pPr>
        <w:pStyle w:val="CoL"/>
      </w:pPr>
      <w:r>
        <w:t>M</w:t>
      </w:r>
      <w:r w:rsidRPr="00FD5EC7">
        <w:t xml:space="preserve">ost of the CCA and ESP RPS Plans had no or limited supporting information on the impact of transportation electrification load on their portfolio diversity and reliability.  </w:t>
      </w:r>
    </w:p>
    <w:p w:rsidR="00B8695D" w:rsidRDefault="00B8695D" w14:paraId="572232A8" w14:textId="134F2D54">
      <w:pPr>
        <w:pStyle w:val="CoL"/>
      </w:pPr>
      <w:r>
        <w:t xml:space="preserve">The IOUs have mid-term reliability targets to procure renewable energy resources/ </w:t>
      </w:r>
      <w:r w:rsidRPr="001933EA">
        <w:t>zero-emitting resources</w:t>
      </w:r>
      <w:r>
        <w:t xml:space="preserve"> under D.21-06-035. </w:t>
      </w:r>
    </w:p>
    <w:p w:rsidRPr="00475528" w:rsidR="00E25CB1" w:rsidRDefault="00E25CB1" w14:paraId="25DCF817" w14:textId="2B6BC196">
      <w:pPr>
        <w:pStyle w:val="CoL"/>
      </w:pPr>
      <w:r>
        <w:t xml:space="preserve">There is uncertainty </w:t>
      </w:r>
      <w:r w:rsidR="00BC7614">
        <w:t>about the impact</w:t>
      </w:r>
      <w:r>
        <w:t xml:space="preserve"> of VAMO</w:t>
      </w:r>
      <w:r w:rsidR="0062687E">
        <w:t xml:space="preserve"> and the status of mid-term reliability procurement</w:t>
      </w:r>
      <w:r w:rsidR="006C2C9E">
        <w:t xml:space="preserve"> </w:t>
      </w:r>
      <w:r w:rsidR="00BC7614">
        <w:t xml:space="preserve">on </w:t>
      </w:r>
      <w:r w:rsidR="00B8695D">
        <w:t xml:space="preserve">the IOUs’ </w:t>
      </w:r>
      <w:r w:rsidR="00BC7614">
        <w:t xml:space="preserve">RPS portfolio </w:t>
      </w:r>
      <w:r>
        <w:t xml:space="preserve">in this RPS cycle. </w:t>
      </w:r>
    </w:p>
    <w:p w:rsidR="002E49B5" w:rsidRDefault="000573DA" w14:paraId="49F1BAC0" w14:textId="417AE638">
      <w:pPr>
        <w:pStyle w:val="CoL"/>
      </w:pPr>
      <w:r>
        <w:t xml:space="preserve">PG&amp;E may be short on its RPS position in 2023 based </w:t>
      </w:r>
      <w:r w:rsidR="002E49B5">
        <w:t xml:space="preserve">on </w:t>
      </w:r>
      <w:r w:rsidRPr="007210E1" w:rsidR="002E49B5">
        <w:t xml:space="preserve">its </w:t>
      </w:r>
      <w:r w:rsidRPr="005D206B" w:rsidR="002E49B5">
        <w:t>project</w:t>
      </w:r>
      <w:r w:rsidRPr="007210E1" w:rsidR="002E49B5">
        <w:t>ions of allocating and selling renewable resources</w:t>
      </w:r>
      <w:r w:rsidRPr="005D206B" w:rsidR="002E49B5">
        <w:t xml:space="preserve"> </w:t>
      </w:r>
      <w:r w:rsidRPr="007210E1" w:rsidR="002E49B5">
        <w:t xml:space="preserve">under the </w:t>
      </w:r>
      <w:r w:rsidRPr="005D206B" w:rsidR="002E49B5">
        <w:t>VAMO</w:t>
      </w:r>
      <w:r w:rsidRPr="007210E1" w:rsidR="002E49B5">
        <w:t xml:space="preserve"> process and </w:t>
      </w:r>
      <w:r w:rsidR="002E49B5">
        <w:t>using its existing r</w:t>
      </w:r>
      <w:r w:rsidRPr="007210E1" w:rsidR="002E49B5">
        <w:t xml:space="preserve">enewable resources </w:t>
      </w:r>
      <w:r w:rsidR="002E49B5">
        <w:t xml:space="preserve">to meet the needs of </w:t>
      </w:r>
      <w:r w:rsidRPr="007210E1" w:rsidR="002E49B5">
        <w:t xml:space="preserve">its </w:t>
      </w:r>
      <w:r w:rsidR="002E49B5">
        <w:t>GTSR</w:t>
      </w:r>
      <w:r w:rsidRPr="007210E1" w:rsidR="002E49B5">
        <w:t xml:space="preserve"> Program</w:t>
      </w:r>
      <w:r>
        <w:t>.</w:t>
      </w:r>
      <w:r w:rsidR="002E49B5">
        <w:t xml:space="preserve"> </w:t>
      </w:r>
    </w:p>
    <w:p w:rsidR="002E49B5" w:rsidRDefault="002E49B5" w14:paraId="59962CDE" w14:textId="3788898B">
      <w:pPr>
        <w:pStyle w:val="CoL"/>
      </w:pPr>
      <w:r>
        <w:t>PG&amp;E</w:t>
      </w:r>
      <w:r w:rsidR="00FB1582">
        <w:t xml:space="preserve">’s </w:t>
      </w:r>
      <w:r>
        <w:t>RPS b</w:t>
      </w:r>
      <w:r w:rsidRPr="007210E1">
        <w:t>ank</w:t>
      </w:r>
      <w:r w:rsidRPr="005D206B">
        <w:t xml:space="preserve"> </w:t>
      </w:r>
      <w:r>
        <w:t xml:space="preserve">can </w:t>
      </w:r>
      <w:r w:rsidRPr="005D206B">
        <w:t xml:space="preserve">meet RPS </w:t>
      </w:r>
      <w:r w:rsidR="00E77FDB">
        <w:t>shortfall</w:t>
      </w:r>
      <w:r w:rsidRPr="005D206B">
        <w:t xml:space="preserve"> starting in 2023 up until 2029</w:t>
      </w:r>
      <w:r>
        <w:t xml:space="preserve">. </w:t>
      </w:r>
    </w:p>
    <w:p w:rsidR="002E49B5" w:rsidRDefault="002E49B5" w14:paraId="71443323" w14:textId="7415AAE7">
      <w:pPr>
        <w:pStyle w:val="CoL"/>
      </w:pPr>
      <w:r w:rsidRPr="008B0F16">
        <w:t>PG&amp;E’s REC sales framework provides it the flexibility to sell RPS volume for 2023 and 2024 deliveries.</w:t>
      </w:r>
    </w:p>
    <w:p w:rsidR="0050191B" w:rsidRDefault="0050191B" w14:paraId="7E4A52EE" w14:textId="1E569209">
      <w:pPr>
        <w:pStyle w:val="CoL"/>
      </w:pPr>
      <w:r>
        <w:t>Updates to PG&amp;E’s REC sales framework will be required to reflect impacts for current VAMO results and IRP procurement.</w:t>
      </w:r>
    </w:p>
    <w:p w:rsidR="002E49B5" w:rsidRDefault="002E49B5" w14:paraId="606AB488" w14:textId="0EC08D4A">
      <w:pPr>
        <w:pStyle w:val="CoL"/>
      </w:pPr>
      <w:r>
        <w:t xml:space="preserve">PG&amp;E provided the background information </w:t>
      </w:r>
      <w:r w:rsidR="000573DA">
        <w:t>to revise</w:t>
      </w:r>
      <w:r>
        <w:t xml:space="preserve"> its procurement pro forma </w:t>
      </w:r>
      <w:r w:rsidR="0054379E">
        <w:t>agreement,</w:t>
      </w:r>
      <w:r>
        <w:t xml:space="preserve"> but it did not submit the revised</w:t>
      </w:r>
      <w:r w:rsidR="00845ED4">
        <w:t xml:space="preserve"> procurement </w:t>
      </w:r>
      <w:r>
        <w:t>pro forma</w:t>
      </w:r>
      <w:r w:rsidR="00845ED4">
        <w:t xml:space="preserve"> agreements</w:t>
      </w:r>
      <w:r>
        <w:t>.</w:t>
      </w:r>
    </w:p>
    <w:p w:rsidR="002E49B5" w:rsidRDefault="002E49B5" w14:paraId="789CB81E" w14:textId="77777777">
      <w:pPr>
        <w:pStyle w:val="CoL"/>
      </w:pPr>
      <w:r>
        <w:t xml:space="preserve">SCE </w:t>
      </w:r>
      <w:r w:rsidRPr="00A2497A">
        <w:t xml:space="preserve">did not hold an RPS Solicitation </w:t>
      </w:r>
      <w:r>
        <w:t>between</w:t>
      </w:r>
      <w:r w:rsidRPr="00A2497A">
        <w:t xml:space="preserve"> 2016</w:t>
      </w:r>
      <w:r>
        <w:t xml:space="preserve"> and </w:t>
      </w:r>
      <w:r w:rsidRPr="00A2497A">
        <w:t>2021.</w:t>
      </w:r>
    </w:p>
    <w:p w:rsidR="002E49B5" w:rsidRDefault="002E49B5" w14:paraId="2F505AA0" w14:textId="77777777">
      <w:pPr>
        <w:pStyle w:val="CoL"/>
      </w:pPr>
      <w:r>
        <w:t xml:space="preserve">SCE </w:t>
      </w:r>
      <w:r w:rsidRPr="00A85B7D">
        <w:t>forecasts a net short position starting in 2023 without the use of the RPS bank.</w:t>
      </w:r>
    </w:p>
    <w:p w:rsidR="002E49B5" w:rsidRDefault="002E49B5" w14:paraId="38B16C31" w14:textId="50C5CBD9">
      <w:pPr>
        <w:pStyle w:val="CoL"/>
      </w:pPr>
      <w:r w:rsidRPr="00A85B7D">
        <w:t xml:space="preserve">SCE forecasts a net long position through the end of </w:t>
      </w:r>
      <w:r w:rsidR="00771B02">
        <w:t>C</w:t>
      </w:r>
      <w:r w:rsidR="00CC32B8">
        <w:t>P</w:t>
      </w:r>
      <w:r w:rsidRPr="00A85B7D">
        <w:t xml:space="preserve"> 5 (2025-2027) with the use of the RPS bank.</w:t>
      </w:r>
    </w:p>
    <w:p w:rsidR="00124738" w:rsidRDefault="002E49B5" w14:paraId="419A98C9" w14:textId="6A572E36">
      <w:pPr>
        <w:pStyle w:val="CoL"/>
      </w:pPr>
      <w:r>
        <w:t>SCE’s</w:t>
      </w:r>
      <w:r w:rsidRPr="00DF4E52">
        <w:t xml:space="preserve"> 2022 pro forma PPA is </w:t>
      </w:r>
      <w:r>
        <w:t>technology-neutral</w:t>
      </w:r>
      <w:r w:rsidRPr="00DF4E52">
        <w:t xml:space="preserve"> </w:t>
      </w:r>
      <w:r w:rsidR="00E25CB1">
        <w:t xml:space="preserve">to enable procurement of </w:t>
      </w:r>
      <w:r>
        <w:t>in-front-of-the-meter</w:t>
      </w:r>
      <w:r w:rsidRPr="00DF4E52">
        <w:t xml:space="preserve"> renewable</w:t>
      </w:r>
      <w:r>
        <w:t xml:space="preserve"> </w:t>
      </w:r>
      <w:r w:rsidRPr="00DF4E52">
        <w:t>energy resources</w:t>
      </w:r>
      <w:r>
        <w:t>.</w:t>
      </w:r>
    </w:p>
    <w:p w:rsidR="00E70DC3" w:rsidRDefault="00E70DC3" w14:paraId="2D94AE20" w14:textId="0BF8FE31">
      <w:pPr>
        <w:pStyle w:val="CoL"/>
      </w:pPr>
      <w:r>
        <w:t xml:space="preserve">SDG&amp;E forecasts a net </w:t>
      </w:r>
      <w:r w:rsidR="003076E2">
        <w:t>short position in the near future based on its</w:t>
      </w:r>
      <w:r w:rsidRPr="0060332C" w:rsidR="000A05B9">
        <w:t xml:space="preserve"> conforming RNS table</w:t>
      </w:r>
      <w:r w:rsidR="003076E2">
        <w:t>, but at a minimum meeting its RPS Compliance requirements through 2032 based on</w:t>
      </w:r>
      <w:r w:rsidRPr="0060332C" w:rsidR="000A05B9">
        <w:t xml:space="preserve"> </w:t>
      </w:r>
      <w:r w:rsidR="00575FD6">
        <w:t xml:space="preserve">its </w:t>
      </w:r>
      <w:r w:rsidRPr="0060332C" w:rsidR="000A05B9">
        <w:t>Alternative RNS + Mid Term IRP Procurement Scenario</w:t>
      </w:r>
      <w:r w:rsidR="000A05B9">
        <w:t>.</w:t>
      </w:r>
    </w:p>
    <w:p w:rsidR="00E70DC3" w:rsidRDefault="00E70DC3" w14:paraId="487661E6" w14:textId="2614CEC8">
      <w:pPr>
        <w:pStyle w:val="CoL"/>
      </w:pPr>
      <w:r>
        <w:t>SDG&amp;E’s desire to have flexibility in optimizing its portfolio has merit.</w:t>
      </w:r>
    </w:p>
    <w:p w:rsidR="00E70DC3" w:rsidRDefault="00E70DC3" w14:paraId="074DA86D" w14:textId="0F5C21A3">
      <w:pPr>
        <w:pStyle w:val="CoL"/>
      </w:pPr>
      <w:r>
        <w:t>It is reasonable for SDG&amp;E to have the option to consider, via qualitative and quantitative assessment, whether it wants to sell RPS resources or bank them.</w:t>
      </w:r>
    </w:p>
    <w:p w:rsidR="00E70DC3" w:rsidRDefault="00E70DC3" w14:paraId="60ACCB54" w14:textId="48D81355">
      <w:pPr>
        <w:pStyle w:val="CoL"/>
      </w:pPr>
      <w:r>
        <w:t>It may be economically beneficial for SDG&amp;E customers for SDG&amp;E to sell excess RPS resources.</w:t>
      </w:r>
    </w:p>
    <w:p w:rsidR="00E70DC3" w:rsidRDefault="00E70DC3" w14:paraId="246A92C6" w14:textId="0724EA4F">
      <w:pPr>
        <w:pStyle w:val="CoL"/>
      </w:pPr>
      <w:r>
        <w:t>SDG&amp;E’s supporting PPAs and pro forma contracts are reasonable.</w:t>
      </w:r>
    </w:p>
    <w:p w:rsidR="00A60772" w:rsidRDefault="00A60772" w14:paraId="66DBCBDF" w14:textId="0489EAB5">
      <w:pPr>
        <w:pStyle w:val="CoL"/>
      </w:pPr>
      <w:r>
        <w:t>D.21-05-030 authorized IOUs to hold RFI</w:t>
      </w:r>
      <w:r w:rsidR="003B0DC1">
        <w:t>s</w:t>
      </w:r>
      <w:r>
        <w:t xml:space="preserve"> to balance the</w:t>
      </w:r>
      <w:r w:rsidR="003B0DC1">
        <w:t>ir</w:t>
      </w:r>
      <w:r>
        <w:t xml:space="preserve"> RPS portfolio</w:t>
      </w:r>
      <w:r w:rsidR="003B0DC1">
        <w:t>s</w:t>
      </w:r>
      <w:r>
        <w:t xml:space="preserve">. </w:t>
      </w:r>
    </w:p>
    <w:p w:rsidR="003F2482" w:rsidRDefault="5C2B735E" w14:paraId="175FDEA7" w14:textId="422903FB">
      <w:pPr>
        <w:pStyle w:val="CoL"/>
      </w:pPr>
      <w:r>
        <w:t>IOUs</w:t>
      </w:r>
      <w:r w:rsidR="00710B25">
        <w:t>’ RFI process</w:t>
      </w:r>
      <w:r w:rsidR="65CA5081">
        <w:t>es</w:t>
      </w:r>
      <w:r w:rsidR="00C74EF4">
        <w:t xml:space="preserve"> </w:t>
      </w:r>
      <w:r w:rsidR="00124738">
        <w:t xml:space="preserve">with its supplier counterparties and market participants </w:t>
      </w:r>
      <w:r w:rsidR="00C74EF4">
        <w:t xml:space="preserve">will enable it </w:t>
      </w:r>
      <w:r w:rsidR="00124738">
        <w:t xml:space="preserve">to determine interest in contract assignments or other contractual structures to optimize </w:t>
      </w:r>
      <w:r w:rsidR="00C74EF4">
        <w:t>its</w:t>
      </w:r>
      <w:r w:rsidR="00124738">
        <w:t xml:space="preserve"> RPS portfolio.</w:t>
      </w:r>
    </w:p>
    <w:p w:rsidR="002E49B5" w:rsidRDefault="002E49B5" w14:paraId="00C8CC6C" w14:textId="583761E0">
      <w:pPr>
        <w:pStyle w:val="CoL"/>
        <w:rPr>
          <w:rFonts w:eastAsia="Book Antiqua" w:cs="Book Antiqua"/>
        </w:rPr>
      </w:pPr>
      <w:r>
        <w:t>The</w:t>
      </w:r>
      <w:r w:rsidRPr="00A85B7D">
        <w:t xml:space="preserve"> option to hold an RPS solicitation</w:t>
      </w:r>
      <w:r>
        <w:t xml:space="preserve"> in the 2022 solicitation cycle </w:t>
      </w:r>
      <w:r w:rsidR="00FB1582">
        <w:t xml:space="preserve">will </w:t>
      </w:r>
      <w:r w:rsidR="00E83112">
        <w:t>give the IOUs the flexibility</w:t>
      </w:r>
      <w:r w:rsidR="00FB1582">
        <w:t xml:space="preserve"> t</w:t>
      </w:r>
      <w:r w:rsidRPr="00A85B7D">
        <w:t xml:space="preserve">o </w:t>
      </w:r>
      <w:r w:rsidR="00636758">
        <w:t>meet</w:t>
      </w:r>
      <w:r w:rsidR="00F7140F">
        <w:t xml:space="preserve"> their RPS compliance obligations</w:t>
      </w:r>
      <w:r w:rsidR="00636758">
        <w:t xml:space="preserve"> should they fall short after the completion of sale of excess RPS resources under the VAMO process.</w:t>
      </w:r>
    </w:p>
    <w:p w:rsidR="00E56A0A" w:rsidRDefault="00E56A0A" w14:paraId="6531CF8A" w14:textId="6E6DC1F1">
      <w:pPr>
        <w:pStyle w:val="CoL"/>
      </w:pPr>
      <w:r>
        <w:t xml:space="preserve">A </w:t>
      </w:r>
      <w:r w:rsidRPr="00AA499A">
        <w:t xml:space="preserve">combination of </w:t>
      </w:r>
      <w:r>
        <w:t xml:space="preserve">approaches that allows </w:t>
      </w:r>
      <w:r w:rsidRPr="00AA499A">
        <w:t xml:space="preserve">long-term and short-term RPS procurement and simultaneous </w:t>
      </w:r>
      <w:r>
        <w:t xml:space="preserve">RPS </w:t>
      </w:r>
      <w:r w:rsidRPr="00AA499A">
        <w:t xml:space="preserve">sales </w:t>
      </w:r>
      <w:r>
        <w:t>gives</w:t>
      </w:r>
      <w:r w:rsidRPr="00AA499A">
        <w:t xml:space="preserve"> </w:t>
      </w:r>
      <w:r>
        <w:t>IOUs</w:t>
      </w:r>
      <w:r w:rsidRPr="00AA499A">
        <w:t xml:space="preserve"> </w:t>
      </w:r>
      <w:r>
        <w:t xml:space="preserve">flexibility to </w:t>
      </w:r>
      <w:r w:rsidRPr="00AA499A">
        <w:t xml:space="preserve">realize the incremental value </w:t>
      </w:r>
      <w:r>
        <w:t>for their</w:t>
      </w:r>
      <w:r w:rsidRPr="00AA499A">
        <w:t xml:space="preserve"> customers </w:t>
      </w:r>
      <w:r>
        <w:t>and balance their RPS portfolio</w:t>
      </w:r>
      <w:r w:rsidRPr="00AA499A">
        <w:t>.</w:t>
      </w:r>
    </w:p>
    <w:p w:rsidR="00392B35" w:rsidRDefault="00392B35" w14:paraId="2360D681" w14:textId="32D1E1B7">
      <w:pPr>
        <w:pStyle w:val="CoL"/>
      </w:pPr>
      <w:r>
        <w:t>T</w:t>
      </w:r>
      <w:r w:rsidRPr="008316D7">
        <w:t>he three SMJUs</w:t>
      </w:r>
      <w:r w:rsidR="0056235F">
        <w:t xml:space="preserve"> (</w:t>
      </w:r>
      <w:r w:rsidRPr="008316D7">
        <w:t xml:space="preserve">Bear Valley Electric </w:t>
      </w:r>
      <w:r w:rsidR="001E6E49">
        <w:t>Service, Inc.</w:t>
      </w:r>
      <w:r w:rsidRPr="008316D7">
        <w:t>, PacifiCorp, and Liberty, collectively</w:t>
      </w:r>
      <w:r w:rsidR="0056235F">
        <w:t>)</w:t>
      </w:r>
      <w:r>
        <w:t xml:space="preserve"> need to </w:t>
      </w:r>
      <w:r w:rsidRPr="008316D7">
        <w:t>procur</w:t>
      </w:r>
      <w:r>
        <w:t xml:space="preserve">e more RPS eligible renewables </w:t>
      </w:r>
      <w:r w:rsidRPr="008316D7">
        <w:t>beginning in 202</w:t>
      </w:r>
      <w:r>
        <w:t>3</w:t>
      </w:r>
      <w:r w:rsidRPr="008316D7">
        <w:t xml:space="preserve"> to meet their respective RPS requirements</w:t>
      </w:r>
      <w:r>
        <w:t>.</w:t>
      </w:r>
    </w:p>
    <w:p w:rsidR="00392B35" w:rsidRDefault="00392B35" w14:paraId="5511E270" w14:textId="77777777">
      <w:pPr>
        <w:pStyle w:val="CoL"/>
      </w:pPr>
      <w:r w:rsidRPr="00617BF4">
        <w:t>BVES’ narrative summary of its portfolio management strategy does not align with the quantitative analysis provided in its RNS template</w:t>
      </w:r>
      <w:r>
        <w:t>.</w:t>
      </w:r>
    </w:p>
    <w:p w:rsidR="00392B35" w:rsidRDefault="00392B35" w14:paraId="2A28B8C8" w14:textId="2B15FC03">
      <w:pPr>
        <w:pStyle w:val="CoL"/>
      </w:pPr>
      <w:r w:rsidRPr="00617BF4">
        <w:t xml:space="preserve">In its </w:t>
      </w:r>
      <w:r w:rsidR="0056235F">
        <w:t>D</w:t>
      </w:r>
      <w:r w:rsidRPr="00617BF4">
        <w:t>raft 2022 RPS Plan, BVES merely mentions that transportation electrification informs its load forecast</w:t>
      </w:r>
      <w:r>
        <w:t>.</w:t>
      </w:r>
    </w:p>
    <w:p w:rsidR="009A7F97" w:rsidRDefault="009A7F97" w14:paraId="0571C78D" w14:textId="397CC078">
      <w:pPr>
        <w:pStyle w:val="CoL"/>
      </w:pPr>
      <w:r>
        <w:t>BVES did not discuss its implementation of SB 255.</w:t>
      </w:r>
    </w:p>
    <w:p w:rsidR="00392B35" w:rsidRDefault="00392B35" w14:paraId="77459F2E" w14:textId="1E9B390F">
      <w:pPr>
        <w:pStyle w:val="CoL"/>
      </w:pPr>
      <w:r w:rsidRPr="00B90D87">
        <w:t xml:space="preserve">Liberty does not provide a quantitative assessment of its long-term contracting compliance forecast.  </w:t>
      </w:r>
    </w:p>
    <w:p w:rsidR="009A7F97" w:rsidRDefault="009A7F97" w14:paraId="43E8B988" w14:textId="24E515F9">
      <w:pPr>
        <w:pStyle w:val="CoL"/>
      </w:pPr>
      <w:r>
        <w:t>Liberty’s narrative plan does not describe its VMoP included in its RNS spreadsheet.</w:t>
      </w:r>
    </w:p>
    <w:p w:rsidR="009A7F97" w:rsidRDefault="009A7F97" w14:paraId="0388C8E7" w14:textId="5C6CB4BC">
      <w:pPr>
        <w:pStyle w:val="CoL"/>
      </w:pPr>
      <w:r>
        <w:t>Liberty does not provide a severity analysis of compliance risk in the risk assessment section.</w:t>
      </w:r>
    </w:p>
    <w:p w:rsidR="00392B35" w:rsidRDefault="00392B35" w14:paraId="44F88F56" w14:textId="227D4CA1">
      <w:pPr>
        <w:pStyle w:val="CoL"/>
      </w:pPr>
      <w:r w:rsidRPr="00B90D87">
        <w:t>Liberty suggests that its expansion of the Luning Solar Project will support its future RPS compliance but does not provide a contingency strategy to remain in compliance if the project is not approved by the Commission as proposed or otherwise does not achieve an early 2024 online date</w:t>
      </w:r>
      <w:r>
        <w:t>.</w:t>
      </w:r>
    </w:p>
    <w:p w:rsidR="009A7F97" w:rsidRDefault="009A7F97" w14:paraId="3BF17BBA" w14:textId="45A13973">
      <w:pPr>
        <w:pStyle w:val="CoL"/>
      </w:pPr>
      <w:r>
        <w:t>Liberty merely mentions that transportation electrification informs its load forecast.</w:t>
      </w:r>
    </w:p>
    <w:p w:rsidR="009A7F97" w:rsidP="009A7F97" w:rsidRDefault="009A7F97" w14:paraId="1E2C60FC" w14:textId="77777777">
      <w:pPr>
        <w:pStyle w:val="CoL"/>
      </w:pPr>
      <w:r>
        <w:t>Liberty does not provide Luning Expansion project in its PDSU template.</w:t>
      </w:r>
    </w:p>
    <w:p w:rsidR="009A7F97" w:rsidP="008806BB" w:rsidRDefault="009A7F97" w14:paraId="5ED43E3F" w14:textId="0C135193">
      <w:pPr>
        <w:pStyle w:val="CoL"/>
      </w:pPr>
      <w:r>
        <w:t>Liberty did not discuss its implementation of SB 255.</w:t>
      </w:r>
    </w:p>
    <w:p w:rsidR="009A7F97" w:rsidP="009A7F97" w:rsidRDefault="009A7F97" w14:paraId="0F64E46F" w14:textId="4745648E">
      <w:pPr>
        <w:pStyle w:val="CoL"/>
      </w:pPr>
      <w:r>
        <w:t>PacifiCorp did not include any information about how it will specifically address its procurement need for CP 4 as shown in its RNS.</w:t>
      </w:r>
    </w:p>
    <w:p w:rsidR="009A7F97" w:rsidP="009A7F97" w:rsidRDefault="009A7F97" w14:paraId="2C9C3F3B" w14:textId="77777777">
      <w:pPr>
        <w:pStyle w:val="CoL"/>
      </w:pPr>
      <w:r>
        <w:t>PacifiCorp did not discuss its implementation of SB 255.</w:t>
      </w:r>
    </w:p>
    <w:p w:rsidR="009A7F97" w:rsidP="009A7F97" w:rsidRDefault="009A7F97" w14:paraId="01328A29" w14:textId="77777777">
      <w:pPr>
        <w:pStyle w:val="CoL"/>
      </w:pPr>
      <w:r>
        <w:t>PacifiCorp merely mentions that transportation electrification informs its load forecast.</w:t>
      </w:r>
    </w:p>
    <w:p w:rsidR="009A7F97" w:rsidP="009A7F97" w:rsidRDefault="009A7F97" w14:paraId="5525D9FA" w14:textId="2C3FCCB0">
      <w:pPr>
        <w:pStyle w:val="CoL"/>
      </w:pPr>
      <w:r>
        <w:t>PacifiCorp’s risk assessment section did not meet the requirements of Section 6.9 of the 2022 ACR.</w:t>
      </w:r>
    </w:p>
    <w:p w:rsidR="00880A06" w:rsidRDefault="00392B35" w14:paraId="276B91ED" w14:textId="72FA13D9">
      <w:pPr>
        <w:pStyle w:val="CoL"/>
      </w:pPr>
      <w:r w:rsidRPr="00B90D87">
        <w:t xml:space="preserve">The Commission reviewed </w:t>
      </w:r>
      <w:r w:rsidR="0056235F">
        <w:t>D</w:t>
      </w:r>
      <w:r w:rsidRPr="00B90D87">
        <w:t xml:space="preserve">raft 2022 RPS Plans for 25 CCAs, including CCAs currently serving retail load or planning to start serving retail load in 2022 or 2023. </w:t>
      </w:r>
    </w:p>
    <w:p w:rsidR="00392B35" w:rsidRDefault="00392B35" w14:paraId="0E9FB82D" w14:textId="400C0012">
      <w:pPr>
        <w:pStyle w:val="CoL"/>
      </w:pPr>
      <w:r w:rsidRPr="00B90D87">
        <w:t>Collectively, the CCAs have executed enough renewable energy contracts to exceed their forecasted need in 2022 and plan to serve over 64,000 GWh of retail load in 2023</w:t>
      </w:r>
      <w:r>
        <w:t>.</w:t>
      </w:r>
    </w:p>
    <w:p w:rsidR="00392B35" w:rsidRDefault="00392B35" w14:paraId="20695956" w14:textId="77777777">
      <w:pPr>
        <w:pStyle w:val="CoL"/>
      </w:pPr>
      <w:r w:rsidRPr="00B90D87">
        <w:t>Based on the CCAs’ RNS reporting, several CCAs are expected to need additional RPS procurement beginning in 2022</w:t>
      </w:r>
      <w:r>
        <w:t>.</w:t>
      </w:r>
    </w:p>
    <w:p w:rsidR="00392B35" w:rsidP="00880A06" w:rsidRDefault="00392B35" w14:paraId="0494FA8F" w14:textId="0FB65DC7">
      <w:pPr>
        <w:pStyle w:val="CoL"/>
      </w:pPr>
      <w:r w:rsidRPr="00B90D87">
        <w:t>The</w:t>
      </w:r>
      <w:r w:rsidR="00880A06">
        <w:t xml:space="preserve"> </w:t>
      </w:r>
      <w:r w:rsidRPr="00B90D87">
        <w:t>ESPs will collectively need additional procurement to meet RPS obligations beginning in 2025</w:t>
      </w:r>
      <w:r>
        <w:t>.</w:t>
      </w:r>
    </w:p>
    <w:p w:rsidR="00392B35" w:rsidRDefault="00392B35" w14:paraId="625CE9E8" w14:textId="77777777">
      <w:pPr>
        <w:pStyle w:val="CoL"/>
      </w:pPr>
      <w:r w:rsidRPr="00B90D87">
        <w:t>The ESPs’ RPS need in the mid-term is a result of historically relying on short-term contracts to match their RPS obligation to their overall retail sales</w:t>
      </w:r>
      <w:r>
        <w:t>.</w:t>
      </w:r>
    </w:p>
    <w:p w:rsidR="00392B35" w:rsidRDefault="00392B35" w14:paraId="21865EB2" w14:textId="210C5FF9">
      <w:pPr>
        <w:pStyle w:val="CoL"/>
      </w:pPr>
      <w:r w:rsidRPr="00B90D87">
        <w:t xml:space="preserve">In their </w:t>
      </w:r>
      <w:r w:rsidR="00612497">
        <w:t>D</w:t>
      </w:r>
      <w:r w:rsidRPr="00B90D87">
        <w:t>raft 2022 RPS Plans, most CCAs and ESPs include their respective PDSU spreadsheet</w:t>
      </w:r>
      <w:r w:rsidR="00612497">
        <w:t>;</w:t>
      </w:r>
      <w:r w:rsidRPr="00B90D87">
        <w:t xml:space="preserve"> however</w:t>
      </w:r>
      <w:r w:rsidR="00612497">
        <w:t>,</w:t>
      </w:r>
      <w:r w:rsidRPr="00B90D87">
        <w:t xml:space="preserve"> some failed to use the correct format prescribed by the </w:t>
      </w:r>
      <w:r w:rsidR="00FF4C5D">
        <w:t xml:space="preserve">2022 </w:t>
      </w:r>
      <w:r w:rsidRPr="00B90D87">
        <w:t>ACR, and many others only provided basic information on project development that is of limited use for RPS analyses</w:t>
      </w:r>
      <w:r>
        <w:t>.</w:t>
      </w:r>
    </w:p>
    <w:p w:rsidR="00392B35" w:rsidRDefault="00392B35" w14:paraId="3AEB9E58" w14:textId="789FBAD3">
      <w:pPr>
        <w:pStyle w:val="CoL"/>
      </w:pPr>
      <w:r w:rsidRPr="00B90D87">
        <w:t>Desert Community Energy, East Bay Community Energy, Constellation NewEnergy</w:t>
      </w:r>
      <w:r w:rsidR="005A6394">
        <w:t>, Inc.</w:t>
      </w:r>
      <w:r w:rsidRPr="00B90D87">
        <w:t>, and Pioneer Community Energ</w:t>
      </w:r>
      <w:r>
        <w:t xml:space="preserve">y provide the best examples of PDSU narratives in </w:t>
      </w:r>
      <w:r w:rsidR="00612497">
        <w:t>D</w:t>
      </w:r>
      <w:r>
        <w:t xml:space="preserve">raft 2022 RPS Plans. </w:t>
      </w:r>
    </w:p>
    <w:p w:rsidR="00392B35" w:rsidRDefault="00392B35" w14:paraId="7C265AF9" w14:textId="77777777">
      <w:pPr>
        <w:pStyle w:val="CoL"/>
      </w:pPr>
      <w:r w:rsidRPr="009A454F">
        <w:t>CleanPowerSF’s and Desert Community Energy’s approach to MMoP a</w:t>
      </w:r>
      <w:r>
        <w:t>re</w:t>
      </w:r>
      <w:r w:rsidRPr="009A454F">
        <w:t xml:space="preserve"> the best examples for CCAs and ESPs to consult when developing their Final 2022 RPS Plans.</w:t>
      </w:r>
    </w:p>
    <w:p w:rsidR="00392B35" w:rsidRDefault="00392B35" w14:paraId="667D0DD2" w14:textId="2C68C44B">
      <w:pPr>
        <w:pStyle w:val="CoL"/>
      </w:pPr>
      <w:r w:rsidRPr="009A454F">
        <w:t xml:space="preserve">In their </w:t>
      </w:r>
      <w:r w:rsidR="00612497">
        <w:t>D</w:t>
      </w:r>
      <w:r w:rsidRPr="009A454F">
        <w:t>raft 2022 RPS Plans, retail sellers provided information describing their efforts at addressing safety considerations, while the remaining retail sellers acknowledged these considerations and stated that they would evaluate the risks in their future actions, whether through procurement, siting, decommissioning, et</w:t>
      </w:r>
      <w:r>
        <w:t>c.</w:t>
      </w:r>
    </w:p>
    <w:p w:rsidR="00392B35" w:rsidRDefault="00392B35" w14:paraId="66882BCB" w14:textId="3F50EFBF">
      <w:pPr>
        <w:pStyle w:val="CoL"/>
      </w:pPr>
      <w:r w:rsidRPr="009A454F">
        <w:t xml:space="preserve">Draft 2022 RPS Plans that provide the best examples of robust curtailment analyses include PG&amp;E, Marin Clean Energy, </w:t>
      </w:r>
      <w:r w:rsidR="00222E08">
        <w:t>CleanPowerSF</w:t>
      </w:r>
      <w:r w:rsidRPr="009A454F">
        <w:t xml:space="preserve">, Peninsula Clean Energy, Redwood Coast Energy Authority, and Pioneer.  Additionally, Lancaster Choice Energy provided a </w:t>
      </w:r>
      <w:r w:rsidRPr="009A454F" w:rsidR="00706550">
        <w:t>widely cited</w:t>
      </w:r>
      <w:r w:rsidRPr="009A454F">
        <w:t xml:space="preserve"> lessons learned from its Western Antelope Dry Ranch PV facility, and San Diego Community Power had a useful negative pricing analysis as well as a nuanced discussion of using various contract terms to mitigate negative pricing.</w:t>
      </w:r>
    </w:p>
    <w:p w:rsidR="00392B35" w:rsidRDefault="00392B35" w14:paraId="11050A47" w14:textId="77777777">
      <w:pPr>
        <w:pStyle w:val="CoL"/>
      </w:pPr>
      <w:r>
        <w:t>T</w:t>
      </w:r>
      <w:r w:rsidRPr="009A454F">
        <w:t>he majority of retail sellers met the 2022 ACR requirements</w:t>
      </w:r>
      <w:r>
        <w:t xml:space="preserve"> </w:t>
      </w:r>
      <w:r w:rsidRPr="009A454F">
        <w:t>to provide both a narrative and quantitative response demonstrating how the results of their risk assessments have been incorporated into their 2022 RNS calculations</w:t>
      </w:r>
      <w:r>
        <w:t xml:space="preserve">; several retails sellers’ filings are deficient in this matter. </w:t>
      </w:r>
    </w:p>
    <w:p w:rsidR="00392B35" w:rsidRDefault="00392B35" w14:paraId="0967FF1E" w14:textId="54AD2589">
      <w:pPr>
        <w:pStyle w:val="CoL"/>
      </w:pPr>
      <w:r w:rsidRPr="00267BF1">
        <w:t>The majority of CCAs and ESPs do not mention SB 255 or mention it but provide no information on how they implement it.</w:t>
      </w:r>
    </w:p>
    <w:p w:rsidR="00392B35" w:rsidRDefault="00392B35" w14:paraId="75B2D3A6" w14:textId="3C6FA3B4">
      <w:pPr>
        <w:pStyle w:val="CoL"/>
      </w:pPr>
      <w:r w:rsidRPr="00267BF1">
        <w:t>CleanPowerSF provides the best practice by incorporating in bid selection protocols and LCBF Criteria and includes a link to 2022 Supplier Diversity Annual Plan with concrete steps to incorporate into all procurement practices</w:t>
      </w:r>
      <w:r>
        <w:t xml:space="preserve">. </w:t>
      </w:r>
    </w:p>
    <w:p w:rsidR="00392B35" w:rsidP="00C84853" w:rsidRDefault="009A7F97" w14:paraId="722BC1E9" w14:textId="2CBF3330">
      <w:pPr>
        <w:pStyle w:val="CoL"/>
      </w:pPr>
      <w:r>
        <w:t xml:space="preserve">Six CCAs and three ESPs made mistakes in their </w:t>
      </w:r>
      <w:r w:rsidRPr="00267BF1" w:rsidR="00392B35">
        <w:t xml:space="preserve">Cost Quantification sheets.  </w:t>
      </w:r>
    </w:p>
    <w:p w:rsidR="003076E2" w:rsidP="00C84853" w:rsidRDefault="00110BDD" w14:paraId="3E1B811E" w14:textId="216E6684">
      <w:pPr>
        <w:pStyle w:val="CoL"/>
      </w:pPr>
      <w:r>
        <w:t>The Market Offer process is open to all market participants including the IOUs administering the Market Offer process.</w:t>
      </w:r>
    </w:p>
    <w:p w:rsidRPr="0068784D" w:rsidR="005939A5" w:rsidP="005939A5" w:rsidRDefault="005939A5" w14:paraId="2AB94FC7" w14:textId="77777777">
      <w:pPr>
        <w:pStyle w:val="Dummy"/>
      </w:pPr>
      <w:bookmarkStart w:name="_Toc8123726" w:id="127"/>
      <w:bookmarkStart w:name="_Toc122180492" w:id="128"/>
      <w:r w:rsidRPr="0068784D">
        <w:t>Conclusions of Law</w:t>
      </w:r>
      <w:bookmarkEnd w:id="127"/>
      <w:bookmarkEnd w:id="128"/>
    </w:p>
    <w:p w:rsidRPr="0068784D" w:rsidR="00B22317" w:rsidRDefault="00E27B68" w14:paraId="4D51884E" w14:textId="1AFD3521">
      <w:pPr>
        <w:pStyle w:val="CoL"/>
        <w:numPr>
          <w:ilvl w:val="0"/>
          <w:numId w:val="10"/>
        </w:numPr>
      </w:pPr>
      <w:r w:rsidRPr="0068784D">
        <w:t xml:space="preserve">Based on the status of the VAMO process and mid-term reliability procurements, </w:t>
      </w:r>
      <w:r w:rsidRPr="0068784D" w:rsidR="0068784D">
        <w:t xml:space="preserve">the </w:t>
      </w:r>
      <w:r w:rsidRPr="0068784D" w:rsidR="00B22317">
        <w:t xml:space="preserve">IOUs </w:t>
      </w:r>
      <w:r w:rsidRPr="0068784D" w:rsidR="0009713E">
        <w:t>should</w:t>
      </w:r>
      <w:r w:rsidRPr="0068784D" w:rsidR="00B22317">
        <w:t xml:space="preserve"> </w:t>
      </w:r>
      <w:r w:rsidRPr="0068784D" w:rsidR="0068784D">
        <w:t>update the</w:t>
      </w:r>
      <w:r w:rsidR="00612497">
        <w:t>ir</w:t>
      </w:r>
      <w:r w:rsidRPr="0068784D" w:rsidR="00B22317">
        <w:t xml:space="preserve"> Final 2022 RPS Plan</w:t>
      </w:r>
      <w:r w:rsidR="00612497">
        <w:t>s</w:t>
      </w:r>
      <w:r w:rsidRPr="0068784D" w:rsidR="00BE428C">
        <w:t>.</w:t>
      </w:r>
    </w:p>
    <w:p w:rsidR="00FD5EC7" w:rsidRDefault="00FD5EC7" w14:paraId="10EE2272" w14:textId="363E4B66">
      <w:pPr>
        <w:pStyle w:val="CoL"/>
        <w:numPr>
          <w:ilvl w:val="0"/>
          <w:numId w:val="10"/>
        </w:numPr>
      </w:pPr>
      <w:r w:rsidRPr="00FD5EC7">
        <w:t xml:space="preserve">Prudent long-term contracting assessments should be used to inform a retail seller’s RPS procurement planning and procurement decisions for current and future compliance periods.  </w:t>
      </w:r>
    </w:p>
    <w:p w:rsidR="00FD5EC7" w:rsidRDefault="00FD5EC7" w14:paraId="76E706F4" w14:textId="39B16087">
      <w:pPr>
        <w:pStyle w:val="CoL"/>
        <w:numPr>
          <w:ilvl w:val="0"/>
          <w:numId w:val="10"/>
        </w:numPr>
      </w:pPr>
      <w:r w:rsidRPr="00FD5EC7">
        <w:t xml:space="preserve">Each retail seller </w:t>
      </w:r>
      <w:r>
        <w:t xml:space="preserve">should </w:t>
      </w:r>
      <w:r w:rsidRPr="00FD5EC7">
        <w:t>address local transportation electrification adoption trends while planning for portfolio diversity and renewable resource procurement to meet incremental RPS requirements</w:t>
      </w:r>
      <w:r>
        <w:t xml:space="preserve"> because it is</w:t>
      </w:r>
      <w:r w:rsidRPr="00FD5EC7">
        <w:t xml:space="preserve"> increasingly important for CCAs and ESPs to develop forecasts and load profiles with transportation electrification scenarios for RPS planning purposes</w:t>
      </w:r>
      <w:r w:rsidR="0048033F">
        <w:t>.</w:t>
      </w:r>
    </w:p>
    <w:p w:rsidR="0048033F" w:rsidP="0048033F" w:rsidRDefault="0048033F" w14:paraId="64D0F34E" w14:textId="3081C220">
      <w:pPr>
        <w:pStyle w:val="CoL"/>
        <w:numPr>
          <w:ilvl w:val="0"/>
          <w:numId w:val="10"/>
        </w:numPr>
      </w:pPr>
      <w:r>
        <w:t>Retail sellers identified in Tabl</w:t>
      </w:r>
      <w:r w:rsidR="00B40D00">
        <w:t xml:space="preserve">es 2 and </w:t>
      </w:r>
      <w:r>
        <w:t xml:space="preserve">3 of this decision should update the </w:t>
      </w:r>
      <w:r w:rsidR="00B40D00">
        <w:t xml:space="preserve">RPS </w:t>
      </w:r>
      <w:r>
        <w:t xml:space="preserve">portfolio supply and demand section in their Final 2022 RPS Plans </w:t>
      </w:r>
      <w:r w:rsidR="00B40D00">
        <w:t xml:space="preserve">regarding long-term contracting and transportation electrification </w:t>
      </w:r>
      <w:r>
        <w:t xml:space="preserve">as directed. </w:t>
      </w:r>
    </w:p>
    <w:p w:rsidRPr="001E2A62" w:rsidR="008E13EF" w:rsidRDefault="008E13EF" w14:paraId="795D776D" w14:textId="07F8BF59">
      <w:pPr>
        <w:pStyle w:val="CoL"/>
        <w:numPr>
          <w:ilvl w:val="0"/>
          <w:numId w:val="10"/>
        </w:numPr>
      </w:pPr>
      <w:r>
        <w:t xml:space="preserve">Based on PG&amp;E’s, SCE’s and SDG&amp;E’s current stated RPS compliance positions, it is reasonable to </w:t>
      </w:r>
      <w:r w:rsidR="0068784D">
        <w:t>allow</w:t>
      </w:r>
      <w:r w:rsidR="00F52733">
        <w:t xml:space="preserve"> them flexibility to </w:t>
      </w:r>
      <w:r>
        <w:t>hold 20</w:t>
      </w:r>
      <w:r w:rsidR="00F35D04">
        <w:t>22</w:t>
      </w:r>
      <w:r>
        <w:t xml:space="preserve"> RPS </w:t>
      </w:r>
      <w:r w:rsidR="7E82E5D5">
        <w:t>solicitations</w:t>
      </w:r>
      <w:r w:rsidR="00024D0D">
        <w:t>,</w:t>
      </w:r>
      <w:r w:rsidR="00F35D04">
        <w:t xml:space="preserve"> if needed</w:t>
      </w:r>
      <w:r>
        <w:t>.</w:t>
      </w:r>
    </w:p>
    <w:p w:rsidR="0073524A" w:rsidRDefault="0073524A" w14:paraId="538DA5CB" w14:textId="5038BC7C">
      <w:pPr>
        <w:pStyle w:val="CoL"/>
      </w:pPr>
      <w:r>
        <w:t xml:space="preserve">It is reasonable to authorize PG&amp;E, SCE and SDG&amp;E </w:t>
      </w:r>
      <w:r w:rsidR="00732A4B">
        <w:t xml:space="preserve">with an option </w:t>
      </w:r>
      <w:r>
        <w:t xml:space="preserve">to </w:t>
      </w:r>
      <w:r w:rsidR="00732A4B">
        <w:t>sell</w:t>
      </w:r>
      <w:r>
        <w:t xml:space="preserve"> RPS volumes for the period covered by the 2022 RPS Procurement Plans</w:t>
      </w:r>
      <w:r w:rsidR="00BB0AEF">
        <w:t xml:space="preserve"> to balance the</w:t>
      </w:r>
      <w:r w:rsidR="00732A4B">
        <w:t>ir respective</w:t>
      </w:r>
      <w:r w:rsidR="00BB0AEF">
        <w:t xml:space="preserve"> RPS portfolio.</w:t>
      </w:r>
    </w:p>
    <w:p w:rsidRPr="00E77FDB" w:rsidR="00E77FDB" w:rsidRDefault="00E77FDB" w14:paraId="6653AE98" w14:textId="45B52C13">
      <w:pPr>
        <w:pStyle w:val="CoL"/>
      </w:pPr>
      <w:r>
        <w:t xml:space="preserve">It is reasonable to allow </w:t>
      </w:r>
      <w:r w:rsidRPr="007362DF">
        <w:t xml:space="preserve">PG&amp;E to use its RPS </w:t>
      </w:r>
      <w:r>
        <w:t>b</w:t>
      </w:r>
      <w:r w:rsidRPr="007362DF">
        <w:t>ank to</w:t>
      </w:r>
      <w:r w:rsidRPr="007362DF">
        <w:rPr>
          <w:rFonts w:cs="Arial"/>
        </w:rPr>
        <w:t xml:space="preserve"> achieve compliance with its RPS obligations through</w:t>
      </w:r>
      <w:r w:rsidRPr="007362DF">
        <w:t xml:space="preserve"> </w:t>
      </w:r>
      <w:r w:rsidRPr="007362DF">
        <w:rPr>
          <w:rFonts w:cs="Arial"/>
        </w:rPr>
        <w:t>2028.</w:t>
      </w:r>
    </w:p>
    <w:p w:rsidR="00BB0AEF" w:rsidRDefault="00BB0AEF" w14:paraId="50824B5F" w14:textId="7F39582E">
      <w:pPr>
        <w:pStyle w:val="CoL"/>
      </w:pPr>
      <w:r>
        <w:t xml:space="preserve">PG&amp;E should </w:t>
      </w:r>
      <w:r w:rsidR="00F20984">
        <w:t xml:space="preserve">file revised pro forma agreements </w:t>
      </w:r>
      <w:r w:rsidR="008C0D40">
        <w:t>as part of its Final</w:t>
      </w:r>
      <w:r w:rsidR="004905AD">
        <w:t> </w:t>
      </w:r>
      <w:r w:rsidR="008C0D40">
        <w:t>2022</w:t>
      </w:r>
      <w:r w:rsidR="004905AD">
        <w:t> </w:t>
      </w:r>
      <w:r w:rsidR="008C0D40">
        <w:t>RPS Plan</w:t>
      </w:r>
      <w:r w:rsidR="00A06C9F">
        <w:t xml:space="preserve"> or use previously approved pro forma agreements as submitted with PG&amp;E’s Draft 2022 RPS Plans</w:t>
      </w:r>
      <w:r w:rsidR="008C0D40">
        <w:t xml:space="preserve">. </w:t>
      </w:r>
    </w:p>
    <w:p w:rsidR="000764A9" w:rsidRDefault="000764A9" w14:paraId="55F8E1DC" w14:textId="1BEC2374">
      <w:pPr>
        <w:pStyle w:val="CoL"/>
      </w:pPr>
      <w:r w:rsidRPr="0060332C">
        <w:t xml:space="preserve">It is </w:t>
      </w:r>
      <w:r>
        <w:t xml:space="preserve">reasonable for </w:t>
      </w:r>
      <w:r w:rsidRPr="0060332C">
        <w:t>PG&amp;</w:t>
      </w:r>
      <w:r>
        <w:t>E to</w:t>
      </w:r>
      <w:r w:rsidRPr="0060332C">
        <w:t xml:space="preserve"> submit multiple </w:t>
      </w:r>
      <w:r w:rsidR="32F01F90">
        <w:t xml:space="preserve">procurement </w:t>
      </w:r>
      <w:r w:rsidRPr="0060332C">
        <w:t>pro forma agreements for RPS procurement as part of its Final 2022 RPS Plan, consistent with its procurement needs described in its Draft 2022 RPS Plan, and its practices in the IRP proceeding</w:t>
      </w:r>
      <w:r>
        <w:t xml:space="preserve">. </w:t>
      </w:r>
    </w:p>
    <w:p w:rsidR="00F20984" w:rsidRDefault="00E77FDB" w14:paraId="4468BE66" w14:textId="76BBAC64">
      <w:pPr>
        <w:pStyle w:val="CoL"/>
      </w:pPr>
      <w:r>
        <w:t>SCE</w:t>
      </w:r>
      <w:r w:rsidR="0060034F">
        <w:t>’s</w:t>
      </w:r>
      <w:r w:rsidR="00F53C13">
        <w:t xml:space="preserve"> and SDG&amp;E</w:t>
      </w:r>
      <w:r>
        <w:t xml:space="preserve">’s </w:t>
      </w:r>
      <w:r w:rsidR="006C3774">
        <w:t xml:space="preserve">respective </w:t>
      </w:r>
      <w:r>
        <w:t xml:space="preserve">REC sales </w:t>
      </w:r>
      <w:r w:rsidR="006317C9">
        <w:t>solicitation protocol</w:t>
      </w:r>
      <w:r w:rsidR="00FD494B">
        <w:t xml:space="preserve"> and the </w:t>
      </w:r>
      <w:r w:rsidR="0060034F">
        <w:t>proposed</w:t>
      </w:r>
      <w:r w:rsidR="00FD494B">
        <w:t xml:space="preserve"> pro forma agreement</w:t>
      </w:r>
      <w:r>
        <w:t xml:space="preserve"> </w:t>
      </w:r>
      <w:r w:rsidR="00732A4B">
        <w:t xml:space="preserve">is reasonable and </w:t>
      </w:r>
      <w:r>
        <w:t>should be approved.</w:t>
      </w:r>
    </w:p>
    <w:p w:rsidR="009611B5" w:rsidRDefault="009611B5" w14:paraId="18D16C2C" w14:textId="4D0ED950">
      <w:pPr>
        <w:pStyle w:val="CoL"/>
      </w:pPr>
      <w:r>
        <w:t>Because SCE plans to procure only in-front-of the meter resources that are RPS eligible, it is reasonable to use the revised PPA.</w:t>
      </w:r>
    </w:p>
    <w:p w:rsidR="009611B5" w:rsidRDefault="009611B5" w14:paraId="4DB3C394" w14:textId="4192CA0A">
      <w:pPr>
        <w:pStyle w:val="CoL"/>
      </w:pPr>
      <w:r>
        <w:t>Because IOU’s RFIs will enable further portfolio optimization, they should be approved.</w:t>
      </w:r>
    </w:p>
    <w:p w:rsidR="002C4BE2" w:rsidP="004905AD" w:rsidRDefault="002C4BE2" w14:paraId="375DAA04" w14:textId="2BB39EDC">
      <w:pPr>
        <w:pStyle w:val="CoL"/>
      </w:pPr>
      <w:r w:rsidRPr="002C4BE2">
        <w:t xml:space="preserve">The Draft 2022 RPS Plans are not the appropriate venue to enforce the provisions of GO 156-related outreach methods. </w:t>
      </w:r>
    </w:p>
    <w:p w:rsidR="00392B35" w:rsidRDefault="00392B35" w14:paraId="41D468AD" w14:textId="77777777">
      <w:pPr>
        <w:pStyle w:val="CoL"/>
      </w:pPr>
      <w:r w:rsidRPr="00617BF4">
        <w:t xml:space="preserve">Given their near-term need for RPS-compliant resources, SMJUs </w:t>
      </w:r>
      <w:r>
        <w:t>should</w:t>
      </w:r>
      <w:r w:rsidRPr="00617BF4">
        <w:t xml:space="preserve"> consider early and timely procurement of resources rather than l</w:t>
      </w:r>
      <w:r>
        <w:t>ate</w:t>
      </w:r>
      <w:r w:rsidRPr="00617BF4">
        <w:t xml:space="preserve"> unbundled REC purchases.</w:t>
      </w:r>
    </w:p>
    <w:p w:rsidR="00392B35" w:rsidRDefault="00392B35" w14:paraId="0CC09F66" w14:textId="7605F297">
      <w:pPr>
        <w:pStyle w:val="CoL"/>
      </w:pPr>
      <w:r>
        <w:t>T</w:t>
      </w:r>
      <w:r w:rsidRPr="00617BF4">
        <w:t xml:space="preserve">he </w:t>
      </w:r>
      <w:r w:rsidR="005751A4">
        <w:t>D</w:t>
      </w:r>
      <w:r w:rsidRPr="00617BF4">
        <w:t xml:space="preserve">raft 2022 RPS Plan filed by BVES </w:t>
      </w:r>
      <w:r>
        <w:t xml:space="preserve">should be approved </w:t>
      </w:r>
      <w:r w:rsidRPr="00617BF4">
        <w:t>with modifications described</w:t>
      </w:r>
      <w:r>
        <w:t xml:space="preserve"> in Section </w:t>
      </w:r>
      <w:r w:rsidR="0048033F">
        <w:t>6</w:t>
      </w:r>
      <w:r w:rsidRPr="0048033F" w:rsidR="006A2500">
        <w:t>.1</w:t>
      </w:r>
      <w:r w:rsidR="006A2500">
        <w:t xml:space="preserve"> and its subsections</w:t>
      </w:r>
      <w:r>
        <w:t xml:space="preserve"> </w:t>
      </w:r>
      <w:r w:rsidRPr="00617BF4">
        <w:t>concern</w:t>
      </w:r>
      <w:r>
        <w:t>ing</w:t>
      </w:r>
      <w:r w:rsidRPr="00617BF4">
        <w:t xml:space="preserve"> BVES’ portfolio supply and demand, long-term procurement, and risk assessment</w:t>
      </w:r>
      <w:r w:rsidR="00A26C9F">
        <w:t>,</w:t>
      </w:r>
      <w:r w:rsidRPr="00617BF4">
        <w:t xml:space="preserve"> </w:t>
      </w:r>
      <w:r w:rsidR="00B9683C">
        <w:t xml:space="preserve">transportation electrification and load forecasting, </w:t>
      </w:r>
      <w:r w:rsidRPr="00617BF4">
        <w:t>and implementation of SB</w:t>
      </w:r>
      <w:r w:rsidR="0064257A">
        <w:t> </w:t>
      </w:r>
      <w:r w:rsidRPr="00617BF4">
        <w:t>255.</w:t>
      </w:r>
    </w:p>
    <w:p w:rsidR="00392B35" w:rsidP="0064257A" w:rsidRDefault="00392B35" w14:paraId="7702C2AD" w14:textId="459DB319">
      <w:pPr>
        <w:pStyle w:val="CoL"/>
      </w:pPr>
      <w:r w:rsidRPr="00617BF4">
        <w:t xml:space="preserve">BVES </w:t>
      </w:r>
      <w:r>
        <w:t>should</w:t>
      </w:r>
      <w:r w:rsidRPr="00617BF4">
        <w:t xml:space="preserve"> update its narrative to indicate that it currently lacks sufficient supply to meet current and future compliance period obligations.</w:t>
      </w:r>
    </w:p>
    <w:p w:rsidR="00392B35" w:rsidRDefault="00392B35" w14:paraId="3FF36241" w14:textId="5B8DE248">
      <w:pPr>
        <w:pStyle w:val="CoL"/>
      </w:pPr>
      <w:r>
        <w:t>T</w:t>
      </w:r>
      <w:r w:rsidRPr="00B90D87">
        <w:t xml:space="preserve">he draft 2022 RPS Plan filed by Liberty Utilities </w:t>
      </w:r>
      <w:r>
        <w:t xml:space="preserve">should be approved </w:t>
      </w:r>
      <w:r w:rsidRPr="00B90D87">
        <w:t xml:space="preserve">with modifications listed </w:t>
      </w:r>
      <w:r>
        <w:t xml:space="preserve">in Section </w:t>
      </w:r>
      <w:r w:rsidR="0048033F">
        <w:t>6</w:t>
      </w:r>
      <w:r w:rsidRPr="0048033F" w:rsidR="00403153">
        <w:t>.2</w:t>
      </w:r>
      <w:r w:rsidR="006A2500">
        <w:t xml:space="preserve"> and its subsections</w:t>
      </w:r>
      <w:r>
        <w:t xml:space="preserve">. </w:t>
      </w:r>
    </w:p>
    <w:p w:rsidR="00392B35" w:rsidRDefault="00392B35" w14:paraId="770D37BE" w14:textId="77777777">
      <w:pPr>
        <w:pStyle w:val="CoL"/>
      </w:pPr>
      <w:r w:rsidRPr="00B90D87">
        <w:t>Liberty’s request to implement a long-term REC procurement strategy to acquire PCC 3 RECs up to three years in advance, and to otherwise meet RPS compliance through its existing, utility-owned Luning and Turquoise solar resources and banked RECs</w:t>
      </w:r>
      <w:r>
        <w:t xml:space="preserve"> should be approved.</w:t>
      </w:r>
    </w:p>
    <w:p w:rsidR="00392B35" w:rsidRDefault="00392B35" w14:paraId="512075F3" w14:textId="5BB1C645">
      <w:pPr>
        <w:pStyle w:val="CoL"/>
      </w:pPr>
      <w:r w:rsidRPr="00B90D87">
        <w:t xml:space="preserve">PacifiCorp’s off-year 2022 supplement </w:t>
      </w:r>
      <w:r>
        <w:t xml:space="preserve">should </w:t>
      </w:r>
      <w:r w:rsidR="00403153">
        <w:t>be</w:t>
      </w:r>
      <w:r>
        <w:t xml:space="preserve"> approved </w:t>
      </w:r>
      <w:r w:rsidRPr="00B90D87">
        <w:t xml:space="preserve">with modifications described </w:t>
      </w:r>
      <w:r>
        <w:t xml:space="preserve">in Section </w:t>
      </w:r>
      <w:r w:rsidR="0048033F">
        <w:t>6</w:t>
      </w:r>
      <w:r w:rsidRPr="0048033F" w:rsidR="00403153">
        <w:t>.3</w:t>
      </w:r>
      <w:r>
        <w:t xml:space="preserve"> concerning </w:t>
      </w:r>
      <w:r w:rsidRPr="00B90D87">
        <w:t>PacifiCorp’s long-term procurement position, Procurement Quantity Requirement need for C</w:t>
      </w:r>
      <w:r w:rsidR="008A5F3D">
        <w:t>P</w:t>
      </w:r>
      <w:r w:rsidRPr="00B90D87">
        <w:t xml:space="preserve"> 4, </w:t>
      </w:r>
      <w:r w:rsidR="00A26C9F">
        <w:t>incorporation</w:t>
      </w:r>
      <w:r w:rsidRPr="00B90D87">
        <w:t xml:space="preserve"> of RNS figures, transportation electrification load forecasting, implementation of SB 255, and risk assessment and M</w:t>
      </w:r>
      <w:r w:rsidR="00583112">
        <w:t>MoP</w:t>
      </w:r>
      <w:r w:rsidRPr="00B90D87">
        <w:t xml:space="preserve"> analysis.</w:t>
      </w:r>
    </w:p>
    <w:p w:rsidR="00A26C9F" w:rsidRDefault="00A26C9F" w14:paraId="2BD67EE6" w14:textId="2919A359">
      <w:pPr>
        <w:pStyle w:val="CoL"/>
      </w:pPr>
      <w:r w:rsidRPr="00A26C9F">
        <w:t>To comply with D.18-05-026, BVES, Liberty, and PacifiCorp should provide in their final RPS Plan further discussion of how they forecast transportation electrification load and compare it to the CEC’s IEPR forecast</w:t>
      </w:r>
      <w:r>
        <w:t>.</w:t>
      </w:r>
    </w:p>
    <w:p w:rsidR="00392B35" w:rsidRDefault="00392B35" w14:paraId="6559C3EA" w14:textId="77777777">
      <w:pPr>
        <w:pStyle w:val="CoL"/>
      </w:pPr>
      <w:r w:rsidRPr="00B90D87">
        <w:t>Retail sellers’ narrative should provide additional, more granular detail on the status of projects’ development, beyond just the bare categories of the PDSU attachment, including any significant deviations from preceding attachments</w:t>
      </w:r>
      <w:r>
        <w:t>.</w:t>
      </w:r>
    </w:p>
    <w:p w:rsidR="00392B35" w:rsidRDefault="00392B35" w14:paraId="3FBDE3A4" w14:textId="73B2A458">
      <w:pPr>
        <w:pStyle w:val="CoL"/>
      </w:pPr>
      <w:r>
        <w:t xml:space="preserve">Retail sellers identified in Table </w:t>
      </w:r>
      <w:r w:rsidR="0048033F">
        <w:t xml:space="preserve">4 </w:t>
      </w:r>
      <w:r w:rsidR="00403153">
        <w:t>of this decision</w:t>
      </w:r>
      <w:r>
        <w:t xml:space="preserve"> should update the PDSU section in their Final 2022 RPS Plans as directed. </w:t>
      </w:r>
    </w:p>
    <w:p w:rsidR="00392B35" w:rsidRDefault="00392B35" w14:paraId="72D2D92D" w14:textId="4524AA0D">
      <w:pPr>
        <w:pStyle w:val="CoL"/>
      </w:pPr>
      <w:r>
        <w:t>R</w:t>
      </w:r>
      <w:r w:rsidRPr="009A454F">
        <w:t xml:space="preserve">etail sellers identified in </w:t>
      </w:r>
      <w:r w:rsidR="00403153">
        <w:t xml:space="preserve">Table </w:t>
      </w:r>
      <w:r w:rsidR="0048033F">
        <w:t>5</w:t>
      </w:r>
      <w:r w:rsidRPr="009A454F" w:rsidR="0048033F">
        <w:t xml:space="preserve"> </w:t>
      </w:r>
      <w:r w:rsidR="006A2500">
        <w:t xml:space="preserve">of this decision </w:t>
      </w:r>
      <w:r>
        <w:t xml:space="preserve">should </w:t>
      </w:r>
      <w:r w:rsidRPr="009A454F">
        <w:t>expand their risk assessments including analysis of any potential compliance delays on delivery of renewable energy.</w:t>
      </w:r>
    </w:p>
    <w:p w:rsidR="00392B35" w:rsidRDefault="00392B35" w14:paraId="1DE281F2" w14:textId="5E7EDEF5">
      <w:pPr>
        <w:pStyle w:val="CoL"/>
      </w:pPr>
      <w:r>
        <w:t>Re</w:t>
      </w:r>
      <w:r w:rsidR="006A39EF">
        <w:t>tail</w:t>
      </w:r>
      <w:r>
        <w:t xml:space="preserve"> sellers identifie</w:t>
      </w:r>
      <w:r w:rsidR="006A2500">
        <w:t>d</w:t>
      </w:r>
      <w:r>
        <w:t xml:space="preserve"> in </w:t>
      </w:r>
      <w:r w:rsidR="00403153">
        <w:t xml:space="preserve">Table </w:t>
      </w:r>
      <w:r w:rsidR="0048033F">
        <w:t xml:space="preserve">6 </w:t>
      </w:r>
      <w:r w:rsidR="006A2500">
        <w:t xml:space="preserve">of this decision </w:t>
      </w:r>
      <w:r w:rsidR="008A768C">
        <w:t>should</w:t>
      </w:r>
      <w:r w:rsidRPr="009A454F">
        <w:t xml:space="preserve"> provide complete sections on MMoP methodology and criteria for Final 2022 RPS Plan submissions.</w:t>
      </w:r>
    </w:p>
    <w:p w:rsidR="00392B35" w:rsidRDefault="00392B35" w14:paraId="159FD84A" w14:textId="77777777">
      <w:pPr>
        <w:pStyle w:val="CoL"/>
      </w:pPr>
      <w:r>
        <w:t>R</w:t>
      </w:r>
      <w:r w:rsidRPr="009A454F">
        <w:t>etail sellers fulfilled the obligations in the 2022 ACR to consider and provide their approach to safety in the RPS program</w:t>
      </w:r>
      <w:r>
        <w:t>.</w:t>
      </w:r>
    </w:p>
    <w:p w:rsidR="00392B35" w:rsidRDefault="00392B35" w14:paraId="30394B47" w14:textId="09320D15">
      <w:pPr>
        <w:pStyle w:val="CoL"/>
      </w:pPr>
      <w:r>
        <w:t>Retail sellers</w:t>
      </w:r>
      <w:r w:rsidR="00403153">
        <w:t xml:space="preserve"> </w:t>
      </w:r>
      <w:r w:rsidRPr="009A454F">
        <w:t xml:space="preserve">identified </w:t>
      </w:r>
      <w:r>
        <w:t xml:space="preserve">in </w:t>
      </w:r>
      <w:r w:rsidR="00403153">
        <w:t xml:space="preserve">Table </w:t>
      </w:r>
      <w:r w:rsidR="0048033F">
        <w:t>7</w:t>
      </w:r>
      <w:r w:rsidRPr="009A454F" w:rsidR="0048033F">
        <w:t xml:space="preserve"> </w:t>
      </w:r>
      <w:r w:rsidR="006A2500">
        <w:t xml:space="preserve">of this decision </w:t>
      </w:r>
      <w:r>
        <w:t>should</w:t>
      </w:r>
      <w:r w:rsidRPr="009A454F">
        <w:t xml:space="preserve"> provide an expanded curtailment analysis that meets the criteria set forth in the 2022 ACR for Final 2022 RPS Plan submissions</w:t>
      </w:r>
      <w:r>
        <w:t>.</w:t>
      </w:r>
    </w:p>
    <w:p w:rsidR="00392B35" w:rsidRDefault="00392B35" w14:paraId="2109A5B5" w14:textId="0EE6364E">
      <w:pPr>
        <w:pStyle w:val="CoL"/>
      </w:pPr>
      <w:r>
        <w:t xml:space="preserve">Retails sellers identified in </w:t>
      </w:r>
      <w:r w:rsidR="00403153">
        <w:t xml:space="preserve">Table </w:t>
      </w:r>
      <w:r w:rsidR="0048033F">
        <w:t xml:space="preserve">8 </w:t>
      </w:r>
      <w:r w:rsidR="006A2500">
        <w:t xml:space="preserve">of this decision </w:t>
      </w:r>
      <w:r>
        <w:t xml:space="preserve">should supplement their </w:t>
      </w:r>
      <w:r w:rsidR="00580E29">
        <w:t>F</w:t>
      </w:r>
      <w:r>
        <w:t>inal 2022 RPS Plan</w:t>
      </w:r>
      <w:r w:rsidR="00580E29">
        <w:t>s</w:t>
      </w:r>
      <w:r>
        <w:t xml:space="preserve"> as directed to </w:t>
      </w:r>
      <w:r w:rsidRPr="00267BF1">
        <w:t>provide both a narrative and quantitative response demonstrating how the results of their risk assessments have been incorporated into their 2022 RNS calculations</w:t>
      </w:r>
      <w:r>
        <w:t>.</w:t>
      </w:r>
    </w:p>
    <w:p w:rsidR="00392B35" w:rsidRDefault="00392B35" w14:paraId="0A26CC1A" w14:textId="08508E79">
      <w:pPr>
        <w:pStyle w:val="CoL"/>
      </w:pPr>
      <w:r>
        <w:t xml:space="preserve">Retails sellers </w:t>
      </w:r>
      <w:r w:rsidR="00A26C9F">
        <w:t xml:space="preserve">as identified in Table 9 </w:t>
      </w:r>
      <w:r>
        <w:t xml:space="preserve">should follow the best practices in implementing SB 255. </w:t>
      </w:r>
    </w:p>
    <w:p w:rsidR="00392B35" w:rsidP="00A15A2A" w:rsidRDefault="00A26C9F" w14:paraId="370A9CB8" w14:textId="2663175B">
      <w:pPr>
        <w:pStyle w:val="CoL"/>
      </w:pPr>
      <w:r>
        <w:t xml:space="preserve">Retail sellers identified in Table 10 of this decision </w:t>
      </w:r>
      <w:r w:rsidR="00392B35">
        <w:t xml:space="preserve">make corrections in their </w:t>
      </w:r>
      <w:r w:rsidR="00DD6BAE">
        <w:t>F</w:t>
      </w:r>
      <w:r w:rsidR="00392B35">
        <w:t>inal 2022 RPS Plan</w:t>
      </w:r>
      <w:r w:rsidR="009B09EC">
        <w:t>s</w:t>
      </w:r>
      <w:r w:rsidR="00403153">
        <w:t xml:space="preserve"> </w:t>
      </w:r>
      <w:r w:rsidRPr="00403153" w:rsidR="00403153">
        <w:t>to provide complete and/or corrected information or explain discrepancies between the submitted RNS calculations and Cost Quantification sheets in their Final 2022 RPS Plans</w:t>
      </w:r>
      <w:r w:rsidR="00A15A2A">
        <w:t>.</w:t>
      </w:r>
    </w:p>
    <w:p w:rsidR="00A26C9F" w:rsidP="00A15A2A" w:rsidRDefault="00A26C9F" w14:paraId="2E160E38" w14:textId="5E7DF96C">
      <w:pPr>
        <w:pStyle w:val="CoL"/>
      </w:pPr>
      <w:r w:rsidRPr="00A26C9F">
        <w:t>Retails sellers as identified in Table 11 should unredact non-confidential material in their Final 2022 RPS Plans to comply with guidance in D.06-06-066, as modified by D.21</w:t>
      </w:r>
      <w:r w:rsidR="008806BB">
        <w:noBreakHyphen/>
      </w:r>
      <w:r w:rsidRPr="00A26C9F">
        <w:t>11</w:t>
      </w:r>
      <w:r w:rsidR="008806BB">
        <w:noBreakHyphen/>
      </w:r>
      <w:r w:rsidRPr="00A26C9F">
        <w:t>029</w:t>
      </w:r>
      <w:r>
        <w:t>.</w:t>
      </w:r>
    </w:p>
    <w:p w:rsidR="00110BDD" w:rsidP="00191FF7" w:rsidRDefault="00F15B3B" w14:paraId="40CF177F" w14:textId="20B639D5">
      <w:pPr>
        <w:pStyle w:val="CoL"/>
      </w:pPr>
      <w:r>
        <w:t>Each</w:t>
      </w:r>
      <w:r w:rsidR="00110BDD">
        <w:t xml:space="preserve"> IOU</w:t>
      </w:r>
      <w:r>
        <w:t xml:space="preserve"> </w:t>
      </w:r>
      <w:r w:rsidR="00110BDD">
        <w:t xml:space="preserve">should be allowed to </w:t>
      </w:r>
      <w:r>
        <w:t>submit bids</w:t>
      </w:r>
      <w:r w:rsidR="00110BDD">
        <w:t xml:space="preserve"> in the Market Offer process</w:t>
      </w:r>
      <w:r>
        <w:t xml:space="preserve"> of the other two IOUs</w:t>
      </w:r>
      <w:r w:rsidR="00110BDD">
        <w:t xml:space="preserve">. </w:t>
      </w:r>
    </w:p>
    <w:p w:rsidR="00F15B3B" w:rsidP="005A7C67" w:rsidRDefault="00C67621" w14:paraId="321C46B8" w14:textId="21D689D7">
      <w:pPr>
        <w:pStyle w:val="CoL"/>
      </w:pPr>
      <w:r>
        <w:t xml:space="preserve">It is reasonable for </w:t>
      </w:r>
      <w:r w:rsidR="006C65A3">
        <w:t>IOUs to submit</w:t>
      </w:r>
      <w:r w:rsidR="003B5CA6">
        <w:t xml:space="preserve"> a</w:t>
      </w:r>
      <w:r>
        <w:t xml:space="preserve"> Tier 1 or Tier 3 Advice Letter seeking approval of short-term or long-term procurement contracts, respectively, </w:t>
      </w:r>
      <w:r w:rsidR="00B76D16">
        <w:t xml:space="preserve">and </w:t>
      </w:r>
      <w:r w:rsidR="007A492C">
        <w:t>recover costs</w:t>
      </w:r>
      <w:r w:rsidR="00666EFD">
        <w:t xml:space="preserve"> </w:t>
      </w:r>
      <w:r w:rsidR="00F15B3B">
        <w:t xml:space="preserve">through the </w:t>
      </w:r>
      <w:r w:rsidR="00A64EC3">
        <w:t>PABA</w:t>
      </w:r>
      <w:r w:rsidR="00F15B3B">
        <w:t xml:space="preserve"> </w:t>
      </w:r>
      <w:r w:rsidR="00C97CF1">
        <w:t>in the ERRA ratemaking process</w:t>
      </w:r>
      <w:r w:rsidR="00F15B3B">
        <w:t>.</w:t>
      </w:r>
    </w:p>
    <w:p w:rsidR="00BB0243" w:rsidP="0060332C" w:rsidRDefault="005939A5" w14:paraId="2D245BD1" w14:textId="77777777">
      <w:pPr>
        <w:pStyle w:val="Mainex"/>
        <w:spacing w:before="120" w:after="120" w:line="240" w:lineRule="auto"/>
      </w:pPr>
      <w:bookmarkStart w:name="_Toc122180493" w:id="129"/>
      <w:r>
        <w:t>O</w:t>
      </w:r>
      <w:r w:rsidR="00722850">
        <w:t>RDER</w:t>
      </w:r>
      <w:bookmarkEnd w:id="129"/>
    </w:p>
    <w:p w:rsidR="00BB0243" w:rsidP="000A6E05" w:rsidRDefault="00BB0243" w14:paraId="66E33C09" w14:textId="77777777">
      <w:pPr>
        <w:keepNext/>
      </w:pPr>
      <w:r w:rsidRPr="00BB0243">
        <w:rPr>
          <w:b/>
        </w:rPr>
        <w:t>IT IS ORDERED</w:t>
      </w:r>
      <w:r>
        <w:t xml:space="preserve"> that:</w:t>
      </w:r>
    </w:p>
    <w:p w:rsidR="00425C11" w:rsidRDefault="00425C11" w14:paraId="310B50B1" w14:textId="41F15B8C">
      <w:pPr>
        <w:pStyle w:val="CoL"/>
        <w:numPr>
          <w:ilvl w:val="0"/>
          <w:numId w:val="11"/>
        </w:numPr>
      </w:pPr>
      <w:r>
        <w:t>Pursuant to the authority provided in Public Utilities Code Section</w:t>
      </w:r>
      <w:r w:rsidR="00DA2AB1">
        <w:t> </w:t>
      </w:r>
      <w:r>
        <w:t xml:space="preserve">399.13(a)(1), the </w:t>
      </w:r>
      <w:r w:rsidR="00EA147B">
        <w:t>D</w:t>
      </w:r>
      <w:r>
        <w:t xml:space="preserve">raft 2022 Renewables Portfolio Standard Procurement Plans, filed by Pacific Gas and Electric Company, Southern California Edison </w:t>
      </w:r>
      <w:r>
        <w:lastRenderedPageBreak/>
        <w:t xml:space="preserve">Company, and San Diego Gas </w:t>
      </w:r>
      <w:r w:rsidR="00454406">
        <w:t>&amp;</w:t>
      </w:r>
      <w:r>
        <w:t xml:space="preserve"> Electric Company are </w:t>
      </w:r>
      <w:r w:rsidR="00384A73">
        <w:t xml:space="preserve">conditionally </w:t>
      </w:r>
      <w:r>
        <w:t>accepted</w:t>
      </w:r>
      <w:r w:rsidR="00384A73">
        <w:t xml:space="preserve">, as modified herein. </w:t>
      </w:r>
    </w:p>
    <w:p w:rsidR="0076688F" w:rsidRDefault="0076688F" w14:paraId="51CC310C" w14:textId="225F241A">
      <w:pPr>
        <w:pStyle w:val="CoL"/>
        <w:numPr>
          <w:ilvl w:val="0"/>
          <w:numId w:val="11"/>
        </w:numPr>
        <w:rPr>
          <w:rFonts w:asciiTheme="minorHAnsi" w:hAnsiTheme="minorHAnsi" w:eastAsiaTheme="minorEastAsia"/>
        </w:rPr>
      </w:pPr>
      <w:r w:rsidRPr="0076688F">
        <w:t xml:space="preserve">Pacific Gas and Electric Company, Southern California Edison Company, and San Diego Gas &amp; Electric Company shall file </w:t>
      </w:r>
      <w:r w:rsidR="2CE1D169">
        <w:t xml:space="preserve">a clean version and a </w:t>
      </w:r>
      <w:r w:rsidR="00297D45">
        <w:t xml:space="preserve">redlined </w:t>
      </w:r>
      <w:r w:rsidR="00580E29">
        <w:t>copy of their F</w:t>
      </w:r>
      <w:r w:rsidRPr="0076688F">
        <w:t>inal Renewables Portfolio Standard (RPS) Procurement Plans</w:t>
      </w:r>
      <w:r w:rsidR="00041EBB">
        <w:t>,</w:t>
      </w:r>
      <w:r w:rsidR="009E44A5">
        <w:t xml:space="preserve"> including </w:t>
      </w:r>
      <w:r w:rsidR="00580E29">
        <w:t xml:space="preserve">an </w:t>
      </w:r>
      <w:r w:rsidR="009E44A5">
        <w:t xml:space="preserve">updated status of the </w:t>
      </w:r>
      <w:r w:rsidR="003B7F34">
        <w:t>Voluntary Allocation and Market Offer Process and the mid-term reliability procurements</w:t>
      </w:r>
      <w:r w:rsidR="00041EBB">
        <w:t>,</w:t>
      </w:r>
      <w:r w:rsidRPr="0076688F">
        <w:t xml:space="preserve"> with the Commission to initiate the RPS solicitation process within </w:t>
      </w:r>
      <w:r w:rsidR="00FE7189">
        <w:t>30</w:t>
      </w:r>
      <w:r w:rsidRPr="0076688F">
        <w:t xml:space="preserve"> days of the </w:t>
      </w:r>
      <w:r w:rsidR="00E12C6E">
        <w:t>issuance</w:t>
      </w:r>
      <w:r w:rsidRPr="0076688F">
        <w:t xml:space="preserve"> date of this decision.</w:t>
      </w:r>
    </w:p>
    <w:p w:rsidR="000A549E" w:rsidRDefault="000A549E" w14:paraId="13ACF421" w14:textId="4F1F519D">
      <w:pPr>
        <w:pStyle w:val="CoL"/>
        <w:numPr>
          <w:ilvl w:val="0"/>
          <w:numId w:val="11"/>
        </w:numPr>
      </w:pPr>
      <w:r>
        <w:t xml:space="preserve">Pacific Gas and Electric Company shall </w:t>
      </w:r>
      <w:r w:rsidR="0014094A">
        <w:t>file</w:t>
      </w:r>
      <w:r w:rsidR="008B7868">
        <w:t xml:space="preserve"> </w:t>
      </w:r>
      <w:r w:rsidR="0003773B">
        <w:t>its proposed</w:t>
      </w:r>
      <w:r w:rsidR="00581634">
        <w:t xml:space="preserve"> revised pro forma </w:t>
      </w:r>
      <w:r w:rsidR="0003773B">
        <w:t>contracts as part of its Final 2022 Renewables Portfolio Standard Procurement Plan</w:t>
      </w:r>
      <w:r w:rsidRPr="00D46D98" w:rsidR="00D46D98">
        <w:t xml:space="preserve"> if it determines a need to procure or may use its previously approved pro forma agreements</w:t>
      </w:r>
      <w:r w:rsidR="0076688F">
        <w:t xml:space="preserve">. </w:t>
      </w:r>
    </w:p>
    <w:p w:rsidR="352CAC9E" w:rsidP="392BF413" w:rsidRDefault="352CAC9E" w14:paraId="7B57B298" w14:textId="7654F5DF">
      <w:pPr>
        <w:pStyle w:val="CoL"/>
        <w:numPr>
          <w:ilvl w:val="0"/>
          <w:numId w:val="11"/>
        </w:numPr>
        <w:rPr>
          <w:rFonts w:asciiTheme="minorHAnsi" w:hAnsiTheme="minorHAnsi" w:eastAsiaTheme="minorEastAsia"/>
        </w:rPr>
      </w:pPr>
      <w:r>
        <w:t>Pacific Gas and Electric Company’s sales solicitation protocols and pro forma agreements filed as part of their Draft 2022 Renewables Portfolio Standard Procurement Plans are approved.</w:t>
      </w:r>
    </w:p>
    <w:p w:rsidR="002D231E" w:rsidRDefault="002D231E" w14:paraId="7AD9EDA6" w14:textId="37A37762">
      <w:pPr>
        <w:pStyle w:val="CoL"/>
        <w:numPr>
          <w:ilvl w:val="0"/>
          <w:numId w:val="11"/>
        </w:numPr>
      </w:pPr>
      <w:r>
        <w:t>Southern California Edison Company</w:t>
      </w:r>
      <w:r w:rsidR="0072088B">
        <w:t>’s</w:t>
      </w:r>
      <w:r>
        <w:t xml:space="preserve"> and San Diego Gas &amp; Electric Company</w:t>
      </w:r>
      <w:r w:rsidR="0072088B">
        <w:t xml:space="preserve">’s </w:t>
      </w:r>
      <w:r>
        <w:t xml:space="preserve">Sales </w:t>
      </w:r>
      <w:r w:rsidR="00D46D98">
        <w:t>procurement and sales s</w:t>
      </w:r>
      <w:r>
        <w:t xml:space="preserve">olicitation </w:t>
      </w:r>
      <w:r w:rsidR="00D46D98">
        <w:t>p</w:t>
      </w:r>
      <w:r>
        <w:t>rotocols</w:t>
      </w:r>
      <w:r w:rsidR="0072088B">
        <w:t xml:space="preserve"> </w:t>
      </w:r>
      <w:r w:rsidR="00D46D98">
        <w:t xml:space="preserve">and pro forma agreements </w:t>
      </w:r>
      <w:r w:rsidR="0072088B">
        <w:t>filed as part of their Draft 2022</w:t>
      </w:r>
      <w:r w:rsidR="00454406">
        <w:t> </w:t>
      </w:r>
      <w:r w:rsidR="0072088B">
        <w:t>Renewables Portfolio Standard Procurement Plans are approved.</w:t>
      </w:r>
    </w:p>
    <w:p w:rsidR="009F00D6" w:rsidRDefault="0091756C" w14:paraId="61B46353" w14:textId="2D760311">
      <w:pPr>
        <w:pStyle w:val="CoL"/>
        <w:numPr>
          <w:ilvl w:val="0"/>
          <w:numId w:val="11"/>
        </w:numPr>
      </w:pPr>
      <w:r>
        <w:t xml:space="preserve">Pacific Gas and Electric Company, Southern California Edison Company, and San Diego Gas &amp; Electric Company (IOUs) </w:t>
      </w:r>
      <w:r w:rsidR="00D0795F">
        <w:t xml:space="preserve">may </w:t>
      </w:r>
      <w:r>
        <w:t xml:space="preserve">issue solicitations to </w:t>
      </w:r>
      <w:r w:rsidR="003B0DC1">
        <w:t xml:space="preserve">procure and/or </w:t>
      </w:r>
      <w:r>
        <w:t xml:space="preserve">sell </w:t>
      </w:r>
      <w:r w:rsidRPr="0076688F" w:rsidR="00D0795F">
        <w:t>Renewables Portfolio Standard</w:t>
      </w:r>
      <w:r w:rsidR="00D0795F">
        <w:t xml:space="preserve"> (RPS)</w:t>
      </w:r>
      <w:r>
        <w:t xml:space="preserve"> volumes in accordance with the limitations of this decision 10 days after filing Final 20</w:t>
      </w:r>
      <w:r w:rsidR="00364F69">
        <w:t>22</w:t>
      </w:r>
      <w:r>
        <w:t xml:space="preserve"> RPS Procurement Plans</w:t>
      </w:r>
      <w:r w:rsidR="00580E29">
        <w:t>,</w:t>
      </w:r>
      <w:r>
        <w:t xml:space="preserve"> unless the IOUs</w:t>
      </w:r>
      <w:r w:rsidR="00580E29">
        <w:t>’</w:t>
      </w:r>
      <w:r>
        <w:t xml:space="preserve"> amended RPS Procurement Plan</w:t>
      </w:r>
      <w:r w:rsidR="00580E29">
        <w:t>s</w:t>
      </w:r>
      <w:r>
        <w:t xml:space="preserve"> </w:t>
      </w:r>
      <w:r w:rsidR="00580E29">
        <w:t>are</w:t>
      </w:r>
      <w:r>
        <w:t xml:space="preserve"> suspended by the Energy Division Director within the 10-day period.</w:t>
      </w:r>
    </w:p>
    <w:p w:rsidR="004B3AA6" w:rsidRDefault="000649D0" w14:paraId="4778DC3E" w14:textId="0662940F">
      <w:pPr>
        <w:pStyle w:val="CoL"/>
        <w:numPr>
          <w:ilvl w:val="0"/>
          <w:numId w:val="11"/>
        </w:numPr>
      </w:pPr>
      <w:r w:rsidRPr="000649D0">
        <w:lastRenderedPageBreak/>
        <w:t>Pursuant to the authority provided in Public Utilities Code Section</w:t>
      </w:r>
      <w:r w:rsidR="00454406">
        <w:t> </w:t>
      </w:r>
      <w:r w:rsidRPr="000649D0">
        <w:t xml:space="preserve">399.13(a)(1), </w:t>
      </w:r>
      <w:r>
        <w:t>t</w:t>
      </w:r>
      <w:r w:rsidR="00163960">
        <w:t xml:space="preserve">he </w:t>
      </w:r>
      <w:r w:rsidR="00580E29">
        <w:t>D</w:t>
      </w:r>
      <w:r w:rsidR="00163960">
        <w:t xml:space="preserve">raft 2022 Renewables Portfolio Standard Procurement Plans filed by Bear Valley Electric </w:t>
      </w:r>
      <w:r w:rsidR="001E6E49">
        <w:t>Service, Inc.</w:t>
      </w:r>
      <w:r w:rsidR="00163960">
        <w:t xml:space="preserve"> and Liberty </w:t>
      </w:r>
      <w:r w:rsidR="001D5561">
        <w:t>Utilities (CalPeco Electric) LLC (Liberty)</w:t>
      </w:r>
      <w:r w:rsidR="00163960">
        <w:t xml:space="preserve"> are a</w:t>
      </w:r>
      <w:r>
        <w:t>ccepted</w:t>
      </w:r>
      <w:r w:rsidR="00F97364">
        <w:t xml:space="preserve"> with modifications</w:t>
      </w:r>
      <w:r w:rsidR="00163960">
        <w:t xml:space="preserve">. </w:t>
      </w:r>
      <w:r w:rsidR="00454406">
        <w:t xml:space="preserve"> </w:t>
      </w:r>
      <w:r w:rsidRPr="000649D0">
        <w:t xml:space="preserve">Bear Valley Electric </w:t>
      </w:r>
      <w:r w:rsidR="001E6E49">
        <w:t>Service, Inc.</w:t>
      </w:r>
      <w:r w:rsidRPr="000649D0">
        <w:t xml:space="preserve"> and Liberty </w:t>
      </w:r>
      <w:r>
        <w:t>shall file t</w:t>
      </w:r>
      <w:r w:rsidR="00163960">
        <w:t xml:space="preserve">heir Final 2022 </w:t>
      </w:r>
      <w:r w:rsidRPr="00163960" w:rsidR="00163960">
        <w:t>Renewables Portfolio Standard Procurement Plans</w:t>
      </w:r>
      <w:r w:rsidR="00163960">
        <w:t xml:space="preserve"> </w:t>
      </w:r>
      <w:r>
        <w:t>as</w:t>
      </w:r>
      <w:r w:rsidR="00163960">
        <w:t xml:space="preserve"> supplemented </w:t>
      </w:r>
      <w:r>
        <w:t>in accordance with</w:t>
      </w:r>
      <w:r w:rsidR="00163960">
        <w:t xml:space="preserve"> the directives provided in Section </w:t>
      </w:r>
      <w:r w:rsidR="0048033F">
        <w:t>6</w:t>
      </w:r>
      <w:r w:rsidR="0018633D">
        <w:t>.1 and its subsections and Section 6.2</w:t>
      </w:r>
      <w:r w:rsidR="0048033F">
        <w:t xml:space="preserve"> </w:t>
      </w:r>
      <w:r w:rsidR="0018633D">
        <w:t xml:space="preserve">and its subsections, </w:t>
      </w:r>
      <w:r w:rsidR="00163960">
        <w:t>of this decision</w:t>
      </w:r>
      <w:r>
        <w:t>.</w:t>
      </w:r>
      <w:r w:rsidR="00163960">
        <w:t xml:space="preserve"> </w:t>
      </w:r>
      <w:r w:rsidR="00454406">
        <w:t xml:space="preserve"> </w:t>
      </w:r>
      <w:r>
        <w:t>T</w:t>
      </w:r>
      <w:r w:rsidR="00163960">
        <w:t>hey shall each file a clean version and a redlined copy showing modifications with the Commission within 30 days of this decision’s issuance date.</w:t>
      </w:r>
    </w:p>
    <w:p w:rsidR="00163960" w:rsidP="00463BB9" w:rsidRDefault="008A7408" w14:paraId="75B551D8" w14:textId="171AF4DC">
      <w:pPr>
        <w:pStyle w:val="CoL"/>
        <w:numPr>
          <w:ilvl w:val="0"/>
          <w:numId w:val="11"/>
        </w:numPr>
      </w:pPr>
      <w:r>
        <w:t xml:space="preserve">The 2022 Off-Year Supplement to </w:t>
      </w:r>
      <w:r w:rsidR="00580E29">
        <w:t>the</w:t>
      </w:r>
      <w:r>
        <w:t xml:space="preserve"> 2022 Integrated Resource Plan of PacifiCorp </w:t>
      </w:r>
      <w:r w:rsidR="00A7670B">
        <w:t xml:space="preserve">is </w:t>
      </w:r>
      <w:r>
        <w:t xml:space="preserve">accepted </w:t>
      </w:r>
      <w:r w:rsidRPr="00A7670B" w:rsidR="00A7670B">
        <w:t>with modifications</w:t>
      </w:r>
      <w:r w:rsidR="00A7670B">
        <w:t xml:space="preserve"> identified in Section </w:t>
      </w:r>
      <w:r w:rsidR="0048033F">
        <w:t>6</w:t>
      </w:r>
      <w:r w:rsidRPr="0048033F" w:rsidR="00A7670B">
        <w:t>.3</w:t>
      </w:r>
      <w:r w:rsidR="0018633D">
        <w:t xml:space="preserve"> </w:t>
      </w:r>
      <w:r w:rsidR="00A7670B">
        <w:t xml:space="preserve">of this decision. </w:t>
      </w:r>
      <w:r w:rsidR="00454406">
        <w:t xml:space="preserve"> </w:t>
      </w:r>
      <w:r w:rsidR="00A7670B">
        <w:t>PacifiCorp’s</w:t>
      </w:r>
      <w:r w:rsidRPr="00A7670B" w:rsidR="00A7670B">
        <w:t xml:space="preserve"> Final 2022 </w:t>
      </w:r>
      <w:r w:rsidR="00A7670B">
        <w:t>Off-Year Supplement</w:t>
      </w:r>
      <w:r w:rsidRPr="00A7670B" w:rsidR="00A7670B">
        <w:t xml:space="preserve"> shall be supplemented </w:t>
      </w:r>
      <w:r w:rsidR="00DC0245">
        <w:t>in accordance</w:t>
      </w:r>
      <w:r w:rsidRPr="00A7670B" w:rsidR="00A7670B">
        <w:t xml:space="preserve"> </w:t>
      </w:r>
      <w:r w:rsidR="00DC0245">
        <w:t>with</w:t>
      </w:r>
      <w:r w:rsidRPr="00A7670B" w:rsidR="00A7670B">
        <w:t xml:space="preserve"> the directives provided</w:t>
      </w:r>
      <w:r w:rsidR="00DC0245">
        <w:t>.</w:t>
      </w:r>
      <w:r w:rsidRPr="00A7670B" w:rsidR="00A7670B">
        <w:t xml:space="preserve"> </w:t>
      </w:r>
      <w:r w:rsidR="00454406">
        <w:t xml:space="preserve"> </w:t>
      </w:r>
      <w:r w:rsidR="00A7670B">
        <w:t>PacifiCorp</w:t>
      </w:r>
      <w:r w:rsidRPr="00A7670B" w:rsidR="00A7670B">
        <w:t xml:space="preserve"> shall file a clean version and a redlined copy showing modifications with the Commission within 30 days of this decision’s issuance date.</w:t>
      </w:r>
    </w:p>
    <w:p w:rsidRPr="00B26496" w:rsidR="005816B5" w:rsidRDefault="005816B5" w14:paraId="02629CBF" w14:textId="7EC68820">
      <w:pPr>
        <w:pStyle w:val="CoL"/>
        <w:numPr>
          <w:ilvl w:val="0"/>
          <w:numId w:val="11"/>
        </w:numPr>
      </w:pPr>
      <w:r>
        <w:t>Central Coast Community Energy</w:t>
      </w:r>
      <w:r w:rsidR="00454406">
        <w:t>,</w:t>
      </w:r>
      <w:r>
        <w:rPr>
          <w:rFonts w:ascii="Times New Roman" w:hAnsi="Times New Roman" w:cs="Times New Roman"/>
        </w:rPr>
        <w:t xml:space="preserve"> </w:t>
      </w:r>
      <w:r>
        <w:t>Clean Power Alliance of Southern California</w:t>
      </w:r>
      <w:r w:rsidR="00454406">
        <w:t>,</w:t>
      </w:r>
      <w:r>
        <w:rPr>
          <w:rFonts w:ascii="Times New Roman" w:hAnsi="Times New Roman" w:cs="Times New Roman"/>
        </w:rPr>
        <w:t xml:space="preserve"> </w:t>
      </w:r>
      <w:r>
        <w:t>Pico Rivera Innovative Municipal Energy</w:t>
      </w:r>
      <w:r w:rsidR="00454406">
        <w:t>,</w:t>
      </w:r>
      <w:r>
        <w:rPr>
          <w:rFonts w:ascii="Times New Roman" w:hAnsi="Times New Roman" w:cs="Times New Roman"/>
        </w:rPr>
        <w:t xml:space="preserve"> </w:t>
      </w:r>
      <w:r>
        <w:t>Rancho Mirage Energy Authority</w:t>
      </w:r>
      <w:r w:rsidR="00454406">
        <w:t>,</w:t>
      </w:r>
      <w:r>
        <w:rPr>
          <w:rFonts w:ascii="Times New Roman" w:hAnsi="Times New Roman" w:cs="Times New Roman"/>
        </w:rPr>
        <w:t xml:space="preserve"> </w:t>
      </w:r>
      <w:r>
        <w:t>Redwood Coast Energy Authority</w:t>
      </w:r>
      <w:r w:rsidR="00454406">
        <w:rPr>
          <w:rFonts w:ascii="Times New Roman" w:hAnsi="Times New Roman" w:cs="Times New Roman"/>
        </w:rPr>
        <w:t xml:space="preserve">, </w:t>
      </w:r>
      <w:r>
        <w:t>San Diego Community Power, San</w:t>
      </w:r>
      <w:r w:rsidR="00454406">
        <w:t> </w:t>
      </w:r>
      <w:r>
        <w:t>Jacinto Power</w:t>
      </w:r>
      <w:r w:rsidR="00454406">
        <w:t>,</w:t>
      </w:r>
      <w:r>
        <w:t xml:space="preserve"> San Jose Clean Energy</w:t>
      </w:r>
      <w:r w:rsidR="00454406">
        <w:t>,</w:t>
      </w:r>
      <w:r>
        <w:rPr>
          <w:rFonts w:ascii="Times New Roman" w:hAnsi="Times New Roman" w:cs="Times New Roman"/>
        </w:rPr>
        <w:t xml:space="preserve"> </w:t>
      </w:r>
      <w:r>
        <w:t>Silicon Valley Clean Energy</w:t>
      </w:r>
      <w:r w:rsidR="00454406">
        <w:t>,</w:t>
      </w:r>
      <w:r>
        <w:rPr>
          <w:rFonts w:ascii="Times New Roman" w:hAnsi="Times New Roman" w:cs="Times New Roman"/>
        </w:rPr>
        <w:t xml:space="preserve"> </w:t>
      </w:r>
      <w:r>
        <w:t>Sonoma</w:t>
      </w:r>
      <w:r w:rsidR="00454406">
        <w:t> </w:t>
      </w:r>
      <w:r w:rsidRPr="005816B5">
        <w:t>Clean Power Authority, 3 Phase Renewables, Calpine</w:t>
      </w:r>
      <w:r w:rsidRPr="005816B5">
        <w:rPr>
          <w:rFonts w:ascii="Times New Roman" w:hAnsi="Times New Roman" w:cs="Times New Roman"/>
        </w:rPr>
        <w:t> </w:t>
      </w:r>
      <w:r w:rsidRPr="005816B5">
        <w:t>PowerAmerica</w:t>
      </w:r>
      <w:r w:rsidRPr="005816B5">
        <w:rPr>
          <w:rFonts w:cs="Times New Roman"/>
        </w:rPr>
        <w:t xml:space="preserve">, </w:t>
      </w:r>
      <w:r w:rsidRPr="005816B5">
        <w:t>EDF Industrial Power Services</w:t>
      </w:r>
      <w:r w:rsidR="00FE0637">
        <w:t xml:space="preserve"> (CA), LLC</w:t>
      </w:r>
      <w:r w:rsidRPr="005816B5">
        <w:t>, and Shell Energy North America</w:t>
      </w:r>
      <w:r w:rsidR="00AF549E">
        <w:t xml:space="preserve"> (US), L.P.</w:t>
      </w:r>
      <w:r w:rsidRPr="005816B5">
        <w:rPr>
          <w:rFonts w:ascii="Times New Roman" w:hAnsi="Times New Roman" w:cs="Times New Roman"/>
        </w:rPr>
        <w:t> </w:t>
      </w:r>
      <w:r w:rsidRPr="005816B5">
        <w:t>shall</w:t>
      </w:r>
      <w:r w:rsidRPr="005816B5">
        <w:rPr>
          <w:rFonts w:cs="Times New Roman"/>
        </w:rPr>
        <w:t xml:space="preserve"> update the P</w:t>
      </w:r>
      <w:r w:rsidR="00C43A26">
        <w:rPr>
          <w:rFonts w:cs="Times New Roman"/>
        </w:rPr>
        <w:t xml:space="preserve">roject </w:t>
      </w:r>
      <w:r w:rsidRPr="005816B5">
        <w:rPr>
          <w:rFonts w:cs="Times New Roman"/>
        </w:rPr>
        <w:t>D</w:t>
      </w:r>
      <w:r w:rsidR="00C43A26">
        <w:rPr>
          <w:rFonts w:cs="Times New Roman"/>
        </w:rPr>
        <w:t xml:space="preserve">evelopment </w:t>
      </w:r>
      <w:r w:rsidRPr="005816B5">
        <w:rPr>
          <w:rFonts w:cs="Times New Roman"/>
        </w:rPr>
        <w:t>S</w:t>
      </w:r>
      <w:r w:rsidR="00C43A26">
        <w:rPr>
          <w:rFonts w:cs="Times New Roman"/>
        </w:rPr>
        <w:t xml:space="preserve">tatus </w:t>
      </w:r>
      <w:r w:rsidRPr="005816B5">
        <w:rPr>
          <w:rFonts w:cs="Times New Roman"/>
        </w:rPr>
        <w:t>U</w:t>
      </w:r>
      <w:r w:rsidR="00C43A26">
        <w:rPr>
          <w:rFonts w:cs="Times New Roman"/>
        </w:rPr>
        <w:t>pdate</w:t>
      </w:r>
      <w:r w:rsidRPr="005816B5">
        <w:rPr>
          <w:rFonts w:cs="Times New Roman"/>
        </w:rPr>
        <w:t xml:space="preserve"> section in their Final 2022 </w:t>
      </w:r>
      <w:r w:rsidRPr="00DC0245" w:rsidR="00DC0245">
        <w:rPr>
          <w:rFonts w:cs="Times New Roman"/>
        </w:rPr>
        <w:t xml:space="preserve">Renewables Portfolio Standard Procurement </w:t>
      </w:r>
      <w:r w:rsidR="00DC0245">
        <w:rPr>
          <w:rFonts w:cs="Times New Roman"/>
        </w:rPr>
        <w:t>P</w:t>
      </w:r>
      <w:r w:rsidRPr="005816B5">
        <w:rPr>
          <w:rFonts w:cs="Times New Roman"/>
        </w:rPr>
        <w:t xml:space="preserve">lans </w:t>
      </w:r>
      <w:r w:rsidR="00F41763">
        <w:rPr>
          <w:rFonts w:cs="Times New Roman"/>
        </w:rPr>
        <w:t>to address the Commission</w:t>
      </w:r>
      <w:r w:rsidRPr="005816B5">
        <w:rPr>
          <w:rFonts w:cs="Times New Roman"/>
        </w:rPr>
        <w:t xml:space="preserve"> findings listed in Section </w:t>
      </w:r>
      <w:r w:rsidRPr="00B023FE" w:rsidR="009C496D">
        <w:rPr>
          <w:rFonts w:cs="Times New Roman"/>
        </w:rPr>
        <w:t>7</w:t>
      </w:r>
      <w:r w:rsidRPr="00B023FE">
        <w:rPr>
          <w:rFonts w:cs="Times New Roman"/>
        </w:rPr>
        <w:t>.3.1</w:t>
      </w:r>
      <w:r w:rsidRPr="005816B5">
        <w:rPr>
          <w:rFonts w:cs="Times New Roman"/>
        </w:rPr>
        <w:t xml:space="preserve"> </w:t>
      </w:r>
      <w:r>
        <w:rPr>
          <w:rFonts w:cs="Times New Roman"/>
        </w:rPr>
        <w:t>of this decision.</w:t>
      </w:r>
    </w:p>
    <w:p w:rsidR="00370653" w:rsidP="00370653" w:rsidRDefault="00370653" w14:paraId="765805F1" w14:textId="25A72C8C">
      <w:pPr>
        <w:pStyle w:val="CoL"/>
        <w:numPr>
          <w:ilvl w:val="0"/>
          <w:numId w:val="11"/>
        </w:numPr>
      </w:pPr>
      <w:r w:rsidRPr="00B26496">
        <w:lastRenderedPageBreak/>
        <w:t xml:space="preserve">The retail sellers identified </w:t>
      </w:r>
      <w:r>
        <w:t>in Tables 2 and 3 (Section 4.1 and 4</w:t>
      </w:r>
      <w:r w:rsidRPr="009C496D">
        <w:t>.2</w:t>
      </w:r>
      <w:r>
        <w:t>) of this decision</w:t>
      </w:r>
      <w:r w:rsidRPr="00B26496">
        <w:t xml:space="preserve"> </w:t>
      </w:r>
      <w:r>
        <w:t>shall</w:t>
      </w:r>
      <w:r w:rsidRPr="00B26496">
        <w:t xml:space="preserve"> update their Final 2022 R</w:t>
      </w:r>
      <w:r>
        <w:t>enewables Portfolio Standard</w:t>
      </w:r>
      <w:r w:rsidRPr="00B26496">
        <w:t xml:space="preserve"> Plans to address the Commissio</w:t>
      </w:r>
      <w:r>
        <w:t xml:space="preserve">n </w:t>
      </w:r>
      <w:r w:rsidRPr="00B26496">
        <w:t xml:space="preserve">findings </w:t>
      </w:r>
      <w:r w:rsidR="00FC472D">
        <w:t>regarding the</w:t>
      </w:r>
      <w:r w:rsidR="00580E29">
        <w:t>ir</w:t>
      </w:r>
      <w:r w:rsidR="00FC472D">
        <w:t xml:space="preserve"> </w:t>
      </w:r>
      <w:r>
        <w:t>portfolio supplies and demand</w:t>
      </w:r>
      <w:r w:rsidRPr="00B26496">
        <w:t>.</w:t>
      </w:r>
    </w:p>
    <w:p w:rsidR="00B26496" w:rsidRDefault="00B26496" w14:paraId="301EB373" w14:textId="538B3CD1">
      <w:pPr>
        <w:pStyle w:val="CoL"/>
        <w:numPr>
          <w:ilvl w:val="0"/>
          <w:numId w:val="11"/>
        </w:numPr>
      </w:pPr>
      <w:r w:rsidRPr="00B26496">
        <w:t xml:space="preserve">The retail sellers identified </w:t>
      </w:r>
      <w:r>
        <w:t xml:space="preserve">in </w:t>
      </w:r>
      <w:r w:rsidR="005E0AFE">
        <w:t xml:space="preserve">Table </w:t>
      </w:r>
      <w:r w:rsidR="00FB5EBB">
        <w:t>5</w:t>
      </w:r>
      <w:r w:rsidR="009C496D">
        <w:t xml:space="preserve"> </w:t>
      </w:r>
      <w:r w:rsidR="005E0AFE">
        <w:t>(</w:t>
      </w:r>
      <w:r>
        <w:t xml:space="preserve">Section </w:t>
      </w:r>
      <w:r w:rsidRPr="009C496D" w:rsidR="009C496D">
        <w:t>7</w:t>
      </w:r>
      <w:r w:rsidRPr="009C496D">
        <w:t>.3.2</w:t>
      </w:r>
      <w:r w:rsidR="005E0AFE">
        <w:t>)</w:t>
      </w:r>
      <w:r>
        <w:t xml:space="preserve"> of this decision</w:t>
      </w:r>
      <w:r w:rsidRPr="00B26496">
        <w:t xml:space="preserve"> </w:t>
      </w:r>
      <w:r>
        <w:t>shall</w:t>
      </w:r>
      <w:r w:rsidRPr="00B26496">
        <w:t xml:space="preserve"> update their Final 2022 R</w:t>
      </w:r>
      <w:r w:rsidR="00152C87">
        <w:t>enewables Portfolio Standard</w:t>
      </w:r>
      <w:r w:rsidRPr="00B26496">
        <w:t xml:space="preserve"> </w:t>
      </w:r>
      <w:r w:rsidR="00580E29">
        <w:t xml:space="preserve">Procurement </w:t>
      </w:r>
      <w:r w:rsidRPr="00B26496">
        <w:t>Plans to address the Commissio</w:t>
      </w:r>
      <w:r w:rsidR="00463BB9">
        <w:t xml:space="preserve">n </w:t>
      </w:r>
      <w:r w:rsidRPr="00B26496">
        <w:t>findings on risk assessment.</w:t>
      </w:r>
    </w:p>
    <w:p w:rsidR="002A58B8" w:rsidRDefault="002A58B8" w14:paraId="20981AB2" w14:textId="1206ED9B">
      <w:pPr>
        <w:pStyle w:val="CoL"/>
        <w:numPr>
          <w:ilvl w:val="0"/>
          <w:numId w:val="11"/>
        </w:numPr>
      </w:pPr>
      <w:r w:rsidRPr="002A58B8">
        <w:t xml:space="preserve">East Bay Community Energy and King City Community Power </w:t>
      </w:r>
      <w:r>
        <w:t xml:space="preserve">shall </w:t>
      </w:r>
      <w:r w:rsidRPr="002A58B8">
        <w:t>update the curtailment assessment</w:t>
      </w:r>
      <w:r w:rsidR="00DC0245">
        <w:t xml:space="preserve"> section of their </w:t>
      </w:r>
      <w:r w:rsidR="00FA2B44">
        <w:t xml:space="preserve">Draft </w:t>
      </w:r>
      <w:r w:rsidRPr="00DC0245" w:rsidR="00DC0245">
        <w:t xml:space="preserve">2022 Renewables Portfolio Standard Procurement Plans </w:t>
      </w:r>
      <w:r>
        <w:t>pursuant to the findings listed in Section</w:t>
      </w:r>
      <w:r w:rsidR="004905AD">
        <w:t> </w:t>
      </w:r>
      <w:r w:rsidR="009C496D">
        <w:t>7.3.5</w:t>
      </w:r>
      <w:r>
        <w:t xml:space="preserve"> of this decision. </w:t>
      </w:r>
    </w:p>
    <w:p w:rsidRPr="002A58B8" w:rsidR="002A58B8" w:rsidRDefault="002A58B8" w14:paraId="62937C3E" w14:textId="5DF8F501">
      <w:pPr>
        <w:pStyle w:val="CoL"/>
        <w:numPr>
          <w:ilvl w:val="0"/>
          <w:numId w:val="11"/>
        </w:numPr>
      </w:pPr>
      <w:r>
        <w:t>3 Phases</w:t>
      </w:r>
      <w:r w:rsidR="009543F0">
        <w:t xml:space="preserve"> Renewables</w:t>
      </w:r>
      <w:r>
        <w:t>, Calpine Energy Solutions</w:t>
      </w:r>
      <w:r w:rsidR="001D5561">
        <w:t>, LLC</w:t>
      </w:r>
      <w:r>
        <w:t>, City of Palmdale, Clean Energy Alliance, Clean Power Alliance, Pico Rivera Innovative Municipal Energy, San</w:t>
      </w:r>
      <w:r w:rsidR="00454406">
        <w:t> </w:t>
      </w:r>
      <w:r>
        <w:t>Diego Community Power</w:t>
      </w:r>
      <w:r w:rsidRPr="002A58B8">
        <w:t xml:space="preserve"> </w:t>
      </w:r>
      <w:bookmarkStart w:name="_Hlk117500696" w:id="130"/>
      <w:r w:rsidRPr="002A58B8">
        <w:t xml:space="preserve">shall update their 2022 Renewables Portfolio Standard Plans to address the Commission findings on </w:t>
      </w:r>
      <w:bookmarkEnd w:id="130"/>
      <w:r w:rsidRPr="002A58B8">
        <w:t>r</w:t>
      </w:r>
      <w:r>
        <w:t>enewable net short calculations</w:t>
      </w:r>
      <w:r w:rsidR="00DC0245">
        <w:t xml:space="preserve"> as identified in Section </w:t>
      </w:r>
      <w:r w:rsidRPr="009C496D" w:rsidR="009C496D">
        <w:t>7</w:t>
      </w:r>
      <w:r w:rsidRPr="009C496D" w:rsidR="00DC0245">
        <w:t>.3.6</w:t>
      </w:r>
      <w:r w:rsidR="00DC0245">
        <w:t xml:space="preserve"> of this decision</w:t>
      </w:r>
      <w:r w:rsidRPr="002A58B8">
        <w:t>.</w:t>
      </w:r>
    </w:p>
    <w:p w:rsidR="002A58B8" w:rsidRDefault="00012A9C" w14:paraId="28DC6500" w14:textId="06E01B7E">
      <w:pPr>
        <w:pStyle w:val="CoL"/>
        <w:numPr>
          <w:ilvl w:val="0"/>
          <w:numId w:val="11"/>
        </w:numPr>
      </w:pPr>
      <w:r>
        <w:t>Clean Energy Alliance, CleanPower SF, City of Pomona, Lancaster Choice Energy, San Diego Community Power, San Jose Clean Energy, 3</w:t>
      </w:r>
      <w:r w:rsidR="00454406">
        <w:t> </w:t>
      </w:r>
      <w:r>
        <w:t>Phases Renewables</w:t>
      </w:r>
      <w:r w:rsidR="00FE5C77">
        <w:t>, Inc.</w:t>
      </w:r>
      <w:r>
        <w:t>, Direct Energy Business</w:t>
      </w:r>
      <w:r w:rsidR="004D6ABF">
        <w:t>, LLC</w:t>
      </w:r>
      <w:r>
        <w:t>, The Regents of the University of California</w:t>
      </w:r>
      <w:r w:rsidRPr="00012A9C">
        <w:t xml:space="preserve"> shall update their 2022 Renewables Portfolio Standard Plans to address the Commission findings on</w:t>
      </w:r>
      <w:r>
        <w:t xml:space="preserve"> cost quantifications </w:t>
      </w:r>
      <w:r w:rsidR="00DC0245">
        <w:t>in accordance with the Commission findings</w:t>
      </w:r>
      <w:r>
        <w:t xml:space="preserve"> listed in Section </w:t>
      </w:r>
      <w:r w:rsidR="009C496D">
        <w:t>7</w:t>
      </w:r>
      <w:r w:rsidRPr="009C496D">
        <w:t>.3.8</w:t>
      </w:r>
      <w:r>
        <w:t xml:space="preserve"> of this decision. </w:t>
      </w:r>
    </w:p>
    <w:p w:rsidR="00981CA0" w:rsidRDefault="00981CA0" w14:paraId="76B49DBB" w14:textId="507E2950">
      <w:pPr>
        <w:pStyle w:val="CoL"/>
        <w:numPr>
          <w:ilvl w:val="0"/>
          <w:numId w:val="11"/>
        </w:numPr>
      </w:pPr>
      <w:r>
        <w:t xml:space="preserve">All </w:t>
      </w:r>
      <w:r w:rsidR="00B023FE">
        <w:t xml:space="preserve">Community Choice Aggregators and Electric Service Providers listed in the Summary section of this decision </w:t>
      </w:r>
      <w:r>
        <w:t xml:space="preserve">shall file their </w:t>
      </w:r>
      <w:r w:rsidR="003B55F0">
        <w:t>F</w:t>
      </w:r>
      <w:r>
        <w:t xml:space="preserve">inal 2022 Renewable Procurement Standard Procurement Plans within 30 days of the issuance date of this decision. </w:t>
      </w:r>
    </w:p>
    <w:p w:rsidR="0035573D" w:rsidP="00592E29" w:rsidRDefault="00872B55" w14:paraId="53C4B0BB" w14:textId="0B361D93">
      <w:pPr>
        <w:pStyle w:val="CoL"/>
        <w:numPr>
          <w:ilvl w:val="0"/>
          <w:numId w:val="11"/>
        </w:numPr>
      </w:pPr>
      <w:r w:rsidRPr="00872B55">
        <w:lastRenderedPageBreak/>
        <w:t xml:space="preserve">The motions </w:t>
      </w:r>
      <w:r w:rsidR="00592E29">
        <w:t>seeking confidentiality filed by Bear Valley Electric Service</w:t>
      </w:r>
      <w:r w:rsidR="00E8797C">
        <w:t>, Inc.</w:t>
      </w:r>
      <w:r w:rsidR="00592E29">
        <w:t>, Central Coast Community Energy, Clean Power Alliance, Calpine PowerAmerica</w:t>
      </w:r>
      <w:r w:rsidR="004D6ABF">
        <w:t>-CA, LLC</w:t>
      </w:r>
      <w:r w:rsidR="00592E29">
        <w:t>, Commercial Energy, Constellation NewEnergy</w:t>
      </w:r>
      <w:r w:rsidR="005A6394">
        <w:t>, Inc.</w:t>
      </w:r>
      <w:r w:rsidR="00592E29">
        <w:t xml:space="preserve">, Direct Energy Business. </w:t>
      </w:r>
      <w:r w:rsidR="00454406">
        <w:t xml:space="preserve"> </w:t>
      </w:r>
      <w:r w:rsidR="00592E29">
        <w:t xml:space="preserve">East Bay Community Energy, Marin Clean Energy, Redwood Coast Energy Authority, Pacific Gas </w:t>
      </w:r>
      <w:r w:rsidR="00454406">
        <w:t>and</w:t>
      </w:r>
      <w:r w:rsidR="00592E29">
        <w:t xml:space="preserve"> Electric Company, Pilot Power Group</w:t>
      </w:r>
      <w:r w:rsidR="001D5561">
        <w:t>, LLC</w:t>
      </w:r>
      <w:r w:rsidR="00592E29">
        <w:t>, San</w:t>
      </w:r>
      <w:r w:rsidR="00454406">
        <w:t> </w:t>
      </w:r>
      <w:r w:rsidR="00592E29">
        <w:t>Diego Gas &amp; Electric Company, and Sonoma Clean Power are partly denied. As noted in Table 1</w:t>
      </w:r>
      <w:r w:rsidR="00FB5EBB">
        <w:t>1</w:t>
      </w:r>
      <w:r w:rsidR="00592E29">
        <w:t xml:space="preserve"> – Confidentiality </w:t>
      </w:r>
      <w:r w:rsidRPr="000F6F99" w:rsidR="000F6F99">
        <w:t xml:space="preserve">Redactions and Commission Findings </w:t>
      </w:r>
      <w:r w:rsidR="00592E29">
        <w:t xml:space="preserve">in Section 8 of this decision, these retail sellers shall each remove the excess redactions </w:t>
      </w:r>
      <w:r w:rsidRPr="00872B55">
        <w:t>in their Final 2022 R</w:t>
      </w:r>
      <w:r w:rsidR="002E1E4A">
        <w:t xml:space="preserve">enewable </w:t>
      </w:r>
      <w:r w:rsidRPr="00872B55">
        <w:t>P</w:t>
      </w:r>
      <w:r w:rsidR="002E1E4A">
        <w:t xml:space="preserve">ortfolio </w:t>
      </w:r>
      <w:r w:rsidRPr="00872B55">
        <w:t>S</w:t>
      </w:r>
      <w:r w:rsidR="002E1E4A">
        <w:t>tandard Procurement</w:t>
      </w:r>
      <w:r w:rsidRPr="00872B55">
        <w:t xml:space="preserve"> Plans.</w:t>
      </w:r>
      <w:r w:rsidR="00FB5EBB">
        <w:t xml:space="preserve"> </w:t>
      </w:r>
      <w:r w:rsidR="00454406">
        <w:t xml:space="preserve"> </w:t>
      </w:r>
      <w:r w:rsidR="00692984">
        <w:t>All other motions for confidentiality for the 2022</w:t>
      </w:r>
      <w:r w:rsidR="00DE2647">
        <w:t> </w:t>
      </w:r>
      <w:r w:rsidR="00692984">
        <w:t>Renewables Portfolio Standard Procurement Plans are granted.</w:t>
      </w:r>
    </w:p>
    <w:p w:rsidR="00AB7B97" w:rsidRDefault="00AB7B97" w14:paraId="2CF4500E" w14:textId="3F396F75">
      <w:pPr>
        <w:pStyle w:val="CoL"/>
        <w:numPr>
          <w:ilvl w:val="0"/>
          <w:numId w:val="11"/>
        </w:numPr>
      </w:pPr>
      <w:r w:rsidRPr="00AB7B97">
        <w:t>Motion for leave to late-file Draft 2022 Renewables Portfolio Standard Procurement Plan filed by Brookfield Renewable Energy Marketing US LL</w:t>
      </w:r>
      <w:r w:rsidR="00322235">
        <w:t>C</w:t>
      </w:r>
      <w:r w:rsidRPr="00AB7B97">
        <w:t>, dated July 28, 2022, is granted.</w:t>
      </w:r>
    </w:p>
    <w:p w:rsidR="00390E0D" w:rsidRDefault="00390E0D" w14:paraId="1975BA5E" w14:textId="3E72BC45">
      <w:pPr>
        <w:pStyle w:val="CoL"/>
        <w:numPr>
          <w:ilvl w:val="0"/>
          <w:numId w:val="11"/>
        </w:numPr>
      </w:pPr>
      <w:r w:rsidRPr="00390E0D">
        <w:t>Motion</w:t>
      </w:r>
      <w:r w:rsidR="00307721">
        <w:t>s</w:t>
      </w:r>
      <w:r w:rsidRPr="00390E0D">
        <w:t xml:space="preserve"> to </w:t>
      </w:r>
      <w:r w:rsidR="000D661A">
        <w:t>u</w:t>
      </w:r>
      <w:r w:rsidRPr="00390E0D">
        <w:t>pdate Draft 2022 Renewable Portfolio Standard Procurement Plan</w:t>
      </w:r>
      <w:r w:rsidR="00307721">
        <w:t xml:space="preserve">s filed by </w:t>
      </w:r>
      <w:r w:rsidRPr="000D661A" w:rsidR="000D661A">
        <w:t>Apple Valley Choice Energy; City of Palmdale; City of Pomona; City of San Jose; City of Santa Barbara; Clean Energy Alliance; CleanPowerSF; Desert Community Energy; East Bay Community Energy; Lancaster Choice Energy; Orange County Power Authority; Pico Rivera Innovative Municipal Energy; Rancho Mirage Energy Authority; San Diego Community Power; San</w:t>
      </w:r>
      <w:r w:rsidR="008806BB">
        <w:t> </w:t>
      </w:r>
      <w:r w:rsidRPr="000D661A" w:rsidR="000D661A">
        <w:t>Jacinto Power; Silicon Valley Clean Energy Authority; Valley Clean Energy Alliance; 3 Phases Renewables, Inc.; Shell Energy North America (US), L.P.; P</w:t>
      </w:r>
      <w:r w:rsidR="00DB6D36">
        <w:t xml:space="preserve">acific </w:t>
      </w:r>
      <w:r w:rsidRPr="000D661A" w:rsidR="000D661A">
        <w:t>G</w:t>
      </w:r>
      <w:r w:rsidR="00DB6D36">
        <w:t xml:space="preserve">as and </w:t>
      </w:r>
      <w:r w:rsidRPr="000D661A" w:rsidR="000D661A">
        <w:t>E</w:t>
      </w:r>
      <w:r w:rsidR="00DB6D36">
        <w:t>lectric Company</w:t>
      </w:r>
      <w:r w:rsidRPr="000D661A" w:rsidR="000D661A">
        <w:t>; and S</w:t>
      </w:r>
      <w:r w:rsidR="00D4698E">
        <w:t xml:space="preserve">outhern </w:t>
      </w:r>
      <w:r w:rsidRPr="000D661A" w:rsidR="000D661A">
        <w:t>C</w:t>
      </w:r>
      <w:r w:rsidR="00D4698E">
        <w:t xml:space="preserve">alifornia </w:t>
      </w:r>
      <w:r w:rsidRPr="000D661A" w:rsidR="000D661A">
        <w:t>E</w:t>
      </w:r>
      <w:r w:rsidR="00D4698E">
        <w:t>dison Company</w:t>
      </w:r>
      <w:r w:rsidR="00B26791">
        <w:t>, d</w:t>
      </w:r>
      <w:r w:rsidR="00193ED8">
        <w:t>ated August 15, 2022,</w:t>
      </w:r>
      <w:r w:rsidR="000D661A">
        <w:t xml:space="preserve"> </w:t>
      </w:r>
      <w:r w:rsidR="00307721">
        <w:t>are</w:t>
      </w:r>
      <w:r w:rsidRPr="00390E0D">
        <w:t xml:space="preserve"> granted.</w:t>
      </w:r>
    </w:p>
    <w:p w:rsidR="00191FF7" w:rsidRDefault="00D74F45" w14:paraId="3149CAA5" w14:textId="37599DE5">
      <w:pPr>
        <w:pStyle w:val="CoL"/>
        <w:numPr>
          <w:ilvl w:val="0"/>
          <w:numId w:val="11"/>
        </w:numPr>
      </w:pPr>
      <w:r>
        <w:t>I</w:t>
      </w:r>
      <w:r w:rsidR="00191FF7">
        <w:t xml:space="preserve">nvestor-owned utilities </w:t>
      </w:r>
      <w:r w:rsidR="00A81AAE">
        <w:t xml:space="preserve">(IOUs) </w:t>
      </w:r>
      <w:r w:rsidR="009254FA">
        <w:t>are allowed to</w:t>
      </w:r>
      <w:r w:rsidR="00191FF7">
        <w:t xml:space="preserve"> participate as bidders in the Market Offer process </w:t>
      </w:r>
      <w:r w:rsidR="00324647">
        <w:t>offered by</w:t>
      </w:r>
      <w:r w:rsidR="00191FF7">
        <w:t xml:space="preserve"> </w:t>
      </w:r>
      <w:r w:rsidR="001A427D">
        <w:t>another IO</w:t>
      </w:r>
      <w:r w:rsidR="007A169B">
        <w:t>U</w:t>
      </w:r>
      <w:r w:rsidR="009254FA">
        <w:t>.</w:t>
      </w:r>
      <w:r w:rsidR="003D2B6E">
        <w:t xml:space="preserve"> </w:t>
      </w:r>
      <w:r w:rsidR="008806BB">
        <w:t xml:space="preserve"> </w:t>
      </w:r>
      <w:r w:rsidR="009254FA">
        <w:t xml:space="preserve">Any resulting Market Offer </w:t>
      </w:r>
      <w:r w:rsidR="009254FA">
        <w:lastRenderedPageBreak/>
        <w:t xml:space="preserve">contracts are recoverable in rates </w:t>
      </w:r>
      <w:r w:rsidR="0009658C">
        <w:t>subject</w:t>
      </w:r>
      <w:r w:rsidR="009254FA">
        <w:t xml:space="preserve"> to Commission’s review and approval process. </w:t>
      </w:r>
    </w:p>
    <w:p w:rsidR="009254FA" w:rsidRDefault="1647D644" w14:paraId="6C6F1B20" w14:textId="6552B9CE">
      <w:pPr>
        <w:pStyle w:val="CoL"/>
        <w:numPr>
          <w:ilvl w:val="0"/>
          <w:numId w:val="11"/>
        </w:numPr>
      </w:pPr>
      <w:r>
        <w:t>Investor-owned utilities r</w:t>
      </w:r>
      <w:r w:rsidR="00100E71">
        <w:t>equest</w:t>
      </w:r>
      <w:r w:rsidR="72F5C03C">
        <w:t>s</w:t>
      </w:r>
      <w:r w:rsidR="00100E71">
        <w:t xml:space="preserve"> for approval for long-term procurement contracts executed pursuant to an </w:t>
      </w:r>
      <w:r w:rsidR="00581D1A">
        <w:t>investor</w:t>
      </w:r>
      <w:r w:rsidR="000A588D">
        <w:t>-owned util</w:t>
      </w:r>
      <w:r w:rsidR="00581D1A">
        <w:t>ity’s</w:t>
      </w:r>
      <w:r w:rsidR="00100E71">
        <w:t xml:space="preserve"> solicitation held under the </w:t>
      </w:r>
      <w:r w:rsidR="000201EA">
        <w:t xml:space="preserve">Market Offer Process </w:t>
      </w:r>
      <w:r w:rsidR="00100E71">
        <w:t>must be through a Tier 3 Advice Letter</w:t>
      </w:r>
      <w:r w:rsidR="00D74F45">
        <w:t xml:space="preserve"> process</w:t>
      </w:r>
      <w:r w:rsidR="00100E71">
        <w:t xml:space="preserve"> </w:t>
      </w:r>
      <w:r w:rsidR="009C50B0">
        <w:t>and a Tier 1 Advice Letter for contracts less than five years of contract term</w:t>
      </w:r>
      <w:r w:rsidR="00100E71">
        <w:t xml:space="preserve">, </w:t>
      </w:r>
      <w:r w:rsidR="008611EB">
        <w:t>consistent with</w:t>
      </w:r>
      <w:r w:rsidR="00863FB9">
        <w:t xml:space="preserve"> </w:t>
      </w:r>
      <w:r w:rsidR="00100E71">
        <w:t>Decision (D.)</w:t>
      </w:r>
      <w:r w:rsidR="00A81AAE">
        <w:t> </w:t>
      </w:r>
      <w:r w:rsidR="001467A3">
        <w:t xml:space="preserve">14-11-042 </w:t>
      </w:r>
      <w:r w:rsidR="00863FB9">
        <w:t xml:space="preserve">for </w:t>
      </w:r>
      <w:r w:rsidR="04570F36">
        <w:t xml:space="preserve">procurement of products for </w:t>
      </w:r>
      <w:r w:rsidR="00494E10">
        <w:t>Renewables Procurement Standard compliance</w:t>
      </w:r>
      <w:r w:rsidR="000649F9">
        <w:t>.</w:t>
      </w:r>
    </w:p>
    <w:p w:rsidR="00F6397D" w:rsidP="00454406" w:rsidRDefault="003C6A23" w14:paraId="5F896CE7" w14:textId="5FCDA059">
      <w:pPr>
        <w:pStyle w:val="CoL"/>
        <w:keepNext/>
        <w:numPr>
          <w:ilvl w:val="0"/>
          <w:numId w:val="11"/>
        </w:numPr>
      </w:pPr>
      <w:r>
        <w:t>Rulemaking</w:t>
      </w:r>
      <w:r w:rsidR="008806BB">
        <w:t> </w:t>
      </w:r>
      <w:r>
        <w:t>18</w:t>
      </w:r>
      <w:r w:rsidR="008806BB">
        <w:noBreakHyphen/>
      </w:r>
      <w:r>
        <w:t>07</w:t>
      </w:r>
      <w:r w:rsidR="008806BB">
        <w:noBreakHyphen/>
      </w:r>
      <w:r>
        <w:t xml:space="preserve">003 remains open. </w:t>
      </w:r>
    </w:p>
    <w:p w:rsidR="008F0116" w:rsidP="00454406" w:rsidRDefault="008F0116" w14:paraId="3623D4E0" w14:textId="77777777">
      <w:pPr>
        <w:keepNext/>
      </w:pPr>
      <w:r>
        <w:t>This order is effective today.</w:t>
      </w:r>
    </w:p>
    <w:p w:rsidR="00714CF2" w:rsidP="00454406" w:rsidRDefault="008F0116" w14:paraId="17AA71FD" w14:textId="72D4FF2F">
      <w:pPr>
        <w:keepNext/>
      </w:pPr>
      <w:r>
        <w:t xml:space="preserve">Dated </w:t>
      </w:r>
      <w:r w:rsidR="005767A1">
        <w:t>December 15, 2022,</w:t>
      </w:r>
      <w:r>
        <w:t xml:space="preserve"> at San Francisco, California</w:t>
      </w:r>
      <w:r w:rsidR="00454406">
        <w:t>.</w:t>
      </w:r>
    </w:p>
    <w:p w:rsidR="00454406" w:rsidP="00454406" w:rsidRDefault="00454406" w14:paraId="11BC4473" w14:textId="7E9AAFC3">
      <w:pPr>
        <w:keepNext/>
      </w:pPr>
    </w:p>
    <w:p w:rsidRPr="00A96E69" w:rsidR="005767A1" w:rsidP="005767A1" w:rsidRDefault="005767A1" w14:paraId="75905C21" w14:textId="77777777">
      <w:pPr>
        <w:keepNext/>
        <w:autoSpaceDE w:val="0"/>
        <w:autoSpaceDN w:val="0"/>
        <w:adjustRightInd w:val="0"/>
        <w:spacing w:line="240" w:lineRule="auto"/>
        <w:ind w:left="5040" w:firstLine="0"/>
        <w:jc w:val="both"/>
        <w:rPr>
          <w:rFonts w:ascii="Palatino" w:hAnsi="Palatino" w:eastAsia="Times New Roman" w:cs="Palatino"/>
          <w:szCs w:val="26"/>
        </w:rPr>
      </w:pPr>
      <w:bookmarkStart w:name="_Hlk17215919" w:id="131"/>
      <w:r w:rsidRPr="00A96E69">
        <w:rPr>
          <w:rFonts w:ascii="Palatino" w:hAnsi="Palatino" w:eastAsia="Times New Roman" w:cs="Courier New"/>
          <w:szCs w:val="26"/>
        </w:rPr>
        <w:t>ALICE REYNOLDS</w:t>
      </w:r>
    </w:p>
    <w:p w:rsidRPr="00A96E69" w:rsidR="005767A1" w:rsidP="005767A1" w:rsidRDefault="005767A1" w14:paraId="3E2B423E" w14:textId="77777777">
      <w:pPr>
        <w:keepNext/>
        <w:autoSpaceDE w:val="0"/>
        <w:autoSpaceDN w:val="0"/>
        <w:adjustRightInd w:val="0"/>
        <w:spacing w:line="240" w:lineRule="auto"/>
        <w:ind w:left="5040" w:firstLine="1080"/>
        <w:jc w:val="both"/>
        <w:rPr>
          <w:rFonts w:ascii="Palatino" w:hAnsi="Palatino" w:eastAsia="Times New Roman" w:cs="Palatino"/>
          <w:szCs w:val="26"/>
        </w:rPr>
      </w:pPr>
      <w:r w:rsidRPr="00A96E69">
        <w:rPr>
          <w:rFonts w:ascii="Palatino" w:hAnsi="Palatino" w:eastAsia="Times New Roman" w:cs="Palatino"/>
          <w:szCs w:val="26"/>
        </w:rPr>
        <w:t>President</w:t>
      </w:r>
    </w:p>
    <w:p w:rsidRPr="00A96E69" w:rsidR="005767A1" w:rsidP="005767A1" w:rsidRDefault="005767A1" w14:paraId="1C991FDD"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CLIFFORD RECHTSCHAFFEN</w:t>
      </w:r>
    </w:p>
    <w:p w:rsidRPr="00A96E69" w:rsidR="005767A1" w:rsidP="005767A1" w:rsidRDefault="005767A1" w14:paraId="396824DF"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GENEVIEVE SHIROMA</w:t>
      </w:r>
    </w:p>
    <w:p w:rsidRPr="00A96E69" w:rsidR="005767A1" w:rsidP="005767A1" w:rsidRDefault="005767A1" w14:paraId="6B5B52B4"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DARCIE L. HOUCK</w:t>
      </w:r>
    </w:p>
    <w:p w:rsidRPr="00A96E69" w:rsidR="005767A1" w:rsidP="005767A1" w:rsidRDefault="005767A1" w14:paraId="2980BF79" w14:textId="77777777">
      <w:pPr>
        <w:keepNext/>
        <w:autoSpaceDE w:val="0"/>
        <w:autoSpaceDN w:val="0"/>
        <w:adjustRightInd w:val="0"/>
        <w:spacing w:line="240" w:lineRule="auto"/>
        <w:ind w:left="5040" w:firstLine="0"/>
        <w:jc w:val="both"/>
        <w:rPr>
          <w:rFonts w:ascii="Palatino" w:hAnsi="Palatino" w:eastAsia="Times New Roman" w:cs="Times New Roman"/>
          <w:szCs w:val="26"/>
        </w:rPr>
      </w:pPr>
      <w:r w:rsidRPr="00A96E69">
        <w:rPr>
          <w:rFonts w:ascii="Palatino" w:hAnsi="Palatino" w:eastAsia="Times New Roman" w:cs="Times New Roman"/>
          <w:szCs w:val="26"/>
        </w:rPr>
        <w:t>JOHN REYNOLDS</w:t>
      </w:r>
    </w:p>
    <w:p w:rsidR="005767A1" w:rsidP="005767A1" w:rsidRDefault="005767A1" w14:paraId="4B3E5701" w14:textId="77777777">
      <w:pPr>
        <w:keepNext/>
        <w:keepLines/>
        <w:spacing w:line="240" w:lineRule="auto"/>
        <w:ind w:left="5400" w:firstLine="1080"/>
        <w:rPr>
          <w:rFonts w:eastAsia="Calibri" w:cs="Times New Roman"/>
          <w:szCs w:val="20"/>
        </w:rPr>
      </w:pPr>
      <w:r w:rsidRPr="00A96E69">
        <w:rPr>
          <w:rFonts w:eastAsia="Times New Roman" w:cs="Palatino"/>
          <w:szCs w:val="26"/>
        </w:rPr>
        <w:t>Commissioners</w:t>
      </w:r>
      <w:bookmarkEnd w:id="131"/>
    </w:p>
    <w:p w:rsidR="00454406" w:rsidP="00454406" w:rsidRDefault="00454406" w14:paraId="601B659A" w14:textId="7F3A0989">
      <w:pPr>
        <w:keepNext/>
      </w:pPr>
    </w:p>
    <w:p w:rsidRPr="00714CF2" w:rsidR="00454406" w:rsidP="00454406" w:rsidRDefault="00454406" w14:paraId="708CD643" w14:textId="77777777">
      <w:pPr>
        <w:keepNext/>
      </w:pPr>
    </w:p>
    <w:sectPr w:rsidRPr="00714CF2" w:rsidR="00454406" w:rsidSect="00CC3059">
      <w:headerReference w:type="default" r:id="rId21"/>
      <w:footerReference w:type="default" r:id="rId22"/>
      <w:pgSz w:w="12240" w:h="15840" w:code="1"/>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9614" w14:textId="77777777" w:rsidR="00240776" w:rsidRDefault="00240776" w:rsidP="0098138E">
      <w:pPr>
        <w:spacing w:line="240" w:lineRule="auto"/>
      </w:pPr>
      <w:r>
        <w:separator/>
      </w:r>
    </w:p>
  </w:endnote>
  <w:endnote w:type="continuationSeparator" w:id="0">
    <w:p w14:paraId="7D496091" w14:textId="77777777" w:rsidR="00240776" w:rsidRDefault="00240776" w:rsidP="0098138E">
      <w:pPr>
        <w:spacing w:line="240" w:lineRule="auto"/>
      </w:pPr>
      <w:r>
        <w:continuationSeparator/>
      </w:r>
    </w:p>
  </w:endnote>
  <w:endnote w:type="continuationNotice" w:id="1">
    <w:p w14:paraId="4A8DE858" w14:textId="77777777" w:rsidR="00240776" w:rsidRDefault="002407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A15E" w14:textId="77777777" w:rsidR="00F92385" w:rsidRDefault="00F92385" w:rsidP="007E0FEE">
    <w:pPr>
      <w:ind w:firstLine="0"/>
      <w:jc w:val="center"/>
    </w:pPr>
    <w:r>
      <w:t>-</w:t>
    </w:r>
    <w:sdt>
      <w:sdtPr>
        <w:rPr>
          <w:color w:val="2B579A"/>
          <w:shd w:val="clear" w:color="auto" w:fill="E6E6E6"/>
        </w:rPr>
        <w:id w:val="-1472208903"/>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9B96" w14:textId="0C3AC773" w:rsidR="00632207" w:rsidRDefault="005767A1" w:rsidP="00CC3059">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Pr="005767A1">
          <w:rPr>
            <w:sz w:val="16"/>
            <w:szCs w:val="16"/>
          </w:rPr>
          <w:t>500015918</w:t>
        </w:r>
        <w:r w:rsidR="00632207">
          <w:rPr>
            <w:rFonts w:ascii="Arial" w:hAnsi="Arial" w:cs="Arial"/>
            <w:sz w:val="16"/>
            <w:szCs w:val="16"/>
          </w:rPr>
          <w:tab/>
        </w:r>
        <w:r w:rsidR="00F92385">
          <w:t>-</w:t>
        </w:r>
        <w:r w:rsidR="00EE4315">
          <w:t xml:space="preserve"> </w:t>
        </w:r>
        <w:r w:rsidR="00CC3059">
          <w:fldChar w:fldCharType="begin"/>
        </w:r>
        <w:r w:rsidR="00CC3059">
          <w:instrText xml:space="preserve"> PAGE   \* MERGEFORMAT </w:instrText>
        </w:r>
        <w:r w:rsidR="00CC3059">
          <w:fldChar w:fldCharType="separate"/>
        </w:r>
        <w:r w:rsidR="00CC3059">
          <w:rPr>
            <w:noProof/>
          </w:rPr>
          <w:t>1</w:t>
        </w:r>
        <w:r w:rsidR="00CC3059">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B58E" w14:textId="55014A60" w:rsidR="00E23CBB" w:rsidRPr="00CC3059" w:rsidRDefault="00E23CBB" w:rsidP="00724C6E">
    <w:pPr>
      <w:spacing w:line="240" w:lineRule="auto"/>
      <w:ind w:firstLine="0"/>
      <w:jc w:val="center"/>
    </w:pPr>
    <w:r w:rsidRPr="00DA2AB1">
      <w:t>-</w:t>
    </w:r>
    <w:r w:rsidR="00EE4315" w:rsidRPr="00DA2AB1">
      <w:t xml:space="preserve"> </w:t>
    </w:r>
    <w:r w:rsidR="00DA2AB1">
      <w:fldChar w:fldCharType="begin"/>
    </w:r>
    <w:r w:rsidR="00DA2AB1">
      <w:instrText xml:space="preserve"> PAGE   \* MERGEFORMAT </w:instrText>
    </w:r>
    <w:r w:rsidR="00DA2AB1">
      <w:fldChar w:fldCharType="separate"/>
    </w:r>
    <w:r w:rsidR="00DA2AB1">
      <w:rPr>
        <w:noProof/>
      </w:rPr>
      <w:t>1</w:t>
    </w:r>
    <w:r w:rsidR="00DA2AB1">
      <w:rPr>
        <w:noProof/>
      </w:rPr>
      <w:fldChar w:fldCharType="end"/>
    </w:r>
    <w:sdt>
      <w:sdtPr>
        <w:rPr>
          <w:color w:val="2B579A"/>
          <w:shd w:val="clear" w:color="auto" w:fill="E6E6E6"/>
        </w:rPr>
        <w:id w:val="1793169647"/>
        <w:docPartObj>
          <w:docPartGallery w:val="Page Numbers (Bottom of Page)"/>
          <w:docPartUnique/>
        </w:docPartObj>
      </w:sdtPr>
      <w:sdtEndPr>
        <w:rPr>
          <w:noProof/>
          <w:color w:val="auto"/>
          <w:shd w:val="clear" w:color="auto" w:fill="auto"/>
        </w:rPr>
      </w:sdtEndPr>
      <w:sdtContent>
        <w:r w:rsidR="00EE4315" w:rsidRPr="00DA2AB1">
          <w:rPr>
            <w:noProof/>
          </w:rPr>
          <w:t xml:space="preserve"> </w:t>
        </w:r>
        <w:r w:rsidRPr="00DA2AB1">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5D38" w14:textId="6B2514E3" w:rsidR="00E23CBB" w:rsidRDefault="00E23CBB" w:rsidP="00724C6E">
    <w:pPr>
      <w:spacing w:line="240" w:lineRule="auto"/>
      <w:ind w:firstLine="0"/>
      <w:jc w:val="center"/>
    </w:pPr>
    <w:r>
      <w:t>-</w:t>
    </w:r>
    <w:sdt>
      <w:sdtPr>
        <w:rPr>
          <w:color w:val="2B579A"/>
          <w:shd w:val="clear" w:color="auto" w:fill="E6E6E6"/>
        </w:rPr>
        <w:id w:val="-1034043401"/>
        <w:docPartObj>
          <w:docPartGallery w:val="Page Numbers (Bottom of Page)"/>
          <w:docPartUnique/>
        </w:docPartObj>
      </w:sdtPr>
      <w:sdtEndPr>
        <w:rPr>
          <w:noProof/>
          <w:color w:val="auto"/>
          <w:shd w:val="clear" w:color="auto" w:fill="auto"/>
        </w:rPr>
      </w:sdtEndPr>
      <w:sdtContent>
        <w:r w:rsidR="00EE4315">
          <w:t xml:space="preserve"> </w:t>
        </w:r>
        <w:r w:rsidR="00CC3059">
          <w:fldChar w:fldCharType="begin"/>
        </w:r>
        <w:r w:rsidR="00CC3059">
          <w:instrText xml:space="preserve"> PAGE   \* MERGEFORMAT </w:instrText>
        </w:r>
        <w:r w:rsidR="00CC3059">
          <w:fldChar w:fldCharType="separate"/>
        </w:r>
        <w:r w:rsidR="00CC3059">
          <w:rPr>
            <w:noProof/>
          </w:rPr>
          <w:t>1</w:t>
        </w:r>
        <w:r w:rsidR="00CC3059">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C3AF" w14:textId="77777777" w:rsidR="00240776" w:rsidRDefault="00240776" w:rsidP="00DF58E7">
      <w:pPr>
        <w:spacing w:line="240" w:lineRule="auto"/>
        <w:ind w:firstLine="0"/>
      </w:pPr>
      <w:r>
        <w:separator/>
      </w:r>
    </w:p>
  </w:footnote>
  <w:footnote w:type="continuationSeparator" w:id="0">
    <w:p w14:paraId="69BB0B3E" w14:textId="77777777" w:rsidR="00240776" w:rsidRDefault="00240776" w:rsidP="00DF58E7">
      <w:pPr>
        <w:spacing w:line="240" w:lineRule="auto"/>
        <w:ind w:firstLine="0"/>
      </w:pPr>
      <w:r>
        <w:continuationSeparator/>
      </w:r>
    </w:p>
  </w:footnote>
  <w:footnote w:type="continuationNotice" w:id="1">
    <w:p w14:paraId="0D55A2FE" w14:textId="77777777" w:rsidR="00240776" w:rsidRPr="00DF58E7" w:rsidRDefault="00240776" w:rsidP="00DF58E7">
      <w:pPr>
        <w:spacing w:line="240" w:lineRule="auto"/>
        <w:ind w:firstLine="0"/>
        <w:jc w:val="right"/>
        <w:rPr>
          <w:i/>
          <w:sz w:val="22"/>
        </w:rPr>
      </w:pPr>
      <w:r w:rsidRPr="00DF58E7">
        <w:rPr>
          <w:i/>
          <w:sz w:val="22"/>
        </w:rPr>
        <w:t>Footnote continued on next page.</w:t>
      </w:r>
    </w:p>
  </w:footnote>
  <w:footnote w:id="2">
    <w:p w14:paraId="5A2C8C5E" w14:textId="1288A1BD" w:rsidR="009B38E0" w:rsidRPr="009B38E0" w:rsidRDefault="009B38E0">
      <w:pPr>
        <w:pStyle w:val="FootnoteText"/>
        <w:rPr>
          <w:lang w:val="en-ZW"/>
        </w:rPr>
      </w:pPr>
      <w:r>
        <w:rPr>
          <w:rStyle w:val="FootnoteReference"/>
        </w:rPr>
        <w:footnoteRef/>
      </w:r>
      <w:r w:rsidR="00724C6E">
        <w:t xml:space="preserve"> </w:t>
      </w:r>
      <w:r>
        <w:t>All references are to the Public Utilities Code, unless otherwise noted.</w:t>
      </w:r>
    </w:p>
  </w:footnote>
  <w:footnote w:id="3">
    <w:p w14:paraId="43B5E4B7" w14:textId="11807C4C" w:rsidR="001F1E58" w:rsidRDefault="001F1E58" w:rsidP="001F1E58">
      <w:pPr>
        <w:pStyle w:val="FootnoteText"/>
      </w:pPr>
      <w:r>
        <w:rPr>
          <w:rStyle w:val="FootnoteReference"/>
        </w:rPr>
        <w:footnoteRef/>
      </w:r>
      <w:r>
        <w:t xml:space="preserve"> Pub. Util. Code §§ 399.12(f) &amp; 218.</w:t>
      </w:r>
      <w:r w:rsidR="007204B5" w:rsidRPr="007204B5">
        <w:t xml:space="preserve"> </w:t>
      </w:r>
      <w:r w:rsidR="00431027">
        <w:t xml:space="preserve"> </w:t>
      </w:r>
      <w:r w:rsidR="007204B5" w:rsidRPr="007204B5">
        <w:t>Pursuant to P</w:t>
      </w:r>
      <w:r w:rsidR="00431027">
        <w:t>ub</w:t>
      </w:r>
      <w:r w:rsidR="007204B5" w:rsidRPr="007204B5">
        <w:t>.</w:t>
      </w:r>
      <w:r w:rsidR="00431027">
        <w:t xml:space="preserve"> Util.</w:t>
      </w:r>
      <w:r w:rsidR="007204B5" w:rsidRPr="007204B5">
        <w:t xml:space="preserve"> Code Section 399.11 (d)(4) </w:t>
      </w:r>
      <w:r w:rsidR="007204B5">
        <w:t>r</w:t>
      </w:r>
      <w:r w:rsidR="007204B5" w:rsidRPr="007204B5">
        <w:t>etail seller</w:t>
      </w:r>
      <w:r w:rsidR="007204B5">
        <w:t xml:space="preserve"> </w:t>
      </w:r>
      <w:r w:rsidR="007204B5" w:rsidRPr="007204B5">
        <w:t>means an entity engaged in the retail sale of electricity to end-use customers</w:t>
      </w:r>
      <w:r w:rsidR="007204B5">
        <w:t>.</w:t>
      </w:r>
    </w:p>
  </w:footnote>
  <w:footnote w:id="4">
    <w:p w14:paraId="06880DB4" w14:textId="77777777" w:rsidR="00E47AAF" w:rsidRPr="00851C8B" w:rsidRDefault="00E47AAF" w:rsidP="00E47AAF">
      <w:pPr>
        <w:pStyle w:val="FootnoteText"/>
        <w:rPr>
          <w:lang w:val="en-ZW"/>
        </w:rPr>
      </w:pPr>
      <w:r>
        <w:rPr>
          <w:rStyle w:val="FootnoteReference"/>
        </w:rPr>
        <w:footnoteRef/>
      </w:r>
      <w:r>
        <w:t xml:space="preserve"> </w:t>
      </w:r>
      <w:r w:rsidRPr="00EB2D06">
        <w:rPr>
          <w:i/>
          <w:iCs/>
        </w:rPr>
        <w:t>See</w:t>
      </w:r>
      <w:r>
        <w:t xml:space="preserve"> D.21-05-030 at 36.</w:t>
      </w:r>
    </w:p>
  </w:footnote>
  <w:footnote w:id="5">
    <w:p w14:paraId="2C826318" w14:textId="77777777" w:rsidR="00E47AAF" w:rsidRPr="000702D9" w:rsidRDefault="00E47AAF" w:rsidP="00E47AAF">
      <w:pPr>
        <w:pStyle w:val="FootnoteText"/>
        <w:rPr>
          <w:lang w:val="en-ZW"/>
        </w:rPr>
      </w:pPr>
      <w:r>
        <w:rPr>
          <w:rStyle w:val="FootnoteReference"/>
        </w:rPr>
        <w:footnoteRef/>
      </w:r>
      <w:r>
        <w:t xml:space="preserve"> </w:t>
      </w:r>
      <w:r w:rsidRPr="00EB2D06">
        <w:rPr>
          <w:i/>
          <w:iCs/>
        </w:rPr>
        <w:t>Id</w:t>
      </w:r>
      <w:r>
        <w:t>.</w:t>
      </w:r>
    </w:p>
  </w:footnote>
  <w:footnote w:id="6">
    <w:p w14:paraId="15D4F564" w14:textId="77777777" w:rsidR="006A6DAF" w:rsidRPr="002324E2" w:rsidRDefault="006A6DAF" w:rsidP="006A6DAF">
      <w:pPr>
        <w:pStyle w:val="FootnoteText"/>
        <w:rPr>
          <w:lang w:val="en-ZW"/>
        </w:rPr>
      </w:pPr>
      <w:r>
        <w:rPr>
          <w:rStyle w:val="FootnoteReference"/>
        </w:rPr>
        <w:footnoteRef/>
      </w:r>
      <w:r>
        <w:t xml:space="preserve"> Pub. Util. Code § 399.13(a).</w:t>
      </w:r>
    </w:p>
  </w:footnote>
  <w:footnote w:id="7">
    <w:p w14:paraId="0654F278" w14:textId="4E98F061" w:rsidR="00622911" w:rsidRPr="00622911" w:rsidRDefault="00622911">
      <w:pPr>
        <w:pStyle w:val="FootnoteText"/>
        <w:rPr>
          <w:lang w:val="en-ZW"/>
        </w:rPr>
      </w:pPr>
      <w:r w:rsidRPr="00205EDF">
        <w:rPr>
          <w:rStyle w:val="FootnoteReference"/>
        </w:rPr>
        <w:footnoteRef/>
      </w:r>
      <w:r w:rsidRPr="00205EDF">
        <w:t xml:space="preserve"> </w:t>
      </w:r>
      <w:r w:rsidR="00246728" w:rsidRPr="00205EDF">
        <w:t xml:space="preserve">IOUs’ Renewable Net Short </w:t>
      </w:r>
      <w:r w:rsidR="00246728" w:rsidRPr="00C1234A">
        <w:t xml:space="preserve">Calculations, </w:t>
      </w:r>
      <w:r w:rsidR="00C1234A">
        <w:t>Draft</w:t>
      </w:r>
      <w:r w:rsidR="00246728" w:rsidRPr="00C1234A">
        <w:rPr>
          <w:color w:val="000000" w:themeColor="text1"/>
        </w:rPr>
        <w:t xml:space="preserve"> 202</w:t>
      </w:r>
      <w:r w:rsidR="00C1234A">
        <w:rPr>
          <w:color w:val="000000" w:themeColor="text1"/>
        </w:rPr>
        <w:t>2</w:t>
      </w:r>
      <w:r w:rsidR="00246728" w:rsidRPr="00C1234A">
        <w:rPr>
          <w:color w:val="000000" w:themeColor="text1"/>
        </w:rPr>
        <w:t xml:space="preserve"> </w:t>
      </w:r>
      <w:r w:rsidR="00246728" w:rsidRPr="00C1234A">
        <w:t>RPS Procurement</w:t>
      </w:r>
      <w:r w:rsidR="00246728" w:rsidRPr="00205EDF">
        <w:t xml:space="preserve"> Plans</w:t>
      </w:r>
      <w:r w:rsidR="008E239A" w:rsidRPr="00205EDF">
        <w:t>.</w:t>
      </w:r>
      <w:r>
        <w:rPr>
          <w:lang w:val="en-ZW"/>
        </w:rPr>
        <w:t xml:space="preserve"> </w:t>
      </w:r>
    </w:p>
  </w:footnote>
  <w:footnote w:id="8">
    <w:p w14:paraId="7AA3A088" w14:textId="74491C83" w:rsidR="00330F91" w:rsidRDefault="00330F91" w:rsidP="00330F91">
      <w:pPr>
        <w:pStyle w:val="FootnoteText"/>
      </w:pPr>
      <w:r>
        <w:rPr>
          <w:rStyle w:val="FootnoteReference"/>
        </w:rPr>
        <w:footnoteRef/>
      </w:r>
      <w:r>
        <w:t xml:space="preserve"> </w:t>
      </w:r>
      <w:r>
        <w:rPr>
          <w:i/>
          <w:iCs/>
        </w:rPr>
        <w:t>See</w:t>
      </w:r>
      <w:r>
        <w:t xml:space="preserve"> 2014 Administrative Law Judge Ruling on Renewable Net Short (RNS) for definitions of RNS Components of Online Generation, Under Development, and Expiring Contracts: </w:t>
      </w:r>
      <w:hyperlink r:id="rId1" w:history="1">
        <w:r w:rsidR="0030506F" w:rsidRPr="001557FD">
          <w:rPr>
            <w:rStyle w:val="Hyperlink"/>
          </w:rPr>
          <w:t>https://docs.cpuc.ca.gov/PublishedDocs/Efile/G000/M091/K331/91331194.PDF</w:t>
        </w:r>
      </w:hyperlink>
      <w:r>
        <w:rPr>
          <w:rStyle w:val="Hyperlink"/>
          <w:u w:val="none"/>
        </w:rPr>
        <w:t>.</w:t>
      </w:r>
      <w:r>
        <w:t xml:space="preserve"> </w:t>
      </w:r>
    </w:p>
  </w:footnote>
  <w:footnote w:id="9">
    <w:p w14:paraId="72528727" w14:textId="77777777" w:rsidR="00330F91" w:rsidRDefault="00330F91" w:rsidP="00330F91">
      <w:pPr>
        <w:pStyle w:val="FootnoteText"/>
      </w:pPr>
      <w:r>
        <w:rPr>
          <w:rStyle w:val="FootnoteReference"/>
        </w:rPr>
        <w:footnoteRef/>
      </w:r>
      <w:r>
        <w:t xml:space="preserve"> </w:t>
      </w:r>
      <w:r>
        <w:rPr>
          <w:i/>
          <w:iCs/>
        </w:rPr>
        <w:t xml:space="preserve">See </w:t>
      </w:r>
      <w:r>
        <w:t>D.17-06-026</w:t>
      </w:r>
      <w:r>
        <w:rPr>
          <w:i/>
          <w:iCs/>
        </w:rPr>
        <w:t xml:space="preserve"> </w:t>
      </w:r>
      <w:r>
        <w:t>Section 3.1.5 for a detailed discussion on excess procurement of RECs which can be applied in later compliance periods.  The RECs carried forward are colloquially referred to as the “Bank.”</w:t>
      </w:r>
    </w:p>
  </w:footnote>
  <w:footnote w:id="10">
    <w:p w14:paraId="6317C5D9" w14:textId="1B95BF0E" w:rsidR="00330F91" w:rsidRDefault="00330F91" w:rsidP="00330F91">
      <w:pPr>
        <w:pStyle w:val="FootnoteText"/>
      </w:pPr>
      <w:r>
        <w:rPr>
          <w:rStyle w:val="FootnoteReference"/>
        </w:rPr>
        <w:footnoteRef/>
      </w:r>
      <w:r>
        <w:t xml:space="preserve"> IOUs’</w:t>
      </w:r>
      <w:r w:rsidR="00C1234A">
        <w:t xml:space="preserve"> </w:t>
      </w:r>
      <w:r>
        <w:t xml:space="preserve">Aggregated Renewable Net Short Calculations, Draft 2022 RPS Procurement Plans. </w:t>
      </w:r>
    </w:p>
  </w:footnote>
  <w:footnote w:id="11">
    <w:p w14:paraId="26A1FD7E" w14:textId="77777777" w:rsidR="00FE5376" w:rsidRPr="000906A7" w:rsidRDefault="00FE5376" w:rsidP="00FE5376">
      <w:pPr>
        <w:pStyle w:val="FootnoteText"/>
        <w:rPr>
          <w:lang w:val="en-ZW"/>
        </w:rPr>
      </w:pPr>
      <w:r>
        <w:rPr>
          <w:rStyle w:val="FootnoteReference"/>
        </w:rPr>
        <w:footnoteRef/>
      </w:r>
      <w:r>
        <w:t xml:space="preserve"> RPS Bank comprises </w:t>
      </w:r>
      <w:r w:rsidRPr="000906A7">
        <w:t>pre-2023 RPS</w:t>
      </w:r>
      <w:r>
        <w:t xml:space="preserve"> </w:t>
      </w:r>
      <w:r w:rsidRPr="000906A7">
        <w:t>procurement that was above PG&amp;E’s bundled service customer annual</w:t>
      </w:r>
      <w:r>
        <w:t xml:space="preserve"> </w:t>
      </w:r>
      <w:r w:rsidRPr="000906A7">
        <w:t>compliance targets</w:t>
      </w:r>
      <w:r>
        <w:t>.</w:t>
      </w:r>
    </w:p>
  </w:footnote>
  <w:footnote w:id="12">
    <w:p w14:paraId="4EBC1D90" w14:textId="214AAE00" w:rsidR="00FA1582" w:rsidRPr="005128E1" w:rsidRDefault="00FA1582" w:rsidP="00F014E0">
      <w:pPr>
        <w:pStyle w:val="FootnoteText"/>
        <w:rPr>
          <w:rFonts w:cs="Arial"/>
        </w:rPr>
      </w:pPr>
      <w:r w:rsidRPr="49D3B57F">
        <w:rPr>
          <w:rStyle w:val="FootnoteReference"/>
        </w:rPr>
        <w:footnoteRef/>
      </w:r>
      <w:r w:rsidR="49D3B57F" w:rsidRPr="49D3B57F">
        <w:t xml:space="preserve"> </w:t>
      </w:r>
      <w:r w:rsidR="49D3B57F" w:rsidRPr="49D3B57F">
        <w:rPr>
          <w:rFonts w:cs="Arial"/>
        </w:rPr>
        <w:t xml:space="preserve">PG&amp;E is </w:t>
      </w:r>
      <w:r w:rsidR="49D3B57F" w:rsidRPr="00F014E0">
        <w:t>physically</w:t>
      </w:r>
      <w:r w:rsidR="49D3B57F" w:rsidRPr="49D3B57F">
        <w:rPr>
          <w:rFonts w:cs="Arial"/>
        </w:rPr>
        <w:t xml:space="preserve"> short when its annual RPS-eligible generation is less than its annual compliance requirement. </w:t>
      </w:r>
      <w:r w:rsidR="49D3B57F" w:rsidRPr="00C249E9">
        <w:rPr>
          <w:rFonts w:cs="Arial"/>
          <w:i/>
          <w:iCs/>
        </w:rPr>
        <w:t>See</w:t>
      </w:r>
      <w:r w:rsidR="49D3B57F" w:rsidRPr="49D3B57F">
        <w:rPr>
          <w:rFonts w:cs="Arial"/>
        </w:rPr>
        <w:t xml:space="preserve"> </w:t>
      </w:r>
      <w:r w:rsidR="49D3B57F" w:rsidRPr="49D3B57F">
        <w:t>Footnote 24 PG&amp;E Draft 2022 RPS Plan at 17.</w:t>
      </w:r>
    </w:p>
  </w:footnote>
  <w:footnote w:id="13">
    <w:p w14:paraId="21C70A2F" w14:textId="30827627" w:rsidR="00FA1582" w:rsidRPr="00991730" w:rsidRDefault="00FA1582" w:rsidP="00FA1582">
      <w:pPr>
        <w:pStyle w:val="FootnoteText"/>
        <w:rPr>
          <w:lang w:val="en-ZW"/>
        </w:rPr>
      </w:pPr>
      <w:r>
        <w:rPr>
          <w:rStyle w:val="FootnoteReference"/>
        </w:rPr>
        <w:footnoteRef/>
      </w:r>
      <w:r>
        <w:t xml:space="preserve"> </w:t>
      </w:r>
      <w:r w:rsidRPr="00F014E0">
        <w:rPr>
          <w:i/>
          <w:iCs/>
        </w:rPr>
        <w:t>See</w:t>
      </w:r>
      <w:r>
        <w:t xml:space="preserve"> D.21-05-030 that requires IOUs to hold a</w:t>
      </w:r>
      <w:r w:rsidR="00D3015B">
        <w:t xml:space="preserve">n </w:t>
      </w:r>
      <w:r>
        <w:t>RFI process to identify sellers interested in contract termination or assignment to other LSEs and allocate to departed load a proportional share of the RPS position through a VAMO mechanism to commence with 2023 deliveries.</w:t>
      </w:r>
    </w:p>
  </w:footnote>
  <w:footnote w:id="14">
    <w:p w14:paraId="6BDE83FD" w14:textId="36869711" w:rsidR="00FA1582" w:rsidRPr="00095AD5" w:rsidRDefault="00FA1582" w:rsidP="00FA1582">
      <w:pPr>
        <w:pStyle w:val="FootnoteText"/>
        <w:rPr>
          <w:lang w:val="en-ZW"/>
        </w:rPr>
      </w:pPr>
      <w:r>
        <w:rPr>
          <w:rStyle w:val="FootnoteReference"/>
        </w:rPr>
        <w:footnoteRef/>
      </w:r>
      <w:r>
        <w:t xml:space="preserve"> </w:t>
      </w:r>
      <w:r w:rsidRPr="00F014E0">
        <w:rPr>
          <w:i/>
          <w:iCs/>
          <w:lang w:val="en-ZW"/>
        </w:rPr>
        <w:t>See</w:t>
      </w:r>
      <w:r>
        <w:rPr>
          <w:lang w:val="en-ZW"/>
        </w:rPr>
        <w:t xml:space="preserve"> </w:t>
      </w:r>
      <w:r>
        <w:t xml:space="preserve">D.21-12-036 resolving PG&amp;E’s emergency petition to modify its GTSR Program. </w:t>
      </w:r>
      <w:r w:rsidR="00C1234A">
        <w:t xml:space="preserve"> </w:t>
      </w:r>
      <w:r>
        <w:t>D.21</w:t>
      </w:r>
      <w:r w:rsidR="0064257A">
        <w:noBreakHyphen/>
      </w:r>
      <w:r>
        <w:t>12</w:t>
      </w:r>
      <w:r w:rsidR="0064257A">
        <w:noBreakHyphen/>
      </w:r>
      <w:r>
        <w:t>036 authorized PG&amp;E to utilize a Borrowed GTSR Pool of RPS resources through 2024 to serve GTSR customers due to a shortfall in dedicated supply to satisfy PG&amp;E’s customer enrollments in its GTSR Program, up to but not to exceed, 176.15</w:t>
      </w:r>
      <w:r w:rsidR="00C1234A">
        <w:t> </w:t>
      </w:r>
      <w:r>
        <w:t xml:space="preserve">MW. </w:t>
      </w:r>
    </w:p>
  </w:footnote>
  <w:footnote w:id="15">
    <w:p w14:paraId="3336E7F2" w14:textId="4EA56CB7" w:rsidR="002C51AE" w:rsidRDefault="002C51AE">
      <w:pPr>
        <w:pStyle w:val="FootnoteText"/>
      </w:pPr>
      <w:r>
        <w:rPr>
          <w:rStyle w:val="FootnoteReference"/>
        </w:rPr>
        <w:footnoteRef/>
      </w:r>
      <w:r>
        <w:t xml:space="preserve"> </w:t>
      </w:r>
      <w:r w:rsidRPr="00D176C2">
        <w:rPr>
          <w:szCs w:val="22"/>
        </w:rPr>
        <w:t xml:space="preserve">PG&amp;E Draft 2022 RPS Plan </w:t>
      </w:r>
      <w:r>
        <w:rPr>
          <w:szCs w:val="22"/>
        </w:rPr>
        <w:t>a</w:t>
      </w:r>
      <w:r>
        <w:t>t 17</w:t>
      </w:r>
      <w:r w:rsidR="004C4BB3">
        <w:t>.</w:t>
      </w:r>
      <w:r>
        <w:t xml:space="preserve"> </w:t>
      </w:r>
    </w:p>
  </w:footnote>
  <w:footnote w:id="16">
    <w:p w14:paraId="5C6CC16D" w14:textId="4612C561" w:rsidR="00422AB3" w:rsidRDefault="00422AB3">
      <w:pPr>
        <w:pStyle w:val="FootnoteText"/>
      </w:pPr>
      <w:r>
        <w:rPr>
          <w:rStyle w:val="FootnoteReference"/>
        </w:rPr>
        <w:footnoteRef/>
      </w:r>
      <w:r>
        <w:t xml:space="preserve"> PG&amp;E Draft 2022 RPS Plan at 4</w:t>
      </w:r>
      <w:r w:rsidR="004C4BB3">
        <w:t>.</w:t>
      </w:r>
    </w:p>
  </w:footnote>
  <w:footnote w:id="17">
    <w:p w14:paraId="527A75B9" w14:textId="77777777" w:rsidR="00FA1582" w:rsidRPr="00D176C2" w:rsidRDefault="00FA1582" w:rsidP="00FA1582">
      <w:pPr>
        <w:pStyle w:val="FootnoteText"/>
        <w:rPr>
          <w:szCs w:val="22"/>
        </w:rPr>
      </w:pPr>
      <w:r w:rsidRPr="00D176C2">
        <w:rPr>
          <w:rStyle w:val="FootnoteReference"/>
          <w:szCs w:val="22"/>
        </w:rPr>
        <w:footnoteRef/>
      </w:r>
      <w:r w:rsidRPr="00D176C2">
        <w:rPr>
          <w:szCs w:val="22"/>
        </w:rPr>
        <w:t xml:space="preserve"> PG&amp;E Draft 2022 RPS Plan at 13.</w:t>
      </w:r>
    </w:p>
  </w:footnote>
  <w:footnote w:id="18">
    <w:p w14:paraId="3F031AF1" w14:textId="77777777" w:rsidR="00FA1582" w:rsidRPr="00D176C2" w:rsidRDefault="00FA1582" w:rsidP="00FA1582">
      <w:pPr>
        <w:pStyle w:val="FootnoteText"/>
        <w:rPr>
          <w:szCs w:val="22"/>
          <w:lang w:val="en-ZW"/>
        </w:rPr>
      </w:pPr>
      <w:r w:rsidRPr="00D176C2">
        <w:rPr>
          <w:rStyle w:val="FootnoteReference"/>
          <w:szCs w:val="22"/>
        </w:rPr>
        <w:footnoteRef/>
      </w:r>
      <w:r w:rsidRPr="00D176C2">
        <w:rPr>
          <w:szCs w:val="22"/>
        </w:rPr>
        <w:t xml:space="preserve"> </w:t>
      </w:r>
      <w:r w:rsidRPr="00D176C2">
        <w:rPr>
          <w:szCs w:val="22"/>
          <w:lang w:val="en-ZW"/>
        </w:rPr>
        <w:t>PG&amp;E Draft 2022 RPS Plan at 28.</w:t>
      </w:r>
    </w:p>
  </w:footnote>
  <w:footnote w:id="19">
    <w:p w14:paraId="3E36D290" w14:textId="77777777" w:rsidR="00FA1582" w:rsidRPr="00D176C2" w:rsidRDefault="00FA1582" w:rsidP="00FA1582">
      <w:pPr>
        <w:pStyle w:val="FootnoteText"/>
        <w:rPr>
          <w:szCs w:val="22"/>
        </w:rPr>
      </w:pPr>
      <w:r w:rsidRPr="00D176C2">
        <w:rPr>
          <w:rStyle w:val="FootnoteReference"/>
          <w:szCs w:val="22"/>
        </w:rPr>
        <w:footnoteRef/>
      </w:r>
      <w:r w:rsidRPr="00D176C2">
        <w:rPr>
          <w:szCs w:val="22"/>
        </w:rPr>
        <w:t xml:space="preserve"> PG&amp;E Draft 2022 RPS Plan at 22.</w:t>
      </w:r>
    </w:p>
  </w:footnote>
  <w:footnote w:id="20">
    <w:p w14:paraId="5838C650" w14:textId="7980B10F" w:rsidR="00FA1582" w:rsidRDefault="00FA1582" w:rsidP="00FA1582">
      <w:pPr>
        <w:pStyle w:val="FootnoteText"/>
      </w:pPr>
      <w:r>
        <w:rPr>
          <w:rStyle w:val="FootnoteReference"/>
        </w:rPr>
        <w:footnoteRef/>
      </w:r>
      <w:r w:rsidRPr="005128E1">
        <w:rPr>
          <w:i/>
          <w:iCs/>
        </w:rPr>
        <w:t xml:space="preserve"> See</w:t>
      </w:r>
      <w:r>
        <w:t xml:space="preserve"> Footnote 5 </w:t>
      </w:r>
      <w:r w:rsidR="000229E6">
        <w:t xml:space="preserve">in </w:t>
      </w:r>
      <w:r w:rsidRPr="00D176C2">
        <w:rPr>
          <w:rStyle w:val="normaltextrun"/>
          <w:szCs w:val="22"/>
        </w:rPr>
        <w:t xml:space="preserve">PG&amp;E Draft 2022 RPS Plan at </w:t>
      </w:r>
      <w:r w:rsidRPr="00D176C2">
        <w:rPr>
          <w:szCs w:val="22"/>
        </w:rPr>
        <w:t>6</w:t>
      </w:r>
      <w:r w:rsidR="00187843">
        <w:rPr>
          <w:szCs w:val="22"/>
        </w:rPr>
        <w:t>.</w:t>
      </w:r>
    </w:p>
  </w:footnote>
  <w:footnote w:id="21">
    <w:p w14:paraId="7B3ACFDA" w14:textId="77777777" w:rsidR="00D27B36" w:rsidRPr="00D176C2" w:rsidRDefault="00D27B36" w:rsidP="00D27B36">
      <w:pPr>
        <w:pStyle w:val="FootnoteText"/>
        <w:rPr>
          <w:szCs w:val="22"/>
          <w:lang w:val="en-ZW"/>
        </w:rPr>
      </w:pPr>
      <w:r w:rsidRPr="00D176C2">
        <w:rPr>
          <w:rStyle w:val="FootnoteReference"/>
          <w:szCs w:val="22"/>
        </w:rPr>
        <w:footnoteRef/>
      </w:r>
      <w:r w:rsidRPr="00D176C2">
        <w:rPr>
          <w:szCs w:val="22"/>
        </w:rPr>
        <w:t xml:space="preserve"> </w:t>
      </w:r>
      <w:r w:rsidRPr="00D176C2">
        <w:rPr>
          <w:szCs w:val="22"/>
          <w:lang w:val="en-ZW"/>
        </w:rPr>
        <w:t>PG&amp;E Draft 2022 RPS Plan at 90.</w:t>
      </w:r>
    </w:p>
  </w:footnote>
  <w:footnote w:id="22">
    <w:p w14:paraId="2872B878" w14:textId="0CECBACB" w:rsidR="00A76977" w:rsidRPr="00D176C2" w:rsidRDefault="00A76977" w:rsidP="00A76977">
      <w:pPr>
        <w:pStyle w:val="FootnoteText"/>
        <w:rPr>
          <w:szCs w:val="22"/>
        </w:rPr>
      </w:pPr>
      <w:r w:rsidRPr="00D176C2">
        <w:rPr>
          <w:rStyle w:val="FootnoteReference"/>
          <w:szCs w:val="22"/>
        </w:rPr>
        <w:footnoteRef/>
      </w:r>
      <w:r w:rsidRPr="00D176C2">
        <w:rPr>
          <w:szCs w:val="22"/>
        </w:rPr>
        <w:t xml:space="preserve"> PG&amp;E Draft 2022 RPS Plan at 89</w:t>
      </w:r>
      <w:r w:rsidR="00927E35">
        <w:rPr>
          <w:szCs w:val="22"/>
        </w:rPr>
        <w:t>.</w:t>
      </w:r>
    </w:p>
  </w:footnote>
  <w:footnote w:id="23">
    <w:p w14:paraId="541BA2CB" w14:textId="70C6B185" w:rsidR="00A76977" w:rsidRDefault="00A76977" w:rsidP="00A76977">
      <w:pPr>
        <w:pStyle w:val="FootnoteText"/>
      </w:pPr>
      <w:r>
        <w:rPr>
          <w:rStyle w:val="FootnoteReference"/>
        </w:rPr>
        <w:footnoteRef/>
      </w:r>
      <w:r>
        <w:t xml:space="preserve"> </w:t>
      </w:r>
      <w:r w:rsidRPr="00D176C2">
        <w:rPr>
          <w:szCs w:val="22"/>
        </w:rPr>
        <w:t xml:space="preserve">PG&amp;E Draft 2022 RPS Plan </w:t>
      </w:r>
      <w:r w:rsidRPr="008E0AFB">
        <w:rPr>
          <w:szCs w:val="26"/>
        </w:rPr>
        <w:t>Appendix N.10</w:t>
      </w:r>
      <w:r w:rsidR="00927E35">
        <w:rPr>
          <w:szCs w:val="26"/>
        </w:rPr>
        <w:t>.</w:t>
      </w:r>
    </w:p>
  </w:footnote>
  <w:footnote w:id="24">
    <w:p w14:paraId="43411F5C" w14:textId="119528DD" w:rsidR="00A76977" w:rsidRPr="00D176C2" w:rsidRDefault="00A76977" w:rsidP="00A76977">
      <w:pPr>
        <w:pStyle w:val="FootnoteText"/>
        <w:rPr>
          <w:szCs w:val="22"/>
        </w:rPr>
      </w:pPr>
      <w:r w:rsidRPr="00D176C2">
        <w:rPr>
          <w:rStyle w:val="FootnoteReference"/>
          <w:szCs w:val="22"/>
        </w:rPr>
        <w:footnoteRef/>
      </w:r>
      <w:r>
        <w:rPr>
          <w:szCs w:val="22"/>
        </w:rPr>
        <w:t xml:space="preserve"> </w:t>
      </w:r>
      <w:r w:rsidRPr="00D176C2">
        <w:rPr>
          <w:szCs w:val="22"/>
        </w:rPr>
        <w:t>PG&amp;E Draft 2022 RPS Plan at 89</w:t>
      </w:r>
      <w:r w:rsidR="00927E35">
        <w:rPr>
          <w:szCs w:val="22"/>
        </w:rPr>
        <w:t>.</w:t>
      </w:r>
    </w:p>
  </w:footnote>
  <w:footnote w:id="25">
    <w:p w14:paraId="386A5CA1" w14:textId="2DDE3C57" w:rsidR="00A1138F" w:rsidRDefault="00A1138F">
      <w:pPr>
        <w:pStyle w:val="FootnoteText"/>
      </w:pPr>
      <w:r>
        <w:rPr>
          <w:rStyle w:val="FootnoteReference"/>
        </w:rPr>
        <w:footnoteRef/>
      </w:r>
      <w:r>
        <w:t xml:space="preserve"> SCE Updated Draft RPS Plan at 11 (Citing authority granted in D.22-01-004, O</w:t>
      </w:r>
      <w:r w:rsidR="00F41567">
        <w:t>rdering Paragraph (OP) </w:t>
      </w:r>
      <w:r>
        <w:t>7).</w:t>
      </w:r>
    </w:p>
  </w:footnote>
  <w:footnote w:id="26">
    <w:p w14:paraId="7394BDE4" w14:textId="3BFAD248" w:rsidR="00D14D00" w:rsidRDefault="00D14D00" w:rsidP="00D14D00">
      <w:pPr>
        <w:pStyle w:val="FootnoteText"/>
      </w:pPr>
      <w:r>
        <w:rPr>
          <w:rStyle w:val="FootnoteReference"/>
        </w:rPr>
        <w:footnoteRef/>
      </w:r>
      <w:r>
        <w:t xml:space="preserve"> SCE </w:t>
      </w:r>
      <w:r w:rsidR="00B66F65">
        <w:t xml:space="preserve">Draft </w:t>
      </w:r>
      <w:r>
        <w:t>2022 RPS Plan at 37.</w:t>
      </w:r>
    </w:p>
  </w:footnote>
  <w:footnote w:id="27">
    <w:p w14:paraId="2C45C87E" w14:textId="2333B593" w:rsidR="00D14D00" w:rsidRPr="001C247C" w:rsidRDefault="00D14D00" w:rsidP="00D14D00">
      <w:pPr>
        <w:pStyle w:val="FootnoteText"/>
      </w:pPr>
      <w:r>
        <w:rPr>
          <w:rStyle w:val="FootnoteReference"/>
        </w:rPr>
        <w:footnoteRef/>
      </w:r>
      <w:r>
        <w:t xml:space="preserve"> SCE </w:t>
      </w:r>
      <w:r w:rsidR="00B66F65">
        <w:t xml:space="preserve">Draft </w:t>
      </w:r>
      <w:r>
        <w:t>2022 RPS Plan at 15, 37.</w:t>
      </w:r>
    </w:p>
  </w:footnote>
  <w:footnote w:id="28">
    <w:p w14:paraId="0C295C93" w14:textId="3FB10454" w:rsidR="00D14D00" w:rsidRPr="00DC75F9" w:rsidRDefault="00D14D00" w:rsidP="00D14D00">
      <w:pPr>
        <w:pStyle w:val="FootnoteText"/>
      </w:pPr>
      <w:r>
        <w:rPr>
          <w:rStyle w:val="FootnoteReference"/>
        </w:rPr>
        <w:footnoteRef/>
      </w:r>
      <w:r>
        <w:t xml:space="preserve"> SCE </w:t>
      </w:r>
      <w:r w:rsidR="00B66F65">
        <w:t xml:space="preserve">Draft </w:t>
      </w:r>
      <w:r>
        <w:t xml:space="preserve">2022 RPS Plan at 79.  SCE estimates it </w:t>
      </w:r>
      <w:r w:rsidR="00943FEF">
        <w:t xml:space="preserve">will </w:t>
      </w:r>
      <w:r>
        <w:t>ha</w:t>
      </w:r>
      <w:r w:rsidR="00943FEF">
        <w:t>ve</w:t>
      </w:r>
      <w:r>
        <w:t xml:space="preserve"> </w:t>
      </w:r>
      <w:r>
        <w:rPr>
          <w:rFonts w:ascii="TimesNewRomanPSMT" w:hAnsi="TimesNewRomanPSMT" w:cs="TimesNewRomanPSMT"/>
          <w:sz w:val="24"/>
          <w:szCs w:val="24"/>
        </w:rPr>
        <w:t>22,934</w:t>
      </w:r>
      <w:r>
        <w:t>GWh in its REC bank at the start of 2023.</w:t>
      </w:r>
    </w:p>
  </w:footnote>
  <w:footnote w:id="29">
    <w:p w14:paraId="29D11BDE" w14:textId="77777777" w:rsidR="00D14D00" w:rsidRDefault="00D14D00" w:rsidP="00D14D00">
      <w:pPr>
        <w:pStyle w:val="FootnoteText"/>
      </w:pPr>
      <w:r>
        <w:rPr>
          <w:rStyle w:val="FootnoteReference"/>
        </w:rPr>
        <w:footnoteRef/>
      </w:r>
      <w:r>
        <w:t xml:space="preserve"> SCE 2022 Draft RPS Plan at 81.</w:t>
      </w:r>
    </w:p>
  </w:footnote>
  <w:footnote w:id="30">
    <w:p w14:paraId="06ADEE3A" w14:textId="0B7DD5AC" w:rsidR="00F10591" w:rsidRPr="00F10591" w:rsidRDefault="00F10591">
      <w:pPr>
        <w:pStyle w:val="FootnoteText"/>
        <w:rPr>
          <w:lang w:val="en-ZW"/>
        </w:rPr>
      </w:pPr>
      <w:r>
        <w:rPr>
          <w:rStyle w:val="FootnoteReference"/>
        </w:rPr>
        <w:footnoteRef/>
      </w:r>
      <w:r>
        <w:t xml:space="preserve"> </w:t>
      </w:r>
      <w:r w:rsidRPr="0006011F">
        <w:rPr>
          <w:rFonts w:cs="Calibri"/>
        </w:rPr>
        <w:t>D.21-05-030, OP 6</w:t>
      </w:r>
      <w:r w:rsidR="00001CC6">
        <w:rPr>
          <w:rFonts w:cs="Calibri"/>
        </w:rPr>
        <w:t>,</w:t>
      </w:r>
      <w:r w:rsidRPr="0006011F">
        <w:rPr>
          <w:rFonts w:cs="Calibri"/>
        </w:rPr>
        <w:t xml:space="preserve"> at 65-66</w:t>
      </w:r>
      <w:r w:rsidR="0006011F">
        <w:rPr>
          <w:rFonts w:cs="Calibri"/>
        </w:rPr>
        <w:t>.</w:t>
      </w:r>
    </w:p>
  </w:footnote>
  <w:footnote w:id="31">
    <w:p w14:paraId="02E35445" w14:textId="47F2C35C" w:rsidR="0064006E" w:rsidRDefault="0064006E" w:rsidP="0064006E">
      <w:pPr>
        <w:pStyle w:val="FootnoteText"/>
      </w:pPr>
      <w:r>
        <w:rPr>
          <w:rStyle w:val="FootnoteReference"/>
        </w:rPr>
        <w:footnoteRef/>
      </w:r>
      <w:r>
        <w:t xml:space="preserve"> </w:t>
      </w:r>
      <w:r w:rsidR="00376825">
        <w:rPr>
          <w:szCs w:val="22"/>
        </w:rPr>
        <w:t>SMJUs’</w:t>
      </w:r>
      <w:r w:rsidRPr="00875797">
        <w:rPr>
          <w:szCs w:val="22"/>
        </w:rPr>
        <w:t xml:space="preserve"> load in 2021 was roughly 1,500 GWh, or 1 percent of the total Commission-regulated retail load</w:t>
      </w:r>
      <w:r>
        <w:rPr>
          <w:szCs w:val="22"/>
        </w:rPr>
        <w:t xml:space="preserve"> based on an </w:t>
      </w:r>
      <w:r w:rsidRPr="00DA708E">
        <w:t xml:space="preserve">Energy Division staff analysis of aggregated </w:t>
      </w:r>
      <w:r>
        <w:t>LSE</w:t>
      </w:r>
      <w:r w:rsidRPr="00DA708E">
        <w:t xml:space="preserve"> 2022 RNS templates, as submitted in their draft 2022 RPS Plans</w:t>
      </w:r>
      <w:r>
        <w:t xml:space="preserve">.  </w:t>
      </w:r>
      <w:r>
        <w:rPr>
          <w:szCs w:val="22"/>
        </w:rPr>
        <w:t xml:space="preserve"> </w:t>
      </w:r>
      <w:r>
        <w:t xml:space="preserve"> </w:t>
      </w:r>
    </w:p>
  </w:footnote>
  <w:footnote w:id="32">
    <w:p w14:paraId="66248B18" w14:textId="77777777" w:rsidR="0064006E" w:rsidRDefault="0064006E" w:rsidP="0064006E">
      <w:pPr>
        <w:pStyle w:val="FootnoteText"/>
      </w:pPr>
      <w:r>
        <w:rPr>
          <w:rStyle w:val="FootnoteReference"/>
        </w:rPr>
        <w:footnoteRef/>
      </w:r>
      <w:r>
        <w:t xml:space="preserve"> </w:t>
      </w:r>
      <w:r>
        <w:rPr>
          <w:szCs w:val="22"/>
        </w:rPr>
        <w:t>Pub. Util. Code § 399.17(b).  The PBR limitations in Section 399.16 are explained in D.11</w:t>
      </w:r>
      <w:r>
        <w:rPr>
          <w:szCs w:val="22"/>
        </w:rPr>
        <w:noBreakHyphen/>
        <w:t>12</w:t>
      </w:r>
      <w:r>
        <w:rPr>
          <w:szCs w:val="22"/>
        </w:rPr>
        <w:noBreakHyphen/>
        <w:t xml:space="preserve">052, §§ 3.5-3.7. </w:t>
      </w:r>
      <w:r>
        <w:t xml:space="preserve"> </w:t>
      </w:r>
    </w:p>
  </w:footnote>
  <w:footnote w:id="33">
    <w:p w14:paraId="75A9EE48" w14:textId="195A7EAF" w:rsidR="0064006E" w:rsidRDefault="0064006E" w:rsidP="0064006E">
      <w:pPr>
        <w:pStyle w:val="FootnoteText"/>
      </w:pPr>
      <w:r>
        <w:rPr>
          <w:rStyle w:val="FootnoteReference"/>
        </w:rPr>
        <w:footnoteRef/>
      </w:r>
      <w:r>
        <w:t xml:space="preserve"> BVES </w:t>
      </w:r>
      <w:r w:rsidR="00E4070E">
        <w:t>D</w:t>
      </w:r>
      <w:r>
        <w:t xml:space="preserve">raft 2022 RPS Plan at 16. </w:t>
      </w:r>
    </w:p>
  </w:footnote>
  <w:footnote w:id="34">
    <w:p w14:paraId="3FF48341" w14:textId="77777777" w:rsidR="00A15004" w:rsidRDefault="00A15004" w:rsidP="00A15004">
      <w:pPr>
        <w:pStyle w:val="FootnoteText"/>
      </w:pPr>
      <w:r>
        <w:rPr>
          <w:rStyle w:val="FootnoteReference"/>
        </w:rPr>
        <w:footnoteRef/>
      </w:r>
      <w:r>
        <w:t xml:space="preserve"> </w:t>
      </w:r>
      <w:r w:rsidRPr="007122DE">
        <w:t xml:space="preserve">D.18-05-026 </w:t>
      </w:r>
      <w:r>
        <w:t xml:space="preserve">at </w:t>
      </w:r>
      <w:r w:rsidRPr="007122DE">
        <w:t>OP 3</w:t>
      </w:r>
      <w:r>
        <w:t>.</w:t>
      </w:r>
    </w:p>
  </w:footnote>
  <w:footnote w:id="35">
    <w:p w14:paraId="225C3E0A" w14:textId="77777777" w:rsidR="00A15004" w:rsidRDefault="00A15004" w:rsidP="00A15004">
      <w:pPr>
        <w:pStyle w:val="FootnoteText"/>
      </w:pPr>
      <w:r>
        <w:rPr>
          <w:rStyle w:val="FootnoteReference"/>
        </w:rPr>
        <w:footnoteRef/>
      </w:r>
      <w:r>
        <w:t xml:space="preserve"> BVES 2022 Draft RPS Plan at 12.</w:t>
      </w:r>
    </w:p>
  </w:footnote>
  <w:footnote w:id="36">
    <w:p w14:paraId="2A427227" w14:textId="7293C3B7" w:rsidR="00E41180" w:rsidRDefault="00E41180">
      <w:pPr>
        <w:pStyle w:val="FootnoteText"/>
      </w:pPr>
      <w:r>
        <w:rPr>
          <w:rStyle w:val="FootnoteReference"/>
        </w:rPr>
        <w:footnoteRef/>
      </w:r>
      <w:r>
        <w:t xml:space="preserve"> Liberty </w:t>
      </w:r>
      <w:r w:rsidR="00F16F7B">
        <w:t>D</w:t>
      </w:r>
      <w:r>
        <w:t xml:space="preserve">raft 2022 RPS Plan at 7. </w:t>
      </w:r>
    </w:p>
  </w:footnote>
  <w:footnote w:id="37">
    <w:p w14:paraId="02A1B62F" w14:textId="6B371FC7" w:rsidR="00946B29" w:rsidRDefault="00946B29" w:rsidP="00946B29">
      <w:pPr>
        <w:pStyle w:val="FootnoteText"/>
      </w:pPr>
      <w:r>
        <w:rPr>
          <w:rStyle w:val="FootnoteReference"/>
        </w:rPr>
        <w:footnoteRef/>
      </w:r>
      <w:r>
        <w:t xml:space="preserve"> Liberty </w:t>
      </w:r>
      <w:r w:rsidR="00F16F7B">
        <w:t>D</w:t>
      </w:r>
      <w:r>
        <w:t xml:space="preserve">raft 2022 RPS Plan at 6. </w:t>
      </w:r>
    </w:p>
  </w:footnote>
  <w:footnote w:id="38">
    <w:p w14:paraId="1FC924D6" w14:textId="77777777" w:rsidR="00946B29" w:rsidRDefault="00946B29" w:rsidP="00946B29">
      <w:pPr>
        <w:pStyle w:val="FootnoteText"/>
      </w:pPr>
      <w:r>
        <w:rPr>
          <w:rStyle w:val="FootnoteReference"/>
        </w:rPr>
        <w:footnoteRef/>
      </w:r>
      <w:r>
        <w:t xml:space="preserve"> Liberty Draft RPS Plan</w:t>
      </w:r>
      <w:r>
        <w:rPr>
          <w:i/>
          <w:iCs/>
        </w:rPr>
        <w:t xml:space="preserve"> </w:t>
      </w:r>
      <w:r>
        <w:t>at 2.  A.21-04-006 proposes a 60 MW expansion of the Luning Solar Project and the addition of a 240 MWh storage facility at the site.</w:t>
      </w:r>
    </w:p>
  </w:footnote>
  <w:footnote w:id="39">
    <w:p w14:paraId="4572A025" w14:textId="47D4E7EF" w:rsidR="004E4EC9" w:rsidRDefault="004E4EC9" w:rsidP="004E4EC9">
      <w:pPr>
        <w:pStyle w:val="FootnoteText"/>
      </w:pPr>
      <w:r>
        <w:rPr>
          <w:rStyle w:val="FootnoteReference"/>
        </w:rPr>
        <w:footnoteRef/>
      </w:r>
      <w:r>
        <w:t xml:space="preserve"> Liberty </w:t>
      </w:r>
      <w:r w:rsidR="007B299C">
        <w:t>D</w:t>
      </w:r>
      <w:r>
        <w:t>raft 2022 RPS Plan at 16-17.</w:t>
      </w:r>
    </w:p>
  </w:footnote>
  <w:footnote w:id="40">
    <w:p w14:paraId="16892F3A" w14:textId="77777777" w:rsidR="00CC2E9B" w:rsidRDefault="00CC2E9B" w:rsidP="00CC2E9B">
      <w:pPr>
        <w:pStyle w:val="FootnoteText"/>
      </w:pPr>
      <w:r>
        <w:rPr>
          <w:rStyle w:val="FootnoteReference"/>
        </w:rPr>
        <w:footnoteRef/>
      </w:r>
      <w:r>
        <w:t xml:space="preserve"> </w:t>
      </w:r>
      <w:r w:rsidRPr="0024446A">
        <w:t>D.08-05-029 directed how PacifiCorp is to comply with the annual RPS Plans requirements, including allowing filing of its IRP to count towards the requirement.  That decision does not set a specific date for PacifiCorp’s filing deadline, however, nor does D.11-04-030, which set an RPS Plans filing date for PacifiCorp’s non-IRP years.</w:t>
      </w:r>
      <w:r>
        <w:rPr>
          <w:rFonts w:ascii="Garamond" w:hAnsi="Garamond"/>
          <w:color w:val="000000"/>
          <w:szCs w:val="22"/>
          <w:shd w:val="clear" w:color="auto" w:fill="FFFFFF"/>
        </w:rPr>
        <w:t> </w:t>
      </w:r>
    </w:p>
  </w:footnote>
  <w:footnote w:id="41">
    <w:p w14:paraId="27E5894E" w14:textId="77777777" w:rsidR="00CC2E9B" w:rsidRDefault="00CC2E9B" w:rsidP="00CC2E9B">
      <w:pPr>
        <w:pStyle w:val="FootnoteText"/>
      </w:pPr>
      <w:r>
        <w:rPr>
          <w:rStyle w:val="FootnoteReference"/>
        </w:rPr>
        <w:footnoteRef/>
      </w:r>
      <w:r>
        <w:t xml:space="preserve"> PacifiCorp </w:t>
      </w:r>
      <w:r w:rsidRPr="00694C8C">
        <w:t>202</w:t>
      </w:r>
      <w:r>
        <w:t>2</w:t>
      </w:r>
      <w:r w:rsidRPr="00694C8C">
        <w:t xml:space="preserve"> </w:t>
      </w:r>
      <w:r>
        <w:t>Off-Year Supplement to its 2021 Integrated Resource Plan at 6.</w:t>
      </w:r>
    </w:p>
  </w:footnote>
  <w:footnote w:id="42">
    <w:p w14:paraId="74A4D95B" w14:textId="77777777" w:rsidR="00CC2E9B" w:rsidRDefault="00CC2E9B" w:rsidP="00CC2E9B">
      <w:pPr>
        <w:pStyle w:val="FootnoteText"/>
      </w:pPr>
      <w:r>
        <w:rPr>
          <w:rStyle w:val="FootnoteReference"/>
        </w:rPr>
        <w:footnoteRef/>
      </w:r>
      <w:r>
        <w:t xml:space="preserve"> PacifiCorp 2021 Integrated Resource Plan at 338-349.</w:t>
      </w:r>
    </w:p>
  </w:footnote>
  <w:footnote w:id="43">
    <w:p w14:paraId="66156F92" w14:textId="08E7A4A7" w:rsidR="00062946" w:rsidRPr="000F2D61" w:rsidRDefault="00062946" w:rsidP="00B91CAB">
      <w:pPr>
        <w:autoSpaceDE w:val="0"/>
        <w:autoSpaceDN w:val="0"/>
        <w:adjustRightInd w:val="0"/>
        <w:spacing w:line="240" w:lineRule="auto"/>
        <w:ind w:firstLine="0"/>
        <w:rPr>
          <w:rFonts w:cs="BookAntiqua"/>
          <w:color w:val="000000"/>
          <w:sz w:val="22"/>
        </w:rPr>
      </w:pPr>
      <w:r w:rsidRPr="000F2D61">
        <w:rPr>
          <w:rStyle w:val="FootnoteReference"/>
          <w:sz w:val="22"/>
        </w:rPr>
        <w:footnoteRef/>
      </w:r>
      <w:r w:rsidRPr="000F2D61">
        <w:rPr>
          <w:sz w:val="22"/>
        </w:rPr>
        <w:t xml:space="preserve"> </w:t>
      </w:r>
      <w:r w:rsidRPr="000F2D61">
        <w:rPr>
          <w:rFonts w:cs="BookAntiqua"/>
          <w:color w:val="000000"/>
          <w:sz w:val="22"/>
        </w:rPr>
        <w:t>Administrative Law Judge’s Ruling on Renewable Net Short, May</w:t>
      </w:r>
      <w:r w:rsidR="000F2D61">
        <w:rPr>
          <w:rFonts w:cs="BookAntiqua"/>
          <w:color w:val="000000"/>
          <w:sz w:val="22"/>
        </w:rPr>
        <w:t> </w:t>
      </w:r>
      <w:r w:rsidRPr="000F2D61">
        <w:rPr>
          <w:rFonts w:cs="BookAntiqua"/>
          <w:color w:val="000000"/>
          <w:sz w:val="22"/>
        </w:rPr>
        <w:t>21,</w:t>
      </w:r>
      <w:r w:rsidR="000F2D61">
        <w:rPr>
          <w:rFonts w:cs="BookAntiqua"/>
          <w:color w:val="000000"/>
          <w:sz w:val="22"/>
        </w:rPr>
        <w:t> </w:t>
      </w:r>
      <w:r w:rsidRPr="000F2D61">
        <w:rPr>
          <w:rFonts w:cs="BookAntiqua"/>
          <w:color w:val="000000"/>
          <w:sz w:val="22"/>
        </w:rPr>
        <w:t>2014.</w:t>
      </w:r>
    </w:p>
    <w:p w14:paraId="1F6D298F" w14:textId="5F66239B" w:rsidR="00062946" w:rsidRPr="000F2D61" w:rsidRDefault="00062946" w:rsidP="000F2D61">
      <w:pPr>
        <w:pStyle w:val="FootnoteText"/>
        <w:rPr>
          <w:szCs w:val="22"/>
        </w:rPr>
      </w:pPr>
      <w:r w:rsidRPr="000F2D61">
        <w:rPr>
          <w:rFonts w:cs="BookAntiqua"/>
          <w:color w:val="0563C2"/>
          <w:szCs w:val="22"/>
        </w:rPr>
        <w:t>https://docs.cpuc.ca.gov/PublishedDocs/Efile/G000/M091/K331/91331194.PDF</w:t>
      </w:r>
    </w:p>
  </w:footnote>
  <w:footnote w:id="44">
    <w:p w14:paraId="7BAFA391" w14:textId="4A391F6F" w:rsidR="00382BB4" w:rsidRDefault="00382BB4" w:rsidP="00382BB4">
      <w:pPr>
        <w:pStyle w:val="FootnoteText"/>
      </w:pPr>
      <w:r>
        <w:rPr>
          <w:rStyle w:val="FootnoteReference"/>
        </w:rPr>
        <w:footnoteRef/>
      </w:r>
      <w:r>
        <w:t xml:space="preserve"> City of Palmdale draft 2022 RPS Plan at 56.</w:t>
      </w:r>
    </w:p>
  </w:footnote>
  <w:footnote w:id="45">
    <w:p w14:paraId="3605DD1E" w14:textId="1D30D91F" w:rsidR="000F2B1E" w:rsidRPr="002C3EF4" w:rsidRDefault="000F2B1E" w:rsidP="000F2B1E">
      <w:pPr>
        <w:pStyle w:val="FootnoteText"/>
        <w:rPr>
          <w:szCs w:val="22"/>
        </w:rPr>
      </w:pPr>
      <w:r>
        <w:rPr>
          <w:rStyle w:val="FootnoteReference"/>
        </w:rPr>
        <w:footnoteRef/>
      </w:r>
      <w:r>
        <w:t xml:space="preserve"> </w:t>
      </w:r>
      <w:r w:rsidRPr="00A23930">
        <w:rPr>
          <w:color w:val="000000"/>
          <w:szCs w:val="22"/>
        </w:rPr>
        <w:t>202</w:t>
      </w:r>
      <w:r w:rsidR="00DF4140">
        <w:rPr>
          <w:color w:val="000000"/>
          <w:szCs w:val="22"/>
        </w:rPr>
        <w:t>2</w:t>
      </w:r>
      <w:r w:rsidRPr="00A23930">
        <w:rPr>
          <w:color w:val="000000"/>
          <w:szCs w:val="22"/>
        </w:rPr>
        <w:t xml:space="preserve"> ACR at 31-32.</w:t>
      </w:r>
    </w:p>
  </w:footnote>
  <w:footnote w:id="46">
    <w:p w14:paraId="7A4556EB" w14:textId="77777777" w:rsidR="000F2B1E" w:rsidRPr="002C3EF4" w:rsidRDefault="000F2B1E" w:rsidP="000F2B1E">
      <w:pPr>
        <w:pStyle w:val="FootnoteText"/>
        <w:rPr>
          <w:rFonts w:ascii="Garamond" w:hAnsi="Garamond"/>
          <w:szCs w:val="22"/>
        </w:rPr>
      </w:pPr>
      <w:r w:rsidRPr="002C3EF4">
        <w:rPr>
          <w:rStyle w:val="FootnoteReference"/>
          <w:szCs w:val="22"/>
        </w:rPr>
        <w:footnoteRef/>
      </w:r>
      <w:r w:rsidRPr="002C3EF4">
        <w:rPr>
          <w:szCs w:val="22"/>
        </w:rPr>
        <w:t xml:space="preserve"> The Commission </w:t>
      </w:r>
      <w:r>
        <w:rPr>
          <w:szCs w:val="22"/>
        </w:rPr>
        <w:t xml:space="preserve">directed </w:t>
      </w:r>
      <w:r w:rsidRPr="002C3EF4">
        <w:rPr>
          <w:szCs w:val="22"/>
        </w:rPr>
        <w:t>all retail sellers to analyze the impact of economic curtailment, overgeneration or oversupply events on their resource portfolios in their future Renewables Portfolio Standard Procurement Plans in D.12-12-042</w:t>
      </w:r>
      <w:r>
        <w:rPr>
          <w:szCs w:val="22"/>
        </w:rPr>
        <w:t xml:space="preserve"> at </w:t>
      </w:r>
      <w:r w:rsidRPr="002C3EF4">
        <w:rPr>
          <w:szCs w:val="22"/>
        </w:rPr>
        <w:t>OP 20.</w:t>
      </w:r>
    </w:p>
  </w:footnote>
  <w:footnote w:id="47">
    <w:p w14:paraId="5124629E" w14:textId="77777777" w:rsidR="000F2B1E" w:rsidRDefault="000F2B1E" w:rsidP="000F2B1E">
      <w:pPr>
        <w:pStyle w:val="FootnoteText"/>
      </w:pPr>
      <w:r>
        <w:rPr>
          <w:rStyle w:val="FootnoteReference"/>
        </w:rPr>
        <w:footnoteRef/>
      </w:r>
      <w:r>
        <w:t xml:space="preserve"> For example, Constellation NewEnergy Draft RPS Plan at 70-72, Pilot Power Group Draft RPS Plan at 22.</w:t>
      </w:r>
    </w:p>
  </w:footnote>
  <w:footnote w:id="48">
    <w:p w14:paraId="0D718ECF" w14:textId="77777777" w:rsidR="000F2B1E" w:rsidRDefault="000F2B1E" w:rsidP="000F2B1E">
      <w:pPr>
        <w:pStyle w:val="FootnoteText"/>
      </w:pPr>
      <w:r>
        <w:rPr>
          <w:rStyle w:val="FootnoteReference"/>
        </w:rPr>
        <w:footnoteRef/>
      </w:r>
      <w:r>
        <w:t xml:space="preserve"> D.22-04-035 at OP 2. </w:t>
      </w:r>
    </w:p>
  </w:footnote>
  <w:footnote w:id="49">
    <w:p w14:paraId="588058F0" w14:textId="2652026C" w:rsidR="000F2B1E" w:rsidRDefault="000F2B1E" w:rsidP="000F2B1E">
      <w:pPr>
        <w:pStyle w:val="FootnoteText"/>
      </w:pPr>
      <w:r>
        <w:rPr>
          <w:rStyle w:val="FootnoteReference"/>
        </w:rPr>
        <w:footnoteRef/>
      </w:r>
      <w:r>
        <w:t xml:space="preserve"> </w:t>
      </w:r>
      <w:r w:rsidRPr="003C061E">
        <w:rPr>
          <w:i/>
          <w:iCs/>
        </w:rPr>
        <w:t>See</w:t>
      </w:r>
      <w:r>
        <w:t xml:space="preserve"> CleanPowerSF Draft 2022 RPS Plan, at 6</w:t>
      </w:r>
      <w:r w:rsidR="00DB5458">
        <w:t xml:space="preserve"> fn. 10</w:t>
      </w:r>
      <w:r>
        <w:t xml:space="preserve">. </w:t>
      </w:r>
    </w:p>
  </w:footnote>
  <w:footnote w:id="50">
    <w:p w14:paraId="6C2C12F9" w14:textId="329DCA77" w:rsidR="005A3805" w:rsidRDefault="005A3805" w:rsidP="005A3805">
      <w:pPr>
        <w:pStyle w:val="FootnoteText"/>
      </w:pPr>
      <w:r>
        <w:rPr>
          <w:rStyle w:val="FootnoteReference"/>
        </w:rPr>
        <w:footnoteRef/>
      </w:r>
      <w:r>
        <w:t xml:space="preserve"> 2022 ACR at 40. </w:t>
      </w:r>
    </w:p>
  </w:footnote>
  <w:footnote w:id="51">
    <w:p w14:paraId="102D31B9" w14:textId="5B7975DA" w:rsidR="00FF2ABF" w:rsidRPr="00101D91" w:rsidRDefault="00FF2ABF" w:rsidP="00101D91">
      <w:pPr>
        <w:pStyle w:val="NormalWeb"/>
        <w:spacing w:before="0" w:beforeAutospacing="0" w:after="120" w:afterAutospacing="0"/>
        <w:rPr>
          <w:rFonts w:ascii="Book Antiqua" w:hAnsi="Book Antiqua" w:cs="Segoe UI"/>
          <w:sz w:val="22"/>
          <w:szCs w:val="22"/>
        </w:rPr>
      </w:pPr>
      <w:r w:rsidRPr="00101D91">
        <w:rPr>
          <w:rStyle w:val="FootnoteReference"/>
          <w:rFonts w:ascii="Book Antiqua" w:hAnsi="Book Antiqua"/>
          <w:sz w:val="22"/>
          <w:szCs w:val="22"/>
        </w:rPr>
        <w:footnoteRef/>
      </w:r>
      <w:r w:rsidRPr="00101D91">
        <w:rPr>
          <w:rFonts w:ascii="Book Antiqua" w:hAnsi="Book Antiqua"/>
          <w:sz w:val="22"/>
          <w:szCs w:val="22"/>
        </w:rPr>
        <w:t xml:space="preserve"> </w:t>
      </w:r>
      <w:r w:rsidR="00AB76A1" w:rsidRPr="00101D91">
        <w:rPr>
          <w:rFonts w:ascii="Book Antiqua" w:hAnsi="Book Antiqua" w:cs="Segoe UI"/>
          <w:sz w:val="22"/>
          <w:szCs w:val="22"/>
        </w:rPr>
        <w:t>Both SCE and PG&amp;E asked for authorization to bid into the other IOUs’ Market Offer process</w:t>
      </w:r>
      <w:r w:rsidR="00F46F00" w:rsidRPr="00101D91">
        <w:rPr>
          <w:rFonts w:ascii="Book Antiqua" w:hAnsi="Book Antiqua" w:cs="Segoe UI"/>
          <w:sz w:val="22"/>
          <w:szCs w:val="22"/>
        </w:rPr>
        <w:t xml:space="preserve"> in </w:t>
      </w:r>
      <w:r w:rsidR="004B6CD5" w:rsidRPr="00101D91">
        <w:rPr>
          <w:rFonts w:ascii="Book Antiqua" w:hAnsi="Book Antiqua" w:cs="Segoe UI"/>
          <w:sz w:val="22"/>
          <w:szCs w:val="22"/>
        </w:rPr>
        <w:t xml:space="preserve">comments on </w:t>
      </w:r>
      <w:r w:rsidR="00E42C81" w:rsidRPr="00101D91">
        <w:rPr>
          <w:rFonts w:ascii="Book Antiqua" w:hAnsi="Book Antiqua" w:cs="Segoe UI"/>
          <w:sz w:val="22"/>
          <w:szCs w:val="22"/>
        </w:rPr>
        <w:t>D.</w:t>
      </w:r>
      <w:r w:rsidR="00E42C81" w:rsidRPr="00101D91">
        <w:rPr>
          <w:rFonts w:ascii="Book Antiqua" w:hAnsi="Book Antiqua"/>
          <w:sz w:val="22"/>
          <w:szCs w:val="22"/>
        </w:rPr>
        <w:t xml:space="preserve"> 22-11-021</w:t>
      </w:r>
      <w:r w:rsidR="00AB76A1" w:rsidRPr="00101D91">
        <w:rPr>
          <w:rFonts w:ascii="Book Antiqua" w:hAnsi="Book Antiqua" w:cs="Segoe UI"/>
          <w:sz w:val="22"/>
          <w:szCs w:val="22"/>
        </w:rPr>
        <w:t xml:space="preserve">. </w:t>
      </w:r>
      <w:r w:rsidR="00101D91">
        <w:rPr>
          <w:rFonts w:ascii="Book Antiqua" w:hAnsi="Book Antiqua" w:cs="Segoe UI"/>
          <w:sz w:val="22"/>
          <w:szCs w:val="22"/>
        </w:rPr>
        <w:t xml:space="preserve"> </w:t>
      </w:r>
      <w:r w:rsidR="00AB76A1" w:rsidRPr="00101D91">
        <w:rPr>
          <w:rFonts w:ascii="Book Antiqua" w:hAnsi="Book Antiqua" w:cs="Segoe UI"/>
          <w:sz w:val="22"/>
          <w:szCs w:val="22"/>
        </w:rPr>
        <w:t xml:space="preserve">(SCE Opening Comment </w:t>
      </w:r>
      <w:r w:rsidR="00502AA1" w:rsidRPr="00101D91">
        <w:rPr>
          <w:rFonts w:ascii="Book Antiqua" w:hAnsi="Book Antiqua" w:cs="Segoe UI"/>
          <w:sz w:val="22"/>
          <w:szCs w:val="22"/>
        </w:rPr>
        <w:t>to D.</w:t>
      </w:r>
      <w:r w:rsidR="00502AA1" w:rsidRPr="00101D91">
        <w:rPr>
          <w:rFonts w:ascii="Book Antiqua" w:hAnsi="Book Antiqua"/>
          <w:sz w:val="22"/>
          <w:szCs w:val="22"/>
        </w:rPr>
        <w:t xml:space="preserve">22-11-021 </w:t>
      </w:r>
      <w:r w:rsidR="00AB76A1" w:rsidRPr="00101D91">
        <w:rPr>
          <w:rFonts w:ascii="Book Antiqua" w:hAnsi="Book Antiqua" w:cs="Segoe UI"/>
          <w:sz w:val="22"/>
          <w:szCs w:val="22"/>
        </w:rPr>
        <w:t xml:space="preserve">at 10-11 and PG&amp;E Opening Comment </w:t>
      </w:r>
      <w:r w:rsidR="00502AA1" w:rsidRPr="00101D91">
        <w:rPr>
          <w:rFonts w:ascii="Book Antiqua" w:hAnsi="Book Antiqua" w:cs="Segoe UI"/>
          <w:sz w:val="22"/>
          <w:szCs w:val="22"/>
        </w:rPr>
        <w:t>to D.</w:t>
      </w:r>
      <w:r w:rsidR="00502AA1" w:rsidRPr="00101D91">
        <w:rPr>
          <w:rFonts w:ascii="Book Antiqua" w:hAnsi="Book Antiqua"/>
          <w:sz w:val="22"/>
          <w:szCs w:val="22"/>
        </w:rPr>
        <w:t xml:space="preserve">22-11-021 </w:t>
      </w:r>
      <w:r w:rsidR="00AB76A1" w:rsidRPr="00101D91">
        <w:rPr>
          <w:rFonts w:ascii="Book Antiqua" w:hAnsi="Book Antiqua" w:cs="Segoe UI"/>
          <w:sz w:val="22"/>
          <w:szCs w:val="22"/>
        </w:rPr>
        <w:t xml:space="preserve">at 10-11). </w:t>
      </w:r>
      <w:r w:rsidR="00101D91">
        <w:rPr>
          <w:rFonts w:ascii="Book Antiqua" w:hAnsi="Book Antiqua" w:cs="Segoe UI"/>
          <w:sz w:val="22"/>
          <w:szCs w:val="22"/>
        </w:rPr>
        <w:t xml:space="preserve"> </w:t>
      </w:r>
      <w:r w:rsidR="003A5FC3" w:rsidRPr="00101D91">
        <w:rPr>
          <w:rFonts w:ascii="Book Antiqua" w:hAnsi="Book Antiqua"/>
          <w:sz w:val="22"/>
          <w:szCs w:val="22"/>
        </w:rPr>
        <w:t>D.22-11-021 determined that such a request was beyond the scope of Track 1, as opposed to this Track 2 decision focused on procurement plans.</w:t>
      </w:r>
    </w:p>
  </w:footnote>
  <w:footnote w:id="52">
    <w:p w14:paraId="157968F3" w14:textId="172A5FC2" w:rsidR="002C733E" w:rsidRPr="009B5F38" w:rsidRDefault="002C733E">
      <w:pPr>
        <w:pStyle w:val="FootnoteText"/>
        <w:rPr>
          <w:lang w:val="en-ZW"/>
        </w:rPr>
      </w:pPr>
      <w:r>
        <w:rPr>
          <w:rStyle w:val="FootnoteReference"/>
        </w:rPr>
        <w:footnoteRef/>
      </w:r>
      <w:r>
        <w:t xml:space="preserve"> D.21-05-031 at 25.</w:t>
      </w:r>
    </w:p>
  </w:footnote>
  <w:footnote w:id="53">
    <w:p w14:paraId="770C45A9" w14:textId="77777777" w:rsidR="0021315D" w:rsidRPr="005B1AF4" w:rsidRDefault="0021315D" w:rsidP="0021315D">
      <w:pPr>
        <w:pStyle w:val="FootnoteText"/>
        <w:rPr>
          <w:lang w:val="en-ZW"/>
        </w:rPr>
      </w:pPr>
      <w:r>
        <w:rPr>
          <w:rStyle w:val="FootnoteReference"/>
        </w:rPr>
        <w:footnoteRef/>
      </w:r>
      <w:r>
        <w:t xml:space="preserve"> </w:t>
      </w:r>
      <w:r>
        <w:rPr>
          <w:lang w:val="en-ZW"/>
        </w:rPr>
        <w:t>Long-term contracts are contracts greater than five years.</w:t>
      </w:r>
    </w:p>
  </w:footnote>
  <w:footnote w:id="54">
    <w:p w14:paraId="2CD96606" w14:textId="1BB94C9A" w:rsidR="0021315D" w:rsidRPr="006E4510" w:rsidRDefault="0021315D">
      <w:pPr>
        <w:pStyle w:val="FootnoteText"/>
        <w:rPr>
          <w:lang w:val="en-ZW"/>
        </w:rPr>
      </w:pPr>
      <w:r>
        <w:rPr>
          <w:rStyle w:val="FootnoteReference"/>
        </w:rPr>
        <w:footnoteRef/>
      </w:r>
      <w:r>
        <w:t xml:space="preserve"> </w:t>
      </w:r>
      <w:r>
        <w:rPr>
          <w:lang w:val="en-ZW"/>
        </w:rPr>
        <w:t>D.14-11-042 at 7</w:t>
      </w:r>
      <w:r w:rsidR="007C4068">
        <w:rPr>
          <w:lang w:val="en-ZW"/>
        </w:rPr>
        <w:t>4-78</w:t>
      </w:r>
      <w:r>
        <w:rPr>
          <w:lang w:val="en-Z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C83"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rsidR="007E0FEE">
      <w:tab/>
    </w:r>
    <w:r>
      <w:rPr>
        <w:b/>
      </w:rPr>
      <w:t>PROPOSED DECISION</w:t>
    </w:r>
  </w:p>
  <w:p w14:paraId="4D713703"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71C0" w14:textId="1BBFEAC5"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9CE" w14:textId="4106AB0E" w:rsidR="00CC3059" w:rsidRPr="0064257A" w:rsidRDefault="00CC3059" w:rsidP="00B3087D">
    <w:pPr>
      <w:pStyle w:val="Header"/>
      <w:tabs>
        <w:tab w:val="clear" w:pos="4680"/>
      </w:tabs>
      <w:ind w:firstLine="0"/>
      <w:rPr>
        <w:b/>
      </w:rPr>
    </w:pPr>
    <w:r>
      <w:t xml:space="preserve">R.18-07-003  ALJ/ML2/NIL/jnf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F19" w14:textId="35FFEE8A" w:rsidR="00FE2351" w:rsidRPr="0064257A" w:rsidRDefault="00CC3059" w:rsidP="0064257A">
    <w:pPr>
      <w:pStyle w:val="Header"/>
      <w:tabs>
        <w:tab w:val="clear" w:pos="4680"/>
      </w:tabs>
      <w:ind w:firstLine="0"/>
      <w:rPr>
        <w:b/>
      </w:rPr>
    </w:pPr>
    <w:r>
      <w:t xml:space="preserve">R.18-07-003  ALJ/ML2/NIL/jnf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3DD"/>
    <w:multiLevelType w:val="hybridMultilevel"/>
    <w:tmpl w:val="223A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7936"/>
    <w:multiLevelType w:val="hybridMultilevel"/>
    <w:tmpl w:val="5CD8549E"/>
    <w:lvl w:ilvl="0" w:tplc="2D88F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80B7A"/>
    <w:multiLevelType w:val="hybridMultilevel"/>
    <w:tmpl w:val="AE04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1FC7"/>
    <w:multiLevelType w:val="hybridMultilevel"/>
    <w:tmpl w:val="B680C5B4"/>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46C1C14"/>
    <w:multiLevelType w:val="multilevel"/>
    <w:tmpl w:val="18F4A5AC"/>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4924E65"/>
    <w:multiLevelType w:val="hybridMultilevel"/>
    <w:tmpl w:val="B680C5B4"/>
    <w:lvl w:ilvl="0" w:tplc="FFFFFFFF">
      <w:start w:val="1"/>
      <w:numFmt w:val="decimal"/>
      <w:lvlText w:val="%1."/>
      <w:lvlJc w:val="left"/>
      <w:pPr>
        <w:ind w:left="12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15F056CB"/>
    <w:multiLevelType w:val="multilevel"/>
    <w:tmpl w:val="18F4A5AC"/>
    <w:numStyleLink w:val="FoFCoLOP"/>
  </w:abstractNum>
  <w:abstractNum w:abstractNumId="8" w15:restartNumberingAfterBreak="0">
    <w:nsid w:val="1CAC2C0F"/>
    <w:multiLevelType w:val="multilevel"/>
    <w:tmpl w:val="EB628E08"/>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3."/>
      <w:lvlJc w:val="left"/>
      <w:pPr>
        <w:ind w:left="1080" w:hanging="360"/>
      </w:p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9" w15:restartNumberingAfterBreak="0">
    <w:nsid w:val="1CF8055C"/>
    <w:multiLevelType w:val="hybridMultilevel"/>
    <w:tmpl w:val="2A00C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8D62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C71CB"/>
    <w:multiLevelType w:val="hybridMultilevel"/>
    <w:tmpl w:val="7D62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44D2"/>
    <w:multiLevelType w:val="hybridMultilevel"/>
    <w:tmpl w:val="BCF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9E41DA3"/>
    <w:multiLevelType w:val="hybridMultilevel"/>
    <w:tmpl w:val="3CCCB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7B33C"/>
    <w:multiLevelType w:val="hybridMultilevel"/>
    <w:tmpl w:val="FFFFFFFF"/>
    <w:lvl w:ilvl="0" w:tplc="65AAAACA">
      <w:start w:val="1"/>
      <w:numFmt w:val="decimal"/>
      <w:lvlText w:val="%1."/>
      <w:lvlJc w:val="left"/>
      <w:pPr>
        <w:ind w:left="720" w:hanging="360"/>
      </w:pPr>
    </w:lvl>
    <w:lvl w:ilvl="1" w:tplc="7D627B54">
      <w:numFmt w:val="none"/>
      <w:lvlText w:val=""/>
      <w:lvlJc w:val="left"/>
      <w:pPr>
        <w:tabs>
          <w:tab w:val="num" w:pos="360"/>
        </w:tabs>
      </w:pPr>
    </w:lvl>
    <w:lvl w:ilvl="2" w:tplc="BA62EFCE">
      <w:start w:val="1"/>
      <w:numFmt w:val="lowerRoman"/>
      <w:lvlText w:val="%3."/>
      <w:lvlJc w:val="right"/>
      <w:pPr>
        <w:ind w:left="2160" w:hanging="180"/>
      </w:pPr>
    </w:lvl>
    <w:lvl w:ilvl="3" w:tplc="3F5E75D4">
      <w:start w:val="1"/>
      <w:numFmt w:val="decimal"/>
      <w:lvlText w:val="%4."/>
      <w:lvlJc w:val="left"/>
      <w:pPr>
        <w:ind w:left="2880" w:hanging="360"/>
      </w:pPr>
    </w:lvl>
    <w:lvl w:ilvl="4" w:tplc="CBAC3C94">
      <w:start w:val="1"/>
      <w:numFmt w:val="lowerLetter"/>
      <w:lvlText w:val="%5."/>
      <w:lvlJc w:val="left"/>
      <w:pPr>
        <w:ind w:left="3600" w:hanging="360"/>
      </w:pPr>
    </w:lvl>
    <w:lvl w:ilvl="5" w:tplc="7E8E9E84">
      <w:start w:val="1"/>
      <w:numFmt w:val="lowerRoman"/>
      <w:lvlText w:val="%6."/>
      <w:lvlJc w:val="right"/>
      <w:pPr>
        <w:ind w:left="4320" w:hanging="180"/>
      </w:pPr>
    </w:lvl>
    <w:lvl w:ilvl="6" w:tplc="C1A0A090">
      <w:start w:val="1"/>
      <w:numFmt w:val="decimal"/>
      <w:lvlText w:val="%7."/>
      <w:lvlJc w:val="left"/>
      <w:pPr>
        <w:ind w:left="5040" w:hanging="360"/>
      </w:pPr>
    </w:lvl>
    <w:lvl w:ilvl="7" w:tplc="401E5458">
      <w:start w:val="1"/>
      <w:numFmt w:val="lowerLetter"/>
      <w:lvlText w:val="%8."/>
      <w:lvlJc w:val="left"/>
      <w:pPr>
        <w:ind w:left="5760" w:hanging="360"/>
      </w:pPr>
    </w:lvl>
    <w:lvl w:ilvl="8" w:tplc="1DCEE324">
      <w:start w:val="1"/>
      <w:numFmt w:val="lowerRoman"/>
      <w:lvlText w:val="%9."/>
      <w:lvlJc w:val="right"/>
      <w:pPr>
        <w:ind w:left="6480" w:hanging="180"/>
      </w:pPr>
    </w:lvl>
  </w:abstractNum>
  <w:abstractNum w:abstractNumId="16" w15:restartNumberingAfterBreak="0">
    <w:nsid w:val="40A946D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E1132"/>
    <w:multiLevelType w:val="hybridMultilevel"/>
    <w:tmpl w:val="81D0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BF7911"/>
    <w:multiLevelType w:val="hybridMultilevel"/>
    <w:tmpl w:val="B34E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35F37"/>
    <w:multiLevelType w:val="hybridMultilevel"/>
    <w:tmpl w:val="E216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59997"/>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9E2171"/>
    <w:multiLevelType w:val="multilevel"/>
    <w:tmpl w:val="3C526EDE"/>
    <w:numStyleLink w:val="Headings"/>
  </w:abstractNum>
  <w:abstractNum w:abstractNumId="22" w15:restartNumberingAfterBreak="0">
    <w:nsid w:val="5EB6DC01"/>
    <w:multiLevelType w:val="hybridMultilevel"/>
    <w:tmpl w:val="FFFFFFFF"/>
    <w:lvl w:ilvl="0" w:tplc="5B8216DC">
      <w:start w:val="1"/>
      <w:numFmt w:val="bullet"/>
      <w:lvlText w:val=""/>
      <w:lvlJc w:val="left"/>
      <w:pPr>
        <w:ind w:left="720" w:hanging="360"/>
      </w:pPr>
      <w:rPr>
        <w:rFonts w:ascii="Symbol" w:hAnsi="Symbol" w:hint="default"/>
      </w:rPr>
    </w:lvl>
    <w:lvl w:ilvl="1" w:tplc="54EA1D1A">
      <w:start w:val="1"/>
      <w:numFmt w:val="bullet"/>
      <w:lvlText w:val="o"/>
      <w:lvlJc w:val="left"/>
      <w:pPr>
        <w:ind w:left="1440" w:hanging="360"/>
      </w:pPr>
      <w:rPr>
        <w:rFonts w:ascii="Courier New" w:hAnsi="Courier New" w:hint="default"/>
      </w:rPr>
    </w:lvl>
    <w:lvl w:ilvl="2" w:tplc="F3DAAF28">
      <w:start w:val="1"/>
      <w:numFmt w:val="bullet"/>
      <w:lvlText w:val=""/>
      <w:lvlJc w:val="left"/>
      <w:pPr>
        <w:ind w:left="2160" w:hanging="360"/>
      </w:pPr>
      <w:rPr>
        <w:rFonts w:ascii="Wingdings" w:hAnsi="Wingdings" w:hint="default"/>
      </w:rPr>
    </w:lvl>
    <w:lvl w:ilvl="3" w:tplc="0ACE016C">
      <w:start w:val="1"/>
      <w:numFmt w:val="bullet"/>
      <w:lvlText w:val=""/>
      <w:lvlJc w:val="left"/>
      <w:pPr>
        <w:ind w:left="2880" w:hanging="360"/>
      </w:pPr>
      <w:rPr>
        <w:rFonts w:ascii="Symbol" w:hAnsi="Symbol" w:hint="default"/>
      </w:rPr>
    </w:lvl>
    <w:lvl w:ilvl="4" w:tplc="DB9C9B24">
      <w:start w:val="1"/>
      <w:numFmt w:val="bullet"/>
      <w:lvlText w:val="o"/>
      <w:lvlJc w:val="left"/>
      <w:pPr>
        <w:ind w:left="3600" w:hanging="360"/>
      </w:pPr>
      <w:rPr>
        <w:rFonts w:ascii="Courier New" w:hAnsi="Courier New" w:hint="default"/>
      </w:rPr>
    </w:lvl>
    <w:lvl w:ilvl="5" w:tplc="1A56CA66">
      <w:start w:val="1"/>
      <w:numFmt w:val="bullet"/>
      <w:lvlText w:val=""/>
      <w:lvlJc w:val="left"/>
      <w:pPr>
        <w:ind w:left="4320" w:hanging="360"/>
      </w:pPr>
      <w:rPr>
        <w:rFonts w:ascii="Wingdings" w:hAnsi="Wingdings" w:hint="default"/>
      </w:rPr>
    </w:lvl>
    <w:lvl w:ilvl="6" w:tplc="26E80E3C">
      <w:start w:val="1"/>
      <w:numFmt w:val="bullet"/>
      <w:lvlText w:val=""/>
      <w:lvlJc w:val="left"/>
      <w:pPr>
        <w:ind w:left="5040" w:hanging="360"/>
      </w:pPr>
      <w:rPr>
        <w:rFonts w:ascii="Symbol" w:hAnsi="Symbol" w:hint="default"/>
      </w:rPr>
    </w:lvl>
    <w:lvl w:ilvl="7" w:tplc="8B82879C">
      <w:start w:val="1"/>
      <w:numFmt w:val="bullet"/>
      <w:lvlText w:val="o"/>
      <w:lvlJc w:val="left"/>
      <w:pPr>
        <w:ind w:left="5760" w:hanging="360"/>
      </w:pPr>
      <w:rPr>
        <w:rFonts w:ascii="Courier New" w:hAnsi="Courier New" w:hint="default"/>
      </w:rPr>
    </w:lvl>
    <w:lvl w:ilvl="8" w:tplc="EDC64490">
      <w:start w:val="1"/>
      <w:numFmt w:val="bullet"/>
      <w:lvlText w:val=""/>
      <w:lvlJc w:val="left"/>
      <w:pPr>
        <w:ind w:left="6480" w:hanging="360"/>
      </w:pPr>
      <w:rPr>
        <w:rFonts w:ascii="Wingdings" w:hAnsi="Wingdings" w:hint="default"/>
      </w:rPr>
    </w:lvl>
  </w:abstractNum>
  <w:abstractNum w:abstractNumId="23" w15:restartNumberingAfterBreak="0">
    <w:nsid w:val="5EF9EE0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A25780"/>
    <w:multiLevelType w:val="multilevel"/>
    <w:tmpl w:val="4F10675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5" w15:restartNumberingAfterBreak="0">
    <w:nsid w:val="63CC6717"/>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AD25FE"/>
    <w:multiLevelType w:val="hybridMultilevel"/>
    <w:tmpl w:val="32D45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C4C00"/>
    <w:multiLevelType w:val="hybridMultilevel"/>
    <w:tmpl w:val="6B6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AD452"/>
    <w:multiLevelType w:val="hybridMultilevel"/>
    <w:tmpl w:val="FFFFFFFF"/>
    <w:lvl w:ilvl="0" w:tplc="BC885E6C">
      <w:start w:val="1"/>
      <w:numFmt w:val="bullet"/>
      <w:lvlText w:val=""/>
      <w:lvlJc w:val="left"/>
      <w:pPr>
        <w:ind w:left="720" w:hanging="360"/>
      </w:pPr>
      <w:rPr>
        <w:rFonts w:ascii="Symbol" w:hAnsi="Symbol" w:hint="default"/>
      </w:rPr>
    </w:lvl>
    <w:lvl w:ilvl="1" w:tplc="BEAC6260">
      <w:start w:val="1"/>
      <w:numFmt w:val="bullet"/>
      <w:lvlText w:val="o"/>
      <w:lvlJc w:val="left"/>
      <w:pPr>
        <w:ind w:left="1440" w:hanging="360"/>
      </w:pPr>
      <w:rPr>
        <w:rFonts w:ascii="Courier New" w:hAnsi="Courier New" w:hint="default"/>
      </w:rPr>
    </w:lvl>
    <w:lvl w:ilvl="2" w:tplc="7B4CA36A">
      <w:start w:val="1"/>
      <w:numFmt w:val="bullet"/>
      <w:lvlText w:val=""/>
      <w:lvlJc w:val="left"/>
      <w:pPr>
        <w:ind w:left="2160" w:hanging="360"/>
      </w:pPr>
      <w:rPr>
        <w:rFonts w:ascii="Wingdings" w:hAnsi="Wingdings" w:hint="default"/>
      </w:rPr>
    </w:lvl>
    <w:lvl w:ilvl="3" w:tplc="8BBC210C">
      <w:start w:val="1"/>
      <w:numFmt w:val="bullet"/>
      <w:lvlText w:val=""/>
      <w:lvlJc w:val="left"/>
      <w:pPr>
        <w:ind w:left="2880" w:hanging="360"/>
      </w:pPr>
      <w:rPr>
        <w:rFonts w:ascii="Symbol" w:hAnsi="Symbol" w:hint="default"/>
      </w:rPr>
    </w:lvl>
    <w:lvl w:ilvl="4" w:tplc="1FC4F168">
      <w:start w:val="1"/>
      <w:numFmt w:val="bullet"/>
      <w:lvlText w:val="o"/>
      <w:lvlJc w:val="left"/>
      <w:pPr>
        <w:ind w:left="3600" w:hanging="360"/>
      </w:pPr>
      <w:rPr>
        <w:rFonts w:ascii="Courier New" w:hAnsi="Courier New" w:hint="default"/>
      </w:rPr>
    </w:lvl>
    <w:lvl w:ilvl="5" w:tplc="BD2E3F38">
      <w:start w:val="1"/>
      <w:numFmt w:val="bullet"/>
      <w:lvlText w:val=""/>
      <w:lvlJc w:val="left"/>
      <w:pPr>
        <w:ind w:left="4320" w:hanging="360"/>
      </w:pPr>
      <w:rPr>
        <w:rFonts w:ascii="Wingdings" w:hAnsi="Wingdings" w:hint="default"/>
      </w:rPr>
    </w:lvl>
    <w:lvl w:ilvl="6" w:tplc="A48064F0">
      <w:start w:val="1"/>
      <w:numFmt w:val="bullet"/>
      <w:lvlText w:val=""/>
      <w:lvlJc w:val="left"/>
      <w:pPr>
        <w:ind w:left="5040" w:hanging="360"/>
      </w:pPr>
      <w:rPr>
        <w:rFonts w:ascii="Symbol" w:hAnsi="Symbol" w:hint="default"/>
      </w:rPr>
    </w:lvl>
    <w:lvl w:ilvl="7" w:tplc="D1D801F6">
      <w:start w:val="1"/>
      <w:numFmt w:val="bullet"/>
      <w:lvlText w:val="o"/>
      <w:lvlJc w:val="left"/>
      <w:pPr>
        <w:ind w:left="5760" w:hanging="360"/>
      </w:pPr>
      <w:rPr>
        <w:rFonts w:ascii="Courier New" w:hAnsi="Courier New" w:hint="default"/>
      </w:rPr>
    </w:lvl>
    <w:lvl w:ilvl="8" w:tplc="B296B064">
      <w:start w:val="1"/>
      <w:numFmt w:val="bullet"/>
      <w:lvlText w:val=""/>
      <w:lvlJc w:val="left"/>
      <w:pPr>
        <w:ind w:left="6480" w:hanging="360"/>
      </w:pPr>
      <w:rPr>
        <w:rFonts w:ascii="Wingdings" w:hAnsi="Wingdings" w:hint="default"/>
      </w:rPr>
    </w:lvl>
  </w:abstractNum>
  <w:abstractNum w:abstractNumId="29" w15:restartNumberingAfterBreak="0">
    <w:nsid w:val="7C6E7954"/>
    <w:multiLevelType w:val="hybridMultilevel"/>
    <w:tmpl w:val="FFFFFFFF"/>
    <w:lvl w:ilvl="0" w:tplc="AAB0CA68">
      <w:start w:val="1"/>
      <w:numFmt w:val="decimal"/>
      <w:lvlText w:val="%1."/>
      <w:lvlJc w:val="left"/>
      <w:pPr>
        <w:ind w:left="720" w:hanging="360"/>
      </w:pPr>
    </w:lvl>
    <w:lvl w:ilvl="1" w:tplc="8CE4B064">
      <w:start w:val="1"/>
      <w:numFmt w:val="lowerLetter"/>
      <w:lvlText w:val="%2."/>
      <w:lvlJc w:val="left"/>
      <w:pPr>
        <w:ind w:left="1440" w:hanging="360"/>
      </w:pPr>
    </w:lvl>
    <w:lvl w:ilvl="2" w:tplc="7D72EAA4">
      <w:start w:val="1"/>
      <w:numFmt w:val="lowerRoman"/>
      <w:lvlText w:val="%3."/>
      <w:lvlJc w:val="right"/>
      <w:pPr>
        <w:ind w:left="2160" w:hanging="180"/>
      </w:pPr>
    </w:lvl>
    <w:lvl w:ilvl="3" w:tplc="2F6495EA">
      <w:start w:val="1"/>
      <w:numFmt w:val="decimal"/>
      <w:lvlText w:val="%4."/>
      <w:lvlJc w:val="left"/>
      <w:pPr>
        <w:ind w:left="2880" w:hanging="360"/>
      </w:pPr>
    </w:lvl>
    <w:lvl w:ilvl="4" w:tplc="D56042F0">
      <w:start w:val="1"/>
      <w:numFmt w:val="lowerLetter"/>
      <w:lvlText w:val="%5."/>
      <w:lvlJc w:val="left"/>
      <w:pPr>
        <w:ind w:left="3600" w:hanging="360"/>
      </w:pPr>
    </w:lvl>
    <w:lvl w:ilvl="5" w:tplc="66A8B3A6">
      <w:start w:val="1"/>
      <w:numFmt w:val="lowerRoman"/>
      <w:lvlText w:val="%6."/>
      <w:lvlJc w:val="right"/>
      <w:pPr>
        <w:ind w:left="4320" w:hanging="180"/>
      </w:pPr>
    </w:lvl>
    <w:lvl w:ilvl="6" w:tplc="65C84822">
      <w:start w:val="1"/>
      <w:numFmt w:val="decimal"/>
      <w:lvlText w:val="%7."/>
      <w:lvlJc w:val="left"/>
      <w:pPr>
        <w:ind w:left="5040" w:hanging="360"/>
      </w:pPr>
    </w:lvl>
    <w:lvl w:ilvl="7" w:tplc="B17690F0">
      <w:start w:val="1"/>
      <w:numFmt w:val="lowerLetter"/>
      <w:lvlText w:val="%8."/>
      <w:lvlJc w:val="left"/>
      <w:pPr>
        <w:ind w:left="5760" w:hanging="360"/>
      </w:pPr>
    </w:lvl>
    <w:lvl w:ilvl="8" w:tplc="C3029AAE">
      <w:start w:val="1"/>
      <w:numFmt w:val="lowerRoman"/>
      <w:lvlText w:val="%9."/>
      <w:lvlJc w:val="right"/>
      <w:pPr>
        <w:ind w:left="6480" w:hanging="180"/>
      </w:pPr>
    </w:lvl>
  </w:abstractNum>
  <w:abstractNum w:abstractNumId="30" w15:restartNumberingAfterBreak="0">
    <w:nsid w:val="7E1E1A12"/>
    <w:multiLevelType w:val="hybridMultilevel"/>
    <w:tmpl w:val="9984E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083CF3"/>
    <w:multiLevelType w:val="hybridMultilevel"/>
    <w:tmpl w:val="EF7CF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4050888">
    <w:abstractNumId w:val="15"/>
  </w:num>
  <w:num w:numId="2" w16cid:durableId="580024487">
    <w:abstractNumId w:val="21"/>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num>
  <w:num w:numId="3" w16cid:durableId="1126433324">
    <w:abstractNumId w:val="5"/>
  </w:num>
  <w:num w:numId="4" w16cid:durableId="2085372330">
    <w:abstractNumId w:val="7"/>
  </w:num>
  <w:num w:numId="5" w16cid:durableId="1374621473">
    <w:abstractNumId w:val="13"/>
  </w:num>
  <w:num w:numId="6" w16cid:durableId="250744190">
    <w:abstractNumId w:val="0"/>
  </w:num>
  <w:num w:numId="7" w16cid:durableId="1634942672">
    <w:abstractNumId w:val="24"/>
  </w:num>
  <w:num w:numId="8" w16cid:durableId="1934623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889522">
    <w:abstractNumId w:val="31"/>
  </w:num>
  <w:num w:numId="10" w16cid:durableId="1252473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105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83926">
    <w:abstractNumId w:val="8"/>
  </w:num>
  <w:num w:numId="13" w16cid:durableId="1634559659">
    <w:abstractNumId w:val="17"/>
  </w:num>
  <w:num w:numId="14" w16cid:durableId="382216903">
    <w:abstractNumId w:val="2"/>
  </w:num>
  <w:num w:numId="15" w16cid:durableId="1976911457">
    <w:abstractNumId w:val="27"/>
  </w:num>
  <w:num w:numId="16" w16cid:durableId="448473863">
    <w:abstractNumId w:val="12"/>
  </w:num>
  <w:num w:numId="17" w16cid:durableId="1189372919">
    <w:abstractNumId w:val="19"/>
  </w:num>
  <w:num w:numId="18" w16cid:durableId="1766612655">
    <w:abstractNumId w:val="3"/>
  </w:num>
  <w:num w:numId="19" w16cid:durableId="2021854044">
    <w:abstractNumId w:val="14"/>
  </w:num>
  <w:num w:numId="20" w16cid:durableId="1629310468">
    <w:abstractNumId w:val="18"/>
  </w:num>
  <w:num w:numId="21" w16cid:durableId="1497960419">
    <w:abstractNumId w:val="1"/>
  </w:num>
  <w:num w:numId="22" w16cid:durableId="465634334">
    <w:abstractNumId w:val="26"/>
  </w:num>
  <w:num w:numId="23" w16cid:durableId="1451626703">
    <w:abstractNumId w:val="11"/>
  </w:num>
  <w:num w:numId="24" w16cid:durableId="334381666">
    <w:abstractNumId w:val="9"/>
  </w:num>
  <w:num w:numId="25" w16cid:durableId="417365592">
    <w:abstractNumId w:val="20"/>
  </w:num>
  <w:num w:numId="26" w16cid:durableId="499849928">
    <w:abstractNumId w:val="29"/>
  </w:num>
  <w:num w:numId="27" w16cid:durableId="772552955">
    <w:abstractNumId w:val="23"/>
  </w:num>
  <w:num w:numId="28" w16cid:durableId="1734738307">
    <w:abstractNumId w:val="16"/>
  </w:num>
  <w:num w:numId="29" w16cid:durableId="750199991">
    <w:abstractNumId w:val="25"/>
  </w:num>
  <w:num w:numId="30" w16cid:durableId="1609848347">
    <w:abstractNumId w:val="10"/>
  </w:num>
  <w:num w:numId="31" w16cid:durableId="1953130743">
    <w:abstractNumId w:val="22"/>
  </w:num>
  <w:num w:numId="32" w16cid:durableId="1731999328">
    <w:abstractNumId w:val="28"/>
  </w:num>
  <w:num w:numId="33" w16cid:durableId="776562788">
    <w:abstractNumId w:val="30"/>
  </w:num>
  <w:num w:numId="34" w16cid:durableId="278339680">
    <w:abstractNumId w:val="24"/>
  </w:num>
  <w:num w:numId="35" w16cid:durableId="27337141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97"/>
    <w:rsid w:val="00000B2A"/>
    <w:rsid w:val="00000F6A"/>
    <w:rsid w:val="000013E8"/>
    <w:rsid w:val="00001596"/>
    <w:rsid w:val="00001CC6"/>
    <w:rsid w:val="00002667"/>
    <w:rsid w:val="00003BCC"/>
    <w:rsid w:val="000050FC"/>
    <w:rsid w:val="000052CD"/>
    <w:rsid w:val="00005565"/>
    <w:rsid w:val="00005F04"/>
    <w:rsid w:val="0000655C"/>
    <w:rsid w:val="0000684E"/>
    <w:rsid w:val="000108A3"/>
    <w:rsid w:val="000116B4"/>
    <w:rsid w:val="00012A9C"/>
    <w:rsid w:val="0001304E"/>
    <w:rsid w:val="00013D1D"/>
    <w:rsid w:val="000159B9"/>
    <w:rsid w:val="00016261"/>
    <w:rsid w:val="0001706B"/>
    <w:rsid w:val="000201EA"/>
    <w:rsid w:val="0002049A"/>
    <w:rsid w:val="00021D6E"/>
    <w:rsid w:val="000229E6"/>
    <w:rsid w:val="00024B16"/>
    <w:rsid w:val="00024D0D"/>
    <w:rsid w:val="00024F8D"/>
    <w:rsid w:val="000254CF"/>
    <w:rsid w:val="0002784E"/>
    <w:rsid w:val="00031387"/>
    <w:rsid w:val="000325B5"/>
    <w:rsid w:val="000332DD"/>
    <w:rsid w:val="00033542"/>
    <w:rsid w:val="000344E6"/>
    <w:rsid w:val="00034748"/>
    <w:rsid w:val="000347DE"/>
    <w:rsid w:val="00034D74"/>
    <w:rsid w:val="00036C18"/>
    <w:rsid w:val="00037192"/>
    <w:rsid w:val="0003773B"/>
    <w:rsid w:val="000408E8"/>
    <w:rsid w:val="000415CE"/>
    <w:rsid w:val="00041EBB"/>
    <w:rsid w:val="000427E9"/>
    <w:rsid w:val="00042A08"/>
    <w:rsid w:val="0004477C"/>
    <w:rsid w:val="00045C82"/>
    <w:rsid w:val="00046B87"/>
    <w:rsid w:val="00050219"/>
    <w:rsid w:val="00050995"/>
    <w:rsid w:val="00050F5E"/>
    <w:rsid w:val="0005178F"/>
    <w:rsid w:val="0005227E"/>
    <w:rsid w:val="0005282C"/>
    <w:rsid w:val="00055542"/>
    <w:rsid w:val="00055DAA"/>
    <w:rsid w:val="0005660F"/>
    <w:rsid w:val="00057376"/>
    <w:rsid w:val="000573DA"/>
    <w:rsid w:val="0005788C"/>
    <w:rsid w:val="0006011F"/>
    <w:rsid w:val="00060613"/>
    <w:rsid w:val="00060E66"/>
    <w:rsid w:val="00061B09"/>
    <w:rsid w:val="00062183"/>
    <w:rsid w:val="00062946"/>
    <w:rsid w:val="000649D0"/>
    <w:rsid w:val="000649F9"/>
    <w:rsid w:val="0006534B"/>
    <w:rsid w:val="0006575A"/>
    <w:rsid w:val="000676D8"/>
    <w:rsid w:val="000678BA"/>
    <w:rsid w:val="00070986"/>
    <w:rsid w:val="0007115A"/>
    <w:rsid w:val="00071938"/>
    <w:rsid w:val="0007324D"/>
    <w:rsid w:val="000759CA"/>
    <w:rsid w:val="000760AD"/>
    <w:rsid w:val="0007633E"/>
    <w:rsid w:val="000764A9"/>
    <w:rsid w:val="000776C9"/>
    <w:rsid w:val="000811AD"/>
    <w:rsid w:val="0008173C"/>
    <w:rsid w:val="00083416"/>
    <w:rsid w:val="000839C3"/>
    <w:rsid w:val="000842FA"/>
    <w:rsid w:val="000843CA"/>
    <w:rsid w:val="00085E17"/>
    <w:rsid w:val="00090484"/>
    <w:rsid w:val="000906A7"/>
    <w:rsid w:val="000911A0"/>
    <w:rsid w:val="000919E3"/>
    <w:rsid w:val="000928C5"/>
    <w:rsid w:val="00093AEB"/>
    <w:rsid w:val="00094F06"/>
    <w:rsid w:val="0009658C"/>
    <w:rsid w:val="00096E79"/>
    <w:rsid w:val="0009713E"/>
    <w:rsid w:val="000973C8"/>
    <w:rsid w:val="000A05B9"/>
    <w:rsid w:val="000A2AA9"/>
    <w:rsid w:val="000A2C03"/>
    <w:rsid w:val="000A305A"/>
    <w:rsid w:val="000A3E0D"/>
    <w:rsid w:val="000A3EC4"/>
    <w:rsid w:val="000A549E"/>
    <w:rsid w:val="000A56F2"/>
    <w:rsid w:val="000A588D"/>
    <w:rsid w:val="000A5A91"/>
    <w:rsid w:val="000A61AB"/>
    <w:rsid w:val="000A646E"/>
    <w:rsid w:val="000A68D7"/>
    <w:rsid w:val="000A6E05"/>
    <w:rsid w:val="000A791C"/>
    <w:rsid w:val="000B009C"/>
    <w:rsid w:val="000B12FA"/>
    <w:rsid w:val="000B38E4"/>
    <w:rsid w:val="000B4020"/>
    <w:rsid w:val="000B46DB"/>
    <w:rsid w:val="000B4CAE"/>
    <w:rsid w:val="000B4D34"/>
    <w:rsid w:val="000B56E0"/>
    <w:rsid w:val="000B57FC"/>
    <w:rsid w:val="000B65E0"/>
    <w:rsid w:val="000B6DAB"/>
    <w:rsid w:val="000B70C9"/>
    <w:rsid w:val="000C08BF"/>
    <w:rsid w:val="000C0A2A"/>
    <w:rsid w:val="000C0C10"/>
    <w:rsid w:val="000C0DB0"/>
    <w:rsid w:val="000C184E"/>
    <w:rsid w:val="000C31CA"/>
    <w:rsid w:val="000C338A"/>
    <w:rsid w:val="000C3711"/>
    <w:rsid w:val="000C39D7"/>
    <w:rsid w:val="000C3B9A"/>
    <w:rsid w:val="000C5347"/>
    <w:rsid w:val="000C5B68"/>
    <w:rsid w:val="000D03B8"/>
    <w:rsid w:val="000D1FBB"/>
    <w:rsid w:val="000D25A8"/>
    <w:rsid w:val="000D3E65"/>
    <w:rsid w:val="000D5CB8"/>
    <w:rsid w:val="000D661A"/>
    <w:rsid w:val="000D6AEE"/>
    <w:rsid w:val="000D6F71"/>
    <w:rsid w:val="000DCEDB"/>
    <w:rsid w:val="000E07D8"/>
    <w:rsid w:val="000E1E47"/>
    <w:rsid w:val="000E252F"/>
    <w:rsid w:val="000E270A"/>
    <w:rsid w:val="000E2719"/>
    <w:rsid w:val="000E3610"/>
    <w:rsid w:val="000E3823"/>
    <w:rsid w:val="000E45EB"/>
    <w:rsid w:val="000E4C53"/>
    <w:rsid w:val="000E64E8"/>
    <w:rsid w:val="000E74F7"/>
    <w:rsid w:val="000F2A53"/>
    <w:rsid w:val="000F2A5D"/>
    <w:rsid w:val="000F2B1E"/>
    <w:rsid w:val="000F2D61"/>
    <w:rsid w:val="000F5386"/>
    <w:rsid w:val="000F5CFB"/>
    <w:rsid w:val="000F6F99"/>
    <w:rsid w:val="000F7660"/>
    <w:rsid w:val="00100C60"/>
    <w:rsid w:val="00100E71"/>
    <w:rsid w:val="00101D91"/>
    <w:rsid w:val="001027C0"/>
    <w:rsid w:val="0010317B"/>
    <w:rsid w:val="00103D01"/>
    <w:rsid w:val="00104C3B"/>
    <w:rsid w:val="00104C87"/>
    <w:rsid w:val="00105980"/>
    <w:rsid w:val="00105E89"/>
    <w:rsid w:val="00105ED3"/>
    <w:rsid w:val="00106149"/>
    <w:rsid w:val="00107B09"/>
    <w:rsid w:val="001106E4"/>
    <w:rsid w:val="00110BDD"/>
    <w:rsid w:val="00113770"/>
    <w:rsid w:val="00114397"/>
    <w:rsid w:val="00116E2A"/>
    <w:rsid w:val="001173B9"/>
    <w:rsid w:val="00121089"/>
    <w:rsid w:val="00122C19"/>
    <w:rsid w:val="0012313D"/>
    <w:rsid w:val="00123CF7"/>
    <w:rsid w:val="00124738"/>
    <w:rsid w:val="00126136"/>
    <w:rsid w:val="00126FC5"/>
    <w:rsid w:val="00127B0F"/>
    <w:rsid w:val="0013102E"/>
    <w:rsid w:val="00132119"/>
    <w:rsid w:val="001322D2"/>
    <w:rsid w:val="001340F6"/>
    <w:rsid w:val="0013587A"/>
    <w:rsid w:val="00136FCD"/>
    <w:rsid w:val="00137A99"/>
    <w:rsid w:val="0014021B"/>
    <w:rsid w:val="0014094A"/>
    <w:rsid w:val="0014163F"/>
    <w:rsid w:val="00141A43"/>
    <w:rsid w:val="00144725"/>
    <w:rsid w:val="00144D76"/>
    <w:rsid w:val="0014541C"/>
    <w:rsid w:val="001455C8"/>
    <w:rsid w:val="00145D15"/>
    <w:rsid w:val="00146253"/>
    <w:rsid w:val="001467A3"/>
    <w:rsid w:val="00146A9F"/>
    <w:rsid w:val="00147151"/>
    <w:rsid w:val="00151A10"/>
    <w:rsid w:val="00151F7D"/>
    <w:rsid w:val="001528A0"/>
    <w:rsid w:val="00152C87"/>
    <w:rsid w:val="00154595"/>
    <w:rsid w:val="00155111"/>
    <w:rsid w:val="001554EE"/>
    <w:rsid w:val="00155F19"/>
    <w:rsid w:val="00156C7D"/>
    <w:rsid w:val="00157218"/>
    <w:rsid w:val="001604EF"/>
    <w:rsid w:val="00161332"/>
    <w:rsid w:val="00162626"/>
    <w:rsid w:val="00162CD7"/>
    <w:rsid w:val="00162EAD"/>
    <w:rsid w:val="00163960"/>
    <w:rsid w:val="001644C2"/>
    <w:rsid w:val="00166365"/>
    <w:rsid w:val="001670C3"/>
    <w:rsid w:val="00167FD4"/>
    <w:rsid w:val="00172AA9"/>
    <w:rsid w:val="00174529"/>
    <w:rsid w:val="00185B97"/>
    <w:rsid w:val="0018633D"/>
    <w:rsid w:val="0018759A"/>
    <w:rsid w:val="00187843"/>
    <w:rsid w:val="00190FE0"/>
    <w:rsid w:val="00191FF7"/>
    <w:rsid w:val="00192BD7"/>
    <w:rsid w:val="00192D85"/>
    <w:rsid w:val="00193D8C"/>
    <w:rsid w:val="00193ED8"/>
    <w:rsid w:val="00193FC3"/>
    <w:rsid w:val="0019416B"/>
    <w:rsid w:val="0019549F"/>
    <w:rsid w:val="00196715"/>
    <w:rsid w:val="00197953"/>
    <w:rsid w:val="00197BDE"/>
    <w:rsid w:val="00197D46"/>
    <w:rsid w:val="001A0A1E"/>
    <w:rsid w:val="001A10CC"/>
    <w:rsid w:val="001A13C4"/>
    <w:rsid w:val="001A2C77"/>
    <w:rsid w:val="001A308A"/>
    <w:rsid w:val="001A327D"/>
    <w:rsid w:val="001A3782"/>
    <w:rsid w:val="001A427D"/>
    <w:rsid w:val="001A4988"/>
    <w:rsid w:val="001A50B6"/>
    <w:rsid w:val="001A612F"/>
    <w:rsid w:val="001A623D"/>
    <w:rsid w:val="001A6802"/>
    <w:rsid w:val="001B151B"/>
    <w:rsid w:val="001B207D"/>
    <w:rsid w:val="001B3650"/>
    <w:rsid w:val="001B3899"/>
    <w:rsid w:val="001B3B35"/>
    <w:rsid w:val="001B50BC"/>
    <w:rsid w:val="001C25D5"/>
    <w:rsid w:val="001C3204"/>
    <w:rsid w:val="001C363F"/>
    <w:rsid w:val="001C375E"/>
    <w:rsid w:val="001C3F68"/>
    <w:rsid w:val="001C6CAC"/>
    <w:rsid w:val="001C7D9E"/>
    <w:rsid w:val="001D0F57"/>
    <w:rsid w:val="001D2A41"/>
    <w:rsid w:val="001D5561"/>
    <w:rsid w:val="001D58A3"/>
    <w:rsid w:val="001D5914"/>
    <w:rsid w:val="001D5C96"/>
    <w:rsid w:val="001D69ED"/>
    <w:rsid w:val="001D715E"/>
    <w:rsid w:val="001E2A62"/>
    <w:rsid w:val="001E5FE0"/>
    <w:rsid w:val="001E6E49"/>
    <w:rsid w:val="001F0A2E"/>
    <w:rsid w:val="001F1DD8"/>
    <w:rsid w:val="001F1E58"/>
    <w:rsid w:val="001F2819"/>
    <w:rsid w:val="001F2928"/>
    <w:rsid w:val="001F5F11"/>
    <w:rsid w:val="001F7AD7"/>
    <w:rsid w:val="00200607"/>
    <w:rsid w:val="00200A7A"/>
    <w:rsid w:val="00200E62"/>
    <w:rsid w:val="00200FBB"/>
    <w:rsid w:val="00201B6D"/>
    <w:rsid w:val="002043EC"/>
    <w:rsid w:val="00204DF0"/>
    <w:rsid w:val="00205109"/>
    <w:rsid w:val="002057EF"/>
    <w:rsid w:val="00205AD1"/>
    <w:rsid w:val="00205B02"/>
    <w:rsid w:val="00205EAB"/>
    <w:rsid w:val="00205EDF"/>
    <w:rsid w:val="00206559"/>
    <w:rsid w:val="00206B17"/>
    <w:rsid w:val="00207C1A"/>
    <w:rsid w:val="0021097B"/>
    <w:rsid w:val="00210C5F"/>
    <w:rsid w:val="00212595"/>
    <w:rsid w:val="00212907"/>
    <w:rsid w:val="0021315D"/>
    <w:rsid w:val="00216068"/>
    <w:rsid w:val="00216A9B"/>
    <w:rsid w:val="00216F0D"/>
    <w:rsid w:val="0021791B"/>
    <w:rsid w:val="00220C96"/>
    <w:rsid w:val="00222C74"/>
    <w:rsid w:val="00222E08"/>
    <w:rsid w:val="0022454C"/>
    <w:rsid w:val="0022564D"/>
    <w:rsid w:val="00225AE8"/>
    <w:rsid w:val="00227F44"/>
    <w:rsid w:val="00230371"/>
    <w:rsid w:val="00230960"/>
    <w:rsid w:val="00230AA4"/>
    <w:rsid w:val="00232491"/>
    <w:rsid w:val="002324E2"/>
    <w:rsid w:val="00232601"/>
    <w:rsid w:val="00235B90"/>
    <w:rsid w:val="002363E7"/>
    <w:rsid w:val="00240776"/>
    <w:rsid w:val="00241293"/>
    <w:rsid w:val="002417DB"/>
    <w:rsid w:val="00242998"/>
    <w:rsid w:val="00243AFA"/>
    <w:rsid w:val="00243DC0"/>
    <w:rsid w:val="002445CE"/>
    <w:rsid w:val="00244F81"/>
    <w:rsid w:val="00245FDE"/>
    <w:rsid w:val="00246728"/>
    <w:rsid w:val="00247459"/>
    <w:rsid w:val="00247477"/>
    <w:rsid w:val="00250591"/>
    <w:rsid w:val="00250C50"/>
    <w:rsid w:val="00250C53"/>
    <w:rsid w:val="00250E26"/>
    <w:rsid w:val="00250EF7"/>
    <w:rsid w:val="0025196E"/>
    <w:rsid w:val="002526C0"/>
    <w:rsid w:val="0025277B"/>
    <w:rsid w:val="00252B81"/>
    <w:rsid w:val="002531E0"/>
    <w:rsid w:val="0025369E"/>
    <w:rsid w:val="002545A1"/>
    <w:rsid w:val="00256011"/>
    <w:rsid w:val="00256BB3"/>
    <w:rsid w:val="00256D15"/>
    <w:rsid w:val="002606E8"/>
    <w:rsid w:val="00260C81"/>
    <w:rsid w:val="00261DB2"/>
    <w:rsid w:val="002637FE"/>
    <w:rsid w:val="00265031"/>
    <w:rsid w:val="00266801"/>
    <w:rsid w:val="00270430"/>
    <w:rsid w:val="00270440"/>
    <w:rsid w:val="0027054B"/>
    <w:rsid w:val="002717FD"/>
    <w:rsid w:val="00272A2F"/>
    <w:rsid w:val="00272B14"/>
    <w:rsid w:val="00277435"/>
    <w:rsid w:val="00281EB5"/>
    <w:rsid w:val="00283159"/>
    <w:rsid w:val="0028325C"/>
    <w:rsid w:val="0028328C"/>
    <w:rsid w:val="00284995"/>
    <w:rsid w:val="00284A1B"/>
    <w:rsid w:val="00286250"/>
    <w:rsid w:val="002873F7"/>
    <w:rsid w:val="00287BC5"/>
    <w:rsid w:val="0029063F"/>
    <w:rsid w:val="00290D41"/>
    <w:rsid w:val="0029268C"/>
    <w:rsid w:val="00292FB1"/>
    <w:rsid w:val="00293CDD"/>
    <w:rsid w:val="00293DEE"/>
    <w:rsid w:val="0029413B"/>
    <w:rsid w:val="00294799"/>
    <w:rsid w:val="0029496C"/>
    <w:rsid w:val="00297220"/>
    <w:rsid w:val="0029786A"/>
    <w:rsid w:val="00297D45"/>
    <w:rsid w:val="002A02B6"/>
    <w:rsid w:val="002A0B5D"/>
    <w:rsid w:val="002A478F"/>
    <w:rsid w:val="002A4B50"/>
    <w:rsid w:val="002A58B8"/>
    <w:rsid w:val="002A69B2"/>
    <w:rsid w:val="002A7318"/>
    <w:rsid w:val="002B204F"/>
    <w:rsid w:val="002B2588"/>
    <w:rsid w:val="002B2EF2"/>
    <w:rsid w:val="002B4BB3"/>
    <w:rsid w:val="002B5592"/>
    <w:rsid w:val="002B569E"/>
    <w:rsid w:val="002B6134"/>
    <w:rsid w:val="002B7073"/>
    <w:rsid w:val="002B797F"/>
    <w:rsid w:val="002C0FF7"/>
    <w:rsid w:val="002C109E"/>
    <w:rsid w:val="002C16AB"/>
    <w:rsid w:val="002C1A21"/>
    <w:rsid w:val="002C29D8"/>
    <w:rsid w:val="002C37FE"/>
    <w:rsid w:val="002C4BE2"/>
    <w:rsid w:val="002C4E06"/>
    <w:rsid w:val="002C51AE"/>
    <w:rsid w:val="002C5617"/>
    <w:rsid w:val="002C6C1B"/>
    <w:rsid w:val="002C6E1F"/>
    <w:rsid w:val="002C733E"/>
    <w:rsid w:val="002C7A19"/>
    <w:rsid w:val="002C7FE9"/>
    <w:rsid w:val="002D066E"/>
    <w:rsid w:val="002D0C9D"/>
    <w:rsid w:val="002D0DC5"/>
    <w:rsid w:val="002D2119"/>
    <w:rsid w:val="002D231E"/>
    <w:rsid w:val="002D4EFD"/>
    <w:rsid w:val="002D5676"/>
    <w:rsid w:val="002D62A8"/>
    <w:rsid w:val="002D76F7"/>
    <w:rsid w:val="002E1E4A"/>
    <w:rsid w:val="002E49B5"/>
    <w:rsid w:val="002E6574"/>
    <w:rsid w:val="002E6C33"/>
    <w:rsid w:val="002E719F"/>
    <w:rsid w:val="002E7D9F"/>
    <w:rsid w:val="002F13E0"/>
    <w:rsid w:val="002F37F0"/>
    <w:rsid w:val="002F4026"/>
    <w:rsid w:val="002F6584"/>
    <w:rsid w:val="00300146"/>
    <w:rsid w:val="003009AB"/>
    <w:rsid w:val="00301BF7"/>
    <w:rsid w:val="00302F01"/>
    <w:rsid w:val="003036E1"/>
    <w:rsid w:val="00303AFA"/>
    <w:rsid w:val="0030404D"/>
    <w:rsid w:val="00304082"/>
    <w:rsid w:val="0030506F"/>
    <w:rsid w:val="00306676"/>
    <w:rsid w:val="003076E2"/>
    <w:rsid w:val="00307721"/>
    <w:rsid w:val="00307B0F"/>
    <w:rsid w:val="00310752"/>
    <w:rsid w:val="00310FCC"/>
    <w:rsid w:val="003110C4"/>
    <w:rsid w:val="003112DF"/>
    <w:rsid w:val="00312F4E"/>
    <w:rsid w:val="00313723"/>
    <w:rsid w:val="00314880"/>
    <w:rsid w:val="00315A97"/>
    <w:rsid w:val="00315C1E"/>
    <w:rsid w:val="00316071"/>
    <w:rsid w:val="00316A99"/>
    <w:rsid w:val="00317064"/>
    <w:rsid w:val="003206C2"/>
    <w:rsid w:val="00321519"/>
    <w:rsid w:val="00322235"/>
    <w:rsid w:val="003223AB"/>
    <w:rsid w:val="00323EFA"/>
    <w:rsid w:val="00323FEA"/>
    <w:rsid w:val="00324647"/>
    <w:rsid w:val="003247CB"/>
    <w:rsid w:val="003266BF"/>
    <w:rsid w:val="00326709"/>
    <w:rsid w:val="0032698B"/>
    <w:rsid w:val="003275B9"/>
    <w:rsid w:val="003279B5"/>
    <w:rsid w:val="00327E97"/>
    <w:rsid w:val="00330F91"/>
    <w:rsid w:val="003317DE"/>
    <w:rsid w:val="00331E7C"/>
    <w:rsid w:val="00333007"/>
    <w:rsid w:val="00334D64"/>
    <w:rsid w:val="00334E1B"/>
    <w:rsid w:val="00336994"/>
    <w:rsid w:val="00340532"/>
    <w:rsid w:val="003407EF"/>
    <w:rsid w:val="003432AF"/>
    <w:rsid w:val="00343E5C"/>
    <w:rsid w:val="00343F5C"/>
    <w:rsid w:val="00344FB8"/>
    <w:rsid w:val="00345D97"/>
    <w:rsid w:val="003467DC"/>
    <w:rsid w:val="003475E6"/>
    <w:rsid w:val="003477F7"/>
    <w:rsid w:val="00347E18"/>
    <w:rsid w:val="00347F61"/>
    <w:rsid w:val="00350BC4"/>
    <w:rsid w:val="00352FB8"/>
    <w:rsid w:val="003530F3"/>
    <w:rsid w:val="003538C2"/>
    <w:rsid w:val="0035573D"/>
    <w:rsid w:val="00355FAE"/>
    <w:rsid w:val="00356BD6"/>
    <w:rsid w:val="00357D25"/>
    <w:rsid w:val="0036017B"/>
    <w:rsid w:val="0036018D"/>
    <w:rsid w:val="00360E87"/>
    <w:rsid w:val="00361021"/>
    <w:rsid w:val="0036152E"/>
    <w:rsid w:val="00362755"/>
    <w:rsid w:val="003630A3"/>
    <w:rsid w:val="00363869"/>
    <w:rsid w:val="0036492A"/>
    <w:rsid w:val="00364D18"/>
    <w:rsid w:val="00364F69"/>
    <w:rsid w:val="003657DF"/>
    <w:rsid w:val="00367B12"/>
    <w:rsid w:val="00370653"/>
    <w:rsid w:val="0037160E"/>
    <w:rsid w:val="003717E4"/>
    <w:rsid w:val="00372C26"/>
    <w:rsid w:val="00372D94"/>
    <w:rsid w:val="00373B93"/>
    <w:rsid w:val="003751CB"/>
    <w:rsid w:val="003763E4"/>
    <w:rsid w:val="00376709"/>
    <w:rsid w:val="00376825"/>
    <w:rsid w:val="00376D7C"/>
    <w:rsid w:val="00380956"/>
    <w:rsid w:val="00380CD1"/>
    <w:rsid w:val="00381233"/>
    <w:rsid w:val="00381A5F"/>
    <w:rsid w:val="00382BB4"/>
    <w:rsid w:val="0038320C"/>
    <w:rsid w:val="00384A73"/>
    <w:rsid w:val="00385B5C"/>
    <w:rsid w:val="003864EE"/>
    <w:rsid w:val="0038692B"/>
    <w:rsid w:val="003908FD"/>
    <w:rsid w:val="00390E0D"/>
    <w:rsid w:val="003912F8"/>
    <w:rsid w:val="00392B35"/>
    <w:rsid w:val="00393703"/>
    <w:rsid w:val="00393737"/>
    <w:rsid w:val="00394ECA"/>
    <w:rsid w:val="003958A5"/>
    <w:rsid w:val="0039674C"/>
    <w:rsid w:val="00396AAD"/>
    <w:rsid w:val="00396B4D"/>
    <w:rsid w:val="00396CC7"/>
    <w:rsid w:val="003A045C"/>
    <w:rsid w:val="003A1184"/>
    <w:rsid w:val="003A2246"/>
    <w:rsid w:val="003A38F0"/>
    <w:rsid w:val="003A5E63"/>
    <w:rsid w:val="003A5FC3"/>
    <w:rsid w:val="003A67E1"/>
    <w:rsid w:val="003A6BC3"/>
    <w:rsid w:val="003B0DC1"/>
    <w:rsid w:val="003B1377"/>
    <w:rsid w:val="003B1580"/>
    <w:rsid w:val="003B2C15"/>
    <w:rsid w:val="003B3291"/>
    <w:rsid w:val="003B362A"/>
    <w:rsid w:val="003B3D9E"/>
    <w:rsid w:val="003B4D68"/>
    <w:rsid w:val="003B55F0"/>
    <w:rsid w:val="003B5CA6"/>
    <w:rsid w:val="003B7F34"/>
    <w:rsid w:val="003C061E"/>
    <w:rsid w:val="003C0F74"/>
    <w:rsid w:val="003C1341"/>
    <w:rsid w:val="003C17F5"/>
    <w:rsid w:val="003C242A"/>
    <w:rsid w:val="003C2FAC"/>
    <w:rsid w:val="003C31B0"/>
    <w:rsid w:val="003C3D54"/>
    <w:rsid w:val="003C41F1"/>
    <w:rsid w:val="003C4DE7"/>
    <w:rsid w:val="003C4EB2"/>
    <w:rsid w:val="003C5143"/>
    <w:rsid w:val="003C5AD9"/>
    <w:rsid w:val="003C655D"/>
    <w:rsid w:val="003C6A23"/>
    <w:rsid w:val="003C79B8"/>
    <w:rsid w:val="003D024C"/>
    <w:rsid w:val="003D0FEB"/>
    <w:rsid w:val="003D2B6E"/>
    <w:rsid w:val="003D440F"/>
    <w:rsid w:val="003E0C33"/>
    <w:rsid w:val="003E27C5"/>
    <w:rsid w:val="003E3484"/>
    <w:rsid w:val="003E3517"/>
    <w:rsid w:val="003E393F"/>
    <w:rsid w:val="003F069A"/>
    <w:rsid w:val="003F2482"/>
    <w:rsid w:val="003F3069"/>
    <w:rsid w:val="003F39CC"/>
    <w:rsid w:val="003F417C"/>
    <w:rsid w:val="003F4329"/>
    <w:rsid w:val="003F7457"/>
    <w:rsid w:val="00400FA1"/>
    <w:rsid w:val="00400FD9"/>
    <w:rsid w:val="00402071"/>
    <w:rsid w:val="00402DF1"/>
    <w:rsid w:val="00403153"/>
    <w:rsid w:val="00403572"/>
    <w:rsid w:val="00406378"/>
    <w:rsid w:val="0040718F"/>
    <w:rsid w:val="00407DE8"/>
    <w:rsid w:val="00412009"/>
    <w:rsid w:val="00412534"/>
    <w:rsid w:val="00412C83"/>
    <w:rsid w:val="00412FB7"/>
    <w:rsid w:val="004137F2"/>
    <w:rsid w:val="00413B40"/>
    <w:rsid w:val="004145DC"/>
    <w:rsid w:val="00422AB3"/>
    <w:rsid w:val="00422C3B"/>
    <w:rsid w:val="0042419C"/>
    <w:rsid w:val="00424695"/>
    <w:rsid w:val="00424D3C"/>
    <w:rsid w:val="00425A3F"/>
    <w:rsid w:val="00425B6C"/>
    <w:rsid w:val="00425C11"/>
    <w:rsid w:val="00426014"/>
    <w:rsid w:val="00426272"/>
    <w:rsid w:val="00426618"/>
    <w:rsid w:val="00427842"/>
    <w:rsid w:val="00431027"/>
    <w:rsid w:val="00431DDD"/>
    <w:rsid w:val="00431EC2"/>
    <w:rsid w:val="004333E5"/>
    <w:rsid w:val="004339D6"/>
    <w:rsid w:val="004343DA"/>
    <w:rsid w:val="0043449E"/>
    <w:rsid w:val="00434932"/>
    <w:rsid w:val="00435E24"/>
    <w:rsid w:val="00435FED"/>
    <w:rsid w:val="004366B5"/>
    <w:rsid w:val="00436799"/>
    <w:rsid w:val="004377E7"/>
    <w:rsid w:val="004415FD"/>
    <w:rsid w:val="00441BAA"/>
    <w:rsid w:val="00442EBE"/>
    <w:rsid w:val="004452E7"/>
    <w:rsid w:val="00445391"/>
    <w:rsid w:val="00445838"/>
    <w:rsid w:val="0044617E"/>
    <w:rsid w:val="00446458"/>
    <w:rsid w:val="00446973"/>
    <w:rsid w:val="00447B55"/>
    <w:rsid w:val="004512EA"/>
    <w:rsid w:val="004516F6"/>
    <w:rsid w:val="0045177A"/>
    <w:rsid w:val="004519D4"/>
    <w:rsid w:val="004520B6"/>
    <w:rsid w:val="0045273B"/>
    <w:rsid w:val="0045320E"/>
    <w:rsid w:val="00453EEB"/>
    <w:rsid w:val="00454406"/>
    <w:rsid w:val="00454E8A"/>
    <w:rsid w:val="00455CBA"/>
    <w:rsid w:val="00460B7D"/>
    <w:rsid w:val="00462591"/>
    <w:rsid w:val="004628E9"/>
    <w:rsid w:val="00463BB9"/>
    <w:rsid w:val="00465CAB"/>
    <w:rsid w:val="004665B2"/>
    <w:rsid w:val="00466FC9"/>
    <w:rsid w:val="00472C7E"/>
    <w:rsid w:val="00473301"/>
    <w:rsid w:val="0047337D"/>
    <w:rsid w:val="00475528"/>
    <w:rsid w:val="00475582"/>
    <w:rsid w:val="004769B0"/>
    <w:rsid w:val="0048033F"/>
    <w:rsid w:val="00480CB0"/>
    <w:rsid w:val="00481007"/>
    <w:rsid w:val="004833B0"/>
    <w:rsid w:val="00484B6D"/>
    <w:rsid w:val="00485340"/>
    <w:rsid w:val="00485A3F"/>
    <w:rsid w:val="004905AD"/>
    <w:rsid w:val="00491ED0"/>
    <w:rsid w:val="00494E10"/>
    <w:rsid w:val="004955E6"/>
    <w:rsid w:val="00495DBF"/>
    <w:rsid w:val="004963B8"/>
    <w:rsid w:val="00496919"/>
    <w:rsid w:val="004A026B"/>
    <w:rsid w:val="004A3D27"/>
    <w:rsid w:val="004A42B4"/>
    <w:rsid w:val="004A49EE"/>
    <w:rsid w:val="004A528F"/>
    <w:rsid w:val="004A5F30"/>
    <w:rsid w:val="004A611A"/>
    <w:rsid w:val="004A6EEE"/>
    <w:rsid w:val="004B0071"/>
    <w:rsid w:val="004B0EA4"/>
    <w:rsid w:val="004B34EA"/>
    <w:rsid w:val="004B3AA6"/>
    <w:rsid w:val="004B3F8F"/>
    <w:rsid w:val="004B4CB9"/>
    <w:rsid w:val="004B5494"/>
    <w:rsid w:val="004B69E3"/>
    <w:rsid w:val="004B6CD5"/>
    <w:rsid w:val="004C4BB3"/>
    <w:rsid w:val="004C53A3"/>
    <w:rsid w:val="004C5E25"/>
    <w:rsid w:val="004C7A2B"/>
    <w:rsid w:val="004C7D3A"/>
    <w:rsid w:val="004D0279"/>
    <w:rsid w:val="004D0979"/>
    <w:rsid w:val="004D0ADB"/>
    <w:rsid w:val="004D17F8"/>
    <w:rsid w:val="004D2CD3"/>
    <w:rsid w:val="004D316B"/>
    <w:rsid w:val="004D4072"/>
    <w:rsid w:val="004D6433"/>
    <w:rsid w:val="004D68B1"/>
    <w:rsid w:val="004D6953"/>
    <w:rsid w:val="004D6ABF"/>
    <w:rsid w:val="004E2809"/>
    <w:rsid w:val="004E2D7E"/>
    <w:rsid w:val="004E4EC9"/>
    <w:rsid w:val="004E5C88"/>
    <w:rsid w:val="004E6523"/>
    <w:rsid w:val="004E707C"/>
    <w:rsid w:val="004E76E9"/>
    <w:rsid w:val="004E7BB8"/>
    <w:rsid w:val="004F01AA"/>
    <w:rsid w:val="004F18BF"/>
    <w:rsid w:val="004F1997"/>
    <w:rsid w:val="004F1F42"/>
    <w:rsid w:val="004F2120"/>
    <w:rsid w:val="004F4533"/>
    <w:rsid w:val="004F5E09"/>
    <w:rsid w:val="004F6BD6"/>
    <w:rsid w:val="00500998"/>
    <w:rsid w:val="00500C80"/>
    <w:rsid w:val="00501074"/>
    <w:rsid w:val="005018A8"/>
    <w:rsid w:val="0050191B"/>
    <w:rsid w:val="00501E4D"/>
    <w:rsid w:val="00502AA1"/>
    <w:rsid w:val="00502BF0"/>
    <w:rsid w:val="00502DE8"/>
    <w:rsid w:val="00504C3B"/>
    <w:rsid w:val="00504C7D"/>
    <w:rsid w:val="00505A39"/>
    <w:rsid w:val="00507EC0"/>
    <w:rsid w:val="005112CB"/>
    <w:rsid w:val="00511F81"/>
    <w:rsid w:val="005122C6"/>
    <w:rsid w:val="00512624"/>
    <w:rsid w:val="005128E1"/>
    <w:rsid w:val="00513481"/>
    <w:rsid w:val="00513BAB"/>
    <w:rsid w:val="00520522"/>
    <w:rsid w:val="00520996"/>
    <w:rsid w:val="00522B12"/>
    <w:rsid w:val="005240BF"/>
    <w:rsid w:val="00524EF8"/>
    <w:rsid w:val="00525792"/>
    <w:rsid w:val="00525E76"/>
    <w:rsid w:val="00530516"/>
    <w:rsid w:val="00530AD7"/>
    <w:rsid w:val="00532014"/>
    <w:rsid w:val="005372AE"/>
    <w:rsid w:val="0054018F"/>
    <w:rsid w:val="00540B46"/>
    <w:rsid w:val="00540D7C"/>
    <w:rsid w:val="0054104B"/>
    <w:rsid w:val="00541C60"/>
    <w:rsid w:val="00541DD3"/>
    <w:rsid w:val="00541EB6"/>
    <w:rsid w:val="00542052"/>
    <w:rsid w:val="0054379E"/>
    <w:rsid w:val="00544280"/>
    <w:rsid w:val="005451E5"/>
    <w:rsid w:val="0054549C"/>
    <w:rsid w:val="0054627A"/>
    <w:rsid w:val="005472A2"/>
    <w:rsid w:val="005474F6"/>
    <w:rsid w:val="00547C67"/>
    <w:rsid w:val="00551587"/>
    <w:rsid w:val="0055572A"/>
    <w:rsid w:val="00555791"/>
    <w:rsid w:val="0055660B"/>
    <w:rsid w:val="00556B05"/>
    <w:rsid w:val="0056021C"/>
    <w:rsid w:val="0056235F"/>
    <w:rsid w:val="005625C1"/>
    <w:rsid w:val="00562F50"/>
    <w:rsid w:val="00563653"/>
    <w:rsid w:val="00563AE5"/>
    <w:rsid w:val="0056407E"/>
    <w:rsid w:val="005643BC"/>
    <w:rsid w:val="005644B3"/>
    <w:rsid w:val="005663E9"/>
    <w:rsid w:val="005676A7"/>
    <w:rsid w:val="00567A8A"/>
    <w:rsid w:val="005714AE"/>
    <w:rsid w:val="00574879"/>
    <w:rsid w:val="005751A4"/>
    <w:rsid w:val="005758E3"/>
    <w:rsid w:val="00575FD6"/>
    <w:rsid w:val="005765AB"/>
    <w:rsid w:val="005767A1"/>
    <w:rsid w:val="00577D51"/>
    <w:rsid w:val="00580E29"/>
    <w:rsid w:val="00581634"/>
    <w:rsid w:val="005816B5"/>
    <w:rsid w:val="00581D1A"/>
    <w:rsid w:val="00582AD7"/>
    <w:rsid w:val="00583112"/>
    <w:rsid w:val="0058360B"/>
    <w:rsid w:val="005839F9"/>
    <w:rsid w:val="00583EBF"/>
    <w:rsid w:val="0058410E"/>
    <w:rsid w:val="00585390"/>
    <w:rsid w:val="00585F18"/>
    <w:rsid w:val="00587225"/>
    <w:rsid w:val="005914DA"/>
    <w:rsid w:val="00591A5A"/>
    <w:rsid w:val="00591FAD"/>
    <w:rsid w:val="00592E29"/>
    <w:rsid w:val="005939A5"/>
    <w:rsid w:val="0059410F"/>
    <w:rsid w:val="0059447B"/>
    <w:rsid w:val="00596080"/>
    <w:rsid w:val="005969A0"/>
    <w:rsid w:val="00596C65"/>
    <w:rsid w:val="00596D43"/>
    <w:rsid w:val="005A04A2"/>
    <w:rsid w:val="005A148C"/>
    <w:rsid w:val="005A2F47"/>
    <w:rsid w:val="005A3098"/>
    <w:rsid w:val="005A3399"/>
    <w:rsid w:val="005A3675"/>
    <w:rsid w:val="005A3805"/>
    <w:rsid w:val="005A62BC"/>
    <w:rsid w:val="005A6394"/>
    <w:rsid w:val="005A679A"/>
    <w:rsid w:val="005A6DC0"/>
    <w:rsid w:val="005A7C67"/>
    <w:rsid w:val="005A7EDE"/>
    <w:rsid w:val="005B1961"/>
    <w:rsid w:val="005B1A23"/>
    <w:rsid w:val="005B2A7D"/>
    <w:rsid w:val="005B385A"/>
    <w:rsid w:val="005B3E8D"/>
    <w:rsid w:val="005B52FF"/>
    <w:rsid w:val="005B5334"/>
    <w:rsid w:val="005B5D9C"/>
    <w:rsid w:val="005B5EA4"/>
    <w:rsid w:val="005C0862"/>
    <w:rsid w:val="005C087A"/>
    <w:rsid w:val="005C20E8"/>
    <w:rsid w:val="005C3A69"/>
    <w:rsid w:val="005C4FD9"/>
    <w:rsid w:val="005C58FA"/>
    <w:rsid w:val="005C5FC1"/>
    <w:rsid w:val="005C6C13"/>
    <w:rsid w:val="005C7945"/>
    <w:rsid w:val="005D0039"/>
    <w:rsid w:val="005D0E3B"/>
    <w:rsid w:val="005D101F"/>
    <w:rsid w:val="005D1094"/>
    <w:rsid w:val="005D18C1"/>
    <w:rsid w:val="005D63C4"/>
    <w:rsid w:val="005D6A74"/>
    <w:rsid w:val="005E0AFE"/>
    <w:rsid w:val="005E10E7"/>
    <w:rsid w:val="005E2CE8"/>
    <w:rsid w:val="005E37E7"/>
    <w:rsid w:val="005E4009"/>
    <w:rsid w:val="005E5E08"/>
    <w:rsid w:val="005E6EC9"/>
    <w:rsid w:val="005E727F"/>
    <w:rsid w:val="005F0E12"/>
    <w:rsid w:val="005F175F"/>
    <w:rsid w:val="005F2725"/>
    <w:rsid w:val="005F78C6"/>
    <w:rsid w:val="005F7BDE"/>
    <w:rsid w:val="0060034F"/>
    <w:rsid w:val="00602B00"/>
    <w:rsid w:val="00603275"/>
    <w:rsid w:val="0060332C"/>
    <w:rsid w:val="0060415A"/>
    <w:rsid w:val="00604312"/>
    <w:rsid w:val="006065A9"/>
    <w:rsid w:val="00612497"/>
    <w:rsid w:val="0061371A"/>
    <w:rsid w:val="00616CE4"/>
    <w:rsid w:val="00617020"/>
    <w:rsid w:val="00621CF0"/>
    <w:rsid w:val="00622911"/>
    <w:rsid w:val="00622E30"/>
    <w:rsid w:val="0062340C"/>
    <w:rsid w:val="006241B0"/>
    <w:rsid w:val="00626576"/>
    <w:rsid w:val="0062687E"/>
    <w:rsid w:val="0062782E"/>
    <w:rsid w:val="006279A7"/>
    <w:rsid w:val="006317C9"/>
    <w:rsid w:val="00631B8F"/>
    <w:rsid w:val="00632207"/>
    <w:rsid w:val="00632553"/>
    <w:rsid w:val="00632A7E"/>
    <w:rsid w:val="0063491C"/>
    <w:rsid w:val="00634F99"/>
    <w:rsid w:val="00635CEB"/>
    <w:rsid w:val="00636758"/>
    <w:rsid w:val="00637630"/>
    <w:rsid w:val="0064006E"/>
    <w:rsid w:val="006416C2"/>
    <w:rsid w:val="006423EC"/>
    <w:rsid w:val="0064257A"/>
    <w:rsid w:val="00642956"/>
    <w:rsid w:val="00642C4C"/>
    <w:rsid w:val="00643447"/>
    <w:rsid w:val="0064451B"/>
    <w:rsid w:val="0064501C"/>
    <w:rsid w:val="0064623F"/>
    <w:rsid w:val="006469AC"/>
    <w:rsid w:val="00646C81"/>
    <w:rsid w:val="00650B13"/>
    <w:rsid w:val="00650E1D"/>
    <w:rsid w:val="006524CC"/>
    <w:rsid w:val="00653B47"/>
    <w:rsid w:val="00654830"/>
    <w:rsid w:val="00654BA9"/>
    <w:rsid w:val="006550B2"/>
    <w:rsid w:val="00660B9F"/>
    <w:rsid w:val="00661AFE"/>
    <w:rsid w:val="00662815"/>
    <w:rsid w:val="0066433D"/>
    <w:rsid w:val="0066495E"/>
    <w:rsid w:val="00664F5E"/>
    <w:rsid w:val="00665659"/>
    <w:rsid w:val="00666EFD"/>
    <w:rsid w:val="006728C1"/>
    <w:rsid w:val="00672A5E"/>
    <w:rsid w:val="00673737"/>
    <w:rsid w:val="00675422"/>
    <w:rsid w:val="00676657"/>
    <w:rsid w:val="006777EB"/>
    <w:rsid w:val="00680F19"/>
    <w:rsid w:val="00681398"/>
    <w:rsid w:val="00681870"/>
    <w:rsid w:val="00686093"/>
    <w:rsid w:val="006877B3"/>
    <w:rsid w:val="0068784D"/>
    <w:rsid w:val="0069151F"/>
    <w:rsid w:val="00692984"/>
    <w:rsid w:val="006929D4"/>
    <w:rsid w:val="0069645A"/>
    <w:rsid w:val="00696D3B"/>
    <w:rsid w:val="006971C0"/>
    <w:rsid w:val="006A1D03"/>
    <w:rsid w:val="006A2500"/>
    <w:rsid w:val="006A39EF"/>
    <w:rsid w:val="006A3C08"/>
    <w:rsid w:val="006A5307"/>
    <w:rsid w:val="006A6DAF"/>
    <w:rsid w:val="006B0B48"/>
    <w:rsid w:val="006B2963"/>
    <w:rsid w:val="006B2A7F"/>
    <w:rsid w:val="006B2FD7"/>
    <w:rsid w:val="006B3BC2"/>
    <w:rsid w:val="006B448C"/>
    <w:rsid w:val="006B54E3"/>
    <w:rsid w:val="006B5CDC"/>
    <w:rsid w:val="006C099D"/>
    <w:rsid w:val="006C1F10"/>
    <w:rsid w:val="006C2C9E"/>
    <w:rsid w:val="006C3774"/>
    <w:rsid w:val="006C54A6"/>
    <w:rsid w:val="006C56AF"/>
    <w:rsid w:val="006C64AA"/>
    <w:rsid w:val="006C65A3"/>
    <w:rsid w:val="006D25E5"/>
    <w:rsid w:val="006D2B6D"/>
    <w:rsid w:val="006D31DC"/>
    <w:rsid w:val="006D6C4A"/>
    <w:rsid w:val="006D72EB"/>
    <w:rsid w:val="006E1C5B"/>
    <w:rsid w:val="006E1EC3"/>
    <w:rsid w:val="006E1FFF"/>
    <w:rsid w:val="006E2DD8"/>
    <w:rsid w:val="006E35FC"/>
    <w:rsid w:val="006E41B7"/>
    <w:rsid w:val="006E4510"/>
    <w:rsid w:val="006E51E3"/>
    <w:rsid w:val="006E551C"/>
    <w:rsid w:val="006E5E28"/>
    <w:rsid w:val="006E5F8F"/>
    <w:rsid w:val="006E6574"/>
    <w:rsid w:val="006E6A4B"/>
    <w:rsid w:val="006E6AB9"/>
    <w:rsid w:val="006F15CB"/>
    <w:rsid w:val="006F1D2C"/>
    <w:rsid w:val="006F2BE9"/>
    <w:rsid w:val="006F3391"/>
    <w:rsid w:val="006F428E"/>
    <w:rsid w:val="006F43E7"/>
    <w:rsid w:val="006F4451"/>
    <w:rsid w:val="006F4AFB"/>
    <w:rsid w:val="006F6943"/>
    <w:rsid w:val="006F6A8D"/>
    <w:rsid w:val="006F6CC2"/>
    <w:rsid w:val="006F6F40"/>
    <w:rsid w:val="006F7E0B"/>
    <w:rsid w:val="00701085"/>
    <w:rsid w:val="007026E2"/>
    <w:rsid w:val="007033CC"/>
    <w:rsid w:val="00703922"/>
    <w:rsid w:val="00704869"/>
    <w:rsid w:val="00705FFD"/>
    <w:rsid w:val="00706550"/>
    <w:rsid w:val="00706DB6"/>
    <w:rsid w:val="00707E38"/>
    <w:rsid w:val="00707E55"/>
    <w:rsid w:val="007100E1"/>
    <w:rsid w:val="007104B7"/>
    <w:rsid w:val="00710749"/>
    <w:rsid w:val="00710B25"/>
    <w:rsid w:val="00711D8B"/>
    <w:rsid w:val="00711F17"/>
    <w:rsid w:val="0071393B"/>
    <w:rsid w:val="00714CF2"/>
    <w:rsid w:val="007156B9"/>
    <w:rsid w:val="007159AC"/>
    <w:rsid w:val="007159D9"/>
    <w:rsid w:val="007204B5"/>
    <w:rsid w:val="00720817"/>
    <w:rsid w:val="0072088B"/>
    <w:rsid w:val="00721EB2"/>
    <w:rsid w:val="00722736"/>
    <w:rsid w:val="00722850"/>
    <w:rsid w:val="00722AAC"/>
    <w:rsid w:val="00723517"/>
    <w:rsid w:val="00724C6E"/>
    <w:rsid w:val="00730CC7"/>
    <w:rsid w:val="007321A0"/>
    <w:rsid w:val="00732A4B"/>
    <w:rsid w:val="0073317B"/>
    <w:rsid w:val="0073344A"/>
    <w:rsid w:val="0073353F"/>
    <w:rsid w:val="0073524A"/>
    <w:rsid w:val="007357DA"/>
    <w:rsid w:val="00735A91"/>
    <w:rsid w:val="007362DF"/>
    <w:rsid w:val="007374C7"/>
    <w:rsid w:val="00737D33"/>
    <w:rsid w:val="00741576"/>
    <w:rsid w:val="00742E45"/>
    <w:rsid w:val="007442E6"/>
    <w:rsid w:val="007447AF"/>
    <w:rsid w:val="00744815"/>
    <w:rsid w:val="00745CEB"/>
    <w:rsid w:val="00746FF3"/>
    <w:rsid w:val="00750816"/>
    <w:rsid w:val="00752171"/>
    <w:rsid w:val="007536FF"/>
    <w:rsid w:val="007602C7"/>
    <w:rsid w:val="00761E4B"/>
    <w:rsid w:val="00762059"/>
    <w:rsid w:val="0076256B"/>
    <w:rsid w:val="00763C01"/>
    <w:rsid w:val="00764398"/>
    <w:rsid w:val="00764C9F"/>
    <w:rsid w:val="007657C1"/>
    <w:rsid w:val="00765EF1"/>
    <w:rsid w:val="0076688F"/>
    <w:rsid w:val="00767B1B"/>
    <w:rsid w:val="0076F236"/>
    <w:rsid w:val="0077004A"/>
    <w:rsid w:val="00771242"/>
    <w:rsid w:val="00771B02"/>
    <w:rsid w:val="0077341C"/>
    <w:rsid w:val="00774BCA"/>
    <w:rsid w:val="0077755F"/>
    <w:rsid w:val="00777770"/>
    <w:rsid w:val="0077787A"/>
    <w:rsid w:val="00777F20"/>
    <w:rsid w:val="00782BF6"/>
    <w:rsid w:val="00783391"/>
    <w:rsid w:val="00784289"/>
    <w:rsid w:val="00785252"/>
    <w:rsid w:val="00786ED5"/>
    <w:rsid w:val="0078783D"/>
    <w:rsid w:val="0078797D"/>
    <w:rsid w:val="00787CEF"/>
    <w:rsid w:val="00793409"/>
    <w:rsid w:val="007938FD"/>
    <w:rsid w:val="007941D8"/>
    <w:rsid w:val="007953E8"/>
    <w:rsid w:val="00796410"/>
    <w:rsid w:val="007A0707"/>
    <w:rsid w:val="007A169B"/>
    <w:rsid w:val="007A2E7E"/>
    <w:rsid w:val="007A38C3"/>
    <w:rsid w:val="007A406D"/>
    <w:rsid w:val="007A492C"/>
    <w:rsid w:val="007A62B0"/>
    <w:rsid w:val="007A6F39"/>
    <w:rsid w:val="007A7429"/>
    <w:rsid w:val="007B06A2"/>
    <w:rsid w:val="007B0B48"/>
    <w:rsid w:val="007B299C"/>
    <w:rsid w:val="007B33CD"/>
    <w:rsid w:val="007B3A2E"/>
    <w:rsid w:val="007B3AE4"/>
    <w:rsid w:val="007B467C"/>
    <w:rsid w:val="007B7464"/>
    <w:rsid w:val="007B74C2"/>
    <w:rsid w:val="007C0001"/>
    <w:rsid w:val="007C003A"/>
    <w:rsid w:val="007C2B16"/>
    <w:rsid w:val="007C3292"/>
    <w:rsid w:val="007C3A4B"/>
    <w:rsid w:val="007C3AD8"/>
    <w:rsid w:val="007C4068"/>
    <w:rsid w:val="007C45E7"/>
    <w:rsid w:val="007C4DFB"/>
    <w:rsid w:val="007C5A0C"/>
    <w:rsid w:val="007C61C4"/>
    <w:rsid w:val="007D3A3A"/>
    <w:rsid w:val="007D3D39"/>
    <w:rsid w:val="007D5757"/>
    <w:rsid w:val="007E0FEE"/>
    <w:rsid w:val="007E1359"/>
    <w:rsid w:val="007E344B"/>
    <w:rsid w:val="007E35B1"/>
    <w:rsid w:val="007E3D72"/>
    <w:rsid w:val="007E4036"/>
    <w:rsid w:val="007E734E"/>
    <w:rsid w:val="007E7481"/>
    <w:rsid w:val="007F2017"/>
    <w:rsid w:val="007F2293"/>
    <w:rsid w:val="007F3ADE"/>
    <w:rsid w:val="007F40D3"/>
    <w:rsid w:val="007F4207"/>
    <w:rsid w:val="007F4B0E"/>
    <w:rsid w:val="007F54E5"/>
    <w:rsid w:val="007F6EA5"/>
    <w:rsid w:val="007F70F2"/>
    <w:rsid w:val="007F7ABB"/>
    <w:rsid w:val="007F7F4C"/>
    <w:rsid w:val="00801333"/>
    <w:rsid w:val="00802EF1"/>
    <w:rsid w:val="008033FD"/>
    <w:rsid w:val="0080484B"/>
    <w:rsid w:val="00804BE5"/>
    <w:rsid w:val="0080634C"/>
    <w:rsid w:val="008068B2"/>
    <w:rsid w:val="00806A8A"/>
    <w:rsid w:val="00806FBD"/>
    <w:rsid w:val="00810E43"/>
    <w:rsid w:val="008150DD"/>
    <w:rsid w:val="008153A8"/>
    <w:rsid w:val="008159CF"/>
    <w:rsid w:val="00816E05"/>
    <w:rsid w:val="008204F6"/>
    <w:rsid w:val="00821808"/>
    <w:rsid w:val="00821C3E"/>
    <w:rsid w:val="00821FBF"/>
    <w:rsid w:val="008268C3"/>
    <w:rsid w:val="00830E82"/>
    <w:rsid w:val="00830F49"/>
    <w:rsid w:val="00831D84"/>
    <w:rsid w:val="00832A3B"/>
    <w:rsid w:val="00832EDD"/>
    <w:rsid w:val="008339BB"/>
    <w:rsid w:val="00837302"/>
    <w:rsid w:val="008409A4"/>
    <w:rsid w:val="00841898"/>
    <w:rsid w:val="00842F2D"/>
    <w:rsid w:val="0084344F"/>
    <w:rsid w:val="00843A8C"/>
    <w:rsid w:val="008446D5"/>
    <w:rsid w:val="00845577"/>
    <w:rsid w:val="00845598"/>
    <w:rsid w:val="00845ED4"/>
    <w:rsid w:val="0084633A"/>
    <w:rsid w:val="00847C86"/>
    <w:rsid w:val="00851420"/>
    <w:rsid w:val="00852137"/>
    <w:rsid w:val="00852B7B"/>
    <w:rsid w:val="00852DA4"/>
    <w:rsid w:val="0085425D"/>
    <w:rsid w:val="00860BE9"/>
    <w:rsid w:val="008611EB"/>
    <w:rsid w:val="008613AD"/>
    <w:rsid w:val="0086244A"/>
    <w:rsid w:val="00863351"/>
    <w:rsid w:val="0086384E"/>
    <w:rsid w:val="00863F27"/>
    <w:rsid w:val="00863FB8"/>
    <w:rsid w:val="00863FB9"/>
    <w:rsid w:val="0086419A"/>
    <w:rsid w:val="00864E8E"/>
    <w:rsid w:val="0086526B"/>
    <w:rsid w:val="008672D2"/>
    <w:rsid w:val="00867B7E"/>
    <w:rsid w:val="0087006D"/>
    <w:rsid w:val="0087023B"/>
    <w:rsid w:val="008713DB"/>
    <w:rsid w:val="00871697"/>
    <w:rsid w:val="008725BE"/>
    <w:rsid w:val="00872B55"/>
    <w:rsid w:val="0087596A"/>
    <w:rsid w:val="00875DB3"/>
    <w:rsid w:val="00876485"/>
    <w:rsid w:val="0087735D"/>
    <w:rsid w:val="008806BB"/>
    <w:rsid w:val="00880A06"/>
    <w:rsid w:val="00883761"/>
    <w:rsid w:val="008855DA"/>
    <w:rsid w:val="00885AB1"/>
    <w:rsid w:val="00886928"/>
    <w:rsid w:val="008869F3"/>
    <w:rsid w:val="00887DD3"/>
    <w:rsid w:val="00891659"/>
    <w:rsid w:val="008916D7"/>
    <w:rsid w:val="0089209E"/>
    <w:rsid w:val="008923D7"/>
    <w:rsid w:val="008923EF"/>
    <w:rsid w:val="00894227"/>
    <w:rsid w:val="00896558"/>
    <w:rsid w:val="0089684D"/>
    <w:rsid w:val="008A0626"/>
    <w:rsid w:val="008A179F"/>
    <w:rsid w:val="008A2DB4"/>
    <w:rsid w:val="008A3F67"/>
    <w:rsid w:val="008A4125"/>
    <w:rsid w:val="008A4FDA"/>
    <w:rsid w:val="008A5554"/>
    <w:rsid w:val="008A5F3D"/>
    <w:rsid w:val="008A6BF2"/>
    <w:rsid w:val="008A7408"/>
    <w:rsid w:val="008A768C"/>
    <w:rsid w:val="008B03B1"/>
    <w:rsid w:val="008B0864"/>
    <w:rsid w:val="008B381B"/>
    <w:rsid w:val="008B4E33"/>
    <w:rsid w:val="008B5456"/>
    <w:rsid w:val="008B6054"/>
    <w:rsid w:val="008B7721"/>
    <w:rsid w:val="008B7868"/>
    <w:rsid w:val="008C0D40"/>
    <w:rsid w:val="008C3030"/>
    <w:rsid w:val="008C3A42"/>
    <w:rsid w:val="008C4DB1"/>
    <w:rsid w:val="008C5143"/>
    <w:rsid w:val="008C5292"/>
    <w:rsid w:val="008C68F3"/>
    <w:rsid w:val="008C7413"/>
    <w:rsid w:val="008C755D"/>
    <w:rsid w:val="008D054E"/>
    <w:rsid w:val="008D16B7"/>
    <w:rsid w:val="008D2DC6"/>
    <w:rsid w:val="008D4560"/>
    <w:rsid w:val="008D57C3"/>
    <w:rsid w:val="008D5D8B"/>
    <w:rsid w:val="008D7747"/>
    <w:rsid w:val="008E0460"/>
    <w:rsid w:val="008E0C5B"/>
    <w:rsid w:val="008E1035"/>
    <w:rsid w:val="008E13EF"/>
    <w:rsid w:val="008E1D6E"/>
    <w:rsid w:val="008E239A"/>
    <w:rsid w:val="008E4C2A"/>
    <w:rsid w:val="008E4D12"/>
    <w:rsid w:val="008E6AE6"/>
    <w:rsid w:val="008E76A5"/>
    <w:rsid w:val="008F0116"/>
    <w:rsid w:val="008F05C5"/>
    <w:rsid w:val="008F13BA"/>
    <w:rsid w:val="008F143D"/>
    <w:rsid w:val="008F1F39"/>
    <w:rsid w:val="008F37F9"/>
    <w:rsid w:val="008F7B8B"/>
    <w:rsid w:val="008F7BA1"/>
    <w:rsid w:val="009025A6"/>
    <w:rsid w:val="0090493C"/>
    <w:rsid w:val="00904E6D"/>
    <w:rsid w:val="00904ECD"/>
    <w:rsid w:val="0090753F"/>
    <w:rsid w:val="00915155"/>
    <w:rsid w:val="00915EE4"/>
    <w:rsid w:val="00916701"/>
    <w:rsid w:val="00916A34"/>
    <w:rsid w:val="00916D71"/>
    <w:rsid w:val="0091756C"/>
    <w:rsid w:val="00917CF9"/>
    <w:rsid w:val="009200C8"/>
    <w:rsid w:val="00921E5F"/>
    <w:rsid w:val="009227BE"/>
    <w:rsid w:val="00923582"/>
    <w:rsid w:val="00924123"/>
    <w:rsid w:val="009254FA"/>
    <w:rsid w:val="00925544"/>
    <w:rsid w:val="0092556B"/>
    <w:rsid w:val="00926823"/>
    <w:rsid w:val="009278F3"/>
    <w:rsid w:val="00927E35"/>
    <w:rsid w:val="0093096F"/>
    <w:rsid w:val="0093184C"/>
    <w:rsid w:val="00931D9A"/>
    <w:rsid w:val="00932865"/>
    <w:rsid w:val="00934D4C"/>
    <w:rsid w:val="009357A7"/>
    <w:rsid w:val="00935FDB"/>
    <w:rsid w:val="0093753A"/>
    <w:rsid w:val="009402BE"/>
    <w:rsid w:val="00941C15"/>
    <w:rsid w:val="00941E6D"/>
    <w:rsid w:val="00943FEF"/>
    <w:rsid w:val="00944ED0"/>
    <w:rsid w:val="00945AEA"/>
    <w:rsid w:val="00945B8F"/>
    <w:rsid w:val="009466A7"/>
    <w:rsid w:val="00946B29"/>
    <w:rsid w:val="009472ED"/>
    <w:rsid w:val="00947D0D"/>
    <w:rsid w:val="00947D11"/>
    <w:rsid w:val="009533C4"/>
    <w:rsid w:val="009537A1"/>
    <w:rsid w:val="00953825"/>
    <w:rsid w:val="00953B18"/>
    <w:rsid w:val="00954389"/>
    <w:rsid w:val="009543F0"/>
    <w:rsid w:val="00954A5A"/>
    <w:rsid w:val="0095503C"/>
    <w:rsid w:val="00955469"/>
    <w:rsid w:val="00955C13"/>
    <w:rsid w:val="00955C32"/>
    <w:rsid w:val="00956CB1"/>
    <w:rsid w:val="00957613"/>
    <w:rsid w:val="009605CE"/>
    <w:rsid w:val="009605D2"/>
    <w:rsid w:val="009611B5"/>
    <w:rsid w:val="00961530"/>
    <w:rsid w:val="009617EE"/>
    <w:rsid w:val="00961D14"/>
    <w:rsid w:val="00961E9E"/>
    <w:rsid w:val="00961F38"/>
    <w:rsid w:val="009627CA"/>
    <w:rsid w:val="00962CB7"/>
    <w:rsid w:val="00962F47"/>
    <w:rsid w:val="00962F92"/>
    <w:rsid w:val="00963BB3"/>
    <w:rsid w:val="00964165"/>
    <w:rsid w:val="00964EA3"/>
    <w:rsid w:val="00966436"/>
    <w:rsid w:val="009715F2"/>
    <w:rsid w:val="00975F11"/>
    <w:rsid w:val="00976044"/>
    <w:rsid w:val="00976989"/>
    <w:rsid w:val="00977089"/>
    <w:rsid w:val="00977C31"/>
    <w:rsid w:val="0098011E"/>
    <w:rsid w:val="00980599"/>
    <w:rsid w:val="009809A1"/>
    <w:rsid w:val="009810EB"/>
    <w:rsid w:val="0098138E"/>
    <w:rsid w:val="00981743"/>
    <w:rsid w:val="00981CA0"/>
    <w:rsid w:val="009853E9"/>
    <w:rsid w:val="0098655A"/>
    <w:rsid w:val="009900DC"/>
    <w:rsid w:val="00990238"/>
    <w:rsid w:val="0099115F"/>
    <w:rsid w:val="00991978"/>
    <w:rsid w:val="00992817"/>
    <w:rsid w:val="0099345A"/>
    <w:rsid w:val="00993D54"/>
    <w:rsid w:val="00993FE7"/>
    <w:rsid w:val="009944B8"/>
    <w:rsid w:val="009956F1"/>
    <w:rsid w:val="00995D6A"/>
    <w:rsid w:val="00995D6B"/>
    <w:rsid w:val="009962BA"/>
    <w:rsid w:val="00996886"/>
    <w:rsid w:val="009A0F24"/>
    <w:rsid w:val="009A1C63"/>
    <w:rsid w:val="009A2251"/>
    <w:rsid w:val="009A5042"/>
    <w:rsid w:val="009A5E4E"/>
    <w:rsid w:val="009A6E36"/>
    <w:rsid w:val="009A6E50"/>
    <w:rsid w:val="009A7F97"/>
    <w:rsid w:val="009B0369"/>
    <w:rsid w:val="009B09EC"/>
    <w:rsid w:val="009B20B2"/>
    <w:rsid w:val="009B22F3"/>
    <w:rsid w:val="009B268B"/>
    <w:rsid w:val="009B278C"/>
    <w:rsid w:val="009B333B"/>
    <w:rsid w:val="009B34E7"/>
    <w:rsid w:val="009B38E0"/>
    <w:rsid w:val="009B5B95"/>
    <w:rsid w:val="009B5F38"/>
    <w:rsid w:val="009B6642"/>
    <w:rsid w:val="009C026F"/>
    <w:rsid w:val="009C09DE"/>
    <w:rsid w:val="009C1686"/>
    <w:rsid w:val="009C3560"/>
    <w:rsid w:val="009C496D"/>
    <w:rsid w:val="009C4E1A"/>
    <w:rsid w:val="009C50B0"/>
    <w:rsid w:val="009C543B"/>
    <w:rsid w:val="009C5C09"/>
    <w:rsid w:val="009C62E9"/>
    <w:rsid w:val="009C731A"/>
    <w:rsid w:val="009C76EF"/>
    <w:rsid w:val="009C7DA9"/>
    <w:rsid w:val="009C7E65"/>
    <w:rsid w:val="009D061F"/>
    <w:rsid w:val="009D191B"/>
    <w:rsid w:val="009D1C59"/>
    <w:rsid w:val="009E1677"/>
    <w:rsid w:val="009E2ABE"/>
    <w:rsid w:val="009E39A9"/>
    <w:rsid w:val="009E44A5"/>
    <w:rsid w:val="009E49F2"/>
    <w:rsid w:val="009E4F7C"/>
    <w:rsid w:val="009E53F2"/>
    <w:rsid w:val="009E6052"/>
    <w:rsid w:val="009E64B2"/>
    <w:rsid w:val="009E66EE"/>
    <w:rsid w:val="009E7C7F"/>
    <w:rsid w:val="009F0042"/>
    <w:rsid w:val="009F00D6"/>
    <w:rsid w:val="009F0B12"/>
    <w:rsid w:val="009F2D2F"/>
    <w:rsid w:val="009F3557"/>
    <w:rsid w:val="009F37ED"/>
    <w:rsid w:val="009F590D"/>
    <w:rsid w:val="009F63D5"/>
    <w:rsid w:val="009F6FF3"/>
    <w:rsid w:val="00A00F0A"/>
    <w:rsid w:val="00A010A4"/>
    <w:rsid w:val="00A01D13"/>
    <w:rsid w:val="00A01EC6"/>
    <w:rsid w:val="00A02D6F"/>
    <w:rsid w:val="00A060D6"/>
    <w:rsid w:val="00A065E9"/>
    <w:rsid w:val="00A06C9F"/>
    <w:rsid w:val="00A1138F"/>
    <w:rsid w:val="00A119CB"/>
    <w:rsid w:val="00A13B65"/>
    <w:rsid w:val="00A13C05"/>
    <w:rsid w:val="00A14568"/>
    <w:rsid w:val="00A15004"/>
    <w:rsid w:val="00A1596F"/>
    <w:rsid w:val="00A15A2A"/>
    <w:rsid w:val="00A17399"/>
    <w:rsid w:val="00A17CE0"/>
    <w:rsid w:val="00A20AB9"/>
    <w:rsid w:val="00A22EB8"/>
    <w:rsid w:val="00A2386A"/>
    <w:rsid w:val="00A23D48"/>
    <w:rsid w:val="00A24776"/>
    <w:rsid w:val="00A2481C"/>
    <w:rsid w:val="00A2497A"/>
    <w:rsid w:val="00A25447"/>
    <w:rsid w:val="00A25E86"/>
    <w:rsid w:val="00A260E1"/>
    <w:rsid w:val="00A26C9F"/>
    <w:rsid w:val="00A27800"/>
    <w:rsid w:val="00A3186E"/>
    <w:rsid w:val="00A331C1"/>
    <w:rsid w:val="00A34F9B"/>
    <w:rsid w:val="00A34FBC"/>
    <w:rsid w:val="00A35D01"/>
    <w:rsid w:val="00A37052"/>
    <w:rsid w:val="00A400BE"/>
    <w:rsid w:val="00A41C6F"/>
    <w:rsid w:val="00A42306"/>
    <w:rsid w:val="00A44E8D"/>
    <w:rsid w:val="00A45CD3"/>
    <w:rsid w:val="00A46EA8"/>
    <w:rsid w:val="00A507ED"/>
    <w:rsid w:val="00A51FBF"/>
    <w:rsid w:val="00A534EB"/>
    <w:rsid w:val="00A53517"/>
    <w:rsid w:val="00A554DB"/>
    <w:rsid w:val="00A55ACD"/>
    <w:rsid w:val="00A56733"/>
    <w:rsid w:val="00A60772"/>
    <w:rsid w:val="00A64EC3"/>
    <w:rsid w:val="00A66CA0"/>
    <w:rsid w:val="00A67CB5"/>
    <w:rsid w:val="00A70544"/>
    <w:rsid w:val="00A71AC7"/>
    <w:rsid w:val="00A727AB"/>
    <w:rsid w:val="00A73905"/>
    <w:rsid w:val="00A75848"/>
    <w:rsid w:val="00A7670B"/>
    <w:rsid w:val="00A76977"/>
    <w:rsid w:val="00A774DF"/>
    <w:rsid w:val="00A7788E"/>
    <w:rsid w:val="00A77951"/>
    <w:rsid w:val="00A8054E"/>
    <w:rsid w:val="00A80EEB"/>
    <w:rsid w:val="00A81AAE"/>
    <w:rsid w:val="00A81D72"/>
    <w:rsid w:val="00A81E98"/>
    <w:rsid w:val="00A83241"/>
    <w:rsid w:val="00A85D27"/>
    <w:rsid w:val="00A85E9D"/>
    <w:rsid w:val="00A863D1"/>
    <w:rsid w:val="00A86E1D"/>
    <w:rsid w:val="00A90505"/>
    <w:rsid w:val="00A90B60"/>
    <w:rsid w:val="00A90D9C"/>
    <w:rsid w:val="00A90EA7"/>
    <w:rsid w:val="00A92AFD"/>
    <w:rsid w:val="00A947D2"/>
    <w:rsid w:val="00AA09B4"/>
    <w:rsid w:val="00AA0DBE"/>
    <w:rsid w:val="00AA38DB"/>
    <w:rsid w:val="00AA4992"/>
    <w:rsid w:val="00AA499A"/>
    <w:rsid w:val="00AA4B07"/>
    <w:rsid w:val="00AA68C4"/>
    <w:rsid w:val="00AA6A1F"/>
    <w:rsid w:val="00AA7D9D"/>
    <w:rsid w:val="00AB00DF"/>
    <w:rsid w:val="00AB2105"/>
    <w:rsid w:val="00AB32EB"/>
    <w:rsid w:val="00AB606F"/>
    <w:rsid w:val="00AB71BE"/>
    <w:rsid w:val="00AB76A1"/>
    <w:rsid w:val="00AB7875"/>
    <w:rsid w:val="00AB7B97"/>
    <w:rsid w:val="00AC1179"/>
    <w:rsid w:val="00AC120D"/>
    <w:rsid w:val="00AC16A7"/>
    <w:rsid w:val="00AC2ED2"/>
    <w:rsid w:val="00AC3F4E"/>
    <w:rsid w:val="00AC4674"/>
    <w:rsid w:val="00AC467C"/>
    <w:rsid w:val="00AC5368"/>
    <w:rsid w:val="00AC604C"/>
    <w:rsid w:val="00AC68EE"/>
    <w:rsid w:val="00AC68F3"/>
    <w:rsid w:val="00AC6D04"/>
    <w:rsid w:val="00AC6EA1"/>
    <w:rsid w:val="00AC7CB7"/>
    <w:rsid w:val="00AD0721"/>
    <w:rsid w:val="00AD0F64"/>
    <w:rsid w:val="00AD1017"/>
    <w:rsid w:val="00AD2339"/>
    <w:rsid w:val="00AD3A2E"/>
    <w:rsid w:val="00AD3D30"/>
    <w:rsid w:val="00AD3F53"/>
    <w:rsid w:val="00AD4350"/>
    <w:rsid w:val="00AD4418"/>
    <w:rsid w:val="00AD4E9C"/>
    <w:rsid w:val="00AD5F7A"/>
    <w:rsid w:val="00AD7825"/>
    <w:rsid w:val="00AD7B6E"/>
    <w:rsid w:val="00AE16FF"/>
    <w:rsid w:val="00AE1B6D"/>
    <w:rsid w:val="00AE2072"/>
    <w:rsid w:val="00AE2B1F"/>
    <w:rsid w:val="00AE4C60"/>
    <w:rsid w:val="00AE53AF"/>
    <w:rsid w:val="00AE59E9"/>
    <w:rsid w:val="00AF0C32"/>
    <w:rsid w:val="00AF196E"/>
    <w:rsid w:val="00AF224B"/>
    <w:rsid w:val="00AF3909"/>
    <w:rsid w:val="00AF3D7C"/>
    <w:rsid w:val="00AF549E"/>
    <w:rsid w:val="00AF6FE9"/>
    <w:rsid w:val="00AF7813"/>
    <w:rsid w:val="00B007C4"/>
    <w:rsid w:val="00B01137"/>
    <w:rsid w:val="00B01211"/>
    <w:rsid w:val="00B01F7E"/>
    <w:rsid w:val="00B023FE"/>
    <w:rsid w:val="00B07C4C"/>
    <w:rsid w:val="00B11689"/>
    <w:rsid w:val="00B1314D"/>
    <w:rsid w:val="00B134F8"/>
    <w:rsid w:val="00B1367F"/>
    <w:rsid w:val="00B16C2A"/>
    <w:rsid w:val="00B20456"/>
    <w:rsid w:val="00B206B8"/>
    <w:rsid w:val="00B20CA6"/>
    <w:rsid w:val="00B21B23"/>
    <w:rsid w:val="00B22317"/>
    <w:rsid w:val="00B22D30"/>
    <w:rsid w:val="00B22E1A"/>
    <w:rsid w:val="00B24236"/>
    <w:rsid w:val="00B26496"/>
    <w:rsid w:val="00B26791"/>
    <w:rsid w:val="00B26836"/>
    <w:rsid w:val="00B2751C"/>
    <w:rsid w:val="00B3087D"/>
    <w:rsid w:val="00B31A7B"/>
    <w:rsid w:val="00B323F1"/>
    <w:rsid w:val="00B32557"/>
    <w:rsid w:val="00B3443B"/>
    <w:rsid w:val="00B34794"/>
    <w:rsid w:val="00B34F50"/>
    <w:rsid w:val="00B36042"/>
    <w:rsid w:val="00B40A5A"/>
    <w:rsid w:val="00B40D00"/>
    <w:rsid w:val="00B412D3"/>
    <w:rsid w:val="00B41600"/>
    <w:rsid w:val="00B4209C"/>
    <w:rsid w:val="00B42B1F"/>
    <w:rsid w:val="00B436B6"/>
    <w:rsid w:val="00B4770B"/>
    <w:rsid w:val="00B47D38"/>
    <w:rsid w:val="00B47FCF"/>
    <w:rsid w:val="00B529B0"/>
    <w:rsid w:val="00B54C28"/>
    <w:rsid w:val="00B56012"/>
    <w:rsid w:val="00B568F8"/>
    <w:rsid w:val="00B56CA2"/>
    <w:rsid w:val="00B56E50"/>
    <w:rsid w:val="00B60421"/>
    <w:rsid w:val="00B619BA"/>
    <w:rsid w:val="00B62740"/>
    <w:rsid w:val="00B62B05"/>
    <w:rsid w:val="00B62B1C"/>
    <w:rsid w:val="00B63433"/>
    <w:rsid w:val="00B65BB1"/>
    <w:rsid w:val="00B66802"/>
    <w:rsid w:val="00B66F65"/>
    <w:rsid w:val="00B70089"/>
    <w:rsid w:val="00B70621"/>
    <w:rsid w:val="00B71A16"/>
    <w:rsid w:val="00B7512D"/>
    <w:rsid w:val="00B7543B"/>
    <w:rsid w:val="00B76D16"/>
    <w:rsid w:val="00B776A5"/>
    <w:rsid w:val="00B8062A"/>
    <w:rsid w:val="00B80990"/>
    <w:rsid w:val="00B80C97"/>
    <w:rsid w:val="00B8143F"/>
    <w:rsid w:val="00B8156B"/>
    <w:rsid w:val="00B8193F"/>
    <w:rsid w:val="00B81DFD"/>
    <w:rsid w:val="00B81EB6"/>
    <w:rsid w:val="00B82297"/>
    <w:rsid w:val="00B841B3"/>
    <w:rsid w:val="00B8470A"/>
    <w:rsid w:val="00B852BF"/>
    <w:rsid w:val="00B8690A"/>
    <w:rsid w:val="00B8695D"/>
    <w:rsid w:val="00B86B84"/>
    <w:rsid w:val="00B86F6C"/>
    <w:rsid w:val="00B8747B"/>
    <w:rsid w:val="00B875E4"/>
    <w:rsid w:val="00B91873"/>
    <w:rsid w:val="00B91CAB"/>
    <w:rsid w:val="00B91F84"/>
    <w:rsid w:val="00B92351"/>
    <w:rsid w:val="00B92765"/>
    <w:rsid w:val="00B933BC"/>
    <w:rsid w:val="00B9593F"/>
    <w:rsid w:val="00B95C49"/>
    <w:rsid w:val="00B96055"/>
    <w:rsid w:val="00B962A3"/>
    <w:rsid w:val="00B9683C"/>
    <w:rsid w:val="00B97522"/>
    <w:rsid w:val="00BA2A0B"/>
    <w:rsid w:val="00BA39E6"/>
    <w:rsid w:val="00BA4072"/>
    <w:rsid w:val="00BA40B1"/>
    <w:rsid w:val="00BA472C"/>
    <w:rsid w:val="00BA4E3C"/>
    <w:rsid w:val="00BA5127"/>
    <w:rsid w:val="00BA76BE"/>
    <w:rsid w:val="00BA7951"/>
    <w:rsid w:val="00BB00AF"/>
    <w:rsid w:val="00BB0243"/>
    <w:rsid w:val="00BB0AEF"/>
    <w:rsid w:val="00BB12FF"/>
    <w:rsid w:val="00BB1949"/>
    <w:rsid w:val="00BB2695"/>
    <w:rsid w:val="00BB2B44"/>
    <w:rsid w:val="00BB2E4F"/>
    <w:rsid w:val="00BB3C2D"/>
    <w:rsid w:val="00BB3E2F"/>
    <w:rsid w:val="00BB695C"/>
    <w:rsid w:val="00BB709A"/>
    <w:rsid w:val="00BC035E"/>
    <w:rsid w:val="00BC09F9"/>
    <w:rsid w:val="00BC271E"/>
    <w:rsid w:val="00BC2DD0"/>
    <w:rsid w:val="00BC6CD1"/>
    <w:rsid w:val="00BC7614"/>
    <w:rsid w:val="00BD07D8"/>
    <w:rsid w:val="00BD155E"/>
    <w:rsid w:val="00BD1E37"/>
    <w:rsid w:val="00BD2800"/>
    <w:rsid w:val="00BD3611"/>
    <w:rsid w:val="00BD4FD2"/>
    <w:rsid w:val="00BD5D3C"/>
    <w:rsid w:val="00BE024F"/>
    <w:rsid w:val="00BE09D3"/>
    <w:rsid w:val="00BE0CA5"/>
    <w:rsid w:val="00BE0DED"/>
    <w:rsid w:val="00BE129B"/>
    <w:rsid w:val="00BE1BDD"/>
    <w:rsid w:val="00BE27AB"/>
    <w:rsid w:val="00BE3AE0"/>
    <w:rsid w:val="00BE3CD1"/>
    <w:rsid w:val="00BE4049"/>
    <w:rsid w:val="00BE428C"/>
    <w:rsid w:val="00BE44B1"/>
    <w:rsid w:val="00BE57E9"/>
    <w:rsid w:val="00BE5C6D"/>
    <w:rsid w:val="00BE7A19"/>
    <w:rsid w:val="00BE7C72"/>
    <w:rsid w:val="00BE7EE0"/>
    <w:rsid w:val="00BF14D7"/>
    <w:rsid w:val="00BF1AA9"/>
    <w:rsid w:val="00BF2502"/>
    <w:rsid w:val="00BF321C"/>
    <w:rsid w:val="00BF3C34"/>
    <w:rsid w:val="00BF4A4C"/>
    <w:rsid w:val="00BF5231"/>
    <w:rsid w:val="00BF672B"/>
    <w:rsid w:val="00BF6E3C"/>
    <w:rsid w:val="00BF7331"/>
    <w:rsid w:val="00BF7931"/>
    <w:rsid w:val="00C00003"/>
    <w:rsid w:val="00C02D63"/>
    <w:rsid w:val="00C02EED"/>
    <w:rsid w:val="00C03D69"/>
    <w:rsid w:val="00C066D9"/>
    <w:rsid w:val="00C078E3"/>
    <w:rsid w:val="00C10249"/>
    <w:rsid w:val="00C10B5F"/>
    <w:rsid w:val="00C1137D"/>
    <w:rsid w:val="00C116FB"/>
    <w:rsid w:val="00C1234A"/>
    <w:rsid w:val="00C12B83"/>
    <w:rsid w:val="00C14089"/>
    <w:rsid w:val="00C15C8C"/>
    <w:rsid w:val="00C203AD"/>
    <w:rsid w:val="00C21AAF"/>
    <w:rsid w:val="00C22CBB"/>
    <w:rsid w:val="00C249E9"/>
    <w:rsid w:val="00C25171"/>
    <w:rsid w:val="00C2535E"/>
    <w:rsid w:val="00C268ED"/>
    <w:rsid w:val="00C303E4"/>
    <w:rsid w:val="00C319D4"/>
    <w:rsid w:val="00C31D60"/>
    <w:rsid w:val="00C31EBC"/>
    <w:rsid w:val="00C32017"/>
    <w:rsid w:val="00C3325A"/>
    <w:rsid w:val="00C334DA"/>
    <w:rsid w:val="00C341DC"/>
    <w:rsid w:val="00C3496A"/>
    <w:rsid w:val="00C356EB"/>
    <w:rsid w:val="00C365CE"/>
    <w:rsid w:val="00C4021D"/>
    <w:rsid w:val="00C40C3F"/>
    <w:rsid w:val="00C40E1C"/>
    <w:rsid w:val="00C423D2"/>
    <w:rsid w:val="00C4289C"/>
    <w:rsid w:val="00C42E56"/>
    <w:rsid w:val="00C43391"/>
    <w:rsid w:val="00C4350D"/>
    <w:rsid w:val="00C43A26"/>
    <w:rsid w:val="00C4409D"/>
    <w:rsid w:val="00C44E13"/>
    <w:rsid w:val="00C50605"/>
    <w:rsid w:val="00C51035"/>
    <w:rsid w:val="00C51683"/>
    <w:rsid w:val="00C53600"/>
    <w:rsid w:val="00C53B86"/>
    <w:rsid w:val="00C54827"/>
    <w:rsid w:val="00C5558D"/>
    <w:rsid w:val="00C56292"/>
    <w:rsid w:val="00C61368"/>
    <w:rsid w:val="00C626C8"/>
    <w:rsid w:val="00C62B73"/>
    <w:rsid w:val="00C62CA5"/>
    <w:rsid w:val="00C63B10"/>
    <w:rsid w:val="00C647A2"/>
    <w:rsid w:val="00C65875"/>
    <w:rsid w:val="00C65E52"/>
    <w:rsid w:val="00C67621"/>
    <w:rsid w:val="00C70825"/>
    <w:rsid w:val="00C7181B"/>
    <w:rsid w:val="00C72959"/>
    <w:rsid w:val="00C72A5D"/>
    <w:rsid w:val="00C73035"/>
    <w:rsid w:val="00C74EF4"/>
    <w:rsid w:val="00C75833"/>
    <w:rsid w:val="00C81733"/>
    <w:rsid w:val="00C82F94"/>
    <w:rsid w:val="00C83D90"/>
    <w:rsid w:val="00C845E2"/>
    <w:rsid w:val="00C84853"/>
    <w:rsid w:val="00C84ADD"/>
    <w:rsid w:val="00C85B33"/>
    <w:rsid w:val="00C85B39"/>
    <w:rsid w:val="00C878D5"/>
    <w:rsid w:val="00C9033B"/>
    <w:rsid w:val="00C911EA"/>
    <w:rsid w:val="00C913A1"/>
    <w:rsid w:val="00C925EE"/>
    <w:rsid w:val="00C928BB"/>
    <w:rsid w:val="00C92CFC"/>
    <w:rsid w:val="00C935A8"/>
    <w:rsid w:val="00C94A3F"/>
    <w:rsid w:val="00C94F89"/>
    <w:rsid w:val="00C953EE"/>
    <w:rsid w:val="00C9664C"/>
    <w:rsid w:val="00C96D02"/>
    <w:rsid w:val="00C96E89"/>
    <w:rsid w:val="00C9797A"/>
    <w:rsid w:val="00C97CF1"/>
    <w:rsid w:val="00CA0598"/>
    <w:rsid w:val="00CA0D67"/>
    <w:rsid w:val="00CA17F4"/>
    <w:rsid w:val="00CA3103"/>
    <w:rsid w:val="00CA6737"/>
    <w:rsid w:val="00CA6961"/>
    <w:rsid w:val="00CB015F"/>
    <w:rsid w:val="00CB1172"/>
    <w:rsid w:val="00CB1766"/>
    <w:rsid w:val="00CB244D"/>
    <w:rsid w:val="00CB3868"/>
    <w:rsid w:val="00CB3D72"/>
    <w:rsid w:val="00CB6703"/>
    <w:rsid w:val="00CB7661"/>
    <w:rsid w:val="00CC0577"/>
    <w:rsid w:val="00CC101C"/>
    <w:rsid w:val="00CC2188"/>
    <w:rsid w:val="00CC2B50"/>
    <w:rsid w:val="00CC2E9B"/>
    <w:rsid w:val="00CC3059"/>
    <w:rsid w:val="00CC32B8"/>
    <w:rsid w:val="00CC3505"/>
    <w:rsid w:val="00CC3CEF"/>
    <w:rsid w:val="00CC3D6F"/>
    <w:rsid w:val="00CC45E4"/>
    <w:rsid w:val="00CC4F8D"/>
    <w:rsid w:val="00CC618F"/>
    <w:rsid w:val="00CC6A99"/>
    <w:rsid w:val="00CC6EE9"/>
    <w:rsid w:val="00CD0055"/>
    <w:rsid w:val="00CD020F"/>
    <w:rsid w:val="00CD21A0"/>
    <w:rsid w:val="00CD3E09"/>
    <w:rsid w:val="00CE00D7"/>
    <w:rsid w:val="00CE0546"/>
    <w:rsid w:val="00CE1BE7"/>
    <w:rsid w:val="00CE2853"/>
    <w:rsid w:val="00CE2B19"/>
    <w:rsid w:val="00CE2C19"/>
    <w:rsid w:val="00CE37B3"/>
    <w:rsid w:val="00CE4001"/>
    <w:rsid w:val="00CE4440"/>
    <w:rsid w:val="00CE5909"/>
    <w:rsid w:val="00CE5B50"/>
    <w:rsid w:val="00CE627A"/>
    <w:rsid w:val="00CE651F"/>
    <w:rsid w:val="00CE75D8"/>
    <w:rsid w:val="00CF02A6"/>
    <w:rsid w:val="00CF33DD"/>
    <w:rsid w:val="00CF454E"/>
    <w:rsid w:val="00CF6C1A"/>
    <w:rsid w:val="00CF75F4"/>
    <w:rsid w:val="00CF7B84"/>
    <w:rsid w:val="00D00AA3"/>
    <w:rsid w:val="00D011B4"/>
    <w:rsid w:val="00D01451"/>
    <w:rsid w:val="00D01C92"/>
    <w:rsid w:val="00D03062"/>
    <w:rsid w:val="00D041F5"/>
    <w:rsid w:val="00D04C8D"/>
    <w:rsid w:val="00D0504E"/>
    <w:rsid w:val="00D06B64"/>
    <w:rsid w:val="00D07876"/>
    <w:rsid w:val="00D0795F"/>
    <w:rsid w:val="00D07F73"/>
    <w:rsid w:val="00D12A35"/>
    <w:rsid w:val="00D14844"/>
    <w:rsid w:val="00D14D00"/>
    <w:rsid w:val="00D15653"/>
    <w:rsid w:val="00D158FE"/>
    <w:rsid w:val="00D16FDA"/>
    <w:rsid w:val="00D17687"/>
    <w:rsid w:val="00D2041C"/>
    <w:rsid w:val="00D210DD"/>
    <w:rsid w:val="00D22FBF"/>
    <w:rsid w:val="00D24E9D"/>
    <w:rsid w:val="00D25ADE"/>
    <w:rsid w:val="00D26B0F"/>
    <w:rsid w:val="00D2798D"/>
    <w:rsid w:val="00D27B36"/>
    <w:rsid w:val="00D27C74"/>
    <w:rsid w:val="00D27FEC"/>
    <w:rsid w:val="00D3015B"/>
    <w:rsid w:val="00D308C7"/>
    <w:rsid w:val="00D30A1B"/>
    <w:rsid w:val="00D30C2F"/>
    <w:rsid w:val="00D34007"/>
    <w:rsid w:val="00D3457C"/>
    <w:rsid w:val="00D36449"/>
    <w:rsid w:val="00D36E6D"/>
    <w:rsid w:val="00D37392"/>
    <w:rsid w:val="00D41550"/>
    <w:rsid w:val="00D41993"/>
    <w:rsid w:val="00D41A34"/>
    <w:rsid w:val="00D42670"/>
    <w:rsid w:val="00D42C65"/>
    <w:rsid w:val="00D43297"/>
    <w:rsid w:val="00D4454B"/>
    <w:rsid w:val="00D44DB6"/>
    <w:rsid w:val="00D45227"/>
    <w:rsid w:val="00D46433"/>
    <w:rsid w:val="00D4698E"/>
    <w:rsid w:val="00D46D98"/>
    <w:rsid w:val="00D47E44"/>
    <w:rsid w:val="00D50119"/>
    <w:rsid w:val="00D504B9"/>
    <w:rsid w:val="00D50DEF"/>
    <w:rsid w:val="00D5271B"/>
    <w:rsid w:val="00D52A14"/>
    <w:rsid w:val="00D536C7"/>
    <w:rsid w:val="00D53908"/>
    <w:rsid w:val="00D575B5"/>
    <w:rsid w:val="00D57BD5"/>
    <w:rsid w:val="00D6043E"/>
    <w:rsid w:val="00D6186B"/>
    <w:rsid w:val="00D62FAD"/>
    <w:rsid w:val="00D63CD2"/>
    <w:rsid w:val="00D63F0D"/>
    <w:rsid w:val="00D651F0"/>
    <w:rsid w:val="00D65ED9"/>
    <w:rsid w:val="00D67403"/>
    <w:rsid w:val="00D67544"/>
    <w:rsid w:val="00D74826"/>
    <w:rsid w:val="00D74AF8"/>
    <w:rsid w:val="00D74DA5"/>
    <w:rsid w:val="00D74F45"/>
    <w:rsid w:val="00D75CFE"/>
    <w:rsid w:val="00D779FB"/>
    <w:rsid w:val="00D80FDD"/>
    <w:rsid w:val="00D81198"/>
    <w:rsid w:val="00D81554"/>
    <w:rsid w:val="00D82A43"/>
    <w:rsid w:val="00D8440E"/>
    <w:rsid w:val="00D84417"/>
    <w:rsid w:val="00D8478B"/>
    <w:rsid w:val="00D84F5B"/>
    <w:rsid w:val="00D854CC"/>
    <w:rsid w:val="00D86020"/>
    <w:rsid w:val="00D86F7A"/>
    <w:rsid w:val="00D87B28"/>
    <w:rsid w:val="00D90EBD"/>
    <w:rsid w:val="00D92CA2"/>
    <w:rsid w:val="00D92FBC"/>
    <w:rsid w:val="00D93949"/>
    <w:rsid w:val="00D93BCD"/>
    <w:rsid w:val="00D94151"/>
    <w:rsid w:val="00D9530A"/>
    <w:rsid w:val="00D96247"/>
    <w:rsid w:val="00DA063F"/>
    <w:rsid w:val="00DA07FC"/>
    <w:rsid w:val="00DA0883"/>
    <w:rsid w:val="00DA219A"/>
    <w:rsid w:val="00DA2AB1"/>
    <w:rsid w:val="00DA3483"/>
    <w:rsid w:val="00DA3C12"/>
    <w:rsid w:val="00DA3EC4"/>
    <w:rsid w:val="00DA72DA"/>
    <w:rsid w:val="00DA7B5D"/>
    <w:rsid w:val="00DB1188"/>
    <w:rsid w:val="00DB45D5"/>
    <w:rsid w:val="00DB4B71"/>
    <w:rsid w:val="00DB5458"/>
    <w:rsid w:val="00DB5B24"/>
    <w:rsid w:val="00DB6D36"/>
    <w:rsid w:val="00DC0245"/>
    <w:rsid w:val="00DC079E"/>
    <w:rsid w:val="00DC1798"/>
    <w:rsid w:val="00DC3399"/>
    <w:rsid w:val="00DC452E"/>
    <w:rsid w:val="00DD0E62"/>
    <w:rsid w:val="00DD4700"/>
    <w:rsid w:val="00DD52BC"/>
    <w:rsid w:val="00DD5CC4"/>
    <w:rsid w:val="00DD5DA8"/>
    <w:rsid w:val="00DD6BAE"/>
    <w:rsid w:val="00DE143F"/>
    <w:rsid w:val="00DE2647"/>
    <w:rsid w:val="00DE53C9"/>
    <w:rsid w:val="00DE5966"/>
    <w:rsid w:val="00DF1969"/>
    <w:rsid w:val="00DF214A"/>
    <w:rsid w:val="00DF2F1E"/>
    <w:rsid w:val="00DF3862"/>
    <w:rsid w:val="00DF4140"/>
    <w:rsid w:val="00DF4E52"/>
    <w:rsid w:val="00DF5395"/>
    <w:rsid w:val="00DF58BE"/>
    <w:rsid w:val="00DF58E7"/>
    <w:rsid w:val="00DF6416"/>
    <w:rsid w:val="00E0040E"/>
    <w:rsid w:val="00E017DF"/>
    <w:rsid w:val="00E0349A"/>
    <w:rsid w:val="00E03938"/>
    <w:rsid w:val="00E03EFF"/>
    <w:rsid w:val="00E04B09"/>
    <w:rsid w:val="00E05E00"/>
    <w:rsid w:val="00E060A8"/>
    <w:rsid w:val="00E06A38"/>
    <w:rsid w:val="00E10A3E"/>
    <w:rsid w:val="00E10D6E"/>
    <w:rsid w:val="00E11366"/>
    <w:rsid w:val="00E11876"/>
    <w:rsid w:val="00E1191B"/>
    <w:rsid w:val="00E129B8"/>
    <w:rsid w:val="00E12C6E"/>
    <w:rsid w:val="00E13A6B"/>
    <w:rsid w:val="00E13B8B"/>
    <w:rsid w:val="00E14081"/>
    <w:rsid w:val="00E1494F"/>
    <w:rsid w:val="00E16AFF"/>
    <w:rsid w:val="00E16E7A"/>
    <w:rsid w:val="00E17A3C"/>
    <w:rsid w:val="00E20CCA"/>
    <w:rsid w:val="00E21122"/>
    <w:rsid w:val="00E21330"/>
    <w:rsid w:val="00E216D8"/>
    <w:rsid w:val="00E21CEC"/>
    <w:rsid w:val="00E23CBB"/>
    <w:rsid w:val="00E25CB1"/>
    <w:rsid w:val="00E27B68"/>
    <w:rsid w:val="00E31832"/>
    <w:rsid w:val="00E3194C"/>
    <w:rsid w:val="00E3364C"/>
    <w:rsid w:val="00E33DEA"/>
    <w:rsid w:val="00E33FF6"/>
    <w:rsid w:val="00E342C7"/>
    <w:rsid w:val="00E34652"/>
    <w:rsid w:val="00E352B4"/>
    <w:rsid w:val="00E3715C"/>
    <w:rsid w:val="00E37B59"/>
    <w:rsid w:val="00E37D01"/>
    <w:rsid w:val="00E4070E"/>
    <w:rsid w:val="00E40DD6"/>
    <w:rsid w:val="00E41180"/>
    <w:rsid w:val="00E41476"/>
    <w:rsid w:val="00E42C81"/>
    <w:rsid w:val="00E44115"/>
    <w:rsid w:val="00E45738"/>
    <w:rsid w:val="00E4593C"/>
    <w:rsid w:val="00E46661"/>
    <w:rsid w:val="00E47AAF"/>
    <w:rsid w:val="00E47FF5"/>
    <w:rsid w:val="00E48F28"/>
    <w:rsid w:val="00E5136E"/>
    <w:rsid w:val="00E53438"/>
    <w:rsid w:val="00E54505"/>
    <w:rsid w:val="00E5687F"/>
    <w:rsid w:val="00E56A0A"/>
    <w:rsid w:val="00E57305"/>
    <w:rsid w:val="00E60171"/>
    <w:rsid w:val="00E61CAF"/>
    <w:rsid w:val="00E62E18"/>
    <w:rsid w:val="00E63272"/>
    <w:rsid w:val="00E64E5A"/>
    <w:rsid w:val="00E65BF6"/>
    <w:rsid w:val="00E65F6C"/>
    <w:rsid w:val="00E6651C"/>
    <w:rsid w:val="00E678AD"/>
    <w:rsid w:val="00E67A47"/>
    <w:rsid w:val="00E70DC3"/>
    <w:rsid w:val="00E712CA"/>
    <w:rsid w:val="00E714EC"/>
    <w:rsid w:val="00E71E35"/>
    <w:rsid w:val="00E725DD"/>
    <w:rsid w:val="00E725FC"/>
    <w:rsid w:val="00E72B84"/>
    <w:rsid w:val="00E72C47"/>
    <w:rsid w:val="00E73119"/>
    <w:rsid w:val="00E752BF"/>
    <w:rsid w:val="00E7590B"/>
    <w:rsid w:val="00E764C7"/>
    <w:rsid w:val="00E77D66"/>
    <w:rsid w:val="00E77FDB"/>
    <w:rsid w:val="00E80021"/>
    <w:rsid w:val="00E811B8"/>
    <w:rsid w:val="00E813E5"/>
    <w:rsid w:val="00E81F8E"/>
    <w:rsid w:val="00E821A5"/>
    <w:rsid w:val="00E82340"/>
    <w:rsid w:val="00E8262E"/>
    <w:rsid w:val="00E83112"/>
    <w:rsid w:val="00E84389"/>
    <w:rsid w:val="00E84EFA"/>
    <w:rsid w:val="00E8614E"/>
    <w:rsid w:val="00E872A9"/>
    <w:rsid w:val="00E876DC"/>
    <w:rsid w:val="00E8797C"/>
    <w:rsid w:val="00E905D7"/>
    <w:rsid w:val="00E92CAD"/>
    <w:rsid w:val="00E93D38"/>
    <w:rsid w:val="00E95A34"/>
    <w:rsid w:val="00E96D26"/>
    <w:rsid w:val="00E97AB3"/>
    <w:rsid w:val="00E97C9E"/>
    <w:rsid w:val="00EA147B"/>
    <w:rsid w:val="00EA36C6"/>
    <w:rsid w:val="00EA4147"/>
    <w:rsid w:val="00EA448F"/>
    <w:rsid w:val="00EA48A5"/>
    <w:rsid w:val="00EA4B86"/>
    <w:rsid w:val="00EA728E"/>
    <w:rsid w:val="00EB0713"/>
    <w:rsid w:val="00EB0B41"/>
    <w:rsid w:val="00EB2E63"/>
    <w:rsid w:val="00EB3DBE"/>
    <w:rsid w:val="00EB487E"/>
    <w:rsid w:val="00EB52B3"/>
    <w:rsid w:val="00EB645E"/>
    <w:rsid w:val="00EC1834"/>
    <w:rsid w:val="00EC2492"/>
    <w:rsid w:val="00EC30F9"/>
    <w:rsid w:val="00EC479F"/>
    <w:rsid w:val="00EC5EE6"/>
    <w:rsid w:val="00EC6140"/>
    <w:rsid w:val="00EC7189"/>
    <w:rsid w:val="00ED0D84"/>
    <w:rsid w:val="00ED1C1D"/>
    <w:rsid w:val="00ED27A2"/>
    <w:rsid w:val="00ED3CFD"/>
    <w:rsid w:val="00ED4468"/>
    <w:rsid w:val="00ED498E"/>
    <w:rsid w:val="00ED5725"/>
    <w:rsid w:val="00ED5DF5"/>
    <w:rsid w:val="00ED600E"/>
    <w:rsid w:val="00ED6817"/>
    <w:rsid w:val="00ED7031"/>
    <w:rsid w:val="00ED7910"/>
    <w:rsid w:val="00EE16D7"/>
    <w:rsid w:val="00EE2213"/>
    <w:rsid w:val="00EE28C0"/>
    <w:rsid w:val="00EE3060"/>
    <w:rsid w:val="00EE324C"/>
    <w:rsid w:val="00EE3923"/>
    <w:rsid w:val="00EE3A3F"/>
    <w:rsid w:val="00EE4315"/>
    <w:rsid w:val="00EE4909"/>
    <w:rsid w:val="00EE4B4C"/>
    <w:rsid w:val="00EE4F02"/>
    <w:rsid w:val="00EE5AF6"/>
    <w:rsid w:val="00EE607D"/>
    <w:rsid w:val="00EE686A"/>
    <w:rsid w:val="00EF1613"/>
    <w:rsid w:val="00EF20AF"/>
    <w:rsid w:val="00EF56DA"/>
    <w:rsid w:val="00EF6925"/>
    <w:rsid w:val="00EF6EEF"/>
    <w:rsid w:val="00F01380"/>
    <w:rsid w:val="00F014E0"/>
    <w:rsid w:val="00F0276D"/>
    <w:rsid w:val="00F0326C"/>
    <w:rsid w:val="00F03351"/>
    <w:rsid w:val="00F03E6D"/>
    <w:rsid w:val="00F04EA3"/>
    <w:rsid w:val="00F04F80"/>
    <w:rsid w:val="00F05A11"/>
    <w:rsid w:val="00F06E8B"/>
    <w:rsid w:val="00F073C9"/>
    <w:rsid w:val="00F075AB"/>
    <w:rsid w:val="00F10591"/>
    <w:rsid w:val="00F11B79"/>
    <w:rsid w:val="00F11D35"/>
    <w:rsid w:val="00F12118"/>
    <w:rsid w:val="00F12C22"/>
    <w:rsid w:val="00F1323D"/>
    <w:rsid w:val="00F141DB"/>
    <w:rsid w:val="00F14EB7"/>
    <w:rsid w:val="00F15603"/>
    <w:rsid w:val="00F1593D"/>
    <w:rsid w:val="00F15B3B"/>
    <w:rsid w:val="00F16F26"/>
    <w:rsid w:val="00F16F7B"/>
    <w:rsid w:val="00F1774A"/>
    <w:rsid w:val="00F20396"/>
    <w:rsid w:val="00F20984"/>
    <w:rsid w:val="00F20BE0"/>
    <w:rsid w:val="00F218A7"/>
    <w:rsid w:val="00F2375D"/>
    <w:rsid w:val="00F251BF"/>
    <w:rsid w:val="00F25D14"/>
    <w:rsid w:val="00F26442"/>
    <w:rsid w:val="00F26ED3"/>
    <w:rsid w:val="00F329DB"/>
    <w:rsid w:val="00F334CC"/>
    <w:rsid w:val="00F33A4C"/>
    <w:rsid w:val="00F34BEB"/>
    <w:rsid w:val="00F35909"/>
    <w:rsid w:val="00F35D04"/>
    <w:rsid w:val="00F36151"/>
    <w:rsid w:val="00F36C27"/>
    <w:rsid w:val="00F36DAD"/>
    <w:rsid w:val="00F41567"/>
    <w:rsid w:val="00F41763"/>
    <w:rsid w:val="00F41E31"/>
    <w:rsid w:val="00F43056"/>
    <w:rsid w:val="00F43098"/>
    <w:rsid w:val="00F435BA"/>
    <w:rsid w:val="00F43AFA"/>
    <w:rsid w:val="00F43FC0"/>
    <w:rsid w:val="00F46888"/>
    <w:rsid w:val="00F46F00"/>
    <w:rsid w:val="00F475C7"/>
    <w:rsid w:val="00F50136"/>
    <w:rsid w:val="00F51C24"/>
    <w:rsid w:val="00F52733"/>
    <w:rsid w:val="00F52B35"/>
    <w:rsid w:val="00F53C13"/>
    <w:rsid w:val="00F54DA4"/>
    <w:rsid w:val="00F55A1D"/>
    <w:rsid w:val="00F56823"/>
    <w:rsid w:val="00F57615"/>
    <w:rsid w:val="00F60D82"/>
    <w:rsid w:val="00F61CA5"/>
    <w:rsid w:val="00F61F7E"/>
    <w:rsid w:val="00F62B7A"/>
    <w:rsid w:val="00F62CF2"/>
    <w:rsid w:val="00F638FD"/>
    <w:rsid w:val="00F6397D"/>
    <w:rsid w:val="00F64F2B"/>
    <w:rsid w:val="00F66601"/>
    <w:rsid w:val="00F67606"/>
    <w:rsid w:val="00F70483"/>
    <w:rsid w:val="00F7140F"/>
    <w:rsid w:val="00F721CD"/>
    <w:rsid w:val="00F72595"/>
    <w:rsid w:val="00F727F2"/>
    <w:rsid w:val="00F7293E"/>
    <w:rsid w:val="00F72E9A"/>
    <w:rsid w:val="00F74A98"/>
    <w:rsid w:val="00F74D61"/>
    <w:rsid w:val="00F74F29"/>
    <w:rsid w:val="00F75E24"/>
    <w:rsid w:val="00F75F9C"/>
    <w:rsid w:val="00F76252"/>
    <w:rsid w:val="00F76650"/>
    <w:rsid w:val="00F76BF9"/>
    <w:rsid w:val="00F77F37"/>
    <w:rsid w:val="00F831F7"/>
    <w:rsid w:val="00F85B01"/>
    <w:rsid w:val="00F86AEF"/>
    <w:rsid w:val="00F90C17"/>
    <w:rsid w:val="00F917BF"/>
    <w:rsid w:val="00F9187B"/>
    <w:rsid w:val="00F92385"/>
    <w:rsid w:val="00F92E55"/>
    <w:rsid w:val="00F94955"/>
    <w:rsid w:val="00F965D5"/>
    <w:rsid w:val="00F96E7C"/>
    <w:rsid w:val="00F9729B"/>
    <w:rsid w:val="00F97364"/>
    <w:rsid w:val="00FA1582"/>
    <w:rsid w:val="00FA164A"/>
    <w:rsid w:val="00FA16B7"/>
    <w:rsid w:val="00FA1B4F"/>
    <w:rsid w:val="00FA2739"/>
    <w:rsid w:val="00FA2B44"/>
    <w:rsid w:val="00FA3691"/>
    <w:rsid w:val="00FA4CB4"/>
    <w:rsid w:val="00FA53F3"/>
    <w:rsid w:val="00FA6AAC"/>
    <w:rsid w:val="00FB1582"/>
    <w:rsid w:val="00FB1639"/>
    <w:rsid w:val="00FB285E"/>
    <w:rsid w:val="00FB3DDA"/>
    <w:rsid w:val="00FB47C2"/>
    <w:rsid w:val="00FB4DD7"/>
    <w:rsid w:val="00FB5627"/>
    <w:rsid w:val="00FB5855"/>
    <w:rsid w:val="00FB5EBB"/>
    <w:rsid w:val="00FB7573"/>
    <w:rsid w:val="00FB76B3"/>
    <w:rsid w:val="00FC1A26"/>
    <w:rsid w:val="00FC3CFE"/>
    <w:rsid w:val="00FC472D"/>
    <w:rsid w:val="00FC47F9"/>
    <w:rsid w:val="00FC55A0"/>
    <w:rsid w:val="00FC5763"/>
    <w:rsid w:val="00FC594D"/>
    <w:rsid w:val="00FC5EC6"/>
    <w:rsid w:val="00FC6986"/>
    <w:rsid w:val="00FC6B8F"/>
    <w:rsid w:val="00FC6BF5"/>
    <w:rsid w:val="00FC6D9A"/>
    <w:rsid w:val="00FC7776"/>
    <w:rsid w:val="00FD0A85"/>
    <w:rsid w:val="00FD1CFA"/>
    <w:rsid w:val="00FD494B"/>
    <w:rsid w:val="00FD503B"/>
    <w:rsid w:val="00FD5BC0"/>
    <w:rsid w:val="00FD5EC7"/>
    <w:rsid w:val="00FD6D56"/>
    <w:rsid w:val="00FD7909"/>
    <w:rsid w:val="00FE0637"/>
    <w:rsid w:val="00FE1102"/>
    <w:rsid w:val="00FE140C"/>
    <w:rsid w:val="00FE148F"/>
    <w:rsid w:val="00FE1DB5"/>
    <w:rsid w:val="00FE1EB3"/>
    <w:rsid w:val="00FE2351"/>
    <w:rsid w:val="00FE2713"/>
    <w:rsid w:val="00FE337D"/>
    <w:rsid w:val="00FE3D2B"/>
    <w:rsid w:val="00FE4A3F"/>
    <w:rsid w:val="00FE4A9B"/>
    <w:rsid w:val="00FE5376"/>
    <w:rsid w:val="00FE5580"/>
    <w:rsid w:val="00FE5C77"/>
    <w:rsid w:val="00FE5CAB"/>
    <w:rsid w:val="00FE6A8E"/>
    <w:rsid w:val="00FE7189"/>
    <w:rsid w:val="00FE7E22"/>
    <w:rsid w:val="00FF0544"/>
    <w:rsid w:val="00FF0E10"/>
    <w:rsid w:val="00FF110C"/>
    <w:rsid w:val="00FF2ABF"/>
    <w:rsid w:val="00FF2F94"/>
    <w:rsid w:val="00FF33AD"/>
    <w:rsid w:val="00FF4C5D"/>
    <w:rsid w:val="014FE835"/>
    <w:rsid w:val="01776F56"/>
    <w:rsid w:val="019BB8E2"/>
    <w:rsid w:val="01AFB803"/>
    <w:rsid w:val="01CF9D93"/>
    <w:rsid w:val="01FA6483"/>
    <w:rsid w:val="01FC4234"/>
    <w:rsid w:val="024887F6"/>
    <w:rsid w:val="0270E6CA"/>
    <w:rsid w:val="02760BE7"/>
    <w:rsid w:val="027C07D4"/>
    <w:rsid w:val="0287EADF"/>
    <w:rsid w:val="02AC951E"/>
    <w:rsid w:val="02B946FD"/>
    <w:rsid w:val="02EC4A60"/>
    <w:rsid w:val="02F12701"/>
    <w:rsid w:val="0332541C"/>
    <w:rsid w:val="0336B4D2"/>
    <w:rsid w:val="036375E6"/>
    <w:rsid w:val="03690491"/>
    <w:rsid w:val="039DD625"/>
    <w:rsid w:val="0408A01A"/>
    <w:rsid w:val="040F4C92"/>
    <w:rsid w:val="0436BA6E"/>
    <w:rsid w:val="043B1B24"/>
    <w:rsid w:val="044BB7B6"/>
    <w:rsid w:val="045126EB"/>
    <w:rsid w:val="04570F36"/>
    <w:rsid w:val="045BA427"/>
    <w:rsid w:val="0462287C"/>
    <w:rsid w:val="048A81D5"/>
    <w:rsid w:val="049C964D"/>
    <w:rsid w:val="049E076D"/>
    <w:rsid w:val="04B9D696"/>
    <w:rsid w:val="04D6FE14"/>
    <w:rsid w:val="04DC2726"/>
    <w:rsid w:val="0506BEF1"/>
    <w:rsid w:val="050D31B7"/>
    <w:rsid w:val="0513A36A"/>
    <w:rsid w:val="051CC69B"/>
    <w:rsid w:val="0521F95E"/>
    <w:rsid w:val="05633A7C"/>
    <w:rsid w:val="057EACB7"/>
    <w:rsid w:val="059EA779"/>
    <w:rsid w:val="05A33E99"/>
    <w:rsid w:val="05B247D0"/>
    <w:rsid w:val="05EEFE95"/>
    <w:rsid w:val="06103CF3"/>
    <w:rsid w:val="0610C5FA"/>
    <w:rsid w:val="062E1A65"/>
    <w:rsid w:val="064486E0"/>
    <w:rsid w:val="067E87FB"/>
    <w:rsid w:val="068DBA10"/>
    <w:rsid w:val="069B9279"/>
    <w:rsid w:val="06BCBBA5"/>
    <w:rsid w:val="06CB8359"/>
    <w:rsid w:val="0763DEEF"/>
    <w:rsid w:val="076982A5"/>
    <w:rsid w:val="07891645"/>
    <w:rsid w:val="078A81C9"/>
    <w:rsid w:val="07BAB2C5"/>
    <w:rsid w:val="07D8FC07"/>
    <w:rsid w:val="0818156C"/>
    <w:rsid w:val="0820C541"/>
    <w:rsid w:val="08807084"/>
    <w:rsid w:val="088267DA"/>
    <w:rsid w:val="08B3C3F8"/>
    <w:rsid w:val="08BCB09F"/>
    <w:rsid w:val="08FBE5F9"/>
    <w:rsid w:val="0905459B"/>
    <w:rsid w:val="090C4CCE"/>
    <w:rsid w:val="0912B024"/>
    <w:rsid w:val="091FAB3C"/>
    <w:rsid w:val="09426AE7"/>
    <w:rsid w:val="09AC7243"/>
    <w:rsid w:val="09DC3EFE"/>
    <w:rsid w:val="0A32D98C"/>
    <w:rsid w:val="0A371209"/>
    <w:rsid w:val="0A3D3534"/>
    <w:rsid w:val="0A5728C6"/>
    <w:rsid w:val="0A75C7B5"/>
    <w:rsid w:val="0A7F6D04"/>
    <w:rsid w:val="0A940265"/>
    <w:rsid w:val="0A968783"/>
    <w:rsid w:val="0A96FFD9"/>
    <w:rsid w:val="0AADEC4F"/>
    <w:rsid w:val="0AE67743"/>
    <w:rsid w:val="0AE6D734"/>
    <w:rsid w:val="0AE7BAFA"/>
    <w:rsid w:val="0AF04FB6"/>
    <w:rsid w:val="0B2330AC"/>
    <w:rsid w:val="0B3A7C3C"/>
    <w:rsid w:val="0B61510C"/>
    <w:rsid w:val="0B6D0AF5"/>
    <w:rsid w:val="0B7282DF"/>
    <w:rsid w:val="0BB293D8"/>
    <w:rsid w:val="0BE415F2"/>
    <w:rsid w:val="0C5D9A91"/>
    <w:rsid w:val="0C726BD5"/>
    <w:rsid w:val="0C8116F6"/>
    <w:rsid w:val="0C8BBB70"/>
    <w:rsid w:val="0CC7A17C"/>
    <w:rsid w:val="0D114898"/>
    <w:rsid w:val="0D4B4947"/>
    <w:rsid w:val="0D64B374"/>
    <w:rsid w:val="0DC05378"/>
    <w:rsid w:val="0DDEFE75"/>
    <w:rsid w:val="0E021633"/>
    <w:rsid w:val="0E13D01F"/>
    <w:rsid w:val="0E36F418"/>
    <w:rsid w:val="0E8845B5"/>
    <w:rsid w:val="0EB48847"/>
    <w:rsid w:val="0ECDD2DC"/>
    <w:rsid w:val="0ECDD53C"/>
    <w:rsid w:val="0ED4990D"/>
    <w:rsid w:val="0F00EFD5"/>
    <w:rsid w:val="0F02FB48"/>
    <w:rsid w:val="0F061994"/>
    <w:rsid w:val="0F0AE11A"/>
    <w:rsid w:val="0F301AF9"/>
    <w:rsid w:val="0F3797A3"/>
    <w:rsid w:val="0F7DCDCB"/>
    <w:rsid w:val="0F8AC68C"/>
    <w:rsid w:val="0F8E2674"/>
    <w:rsid w:val="0F946D17"/>
    <w:rsid w:val="0FB07BC9"/>
    <w:rsid w:val="0FD0E845"/>
    <w:rsid w:val="0FE6D992"/>
    <w:rsid w:val="101818F8"/>
    <w:rsid w:val="1092A3B5"/>
    <w:rsid w:val="10B02EB9"/>
    <w:rsid w:val="10D37483"/>
    <w:rsid w:val="110AEF96"/>
    <w:rsid w:val="111DF21C"/>
    <w:rsid w:val="11203191"/>
    <w:rsid w:val="11254A58"/>
    <w:rsid w:val="114A8D25"/>
    <w:rsid w:val="119C9B9E"/>
    <w:rsid w:val="11C581B4"/>
    <w:rsid w:val="11EF7EBE"/>
    <w:rsid w:val="120493C9"/>
    <w:rsid w:val="1221046E"/>
    <w:rsid w:val="12AF486A"/>
    <w:rsid w:val="12AFED22"/>
    <w:rsid w:val="12D1F549"/>
    <w:rsid w:val="12F3E54A"/>
    <w:rsid w:val="1300E0B2"/>
    <w:rsid w:val="132699B0"/>
    <w:rsid w:val="133F45FE"/>
    <w:rsid w:val="1355C3E9"/>
    <w:rsid w:val="13695AF8"/>
    <w:rsid w:val="13A24114"/>
    <w:rsid w:val="13D17E60"/>
    <w:rsid w:val="14098F75"/>
    <w:rsid w:val="140B2872"/>
    <w:rsid w:val="14732A89"/>
    <w:rsid w:val="148EADF9"/>
    <w:rsid w:val="14E2E781"/>
    <w:rsid w:val="14F12DFB"/>
    <w:rsid w:val="153AD84C"/>
    <w:rsid w:val="1552196B"/>
    <w:rsid w:val="15736E1E"/>
    <w:rsid w:val="158D54E3"/>
    <w:rsid w:val="15C47283"/>
    <w:rsid w:val="15D87781"/>
    <w:rsid w:val="15F244E6"/>
    <w:rsid w:val="15FAEB67"/>
    <w:rsid w:val="15FAF501"/>
    <w:rsid w:val="15FD2D68"/>
    <w:rsid w:val="1609B343"/>
    <w:rsid w:val="160A3E53"/>
    <w:rsid w:val="16229D83"/>
    <w:rsid w:val="162FA959"/>
    <w:rsid w:val="163A8B3C"/>
    <w:rsid w:val="1647D644"/>
    <w:rsid w:val="164D9DB8"/>
    <w:rsid w:val="165B6D53"/>
    <w:rsid w:val="1694536F"/>
    <w:rsid w:val="16B8CCEE"/>
    <w:rsid w:val="1716AD63"/>
    <w:rsid w:val="1738D92D"/>
    <w:rsid w:val="1740E6D0"/>
    <w:rsid w:val="1780C054"/>
    <w:rsid w:val="17835ADD"/>
    <w:rsid w:val="179DD306"/>
    <w:rsid w:val="17A39248"/>
    <w:rsid w:val="17B4B3CD"/>
    <w:rsid w:val="17CA8440"/>
    <w:rsid w:val="17CC1BCA"/>
    <w:rsid w:val="17DF3230"/>
    <w:rsid w:val="17E79674"/>
    <w:rsid w:val="18290C26"/>
    <w:rsid w:val="182D5234"/>
    <w:rsid w:val="182F2F51"/>
    <w:rsid w:val="18368A96"/>
    <w:rsid w:val="183779DE"/>
    <w:rsid w:val="193CB511"/>
    <w:rsid w:val="19476AC8"/>
    <w:rsid w:val="19892FF1"/>
    <w:rsid w:val="199CA06F"/>
    <w:rsid w:val="199D6318"/>
    <w:rsid w:val="199E37F9"/>
    <w:rsid w:val="19B63F63"/>
    <w:rsid w:val="19D87443"/>
    <w:rsid w:val="19DDF951"/>
    <w:rsid w:val="1A61DEC5"/>
    <w:rsid w:val="1A74D861"/>
    <w:rsid w:val="1A9B844B"/>
    <w:rsid w:val="1AB16067"/>
    <w:rsid w:val="1AC8552B"/>
    <w:rsid w:val="1B1F67D0"/>
    <w:rsid w:val="1B6C4D81"/>
    <w:rsid w:val="1BC94E12"/>
    <w:rsid w:val="1BD17C40"/>
    <w:rsid w:val="1C0C782B"/>
    <w:rsid w:val="1C1A4F3C"/>
    <w:rsid w:val="1C24ABDF"/>
    <w:rsid w:val="1C66F0AC"/>
    <w:rsid w:val="1C7B424C"/>
    <w:rsid w:val="1C8EB2CA"/>
    <w:rsid w:val="1CD00BAC"/>
    <w:rsid w:val="1D15029B"/>
    <w:rsid w:val="1D7348F1"/>
    <w:rsid w:val="1DC1D661"/>
    <w:rsid w:val="1DCF7A53"/>
    <w:rsid w:val="1E01F719"/>
    <w:rsid w:val="1E15EFE3"/>
    <w:rsid w:val="1E4C4D79"/>
    <w:rsid w:val="1E506163"/>
    <w:rsid w:val="1E6068C1"/>
    <w:rsid w:val="1EB2F708"/>
    <w:rsid w:val="1EC3E96B"/>
    <w:rsid w:val="1F20D9C7"/>
    <w:rsid w:val="1F235394"/>
    <w:rsid w:val="1F85DDEC"/>
    <w:rsid w:val="1F94D708"/>
    <w:rsid w:val="1FA8549A"/>
    <w:rsid w:val="1FC4DD17"/>
    <w:rsid w:val="1FC63744"/>
    <w:rsid w:val="20158FBA"/>
    <w:rsid w:val="205168BA"/>
    <w:rsid w:val="206F2F36"/>
    <w:rsid w:val="2071B778"/>
    <w:rsid w:val="20863A37"/>
    <w:rsid w:val="209DC04F"/>
    <w:rsid w:val="211A2E09"/>
    <w:rsid w:val="215478DE"/>
    <w:rsid w:val="215C3393"/>
    <w:rsid w:val="21A12A82"/>
    <w:rsid w:val="21CE8E0D"/>
    <w:rsid w:val="21DA83A3"/>
    <w:rsid w:val="221AA6D7"/>
    <w:rsid w:val="2220CA02"/>
    <w:rsid w:val="22529D38"/>
    <w:rsid w:val="227D8752"/>
    <w:rsid w:val="22C82758"/>
    <w:rsid w:val="22D3E4A6"/>
    <w:rsid w:val="22E11A89"/>
    <w:rsid w:val="22E9B2E2"/>
    <w:rsid w:val="22EFE498"/>
    <w:rsid w:val="22FF13A7"/>
    <w:rsid w:val="237C590D"/>
    <w:rsid w:val="238C0A77"/>
    <w:rsid w:val="23A5FB17"/>
    <w:rsid w:val="23B34336"/>
    <w:rsid w:val="23B368F0"/>
    <w:rsid w:val="23BF60DD"/>
    <w:rsid w:val="244ADB1F"/>
    <w:rsid w:val="2472A920"/>
    <w:rsid w:val="24902543"/>
    <w:rsid w:val="249835FD"/>
    <w:rsid w:val="249B1ED0"/>
    <w:rsid w:val="24AB5DCB"/>
    <w:rsid w:val="24E37254"/>
    <w:rsid w:val="24F7E7EE"/>
    <w:rsid w:val="2500226C"/>
    <w:rsid w:val="250965B7"/>
    <w:rsid w:val="251AD69A"/>
    <w:rsid w:val="254C7A8A"/>
    <w:rsid w:val="256F9985"/>
    <w:rsid w:val="25723E98"/>
    <w:rsid w:val="25E5AB01"/>
    <w:rsid w:val="25E7D610"/>
    <w:rsid w:val="25FEAB25"/>
    <w:rsid w:val="2629A76F"/>
    <w:rsid w:val="26482A08"/>
    <w:rsid w:val="265353EC"/>
    <w:rsid w:val="266B018B"/>
    <w:rsid w:val="266E4500"/>
    <w:rsid w:val="26DD1F0D"/>
    <w:rsid w:val="274EC6FC"/>
    <w:rsid w:val="277BEC96"/>
    <w:rsid w:val="2796A718"/>
    <w:rsid w:val="27A0D47A"/>
    <w:rsid w:val="27A33CF2"/>
    <w:rsid w:val="27A8CC58"/>
    <w:rsid w:val="27C3E29B"/>
    <w:rsid w:val="281040D7"/>
    <w:rsid w:val="281C73BA"/>
    <w:rsid w:val="289DB2E8"/>
    <w:rsid w:val="28A5ACCC"/>
    <w:rsid w:val="28BEAC1B"/>
    <w:rsid w:val="2951D8C9"/>
    <w:rsid w:val="295364C0"/>
    <w:rsid w:val="299F309D"/>
    <w:rsid w:val="29BA7459"/>
    <w:rsid w:val="29D8A271"/>
    <w:rsid w:val="2A03EB83"/>
    <w:rsid w:val="2A23BC8B"/>
    <w:rsid w:val="2A31F0EB"/>
    <w:rsid w:val="2A38C0A0"/>
    <w:rsid w:val="2AB1736B"/>
    <w:rsid w:val="2ABC80BB"/>
    <w:rsid w:val="2ADAF44C"/>
    <w:rsid w:val="2AE9C509"/>
    <w:rsid w:val="2AEBD8F0"/>
    <w:rsid w:val="2AEC7E2D"/>
    <w:rsid w:val="2B0A6BE7"/>
    <w:rsid w:val="2B28E259"/>
    <w:rsid w:val="2B396FF6"/>
    <w:rsid w:val="2B3F359C"/>
    <w:rsid w:val="2B5DC0EA"/>
    <w:rsid w:val="2B5FF204"/>
    <w:rsid w:val="2B78ECFA"/>
    <w:rsid w:val="2BAEDA15"/>
    <w:rsid w:val="2BD2868B"/>
    <w:rsid w:val="2BD8CF1C"/>
    <w:rsid w:val="2BDDB06F"/>
    <w:rsid w:val="2BFC02D0"/>
    <w:rsid w:val="2C0C4188"/>
    <w:rsid w:val="2C746DD6"/>
    <w:rsid w:val="2C88AF42"/>
    <w:rsid w:val="2CD288E0"/>
    <w:rsid w:val="2CE1D169"/>
    <w:rsid w:val="2CEBBF1C"/>
    <w:rsid w:val="2CF1C9CA"/>
    <w:rsid w:val="2CF3D924"/>
    <w:rsid w:val="2D714C44"/>
    <w:rsid w:val="2D8237A4"/>
    <w:rsid w:val="2D892810"/>
    <w:rsid w:val="2D8D32BE"/>
    <w:rsid w:val="2DD5D9B4"/>
    <w:rsid w:val="2DE89D8A"/>
    <w:rsid w:val="2E2A1719"/>
    <w:rsid w:val="2E46369B"/>
    <w:rsid w:val="2E4D3B30"/>
    <w:rsid w:val="2E58ED14"/>
    <w:rsid w:val="2EC16CD3"/>
    <w:rsid w:val="2EC498E6"/>
    <w:rsid w:val="2F4D00D3"/>
    <w:rsid w:val="2F4DF6EC"/>
    <w:rsid w:val="2FA65E59"/>
    <w:rsid w:val="2FAE190E"/>
    <w:rsid w:val="2FAFB098"/>
    <w:rsid w:val="2FC2025C"/>
    <w:rsid w:val="2FEB5548"/>
    <w:rsid w:val="30183A2A"/>
    <w:rsid w:val="3046DD3E"/>
    <w:rsid w:val="3064D19D"/>
    <w:rsid w:val="30666927"/>
    <w:rsid w:val="306C8C52"/>
    <w:rsid w:val="308FF6DB"/>
    <w:rsid w:val="309F2C0C"/>
    <w:rsid w:val="30AFCD30"/>
    <w:rsid w:val="30B45BC2"/>
    <w:rsid w:val="30C35983"/>
    <w:rsid w:val="30D26506"/>
    <w:rsid w:val="3133878C"/>
    <w:rsid w:val="3142CD52"/>
    <w:rsid w:val="31542C3A"/>
    <w:rsid w:val="315BB1D6"/>
    <w:rsid w:val="315E88DD"/>
    <w:rsid w:val="31614973"/>
    <w:rsid w:val="317D3FE5"/>
    <w:rsid w:val="3181CCC7"/>
    <w:rsid w:val="319A96C0"/>
    <w:rsid w:val="31B3D7BA"/>
    <w:rsid w:val="32179C62"/>
    <w:rsid w:val="321E47C0"/>
    <w:rsid w:val="32613636"/>
    <w:rsid w:val="32E5703E"/>
    <w:rsid w:val="32F01F90"/>
    <w:rsid w:val="333263D4"/>
    <w:rsid w:val="33587B82"/>
    <w:rsid w:val="3372FA0D"/>
    <w:rsid w:val="33E0A2F8"/>
    <w:rsid w:val="3415E80F"/>
    <w:rsid w:val="34719225"/>
    <w:rsid w:val="34799606"/>
    <w:rsid w:val="347B99D7"/>
    <w:rsid w:val="348C6B56"/>
    <w:rsid w:val="34E56EEC"/>
    <w:rsid w:val="34EEB1A5"/>
    <w:rsid w:val="35141325"/>
    <w:rsid w:val="352CAC9E"/>
    <w:rsid w:val="35576A4D"/>
    <w:rsid w:val="357362D7"/>
    <w:rsid w:val="35923DC4"/>
    <w:rsid w:val="359889DB"/>
    <w:rsid w:val="35AA5224"/>
    <w:rsid w:val="35B2E0AE"/>
    <w:rsid w:val="35BC9CFE"/>
    <w:rsid w:val="35CF2A20"/>
    <w:rsid w:val="35FCCC87"/>
    <w:rsid w:val="36015E71"/>
    <w:rsid w:val="3624762F"/>
    <w:rsid w:val="364A8DDD"/>
    <w:rsid w:val="3671D588"/>
    <w:rsid w:val="367B4A05"/>
    <w:rsid w:val="3695A324"/>
    <w:rsid w:val="36E97538"/>
    <w:rsid w:val="37046E95"/>
    <w:rsid w:val="3725C85C"/>
    <w:rsid w:val="3783AAB2"/>
    <w:rsid w:val="37959C8E"/>
    <w:rsid w:val="37C2E1D9"/>
    <w:rsid w:val="37D4761D"/>
    <w:rsid w:val="37DFE185"/>
    <w:rsid w:val="37E2EF0F"/>
    <w:rsid w:val="37FE12E6"/>
    <w:rsid w:val="382AC81A"/>
    <w:rsid w:val="38711665"/>
    <w:rsid w:val="389EBD55"/>
    <w:rsid w:val="38B810A0"/>
    <w:rsid w:val="38F370CC"/>
    <w:rsid w:val="392BF413"/>
    <w:rsid w:val="3945B8BB"/>
    <w:rsid w:val="394C6C84"/>
    <w:rsid w:val="39514FD0"/>
    <w:rsid w:val="395E93FD"/>
    <w:rsid w:val="39802591"/>
    <w:rsid w:val="3988F889"/>
    <w:rsid w:val="399B0937"/>
    <w:rsid w:val="399DBF74"/>
    <w:rsid w:val="39A58B3A"/>
    <w:rsid w:val="39A76E74"/>
    <w:rsid w:val="39AD835A"/>
    <w:rsid w:val="39DCFF2D"/>
    <w:rsid w:val="39FD9668"/>
    <w:rsid w:val="3A226015"/>
    <w:rsid w:val="3A2B6065"/>
    <w:rsid w:val="3A2F9EB8"/>
    <w:rsid w:val="3A40F2F4"/>
    <w:rsid w:val="3A5EB7D6"/>
    <w:rsid w:val="3A93120B"/>
    <w:rsid w:val="3AAFC2FD"/>
    <w:rsid w:val="3ABC7825"/>
    <w:rsid w:val="3AD038B3"/>
    <w:rsid w:val="3B0067DF"/>
    <w:rsid w:val="3B01A5D8"/>
    <w:rsid w:val="3B1E31D1"/>
    <w:rsid w:val="3B2E409F"/>
    <w:rsid w:val="3B31FC5E"/>
    <w:rsid w:val="3B59D681"/>
    <w:rsid w:val="3B679372"/>
    <w:rsid w:val="3B7B222D"/>
    <w:rsid w:val="3B7FF60D"/>
    <w:rsid w:val="3BAADB03"/>
    <w:rsid w:val="3C31DABC"/>
    <w:rsid w:val="3CD64C87"/>
    <w:rsid w:val="3CD7A088"/>
    <w:rsid w:val="3CEEB676"/>
    <w:rsid w:val="3CEFC5C8"/>
    <w:rsid w:val="3D061C86"/>
    <w:rsid w:val="3D6AC01A"/>
    <w:rsid w:val="3D9C39D1"/>
    <w:rsid w:val="3DBCC41D"/>
    <w:rsid w:val="3DCBB40A"/>
    <w:rsid w:val="3DEFB4DC"/>
    <w:rsid w:val="3E36E8BA"/>
    <w:rsid w:val="3E6E166B"/>
    <w:rsid w:val="3E7DCD4F"/>
    <w:rsid w:val="3E7F8A2C"/>
    <w:rsid w:val="3EBE6388"/>
    <w:rsid w:val="3EC2BE4D"/>
    <w:rsid w:val="3EEBF35F"/>
    <w:rsid w:val="3F281BF7"/>
    <w:rsid w:val="3F4C1F95"/>
    <w:rsid w:val="3F6C6543"/>
    <w:rsid w:val="3F70C5F9"/>
    <w:rsid w:val="3FBE4709"/>
    <w:rsid w:val="3FE18B7A"/>
    <w:rsid w:val="3FE5E198"/>
    <w:rsid w:val="3FEA1B10"/>
    <w:rsid w:val="3FEBF365"/>
    <w:rsid w:val="401C5E90"/>
    <w:rsid w:val="403CF737"/>
    <w:rsid w:val="405ABD4F"/>
    <w:rsid w:val="40A7133F"/>
    <w:rsid w:val="40F3DCE7"/>
    <w:rsid w:val="410B2AA0"/>
    <w:rsid w:val="4132A043"/>
    <w:rsid w:val="41467E9F"/>
    <w:rsid w:val="414CA74F"/>
    <w:rsid w:val="41617735"/>
    <w:rsid w:val="4168D089"/>
    <w:rsid w:val="416FDFAA"/>
    <w:rsid w:val="4176A969"/>
    <w:rsid w:val="417BAA50"/>
    <w:rsid w:val="419F5BB0"/>
    <w:rsid w:val="41A44A3A"/>
    <w:rsid w:val="41A8A7E9"/>
    <w:rsid w:val="41BA2792"/>
    <w:rsid w:val="4229F238"/>
    <w:rsid w:val="4234083E"/>
    <w:rsid w:val="423E8F5E"/>
    <w:rsid w:val="4262D854"/>
    <w:rsid w:val="427E2BC0"/>
    <w:rsid w:val="42A04907"/>
    <w:rsid w:val="42A9FB80"/>
    <w:rsid w:val="42C9035B"/>
    <w:rsid w:val="42D272FB"/>
    <w:rsid w:val="42DC2D6B"/>
    <w:rsid w:val="42E3CD94"/>
    <w:rsid w:val="437E14B6"/>
    <w:rsid w:val="438EAD7D"/>
    <w:rsid w:val="4390C3B2"/>
    <w:rsid w:val="43D2A759"/>
    <w:rsid w:val="43EFD656"/>
    <w:rsid w:val="44000904"/>
    <w:rsid w:val="441F8D40"/>
    <w:rsid w:val="442ABFD6"/>
    <w:rsid w:val="4461F205"/>
    <w:rsid w:val="44732579"/>
    <w:rsid w:val="447EDC65"/>
    <w:rsid w:val="449B7FD9"/>
    <w:rsid w:val="44D3B4A0"/>
    <w:rsid w:val="450C40AD"/>
    <w:rsid w:val="4515EFAD"/>
    <w:rsid w:val="451C5FA3"/>
    <w:rsid w:val="453E5AA3"/>
    <w:rsid w:val="455337D7"/>
    <w:rsid w:val="45535EB8"/>
    <w:rsid w:val="456CBCDE"/>
    <w:rsid w:val="45AD8A53"/>
    <w:rsid w:val="45BC5F7B"/>
    <w:rsid w:val="45CE3FC6"/>
    <w:rsid w:val="45DD9AB0"/>
    <w:rsid w:val="461A9547"/>
    <w:rsid w:val="46445DD2"/>
    <w:rsid w:val="469ACCF8"/>
    <w:rsid w:val="46A82DB4"/>
    <w:rsid w:val="46E9A366"/>
    <w:rsid w:val="471CFC53"/>
    <w:rsid w:val="47273B57"/>
    <w:rsid w:val="4763E0E9"/>
    <w:rsid w:val="479853A5"/>
    <w:rsid w:val="47C236BD"/>
    <w:rsid w:val="47ED34D7"/>
    <w:rsid w:val="47EE8B19"/>
    <w:rsid w:val="47F1F651"/>
    <w:rsid w:val="47F355BD"/>
    <w:rsid w:val="48009F1D"/>
    <w:rsid w:val="4804D042"/>
    <w:rsid w:val="482622A6"/>
    <w:rsid w:val="48384CAC"/>
    <w:rsid w:val="483958BD"/>
    <w:rsid w:val="4848666B"/>
    <w:rsid w:val="484958B8"/>
    <w:rsid w:val="48502120"/>
    <w:rsid w:val="489A6250"/>
    <w:rsid w:val="489A9981"/>
    <w:rsid w:val="489E9091"/>
    <w:rsid w:val="48F7F518"/>
    <w:rsid w:val="4916DEF1"/>
    <w:rsid w:val="4939EC17"/>
    <w:rsid w:val="49420FA2"/>
    <w:rsid w:val="4952FCFE"/>
    <w:rsid w:val="4967F138"/>
    <w:rsid w:val="497CB7F7"/>
    <w:rsid w:val="498885F6"/>
    <w:rsid w:val="49905B46"/>
    <w:rsid w:val="499A400F"/>
    <w:rsid w:val="49A2F938"/>
    <w:rsid w:val="49A569F3"/>
    <w:rsid w:val="49BE54E7"/>
    <w:rsid w:val="49D3B57F"/>
    <w:rsid w:val="4A220E71"/>
    <w:rsid w:val="4A314D17"/>
    <w:rsid w:val="4A327220"/>
    <w:rsid w:val="4A5F644F"/>
    <w:rsid w:val="4A7F9A1F"/>
    <w:rsid w:val="4A8557C1"/>
    <w:rsid w:val="4ABEB242"/>
    <w:rsid w:val="4AC2BF2C"/>
    <w:rsid w:val="4ADAB53C"/>
    <w:rsid w:val="4AF2EA81"/>
    <w:rsid w:val="4B0E7C82"/>
    <w:rsid w:val="4B146777"/>
    <w:rsid w:val="4B589C49"/>
    <w:rsid w:val="4B90A2EC"/>
    <w:rsid w:val="4B9ABCE4"/>
    <w:rsid w:val="4BA9733C"/>
    <w:rsid w:val="4BBCBD66"/>
    <w:rsid w:val="4C31E64F"/>
    <w:rsid w:val="4CAA7928"/>
    <w:rsid w:val="4CB51A40"/>
    <w:rsid w:val="4CBF7629"/>
    <w:rsid w:val="4CDE60E3"/>
    <w:rsid w:val="4CEF832D"/>
    <w:rsid w:val="4CFE1505"/>
    <w:rsid w:val="4D53236E"/>
    <w:rsid w:val="4DBC2A47"/>
    <w:rsid w:val="4DE17107"/>
    <w:rsid w:val="4E2667F6"/>
    <w:rsid w:val="4E3445D6"/>
    <w:rsid w:val="4E599F6A"/>
    <w:rsid w:val="4E66294E"/>
    <w:rsid w:val="4EF38036"/>
    <w:rsid w:val="4F130694"/>
    <w:rsid w:val="4F3CDDB8"/>
    <w:rsid w:val="4F574A97"/>
    <w:rsid w:val="4F5E578F"/>
    <w:rsid w:val="4F807363"/>
    <w:rsid w:val="4F8FE827"/>
    <w:rsid w:val="4F92057F"/>
    <w:rsid w:val="4FA20D11"/>
    <w:rsid w:val="4FA34E7E"/>
    <w:rsid w:val="4FC8B984"/>
    <w:rsid w:val="501CFB72"/>
    <w:rsid w:val="502C1358"/>
    <w:rsid w:val="50467B9A"/>
    <w:rsid w:val="505B85C2"/>
    <w:rsid w:val="506EB94F"/>
    <w:rsid w:val="5077040A"/>
    <w:rsid w:val="50B4D463"/>
    <w:rsid w:val="50C3624B"/>
    <w:rsid w:val="50CC8FFE"/>
    <w:rsid w:val="50DA9289"/>
    <w:rsid w:val="50DB3E17"/>
    <w:rsid w:val="5105C29A"/>
    <w:rsid w:val="5106CB34"/>
    <w:rsid w:val="510BF5DF"/>
    <w:rsid w:val="511BA27A"/>
    <w:rsid w:val="5127EFBB"/>
    <w:rsid w:val="5188BE98"/>
    <w:rsid w:val="518B0342"/>
    <w:rsid w:val="51FEDE57"/>
    <w:rsid w:val="5212BCEC"/>
    <w:rsid w:val="522F4DD4"/>
    <w:rsid w:val="528410D2"/>
    <w:rsid w:val="5301C69F"/>
    <w:rsid w:val="530E30BF"/>
    <w:rsid w:val="532FDC3D"/>
    <w:rsid w:val="53B56836"/>
    <w:rsid w:val="53B6E7A4"/>
    <w:rsid w:val="53B87F2E"/>
    <w:rsid w:val="53CB2BAC"/>
    <w:rsid w:val="53DFF70F"/>
    <w:rsid w:val="54156F8A"/>
    <w:rsid w:val="543DD0CD"/>
    <w:rsid w:val="547C87B0"/>
    <w:rsid w:val="5485602A"/>
    <w:rsid w:val="54962309"/>
    <w:rsid w:val="54A86D50"/>
    <w:rsid w:val="54EC1122"/>
    <w:rsid w:val="550384A6"/>
    <w:rsid w:val="554EB551"/>
    <w:rsid w:val="555B9C7E"/>
    <w:rsid w:val="555F4CC2"/>
    <w:rsid w:val="556E2E88"/>
    <w:rsid w:val="557A25E1"/>
    <w:rsid w:val="558DC930"/>
    <w:rsid w:val="55AA18BB"/>
    <w:rsid w:val="55F3D8FA"/>
    <w:rsid w:val="55F67D09"/>
    <w:rsid w:val="561C1763"/>
    <w:rsid w:val="56377B0C"/>
    <w:rsid w:val="5653E951"/>
    <w:rsid w:val="5654552B"/>
    <w:rsid w:val="568479DB"/>
    <w:rsid w:val="56AA288E"/>
    <w:rsid w:val="56C69C0C"/>
    <w:rsid w:val="56CDC6E8"/>
    <w:rsid w:val="56D70561"/>
    <w:rsid w:val="56DCD78C"/>
    <w:rsid w:val="57278F1B"/>
    <w:rsid w:val="57608B16"/>
    <w:rsid w:val="57815DF4"/>
    <w:rsid w:val="578FC7C0"/>
    <w:rsid w:val="57A7D426"/>
    <w:rsid w:val="57BE3A74"/>
    <w:rsid w:val="57DE85BC"/>
    <w:rsid w:val="5813FC00"/>
    <w:rsid w:val="586D617D"/>
    <w:rsid w:val="5882A205"/>
    <w:rsid w:val="588A3EF7"/>
    <w:rsid w:val="58E453CB"/>
    <w:rsid w:val="59373AA7"/>
    <w:rsid w:val="593A4C1B"/>
    <w:rsid w:val="593DA61A"/>
    <w:rsid w:val="59431BCA"/>
    <w:rsid w:val="5991C959"/>
    <w:rsid w:val="59AD3CAB"/>
    <w:rsid w:val="59DA9E06"/>
    <w:rsid w:val="59E5DEF6"/>
    <w:rsid w:val="5A4F7BA6"/>
    <w:rsid w:val="5A89A549"/>
    <w:rsid w:val="5A9612B2"/>
    <w:rsid w:val="5ADCBFDB"/>
    <w:rsid w:val="5B07E89C"/>
    <w:rsid w:val="5B14CD15"/>
    <w:rsid w:val="5B350516"/>
    <w:rsid w:val="5B378C86"/>
    <w:rsid w:val="5B7AF57B"/>
    <w:rsid w:val="5B7C9DF3"/>
    <w:rsid w:val="5BCDCD07"/>
    <w:rsid w:val="5BDACB34"/>
    <w:rsid w:val="5C10294A"/>
    <w:rsid w:val="5C2B735E"/>
    <w:rsid w:val="5C31E384"/>
    <w:rsid w:val="5C460D39"/>
    <w:rsid w:val="5CA23D51"/>
    <w:rsid w:val="5CA7115B"/>
    <w:rsid w:val="5D587091"/>
    <w:rsid w:val="5D7741B5"/>
    <w:rsid w:val="5DB0CDDD"/>
    <w:rsid w:val="5DCB242F"/>
    <w:rsid w:val="5DD13C56"/>
    <w:rsid w:val="5E0CFE88"/>
    <w:rsid w:val="5E4C4AB6"/>
    <w:rsid w:val="5E523641"/>
    <w:rsid w:val="5E6FDE37"/>
    <w:rsid w:val="5E74755B"/>
    <w:rsid w:val="5ECD22A6"/>
    <w:rsid w:val="5F07747E"/>
    <w:rsid w:val="5F202E60"/>
    <w:rsid w:val="5F29F1CC"/>
    <w:rsid w:val="5F6B5219"/>
    <w:rsid w:val="5F83F0C3"/>
    <w:rsid w:val="5FFC3063"/>
    <w:rsid w:val="600EA78D"/>
    <w:rsid w:val="6016EE89"/>
    <w:rsid w:val="602F72FE"/>
    <w:rsid w:val="60F91C96"/>
    <w:rsid w:val="613E80A1"/>
    <w:rsid w:val="61713432"/>
    <w:rsid w:val="6195A2AC"/>
    <w:rsid w:val="6198211D"/>
    <w:rsid w:val="61B6FE82"/>
    <w:rsid w:val="61FCE280"/>
    <w:rsid w:val="624A1046"/>
    <w:rsid w:val="6251AEB1"/>
    <w:rsid w:val="625C8548"/>
    <w:rsid w:val="627C591A"/>
    <w:rsid w:val="6289F5E4"/>
    <w:rsid w:val="62A32A79"/>
    <w:rsid w:val="62C11D38"/>
    <w:rsid w:val="631131EA"/>
    <w:rsid w:val="63347662"/>
    <w:rsid w:val="6339B6A4"/>
    <w:rsid w:val="63638E2A"/>
    <w:rsid w:val="6380F142"/>
    <w:rsid w:val="63949491"/>
    <w:rsid w:val="63B4DBC3"/>
    <w:rsid w:val="6402BA90"/>
    <w:rsid w:val="64470B79"/>
    <w:rsid w:val="6466026F"/>
    <w:rsid w:val="648AB650"/>
    <w:rsid w:val="64C572C1"/>
    <w:rsid w:val="651F74D9"/>
    <w:rsid w:val="654F8D9D"/>
    <w:rsid w:val="65682410"/>
    <w:rsid w:val="65864B32"/>
    <w:rsid w:val="65C505D5"/>
    <w:rsid w:val="65CA5081"/>
    <w:rsid w:val="65E0F1C6"/>
    <w:rsid w:val="6604DEAF"/>
    <w:rsid w:val="661AC761"/>
    <w:rsid w:val="664CC9BB"/>
    <w:rsid w:val="66837919"/>
    <w:rsid w:val="66DAF652"/>
    <w:rsid w:val="66E7121D"/>
    <w:rsid w:val="66EA1957"/>
    <w:rsid w:val="66F8CEFE"/>
    <w:rsid w:val="67083160"/>
    <w:rsid w:val="671549E5"/>
    <w:rsid w:val="6717BE49"/>
    <w:rsid w:val="671B2B3C"/>
    <w:rsid w:val="6731ADA5"/>
    <w:rsid w:val="6741EC5D"/>
    <w:rsid w:val="677995F9"/>
    <w:rsid w:val="67B5E54F"/>
    <w:rsid w:val="67C73B75"/>
    <w:rsid w:val="67E3D3A8"/>
    <w:rsid w:val="67F9470F"/>
    <w:rsid w:val="680F724B"/>
    <w:rsid w:val="683412F3"/>
    <w:rsid w:val="685B273C"/>
    <w:rsid w:val="685E56B4"/>
    <w:rsid w:val="686FC0D1"/>
    <w:rsid w:val="68BED2E5"/>
    <w:rsid w:val="68CEF907"/>
    <w:rsid w:val="68D400AC"/>
    <w:rsid w:val="6922A915"/>
    <w:rsid w:val="696AB5AE"/>
    <w:rsid w:val="696C5366"/>
    <w:rsid w:val="69BB1EDB"/>
    <w:rsid w:val="69E37A9E"/>
    <w:rsid w:val="69E68AFC"/>
    <w:rsid w:val="69F2FA0A"/>
    <w:rsid w:val="69F53C80"/>
    <w:rsid w:val="6A078FFD"/>
    <w:rsid w:val="6A265BD6"/>
    <w:rsid w:val="6A268BB1"/>
    <w:rsid w:val="6A5E0D7C"/>
    <w:rsid w:val="6A6225B2"/>
    <w:rsid w:val="6A8CE86D"/>
    <w:rsid w:val="6AC865DF"/>
    <w:rsid w:val="6AF271FC"/>
    <w:rsid w:val="6B17DD02"/>
    <w:rsid w:val="6B3468FB"/>
    <w:rsid w:val="6B56E649"/>
    <w:rsid w:val="6B5A9E4A"/>
    <w:rsid w:val="6B602CF5"/>
    <w:rsid w:val="6B9A7C72"/>
    <w:rsid w:val="6BDF7361"/>
    <w:rsid w:val="6C191C26"/>
    <w:rsid w:val="6C2BB7C3"/>
    <w:rsid w:val="6C42570F"/>
    <w:rsid w:val="6C5A8740"/>
    <w:rsid w:val="6C928DE3"/>
    <w:rsid w:val="6C94C38A"/>
    <w:rsid w:val="6CCF37A4"/>
    <w:rsid w:val="6D0F33FA"/>
    <w:rsid w:val="6DCD2137"/>
    <w:rsid w:val="6DCE1B89"/>
    <w:rsid w:val="6DDE2E2B"/>
    <w:rsid w:val="6DEADA53"/>
    <w:rsid w:val="6DF797B2"/>
    <w:rsid w:val="6E2D56FF"/>
    <w:rsid w:val="6E4CB0A5"/>
    <w:rsid w:val="6E593085"/>
    <w:rsid w:val="6E60F211"/>
    <w:rsid w:val="6E6E9A6E"/>
    <w:rsid w:val="6E9F55CA"/>
    <w:rsid w:val="6EA678D8"/>
    <w:rsid w:val="6EEC0183"/>
    <w:rsid w:val="6F0B762E"/>
    <w:rsid w:val="6F10DED0"/>
    <w:rsid w:val="6F3C5468"/>
    <w:rsid w:val="6F781EF0"/>
    <w:rsid w:val="6F7C291A"/>
    <w:rsid w:val="6F83E4C2"/>
    <w:rsid w:val="6F8FCA22"/>
    <w:rsid w:val="6F9A05BE"/>
    <w:rsid w:val="6FA1CF42"/>
    <w:rsid w:val="6FD71DF6"/>
    <w:rsid w:val="6FE5FF50"/>
    <w:rsid w:val="6FEBCF94"/>
    <w:rsid w:val="6FEC3287"/>
    <w:rsid w:val="6FF1EED6"/>
    <w:rsid w:val="7032A46D"/>
    <w:rsid w:val="70484919"/>
    <w:rsid w:val="706041BA"/>
    <w:rsid w:val="70604286"/>
    <w:rsid w:val="70A335A9"/>
    <w:rsid w:val="70CE4AEB"/>
    <w:rsid w:val="710E404E"/>
    <w:rsid w:val="71328EEA"/>
    <w:rsid w:val="714777A6"/>
    <w:rsid w:val="71817716"/>
    <w:rsid w:val="7190D179"/>
    <w:rsid w:val="720DCBA1"/>
    <w:rsid w:val="72621976"/>
    <w:rsid w:val="72852E95"/>
    <w:rsid w:val="728FDAF6"/>
    <w:rsid w:val="729FFE84"/>
    <w:rsid w:val="72D6E65B"/>
    <w:rsid w:val="72F5C03C"/>
    <w:rsid w:val="72FA0649"/>
    <w:rsid w:val="733FEB9D"/>
    <w:rsid w:val="73484247"/>
    <w:rsid w:val="735254E1"/>
    <w:rsid w:val="736ACA1D"/>
    <w:rsid w:val="73D95708"/>
    <w:rsid w:val="73DA6187"/>
    <w:rsid w:val="74079017"/>
    <w:rsid w:val="7416C05A"/>
    <w:rsid w:val="741EA605"/>
    <w:rsid w:val="742EAA4C"/>
    <w:rsid w:val="746D1576"/>
    <w:rsid w:val="746DB881"/>
    <w:rsid w:val="747A05C2"/>
    <w:rsid w:val="748A22E5"/>
    <w:rsid w:val="74A0DCF8"/>
    <w:rsid w:val="74BD6527"/>
    <w:rsid w:val="74D984E2"/>
    <w:rsid w:val="74DD1949"/>
    <w:rsid w:val="74F98E9C"/>
    <w:rsid w:val="7519787C"/>
    <w:rsid w:val="7533F0CC"/>
    <w:rsid w:val="75915EA5"/>
    <w:rsid w:val="75AA3AA6"/>
    <w:rsid w:val="75BB2623"/>
    <w:rsid w:val="75D626D9"/>
    <w:rsid w:val="75DA62AE"/>
    <w:rsid w:val="75E7D297"/>
    <w:rsid w:val="762E07B4"/>
    <w:rsid w:val="7644673C"/>
    <w:rsid w:val="764E7C46"/>
    <w:rsid w:val="76865E3B"/>
    <w:rsid w:val="769A2B66"/>
    <w:rsid w:val="76B3ECFD"/>
    <w:rsid w:val="76B458D7"/>
    <w:rsid w:val="76E47D87"/>
    <w:rsid w:val="76F38695"/>
    <w:rsid w:val="772D62DD"/>
    <w:rsid w:val="773E13E4"/>
    <w:rsid w:val="77833CA9"/>
    <w:rsid w:val="78026610"/>
    <w:rsid w:val="781C4016"/>
    <w:rsid w:val="782BAFB9"/>
    <w:rsid w:val="782BB8AC"/>
    <w:rsid w:val="78503D34"/>
    <w:rsid w:val="786A1AE3"/>
    <w:rsid w:val="78703D7F"/>
    <w:rsid w:val="789350A0"/>
    <w:rsid w:val="78CDBA40"/>
    <w:rsid w:val="78DCB164"/>
    <w:rsid w:val="78E2302C"/>
    <w:rsid w:val="78E2A5B1"/>
    <w:rsid w:val="792586D4"/>
    <w:rsid w:val="793C9CC2"/>
    <w:rsid w:val="793E344C"/>
    <w:rsid w:val="7941B589"/>
    <w:rsid w:val="79445777"/>
    <w:rsid w:val="79BB31DE"/>
    <w:rsid w:val="79CBCF3E"/>
    <w:rsid w:val="79DA4F74"/>
    <w:rsid w:val="79DD1BA7"/>
    <w:rsid w:val="79E4AE23"/>
    <w:rsid w:val="79FB1006"/>
    <w:rsid w:val="7A1FDCEF"/>
    <w:rsid w:val="7A515BFD"/>
    <w:rsid w:val="7A754F04"/>
    <w:rsid w:val="7AC3D1A8"/>
    <w:rsid w:val="7AE1DF69"/>
    <w:rsid w:val="7B163D07"/>
    <w:rsid w:val="7B180B30"/>
    <w:rsid w:val="7B1FC5E5"/>
    <w:rsid w:val="7B45B95B"/>
    <w:rsid w:val="7B8AF2E7"/>
    <w:rsid w:val="7BCF127F"/>
    <w:rsid w:val="7BD67E74"/>
    <w:rsid w:val="7BF20FE5"/>
    <w:rsid w:val="7BF5ACA2"/>
    <w:rsid w:val="7C013113"/>
    <w:rsid w:val="7C0C5A08"/>
    <w:rsid w:val="7C28121A"/>
    <w:rsid w:val="7C38015C"/>
    <w:rsid w:val="7C59F3AF"/>
    <w:rsid w:val="7C68910B"/>
    <w:rsid w:val="7CC8375E"/>
    <w:rsid w:val="7CE447BF"/>
    <w:rsid w:val="7CF4DD16"/>
    <w:rsid w:val="7CF6FA84"/>
    <w:rsid w:val="7CFF52B2"/>
    <w:rsid w:val="7D0C6148"/>
    <w:rsid w:val="7D11EF4A"/>
    <w:rsid w:val="7D24E926"/>
    <w:rsid w:val="7D598827"/>
    <w:rsid w:val="7DA5F920"/>
    <w:rsid w:val="7E0575F7"/>
    <w:rsid w:val="7E0A1D8B"/>
    <w:rsid w:val="7E11D840"/>
    <w:rsid w:val="7E2AD97D"/>
    <w:rsid w:val="7E2B27DB"/>
    <w:rsid w:val="7E2D7850"/>
    <w:rsid w:val="7E35ACBC"/>
    <w:rsid w:val="7E5CA448"/>
    <w:rsid w:val="7E64875A"/>
    <w:rsid w:val="7E670DE7"/>
    <w:rsid w:val="7E82E5D5"/>
    <w:rsid w:val="7E8580F9"/>
    <w:rsid w:val="7EB2280B"/>
    <w:rsid w:val="7EDFA0E9"/>
    <w:rsid w:val="7EE56937"/>
    <w:rsid w:val="7F16D7EF"/>
    <w:rsid w:val="7F436352"/>
    <w:rsid w:val="7F56402C"/>
    <w:rsid w:val="7F5B7997"/>
    <w:rsid w:val="7F979CDA"/>
    <w:rsid w:val="7FDC39BA"/>
    <w:rsid w:val="7FF31B86"/>
    <w:rsid w:val="7FFF4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0CFA"/>
  <w15:chartTrackingRefBased/>
  <w15:docId w15:val="{98627BC7-CC15-40D4-87A9-CE416A55250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ind w:right="2160"/>
      <w:outlineLvl w:val="1"/>
    </w:pPr>
  </w:style>
  <w:style w:type="paragraph" w:styleId="Heading3">
    <w:name w:val="heading 3"/>
    <w:basedOn w:val="Dummy"/>
    <w:next w:val="Standard"/>
    <w:link w:val="Heading3Char"/>
    <w:uiPriority w:val="4"/>
    <w:qFormat/>
    <w:rsid w:val="000E270A"/>
    <w:pPr>
      <w:ind w:right="2160"/>
      <w:outlineLvl w:val="2"/>
    </w:pPr>
    <w:rPr>
      <w:rFonts w:eastAsiaTheme="majorEastAsia" w:cstheme="majorBidi"/>
      <w:szCs w:val="24"/>
    </w:rPr>
  </w:style>
  <w:style w:type="paragraph" w:styleId="Heading4">
    <w:name w:val="heading 4"/>
    <w:basedOn w:val="Dummy"/>
    <w:next w:val="Standard"/>
    <w:link w:val="Heading4Char"/>
    <w:uiPriority w:val="4"/>
    <w:qFormat/>
    <w:rsid w:val="000E270A"/>
    <w:pPr>
      <w:ind w:right="2160"/>
      <w:outlineLvl w:val="3"/>
    </w:pPr>
    <w:rPr>
      <w:rFonts w:eastAsiaTheme="majorEastAsia" w:cstheme="majorBidi"/>
      <w:iCs/>
    </w:rPr>
  </w:style>
  <w:style w:type="paragraph" w:styleId="Heading5">
    <w:name w:val="heading 5"/>
    <w:basedOn w:val="Dummy"/>
    <w:next w:val="Standard"/>
    <w:link w:val="Heading5Char"/>
    <w:uiPriority w:val="4"/>
    <w:qFormat/>
    <w:rsid w:val="000E270A"/>
    <w:pPr>
      <w:ind w:right="2160"/>
      <w:outlineLvl w:val="4"/>
    </w:pPr>
    <w:rPr>
      <w:rFonts w:eastAsiaTheme="majorEastAsia" w:cstheme="majorBidi"/>
    </w:rPr>
  </w:style>
  <w:style w:type="paragraph" w:styleId="Heading6">
    <w:name w:val="heading 6"/>
    <w:basedOn w:val="Dummy"/>
    <w:next w:val="Standard"/>
    <w:link w:val="Heading6Char"/>
    <w:uiPriority w:val="4"/>
    <w:rsid w:val="000E270A"/>
    <w:p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3"/>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 Char,TBG Style Char Char Char,Footnote Text Char2,TBG Style Char Char,Footnote Text Char3 Char,Footnote Text Char Char Char,Footnote Text Char3,Footnote Text Char1 Char Char Char Char1 Char,f,fn,fn Char Char,ft,Char"/>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 Char,TBG Style Char Char Char Char,Footnote Text Char2 Char,TBG Style Char Char Char1,Footnote Text Char3 Char Char,Footnote Text Char Char Char Char,Footnote Text Char3 Char1,f Char,fn Char,fn Char Char Char"/>
    <w:basedOn w:val="DefaultParagraphFont"/>
    <w:link w:val="FootnoteText"/>
    <w:uiPriority w:val="99"/>
    <w:rsid w:val="007657C1"/>
    <w:rPr>
      <w:rFonts w:ascii="Book Antiqua" w:hAnsi="Book Antiqua"/>
      <w:szCs w:val="20"/>
    </w:rPr>
  </w:style>
  <w:style w:type="character" w:styleId="FootnoteReference">
    <w:name w:val="footnote reference"/>
    <w:aliases w:val="o,fr,Style 3,o1,o2,o3,o4,o5,o6,o11,o21,o7,Footnote Reference1,Style 17,Style 8,Style 9,Footnote,o + Times New Roman,Style 13,Style 12,Style 15,fr1,fr2,fr3,Style 18,(NECG) Footnote Reference,Style 20,Style 7,Style 19,Style 5,Styl"/>
    <w:basedOn w:val="DefaultParagraphFont"/>
    <w:uiPriority w:val="99"/>
    <w:unhideWhenUsed/>
    <w:qFormat/>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numPr>
        <w:numId w:val="4"/>
      </w:numPr>
    </w:pPr>
  </w:style>
  <w:style w:type="paragraph" w:styleId="NoSpacing">
    <w:name w:val="No Spacing"/>
    <w:basedOn w:val="Standard"/>
    <w:uiPriority w:val="1"/>
    <w:qFormat/>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uiPriority w:val="99"/>
    <w:qFormat/>
    <w:rsid w:val="007A406D"/>
  </w:style>
  <w:style w:type="paragraph" w:customStyle="1" w:styleId="ListAlpha">
    <w:name w:val="List Alpha"/>
    <w:basedOn w:val="Standard"/>
    <w:uiPriority w:val="4"/>
    <w:qFormat/>
    <w:rsid w:val="000E270A"/>
    <w:pPr>
      <w:spacing w:after="120" w:line="240" w:lineRule="auto"/>
      <w:ind w:firstLine="0"/>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spacing w:after="120" w:line="240" w:lineRule="auto"/>
      <w:ind w:firstLine="0"/>
    </w:pPr>
  </w:style>
  <w:style w:type="character" w:styleId="CommentReference">
    <w:name w:val="annotation reference"/>
    <w:basedOn w:val="DefaultParagraphFont"/>
    <w:uiPriority w:val="99"/>
    <w:unhideWhenUsed/>
    <w:rsid w:val="00330F91"/>
    <w:rPr>
      <w:sz w:val="16"/>
      <w:szCs w:val="16"/>
    </w:rPr>
  </w:style>
  <w:style w:type="paragraph" w:styleId="CommentText">
    <w:name w:val="annotation text"/>
    <w:basedOn w:val="Normal"/>
    <w:link w:val="CommentTextChar"/>
    <w:uiPriority w:val="99"/>
    <w:unhideWhenUsed/>
    <w:rsid w:val="00330F91"/>
    <w:pPr>
      <w:spacing w:line="240" w:lineRule="auto"/>
    </w:pPr>
    <w:rPr>
      <w:sz w:val="20"/>
      <w:szCs w:val="20"/>
    </w:rPr>
  </w:style>
  <w:style w:type="character" w:customStyle="1" w:styleId="CommentTextChar">
    <w:name w:val="Comment Text Char"/>
    <w:basedOn w:val="DefaultParagraphFont"/>
    <w:link w:val="CommentText"/>
    <w:uiPriority w:val="99"/>
    <w:rsid w:val="00330F91"/>
    <w:rPr>
      <w:rFonts w:ascii="Book Antiqua" w:hAnsi="Book Antiqua"/>
      <w:sz w:val="20"/>
      <w:szCs w:val="20"/>
    </w:rPr>
  </w:style>
  <w:style w:type="character" w:customStyle="1" w:styleId="normaltextrun">
    <w:name w:val="normaltextrun"/>
    <w:basedOn w:val="DefaultParagraphFont"/>
    <w:rsid w:val="00424695"/>
  </w:style>
  <w:style w:type="paragraph" w:styleId="CommentSubject">
    <w:name w:val="annotation subject"/>
    <w:basedOn w:val="CommentText"/>
    <w:next w:val="CommentText"/>
    <w:link w:val="CommentSubjectChar"/>
    <w:uiPriority w:val="99"/>
    <w:semiHidden/>
    <w:unhideWhenUsed/>
    <w:rsid w:val="00941C15"/>
    <w:rPr>
      <w:b/>
      <w:bCs/>
    </w:rPr>
  </w:style>
  <w:style w:type="character" w:customStyle="1" w:styleId="CommentSubjectChar">
    <w:name w:val="Comment Subject Char"/>
    <w:basedOn w:val="CommentTextChar"/>
    <w:link w:val="CommentSubject"/>
    <w:uiPriority w:val="99"/>
    <w:semiHidden/>
    <w:rsid w:val="00941C15"/>
    <w:rPr>
      <w:rFonts w:ascii="Book Antiqua" w:hAnsi="Book Antiqua"/>
      <w:b/>
      <w:bCs/>
      <w:sz w:val="20"/>
      <w:szCs w:val="20"/>
    </w:rPr>
  </w:style>
  <w:style w:type="paragraph" w:styleId="ListParagraph">
    <w:name w:val="List Paragraph"/>
    <w:basedOn w:val="Normal"/>
    <w:uiPriority w:val="34"/>
    <w:qFormat/>
    <w:rsid w:val="00CE4001"/>
    <w:pPr>
      <w:ind w:left="720"/>
      <w:contextualSpacing/>
    </w:pPr>
  </w:style>
  <w:style w:type="paragraph" w:styleId="Revision">
    <w:name w:val="Revision"/>
    <w:hidden/>
    <w:uiPriority w:val="99"/>
    <w:semiHidden/>
    <w:rsid w:val="00A119CB"/>
    <w:pPr>
      <w:spacing w:after="0" w:line="240" w:lineRule="auto"/>
    </w:pPr>
    <w:rPr>
      <w:rFonts w:ascii="Book Antiqua" w:hAnsi="Book Antiqua"/>
      <w:sz w:val="26"/>
    </w:rPr>
  </w:style>
  <w:style w:type="character" w:styleId="UnresolvedMention">
    <w:name w:val="Unresolved Mention"/>
    <w:basedOn w:val="DefaultParagraphFont"/>
    <w:uiPriority w:val="99"/>
    <w:semiHidden/>
    <w:unhideWhenUsed/>
    <w:rsid w:val="0030506F"/>
    <w:rPr>
      <w:color w:val="605E5C"/>
      <w:shd w:val="clear" w:color="auto" w:fill="E1DFDD"/>
    </w:rPr>
  </w:style>
  <w:style w:type="paragraph" w:styleId="HTMLPreformatted">
    <w:name w:val="HTML Preformatted"/>
    <w:basedOn w:val="Normal"/>
    <w:link w:val="HTMLPreformattedChar"/>
    <w:uiPriority w:val="99"/>
    <w:unhideWhenUsed/>
    <w:rsid w:val="00CE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1BE7"/>
    <w:rPr>
      <w:rFonts w:ascii="Courier New" w:eastAsia="Times New Roman" w:hAnsi="Courier New" w:cs="Courier New"/>
      <w:sz w:val="20"/>
      <w:szCs w:val="20"/>
    </w:rPr>
  </w:style>
  <w:style w:type="table" w:customStyle="1" w:styleId="TableGrid1">
    <w:name w:val="Table Grid1"/>
    <w:basedOn w:val="TableNormal"/>
    <w:next w:val="TableGrid"/>
    <w:uiPriority w:val="59"/>
    <w:rsid w:val="0038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241B0"/>
    <w:rPr>
      <w:color w:val="2B579A"/>
      <w:shd w:val="clear" w:color="auto" w:fill="E6E6E6"/>
    </w:rPr>
  </w:style>
  <w:style w:type="character" w:styleId="PageNumber">
    <w:name w:val="page number"/>
    <w:basedOn w:val="DefaultParagraphFont"/>
    <w:rsid w:val="00CC3059"/>
  </w:style>
  <w:style w:type="paragraph" w:styleId="NormalWeb">
    <w:name w:val="Normal (Web)"/>
    <w:basedOn w:val="Normal"/>
    <w:uiPriority w:val="99"/>
    <w:unhideWhenUsed/>
    <w:rsid w:val="00E65F6C"/>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048">
      <w:bodyDiv w:val="1"/>
      <w:marLeft w:val="0"/>
      <w:marRight w:val="0"/>
      <w:marTop w:val="0"/>
      <w:marBottom w:val="0"/>
      <w:divBdr>
        <w:top w:val="none" w:sz="0" w:space="0" w:color="auto"/>
        <w:left w:val="none" w:sz="0" w:space="0" w:color="auto"/>
        <w:bottom w:val="none" w:sz="0" w:space="0" w:color="auto"/>
        <w:right w:val="none" w:sz="0" w:space="0" w:color="auto"/>
      </w:divBdr>
    </w:div>
    <w:div w:id="1057968384">
      <w:bodyDiv w:val="1"/>
      <w:marLeft w:val="0"/>
      <w:marRight w:val="0"/>
      <w:marTop w:val="0"/>
      <w:marBottom w:val="0"/>
      <w:divBdr>
        <w:top w:val="none" w:sz="0" w:space="0" w:color="auto"/>
        <w:left w:val="none" w:sz="0" w:space="0" w:color="auto"/>
        <w:bottom w:val="none" w:sz="0" w:space="0" w:color="auto"/>
        <w:right w:val="none" w:sz="0" w:space="0" w:color="auto"/>
      </w:divBdr>
    </w:div>
    <w:div w:id="1079909644">
      <w:bodyDiv w:val="1"/>
      <w:marLeft w:val="0"/>
      <w:marRight w:val="0"/>
      <w:marTop w:val="0"/>
      <w:marBottom w:val="0"/>
      <w:divBdr>
        <w:top w:val="none" w:sz="0" w:space="0" w:color="auto"/>
        <w:left w:val="none" w:sz="0" w:space="0" w:color="auto"/>
        <w:bottom w:val="none" w:sz="0" w:space="0" w:color="auto"/>
        <w:right w:val="none" w:sz="0" w:space="0" w:color="auto"/>
      </w:divBdr>
    </w:div>
    <w:div w:id="19382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Efile/G000/M091/K331/9133119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f5filesrv91\userdata\MB7\Annual%20Legislative%20Report\Spreadsheets%20&amp;%20Data%20Analysis\RPS%20Progress_2022%20RNS%20Aggregated%20Data_CONFIDENTIAL%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f5filesrv91\userdata\MB7\Annual%20Legislative%20Report\Spreadsheets%20&amp;%20Data%20Analysis\RPS%20Progress_2022%20RNS%20Aggregated%20Data_CONFIDENTIAL%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f5filesrv91\userdata\MB7\Annual%20Legislative%20Report\Spreadsheets%20&amp;%20Data%20Analysis\RPS%20Progress_2022%20RNS%20Aggregated%20Data_CONFIDENTIAL%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f5filesrv91\userdata\MB7\Annual%20Legislative%20Report\Spreadsheets%20&amp;%20Data%20Analysis\RPS%20Progress_2022%20RNS%20Aggregated%20Data_CONFIDENTIAL%20v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02407645018758E-2"/>
          <c:y val="5.5614803631443076E-2"/>
          <c:w val="0.88230273180420071"/>
          <c:h val="0.72743337602942404"/>
        </c:manualLayout>
      </c:layout>
      <c:barChart>
        <c:barDir val="col"/>
        <c:grouping val="stacked"/>
        <c:varyColors val="0"/>
        <c:ser>
          <c:idx val="0"/>
          <c:order val="0"/>
          <c:tx>
            <c:strRef>
              <c:f>'Aggregated IOU'!$F$28</c:f>
              <c:strCache>
                <c:ptCount val="1"/>
                <c:pt idx="0">
                  <c:v>Online Generation</c:v>
                </c:pt>
              </c:strCache>
            </c:strRef>
          </c:tx>
          <c:spPr>
            <a:solidFill>
              <a:schemeClr val="accent1"/>
            </a:solidFill>
            <a:ln>
              <a:noFill/>
            </a:ln>
            <a:effectLst/>
          </c:spPr>
          <c:invertIfNegative val="0"/>
          <c:cat>
            <c:numRef>
              <c:f>'Aggregated IOU'!$G$27:$T$27</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IOU'!$G$28:$T$28</c:f>
              <c:numCache>
                <c:formatCode>_(* #,##0_);_(* \(#,##0\);_(* "-"??_);_(@_)</c:formatCode>
                <c:ptCount val="14"/>
                <c:pt idx="0">
                  <c:v>52482.684745554485</c:v>
                </c:pt>
                <c:pt idx="1">
                  <c:v>53286.551702720157</c:v>
                </c:pt>
                <c:pt idx="2">
                  <c:v>51430.787218301331</c:v>
                </c:pt>
                <c:pt idx="3">
                  <c:v>52144.155950657965</c:v>
                </c:pt>
                <c:pt idx="4">
                  <c:v>53848.168107403508</c:v>
                </c:pt>
                <c:pt idx="5">
                  <c:v>51060.285983023721</c:v>
                </c:pt>
                <c:pt idx="6">
                  <c:v>45963.210015524128</c:v>
                </c:pt>
                <c:pt idx="7">
                  <c:v>46227.278757115877</c:v>
                </c:pt>
                <c:pt idx="8">
                  <c:v>45737.743405564397</c:v>
                </c:pt>
                <c:pt idx="9">
                  <c:v>44921.588391683683</c:v>
                </c:pt>
                <c:pt idx="10">
                  <c:v>43334.815624798888</c:v>
                </c:pt>
                <c:pt idx="11">
                  <c:v>42025.603283198419</c:v>
                </c:pt>
                <c:pt idx="12">
                  <c:v>41064.645132448786</c:v>
                </c:pt>
                <c:pt idx="13">
                  <c:v>40794.815543946126</c:v>
                </c:pt>
              </c:numCache>
            </c:numRef>
          </c:val>
          <c:extLst>
            <c:ext xmlns:c16="http://schemas.microsoft.com/office/drawing/2014/chart" uri="{C3380CC4-5D6E-409C-BE32-E72D297353CC}">
              <c16:uniqueId val="{00000000-6B29-4DBC-8D22-0633E2A28BE5}"/>
            </c:ext>
          </c:extLst>
        </c:ser>
        <c:ser>
          <c:idx val="1"/>
          <c:order val="1"/>
          <c:tx>
            <c:strRef>
              <c:f>'Aggregated IOU'!$F$29</c:f>
              <c:strCache>
                <c:ptCount val="1"/>
                <c:pt idx="0">
                  <c:v>Under Development </c:v>
                </c:pt>
              </c:strCache>
            </c:strRef>
          </c:tx>
          <c:spPr>
            <a:solidFill>
              <a:schemeClr val="accent2"/>
            </a:solidFill>
            <a:ln>
              <a:noFill/>
            </a:ln>
            <a:effectLst/>
          </c:spPr>
          <c:invertIfNegative val="0"/>
          <c:cat>
            <c:numRef>
              <c:f>'Aggregated IOU'!$G$27:$T$27</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IOU'!$G$29:$T$29</c:f>
              <c:numCache>
                <c:formatCode>_(* #,##0_);_(* \(#,##0\);_(* "-"??_);_(@_)</c:formatCode>
                <c:ptCount val="14"/>
                <c:pt idx="0">
                  <c:v>0</c:v>
                </c:pt>
                <c:pt idx="1">
                  <c:v>0</c:v>
                </c:pt>
                <c:pt idx="2">
                  <c:v>0</c:v>
                </c:pt>
                <c:pt idx="3">
                  <c:v>0</c:v>
                </c:pt>
                <c:pt idx="4">
                  <c:v>0</c:v>
                </c:pt>
                <c:pt idx="5">
                  <c:v>123.85200365257272</c:v>
                </c:pt>
                <c:pt idx="6">
                  <c:v>519.62283085942113</c:v>
                </c:pt>
                <c:pt idx="7">
                  <c:v>618.91033458947243</c:v>
                </c:pt>
                <c:pt idx="8">
                  <c:v>615.94129375475018</c:v>
                </c:pt>
                <c:pt idx="9">
                  <c:v>614.3274130930439</c:v>
                </c:pt>
                <c:pt idx="10">
                  <c:v>612.66815160587907</c:v>
                </c:pt>
                <c:pt idx="11">
                  <c:v>612.34387616832043</c:v>
                </c:pt>
                <c:pt idx="12">
                  <c:v>609.33186321881237</c:v>
                </c:pt>
                <c:pt idx="13">
                  <c:v>607.62749634347495</c:v>
                </c:pt>
              </c:numCache>
            </c:numRef>
          </c:val>
          <c:extLst>
            <c:ext xmlns:c16="http://schemas.microsoft.com/office/drawing/2014/chart" uri="{C3380CC4-5D6E-409C-BE32-E72D297353CC}">
              <c16:uniqueId val="{00000001-6B29-4DBC-8D22-0633E2A28BE5}"/>
            </c:ext>
          </c:extLst>
        </c:ser>
        <c:ser>
          <c:idx val="2"/>
          <c:order val="2"/>
          <c:tx>
            <c:strRef>
              <c:f>'Aggregated IOU'!$F$30</c:f>
              <c:strCache>
                <c:ptCount val="1"/>
                <c:pt idx="0">
                  <c:v>Expiring Contracts</c:v>
                </c:pt>
              </c:strCache>
            </c:strRef>
          </c:tx>
          <c:spPr>
            <a:solidFill>
              <a:schemeClr val="accent3"/>
            </a:solidFill>
            <a:ln>
              <a:noFill/>
            </a:ln>
            <a:effectLst/>
          </c:spPr>
          <c:invertIfNegative val="0"/>
          <c:cat>
            <c:numRef>
              <c:f>'Aggregated IOU'!$G$27:$T$27</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IOU'!$G$30:$T$30</c:f>
              <c:numCache>
                <c:formatCode>_(* #,##0_);_(* \(#,##0\);_(* "-"??_);_(@_)</c:formatCode>
                <c:ptCount val="14"/>
                <c:pt idx="0">
                  <c:v>21.344000000000001</c:v>
                </c:pt>
                <c:pt idx="1">
                  <c:v>87.459000000000003</c:v>
                </c:pt>
                <c:pt idx="2">
                  <c:v>183.61500000000001</c:v>
                </c:pt>
                <c:pt idx="3">
                  <c:v>0.53900000000000003</c:v>
                </c:pt>
                <c:pt idx="4">
                  <c:v>0</c:v>
                </c:pt>
                <c:pt idx="5">
                  <c:v>128.89261771377133</c:v>
                </c:pt>
                <c:pt idx="6">
                  <c:v>741.95954453667252</c:v>
                </c:pt>
                <c:pt idx="7">
                  <c:v>1035.9067641790923</c:v>
                </c:pt>
                <c:pt idx="8">
                  <c:v>1035.0988933000192</c:v>
                </c:pt>
                <c:pt idx="9">
                  <c:v>1757.1698968237852</c:v>
                </c:pt>
                <c:pt idx="10">
                  <c:v>3498.9700549215513</c:v>
                </c:pt>
                <c:pt idx="11">
                  <c:v>5324.9890257164852</c:v>
                </c:pt>
                <c:pt idx="12">
                  <c:v>5996.8248720853981</c:v>
                </c:pt>
                <c:pt idx="13">
                  <c:v>6050.5404135713025</c:v>
                </c:pt>
              </c:numCache>
            </c:numRef>
          </c:val>
          <c:extLst>
            <c:ext xmlns:c16="http://schemas.microsoft.com/office/drawing/2014/chart" uri="{C3380CC4-5D6E-409C-BE32-E72D297353CC}">
              <c16:uniqueId val="{00000002-6B29-4DBC-8D22-0633E2A28BE5}"/>
            </c:ext>
          </c:extLst>
        </c:ser>
        <c:dLbls>
          <c:showLegendKey val="0"/>
          <c:showVal val="0"/>
          <c:showCatName val="0"/>
          <c:showSerName val="0"/>
          <c:showPercent val="0"/>
          <c:showBubbleSize val="0"/>
        </c:dLbls>
        <c:gapWidth val="40"/>
        <c:overlap val="100"/>
        <c:axId val="1408897359"/>
        <c:axId val="1409976991"/>
      </c:barChart>
      <c:lineChart>
        <c:grouping val="standard"/>
        <c:varyColors val="0"/>
        <c:ser>
          <c:idx val="3"/>
          <c:order val="3"/>
          <c:tx>
            <c:strRef>
              <c:f>'Aggregated IOU'!$F$31</c:f>
              <c:strCache>
                <c:ptCount val="1"/>
                <c:pt idx="0">
                  <c:v>RPS Need</c:v>
                </c:pt>
              </c:strCache>
            </c:strRef>
          </c:tx>
          <c:spPr>
            <a:ln w="28575" cap="rnd">
              <a:solidFill>
                <a:schemeClr val="accent4"/>
              </a:solidFill>
              <a:round/>
            </a:ln>
            <a:effectLst/>
          </c:spPr>
          <c:marker>
            <c:symbol val="none"/>
          </c:marker>
          <c:cat>
            <c:numRef>
              <c:f>'Aggregated IOU'!$G$27:$T$27</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IOU'!$G$31:$T$31</c:f>
              <c:numCache>
                <c:formatCode>_(* #,##0_);_(* \(#,##0\);_(* "-"??_);_(@_)</c:formatCode>
                <c:ptCount val="14"/>
                <c:pt idx="0">
                  <c:v>40301.983437650109</c:v>
                </c:pt>
                <c:pt idx="1">
                  <c:v>38942.809078640508</c:v>
                </c:pt>
                <c:pt idx="2">
                  <c:v>34661.075440408371</c:v>
                </c:pt>
                <c:pt idx="3">
                  <c:v>35958.874644990006</c:v>
                </c:pt>
                <c:pt idx="4">
                  <c:v>34019.401195243379</c:v>
                </c:pt>
                <c:pt idx="5">
                  <c:v>32500.164987539247</c:v>
                </c:pt>
                <c:pt idx="6">
                  <c:v>33830.950294735048</c:v>
                </c:pt>
                <c:pt idx="7">
                  <c:v>35855.526345481012</c:v>
                </c:pt>
                <c:pt idx="8">
                  <c:v>37704.766794249786</c:v>
                </c:pt>
                <c:pt idx="9">
                  <c:v>42974.233629858158</c:v>
                </c:pt>
                <c:pt idx="10">
                  <c:v>45380.187188946227</c:v>
                </c:pt>
                <c:pt idx="11">
                  <c:v>47858.27111059583</c:v>
                </c:pt>
                <c:pt idx="12">
                  <c:v>50274.695735237736</c:v>
                </c:pt>
                <c:pt idx="13">
                  <c:v>52727.307621778506</c:v>
                </c:pt>
              </c:numCache>
            </c:numRef>
          </c:val>
          <c:smooth val="0"/>
          <c:extLst>
            <c:ext xmlns:c16="http://schemas.microsoft.com/office/drawing/2014/chart" uri="{C3380CC4-5D6E-409C-BE32-E72D297353CC}">
              <c16:uniqueId val="{00000003-6B29-4DBC-8D22-0633E2A28BE5}"/>
            </c:ext>
          </c:extLst>
        </c:ser>
        <c:dLbls>
          <c:showLegendKey val="0"/>
          <c:showVal val="0"/>
          <c:showCatName val="0"/>
          <c:showSerName val="0"/>
          <c:showPercent val="0"/>
          <c:showBubbleSize val="0"/>
        </c:dLbls>
        <c:marker val="1"/>
        <c:smooth val="0"/>
        <c:axId val="1408897359"/>
        <c:axId val="1409976991"/>
      </c:lineChart>
      <c:catAx>
        <c:axId val="140889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09976991"/>
        <c:crosses val="autoZero"/>
        <c:auto val="1"/>
        <c:lblAlgn val="ctr"/>
        <c:lblOffset val="100"/>
        <c:noMultiLvlLbl val="0"/>
      </c:catAx>
      <c:valAx>
        <c:axId val="14099769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 GWh</a:t>
                </a:r>
              </a:p>
            </c:rich>
          </c:tx>
          <c:layout>
            <c:manualLayout>
              <c:xMode val="edge"/>
              <c:yMode val="edge"/>
              <c:x val="1.2120600309576694E-3"/>
              <c:y val="0.337131545451260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08897359"/>
        <c:crosses val="autoZero"/>
        <c:crossBetween val="between"/>
      </c:valAx>
      <c:spPr>
        <a:noFill/>
        <a:ln>
          <a:noFill/>
        </a:ln>
        <a:effectLst/>
      </c:spPr>
    </c:plotArea>
    <c:legend>
      <c:legendPos val="b"/>
      <c:layout>
        <c:manualLayout>
          <c:xMode val="edge"/>
          <c:yMode val="edge"/>
          <c:x val="7.4391109765125502E-2"/>
          <c:y val="0.90467301352756724"/>
          <c:w val="0.88326906252103099"/>
          <c:h val="6.8486680642192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4262987300236"/>
          <c:y val="6.3297394429469925E-2"/>
          <c:w val="0.87096748248654798"/>
          <c:h val="0.70726241766948938"/>
        </c:manualLayout>
      </c:layout>
      <c:barChart>
        <c:barDir val="col"/>
        <c:grouping val="stacked"/>
        <c:varyColors val="0"/>
        <c:ser>
          <c:idx val="0"/>
          <c:order val="0"/>
          <c:tx>
            <c:strRef>
              <c:f>'Aggregated SMJU'!$F$30</c:f>
              <c:strCache>
                <c:ptCount val="1"/>
                <c:pt idx="0">
                  <c:v>Online Generation</c:v>
                </c:pt>
              </c:strCache>
            </c:strRef>
          </c:tx>
          <c:spPr>
            <a:solidFill>
              <a:schemeClr val="accent1"/>
            </a:solidFill>
            <a:ln>
              <a:noFill/>
            </a:ln>
            <a:effectLst/>
          </c:spPr>
          <c:invertIfNegative val="0"/>
          <c:cat>
            <c:numRef>
              <c:f>'Aggregated SMJU'!$G$28:$T$28</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SMJU'!$G$30:$T$30</c:f>
              <c:numCache>
                <c:formatCode>_(* #,##0_);_(* \(#,##0\);_(* "-"??_);_(@_)</c:formatCode>
                <c:ptCount val="14"/>
                <c:pt idx="0">
                  <c:v>384.84100000000001</c:v>
                </c:pt>
                <c:pt idx="1">
                  <c:v>333.70499999999998</c:v>
                </c:pt>
                <c:pt idx="2">
                  <c:v>329.69617649999998</c:v>
                </c:pt>
                <c:pt idx="3">
                  <c:v>676.51499999999999</c:v>
                </c:pt>
                <c:pt idx="4">
                  <c:v>439.25799999999998</c:v>
                </c:pt>
                <c:pt idx="5">
                  <c:v>496.11590699609684</c:v>
                </c:pt>
                <c:pt idx="6">
                  <c:v>523.65418824322182</c:v>
                </c:pt>
                <c:pt idx="7">
                  <c:v>442.64616899652395</c:v>
                </c:pt>
                <c:pt idx="8">
                  <c:v>385.71810667757467</c:v>
                </c:pt>
                <c:pt idx="9">
                  <c:v>385.88377884316225</c:v>
                </c:pt>
                <c:pt idx="10">
                  <c:v>382.31267534027285</c:v>
                </c:pt>
                <c:pt idx="11">
                  <c:v>374.3751929587803</c:v>
                </c:pt>
                <c:pt idx="12">
                  <c:v>333.46722404072136</c:v>
                </c:pt>
                <c:pt idx="13">
                  <c:v>329.42530927074478</c:v>
                </c:pt>
              </c:numCache>
            </c:numRef>
          </c:val>
          <c:extLst>
            <c:ext xmlns:c16="http://schemas.microsoft.com/office/drawing/2014/chart" uri="{C3380CC4-5D6E-409C-BE32-E72D297353CC}">
              <c16:uniqueId val="{00000000-0F2D-4E97-8584-8448A0D63665}"/>
            </c:ext>
          </c:extLst>
        </c:ser>
        <c:ser>
          <c:idx val="1"/>
          <c:order val="1"/>
          <c:tx>
            <c:strRef>
              <c:f>'Aggregated SMJU'!$F$31</c:f>
              <c:strCache>
                <c:ptCount val="1"/>
                <c:pt idx="0">
                  <c:v>Under Development </c:v>
                </c:pt>
              </c:strCache>
            </c:strRef>
          </c:tx>
          <c:spPr>
            <a:solidFill>
              <a:schemeClr val="accent2"/>
            </a:solidFill>
            <a:ln>
              <a:noFill/>
            </a:ln>
            <a:effectLst/>
          </c:spPr>
          <c:invertIfNegative val="0"/>
          <c:cat>
            <c:numRef>
              <c:f>'Aggregated SMJU'!$G$28:$T$28</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SMJU'!$G$31:$T$31</c:f>
              <c:numCache>
                <c:formatCode>_(* #,##0_);_(* \(#,##0\);_(* "-"??_);_(@_)</c:formatCode>
                <c:ptCount val="14"/>
                <c:pt idx="0">
                  <c:v>0</c:v>
                </c:pt>
                <c:pt idx="1">
                  <c:v>0</c:v>
                </c:pt>
                <c:pt idx="2">
                  <c:v>0</c:v>
                </c:pt>
                <c:pt idx="3">
                  <c:v>0</c:v>
                </c:pt>
                <c:pt idx="4">
                  <c:v>0</c:v>
                </c:pt>
                <c:pt idx="5">
                  <c:v>0</c:v>
                </c:pt>
                <c:pt idx="6">
                  <c:v>0</c:v>
                </c:pt>
                <c:pt idx="7">
                  <c:v>193.59323902251089</c:v>
                </c:pt>
                <c:pt idx="8">
                  <c:v>306.70360357199144</c:v>
                </c:pt>
                <c:pt idx="9">
                  <c:v>354.93280939133717</c:v>
                </c:pt>
                <c:pt idx="10">
                  <c:v>353.51144416565285</c:v>
                </c:pt>
                <c:pt idx="11">
                  <c:v>368.50660228087617</c:v>
                </c:pt>
                <c:pt idx="12">
                  <c:v>389.57171731992111</c:v>
                </c:pt>
                <c:pt idx="13">
                  <c:v>419.90482363079332</c:v>
                </c:pt>
              </c:numCache>
            </c:numRef>
          </c:val>
          <c:extLst>
            <c:ext xmlns:c16="http://schemas.microsoft.com/office/drawing/2014/chart" uri="{C3380CC4-5D6E-409C-BE32-E72D297353CC}">
              <c16:uniqueId val="{00000001-0F2D-4E97-8584-8448A0D63665}"/>
            </c:ext>
          </c:extLst>
        </c:ser>
        <c:ser>
          <c:idx val="2"/>
          <c:order val="2"/>
          <c:tx>
            <c:strRef>
              <c:f>'Aggregated SMJU'!$F$32</c:f>
              <c:strCache>
                <c:ptCount val="1"/>
                <c:pt idx="0">
                  <c:v>Expiring Contracts</c:v>
                </c:pt>
              </c:strCache>
            </c:strRef>
          </c:tx>
          <c:spPr>
            <a:solidFill>
              <a:schemeClr val="accent3"/>
            </a:solidFill>
            <a:ln>
              <a:noFill/>
            </a:ln>
            <a:effectLst/>
          </c:spPr>
          <c:invertIfNegative val="0"/>
          <c:cat>
            <c:numRef>
              <c:f>'Aggregated SMJU'!$G$28:$T$28</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SMJU'!$G$32:$T$32</c:f>
              <c:numCache>
                <c:formatCode>_(* #,##0_);_(* \(#,##0\);_(* "-"??_);_(@_)</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2-0F2D-4E97-8584-8448A0D63665}"/>
            </c:ext>
          </c:extLst>
        </c:ser>
        <c:dLbls>
          <c:showLegendKey val="0"/>
          <c:showVal val="0"/>
          <c:showCatName val="0"/>
          <c:showSerName val="0"/>
          <c:showPercent val="0"/>
          <c:showBubbleSize val="0"/>
        </c:dLbls>
        <c:gapWidth val="40"/>
        <c:overlap val="100"/>
        <c:axId val="869603727"/>
        <c:axId val="869605359"/>
      </c:barChart>
      <c:lineChart>
        <c:grouping val="standard"/>
        <c:varyColors val="0"/>
        <c:ser>
          <c:idx val="3"/>
          <c:order val="3"/>
          <c:tx>
            <c:strRef>
              <c:f>'Aggregated SMJU'!$F$33</c:f>
              <c:strCache>
                <c:ptCount val="1"/>
                <c:pt idx="0">
                  <c:v>RPS Need</c:v>
                </c:pt>
              </c:strCache>
            </c:strRef>
          </c:tx>
          <c:spPr>
            <a:ln w="28575" cap="rnd">
              <a:solidFill>
                <a:schemeClr val="accent4"/>
              </a:solidFill>
              <a:round/>
            </a:ln>
            <a:effectLst/>
          </c:spPr>
          <c:marker>
            <c:symbol val="none"/>
          </c:marker>
          <c:cat>
            <c:numRef>
              <c:f>'Aggregated SMJU'!$G$28:$T$28</c:f>
              <c:numCache>
                <c:formatCode>0</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SMJU'!$G$33:$T$33</c:f>
              <c:numCache>
                <c:formatCode>_(* #,##0_);_(* \(#,##0\);_(* "-"??_);_(@_)</c:formatCode>
                <c:ptCount val="14"/>
                <c:pt idx="0">
                  <c:v>393.50753666999998</c:v>
                </c:pt>
                <c:pt idx="1">
                  <c:v>416.85365181655862</c:v>
                </c:pt>
                <c:pt idx="2">
                  <c:v>445.39722098999994</c:v>
                </c:pt>
                <c:pt idx="3">
                  <c:v>478.32830693999995</c:v>
                </c:pt>
                <c:pt idx="4">
                  <c:v>529.50856243999999</c:v>
                </c:pt>
                <c:pt idx="5">
                  <c:v>560.81757504237976</c:v>
                </c:pt>
                <c:pt idx="6">
                  <c:v>600.97243009530132</c:v>
                </c:pt>
                <c:pt idx="7">
                  <c:v>642.13048742746378</c:v>
                </c:pt>
                <c:pt idx="8">
                  <c:v>680.84730422589007</c:v>
                </c:pt>
                <c:pt idx="9">
                  <c:v>720.27198003875264</c:v>
                </c:pt>
                <c:pt idx="10">
                  <c:v>760.08315156298113</c:v>
                </c:pt>
                <c:pt idx="11">
                  <c:v>801.26227288084579</c:v>
                </c:pt>
                <c:pt idx="12">
                  <c:v>839.62002624433956</c:v>
                </c:pt>
                <c:pt idx="13">
                  <c:v>878.78384632504151</c:v>
                </c:pt>
              </c:numCache>
            </c:numRef>
          </c:val>
          <c:smooth val="0"/>
          <c:extLst>
            <c:ext xmlns:c16="http://schemas.microsoft.com/office/drawing/2014/chart" uri="{C3380CC4-5D6E-409C-BE32-E72D297353CC}">
              <c16:uniqueId val="{00000003-0F2D-4E97-8584-8448A0D63665}"/>
            </c:ext>
          </c:extLst>
        </c:ser>
        <c:dLbls>
          <c:showLegendKey val="0"/>
          <c:showVal val="0"/>
          <c:showCatName val="0"/>
          <c:showSerName val="0"/>
          <c:showPercent val="0"/>
          <c:showBubbleSize val="0"/>
        </c:dLbls>
        <c:marker val="1"/>
        <c:smooth val="0"/>
        <c:axId val="869603727"/>
        <c:axId val="869605359"/>
      </c:lineChart>
      <c:catAx>
        <c:axId val="869603727"/>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9605359"/>
        <c:crosses val="autoZero"/>
        <c:auto val="1"/>
        <c:lblAlgn val="ctr"/>
        <c:lblOffset val="100"/>
        <c:noMultiLvlLbl val="0"/>
      </c:catAx>
      <c:valAx>
        <c:axId val="869605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a:t>
                </a:r>
                <a:r>
                  <a:rPr lang="en-US" baseline="0">
                    <a:solidFill>
                      <a:sysClr val="windowText" lastClr="000000"/>
                    </a:solidFill>
                  </a:rPr>
                  <a:t> GWh</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9603727"/>
        <c:crosses val="autoZero"/>
        <c:crossBetween val="between"/>
      </c:valAx>
      <c:spPr>
        <a:noFill/>
        <a:ln>
          <a:noFill/>
        </a:ln>
        <a:effectLst/>
      </c:spPr>
    </c:plotArea>
    <c:legend>
      <c:legendPos val="b"/>
      <c:layout>
        <c:manualLayout>
          <c:xMode val="edge"/>
          <c:yMode val="edge"/>
          <c:x val="0.05"/>
          <c:y val="0.85231303634215538"/>
          <c:w val="0.9"/>
          <c:h val="7.580915593098032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'Aggregated CCA'!$F$153</c:f>
              <c:strCache>
                <c:ptCount val="1"/>
                <c:pt idx="0">
                  <c:v>Online Generation</c:v>
                </c:pt>
              </c:strCache>
            </c:strRef>
          </c:tx>
          <c:spPr>
            <a:solidFill>
              <a:schemeClr val="accent1"/>
            </a:solidFill>
            <a:ln>
              <a:noFill/>
            </a:ln>
            <a:effectLst/>
          </c:spPr>
          <c:invertIfNegative val="0"/>
          <c:cat>
            <c:numRef>
              <c:f>'Aggregated CCA'!$G$151:$T$151</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CCA'!$G$153:$T$153</c:f>
              <c:numCache>
                <c:formatCode>_(* #,##0_);_(* \(#,##0\);_(* "-"??_);_(@_)</c:formatCode>
                <c:ptCount val="14"/>
                <c:pt idx="0">
                  <c:v>6340.290977550454</c:v>
                </c:pt>
                <c:pt idx="1">
                  <c:v>12094.276</c:v>
                </c:pt>
                <c:pt idx="2">
                  <c:v>23187.169000000002</c:v>
                </c:pt>
                <c:pt idx="3">
                  <c:v>23934.273000000001</c:v>
                </c:pt>
                <c:pt idx="4">
                  <c:v>25773.581096571121</c:v>
                </c:pt>
                <c:pt idx="5">
                  <c:v>30348.136549676892</c:v>
                </c:pt>
                <c:pt idx="6">
                  <c:v>29058.111190443364</c:v>
                </c:pt>
                <c:pt idx="7">
                  <c:v>27040.406406907729</c:v>
                </c:pt>
                <c:pt idx="8">
                  <c:v>24391.493094168251</c:v>
                </c:pt>
                <c:pt idx="9">
                  <c:v>24042.721122642099</c:v>
                </c:pt>
                <c:pt idx="10">
                  <c:v>23103.234088405403</c:v>
                </c:pt>
                <c:pt idx="11">
                  <c:v>22702.042616593208</c:v>
                </c:pt>
                <c:pt idx="12">
                  <c:v>22326.79643700588</c:v>
                </c:pt>
                <c:pt idx="13">
                  <c:v>21760.803301715921</c:v>
                </c:pt>
              </c:numCache>
            </c:numRef>
          </c:val>
          <c:extLst>
            <c:ext xmlns:c16="http://schemas.microsoft.com/office/drawing/2014/chart" uri="{C3380CC4-5D6E-409C-BE32-E72D297353CC}">
              <c16:uniqueId val="{00000000-A5B3-468D-9779-33C3AC2A3990}"/>
            </c:ext>
          </c:extLst>
        </c:ser>
        <c:ser>
          <c:idx val="1"/>
          <c:order val="1"/>
          <c:tx>
            <c:strRef>
              <c:f>'Aggregated CCA'!$F$154</c:f>
              <c:strCache>
                <c:ptCount val="1"/>
                <c:pt idx="0">
                  <c:v>Under Development </c:v>
                </c:pt>
              </c:strCache>
            </c:strRef>
          </c:tx>
          <c:spPr>
            <a:solidFill>
              <a:schemeClr val="accent2"/>
            </a:solidFill>
            <a:ln>
              <a:noFill/>
            </a:ln>
            <a:effectLst/>
          </c:spPr>
          <c:invertIfNegative val="0"/>
          <c:cat>
            <c:numRef>
              <c:f>'Aggregated CCA'!$G$151:$T$151</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CCA'!$G$154:$T$154</c:f>
              <c:numCache>
                <c:formatCode>_(* #,##0_);_(* \(#,##0\);_(* "-"??_);_(@_)</c:formatCode>
                <c:ptCount val="14"/>
                <c:pt idx="0">
                  <c:v>0</c:v>
                </c:pt>
                <c:pt idx="1">
                  <c:v>0</c:v>
                </c:pt>
                <c:pt idx="2">
                  <c:v>0</c:v>
                </c:pt>
                <c:pt idx="3">
                  <c:v>0</c:v>
                </c:pt>
                <c:pt idx="4">
                  <c:v>0</c:v>
                </c:pt>
                <c:pt idx="5">
                  <c:v>1066.2817626506394</c:v>
                </c:pt>
                <c:pt idx="6">
                  <c:v>4335.4486855301557</c:v>
                </c:pt>
                <c:pt idx="7">
                  <c:v>10700.520934873139</c:v>
                </c:pt>
                <c:pt idx="8">
                  <c:v>12092.320250329107</c:v>
                </c:pt>
                <c:pt idx="9">
                  <c:v>12528.878967875507</c:v>
                </c:pt>
                <c:pt idx="10">
                  <c:v>12609.218802790667</c:v>
                </c:pt>
                <c:pt idx="11">
                  <c:v>12561.694439955991</c:v>
                </c:pt>
                <c:pt idx="12">
                  <c:v>12487.789525423823</c:v>
                </c:pt>
                <c:pt idx="13">
                  <c:v>12428.873758130498</c:v>
                </c:pt>
              </c:numCache>
            </c:numRef>
          </c:val>
          <c:extLst>
            <c:ext xmlns:c16="http://schemas.microsoft.com/office/drawing/2014/chart" uri="{C3380CC4-5D6E-409C-BE32-E72D297353CC}">
              <c16:uniqueId val="{00000001-A5B3-468D-9779-33C3AC2A3990}"/>
            </c:ext>
          </c:extLst>
        </c:ser>
        <c:ser>
          <c:idx val="2"/>
          <c:order val="2"/>
          <c:tx>
            <c:strRef>
              <c:f>'Aggregated CCA'!$F$155</c:f>
              <c:strCache>
                <c:ptCount val="1"/>
                <c:pt idx="0">
                  <c:v>Expiring Contracts</c:v>
                </c:pt>
              </c:strCache>
            </c:strRef>
          </c:tx>
          <c:spPr>
            <a:solidFill>
              <a:schemeClr val="accent3"/>
            </a:solidFill>
            <a:ln>
              <a:noFill/>
            </a:ln>
            <a:effectLst/>
          </c:spPr>
          <c:invertIfNegative val="0"/>
          <c:cat>
            <c:numRef>
              <c:f>'Aggregated CCA'!$G$151:$T$151</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CCA'!$G$155:$T$155</c:f>
              <c:numCache>
                <c:formatCode>_(* #,##0_);_(* \(#,##0\);_(* "-"??_);_(@_)</c:formatCode>
                <c:ptCount val="14"/>
                <c:pt idx="0">
                  <c:v>1384.8</c:v>
                </c:pt>
                <c:pt idx="1">
                  <c:v>4530.97627501224</c:v>
                </c:pt>
                <c:pt idx="2">
                  <c:v>3787.0051086416743</c:v>
                </c:pt>
                <c:pt idx="3">
                  <c:v>4334.9949999999999</c:v>
                </c:pt>
                <c:pt idx="4">
                  <c:v>3642.614</c:v>
                </c:pt>
                <c:pt idx="5">
                  <c:v>3256.1996174000001</c:v>
                </c:pt>
                <c:pt idx="6">
                  <c:v>1091.4000000000001</c:v>
                </c:pt>
                <c:pt idx="7">
                  <c:v>297.31200000000001</c:v>
                </c:pt>
                <c:pt idx="8">
                  <c:v>225.26499999999999</c:v>
                </c:pt>
                <c:pt idx="9">
                  <c:v>525.6</c:v>
                </c:pt>
                <c:pt idx="10">
                  <c:v>0</c:v>
                </c:pt>
                <c:pt idx="11">
                  <c:v>0</c:v>
                </c:pt>
                <c:pt idx="12">
                  <c:v>7.8730000000000002</c:v>
                </c:pt>
                <c:pt idx="13">
                  <c:v>595.76400000000001</c:v>
                </c:pt>
              </c:numCache>
            </c:numRef>
          </c:val>
          <c:extLst>
            <c:ext xmlns:c16="http://schemas.microsoft.com/office/drawing/2014/chart" uri="{C3380CC4-5D6E-409C-BE32-E72D297353CC}">
              <c16:uniqueId val="{00000002-A5B3-468D-9779-33C3AC2A3990}"/>
            </c:ext>
          </c:extLst>
        </c:ser>
        <c:dLbls>
          <c:showLegendKey val="0"/>
          <c:showVal val="0"/>
          <c:showCatName val="0"/>
          <c:showSerName val="0"/>
          <c:showPercent val="0"/>
          <c:showBubbleSize val="0"/>
        </c:dLbls>
        <c:gapWidth val="40"/>
        <c:overlap val="100"/>
        <c:axId val="867085007"/>
        <c:axId val="866430831"/>
      </c:barChart>
      <c:lineChart>
        <c:grouping val="standard"/>
        <c:varyColors val="0"/>
        <c:ser>
          <c:idx val="3"/>
          <c:order val="3"/>
          <c:tx>
            <c:strRef>
              <c:f>'Aggregated CCA'!$F$156</c:f>
              <c:strCache>
                <c:ptCount val="1"/>
                <c:pt idx="0">
                  <c:v>RPS Need</c:v>
                </c:pt>
              </c:strCache>
            </c:strRef>
          </c:tx>
          <c:spPr>
            <a:ln w="28575" cap="rnd">
              <a:solidFill>
                <a:schemeClr val="accent4"/>
              </a:solidFill>
              <a:round/>
            </a:ln>
            <a:effectLst/>
          </c:spPr>
          <c:marker>
            <c:symbol val="none"/>
          </c:marker>
          <c:cat>
            <c:numRef>
              <c:f>'Aggregated CCA'!$G$151:$T$151</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CCA'!$G$156:$T$156</c:f>
              <c:numCache>
                <c:formatCode>_(* #,##0_);_(* \(#,##0\);_(* "-"??_);_(@_)</c:formatCode>
                <c:ptCount val="14"/>
                <c:pt idx="0">
                  <c:v>3187.5819717765776</c:v>
                </c:pt>
                <c:pt idx="1">
                  <c:v>6939.9655348377901</c:v>
                </c:pt>
                <c:pt idx="2">
                  <c:v>13281.351762585491</c:v>
                </c:pt>
                <c:pt idx="3">
                  <c:v>15764.825194157391</c:v>
                </c:pt>
                <c:pt idx="4">
                  <c:v>18637.431801651899</c:v>
                </c:pt>
                <c:pt idx="5">
                  <c:v>22348.036766616326</c:v>
                </c:pt>
                <c:pt idx="6">
                  <c:v>26562.581030769259</c:v>
                </c:pt>
                <c:pt idx="7">
                  <c:v>29240.54940960868</c:v>
                </c:pt>
                <c:pt idx="8">
                  <c:v>31147.276792658144</c:v>
                </c:pt>
                <c:pt idx="9">
                  <c:v>33094.097862885807</c:v>
                </c:pt>
                <c:pt idx="10">
                  <c:v>35104.446315413574</c:v>
                </c:pt>
                <c:pt idx="11">
                  <c:v>37145.164397517779</c:v>
                </c:pt>
                <c:pt idx="12">
                  <c:v>39232.157059694502</c:v>
                </c:pt>
                <c:pt idx="13">
                  <c:v>41395.473953752175</c:v>
                </c:pt>
              </c:numCache>
            </c:numRef>
          </c:val>
          <c:smooth val="0"/>
          <c:extLst>
            <c:ext xmlns:c16="http://schemas.microsoft.com/office/drawing/2014/chart" uri="{C3380CC4-5D6E-409C-BE32-E72D297353CC}">
              <c16:uniqueId val="{00000003-A5B3-468D-9779-33C3AC2A3990}"/>
            </c:ext>
          </c:extLst>
        </c:ser>
        <c:dLbls>
          <c:showLegendKey val="0"/>
          <c:showVal val="0"/>
          <c:showCatName val="0"/>
          <c:showSerName val="0"/>
          <c:showPercent val="0"/>
          <c:showBubbleSize val="0"/>
        </c:dLbls>
        <c:marker val="1"/>
        <c:smooth val="0"/>
        <c:axId val="867085007"/>
        <c:axId val="866430831"/>
      </c:lineChart>
      <c:catAx>
        <c:axId val="86708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30831"/>
        <c:crosses val="autoZero"/>
        <c:auto val="1"/>
        <c:lblAlgn val="ctr"/>
        <c:lblOffset val="100"/>
        <c:noMultiLvlLbl val="0"/>
      </c:catAx>
      <c:valAx>
        <c:axId val="866430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 GWh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7085007"/>
        <c:crosses val="autoZero"/>
        <c:crossBetween val="between"/>
      </c:valAx>
      <c:spPr>
        <a:noFill/>
        <a:ln>
          <a:noFill/>
        </a:ln>
        <a:effectLst/>
      </c:spPr>
    </c:plotArea>
    <c:legend>
      <c:legendPos val="b"/>
      <c:layout>
        <c:manualLayout>
          <c:xMode val="edge"/>
          <c:yMode val="edge"/>
          <c:x val="9.8406156048675739E-2"/>
          <c:y val="0.8717839112459228"/>
          <c:w val="0.87773314244810308"/>
          <c:h val="5.565672199945982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92001480584158"/>
          <c:y val="7.0379805465493286E-2"/>
          <c:w val="0.86962914737061936"/>
          <c:h val="0.71085606081246766"/>
        </c:manualLayout>
      </c:layout>
      <c:barChart>
        <c:barDir val="col"/>
        <c:grouping val="stacked"/>
        <c:varyColors val="0"/>
        <c:ser>
          <c:idx val="0"/>
          <c:order val="0"/>
          <c:tx>
            <c:strRef>
              <c:f>'Aggregated ESP'!$F$79</c:f>
              <c:strCache>
                <c:ptCount val="1"/>
                <c:pt idx="0">
                  <c:v>Online Generation</c:v>
                </c:pt>
              </c:strCache>
            </c:strRef>
          </c:tx>
          <c:spPr>
            <a:solidFill>
              <a:schemeClr val="accent1"/>
            </a:solidFill>
            <a:ln>
              <a:noFill/>
            </a:ln>
            <a:effectLst/>
          </c:spPr>
          <c:invertIfNegative val="0"/>
          <c:cat>
            <c:numRef>
              <c:f>'Aggregated ESP'!$G$78:$T$78</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ESP'!$G$79:$T$79</c:f>
              <c:numCache>
                <c:formatCode>_(* #,##0_);_(* \(#,##0\);_(* "-"??_);_(@_)</c:formatCode>
                <c:ptCount val="14"/>
                <c:pt idx="0">
                  <c:v>9555.0906970000015</c:v>
                </c:pt>
                <c:pt idx="1">
                  <c:v>9038.2983058702557</c:v>
                </c:pt>
                <c:pt idx="2">
                  <c:v>9673.358463999999</c:v>
                </c:pt>
                <c:pt idx="3">
                  <c:v>7909.8282600000011</c:v>
                </c:pt>
                <c:pt idx="4">
                  <c:v>6836.1181179999994</c:v>
                </c:pt>
                <c:pt idx="5">
                  <c:v>7218.5901294688792</c:v>
                </c:pt>
                <c:pt idx="6">
                  <c:v>7006.5952759396714</c:v>
                </c:pt>
                <c:pt idx="7">
                  <c:v>5631.5166133660823</c:v>
                </c:pt>
                <c:pt idx="8">
                  <c:v>5067.9130006224223</c:v>
                </c:pt>
                <c:pt idx="9">
                  <c:v>4505.8246854212548</c:v>
                </c:pt>
                <c:pt idx="10">
                  <c:v>4477.1141104040526</c:v>
                </c:pt>
                <c:pt idx="11">
                  <c:v>4290.644470885115</c:v>
                </c:pt>
                <c:pt idx="12">
                  <c:v>3887.8460987058115</c:v>
                </c:pt>
                <c:pt idx="13">
                  <c:v>3799.3200119389976</c:v>
                </c:pt>
              </c:numCache>
            </c:numRef>
          </c:val>
          <c:extLst>
            <c:ext xmlns:c16="http://schemas.microsoft.com/office/drawing/2014/chart" uri="{C3380CC4-5D6E-409C-BE32-E72D297353CC}">
              <c16:uniqueId val="{00000000-9630-4A32-8BC2-35DF04DDD7F7}"/>
            </c:ext>
          </c:extLst>
        </c:ser>
        <c:ser>
          <c:idx val="1"/>
          <c:order val="1"/>
          <c:tx>
            <c:strRef>
              <c:f>'Aggregated ESP'!$F$80</c:f>
              <c:strCache>
                <c:ptCount val="1"/>
                <c:pt idx="0">
                  <c:v>Under Development </c:v>
                </c:pt>
              </c:strCache>
            </c:strRef>
          </c:tx>
          <c:spPr>
            <a:solidFill>
              <a:schemeClr val="accent2"/>
            </a:solidFill>
            <a:ln>
              <a:noFill/>
            </a:ln>
            <a:effectLst/>
          </c:spPr>
          <c:invertIfNegative val="0"/>
          <c:cat>
            <c:numRef>
              <c:f>'Aggregated ESP'!$G$78:$T$78</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ESP'!$G$80:$T$80</c:f>
              <c:numCache>
                <c:formatCode>_(* #,##0_);_(* \(#,##0\);_(* "-"??_);_(@_)</c:formatCode>
                <c:ptCount val="14"/>
                <c:pt idx="0">
                  <c:v>1.3089999999999999</c:v>
                </c:pt>
                <c:pt idx="1">
                  <c:v>7.0000000000000007E-2</c:v>
                </c:pt>
                <c:pt idx="2">
                  <c:v>7.0000000000000007E-2</c:v>
                </c:pt>
                <c:pt idx="3">
                  <c:v>3.415</c:v>
                </c:pt>
                <c:pt idx="4">
                  <c:v>0</c:v>
                </c:pt>
                <c:pt idx="5">
                  <c:v>769.89576462580646</c:v>
                </c:pt>
                <c:pt idx="6">
                  <c:v>2208.6000875</c:v>
                </c:pt>
                <c:pt idx="7">
                  <c:v>2514.7952019999998</c:v>
                </c:pt>
                <c:pt idx="8">
                  <c:v>2667.2615462270901</c:v>
                </c:pt>
                <c:pt idx="9">
                  <c:v>2663.3774603323213</c:v>
                </c:pt>
                <c:pt idx="10">
                  <c:v>2655.1407167277703</c:v>
                </c:pt>
                <c:pt idx="11">
                  <c:v>2643.0644825946565</c:v>
                </c:pt>
                <c:pt idx="12">
                  <c:v>2634.6167530033554</c:v>
                </c:pt>
                <c:pt idx="13">
                  <c:v>2626.1152043655479</c:v>
                </c:pt>
              </c:numCache>
            </c:numRef>
          </c:val>
          <c:extLst>
            <c:ext xmlns:c16="http://schemas.microsoft.com/office/drawing/2014/chart" uri="{C3380CC4-5D6E-409C-BE32-E72D297353CC}">
              <c16:uniqueId val="{00000001-9630-4A32-8BC2-35DF04DDD7F7}"/>
            </c:ext>
          </c:extLst>
        </c:ser>
        <c:ser>
          <c:idx val="2"/>
          <c:order val="2"/>
          <c:tx>
            <c:strRef>
              <c:f>'Aggregated ESP'!$F$81</c:f>
              <c:strCache>
                <c:ptCount val="1"/>
                <c:pt idx="0">
                  <c:v>Expiring Contracts</c:v>
                </c:pt>
              </c:strCache>
            </c:strRef>
          </c:tx>
          <c:spPr>
            <a:solidFill>
              <a:schemeClr val="accent3"/>
            </a:solidFill>
            <a:ln>
              <a:noFill/>
            </a:ln>
            <a:effectLst/>
          </c:spPr>
          <c:invertIfNegative val="0"/>
          <c:cat>
            <c:numRef>
              <c:f>'Aggregated ESP'!$G$78:$T$78</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ESP'!$G$81:$T$81</c:f>
              <c:numCache>
                <c:formatCode>_(* #,##0_);_(* \(#,##0\);_(* "-"??_);_(@_)</c:formatCode>
                <c:ptCount val="14"/>
                <c:pt idx="0">
                  <c:v>547.61099999999999</c:v>
                </c:pt>
                <c:pt idx="1">
                  <c:v>274.7115</c:v>
                </c:pt>
                <c:pt idx="2">
                  <c:v>753.07899999999995</c:v>
                </c:pt>
                <c:pt idx="3">
                  <c:v>911.11800000000005</c:v>
                </c:pt>
                <c:pt idx="4">
                  <c:v>391.72699999999998</c:v>
                </c:pt>
                <c:pt idx="5">
                  <c:v>305.85300000000001</c:v>
                </c:pt>
                <c:pt idx="6">
                  <c:v>590.49099999999999</c:v>
                </c:pt>
                <c:pt idx="7">
                  <c:v>576.30799999999999</c:v>
                </c:pt>
                <c:pt idx="8">
                  <c:v>586.31899999999996</c:v>
                </c:pt>
                <c:pt idx="9">
                  <c:v>578.255</c:v>
                </c:pt>
                <c:pt idx="10">
                  <c:v>555.23299999999995</c:v>
                </c:pt>
                <c:pt idx="11">
                  <c:v>568.23900000000003</c:v>
                </c:pt>
                <c:pt idx="12">
                  <c:v>581.14300000000003</c:v>
                </c:pt>
                <c:pt idx="13">
                  <c:v>595.79899999999998</c:v>
                </c:pt>
              </c:numCache>
            </c:numRef>
          </c:val>
          <c:extLst>
            <c:ext xmlns:c16="http://schemas.microsoft.com/office/drawing/2014/chart" uri="{C3380CC4-5D6E-409C-BE32-E72D297353CC}">
              <c16:uniqueId val="{00000002-9630-4A32-8BC2-35DF04DDD7F7}"/>
            </c:ext>
          </c:extLst>
        </c:ser>
        <c:dLbls>
          <c:showLegendKey val="0"/>
          <c:showVal val="0"/>
          <c:showCatName val="0"/>
          <c:showSerName val="0"/>
          <c:showPercent val="0"/>
          <c:showBubbleSize val="0"/>
        </c:dLbls>
        <c:gapWidth val="40"/>
        <c:overlap val="100"/>
        <c:axId val="1884243663"/>
        <c:axId val="1929997151"/>
      </c:barChart>
      <c:lineChart>
        <c:grouping val="standard"/>
        <c:varyColors val="0"/>
        <c:ser>
          <c:idx val="3"/>
          <c:order val="3"/>
          <c:tx>
            <c:strRef>
              <c:f>'Aggregated ESP'!$F$82</c:f>
              <c:strCache>
                <c:ptCount val="1"/>
                <c:pt idx="0">
                  <c:v>RPS Need</c:v>
                </c:pt>
              </c:strCache>
            </c:strRef>
          </c:tx>
          <c:spPr>
            <a:ln w="28575" cap="rnd">
              <a:solidFill>
                <a:schemeClr val="accent4"/>
              </a:solidFill>
              <a:round/>
            </a:ln>
            <a:effectLst/>
          </c:spPr>
          <c:marker>
            <c:symbol val="none"/>
          </c:marker>
          <c:cat>
            <c:numRef>
              <c:f>'Aggregated ESP'!$G$78:$T$78</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'Aggregated ESP'!$G$82:$T$82</c:f>
              <c:numCache>
                <c:formatCode>_(* #,##0_);_(* \(#,##0\);_(* "-"??_);_(@_)</c:formatCode>
                <c:ptCount val="14"/>
                <c:pt idx="0">
                  <c:v>6209.7900267726</c:v>
                </c:pt>
                <c:pt idx="1">
                  <c:v>6635.6989846353054</c:v>
                </c:pt>
                <c:pt idx="2">
                  <c:v>6931.7648467945291</c:v>
                </c:pt>
                <c:pt idx="3">
                  <c:v>6987.0153198544112</c:v>
                </c:pt>
                <c:pt idx="4">
                  <c:v>8242.9579080415733</c:v>
                </c:pt>
                <c:pt idx="5">
                  <c:v>9423.141269572443</c:v>
                </c:pt>
                <c:pt idx="6">
                  <c:v>9519.1575094671516</c:v>
                </c:pt>
                <c:pt idx="7">
                  <c:v>8510.1273300982939</c:v>
                </c:pt>
                <c:pt idx="8">
                  <c:v>8707.8591683474424</c:v>
                </c:pt>
                <c:pt idx="9">
                  <c:v>8614.2263272488381</c:v>
                </c:pt>
                <c:pt idx="10">
                  <c:v>9068.0301282979854</c:v>
                </c:pt>
                <c:pt idx="11">
                  <c:v>9511.796293247131</c:v>
                </c:pt>
                <c:pt idx="12">
                  <c:v>9972.6397687485296</c:v>
                </c:pt>
                <c:pt idx="13">
                  <c:v>10437.077686497674</c:v>
                </c:pt>
              </c:numCache>
            </c:numRef>
          </c:val>
          <c:smooth val="0"/>
          <c:extLst>
            <c:ext xmlns:c16="http://schemas.microsoft.com/office/drawing/2014/chart" uri="{C3380CC4-5D6E-409C-BE32-E72D297353CC}">
              <c16:uniqueId val="{00000003-9630-4A32-8BC2-35DF04DDD7F7}"/>
            </c:ext>
          </c:extLst>
        </c:ser>
        <c:dLbls>
          <c:showLegendKey val="0"/>
          <c:showVal val="0"/>
          <c:showCatName val="0"/>
          <c:showSerName val="0"/>
          <c:showPercent val="0"/>
          <c:showBubbleSize val="0"/>
        </c:dLbls>
        <c:marker val="1"/>
        <c:smooth val="0"/>
        <c:axId val="1884243663"/>
        <c:axId val="1929997151"/>
      </c:lineChart>
      <c:catAx>
        <c:axId val="188424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29997151"/>
        <c:crosses val="autoZero"/>
        <c:auto val="1"/>
        <c:lblAlgn val="ctr"/>
        <c:lblOffset val="100"/>
        <c:noMultiLvlLbl val="0"/>
      </c:catAx>
      <c:valAx>
        <c:axId val="1929997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 GWh</a:t>
                </a:r>
              </a:p>
            </c:rich>
          </c:tx>
          <c:layout>
            <c:manualLayout>
              <c:xMode val="edge"/>
              <c:yMode val="edge"/>
              <c:x val="1.5600624024960999E-2"/>
              <c:y val="0.424763779527559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4243663"/>
        <c:crosses val="autoZero"/>
        <c:crossBetween val="between"/>
      </c:valAx>
      <c:spPr>
        <a:noFill/>
        <a:ln>
          <a:noFill/>
        </a:ln>
        <a:effectLst/>
      </c:spPr>
    </c:plotArea>
    <c:legend>
      <c:legendPos val="b"/>
      <c:layout>
        <c:manualLayout>
          <c:xMode val="edge"/>
          <c:yMode val="edge"/>
          <c:x val="9.8524463288242811E-2"/>
          <c:y val="0.89825672742464291"/>
          <c:w val="0.87900395543380794"/>
          <c:h val="7.031299212598425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85</ap:Pages>
  <ap:Words>20181</ap:Words>
  <ap:Characters>115036</ap:Characters>
  <ap:Application>Microsoft Office Word</ap:Application>
  <ap:DocSecurity>0</ap:DocSecurity>
  <ap:Lines>958</ap:Lines>
  <ap:Paragraphs>269</ap:Paragraphs>
  <ap:ScaleCrop>false</ap:ScaleCrop>
  <ap:HeadingPairs>
    <vt:vector baseType="variant" size="4">
      <vt:variant>
        <vt:lpstr>Title</vt:lpstr>
      </vt:variant>
      <vt:variant>
        <vt:i4>1</vt:i4>
      </vt:variant>
      <vt:variant>
        <vt:lpstr>Headings</vt:lpstr>
      </vt:variant>
      <vt:variant>
        <vt:i4>54</vt:i4>
      </vt:variant>
    </vt:vector>
  </ap:HeadingPairs>
  <ap:TitlesOfParts>
    <vt:vector baseType="lpstr" size="55">
      <vt:lpstr/>
      <vt:lpstr>DECISION ON 2022 RENEWABLES PORTFOLIO STANDARD PROCUREMENT PLANS</vt:lpstr>
      <vt:lpstr/>
      <vt:lpstr>Summary</vt:lpstr>
      <vt:lpstr>Background</vt:lpstr>
      <vt:lpstr>Issues Before the Commission</vt:lpstr>
      <vt:lpstr>Organization of the Decision</vt:lpstr>
      <vt:lpstr>Assessment of RPS Portfolio Supplies and Demand</vt:lpstr>
      <vt:lpstr>    Long-Term Procurement</vt:lpstr>
      <vt:lpstr>    Portfolio Diversity and Reliability</vt:lpstr>
      <vt:lpstr>IOUs’ 2022 RPS Plans</vt:lpstr>
      <vt:lpstr>    Comments and Reply Regarding RPS Plans</vt:lpstr>
      <vt:lpstr>    PG&amp;E’s Draft 2022 RPS Plan</vt:lpstr>
      <vt:lpstr>        PG&amp;E’s Bank Usage to Meet Compliance through 2028 and Procurement Needs</vt:lpstr>
      <vt:lpstr>        PG&amp;E’s RPS Sales Framework – Sale of RPS Volumes</vt:lpstr>
      <vt:lpstr>        RFI for Contract Assignments and Contract Modifications. </vt:lpstr>
      <vt:lpstr>        PG&amp;E’s Proposals to Modify its Procurement Pro Forma Agreements </vt:lpstr>
      <vt:lpstr>    SCE’s Draft 2022 RPS Plan</vt:lpstr>
      <vt:lpstr>        SCE’s Forecasted Short RPS Position and Proposed Procurement Solicitation</vt:lpstr>
      <vt:lpstr>        SCE’s Plan to Sell RPS Volumes </vt:lpstr>
      <vt:lpstr>        RFI for Contract Assignments and Contract Modifications </vt:lpstr>
      <vt:lpstr>        SCE’s Proposal to Modify its Pro Forma Power Purchase Agreement</vt:lpstr>
      <vt:lpstr>    SDG&amp;E’ Draft 2022 RPS Plan</vt:lpstr>
      <vt:lpstr>        Request to Procure RPS Eligible Resources</vt:lpstr>
      <vt:lpstr>        RPS Sales Framework </vt:lpstr>
      <vt:lpstr>        RFI for Contract Assignments and Contract Modifications</vt:lpstr>
      <vt:lpstr>    Other Issues</vt:lpstr>
      <vt:lpstr>SMJUs</vt:lpstr>
      <vt:lpstr>    BVES’ Draft 2022 RPS Plan</vt:lpstr>
      <vt:lpstr>        BVES’ Portfolio Supply and Demand, Long-Term Procurement, and Risk Assessment</vt:lpstr>
      <vt:lpstr>        BVES’ Transportation Electrification Forecast</vt:lpstr>
      <vt:lpstr>        BVES’ Implementation of SB 255</vt:lpstr>
      <vt:lpstr>    Liberty’s Draft 2022 RPS Plan</vt:lpstr>
      <vt:lpstr>        Liberty’s Long-Term Contracting</vt:lpstr>
      <vt:lpstr>        Liberty to Describe Its VMOP </vt:lpstr>
      <vt:lpstr>        Liberty to Provide a Compliance Risk Severity Analysis </vt:lpstr>
      <vt:lpstr>        Liberty’s Transportation Electrification Forecast</vt:lpstr>
      <vt:lpstr>        Liberty’s Project Development Status Update Template</vt:lpstr>
      <vt:lpstr>        Liberty’s SB 255 Implementation</vt:lpstr>
      <vt:lpstr>    PacifiCorp’s Draft 2022 RPS Plan</vt:lpstr>
      <vt:lpstr>        PacifiCorp’s Compliance Planning, Long-Term Compliance, and Potential Compliance</vt:lpstr>
      <vt:lpstr>        Procurement Quantity Requirement for CP 4</vt:lpstr>
      <vt:lpstr>        Issues Related to SB 255 and Transportation Electrification Forecast</vt:lpstr>
      <vt:lpstr>        PacifiCorp’s Risk Assessment and MMoP</vt:lpstr>
      <vt:lpstr>CCAs and ESPs</vt:lpstr>
      <vt:lpstr>    CCAs Need to Procure</vt:lpstr>
      <vt:lpstr>    ESPs Need to Procure</vt:lpstr>
      <vt:lpstr>    CCA- and ESP-Related Issues to Address in the Final 2022 RPS Plans </vt:lpstr>
      <vt:lpstr>        Project Development Status Update</vt:lpstr>
      <vt:lpstr>        Risk Assessment and Potential Compliance Delay</vt:lpstr>
      <vt:lpstr>        MMoP</vt:lpstr>
      <vt:lpstr>        Safety Considerations</vt:lpstr>
      <vt:lpstr>        Curtailment Frequency, Forecasting, Costs</vt:lpstr>
      <vt:lpstr>        Renewable Net Short Calculations</vt:lpstr>
      <vt:lpstr>        Supplier Diversity</vt:lpstr>
    </vt:vector>
  </ap:TitlesOfParts>
  <ap:Company/>
  <ap:LinksUpToDate>false</ap:LinksUpToDate>
  <ap:CharactersWithSpaces>134948</ap:CharactersWithSpaces>
  <ap:SharedDoc>false</ap:SharedDoc>
  <ap:HLinks>
    <vt:vector baseType="variant" size="366">
      <vt:variant>
        <vt:i4>1835058</vt:i4>
      </vt:variant>
      <vt:variant>
        <vt:i4>356</vt:i4>
      </vt:variant>
      <vt:variant>
        <vt:i4>0</vt:i4>
      </vt:variant>
      <vt:variant>
        <vt:i4>5</vt:i4>
      </vt:variant>
      <vt:variant>
        <vt:lpwstr/>
      </vt:variant>
      <vt:variant>
        <vt:lpwstr>_Toc118894261</vt:lpwstr>
      </vt:variant>
      <vt:variant>
        <vt:i4>1835058</vt:i4>
      </vt:variant>
      <vt:variant>
        <vt:i4>350</vt:i4>
      </vt:variant>
      <vt:variant>
        <vt:i4>0</vt:i4>
      </vt:variant>
      <vt:variant>
        <vt:i4>5</vt:i4>
      </vt:variant>
      <vt:variant>
        <vt:lpwstr/>
      </vt:variant>
      <vt:variant>
        <vt:lpwstr>_Toc118894260</vt:lpwstr>
      </vt:variant>
      <vt:variant>
        <vt:i4>2031666</vt:i4>
      </vt:variant>
      <vt:variant>
        <vt:i4>344</vt:i4>
      </vt:variant>
      <vt:variant>
        <vt:i4>0</vt:i4>
      </vt:variant>
      <vt:variant>
        <vt:i4>5</vt:i4>
      </vt:variant>
      <vt:variant>
        <vt:lpwstr/>
      </vt:variant>
      <vt:variant>
        <vt:lpwstr>_Toc118894259</vt:lpwstr>
      </vt:variant>
      <vt:variant>
        <vt:i4>2031666</vt:i4>
      </vt:variant>
      <vt:variant>
        <vt:i4>338</vt:i4>
      </vt:variant>
      <vt:variant>
        <vt:i4>0</vt:i4>
      </vt:variant>
      <vt:variant>
        <vt:i4>5</vt:i4>
      </vt:variant>
      <vt:variant>
        <vt:lpwstr/>
      </vt:variant>
      <vt:variant>
        <vt:lpwstr>_Toc118894258</vt:lpwstr>
      </vt:variant>
      <vt:variant>
        <vt:i4>2031666</vt:i4>
      </vt:variant>
      <vt:variant>
        <vt:i4>332</vt:i4>
      </vt:variant>
      <vt:variant>
        <vt:i4>0</vt:i4>
      </vt:variant>
      <vt:variant>
        <vt:i4>5</vt:i4>
      </vt:variant>
      <vt:variant>
        <vt:lpwstr/>
      </vt:variant>
      <vt:variant>
        <vt:lpwstr>_Toc118894257</vt:lpwstr>
      </vt:variant>
      <vt:variant>
        <vt:i4>2031666</vt:i4>
      </vt:variant>
      <vt:variant>
        <vt:i4>326</vt:i4>
      </vt:variant>
      <vt:variant>
        <vt:i4>0</vt:i4>
      </vt:variant>
      <vt:variant>
        <vt:i4>5</vt:i4>
      </vt:variant>
      <vt:variant>
        <vt:lpwstr/>
      </vt:variant>
      <vt:variant>
        <vt:lpwstr>_Toc118894256</vt:lpwstr>
      </vt:variant>
      <vt:variant>
        <vt:i4>2031666</vt:i4>
      </vt:variant>
      <vt:variant>
        <vt:i4>320</vt:i4>
      </vt:variant>
      <vt:variant>
        <vt:i4>0</vt:i4>
      </vt:variant>
      <vt:variant>
        <vt:i4>5</vt:i4>
      </vt:variant>
      <vt:variant>
        <vt:lpwstr/>
      </vt:variant>
      <vt:variant>
        <vt:lpwstr>_Toc118894255</vt:lpwstr>
      </vt:variant>
      <vt:variant>
        <vt:i4>2031666</vt:i4>
      </vt:variant>
      <vt:variant>
        <vt:i4>314</vt:i4>
      </vt:variant>
      <vt:variant>
        <vt:i4>0</vt:i4>
      </vt:variant>
      <vt:variant>
        <vt:i4>5</vt:i4>
      </vt:variant>
      <vt:variant>
        <vt:lpwstr/>
      </vt:variant>
      <vt:variant>
        <vt:lpwstr>_Toc118894254</vt:lpwstr>
      </vt:variant>
      <vt:variant>
        <vt:i4>2031666</vt:i4>
      </vt:variant>
      <vt:variant>
        <vt:i4>308</vt:i4>
      </vt:variant>
      <vt:variant>
        <vt:i4>0</vt:i4>
      </vt:variant>
      <vt:variant>
        <vt:i4>5</vt:i4>
      </vt:variant>
      <vt:variant>
        <vt:lpwstr/>
      </vt:variant>
      <vt:variant>
        <vt:lpwstr>_Toc118894253</vt:lpwstr>
      </vt:variant>
      <vt:variant>
        <vt:i4>2031666</vt:i4>
      </vt:variant>
      <vt:variant>
        <vt:i4>302</vt:i4>
      </vt:variant>
      <vt:variant>
        <vt:i4>0</vt:i4>
      </vt:variant>
      <vt:variant>
        <vt:i4>5</vt:i4>
      </vt:variant>
      <vt:variant>
        <vt:lpwstr/>
      </vt:variant>
      <vt:variant>
        <vt:lpwstr>_Toc118894252</vt:lpwstr>
      </vt:variant>
      <vt:variant>
        <vt:i4>2031666</vt:i4>
      </vt:variant>
      <vt:variant>
        <vt:i4>296</vt:i4>
      </vt:variant>
      <vt:variant>
        <vt:i4>0</vt:i4>
      </vt:variant>
      <vt:variant>
        <vt:i4>5</vt:i4>
      </vt:variant>
      <vt:variant>
        <vt:lpwstr/>
      </vt:variant>
      <vt:variant>
        <vt:lpwstr>_Toc118894251</vt:lpwstr>
      </vt:variant>
      <vt:variant>
        <vt:i4>2031666</vt:i4>
      </vt:variant>
      <vt:variant>
        <vt:i4>290</vt:i4>
      </vt:variant>
      <vt:variant>
        <vt:i4>0</vt:i4>
      </vt:variant>
      <vt:variant>
        <vt:i4>5</vt:i4>
      </vt:variant>
      <vt:variant>
        <vt:lpwstr/>
      </vt:variant>
      <vt:variant>
        <vt:lpwstr>_Toc118894250</vt:lpwstr>
      </vt:variant>
      <vt:variant>
        <vt:i4>1966130</vt:i4>
      </vt:variant>
      <vt:variant>
        <vt:i4>284</vt:i4>
      </vt:variant>
      <vt:variant>
        <vt:i4>0</vt:i4>
      </vt:variant>
      <vt:variant>
        <vt:i4>5</vt:i4>
      </vt:variant>
      <vt:variant>
        <vt:lpwstr/>
      </vt:variant>
      <vt:variant>
        <vt:lpwstr>_Toc118894249</vt:lpwstr>
      </vt:variant>
      <vt:variant>
        <vt:i4>1966130</vt:i4>
      </vt:variant>
      <vt:variant>
        <vt:i4>278</vt:i4>
      </vt:variant>
      <vt:variant>
        <vt:i4>0</vt:i4>
      </vt:variant>
      <vt:variant>
        <vt:i4>5</vt:i4>
      </vt:variant>
      <vt:variant>
        <vt:lpwstr/>
      </vt:variant>
      <vt:variant>
        <vt:lpwstr>_Toc118894248</vt:lpwstr>
      </vt:variant>
      <vt:variant>
        <vt:i4>1966130</vt:i4>
      </vt:variant>
      <vt:variant>
        <vt:i4>272</vt:i4>
      </vt:variant>
      <vt:variant>
        <vt:i4>0</vt:i4>
      </vt:variant>
      <vt:variant>
        <vt:i4>5</vt:i4>
      </vt:variant>
      <vt:variant>
        <vt:lpwstr/>
      </vt:variant>
      <vt:variant>
        <vt:lpwstr>_Toc118894247</vt:lpwstr>
      </vt:variant>
      <vt:variant>
        <vt:i4>1966130</vt:i4>
      </vt:variant>
      <vt:variant>
        <vt:i4>266</vt:i4>
      </vt:variant>
      <vt:variant>
        <vt:i4>0</vt:i4>
      </vt:variant>
      <vt:variant>
        <vt:i4>5</vt:i4>
      </vt:variant>
      <vt:variant>
        <vt:lpwstr/>
      </vt:variant>
      <vt:variant>
        <vt:lpwstr>_Toc118894246</vt:lpwstr>
      </vt:variant>
      <vt:variant>
        <vt:i4>1966130</vt:i4>
      </vt:variant>
      <vt:variant>
        <vt:i4>260</vt:i4>
      </vt:variant>
      <vt:variant>
        <vt:i4>0</vt:i4>
      </vt:variant>
      <vt:variant>
        <vt:i4>5</vt:i4>
      </vt:variant>
      <vt:variant>
        <vt:lpwstr/>
      </vt:variant>
      <vt:variant>
        <vt:lpwstr>_Toc118894245</vt:lpwstr>
      </vt:variant>
      <vt:variant>
        <vt:i4>1966130</vt:i4>
      </vt:variant>
      <vt:variant>
        <vt:i4>254</vt:i4>
      </vt:variant>
      <vt:variant>
        <vt:i4>0</vt:i4>
      </vt:variant>
      <vt:variant>
        <vt:i4>5</vt:i4>
      </vt:variant>
      <vt:variant>
        <vt:lpwstr/>
      </vt:variant>
      <vt:variant>
        <vt:lpwstr>_Toc118894244</vt:lpwstr>
      </vt:variant>
      <vt:variant>
        <vt:i4>1966130</vt:i4>
      </vt:variant>
      <vt:variant>
        <vt:i4>248</vt:i4>
      </vt:variant>
      <vt:variant>
        <vt:i4>0</vt:i4>
      </vt:variant>
      <vt:variant>
        <vt:i4>5</vt:i4>
      </vt:variant>
      <vt:variant>
        <vt:lpwstr/>
      </vt:variant>
      <vt:variant>
        <vt:lpwstr>_Toc118894243</vt:lpwstr>
      </vt:variant>
      <vt:variant>
        <vt:i4>1966130</vt:i4>
      </vt:variant>
      <vt:variant>
        <vt:i4>242</vt:i4>
      </vt:variant>
      <vt:variant>
        <vt:i4>0</vt:i4>
      </vt:variant>
      <vt:variant>
        <vt:i4>5</vt:i4>
      </vt:variant>
      <vt:variant>
        <vt:lpwstr/>
      </vt:variant>
      <vt:variant>
        <vt:lpwstr>_Toc118894242</vt:lpwstr>
      </vt:variant>
      <vt:variant>
        <vt:i4>1966130</vt:i4>
      </vt:variant>
      <vt:variant>
        <vt:i4>236</vt:i4>
      </vt:variant>
      <vt:variant>
        <vt:i4>0</vt:i4>
      </vt:variant>
      <vt:variant>
        <vt:i4>5</vt:i4>
      </vt:variant>
      <vt:variant>
        <vt:lpwstr/>
      </vt:variant>
      <vt:variant>
        <vt:lpwstr>_Toc118894241</vt:lpwstr>
      </vt:variant>
      <vt:variant>
        <vt:i4>1966130</vt:i4>
      </vt:variant>
      <vt:variant>
        <vt:i4>230</vt:i4>
      </vt:variant>
      <vt:variant>
        <vt:i4>0</vt:i4>
      </vt:variant>
      <vt:variant>
        <vt:i4>5</vt:i4>
      </vt:variant>
      <vt:variant>
        <vt:lpwstr/>
      </vt:variant>
      <vt:variant>
        <vt:lpwstr>_Toc118894240</vt:lpwstr>
      </vt:variant>
      <vt:variant>
        <vt:i4>1638450</vt:i4>
      </vt:variant>
      <vt:variant>
        <vt:i4>224</vt:i4>
      </vt:variant>
      <vt:variant>
        <vt:i4>0</vt:i4>
      </vt:variant>
      <vt:variant>
        <vt:i4>5</vt:i4>
      </vt:variant>
      <vt:variant>
        <vt:lpwstr/>
      </vt:variant>
      <vt:variant>
        <vt:lpwstr>_Toc118894239</vt:lpwstr>
      </vt:variant>
      <vt:variant>
        <vt:i4>1638450</vt:i4>
      </vt:variant>
      <vt:variant>
        <vt:i4>218</vt:i4>
      </vt:variant>
      <vt:variant>
        <vt:i4>0</vt:i4>
      </vt:variant>
      <vt:variant>
        <vt:i4>5</vt:i4>
      </vt:variant>
      <vt:variant>
        <vt:lpwstr/>
      </vt:variant>
      <vt:variant>
        <vt:lpwstr>_Toc118894238</vt:lpwstr>
      </vt:variant>
      <vt:variant>
        <vt:i4>1638450</vt:i4>
      </vt:variant>
      <vt:variant>
        <vt:i4>212</vt:i4>
      </vt:variant>
      <vt:variant>
        <vt:i4>0</vt:i4>
      </vt:variant>
      <vt:variant>
        <vt:i4>5</vt:i4>
      </vt:variant>
      <vt:variant>
        <vt:lpwstr/>
      </vt:variant>
      <vt:variant>
        <vt:lpwstr>_Toc118894237</vt:lpwstr>
      </vt:variant>
      <vt:variant>
        <vt:i4>1638450</vt:i4>
      </vt:variant>
      <vt:variant>
        <vt:i4>206</vt:i4>
      </vt:variant>
      <vt:variant>
        <vt:i4>0</vt:i4>
      </vt:variant>
      <vt:variant>
        <vt:i4>5</vt:i4>
      </vt:variant>
      <vt:variant>
        <vt:lpwstr/>
      </vt:variant>
      <vt:variant>
        <vt:lpwstr>_Toc118894236</vt:lpwstr>
      </vt:variant>
      <vt:variant>
        <vt:i4>1638450</vt:i4>
      </vt:variant>
      <vt:variant>
        <vt:i4>200</vt:i4>
      </vt:variant>
      <vt:variant>
        <vt:i4>0</vt:i4>
      </vt:variant>
      <vt:variant>
        <vt:i4>5</vt:i4>
      </vt:variant>
      <vt:variant>
        <vt:lpwstr/>
      </vt:variant>
      <vt:variant>
        <vt:lpwstr>_Toc118894235</vt:lpwstr>
      </vt:variant>
      <vt:variant>
        <vt:i4>1638450</vt:i4>
      </vt:variant>
      <vt:variant>
        <vt:i4>194</vt:i4>
      </vt:variant>
      <vt:variant>
        <vt:i4>0</vt:i4>
      </vt:variant>
      <vt:variant>
        <vt:i4>5</vt:i4>
      </vt:variant>
      <vt:variant>
        <vt:lpwstr/>
      </vt:variant>
      <vt:variant>
        <vt:lpwstr>_Toc118894234</vt:lpwstr>
      </vt:variant>
      <vt:variant>
        <vt:i4>1638450</vt:i4>
      </vt:variant>
      <vt:variant>
        <vt:i4>188</vt:i4>
      </vt:variant>
      <vt:variant>
        <vt:i4>0</vt:i4>
      </vt:variant>
      <vt:variant>
        <vt:i4>5</vt:i4>
      </vt:variant>
      <vt:variant>
        <vt:lpwstr/>
      </vt:variant>
      <vt:variant>
        <vt:lpwstr>_Toc118894233</vt:lpwstr>
      </vt:variant>
      <vt:variant>
        <vt:i4>1638450</vt:i4>
      </vt:variant>
      <vt:variant>
        <vt:i4>182</vt:i4>
      </vt:variant>
      <vt:variant>
        <vt:i4>0</vt:i4>
      </vt:variant>
      <vt:variant>
        <vt:i4>5</vt:i4>
      </vt:variant>
      <vt:variant>
        <vt:lpwstr/>
      </vt:variant>
      <vt:variant>
        <vt:lpwstr>_Toc118894232</vt:lpwstr>
      </vt:variant>
      <vt:variant>
        <vt:i4>1638450</vt:i4>
      </vt:variant>
      <vt:variant>
        <vt:i4>176</vt:i4>
      </vt:variant>
      <vt:variant>
        <vt:i4>0</vt:i4>
      </vt:variant>
      <vt:variant>
        <vt:i4>5</vt:i4>
      </vt:variant>
      <vt:variant>
        <vt:lpwstr/>
      </vt:variant>
      <vt:variant>
        <vt:lpwstr>_Toc118894231</vt:lpwstr>
      </vt:variant>
      <vt:variant>
        <vt:i4>1638450</vt:i4>
      </vt:variant>
      <vt:variant>
        <vt:i4>170</vt:i4>
      </vt:variant>
      <vt:variant>
        <vt:i4>0</vt:i4>
      </vt:variant>
      <vt:variant>
        <vt:i4>5</vt:i4>
      </vt:variant>
      <vt:variant>
        <vt:lpwstr/>
      </vt:variant>
      <vt:variant>
        <vt:lpwstr>_Toc118894230</vt:lpwstr>
      </vt:variant>
      <vt:variant>
        <vt:i4>1572914</vt:i4>
      </vt:variant>
      <vt:variant>
        <vt:i4>164</vt:i4>
      </vt:variant>
      <vt:variant>
        <vt:i4>0</vt:i4>
      </vt:variant>
      <vt:variant>
        <vt:i4>5</vt:i4>
      </vt:variant>
      <vt:variant>
        <vt:lpwstr/>
      </vt:variant>
      <vt:variant>
        <vt:lpwstr>_Toc118894229</vt:lpwstr>
      </vt:variant>
      <vt:variant>
        <vt:i4>1572914</vt:i4>
      </vt:variant>
      <vt:variant>
        <vt:i4>158</vt:i4>
      </vt:variant>
      <vt:variant>
        <vt:i4>0</vt:i4>
      </vt:variant>
      <vt:variant>
        <vt:i4>5</vt:i4>
      </vt:variant>
      <vt:variant>
        <vt:lpwstr/>
      </vt:variant>
      <vt:variant>
        <vt:lpwstr>_Toc118894228</vt:lpwstr>
      </vt:variant>
      <vt:variant>
        <vt:i4>1572914</vt:i4>
      </vt:variant>
      <vt:variant>
        <vt:i4>152</vt:i4>
      </vt:variant>
      <vt:variant>
        <vt:i4>0</vt:i4>
      </vt:variant>
      <vt:variant>
        <vt:i4>5</vt:i4>
      </vt:variant>
      <vt:variant>
        <vt:lpwstr/>
      </vt:variant>
      <vt:variant>
        <vt:lpwstr>_Toc118894227</vt:lpwstr>
      </vt:variant>
      <vt:variant>
        <vt:i4>1572914</vt:i4>
      </vt:variant>
      <vt:variant>
        <vt:i4>146</vt:i4>
      </vt:variant>
      <vt:variant>
        <vt:i4>0</vt:i4>
      </vt:variant>
      <vt:variant>
        <vt:i4>5</vt:i4>
      </vt:variant>
      <vt:variant>
        <vt:lpwstr/>
      </vt:variant>
      <vt:variant>
        <vt:lpwstr>_Toc118894226</vt:lpwstr>
      </vt:variant>
      <vt:variant>
        <vt:i4>1572914</vt:i4>
      </vt:variant>
      <vt:variant>
        <vt:i4>140</vt:i4>
      </vt:variant>
      <vt:variant>
        <vt:i4>0</vt:i4>
      </vt:variant>
      <vt:variant>
        <vt:i4>5</vt:i4>
      </vt:variant>
      <vt:variant>
        <vt:lpwstr/>
      </vt:variant>
      <vt:variant>
        <vt:lpwstr>_Toc118894225</vt:lpwstr>
      </vt:variant>
      <vt:variant>
        <vt:i4>1572914</vt:i4>
      </vt:variant>
      <vt:variant>
        <vt:i4>134</vt:i4>
      </vt:variant>
      <vt:variant>
        <vt:i4>0</vt:i4>
      </vt:variant>
      <vt:variant>
        <vt:i4>5</vt:i4>
      </vt:variant>
      <vt:variant>
        <vt:lpwstr/>
      </vt:variant>
      <vt:variant>
        <vt:lpwstr>_Toc118894224</vt:lpwstr>
      </vt:variant>
      <vt:variant>
        <vt:i4>1572914</vt:i4>
      </vt:variant>
      <vt:variant>
        <vt:i4>128</vt:i4>
      </vt:variant>
      <vt:variant>
        <vt:i4>0</vt:i4>
      </vt:variant>
      <vt:variant>
        <vt:i4>5</vt:i4>
      </vt:variant>
      <vt:variant>
        <vt:lpwstr/>
      </vt:variant>
      <vt:variant>
        <vt:lpwstr>_Toc118894223</vt:lpwstr>
      </vt:variant>
      <vt:variant>
        <vt:i4>1572914</vt:i4>
      </vt:variant>
      <vt:variant>
        <vt:i4>122</vt:i4>
      </vt:variant>
      <vt:variant>
        <vt:i4>0</vt:i4>
      </vt:variant>
      <vt:variant>
        <vt:i4>5</vt:i4>
      </vt:variant>
      <vt:variant>
        <vt:lpwstr/>
      </vt:variant>
      <vt:variant>
        <vt:lpwstr>_Toc118894222</vt:lpwstr>
      </vt:variant>
      <vt:variant>
        <vt:i4>1572914</vt:i4>
      </vt:variant>
      <vt:variant>
        <vt:i4>116</vt:i4>
      </vt:variant>
      <vt:variant>
        <vt:i4>0</vt:i4>
      </vt:variant>
      <vt:variant>
        <vt:i4>5</vt:i4>
      </vt:variant>
      <vt:variant>
        <vt:lpwstr/>
      </vt:variant>
      <vt:variant>
        <vt:lpwstr>_Toc118894221</vt:lpwstr>
      </vt:variant>
      <vt:variant>
        <vt:i4>1572914</vt:i4>
      </vt:variant>
      <vt:variant>
        <vt:i4>110</vt:i4>
      </vt:variant>
      <vt:variant>
        <vt:i4>0</vt:i4>
      </vt:variant>
      <vt:variant>
        <vt:i4>5</vt:i4>
      </vt:variant>
      <vt:variant>
        <vt:lpwstr/>
      </vt:variant>
      <vt:variant>
        <vt:lpwstr>_Toc118894220</vt:lpwstr>
      </vt:variant>
      <vt:variant>
        <vt:i4>1769522</vt:i4>
      </vt:variant>
      <vt:variant>
        <vt:i4>104</vt:i4>
      </vt:variant>
      <vt:variant>
        <vt:i4>0</vt:i4>
      </vt:variant>
      <vt:variant>
        <vt:i4>5</vt:i4>
      </vt:variant>
      <vt:variant>
        <vt:lpwstr/>
      </vt:variant>
      <vt:variant>
        <vt:lpwstr>_Toc118894219</vt:lpwstr>
      </vt:variant>
      <vt:variant>
        <vt:i4>1769522</vt:i4>
      </vt:variant>
      <vt:variant>
        <vt:i4>98</vt:i4>
      </vt:variant>
      <vt:variant>
        <vt:i4>0</vt:i4>
      </vt:variant>
      <vt:variant>
        <vt:i4>5</vt:i4>
      </vt:variant>
      <vt:variant>
        <vt:lpwstr/>
      </vt:variant>
      <vt:variant>
        <vt:lpwstr>_Toc118894218</vt:lpwstr>
      </vt:variant>
      <vt:variant>
        <vt:i4>1769522</vt:i4>
      </vt:variant>
      <vt:variant>
        <vt:i4>92</vt:i4>
      </vt:variant>
      <vt:variant>
        <vt:i4>0</vt:i4>
      </vt:variant>
      <vt:variant>
        <vt:i4>5</vt:i4>
      </vt:variant>
      <vt:variant>
        <vt:lpwstr/>
      </vt:variant>
      <vt:variant>
        <vt:lpwstr>_Toc118894217</vt:lpwstr>
      </vt:variant>
      <vt:variant>
        <vt:i4>1769522</vt:i4>
      </vt:variant>
      <vt:variant>
        <vt:i4>86</vt:i4>
      </vt:variant>
      <vt:variant>
        <vt:i4>0</vt:i4>
      </vt:variant>
      <vt:variant>
        <vt:i4>5</vt:i4>
      </vt:variant>
      <vt:variant>
        <vt:lpwstr/>
      </vt:variant>
      <vt:variant>
        <vt:lpwstr>_Toc118894216</vt:lpwstr>
      </vt:variant>
      <vt:variant>
        <vt:i4>1769522</vt:i4>
      </vt:variant>
      <vt:variant>
        <vt:i4>80</vt:i4>
      </vt:variant>
      <vt:variant>
        <vt:i4>0</vt:i4>
      </vt:variant>
      <vt:variant>
        <vt:i4>5</vt:i4>
      </vt:variant>
      <vt:variant>
        <vt:lpwstr/>
      </vt:variant>
      <vt:variant>
        <vt:lpwstr>_Toc118894215</vt:lpwstr>
      </vt:variant>
      <vt:variant>
        <vt:i4>1769522</vt:i4>
      </vt:variant>
      <vt:variant>
        <vt:i4>74</vt:i4>
      </vt:variant>
      <vt:variant>
        <vt:i4>0</vt:i4>
      </vt:variant>
      <vt:variant>
        <vt:i4>5</vt:i4>
      </vt:variant>
      <vt:variant>
        <vt:lpwstr/>
      </vt:variant>
      <vt:variant>
        <vt:lpwstr>_Toc118894214</vt:lpwstr>
      </vt:variant>
      <vt:variant>
        <vt:i4>1769522</vt:i4>
      </vt:variant>
      <vt:variant>
        <vt:i4>68</vt:i4>
      </vt:variant>
      <vt:variant>
        <vt:i4>0</vt:i4>
      </vt:variant>
      <vt:variant>
        <vt:i4>5</vt:i4>
      </vt:variant>
      <vt:variant>
        <vt:lpwstr/>
      </vt:variant>
      <vt:variant>
        <vt:lpwstr>_Toc118894213</vt:lpwstr>
      </vt:variant>
      <vt:variant>
        <vt:i4>1769522</vt:i4>
      </vt:variant>
      <vt:variant>
        <vt:i4>62</vt:i4>
      </vt:variant>
      <vt:variant>
        <vt:i4>0</vt:i4>
      </vt:variant>
      <vt:variant>
        <vt:i4>5</vt:i4>
      </vt:variant>
      <vt:variant>
        <vt:lpwstr/>
      </vt:variant>
      <vt:variant>
        <vt:lpwstr>_Toc118894212</vt:lpwstr>
      </vt:variant>
      <vt:variant>
        <vt:i4>1769522</vt:i4>
      </vt:variant>
      <vt:variant>
        <vt:i4>56</vt:i4>
      </vt:variant>
      <vt:variant>
        <vt:i4>0</vt:i4>
      </vt:variant>
      <vt:variant>
        <vt:i4>5</vt:i4>
      </vt:variant>
      <vt:variant>
        <vt:lpwstr/>
      </vt:variant>
      <vt:variant>
        <vt:lpwstr>_Toc118894211</vt:lpwstr>
      </vt:variant>
      <vt:variant>
        <vt:i4>1769522</vt:i4>
      </vt:variant>
      <vt:variant>
        <vt:i4>50</vt:i4>
      </vt:variant>
      <vt:variant>
        <vt:i4>0</vt:i4>
      </vt:variant>
      <vt:variant>
        <vt:i4>5</vt:i4>
      </vt:variant>
      <vt:variant>
        <vt:lpwstr/>
      </vt:variant>
      <vt:variant>
        <vt:lpwstr>_Toc118894210</vt:lpwstr>
      </vt:variant>
      <vt:variant>
        <vt:i4>1703986</vt:i4>
      </vt:variant>
      <vt:variant>
        <vt:i4>44</vt:i4>
      </vt:variant>
      <vt:variant>
        <vt:i4>0</vt:i4>
      </vt:variant>
      <vt:variant>
        <vt:i4>5</vt:i4>
      </vt:variant>
      <vt:variant>
        <vt:lpwstr/>
      </vt:variant>
      <vt:variant>
        <vt:lpwstr>_Toc118894209</vt:lpwstr>
      </vt:variant>
      <vt:variant>
        <vt:i4>1703986</vt:i4>
      </vt:variant>
      <vt:variant>
        <vt:i4>38</vt:i4>
      </vt:variant>
      <vt:variant>
        <vt:i4>0</vt:i4>
      </vt:variant>
      <vt:variant>
        <vt:i4>5</vt:i4>
      </vt:variant>
      <vt:variant>
        <vt:lpwstr/>
      </vt:variant>
      <vt:variant>
        <vt:lpwstr>_Toc118894208</vt:lpwstr>
      </vt:variant>
      <vt:variant>
        <vt:i4>1703986</vt:i4>
      </vt:variant>
      <vt:variant>
        <vt:i4>32</vt:i4>
      </vt:variant>
      <vt:variant>
        <vt:i4>0</vt:i4>
      </vt:variant>
      <vt:variant>
        <vt:i4>5</vt:i4>
      </vt:variant>
      <vt:variant>
        <vt:lpwstr/>
      </vt:variant>
      <vt:variant>
        <vt:lpwstr>_Toc118894207</vt:lpwstr>
      </vt:variant>
      <vt:variant>
        <vt:i4>1703986</vt:i4>
      </vt:variant>
      <vt:variant>
        <vt:i4>26</vt:i4>
      </vt:variant>
      <vt:variant>
        <vt:i4>0</vt:i4>
      </vt:variant>
      <vt:variant>
        <vt:i4>5</vt:i4>
      </vt:variant>
      <vt:variant>
        <vt:lpwstr/>
      </vt:variant>
      <vt:variant>
        <vt:lpwstr>_Toc118894206</vt:lpwstr>
      </vt:variant>
      <vt:variant>
        <vt:i4>1703986</vt:i4>
      </vt:variant>
      <vt:variant>
        <vt:i4>20</vt:i4>
      </vt:variant>
      <vt:variant>
        <vt:i4>0</vt:i4>
      </vt:variant>
      <vt:variant>
        <vt:i4>5</vt:i4>
      </vt:variant>
      <vt:variant>
        <vt:lpwstr/>
      </vt:variant>
      <vt:variant>
        <vt:lpwstr>_Toc118894205</vt:lpwstr>
      </vt:variant>
      <vt:variant>
        <vt:i4>1703986</vt:i4>
      </vt:variant>
      <vt:variant>
        <vt:i4>14</vt:i4>
      </vt:variant>
      <vt:variant>
        <vt:i4>0</vt:i4>
      </vt:variant>
      <vt:variant>
        <vt:i4>5</vt:i4>
      </vt:variant>
      <vt:variant>
        <vt:lpwstr/>
      </vt:variant>
      <vt:variant>
        <vt:lpwstr>_Toc118894204</vt:lpwstr>
      </vt:variant>
      <vt:variant>
        <vt:i4>1703986</vt:i4>
      </vt:variant>
      <vt:variant>
        <vt:i4>8</vt:i4>
      </vt:variant>
      <vt:variant>
        <vt:i4>0</vt:i4>
      </vt:variant>
      <vt:variant>
        <vt:i4>5</vt:i4>
      </vt:variant>
      <vt:variant>
        <vt:lpwstr/>
      </vt:variant>
      <vt:variant>
        <vt:lpwstr>_Toc118894203</vt:lpwstr>
      </vt:variant>
      <vt:variant>
        <vt:i4>1703986</vt:i4>
      </vt:variant>
      <vt:variant>
        <vt:i4>2</vt:i4>
      </vt:variant>
      <vt:variant>
        <vt:i4>0</vt:i4>
      </vt:variant>
      <vt:variant>
        <vt:i4>5</vt:i4>
      </vt:variant>
      <vt:variant>
        <vt:lpwstr/>
      </vt:variant>
      <vt:variant>
        <vt:lpwstr>_Toc118894202</vt:lpwstr>
      </vt:variant>
      <vt:variant>
        <vt:i4>5767236</vt:i4>
      </vt:variant>
      <vt:variant>
        <vt:i4>0</vt:i4>
      </vt:variant>
      <vt:variant>
        <vt:i4>0</vt:i4>
      </vt:variant>
      <vt:variant>
        <vt:i4>5</vt:i4>
      </vt:variant>
      <vt:variant>
        <vt:lpwstr>https://docs.cpuc.ca.gov/PublishedDocs/Efile/G000/M091/K331/91331194.PDF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2022-12-12T19:15:00Z</cp:lastPrinted>
  <dcterms:created xsi:type="dcterms:W3CDTF">2022-12-19T11:50:18Z</dcterms:created>
  <dcterms:modified xsi:type="dcterms:W3CDTF">2022-12-19T11:50:18Z</dcterms:modified>
</cp:coreProperties>
</file>