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D6E" w:rsidP="006E3D6E" w:rsidRDefault="006E3D6E" w14:paraId="4AE60D44" w14:textId="77777777">
      <w:pPr>
        <w:pStyle w:val="Title"/>
      </w:pPr>
      <w:bookmarkStart w:name="_Hlk51082571" w:id="0"/>
    </w:p>
    <w:p w:rsidR="006E3D6E" w:rsidP="006E3D6E" w:rsidRDefault="006E3D6E" w14:paraId="7697CD34" w14:textId="77777777">
      <w:pPr>
        <w:pBdr>
          <w:bottom w:val="double" w:color="auto" w:sz="6" w:space="1"/>
        </w:pBdr>
        <w:tabs>
          <w:tab w:val="right" w:pos="9630"/>
          <w:tab w:val="left" w:pos="9720"/>
        </w:tabs>
        <w:rPr>
          <w:rFonts w:ascii="Arial" w:hAnsi="Arial"/>
          <w:i/>
          <w:sz w:val="26"/>
        </w:rPr>
      </w:pPr>
      <w:r>
        <w:rPr>
          <w:rFonts w:ascii="Arial" w:hAnsi="Arial"/>
          <w:sz w:val="16"/>
        </w:rPr>
        <w:t>STATE OF CALIFORNIA</w:t>
      </w:r>
      <w:r>
        <w:rPr>
          <w:rFonts w:ascii="Arial" w:hAnsi="Arial"/>
          <w:sz w:val="26"/>
        </w:rPr>
        <w:tab/>
      </w:r>
      <w:r>
        <w:rPr>
          <w:rFonts w:ascii="Arial" w:hAnsi="Arial"/>
          <w:sz w:val="16"/>
          <w:szCs w:val="16"/>
        </w:rPr>
        <w:t>GAVIN NEWSOM.,</w:t>
      </w:r>
      <w:r>
        <w:rPr>
          <w:rFonts w:ascii="Arial" w:hAnsi="Arial"/>
          <w:sz w:val="26"/>
        </w:rPr>
        <w:t xml:space="preserve"> </w:t>
      </w:r>
      <w:r>
        <w:rPr>
          <w:rFonts w:ascii="Arial" w:hAnsi="Arial"/>
          <w:i/>
          <w:sz w:val="16"/>
        </w:rPr>
        <w:t>Governor</w:t>
      </w:r>
    </w:p>
    <w:p w:rsidR="006E3D6E" w:rsidP="006E3D6E" w:rsidRDefault="006E3D6E" w14:paraId="38A84C7C" w14:textId="77777777">
      <w:pPr>
        <w:tabs>
          <w:tab w:val="right" w:pos="11070"/>
        </w:tabs>
        <w:spacing w:before="80"/>
        <w:ind w:right="-450"/>
        <w:rPr>
          <w:rFonts w:ascii="Arial" w:hAnsi="Arial"/>
          <w:sz w:val="26"/>
        </w:rPr>
      </w:pPr>
      <w:r>
        <w:rPr>
          <w:rFonts w:ascii="Arial" w:hAnsi="Arial"/>
          <w:sz w:val="26"/>
        </w:rPr>
        <w:t>PUBLIC UTILITIES COMMISSION</w:t>
      </w:r>
    </w:p>
    <w:p w:rsidR="006E3D6E" w:rsidP="006E3D6E" w:rsidRDefault="006E3D6E" w14:paraId="2B8B0FFC" w14:textId="77777777">
      <w:pPr>
        <w:tabs>
          <w:tab w:val="right" w:pos="11070"/>
        </w:tabs>
        <w:spacing w:before="80"/>
        <w:ind w:right="-450"/>
        <w:rPr>
          <w:rFonts w:ascii="Arial" w:hAnsi="Arial"/>
          <w:sz w:val="12"/>
        </w:rPr>
      </w:pPr>
      <w:r>
        <w:rPr>
          <w:rFonts w:ascii="Arial" w:hAnsi="Arial"/>
          <w:sz w:val="12"/>
        </w:rPr>
        <w:t>505 VAN NESS AVENUE</w:t>
      </w:r>
    </w:p>
    <w:p w:rsidR="006E3D6E" w:rsidP="006E3D6E" w:rsidRDefault="006E3D6E" w14:paraId="10F0EF59" w14:textId="77777777">
      <w:pPr>
        <w:tabs>
          <w:tab w:val="right" w:pos="11070"/>
        </w:tabs>
        <w:spacing w:before="80"/>
        <w:ind w:right="-450"/>
        <w:rPr>
          <w:rFonts w:ascii="Arial" w:hAnsi="Arial"/>
          <w:sz w:val="12"/>
        </w:rPr>
      </w:pPr>
      <w:r>
        <w:rPr>
          <w:rFonts w:ascii="Arial" w:hAnsi="Arial"/>
          <w:sz w:val="12"/>
        </w:rPr>
        <w:t xml:space="preserve">SAN FRANCISCO, </w:t>
      </w:r>
      <w:smartTag w:uri="urn:schemas-microsoft-com:office:smarttags" w:element="State">
        <w:r>
          <w:rPr>
            <w:rFonts w:ascii="Arial" w:hAnsi="Arial"/>
            <w:sz w:val="12"/>
          </w:rPr>
          <w:t>CA</w:t>
        </w:r>
      </w:smartTag>
      <w:r>
        <w:rPr>
          <w:rFonts w:ascii="Arial" w:hAnsi="Arial"/>
          <w:sz w:val="12"/>
        </w:rPr>
        <w:t xml:space="preserve"> </w:t>
      </w:r>
      <w:smartTag w:uri="urn:schemas-microsoft-com:office:smarttags" w:element="PostalCode">
        <w:r>
          <w:rPr>
            <w:rFonts w:ascii="Arial" w:hAnsi="Arial"/>
            <w:sz w:val="12"/>
          </w:rPr>
          <w:t>94102-3298</w:t>
        </w:r>
      </w:smartTag>
    </w:p>
    <w:p w:rsidR="006E3D6E" w:rsidP="006E3D6E" w:rsidRDefault="006E3D6E" w14:paraId="061AD0AC" w14:textId="77777777">
      <w:pPr>
        <w:tabs>
          <w:tab w:val="left" w:pos="6930"/>
        </w:tabs>
        <w:ind w:left="547" w:right="1282"/>
        <w:rPr>
          <w:rFonts w:ascii="Arial" w:hAnsi="Arial"/>
          <w:sz w:val="16"/>
        </w:rPr>
      </w:pPr>
    </w:p>
    <w:p w:rsidR="006E3D6E" w:rsidP="006E3D6E" w:rsidRDefault="006E3D6E" w14:paraId="4DC417D2" w14:textId="77777777">
      <w:pPr>
        <w:tabs>
          <w:tab w:val="left" w:pos="6930"/>
        </w:tabs>
        <w:ind w:left="547" w:right="1282"/>
        <w:rPr>
          <w:rFonts w:ascii="Book Antiqua" w:hAnsi="Book Antiqua"/>
          <w:sz w:val="26"/>
        </w:rPr>
      </w:pPr>
    </w:p>
    <w:p w:rsidR="006E3D6E" w:rsidP="006E3D6E" w:rsidRDefault="006E3D6E" w14:paraId="76D2BC1C" w14:textId="77777777">
      <w:pPr>
        <w:tabs>
          <w:tab w:val="left" w:pos="6930"/>
        </w:tabs>
        <w:ind w:left="547" w:right="1282"/>
        <w:rPr>
          <w:rFonts w:ascii="Book Antiqua" w:hAnsi="Book Antiqua"/>
          <w:sz w:val="26"/>
        </w:rPr>
      </w:pPr>
    </w:p>
    <w:p w:rsidR="006E3D6E" w:rsidP="006E3D6E" w:rsidRDefault="00F8485C" w14:paraId="0D8782CC" w14:textId="59473D01">
      <w:pPr>
        <w:rPr>
          <w:rFonts w:ascii="Book Antiqua" w:hAnsi="Book Antiqua"/>
          <w:sz w:val="26"/>
        </w:rPr>
      </w:pPr>
      <w:r>
        <w:rPr>
          <w:rFonts w:ascii="Book Antiqua" w:hAnsi="Book Antiqua"/>
          <w:sz w:val="26"/>
        </w:rPr>
        <w:t>January 30, 2023</w:t>
      </w:r>
      <w:r w:rsidR="006E3D6E">
        <w:rPr>
          <w:rFonts w:ascii="Book Antiqua" w:hAnsi="Book Antiqua"/>
          <w:sz w:val="26"/>
        </w:rPr>
        <w:tab/>
      </w:r>
      <w:r w:rsidR="006E3D6E">
        <w:rPr>
          <w:rFonts w:ascii="Book Antiqua" w:hAnsi="Book Antiqua"/>
          <w:sz w:val="26"/>
        </w:rPr>
        <w:tab/>
      </w:r>
      <w:r w:rsidR="006E3D6E">
        <w:rPr>
          <w:rFonts w:ascii="Book Antiqua" w:hAnsi="Book Antiqua"/>
          <w:sz w:val="26"/>
        </w:rPr>
        <w:tab/>
      </w:r>
      <w:r w:rsidR="006E3D6E">
        <w:rPr>
          <w:rFonts w:ascii="Book Antiqua" w:hAnsi="Book Antiqua"/>
          <w:sz w:val="26"/>
        </w:rPr>
        <w:tab/>
      </w:r>
      <w:r w:rsidR="006E3D6E">
        <w:rPr>
          <w:rFonts w:ascii="Book Antiqua" w:hAnsi="Book Antiqua"/>
          <w:sz w:val="26"/>
        </w:rPr>
        <w:tab/>
      </w:r>
      <w:r w:rsidR="006E3D6E">
        <w:rPr>
          <w:rFonts w:ascii="Book Antiqua" w:hAnsi="Book Antiqua"/>
          <w:sz w:val="26"/>
        </w:rPr>
        <w:tab/>
        <w:t xml:space="preserve">                     </w:t>
      </w:r>
      <w:r w:rsidR="006E3D6E">
        <w:rPr>
          <w:rFonts w:ascii="Book Antiqua" w:hAnsi="Book Antiqua"/>
          <w:b/>
          <w:bCs/>
          <w:sz w:val="26"/>
        </w:rPr>
        <w:t>Agenda ID #</w:t>
      </w:r>
      <w:r>
        <w:rPr>
          <w:rFonts w:ascii="Book Antiqua" w:hAnsi="Book Antiqua"/>
          <w:b/>
          <w:bCs/>
          <w:sz w:val="26"/>
        </w:rPr>
        <w:t>21314</w:t>
      </w:r>
    </w:p>
    <w:p w:rsidR="006E3D6E" w:rsidP="006E3D6E" w:rsidRDefault="006E3D6E" w14:paraId="22B19312" w14:textId="77777777">
      <w:pPr>
        <w:rPr>
          <w:rFonts w:ascii="Book Antiqua" w:hAnsi="Book Antiqua"/>
          <w:sz w:val="26"/>
        </w:rPr>
      </w:pPr>
    </w:p>
    <w:p w:rsidR="006E3D6E" w:rsidP="006E3D6E" w:rsidRDefault="006E3D6E" w14:paraId="1163CD8B" w14:textId="77777777">
      <w:pPr>
        <w:rPr>
          <w:rFonts w:ascii="Book Antiqua" w:hAnsi="Book Antiqua"/>
          <w:sz w:val="26"/>
        </w:rPr>
      </w:pPr>
    </w:p>
    <w:p w:rsidR="006E3D6E" w:rsidP="006E3D6E" w:rsidRDefault="006E3D6E" w14:paraId="3CD10338" w14:textId="3D22FF14">
      <w:pPr>
        <w:rPr>
          <w:rFonts w:ascii="Book Antiqua" w:hAnsi="Book Antiqua"/>
          <w:sz w:val="26"/>
          <w:u w:val="single"/>
        </w:rPr>
      </w:pPr>
      <w:r>
        <w:rPr>
          <w:rFonts w:ascii="Book Antiqua" w:hAnsi="Book Antiqua"/>
          <w:sz w:val="26"/>
        </w:rPr>
        <w:t>TO PARTIES OF RECORD IN DRAFT RESOLUTION ALJ-432:</w:t>
      </w:r>
    </w:p>
    <w:p w:rsidR="006E3D6E" w:rsidP="006E3D6E" w:rsidRDefault="006E3D6E" w14:paraId="39755E40" w14:textId="77777777">
      <w:pPr>
        <w:rPr>
          <w:rFonts w:ascii="Book Antiqua" w:hAnsi="Book Antiqua"/>
          <w:sz w:val="26"/>
        </w:rPr>
      </w:pPr>
    </w:p>
    <w:p w:rsidR="006E3D6E" w:rsidP="006E3D6E" w:rsidRDefault="006E3D6E" w14:paraId="66AD8E18" w14:textId="52799097">
      <w:pPr>
        <w:rPr>
          <w:rFonts w:ascii="Book Antiqua" w:hAnsi="Book Antiqua"/>
          <w:sz w:val="26"/>
        </w:rPr>
      </w:pPr>
      <w:r>
        <w:rPr>
          <w:rFonts w:ascii="Book Antiqua" w:hAnsi="Book Antiqua"/>
          <w:sz w:val="26"/>
          <w:szCs w:val="26"/>
        </w:rPr>
        <w:t>This is the draft Resolution of Administrative Law Debbie Chiv</w:t>
      </w:r>
      <w:r>
        <w:rPr>
          <w:rFonts w:ascii="Book Antiqua" w:hAnsi="Book Antiqua" w:eastAsia="MS Mincho"/>
          <w:color w:val="000000"/>
        </w:rPr>
        <w:t xml:space="preserve"> </w:t>
      </w:r>
      <w:r w:rsidR="0065289C">
        <w:rPr>
          <w:rFonts w:ascii="Book Antiqua" w:hAnsi="Book Antiqua" w:eastAsia="MS Mincho"/>
          <w:color w:val="000000"/>
        </w:rPr>
        <w:t>R</w:t>
      </w:r>
      <w:r>
        <w:rPr>
          <w:rFonts w:ascii="Book Antiqua" w:hAnsi="Book Antiqua"/>
          <w:sz w:val="26"/>
          <w:szCs w:val="26"/>
        </w:rPr>
        <w:t xml:space="preserve">esolving </w:t>
      </w:r>
      <w:r>
        <w:rPr>
          <w:rFonts w:ascii="Book Antiqua" w:hAnsi="Book Antiqua" w:eastAsia="MS Mincho"/>
          <w:color w:val="000000"/>
        </w:rPr>
        <w:t>K.21</w:t>
      </w:r>
      <w:r>
        <w:rPr>
          <w:rFonts w:ascii="Book Antiqua" w:hAnsi="Book Antiqua" w:eastAsia="MS Mincho"/>
          <w:color w:val="000000"/>
        </w:rPr>
        <w:noBreakHyphen/>
        <w:t>11</w:t>
      </w:r>
      <w:r w:rsidR="0074224A">
        <w:rPr>
          <w:rFonts w:ascii="Book Antiqua" w:hAnsi="Book Antiqua" w:eastAsia="MS Mincho"/>
          <w:color w:val="000000"/>
        </w:rPr>
        <w:noBreakHyphen/>
      </w:r>
      <w:r>
        <w:rPr>
          <w:rFonts w:ascii="Book Antiqua" w:hAnsi="Book Antiqua" w:eastAsia="MS Mincho"/>
          <w:color w:val="000000"/>
        </w:rPr>
        <w:t>001</w:t>
      </w:r>
      <w:r>
        <w:rPr>
          <w:rFonts w:ascii="Book Antiqua" w:hAnsi="Book Antiqua"/>
        </w:rPr>
        <w:t xml:space="preserve">. </w:t>
      </w:r>
      <w:r>
        <w:rPr>
          <w:rFonts w:ascii="Book Antiqua" w:hAnsi="Book Antiqua"/>
          <w:sz w:val="26"/>
          <w:szCs w:val="26"/>
        </w:rPr>
        <w:t>It</w:t>
      </w:r>
      <w:r>
        <w:rPr>
          <w:rFonts w:ascii="Book Antiqua" w:hAnsi="Book Antiqua"/>
          <w:sz w:val="26"/>
        </w:rPr>
        <w:t xml:space="preserve"> will not appear on the Commission’s agenda sooner than 30 days from the date it is mailed.  The Commission may act then, or it may postpone action until later. </w:t>
      </w:r>
    </w:p>
    <w:p w:rsidR="006E3D6E" w:rsidP="006E3D6E" w:rsidRDefault="006E3D6E" w14:paraId="2B312E8C" w14:textId="77777777">
      <w:pPr>
        <w:rPr>
          <w:rFonts w:ascii="Book Antiqua" w:hAnsi="Book Antiqua"/>
          <w:sz w:val="26"/>
        </w:rPr>
      </w:pPr>
    </w:p>
    <w:p w:rsidR="006E3D6E" w:rsidP="006E3D6E" w:rsidRDefault="006E3D6E" w14:paraId="18D3860E" w14:textId="77777777">
      <w:pPr>
        <w:rPr>
          <w:rFonts w:ascii="Book Antiqua" w:hAnsi="Book Antiqua"/>
          <w:sz w:val="26"/>
        </w:rPr>
      </w:pPr>
      <w:r>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006E3D6E" w:rsidP="006E3D6E" w:rsidRDefault="006E3D6E" w14:paraId="05CA8EB9" w14:textId="77777777">
      <w:pPr>
        <w:rPr>
          <w:rFonts w:ascii="Book Antiqua" w:hAnsi="Book Antiqua"/>
          <w:sz w:val="26"/>
        </w:rPr>
      </w:pPr>
    </w:p>
    <w:p w:rsidR="006E3D6E" w:rsidP="006E3D6E" w:rsidRDefault="006E3D6E" w14:paraId="46D1F532" w14:textId="4A1A8297">
      <w:pPr>
        <w:autoSpaceDE w:val="0"/>
        <w:autoSpaceDN w:val="0"/>
        <w:adjustRightInd w:val="0"/>
        <w:rPr>
          <w:rFonts w:ascii="Book Antiqua" w:hAnsi="Book Antiqua" w:eastAsia="Calibri" w:cs="Book Antiqua"/>
          <w:color w:val="000000"/>
          <w:sz w:val="26"/>
          <w:szCs w:val="26"/>
        </w:rPr>
      </w:pPr>
      <w:r>
        <w:rPr>
          <w:rFonts w:ascii="Book Antiqua" w:hAnsi="Book Antiqua" w:eastAsia="Calibri" w:cs="Book Antiqua"/>
          <w:color w:val="000000"/>
          <w:sz w:val="26"/>
        </w:rPr>
        <w:t xml:space="preserve">You may serve comments on the draft resolution. </w:t>
      </w:r>
      <w:r>
        <w:rPr>
          <w:rFonts w:ascii="Book Antiqua" w:hAnsi="Book Antiqua" w:eastAsia="Calibri" w:cs="Book Antiqua"/>
          <w:color w:val="000000"/>
        </w:rPr>
        <w:t xml:space="preserve"> </w:t>
      </w:r>
      <w:r>
        <w:rPr>
          <w:rFonts w:ascii="Book Antiqua" w:hAnsi="Book Antiqua" w:eastAsia="Calibri" w:cs="Book Antiqua"/>
          <w:color w:val="000000"/>
          <w:sz w:val="26"/>
          <w:szCs w:val="26"/>
        </w:rPr>
        <w:t xml:space="preserve">Comments shall be served (but not filed) within 20 days of the date that the draft Resolution was mailed and published on the Commission’s website [link], as provided in Rule 14.5 of the Commission’s Rules of Practice and Procedure. Comments shall be served upon all persons on this proceeding’s service list and on ALJ Chiv at </w:t>
      </w:r>
      <w:r>
        <w:rPr>
          <w:rFonts w:ascii="Book Antiqua" w:hAnsi="Book Antiqua" w:eastAsia="Calibri" w:cs="Book Antiqua"/>
          <w:sz w:val="26"/>
          <w:szCs w:val="26"/>
        </w:rPr>
        <w:t>DBB@cpuc.ca.gov</w:t>
      </w:r>
      <w:r>
        <w:rPr>
          <w:rFonts w:ascii="Book Antiqua" w:hAnsi="Book Antiqua" w:eastAsia="Calibri" w:cs="Book Antiqua"/>
          <w:color w:val="000000"/>
          <w:sz w:val="26"/>
          <w:szCs w:val="26"/>
        </w:rPr>
        <w:t>.</w:t>
      </w:r>
    </w:p>
    <w:p w:rsidR="006E3D6E" w:rsidP="006E3D6E" w:rsidRDefault="006E3D6E" w14:paraId="7FB85C85" w14:textId="77777777">
      <w:pPr>
        <w:rPr>
          <w:rFonts w:ascii="Book Antiqua" w:hAnsi="Book Antiqua"/>
          <w:sz w:val="26"/>
        </w:rPr>
      </w:pPr>
    </w:p>
    <w:p w:rsidR="006E3D6E" w:rsidP="006E3D6E" w:rsidRDefault="006E3D6E" w14:paraId="5EC266F5" w14:textId="77777777">
      <w:pPr>
        <w:rPr>
          <w:rFonts w:ascii="Book Antiqua" w:hAnsi="Book Antiqua"/>
          <w:sz w:val="26"/>
        </w:rPr>
      </w:pPr>
    </w:p>
    <w:p w:rsidR="006E3D6E" w:rsidP="006E3D6E" w:rsidRDefault="006E3D6E" w14:paraId="62F49C98" w14:textId="44981676">
      <w:pPr>
        <w:outlineLvl w:val="0"/>
        <w:rPr>
          <w:rFonts w:ascii="Book Antiqua" w:hAnsi="Book Antiqua"/>
          <w:sz w:val="26"/>
          <w:u w:val="single"/>
        </w:rPr>
      </w:pPr>
      <w:r>
        <w:rPr>
          <w:rFonts w:ascii="Book Antiqua" w:hAnsi="Book Antiqua"/>
          <w:sz w:val="26"/>
          <w:u w:val="single"/>
        </w:rPr>
        <w:t>/s</w:t>
      </w:r>
      <w:proofErr w:type="gramStart"/>
      <w:r>
        <w:rPr>
          <w:rFonts w:ascii="Book Antiqua" w:hAnsi="Book Antiqua"/>
          <w:sz w:val="26"/>
          <w:u w:val="single"/>
        </w:rPr>
        <w:t xml:space="preserve">/  </w:t>
      </w:r>
      <w:r>
        <w:rPr>
          <w:rFonts w:ascii="Book Antiqua" w:hAnsi="Book Antiqua"/>
          <w:sz w:val="26"/>
          <w:u w:val="single"/>
        </w:rPr>
        <w:tab/>
      </w:r>
      <w:proofErr w:type="gramEnd"/>
      <w:r w:rsidRPr="00F8485C" w:rsidR="00F8485C">
        <w:rPr>
          <w:rFonts w:ascii="Book Antiqua" w:hAnsi="Book Antiqua"/>
          <w:sz w:val="26"/>
          <w:u w:val="single"/>
        </w:rPr>
        <w:t>MICHELLE COOKE</w:t>
      </w:r>
      <w:r w:rsidR="00F8485C">
        <w:rPr>
          <w:rFonts w:ascii="Book Antiqua" w:hAnsi="Book Antiqua"/>
          <w:sz w:val="26"/>
          <w:u w:val="single"/>
        </w:rPr>
        <w:tab/>
      </w:r>
      <w:r w:rsidR="00F8485C">
        <w:rPr>
          <w:rFonts w:ascii="Book Antiqua" w:hAnsi="Book Antiqua"/>
          <w:sz w:val="26"/>
          <w:u w:val="single"/>
        </w:rPr>
        <w:tab/>
      </w:r>
    </w:p>
    <w:p w:rsidR="006E3D6E" w:rsidP="006E3D6E" w:rsidRDefault="006E3D6E" w14:paraId="5D285A05" w14:textId="77777777">
      <w:pPr>
        <w:outlineLvl w:val="0"/>
        <w:rPr>
          <w:rFonts w:ascii="Book Antiqua" w:hAnsi="Book Antiqua"/>
          <w:sz w:val="26"/>
        </w:rPr>
      </w:pPr>
      <w:r>
        <w:rPr>
          <w:rFonts w:ascii="Book Antiqua" w:hAnsi="Book Antiqua"/>
          <w:sz w:val="26"/>
        </w:rPr>
        <w:t>Michelle Cooke</w:t>
      </w:r>
      <w:r>
        <w:rPr>
          <w:rFonts w:ascii="Book Antiqua" w:hAnsi="Book Antiqua"/>
          <w:sz w:val="26"/>
        </w:rPr>
        <w:br/>
        <w:t>Acting Chief Administrative Law Judge</w:t>
      </w:r>
    </w:p>
    <w:p w:rsidR="006E3D6E" w:rsidP="006E3D6E" w:rsidRDefault="006E3D6E" w14:paraId="701253BF" w14:textId="77777777">
      <w:pPr>
        <w:rPr>
          <w:rFonts w:ascii="Book Antiqua" w:hAnsi="Book Antiqua"/>
          <w:sz w:val="26"/>
        </w:rPr>
      </w:pPr>
    </w:p>
    <w:p w:rsidR="006E3D6E" w:rsidP="006E3D6E" w:rsidRDefault="006E3D6E" w14:paraId="0A23AFBD" w14:textId="77777777">
      <w:pPr>
        <w:outlineLvl w:val="0"/>
        <w:rPr>
          <w:rFonts w:ascii="Book Antiqua" w:hAnsi="Book Antiqua"/>
          <w:sz w:val="26"/>
          <w:u w:val="single"/>
        </w:rPr>
      </w:pPr>
      <w:proofErr w:type="spellStart"/>
      <w:proofErr w:type="gramStart"/>
      <w:r>
        <w:rPr>
          <w:rFonts w:ascii="Book Antiqua" w:hAnsi="Book Antiqua"/>
          <w:sz w:val="26"/>
        </w:rPr>
        <w:t>MLC:sgu</w:t>
      </w:r>
      <w:proofErr w:type="spellEnd"/>
      <w:proofErr w:type="gramEnd"/>
    </w:p>
    <w:p w:rsidR="006E3D6E" w:rsidP="006E3D6E" w:rsidRDefault="006E3D6E" w14:paraId="1619A820" w14:textId="77777777">
      <w:pPr>
        <w:outlineLvl w:val="0"/>
        <w:rPr>
          <w:rFonts w:ascii="Book Antiqua" w:hAnsi="Book Antiqua"/>
          <w:sz w:val="26"/>
        </w:rPr>
      </w:pPr>
    </w:p>
    <w:p w:rsidR="006E3D6E" w:rsidP="006E3D6E" w:rsidRDefault="006E3D6E" w14:paraId="71538B85" w14:textId="77777777">
      <w:pPr>
        <w:rPr>
          <w:rFonts w:ascii="Book Antiqua" w:hAnsi="Book Antiqua"/>
          <w:sz w:val="26"/>
        </w:rPr>
      </w:pPr>
      <w:r>
        <w:rPr>
          <w:rFonts w:ascii="Book Antiqua" w:hAnsi="Book Antiqua"/>
          <w:sz w:val="26"/>
        </w:rPr>
        <w:t>Attachment</w:t>
      </w:r>
    </w:p>
    <w:p w:rsidR="006E3D6E" w:rsidRDefault="006E3D6E" w14:paraId="070E4E7F" w14:textId="77777777">
      <w:pPr>
        <w:pStyle w:val="Title"/>
        <w:rPr>
          <w:rFonts w:ascii="Book Antiqua" w:hAnsi="Book Antiqua"/>
          <w:szCs w:val="24"/>
        </w:rPr>
        <w:sectPr w:rsidR="006E3D6E" w:rsidSect="006D0A8D">
          <w:headerReference w:type="default" r:id="rId8"/>
          <w:footerReference w:type="default" r:id="rId9"/>
          <w:headerReference w:type="first" r:id="rId10"/>
          <w:footerReference w:type="first" r:id="rId11"/>
          <w:pgSz w:w="12240" w:h="15840" w:code="1"/>
          <w:pgMar w:top="1440" w:right="1440" w:bottom="1440" w:left="1440" w:header="720" w:footer="720" w:gutter="0"/>
          <w:pgNumType w:fmt="numberInDash" w:start="1"/>
          <w:cols w:space="720"/>
          <w:titlePg/>
        </w:sectPr>
      </w:pPr>
    </w:p>
    <w:p w:rsidRPr="00B27B03" w:rsidR="00C47C2A" w:rsidRDefault="00C47C2A" w14:paraId="7A25F971" w14:textId="62FB2D68">
      <w:pPr>
        <w:pStyle w:val="Title"/>
        <w:rPr>
          <w:rFonts w:ascii="Book Antiqua" w:hAnsi="Book Antiqua"/>
          <w:szCs w:val="24"/>
        </w:rPr>
      </w:pPr>
      <w:r w:rsidRPr="00B27B03">
        <w:rPr>
          <w:rFonts w:ascii="Book Antiqua" w:hAnsi="Book Antiqua"/>
          <w:szCs w:val="24"/>
        </w:rPr>
        <w:lastRenderedPageBreak/>
        <w:t>PUBLIC UTILITIES COMMISSION OF THE STATE OF CALIFORNIA</w:t>
      </w:r>
    </w:p>
    <w:p w:rsidRPr="00B27B03" w:rsidR="00C47C2A" w:rsidRDefault="00C47C2A" w14:paraId="1DDF4CE1" w14:textId="77777777">
      <w:pPr>
        <w:rPr>
          <w:rFonts w:ascii="Book Antiqua" w:hAnsi="Book Antiqua"/>
          <w:szCs w:val="24"/>
        </w:rPr>
      </w:pPr>
    </w:p>
    <w:p w:rsidRPr="00B27B03" w:rsidR="00C47C2A" w:rsidRDefault="00C47C2A" w14:paraId="1A950BB6" w14:textId="66E86A70">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Resolution ALJ-</w:t>
      </w:r>
      <w:r w:rsidR="006E3D6E">
        <w:rPr>
          <w:rFonts w:ascii="Book Antiqua" w:hAnsi="Book Antiqua"/>
          <w:szCs w:val="24"/>
        </w:rPr>
        <w:t>432</w:t>
      </w:r>
    </w:p>
    <w:p w:rsidRPr="00B27B03" w:rsidR="00C47C2A" w:rsidRDefault="00C47C2A" w14:paraId="62EF12E4" w14:textId="77777777">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Administrative Law Judge Division</w:t>
      </w:r>
    </w:p>
    <w:p w:rsidRPr="00B27B03" w:rsidR="00C47C2A" w:rsidRDefault="00C47C2A" w14:paraId="08B4A380" w14:textId="77777777">
      <w:pPr>
        <w:rPr>
          <w:rFonts w:ascii="Book Antiqua" w:hAnsi="Book Antiqua"/>
          <w:szCs w:val="24"/>
        </w:rPr>
      </w:pP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r>
      <w:r w:rsidRPr="00B27B03">
        <w:rPr>
          <w:rFonts w:ascii="Book Antiqua" w:hAnsi="Book Antiqua"/>
          <w:szCs w:val="24"/>
        </w:rPr>
        <w:tab/>
        <w:t>[Date]</w:t>
      </w:r>
    </w:p>
    <w:p w:rsidRPr="00B27B03" w:rsidR="00C47C2A" w:rsidRDefault="00C47C2A" w14:paraId="14F123D8" w14:textId="77777777">
      <w:pPr>
        <w:rPr>
          <w:rFonts w:ascii="Book Antiqua" w:hAnsi="Book Antiqua"/>
          <w:szCs w:val="24"/>
        </w:rPr>
      </w:pPr>
    </w:p>
    <w:p w:rsidRPr="00B27B03" w:rsidR="00C47C2A" w:rsidRDefault="00C47C2A" w14:paraId="01F8CDBE" w14:textId="77777777">
      <w:pPr>
        <w:rPr>
          <w:rFonts w:ascii="Book Antiqua" w:hAnsi="Book Antiqua"/>
          <w:szCs w:val="24"/>
        </w:rPr>
      </w:pPr>
    </w:p>
    <w:p w:rsidRPr="00B27B03" w:rsidR="00C47C2A" w:rsidRDefault="00C47C2A" w14:paraId="40F9B54F" w14:textId="77777777">
      <w:pPr>
        <w:jc w:val="center"/>
        <w:rPr>
          <w:rFonts w:ascii="Book Antiqua" w:hAnsi="Book Antiqua"/>
          <w:b/>
          <w:szCs w:val="24"/>
          <w:u w:val="single"/>
        </w:rPr>
      </w:pPr>
      <w:r w:rsidRPr="00B27B03">
        <w:rPr>
          <w:rFonts w:ascii="Book Antiqua" w:hAnsi="Book Antiqua"/>
          <w:b/>
          <w:szCs w:val="24"/>
          <w:u w:val="single"/>
        </w:rPr>
        <w:t>R E S O L U T I O N</w:t>
      </w:r>
    </w:p>
    <w:p w:rsidRPr="00B27B03" w:rsidR="00C47C2A" w:rsidRDefault="00C47C2A" w14:paraId="46AD75E3" w14:textId="77777777">
      <w:pPr>
        <w:jc w:val="center"/>
        <w:rPr>
          <w:rFonts w:ascii="Book Antiqua" w:hAnsi="Book Antiqua"/>
          <w:b/>
          <w:szCs w:val="24"/>
        </w:rPr>
      </w:pPr>
    </w:p>
    <w:p w:rsidRPr="00B27B03" w:rsidR="00C47C2A" w:rsidRDefault="00C47C2A" w14:paraId="07905C4F" w14:textId="77777777">
      <w:pPr>
        <w:rPr>
          <w:rFonts w:ascii="Book Antiqua" w:hAnsi="Book Antiqua"/>
          <w:szCs w:val="24"/>
        </w:rPr>
      </w:pPr>
    </w:p>
    <w:p w:rsidRPr="00B27B03" w:rsidR="00C47C2A" w:rsidRDefault="00C47C2A" w14:paraId="48320A2E" w14:textId="6372661D">
      <w:pPr>
        <w:pStyle w:val="BlockText"/>
        <w:rPr>
          <w:rFonts w:ascii="Book Antiqua" w:hAnsi="Book Antiqua"/>
          <w:szCs w:val="24"/>
        </w:rPr>
      </w:pPr>
      <w:r w:rsidRPr="00B27B03">
        <w:rPr>
          <w:rFonts w:ascii="Book Antiqua" w:hAnsi="Book Antiqua"/>
          <w:szCs w:val="24"/>
        </w:rPr>
        <w:t>RESOLUTIO</w:t>
      </w:r>
      <w:r w:rsidRPr="00B27B03" w:rsidR="00A4484E">
        <w:rPr>
          <w:rFonts w:ascii="Book Antiqua" w:hAnsi="Book Antiqua"/>
          <w:szCs w:val="24"/>
        </w:rPr>
        <w:t xml:space="preserve">N </w:t>
      </w:r>
      <w:r w:rsidR="006D0A8D">
        <w:rPr>
          <w:rFonts w:ascii="Book Antiqua" w:hAnsi="Book Antiqua"/>
          <w:szCs w:val="24"/>
        </w:rPr>
        <w:t>ALJ-</w:t>
      </w:r>
      <w:r w:rsidR="006E3D6E">
        <w:rPr>
          <w:rFonts w:ascii="Book Antiqua" w:hAnsi="Book Antiqua"/>
          <w:szCs w:val="24"/>
        </w:rPr>
        <w:t>432</w:t>
      </w:r>
      <w:r w:rsidRPr="00B27B03" w:rsidR="00A4484E">
        <w:rPr>
          <w:rFonts w:ascii="Book Antiqua" w:hAnsi="Book Antiqua"/>
          <w:szCs w:val="24"/>
        </w:rPr>
        <w:t>.  Resolves the Appeal K.21-</w:t>
      </w:r>
      <w:r w:rsidR="00843EF2">
        <w:rPr>
          <w:rFonts w:ascii="Book Antiqua" w:hAnsi="Book Antiqua"/>
          <w:szCs w:val="24"/>
        </w:rPr>
        <w:t>11-001</w:t>
      </w:r>
      <w:r w:rsidRPr="00B27B03" w:rsidR="00A4484E">
        <w:rPr>
          <w:rFonts w:ascii="Book Antiqua" w:hAnsi="Book Antiqua"/>
          <w:szCs w:val="24"/>
        </w:rPr>
        <w:t xml:space="preserve"> of Citation</w:t>
      </w:r>
      <w:r w:rsidR="00333DF1">
        <w:rPr>
          <w:rFonts w:ascii="Book Antiqua" w:hAnsi="Book Antiqua"/>
          <w:szCs w:val="24"/>
        </w:rPr>
        <w:t> </w:t>
      </w:r>
      <w:r w:rsidRPr="00B27B03" w:rsidR="00A4484E">
        <w:rPr>
          <w:rFonts w:ascii="Book Antiqua" w:hAnsi="Book Antiqua"/>
          <w:szCs w:val="24"/>
        </w:rPr>
        <w:t>E</w:t>
      </w:r>
      <w:r w:rsidR="006D0A8D">
        <w:rPr>
          <w:rFonts w:ascii="Book Antiqua" w:hAnsi="Book Antiqua"/>
          <w:szCs w:val="24"/>
        </w:rPr>
        <w:noBreakHyphen/>
      </w:r>
      <w:r w:rsidRPr="00B27B03" w:rsidR="00A4484E">
        <w:rPr>
          <w:rFonts w:ascii="Book Antiqua" w:hAnsi="Book Antiqua"/>
          <w:szCs w:val="24"/>
        </w:rPr>
        <w:t>4195-</w:t>
      </w:r>
      <w:r w:rsidR="003C316A">
        <w:rPr>
          <w:rFonts w:ascii="Book Antiqua" w:hAnsi="Book Antiqua"/>
          <w:szCs w:val="24"/>
        </w:rPr>
        <w:t>0107</w:t>
      </w:r>
      <w:r w:rsidRPr="00B27B03" w:rsidR="00A4484E">
        <w:rPr>
          <w:rFonts w:ascii="Book Antiqua" w:hAnsi="Book Antiqua"/>
          <w:szCs w:val="24"/>
        </w:rPr>
        <w:t xml:space="preserve"> by </w:t>
      </w:r>
      <w:r w:rsidR="003C316A">
        <w:rPr>
          <w:rFonts w:ascii="Book Antiqua" w:hAnsi="Book Antiqua"/>
          <w:szCs w:val="24"/>
        </w:rPr>
        <w:t>San Diego Community Power</w:t>
      </w:r>
      <w:r w:rsidRPr="00B27B03" w:rsidR="00A4484E">
        <w:rPr>
          <w:rFonts w:ascii="Book Antiqua" w:hAnsi="Book Antiqua"/>
          <w:szCs w:val="24"/>
        </w:rPr>
        <w:t>.</w:t>
      </w:r>
    </w:p>
    <w:p w:rsidRPr="00B27B03" w:rsidR="00C47C2A" w:rsidRDefault="00C47C2A" w14:paraId="42BD6B7D" w14:textId="77777777">
      <w:pPr>
        <w:rPr>
          <w:rFonts w:ascii="Book Antiqua" w:hAnsi="Book Antiqua"/>
          <w:szCs w:val="24"/>
        </w:rPr>
      </w:pPr>
    </w:p>
    <w:p w:rsidRPr="00B27B03" w:rsidR="00C47C2A" w:rsidRDefault="00C47C2A" w14:paraId="77D18003" w14:textId="77777777">
      <w:pPr>
        <w:rPr>
          <w:rFonts w:ascii="Book Antiqua" w:hAnsi="Book Antiqua"/>
          <w:szCs w:val="24"/>
        </w:rPr>
      </w:pPr>
    </w:p>
    <w:p w:rsidRPr="00B27B03" w:rsidR="00C47C2A" w:rsidRDefault="00C47C2A" w14:paraId="3B28D89E" w14:textId="77777777">
      <w:pPr>
        <w:tabs>
          <w:tab w:val="right" w:pos="8550"/>
        </w:tabs>
        <w:ind w:left="720" w:right="720"/>
        <w:rPr>
          <w:rFonts w:ascii="Book Antiqua" w:hAnsi="Book Antiqua"/>
          <w:szCs w:val="24"/>
        </w:rPr>
      </w:pPr>
      <w:r w:rsidRPr="00B27B03">
        <w:rPr>
          <w:rFonts w:ascii="Book Antiqua" w:hAnsi="Book Antiqua"/>
          <w:szCs w:val="24"/>
          <w:u w:val="single"/>
        </w:rPr>
        <w:tab/>
      </w:r>
    </w:p>
    <w:p w:rsidRPr="00B27B03" w:rsidR="00C47C2A" w:rsidRDefault="00C47C2A" w14:paraId="290B0409" w14:textId="77777777">
      <w:pPr>
        <w:rPr>
          <w:rFonts w:ascii="Book Antiqua" w:hAnsi="Book Antiqua"/>
          <w:szCs w:val="24"/>
        </w:rPr>
      </w:pPr>
    </w:p>
    <w:p w:rsidRPr="00B27B03" w:rsidR="00C47C2A" w:rsidRDefault="00C47C2A" w14:paraId="26A6908F" w14:textId="77777777">
      <w:pPr>
        <w:rPr>
          <w:rFonts w:ascii="Book Antiqua" w:hAnsi="Book Antiqua"/>
          <w:b/>
          <w:szCs w:val="24"/>
          <w:u w:val="single"/>
        </w:rPr>
      </w:pPr>
      <w:r w:rsidRPr="00B27B03">
        <w:rPr>
          <w:rFonts w:ascii="Book Antiqua" w:hAnsi="Book Antiqua"/>
          <w:b/>
          <w:szCs w:val="24"/>
          <w:u w:val="single"/>
        </w:rPr>
        <w:t>SUMMARY</w:t>
      </w:r>
    </w:p>
    <w:p w:rsidRPr="00B27B03" w:rsidR="00C47C2A" w:rsidRDefault="00C47C2A" w14:paraId="5F0475C5" w14:textId="77777777">
      <w:pPr>
        <w:rPr>
          <w:rFonts w:ascii="Book Antiqua" w:hAnsi="Book Antiqua"/>
          <w:szCs w:val="24"/>
        </w:rPr>
      </w:pPr>
    </w:p>
    <w:p w:rsidRPr="00B27B03" w:rsidR="00C47C2A" w:rsidP="000B5192" w:rsidRDefault="00A4484E" w14:paraId="4926ECC5" w14:textId="0233A7C6">
      <w:pPr>
        <w:pStyle w:val="Standard"/>
        <w:spacing w:line="240" w:lineRule="auto"/>
        <w:ind w:firstLine="0"/>
        <w:rPr>
          <w:sz w:val="24"/>
          <w:szCs w:val="24"/>
        </w:rPr>
      </w:pPr>
      <w:r w:rsidRPr="00B27B03">
        <w:rPr>
          <w:sz w:val="24"/>
          <w:szCs w:val="24"/>
        </w:rPr>
        <w:t xml:space="preserve">This resolution resolves </w:t>
      </w:r>
      <w:r w:rsidR="003C316A">
        <w:rPr>
          <w:sz w:val="24"/>
          <w:szCs w:val="24"/>
        </w:rPr>
        <w:t>San Diego Community Power</w:t>
      </w:r>
      <w:r w:rsidR="00240E52">
        <w:rPr>
          <w:sz w:val="24"/>
          <w:szCs w:val="24"/>
        </w:rPr>
        <w:t>’s</w:t>
      </w:r>
      <w:r w:rsidRPr="00B27B03">
        <w:rPr>
          <w:sz w:val="24"/>
          <w:szCs w:val="24"/>
        </w:rPr>
        <w:t xml:space="preserve"> (</w:t>
      </w:r>
      <w:r w:rsidR="003C316A">
        <w:rPr>
          <w:sz w:val="24"/>
          <w:szCs w:val="24"/>
        </w:rPr>
        <w:t>SDCP</w:t>
      </w:r>
      <w:r w:rsidRPr="00B27B03" w:rsidR="004C5BD5">
        <w:rPr>
          <w:sz w:val="24"/>
          <w:szCs w:val="24"/>
        </w:rPr>
        <w:t xml:space="preserve"> or Appellant</w:t>
      </w:r>
      <w:r w:rsidRPr="00B27B03">
        <w:rPr>
          <w:sz w:val="24"/>
          <w:szCs w:val="24"/>
        </w:rPr>
        <w:t>) appeal of Citation No.</w:t>
      </w:r>
      <w:r w:rsidR="006D0A8D">
        <w:rPr>
          <w:sz w:val="24"/>
          <w:szCs w:val="24"/>
        </w:rPr>
        <w:t> </w:t>
      </w:r>
      <w:r w:rsidRPr="00B27B03">
        <w:rPr>
          <w:sz w:val="24"/>
          <w:szCs w:val="24"/>
        </w:rPr>
        <w:t>E</w:t>
      </w:r>
      <w:r w:rsidR="006D0A8D">
        <w:rPr>
          <w:sz w:val="24"/>
          <w:szCs w:val="24"/>
        </w:rPr>
        <w:noBreakHyphen/>
      </w:r>
      <w:r w:rsidRPr="00B27B03">
        <w:rPr>
          <w:sz w:val="24"/>
          <w:szCs w:val="24"/>
        </w:rPr>
        <w:t>4195</w:t>
      </w:r>
      <w:r w:rsidR="006D0A8D">
        <w:rPr>
          <w:sz w:val="24"/>
          <w:szCs w:val="24"/>
        </w:rPr>
        <w:noBreakHyphen/>
      </w:r>
      <w:r w:rsidR="00240E52">
        <w:rPr>
          <w:sz w:val="24"/>
          <w:szCs w:val="24"/>
        </w:rPr>
        <w:t>0107</w:t>
      </w:r>
      <w:r w:rsidRPr="00B27B03">
        <w:rPr>
          <w:sz w:val="24"/>
          <w:szCs w:val="24"/>
        </w:rPr>
        <w:t xml:space="preserve"> by the California Public Utilities Commission’s</w:t>
      </w:r>
      <w:r w:rsidR="00EA5991">
        <w:rPr>
          <w:sz w:val="24"/>
          <w:szCs w:val="24"/>
        </w:rPr>
        <w:t xml:space="preserve"> </w:t>
      </w:r>
      <w:r w:rsidRPr="00B27B03">
        <w:rPr>
          <w:sz w:val="24"/>
          <w:szCs w:val="24"/>
        </w:rPr>
        <w:t>Consumer Protection and Enforcement Division.</w:t>
      </w:r>
      <w:r w:rsidR="00333DF1">
        <w:rPr>
          <w:sz w:val="24"/>
          <w:szCs w:val="24"/>
        </w:rPr>
        <w:t xml:space="preserve">  </w:t>
      </w:r>
      <w:r w:rsidRPr="00B27B03">
        <w:rPr>
          <w:sz w:val="24"/>
          <w:szCs w:val="24"/>
        </w:rPr>
        <w:t>Citation E-4195-</w:t>
      </w:r>
      <w:r w:rsidR="00240E52">
        <w:rPr>
          <w:sz w:val="24"/>
          <w:szCs w:val="24"/>
        </w:rPr>
        <w:t>0107</w:t>
      </w:r>
      <w:r w:rsidRPr="00B27B03">
        <w:rPr>
          <w:sz w:val="24"/>
          <w:szCs w:val="24"/>
        </w:rPr>
        <w:t xml:space="preserve"> cites and fines </w:t>
      </w:r>
      <w:r w:rsidR="00240E52">
        <w:rPr>
          <w:sz w:val="24"/>
          <w:szCs w:val="24"/>
        </w:rPr>
        <w:t>SDCP</w:t>
      </w:r>
      <w:r w:rsidRPr="00B27B03">
        <w:rPr>
          <w:sz w:val="24"/>
          <w:szCs w:val="24"/>
        </w:rPr>
        <w:t xml:space="preserve"> for failing to procure its </w:t>
      </w:r>
      <w:r w:rsidR="00562628">
        <w:rPr>
          <w:sz w:val="24"/>
          <w:szCs w:val="24"/>
        </w:rPr>
        <w:t xml:space="preserve">September </w:t>
      </w:r>
      <w:r w:rsidRPr="00B27B03" w:rsidR="00C51A2E">
        <w:rPr>
          <w:sz w:val="24"/>
          <w:szCs w:val="24"/>
        </w:rPr>
        <w:t>2021</w:t>
      </w:r>
      <w:r w:rsidRPr="00B27B03">
        <w:rPr>
          <w:sz w:val="24"/>
          <w:szCs w:val="24"/>
        </w:rPr>
        <w:t xml:space="preserve"> </w:t>
      </w:r>
      <w:r w:rsidR="002C06F1">
        <w:rPr>
          <w:sz w:val="24"/>
          <w:szCs w:val="24"/>
        </w:rPr>
        <w:t xml:space="preserve">month-ahead </w:t>
      </w:r>
      <w:r w:rsidR="00562628">
        <w:rPr>
          <w:sz w:val="24"/>
          <w:szCs w:val="24"/>
        </w:rPr>
        <w:t xml:space="preserve">system </w:t>
      </w:r>
      <w:r w:rsidRPr="00B27B03">
        <w:rPr>
          <w:sz w:val="24"/>
          <w:szCs w:val="24"/>
        </w:rPr>
        <w:t>Resource Adequacy obligation.</w:t>
      </w:r>
      <w:r w:rsidR="00333DF1">
        <w:rPr>
          <w:sz w:val="24"/>
          <w:szCs w:val="24"/>
        </w:rPr>
        <w:t xml:space="preserve">  </w:t>
      </w:r>
      <w:r w:rsidRPr="00B27B03" w:rsidR="00D22061">
        <w:rPr>
          <w:sz w:val="24"/>
          <w:szCs w:val="24"/>
        </w:rPr>
        <w:t xml:space="preserve">This Resolution </w:t>
      </w:r>
      <w:r w:rsidRPr="00B27B03" w:rsidR="008A3576">
        <w:rPr>
          <w:sz w:val="24"/>
          <w:szCs w:val="24"/>
        </w:rPr>
        <w:t>denies the appeal</w:t>
      </w:r>
      <w:r w:rsidRPr="00B27B03">
        <w:rPr>
          <w:sz w:val="24"/>
          <w:szCs w:val="24"/>
        </w:rPr>
        <w:t>, and this proceeding is closed.</w:t>
      </w:r>
    </w:p>
    <w:p w:rsidRPr="00B27B03" w:rsidR="00C47C2A" w:rsidRDefault="00C47C2A" w14:paraId="7556121D" w14:textId="77777777">
      <w:pPr>
        <w:rPr>
          <w:rFonts w:ascii="Book Antiqua" w:hAnsi="Book Antiqua"/>
          <w:szCs w:val="24"/>
        </w:rPr>
      </w:pPr>
    </w:p>
    <w:p w:rsidRPr="00B27B03" w:rsidR="00C47C2A" w:rsidRDefault="00C47C2A" w14:paraId="0201C67E" w14:textId="77777777">
      <w:pPr>
        <w:rPr>
          <w:rFonts w:ascii="Book Antiqua" w:hAnsi="Book Antiqua"/>
          <w:b/>
          <w:szCs w:val="24"/>
          <w:u w:val="single"/>
        </w:rPr>
      </w:pPr>
      <w:r w:rsidRPr="00B27B03">
        <w:rPr>
          <w:rFonts w:ascii="Book Antiqua" w:hAnsi="Book Antiqua"/>
          <w:b/>
          <w:szCs w:val="24"/>
          <w:u w:val="single"/>
        </w:rPr>
        <w:t>BACKGROUND</w:t>
      </w:r>
    </w:p>
    <w:p w:rsidRPr="00B27B03" w:rsidR="005C146A" w:rsidP="000B5192" w:rsidRDefault="005C146A" w14:paraId="1B86387E" w14:textId="77777777">
      <w:pPr>
        <w:pStyle w:val="Standard"/>
        <w:spacing w:line="240" w:lineRule="auto"/>
        <w:ind w:firstLine="0"/>
        <w:rPr>
          <w:sz w:val="24"/>
          <w:szCs w:val="24"/>
        </w:rPr>
      </w:pPr>
    </w:p>
    <w:p w:rsidR="00234536" w:rsidP="000B5192" w:rsidRDefault="00234536" w14:paraId="4012FC8A" w14:textId="4E2278C0">
      <w:pPr>
        <w:pStyle w:val="Standard"/>
        <w:spacing w:line="240" w:lineRule="auto"/>
        <w:ind w:firstLine="0"/>
        <w:rPr>
          <w:sz w:val="24"/>
          <w:szCs w:val="24"/>
        </w:rPr>
      </w:pPr>
      <w:r>
        <w:rPr>
          <w:sz w:val="24"/>
          <w:szCs w:val="24"/>
        </w:rPr>
        <w:t xml:space="preserve">On </w:t>
      </w:r>
      <w:r w:rsidR="00D55C5F">
        <w:rPr>
          <w:sz w:val="24"/>
          <w:szCs w:val="24"/>
        </w:rPr>
        <w:t>July 15, 2021</w:t>
      </w:r>
      <w:r>
        <w:rPr>
          <w:sz w:val="24"/>
          <w:szCs w:val="24"/>
        </w:rPr>
        <w:t xml:space="preserve">, </w:t>
      </w:r>
      <w:r w:rsidR="006F0D31">
        <w:rPr>
          <w:sz w:val="24"/>
          <w:szCs w:val="24"/>
        </w:rPr>
        <w:t>San Diego Community Power (</w:t>
      </w:r>
      <w:r>
        <w:rPr>
          <w:sz w:val="24"/>
          <w:szCs w:val="24"/>
        </w:rPr>
        <w:t>SDCP</w:t>
      </w:r>
      <w:r w:rsidR="006F0D31">
        <w:rPr>
          <w:sz w:val="24"/>
          <w:szCs w:val="24"/>
        </w:rPr>
        <w:t xml:space="preserve"> or Appellant)</w:t>
      </w:r>
      <w:r>
        <w:rPr>
          <w:sz w:val="24"/>
          <w:szCs w:val="24"/>
        </w:rPr>
        <w:t xml:space="preserve"> filed its </w:t>
      </w:r>
      <w:r w:rsidR="00AD7A32">
        <w:rPr>
          <w:sz w:val="24"/>
          <w:szCs w:val="24"/>
        </w:rPr>
        <w:t>September</w:t>
      </w:r>
      <w:r w:rsidR="00377AC0">
        <w:rPr>
          <w:sz w:val="24"/>
          <w:szCs w:val="24"/>
        </w:rPr>
        <w:t> </w:t>
      </w:r>
      <w:r w:rsidR="00AD7A32">
        <w:rPr>
          <w:sz w:val="24"/>
          <w:szCs w:val="24"/>
        </w:rPr>
        <w:t>2021</w:t>
      </w:r>
      <w:r w:rsidR="00DC000E">
        <w:rPr>
          <w:sz w:val="24"/>
          <w:szCs w:val="24"/>
        </w:rPr>
        <w:t xml:space="preserve"> </w:t>
      </w:r>
      <w:r w:rsidR="006F0D31">
        <w:rPr>
          <w:sz w:val="24"/>
          <w:szCs w:val="24"/>
        </w:rPr>
        <w:t xml:space="preserve">month-ahead </w:t>
      </w:r>
      <w:r w:rsidR="00DC000E">
        <w:rPr>
          <w:sz w:val="24"/>
          <w:szCs w:val="24"/>
        </w:rPr>
        <w:t xml:space="preserve">system </w:t>
      </w:r>
      <w:r w:rsidR="006F0D31">
        <w:rPr>
          <w:sz w:val="24"/>
          <w:szCs w:val="24"/>
        </w:rPr>
        <w:t>Resource Adequacy (</w:t>
      </w:r>
      <w:r w:rsidR="00DC000E">
        <w:rPr>
          <w:sz w:val="24"/>
          <w:szCs w:val="24"/>
        </w:rPr>
        <w:t>RA</w:t>
      </w:r>
      <w:r w:rsidR="006F0D31">
        <w:rPr>
          <w:sz w:val="24"/>
          <w:szCs w:val="24"/>
        </w:rPr>
        <w:t>)</w:t>
      </w:r>
      <w:r w:rsidR="00DC000E">
        <w:rPr>
          <w:sz w:val="24"/>
          <w:szCs w:val="24"/>
        </w:rPr>
        <w:t xml:space="preserve"> compliance filing.</w:t>
      </w:r>
      <w:r w:rsidR="009D2BBE">
        <w:rPr>
          <w:rStyle w:val="FootnoteReference"/>
          <w:sz w:val="24"/>
          <w:szCs w:val="24"/>
        </w:rPr>
        <w:footnoteReference w:id="1"/>
      </w:r>
      <w:r w:rsidR="00DC000E">
        <w:rPr>
          <w:sz w:val="24"/>
          <w:szCs w:val="24"/>
        </w:rPr>
        <w:t xml:space="preserve">  On </w:t>
      </w:r>
      <w:r w:rsidR="00AD7A32">
        <w:rPr>
          <w:sz w:val="24"/>
          <w:szCs w:val="24"/>
        </w:rPr>
        <w:t>July</w:t>
      </w:r>
      <w:r w:rsidR="00377AC0">
        <w:rPr>
          <w:sz w:val="24"/>
          <w:szCs w:val="24"/>
        </w:rPr>
        <w:t> </w:t>
      </w:r>
      <w:r w:rsidR="00AD7A32">
        <w:rPr>
          <w:sz w:val="24"/>
          <w:szCs w:val="24"/>
        </w:rPr>
        <w:t>26,</w:t>
      </w:r>
      <w:r w:rsidR="00377AC0">
        <w:rPr>
          <w:sz w:val="24"/>
          <w:szCs w:val="24"/>
        </w:rPr>
        <w:t> </w:t>
      </w:r>
      <w:r w:rsidR="00AD7A32">
        <w:rPr>
          <w:sz w:val="24"/>
          <w:szCs w:val="24"/>
        </w:rPr>
        <w:t>2021</w:t>
      </w:r>
      <w:r w:rsidR="00DC000E">
        <w:rPr>
          <w:sz w:val="24"/>
          <w:szCs w:val="24"/>
        </w:rPr>
        <w:t xml:space="preserve">, </w:t>
      </w:r>
      <w:r w:rsidR="006F0D31">
        <w:rPr>
          <w:sz w:val="24"/>
          <w:szCs w:val="24"/>
        </w:rPr>
        <w:t xml:space="preserve">the California Public Utilities Commission’s (Commission) </w:t>
      </w:r>
      <w:r w:rsidR="00DC000E">
        <w:rPr>
          <w:sz w:val="24"/>
          <w:szCs w:val="24"/>
        </w:rPr>
        <w:t>Energy Division sent SDCP a deficiency notice</w:t>
      </w:r>
      <w:r w:rsidR="00F31FAA">
        <w:rPr>
          <w:sz w:val="24"/>
          <w:szCs w:val="24"/>
        </w:rPr>
        <w:t>, indicating a need to procure additional megawatts of system RA and provided a deadline of August 2, 2021 to come into compliance.  On August 3, 2021, Energy Division confirmed that SDCP had not cured its September 2021 month-ahead system RA deficiencies.</w:t>
      </w:r>
      <w:r w:rsidR="00DC000E">
        <w:rPr>
          <w:sz w:val="24"/>
          <w:szCs w:val="24"/>
        </w:rPr>
        <w:t xml:space="preserve"> </w:t>
      </w:r>
    </w:p>
    <w:p w:rsidR="00DC000E" w:rsidP="000B5192" w:rsidRDefault="00DC000E" w14:paraId="54A0B89C" w14:textId="77777777">
      <w:pPr>
        <w:pStyle w:val="Standard"/>
        <w:spacing w:line="240" w:lineRule="auto"/>
        <w:ind w:firstLine="0"/>
        <w:rPr>
          <w:sz w:val="24"/>
          <w:szCs w:val="24"/>
        </w:rPr>
      </w:pPr>
    </w:p>
    <w:p w:rsidRPr="00B27B03" w:rsidR="000B5192" w:rsidP="000B5192" w:rsidRDefault="005C146A" w14:paraId="073201A2" w14:textId="7F059366">
      <w:pPr>
        <w:pStyle w:val="Standard"/>
        <w:spacing w:line="240" w:lineRule="auto"/>
        <w:ind w:firstLine="0"/>
        <w:rPr>
          <w:sz w:val="24"/>
          <w:szCs w:val="24"/>
        </w:rPr>
      </w:pPr>
      <w:r w:rsidRPr="00B27B03">
        <w:rPr>
          <w:sz w:val="24"/>
          <w:szCs w:val="24"/>
        </w:rPr>
        <w:t xml:space="preserve">On </w:t>
      </w:r>
      <w:r w:rsidR="00E24EE2">
        <w:rPr>
          <w:sz w:val="24"/>
          <w:szCs w:val="24"/>
        </w:rPr>
        <w:t>October 4, 2021</w:t>
      </w:r>
      <w:r w:rsidRPr="00B27B03">
        <w:rPr>
          <w:sz w:val="24"/>
          <w:szCs w:val="24"/>
        </w:rPr>
        <w:t xml:space="preserve">, </w:t>
      </w:r>
      <w:r w:rsidR="006F0D31">
        <w:rPr>
          <w:sz w:val="24"/>
          <w:szCs w:val="24"/>
        </w:rPr>
        <w:t>the Commission’s Consumer Protection and Enforcement Division (</w:t>
      </w:r>
      <w:r w:rsidRPr="00B27B03" w:rsidR="00A4484E">
        <w:rPr>
          <w:sz w:val="24"/>
          <w:szCs w:val="24"/>
        </w:rPr>
        <w:t>CPED</w:t>
      </w:r>
      <w:r w:rsidR="006F0D31">
        <w:rPr>
          <w:sz w:val="24"/>
          <w:szCs w:val="24"/>
        </w:rPr>
        <w:t>)</w:t>
      </w:r>
      <w:r w:rsidRPr="00B27B03" w:rsidR="00A4484E">
        <w:rPr>
          <w:sz w:val="24"/>
          <w:szCs w:val="24"/>
        </w:rPr>
        <w:t xml:space="preserve"> issued Citation E-4195-</w:t>
      </w:r>
      <w:r w:rsidR="00E24EE2">
        <w:rPr>
          <w:sz w:val="24"/>
          <w:szCs w:val="24"/>
        </w:rPr>
        <w:t>01</w:t>
      </w:r>
      <w:r w:rsidR="00705DAD">
        <w:rPr>
          <w:sz w:val="24"/>
          <w:szCs w:val="24"/>
        </w:rPr>
        <w:t>07</w:t>
      </w:r>
      <w:r w:rsidRPr="00B27B03" w:rsidR="00A4484E">
        <w:rPr>
          <w:sz w:val="24"/>
          <w:szCs w:val="24"/>
        </w:rPr>
        <w:t xml:space="preserve"> to </w:t>
      </w:r>
      <w:r w:rsidR="00705DAD">
        <w:rPr>
          <w:sz w:val="24"/>
          <w:szCs w:val="24"/>
        </w:rPr>
        <w:t>SDCP</w:t>
      </w:r>
      <w:r w:rsidRPr="00B27B03">
        <w:rPr>
          <w:sz w:val="24"/>
          <w:szCs w:val="24"/>
        </w:rPr>
        <w:t xml:space="preserve">.  </w:t>
      </w:r>
      <w:r w:rsidRPr="00B27B03" w:rsidR="0017397C">
        <w:rPr>
          <w:sz w:val="24"/>
          <w:szCs w:val="24"/>
        </w:rPr>
        <w:t>A penalty of $</w:t>
      </w:r>
      <w:r w:rsidR="005C4CBF">
        <w:rPr>
          <w:sz w:val="24"/>
          <w:szCs w:val="24"/>
        </w:rPr>
        <w:t xml:space="preserve">581,817.60 </w:t>
      </w:r>
      <w:r w:rsidRPr="00B27B03" w:rsidR="0017397C">
        <w:rPr>
          <w:sz w:val="24"/>
          <w:szCs w:val="24"/>
        </w:rPr>
        <w:t>was assessed in accordance with the schedule of penalties in Resolution</w:t>
      </w:r>
      <w:r w:rsidR="00333DF1">
        <w:rPr>
          <w:sz w:val="24"/>
          <w:szCs w:val="24"/>
        </w:rPr>
        <w:t> </w:t>
      </w:r>
      <w:r w:rsidRPr="00B27B03" w:rsidR="0017397C">
        <w:rPr>
          <w:sz w:val="24"/>
          <w:szCs w:val="24"/>
        </w:rPr>
        <w:t>E</w:t>
      </w:r>
      <w:r w:rsidR="00333DF1">
        <w:rPr>
          <w:sz w:val="24"/>
          <w:szCs w:val="24"/>
        </w:rPr>
        <w:noBreakHyphen/>
      </w:r>
      <w:r w:rsidRPr="00B27B03" w:rsidR="0017397C">
        <w:rPr>
          <w:sz w:val="24"/>
          <w:szCs w:val="24"/>
        </w:rPr>
        <w:t>4195</w:t>
      </w:r>
      <w:r w:rsidRPr="00B27B03" w:rsidR="004B2128">
        <w:rPr>
          <w:sz w:val="24"/>
          <w:szCs w:val="24"/>
        </w:rPr>
        <w:t>, as modified</w:t>
      </w:r>
      <w:r w:rsidRPr="00B27B03" w:rsidR="0017397C">
        <w:rPr>
          <w:sz w:val="24"/>
          <w:szCs w:val="24"/>
        </w:rPr>
        <w:t xml:space="preserve">.  </w:t>
      </w:r>
      <w:r w:rsidRPr="00B27B03">
        <w:rPr>
          <w:sz w:val="24"/>
          <w:szCs w:val="24"/>
        </w:rPr>
        <w:t xml:space="preserve">On </w:t>
      </w:r>
      <w:r w:rsidR="005C4CBF">
        <w:rPr>
          <w:sz w:val="24"/>
          <w:szCs w:val="24"/>
        </w:rPr>
        <w:t>November 3</w:t>
      </w:r>
      <w:r w:rsidRPr="00B27B03">
        <w:rPr>
          <w:sz w:val="24"/>
          <w:szCs w:val="24"/>
        </w:rPr>
        <w:t xml:space="preserve">, 2021, </w:t>
      </w:r>
      <w:r w:rsidR="005C4CBF">
        <w:rPr>
          <w:sz w:val="24"/>
          <w:szCs w:val="24"/>
        </w:rPr>
        <w:t>SDCP</w:t>
      </w:r>
      <w:r w:rsidRPr="00B27B03">
        <w:rPr>
          <w:sz w:val="24"/>
          <w:szCs w:val="24"/>
        </w:rPr>
        <w:t xml:space="preserve"> filed </w:t>
      </w:r>
      <w:r w:rsidR="001D56AC">
        <w:rPr>
          <w:sz w:val="24"/>
          <w:szCs w:val="24"/>
        </w:rPr>
        <w:t xml:space="preserve">a </w:t>
      </w:r>
      <w:r w:rsidRPr="00B27B03">
        <w:rPr>
          <w:sz w:val="24"/>
          <w:szCs w:val="24"/>
        </w:rPr>
        <w:t>notice of appeal of Citation E-4195-</w:t>
      </w:r>
      <w:r w:rsidR="005C4CBF">
        <w:rPr>
          <w:sz w:val="24"/>
          <w:szCs w:val="24"/>
        </w:rPr>
        <w:t>0107</w:t>
      </w:r>
      <w:r w:rsidRPr="00B27B03">
        <w:rPr>
          <w:sz w:val="24"/>
          <w:szCs w:val="24"/>
        </w:rPr>
        <w:t xml:space="preserve">.  </w:t>
      </w:r>
    </w:p>
    <w:p w:rsidRPr="00B27B03" w:rsidR="005C146A" w:rsidP="000B5192" w:rsidRDefault="005C146A" w14:paraId="24755EBF" w14:textId="77777777">
      <w:pPr>
        <w:pStyle w:val="Standard"/>
        <w:spacing w:line="240" w:lineRule="auto"/>
        <w:ind w:firstLine="0"/>
        <w:rPr>
          <w:sz w:val="24"/>
          <w:szCs w:val="24"/>
        </w:rPr>
      </w:pPr>
    </w:p>
    <w:p w:rsidR="00C41B7C" w:rsidP="00A0600A" w:rsidRDefault="00A0600A" w14:paraId="57ECC190" w14:textId="0CFE3A12">
      <w:pPr>
        <w:pStyle w:val="Standard"/>
        <w:spacing w:line="240" w:lineRule="auto"/>
        <w:ind w:firstLine="0"/>
        <w:rPr>
          <w:sz w:val="24"/>
          <w:szCs w:val="24"/>
        </w:rPr>
      </w:pPr>
      <w:r w:rsidRPr="00B27B03">
        <w:rPr>
          <w:sz w:val="24"/>
          <w:szCs w:val="24"/>
        </w:rPr>
        <w:lastRenderedPageBreak/>
        <w:t xml:space="preserve">On </w:t>
      </w:r>
      <w:r w:rsidR="005B49E1">
        <w:rPr>
          <w:sz w:val="24"/>
          <w:szCs w:val="24"/>
        </w:rPr>
        <w:t>November 17, 2021, CPED filed its Compliance Filing pursuant to Resolution</w:t>
      </w:r>
      <w:r w:rsidR="00377AC0">
        <w:rPr>
          <w:sz w:val="24"/>
          <w:szCs w:val="24"/>
        </w:rPr>
        <w:t> </w:t>
      </w:r>
      <w:r w:rsidR="005B49E1">
        <w:rPr>
          <w:sz w:val="24"/>
          <w:szCs w:val="24"/>
        </w:rPr>
        <w:t>ALJ</w:t>
      </w:r>
      <w:r w:rsidR="006E3D6E">
        <w:rPr>
          <w:sz w:val="24"/>
          <w:szCs w:val="24"/>
        </w:rPr>
        <w:noBreakHyphen/>
      </w:r>
      <w:r w:rsidR="005B49E1">
        <w:rPr>
          <w:sz w:val="24"/>
          <w:szCs w:val="24"/>
        </w:rPr>
        <w:t xml:space="preserve">377.  On </w:t>
      </w:r>
      <w:r w:rsidR="005F34D5">
        <w:rPr>
          <w:sz w:val="24"/>
          <w:szCs w:val="24"/>
        </w:rPr>
        <w:t>December 30</w:t>
      </w:r>
      <w:r w:rsidRPr="00B27B03">
        <w:rPr>
          <w:sz w:val="24"/>
          <w:szCs w:val="24"/>
        </w:rPr>
        <w:t xml:space="preserve">, 2021, CPED and </w:t>
      </w:r>
      <w:r w:rsidR="005F34D5">
        <w:rPr>
          <w:sz w:val="24"/>
          <w:szCs w:val="24"/>
        </w:rPr>
        <w:t xml:space="preserve">SDCP </w:t>
      </w:r>
      <w:r w:rsidRPr="00B27B03">
        <w:rPr>
          <w:sz w:val="24"/>
          <w:szCs w:val="24"/>
        </w:rPr>
        <w:t xml:space="preserve">filed </w:t>
      </w:r>
      <w:r w:rsidR="00FA153B">
        <w:rPr>
          <w:sz w:val="24"/>
          <w:szCs w:val="24"/>
        </w:rPr>
        <w:t>a</w:t>
      </w:r>
      <w:r w:rsidRPr="00B27B03">
        <w:rPr>
          <w:sz w:val="24"/>
          <w:szCs w:val="24"/>
        </w:rPr>
        <w:t xml:space="preserve"> Response to the </w:t>
      </w:r>
      <w:r w:rsidRPr="00B27B03" w:rsidR="00E63C86">
        <w:rPr>
          <w:sz w:val="24"/>
          <w:szCs w:val="24"/>
        </w:rPr>
        <w:t>Administrative Law Judge’s (</w:t>
      </w:r>
      <w:r w:rsidRPr="00B27B03">
        <w:rPr>
          <w:sz w:val="24"/>
          <w:szCs w:val="24"/>
        </w:rPr>
        <w:t>ALJ</w:t>
      </w:r>
      <w:r w:rsidRPr="00B27B03" w:rsidR="00E63C86">
        <w:rPr>
          <w:sz w:val="24"/>
          <w:szCs w:val="24"/>
        </w:rPr>
        <w:t>)</w:t>
      </w:r>
      <w:r w:rsidRPr="00B27B03">
        <w:rPr>
          <w:sz w:val="24"/>
          <w:szCs w:val="24"/>
        </w:rPr>
        <w:t xml:space="preserve"> </w:t>
      </w:r>
      <w:r w:rsidR="00FA153B">
        <w:rPr>
          <w:sz w:val="24"/>
          <w:szCs w:val="24"/>
        </w:rPr>
        <w:t>ruling requesting responses</w:t>
      </w:r>
      <w:r w:rsidRPr="00B27B03">
        <w:rPr>
          <w:sz w:val="24"/>
          <w:szCs w:val="24"/>
        </w:rPr>
        <w:t xml:space="preserve">.  </w:t>
      </w:r>
      <w:r w:rsidRPr="00B27B03" w:rsidR="00E77C5C">
        <w:rPr>
          <w:sz w:val="24"/>
          <w:szCs w:val="24"/>
        </w:rPr>
        <w:t xml:space="preserve">On </w:t>
      </w:r>
      <w:r w:rsidR="008A6566">
        <w:rPr>
          <w:sz w:val="24"/>
          <w:szCs w:val="24"/>
        </w:rPr>
        <w:t xml:space="preserve">January </w:t>
      </w:r>
      <w:r w:rsidR="00BE70FF">
        <w:rPr>
          <w:sz w:val="24"/>
          <w:szCs w:val="24"/>
        </w:rPr>
        <w:t>10</w:t>
      </w:r>
      <w:r w:rsidRPr="00B27B03" w:rsidR="00E77C5C">
        <w:rPr>
          <w:sz w:val="24"/>
          <w:szCs w:val="24"/>
        </w:rPr>
        <w:t>, 202</w:t>
      </w:r>
      <w:r w:rsidR="008A6566">
        <w:rPr>
          <w:sz w:val="24"/>
          <w:szCs w:val="24"/>
        </w:rPr>
        <w:t>2</w:t>
      </w:r>
      <w:r w:rsidRPr="00B27B03" w:rsidR="00E77C5C">
        <w:rPr>
          <w:sz w:val="24"/>
          <w:szCs w:val="24"/>
        </w:rPr>
        <w:t xml:space="preserve">, the ALJ issued a ruling setting the </w:t>
      </w:r>
      <w:r w:rsidR="008A6566">
        <w:rPr>
          <w:sz w:val="24"/>
          <w:szCs w:val="24"/>
        </w:rPr>
        <w:t xml:space="preserve">proceeding </w:t>
      </w:r>
      <w:r w:rsidRPr="00B27B03" w:rsidR="00E77C5C">
        <w:rPr>
          <w:sz w:val="24"/>
          <w:szCs w:val="24"/>
        </w:rPr>
        <w:t xml:space="preserve">schedule.  </w:t>
      </w:r>
      <w:r w:rsidR="00984A78">
        <w:rPr>
          <w:sz w:val="24"/>
          <w:szCs w:val="24"/>
        </w:rPr>
        <w:t xml:space="preserve">Prepared testimony was served by parties on April 26, 2022, and reply testimony was served on May 20, 2022.  </w:t>
      </w:r>
    </w:p>
    <w:p w:rsidR="00C41B7C" w:rsidP="00A0600A" w:rsidRDefault="00C41B7C" w14:paraId="6914BD20" w14:textId="77777777">
      <w:pPr>
        <w:pStyle w:val="Standard"/>
        <w:spacing w:line="240" w:lineRule="auto"/>
        <w:ind w:firstLine="0"/>
        <w:rPr>
          <w:sz w:val="24"/>
          <w:szCs w:val="24"/>
        </w:rPr>
      </w:pPr>
    </w:p>
    <w:p w:rsidR="00984A78" w:rsidP="00A0600A" w:rsidRDefault="004979DE" w14:paraId="21CE53D4" w14:textId="72964964">
      <w:pPr>
        <w:pStyle w:val="Standard"/>
        <w:spacing w:line="240" w:lineRule="auto"/>
        <w:ind w:firstLine="0"/>
        <w:rPr>
          <w:sz w:val="24"/>
          <w:szCs w:val="24"/>
        </w:rPr>
      </w:pPr>
      <w:r>
        <w:rPr>
          <w:sz w:val="24"/>
          <w:szCs w:val="24"/>
        </w:rPr>
        <w:t>On June 17, 2022, CPED and SDCP filed a Joint Submission pursuant to the ALJ’s ruling</w:t>
      </w:r>
      <w:r w:rsidR="005311E1">
        <w:rPr>
          <w:sz w:val="24"/>
          <w:szCs w:val="24"/>
        </w:rPr>
        <w:t xml:space="preserve"> requesting information.  In the Joint Submission, </w:t>
      </w:r>
      <w:r w:rsidR="00104E81">
        <w:rPr>
          <w:sz w:val="24"/>
          <w:szCs w:val="24"/>
        </w:rPr>
        <w:t xml:space="preserve">CPED and SDCP stated that while there are disputed facts, </w:t>
      </w:r>
      <w:r w:rsidR="00DF58D7">
        <w:rPr>
          <w:sz w:val="24"/>
          <w:szCs w:val="24"/>
        </w:rPr>
        <w:t xml:space="preserve">any additional evidence elicited at a hearing is unlikely to be probative or materially important in resolving the appeal. </w:t>
      </w:r>
      <w:r w:rsidR="00F60015">
        <w:rPr>
          <w:sz w:val="24"/>
          <w:szCs w:val="24"/>
        </w:rPr>
        <w:t xml:space="preserve"> </w:t>
      </w:r>
      <w:r w:rsidR="00DF58D7">
        <w:rPr>
          <w:sz w:val="24"/>
          <w:szCs w:val="24"/>
        </w:rPr>
        <w:t xml:space="preserve">CPED and SDCP </w:t>
      </w:r>
      <w:r w:rsidR="00F60015">
        <w:rPr>
          <w:sz w:val="24"/>
          <w:szCs w:val="24"/>
        </w:rPr>
        <w:t xml:space="preserve">therefore </w:t>
      </w:r>
      <w:r w:rsidR="0088073B">
        <w:rPr>
          <w:sz w:val="24"/>
          <w:szCs w:val="24"/>
        </w:rPr>
        <w:t>agreed to waive cross-examination and that there was no need for a hearing.</w:t>
      </w:r>
    </w:p>
    <w:p w:rsidR="00984A78" w:rsidP="00A0600A" w:rsidRDefault="00984A78" w14:paraId="546AADAD" w14:textId="77777777">
      <w:pPr>
        <w:pStyle w:val="Standard"/>
        <w:spacing w:line="240" w:lineRule="auto"/>
        <w:ind w:firstLine="0"/>
        <w:rPr>
          <w:sz w:val="24"/>
          <w:szCs w:val="24"/>
        </w:rPr>
      </w:pPr>
    </w:p>
    <w:p w:rsidRPr="007E4304" w:rsidR="00901A0B" w:rsidP="007E4304" w:rsidRDefault="00E63C86" w14:paraId="22B7CF8D" w14:textId="6E0CB102">
      <w:pPr>
        <w:pStyle w:val="Standard"/>
        <w:spacing w:line="240" w:lineRule="auto"/>
        <w:ind w:firstLine="0"/>
        <w:rPr>
          <w:sz w:val="24"/>
          <w:szCs w:val="24"/>
        </w:rPr>
      </w:pPr>
      <w:r w:rsidRPr="00B27B03">
        <w:rPr>
          <w:sz w:val="24"/>
          <w:szCs w:val="24"/>
        </w:rPr>
        <w:t>O</w:t>
      </w:r>
      <w:r w:rsidRPr="00B27B03" w:rsidR="00EF30A3">
        <w:rPr>
          <w:sz w:val="24"/>
          <w:szCs w:val="24"/>
        </w:rPr>
        <w:t xml:space="preserve">pening briefs </w:t>
      </w:r>
      <w:r w:rsidRPr="00B27B03">
        <w:rPr>
          <w:sz w:val="24"/>
          <w:szCs w:val="24"/>
        </w:rPr>
        <w:t xml:space="preserve">were </w:t>
      </w:r>
      <w:r w:rsidRPr="00B27B03" w:rsidR="00EF30A3">
        <w:rPr>
          <w:sz w:val="24"/>
          <w:szCs w:val="24"/>
        </w:rPr>
        <w:t xml:space="preserve">submitted on </w:t>
      </w:r>
      <w:r w:rsidR="008421FA">
        <w:rPr>
          <w:sz w:val="24"/>
          <w:szCs w:val="24"/>
        </w:rPr>
        <w:t>September 19, 2022</w:t>
      </w:r>
      <w:r w:rsidRPr="00B27B03">
        <w:rPr>
          <w:sz w:val="24"/>
          <w:szCs w:val="24"/>
        </w:rPr>
        <w:t xml:space="preserve">, and </w:t>
      </w:r>
      <w:r w:rsidRPr="00B27B03" w:rsidR="00EF30A3">
        <w:rPr>
          <w:sz w:val="24"/>
          <w:szCs w:val="24"/>
        </w:rPr>
        <w:t xml:space="preserve">reply briefs </w:t>
      </w:r>
      <w:r w:rsidRPr="00B27B03">
        <w:rPr>
          <w:sz w:val="24"/>
          <w:szCs w:val="24"/>
        </w:rPr>
        <w:t xml:space="preserve">were </w:t>
      </w:r>
      <w:r w:rsidRPr="00B27B03" w:rsidR="00EF30A3">
        <w:rPr>
          <w:sz w:val="24"/>
          <w:szCs w:val="24"/>
        </w:rPr>
        <w:t xml:space="preserve">submitted on </w:t>
      </w:r>
      <w:r w:rsidR="008421FA">
        <w:rPr>
          <w:sz w:val="24"/>
          <w:szCs w:val="24"/>
        </w:rPr>
        <w:t>October 11, 2022</w:t>
      </w:r>
      <w:r w:rsidRPr="00B27B03" w:rsidR="00EF30A3">
        <w:rPr>
          <w:sz w:val="24"/>
          <w:szCs w:val="24"/>
        </w:rPr>
        <w:t>.</w:t>
      </w:r>
      <w:r w:rsidRPr="00B27B03">
        <w:rPr>
          <w:sz w:val="24"/>
          <w:szCs w:val="24"/>
        </w:rPr>
        <w:t xml:space="preserve">  </w:t>
      </w:r>
      <w:r w:rsidRPr="007E4304" w:rsidR="00901A0B">
        <w:rPr>
          <w:sz w:val="24"/>
          <w:szCs w:val="24"/>
        </w:rPr>
        <w:t xml:space="preserve">On </w:t>
      </w:r>
      <w:r w:rsidR="003A23FA">
        <w:rPr>
          <w:sz w:val="24"/>
          <w:szCs w:val="24"/>
        </w:rPr>
        <w:t>December 9, 2022</w:t>
      </w:r>
      <w:r w:rsidRPr="007E4304" w:rsidR="00901A0B">
        <w:rPr>
          <w:sz w:val="24"/>
          <w:szCs w:val="24"/>
        </w:rPr>
        <w:t xml:space="preserve">, the ALJ granted </w:t>
      </w:r>
      <w:r w:rsidR="00BF1794">
        <w:rPr>
          <w:sz w:val="24"/>
          <w:szCs w:val="24"/>
        </w:rPr>
        <w:t xml:space="preserve">parties’ joint </w:t>
      </w:r>
      <w:r w:rsidRPr="007E4304" w:rsidR="00901A0B">
        <w:rPr>
          <w:sz w:val="24"/>
          <w:szCs w:val="24"/>
        </w:rPr>
        <w:t>motion to admit evidence based on parties’ stipulation.</w:t>
      </w:r>
      <w:r w:rsidRPr="007E4304" w:rsidR="00574EFD">
        <w:rPr>
          <w:sz w:val="24"/>
          <w:szCs w:val="24"/>
        </w:rPr>
        <w:t xml:space="preserve">  </w:t>
      </w:r>
    </w:p>
    <w:p w:rsidRPr="00B27B03" w:rsidR="00901A0B" w:rsidRDefault="00901A0B" w14:paraId="00A20CA6" w14:textId="77777777">
      <w:pPr>
        <w:rPr>
          <w:rFonts w:ascii="Book Antiqua" w:hAnsi="Book Antiqua"/>
          <w:szCs w:val="24"/>
        </w:rPr>
      </w:pPr>
    </w:p>
    <w:p w:rsidRPr="00B27B03" w:rsidR="00C47C2A" w:rsidRDefault="000079B4" w14:paraId="63CBE729" w14:textId="77777777">
      <w:pPr>
        <w:keepNext/>
        <w:rPr>
          <w:rFonts w:ascii="Book Antiqua" w:hAnsi="Book Antiqua"/>
          <w:b/>
          <w:szCs w:val="24"/>
          <w:u w:val="single"/>
        </w:rPr>
      </w:pPr>
      <w:r w:rsidRPr="00B27B03">
        <w:rPr>
          <w:rFonts w:ascii="Book Antiqua" w:hAnsi="Book Antiqua"/>
          <w:b/>
          <w:szCs w:val="24"/>
          <w:u w:val="single"/>
        </w:rPr>
        <w:t>STANDARD OF REVIEW</w:t>
      </w:r>
    </w:p>
    <w:p w:rsidRPr="00B27B03" w:rsidR="000B5192" w:rsidP="000B5192" w:rsidRDefault="000B5192" w14:paraId="20700C34" w14:textId="77777777">
      <w:pPr>
        <w:pStyle w:val="Standard"/>
        <w:spacing w:line="240" w:lineRule="auto"/>
        <w:ind w:firstLine="0"/>
        <w:rPr>
          <w:sz w:val="24"/>
          <w:szCs w:val="24"/>
        </w:rPr>
      </w:pPr>
    </w:p>
    <w:p w:rsidRPr="00B27B03" w:rsidR="00AA5653" w:rsidP="00AA5653" w:rsidRDefault="000B5192" w14:paraId="0590F2F2" w14:textId="77777777">
      <w:pPr>
        <w:pStyle w:val="Standard"/>
        <w:numPr>
          <w:ilvl w:val="0"/>
          <w:numId w:val="6"/>
        </w:numPr>
        <w:spacing w:line="240" w:lineRule="auto"/>
        <w:rPr>
          <w:b/>
          <w:bCs/>
          <w:sz w:val="24"/>
          <w:szCs w:val="24"/>
          <w:u w:val="single"/>
        </w:rPr>
      </w:pPr>
      <w:r w:rsidRPr="00B27B03">
        <w:rPr>
          <w:b/>
          <w:bCs/>
          <w:sz w:val="24"/>
          <w:szCs w:val="24"/>
          <w:u w:val="single"/>
        </w:rPr>
        <w:t xml:space="preserve">Applicable </w:t>
      </w:r>
      <w:r w:rsidRPr="00B27B03" w:rsidR="00CB145B">
        <w:rPr>
          <w:b/>
          <w:bCs/>
          <w:sz w:val="24"/>
          <w:szCs w:val="24"/>
          <w:u w:val="single"/>
        </w:rPr>
        <w:t>Rules and Decisions on RA Enforcemen</w:t>
      </w:r>
      <w:r w:rsidRPr="00B27B03" w:rsidR="0009607C">
        <w:rPr>
          <w:b/>
          <w:bCs/>
          <w:sz w:val="24"/>
          <w:szCs w:val="24"/>
          <w:u w:val="single"/>
        </w:rPr>
        <w:t>t and Citation Appeals</w:t>
      </w:r>
    </w:p>
    <w:p w:rsidRPr="00B27B03" w:rsidR="00AA5653" w:rsidP="00AA5653" w:rsidRDefault="00AA5653" w14:paraId="24C4EF67" w14:textId="77777777">
      <w:pPr>
        <w:pStyle w:val="Standard"/>
        <w:spacing w:line="240" w:lineRule="auto"/>
        <w:rPr>
          <w:b/>
          <w:bCs/>
          <w:sz w:val="24"/>
          <w:szCs w:val="24"/>
          <w:u w:val="single"/>
        </w:rPr>
      </w:pPr>
    </w:p>
    <w:p w:rsidRPr="00B27B03" w:rsidR="00AA5653" w:rsidP="00AA5653" w:rsidRDefault="00AA5653" w14:paraId="322112D1" w14:textId="77777777">
      <w:pPr>
        <w:rPr>
          <w:rFonts w:ascii="Book Antiqua" w:hAnsi="Book Antiqua"/>
          <w:szCs w:val="24"/>
        </w:rPr>
      </w:pPr>
      <w:r w:rsidRPr="00B27B03">
        <w:rPr>
          <w:rFonts w:ascii="Book Antiqua" w:hAnsi="Book Antiqua"/>
          <w:szCs w:val="24"/>
        </w:rPr>
        <w:t xml:space="preserve">Public Utilities (Pub. Util.) Code </w:t>
      </w:r>
      <w:r w:rsidRPr="00B27B03" w:rsidR="0018501B">
        <w:rPr>
          <w:rFonts w:ascii="Book Antiqua" w:hAnsi="Book Antiqua"/>
          <w:szCs w:val="24"/>
        </w:rPr>
        <w:t>§</w:t>
      </w:r>
      <w:r w:rsidRPr="00B27B03">
        <w:rPr>
          <w:rFonts w:ascii="Book Antiqua" w:hAnsi="Book Antiqua"/>
          <w:szCs w:val="24"/>
        </w:rPr>
        <w:t xml:space="preserve"> 380 </w:t>
      </w:r>
      <w:r w:rsidRPr="00B27B03" w:rsidR="00CB145B">
        <w:rPr>
          <w:rFonts w:ascii="Book Antiqua" w:hAnsi="Book Antiqua"/>
          <w:szCs w:val="24"/>
        </w:rPr>
        <w:t>governs</w:t>
      </w:r>
      <w:r w:rsidRPr="00B27B03">
        <w:rPr>
          <w:rFonts w:ascii="Book Antiqua" w:hAnsi="Book Antiqua"/>
          <w:szCs w:val="24"/>
        </w:rPr>
        <w:t xml:space="preserve"> </w:t>
      </w:r>
      <w:r w:rsidRPr="00B27B03" w:rsidR="00CB145B">
        <w:rPr>
          <w:rFonts w:ascii="Book Antiqua" w:hAnsi="Book Antiqua"/>
          <w:szCs w:val="24"/>
        </w:rPr>
        <w:t>California’s</w:t>
      </w:r>
      <w:r w:rsidRPr="00B27B03">
        <w:rPr>
          <w:rFonts w:ascii="Book Antiqua" w:hAnsi="Book Antiqua"/>
          <w:szCs w:val="24"/>
        </w:rPr>
        <w:t xml:space="preserve"> Resource Adequacy program</w:t>
      </w:r>
      <w:r w:rsidRPr="00B27B03" w:rsidR="00CB145B">
        <w:rPr>
          <w:rFonts w:ascii="Book Antiqua" w:hAnsi="Book Antiqua"/>
          <w:szCs w:val="24"/>
        </w:rPr>
        <w:t xml:space="preserve">.  Section 380(e) </w:t>
      </w:r>
      <w:r w:rsidRPr="00B27B03" w:rsidR="005B4C7C">
        <w:rPr>
          <w:rFonts w:ascii="Book Antiqua" w:hAnsi="Book Antiqua"/>
          <w:szCs w:val="24"/>
        </w:rPr>
        <w:t>addresses</w:t>
      </w:r>
      <w:r w:rsidRPr="00B27B03" w:rsidR="00CB145B">
        <w:rPr>
          <w:rFonts w:ascii="Book Antiqua" w:hAnsi="Book Antiqua"/>
          <w:szCs w:val="24"/>
        </w:rPr>
        <w:t xml:space="preserve"> enforcement of the RA requirements and provides</w:t>
      </w:r>
      <w:r w:rsidRPr="00B27B03" w:rsidR="00C51A2E">
        <w:rPr>
          <w:rFonts w:ascii="Book Antiqua" w:hAnsi="Book Antiqua"/>
          <w:szCs w:val="24"/>
        </w:rPr>
        <w:t xml:space="preserve"> that</w:t>
      </w:r>
      <w:r w:rsidRPr="00B27B03" w:rsidR="00CB145B">
        <w:rPr>
          <w:rFonts w:ascii="Book Antiqua" w:hAnsi="Book Antiqua"/>
          <w:szCs w:val="24"/>
        </w:rPr>
        <w:t xml:space="preserve">: </w:t>
      </w:r>
    </w:p>
    <w:p w:rsidRPr="00B27B03" w:rsidR="00CB145B" w:rsidP="00AA5653" w:rsidRDefault="00CB145B" w14:paraId="39DBB1F2" w14:textId="77777777">
      <w:pPr>
        <w:rPr>
          <w:rFonts w:ascii="Book Antiqua" w:hAnsi="Book Antiqua"/>
          <w:szCs w:val="24"/>
        </w:rPr>
      </w:pPr>
    </w:p>
    <w:p w:rsidRPr="00B27B03" w:rsidR="00CB145B" w:rsidP="006D0A8D" w:rsidRDefault="00CB145B" w14:paraId="3C465879" w14:textId="5A73FF32">
      <w:pPr>
        <w:ind w:left="720" w:right="1440"/>
        <w:rPr>
          <w:rFonts w:ascii="Book Antiqua" w:hAnsi="Book Antiqua"/>
          <w:szCs w:val="24"/>
        </w:rPr>
      </w:pPr>
      <w:r w:rsidRPr="00B27B03">
        <w:rPr>
          <w:rFonts w:ascii="Book Antiqua" w:hAnsi="Book Antiqua"/>
          <w:szCs w:val="24"/>
        </w:rPr>
        <w:t>The commission shall implement and enforce the resource adequacy requirements established in accordance with this section in a nondiscriminatory manner.  Each load-serving entity shall be subject to the same requirements for resource adequacy and the renewables portfolio standard program that are applicable to electrical corporations pursuant to this section, or otherwise required by law, or by order or decision of the commission.</w:t>
      </w:r>
      <w:r w:rsidR="00333DF1">
        <w:rPr>
          <w:rFonts w:ascii="Book Antiqua" w:hAnsi="Book Antiqua"/>
          <w:szCs w:val="24"/>
        </w:rPr>
        <w:t xml:space="preserve">  </w:t>
      </w:r>
      <w:r w:rsidRPr="00B27B03">
        <w:rPr>
          <w:rFonts w:ascii="Book Antiqua" w:hAnsi="Book Antiqua"/>
          <w:szCs w:val="24"/>
        </w:rPr>
        <w:t>The commission shall exercise its enforcement powers to ensure compliance by all load-serving entities.</w:t>
      </w:r>
    </w:p>
    <w:p w:rsidRPr="00B27B03" w:rsidR="00AA5653" w:rsidRDefault="00AA5653" w14:paraId="71BCDF57" w14:textId="77777777">
      <w:pPr>
        <w:rPr>
          <w:rFonts w:ascii="Book Antiqua" w:hAnsi="Book Antiqua"/>
          <w:bCs/>
          <w:caps/>
          <w:szCs w:val="24"/>
        </w:rPr>
      </w:pPr>
    </w:p>
    <w:p w:rsidRPr="00424539" w:rsidR="00691D31" w:rsidP="00284CBA" w:rsidRDefault="00CB145B" w14:paraId="2A1AB72D" w14:textId="4C4D746C">
      <w:pPr>
        <w:autoSpaceDE w:val="0"/>
        <w:autoSpaceDN w:val="0"/>
        <w:adjustRightInd w:val="0"/>
        <w:rPr>
          <w:rFonts w:ascii="Book Antiqua" w:hAnsi="Book Antiqua" w:cs="BookAntiqua"/>
          <w:szCs w:val="24"/>
        </w:rPr>
      </w:pPr>
      <w:r w:rsidRPr="00B27B03">
        <w:rPr>
          <w:rFonts w:ascii="Book Antiqua" w:hAnsi="Book Antiqua" w:cs="BookAntiqua"/>
          <w:szCs w:val="24"/>
        </w:rPr>
        <w:t>In D</w:t>
      </w:r>
      <w:r w:rsidR="005E3373">
        <w:rPr>
          <w:rFonts w:ascii="Book Antiqua" w:hAnsi="Book Antiqua" w:cs="BookAntiqua"/>
          <w:szCs w:val="24"/>
        </w:rPr>
        <w:t xml:space="preserve">ecision (D.) </w:t>
      </w:r>
      <w:r w:rsidRPr="00B27B03">
        <w:rPr>
          <w:rFonts w:ascii="Book Antiqua" w:hAnsi="Book Antiqua" w:cs="BookAntiqua"/>
          <w:szCs w:val="24"/>
        </w:rPr>
        <w:t xml:space="preserve">05-10-042, the Commission adopted a penalty regime for </w:t>
      </w:r>
      <w:r w:rsidRPr="00B27B03" w:rsidR="00F97D6D">
        <w:rPr>
          <w:rFonts w:ascii="Book Antiqua" w:hAnsi="Book Antiqua" w:cs="BookAntiqua"/>
          <w:szCs w:val="24"/>
        </w:rPr>
        <w:t>load-serving entities (</w:t>
      </w:r>
      <w:r w:rsidRPr="00B27B03">
        <w:rPr>
          <w:rFonts w:ascii="Book Antiqua" w:hAnsi="Book Antiqua" w:cs="BookAntiqua"/>
          <w:szCs w:val="24"/>
        </w:rPr>
        <w:t>LSEs</w:t>
      </w:r>
      <w:r w:rsidRPr="00B27B03" w:rsidR="00F97D6D">
        <w:rPr>
          <w:rFonts w:ascii="Book Antiqua" w:hAnsi="Book Antiqua" w:cs="BookAntiqua"/>
          <w:szCs w:val="24"/>
        </w:rPr>
        <w:t>)</w:t>
      </w:r>
      <w:r w:rsidRPr="00B27B03">
        <w:rPr>
          <w:rFonts w:ascii="Book Antiqua" w:hAnsi="Book Antiqua" w:cs="BookAntiqua"/>
          <w:szCs w:val="24"/>
        </w:rPr>
        <w:t xml:space="preserve"> that fa</w:t>
      </w:r>
      <w:r w:rsidRPr="00B27B03" w:rsidR="001541BD">
        <w:rPr>
          <w:rFonts w:ascii="Book Antiqua" w:hAnsi="Book Antiqua" w:cs="BookAntiqua"/>
          <w:szCs w:val="24"/>
        </w:rPr>
        <w:t>il to procure sufficient system RA capacity.</w:t>
      </w:r>
      <w:r w:rsidRPr="00B27B03" w:rsidR="0003439C">
        <w:rPr>
          <w:rStyle w:val="FootnoteReference"/>
          <w:rFonts w:ascii="Book Antiqua" w:hAnsi="Book Antiqua" w:cs="BookAntiqua"/>
          <w:szCs w:val="24"/>
        </w:rPr>
        <w:footnoteReference w:id="2"/>
      </w:r>
      <w:r w:rsidRPr="00B27B03" w:rsidR="001541BD">
        <w:rPr>
          <w:rFonts w:ascii="Book Antiqua" w:hAnsi="Book Antiqua" w:cs="BookAntiqua"/>
          <w:szCs w:val="24"/>
        </w:rPr>
        <w:t xml:space="preserve">  </w:t>
      </w:r>
      <w:r w:rsidRPr="00B27B03" w:rsidR="00734A61">
        <w:rPr>
          <w:rFonts w:ascii="Book Antiqua" w:hAnsi="Book Antiqua"/>
          <w:szCs w:val="24"/>
        </w:rPr>
        <w:t>Resolution E-4017 established a citation program to enforce the Commission’s RA program requirements and included a schedule of penalties.  Resolution E-4195, adopted on November 6, 2008, superseded and replaced Resolution E-4017</w:t>
      </w:r>
      <w:r w:rsidRPr="00B27B03" w:rsidR="00C51A2E">
        <w:rPr>
          <w:rFonts w:ascii="Book Antiqua" w:hAnsi="Book Antiqua"/>
          <w:szCs w:val="24"/>
        </w:rPr>
        <w:t xml:space="preserve"> in its entirety, and </w:t>
      </w:r>
      <w:r w:rsidRPr="00B27B03" w:rsidR="00734A61">
        <w:rPr>
          <w:rFonts w:ascii="Book Antiqua" w:hAnsi="Book Antiqua"/>
          <w:szCs w:val="24"/>
        </w:rPr>
        <w:t>updated the schedule of penalties for violations of the RA requirements.  Resolution E-4195 has been modified by several decisions, including D.10-06-036, D.11</w:t>
      </w:r>
      <w:r w:rsidR="00333DF1">
        <w:rPr>
          <w:rFonts w:ascii="Book Antiqua" w:hAnsi="Book Antiqua"/>
          <w:szCs w:val="24"/>
        </w:rPr>
        <w:noBreakHyphen/>
      </w:r>
      <w:r w:rsidRPr="00B27B03" w:rsidR="00734A61">
        <w:rPr>
          <w:rFonts w:ascii="Book Antiqua" w:hAnsi="Book Antiqua"/>
          <w:szCs w:val="24"/>
        </w:rPr>
        <w:t>06-022, D.14-06-050</w:t>
      </w:r>
      <w:r w:rsidRPr="00B27B03" w:rsidR="00AF5928">
        <w:rPr>
          <w:rFonts w:ascii="Book Antiqua" w:hAnsi="Book Antiqua"/>
          <w:szCs w:val="24"/>
        </w:rPr>
        <w:t>, and D.19-06-026</w:t>
      </w:r>
      <w:r w:rsidRPr="00B27B03" w:rsidR="00734A61">
        <w:rPr>
          <w:rFonts w:ascii="Book Antiqua" w:hAnsi="Book Antiqua"/>
          <w:szCs w:val="24"/>
        </w:rPr>
        <w:t xml:space="preserve">.  </w:t>
      </w:r>
    </w:p>
    <w:p w:rsidRPr="00B27B03" w:rsidR="00691D31" w:rsidP="00284CBA" w:rsidRDefault="00691D31" w14:paraId="5DF20A58" w14:textId="77777777">
      <w:pPr>
        <w:autoSpaceDE w:val="0"/>
        <w:autoSpaceDN w:val="0"/>
        <w:adjustRightInd w:val="0"/>
        <w:rPr>
          <w:rFonts w:ascii="Book Antiqua" w:hAnsi="Book Antiqua"/>
          <w:szCs w:val="24"/>
        </w:rPr>
      </w:pPr>
    </w:p>
    <w:p w:rsidRPr="00B27B03" w:rsidR="0068533B" w:rsidP="0068533B" w:rsidRDefault="00734A61" w14:paraId="2983B95F" w14:textId="0A657A42">
      <w:pPr>
        <w:autoSpaceDE w:val="0"/>
        <w:autoSpaceDN w:val="0"/>
        <w:adjustRightInd w:val="0"/>
        <w:rPr>
          <w:rFonts w:ascii="Book Antiqua" w:hAnsi="Book Antiqua"/>
          <w:szCs w:val="24"/>
        </w:rPr>
      </w:pPr>
      <w:r w:rsidRPr="00B27B03">
        <w:rPr>
          <w:rFonts w:ascii="Book Antiqua" w:hAnsi="Book Antiqua"/>
          <w:szCs w:val="24"/>
        </w:rPr>
        <w:t>Resolution ALJ-</w:t>
      </w:r>
      <w:r w:rsidR="00B358AF">
        <w:rPr>
          <w:rFonts w:ascii="Book Antiqua" w:hAnsi="Book Antiqua"/>
          <w:szCs w:val="24"/>
        </w:rPr>
        <w:t>377</w:t>
      </w:r>
      <w:r w:rsidRPr="00B27B03" w:rsidR="00B358AF">
        <w:rPr>
          <w:rFonts w:ascii="Book Antiqua" w:hAnsi="Book Antiqua"/>
          <w:szCs w:val="24"/>
        </w:rPr>
        <w:t xml:space="preserve"> </w:t>
      </w:r>
      <w:r w:rsidRPr="00B27B03">
        <w:rPr>
          <w:rFonts w:ascii="Book Antiqua" w:hAnsi="Book Antiqua"/>
          <w:szCs w:val="24"/>
        </w:rPr>
        <w:t>established a standardized appeal process for citation appeals</w:t>
      </w:r>
      <w:r w:rsidRPr="00B27B03" w:rsidR="00C51A2E">
        <w:rPr>
          <w:rFonts w:ascii="Book Antiqua" w:hAnsi="Book Antiqua"/>
          <w:szCs w:val="24"/>
        </w:rPr>
        <w:t xml:space="preserve"> and applies here</w:t>
      </w:r>
      <w:r w:rsidRPr="00B27B03">
        <w:rPr>
          <w:rFonts w:ascii="Book Antiqua" w:hAnsi="Book Antiqua"/>
          <w:szCs w:val="24"/>
        </w:rPr>
        <w:t>.</w:t>
      </w:r>
      <w:r w:rsidRPr="00B27B03" w:rsidR="00691D31">
        <w:rPr>
          <w:rFonts w:ascii="Book Antiqua" w:hAnsi="Book Antiqua"/>
          <w:szCs w:val="24"/>
        </w:rPr>
        <w:t xml:space="preserve">  Pursuant to </w:t>
      </w:r>
      <w:r w:rsidRPr="00B27B03" w:rsidR="00E85011">
        <w:rPr>
          <w:rFonts w:ascii="Book Antiqua" w:hAnsi="Book Antiqua"/>
          <w:szCs w:val="24"/>
        </w:rPr>
        <w:t xml:space="preserve">Resolution </w:t>
      </w:r>
      <w:r w:rsidRPr="00B27B03" w:rsidR="00691D31">
        <w:rPr>
          <w:rFonts w:ascii="Book Antiqua" w:hAnsi="Book Antiqua"/>
          <w:szCs w:val="24"/>
        </w:rPr>
        <w:t>ALJ</w:t>
      </w:r>
      <w:r w:rsidRPr="00B27B03" w:rsidR="00D82EBA">
        <w:rPr>
          <w:rFonts w:ascii="Book Antiqua" w:hAnsi="Book Antiqua"/>
          <w:szCs w:val="24"/>
        </w:rPr>
        <w:t>-</w:t>
      </w:r>
      <w:r w:rsidR="00B358AF">
        <w:rPr>
          <w:rFonts w:ascii="Book Antiqua" w:hAnsi="Book Antiqua"/>
          <w:szCs w:val="24"/>
        </w:rPr>
        <w:t>377</w:t>
      </w:r>
      <w:r w:rsidRPr="00B27B03" w:rsidR="00691D31">
        <w:rPr>
          <w:rFonts w:ascii="Book Antiqua" w:hAnsi="Book Antiqua"/>
          <w:szCs w:val="24"/>
        </w:rPr>
        <w:t xml:space="preserve">, Commission staff </w:t>
      </w:r>
      <w:r w:rsidRPr="00B27B03" w:rsidR="00885268">
        <w:rPr>
          <w:rFonts w:ascii="Book Antiqua" w:hAnsi="Book Antiqua"/>
          <w:szCs w:val="24"/>
        </w:rPr>
        <w:t>has</w:t>
      </w:r>
      <w:r w:rsidRPr="00B27B03" w:rsidR="00691D31">
        <w:rPr>
          <w:rFonts w:ascii="Book Antiqua" w:hAnsi="Book Antiqua"/>
          <w:szCs w:val="24"/>
        </w:rPr>
        <w:t xml:space="preserve"> the burden to prove </w:t>
      </w:r>
      <w:r w:rsidR="00A62F04">
        <w:rPr>
          <w:rFonts w:ascii="Book Antiqua" w:hAnsi="Book Antiqua"/>
          <w:szCs w:val="24"/>
        </w:rPr>
        <w:t xml:space="preserve">by </w:t>
      </w:r>
      <w:r w:rsidRPr="00B27B03" w:rsidR="00691D31">
        <w:rPr>
          <w:rFonts w:ascii="Book Antiqua" w:hAnsi="Book Antiqua"/>
          <w:szCs w:val="24"/>
        </w:rPr>
        <w:t xml:space="preserve">a </w:t>
      </w:r>
      <w:r w:rsidR="00A62F04">
        <w:rPr>
          <w:rFonts w:ascii="Book Antiqua" w:hAnsi="Book Antiqua"/>
          <w:szCs w:val="24"/>
        </w:rPr>
        <w:t xml:space="preserve">preponderance of evidence the </w:t>
      </w:r>
      <w:r w:rsidRPr="00B27B03" w:rsidR="00691D31">
        <w:rPr>
          <w:rFonts w:ascii="Book Antiqua" w:hAnsi="Book Antiqua"/>
          <w:szCs w:val="24"/>
        </w:rPr>
        <w:t xml:space="preserve">case supporting issuance of </w:t>
      </w:r>
      <w:r w:rsidRPr="00B27B03" w:rsidR="00885268">
        <w:rPr>
          <w:rFonts w:ascii="Book Antiqua" w:hAnsi="Book Antiqua"/>
          <w:szCs w:val="24"/>
        </w:rPr>
        <w:t>a</w:t>
      </w:r>
      <w:r w:rsidRPr="00B27B03" w:rsidR="00691D31">
        <w:rPr>
          <w:rFonts w:ascii="Book Antiqua" w:hAnsi="Book Antiqua"/>
          <w:szCs w:val="24"/>
        </w:rPr>
        <w:t xml:space="preserve"> </w:t>
      </w:r>
      <w:r w:rsidRPr="00B27B03" w:rsidR="00C51A2E">
        <w:rPr>
          <w:rFonts w:ascii="Book Antiqua" w:hAnsi="Book Antiqua"/>
          <w:szCs w:val="24"/>
        </w:rPr>
        <w:t>c</w:t>
      </w:r>
      <w:r w:rsidRPr="00B27B03" w:rsidR="00691D31">
        <w:rPr>
          <w:rFonts w:ascii="Book Antiqua" w:hAnsi="Book Antiqua"/>
          <w:szCs w:val="24"/>
        </w:rPr>
        <w:t>itation</w:t>
      </w:r>
      <w:r w:rsidRPr="00B27B03" w:rsidR="00C51A2E">
        <w:rPr>
          <w:rFonts w:ascii="Book Antiqua" w:hAnsi="Book Antiqua"/>
          <w:szCs w:val="24"/>
        </w:rPr>
        <w:t>.  I</w:t>
      </w:r>
      <w:r w:rsidRPr="00B27B03" w:rsidR="00691D31">
        <w:rPr>
          <w:rFonts w:ascii="Book Antiqua" w:hAnsi="Book Antiqua"/>
          <w:szCs w:val="24"/>
        </w:rPr>
        <w:t>f that initial burden is met, the burden shifts to the appellant “to demonstrate that a violation did not occur and the citation should not issue or that the amount of the penalty is inappropriate.”</w:t>
      </w:r>
      <w:r w:rsidRPr="00B27B03" w:rsidR="00E03A36">
        <w:rPr>
          <w:rStyle w:val="FootnoteReference"/>
          <w:rFonts w:ascii="Book Antiqua" w:hAnsi="Book Antiqua"/>
          <w:szCs w:val="24"/>
        </w:rPr>
        <w:footnoteReference w:id="3"/>
      </w:r>
      <w:r w:rsidR="000814D1">
        <w:rPr>
          <w:rFonts w:ascii="Book Antiqua" w:hAnsi="Book Antiqua"/>
          <w:szCs w:val="24"/>
        </w:rPr>
        <w:t xml:space="preserve">  </w:t>
      </w:r>
    </w:p>
    <w:p w:rsidRPr="00B27B03" w:rsidR="002F7354" w:rsidP="002F7354" w:rsidRDefault="002F7354" w14:paraId="288B0358" w14:textId="77777777">
      <w:pPr>
        <w:autoSpaceDE w:val="0"/>
        <w:autoSpaceDN w:val="0"/>
        <w:adjustRightInd w:val="0"/>
        <w:rPr>
          <w:rFonts w:ascii="Book Antiqua" w:hAnsi="Book Antiqua"/>
          <w:szCs w:val="24"/>
        </w:rPr>
      </w:pPr>
    </w:p>
    <w:p w:rsidRPr="00B27B03" w:rsidR="002F7354" w:rsidP="00C65B5D" w:rsidRDefault="00135548" w14:paraId="780C217B" w14:textId="643C975B">
      <w:pPr>
        <w:autoSpaceDE w:val="0"/>
        <w:autoSpaceDN w:val="0"/>
        <w:adjustRightInd w:val="0"/>
        <w:rPr>
          <w:rFonts w:ascii="Book Antiqua" w:hAnsi="Book Antiqua"/>
          <w:szCs w:val="24"/>
        </w:rPr>
      </w:pPr>
      <w:r>
        <w:rPr>
          <w:rFonts w:ascii="Book Antiqua" w:hAnsi="Book Antiqua"/>
          <w:szCs w:val="24"/>
        </w:rPr>
        <w:t>Lastly, i</w:t>
      </w:r>
      <w:r w:rsidRPr="00B27B03" w:rsidR="002F7354">
        <w:rPr>
          <w:rFonts w:ascii="Book Antiqua" w:hAnsi="Book Antiqua"/>
          <w:szCs w:val="24"/>
        </w:rPr>
        <w:t xml:space="preserve">n D.98-12-075, the Commission identified five factors to consider in </w:t>
      </w:r>
      <w:r w:rsidRPr="00B27B03" w:rsidR="00C11EBF">
        <w:rPr>
          <w:rFonts w:ascii="Book Antiqua" w:hAnsi="Book Antiqua"/>
          <w:szCs w:val="24"/>
        </w:rPr>
        <w:t>determining the appropriate level</w:t>
      </w:r>
      <w:r w:rsidRPr="00B27B03" w:rsidR="002F7354">
        <w:rPr>
          <w:rFonts w:ascii="Book Antiqua" w:hAnsi="Book Antiqua"/>
          <w:szCs w:val="24"/>
        </w:rPr>
        <w:t xml:space="preserve"> of a fine: </w:t>
      </w:r>
      <w:r w:rsidR="00333DF1">
        <w:rPr>
          <w:rFonts w:ascii="Book Antiqua" w:hAnsi="Book Antiqua"/>
          <w:szCs w:val="24"/>
        </w:rPr>
        <w:t xml:space="preserve"> </w:t>
      </w:r>
      <w:r w:rsidRPr="00B27B03" w:rsidR="002F7354">
        <w:rPr>
          <w:rFonts w:ascii="Book Antiqua" w:hAnsi="Book Antiqua"/>
          <w:szCs w:val="24"/>
        </w:rPr>
        <w:t>(1) the severity of the offense, (2)</w:t>
      </w:r>
      <w:r w:rsidR="00333DF1">
        <w:rPr>
          <w:rFonts w:ascii="Book Antiqua" w:hAnsi="Book Antiqua"/>
          <w:szCs w:val="24"/>
        </w:rPr>
        <w:t> </w:t>
      </w:r>
      <w:r w:rsidRPr="00B27B03" w:rsidR="002F7354">
        <w:rPr>
          <w:rFonts w:ascii="Book Antiqua" w:hAnsi="Book Antiqua"/>
          <w:szCs w:val="24"/>
        </w:rPr>
        <w:t>the entity’s conduct, (3)</w:t>
      </w:r>
      <w:r w:rsidR="00377AC0">
        <w:rPr>
          <w:rFonts w:ascii="Book Antiqua" w:hAnsi="Book Antiqua"/>
          <w:szCs w:val="24"/>
        </w:rPr>
        <w:t> </w:t>
      </w:r>
      <w:r w:rsidRPr="00B27B03" w:rsidR="002F7354">
        <w:rPr>
          <w:rFonts w:ascii="Book Antiqua" w:hAnsi="Book Antiqua"/>
          <w:szCs w:val="24"/>
        </w:rPr>
        <w:t>the entity’s financial resources, (4) the role of precedent, and (5)</w:t>
      </w:r>
      <w:r w:rsidR="00333DF1">
        <w:rPr>
          <w:rFonts w:ascii="Book Antiqua" w:hAnsi="Book Antiqua"/>
          <w:szCs w:val="24"/>
        </w:rPr>
        <w:t> </w:t>
      </w:r>
      <w:r w:rsidRPr="00B27B03" w:rsidR="002F7354">
        <w:rPr>
          <w:rFonts w:ascii="Book Antiqua" w:hAnsi="Book Antiqua"/>
          <w:szCs w:val="24"/>
        </w:rPr>
        <w:t>the totality of the circumstances in the public interest.</w:t>
      </w:r>
      <w:r w:rsidR="00DF37E2">
        <w:rPr>
          <w:rStyle w:val="FootnoteReference"/>
          <w:rFonts w:ascii="Book Antiqua" w:hAnsi="Book Antiqua"/>
          <w:szCs w:val="24"/>
        </w:rPr>
        <w:footnoteReference w:id="4"/>
      </w:r>
      <w:r w:rsidR="009C1F29">
        <w:rPr>
          <w:rFonts w:ascii="Book Antiqua" w:hAnsi="Book Antiqua"/>
          <w:szCs w:val="24"/>
        </w:rPr>
        <w:t xml:space="preserve">  The five-factor test is </w:t>
      </w:r>
      <w:r w:rsidR="008B14C0">
        <w:rPr>
          <w:rFonts w:ascii="Book Antiqua" w:hAnsi="Book Antiqua"/>
          <w:szCs w:val="24"/>
        </w:rPr>
        <w:t>applicable in reviewing this citation appeal</w:t>
      </w:r>
      <w:r w:rsidR="009C1F29">
        <w:rPr>
          <w:rFonts w:ascii="Book Antiqua" w:hAnsi="Book Antiqua"/>
          <w:szCs w:val="24"/>
        </w:rPr>
        <w:t>.</w:t>
      </w:r>
    </w:p>
    <w:p w:rsidRPr="00B27B03" w:rsidR="00734A61" w:rsidP="00284CBA" w:rsidRDefault="00734A61" w14:paraId="2355D5A4" w14:textId="77777777">
      <w:pPr>
        <w:autoSpaceDE w:val="0"/>
        <w:autoSpaceDN w:val="0"/>
        <w:adjustRightInd w:val="0"/>
        <w:rPr>
          <w:rFonts w:ascii="Book Antiqua" w:hAnsi="Book Antiqua" w:cs="BookAntiqua"/>
          <w:szCs w:val="24"/>
        </w:rPr>
      </w:pPr>
    </w:p>
    <w:p w:rsidRPr="00B27B03" w:rsidR="000079B4" w:rsidP="002B011A" w:rsidRDefault="002B011A" w14:paraId="2EF1BDB6" w14:textId="77777777">
      <w:pPr>
        <w:pStyle w:val="Standard"/>
        <w:spacing w:line="240" w:lineRule="auto"/>
        <w:ind w:firstLine="0"/>
        <w:rPr>
          <w:sz w:val="24"/>
          <w:szCs w:val="24"/>
        </w:rPr>
      </w:pPr>
      <w:r w:rsidRPr="00B27B03">
        <w:rPr>
          <w:b/>
          <w:bCs/>
          <w:sz w:val="24"/>
          <w:szCs w:val="24"/>
          <w:u w:val="single"/>
        </w:rPr>
        <w:t>DISCUSSION</w:t>
      </w:r>
    </w:p>
    <w:p w:rsidRPr="00B27B03" w:rsidR="00C070AC" w:rsidP="002B011A" w:rsidRDefault="00C070AC" w14:paraId="7AB48F6D" w14:textId="77777777">
      <w:pPr>
        <w:pStyle w:val="Standard"/>
        <w:spacing w:line="240" w:lineRule="auto"/>
        <w:ind w:firstLine="0"/>
        <w:rPr>
          <w:sz w:val="24"/>
          <w:szCs w:val="24"/>
        </w:rPr>
      </w:pPr>
    </w:p>
    <w:p w:rsidRPr="00B27B03" w:rsidR="0001632A" w:rsidP="0001632A" w:rsidRDefault="0001632A" w14:paraId="7BEF317E" w14:textId="4A04EFB2">
      <w:pPr>
        <w:pStyle w:val="Standard"/>
        <w:numPr>
          <w:ilvl w:val="0"/>
          <w:numId w:val="22"/>
        </w:numPr>
        <w:spacing w:line="240" w:lineRule="auto"/>
        <w:rPr>
          <w:b/>
          <w:bCs/>
          <w:sz w:val="24"/>
          <w:szCs w:val="24"/>
          <w:u w:val="single"/>
        </w:rPr>
      </w:pPr>
      <w:r w:rsidRPr="00B27B03">
        <w:rPr>
          <w:b/>
          <w:bCs/>
          <w:sz w:val="24"/>
          <w:szCs w:val="24"/>
          <w:u w:val="single"/>
        </w:rPr>
        <w:t>The Citation Correctly Identifie</w:t>
      </w:r>
      <w:r w:rsidRPr="00B27B03" w:rsidR="001B2729">
        <w:rPr>
          <w:b/>
          <w:bCs/>
          <w:sz w:val="24"/>
          <w:szCs w:val="24"/>
          <w:u w:val="single"/>
        </w:rPr>
        <w:t xml:space="preserve">d and Calculated </w:t>
      </w:r>
      <w:r w:rsidR="00782037">
        <w:rPr>
          <w:b/>
          <w:bCs/>
          <w:sz w:val="24"/>
          <w:szCs w:val="24"/>
          <w:u w:val="single"/>
        </w:rPr>
        <w:t>Appellant’s</w:t>
      </w:r>
      <w:r w:rsidRPr="00B27B03" w:rsidR="00590086">
        <w:rPr>
          <w:b/>
          <w:bCs/>
          <w:sz w:val="24"/>
          <w:szCs w:val="24"/>
          <w:u w:val="single"/>
        </w:rPr>
        <w:t xml:space="preserve"> </w:t>
      </w:r>
      <w:r w:rsidR="00C41B7C">
        <w:rPr>
          <w:b/>
          <w:bCs/>
          <w:sz w:val="24"/>
          <w:szCs w:val="24"/>
          <w:u w:val="single"/>
        </w:rPr>
        <w:t xml:space="preserve">September </w:t>
      </w:r>
      <w:r w:rsidRPr="00B27B03" w:rsidR="00590086">
        <w:rPr>
          <w:b/>
          <w:bCs/>
          <w:sz w:val="24"/>
          <w:szCs w:val="24"/>
          <w:u w:val="single"/>
        </w:rPr>
        <w:t>2021</w:t>
      </w:r>
      <w:r w:rsidRPr="00B27B03">
        <w:rPr>
          <w:b/>
          <w:bCs/>
          <w:sz w:val="24"/>
          <w:szCs w:val="24"/>
          <w:u w:val="single"/>
        </w:rPr>
        <w:t xml:space="preserve"> </w:t>
      </w:r>
      <w:r w:rsidR="00AC6F1A">
        <w:rPr>
          <w:b/>
          <w:bCs/>
          <w:sz w:val="24"/>
          <w:szCs w:val="24"/>
          <w:u w:val="single"/>
        </w:rPr>
        <w:t xml:space="preserve">Month-Ahead </w:t>
      </w:r>
      <w:r w:rsidR="00006617">
        <w:rPr>
          <w:b/>
          <w:bCs/>
          <w:sz w:val="24"/>
          <w:szCs w:val="24"/>
          <w:u w:val="single"/>
        </w:rPr>
        <w:t xml:space="preserve">System </w:t>
      </w:r>
      <w:r w:rsidRPr="00B27B03" w:rsidR="00D93863">
        <w:rPr>
          <w:b/>
          <w:bCs/>
          <w:sz w:val="24"/>
          <w:szCs w:val="24"/>
          <w:u w:val="single"/>
        </w:rPr>
        <w:t xml:space="preserve">RA </w:t>
      </w:r>
      <w:r w:rsidRPr="00B27B03">
        <w:rPr>
          <w:b/>
          <w:bCs/>
          <w:sz w:val="24"/>
          <w:szCs w:val="24"/>
          <w:u w:val="single"/>
        </w:rPr>
        <w:t>Deficiencies</w:t>
      </w:r>
    </w:p>
    <w:p w:rsidRPr="00B27B03" w:rsidR="00B35DDC" w:rsidP="00B35DDC" w:rsidRDefault="00B35DDC" w14:paraId="224ABA5E" w14:textId="77777777">
      <w:pPr>
        <w:pStyle w:val="Standard"/>
        <w:spacing w:line="240" w:lineRule="auto"/>
        <w:ind w:firstLine="0"/>
        <w:rPr>
          <w:sz w:val="24"/>
          <w:szCs w:val="24"/>
        </w:rPr>
      </w:pPr>
    </w:p>
    <w:p w:rsidR="0071411C" w:rsidP="00B35DDC" w:rsidRDefault="001B2729" w14:paraId="27DC6AE9" w14:textId="2D612B20">
      <w:pPr>
        <w:pStyle w:val="Standard"/>
        <w:spacing w:line="240" w:lineRule="auto"/>
        <w:ind w:firstLine="0"/>
        <w:rPr>
          <w:sz w:val="24"/>
          <w:szCs w:val="24"/>
        </w:rPr>
      </w:pPr>
      <w:r w:rsidRPr="00B27B03">
        <w:rPr>
          <w:sz w:val="24"/>
          <w:szCs w:val="24"/>
        </w:rPr>
        <w:t xml:space="preserve">The parties </w:t>
      </w:r>
      <w:r w:rsidRPr="00B27B03" w:rsidR="00E27F6D">
        <w:rPr>
          <w:sz w:val="24"/>
          <w:szCs w:val="24"/>
        </w:rPr>
        <w:t>agree</w:t>
      </w:r>
      <w:r w:rsidRPr="00B27B03" w:rsidR="00B35DDC">
        <w:rPr>
          <w:sz w:val="24"/>
          <w:szCs w:val="24"/>
        </w:rPr>
        <w:t xml:space="preserve"> that the citation correctly identifie</w:t>
      </w:r>
      <w:r w:rsidRPr="00B27B03">
        <w:rPr>
          <w:sz w:val="24"/>
          <w:szCs w:val="24"/>
        </w:rPr>
        <w:t xml:space="preserve">d </w:t>
      </w:r>
      <w:r w:rsidR="002912D9">
        <w:rPr>
          <w:sz w:val="24"/>
          <w:szCs w:val="24"/>
        </w:rPr>
        <w:t>Appellant’s</w:t>
      </w:r>
      <w:r w:rsidRPr="00B27B03" w:rsidR="00B35DDC">
        <w:rPr>
          <w:sz w:val="24"/>
          <w:szCs w:val="24"/>
        </w:rPr>
        <w:t xml:space="preserve"> </w:t>
      </w:r>
      <w:r w:rsidR="00AC6F1A">
        <w:rPr>
          <w:sz w:val="24"/>
          <w:szCs w:val="24"/>
        </w:rPr>
        <w:t xml:space="preserve">September </w:t>
      </w:r>
      <w:r w:rsidRPr="00B27B03" w:rsidR="00FA75C7">
        <w:rPr>
          <w:sz w:val="24"/>
          <w:szCs w:val="24"/>
        </w:rPr>
        <w:t xml:space="preserve">2021 </w:t>
      </w:r>
      <w:r w:rsidR="00ED2076">
        <w:rPr>
          <w:sz w:val="24"/>
          <w:szCs w:val="24"/>
        </w:rPr>
        <w:t>month-ahead</w:t>
      </w:r>
      <w:r w:rsidRPr="00B27B03" w:rsidR="00B35DDC">
        <w:rPr>
          <w:sz w:val="24"/>
          <w:szCs w:val="24"/>
        </w:rPr>
        <w:t xml:space="preserve"> </w:t>
      </w:r>
      <w:r w:rsidR="00E97731">
        <w:rPr>
          <w:sz w:val="24"/>
          <w:szCs w:val="24"/>
        </w:rPr>
        <w:t xml:space="preserve">system </w:t>
      </w:r>
      <w:r w:rsidRPr="00B27B03" w:rsidR="00B35DDC">
        <w:rPr>
          <w:sz w:val="24"/>
          <w:szCs w:val="24"/>
        </w:rPr>
        <w:t>RA deficiencies</w:t>
      </w:r>
      <w:r w:rsidRPr="00B27B03">
        <w:rPr>
          <w:sz w:val="24"/>
          <w:szCs w:val="24"/>
        </w:rPr>
        <w:t xml:space="preserve"> and </w:t>
      </w:r>
      <w:r w:rsidRPr="00B27B03" w:rsidR="0057345C">
        <w:rPr>
          <w:sz w:val="24"/>
          <w:szCs w:val="24"/>
        </w:rPr>
        <w:t xml:space="preserve">that the citation </w:t>
      </w:r>
      <w:r w:rsidRPr="00B27B03">
        <w:rPr>
          <w:sz w:val="24"/>
          <w:szCs w:val="24"/>
        </w:rPr>
        <w:t xml:space="preserve">correctly applied the </w:t>
      </w:r>
      <w:r w:rsidRPr="00B27B03" w:rsidR="00D048ED">
        <w:rPr>
          <w:sz w:val="24"/>
          <w:szCs w:val="24"/>
        </w:rPr>
        <w:t xml:space="preserve">RA </w:t>
      </w:r>
      <w:r w:rsidRPr="00B27B03">
        <w:rPr>
          <w:sz w:val="24"/>
          <w:szCs w:val="24"/>
        </w:rPr>
        <w:t xml:space="preserve">penalty schedule to </w:t>
      </w:r>
      <w:r w:rsidRPr="00B27B03" w:rsidR="003F0F38">
        <w:rPr>
          <w:sz w:val="24"/>
          <w:szCs w:val="24"/>
        </w:rPr>
        <w:t>those</w:t>
      </w:r>
      <w:r w:rsidRPr="00B27B03" w:rsidR="002B4EF6">
        <w:rPr>
          <w:sz w:val="24"/>
          <w:szCs w:val="24"/>
        </w:rPr>
        <w:t xml:space="preserve"> </w:t>
      </w:r>
      <w:r w:rsidRPr="00B27B03">
        <w:rPr>
          <w:sz w:val="24"/>
          <w:szCs w:val="24"/>
        </w:rPr>
        <w:t>deficiencies</w:t>
      </w:r>
      <w:r w:rsidRPr="00B27B03" w:rsidR="00E1077B">
        <w:rPr>
          <w:sz w:val="24"/>
          <w:szCs w:val="24"/>
        </w:rPr>
        <w:t xml:space="preserve"> when calculating the penalty amount</w:t>
      </w:r>
      <w:r w:rsidRPr="00B27B03" w:rsidR="00B35DDC">
        <w:rPr>
          <w:sz w:val="24"/>
          <w:szCs w:val="24"/>
        </w:rPr>
        <w:t>.</w:t>
      </w:r>
      <w:r w:rsidRPr="00B27B03" w:rsidR="00B35DDC">
        <w:rPr>
          <w:rStyle w:val="FootnoteReference"/>
          <w:sz w:val="24"/>
          <w:szCs w:val="24"/>
        </w:rPr>
        <w:footnoteReference w:id="5"/>
      </w:r>
      <w:r w:rsidRPr="00B27B03">
        <w:rPr>
          <w:sz w:val="24"/>
          <w:szCs w:val="24"/>
        </w:rPr>
        <w:t xml:space="preserve">  </w:t>
      </w:r>
      <w:r w:rsidRPr="00B27B03" w:rsidR="00D15C44">
        <w:rPr>
          <w:sz w:val="24"/>
          <w:szCs w:val="24"/>
        </w:rPr>
        <w:t>As such,</w:t>
      </w:r>
      <w:r w:rsidRPr="00B27B03" w:rsidR="000D3571">
        <w:rPr>
          <w:sz w:val="24"/>
          <w:szCs w:val="24"/>
        </w:rPr>
        <w:t xml:space="preserve"> </w:t>
      </w:r>
      <w:r w:rsidRPr="00B27B03" w:rsidR="00D82EBA">
        <w:rPr>
          <w:sz w:val="24"/>
          <w:szCs w:val="24"/>
        </w:rPr>
        <w:t xml:space="preserve">CPED has met its burden </w:t>
      </w:r>
      <w:r w:rsidRPr="00B27B03" w:rsidR="00ED22AD">
        <w:rPr>
          <w:sz w:val="24"/>
          <w:szCs w:val="24"/>
        </w:rPr>
        <w:t>to</w:t>
      </w:r>
      <w:r w:rsidRPr="00B27B03" w:rsidR="00D82EBA">
        <w:rPr>
          <w:sz w:val="24"/>
          <w:szCs w:val="24"/>
        </w:rPr>
        <w:t xml:space="preserve"> demonstrat</w:t>
      </w:r>
      <w:r w:rsidRPr="00B27B03" w:rsidR="00ED22AD">
        <w:rPr>
          <w:sz w:val="24"/>
          <w:szCs w:val="24"/>
        </w:rPr>
        <w:t>e</w:t>
      </w:r>
      <w:r w:rsidRPr="00B27B03" w:rsidR="00D82EBA">
        <w:rPr>
          <w:sz w:val="24"/>
          <w:szCs w:val="24"/>
        </w:rPr>
        <w:t xml:space="preserve"> that </w:t>
      </w:r>
      <w:r w:rsidRPr="00B27B03" w:rsidR="00781FEB">
        <w:rPr>
          <w:sz w:val="24"/>
          <w:szCs w:val="24"/>
        </w:rPr>
        <w:t>Appellant’s</w:t>
      </w:r>
      <w:r w:rsidR="00AC6F1A">
        <w:rPr>
          <w:sz w:val="24"/>
          <w:szCs w:val="24"/>
        </w:rPr>
        <w:t xml:space="preserve"> September 2021</w:t>
      </w:r>
      <w:r w:rsidRPr="00B27B03" w:rsidR="00D82EBA">
        <w:rPr>
          <w:sz w:val="24"/>
          <w:szCs w:val="24"/>
        </w:rPr>
        <w:t xml:space="preserve"> </w:t>
      </w:r>
      <w:r w:rsidR="00AC6F1A">
        <w:rPr>
          <w:sz w:val="24"/>
          <w:szCs w:val="24"/>
        </w:rPr>
        <w:t xml:space="preserve">month-ahead </w:t>
      </w:r>
      <w:r w:rsidR="005A397D">
        <w:rPr>
          <w:sz w:val="24"/>
          <w:szCs w:val="24"/>
        </w:rPr>
        <w:t xml:space="preserve">system </w:t>
      </w:r>
      <w:r w:rsidRPr="00B27B03" w:rsidR="00D82EBA">
        <w:rPr>
          <w:sz w:val="24"/>
          <w:szCs w:val="24"/>
        </w:rPr>
        <w:t xml:space="preserve">RA procurement was deficient by the amount shown on the citation and that the </w:t>
      </w:r>
      <w:r w:rsidRPr="00B27B03" w:rsidR="001A2FD7">
        <w:rPr>
          <w:sz w:val="24"/>
          <w:szCs w:val="24"/>
        </w:rPr>
        <w:t>penalty amount</w:t>
      </w:r>
      <w:r w:rsidRPr="00B27B03" w:rsidR="00D82EBA">
        <w:rPr>
          <w:sz w:val="24"/>
          <w:szCs w:val="24"/>
        </w:rPr>
        <w:t xml:space="preserve"> </w:t>
      </w:r>
      <w:r w:rsidRPr="00B27B03" w:rsidR="000D3571">
        <w:rPr>
          <w:sz w:val="24"/>
          <w:szCs w:val="24"/>
        </w:rPr>
        <w:t xml:space="preserve">was </w:t>
      </w:r>
      <w:r w:rsidRPr="00B27B03" w:rsidR="00D82EBA">
        <w:rPr>
          <w:sz w:val="24"/>
          <w:szCs w:val="24"/>
        </w:rPr>
        <w:t>correctly calculated based on the established penalty schedule.</w:t>
      </w:r>
    </w:p>
    <w:p w:rsidR="007427C3" w:rsidP="00B35DDC" w:rsidRDefault="007427C3" w14:paraId="03C0358F" w14:textId="7FD354A2">
      <w:pPr>
        <w:pStyle w:val="Standard"/>
        <w:spacing w:line="240" w:lineRule="auto"/>
        <w:ind w:firstLine="0"/>
        <w:rPr>
          <w:sz w:val="24"/>
          <w:szCs w:val="24"/>
        </w:rPr>
      </w:pPr>
    </w:p>
    <w:p w:rsidRPr="007427C3" w:rsidR="007427C3" w:rsidP="00B35DDC" w:rsidRDefault="00031D6D" w14:paraId="6962D910" w14:textId="3E231832">
      <w:pPr>
        <w:pStyle w:val="Standard"/>
        <w:spacing w:line="240" w:lineRule="auto"/>
        <w:ind w:firstLine="0"/>
        <w:rPr>
          <w:rFonts w:cs="ArialUnicodeMS"/>
          <w:sz w:val="24"/>
          <w:szCs w:val="24"/>
        </w:rPr>
      </w:pPr>
      <w:r>
        <w:rPr>
          <w:rFonts w:cs="ArialUnicodeMS"/>
          <w:sz w:val="24"/>
          <w:szCs w:val="24"/>
        </w:rPr>
        <w:t>Under Resolution ALJ-377, o</w:t>
      </w:r>
      <w:r w:rsidRPr="00DB40B5" w:rsidR="007427C3">
        <w:rPr>
          <w:rFonts w:cs="ArialUnicodeMS"/>
          <w:sz w:val="24"/>
          <w:szCs w:val="24"/>
        </w:rPr>
        <w:t xml:space="preserve">nce Commission staff has met its </w:t>
      </w:r>
      <w:r>
        <w:rPr>
          <w:rFonts w:cs="ArialUnicodeMS"/>
          <w:sz w:val="24"/>
          <w:szCs w:val="24"/>
        </w:rPr>
        <w:t xml:space="preserve">initial </w:t>
      </w:r>
      <w:r w:rsidRPr="00DB40B5" w:rsidR="007427C3">
        <w:rPr>
          <w:rFonts w:cs="ArialUnicodeMS"/>
          <w:sz w:val="24"/>
          <w:szCs w:val="24"/>
        </w:rPr>
        <w:t xml:space="preserve">burden, </w:t>
      </w:r>
      <w:r>
        <w:rPr>
          <w:rFonts w:cs="ArialUnicodeMS"/>
          <w:sz w:val="24"/>
          <w:szCs w:val="24"/>
        </w:rPr>
        <w:t>the burden shift</w:t>
      </w:r>
      <w:r w:rsidR="008D2AFC">
        <w:rPr>
          <w:rFonts w:cs="ArialUnicodeMS"/>
          <w:sz w:val="24"/>
          <w:szCs w:val="24"/>
        </w:rPr>
        <w:t>s</w:t>
      </w:r>
      <w:r>
        <w:rPr>
          <w:rFonts w:cs="ArialUnicodeMS"/>
          <w:sz w:val="24"/>
          <w:szCs w:val="24"/>
        </w:rPr>
        <w:t xml:space="preserve"> to </w:t>
      </w:r>
      <w:r w:rsidRPr="00DB40B5" w:rsidR="007427C3">
        <w:rPr>
          <w:rFonts w:cs="ArialUnicodeMS"/>
          <w:sz w:val="24"/>
          <w:szCs w:val="24"/>
        </w:rPr>
        <w:t xml:space="preserve">Appellant to demonstrate that a violation did not occur and the citation should not issue, or that the amount of the penalty is inappropriate.  Appellant also </w:t>
      </w:r>
      <w:r>
        <w:rPr>
          <w:rFonts w:cs="ArialUnicodeMS"/>
          <w:sz w:val="24"/>
          <w:szCs w:val="24"/>
        </w:rPr>
        <w:t>has the burden to prove</w:t>
      </w:r>
      <w:r w:rsidRPr="00DB40B5" w:rsidR="007427C3">
        <w:rPr>
          <w:rFonts w:cs="ArialUnicodeMS"/>
          <w:sz w:val="24"/>
          <w:szCs w:val="24"/>
        </w:rPr>
        <w:t xml:space="preserve"> </w:t>
      </w:r>
      <w:r>
        <w:rPr>
          <w:rFonts w:cs="ArialUnicodeMS"/>
          <w:sz w:val="24"/>
          <w:szCs w:val="24"/>
        </w:rPr>
        <w:t>any</w:t>
      </w:r>
      <w:r w:rsidRPr="00DB40B5" w:rsidR="007427C3">
        <w:rPr>
          <w:rFonts w:cs="ArialUnicodeMS"/>
          <w:sz w:val="24"/>
          <w:szCs w:val="24"/>
        </w:rPr>
        <w:t xml:space="preserve"> affirmative defenses.</w:t>
      </w:r>
    </w:p>
    <w:p w:rsidRPr="00B27B03" w:rsidR="001B2729" w:rsidP="00B35DDC" w:rsidRDefault="001B2729" w14:paraId="4DFE406A" w14:textId="77777777">
      <w:pPr>
        <w:pStyle w:val="Standard"/>
        <w:spacing w:line="240" w:lineRule="auto"/>
        <w:ind w:firstLine="0"/>
        <w:rPr>
          <w:sz w:val="24"/>
          <w:szCs w:val="24"/>
        </w:rPr>
      </w:pPr>
    </w:p>
    <w:p w:rsidR="00224CF0" w:rsidP="00475149" w:rsidRDefault="00224CF0" w14:paraId="69C8764B" w14:textId="6939C0F7">
      <w:pPr>
        <w:pStyle w:val="Standard"/>
        <w:numPr>
          <w:ilvl w:val="0"/>
          <w:numId w:val="22"/>
        </w:numPr>
        <w:spacing w:line="240" w:lineRule="auto"/>
        <w:rPr>
          <w:b/>
          <w:bCs/>
          <w:sz w:val="24"/>
          <w:szCs w:val="24"/>
          <w:u w:val="single"/>
        </w:rPr>
      </w:pPr>
      <w:r>
        <w:rPr>
          <w:b/>
          <w:bCs/>
          <w:sz w:val="24"/>
          <w:szCs w:val="24"/>
          <w:u w:val="single"/>
        </w:rPr>
        <w:t>Ap</w:t>
      </w:r>
      <w:r w:rsidR="00DB40B5">
        <w:rPr>
          <w:b/>
          <w:bCs/>
          <w:sz w:val="24"/>
          <w:szCs w:val="24"/>
          <w:u w:val="single"/>
        </w:rPr>
        <w:t>pellant Fail</w:t>
      </w:r>
      <w:r w:rsidR="00031D6D">
        <w:rPr>
          <w:b/>
          <w:bCs/>
          <w:sz w:val="24"/>
          <w:szCs w:val="24"/>
          <w:u w:val="single"/>
        </w:rPr>
        <w:t>ed</w:t>
      </w:r>
      <w:r w:rsidR="00DB40B5">
        <w:rPr>
          <w:b/>
          <w:bCs/>
          <w:sz w:val="24"/>
          <w:szCs w:val="24"/>
          <w:u w:val="single"/>
        </w:rPr>
        <w:t xml:space="preserve"> to Meet its Burden to Prove </w:t>
      </w:r>
      <w:r w:rsidR="00307AF9">
        <w:rPr>
          <w:b/>
          <w:bCs/>
          <w:sz w:val="24"/>
          <w:szCs w:val="24"/>
          <w:u w:val="single"/>
        </w:rPr>
        <w:t>that It Was “Impossible” to Procure RA Resources</w:t>
      </w:r>
    </w:p>
    <w:p w:rsidR="006A0A75" w:rsidP="00DB40B5" w:rsidRDefault="006A0A75" w14:paraId="10D3E731" w14:textId="3D8DE9BA">
      <w:pPr>
        <w:pStyle w:val="Standard"/>
        <w:spacing w:line="240" w:lineRule="auto"/>
        <w:ind w:firstLine="0"/>
        <w:rPr>
          <w:rFonts w:cs="ArialUnicodeMS"/>
          <w:sz w:val="24"/>
          <w:szCs w:val="24"/>
        </w:rPr>
      </w:pPr>
    </w:p>
    <w:p w:rsidR="006A0A75" w:rsidP="00DB40B5" w:rsidRDefault="007427C3" w14:paraId="6E3CF8D2" w14:textId="77002647">
      <w:pPr>
        <w:pStyle w:val="Standard"/>
        <w:spacing w:line="240" w:lineRule="auto"/>
        <w:ind w:firstLine="0"/>
        <w:rPr>
          <w:rFonts w:cs="ArialUnicodeMS"/>
          <w:sz w:val="24"/>
          <w:szCs w:val="24"/>
        </w:rPr>
      </w:pPr>
      <w:r>
        <w:rPr>
          <w:rFonts w:cs="ArialUnicodeMS"/>
          <w:sz w:val="24"/>
          <w:szCs w:val="24"/>
        </w:rPr>
        <w:t>SDCP</w:t>
      </w:r>
      <w:r w:rsidR="00031D6D">
        <w:rPr>
          <w:rFonts w:cs="ArialUnicodeMS"/>
          <w:sz w:val="24"/>
          <w:szCs w:val="24"/>
        </w:rPr>
        <w:t xml:space="preserve"> asserts an</w:t>
      </w:r>
      <w:r>
        <w:rPr>
          <w:rFonts w:cs="ArialUnicodeMS"/>
          <w:sz w:val="24"/>
          <w:szCs w:val="24"/>
        </w:rPr>
        <w:t xml:space="preserve"> affirmative defense that it was “impossible” </w:t>
      </w:r>
      <w:r w:rsidR="00031D6D">
        <w:rPr>
          <w:rFonts w:cs="ArialUnicodeMS"/>
          <w:sz w:val="24"/>
          <w:szCs w:val="24"/>
        </w:rPr>
        <w:t xml:space="preserve">for it </w:t>
      </w:r>
      <w:r>
        <w:rPr>
          <w:rFonts w:cs="ArialUnicodeMS"/>
          <w:sz w:val="24"/>
          <w:szCs w:val="24"/>
        </w:rPr>
        <w:t xml:space="preserve">to obtain the necessary RA resources.  </w:t>
      </w:r>
      <w:r w:rsidR="0006065E">
        <w:rPr>
          <w:rFonts w:cs="ArialUnicodeMS"/>
          <w:sz w:val="24"/>
          <w:szCs w:val="24"/>
        </w:rPr>
        <w:t xml:space="preserve">Specifically, </w:t>
      </w:r>
      <w:r w:rsidR="007E7216">
        <w:rPr>
          <w:rFonts w:cs="ArialUnicodeMS"/>
          <w:sz w:val="24"/>
          <w:szCs w:val="24"/>
        </w:rPr>
        <w:t>SDCP</w:t>
      </w:r>
      <w:r w:rsidR="006A0A75">
        <w:rPr>
          <w:rFonts w:cs="ArialUnicodeMS"/>
          <w:sz w:val="24"/>
          <w:szCs w:val="24"/>
        </w:rPr>
        <w:t xml:space="preserve"> alleges that “</w:t>
      </w:r>
      <w:r w:rsidR="005B4312">
        <w:rPr>
          <w:rFonts w:cs="ArialUnicodeMS"/>
          <w:sz w:val="24"/>
          <w:szCs w:val="24"/>
        </w:rPr>
        <w:t xml:space="preserve">the lack of available resources made it </w:t>
      </w:r>
      <w:r w:rsidR="006A0A75">
        <w:rPr>
          <w:rFonts w:cs="ArialUnicodeMS"/>
          <w:sz w:val="24"/>
          <w:szCs w:val="24"/>
        </w:rPr>
        <w:t>impossible”</w:t>
      </w:r>
      <w:r w:rsidR="00CD2022">
        <w:rPr>
          <w:rFonts w:cs="ArialUnicodeMS"/>
          <w:sz w:val="24"/>
          <w:szCs w:val="24"/>
        </w:rPr>
        <w:t xml:space="preserve"> for SDCP to meets its September 2021 system RA obligations</w:t>
      </w:r>
      <w:r w:rsidR="00255E4B">
        <w:rPr>
          <w:rFonts w:cs="ArialUnicodeMS"/>
          <w:sz w:val="24"/>
          <w:szCs w:val="24"/>
        </w:rPr>
        <w:t xml:space="preserve"> and </w:t>
      </w:r>
      <w:r w:rsidR="00255E4B">
        <w:rPr>
          <w:rFonts w:cs="ArialUnicodeMS"/>
          <w:sz w:val="24"/>
          <w:szCs w:val="24"/>
        </w:rPr>
        <w:lastRenderedPageBreak/>
        <w:t>that “it was impossible for SDCP to procure the necessary resources at any price</w:t>
      </w:r>
      <w:r w:rsidR="005B4312">
        <w:rPr>
          <w:rFonts w:cs="ArialUnicodeMS"/>
          <w:sz w:val="24"/>
          <w:szCs w:val="24"/>
        </w:rPr>
        <w:t>.</w:t>
      </w:r>
      <w:r w:rsidR="00255E4B">
        <w:rPr>
          <w:rFonts w:cs="ArialUnicodeMS"/>
          <w:sz w:val="24"/>
          <w:szCs w:val="24"/>
        </w:rPr>
        <w:t>”</w:t>
      </w:r>
      <w:r w:rsidR="005B4312">
        <w:rPr>
          <w:rStyle w:val="FootnoteReference"/>
          <w:rFonts w:cs="ArialUnicodeMS"/>
          <w:sz w:val="24"/>
          <w:szCs w:val="24"/>
        </w:rPr>
        <w:footnoteReference w:id="6"/>
      </w:r>
      <w:r w:rsidR="009F07B4">
        <w:rPr>
          <w:rFonts w:cs="ArialUnicodeMS"/>
          <w:sz w:val="24"/>
          <w:szCs w:val="24"/>
        </w:rPr>
        <w:t xml:space="preserve">  </w:t>
      </w:r>
      <w:r w:rsidR="0006065E">
        <w:rPr>
          <w:rFonts w:cs="ArialUnicodeMS"/>
          <w:sz w:val="24"/>
          <w:szCs w:val="24"/>
        </w:rPr>
        <w:t xml:space="preserve">For the reasons discussed below, we find that </w:t>
      </w:r>
      <w:r w:rsidR="0044182E">
        <w:rPr>
          <w:rFonts w:cs="ArialUnicodeMS"/>
          <w:sz w:val="24"/>
          <w:szCs w:val="24"/>
        </w:rPr>
        <w:t>SDCP</w:t>
      </w:r>
      <w:r w:rsidR="0006065E">
        <w:rPr>
          <w:rFonts w:cs="ArialUnicodeMS"/>
          <w:sz w:val="24"/>
          <w:szCs w:val="24"/>
        </w:rPr>
        <w:t xml:space="preserve"> failed to meet its burden to prove an impossibility defense</w:t>
      </w:r>
      <w:r w:rsidR="0044182E">
        <w:rPr>
          <w:rFonts w:cs="ArialUnicodeMS"/>
          <w:sz w:val="24"/>
          <w:szCs w:val="24"/>
        </w:rPr>
        <w:t>.</w:t>
      </w:r>
    </w:p>
    <w:p w:rsidR="006C5287" w:rsidP="00DB40B5" w:rsidRDefault="006C5287" w14:paraId="5BC9657B" w14:textId="77777777">
      <w:pPr>
        <w:pStyle w:val="Standard"/>
        <w:spacing w:line="240" w:lineRule="auto"/>
        <w:ind w:firstLine="0"/>
        <w:rPr>
          <w:rFonts w:cs="ArialUnicodeMS"/>
          <w:sz w:val="24"/>
          <w:szCs w:val="24"/>
        </w:rPr>
      </w:pPr>
    </w:p>
    <w:p w:rsidR="003C012A" w:rsidP="00DB40B5" w:rsidRDefault="0044182E" w14:paraId="7EAADCF0" w14:textId="67ACB0C0">
      <w:pPr>
        <w:pStyle w:val="Standard"/>
        <w:spacing w:line="240" w:lineRule="auto"/>
        <w:ind w:firstLine="0"/>
        <w:rPr>
          <w:rFonts w:cs="ArialUnicodeMS"/>
          <w:sz w:val="24"/>
          <w:szCs w:val="24"/>
        </w:rPr>
      </w:pPr>
      <w:r>
        <w:rPr>
          <w:rFonts w:cs="ArialUnicodeMS"/>
          <w:sz w:val="24"/>
          <w:szCs w:val="24"/>
        </w:rPr>
        <w:t xml:space="preserve">First, </w:t>
      </w:r>
      <w:r w:rsidR="004F217E">
        <w:rPr>
          <w:rFonts w:cs="ArialUnicodeMS"/>
          <w:sz w:val="24"/>
          <w:szCs w:val="24"/>
        </w:rPr>
        <w:t>September 2021 system</w:t>
      </w:r>
      <w:r w:rsidR="00781A50">
        <w:rPr>
          <w:rFonts w:cs="ArialUnicodeMS"/>
          <w:sz w:val="24"/>
          <w:szCs w:val="24"/>
        </w:rPr>
        <w:t xml:space="preserve"> RA resources </w:t>
      </w:r>
      <w:r w:rsidR="004F217E">
        <w:rPr>
          <w:rFonts w:cs="ArialUnicodeMS"/>
          <w:sz w:val="24"/>
          <w:szCs w:val="24"/>
        </w:rPr>
        <w:t xml:space="preserve">were </w:t>
      </w:r>
      <w:r w:rsidR="00781A50">
        <w:rPr>
          <w:rFonts w:cs="ArialUnicodeMS"/>
          <w:sz w:val="24"/>
          <w:szCs w:val="24"/>
        </w:rPr>
        <w:t xml:space="preserve">available </w:t>
      </w:r>
      <w:r w:rsidR="002C14DB">
        <w:rPr>
          <w:rFonts w:cs="ArialUnicodeMS"/>
          <w:sz w:val="24"/>
          <w:szCs w:val="24"/>
        </w:rPr>
        <w:t xml:space="preserve">for procurement </w:t>
      </w:r>
      <w:r w:rsidR="00424E79">
        <w:rPr>
          <w:rFonts w:cs="ArialUnicodeMS"/>
          <w:sz w:val="24"/>
          <w:szCs w:val="24"/>
        </w:rPr>
        <w:t xml:space="preserve">in 2020 </w:t>
      </w:r>
      <w:r w:rsidR="002C14DB">
        <w:rPr>
          <w:rFonts w:cs="ArialUnicodeMS"/>
          <w:sz w:val="24"/>
          <w:szCs w:val="24"/>
        </w:rPr>
        <w:t>through investor-owned utilities</w:t>
      </w:r>
      <w:r w:rsidR="00424E79">
        <w:rPr>
          <w:rFonts w:cs="ArialUnicodeMS"/>
          <w:sz w:val="24"/>
          <w:szCs w:val="24"/>
        </w:rPr>
        <w:t>’</w:t>
      </w:r>
      <w:r w:rsidR="002C14DB">
        <w:rPr>
          <w:rFonts w:cs="ArialUnicodeMS"/>
          <w:sz w:val="24"/>
          <w:szCs w:val="24"/>
        </w:rPr>
        <w:t xml:space="preserve"> (IOU) </w:t>
      </w:r>
      <w:r w:rsidR="0006065E">
        <w:rPr>
          <w:rFonts w:cs="ArialUnicodeMS"/>
          <w:sz w:val="24"/>
          <w:szCs w:val="24"/>
        </w:rPr>
        <w:t xml:space="preserve">requests for offer (RFO) </w:t>
      </w:r>
      <w:r w:rsidR="002C14DB">
        <w:rPr>
          <w:rFonts w:cs="ArialUnicodeMS"/>
          <w:sz w:val="24"/>
          <w:szCs w:val="24"/>
        </w:rPr>
        <w:t>solicitations</w:t>
      </w:r>
      <w:r w:rsidR="0006065E">
        <w:rPr>
          <w:rFonts w:cs="ArialUnicodeMS"/>
          <w:sz w:val="24"/>
          <w:szCs w:val="24"/>
        </w:rPr>
        <w:t>; however,</w:t>
      </w:r>
      <w:r w:rsidR="002C14DB">
        <w:rPr>
          <w:rFonts w:cs="ArialUnicodeMS"/>
          <w:sz w:val="24"/>
          <w:szCs w:val="24"/>
        </w:rPr>
        <w:t xml:space="preserve"> SDCP opted not to participate in all IOU solicitations.  </w:t>
      </w:r>
      <w:r w:rsidR="00516330">
        <w:rPr>
          <w:rFonts w:cs="ArialUnicodeMS"/>
          <w:sz w:val="24"/>
          <w:szCs w:val="24"/>
        </w:rPr>
        <w:t xml:space="preserve">San Diego Gas </w:t>
      </w:r>
      <w:r w:rsidR="000F0370">
        <w:rPr>
          <w:rFonts w:cs="ArialUnicodeMS"/>
          <w:sz w:val="24"/>
          <w:szCs w:val="24"/>
        </w:rPr>
        <w:t xml:space="preserve">&amp; </w:t>
      </w:r>
      <w:r w:rsidR="00516330">
        <w:rPr>
          <w:rFonts w:cs="ArialUnicodeMS"/>
          <w:sz w:val="24"/>
          <w:szCs w:val="24"/>
        </w:rPr>
        <w:t xml:space="preserve">Electric Company (SDG&amp;E) </w:t>
      </w:r>
      <w:r w:rsidR="0006065E">
        <w:rPr>
          <w:rFonts w:cs="ArialUnicodeMS"/>
          <w:sz w:val="24"/>
          <w:szCs w:val="24"/>
        </w:rPr>
        <w:t>issued</w:t>
      </w:r>
      <w:r w:rsidR="00516330">
        <w:rPr>
          <w:rFonts w:cs="ArialUnicodeMS"/>
          <w:sz w:val="24"/>
          <w:szCs w:val="24"/>
        </w:rPr>
        <w:t xml:space="preserve"> a solicitation on June 15, 2020 and Southern California Edison </w:t>
      </w:r>
      <w:r w:rsidR="00E9342E">
        <w:rPr>
          <w:rFonts w:cs="ArialUnicodeMS"/>
          <w:sz w:val="24"/>
          <w:szCs w:val="24"/>
        </w:rPr>
        <w:t xml:space="preserve">Company </w:t>
      </w:r>
      <w:r w:rsidR="00516330">
        <w:rPr>
          <w:rFonts w:cs="ArialUnicodeMS"/>
          <w:sz w:val="24"/>
          <w:szCs w:val="24"/>
        </w:rPr>
        <w:t xml:space="preserve">(SCE) </w:t>
      </w:r>
      <w:r w:rsidR="0006065E">
        <w:rPr>
          <w:rFonts w:cs="ArialUnicodeMS"/>
          <w:sz w:val="24"/>
          <w:szCs w:val="24"/>
        </w:rPr>
        <w:t>issued</w:t>
      </w:r>
      <w:r w:rsidR="00516330">
        <w:rPr>
          <w:rFonts w:cs="ArialUnicodeMS"/>
          <w:sz w:val="24"/>
          <w:szCs w:val="24"/>
        </w:rPr>
        <w:t xml:space="preserve"> a solicitation on September 17, 2020</w:t>
      </w:r>
      <w:r w:rsidR="002C14DB">
        <w:rPr>
          <w:rFonts w:cs="ArialUnicodeMS"/>
          <w:sz w:val="24"/>
          <w:szCs w:val="24"/>
        </w:rPr>
        <w:t>, both of which included September 2021 RA resources</w:t>
      </w:r>
      <w:r w:rsidR="00516330">
        <w:rPr>
          <w:rFonts w:cs="ArialUnicodeMS"/>
          <w:sz w:val="24"/>
          <w:szCs w:val="24"/>
        </w:rPr>
        <w:t>.</w:t>
      </w:r>
      <w:r w:rsidR="00731374">
        <w:rPr>
          <w:rStyle w:val="FootnoteReference"/>
          <w:rFonts w:cs="ArialUnicodeMS"/>
          <w:sz w:val="24"/>
          <w:szCs w:val="24"/>
        </w:rPr>
        <w:footnoteReference w:id="7"/>
      </w:r>
      <w:r w:rsidR="00731374">
        <w:rPr>
          <w:rFonts w:cs="ArialUnicodeMS"/>
          <w:sz w:val="24"/>
          <w:szCs w:val="24"/>
        </w:rPr>
        <w:t xml:space="preserve">  </w:t>
      </w:r>
      <w:r w:rsidR="002C14DB">
        <w:rPr>
          <w:rFonts w:cs="ArialUnicodeMS"/>
          <w:sz w:val="24"/>
          <w:szCs w:val="24"/>
        </w:rPr>
        <w:t>Yet,</w:t>
      </w:r>
      <w:r w:rsidR="00D10AC6">
        <w:rPr>
          <w:rFonts w:cs="ArialUnicodeMS"/>
          <w:sz w:val="24"/>
          <w:szCs w:val="24"/>
        </w:rPr>
        <w:t xml:space="preserve"> </w:t>
      </w:r>
      <w:r w:rsidR="00894039">
        <w:rPr>
          <w:rFonts w:cs="ArialUnicodeMS"/>
          <w:sz w:val="24"/>
          <w:szCs w:val="24"/>
        </w:rPr>
        <w:t xml:space="preserve">SDCP </w:t>
      </w:r>
      <w:r w:rsidR="00963C55">
        <w:rPr>
          <w:rFonts w:cs="ArialUnicodeMS"/>
          <w:sz w:val="24"/>
          <w:szCs w:val="24"/>
        </w:rPr>
        <w:t xml:space="preserve">only bid </w:t>
      </w:r>
      <w:r w:rsidR="002C14DB">
        <w:rPr>
          <w:rFonts w:cs="ArialUnicodeMS"/>
          <w:sz w:val="24"/>
          <w:szCs w:val="24"/>
        </w:rPr>
        <w:t>in</w:t>
      </w:r>
      <w:r w:rsidR="0006065E">
        <w:rPr>
          <w:rFonts w:cs="ArialUnicodeMS"/>
          <w:sz w:val="24"/>
          <w:szCs w:val="24"/>
        </w:rPr>
        <w:t>to</w:t>
      </w:r>
      <w:r w:rsidR="00963C55">
        <w:rPr>
          <w:rFonts w:cs="ArialUnicodeMS"/>
          <w:sz w:val="24"/>
          <w:szCs w:val="24"/>
        </w:rPr>
        <w:t xml:space="preserve"> SDG&amp;E’s solicitation</w:t>
      </w:r>
      <w:r w:rsidR="00894039">
        <w:rPr>
          <w:rFonts w:cs="ArialUnicodeMS"/>
          <w:sz w:val="24"/>
          <w:szCs w:val="24"/>
        </w:rPr>
        <w:t>.</w:t>
      </w:r>
      <w:r w:rsidR="00FC4843">
        <w:rPr>
          <w:rStyle w:val="FootnoteReference"/>
          <w:rFonts w:cs="ArialUnicodeMS"/>
          <w:sz w:val="24"/>
          <w:szCs w:val="24"/>
        </w:rPr>
        <w:footnoteReference w:id="8"/>
      </w:r>
      <w:r w:rsidR="00894039">
        <w:rPr>
          <w:rFonts w:cs="ArialUnicodeMS"/>
          <w:sz w:val="24"/>
          <w:szCs w:val="24"/>
        </w:rPr>
        <w:t xml:space="preserve"> </w:t>
      </w:r>
      <w:r w:rsidR="00502ABD">
        <w:rPr>
          <w:rFonts w:cs="ArialUnicodeMS"/>
          <w:sz w:val="24"/>
          <w:szCs w:val="24"/>
        </w:rPr>
        <w:t xml:space="preserve"> SDCP</w:t>
      </w:r>
      <w:r w:rsidR="00D10AC6">
        <w:rPr>
          <w:rFonts w:cs="ArialUnicodeMS"/>
          <w:sz w:val="24"/>
          <w:szCs w:val="24"/>
        </w:rPr>
        <w:t xml:space="preserve"> </w:t>
      </w:r>
      <w:r w:rsidR="0006065E">
        <w:rPr>
          <w:rFonts w:cs="ArialUnicodeMS"/>
          <w:sz w:val="24"/>
          <w:szCs w:val="24"/>
        </w:rPr>
        <w:t>argues</w:t>
      </w:r>
      <w:r w:rsidR="00D10AC6">
        <w:rPr>
          <w:rFonts w:cs="ArialUnicodeMS"/>
          <w:sz w:val="24"/>
          <w:szCs w:val="24"/>
        </w:rPr>
        <w:t xml:space="preserve"> that it </w:t>
      </w:r>
      <w:r w:rsidR="0006065E">
        <w:rPr>
          <w:rFonts w:cs="ArialUnicodeMS"/>
          <w:sz w:val="24"/>
          <w:szCs w:val="24"/>
        </w:rPr>
        <w:t>chose not</w:t>
      </w:r>
      <w:r w:rsidR="00502ABD">
        <w:rPr>
          <w:rFonts w:cs="ArialUnicodeMS"/>
          <w:sz w:val="24"/>
          <w:szCs w:val="24"/>
        </w:rPr>
        <w:t xml:space="preserve"> to participate in </w:t>
      </w:r>
      <w:r w:rsidR="00FC4843">
        <w:rPr>
          <w:rFonts w:cs="ArialUnicodeMS"/>
          <w:sz w:val="24"/>
          <w:szCs w:val="24"/>
        </w:rPr>
        <w:t>SCE’s</w:t>
      </w:r>
      <w:r w:rsidR="00583BD6">
        <w:rPr>
          <w:rFonts w:cs="ArialUnicodeMS"/>
          <w:sz w:val="24"/>
          <w:szCs w:val="24"/>
        </w:rPr>
        <w:t xml:space="preserve"> </w:t>
      </w:r>
      <w:r w:rsidR="00C83664">
        <w:rPr>
          <w:rFonts w:cs="ArialUnicodeMS"/>
          <w:sz w:val="24"/>
          <w:szCs w:val="24"/>
        </w:rPr>
        <w:t xml:space="preserve">solicitation </w:t>
      </w:r>
      <w:r w:rsidR="00D10AC6">
        <w:rPr>
          <w:rFonts w:cs="ArialUnicodeMS"/>
          <w:sz w:val="24"/>
          <w:szCs w:val="24"/>
        </w:rPr>
        <w:t xml:space="preserve">because </w:t>
      </w:r>
      <w:r w:rsidR="002C14DB">
        <w:rPr>
          <w:rFonts w:cs="ArialUnicodeMS"/>
          <w:sz w:val="24"/>
          <w:szCs w:val="24"/>
        </w:rPr>
        <w:t xml:space="preserve">it was waiting for </w:t>
      </w:r>
      <w:r w:rsidR="0006065E">
        <w:rPr>
          <w:rFonts w:cs="ArialUnicodeMS"/>
          <w:sz w:val="24"/>
          <w:szCs w:val="24"/>
        </w:rPr>
        <w:t xml:space="preserve">SDG&amp;E to respond to its pending bids </w:t>
      </w:r>
      <w:r w:rsidR="002C14DB">
        <w:rPr>
          <w:rFonts w:cs="ArialUnicodeMS"/>
          <w:sz w:val="24"/>
          <w:szCs w:val="24"/>
        </w:rPr>
        <w:t xml:space="preserve">and that </w:t>
      </w:r>
      <w:r w:rsidR="00283D61">
        <w:rPr>
          <w:rFonts w:cs="ArialUnicodeMS"/>
          <w:sz w:val="24"/>
          <w:szCs w:val="24"/>
        </w:rPr>
        <w:t>if SDCP</w:t>
      </w:r>
      <w:r w:rsidR="002C14DB">
        <w:rPr>
          <w:rFonts w:cs="ArialUnicodeMS"/>
          <w:sz w:val="24"/>
          <w:szCs w:val="24"/>
        </w:rPr>
        <w:t xml:space="preserve"> bid into SCE’s solicitation and </w:t>
      </w:r>
      <w:r w:rsidR="00283D61">
        <w:rPr>
          <w:rFonts w:cs="ArialUnicodeMS"/>
          <w:sz w:val="24"/>
          <w:szCs w:val="24"/>
        </w:rPr>
        <w:t>was selected, this “could have resulted in double procurement</w:t>
      </w:r>
      <w:r w:rsidR="00424E79">
        <w:rPr>
          <w:rFonts w:cs="ArialUnicodeMS"/>
          <w:sz w:val="24"/>
          <w:szCs w:val="24"/>
        </w:rPr>
        <w:t>….</w:t>
      </w:r>
      <w:r w:rsidR="00283D61">
        <w:rPr>
          <w:rFonts w:cs="ArialUnicodeMS"/>
          <w:sz w:val="24"/>
          <w:szCs w:val="24"/>
        </w:rPr>
        <w:t>”</w:t>
      </w:r>
      <w:r w:rsidR="00283D61">
        <w:rPr>
          <w:rStyle w:val="FootnoteReference"/>
          <w:rFonts w:cs="ArialUnicodeMS"/>
          <w:sz w:val="24"/>
          <w:szCs w:val="24"/>
        </w:rPr>
        <w:footnoteReference w:id="9"/>
      </w:r>
    </w:p>
    <w:p w:rsidR="002C14DB" w:rsidP="00DB40B5" w:rsidRDefault="002C14DB" w14:paraId="1FC8B69C" w14:textId="721244E1">
      <w:pPr>
        <w:pStyle w:val="Standard"/>
        <w:spacing w:line="240" w:lineRule="auto"/>
        <w:ind w:firstLine="0"/>
        <w:rPr>
          <w:rFonts w:cs="ArialUnicodeMS"/>
          <w:sz w:val="24"/>
          <w:szCs w:val="24"/>
        </w:rPr>
      </w:pPr>
    </w:p>
    <w:p w:rsidR="002C14DB" w:rsidP="00DB40B5" w:rsidRDefault="00F0088F" w14:paraId="41E94D25" w14:textId="4EF8BCFD">
      <w:pPr>
        <w:pStyle w:val="Standard"/>
        <w:spacing w:line="240" w:lineRule="auto"/>
        <w:ind w:firstLine="0"/>
        <w:rPr>
          <w:rFonts w:cs="ArialUnicodeMS"/>
          <w:sz w:val="24"/>
          <w:szCs w:val="24"/>
        </w:rPr>
      </w:pPr>
      <w:r>
        <w:rPr>
          <w:rFonts w:cs="ArialUnicodeMS"/>
          <w:sz w:val="24"/>
          <w:szCs w:val="24"/>
        </w:rPr>
        <w:t xml:space="preserve">We are not persuaded by SDCP’s argument.  SDCP </w:t>
      </w:r>
      <w:r w:rsidR="00AC2A93">
        <w:rPr>
          <w:rFonts w:cs="ArialUnicodeMS"/>
          <w:sz w:val="24"/>
          <w:szCs w:val="24"/>
        </w:rPr>
        <w:t>provides no evidence</w:t>
      </w:r>
      <w:r>
        <w:rPr>
          <w:rFonts w:cs="ArialUnicodeMS"/>
          <w:sz w:val="24"/>
          <w:szCs w:val="24"/>
        </w:rPr>
        <w:t xml:space="preserve"> that its </w:t>
      </w:r>
      <w:r w:rsidR="00424E79">
        <w:rPr>
          <w:rFonts w:cs="ArialUnicodeMS"/>
          <w:sz w:val="24"/>
          <w:szCs w:val="24"/>
        </w:rPr>
        <w:t>offer</w:t>
      </w:r>
      <w:r>
        <w:rPr>
          <w:rFonts w:cs="ArialUnicodeMS"/>
          <w:sz w:val="24"/>
          <w:szCs w:val="24"/>
        </w:rPr>
        <w:t xml:space="preserve"> in SDG&amp;E’s solicitation</w:t>
      </w:r>
      <w:r w:rsidR="00921C31">
        <w:rPr>
          <w:rFonts w:cs="ArialUnicodeMS"/>
          <w:sz w:val="24"/>
          <w:szCs w:val="24"/>
        </w:rPr>
        <w:t xml:space="preserve"> was</w:t>
      </w:r>
      <w:r>
        <w:rPr>
          <w:rFonts w:cs="ArialUnicodeMS"/>
          <w:sz w:val="24"/>
          <w:szCs w:val="24"/>
        </w:rPr>
        <w:t xml:space="preserve"> binding </w:t>
      </w:r>
      <w:r w:rsidR="00424E79">
        <w:rPr>
          <w:rFonts w:cs="ArialUnicodeMS"/>
          <w:sz w:val="24"/>
          <w:szCs w:val="24"/>
        </w:rPr>
        <w:t>or could not have been withdrawn</w:t>
      </w:r>
      <w:r>
        <w:rPr>
          <w:rFonts w:cs="ArialUnicodeMS"/>
          <w:sz w:val="24"/>
          <w:szCs w:val="24"/>
        </w:rPr>
        <w:t>, if selected</w:t>
      </w:r>
      <w:r w:rsidR="00AC2A93">
        <w:rPr>
          <w:rFonts w:cs="ArialUnicodeMS"/>
          <w:sz w:val="24"/>
          <w:szCs w:val="24"/>
        </w:rPr>
        <w:t xml:space="preserve"> by SDG&amp;E</w:t>
      </w:r>
      <w:r>
        <w:rPr>
          <w:rFonts w:cs="ArialUnicodeMS"/>
          <w:sz w:val="24"/>
          <w:szCs w:val="24"/>
        </w:rPr>
        <w:t xml:space="preserve">.  </w:t>
      </w:r>
      <w:r w:rsidR="00921C31">
        <w:rPr>
          <w:rFonts w:cs="ArialUnicodeMS"/>
          <w:sz w:val="24"/>
          <w:szCs w:val="24"/>
        </w:rPr>
        <w:t>Rather</w:t>
      </w:r>
      <w:r w:rsidR="00424E79">
        <w:rPr>
          <w:rFonts w:cs="ArialUnicodeMS"/>
          <w:sz w:val="24"/>
          <w:szCs w:val="24"/>
        </w:rPr>
        <w:t>, i</w:t>
      </w:r>
      <w:r>
        <w:rPr>
          <w:rFonts w:cs="ArialUnicodeMS"/>
          <w:sz w:val="24"/>
          <w:szCs w:val="24"/>
        </w:rPr>
        <w:t xml:space="preserve">f SDCP was notified of a “shortlist” selection </w:t>
      </w:r>
      <w:r w:rsidR="00AC2A93">
        <w:rPr>
          <w:rFonts w:cs="ArialUnicodeMS"/>
          <w:sz w:val="24"/>
          <w:szCs w:val="24"/>
        </w:rPr>
        <w:t>by</w:t>
      </w:r>
      <w:r>
        <w:rPr>
          <w:rFonts w:cs="ArialUnicodeMS"/>
          <w:sz w:val="24"/>
          <w:szCs w:val="24"/>
        </w:rPr>
        <w:t xml:space="preserve"> SDG&amp;E, </w:t>
      </w:r>
      <w:r w:rsidR="00AC2A93">
        <w:rPr>
          <w:rFonts w:cs="ArialUnicodeMS"/>
          <w:sz w:val="24"/>
          <w:szCs w:val="24"/>
        </w:rPr>
        <w:t xml:space="preserve">SDCP could </w:t>
      </w:r>
      <w:r>
        <w:rPr>
          <w:rFonts w:cs="ArialUnicodeMS"/>
          <w:sz w:val="24"/>
          <w:szCs w:val="24"/>
        </w:rPr>
        <w:t xml:space="preserve">have withdrawn </w:t>
      </w:r>
      <w:r w:rsidR="00921C31">
        <w:rPr>
          <w:rFonts w:cs="ArialUnicodeMS"/>
          <w:sz w:val="24"/>
          <w:szCs w:val="24"/>
        </w:rPr>
        <w:t>a</w:t>
      </w:r>
      <w:r w:rsidR="00AC2A93">
        <w:rPr>
          <w:rFonts w:cs="ArialUnicodeMS"/>
          <w:sz w:val="24"/>
          <w:szCs w:val="24"/>
        </w:rPr>
        <w:t xml:space="preserve"> </w:t>
      </w:r>
      <w:r w:rsidR="00921C31">
        <w:rPr>
          <w:rFonts w:cs="ArialUnicodeMS"/>
          <w:sz w:val="24"/>
          <w:szCs w:val="24"/>
        </w:rPr>
        <w:t>selected offer in</w:t>
      </w:r>
      <w:r>
        <w:rPr>
          <w:rFonts w:cs="ArialUnicodeMS"/>
          <w:sz w:val="24"/>
          <w:szCs w:val="24"/>
        </w:rPr>
        <w:t xml:space="preserve"> SCE’s solicitation.  </w:t>
      </w:r>
      <w:r w:rsidR="00AC2A93">
        <w:rPr>
          <w:rFonts w:cs="ArialUnicodeMS"/>
          <w:sz w:val="24"/>
          <w:szCs w:val="24"/>
        </w:rPr>
        <w:t xml:space="preserve">By voluntarily choosing not to participate in SCE’s solicitation for available RA resources, SDCP fails to demonstrate that it was “impossible” to procure </w:t>
      </w:r>
      <w:r>
        <w:rPr>
          <w:rFonts w:cs="ArialUnicodeMS"/>
          <w:sz w:val="24"/>
          <w:szCs w:val="24"/>
        </w:rPr>
        <w:t>September 2021 system resources</w:t>
      </w:r>
      <w:r w:rsidR="00AC2A93">
        <w:rPr>
          <w:rFonts w:cs="ArialUnicodeMS"/>
          <w:sz w:val="24"/>
          <w:szCs w:val="24"/>
        </w:rPr>
        <w:t xml:space="preserve">.  </w:t>
      </w:r>
    </w:p>
    <w:p w:rsidR="00A8173D" w:rsidP="00DB40B5" w:rsidRDefault="00A8173D" w14:paraId="23897122" w14:textId="6AC5EB68">
      <w:pPr>
        <w:pStyle w:val="Standard"/>
        <w:spacing w:line="240" w:lineRule="auto"/>
        <w:ind w:firstLine="0"/>
        <w:rPr>
          <w:rFonts w:cs="ArialUnicodeMS"/>
          <w:sz w:val="24"/>
          <w:szCs w:val="24"/>
        </w:rPr>
      </w:pPr>
    </w:p>
    <w:p w:rsidR="00844637" w:rsidP="00985AD2" w:rsidRDefault="005E0E2B" w14:paraId="000FF40C" w14:textId="5A3474F0">
      <w:pPr>
        <w:pStyle w:val="Standard"/>
        <w:spacing w:line="240" w:lineRule="auto"/>
        <w:ind w:firstLine="0"/>
        <w:rPr>
          <w:rFonts w:cs="ArialUnicodeMS"/>
          <w:sz w:val="24"/>
          <w:szCs w:val="24"/>
        </w:rPr>
      </w:pPr>
      <w:r>
        <w:rPr>
          <w:rFonts w:cs="ArialUnicodeMS"/>
          <w:sz w:val="24"/>
          <w:szCs w:val="24"/>
        </w:rPr>
        <w:t>Second</w:t>
      </w:r>
      <w:r w:rsidR="00A8173D">
        <w:rPr>
          <w:rFonts w:cs="ArialUnicodeMS"/>
          <w:sz w:val="24"/>
          <w:szCs w:val="24"/>
        </w:rPr>
        <w:t xml:space="preserve">, </w:t>
      </w:r>
      <w:r w:rsidR="00476784">
        <w:rPr>
          <w:rFonts w:cs="ArialUnicodeMS"/>
          <w:sz w:val="24"/>
          <w:szCs w:val="24"/>
        </w:rPr>
        <w:t>w</w:t>
      </w:r>
      <w:r w:rsidR="00AC2A93">
        <w:rPr>
          <w:rFonts w:cs="ArialUnicodeMS"/>
          <w:sz w:val="24"/>
          <w:szCs w:val="24"/>
        </w:rPr>
        <w:t>hen SDCP</w:t>
      </w:r>
      <w:r w:rsidR="00476784">
        <w:rPr>
          <w:rFonts w:cs="ArialUnicodeMS"/>
          <w:sz w:val="24"/>
          <w:szCs w:val="24"/>
        </w:rPr>
        <w:t xml:space="preserve"> participated in</w:t>
      </w:r>
      <w:r w:rsidR="00D10AC6">
        <w:rPr>
          <w:rFonts w:cs="ArialUnicodeMS"/>
          <w:sz w:val="24"/>
          <w:szCs w:val="24"/>
        </w:rPr>
        <w:t xml:space="preserve"> SDG&amp;E’s </w:t>
      </w:r>
      <w:r w:rsidR="001625EF">
        <w:rPr>
          <w:rFonts w:cs="ArialUnicodeMS"/>
          <w:sz w:val="24"/>
          <w:szCs w:val="24"/>
        </w:rPr>
        <w:t xml:space="preserve">2021 </w:t>
      </w:r>
      <w:r w:rsidR="00AC2A93">
        <w:rPr>
          <w:rFonts w:cs="ArialUnicodeMS"/>
          <w:sz w:val="24"/>
          <w:szCs w:val="24"/>
        </w:rPr>
        <w:t xml:space="preserve">RFO </w:t>
      </w:r>
      <w:r w:rsidR="00D10AC6">
        <w:rPr>
          <w:rFonts w:cs="ArialUnicodeMS"/>
          <w:sz w:val="24"/>
          <w:szCs w:val="24"/>
        </w:rPr>
        <w:t xml:space="preserve">solicitations, </w:t>
      </w:r>
      <w:r w:rsidR="004863BA">
        <w:rPr>
          <w:rFonts w:cs="ArialUnicodeMS"/>
          <w:sz w:val="24"/>
          <w:szCs w:val="24"/>
        </w:rPr>
        <w:t xml:space="preserve">SDCP </w:t>
      </w:r>
      <w:r w:rsidR="00476784">
        <w:rPr>
          <w:rFonts w:cs="ArialUnicodeMS"/>
          <w:sz w:val="24"/>
          <w:szCs w:val="24"/>
        </w:rPr>
        <w:t xml:space="preserve">submitted </w:t>
      </w:r>
      <w:r w:rsidR="002F3554">
        <w:rPr>
          <w:rFonts w:cs="ArialUnicodeMS"/>
          <w:sz w:val="24"/>
          <w:szCs w:val="24"/>
        </w:rPr>
        <w:t>bids</w:t>
      </w:r>
      <w:r w:rsidR="001625EF">
        <w:rPr>
          <w:rFonts w:cs="ArialUnicodeMS"/>
          <w:sz w:val="24"/>
          <w:szCs w:val="24"/>
        </w:rPr>
        <w:t xml:space="preserve"> that were </w:t>
      </w:r>
      <w:r w:rsidR="00476784">
        <w:rPr>
          <w:rFonts w:cs="ArialUnicodeMS"/>
          <w:sz w:val="24"/>
          <w:szCs w:val="24"/>
        </w:rPr>
        <w:t>far</w:t>
      </w:r>
      <w:r w:rsidR="004F217E">
        <w:rPr>
          <w:rFonts w:cs="ArialUnicodeMS"/>
          <w:sz w:val="24"/>
          <w:szCs w:val="24"/>
        </w:rPr>
        <w:t xml:space="preserve"> </w:t>
      </w:r>
      <w:r w:rsidR="00476784">
        <w:rPr>
          <w:rFonts w:cs="ArialUnicodeMS"/>
          <w:sz w:val="24"/>
          <w:szCs w:val="24"/>
        </w:rPr>
        <w:t>below</w:t>
      </w:r>
      <w:r w:rsidR="004863BA">
        <w:rPr>
          <w:rFonts w:cs="ArialUnicodeMS"/>
          <w:sz w:val="24"/>
          <w:szCs w:val="24"/>
        </w:rPr>
        <w:t xml:space="preserve"> </w:t>
      </w:r>
      <w:r w:rsidR="00476784">
        <w:rPr>
          <w:rFonts w:cs="ArialUnicodeMS"/>
          <w:sz w:val="24"/>
          <w:szCs w:val="24"/>
        </w:rPr>
        <w:t>what</w:t>
      </w:r>
      <w:r w:rsidR="004863BA">
        <w:rPr>
          <w:rFonts w:cs="ArialUnicodeMS"/>
          <w:sz w:val="24"/>
          <w:szCs w:val="24"/>
        </w:rPr>
        <w:t xml:space="preserve"> it knew</w:t>
      </w:r>
      <w:r w:rsidR="00D10AC6">
        <w:rPr>
          <w:rFonts w:cs="ArialUnicodeMS"/>
          <w:sz w:val="24"/>
          <w:szCs w:val="24"/>
        </w:rPr>
        <w:t xml:space="preserve">, or should have known, </w:t>
      </w:r>
      <w:r w:rsidR="004863BA">
        <w:rPr>
          <w:rFonts w:cs="ArialUnicodeMS"/>
          <w:sz w:val="24"/>
          <w:szCs w:val="24"/>
        </w:rPr>
        <w:t>was necessary to procure</w:t>
      </w:r>
      <w:r w:rsidR="00D10AC6">
        <w:rPr>
          <w:rFonts w:cs="ArialUnicodeMS"/>
          <w:sz w:val="24"/>
          <w:szCs w:val="24"/>
        </w:rPr>
        <w:t xml:space="preserve"> </w:t>
      </w:r>
      <w:r w:rsidR="004863BA">
        <w:rPr>
          <w:rFonts w:cs="ArialUnicodeMS"/>
          <w:sz w:val="24"/>
          <w:szCs w:val="24"/>
        </w:rPr>
        <w:t>RA resources</w:t>
      </w:r>
      <w:r w:rsidR="001625EF">
        <w:rPr>
          <w:rFonts w:cs="ArialUnicodeMS"/>
          <w:sz w:val="24"/>
          <w:szCs w:val="24"/>
        </w:rPr>
        <w:t>, which resulted in rejected offers</w:t>
      </w:r>
      <w:r w:rsidR="004863BA">
        <w:rPr>
          <w:rFonts w:cs="ArialUnicodeMS"/>
          <w:sz w:val="24"/>
          <w:szCs w:val="24"/>
        </w:rPr>
        <w:t>.</w:t>
      </w:r>
      <w:r w:rsidR="00FD0F7D">
        <w:rPr>
          <w:rStyle w:val="FootnoteReference"/>
          <w:rFonts w:cs="ArialUnicodeMS"/>
          <w:sz w:val="24"/>
          <w:szCs w:val="24"/>
        </w:rPr>
        <w:footnoteReference w:id="10"/>
      </w:r>
      <w:r w:rsidR="004863BA">
        <w:rPr>
          <w:rFonts w:cs="ArialUnicodeMS"/>
          <w:sz w:val="24"/>
          <w:szCs w:val="24"/>
        </w:rPr>
        <w:t xml:space="preserve">  </w:t>
      </w:r>
      <w:r w:rsidR="0079216B">
        <w:rPr>
          <w:rFonts w:cs="ArialUnicodeMS"/>
          <w:sz w:val="24"/>
          <w:szCs w:val="24"/>
        </w:rPr>
        <w:t xml:space="preserve">Prior to bidding into SDG&amp;E’s solicitations, </w:t>
      </w:r>
      <w:r w:rsidR="00D10AC6">
        <w:rPr>
          <w:rFonts w:cs="ArialUnicodeMS"/>
          <w:sz w:val="24"/>
          <w:szCs w:val="24"/>
        </w:rPr>
        <w:t>SDCP received</w:t>
      </w:r>
      <w:r w:rsidR="005662DE">
        <w:rPr>
          <w:rFonts w:cs="ArialUnicodeMS"/>
          <w:sz w:val="24"/>
          <w:szCs w:val="24"/>
        </w:rPr>
        <w:t xml:space="preserve"> several </w:t>
      </w:r>
      <w:r w:rsidR="00F63737">
        <w:rPr>
          <w:rFonts w:cs="ArialUnicodeMS"/>
          <w:sz w:val="24"/>
          <w:szCs w:val="24"/>
        </w:rPr>
        <w:t xml:space="preserve">RA “market updates” </w:t>
      </w:r>
      <w:r w:rsidR="0079216B">
        <w:rPr>
          <w:rFonts w:cs="ArialUnicodeMS"/>
          <w:sz w:val="24"/>
          <w:szCs w:val="24"/>
        </w:rPr>
        <w:t xml:space="preserve">that included </w:t>
      </w:r>
      <w:r w:rsidR="00F63737">
        <w:rPr>
          <w:rFonts w:cs="ArialUnicodeMS"/>
          <w:sz w:val="24"/>
          <w:szCs w:val="24"/>
        </w:rPr>
        <w:t xml:space="preserve">current </w:t>
      </w:r>
      <w:r w:rsidR="00D9069A">
        <w:rPr>
          <w:rFonts w:cs="ArialUnicodeMS"/>
          <w:sz w:val="24"/>
          <w:szCs w:val="24"/>
        </w:rPr>
        <w:t>bidding</w:t>
      </w:r>
      <w:r w:rsidR="002F3554">
        <w:rPr>
          <w:rFonts w:cs="ArialUnicodeMS"/>
          <w:sz w:val="24"/>
          <w:szCs w:val="24"/>
        </w:rPr>
        <w:t>/trading</w:t>
      </w:r>
      <w:r w:rsidR="00F63737">
        <w:rPr>
          <w:rFonts w:cs="ArialUnicodeMS"/>
          <w:sz w:val="24"/>
          <w:szCs w:val="24"/>
        </w:rPr>
        <w:t xml:space="preserve"> prices for </w:t>
      </w:r>
      <w:r w:rsidR="00203479">
        <w:rPr>
          <w:rFonts w:cs="ArialUnicodeMS"/>
          <w:sz w:val="24"/>
          <w:szCs w:val="24"/>
        </w:rPr>
        <w:t>September 2021 system RA.</w:t>
      </w:r>
      <w:r w:rsidR="00EB2E79">
        <w:rPr>
          <w:rFonts w:cs="ArialUnicodeMS"/>
          <w:sz w:val="24"/>
          <w:szCs w:val="24"/>
        </w:rPr>
        <w:t xml:space="preserve">  </w:t>
      </w:r>
      <w:r w:rsidR="001625EF">
        <w:rPr>
          <w:rFonts w:cs="ArialUnicodeMS"/>
          <w:sz w:val="24"/>
          <w:szCs w:val="24"/>
        </w:rPr>
        <w:t>A</w:t>
      </w:r>
      <w:r w:rsidR="004F217E">
        <w:rPr>
          <w:rFonts w:cs="ArialUnicodeMS"/>
          <w:sz w:val="24"/>
          <w:szCs w:val="24"/>
        </w:rPr>
        <w:t>fter receiving a</w:t>
      </w:r>
      <w:r w:rsidR="00D93F79">
        <w:rPr>
          <w:rFonts w:cs="ArialUnicodeMS"/>
          <w:sz w:val="24"/>
          <w:szCs w:val="24"/>
        </w:rPr>
        <w:t xml:space="preserve"> </w:t>
      </w:r>
      <w:r w:rsidR="00D10AC6">
        <w:rPr>
          <w:rFonts w:cs="ArialUnicodeMS"/>
          <w:sz w:val="24"/>
          <w:szCs w:val="24"/>
        </w:rPr>
        <w:t>“</w:t>
      </w:r>
      <w:r w:rsidRPr="00D9069A" w:rsidR="00D93F79">
        <w:rPr>
          <w:rFonts w:cs="ArialUnicodeMS"/>
          <w:sz w:val="24"/>
          <w:szCs w:val="24"/>
        </w:rPr>
        <w:t>market update</w:t>
      </w:r>
      <w:r w:rsidR="00D10AC6">
        <w:rPr>
          <w:rFonts w:cs="ArialUnicodeMS"/>
          <w:sz w:val="24"/>
          <w:szCs w:val="24"/>
        </w:rPr>
        <w:t>”</w:t>
      </w:r>
      <w:r w:rsidR="004F217E">
        <w:rPr>
          <w:rFonts w:cs="ArialUnicodeMS"/>
          <w:sz w:val="24"/>
          <w:szCs w:val="24"/>
        </w:rPr>
        <w:t xml:space="preserve"> on</w:t>
      </w:r>
      <w:r w:rsidR="00D93F79">
        <w:rPr>
          <w:rFonts w:cs="ArialUnicodeMS"/>
          <w:sz w:val="24"/>
          <w:szCs w:val="24"/>
        </w:rPr>
        <w:t xml:space="preserve"> March 30, 2021</w:t>
      </w:r>
      <w:r w:rsidR="00C32E26">
        <w:rPr>
          <w:rFonts w:cs="ArialUnicodeMS"/>
          <w:sz w:val="24"/>
          <w:szCs w:val="24"/>
        </w:rPr>
        <w:t>,</w:t>
      </w:r>
      <w:r w:rsidR="00946664">
        <w:rPr>
          <w:rStyle w:val="FootnoteReference"/>
          <w:rFonts w:cs="ArialUnicodeMS"/>
          <w:sz w:val="24"/>
          <w:szCs w:val="24"/>
        </w:rPr>
        <w:footnoteReference w:id="11"/>
      </w:r>
      <w:r w:rsidR="00C32E26">
        <w:rPr>
          <w:rFonts w:cs="ArialUnicodeMS"/>
          <w:sz w:val="24"/>
          <w:szCs w:val="24"/>
        </w:rPr>
        <w:t xml:space="preserve"> </w:t>
      </w:r>
      <w:r w:rsidR="001625EF">
        <w:rPr>
          <w:rFonts w:cs="ArialUnicodeMS"/>
          <w:sz w:val="24"/>
          <w:szCs w:val="24"/>
        </w:rPr>
        <w:t xml:space="preserve">however, </w:t>
      </w:r>
      <w:r w:rsidR="00C32E26">
        <w:rPr>
          <w:rFonts w:cs="ArialUnicodeMS"/>
          <w:sz w:val="24"/>
          <w:szCs w:val="24"/>
        </w:rPr>
        <w:t xml:space="preserve">SDCP </w:t>
      </w:r>
      <w:r w:rsidR="00D9069A">
        <w:rPr>
          <w:rFonts w:cs="ArialUnicodeMS"/>
          <w:sz w:val="24"/>
          <w:szCs w:val="24"/>
        </w:rPr>
        <w:t>submitted an offer</w:t>
      </w:r>
      <w:r w:rsidR="004F217E">
        <w:rPr>
          <w:rFonts w:cs="ArialUnicodeMS"/>
          <w:sz w:val="24"/>
          <w:szCs w:val="24"/>
        </w:rPr>
        <w:t xml:space="preserve"> </w:t>
      </w:r>
      <w:r w:rsidR="00D9069A">
        <w:rPr>
          <w:rFonts w:cs="ArialUnicodeMS"/>
          <w:sz w:val="24"/>
          <w:szCs w:val="24"/>
        </w:rPr>
        <w:t>in</w:t>
      </w:r>
      <w:r w:rsidR="00C32E26">
        <w:rPr>
          <w:rFonts w:cs="ArialUnicodeMS"/>
          <w:sz w:val="24"/>
          <w:szCs w:val="24"/>
        </w:rPr>
        <w:t xml:space="preserve"> SDG&amp;E’s April</w:t>
      </w:r>
      <w:r w:rsidR="00192ADB">
        <w:rPr>
          <w:rFonts w:cs="ArialUnicodeMS"/>
          <w:sz w:val="24"/>
          <w:szCs w:val="24"/>
        </w:rPr>
        <w:t> </w:t>
      </w:r>
      <w:r w:rsidR="00C32E26">
        <w:rPr>
          <w:rFonts w:cs="ArialUnicodeMS"/>
          <w:sz w:val="24"/>
          <w:szCs w:val="24"/>
        </w:rPr>
        <w:t>13,</w:t>
      </w:r>
      <w:r w:rsidR="00192ADB">
        <w:rPr>
          <w:rFonts w:cs="ArialUnicodeMS"/>
          <w:sz w:val="24"/>
          <w:szCs w:val="24"/>
        </w:rPr>
        <w:t> </w:t>
      </w:r>
      <w:r w:rsidR="00C32E26">
        <w:rPr>
          <w:rFonts w:cs="ArialUnicodeMS"/>
          <w:sz w:val="24"/>
          <w:szCs w:val="24"/>
        </w:rPr>
        <w:t>2021 solicitation</w:t>
      </w:r>
      <w:r w:rsidR="00871F77">
        <w:rPr>
          <w:rFonts w:cs="ArialUnicodeMS"/>
          <w:sz w:val="24"/>
          <w:szCs w:val="24"/>
        </w:rPr>
        <w:t xml:space="preserve"> </w:t>
      </w:r>
      <w:r w:rsidR="002F3554">
        <w:rPr>
          <w:rFonts w:cs="ArialUnicodeMS"/>
          <w:sz w:val="24"/>
          <w:szCs w:val="24"/>
        </w:rPr>
        <w:t xml:space="preserve">that was </w:t>
      </w:r>
      <w:r w:rsidR="005D6590">
        <w:rPr>
          <w:rFonts w:cs="ArialUnicodeMS"/>
          <w:sz w:val="24"/>
          <w:szCs w:val="24"/>
        </w:rPr>
        <w:t>well</w:t>
      </w:r>
      <w:r w:rsidR="00871F77">
        <w:rPr>
          <w:rFonts w:cs="ArialUnicodeMS"/>
          <w:sz w:val="24"/>
          <w:szCs w:val="24"/>
        </w:rPr>
        <w:t xml:space="preserve"> below the</w:t>
      </w:r>
      <w:r w:rsidR="008C5DEC">
        <w:rPr>
          <w:rFonts w:cs="ArialUnicodeMS"/>
          <w:sz w:val="24"/>
          <w:szCs w:val="24"/>
        </w:rPr>
        <w:t xml:space="preserve"> </w:t>
      </w:r>
      <w:r w:rsidR="002F3554">
        <w:rPr>
          <w:rFonts w:cs="ArialUnicodeMS"/>
          <w:sz w:val="24"/>
          <w:szCs w:val="24"/>
        </w:rPr>
        <w:t xml:space="preserve">“market update” </w:t>
      </w:r>
      <w:r w:rsidR="00F50FFA">
        <w:rPr>
          <w:rFonts w:cs="ArialUnicodeMS"/>
          <w:sz w:val="24"/>
          <w:szCs w:val="24"/>
        </w:rPr>
        <w:t>bidding</w:t>
      </w:r>
      <w:r w:rsidR="005D6590">
        <w:rPr>
          <w:rFonts w:cs="ArialUnicodeMS"/>
          <w:sz w:val="24"/>
          <w:szCs w:val="24"/>
        </w:rPr>
        <w:t xml:space="preserve"> price</w:t>
      </w:r>
      <w:r w:rsidR="00D9069A">
        <w:rPr>
          <w:rFonts w:cs="ArialUnicodeMS"/>
          <w:sz w:val="24"/>
          <w:szCs w:val="24"/>
        </w:rPr>
        <w:t xml:space="preserve"> for </w:t>
      </w:r>
      <w:r w:rsidR="00D9069A">
        <w:rPr>
          <w:rFonts w:cs="ArialUnicodeMS"/>
          <w:sz w:val="24"/>
          <w:szCs w:val="24"/>
        </w:rPr>
        <w:lastRenderedPageBreak/>
        <w:t>September 2021 system RA</w:t>
      </w:r>
      <w:r w:rsidR="005D6590">
        <w:rPr>
          <w:rFonts w:cs="ArialUnicodeMS"/>
          <w:sz w:val="24"/>
          <w:szCs w:val="24"/>
        </w:rPr>
        <w:t>.</w:t>
      </w:r>
      <w:r w:rsidR="005D6590">
        <w:rPr>
          <w:rStyle w:val="FootnoteReference"/>
          <w:rFonts w:cs="ArialUnicodeMS"/>
          <w:sz w:val="24"/>
          <w:szCs w:val="24"/>
        </w:rPr>
        <w:footnoteReference w:id="12"/>
      </w:r>
      <w:r w:rsidR="008C5DEC">
        <w:rPr>
          <w:rFonts w:cs="ArialUnicodeMS"/>
          <w:sz w:val="24"/>
          <w:szCs w:val="24"/>
        </w:rPr>
        <w:t xml:space="preserve">  </w:t>
      </w:r>
      <w:r w:rsidR="004F217E">
        <w:rPr>
          <w:rFonts w:cs="ArialUnicodeMS"/>
          <w:sz w:val="24"/>
          <w:szCs w:val="24"/>
        </w:rPr>
        <w:t>SDG&amp;E</w:t>
      </w:r>
      <w:r w:rsidR="008C5DEC">
        <w:rPr>
          <w:rFonts w:cs="ArialUnicodeMS"/>
          <w:sz w:val="24"/>
          <w:szCs w:val="24"/>
        </w:rPr>
        <w:t xml:space="preserve"> rejected </w:t>
      </w:r>
      <w:r w:rsidR="001625EF">
        <w:rPr>
          <w:rFonts w:cs="ArialUnicodeMS"/>
          <w:sz w:val="24"/>
          <w:szCs w:val="24"/>
        </w:rPr>
        <w:t>SDCP’s</w:t>
      </w:r>
      <w:r w:rsidR="004F217E">
        <w:rPr>
          <w:rFonts w:cs="ArialUnicodeMS"/>
          <w:sz w:val="24"/>
          <w:szCs w:val="24"/>
        </w:rPr>
        <w:t xml:space="preserve"> bid</w:t>
      </w:r>
      <w:r w:rsidR="00DB6905">
        <w:rPr>
          <w:rFonts w:cs="ArialUnicodeMS"/>
          <w:sz w:val="24"/>
          <w:szCs w:val="24"/>
        </w:rPr>
        <w:t xml:space="preserve"> days later.</w:t>
      </w:r>
      <w:r w:rsidR="00DB6905">
        <w:rPr>
          <w:rStyle w:val="FootnoteReference"/>
          <w:rFonts w:cs="ArialUnicodeMS"/>
          <w:sz w:val="24"/>
          <w:szCs w:val="24"/>
        </w:rPr>
        <w:footnoteReference w:id="13"/>
      </w:r>
      <w:r w:rsidR="00020B9E">
        <w:rPr>
          <w:rFonts w:cs="ArialUnicodeMS"/>
          <w:sz w:val="24"/>
          <w:szCs w:val="24"/>
        </w:rPr>
        <w:t xml:space="preserve">  </w:t>
      </w:r>
      <w:r w:rsidR="00D9069A">
        <w:rPr>
          <w:rFonts w:cs="ArialUnicodeMS"/>
          <w:sz w:val="24"/>
          <w:szCs w:val="24"/>
        </w:rPr>
        <w:t>Similarly</w:t>
      </w:r>
      <w:r w:rsidR="00020B9E">
        <w:rPr>
          <w:rFonts w:cs="ArialUnicodeMS"/>
          <w:sz w:val="24"/>
          <w:szCs w:val="24"/>
        </w:rPr>
        <w:t xml:space="preserve">, </w:t>
      </w:r>
      <w:r w:rsidR="004F217E">
        <w:rPr>
          <w:rFonts w:cs="ArialUnicodeMS"/>
          <w:sz w:val="24"/>
          <w:szCs w:val="24"/>
        </w:rPr>
        <w:t>after receiving</w:t>
      </w:r>
      <w:r w:rsidR="00020B9E">
        <w:rPr>
          <w:rFonts w:cs="ArialUnicodeMS"/>
          <w:sz w:val="24"/>
          <w:szCs w:val="24"/>
        </w:rPr>
        <w:t xml:space="preserve"> </w:t>
      </w:r>
      <w:r w:rsidR="001625EF">
        <w:rPr>
          <w:rFonts w:cs="ArialUnicodeMS"/>
          <w:sz w:val="24"/>
          <w:szCs w:val="24"/>
        </w:rPr>
        <w:t>multiple “</w:t>
      </w:r>
      <w:r w:rsidR="00020B9E">
        <w:rPr>
          <w:rFonts w:cs="ArialUnicodeMS"/>
          <w:sz w:val="24"/>
          <w:szCs w:val="24"/>
        </w:rPr>
        <w:t>market update</w:t>
      </w:r>
      <w:r w:rsidR="001625EF">
        <w:rPr>
          <w:rFonts w:cs="ArialUnicodeMS"/>
          <w:sz w:val="24"/>
          <w:szCs w:val="24"/>
        </w:rPr>
        <w:t>s”</w:t>
      </w:r>
      <w:r w:rsidR="00020B9E">
        <w:rPr>
          <w:rFonts w:cs="ArialUnicodeMS"/>
          <w:sz w:val="24"/>
          <w:szCs w:val="24"/>
        </w:rPr>
        <w:t xml:space="preserve"> </w:t>
      </w:r>
      <w:r w:rsidR="00D10AC6">
        <w:rPr>
          <w:rFonts w:cs="ArialUnicodeMS"/>
          <w:sz w:val="24"/>
          <w:szCs w:val="24"/>
        </w:rPr>
        <w:t>on May 4</w:t>
      </w:r>
      <w:r w:rsidR="0016034F">
        <w:rPr>
          <w:rFonts w:cs="ArialUnicodeMS"/>
          <w:sz w:val="24"/>
          <w:szCs w:val="24"/>
        </w:rPr>
        <w:t xml:space="preserve">, </w:t>
      </w:r>
      <w:r w:rsidR="004F217E">
        <w:rPr>
          <w:rFonts w:cs="ArialUnicodeMS"/>
          <w:sz w:val="24"/>
          <w:szCs w:val="24"/>
        </w:rPr>
        <w:t xml:space="preserve">June 7, </w:t>
      </w:r>
      <w:r w:rsidR="0016034F">
        <w:rPr>
          <w:rFonts w:cs="ArialUnicodeMS"/>
          <w:sz w:val="24"/>
          <w:szCs w:val="24"/>
        </w:rPr>
        <w:t>June 9</w:t>
      </w:r>
      <w:r w:rsidR="001625EF">
        <w:rPr>
          <w:rFonts w:cs="ArialUnicodeMS"/>
          <w:sz w:val="24"/>
          <w:szCs w:val="24"/>
        </w:rPr>
        <w:t>,</w:t>
      </w:r>
      <w:r w:rsidR="0016034F">
        <w:rPr>
          <w:rFonts w:cs="ArialUnicodeMS"/>
          <w:sz w:val="24"/>
          <w:szCs w:val="24"/>
        </w:rPr>
        <w:t xml:space="preserve"> and June 15, </w:t>
      </w:r>
      <w:r w:rsidR="004F217E">
        <w:rPr>
          <w:rFonts w:cs="ArialUnicodeMS"/>
          <w:sz w:val="24"/>
          <w:szCs w:val="24"/>
        </w:rPr>
        <w:t xml:space="preserve">2021 </w:t>
      </w:r>
      <w:r w:rsidR="00020B9E">
        <w:rPr>
          <w:rFonts w:cs="ArialUnicodeMS"/>
          <w:sz w:val="24"/>
          <w:szCs w:val="24"/>
        </w:rPr>
        <w:t xml:space="preserve">with current </w:t>
      </w:r>
      <w:r w:rsidR="00F50FFA">
        <w:rPr>
          <w:rFonts w:cs="ArialUnicodeMS"/>
          <w:sz w:val="24"/>
          <w:szCs w:val="24"/>
        </w:rPr>
        <w:t>bidding</w:t>
      </w:r>
      <w:r w:rsidR="002F3554">
        <w:rPr>
          <w:rFonts w:cs="ArialUnicodeMS"/>
          <w:sz w:val="24"/>
          <w:szCs w:val="24"/>
        </w:rPr>
        <w:t>/trading</w:t>
      </w:r>
      <w:r w:rsidR="00020B9E">
        <w:rPr>
          <w:rFonts w:cs="ArialUnicodeMS"/>
          <w:sz w:val="24"/>
          <w:szCs w:val="24"/>
        </w:rPr>
        <w:t xml:space="preserve"> prices</w:t>
      </w:r>
      <w:r w:rsidR="00C126D4">
        <w:rPr>
          <w:rFonts w:cs="ArialUnicodeMS"/>
          <w:sz w:val="24"/>
          <w:szCs w:val="24"/>
        </w:rPr>
        <w:t>,</w:t>
      </w:r>
      <w:r w:rsidR="00C126D4">
        <w:rPr>
          <w:rStyle w:val="FootnoteReference"/>
          <w:rFonts w:cs="ArialUnicodeMS"/>
          <w:sz w:val="24"/>
          <w:szCs w:val="24"/>
        </w:rPr>
        <w:footnoteReference w:id="14"/>
      </w:r>
      <w:r w:rsidR="00C126D4">
        <w:rPr>
          <w:rFonts w:cs="ArialUnicodeMS"/>
          <w:sz w:val="24"/>
          <w:szCs w:val="24"/>
        </w:rPr>
        <w:t xml:space="preserve"> SDCP </w:t>
      </w:r>
      <w:r w:rsidR="00D9069A">
        <w:rPr>
          <w:rFonts w:cs="ArialUnicodeMS"/>
          <w:sz w:val="24"/>
          <w:szCs w:val="24"/>
        </w:rPr>
        <w:t>submitted an offer</w:t>
      </w:r>
      <w:r w:rsidR="00C126D4">
        <w:rPr>
          <w:rFonts w:cs="ArialUnicodeMS"/>
          <w:sz w:val="24"/>
          <w:szCs w:val="24"/>
        </w:rPr>
        <w:t xml:space="preserve"> in SDG&amp;E’s June 25, 2021 solicitation </w:t>
      </w:r>
      <w:r w:rsidR="002F3554">
        <w:rPr>
          <w:rFonts w:cs="ArialUnicodeMS"/>
          <w:sz w:val="24"/>
          <w:szCs w:val="24"/>
        </w:rPr>
        <w:t xml:space="preserve">that </w:t>
      </w:r>
      <w:r w:rsidR="001625EF">
        <w:rPr>
          <w:rFonts w:cs="ArialUnicodeMS"/>
          <w:sz w:val="24"/>
          <w:szCs w:val="24"/>
        </w:rPr>
        <w:t>fell</w:t>
      </w:r>
      <w:r w:rsidR="004F217E">
        <w:rPr>
          <w:rFonts w:cs="ArialUnicodeMS"/>
          <w:sz w:val="24"/>
          <w:szCs w:val="24"/>
        </w:rPr>
        <w:t xml:space="preserve"> </w:t>
      </w:r>
      <w:r w:rsidR="00300E29">
        <w:rPr>
          <w:rFonts w:cs="ArialUnicodeMS"/>
          <w:sz w:val="24"/>
          <w:szCs w:val="24"/>
        </w:rPr>
        <w:t>well</w:t>
      </w:r>
      <w:r w:rsidR="0074581F">
        <w:rPr>
          <w:rFonts w:cs="ArialUnicodeMS"/>
          <w:sz w:val="24"/>
          <w:szCs w:val="24"/>
        </w:rPr>
        <w:t xml:space="preserve"> below </w:t>
      </w:r>
      <w:r w:rsidR="001625EF">
        <w:rPr>
          <w:rFonts w:cs="ArialUnicodeMS"/>
          <w:sz w:val="24"/>
          <w:szCs w:val="24"/>
        </w:rPr>
        <w:t>each of the</w:t>
      </w:r>
      <w:r w:rsidR="0074581F">
        <w:rPr>
          <w:rFonts w:cs="ArialUnicodeMS"/>
          <w:sz w:val="24"/>
          <w:szCs w:val="24"/>
        </w:rPr>
        <w:t xml:space="preserve"> </w:t>
      </w:r>
      <w:r w:rsidR="002F3554">
        <w:rPr>
          <w:rFonts w:cs="ArialUnicodeMS"/>
          <w:sz w:val="24"/>
          <w:szCs w:val="24"/>
        </w:rPr>
        <w:t>“market update”</w:t>
      </w:r>
      <w:r w:rsidR="00EA12B1">
        <w:rPr>
          <w:rFonts w:cs="ArialUnicodeMS"/>
          <w:sz w:val="24"/>
          <w:szCs w:val="24"/>
        </w:rPr>
        <w:t xml:space="preserve"> bidding</w:t>
      </w:r>
      <w:r w:rsidR="0074581F">
        <w:rPr>
          <w:rFonts w:cs="ArialUnicodeMS"/>
          <w:sz w:val="24"/>
          <w:szCs w:val="24"/>
        </w:rPr>
        <w:t xml:space="preserve"> price</w:t>
      </w:r>
      <w:r w:rsidR="001625EF">
        <w:rPr>
          <w:rFonts w:cs="ArialUnicodeMS"/>
          <w:sz w:val="24"/>
          <w:szCs w:val="24"/>
        </w:rPr>
        <w:t>s</w:t>
      </w:r>
      <w:r w:rsidRPr="00D9069A" w:rsidR="00D9069A">
        <w:rPr>
          <w:rFonts w:cs="ArialUnicodeMS"/>
          <w:sz w:val="24"/>
          <w:szCs w:val="24"/>
        </w:rPr>
        <w:t xml:space="preserve"> </w:t>
      </w:r>
      <w:r w:rsidR="00D9069A">
        <w:rPr>
          <w:rFonts w:cs="ArialUnicodeMS"/>
          <w:sz w:val="24"/>
          <w:szCs w:val="24"/>
        </w:rPr>
        <w:t>for September 2021 system RA</w:t>
      </w:r>
      <w:r w:rsidR="0074581F">
        <w:rPr>
          <w:rFonts w:cs="ArialUnicodeMS"/>
          <w:sz w:val="24"/>
          <w:szCs w:val="24"/>
        </w:rPr>
        <w:t>.</w:t>
      </w:r>
      <w:r w:rsidR="0074581F">
        <w:rPr>
          <w:rStyle w:val="FootnoteReference"/>
          <w:rFonts w:cs="ArialUnicodeMS"/>
          <w:sz w:val="24"/>
          <w:szCs w:val="24"/>
        </w:rPr>
        <w:footnoteReference w:id="15"/>
      </w:r>
      <w:r w:rsidR="004C68D6">
        <w:rPr>
          <w:rFonts w:cs="ArialUnicodeMS"/>
          <w:sz w:val="24"/>
          <w:szCs w:val="24"/>
        </w:rPr>
        <w:t xml:space="preserve">  </w:t>
      </w:r>
      <w:r w:rsidR="004F217E">
        <w:rPr>
          <w:rFonts w:cs="ArialUnicodeMS"/>
          <w:sz w:val="24"/>
          <w:szCs w:val="24"/>
        </w:rPr>
        <w:t>SDG&amp;E</w:t>
      </w:r>
      <w:r w:rsidR="004C68D6">
        <w:rPr>
          <w:rFonts w:cs="ArialUnicodeMS"/>
          <w:sz w:val="24"/>
          <w:szCs w:val="24"/>
        </w:rPr>
        <w:t xml:space="preserve"> rejected </w:t>
      </w:r>
      <w:r w:rsidR="001625EF">
        <w:rPr>
          <w:rFonts w:cs="ArialUnicodeMS"/>
          <w:sz w:val="24"/>
          <w:szCs w:val="24"/>
        </w:rPr>
        <w:t>SDCP’s</w:t>
      </w:r>
      <w:r w:rsidR="004F217E">
        <w:rPr>
          <w:rFonts w:cs="ArialUnicodeMS"/>
          <w:sz w:val="24"/>
          <w:szCs w:val="24"/>
        </w:rPr>
        <w:t xml:space="preserve"> bid</w:t>
      </w:r>
      <w:r w:rsidR="004C68D6">
        <w:rPr>
          <w:rFonts w:cs="ArialUnicodeMS"/>
          <w:sz w:val="24"/>
          <w:szCs w:val="24"/>
        </w:rPr>
        <w:t xml:space="preserve"> </w:t>
      </w:r>
      <w:r w:rsidR="00445B60">
        <w:rPr>
          <w:rFonts w:cs="ArialUnicodeMS"/>
          <w:sz w:val="24"/>
          <w:szCs w:val="24"/>
        </w:rPr>
        <w:t>three days later.</w:t>
      </w:r>
      <w:r w:rsidR="00445B60">
        <w:rPr>
          <w:rStyle w:val="FootnoteReference"/>
          <w:rFonts w:cs="ArialUnicodeMS"/>
          <w:sz w:val="24"/>
          <w:szCs w:val="24"/>
        </w:rPr>
        <w:footnoteReference w:id="16"/>
      </w:r>
      <w:r w:rsidR="003F7231">
        <w:rPr>
          <w:rFonts w:cs="ArialUnicodeMS"/>
          <w:sz w:val="24"/>
          <w:szCs w:val="24"/>
        </w:rPr>
        <w:t xml:space="preserve">  </w:t>
      </w:r>
    </w:p>
    <w:p w:rsidR="00F168F6" w:rsidP="00985AD2" w:rsidRDefault="00F168F6" w14:paraId="77330CD9" w14:textId="77777777">
      <w:pPr>
        <w:pStyle w:val="Standard"/>
        <w:spacing w:line="240" w:lineRule="auto"/>
        <w:ind w:firstLine="0"/>
        <w:rPr>
          <w:rFonts w:cs="ArialUnicodeMS"/>
          <w:sz w:val="24"/>
          <w:szCs w:val="24"/>
        </w:rPr>
      </w:pPr>
    </w:p>
    <w:p w:rsidR="006A6DB3" w:rsidP="00985AD2" w:rsidRDefault="00783180" w14:paraId="2752CA87" w14:textId="23DB0D4E">
      <w:pPr>
        <w:pStyle w:val="Standard"/>
        <w:spacing w:line="240" w:lineRule="auto"/>
        <w:ind w:firstLine="0"/>
        <w:rPr>
          <w:rFonts w:cs="ArialUnicodeMS"/>
          <w:sz w:val="24"/>
          <w:szCs w:val="24"/>
        </w:rPr>
      </w:pPr>
      <w:r>
        <w:rPr>
          <w:rFonts w:cs="ArialUnicodeMS"/>
          <w:sz w:val="24"/>
          <w:szCs w:val="24"/>
        </w:rPr>
        <w:t>SDCP’s</w:t>
      </w:r>
      <w:r w:rsidR="003F7231">
        <w:rPr>
          <w:rFonts w:cs="ArialUnicodeMS"/>
          <w:sz w:val="24"/>
          <w:szCs w:val="24"/>
        </w:rPr>
        <w:t xml:space="preserve"> pattern of bidding</w:t>
      </w:r>
      <w:r>
        <w:rPr>
          <w:rFonts w:cs="ArialUnicodeMS"/>
          <w:sz w:val="24"/>
          <w:szCs w:val="24"/>
        </w:rPr>
        <w:t xml:space="preserve"> </w:t>
      </w:r>
      <w:r w:rsidR="003F7231">
        <w:rPr>
          <w:rFonts w:cs="ArialUnicodeMS"/>
          <w:sz w:val="24"/>
          <w:szCs w:val="24"/>
        </w:rPr>
        <w:t xml:space="preserve">below the </w:t>
      </w:r>
      <w:r>
        <w:rPr>
          <w:rFonts w:cs="ArialUnicodeMS"/>
          <w:sz w:val="24"/>
          <w:szCs w:val="24"/>
        </w:rPr>
        <w:t xml:space="preserve">“market update” </w:t>
      </w:r>
      <w:r w:rsidR="00356864">
        <w:rPr>
          <w:rFonts w:cs="ArialUnicodeMS"/>
          <w:sz w:val="24"/>
          <w:szCs w:val="24"/>
        </w:rPr>
        <w:t>bid</w:t>
      </w:r>
      <w:r>
        <w:rPr>
          <w:rFonts w:cs="ArialUnicodeMS"/>
          <w:sz w:val="24"/>
          <w:szCs w:val="24"/>
        </w:rPr>
        <w:t>ding</w:t>
      </w:r>
      <w:r w:rsidR="003F7231">
        <w:rPr>
          <w:rFonts w:cs="ArialUnicodeMS"/>
          <w:sz w:val="24"/>
          <w:szCs w:val="24"/>
        </w:rPr>
        <w:t xml:space="preserve"> pric</w:t>
      </w:r>
      <w:r>
        <w:rPr>
          <w:rFonts w:cs="ArialUnicodeMS"/>
          <w:sz w:val="24"/>
          <w:szCs w:val="24"/>
        </w:rPr>
        <w:t>e</w:t>
      </w:r>
      <w:r w:rsidR="003F7231">
        <w:rPr>
          <w:rFonts w:cs="ArialUnicodeMS"/>
          <w:sz w:val="24"/>
          <w:szCs w:val="24"/>
        </w:rPr>
        <w:t xml:space="preserve"> continued with </w:t>
      </w:r>
      <w:r w:rsidR="007B5015">
        <w:rPr>
          <w:rFonts w:cs="ArialUnicodeMS"/>
          <w:sz w:val="24"/>
          <w:szCs w:val="24"/>
        </w:rPr>
        <w:t>several other 2021</w:t>
      </w:r>
      <w:r w:rsidR="003F7231">
        <w:rPr>
          <w:rFonts w:cs="ArialUnicodeMS"/>
          <w:sz w:val="24"/>
          <w:szCs w:val="24"/>
        </w:rPr>
        <w:t xml:space="preserve"> solicitations </w:t>
      </w:r>
      <w:r w:rsidR="007B5015">
        <w:rPr>
          <w:rFonts w:cs="ArialUnicodeMS"/>
          <w:sz w:val="24"/>
          <w:szCs w:val="24"/>
        </w:rPr>
        <w:t>offering</w:t>
      </w:r>
      <w:r w:rsidR="003F7231">
        <w:rPr>
          <w:rFonts w:cs="ArialUnicodeMS"/>
          <w:sz w:val="24"/>
          <w:szCs w:val="24"/>
        </w:rPr>
        <w:t xml:space="preserve"> September 2021 RA</w:t>
      </w:r>
      <w:r w:rsidR="007B5015">
        <w:rPr>
          <w:rFonts w:cs="ArialUnicodeMS"/>
          <w:sz w:val="24"/>
          <w:szCs w:val="24"/>
        </w:rPr>
        <w:t xml:space="preserve"> products</w:t>
      </w:r>
      <w:r w:rsidR="003F7231">
        <w:rPr>
          <w:rFonts w:cs="ArialUnicodeMS"/>
          <w:sz w:val="24"/>
          <w:szCs w:val="24"/>
        </w:rPr>
        <w:t xml:space="preserve">: </w:t>
      </w:r>
      <w:r w:rsidR="007B5015">
        <w:rPr>
          <w:rFonts w:cs="ArialUnicodeMS"/>
          <w:sz w:val="24"/>
          <w:szCs w:val="24"/>
        </w:rPr>
        <w:t xml:space="preserve">three solicitations from </w:t>
      </w:r>
      <w:proofErr w:type="spellStart"/>
      <w:r w:rsidR="000D2D17">
        <w:rPr>
          <w:rFonts w:cs="ArialUnicodeMS"/>
          <w:sz w:val="24"/>
          <w:szCs w:val="24"/>
        </w:rPr>
        <w:t>Electricite</w:t>
      </w:r>
      <w:proofErr w:type="spellEnd"/>
      <w:r w:rsidR="000D2D17">
        <w:rPr>
          <w:rFonts w:cs="ArialUnicodeMS"/>
          <w:sz w:val="24"/>
          <w:szCs w:val="24"/>
        </w:rPr>
        <w:t xml:space="preserve"> de France</w:t>
      </w:r>
      <w:r w:rsidR="007B5015">
        <w:rPr>
          <w:rFonts w:cs="ArialUnicodeMS"/>
          <w:sz w:val="24"/>
          <w:szCs w:val="24"/>
        </w:rPr>
        <w:t xml:space="preserve"> in June and</w:t>
      </w:r>
      <w:r w:rsidR="003F7231">
        <w:rPr>
          <w:rFonts w:cs="ArialUnicodeMS"/>
          <w:sz w:val="24"/>
          <w:szCs w:val="24"/>
        </w:rPr>
        <w:t xml:space="preserve"> </w:t>
      </w:r>
      <w:r w:rsidR="007B5015">
        <w:rPr>
          <w:rFonts w:cs="ArialUnicodeMS"/>
          <w:sz w:val="24"/>
          <w:szCs w:val="24"/>
        </w:rPr>
        <w:t>July 2021</w:t>
      </w:r>
      <w:r w:rsidR="003F7231">
        <w:rPr>
          <w:rFonts w:cs="ArialUnicodeMS"/>
          <w:sz w:val="24"/>
          <w:szCs w:val="24"/>
        </w:rPr>
        <w:t xml:space="preserve"> and </w:t>
      </w:r>
      <w:r w:rsidR="000D2D17">
        <w:rPr>
          <w:rFonts w:cs="ArialUnicodeMS"/>
          <w:sz w:val="24"/>
          <w:szCs w:val="24"/>
        </w:rPr>
        <w:t>The Energy Authority’s (</w:t>
      </w:r>
      <w:r w:rsidR="003F7231">
        <w:rPr>
          <w:rFonts w:cs="ArialUnicodeMS"/>
          <w:sz w:val="24"/>
          <w:szCs w:val="24"/>
        </w:rPr>
        <w:t>TEA</w:t>
      </w:r>
      <w:r w:rsidR="000D2D17">
        <w:rPr>
          <w:rFonts w:cs="ArialUnicodeMS"/>
          <w:sz w:val="24"/>
          <w:szCs w:val="24"/>
        </w:rPr>
        <w:t>)</w:t>
      </w:r>
      <w:r w:rsidR="0065615B">
        <w:rPr>
          <w:rFonts w:cs="ArialUnicodeMS"/>
          <w:sz w:val="24"/>
          <w:szCs w:val="24"/>
        </w:rPr>
        <w:t xml:space="preserve"> </w:t>
      </w:r>
      <w:r w:rsidR="007B5015">
        <w:rPr>
          <w:rFonts w:cs="ArialUnicodeMS"/>
          <w:sz w:val="24"/>
          <w:szCs w:val="24"/>
        </w:rPr>
        <w:t>July</w:t>
      </w:r>
      <w:r w:rsidR="00377AC0">
        <w:rPr>
          <w:rFonts w:cs="ArialUnicodeMS"/>
          <w:sz w:val="24"/>
          <w:szCs w:val="24"/>
        </w:rPr>
        <w:t> </w:t>
      </w:r>
      <w:r w:rsidR="007B5015">
        <w:rPr>
          <w:rFonts w:cs="ArialUnicodeMS"/>
          <w:sz w:val="24"/>
          <w:szCs w:val="24"/>
        </w:rPr>
        <w:t xml:space="preserve">8, 2021 </w:t>
      </w:r>
      <w:r w:rsidR="0065615B">
        <w:rPr>
          <w:rFonts w:cs="ArialUnicodeMS"/>
          <w:sz w:val="24"/>
          <w:szCs w:val="24"/>
        </w:rPr>
        <w:t>solicitation</w:t>
      </w:r>
      <w:r w:rsidR="003F7231">
        <w:rPr>
          <w:rFonts w:cs="ArialUnicodeMS"/>
          <w:sz w:val="24"/>
          <w:szCs w:val="24"/>
        </w:rPr>
        <w:t>.</w:t>
      </w:r>
      <w:r w:rsidR="003F7231">
        <w:rPr>
          <w:rStyle w:val="FootnoteReference"/>
          <w:rFonts w:cs="ArialUnicodeMS"/>
          <w:sz w:val="24"/>
          <w:szCs w:val="24"/>
        </w:rPr>
        <w:footnoteReference w:id="17"/>
      </w:r>
      <w:r w:rsidR="003F7231">
        <w:rPr>
          <w:rFonts w:cs="ArialUnicodeMS"/>
          <w:sz w:val="24"/>
          <w:szCs w:val="24"/>
        </w:rPr>
        <w:t xml:space="preserve">  SDCP’s offers </w:t>
      </w:r>
      <w:r w:rsidR="007B5015">
        <w:rPr>
          <w:rFonts w:cs="ArialUnicodeMS"/>
          <w:sz w:val="24"/>
          <w:szCs w:val="24"/>
        </w:rPr>
        <w:t>in all of these solicitations</w:t>
      </w:r>
      <w:r w:rsidR="003F7231">
        <w:rPr>
          <w:rFonts w:cs="ArialUnicodeMS"/>
          <w:sz w:val="24"/>
          <w:szCs w:val="24"/>
        </w:rPr>
        <w:t xml:space="preserve"> were rejected.</w:t>
      </w:r>
      <w:r w:rsidR="00A95A40">
        <w:rPr>
          <w:rStyle w:val="FootnoteReference"/>
          <w:rFonts w:cs="ArialUnicodeMS"/>
          <w:sz w:val="24"/>
          <w:szCs w:val="24"/>
        </w:rPr>
        <w:footnoteReference w:id="18"/>
      </w:r>
      <w:r w:rsidR="00844637">
        <w:rPr>
          <w:rFonts w:cs="ArialUnicodeMS"/>
          <w:sz w:val="24"/>
          <w:szCs w:val="24"/>
        </w:rPr>
        <w:t xml:space="preserve">  </w:t>
      </w:r>
      <w:r w:rsidR="004949A8">
        <w:rPr>
          <w:rFonts w:cs="ArialUnicodeMS"/>
          <w:sz w:val="24"/>
          <w:szCs w:val="24"/>
        </w:rPr>
        <w:t xml:space="preserve">In numerous solicitations </w:t>
      </w:r>
      <w:r w:rsidR="00B407E9">
        <w:rPr>
          <w:rFonts w:cs="ArialUnicodeMS"/>
          <w:sz w:val="24"/>
          <w:szCs w:val="24"/>
        </w:rPr>
        <w:t>in</w:t>
      </w:r>
      <w:r w:rsidR="004949A8">
        <w:rPr>
          <w:rFonts w:cs="ArialUnicodeMS"/>
          <w:sz w:val="24"/>
          <w:szCs w:val="24"/>
        </w:rPr>
        <w:t xml:space="preserve"> 2021, </w:t>
      </w:r>
      <w:r w:rsidR="006A6DB3">
        <w:rPr>
          <w:rFonts w:cs="ArialUnicodeMS"/>
          <w:sz w:val="24"/>
          <w:szCs w:val="24"/>
        </w:rPr>
        <w:t xml:space="preserve">SDCP repeatedly bid below the </w:t>
      </w:r>
      <w:r w:rsidR="00AF3D6E">
        <w:rPr>
          <w:rFonts w:cs="ArialUnicodeMS"/>
          <w:sz w:val="24"/>
          <w:szCs w:val="24"/>
        </w:rPr>
        <w:t xml:space="preserve">known </w:t>
      </w:r>
      <w:r w:rsidR="006A6DB3">
        <w:rPr>
          <w:rFonts w:cs="ArialUnicodeMS"/>
          <w:sz w:val="24"/>
          <w:szCs w:val="24"/>
        </w:rPr>
        <w:t xml:space="preserve">bidding price for September 2021 system RA and SDCP’s </w:t>
      </w:r>
      <w:r w:rsidR="00B407E9">
        <w:rPr>
          <w:rFonts w:cs="ArialUnicodeMS"/>
          <w:sz w:val="24"/>
          <w:szCs w:val="24"/>
        </w:rPr>
        <w:t>offers</w:t>
      </w:r>
      <w:r w:rsidR="006A6DB3">
        <w:rPr>
          <w:rFonts w:cs="ArialUnicodeMS"/>
          <w:sz w:val="24"/>
          <w:szCs w:val="24"/>
        </w:rPr>
        <w:t xml:space="preserve"> were repeatedly rejected.  Based on this evidence, SDCP fails to </w:t>
      </w:r>
      <w:r w:rsidR="00EA2DF9">
        <w:rPr>
          <w:rFonts w:cs="ArialUnicodeMS"/>
          <w:sz w:val="24"/>
          <w:szCs w:val="24"/>
        </w:rPr>
        <w:t xml:space="preserve">demonstrate </w:t>
      </w:r>
      <w:r w:rsidR="006A6DB3">
        <w:rPr>
          <w:rFonts w:cs="ArialUnicodeMS"/>
          <w:sz w:val="24"/>
          <w:szCs w:val="24"/>
        </w:rPr>
        <w:t>that it was “impossible” to procure September 2021 system resources.</w:t>
      </w:r>
      <w:r w:rsidR="00EA2DF9">
        <w:rPr>
          <w:rFonts w:cs="ArialUnicodeMS"/>
          <w:sz w:val="24"/>
          <w:szCs w:val="24"/>
        </w:rPr>
        <w:t xml:space="preserve">  SDCP merely demonstrates that it was not possible to </w:t>
      </w:r>
      <w:r w:rsidR="00F80EA8">
        <w:rPr>
          <w:rFonts w:cs="ArialUnicodeMS"/>
          <w:sz w:val="24"/>
          <w:szCs w:val="24"/>
        </w:rPr>
        <w:t>procure</w:t>
      </w:r>
      <w:r w:rsidR="00EA2DF9">
        <w:rPr>
          <w:rFonts w:cs="ArialUnicodeMS"/>
          <w:sz w:val="24"/>
          <w:szCs w:val="24"/>
        </w:rPr>
        <w:t xml:space="preserve"> system RA resources at the </w:t>
      </w:r>
      <w:r w:rsidR="00F80EA8">
        <w:rPr>
          <w:rFonts w:cs="ArialUnicodeMS"/>
          <w:sz w:val="24"/>
          <w:szCs w:val="24"/>
        </w:rPr>
        <w:t xml:space="preserve">below-market </w:t>
      </w:r>
      <w:r w:rsidR="00EA2DF9">
        <w:rPr>
          <w:rFonts w:cs="ArialUnicodeMS"/>
          <w:sz w:val="24"/>
          <w:szCs w:val="24"/>
        </w:rPr>
        <w:t>price that SDCP was willing to pay.</w:t>
      </w:r>
      <w:r w:rsidR="006A6DB3">
        <w:rPr>
          <w:rFonts w:cs="ArialUnicodeMS"/>
          <w:sz w:val="24"/>
          <w:szCs w:val="24"/>
        </w:rPr>
        <w:t xml:space="preserve"> </w:t>
      </w:r>
    </w:p>
    <w:p w:rsidR="00AD50C9" w:rsidP="00DB40B5" w:rsidRDefault="00AD50C9" w14:paraId="0784D230" w14:textId="1ACD4BF8">
      <w:pPr>
        <w:pStyle w:val="Standard"/>
        <w:spacing w:line="240" w:lineRule="auto"/>
        <w:ind w:firstLine="0"/>
        <w:rPr>
          <w:rFonts w:cs="ArialUnicodeMS"/>
          <w:sz w:val="24"/>
          <w:szCs w:val="24"/>
        </w:rPr>
      </w:pPr>
    </w:p>
    <w:p w:rsidR="005A579A" w:rsidP="00DB40B5" w:rsidRDefault="002B3CAB" w14:paraId="4D96A4FF" w14:textId="6E8BE9D0">
      <w:pPr>
        <w:pStyle w:val="Standard"/>
        <w:spacing w:line="240" w:lineRule="auto"/>
        <w:ind w:firstLine="0"/>
        <w:rPr>
          <w:rFonts w:cs="ArialUnicodeMS"/>
          <w:sz w:val="24"/>
          <w:szCs w:val="24"/>
        </w:rPr>
      </w:pPr>
      <w:r>
        <w:rPr>
          <w:rFonts w:cs="ArialUnicodeMS"/>
          <w:sz w:val="24"/>
          <w:szCs w:val="24"/>
        </w:rPr>
        <w:t>Third</w:t>
      </w:r>
      <w:r w:rsidR="004F217E">
        <w:rPr>
          <w:rFonts w:cs="ArialUnicodeMS"/>
          <w:sz w:val="24"/>
          <w:szCs w:val="24"/>
        </w:rPr>
        <w:t xml:space="preserve">, </w:t>
      </w:r>
      <w:r w:rsidR="005A579A">
        <w:rPr>
          <w:rFonts w:cs="ArialUnicodeMS"/>
          <w:sz w:val="24"/>
          <w:szCs w:val="24"/>
        </w:rPr>
        <w:t>despite SDCP</w:t>
      </w:r>
      <w:r w:rsidR="00E81CEE">
        <w:rPr>
          <w:rFonts w:cs="ArialUnicodeMS"/>
          <w:sz w:val="24"/>
          <w:szCs w:val="24"/>
        </w:rPr>
        <w:t>’s claims that</w:t>
      </w:r>
      <w:r w:rsidR="005A579A">
        <w:rPr>
          <w:rFonts w:cs="ArialUnicodeMS"/>
          <w:sz w:val="24"/>
          <w:szCs w:val="24"/>
        </w:rPr>
        <w:t xml:space="preserve"> system RA prices </w:t>
      </w:r>
      <w:r w:rsidR="00E81CEE">
        <w:rPr>
          <w:rFonts w:cs="ArialUnicodeMS"/>
          <w:sz w:val="24"/>
          <w:szCs w:val="24"/>
        </w:rPr>
        <w:t>were not</w:t>
      </w:r>
      <w:r w:rsidR="005A579A">
        <w:rPr>
          <w:rFonts w:cs="ArialUnicodeMS"/>
          <w:sz w:val="24"/>
          <w:szCs w:val="24"/>
        </w:rPr>
        <w:t xml:space="preserve"> excessive, </w:t>
      </w:r>
      <w:r w:rsidR="004F217E">
        <w:rPr>
          <w:rFonts w:cs="ArialUnicodeMS"/>
          <w:sz w:val="24"/>
          <w:szCs w:val="24"/>
        </w:rPr>
        <w:t xml:space="preserve">SDCP </w:t>
      </w:r>
      <w:r w:rsidR="00EB2E79">
        <w:rPr>
          <w:rFonts w:cs="ArialUnicodeMS"/>
          <w:sz w:val="24"/>
          <w:szCs w:val="24"/>
        </w:rPr>
        <w:t xml:space="preserve">rejected available </w:t>
      </w:r>
      <w:r w:rsidR="00844637">
        <w:rPr>
          <w:rFonts w:cs="ArialUnicodeMS"/>
          <w:sz w:val="24"/>
          <w:szCs w:val="24"/>
        </w:rPr>
        <w:t xml:space="preserve">RA </w:t>
      </w:r>
      <w:r w:rsidR="00EB2E79">
        <w:rPr>
          <w:rFonts w:cs="ArialUnicodeMS"/>
          <w:sz w:val="24"/>
          <w:szCs w:val="24"/>
        </w:rPr>
        <w:t>resources that it deemed were too expensive</w:t>
      </w:r>
      <w:r w:rsidR="003F7231">
        <w:rPr>
          <w:rFonts w:cs="ArialUnicodeMS"/>
          <w:sz w:val="24"/>
          <w:szCs w:val="24"/>
        </w:rPr>
        <w:t>.</w:t>
      </w:r>
      <w:r w:rsidR="00EB2E79">
        <w:rPr>
          <w:rFonts w:cs="ArialUnicodeMS"/>
          <w:sz w:val="24"/>
          <w:szCs w:val="24"/>
        </w:rPr>
        <w:t xml:space="preserve"> </w:t>
      </w:r>
      <w:r w:rsidR="00844637">
        <w:rPr>
          <w:rFonts w:cs="ArialUnicodeMS"/>
          <w:sz w:val="24"/>
          <w:szCs w:val="24"/>
        </w:rPr>
        <w:t xml:space="preserve"> </w:t>
      </w:r>
      <w:r w:rsidR="005A579A">
        <w:rPr>
          <w:rFonts w:cs="ArialUnicodeMS"/>
          <w:sz w:val="24"/>
          <w:szCs w:val="24"/>
        </w:rPr>
        <w:t>In SDCP’s Notice of Appeal, SDCP attests that it “is not claiming that the cost of System RA was excessive, or that the program was financially constrained in its procurement efforts.”</w:t>
      </w:r>
      <w:r w:rsidR="005A579A">
        <w:rPr>
          <w:rStyle w:val="FootnoteReference"/>
          <w:rFonts w:cs="ArialUnicodeMS"/>
          <w:sz w:val="24"/>
          <w:szCs w:val="24"/>
        </w:rPr>
        <w:footnoteReference w:id="19"/>
      </w:r>
      <w:r w:rsidR="005A579A">
        <w:rPr>
          <w:rFonts w:cs="ArialUnicodeMS"/>
          <w:sz w:val="24"/>
          <w:szCs w:val="24"/>
        </w:rPr>
        <w:t xml:space="preserve">  </w:t>
      </w:r>
      <w:r w:rsidR="00E81CEE">
        <w:rPr>
          <w:rFonts w:cs="ArialUnicodeMS"/>
          <w:sz w:val="24"/>
          <w:szCs w:val="24"/>
        </w:rPr>
        <w:t>Yet</w:t>
      </w:r>
      <w:r w:rsidR="005A579A">
        <w:rPr>
          <w:rFonts w:cs="ArialUnicodeMS"/>
          <w:sz w:val="24"/>
          <w:szCs w:val="24"/>
        </w:rPr>
        <w:t xml:space="preserve">, in </w:t>
      </w:r>
      <w:r w:rsidR="00D07936">
        <w:rPr>
          <w:rFonts w:cs="ArialUnicodeMS"/>
          <w:sz w:val="24"/>
          <w:szCs w:val="24"/>
        </w:rPr>
        <w:t xml:space="preserve">SDCP’s </w:t>
      </w:r>
      <w:r w:rsidR="00CC60A3">
        <w:rPr>
          <w:rFonts w:cs="ArialUnicodeMS"/>
          <w:sz w:val="24"/>
          <w:szCs w:val="24"/>
        </w:rPr>
        <w:t>testimony</w:t>
      </w:r>
      <w:r w:rsidR="004D4506">
        <w:rPr>
          <w:rFonts w:cs="ArialUnicodeMS"/>
          <w:sz w:val="24"/>
          <w:szCs w:val="24"/>
        </w:rPr>
        <w:t xml:space="preserve">, </w:t>
      </w:r>
      <w:r w:rsidR="00CC60A3">
        <w:rPr>
          <w:rFonts w:cs="ArialUnicodeMS"/>
          <w:sz w:val="24"/>
          <w:szCs w:val="24"/>
        </w:rPr>
        <w:t xml:space="preserve">Byron </w:t>
      </w:r>
      <w:proofErr w:type="spellStart"/>
      <w:r w:rsidR="004D4506">
        <w:rPr>
          <w:rFonts w:cs="ArialUnicodeMS"/>
          <w:sz w:val="24"/>
          <w:szCs w:val="24"/>
        </w:rPr>
        <w:t>Vosburg</w:t>
      </w:r>
      <w:proofErr w:type="spellEnd"/>
      <w:r w:rsidR="004D4506">
        <w:rPr>
          <w:rFonts w:cs="ArialUnicodeMS"/>
          <w:sz w:val="24"/>
          <w:szCs w:val="24"/>
        </w:rPr>
        <w:t xml:space="preserve"> </w:t>
      </w:r>
      <w:r w:rsidR="005A579A">
        <w:rPr>
          <w:rFonts w:cs="ArialUnicodeMS"/>
          <w:sz w:val="24"/>
          <w:szCs w:val="24"/>
        </w:rPr>
        <w:t>testifies</w:t>
      </w:r>
      <w:r w:rsidR="004D4506">
        <w:rPr>
          <w:rFonts w:cs="ArialUnicodeMS"/>
          <w:sz w:val="24"/>
          <w:szCs w:val="24"/>
        </w:rPr>
        <w:t xml:space="preserve"> that</w:t>
      </w:r>
      <w:r w:rsidR="00EB787A">
        <w:rPr>
          <w:rFonts w:cs="ArialUnicodeMS"/>
          <w:sz w:val="24"/>
          <w:szCs w:val="24"/>
        </w:rPr>
        <w:t xml:space="preserve"> a “major contributing factor” of </w:t>
      </w:r>
      <w:r w:rsidR="00D07936">
        <w:rPr>
          <w:rFonts w:cs="ArialUnicodeMS"/>
          <w:sz w:val="24"/>
          <w:szCs w:val="24"/>
        </w:rPr>
        <w:t>SDCP</w:t>
      </w:r>
      <w:r w:rsidR="00EB787A">
        <w:rPr>
          <w:rFonts w:cs="ArialUnicodeMS"/>
          <w:sz w:val="24"/>
          <w:szCs w:val="24"/>
        </w:rPr>
        <w:t>’s inability to meet its</w:t>
      </w:r>
      <w:r w:rsidR="00D07936">
        <w:rPr>
          <w:rFonts w:cs="ArialUnicodeMS"/>
          <w:sz w:val="24"/>
          <w:szCs w:val="24"/>
        </w:rPr>
        <w:t xml:space="preserve"> </w:t>
      </w:r>
      <w:r w:rsidR="004D4506">
        <w:rPr>
          <w:rFonts w:cs="ArialUnicodeMS"/>
          <w:sz w:val="24"/>
          <w:szCs w:val="24"/>
        </w:rPr>
        <w:t>RA obligations</w:t>
      </w:r>
      <w:r w:rsidR="00D07936">
        <w:rPr>
          <w:rFonts w:cs="ArialUnicodeMS"/>
          <w:sz w:val="24"/>
          <w:szCs w:val="24"/>
        </w:rPr>
        <w:t xml:space="preserve"> </w:t>
      </w:r>
      <w:r w:rsidR="00EB787A">
        <w:rPr>
          <w:rFonts w:cs="ArialUnicodeMS"/>
          <w:sz w:val="24"/>
          <w:szCs w:val="24"/>
        </w:rPr>
        <w:t>was</w:t>
      </w:r>
      <w:r w:rsidR="00D07936">
        <w:rPr>
          <w:rFonts w:cs="ArialUnicodeMS"/>
          <w:sz w:val="24"/>
          <w:szCs w:val="24"/>
        </w:rPr>
        <w:t xml:space="preserve"> due</w:t>
      </w:r>
      <w:r w:rsidR="004D4506">
        <w:rPr>
          <w:rFonts w:cs="ArialUnicodeMS"/>
          <w:sz w:val="24"/>
          <w:szCs w:val="24"/>
        </w:rPr>
        <w:t xml:space="preserve"> </w:t>
      </w:r>
      <w:r w:rsidR="00D07936">
        <w:rPr>
          <w:rFonts w:cs="ArialUnicodeMS"/>
          <w:sz w:val="24"/>
          <w:szCs w:val="24"/>
        </w:rPr>
        <w:t xml:space="preserve">to </w:t>
      </w:r>
      <w:r w:rsidR="004D4506">
        <w:rPr>
          <w:rFonts w:cs="ArialUnicodeMS"/>
          <w:sz w:val="24"/>
          <w:szCs w:val="24"/>
        </w:rPr>
        <w:t xml:space="preserve">a </w:t>
      </w:r>
      <w:r w:rsidR="00D07936">
        <w:rPr>
          <w:rFonts w:cs="ArialUnicodeMS"/>
          <w:sz w:val="24"/>
          <w:szCs w:val="24"/>
        </w:rPr>
        <w:t>“lack of incentives for LSEs, generators, and marketers to timely sell excess RA at reasonable prices.”</w:t>
      </w:r>
      <w:r w:rsidR="00D07936">
        <w:rPr>
          <w:rStyle w:val="FootnoteReference"/>
          <w:rFonts w:cs="ArialUnicodeMS"/>
          <w:sz w:val="24"/>
          <w:szCs w:val="24"/>
        </w:rPr>
        <w:footnoteReference w:id="20"/>
      </w:r>
      <w:r w:rsidR="00A73CFF">
        <w:rPr>
          <w:rFonts w:cs="ArialUnicodeMS"/>
          <w:sz w:val="24"/>
          <w:szCs w:val="24"/>
        </w:rPr>
        <w:t xml:space="preserve">  </w:t>
      </w:r>
      <w:r w:rsidR="005A579A">
        <w:rPr>
          <w:rFonts w:cs="ArialUnicodeMS"/>
          <w:sz w:val="24"/>
          <w:szCs w:val="24"/>
        </w:rPr>
        <w:t xml:space="preserve">SDCP’s assessment that RA prices were not “reasonable” is confirmed in an October 28, 2020 email between SDCP’s broker, Pacific Energy Advisors, Inc., and a third-party broker, </w:t>
      </w:r>
      <w:proofErr w:type="spellStart"/>
      <w:r w:rsidR="005A579A">
        <w:rPr>
          <w:rFonts w:cs="ArialUnicodeMS"/>
          <w:sz w:val="24"/>
          <w:szCs w:val="24"/>
        </w:rPr>
        <w:t>Tullett</w:t>
      </w:r>
      <w:proofErr w:type="spellEnd"/>
      <w:r w:rsidR="005A579A">
        <w:rPr>
          <w:rFonts w:cs="ArialUnicodeMS"/>
          <w:sz w:val="24"/>
          <w:szCs w:val="24"/>
        </w:rPr>
        <w:t xml:space="preserve"> </w:t>
      </w:r>
      <w:proofErr w:type="spellStart"/>
      <w:r w:rsidR="005A579A">
        <w:rPr>
          <w:rFonts w:cs="ArialUnicodeMS"/>
          <w:sz w:val="24"/>
          <w:szCs w:val="24"/>
        </w:rPr>
        <w:t>Prebon</w:t>
      </w:r>
      <w:proofErr w:type="spellEnd"/>
      <w:r w:rsidR="005A579A">
        <w:rPr>
          <w:rFonts w:cs="ArialUnicodeMS"/>
          <w:sz w:val="24"/>
          <w:szCs w:val="24"/>
        </w:rPr>
        <w:t xml:space="preserve">, in which </w:t>
      </w:r>
      <w:proofErr w:type="spellStart"/>
      <w:r w:rsidR="005A579A">
        <w:rPr>
          <w:rFonts w:cs="ArialUnicodeMS"/>
          <w:sz w:val="24"/>
          <w:szCs w:val="24"/>
        </w:rPr>
        <w:t>Tullett</w:t>
      </w:r>
      <w:proofErr w:type="spellEnd"/>
      <w:r w:rsidR="005A579A">
        <w:rPr>
          <w:rFonts w:cs="ArialUnicodeMS"/>
          <w:sz w:val="24"/>
          <w:szCs w:val="24"/>
        </w:rPr>
        <w:t xml:space="preserve"> </w:t>
      </w:r>
      <w:proofErr w:type="spellStart"/>
      <w:r w:rsidR="005A579A">
        <w:rPr>
          <w:rFonts w:cs="ArialUnicodeMS"/>
          <w:sz w:val="24"/>
          <w:szCs w:val="24"/>
        </w:rPr>
        <w:t>Prebon</w:t>
      </w:r>
      <w:proofErr w:type="spellEnd"/>
      <w:r w:rsidR="005A579A">
        <w:rPr>
          <w:rFonts w:cs="ArialUnicodeMS"/>
          <w:sz w:val="24"/>
          <w:szCs w:val="24"/>
        </w:rPr>
        <w:t xml:space="preserve"> informs that September 2021 system RA is available at a specific starting </w:t>
      </w:r>
      <w:r w:rsidR="005A579A">
        <w:rPr>
          <w:rFonts w:cs="ArialUnicodeMS"/>
          <w:sz w:val="24"/>
          <w:szCs w:val="24"/>
        </w:rPr>
        <w:lastRenderedPageBreak/>
        <w:t>price.</w:t>
      </w:r>
      <w:r w:rsidR="005A579A">
        <w:rPr>
          <w:rStyle w:val="FootnoteReference"/>
          <w:rFonts w:cs="ArialUnicodeMS"/>
          <w:sz w:val="24"/>
          <w:szCs w:val="24"/>
        </w:rPr>
        <w:footnoteReference w:id="21"/>
      </w:r>
      <w:r w:rsidR="005A579A">
        <w:rPr>
          <w:rFonts w:cs="ArialUnicodeMS"/>
          <w:sz w:val="24"/>
          <w:szCs w:val="24"/>
        </w:rPr>
        <w:t xml:space="preserve">  John </w:t>
      </w:r>
      <w:proofErr w:type="spellStart"/>
      <w:r w:rsidR="005A579A">
        <w:rPr>
          <w:rFonts w:cs="ArialUnicodeMS"/>
          <w:sz w:val="24"/>
          <w:szCs w:val="24"/>
        </w:rPr>
        <w:t>Dalessi</w:t>
      </w:r>
      <w:proofErr w:type="spellEnd"/>
      <w:r w:rsidR="005A579A">
        <w:rPr>
          <w:rFonts w:cs="ArialUnicodeMS"/>
          <w:sz w:val="24"/>
          <w:szCs w:val="24"/>
        </w:rPr>
        <w:t xml:space="preserve"> of Pacific Energy Advisors</w:t>
      </w:r>
      <w:r w:rsidRPr="00E6626A" w:rsidR="005A579A">
        <w:rPr>
          <w:rFonts w:cs="ArialUnicodeMS"/>
          <w:sz w:val="24"/>
          <w:szCs w:val="24"/>
        </w:rPr>
        <w:t xml:space="preserve"> </w:t>
      </w:r>
      <w:r w:rsidR="005A579A">
        <w:rPr>
          <w:rFonts w:cs="ArialUnicodeMS"/>
          <w:sz w:val="24"/>
          <w:szCs w:val="24"/>
        </w:rPr>
        <w:t>rejects</w:t>
      </w:r>
      <w:r w:rsidRPr="00E6626A" w:rsidR="005A579A">
        <w:rPr>
          <w:rFonts w:cs="ArialUnicodeMS"/>
          <w:sz w:val="24"/>
          <w:szCs w:val="24"/>
        </w:rPr>
        <w:t xml:space="preserve"> </w:t>
      </w:r>
      <w:r w:rsidR="005A579A">
        <w:rPr>
          <w:rFonts w:cs="ArialUnicodeMS"/>
          <w:sz w:val="24"/>
          <w:szCs w:val="24"/>
        </w:rPr>
        <w:t xml:space="preserve">the </w:t>
      </w:r>
      <w:r w:rsidRPr="00E6626A" w:rsidR="005A579A">
        <w:rPr>
          <w:rFonts w:cs="ArialUnicodeMS"/>
          <w:sz w:val="24"/>
          <w:szCs w:val="24"/>
        </w:rPr>
        <w:t xml:space="preserve">RA </w:t>
      </w:r>
      <w:r w:rsidR="005A579A">
        <w:rPr>
          <w:rFonts w:cs="ArialUnicodeMS"/>
          <w:sz w:val="24"/>
          <w:szCs w:val="24"/>
        </w:rPr>
        <w:t>product outright, indicating that the price is unreasonable</w:t>
      </w:r>
      <w:r w:rsidRPr="00E6626A" w:rsidR="005A579A">
        <w:rPr>
          <w:rFonts w:cs="ArialUnicodeMS"/>
          <w:sz w:val="24"/>
          <w:szCs w:val="24"/>
        </w:rPr>
        <w:t>.</w:t>
      </w:r>
      <w:r w:rsidR="005A579A">
        <w:rPr>
          <w:rStyle w:val="FootnoteReference"/>
          <w:rFonts w:cs="ArialUnicodeMS"/>
          <w:sz w:val="24"/>
          <w:szCs w:val="24"/>
        </w:rPr>
        <w:footnoteReference w:id="22"/>
      </w:r>
      <w:r w:rsidR="005A579A">
        <w:rPr>
          <w:rFonts w:cs="ArialUnicodeMS"/>
          <w:sz w:val="24"/>
          <w:szCs w:val="24"/>
        </w:rPr>
        <w:t xml:space="preserve">  </w:t>
      </w:r>
    </w:p>
    <w:p w:rsidR="00DA1557" w:rsidP="00DB40B5" w:rsidRDefault="00DA1557" w14:paraId="4AD5A609" w14:textId="77777777">
      <w:pPr>
        <w:pStyle w:val="Standard"/>
        <w:spacing w:line="240" w:lineRule="auto"/>
        <w:ind w:firstLine="0"/>
        <w:rPr>
          <w:rFonts w:cs="ArialUnicodeMS"/>
          <w:sz w:val="24"/>
          <w:szCs w:val="24"/>
        </w:rPr>
      </w:pPr>
    </w:p>
    <w:p w:rsidR="00D926B6" w:rsidP="00DB40B5" w:rsidRDefault="006A6DB3" w14:paraId="2CFA2103" w14:textId="584329EE">
      <w:pPr>
        <w:pStyle w:val="Standard"/>
        <w:spacing w:line="240" w:lineRule="auto"/>
        <w:ind w:firstLine="0"/>
        <w:rPr>
          <w:rFonts w:cs="ArialUnicodeMS"/>
          <w:sz w:val="24"/>
          <w:szCs w:val="24"/>
        </w:rPr>
      </w:pPr>
      <w:r>
        <w:rPr>
          <w:rFonts w:cs="ArialUnicodeMS"/>
          <w:sz w:val="24"/>
          <w:szCs w:val="24"/>
        </w:rPr>
        <w:t>By d</w:t>
      </w:r>
      <w:r w:rsidR="004D4506">
        <w:rPr>
          <w:rFonts w:cs="ArialUnicodeMS"/>
          <w:sz w:val="24"/>
          <w:szCs w:val="24"/>
        </w:rPr>
        <w:t xml:space="preserve">eclining </w:t>
      </w:r>
      <w:r w:rsidR="009E2BD0">
        <w:rPr>
          <w:rFonts w:cs="ArialUnicodeMS"/>
          <w:sz w:val="24"/>
          <w:szCs w:val="24"/>
        </w:rPr>
        <w:t xml:space="preserve">available September 2021 </w:t>
      </w:r>
      <w:r w:rsidR="004D4506">
        <w:rPr>
          <w:rFonts w:cs="ArialUnicodeMS"/>
          <w:sz w:val="24"/>
          <w:szCs w:val="24"/>
        </w:rPr>
        <w:t xml:space="preserve">RA </w:t>
      </w:r>
      <w:r>
        <w:rPr>
          <w:rFonts w:cs="ArialUnicodeMS"/>
          <w:sz w:val="24"/>
          <w:szCs w:val="24"/>
        </w:rPr>
        <w:t xml:space="preserve">products </w:t>
      </w:r>
      <w:r w:rsidR="004D4506">
        <w:rPr>
          <w:rFonts w:cs="ArialUnicodeMS"/>
          <w:sz w:val="24"/>
          <w:szCs w:val="24"/>
        </w:rPr>
        <w:t xml:space="preserve">that </w:t>
      </w:r>
      <w:r>
        <w:rPr>
          <w:rFonts w:cs="ArialUnicodeMS"/>
          <w:sz w:val="24"/>
          <w:szCs w:val="24"/>
        </w:rPr>
        <w:t>SDCP</w:t>
      </w:r>
      <w:r w:rsidR="004D4506">
        <w:rPr>
          <w:rFonts w:cs="ArialUnicodeMS"/>
          <w:sz w:val="24"/>
          <w:szCs w:val="24"/>
        </w:rPr>
        <w:t xml:space="preserve"> </w:t>
      </w:r>
      <w:r w:rsidR="0095335C">
        <w:rPr>
          <w:rFonts w:cs="ArialUnicodeMS"/>
          <w:sz w:val="24"/>
          <w:szCs w:val="24"/>
        </w:rPr>
        <w:t>considered</w:t>
      </w:r>
      <w:r w:rsidR="004D4506">
        <w:rPr>
          <w:rFonts w:cs="ArialUnicodeMS"/>
          <w:sz w:val="24"/>
          <w:szCs w:val="24"/>
        </w:rPr>
        <w:t xml:space="preserve"> </w:t>
      </w:r>
      <w:r w:rsidR="009E2BD0">
        <w:rPr>
          <w:rFonts w:cs="ArialUnicodeMS"/>
          <w:sz w:val="24"/>
          <w:szCs w:val="24"/>
        </w:rPr>
        <w:t>too</w:t>
      </w:r>
      <w:r w:rsidR="004D4506">
        <w:rPr>
          <w:rFonts w:cs="ArialUnicodeMS"/>
          <w:sz w:val="24"/>
          <w:szCs w:val="24"/>
        </w:rPr>
        <w:t xml:space="preserve"> expensive</w:t>
      </w:r>
      <w:r>
        <w:rPr>
          <w:rFonts w:cs="ArialUnicodeMS"/>
          <w:sz w:val="24"/>
          <w:szCs w:val="24"/>
        </w:rPr>
        <w:t>, SDCP fails to</w:t>
      </w:r>
      <w:r w:rsidR="004D4506">
        <w:rPr>
          <w:rFonts w:cs="ArialUnicodeMS"/>
          <w:sz w:val="24"/>
          <w:szCs w:val="24"/>
        </w:rPr>
        <w:t xml:space="preserve"> demonstrate that it was “impossible” to procure </w:t>
      </w:r>
      <w:r>
        <w:rPr>
          <w:rFonts w:cs="ArialUnicodeMS"/>
          <w:sz w:val="24"/>
          <w:szCs w:val="24"/>
        </w:rPr>
        <w:t>September</w:t>
      </w:r>
      <w:r w:rsidR="00192ADB">
        <w:rPr>
          <w:rFonts w:cs="ArialUnicodeMS"/>
          <w:sz w:val="24"/>
          <w:szCs w:val="24"/>
        </w:rPr>
        <w:t> </w:t>
      </w:r>
      <w:r>
        <w:rPr>
          <w:rFonts w:cs="ArialUnicodeMS"/>
          <w:sz w:val="24"/>
          <w:szCs w:val="24"/>
        </w:rPr>
        <w:t xml:space="preserve">2021 system </w:t>
      </w:r>
      <w:r w:rsidR="004D4506">
        <w:rPr>
          <w:rFonts w:cs="ArialUnicodeMS"/>
          <w:sz w:val="24"/>
          <w:szCs w:val="24"/>
        </w:rPr>
        <w:t xml:space="preserve">RA resources.  </w:t>
      </w:r>
      <w:r w:rsidR="004B56CD">
        <w:rPr>
          <w:rFonts w:cs="ArialUnicodeMS"/>
          <w:sz w:val="24"/>
          <w:szCs w:val="24"/>
        </w:rPr>
        <w:t xml:space="preserve">Rather, </w:t>
      </w:r>
      <w:r w:rsidR="009C1A91">
        <w:rPr>
          <w:rFonts w:cs="ArialUnicodeMS"/>
          <w:sz w:val="24"/>
          <w:szCs w:val="24"/>
        </w:rPr>
        <w:t xml:space="preserve">SDCP </w:t>
      </w:r>
      <w:r w:rsidR="004B56CD">
        <w:rPr>
          <w:rFonts w:cs="ArialUnicodeMS"/>
          <w:sz w:val="24"/>
          <w:szCs w:val="24"/>
        </w:rPr>
        <w:t>merely</w:t>
      </w:r>
      <w:r w:rsidR="009C1A91">
        <w:rPr>
          <w:rFonts w:cs="ArialUnicodeMS"/>
          <w:sz w:val="24"/>
          <w:szCs w:val="24"/>
        </w:rPr>
        <w:t xml:space="preserve"> shows that it was not possible to </w:t>
      </w:r>
      <w:r w:rsidR="004B56CD">
        <w:rPr>
          <w:rFonts w:cs="ArialUnicodeMS"/>
          <w:sz w:val="24"/>
          <w:szCs w:val="24"/>
        </w:rPr>
        <w:t xml:space="preserve">procure system </w:t>
      </w:r>
      <w:r w:rsidR="009C1A91">
        <w:rPr>
          <w:rFonts w:cs="ArialUnicodeMS"/>
          <w:sz w:val="24"/>
          <w:szCs w:val="24"/>
        </w:rPr>
        <w:t xml:space="preserve">RA resources at what </w:t>
      </w:r>
      <w:r w:rsidR="004B56CD">
        <w:rPr>
          <w:rFonts w:cs="ArialUnicodeMS"/>
          <w:sz w:val="24"/>
          <w:szCs w:val="24"/>
        </w:rPr>
        <w:t>SDCP</w:t>
      </w:r>
      <w:r w:rsidR="009C1A91">
        <w:rPr>
          <w:rFonts w:cs="ArialUnicodeMS"/>
          <w:sz w:val="24"/>
          <w:szCs w:val="24"/>
        </w:rPr>
        <w:t xml:space="preserve"> deemed to be “reasonable prices.”</w:t>
      </w:r>
      <w:r w:rsidR="00DA1557">
        <w:rPr>
          <w:rFonts w:cs="ArialUnicodeMS"/>
          <w:sz w:val="24"/>
          <w:szCs w:val="24"/>
        </w:rPr>
        <w:t xml:space="preserve">  </w:t>
      </w:r>
    </w:p>
    <w:p w:rsidR="00D926B6" w:rsidP="00DB40B5" w:rsidRDefault="00D926B6" w14:paraId="7E426CD7" w14:textId="77777777">
      <w:pPr>
        <w:pStyle w:val="Standard"/>
        <w:spacing w:line="240" w:lineRule="auto"/>
        <w:ind w:firstLine="0"/>
        <w:rPr>
          <w:rFonts w:cs="ArialUnicodeMS"/>
          <w:sz w:val="24"/>
          <w:szCs w:val="24"/>
        </w:rPr>
      </w:pPr>
    </w:p>
    <w:p w:rsidRPr="00DB40B5" w:rsidR="004F217E" w:rsidP="00DB40B5" w:rsidRDefault="00676995" w14:paraId="13F142F6" w14:textId="192DA1AC">
      <w:pPr>
        <w:pStyle w:val="Standard"/>
        <w:spacing w:line="240" w:lineRule="auto"/>
        <w:ind w:firstLine="0"/>
        <w:rPr>
          <w:rFonts w:cs="ArialUnicodeMS"/>
          <w:sz w:val="24"/>
          <w:szCs w:val="24"/>
        </w:rPr>
      </w:pPr>
      <w:r>
        <w:rPr>
          <w:rFonts w:cs="ArialUnicodeMS"/>
          <w:sz w:val="24"/>
          <w:szCs w:val="24"/>
        </w:rPr>
        <w:t>T</w:t>
      </w:r>
      <w:r w:rsidR="00A73CFF">
        <w:rPr>
          <w:rFonts w:cs="ArialUnicodeMS"/>
          <w:sz w:val="24"/>
          <w:szCs w:val="24"/>
        </w:rPr>
        <w:t xml:space="preserve">he evidence </w:t>
      </w:r>
      <w:r w:rsidR="00FF6183">
        <w:rPr>
          <w:rFonts w:cs="ArialUnicodeMS"/>
          <w:sz w:val="24"/>
          <w:szCs w:val="24"/>
        </w:rPr>
        <w:t xml:space="preserve">clearly </w:t>
      </w:r>
      <w:r w:rsidR="00A73CFF">
        <w:rPr>
          <w:rFonts w:cs="ArialUnicodeMS"/>
          <w:sz w:val="24"/>
          <w:szCs w:val="24"/>
        </w:rPr>
        <w:t xml:space="preserve">demonstrates that </w:t>
      </w:r>
      <w:r w:rsidR="00FF6183">
        <w:rPr>
          <w:rFonts w:cs="ArialUnicodeMS"/>
          <w:sz w:val="24"/>
          <w:szCs w:val="24"/>
        </w:rPr>
        <w:t xml:space="preserve">September 2021 system </w:t>
      </w:r>
      <w:r w:rsidR="00A73CFF">
        <w:rPr>
          <w:rFonts w:cs="ArialUnicodeMS"/>
          <w:sz w:val="24"/>
          <w:szCs w:val="24"/>
        </w:rPr>
        <w:t xml:space="preserve">RA </w:t>
      </w:r>
      <w:r w:rsidR="00FF6183">
        <w:rPr>
          <w:rFonts w:cs="ArialUnicodeMS"/>
          <w:sz w:val="24"/>
          <w:szCs w:val="24"/>
        </w:rPr>
        <w:t>product</w:t>
      </w:r>
      <w:r w:rsidR="00A73CFF">
        <w:rPr>
          <w:rFonts w:cs="ArialUnicodeMS"/>
          <w:sz w:val="24"/>
          <w:szCs w:val="24"/>
        </w:rPr>
        <w:t xml:space="preserve">s were available </w:t>
      </w:r>
      <w:r w:rsidR="00347504">
        <w:rPr>
          <w:rFonts w:cs="ArialUnicodeMS"/>
          <w:sz w:val="24"/>
          <w:szCs w:val="24"/>
        </w:rPr>
        <w:t xml:space="preserve">to SDCP </w:t>
      </w:r>
      <w:r w:rsidR="00A73CFF">
        <w:rPr>
          <w:rFonts w:cs="ArialUnicodeMS"/>
          <w:sz w:val="24"/>
          <w:szCs w:val="24"/>
        </w:rPr>
        <w:t xml:space="preserve">for procurement.  </w:t>
      </w:r>
      <w:r w:rsidR="00FF6183">
        <w:rPr>
          <w:rFonts w:cs="ArialUnicodeMS"/>
          <w:sz w:val="24"/>
          <w:szCs w:val="24"/>
        </w:rPr>
        <w:t xml:space="preserve">However, </w:t>
      </w:r>
      <w:r w:rsidR="00D926B6">
        <w:rPr>
          <w:rFonts w:cs="ArialUnicodeMS"/>
          <w:sz w:val="24"/>
          <w:szCs w:val="24"/>
        </w:rPr>
        <w:t>SDCP</w:t>
      </w:r>
      <w:r w:rsidR="003F52A5">
        <w:rPr>
          <w:rFonts w:cs="ArialUnicodeMS"/>
          <w:sz w:val="24"/>
          <w:szCs w:val="24"/>
        </w:rPr>
        <w:t xml:space="preserve"> </w:t>
      </w:r>
      <w:r w:rsidR="00D926B6">
        <w:rPr>
          <w:rFonts w:cs="ArialUnicodeMS"/>
          <w:sz w:val="24"/>
          <w:szCs w:val="24"/>
        </w:rPr>
        <w:t xml:space="preserve">failed to </w:t>
      </w:r>
      <w:r w:rsidR="00F93781">
        <w:rPr>
          <w:rFonts w:cs="ArialUnicodeMS"/>
          <w:sz w:val="24"/>
          <w:szCs w:val="24"/>
        </w:rPr>
        <w:t xml:space="preserve">participate </w:t>
      </w:r>
      <w:r w:rsidR="00D926B6">
        <w:rPr>
          <w:rFonts w:cs="ArialUnicodeMS"/>
          <w:sz w:val="24"/>
          <w:szCs w:val="24"/>
        </w:rPr>
        <w:t>i</w:t>
      </w:r>
      <w:r w:rsidR="00F93781">
        <w:rPr>
          <w:rFonts w:cs="ArialUnicodeMS"/>
          <w:sz w:val="24"/>
          <w:szCs w:val="24"/>
        </w:rPr>
        <w:t>n</w:t>
      </w:r>
      <w:r w:rsidR="00D926B6">
        <w:rPr>
          <w:rFonts w:cs="ArialUnicodeMS"/>
          <w:sz w:val="24"/>
          <w:szCs w:val="24"/>
        </w:rPr>
        <w:t xml:space="preserve"> SCE’s </w:t>
      </w:r>
      <w:r w:rsidR="00F93781">
        <w:rPr>
          <w:rFonts w:cs="ArialUnicodeMS"/>
          <w:sz w:val="24"/>
          <w:szCs w:val="24"/>
        </w:rPr>
        <w:t xml:space="preserve">RFO </w:t>
      </w:r>
      <w:r w:rsidR="00D926B6">
        <w:rPr>
          <w:rFonts w:cs="ArialUnicodeMS"/>
          <w:sz w:val="24"/>
          <w:szCs w:val="24"/>
        </w:rPr>
        <w:t>solicitation for available resources</w:t>
      </w:r>
      <w:r w:rsidR="00A73CFF">
        <w:rPr>
          <w:rFonts w:cs="ArialUnicodeMS"/>
          <w:sz w:val="24"/>
          <w:szCs w:val="24"/>
        </w:rPr>
        <w:t xml:space="preserve">, </w:t>
      </w:r>
      <w:r w:rsidR="00226EAA">
        <w:rPr>
          <w:rFonts w:cs="ArialUnicodeMS"/>
          <w:sz w:val="24"/>
          <w:szCs w:val="24"/>
        </w:rPr>
        <w:t>consistently</w:t>
      </w:r>
      <w:r w:rsidR="00D926B6">
        <w:rPr>
          <w:rFonts w:cs="ArialUnicodeMS"/>
          <w:sz w:val="24"/>
          <w:szCs w:val="24"/>
        </w:rPr>
        <w:t xml:space="preserve"> </w:t>
      </w:r>
      <w:r w:rsidR="00D20748">
        <w:rPr>
          <w:rFonts w:cs="ArialUnicodeMS"/>
          <w:sz w:val="24"/>
          <w:szCs w:val="24"/>
        </w:rPr>
        <w:t>bid</w:t>
      </w:r>
      <w:r w:rsidR="00F93781">
        <w:rPr>
          <w:rFonts w:cs="ArialUnicodeMS"/>
          <w:sz w:val="24"/>
          <w:szCs w:val="24"/>
        </w:rPr>
        <w:t xml:space="preserve"> into</w:t>
      </w:r>
      <w:r w:rsidR="00D926B6">
        <w:rPr>
          <w:rFonts w:cs="ArialUnicodeMS"/>
          <w:sz w:val="24"/>
          <w:szCs w:val="24"/>
        </w:rPr>
        <w:t xml:space="preserve"> solicitations at well below the </w:t>
      </w:r>
      <w:r w:rsidR="00347504">
        <w:rPr>
          <w:rFonts w:cs="ArialUnicodeMS"/>
          <w:sz w:val="24"/>
          <w:szCs w:val="24"/>
        </w:rPr>
        <w:t>known bid</w:t>
      </w:r>
      <w:r w:rsidR="00D926B6">
        <w:rPr>
          <w:rFonts w:cs="ArialUnicodeMS"/>
          <w:sz w:val="24"/>
          <w:szCs w:val="24"/>
        </w:rPr>
        <w:t xml:space="preserve"> price</w:t>
      </w:r>
      <w:r w:rsidR="00347504">
        <w:rPr>
          <w:rFonts w:cs="ArialUnicodeMS"/>
          <w:sz w:val="24"/>
          <w:szCs w:val="24"/>
        </w:rPr>
        <w:t>s</w:t>
      </w:r>
      <w:r w:rsidR="00D926B6">
        <w:rPr>
          <w:rFonts w:cs="ArialUnicodeMS"/>
          <w:sz w:val="24"/>
          <w:szCs w:val="24"/>
        </w:rPr>
        <w:t>, and declined</w:t>
      </w:r>
      <w:r w:rsidR="00D20748">
        <w:rPr>
          <w:rFonts w:cs="ArialUnicodeMS"/>
          <w:sz w:val="24"/>
          <w:szCs w:val="24"/>
        </w:rPr>
        <w:t xml:space="preserve"> available</w:t>
      </w:r>
      <w:r w:rsidR="00D926B6">
        <w:rPr>
          <w:rFonts w:cs="ArialUnicodeMS"/>
          <w:sz w:val="24"/>
          <w:szCs w:val="24"/>
        </w:rPr>
        <w:t xml:space="preserve"> RA resources that it deemed were too expensive.  </w:t>
      </w:r>
      <w:r>
        <w:rPr>
          <w:rFonts w:cs="ArialUnicodeMS"/>
          <w:sz w:val="24"/>
          <w:szCs w:val="24"/>
        </w:rPr>
        <w:t xml:space="preserve">SDCP has </w:t>
      </w:r>
      <w:r w:rsidR="00D20748">
        <w:rPr>
          <w:rFonts w:cs="ArialUnicodeMS"/>
          <w:sz w:val="24"/>
          <w:szCs w:val="24"/>
        </w:rPr>
        <w:t xml:space="preserve">therefore </w:t>
      </w:r>
      <w:r>
        <w:rPr>
          <w:rFonts w:cs="ArialUnicodeMS"/>
          <w:sz w:val="24"/>
          <w:szCs w:val="24"/>
        </w:rPr>
        <w:t>failed to meet its burden to prove that it was “impossible” to procure September 2021 system RA resources</w:t>
      </w:r>
      <w:r w:rsidR="001E52B4">
        <w:rPr>
          <w:rFonts w:cs="ArialUnicodeMS"/>
          <w:sz w:val="24"/>
          <w:szCs w:val="24"/>
        </w:rPr>
        <w:t xml:space="preserve"> to meet its obligations</w:t>
      </w:r>
      <w:r>
        <w:rPr>
          <w:rFonts w:cs="ArialUnicodeMS"/>
          <w:sz w:val="24"/>
          <w:szCs w:val="24"/>
        </w:rPr>
        <w:t xml:space="preserve">.  </w:t>
      </w:r>
    </w:p>
    <w:p w:rsidR="00A942EA" w:rsidP="00DB40B5" w:rsidRDefault="00A942EA" w14:paraId="4C198259" w14:textId="77777777">
      <w:pPr>
        <w:pStyle w:val="Standard"/>
        <w:spacing w:line="240" w:lineRule="auto"/>
        <w:ind w:firstLine="0"/>
        <w:rPr>
          <w:b/>
          <w:bCs/>
          <w:sz w:val="24"/>
          <w:szCs w:val="24"/>
          <w:u w:val="single"/>
        </w:rPr>
      </w:pPr>
    </w:p>
    <w:p w:rsidRPr="00B27B03" w:rsidR="00475149" w:rsidP="00634BA2" w:rsidRDefault="00475149" w14:paraId="2DF9FF32" w14:textId="67059A9A">
      <w:pPr>
        <w:pStyle w:val="Standard"/>
        <w:numPr>
          <w:ilvl w:val="0"/>
          <w:numId w:val="22"/>
        </w:numPr>
        <w:spacing w:line="240" w:lineRule="auto"/>
        <w:rPr>
          <w:b/>
          <w:bCs/>
          <w:sz w:val="24"/>
          <w:szCs w:val="24"/>
          <w:u w:val="single"/>
        </w:rPr>
      </w:pPr>
      <w:r w:rsidRPr="00B27B03">
        <w:rPr>
          <w:b/>
          <w:bCs/>
          <w:sz w:val="24"/>
          <w:szCs w:val="24"/>
          <w:u w:val="single"/>
        </w:rPr>
        <w:t xml:space="preserve">Application of the Five-Factor Test Warrants Affirming the Citation </w:t>
      </w:r>
      <w:r w:rsidRPr="00B27B03" w:rsidR="00FB5E6E">
        <w:rPr>
          <w:b/>
          <w:bCs/>
          <w:sz w:val="24"/>
          <w:szCs w:val="24"/>
          <w:u w:val="single"/>
        </w:rPr>
        <w:t xml:space="preserve">and the </w:t>
      </w:r>
      <w:r w:rsidRPr="00B27B03">
        <w:rPr>
          <w:b/>
          <w:bCs/>
          <w:sz w:val="24"/>
          <w:szCs w:val="24"/>
          <w:u w:val="single"/>
        </w:rPr>
        <w:t>Penalty</w:t>
      </w:r>
    </w:p>
    <w:p w:rsidR="006A3A28" w:rsidP="0071411C" w:rsidRDefault="006A3A28" w14:paraId="6ABFEF16" w14:textId="32306B06">
      <w:pPr>
        <w:pStyle w:val="Standard"/>
        <w:spacing w:line="240" w:lineRule="auto"/>
        <w:ind w:firstLine="0"/>
        <w:rPr>
          <w:sz w:val="24"/>
          <w:szCs w:val="24"/>
        </w:rPr>
      </w:pPr>
    </w:p>
    <w:p w:rsidR="00457250" w:rsidP="0071411C" w:rsidRDefault="002A7577" w14:paraId="443E9569" w14:textId="2C38533B">
      <w:pPr>
        <w:pStyle w:val="Standard"/>
        <w:spacing w:line="240" w:lineRule="auto"/>
        <w:ind w:firstLine="0"/>
        <w:rPr>
          <w:rFonts w:cs="ArialUnicodeMS"/>
          <w:sz w:val="24"/>
          <w:szCs w:val="24"/>
        </w:rPr>
      </w:pPr>
      <w:r>
        <w:rPr>
          <w:rFonts w:cs="ArialUnicodeMS"/>
          <w:sz w:val="24"/>
          <w:szCs w:val="24"/>
        </w:rPr>
        <w:t>We next consider whether SDCP has</w:t>
      </w:r>
      <w:r w:rsidR="00457250">
        <w:rPr>
          <w:rFonts w:cs="ArialUnicodeMS"/>
          <w:sz w:val="24"/>
          <w:szCs w:val="24"/>
        </w:rPr>
        <w:t xml:space="preserve"> </w:t>
      </w:r>
      <w:r>
        <w:rPr>
          <w:rFonts w:cs="ArialUnicodeMS"/>
          <w:sz w:val="24"/>
          <w:szCs w:val="24"/>
        </w:rPr>
        <w:t xml:space="preserve">otherwise satisfied </w:t>
      </w:r>
      <w:r w:rsidR="00457250">
        <w:rPr>
          <w:rFonts w:cs="ArialUnicodeMS"/>
          <w:sz w:val="24"/>
          <w:szCs w:val="24"/>
        </w:rPr>
        <w:t xml:space="preserve">its burden to demonstrate </w:t>
      </w:r>
      <w:r w:rsidR="00D522D9">
        <w:rPr>
          <w:rFonts w:cs="ArialUnicodeMS"/>
          <w:sz w:val="24"/>
          <w:szCs w:val="24"/>
        </w:rPr>
        <w:t>that</w:t>
      </w:r>
      <w:r w:rsidRPr="00DB40B5" w:rsidR="00D522D9">
        <w:rPr>
          <w:rFonts w:cs="ArialUnicodeMS"/>
          <w:sz w:val="24"/>
          <w:szCs w:val="24"/>
        </w:rPr>
        <w:t xml:space="preserve"> the citation should not issue or that the amount of the penalty is inappropriate.  </w:t>
      </w:r>
    </w:p>
    <w:p w:rsidR="0030514D" w:rsidP="0071411C" w:rsidRDefault="0030514D" w14:paraId="07DDCF0F" w14:textId="635D3702">
      <w:pPr>
        <w:pStyle w:val="Standard"/>
        <w:spacing w:line="240" w:lineRule="auto"/>
        <w:ind w:firstLine="0"/>
        <w:rPr>
          <w:rFonts w:cs="ArialUnicodeMS"/>
          <w:sz w:val="24"/>
          <w:szCs w:val="24"/>
        </w:rPr>
      </w:pPr>
    </w:p>
    <w:p w:rsidRPr="0030514D" w:rsidR="000C4E04" w:rsidP="009D3C19" w:rsidRDefault="0030514D" w14:paraId="0E0220F3" w14:textId="7EB0FE34">
      <w:pPr>
        <w:autoSpaceDE w:val="0"/>
        <w:autoSpaceDN w:val="0"/>
        <w:adjustRightInd w:val="0"/>
        <w:rPr>
          <w:rFonts w:ascii="Book Antiqua" w:hAnsi="Book Antiqua"/>
          <w:szCs w:val="24"/>
        </w:rPr>
      </w:pPr>
      <w:r>
        <w:rPr>
          <w:rFonts w:ascii="Book Antiqua" w:hAnsi="Book Antiqua"/>
          <w:szCs w:val="24"/>
        </w:rPr>
        <w:t>In</w:t>
      </w:r>
      <w:r w:rsidRPr="00B27B03">
        <w:rPr>
          <w:rFonts w:ascii="Book Antiqua" w:hAnsi="Book Antiqua"/>
          <w:szCs w:val="24"/>
        </w:rPr>
        <w:t xml:space="preserve"> D.98-12-075, the Commission identified five factors to consider in </w:t>
      </w:r>
      <w:r>
        <w:rPr>
          <w:rFonts w:ascii="Book Antiqua" w:hAnsi="Book Antiqua"/>
          <w:szCs w:val="24"/>
        </w:rPr>
        <w:t>assessing</w:t>
      </w:r>
      <w:r w:rsidRPr="00B27B03">
        <w:rPr>
          <w:rFonts w:ascii="Book Antiqua" w:hAnsi="Book Antiqua"/>
          <w:szCs w:val="24"/>
        </w:rPr>
        <w:t xml:space="preserve"> the appropriate level of a fine: </w:t>
      </w:r>
      <w:r>
        <w:rPr>
          <w:rFonts w:ascii="Book Antiqua" w:hAnsi="Book Antiqua"/>
          <w:szCs w:val="24"/>
        </w:rPr>
        <w:t xml:space="preserve"> </w:t>
      </w:r>
      <w:r w:rsidRPr="00B27B03">
        <w:rPr>
          <w:rFonts w:ascii="Book Antiqua" w:hAnsi="Book Antiqua"/>
          <w:szCs w:val="24"/>
        </w:rPr>
        <w:t>(1) the severity of the offense, (2)</w:t>
      </w:r>
      <w:r>
        <w:rPr>
          <w:rFonts w:ascii="Book Antiqua" w:hAnsi="Book Antiqua"/>
          <w:szCs w:val="24"/>
        </w:rPr>
        <w:t> </w:t>
      </w:r>
      <w:r w:rsidRPr="00B27B03">
        <w:rPr>
          <w:rFonts w:ascii="Book Antiqua" w:hAnsi="Book Antiqua"/>
          <w:szCs w:val="24"/>
        </w:rPr>
        <w:t>the entity’s conduct, (3) the entity’s financial resources, (4) the role of precedent, and (5)</w:t>
      </w:r>
      <w:r>
        <w:rPr>
          <w:rFonts w:ascii="Book Antiqua" w:hAnsi="Book Antiqua"/>
          <w:szCs w:val="24"/>
        </w:rPr>
        <w:t> </w:t>
      </w:r>
      <w:r w:rsidRPr="00B27B03">
        <w:rPr>
          <w:rFonts w:ascii="Book Antiqua" w:hAnsi="Book Antiqua"/>
          <w:szCs w:val="24"/>
        </w:rPr>
        <w:t>the totality of the circumstances in the public interest.</w:t>
      </w:r>
      <w:r>
        <w:rPr>
          <w:rFonts w:ascii="Book Antiqua" w:hAnsi="Book Antiqua"/>
          <w:szCs w:val="24"/>
        </w:rPr>
        <w:t xml:space="preserve">  </w:t>
      </w:r>
      <w:r w:rsidRPr="00B27B03" w:rsidR="00DF2479">
        <w:rPr>
          <w:rFonts w:ascii="Book Antiqua" w:hAnsi="Book Antiqua" w:cs="BookAntiqua"/>
          <w:szCs w:val="24"/>
        </w:rPr>
        <w:t xml:space="preserve">We address each </w:t>
      </w:r>
      <w:r w:rsidRPr="00B27B03" w:rsidR="00C56416">
        <w:rPr>
          <w:rFonts w:ascii="Book Antiqua" w:hAnsi="Book Antiqua" w:cs="BookAntiqua"/>
          <w:szCs w:val="24"/>
        </w:rPr>
        <w:t xml:space="preserve">factor </w:t>
      </w:r>
      <w:r w:rsidRPr="00B27B03" w:rsidR="00DF2479">
        <w:rPr>
          <w:rFonts w:ascii="Book Antiqua" w:hAnsi="Book Antiqua" w:cs="BookAntiqua"/>
          <w:szCs w:val="24"/>
        </w:rPr>
        <w:t>in turn.</w:t>
      </w:r>
    </w:p>
    <w:p w:rsidRPr="00B27B03" w:rsidR="007F4C66" w:rsidP="00DF2479" w:rsidRDefault="007F4C66" w14:paraId="2FE3990B" w14:textId="77777777">
      <w:pPr>
        <w:pStyle w:val="Standard"/>
        <w:spacing w:line="240" w:lineRule="auto"/>
        <w:ind w:firstLine="0"/>
        <w:rPr>
          <w:rFonts w:cs="BookAntiqua"/>
          <w:sz w:val="24"/>
          <w:szCs w:val="24"/>
        </w:rPr>
      </w:pPr>
    </w:p>
    <w:p w:rsidRPr="00B27B03" w:rsidR="00DF2479" w:rsidP="00634BA2" w:rsidRDefault="00DF2479" w14:paraId="49731A61" w14:textId="3B4C935C">
      <w:pPr>
        <w:pStyle w:val="Standard"/>
        <w:numPr>
          <w:ilvl w:val="1"/>
          <w:numId w:val="22"/>
        </w:numPr>
        <w:spacing w:line="240" w:lineRule="auto"/>
        <w:ind w:left="1260" w:hanging="540"/>
        <w:rPr>
          <w:rFonts w:cs="Arial"/>
          <w:sz w:val="24"/>
          <w:szCs w:val="24"/>
        </w:rPr>
      </w:pPr>
      <w:r w:rsidRPr="00B27B03">
        <w:rPr>
          <w:rFonts w:cs="Arial"/>
          <w:b/>
          <w:bCs/>
          <w:sz w:val="24"/>
          <w:szCs w:val="24"/>
          <w:u w:val="single"/>
        </w:rPr>
        <w:t xml:space="preserve">Severity of the </w:t>
      </w:r>
      <w:r w:rsidR="000776C2">
        <w:rPr>
          <w:rFonts w:cs="Arial"/>
          <w:b/>
          <w:bCs/>
          <w:sz w:val="24"/>
          <w:szCs w:val="24"/>
          <w:u w:val="single"/>
        </w:rPr>
        <w:t>O</w:t>
      </w:r>
      <w:r w:rsidRPr="00B27B03">
        <w:rPr>
          <w:rFonts w:cs="Arial"/>
          <w:b/>
          <w:bCs/>
          <w:sz w:val="24"/>
          <w:szCs w:val="24"/>
          <w:u w:val="single"/>
        </w:rPr>
        <w:t>ffense</w:t>
      </w:r>
    </w:p>
    <w:p w:rsidRPr="00B27B03" w:rsidR="00DF2479" w:rsidP="00DF2479" w:rsidRDefault="00DF2479" w14:paraId="5FC7DDD8" w14:textId="77777777">
      <w:pPr>
        <w:pStyle w:val="Standard"/>
        <w:spacing w:line="240" w:lineRule="auto"/>
        <w:ind w:firstLine="0"/>
        <w:rPr>
          <w:rFonts w:cs="Arial"/>
          <w:sz w:val="24"/>
          <w:szCs w:val="24"/>
        </w:rPr>
      </w:pPr>
    </w:p>
    <w:p w:rsidRPr="00B27B03" w:rsidR="00352421" w:rsidP="00DF2479" w:rsidRDefault="00352421" w14:paraId="119682CF" w14:textId="77777777">
      <w:pPr>
        <w:pStyle w:val="ListParagraph"/>
        <w:ind w:left="0" w:firstLine="0"/>
        <w:rPr>
          <w:rFonts w:cs="Arial"/>
          <w:sz w:val="24"/>
          <w:szCs w:val="24"/>
        </w:rPr>
      </w:pPr>
      <w:r w:rsidRPr="00B27B03">
        <w:rPr>
          <w:rFonts w:cs="Arial"/>
          <w:sz w:val="24"/>
          <w:szCs w:val="24"/>
        </w:rPr>
        <w:t>In D.98-12-07</w:t>
      </w:r>
      <w:r w:rsidRPr="00B27B03" w:rsidR="00F0466F">
        <w:rPr>
          <w:rFonts w:cs="Arial"/>
          <w:sz w:val="24"/>
          <w:szCs w:val="24"/>
        </w:rPr>
        <w:t>5</w:t>
      </w:r>
      <w:r w:rsidRPr="00B27B03">
        <w:rPr>
          <w:rFonts w:cs="Arial"/>
          <w:sz w:val="24"/>
          <w:szCs w:val="24"/>
        </w:rPr>
        <w:t xml:space="preserve">, the Commission stated that this factor includes several considerations: </w:t>
      </w:r>
    </w:p>
    <w:p w:rsidRPr="00B27B03" w:rsidR="00DF2479" w:rsidP="0092789B" w:rsidRDefault="00DF2479" w14:paraId="562502C9" w14:textId="77777777">
      <w:pPr>
        <w:pStyle w:val="ListParagraph"/>
        <w:spacing w:line="240" w:lineRule="auto"/>
        <w:ind w:right="1440" w:firstLine="0"/>
        <w:rPr>
          <w:rFonts w:cs="Arial"/>
          <w:sz w:val="24"/>
          <w:szCs w:val="24"/>
        </w:rPr>
      </w:pPr>
      <w:r w:rsidRPr="00B27B03">
        <w:rPr>
          <w:rFonts w:cs="Arial"/>
          <w:sz w:val="24"/>
          <w:szCs w:val="24"/>
        </w:rPr>
        <w:t>Economic harm reflects the amount of expense which was imposed upon the victims</w:t>
      </w:r>
      <w:r w:rsidRPr="00B27B03" w:rsidR="0092789B">
        <w:rPr>
          <w:rFonts w:cs="Arial"/>
          <w:sz w:val="24"/>
          <w:szCs w:val="24"/>
        </w:rPr>
        <w:t>,</w:t>
      </w:r>
      <w:r w:rsidRPr="00B27B03">
        <w:rPr>
          <w:rFonts w:cs="Arial"/>
          <w:sz w:val="24"/>
          <w:szCs w:val="24"/>
        </w:rPr>
        <w:t xml:space="preserve"> as well as any unlawful benefits gained by the public utility.  Generally, the greater of these two amounts will be used in establishing the fine.  In comparison, violations which caused actual physical harm to people or property are generally considered the most severe, with violations that threatened such harm closely following.</w:t>
      </w:r>
      <w:r w:rsidRPr="00B27B03" w:rsidR="00352421">
        <w:rPr>
          <w:rStyle w:val="FootnoteReference"/>
          <w:rFonts w:cs="Arial"/>
          <w:sz w:val="24"/>
          <w:szCs w:val="24"/>
        </w:rPr>
        <w:footnoteReference w:id="23"/>
      </w:r>
      <w:r w:rsidRPr="00B27B03">
        <w:rPr>
          <w:rFonts w:cs="Arial"/>
          <w:sz w:val="24"/>
          <w:szCs w:val="24"/>
        </w:rPr>
        <w:t xml:space="preserve"> </w:t>
      </w:r>
    </w:p>
    <w:p w:rsidRPr="00B27B03" w:rsidR="00DF2479" w:rsidP="00DF2479" w:rsidRDefault="00DF2479" w14:paraId="64E8ACB6" w14:textId="77777777">
      <w:pPr>
        <w:pStyle w:val="Standard"/>
        <w:spacing w:line="240" w:lineRule="auto"/>
        <w:ind w:firstLine="0"/>
        <w:rPr>
          <w:sz w:val="24"/>
          <w:szCs w:val="24"/>
        </w:rPr>
      </w:pPr>
    </w:p>
    <w:p w:rsidRPr="00B27B03" w:rsidR="002B005E" w:rsidP="00C00CD1" w:rsidRDefault="00F0466F" w14:paraId="4D36BE33" w14:textId="77777777">
      <w:pPr>
        <w:pStyle w:val="ListParagraph"/>
        <w:spacing w:line="240" w:lineRule="auto"/>
        <w:ind w:left="0" w:firstLine="0"/>
        <w:rPr>
          <w:rFonts w:cs="Arial"/>
          <w:sz w:val="24"/>
          <w:szCs w:val="24"/>
        </w:rPr>
      </w:pPr>
      <w:r w:rsidRPr="00B27B03">
        <w:rPr>
          <w:rFonts w:cs="Arial"/>
          <w:sz w:val="24"/>
          <w:szCs w:val="24"/>
        </w:rPr>
        <w:t xml:space="preserve">The Commission </w:t>
      </w:r>
      <w:r w:rsidRPr="00B27B03" w:rsidR="002B005E">
        <w:rPr>
          <w:rFonts w:cs="Arial"/>
          <w:sz w:val="24"/>
          <w:szCs w:val="24"/>
        </w:rPr>
        <w:t>further observed:</w:t>
      </w:r>
    </w:p>
    <w:p w:rsidRPr="00B27B03" w:rsidR="00705844" w:rsidP="00C00CD1" w:rsidRDefault="00705844" w14:paraId="482B7C93" w14:textId="77777777">
      <w:pPr>
        <w:pStyle w:val="ListParagraph"/>
        <w:spacing w:line="240" w:lineRule="auto"/>
        <w:ind w:left="0" w:firstLine="0"/>
        <w:rPr>
          <w:rFonts w:cs="Arial"/>
          <w:sz w:val="24"/>
          <w:szCs w:val="24"/>
        </w:rPr>
      </w:pPr>
    </w:p>
    <w:p w:rsidRPr="00B27B03" w:rsidR="00705844" w:rsidP="00786F08" w:rsidRDefault="00705844" w14:paraId="4756E945" w14:textId="77777777">
      <w:pPr>
        <w:pStyle w:val="ListParagraph"/>
        <w:spacing w:line="240" w:lineRule="auto"/>
        <w:ind w:right="1440" w:firstLine="0"/>
        <w:rPr>
          <w:rFonts w:cs="Arial"/>
          <w:sz w:val="24"/>
          <w:szCs w:val="24"/>
        </w:rPr>
      </w:pPr>
      <w:r w:rsidRPr="00B27B03">
        <w:rPr>
          <w:rFonts w:cs="Arial"/>
          <w:sz w:val="24"/>
          <w:szCs w:val="24"/>
        </w:rPr>
        <w:t>M</w:t>
      </w:r>
      <w:r w:rsidRPr="00B27B03" w:rsidR="00F0466F">
        <w:rPr>
          <w:rFonts w:cs="Arial"/>
          <w:sz w:val="24"/>
          <w:szCs w:val="24"/>
        </w:rPr>
        <w:t>any potential penalty cases before the Commission do not involve any harm to consumers but are instead violations of reporting or compliance requirements.  In these cases, the harm may not be to consumers but rather to the integrity of the regulatory processes.  For example, compliance with Commission directives is required of all California public utilities: [</w:t>
      </w:r>
      <w:r w:rsidRPr="00B27B03" w:rsidR="0092789B">
        <w:rPr>
          <w:rFonts w:cs="Arial"/>
          <w:sz w:val="24"/>
          <w:szCs w:val="24"/>
        </w:rPr>
        <w:t>citing</w:t>
      </w:r>
      <w:r w:rsidRPr="00B27B03" w:rsidR="00F0466F">
        <w:rPr>
          <w:rFonts w:cs="Arial"/>
          <w:sz w:val="24"/>
          <w:szCs w:val="24"/>
        </w:rPr>
        <w:t xml:space="preserve"> Pub. Util. Code Section 702</w:t>
      </w:r>
      <w:r w:rsidRPr="00B27B03" w:rsidR="00C00CD1">
        <w:rPr>
          <w:rFonts w:cs="Arial"/>
          <w:sz w:val="24"/>
          <w:szCs w:val="24"/>
        </w:rPr>
        <w:t>]</w:t>
      </w:r>
      <w:r w:rsidRPr="00B27B03" w:rsidR="00F0466F">
        <w:rPr>
          <w:rFonts w:cs="Arial"/>
          <w:sz w:val="24"/>
          <w:szCs w:val="24"/>
        </w:rPr>
        <w:t>.</w:t>
      </w:r>
      <w:r w:rsidRPr="00B27B03" w:rsidR="0092789B">
        <w:rPr>
          <w:rStyle w:val="FootnoteReference"/>
          <w:rFonts w:cs="Arial"/>
          <w:sz w:val="24"/>
          <w:szCs w:val="24"/>
        </w:rPr>
        <w:footnoteReference w:id="24"/>
      </w:r>
    </w:p>
    <w:p w:rsidRPr="00B27B03" w:rsidR="00350F0D" w:rsidP="00705844" w:rsidRDefault="00350F0D" w14:paraId="6C3FDC0C" w14:textId="77777777">
      <w:pPr>
        <w:pStyle w:val="ListParagraph"/>
        <w:spacing w:line="240" w:lineRule="auto"/>
        <w:ind w:left="0" w:firstLine="0"/>
        <w:rPr>
          <w:rFonts w:cs="Arial"/>
          <w:sz w:val="24"/>
          <w:szCs w:val="24"/>
        </w:rPr>
      </w:pPr>
    </w:p>
    <w:p w:rsidRPr="00B27B03" w:rsidR="00F0466F" w:rsidP="00705844" w:rsidRDefault="00C00CD1" w14:paraId="68E9AC59" w14:textId="676CCE13">
      <w:pPr>
        <w:pStyle w:val="ListParagraph"/>
        <w:spacing w:line="240" w:lineRule="auto"/>
        <w:ind w:left="0" w:firstLine="0"/>
        <w:rPr>
          <w:sz w:val="24"/>
          <w:szCs w:val="24"/>
        </w:rPr>
      </w:pPr>
      <w:r w:rsidRPr="00B27B03">
        <w:rPr>
          <w:rFonts w:cs="Arial"/>
          <w:sz w:val="24"/>
          <w:szCs w:val="24"/>
        </w:rPr>
        <w:t xml:space="preserve">The Commission </w:t>
      </w:r>
      <w:r w:rsidRPr="00B27B03" w:rsidR="0092789B">
        <w:rPr>
          <w:rFonts w:cs="Arial"/>
          <w:sz w:val="24"/>
          <w:szCs w:val="24"/>
        </w:rPr>
        <w:t>noted</w:t>
      </w:r>
      <w:r w:rsidRPr="00B27B03">
        <w:rPr>
          <w:rFonts w:cs="Arial"/>
          <w:sz w:val="24"/>
          <w:szCs w:val="24"/>
        </w:rPr>
        <w:t xml:space="preserve"> that “[</w:t>
      </w:r>
      <w:r w:rsidRPr="00B27B03">
        <w:rPr>
          <w:sz w:val="24"/>
          <w:szCs w:val="24"/>
        </w:rPr>
        <w:t>s]</w:t>
      </w:r>
      <w:proofErr w:type="spellStart"/>
      <w:r w:rsidRPr="00B27B03" w:rsidR="00F0466F">
        <w:rPr>
          <w:sz w:val="24"/>
          <w:szCs w:val="24"/>
        </w:rPr>
        <w:t>uch</w:t>
      </w:r>
      <w:proofErr w:type="spellEnd"/>
      <w:r w:rsidRPr="00B27B03" w:rsidR="00F0466F">
        <w:rPr>
          <w:sz w:val="24"/>
          <w:szCs w:val="24"/>
        </w:rPr>
        <w:t xml:space="preserve"> compliance is absolutely necessary to the proper functioning of the regulatory process.  For this reason, disregarding a statutory or Commission directive, regardless of the effects on the public, will be accorded a high</w:t>
      </w:r>
      <w:r w:rsidR="00113514">
        <w:rPr>
          <w:sz w:val="24"/>
          <w:szCs w:val="24"/>
        </w:rPr>
        <w:t> </w:t>
      </w:r>
      <w:r w:rsidRPr="00B27B03" w:rsidR="00F0466F">
        <w:rPr>
          <w:sz w:val="24"/>
          <w:szCs w:val="24"/>
        </w:rPr>
        <w:t>level of severity.”</w:t>
      </w:r>
      <w:r w:rsidRPr="00B27B03">
        <w:rPr>
          <w:rStyle w:val="FootnoteReference"/>
          <w:sz w:val="24"/>
          <w:szCs w:val="24"/>
        </w:rPr>
        <w:footnoteReference w:id="25"/>
      </w:r>
      <w:r w:rsidRPr="00B27B03" w:rsidR="00F0466F">
        <w:rPr>
          <w:sz w:val="24"/>
          <w:szCs w:val="24"/>
        </w:rPr>
        <w:t xml:space="preserve"> </w:t>
      </w:r>
    </w:p>
    <w:p w:rsidRPr="00B27B03" w:rsidR="004249E1" w:rsidP="00C00CD1" w:rsidRDefault="004249E1" w14:paraId="6785B310" w14:textId="77777777">
      <w:pPr>
        <w:pStyle w:val="ListParagraph"/>
        <w:spacing w:line="240" w:lineRule="auto"/>
        <w:ind w:left="0" w:firstLine="0"/>
        <w:rPr>
          <w:sz w:val="24"/>
          <w:szCs w:val="24"/>
        </w:rPr>
      </w:pPr>
    </w:p>
    <w:p w:rsidR="009900F2" w:rsidP="000F1043" w:rsidRDefault="004A0CA9" w14:paraId="0F3359C3" w14:textId="2D91EFB1">
      <w:pPr>
        <w:pStyle w:val="ListParagraph"/>
        <w:spacing w:line="240" w:lineRule="auto"/>
        <w:ind w:left="0" w:firstLine="0"/>
        <w:rPr>
          <w:sz w:val="24"/>
          <w:szCs w:val="24"/>
        </w:rPr>
      </w:pPr>
      <w:r w:rsidRPr="00B27B03">
        <w:rPr>
          <w:sz w:val="24"/>
          <w:szCs w:val="24"/>
        </w:rPr>
        <w:t>Based on the evidence</w:t>
      </w:r>
      <w:r w:rsidRPr="00B27B03" w:rsidR="000F1043">
        <w:rPr>
          <w:sz w:val="24"/>
          <w:szCs w:val="24"/>
        </w:rPr>
        <w:t xml:space="preserve">, we find that </w:t>
      </w:r>
      <w:r w:rsidR="00500658">
        <w:rPr>
          <w:sz w:val="24"/>
          <w:szCs w:val="24"/>
        </w:rPr>
        <w:t>SDCP</w:t>
      </w:r>
      <w:r w:rsidRPr="00B27B03" w:rsidR="000F1043">
        <w:rPr>
          <w:sz w:val="24"/>
          <w:szCs w:val="24"/>
        </w:rPr>
        <w:t xml:space="preserve"> deliberately failed to procure sufficient </w:t>
      </w:r>
      <w:r w:rsidR="0030514D">
        <w:rPr>
          <w:sz w:val="24"/>
          <w:szCs w:val="24"/>
        </w:rPr>
        <w:t>system</w:t>
      </w:r>
      <w:r w:rsidRPr="00B27B03" w:rsidR="000F1043">
        <w:rPr>
          <w:sz w:val="24"/>
          <w:szCs w:val="24"/>
        </w:rPr>
        <w:t xml:space="preserve"> RA capacity</w:t>
      </w:r>
      <w:r w:rsidR="0030514D">
        <w:rPr>
          <w:sz w:val="24"/>
          <w:szCs w:val="24"/>
        </w:rPr>
        <w:t xml:space="preserve"> to meet </w:t>
      </w:r>
      <w:r w:rsidRPr="00B27B03" w:rsidR="000F1043">
        <w:rPr>
          <w:sz w:val="24"/>
          <w:szCs w:val="24"/>
        </w:rPr>
        <w:t>the Commission’s RA requirements</w:t>
      </w:r>
      <w:r w:rsidRPr="00B27B03">
        <w:rPr>
          <w:sz w:val="24"/>
          <w:szCs w:val="24"/>
        </w:rPr>
        <w:t>.</w:t>
      </w:r>
      <w:r w:rsidRPr="00B27B03" w:rsidR="000515A0">
        <w:rPr>
          <w:sz w:val="24"/>
          <w:szCs w:val="24"/>
        </w:rPr>
        <w:t xml:space="preserve">  </w:t>
      </w:r>
      <w:r w:rsidR="0030514D">
        <w:rPr>
          <w:sz w:val="24"/>
          <w:szCs w:val="24"/>
        </w:rPr>
        <w:t>SDCP</w:t>
      </w:r>
      <w:r w:rsidRPr="00B27B03" w:rsidR="000515A0">
        <w:rPr>
          <w:sz w:val="24"/>
          <w:szCs w:val="24"/>
        </w:rPr>
        <w:t xml:space="preserve"> does not argue that it inadvertently failed to procure sufficient </w:t>
      </w:r>
      <w:r w:rsidR="0030514D">
        <w:rPr>
          <w:sz w:val="24"/>
          <w:szCs w:val="24"/>
        </w:rPr>
        <w:t xml:space="preserve">RA </w:t>
      </w:r>
      <w:r w:rsidRPr="00B27B03" w:rsidR="000515A0">
        <w:rPr>
          <w:sz w:val="24"/>
          <w:szCs w:val="24"/>
        </w:rPr>
        <w:t>capacity.</w:t>
      </w:r>
      <w:r w:rsidRPr="00B27B03" w:rsidR="000F1043">
        <w:rPr>
          <w:sz w:val="24"/>
          <w:szCs w:val="24"/>
        </w:rPr>
        <w:t xml:space="preserve"> </w:t>
      </w:r>
      <w:r w:rsidRPr="00B27B03">
        <w:rPr>
          <w:sz w:val="24"/>
          <w:szCs w:val="24"/>
        </w:rPr>
        <w:t xml:space="preserve"> </w:t>
      </w:r>
    </w:p>
    <w:p w:rsidRPr="00B27B03" w:rsidR="002B197A" w:rsidP="000F1043" w:rsidRDefault="002B197A" w14:paraId="71F9189E" w14:textId="77777777">
      <w:pPr>
        <w:pStyle w:val="ListParagraph"/>
        <w:spacing w:line="240" w:lineRule="auto"/>
        <w:ind w:left="0" w:firstLine="0"/>
        <w:rPr>
          <w:sz w:val="24"/>
          <w:szCs w:val="24"/>
        </w:rPr>
      </w:pPr>
    </w:p>
    <w:p w:rsidRPr="00B27B03" w:rsidR="004249E1" w:rsidP="000F1043" w:rsidRDefault="0030514D" w14:paraId="4007455D" w14:textId="04E5A458">
      <w:pPr>
        <w:pStyle w:val="ListParagraph"/>
        <w:spacing w:line="240" w:lineRule="auto"/>
        <w:ind w:left="0" w:firstLine="0"/>
        <w:rPr>
          <w:rFonts w:cs="Arial"/>
          <w:sz w:val="24"/>
          <w:szCs w:val="24"/>
        </w:rPr>
      </w:pPr>
      <w:r>
        <w:rPr>
          <w:rFonts w:cs="Arial"/>
          <w:sz w:val="24"/>
          <w:szCs w:val="24"/>
        </w:rPr>
        <w:t>As we stated in Resolution ALJ-424, “t</w:t>
      </w:r>
      <w:r w:rsidRPr="00B27B03" w:rsidR="004A0CA9">
        <w:rPr>
          <w:rFonts w:cs="Arial"/>
          <w:sz w:val="24"/>
          <w:szCs w:val="24"/>
        </w:rPr>
        <w:t>he RA program</w:t>
      </w:r>
      <w:r w:rsidRPr="00B27B03" w:rsidR="00743A58">
        <w:rPr>
          <w:rFonts w:cs="Arial"/>
          <w:sz w:val="24"/>
          <w:szCs w:val="24"/>
        </w:rPr>
        <w:t xml:space="preserve"> </w:t>
      </w:r>
      <w:r w:rsidRPr="00B27B03" w:rsidR="004A0CA9">
        <w:rPr>
          <w:rFonts w:cs="Arial"/>
          <w:sz w:val="24"/>
          <w:szCs w:val="24"/>
        </w:rPr>
        <w:t>was established in the wake of the 2000 Western energy crisis</w:t>
      </w:r>
      <w:r w:rsidRPr="00B27B03" w:rsidR="00AA2C8C">
        <w:rPr>
          <w:rFonts w:cs="Arial"/>
          <w:sz w:val="24"/>
          <w:szCs w:val="24"/>
        </w:rPr>
        <w:t xml:space="preserve"> and </w:t>
      </w:r>
      <w:r w:rsidR="00F7150C">
        <w:rPr>
          <w:rFonts w:cs="Arial"/>
          <w:sz w:val="24"/>
          <w:szCs w:val="24"/>
        </w:rPr>
        <w:t xml:space="preserve">was </w:t>
      </w:r>
      <w:r w:rsidRPr="00B27B03" w:rsidR="004A0CA9">
        <w:rPr>
          <w:rFonts w:cs="Arial"/>
          <w:sz w:val="24"/>
          <w:szCs w:val="24"/>
        </w:rPr>
        <w:t>designed to ensure that LSEs secure sufficient electrical capacity to maintain grid reliability.</w:t>
      </w:r>
      <w:r>
        <w:rPr>
          <w:rFonts w:cs="Arial"/>
          <w:sz w:val="24"/>
          <w:szCs w:val="24"/>
        </w:rPr>
        <w:t>”</w:t>
      </w:r>
      <w:r>
        <w:rPr>
          <w:rStyle w:val="FootnoteReference"/>
          <w:rFonts w:cs="Arial"/>
          <w:sz w:val="24"/>
          <w:szCs w:val="24"/>
        </w:rPr>
        <w:footnoteReference w:id="26"/>
      </w:r>
      <w:r w:rsidRPr="00B27B03" w:rsidR="004A0CA9">
        <w:rPr>
          <w:rFonts w:cs="Arial"/>
          <w:sz w:val="24"/>
          <w:szCs w:val="24"/>
        </w:rPr>
        <w:t xml:space="preserve">  </w:t>
      </w:r>
      <w:r>
        <w:rPr>
          <w:rFonts w:cs="Arial"/>
          <w:sz w:val="24"/>
          <w:szCs w:val="24"/>
        </w:rPr>
        <w:t>SDCP’s</w:t>
      </w:r>
      <w:r w:rsidRPr="00B27B03" w:rsidR="005F3A48">
        <w:rPr>
          <w:rFonts w:cs="Arial"/>
          <w:sz w:val="24"/>
          <w:szCs w:val="24"/>
        </w:rPr>
        <w:t xml:space="preserve"> </w:t>
      </w:r>
      <w:r w:rsidR="00F7150C">
        <w:rPr>
          <w:rFonts w:cs="Arial"/>
          <w:sz w:val="24"/>
          <w:szCs w:val="24"/>
        </w:rPr>
        <w:t xml:space="preserve">deliberate </w:t>
      </w:r>
      <w:r w:rsidRPr="00B27B03" w:rsidR="005F3A48">
        <w:rPr>
          <w:sz w:val="24"/>
          <w:szCs w:val="24"/>
        </w:rPr>
        <w:t>f</w:t>
      </w:r>
      <w:r w:rsidRPr="00B27B03" w:rsidR="004A0CA9">
        <w:rPr>
          <w:sz w:val="24"/>
          <w:szCs w:val="24"/>
        </w:rPr>
        <w:t>ailure to procure sufficient RA capacity</w:t>
      </w:r>
      <w:r>
        <w:rPr>
          <w:sz w:val="24"/>
          <w:szCs w:val="24"/>
        </w:rPr>
        <w:t xml:space="preserve">, as required </w:t>
      </w:r>
      <w:r w:rsidR="00627DEF">
        <w:rPr>
          <w:sz w:val="24"/>
          <w:szCs w:val="24"/>
        </w:rPr>
        <w:t>of an LSE participating in</w:t>
      </w:r>
      <w:r>
        <w:rPr>
          <w:sz w:val="24"/>
          <w:szCs w:val="24"/>
        </w:rPr>
        <w:t xml:space="preserve"> the RA program, </w:t>
      </w:r>
      <w:r w:rsidRPr="00B27B03" w:rsidR="000F1043">
        <w:rPr>
          <w:sz w:val="24"/>
          <w:szCs w:val="24"/>
        </w:rPr>
        <w:t xml:space="preserve">threatened </w:t>
      </w:r>
      <w:r w:rsidRPr="00B27B03" w:rsidR="005F3A48">
        <w:rPr>
          <w:sz w:val="24"/>
          <w:szCs w:val="24"/>
        </w:rPr>
        <w:t xml:space="preserve">the </w:t>
      </w:r>
      <w:r w:rsidRPr="00B27B03" w:rsidR="000F1043">
        <w:rPr>
          <w:sz w:val="24"/>
          <w:szCs w:val="24"/>
        </w:rPr>
        <w:t>reliability of the electric</w:t>
      </w:r>
      <w:r w:rsidRPr="00B27B03" w:rsidR="005F3A48">
        <w:rPr>
          <w:sz w:val="24"/>
          <w:szCs w:val="24"/>
        </w:rPr>
        <w:t>al</w:t>
      </w:r>
      <w:r w:rsidRPr="00B27B03" w:rsidR="000F1043">
        <w:rPr>
          <w:sz w:val="24"/>
          <w:szCs w:val="24"/>
        </w:rPr>
        <w:t xml:space="preserve"> grid.  </w:t>
      </w:r>
      <w:r w:rsidR="00500658">
        <w:rPr>
          <w:sz w:val="24"/>
          <w:szCs w:val="24"/>
        </w:rPr>
        <w:t>As the Commission has previously held</w:t>
      </w:r>
      <w:r w:rsidRPr="00B27B03" w:rsidR="000F1043">
        <w:rPr>
          <w:rFonts w:cs="Arial"/>
          <w:sz w:val="24"/>
          <w:szCs w:val="24"/>
        </w:rPr>
        <w:t xml:space="preserve">, </w:t>
      </w:r>
      <w:r w:rsidR="00500658">
        <w:rPr>
          <w:rFonts w:cs="Arial"/>
          <w:sz w:val="24"/>
          <w:szCs w:val="24"/>
        </w:rPr>
        <w:t>“</w:t>
      </w:r>
      <w:r w:rsidRPr="00B27B03" w:rsidR="008C1EB5">
        <w:rPr>
          <w:rFonts w:cs="Arial"/>
          <w:sz w:val="24"/>
          <w:szCs w:val="24"/>
        </w:rPr>
        <w:t>the</w:t>
      </w:r>
      <w:r w:rsidRPr="00B27B03" w:rsidR="000F1043">
        <w:rPr>
          <w:rFonts w:cs="Arial"/>
          <w:sz w:val="24"/>
          <w:szCs w:val="24"/>
        </w:rPr>
        <w:t xml:space="preserve"> deliberate failure to meet RA </w:t>
      </w:r>
      <w:r w:rsidR="00E27C97">
        <w:rPr>
          <w:rFonts w:cs="Arial"/>
          <w:sz w:val="24"/>
          <w:szCs w:val="24"/>
        </w:rPr>
        <w:t>requirements</w:t>
      </w:r>
      <w:r w:rsidRPr="00B27B03" w:rsidR="000F1043">
        <w:rPr>
          <w:rFonts w:cs="Arial"/>
          <w:sz w:val="24"/>
          <w:szCs w:val="24"/>
        </w:rPr>
        <w:t xml:space="preserve"> is accorded a high level of severity.</w:t>
      </w:r>
      <w:r w:rsidR="00500658">
        <w:rPr>
          <w:rFonts w:cs="Arial"/>
          <w:sz w:val="24"/>
          <w:szCs w:val="24"/>
        </w:rPr>
        <w:t>”</w:t>
      </w:r>
      <w:r w:rsidR="00500658">
        <w:rPr>
          <w:rStyle w:val="FootnoteReference"/>
          <w:rFonts w:cs="Arial"/>
          <w:sz w:val="24"/>
          <w:szCs w:val="24"/>
        </w:rPr>
        <w:footnoteReference w:id="27"/>
      </w:r>
      <w:r w:rsidRPr="00B27B03" w:rsidR="000F1043">
        <w:rPr>
          <w:rFonts w:cs="Arial"/>
          <w:sz w:val="24"/>
          <w:szCs w:val="24"/>
        </w:rPr>
        <w:t xml:space="preserve">  </w:t>
      </w:r>
    </w:p>
    <w:p w:rsidRPr="00B27B03" w:rsidR="00684654" w:rsidP="000F1043" w:rsidRDefault="00684654" w14:paraId="71FCCB1C" w14:textId="77777777">
      <w:pPr>
        <w:pStyle w:val="ListParagraph"/>
        <w:spacing w:line="240" w:lineRule="auto"/>
        <w:ind w:left="0" w:firstLine="0"/>
        <w:rPr>
          <w:rFonts w:cs="Arial"/>
          <w:sz w:val="24"/>
          <w:szCs w:val="24"/>
        </w:rPr>
      </w:pPr>
    </w:p>
    <w:p w:rsidR="00684654" w:rsidP="000F1043" w:rsidRDefault="00627DEF" w14:paraId="0A08F892" w14:textId="5ADA474F">
      <w:pPr>
        <w:pStyle w:val="ListParagraph"/>
        <w:spacing w:line="240" w:lineRule="auto"/>
        <w:ind w:left="0" w:firstLine="0"/>
        <w:rPr>
          <w:rFonts w:cs="Arial"/>
          <w:sz w:val="24"/>
          <w:szCs w:val="24"/>
        </w:rPr>
      </w:pPr>
      <w:r>
        <w:rPr>
          <w:rFonts w:cs="Arial"/>
          <w:sz w:val="24"/>
          <w:szCs w:val="24"/>
        </w:rPr>
        <w:t>Moreover</w:t>
      </w:r>
      <w:r w:rsidRPr="00B27B03" w:rsidR="00A07E0F">
        <w:rPr>
          <w:rFonts w:cs="Arial"/>
          <w:sz w:val="24"/>
          <w:szCs w:val="24"/>
        </w:rPr>
        <w:t xml:space="preserve">, </w:t>
      </w:r>
      <w:r>
        <w:rPr>
          <w:rFonts w:cs="Arial"/>
          <w:sz w:val="24"/>
          <w:szCs w:val="24"/>
        </w:rPr>
        <w:t>SDCP’s</w:t>
      </w:r>
      <w:r w:rsidRPr="00B27B03" w:rsidR="00684654">
        <w:rPr>
          <w:rFonts w:cs="Arial"/>
          <w:sz w:val="24"/>
          <w:szCs w:val="24"/>
        </w:rPr>
        <w:t xml:space="preserve"> deliberate violations harm</w:t>
      </w:r>
      <w:r w:rsidR="007D488C">
        <w:rPr>
          <w:rFonts w:cs="Arial"/>
          <w:sz w:val="24"/>
          <w:szCs w:val="24"/>
        </w:rPr>
        <w:t>ed</w:t>
      </w:r>
      <w:r w:rsidRPr="00B27B03" w:rsidR="00684654">
        <w:rPr>
          <w:rFonts w:cs="Arial"/>
          <w:sz w:val="24"/>
          <w:szCs w:val="24"/>
        </w:rPr>
        <w:t xml:space="preserve"> the integrity of the Commission’s regulatory processes.  In establishing the RA penalty program, the Commission underscored the importance of holding LSEs </w:t>
      </w:r>
      <w:r w:rsidRPr="00B27B03" w:rsidR="00574DA6">
        <w:rPr>
          <w:rFonts w:cs="Arial"/>
          <w:sz w:val="24"/>
          <w:szCs w:val="24"/>
        </w:rPr>
        <w:t xml:space="preserve">that </w:t>
      </w:r>
      <w:r w:rsidRPr="00B27B03" w:rsidR="00684654">
        <w:rPr>
          <w:rFonts w:cs="Arial"/>
          <w:sz w:val="24"/>
          <w:szCs w:val="24"/>
        </w:rPr>
        <w:t>participat</w:t>
      </w:r>
      <w:r w:rsidRPr="00B27B03" w:rsidR="00574DA6">
        <w:rPr>
          <w:rFonts w:cs="Arial"/>
          <w:sz w:val="24"/>
          <w:szCs w:val="24"/>
        </w:rPr>
        <w:t>e</w:t>
      </w:r>
      <w:r w:rsidRPr="00B27B03" w:rsidR="00684654">
        <w:rPr>
          <w:rFonts w:cs="Arial"/>
          <w:sz w:val="24"/>
          <w:szCs w:val="24"/>
        </w:rPr>
        <w:t xml:space="preserve"> in the RA</w:t>
      </w:r>
      <w:r w:rsidR="009635CE">
        <w:rPr>
          <w:rFonts w:cs="Arial"/>
          <w:sz w:val="24"/>
          <w:szCs w:val="24"/>
        </w:rPr>
        <w:t> </w:t>
      </w:r>
      <w:r w:rsidRPr="00B27B03" w:rsidR="00684654">
        <w:rPr>
          <w:rFonts w:cs="Arial"/>
          <w:sz w:val="24"/>
          <w:szCs w:val="24"/>
        </w:rPr>
        <w:t xml:space="preserve">program </w:t>
      </w:r>
      <w:r>
        <w:rPr>
          <w:rFonts w:cs="Arial"/>
          <w:sz w:val="24"/>
          <w:szCs w:val="24"/>
        </w:rPr>
        <w:t>accountable</w:t>
      </w:r>
      <w:r w:rsidRPr="00B27B03" w:rsidR="00684654">
        <w:rPr>
          <w:rFonts w:cs="Arial"/>
          <w:sz w:val="24"/>
          <w:szCs w:val="24"/>
        </w:rPr>
        <w:t xml:space="preserve"> for non-compliance: “A regulatory program that imposes significant procurement obligations upon LSEs cannot be expected to succeed unless those LSEs have reason to believe there are consequences for noncompliance that outweigh the </w:t>
      </w:r>
      <w:r w:rsidRPr="00B27B03" w:rsidR="00684654">
        <w:rPr>
          <w:rFonts w:cs="Arial"/>
          <w:sz w:val="24"/>
          <w:szCs w:val="24"/>
        </w:rPr>
        <w:lastRenderedPageBreak/>
        <w:t>costs of compliance.”</w:t>
      </w:r>
      <w:r w:rsidRPr="00B27B03" w:rsidR="00684654">
        <w:rPr>
          <w:rStyle w:val="FootnoteReference"/>
          <w:rFonts w:cs="Arial"/>
          <w:sz w:val="24"/>
          <w:szCs w:val="24"/>
        </w:rPr>
        <w:footnoteReference w:id="28"/>
      </w:r>
      <w:r w:rsidRPr="00B27B03" w:rsidR="00684654">
        <w:rPr>
          <w:rFonts w:cs="Arial"/>
          <w:sz w:val="24"/>
          <w:szCs w:val="24"/>
        </w:rPr>
        <w:t xml:space="preserve">  </w:t>
      </w:r>
      <w:r w:rsidR="00450402">
        <w:rPr>
          <w:rFonts w:cs="Arial"/>
          <w:sz w:val="24"/>
          <w:szCs w:val="24"/>
        </w:rPr>
        <w:t>Thus</w:t>
      </w:r>
      <w:r>
        <w:rPr>
          <w:rFonts w:cs="Arial"/>
          <w:sz w:val="24"/>
          <w:szCs w:val="24"/>
        </w:rPr>
        <w:t xml:space="preserve">, </w:t>
      </w:r>
      <w:r w:rsidR="00450402">
        <w:rPr>
          <w:rFonts w:cs="Arial"/>
          <w:sz w:val="24"/>
          <w:szCs w:val="24"/>
        </w:rPr>
        <w:t xml:space="preserve">we find that </w:t>
      </w:r>
      <w:r>
        <w:rPr>
          <w:rFonts w:cs="Arial"/>
          <w:sz w:val="24"/>
          <w:szCs w:val="24"/>
        </w:rPr>
        <w:t>d</w:t>
      </w:r>
      <w:r w:rsidRPr="00B27B03" w:rsidR="005F3A48">
        <w:rPr>
          <w:rFonts w:cs="Arial"/>
          <w:sz w:val="24"/>
          <w:szCs w:val="24"/>
        </w:rPr>
        <w:t>isregarding a Commission directive</w:t>
      </w:r>
      <w:r w:rsidR="00450402">
        <w:rPr>
          <w:rFonts w:cs="Arial"/>
          <w:sz w:val="24"/>
          <w:szCs w:val="24"/>
        </w:rPr>
        <w:t xml:space="preserve"> </w:t>
      </w:r>
      <w:r w:rsidRPr="00B27B03" w:rsidR="008C6287">
        <w:rPr>
          <w:rFonts w:cs="Arial"/>
          <w:sz w:val="24"/>
          <w:szCs w:val="24"/>
        </w:rPr>
        <w:t>is</w:t>
      </w:r>
      <w:r w:rsidRPr="00B27B03" w:rsidR="005F3A48">
        <w:rPr>
          <w:rFonts w:cs="Arial"/>
          <w:sz w:val="24"/>
          <w:szCs w:val="24"/>
        </w:rPr>
        <w:t xml:space="preserve"> accorded a high level of severity.</w:t>
      </w:r>
      <w:r w:rsidRPr="00B27B03" w:rsidR="005F3A48">
        <w:rPr>
          <w:rStyle w:val="FootnoteReference"/>
          <w:sz w:val="24"/>
          <w:szCs w:val="24"/>
        </w:rPr>
        <w:footnoteReference w:id="29"/>
      </w:r>
      <w:r w:rsidRPr="00B27B03" w:rsidR="005F3A48">
        <w:rPr>
          <w:rFonts w:cs="Arial"/>
          <w:sz w:val="24"/>
          <w:szCs w:val="24"/>
        </w:rPr>
        <w:t xml:space="preserve">  </w:t>
      </w:r>
    </w:p>
    <w:p w:rsidR="0059239F" w:rsidP="000F1043" w:rsidRDefault="0059239F" w14:paraId="3B671D48" w14:textId="7DDB311D">
      <w:pPr>
        <w:pStyle w:val="ListParagraph"/>
        <w:spacing w:line="240" w:lineRule="auto"/>
        <w:ind w:left="0" w:firstLine="0"/>
        <w:rPr>
          <w:rFonts w:cs="Arial"/>
          <w:sz w:val="24"/>
          <w:szCs w:val="24"/>
        </w:rPr>
      </w:pPr>
    </w:p>
    <w:p w:rsidR="0059239F" w:rsidP="000F1043" w:rsidRDefault="0059239F" w14:paraId="5CF81D32" w14:textId="14C6DFC7">
      <w:pPr>
        <w:pStyle w:val="ListParagraph"/>
        <w:spacing w:line="240" w:lineRule="auto"/>
        <w:ind w:left="0" w:firstLine="0"/>
        <w:rPr>
          <w:rFonts w:cs="Arial"/>
          <w:sz w:val="24"/>
          <w:szCs w:val="24"/>
        </w:rPr>
      </w:pPr>
      <w:r>
        <w:rPr>
          <w:rFonts w:cs="Arial"/>
          <w:sz w:val="24"/>
          <w:szCs w:val="24"/>
        </w:rPr>
        <w:t>SDCP a</w:t>
      </w:r>
      <w:r w:rsidR="006F3871">
        <w:rPr>
          <w:rFonts w:cs="Arial"/>
          <w:sz w:val="24"/>
          <w:szCs w:val="24"/>
        </w:rPr>
        <w:t>r</w:t>
      </w:r>
      <w:r>
        <w:rPr>
          <w:rFonts w:cs="Arial"/>
          <w:sz w:val="24"/>
          <w:szCs w:val="24"/>
        </w:rPr>
        <w:t xml:space="preserve">gues that because its deficiency was “small relative to its overall requirement,” </w:t>
      </w:r>
      <w:r w:rsidR="00E722DC">
        <w:rPr>
          <w:rFonts w:cs="Arial"/>
          <w:sz w:val="24"/>
          <w:szCs w:val="24"/>
        </w:rPr>
        <w:t>the violation</w:t>
      </w:r>
      <w:r>
        <w:rPr>
          <w:rFonts w:cs="Arial"/>
          <w:sz w:val="24"/>
          <w:szCs w:val="24"/>
        </w:rPr>
        <w:t xml:space="preserve"> should be treated as a “minor” offense.</w:t>
      </w:r>
      <w:r>
        <w:rPr>
          <w:rStyle w:val="FootnoteReference"/>
          <w:rFonts w:cs="Arial"/>
          <w:sz w:val="24"/>
          <w:szCs w:val="24"/>
        </w:rPr>
        <w:footnoteReference w:id="30"/>
      </w:r>
      <w:r w:rsidR="005D7968">
        <w:rPr>
          <w:rFonts w:cs="Arial"/>
          <w:sz w:val="24"/>
          <w:szCs w:val="24"/>
        </w:rPr>
        <w:t xml:space="preserve">  </w:t>
      </w:r>
      <w:r w:rsidR="00E722DC">
        <w:rPr>
          <w:rFonts w:cs="Arial"/>
          <w:sz w:val="24"/>
          <w:szCs w:val="24"/>
        </w:rPr>
        <w:t>However, the RA penalty structure, a</w:t>
      </w:r>
      <w:r w:rsidR="005D7968">
        <w:rPr>
          <w:rFonts w:cs="Arial"/>
          <w:sz w:val="24"/>
          <w:szCs w:val="24"/>
        </w:rPr>
        <w:t xml:space="preserve">s SDCP acknowledges, </w:t>
      </w:r>
      <w:r w:rsidR="00E722DC">
        <w:rPr>
          <w:rFonts w:cs="Arial"/>
          <w:sz w:val="24"/>
          <w:szCs w:val="24"/>
        </w:rPr>
        <w:t>applies</w:t>
      </w:r>
      <w:r w:rsidR="005D7968">
        <w:rPr>
          <w:rFonts w:cs="Arial"/>
          <w:sz w:val="24"/>
          <w:szCs w:val="24"/>
        </w:rPr>
        <w:t xml:space="preserve"> a volumetric formula based on the amount of the deficiency</w:t>
      </w:r>
      <w:r w:rsidR="00E722DC">
        <w:rPr>
          <w:rFonts w:cs="Arial"/>
          <w:sz w:val="24"/>
          <w:szCs w:val="24"/>
        </w:rPr>
        <w:t xml:space="preserve"> to determine the penalty amount</w:t>
      </w:r>
      <w:r w:rsidR="005D7968">
        <w:rPr>
          <w:rFonts w:cs="Arial"/>
          <w:sz w:val="24"/>
          <w:szCs w:val="24"/>
        </w:rPr>
        <w:t>.</w:t>
      </w:r>
      <w:r w:rsidR="005D7968">
        <w:rPr>
          <w:rStyle w:val="FootnoteReference"/>
          <w:rFonts w:cs="Arial"/>
          <w:sz w:val="24"/>
          <w:szCs w:val="24"/>
        </w:rPr>
        <w:footnoteReference w:id="31"/>
      </w:r>
      <w:r w:rsidR="005D7968">
        <w:rPr>
          <w:rFonts w:cs="Arial"/>
          <w:sz w:val="24"/>
          <w:szCs w:val="24"/>
        </w:rPr>
        <w:t xml:space="preserve">  Th</w:t>
      </w:r>
      <w:r w:rsidR="00E722DC">
        <w:rPr>
          <w:rFonts w:cs="Arial"/>
          <w:sz w:val="24"/>
          <w:szCs w:val="24"/>
        </w:rPr>
        <w:t>erefore</w:t>
      </w:r>
      <w:r w:rsidR="005D7968">
        <w:rPr>
          <w:rFonts w:cs="Arial"/>
          <w:sz w:val="24"/>
          <w:szCs w:val="24"/>
        </w:rPr>
        <w:t xml:space="preserve">, the formula </w:t>
      </w:r>
      <w:r w:rsidR="00E722DC">
        <w:rPr>
          <w:rFonts w:cs="Arial"/>
          <w:sz w:val="24"/>
          <w:szCs w:val="24"/>
        </w:rPr>
        <w:t xml:space="preserve">already </w:t>
      </w:r>
      <w:r w:rsidR="005D7968">
        <w:rPr>
          <w:rFonts w:cs="Arial"/>
          <w:sz w:val="24"/>
          <w:szCs w:val="24"/>
        </w:rPr>
        <w:t xml:space="preserve">accounts for a “small” deficiency </w:t>
      </w:r>
      <w:r w:rsidR="00C3667C">
        <w:rPr>
          <w:rFonts w:cs="Arial"/>
          <w:sz w:val="24"/>
          <w:szCs w:val="24"/>
        </w:rPr>
        <w:t>and</w:t>
      </w:r>
      <w:r w:rsidR="005D7968">
        <w:rPr>
          <w:rFonts w:cs="Arial"/>
          <w:sz w:val="24"/>
          <w:szCs w:val="24"/>
        </w:rPr>
        <w:t xml:space="preserve"> appl</w:t>
      </w:r>
      <w:r w:rsidR="00C3667C">
        <w:rPr>
          <w:rFonts w:cs="Arial"/>
          <w:sz w:val="24"/>
          <w:szCs w:val="24"/>
        </w:rPr>
        <w:t>ies</w:t>
      </w:r>
      <w:r w:rsidR="005D7968">
        <w:rPr>
          <w:rFonts w:cs="Arial"/>
          <w:sz w:val="24"/>
          <w:szCs w:val="24"/>
        </w:rPr>
        <w:t xml:space="preserve"> </w:t>
      </w:r>
      <w:r w:rsidR="00E722DC">
        <w:rPr>
          <w:rFonts w:cs="Arial"/>
          <w:sz w:val="24"/>
          <w:szCs w:val="24"/>
        </w:rPr>
        <w:t>a</w:t>
      </w:r>
      <w:r w:rsidR="005D7968">
        <w:rPr>
          <w:rFonts w:cs="Arial"/>
          <w:sz w:val="24"/>
          <w:szCs w:val="24"/>
        </w:rPr>
        <w:t xml:space="preserve"> corresponding penalty. </w:t>
      </w:r>
    </w:p>
    <w:p w:rsidRPr="00B27B03" w:rsidR="004249E1" w:rsidP="007F4C66" w:rsidRDefault="004249E1" w14:paraId="59AE3201" w14:textId="77777777">
      <w:pPr>
        <w:pStyle w:val="ListParagraph"/>
        <w:spacing w:line="240" w:lineRule="auto"/>
        <w:ind w:left="0" w:firstLine="0"/>
        <w:rPr>
          <w:sz w:val="24"/>
          <w:szCs w:val="24"/>
        </w:rPr>
      </w:pPr>
    </w:p>
    <w:p w:rsidRPr="00B27B03" w:rsidR="00E174BB" w:rsidP="00634BA2" w:rsidRDefault="00E174BB" w14:paraId="0AC141E2" w14:textId="03BE0F5C">
      <w:pPr>
        <w:pStyle w:val="ListParagraph"/>
        <w:numPr>
          <w:ilvl w:val="1"/>
          <w:numId w:val="22"/>
        </w:numPr>
        <w:spacing w:line="240" w:lineRule="auto"/>
        <w:ind w:left="1260" w:hanging="540"/>
        <w:rPr>
          <w:sz w:val="24"/>
          <w:szCs w:val="24"/>
        </w:rPr>
      </w:pPr>
      <w:r w:rsidRPr="00B27B03">
        <w:rPr>
          <w:b/>
          <w:bCs/>
          <w:sz w:val="24"/>
          <w:szCs w:val="24"/>
          <w:u w:val="single"/>
        </w:rPr>
        <w:t>The Entity’s Conduct</w:t>
      </w:r>
    </w:p>
    <w:p w:rsidRPr="00B27B03" w:rsidR="008745FA" w:rsidP="00DF2479" w:rsidRDefault="008745FA" w14:paraId="330935B2" w14:textId="77777777">
      <w:pPr>
        <w:pStyle w:val="Standard"/>
        <w:spacing w:line="240" w:lineRule="auto"/>
        <w:ind w:firstLine="0"/>
        <w:rPr>
          <w:sz w:val="24"/>
          <w:szCs w:val="24"/>
        </w:rPr>
      </w:pPr>
    </w:p>
    <w:p w:rsidR="00E174BB" w:rsidP="00E174BB" w:rsidRDefault="0020787C" w14:paraId="035DC928" w14:textId="2FE5CA42">
      <w:pPr>
        <w:pStyle w:val="ListParagraph"/>
        <w:spacing w:after="160" w:line="259" w:lineRule="auto"/>
        <w:ind w:left="0" w:firstLine="0"/>
        <w:rPr>
          <w:sz w:val="24"/>
          <w:szCs w:val="24"/>
        </w:rPr>
      </w:pPr>
      <w:r w:rsidRPr="00B27B03">
        <w:rPr>
          <w:rFonts w:cs="Arial"/>
          <w:sz w:val="24"/>
          <w:szCs w:val="24"/>
        </w:rPr>
        <w:t>As stated in</w:t>
      </w:r>
      <w:r w:rsidRPr="00B27B03" w:rsidR="003272DA">
        <w:rPr>
          <w:rFonts w:cs="Arial"/>
          <w:sz w:val="24"/>
          <w:szCs w:val="24"/>
        </w:rPr>
        <w:t xml:space="preserve"> </w:t>
      </w:r>
      <w:r w:rsidRPr="00B27B03" w:rsidR="00E174BB">
        <w:rPr>
          <w:rFonts w:cs="Arial"/>
          <w:sz w:val="24"/>
          <w:szCs w:val="24"/>
        </w:rPr>
        <w:t>D.98-12-075</w:t>
      </w:r>
      <w:r w:rsidRPr="00B27B03" w:rsidR="00722F88">
        <w:rPr>
          <w:rFonts w:cs="Arial"/>
          <w:sz w:val="24"/>
          <w:szCs w:val="24"/>
        </w:rPr>
        <w:t xml:space="preserve">, </w:t>
      </w:r>
      <w:r w:rsidRPr="00B27B03" w:rsidR="00E174BB">
        <w:rPr>
          <w:rStyle w:val="ssleftalign"/>
          <w:sz w:val="24"/>
          <w:szCs w:val="24"/>
        </w:rPr>
        <w:t>this factor “recognizes the important role of the public utility</w:t>
      </w:r>
      <w:r w:rsidRPr="00B27B03" w:rsidR="00722F88">
        <w:rPr>
          <w:rStyle w:val="ssleftalign"/>
          <w:sz w:val="24"/>
          <w:szCs w:val="24"/>
        </w:rPr>
        <w:t>’</w:t>
      </w:r>
      <w:r w:rsidRPr="00B27B03" w:rsidR="00E174BB">
        <w:rPr>
          <w:rStyle w:val="ssleftalign"/>
          <w:sz w:val="24"/>
          <w:szCs w:val="24"/>
        </w:rPr>
        <w:t>s conduct in (1) preventing the violation, (2) detecting the violation, and (3) disclosing and rectifying the violation.”</w:t>
      </w:r>
      <w:r w:rsidRPr="00B27B03" w:rsidR="00E174BB">
        <w:rPr>
          <w:rStyle w:val="FootnoteReference"/>
          <w:sz w:val="24"/>
          <w:szCs w:val="24"/>
        </w:rPr>
        <w:footnoteReference w:id="32"/>
      </w:r>
      <w:r w:rsidRPr="00B27B03" w:rsidR="00E174BB">
        <w:rPr>
          <w:rStyle w:val="ssleftalign"/>
          <w:sz w:val="24"/>
          <w:szCs w:val="24"/>
        </w:rPr>
        <w:t xml:space="preserve">  </w:t>
      </w:r>
      <w:r w:rsidRPr="00B27B03" w:rsidR="00E174BB">
        <w:rPr>
          <w:rFonts w:cs="Arial"/>
          <w:sz w:val="24"/>
          <w:szCs w:val="24"/>
        </w:rPr>
        <w:t xml:space="preserve">In considering </w:t>
      </w:r>
      <w:r w:rsidRPr="00B27B03" w:rsidR="008705DB">
        <w:rPr>
          <w:rFonts w:cs="Arial"/>
          <w:sz w:val="24"/>
          <w:szCs w:val="24"/>
        </w:rPr>
        <w:t>a</w:t>
      </w:r>
      <w:r w:rsidRPr="00B27B03" w:rsidR="00E174BB">
        <w:rPr>
          <w:rFonts w:cs="Arial"/>
          <w:sz w:val="24"/>
          <w:szCs w:val="24"/>
        </w:rPr>
        <w:t xml:space="preserve"> utility’s actions to prevent a violation, </w:t>
      </w:r>
      <w:r w:rsidRPr="00B27B03" w:rsidR="008705DB">
        <w:rPr>
          <w:rFonts w:cs="Arial"/>
          <w:sz w:val="24"/>
          <w:szCs w:val="24"/>
        </w:rPr>
        <w:t>the Commission states</w:t>
      </w:r>
      <w:r w:rsidRPr="00B27B03" w:rsidR="00E174BB">
        <w:rPr>
          <w:rFonts w:cs="Arial"/>
          <w:sz w:val="24"/>
          <w:szCs w:val="24"/>
        </w:rPr>
        <w:t xml:space="preserve"> that </w:t>
      </w:r>
      <w:r w:rsidRPr="00B27B03" w:rsidR="00E174BB">
        <w:rPr>
          <w:sz w:val="24"/>
          <w:szCs w:val="24"/>
        </w:rPr>
        <w:t>“[p]</w:t>
      </w:r>
      <w:proofErr w:type="spellStart"/>
      <w:r w:rsidRPr="00B27B03" w:rsidR="00E174BB">
        <w:rPr>
          <w:sz w:val="24"/>
          <w:szCs w:val="24"/>
        </w:rPr>
        <w:t>rudent</w:t>
      </w:r>
      <w:proofErr w:type="spellEnd"/>
      <w:r w:rsidRPr="00B27B03" w:rsidR="00E174BB">
        <w:rPr>
          <w:sz w:val="24"/>
          <w:szCs w:val="24"/>
        </w:rPr>
        <w:t xml:space="preserve"> practice requires that all public utilities take reasonable steps to ensure compliance with Commission directives</w:t>
      </w:r>
      <w:r w:rsidRPr="00B27B03" w:rsidR="00542664">
        <w:rPr>
          <w:sz w:val="24"/>
          <w:szCs w:val="24"/>
        </w:rPr>
        <w:t>”</w:t>
      </w:r>
      <w:r w:rsidRPr="00B27B03" w:rsidR="008705DB">
        <w:rPr>
          <w:sz w:val="24"/>
          <w:szCs w:val="24"/>
        </w:rPr>
        <w:t xml:space="preserve"> and that </w:t>
      </w:r>
      <w:r w:rsidRPr="00B27B03" w:rsidR="00E174BB">
        <w:rPr>
          <w:sz w:val="24"/>
          <w:szCs w:val="24"/>
        </w:rPr>
        <w:t xml:space="preserve">the Commission </w:t>
      </w:r>
      <w:r w:rsidRPr="00B27B03" w:rsidR="008705DB">
        <w:rPr>
          <w:sz w:val="24"/>
          <w:szCs w:val="24"/>
        </w:rPr>
        <w:t>“</w:t>
      </w:r>
      <w:r w:rsidRPr="00B27B03" w:rsidR="00E174BB">
        <w:rPr>
          <w:sz w:val="24"/>
          <w:szCs w:val="24"/>
        </w:rPr>
        <w:t>will consider the utility</w:t>
      </w:r>
      <w:r w:rsidRPr="00B27B03" w:rsidR="008705DB">
        <w:rPr>
          <w:sz w:val="24"/>
          <w:szCs w:val="24"/>
        </w:rPr>
        <w:t>’</w:t>
      </w:r>
      <w:r w:rsidRPr="00B27B03" w:rsidR="00E174BB">
        <w:rPr>
          <w:sz w:val="24"/>
          <w:szCs w:val="24"/>
        </w:rPr>
        <w:t>s past record of compliance with Commission directives.”</w:t>
      </w:r>
      <w:r w:rsidRPr="00B27B03" w:rsidR="00542664">
        <w:rPr>
          <w:rStyle w:val="FootnoteReference"/>
          <w:sz w:val="24"/>
          <w:szCs w:val="24"/>
        </w:rPr>
        <w:footnoteReference w:id="33"/>
      </w:r>
      <w:r w:rsidRPr="00B27B03" w:rsidR="00510C3A">
        <w:rPr>
          <w:sz w:val="24"/>
          <w:szCs w:val="24"/>
        </w:rPr>
        <w:t xml:space="preserve">  In considering a utility’s actions to detect a violation, the Commission states that </w:t>
      </w:r>
      <w:r w:rsidRPr="00B27B03" w:rsidR="00BF5AC4">
        <w:rPr>
          <w:sz w:val="24"/>
          <w:szCs w:val="24"/>
        </w:rPr>
        <w:t>“[d]</w:t>
      </w:r>
      <w:proofErr w:type="spellStart"/>
      <w:r w:rsidRPr="00B27B03" w:rsidR="00BF5AC4">
        <w:rPr>
          <w:sz w:val="24"/>
          <w:szCs w:val="24"/>
        </w:rPr>
        <w:t>eliberate</w:t>
      </w:r>
      <w:proofErr w:type="spellEnd"/>
      <w:r w:rsidRPr="00B27B03" w:rsidR="00BF5AC4">
        <w:rPr>
          <w:sz w:val="24"/>
          <w:szCs w:val="24"/>
        </w:rPr>
        <w:t>, as opposed to inadvertent wrong-doing, will be considered an aggravating factor.”</w:t>
      </w:r>
      <w:r w:rsidRPr="00B27B03" w:rsidR="00BF5AC4">
        <w:rPr>
          <w:rStyle w:val="FootnoteReference"/>
          <w:sz w:val="24"/>
          <w:szCs w:val="24"/>
        </w:rPr>
        <w:footnoteReference w:id="34"/>
      </w:r>
    </w:p>
    <w:p w:rsidR="002A54B4" w:rsidP="00E174BB" w:rsidRDefault="002A54B4" w14:paraId="1D8D0BF6" w14:textId="4710A8DE">
      <w:pPr>
        <w:pStyle w:val="ListParagraph"/>
        <w:spacing w:after="160" w:line="259" w:lineRule="auto"/>
        <w:ind w:left="0" w:firstLine="0"/>
        <w:rPr>
          <w:sz w:val="24"/>
          <w:szCs w:val="24"/>
        </w:rPr>
      </w:pPr>
    </w:p>
    <w:p w:rsidR="002A54B4" w:rsidP="00FA46CD" w:rsidRDefault="002A54B4" w14:paraId="6D5FC609" w14:textId="04656499">
      <w:pPr>
        <w:pStyle w:val="ListParagraph"/>
        <w:spacing w:after="160" w:line="259" w:lineRule="auto"/>
        <w:ind w:left="0" w:firstLine="0"/>
        <w:rPr>
          <w:sz w:val="24"/>
          <w:szCs w:val="24"/>
        </w:rPr>
      </w:pPr>
      <w:r>
        <w:rPr>
          <w:sz w:val="24"/>
          <w:szCs w:val="24"/>
        </w:rPr>
        <w:t>SDCP argues that its deficiencies were “not a result of SDCP’s conduct” but due to lack of availability of system RA and a last-minute contract cancellation.</w:t>
      </w:r>
      <w:r>
        <w:rPr>
          <w:rStyle w:val="FootnoteReference"/>
          <w:sz w:val="24"/>
          <w:szCs w:val="24"/>
        </w:rPr>
        <w:footnoteReference w:id="35"/>
      </w:r>
      <w:r>
        <w:rPr>
          <w:sz w:val="24"/>
          <w:szCs w:val="24"/>
        </w:rPr>
        <w:t xml:space="preserve">  The Commission disagrees.  </w:t>
      </w:r>
      <w:r w:rsidRPr="00B27B03" w:rsidR="005F20DC">
        <w:rPr>
          <w:sz w:val="24"/>
          <w:szCs w:val="24"/>
        </w:rPr>
        <w:t>As disc</w:t>
      </w:r>
      <w:r>
        <w:rPr>
          <w:sz w:val="24"/>
          <w:szCs w:val="24"/>
        </w:rPr>
        <w:t xml:space="preserve">ussed </w:t>
      </w:r>
      <w:r w:rsidR="00CA790A">
        <w:rPr>
          <w:sz w:val="24"/>
          <w:szCs w:val="24"/>
        </w:rPr>
        <w:t>in</w:t>
      </w:r>
      <w:r>
        <w:rPr>
          <w:sz w:val="24"/>
          <w:szCs w:val="24"/>
        </w:rPr>
        <w:t xml:space="preserve"> Section 2</w:t>
      </w:r>
      <w:r w:rsidRPr="00B27B03" w:rsidR="005F20DC">
        <w:rPr>
          <w:sz w:val="24"/>
          <w:szCs w:val="24"/>
        </w:rPr>
        <w:t xml:space="preserve">, </w:t>
      </w:r>
      <w:r w:rsidR="00BA2E19">
        <w:rPr>
          <w:sz w:val="24"/>
          <w:szCs w:val="24"/>
        </w:rPr>
        <w:t xml:space="preserve">SDCP failed to </w:t>
      </w:r>
      <w:r>
        <w:rPr>
          <w:sz w:val="24"/>
          <w:szCs w:val="24"/>
        </w:rPr>
        <w:t xml:space="preserve">demonstrate that </w:t>
      </w:r>
      <w:r>
        <w:rPr>
          <w:rFonts w:cs="ArialUnicodeMS"/>
          <w:sz w:val="24"/>
          <w:szCs w:val="24"/>
        </w:rPr>
        <w:t xml:space="preserve">RA resources were </w:t>
      </w:r>
      <w:r w:rsidR="00BA2E19">
        <w:rPr>
          <w:rFonts w:cs="ArialUnicodeMS"/>
          <w:sz w:val="24"/>
          <w:szCs w:val="24"/>
        </w:rPr>
        <w:t xml:space="preserve">not </w:t>
      </w:r>
      <w:r>
        <w:rPr>
          <w:rFonts w:cs="ArialUnicodeMS"/>
          <w:sz w:val="24"/>
          <w:szCs w:val="24"/>
        </w:rPr>
        <w:t>available for procurement during the relevant time period</w:t>
      </w:r>
      <w:r w:rsidR="00EF0D2F">
        <w:rPr>
          <w:rFonts w:cs="ArialUnicodeMS"/>
          <w:sz w:val="24"/>
          <w:szCs w:val="24"/>
        </w:rPr>
        <w:t xml:space="preserve">.  Rather, the evidence shows that </w:t>
      </w:r>
      <w:r>
        <w:rPr>
          <w:rFonts w:cs="ArialUnicodeMS"/>
          <w:sz w:val="24"/>
          <w:szCs w:val="24"/>
        </w:rPr>
        <w:t xml:space="preserve">SDCP </w:t>
      </w:r>
      <w:r w:rsidR="00891251">
        <w:rPr>
          <w:rFonts w:cs="ArialUnicodeMS"/>
          <w:sz w:val="24"/>
          <w:szCs w:val="24"/>
        </w:rPr>
        <w:t>chose</w:t>
      </w:r>
      <w:r>
        <w:rPr>
          <w:rFonts w:cs="ArialUnicodeMS"/>
          <w:sz w:val="24"/>
          <w:szCs w:val="24"/>
        </w:rPr>
        <w:t xml:space="preserve"> not </w:t>
      </w:r>
      <w:r w:rsidR="00891251">
        <w:rPr>
          <w:rFonts w:cs="ArialUnicodeMS"/>
          <w:sz w:val="24"/>
          <w:szCs w:val="24"/>
        </w:rPr>
        <w:t xml:space="preserve">to </w:t>
      </w:r>
      <w:r w:rsidR="00EF0D2F">
        <w:rPr>
          <w:rFonts w:cs="ArialUnicodeMS"/>
          <w:sz w:val="24"/>
          <w:szCs w:val="24"/>
        </w:rPr>
        <w:t>participate in</w:t>
      </w:r>
      <w:r>
        <w:rPr>
          <w:rFonts w:cs="ArialUnicodeMS"/>
          <w:sz w:val="24"/>
          <w:szCs w:val="24"/>
        </w:rPr>
        <w:t xml:space="preserve"> </w:t>
      </w:r>
      <w:r w:rsidR="00EF0D2F">
        <w:rPr>
          <w:rFonts w:cs="ArialUnicodeMS"/>
          <w:sz w:val="24"/>
          <w:szCs w:val="24"/>
        </w:rPr>
        <w:t xml:space="preserve">certain available </w:t>
      </w:r>
      <w:r>
        <w:rPr>
          <w:rFonts w:cs="ArialUnicodeMS"/>
          <w:sz w:val="24"/>
          <w:szCs w:val="24"/>
        </w:rPr>
        <w:t xml:space="preserve">procurement opportunities, such as </w:t>
      </w:r>
      <w:r w:rsidR="00EF0D2F">
        <w:rPr>
          <w:rFonts w:cs="ArialUnicodeMS"/>
          <w:sz w:val="24"/>
          <w:szCs w:val="24"/>
        </w:rPr>
        <w:t>bidding in</w:t>
      </w:r>
      <w:r>
        <w:rPr>
          <w:rFonts w:cs="ArialUnicodeMS"/>
          <w:sz w:val="24"/>
          <w:szCs w:val="24"/>
        </w:rPr>
        <w:t xml:space="preserve"> SCE’s solicitation</w:t>
      </w:r>
      <w:r w:rsidR="00EF0D2F">
        <w:rPr>
          <w:rFonts w:cs="ArialUnicodeMS"/>
          <w:sz w:val="24"/>
          <w:szCs w:val="24"/>
        </w:rPr>
        <w:t xml:space="preserve">, and </w:t>
      </w:r>
      <w:r>
        <w:rPr>
          <w:rFonts w:cs="ArialUnicodeMS"/>
          <w:sz w:val="24"/>
          <w:szCs w:val="24"/>
        </w:rPr>
        <w:t xml:space="preserve">that SDCP </w:t>
      </w:r>
      <w:r w:rsidR="00891251">
        <w:rPr>
          <w:rFonts w:cs="ArialUnicodeMS"/>
          <w:sz w:val="24"/>
          <w:szCs w:val="24"/>
        </w:rPr>
        <w:t>repeatedly</w:t>
      </w:r>
      <w:r>
        <w:rPr>
          <w:rFonts w:cs="ArialUnicodeMS"/>
          <w:sz w:val="24"/>
          <w:szCs w:val="24"/>
        </w:rPr>
        <w:t xml:space="preserve"> </w:t>
      </w:r>
      <w:r w:rsidR="00891251">
        <w:rPr>
          <w:rFonts w:cs="ArialUnicodeMS"/>
          <w:sz w:val="24"/>
          <w:szCs w:val="24"/>
        </w:rPr>
        <w:t>submitted offers</w:t>
      </w:r>
      <w:r>
        <w:rPr>
          <w:rFonts w:cs="ArialUnicodeMS"/>
          <w:sz w:val="24"/>
          <w:szCs w:val="24"/>
        </w:rPr>
        <w:t xml:space="preserve"> </w:t>
      </w:r>
      <w:r w:rsidR="00891251">
        <w:rPr>
          <w:rFonts w:cs="ArialUnicodeMS"/>
          <w:sz w:val="24"/>
          <w:szCs w:val="24"/>
        </w:rPr>
        <w:t>that were</w:t>
      </w:r>
      <w:r>
        <w:rPr>
          <w:rFonts w:cs="ArialUnicodeMS"/>
          <w:sz w:val="24"/>
          <w:szCs w:val="24"/>
        </w:rPr>
        <w:t xml:space="preserve"> well below known </w:t>
      </w:r>
      <w:r w:rsidR="007146AB">
        <w:rPr>
          <w:rFonts w:cs="ArialUnicodeMS"/>
          <w:sz w:val="24"/>
          <w:szCs w:val="24"/>
        </w:rPr>
        <w:t xml:space="preserve">market </w:t>
      </w:r>
      <w:r>
        <w:rPr>
          <w:rFonts w:cs="ArialUnicodeMS"/>
          <w:sz w:val="24"/>
          <w:szCs w:val="24"/>
        </w:rPr>
        <w:t>bid prices, result</w:t>
      </w:r>
      <w:r w:rsidR="00891251">
        <w:rPr>
          <w:rFonts w:cs="ArialUnicodeMS"/>
          <w:sz w:val="24"/>
          <w:szCs w:val="24"/>
        </w:rPr>
        <w:t>ing</w:t>
      </w:r>
      <w:r>
        <w:rPr>
          <w:rFonts w:cs="ArialUnicodeMS"/>
          <w:sz w:val="24"/>
          <w:szCs w:val="24"/>
        </w:rPr>
        <w:t xml:space="preserve"> in </w:t>
      </w:r>
      <w:r w:rsidR="00891251">
        <w:rPr>
          <w:rFonts w:cs="ArialUnicodeMS"/>
          <w:sz w:val="24"/>
          <w:szCs w:val="24"/>
        </w:rPr>
        <w:t xml:space="preserve">rejected </w:t>
      </w:r>
      <w:r>
        <w:rPr>
          <w:rFonts w:cs="ArialUnicodeMS"/>
          <w:sz w:val="24"/>
          <w:szCs w:val="24"/>
        </w:rPr>
        <w:t>bids.</w:t>
      </w:r>
      <w:r>
        <w:rPr>
          <w:sz w:val="24"/>
          <w:szCs w:val="24"/>
        </w:rPr>
        <w:t xml:space="preserve">  As such, we find that SDCP</w:t>
      </w:r>
      <w:r w:rsidRPr="00B27B03" w:rsidR="00FA46CD">
        <w:rPr>
          <w:sz w:val="24"/>
          <w:szCs w:val="24"/>
        </w:rPr>
        <w:t xml:space="preserve"> did not </w:t>
      </w:r>
      <w:r w:rsidR="00B85890">
        <w:rPr>
          <w:sz w:val="24"/>
          <w:szCs w:val="24"/>
        </w:rPr>
        <w:t>take</w:t>
      </w:r>
      <w:r w:rsidRPr="00B27B03" w:rsidR="00543899">
        <w:rPr>
          <w:sz w:val="24"/>
          <w:szCs w:val="24"/>
        </w:rPr>
        <w:t xml:space="preserve"> all reasonable steps to ensure compliance with Commission directives.</w:t>
      </w:r>
    </w:p>
    <w:p w:rsidR="002A54B4" w:rsidP="00FA46CD" w:rsidRDefault="002A54B4" w14:paraId="60339B65" w14:textId="77777777">
      <w:pPr>
        <w:pStyle w:val="ListParagraph"/>
        <w:spacing w:after="160" w:line="259" w:lineRule="auto"/>
        <w:ind w:left="0" w:firstLine="0"/>
        <w:rPr>
          <w:sz w:val="24"/>
          <w:szCs w:val="24"/>
        </w:rPr>
      </w:pPr>
    </w:p>
    <w:p w:rsidR="005E73BE" w:rsidP="00FA46CD" w:rsidRDefault="007146AB" w14:paraId="0F0C87C2" w14:textId="030BF294">
      <w:pPr>
        <w:pStyle w:val="ListParagraph"/>
        <w:spacing w:after="160" w:line="259" w:lineRule="auto"/>
        <w:ind w:left="0" w:firstLine="0"/>
        <w:rPr>
          <w:sz w:val="24"/>
          <w:szCs w:val="24"/>
        </w:rPr>
      </w:pPr>
      <w:r>
        <w:rPr>
          <w:sz w:val="24"/>
          <w:szCs w:val="24"/>
        </w:rPr>
        <w:lastRenderedPageBreak/>
        <w:t xml:space="preserve">The Commission has previously determined that where appellant’s </w:t>
      </w:r>
      <w:r w:rsidR="002A54B4">
        <w:rPr>
          <w:sz w:val="24"/>
          <w:szCs w:val="24"/>
        </w:rPr>
        <w:t>“</w:t>
      </w:r>
      <w:r w:rsidRPr="00B27B03" w:rsidR="008A4805">
        <w:rPr>
          <w:sz w:val="24"/>
          <w:szCs w:val="24"/>
        </w:rPr>
        <w:t>failure to meet its regulatory requirements was</w:t>
      </w:r>
      <w:r w:rsidRPr="00B27B03" w:rsidR="00543899">
        <w:rPr>
          <w:sz w:val="24"/>
          <w:szCs w:val="24"/>
        </w:rPr>
        <w:t xml:space="preserve"> </w:t>
      </w:r>
      <w:r w:rsidRPr="00B27B03" w:rsidR="00ED6DD0">
        <w:rPr>
          <w:sz w:val="24"/>
          <w:szCs w:val="24"/>
        </w:rPr>
        <w:t>deliberate, as opposed to inadvertent,</w:t>
      </w:r>
      <w:r w:rsidR="002A54B4">
        <w:rPr>
          <w:sz w:val="24"/>
          <w:szCs w:val="24"/>
        </w:rPr>
        <w:t>” this is considered</w:t>
      </w:r>
      <w:r w:rsidRPr="00B27B03" w:rsidR="00ED6DD0">
        <w:rPr>
          <w:sz w:val="24"/>
          <w:szCs w:val="24"/>
        </w:rPr>
        <w:t xml:space="preserve"> an aggravating factor.</w:t>
      </w:r>
      <w:r w:rsidR="002A54B4">
        <w:rPr>
          <w:rStyle w:val="FootnoteReference"/>
          <w:sz w:val="24"/>
          <w:szCs w:val="24"/>
        </w:rPr>
        <w:footnoteReference w:id="36"/>
      </w:r>
      <w:r w:rsidR="00CA790A">
        <w:rPr>
          <w:sz w:val="24"/>
          <w:szCs w:val="24"/>
        </w:rPr>
        <w:t xml:space="preserve">  </w:t>
      </w:r>
      <w:r>
        <w:rPr>
          <w:sz w:val="24"/>
          <w:szCs w:val="24"/>
        </w:rPr>
        <w:t>As such</w:t>
      </w:r>
      <w:r w:rsidR="00CA790A">
        <w:rPr>
          <w:sz w:val="24"/>
          <w:szCs w:val="24"/>
        </w:rPr>
        <w:t>, SDCP’s deliberate failure to meet its RA obligations is an aggravating factor.</w:t>
      </w:r>
    </w:p>
    <w:p w:rsidR="00CA790A" w:rsidP="00FA46CD" w:rsidRDefault="00CA790A" w14:paraId="365AB367" w14:textId="50A14D8F">
      <w:pPr>
        <w:pStyle w:val="ListParagraph"/>
        <w:spacing w:after="160" w:line="259" w:lineRule="auto"/>
        <w:ind w:left="0" w:firstLine="0"/>
        <w:rPr>
          <w:sz w:val="24"/>
          <w:szCs w:val="24"/>
        </w:rPr>
      </w:pPr>
    </w:p>
    <w:p w:rsidR="00BF06E5" w:rsidP="00FA46CD" w:rsidRDefault="00CA790A" w14:paraId="7D441278" w14:textId="2C839047">
      <w:pPr>
        <w:pStyle w:val="ListParagraph"/>
        <w:spacing w:after="160" w:line="259" w:lineRule="auto"/>
        <w:ind w:left="0" w:firstLine="0"/>
        <w:rPr>
          <w:sz w:val="24"/>
          <w:szCs w:val="24"/>
        </w:rPr>
      </w:pPr>
      <w:r>
        <w:rPr>
          <w:sz w:val="24"/>
          <w:szCs w:val="24"/>
        </w:rPr>
        <w:t xml:space="preserve">Under this factor, </w:t>
      </w:r>
      <w:r w:rsidR="00514204">
        <w:rPr>
          <w:sz w:val="24"/>
          <w:szCs w:val="24"/>
        </w:rPr>
        <w:t>we</w:t>
      </w:r>
      <w:r>
        <w:rPr>
          <w:sz w:val="24"/>
          <w:szCs w:val="24"/>
        </w:rPr>
        <w:t xml:space="preserve"> consider </w:t>
      </w:r>
      <w:r w:rsidR="007146AB">
        <w:rPr>
          <w:sz w:val="24"/>
          <w:szCs w:val="24"/>
        </w:rPr>
        <w:t>a</w:t>
      </w:r>
      <w:r w:rsidR="00514204">
        <w:rPr>
          <w:sz w:val="24"/>
          <w:szCs w:val="24"/>
        </w:rPr>
        <w:t xml:space="preserve"> utility’s</w:t>
      </w:r>
      <w:r>
        <w:rPr>
          <w:sz w:val="24"/>
          <w:szCs w:val="24"/>
        </w:rPr>
        <w:t xml:space="preserve"> “past record of compliance with Commission directives.”</w:t>
      </w:r>
      <w:r>
        <w:rPr>
          <w:rStyle w:val="FootnoteReference"/>
          <w:sz w:val="24"/>
          <w:szCs w:val="24"/>
        </w:rPr>
        <w:footnoteReference w:id="37"/>
      </w:r>
      <w:r w:rsidR="00D85297">
        <w:rPr>
          <w:sz w:val="24"/>
          <w:szCs w:val="24"/>
        </w:rPr>
        <w:t xml:space="preserve">  SDCP acknowledges that in addition to the instant citation, it </w:t>
      </w:r>
      <w:r w:rsidR="007A0156">
        <w:rPr>
          <w:sz w:val="24"/>
          <w:szCs w:val="24"/>
        </w:rPr>
        <w:t xml:space="preserve">received a citation </w:t>
      </w:r>
      <w:r w:rsidR="001531F1">
        <w:rPr>
          <w:sz w:val="24"/>
          <w:szCs w:val="24"/>
        </w:rPr>
        <w:t xml:space="preserve">from CPED </w:t>
      </w:r>
      <w:r w:rsidR="007A0156">
        <w:rPr>
          <w:sz w:val="24"/>
          <w:szCs w:val="24"/>
        </w:rPr>
        <w:t>for</w:t>
      </w:r>
      <w:r w:rsidR="00D85297">
        <w:rPr>
          <w:sz w:val="24"/>
          <w:szCs w:val="24"/>
        </w:rPr>
        <w:t xml:space="preserve"> </w:t>
      </w:r>
      <w:r w:rsidR="007A0156">
        <w:rPr>
          <w:sz w:val="24"/>
          <w:szCs w:val="24"/>
        </w:rPr>
        <w:t xml:space="preserve">deficiencies </w:t>
      </w:r>
      <w:r w:rsidR="001531F1">
        <w:rPr>
          <w:sz w:val="24"/>
          <w:szCs w:val="24"/>
        </w:rPr>
        <w:t>for</w:t>
      </w:r>
      <w:r w:rsidR="007D58B0">
        <w:rPr>
          <w:sz w:val="24"/>
          <w:szCs w:val="24"/>
        </w:rPr>
        <w:t xml:space="preserve"> i</w:t>
      </w:r>
      <w:r w:rsidR="004F63BE">
        <w:rPr>
          <w:sz w:val="24"/>
          <w:szCs w:val="24"/>
        </w:rPr>
        <w:t>ts</w:t>
      </w:r>
      <w:r w:rsidR="00D85297">
        <w:rPr>
          <w:sz w:val="24"/>
          <w:szCs w:val="24"/>
        </w:rPr>
        <w:t xml:space="preserve"> 2021 year-ahead RA obligations.</w:t>
      </w:r>
      <w:r w:rsidR="00D85297">
        <w:rPr>
          <w:rStyle w:val="FootnoteReference"/>
          <w:sz w:val="24"/>
          <w:szCs w:val="24"/>
        </w:rPr>
        <w:footnoteReference w:id="38"/>
      </w:r>
      <w:r w:rsidR="004F63BE">
        <w:rPr>
          <w:sz w:val="24"/>
          <w:szCs w:val="24"/>
        </w:rPr>
        <w:t xml:space="preserve">  </w:t>
      </w:r>
      <w:r w:rsidR="007A0156">
        <w:rPr>
          <w:sz w:val="24"/>
          <w:szCs w:val="24"/>
        </w:rPr>
        <w:t>CPED contends that this reflects a “pattern</w:t>
      </w:r>
      <w:r w:rsidR="00514204">
        <w:rPr>
          <w:sz w:val="24"/>
          <w:szCs w:val="24"/>
        </w:rPr>
        <w:t>”</w:t>
      </w:r>
      <w:r w:rsidR="007A0156">
        <w:rPr>
          <w:sz w:val="24"/>
          <w:szCs w:val="24"/>
        </w:rPr>
        <w:t xml:space="preserve"> of “deliberately falling short of its compliance obligations and then blaming market conditions.”</w:t>
      </w:r>
      <w:r w:rsidR="007A0156">
        <w:rPr>
          <w:rStyle w:val="FootnoteReference"/>
          <w:sz w:val="24"/>
          <w:szCs w:val="24"/>
        </w:rPr>
        <w:footnoteReference w:id="39"/>
      </w:r>
      <w:r w:rsidR="007A0156">
        <w:rPr>
          <w:sz w:val="24"/>
          <w:szCs w:val="24"/>
        </w:rPr>
        <w:t xml:space="preserve">  SDCP disputes </w:t>
      </w:r>
      <w:r w:rsidR="00514204">
        <w:rPr>
          <w:sz w:val="24"/>
          <w:szCs w:val="24"/>
        </w:rPr>
        <w:t>CPED’s contention and asserts</w:t>
      </w:r>
      <w:r w:rsidR="007A0156">
        <w:rPr>
          <w:sz w:val="24"/>
          <w:szCs w:val="24"/>
        </w:rPr>
        <w:t xml:space="preserve"> that the same market conditions prevented SDCP from meeting its year</w:t>
      </w:r>
      <w:r w:rsidR="00192ADB">
        <w:rPr>
          <w:sz w:val="24"/>
          <w:szCs w:val="24"/>
        </w:rPr>
        <w:noBreakHyphen/>
      </w:r>
      <w:r w:rsidR="007A0156">
        <w:rPr>
          <w:sz w:val="24"/>
          <w:szCs w:val="24"/>
        </w:rPr>
        <w:t>ahead and month-ahead obligations for the same time period.</w:t>
      </w:r>
      <w:r w:rsidR="007A0156">
        <w:rPr>
          <w:rStyle w:val="FootnoteReference"/>
          <w:sz w:val="24"/>
          <w:szCs w:val="24"/>
        </w:rPr>
        <w:footnoteReference w:id="40"/>
      </w:r>
      <w:r w:rsidR="007A0156">
        <w:rPr>
          <w:sz w:val="24"/>
          <w:szCs w:val="24"/>
        </w:rPr>
        <w:t xml:space="preserve">  </w:t>
      </w:r>
    </w:p>
    <w:p w:rsidR="00BF06E5" w:rsidP="00FA46CD" w:rsidRDefault="00BF06E5" w14:paraId="15823648" w14:textId="77777777">
      <w:pPr>
        <w:pStyle w:val="ListParagraph"/>
        <w:spacing w:after="160" w:line="259" w:lineRule="auto"/>
        <w:ind w:left="0" w:firstLine="0"/>
        <w:rPr>
          <w:sz w:val="24"/>
          <w:szCs w:val="24"/>
        </w:rPr>
      </w:pPr>
    </w:p>
    <w:p w:rsidR="003E5791" w:rsidP="00FA46CD" w:rsidRDefault="00CB4995" w14:paraId="06774F18" w14:textId="541D4B04">
      <w:pPr>
        <w:pStyle w:val="ListParagraph"/>
        <w:spacing w:after="160" w:line="259" w:lineRule="auto"/>
        <w:ind w:left="0" w:firstLine="0"/>
        <w:rPr>
          <w:sz w:val="24"/>
          <w:szCs w:val="24"/>
        </w:rPr>
      </w:pPr>
      <w:r>
        <w:rPr>
          <w:sz w:val="24"/>
          <w:szCs w:val="24"/>
        </w:rPr>
        <w:t>We note that</w:t>
      </w:r>
      <w:r w:rsidR="00514204">
        <w:rPr>
          <w:sz w:val="24"/>
          <w:szCs w:val="24"/>
        </w:rPr>
        <w:t xml:space="preserve"> year-ahead and month-ahead RA </w:t>
      </w:r>
      <w:r>
        <w:rPr>
          <w:sz w:val="24"/>
          <w:szCs w:val="24"/>
        </w:rPr>
        <w:t>obligations</w:t>
      </w:r>
      <w:r w:rsidR="00514204">
        <w:rPr>
          <w:sz w:val="24"/>
          <w:szCs w:val="24"/>
        </w:rPr>
        <w:t xml:space="preserve"> </w:t>
      </w:r>
      <w:r>
        <w:rPr>
          <w:sz w:val="24"/>
          <w:szCs w:val="24"/>
        </w:rPr>
        <w:t>are distinct requirements</w:t>
      </w:r>
      <w:r w:rsidR="001531F1">
        <w:rPr>
          <w:sz w:val="24"/>
          <w:szCs w:val="24"/>
        </w:rPr>
        <w:t xml:space="preserve"> and penalties </w:t>
      </w:r>
      <w:r w:rsidR="00E10138">
        <w:rPr>
          <w:sz w:val="24"/>
          <w:szCs w:val="24"/>
        </w:rPr>
        <w:t>for year-ahead and month-ahead violations</w:t>
      </w:r>
      <w:r w:rsidR="001531F1">
        <w:rPr>
          <w:sz w:val="24"/>
          <w:szCs w:val="24"/>
        </w:rPr>
        <w:t xml:space="preserve"> are assessed separately</w:t>
      </w:r>
      <w:r w:rsidR="00514204">
        <w:rPr>
          <w:sz w:val="24"/>
          <w:szCs w:val="24"/>
        </w:rPr>
        <w:t>.</w:t>
      </w:r>
      <w:r w:rsidR="001531F1">
        <w:rPr>
          <w:sz w:val="24"/>
          <w:szCs w:val="24"/>
        </w:rPr>
        <w:t xml:space="preserve">  </w:t>
      </w:r>
      <w:r w:rsidR="00514204">
        <w:rPr>
          <w:sz w:val="24"/>
          <w:szCs w:val="24"/>
        </w:rPr>
        <w:t>SDCP’s</w:t>
      </w:r>
      <w:r w:rsidR="007A0156">
        <w:rPr>
          <w:sz w:val="24"/>
          <w:szCs w:val="24"/>
        </w:rPr>
        <w:t xml:space="preserve"> </w:t>
      </w:r>
      <w:r w:rsidR="00AB7A34">
        <w:rPr>
          <w:sz w:val="24"/>
          <w:szCs w:val="24"/>
        </w:rPr>
        <w:t>year</w:t>
      </w:r>
      <w:r w:rsidR="007A0156">
        <w:rPr>
          <w:sz w:val="24"/>
          <w:szCs w:val="24"/>
        </w:rPr>
        <w:t xml:space="preserve">-ahead </w:t>
      </w:r>
      <w:r w:rsidR="00514204">
        <w:rPr>
          <w:sz w:val="24"/>
          <w:szCs w:val="24"/>
        </w:rPr>
        <w:t xml:space="preserve">RA filing required only 90 percent of its RA obligation and was due on October 31, 2020.  </w:t>
      </w:r>
      <w:r w:rsidR="005B3255">
        <w:rPr>
          <w:sz w:val="24"/>
          <w:szCs w:val="24"/>
        </w:rPr>
        <w:t xml:space="preserve">By contrast, </w:t>
      </w:r>
      <w:r w:rsidR="00514204">
        <w:rPr>
          <w:sz w:val="24"/>
          <w:szCs w:val="24"/>
        </w:rPr>
        <w:t>SDCP’s month-ahead RA filing</w:t>
      </w:r>
      <w:r w:rsidR="005B3255">
        <w:rPr>
          <w:sz w:val="24"/>
          <w:szCs w:val="24"/>
        </w:rPr>
        <w:t xml:space="preserve"> required 100 percent of its RA obligation and </w:t>
      </w:r>
      <w:r w:rsidR="00514204">
        <w:rPr>
          <w:sz w:val="24"/>
          <w:szCs w:val="24"/>
        </w:rPr>
        <w:t>was due on July 15, 2021</w:t>
      </w:r>
      <w:r w:rsidR="00BF06E5">
        <w:rPr>
          <w:sz w:val="24"/>
          <w:szCs w:val="24"/>
        </w:rPr>
        <w:t xml:space="preserve"> (over eight months later).  </w:t>
      </w:r>
      <w:r w:rsidR="005B3255">
        <w:rPr>
          <w:sz w:val="24"/>
          <w:szCs w:val="24"/>
        </w:rPr>
        <w:t xml:space="preserve">Although SDCP received </w:t>
      </w:r>
      <w:r w:rsidR="001531F1">
        <w:rPr>
          <w:sz w:val="24"/>
          <w:szCs w:val="24"/>
        </w:rPr>
        <w:t>citations for both</w:t>
      </w:r>
      <w:r w:rsidR="005B3255">
        <w:rPr>
          <w:sz w:val="24"/>
          <w:szCs w:val="24"/>
        </w:rPr>
        <w:t xml:space="preserve"> its year-ahead and month-ahead RA filing</w:t>
      </w:r>
      <w:r w:rsidR="001531F1">
        <w:rPr>
          <w:sz w:val="24"/>
          <w:szCs w:val="24"/>
        </w:rPr>
        <w:t>s</w:t>
      </w:r>
      <w:r w:rsidR="005B3255">
        <w:rPr>
          <w:sz w:val="24"/>
          <w:szCs w:val="24"/>
        </w:rPr>
        <w:t xml:space="preserve">, SDCP’s year-ahead RA citation </w:t>
      </w:r>
      <w:r w:rsidR="001531F1">
        <w:rPr>
          <w:sz w:val="24"/>
          <w:szCs w:val="24"/>
        </w:rPr>
        <w:t xml:space="preserve">does not inform this factor this time, as it </w:t>
      </w:r>
      <w:r w:rsidR="005B3255">
        <w:rPr>
          <w:sz w:val="24"/>
          <w:szCs w:val="24"/>
        </w:rPr>
        <w:t xml:space="preserve">is </w:t>
      </w:r>
      <w:r w:rsidR="001531F1">
        <w:rPr>
          <w:sz w:val="24"/>
          <w:szCs w:val="24"/>
        </w:rPr>
        <w:t xml:space="preserve">currently </w:t>
      </w:r>
      <w:r w:rsidR="005B3255">
        <w:rPr>
          <w:sz w:val="24"/>
          <w:szCs w:val="24"/>
        </w:rPr>
        <w:t>pending on appea</w:t>
      </w:r>
      <w:r w:rsidR="003E5791">
        <w:rPr>
          <w:sz w:val="24"/>
          <w:szCs w:val="24"/>
        </w:rPr>
        <w:t xml:space="preserve">l.  </w:t>
      </w:r>
    </w:p>
    <w:p w:rsidR="003E5791" w:rsidP="00FA46CD" w:rsidRDefault="003E5791" w14:paraId="77D1959B" w14:textId="77777777">
      <w:pPr>
        <w:pStyle w:val="ListParagraph"/>
        <w:spacing w:after="160" w:line="259" w:lineRule="auto"/>
        <w:ind w:left="0" w:firstLine="0"/>
        <w:rPr>
          <w:sz w:val="24"/>
          <w:szCs w:val="24"/>
        </w:rPr>
      </w:pPr>
    </w:p>
    <w:p w:rsidR="006B7FB5" w:rsidP="00FA46CD" w:rsidRDefault="003E5791" w14:paraId="5078FB01" w14:textId="68AC8ADB">
      <w:pPr>
        <w:pStyle w:val="ListParagraph"/>
        <w:spacing w:after="160" w:line="259" w:lineRule="auto"/>
        <w:ind w:left="0" w:firstLine="0"/>
        <w:rPr>
          <w:sz w:val="24"/>
          <w:szCs w:val="24"/>
        </w:rPr>
      </w:pPr>
      <w:r>
        <w:rPr>
          <w:sz w:val="24"/>
          <w:szCs w:val="24"/>
        </w:rPr>
        <w:t>We</w:t>
      </w:r>
      <w:r w:rsidR="005B3255">
        <w:rPr>
          <w:sz w:val="24"/>
          <w:szCs w:val="24"/>
        </w:rPr>
        <w:t xml:space="preserve"> </w:t>
      </w:r>
      <w:r w:rsidR="00E10138">
        <w:rPr>
          <w:sz w:val="24"/>
          <w:szCs w:val="24"/>
        </w:rPr>
        <w:t>observe</w:t>
      </w:r>
      <w:r w:rsidR="001531F1">
        <w:rPr>
          <w:sz w:val="24"/>
          <w:szCs w:val="24"/>
        </w:rPr>
        <w:t>, however,</w:t>
      </w:r>
      <w:r w:rsidR="00E10138">
        <w:rPr>
          <w:sz w:val="24"/>
          <w:szCs w:val="24"/>
        </w:rPr>
        <w:t xml:space="preserve"> that since the issuance of the instant citation, SDCP received another citation in the RA program on </w:t>
      </w:r>
      <w:r w:rsidRPr="00C8316D" w:rsidR="00E10138">
        <w:rPr>
          <w:sz w:val="24"/>
          <w:szCs w:val="24"/>
        </w:rPr>
        <w:t>April 8, 2022</w:t>
      </w:r>
      <w:r w:rsidR="00C8316D">
        <w:rPr>
          <w:sz w:val="24"/>
          <w:szCs w:val="24"/>
        </w:rPr>
        <w:t xml:space="preserve"> from CPED</w:t>
      </w:r>
      <w:r w:rsidR="00E10138">
        <w:rPr>
          <w:sz w:val="24"/>
          <w:szCs w:val="24"/>
        </w:rPr>
        <w:t>.</w:t>
      </w:r>
      <w:r w:rsidR="00E10138">
        <w:rPr>
          <w:rStyle w:val="FootnoteReference"/>
          <w:sz w:val="24"/>
          <w:szCs w:val="24"/>
        </w:rPr>
        <w:footnoteReference w:id="41"/>
      </w:r>
      <w:r w:rsidR="00697D7D">
        <w:rPr>
          <w:sz w:val="24"/>
          <w:szCs w:val="24"/>
        </w:rPr>
        <w:t xml:space="preserve">  </w:t>
      </w:r>
      <w:r w:rsidR="00C8316D">
        <w:rPr>
          <w:sz w:val="24"/>
          <w:szCs w:val="24"/>
        </w:rPr>
        <w:t xml:space="preserve">However, CPED did not </w:t>
      </w:r>
      <w:r w:rsidR="00AF71B7">
        <w:rPr>
          <w:sz w:val="24"/>
          <w:szCs w:val="24"/>
        </w:rPr>
        <w:t>submit</w:t>
      </w:r>
      <w:r w:rsidR="00C8316D">
        <w:rPr>
          <w:sz w:val="24"/>
          <w:szCs w:val="24"/>
        </w:rPr>
        <w:t xml:space="preserve"> any information about this citation and as such, that citation does not inform this factor. </w:t>
      </w:r>
      <w:r w:rsidR="00E10138">
        <w:rPr>
          <w:sz w:val="24"/>
          <w:szCs w:val="24"/>
        </w:rPr>
        <w:t xml:space="preserve"> </w:t>
      </w:r>
    </w:p>
    <w:p w:rsidRPr="00B27B03" w:rsidR="009F1EE2" w:rsidP="00E174BB" w:rsidRDefault="009F1EE2" w14:paraId="6D282372" w14:textId="77777777">
      <w:pPr>
        <w:pStyle w:val="ListParagraph"/>
        <w:spacing w:after="160" w:line="259" w:lineRule="auto"/>
        <w:ind w:left="0" w:firstLine="0"/>
        <w:rPr>
          <w:sz w:val="24"/>
          <w:szCs w:val="24"/>
        </w:rPr>
      </w:pPr>
    </w:p>
    <w:p w:rsidRPr="00B27B03" w:rsidR="009F1EE2" w:rsidP="00634BA2" w:rsidRDefault="009F1EE2" w14:paraId="37E4B730" w14:textId="2D5FF538">
      <w:pPr>
        <w:pStyle w:val="ListParagraph"/>
        <w:numPr>
          <w:ilvl w:val="1"/>
          <w:numId w:val="22"/>
        </w:numPr>
        <w:spacing w:after="160" w:line="259" w:lineRule="auto"/>
        <w:ind w:left="1260" w:hanging="540"/>
        <w:rPr>
          <w:sz w:val="24"/>
          <w:szCs w:val="24"/>
        </w:rPr>
      </w:pPr>
      <w:r w:rsidRPr="00B27B03">
        <w:rPr>
          <w:b/>
          <w:bCs/>
          <w:sz w:val="24"/>
          <w:szCs w:val="24"/>
          <w:u w:val="single"/>
        </w:rPr>
        <w:t>Financial Resources</w:t>
      </w:r>
    </w:p>
    <w:p w:rsidRPr="00B27B03" w:rsidR="009F1EE2" w:rsidP="00E174BB" w:rsidRDefault="009F1EE2" w14:paraId="5C548022" w14:textId="77777777">
      <w:pPr>
        <w:pStyle w:val="ListParagraph"/>
        <w:spacing w:after="160" w:line="259" w:lineRule="auto"/>
        <w:ind w:left="0" w:firstLine="0"/>
        <w:rPr>
          <w:sz w:val="24"/>
          <w:szCs w:val="24"/>
        </w:rPr>
      </w:pPr>
    </w:p>
    <w:p w:rsidRPr="00B27B03" w:rsidR="009F1EE2" w:rsidP="00E174BB" w:rsidRDefault="009F1EE2" w14:paraId="30C46E12" w14:textId="77777777">
      <w:pPr>
        <w:pStyle w:val="ListParagraph"/>
        <w:spacing w:after="160" w:line="259" w:lineRule="auto"/>
        <w:ind w:left="0" w:firstLine="0"/>
        <w:rPr>
          <w:rFonts w:cs="Arial"/>
          <w:b/>
          <w:bCs/>
          <w:sz w:val="24"/>
          <w:szCs w:val="24"/>
        </w:rPr>
      </w:pPr>
      <w:r w:rsidRPr="00B27B03">
        <w:rPr>
          <w:rFonts w:eastAsia="Times New Roman"/>
          <w:sz w:val="24"/>
          <w:szCs w:val="24"/>
        </w:rPr>
        <w:t xml:space="preserve">Under this factor, D.98-12-075 </w:t>
      </w:r>
      <w:r w:rsidRPr="00B27B03" w:rsidR="003F78A8">
        <w:rPr>
          <w:rFonts w:eastAsia="Times New Roman"/>
          <w:sz w:val="24"/>
          <w:szCs w:val="24"/>
        </w:rPr>
        <w:t>states</w:t>
      </w:r>
      <w:r w:rsidRPr="00B27B03">
        <w:rPr>
          <w:rFonts w:eastAsia="Times New Roman"/>
          <w:sz w:val="24"/>
          <w:szCs w:val="24"/>
        </w:rPr>
        <w:t xml:space="preserve"> that “[e]</w:t>
      </w:r>
      <w:proofErr w:type="spellStart"/>
      <w:r w:rsidRPr="00B27B03">
        <w:rPr>
          <w:rFonts w:eastAsia="Times New Roman"/>
          <w:sz w:val="24"/>
          <w:szCs w:val="24"/>
        </w:rPr>
        <w:t>ffective</w:t>
      </w:r>
      <w:proofErr w:type="spellEnd"/>
      <w:r w:rsidRPr="00B27B03">
        <w:rPr>
          <w:rFonts w:eastAsia="Times New Roman"/>
          <w:sz w:val="24"/>
          <w:szCs w:val="24"/>
        </w:rPr>
        <w:t xml:space="preserve"> deterrence also requires that the Commission recognize the financial resources of the public utility in setting a fine which balances the </w:t>
      </w:r>
      <w:r w:rsidRPr="00B27B03">
        <w:rPr>
          <w:rFonts w:cs="Arial"/>
          <w:sz w:val="24"/>
          <w:szCs w:val="24"/>
        </w:rPr>
        <w:t>need</w:t>
      </w:r>
      <w:r w:rsidRPr="00B27B03">
        <w:rPr>
          <w:rFonts w:eastAsia="Times New Roman"/>
          <w:sz w:val="24"/>
          <w:szCs w:val="24"/>
        </w:rPr>
        <w:t xml:space="preserve"> for deterrence with the constitutional limitations on excessive </w:t>
      </w:r>
      <w:r w:rsidRPr="00B27B03">
        <w:rPr>
          <w:rFonts w:eastAsia="Times New Roman"/>
          <w:sz w:val="24"/>
          <w:szCs w:val="24"/>
        </w:rPr>
        <w:lastRenderedPageBreak/>
        <w:t>fines.”</w:t>
      </w:r>
      <w:r w:rsidRPr="00B27B03">
        <w:rPr>
          <w:rStyle w:val="FootnoteReference"/>
          <w:rFonts w:eastAsia="Times New Roman"/>
          <w:sz w:val="24"/>
          <w:szCs w:val="24"/>
        </w:rPr>
        <w:footnoteReference w:id="42"/>
      </w:r>
      <w:r w:rsidRPr="00B27B03" w:rsidR="00DC610C">
        <w:rPr>
          <w:rFonts w:eastAsia="Times New Roman"/>
          <w:sz w:val="24"/>
          <w:szCs w:val="24"/>
        </w:rPr>
        <w:t xml:space="preserve">  The Commission “intends to adjust fine levels to achieve the objective of deterrence, without becoming excessive, based on each utility's financial resources.”</w:t>
      </w:r>
      <w:r w:rsidRPr="00B27B03" w:rsidR="00DC610C">
        <w:rPr>
          <w:rStyle w:val="FootnoteReference"/>
          <w:rFonts w:eastAsia="Times New Roman"/>
          <w:sz w:val="24"/>
          <w:szCs w:val="24"/>
        </w:rPr>
        <w:footnoteReference w:id="43"/>
      </w:r>
      <w:r w:rsidRPr="00B27B03" w:rsidR="00DC610C">
        <w:rPr>
          <w:rFonts w:eastAsia="Times New Roman"/>
          <w:sz w:val="24"/>
          <w:szCs w:val="24"/>
        </w:rPr>
        <w:t xml:space="preserve"> </w:t>
      </w:r>
      <w:r w:rsidRPr="00B27B03">
        <w:rPr>
          <w:rFonts w:eastAsia="Times New Roman"/>
          <w:sz w:val="24"/>
          <w:szCs w:val="24"/>
        </w:rPr>
        <w:t xml:space="preserve"> </w:t>
      </w:r>
    </w:p>
    <w:p w:rsidRPr="00B27B03" w:rsidR="009F1EE2" w:rsidP="00E174BB" w:rsidRDefault="009F1EE2" w14:paraId="7ABF7A95" w14:textId="77777777">
      <w:pPr>
        <w:pStyle w:val="ListParagraph"/>
        <w:spacing w:after="160" w:line="259" w:lineRule="auto"/>
        <w:ind w:left="0" w:firstLine="0"/>
        <w:rPr>
          <w:sz w:val="24"/>
          <w:szCs w:val="24"/>
        </w:rPr>
      </w:pPr>
    </w:p>
    <w:p w:rsidR="00B76328" w:rsidP="00A77053" w:rsidRDefault="00852993" w14:paraId="37F5F26E" w14:textId="5BD7B6F6">
      <w:pPr>
        <w:pStyle w:val="ListParagraph"/>
        <w:spacing w:after="160" w:line="259" w:lineRule="auto"/>
        <w:ind w:left="0" w:firstLine="0"/>
        <w:rPr>
          <w:sz w:val="24"/>
          <w:szCs w:val="24"/>
        </w:rPr>
      </w:pPr>
      <w:r>
        <w:rPr>
          <w:sz w:val="24"/>
          <w:szCs w:val="24"/>
        </w:rPr>
        <w:t xml:space="preserve">SDCP </w:t>
      </w:r>
      <w:r w:rsidR="00E66F23">
        <w:rPr>
          <w:sz w:val="24"/>
          <w:szCs w:val="24"/>
        </w:rPr>
        <w:t>argues</w:t>
      </w:r>
      <w:r w:rsidR="0081384B">
        <w:rPr>
          <w:sz w:val="24"/>
          <w:szCs w:val="24"/>
        </w:rPr>
        <w:t xml:space="preserve"> that it “did not willfully decline to purchase </w:t>
      </w:r>
      <w:r w:rsidR="00356548">
        <w:rPr>
          <w:sz w:val="24"/>
          <w:szCs w:val="24"/>
        </w:rPr>
        <w:t>system RA because it lacked financial resources.”</w:t>
      </w:r>
      <w:r w:rsidR="00356548">
        <w:rPr>
          <w:rStyle w:val="FootnoteReference"/>
          <w:sz w:val="24"/>
          <w:szCs w:val="24"/>
        </w:rPr>
        <w:footnoteReference w:id="44"/>
      </w:r>
      <w:r w:rsidR="00356548">
        <w:rPr>
          <w:sz w:val="24"/>
          <w:szCs w:val="24"/>
        </w:rPr>
        <w:t xml:space="preserve">  </w:t>
      </w:r>
      <w:r w:rsidR="00E66F23">
        <w:rPr>
          <w:sz w:val="24"/>
          <w:szCs w:val="24"/>
        </w:rPr>
        <w:t xml:space="preserve">CPED </w:t>
      </w:r>
      <w:r w:rsidR="007409CA">
        <w:rPr>
          <w:sz w:val="24"/>
          <w:szCs w:val="24"/>
        </w:rPr>
        <w:t>counters</w:t>
      </w:r>
      <w:r w:rsidR="00E66F23">
        <w:rPr>
          <w:sz w:val="24"/>
          <w:szCs w:val="24"/>
        </w:rPr>
        <w:t xml:space="preserve"> that this factor considers the financial resources of the LSE in relation to its ability to pay the fine, not the LSE’s</w:t>
      </w:r>
      <w:r w:rsidR="00B76328">
        <w:rPr>
          <w:sz w:val="24"/>
          <w:szCs w:val="24"/>
        </w:rPr>
        <w:t xml:space="preserve"> financial</w:t>
      </w:r>
      <w:r w:rsidR="00E66F23">
        <w:rPr>
          <w:sz w:val="24"/>
          <w:szCs w:val="24"/>
        </w:rPr>
        <w:t xml:space="preserve"> ability </w:t>
      </w:r>
      <w:r w:rsidR="00B76328">
        <w:rPr>
          <w:sz w:val="24"/>
          <w:szCs w:val="24"/>
        </w:rPr>
        <w:t>to</w:t>
      </w:r>
      <w:r w:rsidR="00E66F23">
        <w:rPr>
          <w:sz w:val="24"/>
          <w:szCs w:val="24"/>
        </w:rPr>
        <w:t xml:space="preserve"> procure RA.</w:t>
      </w:r>
      <w:r w:rsidR="00E66F23">
        <w:rPr>
          <w:rStyle w:val="FootnoteReference"/>
          <w:sz w:val="24"/>
          <w:szCs w:val="24"/>
        </w:rPr>
        <w:footnoteReference w:id="45"/>
      </w:r>
      <w:r w:rsidR="00E66F23">
        <w:rPr>
          <w:sz w:val="24"/>
          <w:szCs w:val="24"/>
        </w:rPr>
        <w:t xml:space="preserve">  We agree with CPED that whether an LSE had the financial resources to purchase RA does not inform our consideration of this factor.  </w:t>
      </w:r>
      <w:r w:rsidR="00B76328">
        <w:rPr>
          <w:sz w:val="24"/>
          <w:szCs w:val="24"/>
        </w:rPr>
        <w:t xml:space="preserve">Rather, D.98-12-075 states that this factor considers “the financial resources of the public utility in setting a fine.”  </w:t>
      </w:r>
    </w:p>
    <w:p w:rsidR="00B76328" w:rsidP="00A77053" w:rsidRDefault="00B76328" w14:paraId="1A624707" w14:textId="77777777">
      <w:pPr>
        <w:pStyle w:val="ListParagraph"/>
        <w:spacing w:after="160" w:line="259" w:lineRule="auto"/>
        <w:ind w:left="0" w:firstLine="0"/>
        <w:rPr>
          <w:sz w:val="24"/>
          <w:szCs w:val="24"/>
        </w:rPr>
      </w:pPr>
    </w:p>
    <w:p w:rsidRPr="00B27B03" w:rsidR="00AF3478" w:rsidP="00A77053" w:rsidRDefault="00600F24" w14:paraId="3801D717" w14:textId="7D92EFCD">
      <w:pPr>
        <w:pStyle w:val="ListParagraph"/>
        <w:spacing w:after="160" w:line="259" w:lineRule="auto"/>
        <w:ind w:left="0" w:firstLine="0"/>
        <w:rPr>
          <w:sz w:val="24"/>
          <w:szCs w:val="24"/>
        </w:rPr>
      </w:pPr>
      <w:r>
        <w:rPr>
          <w:sz w:val="24"/>
          <w:szCs w:val="24"/>
        </w:rPr>
        <w:t>As</w:t>
      </w:r>
      <w:r w:rsidR="00E66F23">
        <w:rPr>
          <w:sz w:val="24"/>
          <w:szCs w:val="24"/>
        </w:rPr>
        <w:t xml:space="preserve"> </w:t>
      </w:r>
      <w:r w:rsidR="00356548">
        <w:rPr>
          <w:sz w:val="24"/>
          <w:szCs w:val="24"/>
        </w:rPr>
        <w:t>SDCP does not argue that it lacks the financial resources to pay the penalty</w:t>
      </w:r>
      <w:r>
        <w:rPr>
          <w:sz w:val="24"/>
          <w:szCs w:val="24"/>
        </w:rPr>
        <w:t xml:space="preserve">, this factor is neither a mitigating </w:t>
      </w:r>
      <w:r w:rsidR="00913936">
        <w:rPr>
          <w:sz w:val="24"/>
          <w:szCs w:val="24"/>
        </w:rPr>
        <w:t>n</w:t>
      </w:r>
      <w:r>
        <w:rPr>
          <w:sz w:val="24"/>
          <w:szCs w:val="24"/>
        </w:rPr>
        <w:t>or aggravating factor in our analysis</w:t>
      </w:r>
      <w:r w:rsidR="00356548">
        <w:rPr>
          <w:sz w:val="24"/>
          <w:szCs w:val="24"/>
        </w:rPr>
        <w:t xml:space="preserve">.  </w:t>
      </w:r>
    </w:p>
    <w:p w:rsidRPr="00B27B03" w:rsidR="00E174BB" w:rsidP="00634BA2" w:rsidRDefault="004C6F6A" w14:paraId="23F81C72" w14:textId="5A6614B2">
      <w:pPr>
        <w:pStyle w:val="Standard"/>
        <w:numPr>
          <w:ilvl w:val="1"/>
          <w:numId w:val="22"/>
        </w:numPr>
        <w:spacing w:line="240" w:lineRule="auto"/>
        <w:ind w:left="1260" w:hanging="540"/>
        <w:rPr>
          <w:rFonts w:cs="Arial"/>
          <w:sz w:val="24"/>
          <w:szCs w:val="24"/>
        </w:rPr>
      </w:pPr>
      <w:r w:rsidRPr="00B27B03">
        <w:rPr>
          <w:rFonts w:cs="Arial"/>
          <w:b/>
          <w:bCs/>
          <w:sz w:val="24"/>
          <w:szCs w:val="24"/>
          <w:u w:val="single"/>
        </w:rPr>
        <w:t xml:space="preserve">Role of </w:t>
      </w:r>
      <w:r w:rsidR="000776C2">
        <w:rPr>
          <w:rFonts w:cs="Arial"/>
          <w:b/>
          <w:bCs/>
          <w:sz w:val="24"/>
          <w:szCs w:val="24"/>
          <w:u w:val="single"/>
        </w:rPr>
        <w:t>P</w:t>
      </w:r>
      <w:r w:rsidRPr="00B27B03">
        <w:rPr>
          <w:rFonts w:cs="Arial"/>
          <w:b/>
          <w:bCs/>
          <w:sz w:val="24"/>
          <w:szCs w:val="24"/>
          <w:u w:val="single"/>
        </w:rPr>
        <w:t>recedent</w:t>
      </w:r>
    </w:p>
    <w:p w:rsidRPr="00B27B03" w:rsidR="004C6F6A" w:rsidP="00DF2479" w:rsidRDefault="004C6F6A" w14:paraId="006816B0" w14:textId="77777777">
      <w:pPr>
        <w:pStyle w:val="Standard"/>
        <w:spacing w:line="240" w:lineRule="auto"/>
        <w:ind w:firstLine="0"/>
        <w:rPr>
          <w:rFonts w:cs="Arial"/>
          <w:sz w:val="24"/>
          <w:szCs w:val="24"/>
        </w:rPr>
      </w:pPr>
    </w:p>
    <w:p w:rsidRPr="00B27B03" w:rsidR="004C6F6A" w:rsidP="004C6F6A" w:rsidRDefault="004C6F6A" w14:paraId="343B062D" w14:textId="77777777">
      <w:pPr>
        <w:pStyle w:val="ListParagraph"/>
        <w:spacing w:after="160" w:line="259" w:lineRule="auto"/>
        <w:ind w:left="0" w:firstLine="0"/>
        <w:rPr>
          <w:rStyle w:val="ssleftalign"/>
          <w:sz w:val="24"/>
          <w:szCs w:val="24"/>
        </w:rPr>
      </w:pPr>
      <w:r w:rsidRPr="00B27B03">
        <w:rPr>
          <w:rFonts w:eastAsia="Times New Roman"/>
          <w:sz w:val="24"/>
          <w:szCs w:val="24"/>
        </w:rPr>
        <w:t xml:space="preserve">D.98-12-075 provides that: </w:t>
      </w:r>
      <w:r w:rsidRPr="00B27B03">
        <w:rPr>
          <w:rStyle w:val="ssleftalign"/>
          <w:sz w:val="24"/>
          <w:szCs w:val="24"/>
        </w:rPr>
        <w:t>“In future decisions which impose sanctions, the parties and, in turn the Commission will be expected to explicitly address those previously issued decisions which involve the most reasonably comparable factual circumstances and explain any substantial differences in outcome.”</w:t>
      </w:r>
      <w:r w:rsidRPr="00B27B03" w:rsidR="009C4521">
        <w:rPr>
          <w:rStyle w:val="FootnoteReference"/>
          <w:sz w:val="24"/>
          <w:szCs w:val="24"/>
        </w:rPr>
        <w:footnoteReference w:id="46"/>
      </w:r>
    </w:p>
    <w:p w:rsidRPr="00B27B03" w:rsidR="0078448B" w:rsidP="004C6F6A" w:rsidRDefault="0078448B" w14:paraId="5768B494" w14:textId="77777777">
      <w:pPr>
        <w:pStyle w:val="ListParagraph"/>
        <w:spacing w:after="160" w:line="259" w:lineRule="auto"/>
        <w:ind w:left="0" w:firstLine="0"/>
        <w:rPr>
          <w:rStyle w:val="ssleftalign"/>
          <w:sz w:val="24"/>
          <w:szCs w:val="24"/>
        </w:rPr>
      </w:pPr>
    </w:p>
    <w:p w:rsidR="00AF1A91" w:rsidP="004C6F6A" w:rsidRDefault="00E66F23" w14:paraId="0B95ABEA" w14:textId="5FD9834D">
      <w:pPr>
        <w:pStyle w:val="ListParagraph"/>
        <w:spacing w:after="160" w:line="259" w:lineRule="auto"/>
        <w:ind w:left="0" w:firstLine="0"/>
        <w:rPr>
          <w:rStyle w:val="ssleftalign"/>
          <w:sz w:val="24"/>
          <w:szCs w:val="24"/>
        </w:rPr>
      </w:pPr>
      <w:r>
        <w:rPr>
          <w:rStyle w:val="ssleftalign"/>
          <w:sz w:val="24"/>
          <w:szCs w:val="24"/>
        </w:rPr>
        <w:t>SDCP states that prior Commission decisions are not relevant because the schedule of penalties is based on the amount of deficiency.</w:t>
      </w:r>
      <w:r>
        <w:rPr>
          <w:rStyle w:val="FootnoteReference"/>
          <w:sz w:val="24"/>
          <w:szCs w:val="24"/>
        </w:rPr>
        <w:footnoteReference w:id="47"/>
      </w:r>
      <w:r w:rsidR="003358CB">
        <w:rPr>
          <w:rStyle w:val="ssleftalign"/>
          <w:sz w:val="24"/>
          <w:szCs w:val="24"/>
        </w:rPr>
        <w:t xml:space="preserve">  The Commission disagrees.  In s</w:t>
      </w:r>
      <w:r w:rsidRPr="00B27B03" w:rsidR="005D218C">
        <w:rPr>
          <w:rStyle w:val="ssleftalign"/>
          <w:sz w:val="24"/>
          <w:szCs w:val="24"/>
        </w:rPr>
        <w:t>everal</w:t>
      </w:r>
      <w:r w:rsidRPr="00B27B03" w:rsidR="00955F5E">
        <w:rPr>
          <w:rStyle w:val="ssleftalign"/>
          <w:sz w:val="24"/>
          <w:szCs w:val="24"/>
        </w:rPr>
        <w:t xml:space="preserve"> </w:t>
      </w:r>
      <w:r w:rsidR="003358CB">
        <w:rPr>
          <w:rStyle w:val="ssleftalign"/>
          <w:sz w:val="24"/>
          <w:szCs w:val="24"/>
        </w:rPr>
        <w:t xml:space="preserve">recent </w:t>
      </w:r>
      <w:r w:rsidRPr="00B27B03" w:rsidR="00295283">
        <w:rPr>
          <w:rStyle w:val="ssleftalign"/>
          <w:sz w:val="24"/>
          <w:szCs w:val="24"/>
        </w:rPr>
        <w:t xml:space="preserve">Commission </w:t>
      </w:r>
      <w:r w:rsidRPr="00B27B03" w:rsidR="00044715">
        <w:rPr>
          <w:rStyle w:val="ssleftalign"/>
          <w:sz w:val="24"/>
          <w:szCs w:val="24"/>
        </w:rPr>
        <w:t>r</w:t>
      </w:r>
      <w:r w:rsidRPr="00B27B03" w:rsidR="00955F5E">
        <w:rPr>
          <w:rStyle w:val="ssleftalign"/>
          <w:sz w:val="24"/>
          <w:szCs w:val="24"/>
        </w:rPr>
        <w:t>esolutions</w:t>
      </w:r>
      <w:r w:rsidRPr="00B27B03" w:rsidR="00295283">
        <w:rPr>
          <w:rStyle w:val="ssleftalign"/>
          <w:sz w:val="24"/>
          <w:szCs w:val="24"/>
        </w:rPr>
        <w:t xml:space="preserve"> </w:t>
      </w:r>
      <w:r w:rsidRPr="00B27B03" w:rsidR="005D218C">
        <w:rPr>
          <w:rStyle w:val="ssleftalign"/>
          <w:sz w:val="24"/>
          <w:szCs w:val="24"/>
        </w:rPr>
        <w:t>addressing</w:t>
      </w:r>
      <w:r w:rsidRPr="00B27B03" w:rsidR="00295283">
        <w:rPr>
          <w:rStyle w:val="ssleftalign"/>
          <w:sz w:val="24"/>
          <w:szCs w:val="24"/>
        </w:rPr>
        <w:t xml:space="preserve"> RA citation appeals</w:t>
      </w:r>
      <w:r w:rsidRPr="00B27B03" w:rsidR="0015792B">
        <w:rPr>
          <w:rStyle w:val="ssleftalign"/>
          <w:sz w:val="24"/>
          <w:szCs w:val="24"/>
        </w:rPr>
        <w:t>, the Commission</w:t>
      </w:r>
      <w:r w:rsidRPr="00B27B03" w:rsidR="00955F5E">
        <w:rPr>
          <w:rStyle w:val="ssleftalign"/>
          <w:sz w:val="24"/>
          <w:szCs w:val="24"/>
        </w:rPr>
        <w:t xml:space="preserve"> </w:t>
      </w:r>
      <w:r w:rsidRPr="00B27B03" w:rsidR="00673527">
        <w:rPr>
          <w:rStyle w:val="ssleftalign"/>
          <w:sz w:val="24"/>
          <w:szCs w:val="24"/>
        </w:rPr>
        <w:t>determined that</w:t>
      </w:r>
      <w:r w:rsidRPr="00B27B03" w:rsidR="004E38F8">
        <w:rPr>
          <w:rStyle w:val="ssleftalign"/>
          <w:sz w:val="24"/>
          <w:szCs w:val="24"/>
        </w:rPr>
        <w:t>: (1)</w:t>
      </w:r>
      <w:r w:rsidRPr="00B27B03" w:rsidR="00673527">
        <w:rPr>
          <w:rStyle w:val="ssleftalign"/>
          <w:sz w:val="24"/>
          <w:szCs w:val="24"/>
        </w:rPr>
        <w:t xml:space="preserve"> the appellant </w:t>
      </w:r>
      <w:r w:rsidRPr="00B27B03" w:rsidR="0015792B">
        <w:rPr>
          <w:rStyle w:val="ssleftalign"/>
          <w:sz w:val="24"/>
          <w:szCs w:val="24"/>
        </w:rPr>
        <w:t>deliberately failed to</w:t>
      </w:r>
      <w:r w:rsidRPr="00B27B03" w:rsidR="00673527">
        <w:rPr>
          <w:rStyle w:val="ssleftalign"/>
          <w:sz w:val="24"/>
          <w:szCs w:val="24"/>
        </w:rPr>
        <w:t xml:space="preserve"> procure </w:t>
      </w:r>
      <w:r w:rsidRPr="00B27B03" w:rsidR="0015792B">
        <w:rPr>
          <w:rStyle w:val="ssleftalign"/>
          <w:sz w:val="24"/>
          <w:szCs w:val="24"/>
        </w:rPr>
        <w:t xml:space="preserve">sufficient </w:t>
      </w:r>
      <w:r w:rsidRPr="00B27B03" w:rsidR="00673527">
        <w:rPr>
          <w:rStyle w:val="ssleftalign"/>
          <w:sz w:val="24"/>
          <w:szCs w:val="24"/>
        </w:rPr>
        <w:t>RA capacity to meet its obligations</w:t>
      </w:r>
      <w:r w:rsidR="0027383B">
        <w:rPr>
          <w:rStyle w:val="ssleftalign"/>
          <w:sz w:val="24"/>
          <w:szCs w:val="24"/>
        </w:rPr>
        <w:t>,</w:t>
      </w:r>
      <w:r w:rsidRPr="00B27B03" w:rsidR="00673527">
        <w:rPr>
          <w:rStyle w:val="ssleftalign"/>
          <w:sz w:val="24"/>
          <w:szCs w:val="24"/>
        </w:rPr>
        <w:t xml:space="preserve"> and </w:t>
      </w:r>
      <w:r w:rsidRPr="00B27B03" w:rsidR="004E38F8">
        <w:rPr>
          <w:rStyle w:val="ssleftalign"/>
          <w:sz w:val="24"/>
          <w:szCs w:val="24"/>
        </w:rPr>
        <w:t xml:space="preserve">(2) </w:t>
      </w:r>
      <w:r w:rsidRPr="00B27B03" w:rsidR="00955F5E">
        <w:rPr>
          <w:rStyle w:val="ssleftalign"/>
          <w:sz w:val="24"/>
          <w:szCs w:val="24"/>
        </w:rPr>
        <w:t xml:space="preserve">upheld </w:t>
      </w:r>
      <w:r w:rsidRPr="00B27B03" w:rsidR="00673527">
        <w:rPr>
          <w:rStyle w:val="ssleftalign"/>
          <w:sz w:val="24"/>
          <w:szCs w:val="24"/>
        </w:rPr>
        <w:t xml:space="preserve">the </w:t>
      </w:r>
      <w:r w:rsidRPr="00B27B03" w:rsidR="00955F5E">
        <w:rPr>
          <w:rStyle w:val="ssleftalign"/>
          <w:sz w:val="24"/>
          <w:szCs w:val="24"/>
        </w:rPr>
        <w:t xml:space="preserve">citation </w:t>
      </w:r>
      <w:r w:rsidRPr="00B27B03" w:rsidR="00BF68FE">
        <w:rPr>
          <w:rStyle w:val="ssleftalign"/>
          <w:sz w:val="24"/>
          <w:szCs w:val="24"/>
        </w:rPr>
        <w:t xml:space="preserve">and </w:t>
      </w:r>
      <w:r w:rsidRPr="00B27B03" w:rsidR="00955F5E">
        <w:rPr>
          <w:rStyle w:val="ssleftalign"/>
          <w:sz w:val="24"/>
          <w:szCs w:val="24"/>
        </w:rPr>
        <w:t>penalty based on the penalty schedule tied to the size of the deficiency.</w:t>
      </w:r>
      <w:r w:rsidRPr="00B27B03" w:rsidR="00955F5E">
        <w:rPr>
          <w:rStyle w:val="FootnoteReference"/>
          <w:sz w:val="24"/>
          <w:szCs w:val="24"/>
        </w:rPr>
        <w:footnoteReference w:id="48"/>
      </w:r>
      <w:r w:rsidRPr="00B27B03" w:rsidR="00955F5E">
        <w:rPr>
          <w:rStyle w:val="ssleftalign"/>
          <w:sz w:val="24"/>
          <w:szCs w:val="24"/>
        </w:rPr>
        <w:t xml:space="preserve">  </w:t>
      </w:r>
      <w:r w:rsidR="00AF1A91">
        <w:rPr>
          <w:rStyle w:val="ssleftalign"/>
          <w:sz w:val="24"/>
          <w:szCs w:val="24"/>
        </w:rPr>
        <w:t>SDCP</w:t>
      </w:r>
      <w:r w:rsidRPr="00B27B03" w:rsidR="00AF1A91">
        <w:rPr>
          <w:rStyle w:val="ssleftalign"/>
          <w:sz w:val="24"/>
          <w:szCs w:val="24"/>
        </w:rPr>
        <w:t xml:space="preserve"> ha</w:t>
      </w:r>
      <w:r w:rsidR="00AF1A91">
        <w:rPr>
          <w:rStyle w:val="ssleftalign"/>
          <w:sz w:val="24"/>
          <w:szCs w:val="24"/>
        </w:rPr>
        <w:t>s</w:t>
      </w:r>
      <w:r w:rsidRPr="00B27B03" w:rsidR="00AF1A91">
        <w:rPr>
          <w:rStyle w:val="ssleftalign"/>
          <w:sz w:val="24"/>
          <w:szCs w:val="24"/>
        </w:rPr>
        <w:t xml:space="preserve"> provided no Commission precedent that adjusted an RA citation penalty downward or upward, or otherwise deviated from the RA penalty schedule.</w:t>
      </w:r>
    </w:p>
    <w:p w:rsidR="00AF1A91" w:rsidP="004C6F6A" w:rsidRDefault="00AF1A91" w14:paraId="42227D63" w14:textId="77777777">
      <w:pPr>
        <w:pStyle w:val="ListParagraph"/>
        <w:spacing w:after="160" w:line="259" w:lineRule="auto"/>
        <w:ind w:left="0" w:firstLine="0"/>
        <w:rPr>
          <w:rStyle w:val="ssleftalign"/>
          <w:sz w:val="24"/>
          <w:szCs w:val="24"/>
        </w:rPr>
      </w:pPr>
    </w:p>
    <w:p w:rsidR="00AF1A91" w:rsidP="00CF1F75" w:rsidRDefault="00AF1A91" w14:paraId="6F48D5B6" w14:textId="204540AE">
      <w:pPr>
        <w:pStyle w:val="ListParagraph"/>
        <w:spacing w:after="160" w:line="259" w:lineRule="auto"/>
        <w:ind w:left="0" w:firstLine="0"/>
        <w:rPr>
          <w:sz w:val="24"/>
          <w:szCs w:val="24"/>
        </w:rPr>
      </w:pPr>
      <w:r>
        <w:rPr>
          <w:rStyle w:val="ssleftalign"/>
          <w:sz w:val="24"/>
          <w:szCs w:val="24"/>
        </w:rPr>
        <w:lastRenderedPageBreak/>
        <w:t xml:space="preserve">In addition, </w:t>
      </w:r>
      <w:r w:rsidR="00857775">
        <w:rPr>
          <w:rStyle w:val="ssleftalign"/>
          <w:sz w:val="24"/>
          <w:szCs w:val="24"/>
        </w:rPr>
        <w:t>several</w:t>
      </w:r>
      <w:r>
        <w:rPr>
          <w:rStyle w:val="ssleftalign"/>
          <w:sz w:val="24"/>
          <w:szCs w:val="24"/>
        </w:rPr>
        <w:t xml:space="preserve"> Commission resolutions have made clear </w:t>
      </w:r>
      <w:r w:rsidRPr="00B27B03">
        <w:rPr>
          <w:sz w:val="24"/>
          <w:szCs w:val="24"/>
        </w:rPr>
        <w:t xml:space="preserve">that market conditions do not excuse non-compliance with the RA requirements.  </w:t>
      </w:r>
      <w:r>
        <w:rPr>
          <w:sz w:val="24"/>
          <w:szCs w:val="24"/>
        </w:rPr>
        <w:t>SDCP’s argument that it was unable to procure RA resources because resources could not be found in the market has been repeat</w:t>
      </w:r>
      <w:r w:rsidR="00505D30">
        <w:rPr>
          <w:sz w:val="24"/>
          <w:szCs w:val="24"/>
        </w:rPr>
        <w:t xml:space="preserve">edly denied by the Commission as a basis for </w:t>
      </w:r>
      <w:r w:rsidR="00857775">
        <w:rPr>
          <w:sz w:val="24"/>
          <w:szCs w:val="24"/>
        </w:rPr>
        <w:t xml:space="preserve">mitigating or excusing an LSE’s failure to </w:t>
      </w:r>
      <w:r w:rsidR="00505D30">
        <w:rPr>
          <w:sz w:val="24"/>
          <w:szCs w:val="24"/>
        </w:rPr>
        <w:t>compl</w:t>
      </w:r>
      <w:r w:rsidR="00857775">
        <w:rPr>
          <w:sz w:val="24"/>
          <w:szCs w:val="24"/>
        </w:rPr>
        <w:t>y</w:t>
      </w:r>
      <w:r w:rsidR="00505D30">
        <w:rPr>
          <w:sz w:val="24"/>
          <w:szCs w:val="24"/>
        </w:rPr>
        <w:t xml:space="preserve"> with </w:t>
      </w:r>
      <w:r w:rsidR="00857775">
        <w:rPr>
          <w:sz w:val="24"/>
          <w:szCs w:val="24"/>
        </w:rPr>
        <w:t xml:space="preserve">its </w:t>
      </w:r>
      <w:r w:rsidR="00505D30">
        <w:rPr>
          <w:sz w:val="24"/>
          <w:szCs w:val="24"/>
        </w:rPr>
        <w:t>RA requirements</w:t>
      </w:r>
      <w:r>
        <w:rPr>
          <w:sz w:val="24"/>
          <w:szCs w:val="24"/>
        </w:rPr>
        <w:t>.</w:t>
      </w:r>
      <w:r>
        <w:rPr>
          <w:rStyle w:val="FootnoteReference"/>
          <w:sz w:val="24"/>
          <w:szCs w:val="24"/>
        </w:rPr>
        <w:footnoteReference w:id="49"/>
      </w:r>
      <w:r>
        <w:rPr>
          <w:sz w:val="24"/>
          <w:szCs w:val="24"/>
        </w:rPr>
        <w:t xml:space="preserve">  </w:t>
      </w:r>
      <w:r w:rsidR="00857775">
        <w:rPr>
          <w:sz w:val="24"/>
          <w:szCs w:val="24"/>
        </w:rPr>
        <w:t>In</w:t>
      </w:r>
      <w:r w:rsidRPr="00B27B03">
        <w:rPr>
          <w:sz w:val="24"/>
          <w:szCs w:val="24"/>
        </w:rPr>
        <w:t xml:space="preserve"> Resolution ALJ-406, which affirmed San Jose Clean</w:t>
      </w:r>
      <w:r>
        <w:rPr>
          <w:sz w:val="24"/>
          <w:szCs w:val="24"/>
        </w:rPr>
        <w:t> </w:t>
      </w:r>
      <w:r w:rsidRPr="00B27B03">
        <w:rPr>
          <w:sz w:val="24"/>
          <w:szCs w:val="24"/>
        </w:rPr>
        <w:t xml:space="preserve">Energy’s citation for RA deficiencies, the Commission </w:t>
      </w:r>
      <w:r>
        <w:rPr>
          <w:sz w:val="24"/>
          <w:szCs w:val="24"/>
        </w:rPr>
        <w:t>stated:</w:t>
      </w:r>
    </w:p>
    <w:p w:rsidR="00AF1A91" w:rsidP="00AF1A91" w:rsidRDefault="00AF1A91" w14:paraId="583BA824" w14:textId="77777777">
      <w:pPr>
        <w:pStyle w:val="Standard"/>
        <w:spacing w:line="240" w:lineRule="auto"/>
        <w:ind w:left="720" w:right="1440" w:firstLine="0"/>
        <w:rPr>
          <w:sz w:val="24"/>
          <w:szCs w:val="24"/>
          <w:lang w:val="en-ZW"/>
        </w:rPr>
      </w:pPr>
      <w:r>
        <w:rPr>
          <w:sz w:val="24"/>
          <w:szCs w:val="24"/>
        </w:rPr>
        <w:t>[N]</w:t>
      </w:r>
      <w:r>
        <w:rPr>
          <w:sz w:val="24"/>
          <w:szCs w:val="24"/>
          <w:lang w:val="en-ZW"/>
        </w:rPr>
        <w:t xml:space="preserve">one of these [cited] decisions endorse the principle that commercial impracticability due to market conditions alone excuses compliance with RA requirements.  Rather, the decisions uniformly emphasize that, while </w:t>
      </w:r>
      <w:r w:rsidRPr="00B27B03">
        <w:rPr>
          <w:sz w:val="24"/>
          <w:szCs w:val="24"/>
          <w:lang w:val="en-ZW"/>
        </w:rPr>
        <w:t>the Commission will act to protect ratepayers from the failure of the market due to market power, tight market conditions alone are not reason to excuse compliance with RA compliance.</w:t>
      </w:r>
      <w:r w:rsidRPr="00B27B03">
        <w:rPr>
          <w:rStyle w:val="FootnoteReference"/>
          <w:sz w:val="24"/>
          <w:szCs w:val="24"/>
          <w:lang w:val="en-ZW"/>
        </w:rPr>
        <w:footnoteReference w:id="50"/>
      </w:r>
      <w:r w:rsidRPr="00B27B03">
        <w:rPr>
          <w:sz w:val="24"/>
          <w:szCs w:val="24"/>
          <w:lang w:val="en-ZW"/>
        </w:rPr>
        <w:t xml:space="preserve">  </w:t>
      </w:r>
    </w:p>
    <w:p w:rsidR="00AF1A91" w:rsidP="00AF1A91" w:rsidRDefault="00AF1A91" w14:paraId="03AE6531" w14:textId="77777777">
      <w:pPr>
        <w:pStyle w:val="Standard"/>
        <w:spacing w:line="240" w:lineRule="auto"/>
        <w:ind w:firstLine="0"/>
        <w:rPr>
          <w:sz w:val="24"/>
          <w:szCs w:val="24"/>
          <w:lang w:val="en-ZW"/>
        </w:rPr>
      </w:pPr>
    </w:p>
    <w:p w:rsidR="00857775" w:rsidP="00AF1A91" w:rsidRDefault="00857775" w14:paraId="20AD62E2" w14:textId="3E8FE655">
      <w:pPr>
        <w:pStyle w:val="Standard"/>
        <w:spacing w:line="240" w:lineRule="auto"/>
        <w:ind w:firstLine="0"/>
        <w:rPr>
          <w:sz w:val="24"/>
          <w:szCs w:val="24"/>
        </w:rPr>
      </w:pPr>
      <w:r>
        <w:rPr>
          <w:sz w:val="24"/>
          <w:szCs w:val="24"/>
          <w:lang w:val="en-ZW"/>
        </w:rPr>
        <w:t>Similarly, in</w:t>
      </w:r>
      <w:r w:rsidRPr="00B27B03" w:rsidR="00AF1A91">
        <w:rPr>
          <w:sz w:val="24"/>
          <w:szCs w:val="24"/>
          <w:lang w:val="en-ZW"/>
        </w:rPr>
        <w:t xml:space="preserve"> Resolution ALJ-</w:t>
      </w:r>
      <w:r w:rsidR="00AF1A91">
        <w:rPr>
          <w:sz w:val="24"/>
          <w:szCs w:val="24"/>
          <w:lang w:val="en-ZW"/>
        </w:rPr>
        <w:t>424</w:t>
      </w:r>
      <w:r w:rsidRPr="00B27B03" w:rsidR="00AF1A91">
        <w:rPr>
          <w:sz w:val="24"/>
          <w:szCs w:val="24"/>
          <w:lang w:val="en-ZW"/>
        </w:rPr>
        <w:t xml:space="preserve">, </w:t>
      </w:r>
      <w:r>
        <w:rPr>
          <w:sz w:val="24"/>
          <w:szCs w:val="24"/>
          <w:lang w:val="en-ZW"/>
        </w:rPr>
        <w:t xml:space="preserve">affirming Commercial Energy’s citation for RA deficiencies, </w:t>
      </w:r>
      <w:r w:rsidRPr="00B27B03" w:rsidR="00AF1A91">
        <w:rPr>
          <w:sz w:val="24"/>
          <w:szCs w:val="24"/>
          <w:lang w:val="en-ZW"/>
        </w:rPr>
        <w:t xml:space="preserve">the Commission </w:t>
      </w:r>
      <w:r w:rsidR="00AF1A91">
        <w:rPr>
          <w:sz w:val="24"/>
          <w:szCs w:val="24"/>
          <w:lang w:val="en-ZW"/>
        </w:rPr>
        <w:t>stated</w:t>
      </w:r>
      <w:r w:rsidRPr="00B27B03" w:rsidR="00AF1A91">
        <w:rPr>
          <w:sz w:val="24"/>
          <w:szCs w:val="24"/>
          <w:lang w:val="en-ZW"/>
        </w:rPr>
        <w:t xml:space="preserve"> that “LSEs are not excused from providing service due to market conditions</w:t>
      </w:r>
      <w:r w:rsidR="00AF1A91">
        <w:rPr>
          <w:sz w:val="24"/>
          <w:szCs w:val="24"/>
          <w:lang w:val="en-ZW"/>
        </w:rPr>
        <w:t>.</w:t>
      </w:r>
      <w:r w:rsidRPr="00B27B03" w:rsidR="00AF1A91">
        <w:rPr>
          <w:sz w:val="24"/>
          <w:szCs w:val="24"/>
          <w:lang w:val="en-ZW"/>
        </w:rPr>
        <w:t>”</w:t>
      </w:r>
      <w:r w:rsidR="00AF1A91">
        <w:rPr>
          <w:rStyle w:val="FootnoteReference"/>
          <w:sz w:val="24"/>
          <w:szCs w:val="24"/>
          <w:lang w:val="en-ZW"/>
        </w:rPr>
        <w:footnoteReference w:id="51"/>
      </w:r>
      <w:r w:rsidR="00AF1A91">
        <w:rPr>
          <w:sz w:val="24"/>
          <w:szCs w:val="24"/>
          <w:lang w:val="en-ZW"/>
        </w:rPr>
        <w:t xml:space="preserve">  We stated that the “</w:t>
      </w:r>
      <w:r w:rsidRPr="00B27B03" w:rsidR="00AF1A91">
        <w:rPr>
          <w:sz w:val="24"/>
          <w:szCs w:val="24"/>
        </w:rPr>
        <w:t xml:space="preserve">the cost of operating as an LSE as required by law is not a mitigating factor for failure to meet those </w:t>
      </w:r>
      <w:r w:rsidR="00AF1A91">
        <w:rPr>
          <w:sz w:val="24"/>
          <w:szCs w:val="24"/>
        </w:rPr>
        <w:t>[</w:t>
      </w:r>
      <w:r w:rsidRPr="00B27B03" w:rsidR="00AF1A91">
        <w:rPr>
          <w:sz w:val="24"/>
          <w:szCs w:val="24"/>
        </w:rPr>
        <w:t>RA</w:t>
      </w:r>
      <w:r w:rsidR="00AF1A91">
        <w:rPr>
          <w:sz w:val="24"/>
          <w:szCs w:val="24"/>
        </w:rPr>
        <w:t>]</w:t>
      </w:r>
      <w:r w:rsidRPr="00B27B03" w:rsidR="00AF1A91">
        <w:rPr>
          <w:sz w:val="24"/>
          <w:szCs w:val="24"/>
        </w:rPr>
        <w:t xml:space="preserve"> requirements</w:t>
      </w:r>
      <w:r>
        <w:rPr>
          <w:sz w:val="24"/>
          <w:szCs w:val="24"/>
        </w:rPr>
        <w:t xml:space="preserve">.  </w:t>
      </w:r>
      <w:r w:rsidRPr="00B27B03" w:rsidR="00AF1A91">
        <w:rPr>
          <w:sz w:val="24"/>
          <w:szCs w:val="24"/>
        </w:rPr>
        <w:t>Pub. Util. Code § 380(c) and the RA program require that, in order to operate as an LSE, the entity must meet its procurement obligations.”</w:t>
      </w:r>
      <w:r w:rsidRPr="00B27B03" w:rsidR="00AF1A91">
        <w:rPr>
          <w:rStyle w:val="FootnoteReference"/>
          <w:sz w:val="24"/>
          <w:szCs w:val="24"/>
        </w:rPr>
        <w:footnoteReference w:id="52"/>
      </w:r>
      <w:r>
        <w:rPr>
          <w:sz w:val="24"/>
          <w:szCs w:val="24"/>
        </w:rPr>
        <w:t xml:space="preserve">  </w:t>
      </w:r>
      <w:r w:rsidR="006832AF">
        <w:rPr>
          <w:sz w:val="24"/>
          <w:szCs w:val="24"/>
        </w:rPr>
        <w:t>Further, in</w:t>
      </w:r>
      <w:r>
        <w:rPr>
          <w:sz w:val="24"/>
          <w:szCs w:val="24"/>
        </w:rPr>
        <w:t xml:space="preserve"> </w:t>
      </w:r>
      <w:r w:rsidRPr="00B27B03">
        <w:rPr>
          <w:sz w:val="24"/>
          <w:szCs w:val="24"/>
        </w:rPr>
        <w:t>Resolution ALJ-298, affirm</w:t>
      </w:r>
      <w:r>
        <w:rPr>
          <w:sz w:val="24"/>
          <w:szCs w:val="24"/>
        </w:rPr>
        <w:t>ing</w:t>
      </w:r>
      <w:r w:rsidRPr="00B27B03">
        <w:rPr>
          <w:sz w:val="24"/>
          <w:szCs w:val="24"/>
        </w:rPr>
        <w:t xml:space="preserve"> 3 Phase Renewables’ citation for RA deficiencies, the Commission held that “[f]</w:t>
      </w:r>
      <w:proofErr w:type="spellStart"/>
      <w:r w:rsidRPr="00B27B03">
        <w:rPr>
          <w:sz w:val="24"/>
          <w:szCs w:val="24"/>
        </w:rPr>
        <w:t>ines</w:t>
      </w:r>
      <w:proofErr w:type="spellEnd"/>
      <w:r w:rsidRPr="00B27B03">
        <w:rPr>
          <w:sz w:val="24"/>
          <w:szCs w:val="24"/>
        </w:rPr>
        <w:t xml:space="preserve"> under Resolution E-4195 need not take market conditions into account.”</w:t>
      </w:r>
      <w:r w:rsidRPr="00B27B03">
        <w:rPr>
          <w:rStyle w:val="FootnoteReference"/>
          <w:sz w:val="24"/>
          <w:szCs w:val="24"/>
        </w:rPr>
        <w:footnoteReference w:id="53"/>
      </w:r>
      <w:r w:rsidRPr="00B27B03">
        <w:rPr>
          <w:sz w:val="24"/>
          <w:szCs w:val="24"/>
        </w:rPr>
        <w:t xml:space="preserve">  </w:t>
      </w:r>
    </w:p>
    <w:p w:rsidRPr="00B27B03" w:rsidR="00955F5E" w:rsidP="004C6F6A" w:rsidRDefault="00955F5E" w14:paraId="66BE4B6C" w14:textId="77777777">
      <w:pPr>
        <w:pStyle w:val="ListParagraph"/>
        <w:spacing w:after="160" w:line="259" w:lineRule="auto"/>
        <w:ind w:left="0" w:firstLine="0"/>
        <w:rPr>
          <w:rStyle w:val="ssleftalign"/>
          <w:sz w:val="24"/>
          <w:szCs w:val="24"/>
        </w:rPr>
      </w:pPr>
    </w:p>
    <w:p w:rsidR="00691BEF" w:rsidP="004C6F6A" w:rsidRDefault="00480141" w14:paraId="291C22E3" w14:textId="57611B3E">
      <w:pPr>
        <w:pStyle w:val="ListParagraph"/>
        <w:spacing w:after="160" w:line="259" w:lineRule="auto"/>
        <w:ind w:left="0" w:firstLine="0"/>
        <w:rPr>
          <w:rStyle w:val="ssleftalign"/>
          <w:sz w:val="24"/>
          <w:szCs w:val="24"/>
        </w:rPr>
      </w:pPr>
      <w:r w:rsidRPr="00B27B03">
        <w:rPr>
          <w:rStyle w:val="ssleftalign"/>
          <w:sz w:val="24"/>
          <w:szCs w:val="24"/>
        </w:rPr>
        <w:t>B</w:t>
      </w:r>
      <w:r w:rsidRPr="00B27B03" w:rsidR="0015792B">
        <w:rPr>
          <w:rStyle w:val="ssleftalign"/>
          <w:sz w:val="24"/>
          <w:szCs w:val="24"/>
        </w:rPr>
        <w:t>ased on the</w:t>
      </w:r>
      <w:r w:rsidRPr="00B27B03" w:rsidR="00C73F2A">
        <w:rPr>
          <w:rStyle w:val="ssleftalign"/>
          <w:sz w:val="24"/>
          <w:szCs w:val="24"/>
        </w:rPr>
        <w:t xml:space="preserve"> </w:t>
      </w:r>
      <w:r w:rsidRPr="00B27B03">
        <w:rPr>
          <w:rStyle w:val="ssleftalign"/>
          <w:sz w:val="24"/>
          <w:szCs w:val="24"/>
        </w:rPr>
        <w:t>Commission</w:t>
      </w:r>
      <w:r w:rsidRPr="00B27B03" w:rsidR="00C73F2A">
        <w:rPr>
          <w:rStyle w:val="ssleftalign"/>
          <w:sz w:val="24"/>
          <w:szCs w:val="24"/>
        </w:rPr>
        <w:t xml:space="preserve"> precedent </w:t>
      </w:r>
      <w:r w:rsidR="00691BEF">
        <w:rPr>
          <w:rStyle w:val="ssleftalign"/>
          <w:sz w:val="24"/>
          <w:szCs w:val="24"/>
        </w:rPr>
        <w:t>addressing</w:t>
      </w:r>
      <w:r w:rsidRPr="00B27B03" w:rsidR="00C73F2A">
        <w:rPr>
          <w:rStyle w:val="ssleftalign"/>
          <w:sz w:val="24"/>
          <w:szCs w:val="24"/>
        </w:rPr>
        <w:t xml:space="preserve"> RA citation appeals</w:t>
      </w:r>
      <w:r w:rsidRPr="00B27B03" w:rsidR="0015792B">
        <w:rPr>
          <w:rStyle w:val="ssleftalign"/>
          <w:sz w:val="24"/>
          <w:szCs w:val="24"/>
        </w:rPr>
        <w:t xml:space="preserve">, </w:t>
      </w:r>
      <w:r w:rsidRPr="00B27B03">
        <w:rPr>
          <w:rStyle w:val="ssleftalign"/>
          <w:sz w:val="24"/>
          <w:szCs w:val="24"/>
        </w:rPr>
        <w:t>this</w:t>
      </w:r>
      <w:r w:rsidRPr="00B27B03" w:rsidR="0015792B">
        <w:rPr>
          <w:rStyle w:val="ssleftalign"/>
          <w:sz w:val="24"/>
          <w:szCs w:val="24"/>
        </w:rPr>
        <w:t xml:space="preserve"> factor</w:t>
      </w:r>
      <w:r w:rsidRPr="00B27B03" w:rsidR="00C73F2A">
        <w:rPr>
          <w:rStyle w:val="ssleftalign"/>
          <w:sz w:val="24"/>
          <w:szCs w:val="24"/>
        </w:rPr>
        <w:t xml:space="preserve"> favors </w:t>
      </w:r>
      <w:r w:rsidRPr="00B27B03" w:rsidR="004763FB">
        <w:rPr>
          <w:rStyle w:val="ssleftalign"/>
          <w:sz w:val="24"/>
          <w:szCs w:val="24"/>
        </w:rPr>
        <w:t>affirming</w:t>
      </w:r>
      <w:r w:rsidRPr="00B27B03" w:rsidR="00C73F2A">
        <w:rPr>
          <w:rStyle w:val="ssleftalign"/>
          <w:sz w:val="24"/>
          <w:szCs w:val="24"/>
        </w:rPr>
        <w:t xml:space="preserve"> the </w:t>
      </w:r>
      <w:r w:rsidRPr="00B27B03" w:rsidR="00A0016D">
        <w:rPr>
          <w:rStyle w:val="ssleftalign"/>
          <w:sz w:val="24"/>
          <w:szCs w:val="24"/>
        </w:rPr>
        <w:t xml:space="preserve">citation </w:t>
      </w:r>
      <w:r w:rsidRPr="00B27B03" w:rsidR="00C73F2A">
        <w:rPr>
          <w:rStyle w:val="ssleftalign"/>
          <w:sz w:val="24"/>
          <w:szCs w:val="24"/>
        </w:rPr>
        <w:t>penalty based on the penalty schedule tied to the size of the deficiency.</w:t>
      </w:r>
    </w:p>
    <w:p w:rsidRPr="00B27B03" w:rsidR="00691BEF" w:rsidP="004C6F6A" w:rsidRDefault="00691BEF" w14:paraId="435F0A37" w14:textId="77777777">
      <w:pPr>
        <w:pStyle w:val="ListParagraph"/>
        <w:spacing w:after="160" w:line="259" w:lineRule="auto"/>
        <w:ind w:left="0" w:firstLine="0"/>
        <w:rPr>
          <w:rStyle w:val="ssleftalign"/>
          <w:sz w:val="24"/>
          <w:szCs w:val="24"/>
        </w:rPr>
      </w:pPr>
    </w:p>
    <w:p w:rsidRPr="00B27B03" w:rsidR="00C73F2A" w:rsidP="00634BA2" w:rsidRDefault="00A971BD" w14:paraId="2248CB47" w14:textId="1934D97E">
      <w:pPr>
        <w:pStyle w:val="ListParagraph"/>
        <w:numPr>
          <w:ilvl w:val="1"/>
          <w:numId w:val="22"/>
        </w:numPr>
        <w:spacing w:after="160" w:line="259" w:lineRule="auto"/>
        <w:ind w:left="1260" w:hanging="540"/>
        <w:rPr>
          <w:rStyle w:val="ssleftalign"/>
          <w:sz w:val="24"/>
          <w:szCs w:val="24"/>
        </w:rPr>
      </w:pPr>
      <w:r w:rsidRPr="00B27B03">
        <w:rPr>
          <w:rStyle w:val="ssleftalign"/>
          <w:b/>
          <w:bCs/>
          <w:sz w:val="24"/>
          <w:szCs w:val="24"/>
          <w:u w:val="single"/>
        </w:rPr>
        <w:t>Totality of the Circumstances</w:t>
      </w:r>
    </w:p>
    <w:p w:rsidRPr="00B27B03" w:rsidR="00A971BD" w:rsidP="004C6F6A" w:rsidRDefault="00A971BD" w14:paraId="5DAB2CAC" w14:textId="77777777">
      <w:pPr>
        <w:pStyle w:val="ListParagraph"/>
        <w:spacing w:after="160" w:line="259" w:lineRule="auto"/>
        <w:ind w:left="0" w:firstLine="0"/>
        <w:rPr>
          <w:rStyle w:val="ssleftalign"/>
          <w:sz w:val="24"/>
          <w:szCs w:val="24"/>
        </w:rPr>
      </w:pPr>
    </w:p>
    <w:p w:rsidRPr="00B27B03" w:rsidR="0015792B" w:rsidP="00A971BD" w:rsidRDefault="00A971BD" w14:paraId="0ADDA013" w14:textId="77777777">
      <w:pPr>
        <w:pStyle w:val="ListParagraph"/>
        <w:spacing w:after="160" w:line="259" w:lineRule="auto"/>
        <w:ind w:left="0" w:firstLine="0"/>
        <w:rPr>
          <w:rFonts w:eastAsia="Times New Roman"/>
          <w:sz w:val="24"/>
          <w:szCs w:val="24"/>
        </w:rPr>
      </w:pPr>
      <w:r w:rsidRPr="00B27B03">
        <w:rPr>
          <w:rFonts w:eastAsia="Times New Roman"/>
          <w:sz w:val="24"/>
          <w:szCs w:val="24"/>
        </w:rPr>
        <w:t xml:space="preserve">D.98-12-075 provides that: </w:t>
      </w:r>
    </w:p>
    <w:p w:rsidRPr="00B27B03" w:rsidR="0015792B" w:rsidP="004F2255" w:rsidRDefault="0015792B" w14:paraId="7352A75B" w14:textId="77777777">
      <w:pPr>
        <w:pStyle w:val="ListParagraph"/>
        <w:spacing w:line="259" w:lineRule="auto"/>
        <w:ind w:left="0" w:firstLine="0"/>
        <w:rPr>
          <w:rFonts w:eastAsia="Times New Roman"/>
          <w:sz w:val="24"/>
          <w:szCs w:val="24"/>
        </w:rPr>
      </w:pPr>
    </w:p>
    <w:p w:rsidRPr="00B27B03" w:rsidR="00A971BD" w:rsidP="004F2255" w:rsidRDefault="00A971BD" w14:paraId="44EB3F93" w14:textId="491FE5B2">
      <w:pPr>
        <w:pStyle w:val="ListParagraph"/>
        <w:spacing w:after="240" w:line="259" w:lineRule="auto"/>
        <w:ind w:right="1440" w:firstLine="0"/>
        <w:rPr>
          <w:rFonts w:cs="Arial"/>
          <w:b/>
          <w:bCs/>
          <w:sz w:val="24"/>
          <w:szCs w:val="24"/>
        </w:rPr>
      </w:pPr>
      <w:r w:rsidRPr="00B27B03">
        <w:rPr>
          <w:rFonts w:eastAsia="Times New Roman"/>
          <w:sz w:val="24"/>
          <w:szCs w:val="24"/>
        </w:rPr>
        <w:t xml:space="preserve">Setting a fine at a level which effectively deters further unlawful conduct by the subject utility and others requires that the Commission specifically tailor the package of sanctions, including </w:t>
      </w:r>
      <w:r w:rsidRPr="00B27B03">
        <w:rPr>
          <w:rFonts w:eastAsia="Times New Roman"/>
          <w:sz w:val="24"/>
          <w:szCs w:val="24"/>
        </w:rPr>
        <w:lastRenderedPageBreak/>
        <w:t xml:space="preserve">any fine, to the unique facts of the case. </w:t>
      </w:r>
      <w:r w:rsidR="009635CE">
        <w:rPr>
          <w:rFonts w:eastAsia="Times New Roman"/>
          <w:sz w:val="24"/>
          <w:szCs w:val="24"/>
        </w:rPr>
        <w:t xml:space="preserve"> </w:t>
      </w:r>
      <w:r w:rsidRPr="00B27B03">
        <w:rPr>
          <w:rFonts w:eastAsia="Times New Roman"/>
          <w:sz w:val="24"/>
          <w:szCs w:val="24"/>
        </w:rPr>
        <w:t xml:space="preserve">The Commission will review facts which tend to mitigate the degree of wrongdoing as well as any facts which exacerbate the wrongdoing. </w:t>
      </w:r>
      <w:r w:rsidRPr="00B27B03" w:rsidR="00FA4980">
        <w:rPr>
          <w:rFonts w:eastAsia="Times New Roman"/>
          <w:sz w:val="24"/>
          <w:szCs w:val="24"/>
        </w:rPr>
        <w:t xml:space="preserve"> </w:t>
      </w:r>
      <w:r w:rsidRPr="00B27B03">
        <w:rPr>
          <w:rFonts w:eastAsia="Times New Roman"/>
          <w:sz w:val="24"/>
          <w:szCs w:val="24"/>
        </w:rPr>
        <w:t>In all cases, the harm will be evaluated from the perspective of the public interest.</w:t>
      </w:r>
      <w:r w:rsidRPr="00B27B03" w:rsidR="00E319DB">
        <w:rPr>
          <w:rStyle w:val="FootnoteReference"/>
          <w:rFonts w:eastAsia="Times New Roman"/>
          <w:sz w:val="24"/>
          <w:szCs w:val="24"/>
        </w:rPr>
        <w:footnoteReference w:id="54"/>
      </w:r>
      <w:r w:rsidRPr="00B27B03">
        <w:rPr>
          <w:rFonts w:eastAsia="Times New Roman"/>
          <w:sz w:val="24"/>
          <w:szCs w:val="24"/>
        </w:rPr>
        <w:t xml:space="preserve"> </w:t>
      </w:r>
    </w:p>
    <w:p w:rsidR="00222708" w:rsidP="00222708" w:rsidRDefault="007A103C" w14:paraId="2E28BE25" w14:textId="6609BC5F">
      <w:pPr>
        <w:pStyle w:val="Standard"/>
        <w:spacing w:line="240" w:lineRule="auto"/>
        <w:ind w:firstLine="0"/>
        <w:rPr>
          <w:sz w:val="24"/>
          <w:szCs w:val="24"/>
        </w:rPr>
      </w:pPr>
      <w:r>
        <w:rPr>
          <w:sz w:val="24"/>
          <w:szCs w:val="24"/>
        </w:rPr>
        <w:t>SDCP claims that “no penalty amount could effectively deter noncompliance since it was impossible for SDCP to procure the necessary resources at any price.”</w:t>
      </w:r>
      <w:r>
        <w:rPr>
          <w:rStyle w:val="FootnoteReference"/>
          <w:sz w:val="24"/>
          <w:szCs w:val="24"/>
        </w:rPr>
        <w:footnoteReference w:id="55"/>
      </w:r>
      <w:r>
        <w:rPr>
          <w:sz w:val="24"/>
          <w:szCs w:val="24"/>
        </w:rPr>
        <w:t xml:space="preserve">  </w:t>
      </w:r>
      <w:r w:rsidR="006531F7">
        <w:rPr>
          <w:sz w:val="24"/>
          <w:szCs w:val="24"/>
        </w:rPr>
        <w:t>However, a</w:t>
      </w:r>
      <w:r>
        <w:rPr>
          <w:sz w:val="24"/>
          <w:szCs w:val="24"/>
        </w:rPr>
        <w:t xml:space="preserve">s discussed in Section 2, SDCP </w:t>
      </w:r>
      <w:r w:rsidR="00857775">
        <w:rPr>
          <w:sz w:val="24"/>
          <w:szCs w:val="24"/>
        </w:rPr>
        <w:t xml:space="preserve">failed to satisfy its burden to prove that it was impossible to procure the necessary RA resources at any price.  </w:t>
      </w:r>
      <w:r w:rsidR="006531F7">
        <w:rPr>
          <w:sz w:val="24"/>
          <w:szCs w:val="24"/>
        </w:rPr>
        <w:t>D</w:t>
      </w:r>
      <w:r w:rsidR="00857775">
        <w:rPr>
          <w:sz w:val="24"/>
          <w:szCs w:val="24"/>
        </w:rPr>
        <w:t xml:space="preserve">espite the prospect of the penalty amount, </w:t>
      </w:r>
      <w:r w:rsidR="00200E46">
        <w:rPr>
          <w:sz w:val="24"/>
          <w:szCs w:val="24"/>
        </w:rPr>
        <w:t xml:space="preserve">SDCP was not incentivized </w:t>
      </w:r>
      <w:r w:rsidR="00857775">
        <w:rPr>
          <w:sz w:val="24"/>
          <w:szCs w:val="24"/>
        </w:rPr>
        <w:t xml:space="preserve">to </w:t>
      </w:r>
      <w:r w:rsidR="00200E46">
        <w:rPr>
          <w:sz w:val="24"/>
          <w:szCs w:val="24"/>
        </w:rPr>
        <w:t xml:space="preserve">attempt to </w:t>
      </w:r>
      <w:r w:rsidR="00857775">
        <w:rPr>
          <w:sz w:val="24"/>
          <w:szCs w:val="24"/>
        </w:rPr>
        <w:t xml:space="preserve">procure </w:t>
      </w:r>
      <w:r w:rsidR="00200E46">
        <w:rPr>
          <w:sz w:val="24"/>
          <w:szCs w:val="24"/>
        </w:rPr>
        <w:t>available RA</w:t>
      </w:r>
      <w:r w:rsidR="00192ADB">
        <w:rPr>
          <w:sz w:val="24"/>
          <w:szCs w:val="24"/>
        </w:rPr>
        <w:t> </w:t>
      </w:r>
      <w:r w:rsidR="00857775">
        <w:rPr>
          <w:sz w:val="24"/>
          <w:szCs w:val="24"/>
        </w:rPr>
        <w:t>resources</w:t>
      </w:r>
      <w:r w:rsidR="00200E46">
        <w:rPr>
          <w:sz w:val="24"/>
          <w:szCs w:val="24"/>
        </w:rPr>
        <w:t xml:space="preserve"> and to bid into third-party solicitations at market-competitive prices</w:t>
      </w:r>
      <w:r w:rsidR="00857775">
        <w:rPr>
          <w:sz w:val="24"/>
          <w:szCs w:val="24"/>
        </w:rPr>
        <w:t xml:space="preserve">.  </w:t>
      </w:r>
      <w:r w:rsidR="00AC313D">
        <w:rPr>
          <w:sz w:val="24"/>
          <w:szCs w:val="24"/>
        </w:rPr>
        <w:t>If anything</w:t>
      </w:r>
      <w:r w:rsidR="006531F7">
        <w:rPr>
          <w:sz w:val="24"/>
          <w:szCs w:val="24"/>
        </w:rPr>
        <w:t xml:space="preserve">, </w:t>
      </w:r>
      <w:r w:rsidR="00200E46">
        <w:rPr>
          <w:sz w:val="24"/>
          <w:szCs w:val="24"/>
        </w:rPr>
        <w:t xml:space="preserve">SDCP’s actions suggest that the RA penalty </w:t>
      </w:r>
      <w:r w:rsidR="006531F7">
        <w:rPr>
          <w:sz w:val="24"/>
          <w:szCs w:val="24"/>
        </w:rPr>
        <w:t>amounts are</w:t>
      </w:r>
      <w:r w:rsidR="00200E46">
        <w:rPr>
          <w:sz w:val="24"/>
          <w:szCs w:val="24"/>
        </w:rPr>
        <w:t xml:space="preserve"> not </w:t>
      </w:r>
      <w:r w:rsidR="00857775">
        <w:rPr>
          <w:sz w:val="24"/>
          <w:szCs w:val="24"/>
        </w:rPr>
        <w:t xml:space="preserve">sufficiently high </w:t>
      </w:r>
      <w:r w:rsidR="00200E46">
        <w:rPr>
          <w:sz w:val="24"/>
          <w:szCs w:val="24"/>
        </w:rPr>
        <w:t xml:space="preserve">to incentivize </w:t>
      </w:r>
      <w:r w:rsidR="006531F7">
        <w:rPr>
          <w:sz w:val="24"/>
          <w:szCs w:val="24"/>
        </w:rPr>
        <w:t>an LSE</w:t>
      </w:r>
      <w:r w:rsidR="00200E46">
        <w:rPr>
          <w:sz w:val="24"/>
          <w:szCs w:val="24"/>
        </w:rPr>
        <w:t xml:space="preserve"> to comply with </w:t>
      </w:r>
      <w:r w:rsidR="006531F7">
        <w:rPr>
          <w:sz w:val="24"/>
          <w:szCs w:val="24"/>
        </w:rPr>
        <w:t>the</w:t>
      </w:r>
      <w:r w:rsidR="00200E46">
        <w:rPr>
          <w:sz w:val="24"/>
          <w:szCs w:val="24"/>
        </w:rPr>
        <w:t xml:space="preserve"> RA requirements</w:t>
      </w:r>
      <w:r w:rsidR="00857775">
        <w:rPr>
          <w:sz w:val="24"/>
          <w:szCs w:val="24"/>
        </w:rPr>
        <w:t xml:space="preserve">.  </w:t>
      </w:r>
    </w:p>
    <w:p w:rsidR="00AA67AC" w:rsidP="00222708" w:rsidRDefault="00AA67AC" w14:paraId="4607BB16" w14:textId="31A1198E">
      <w:pPr>
        <w:pStyle w:val="Standard"/>
        <w:spacing w:line="240" w:lineRule="auto"/>
        <w:ind w:firstLine="0"/>
        <w:rPr>
          <w:sz w:val="24"/>
          <w:szCs w:val="24"/>
        </w:rPr>
      </w:pPr>
    </w:p>
    <w:p w:rsidR="00AA67AC" w:rsidP="00222708" w:rsidRDefault="00AA67AC" w14:paraId="0C5E18E8" w14:textId="4BB7D7F0">
      <w:pPr>
        <w:pStyle w:val="Standard"/>
        <w:spacing w:line="240" w:lineRule="auto"/>
        <w:ind w:firstLine="0"/>
        <w:rPr>
          <w:sz w:val="24"/>
          <w:szCs w:val="24"/>
        </w:rPr>
      </w:pPr>
      <w:r>
        <w:rPr>
          <w:sz w:val="24"/>
          <w:szCs w:val="24"/>
        </w:rPr>
        <w:t xml:space="preserve">SDCP </w:t>
      </w:r>
      <w:r w:rsidR="00B054EB">
        <w:rPr>
          <w:sz w:val="24"/>
          <w:szCs w:val="24"/>
        </w:rPr>
        <w:t xml:space="preserve">also </w:t>
      </w:r>
      <w:r>
        <w:rPr>
          <w:sz w:val="24"/>
          <w:szCs w:val="24"/>
        </w:rPr>
        <w:t>argue</w:t>
      </w:r>
      <w:r w:rsidR="00B054EB">
        <w:rPr>
          <w:sz w:val="24"/>
          <w:szCs w:val="24"/>
        </w:rPr>
        <w:t>s</w:t>
      </w:r>
      <w:r>
        <w:rPr>
          <w:sz w:val="24"/>
          <w:szCs w:val="24"/>
        </w:rPr>
        <w:t xml:space="preserve"> that the penalty should be eliminated because SDCP detrimentally relied on a contract with Bonneville Power Administration (BPA) that was cancelled at the last minute by BPA due to a lack of water resources.</w:t>
      </w:r>
      <w:r>
        <w:rPr>
          <w:rStyle w:val="FootnoteReference"/>
          <w:sz w:val="24"/>
          <w:szCs w:val="24"/>
        </w:rPr>
        <w:footnoteReference w:id="56"/>
      </w:r>
      <w:r>
        <w:rPr>
          <w:sz w:val="24"/>
          <w:szCs w:val="24"/>
        </w:rPr>
        <w:t xml:space="preserve">  SDCP cites to the doctrine of promissory estoppel to ostensibly argue that it would be unjust for the Commission to penalize SDCP for the failure of BPA to fulfill its contractual obligations.</w:t>
      </w:r>
      <w:r>
        <w:rPr>
          <w:rStyle w:val="FootnoteReference"/>
          <w:sz w:val="24"/>
          <w:szCs w:val="24"/>
        </w:rPr>
        <w:footnoteReference w:id="57"/>
      </w:r>
      <w:r>
        <w:rPr>
          <w:sz w:val="24"/>
          <w:szCs w:val="24"/>
        </w:rPr>
        <w:t xml:space="preserve">  CPED responds that a promissory estoppel argument would be appropriate if SDCP was bringing an action against BPA</w:t>
      </w:r>
      <w:r w:rsidR="007B034D">
        <w:rPr>
          <w:sz w:val="24"/>
          <w:szCs w:val="24"/>
        </w:rPr>
        <w:t>.  SDCP’s argument is without merit</w:t>
      </w:r>
      <w:r>
        <w:rPr>
          <w:sz w:val="24"/>
          <w:szCs w:val="24"/>
        </w:rPr>
        <w:t xml:space="preserve">.  A bilateral contract dispute </w:t>
      </w:r>
      <w:r w:rsidR="00B1426B">
        <w:rPr>
          <w:sz w:val="24"/>
          <w:szCs w:val="24"/>
        </w:rPr>
        <w:t xml:space="preserve">between two private parties </w:t>
      </w:r>
      <w:r>
        <w:rPr>
          <w:sz w:val="24"/>
          <w:szCs w:val="24"/>
        </w:rPr>
        <w:t xml:space="preserve">has no bearing on the Commission’s enforcement of an LSE’s RA obligations.  </w:t>
      </w:r>
    </w:p>
    <w:p w:rsidR="00BF130B" w:rsidP="00222708" w:rsidRDefault="00BF130B" w14:paraId="66E3F803" w14:textId="52AE8586">
      <w:pPr>
        <w:pStyle w:val="Standard"/>
        <w:spacing w:line="240" w:lineRule="auto"/>
        <w:ind w:firstLine="0"/>
        <w:rPr>
          <w:sz w:val="24"/>
          <w:szCs w:val="24"/>
        </w:rPr>
      </w:pPr>
    </w:p>
    <w:p w:rsidR="0032632D" w:rsidP="00222708" w:rsidRDefault="00BF130B" w14:paraId="67E99747" w14:textId="77777777">
      <w:pPr>
        <w:pStyle w:val="Standard"/>
        <w:spacing w:line="240" w:lineRule="auto"/>
        <w:ind w:firstLine="0"/>
        <w:rPr>
          <w:sz w:val="24"/>
          <w:szCs w:val="24"/>
        </w:rPr>
      </w:pPr>
      <w:r>
        <w:rPr>
          <w:sz w:val="24"/>
          <w:szCs w:val="24"/>
        </w:rPr>
        <w:t>SDCP further argues that the penalty should be reduced because in D.19-11-016, the Commission stated that a modified cost allocation mechanism (MCAM) would be developed through a workshop process.</w:t>
      </w:r>
      <w:r>
        <w:rPr>
          <w:rStyle w:val="FootnoteReference"/>
          <w:sz w:val="24"/>
          <w:szCs w:val="24"/>
        </w:rPr>
        <w:footnoteReference w:id="58"/>
      </w:r>
      <w:r>
        <w:rPr>
          <w:sz w:val="24"/>
          <w:szCs w:val="24"/>
        </w:rPr>
        <w:t xml:space="preserve">  SDCP argues that the MCAM was not adopted for new departing load until D.22-05-015</w:t>
      </w:r>
      <w:r w:rsidR="00E926C4">
        <w:rPr>
          <w:sz w:val="24"/>
          <w:szCs w:val="24"/>
        </w:rPr>
        <w:t>, and that if it had been adopted earlier, SDCP estimates that it would have been able to procure additional capacity.</w:t>
      </w:r>
      <w:r w:rsidR="00EF119F">
        <w:rPr>
          <w:sz w:val="24"/>
          <w:szCs w:val="24"/>
        </w:rPr>
        <w:t xml:space="preserve">  </w:t>
      </w:r>
    </w:p>
    <w:p w:rsidR="0032632D" w:rsidP="00222708" w:rsidRDefault="0032632D" w14:paraId="23E4679A" w14:textId="77777777">
      <w:pPr>
        <w:pStyle w:val="Standard"/>
        <w:spacing w:line="240" w:lineRule="auto"/>
        <w:ind w:firstLine="0"/>
        <w:rPr>
          <w:sz w:val="24"/>
          <w:szCs w:val="24"/>
        </w:rPr>
      </w:pPr>
    </w:p>
    <w:p w:rsidR="00BF130B" w:rsidP="00222708" w:rsidRDefault="00EF119F" w14:paraId="0C4537E1" w14:textId="371C11D9">
      <w:pPr>
        <w:pStyle w:val="Standard"/>
        <w:spacing w:line="240" w:lineRule="auto"/>
        <w:ind w:firstLine="0"/>
        <w:rPr>
          <w:sz w:val="24"/>
          <w:szCs w:val="24"/>
        </w:rPr>
      </w:pPr>
      <w:r>
        <w:rPr>
          <w:sz w:val="24"/>
          <w:szCs w:val="24"/>
        </w:rPr>
        <w:t xml:space="preserve">This argument is without merit.  </w:t>
      </w:r>
      <w:r w:rsidR="00F64E1E">
        <w:rPr>
          <w:sz w:val="24"/>
          <w:szCs w:val="24"/>
        </w:rPr>
        <w:t>SDCP failed to meet its RA requirements on July</w:t>
      </w:r>
      <w:r w:rsidR="00192ADB">
        <w:rPr>
          <w:sz w:val="24"/>
          <w:szCs w:val="24"/>
        </w:rPr>
        <w:t> </w:t>
      </w:r>
      <w:r w:rsidR="00F64E1E">
        <w:rPr>
          <w:sz w:val="24"/>
          <w:szCs w:val="24"/>
        </w:rPr>
        <w:t>15,</w:t>
      </w:r>
      <w:r w:rsidR="00192ADB">
        <w:rPr>
          <w:sz w:val="24"/>
          <w:szCs w:val="24"/>
        </w:rPr>
        <w:t> </w:t>
      </w:r>
      <w:r w:rsidR="00F64E1E">
        <w:rPr>
          <w:sz w:val="24"/>
          <w:szCs w:val="24"/>
        </w:rPr>
        <w:t xml:space="preserve">2021, and </w:t>
      </w:r>
      <w:r w:rsidR="0032632D">
        <w:rPr>
          <w:sz w:val="24"/>
          <w:szCs w:val="24"/>
        </w:rPr>
        <w:t xml:space="preserve">D.22-05-015 </w:t>
      </w:r>
      <w:r w:rsidR="00F64E1E">
        <w:rPr>
          <w:sz w:val="24"/>
          <w:szCs w:val="24"/>
        </w:rPr>
        <w:t>was</w:t>
      </w:r>
      <w:r w:rsidR="0032632D">
        <w:rPr>
          <w:sz w:val="24"/>
          <w:szCs w:val="24"/>
        </w:rPr>
        <w:t xml:space="preserve"> issued</w:t>
      </w:r>
      <w:r w:rsidR="00F64E1E">
        <w:rPr>
          <w:sz w:val="24"/>
          <w:szCs w:val="24"/>
        </w:rPr>
        <w:t xml:space="preserve"> </w:t>
      </w:r>
      <w:r w:rsidR="00DA4A1D">
        <w:rPr>
          <w:sz w:val="24"/>
          <w:szCs w:val="24"/>
        </w:rPr>
        <w:t>ten</w:t>
      </w:r>
      <w:r w:rsidR="00F64E1E">
        <w:rPr>
          <w:sz w:val="24"/>
          <w:szCs w:val="24"/>
        </w:rPr>
        <w:t xml:space="preserve"> months </w:t>
      </w:r>
      <w:proofErr w:type="gramStart"/>
      <w:r w:rsidR="00F64E1E">
        <w:rPr>
          <w:sz w:val="24"/>
          <w:szCs w:val="24"/>
        </w:rPr>
        <w:t>later on</w:t>
      </w:r>
      <w:proofErr w:type="gramEnd"/>
      <w:r w:rsidR="00F64E1E">
        <w:rPr>
          <w:sz w:val="24"/>
          <w:szCs w:val="24"/>
        </w:rPr>
        <w:t xml:space="preserve"> </w:t>
      </w:r>
      <w:r w:rsidR="00DA4A1D">
        <w:rPr>
          <w:sz w:val="24"/>
          <w:szCs w:val="24"/>
        </w:rPr>
        <w:t>May</w:t>
      </w:r>
      <w:r w:rsidR="00F64E1E">
        <w:rPr>
          <w:sz w:val="24"/>
          <w:szCs w:val="24"/>
        </w:rPr>
        <w:t xml:space="preserve"> 2</w:t>
      </w:r>
      <w:r w:rsidR="00DA4A1D">
        <w:rPr>
          <w:sz w:val="24"/>
          <w:szCs w:val="24"/>
        </w:rPr>
        <w:t>3</w:t>
      </w:r>
      <w:r w:rsidR="00F64E1E">
        <w:rPr>
          <w:sz w:val="24"/>
          <w:szCs w:val="24"/>
        </w:rPr>
        <w:t xml:space="preserve">, 2022.  Each LSE participating in the RA program is required to comply with its RA obligations, pursuant to Pub. Util. Code </w:t>
      </w:r>
      <w:r w:rsidRPr="00EF119F" w:rsidR="00F64E1E">
        <w:rPr>
          <w:sz w:val="24"/>
          <w:szCs w:val="24"/>
        </w:rPr>
        <w:t>§</w:t>
      </w:r>
      <w:r w:rsidR="00F64E1E">
        <w:rPr>
          <w:sz w:val="24"/>
          <w:szCs w:val="24"/>
        </w:rPr>
        <w:t xml:space="preserve"> 380.  </w:t>
      </w:r>
      <w:r w:rsidR="00FD716E">
        <w:rPr>
          <w:sz w:val="24"/>
          <w:szCs w:val="24"/>
        </w:rPr>
        <w:t>SDCP</w:t>
      </w:r>
      <w:r w:rsidR="00C95BE4">
        <w:rPr>
          <w:sz w:val="24"/>
          <w:szCs w:val="24"/>
        </w:rPr>
        <w:t xml:space="preserve">’s failure </w:t>
      </w:r>
      <w:r w:rsidR="00FD716E">
        <w:rPr>
          <w:sz w:val="24"/>
          <w:szCs w:val="24"/>
        </w:rPr>
        <w:t xml:space="preserve">to meet its RA obligations </w:t>
      </w:r>
      <w:r w:rsidR="00C95BE4">
        <w:rPr>
          <w:sz w:val="24"/>
          <w:szCs w:val="24"/>
        </w:rPr>
        <w:t>is not</w:t>
      </w:r>
      <w:r w:rsidR="00FD716E">
        <w:rPr>
          <w:sz w:val="24"/>
          <w:szCs w:val="24"/>
        </w:rPr>
        <w:t xml:space="preserve"> </w:t>
      </w:r>
      <w:r w:rsidR="006B56E1">
        <w:rPr>
          <w:sz w:val="24"/>
          <w:szCs w:val="24"/>
        </w:rPr>
        <w:t xml:space="preserve">excused or </w:t>
      </w:r>
      <w:r w:rsidR="00FD716E">
        <w:rPr>
          <w:sz w:val="24"/>
          <w:szCs w:val="24"/>
        </w:rPr>
        <w:t xml:space="preserve">mitigated </w:t>
      </w:r>
      <w:r w:rsidR="00D67A24">
        <w:rPr>
          <w:sz w:val="24"/>
          <w:szCs w:val="24"/>
        </w:rPr>
        <w:t xml:space="preserve">simply </w:t>
      </w:r>
      <w:r w:rsidR="00FD716E">
        <w:rPr>
          <w:sz w:val="24"/>
          <w:szCs w:val="24"/>
        </w:rPr>
        <w:t xml:space="preserve">because SDCP believes the Commission should </w:t>
      </w:r>
      <w:r w:rsidR="00C95BE4">
        <w:rPr>
          <w:sz w:val="24"/>
          <w:szCs w:val="24"/>
        </w:rPr>
        <w:t xml:space="preserve">have </w:t>
      </w:r>
      <w:r w:rsidR="00B07671">
        <w:rPr>
          <w:sz w:val="24"/>
          <w:szCs w:val="24"/>
        </w:rPr>
        <w:t>taken an action</w:t>
      </w:r>
      <w:r w:rsidR="00C95BE4">
        <w:rPr>
          <w:sz w:val="24"/>
          <w:szCs w:val="24"/>
        </w:rPr>
        <w:t xml:space="preserve"> </w:t>
      </w:r>
      <w:r w:rsidR="004A76A9">
        <w:rPr>
          <w:sz w:val="24"/>
          <w:szCs w:val="24"/>
        </w:rPr>
        <w:t>one</w:t>
      </w:r>
      <w:r w:rsidR="00DA4A1D">
        <w:rPr>
          <w:sz w:val="24"/>
          <w:szCs w:val="24"/>
        </w:rPr>
        <w:t xml:space="preserve"> year </w:t>
      </w:r>
      <w:r w:rsidR="0032632D">
        <w:rPr>
          <w:sz w:val="24"/>
          <w:szCs w:val="24"/>
        </w:rPr>
        <w:t>prior</w:t>
      </w:r>
      <w:r w:rsidR="006B56E1">
        <w:rPr>
          <w:sz w:val="24"/>
          <w:szCs w:val="24"/>
        </w:rPr>
        <w:t>.</w:t>
      </w:r>
      <w:r w:rsidR="00C95BE4">
        <w:rPr>
          <w:sz w:val="24"/>
          <w:szCs w:val="24"/>
        </w:rPr>
        <w:t xml:space="preserve"> </w:t>
      </w:r>
      <w:r w:rsidR="00B07671">
        <w:rPr>
          <w:sz w:val="24"/>
          <w:szCs w:val="24"/>
        </w:rPr>
        <w:t xml:space="preserve"> </w:t>
      </w:r>
    </w:p>
    <w:p w:rsidR="006531F7" w:rsidP="00222708" w:rsidRDefault="006531F7" w14:paraId="44BE61CE" w14:textId="77777777">
      <w:pPr>
        <w:pStyle w:val="Standard"/>
        <w:spacing w:line="240" w:lineRule="auto"/>
        <w:ind w:firstLine="0"/>
        <w:rPr>
          <w:sz w:val="24"/>
          <w:szCs w:val="24"/>
        </w:rPr>
      </w:pPr>
    </w:p>
    <w:p w:rsidR="009123E3" w:rsidP="002222ED" w:rsidRDefault="00BD6522" w14:paraId="4D0AC147" w14:textId="5FACDC83">
      <w:pPr>
        <w:pStyle w:val="Standard"/>
        <w:spacing w:line="240" w:lineRule="auto"/>
        <w:ind w:firstLine="0"/>
        <w:rPr>
          <w:sz w:val="24"/>
          <w:szCs w:val="24"/>
        </w:rPr>
      </w:pPr>
      <w:r>
        <w:rPr>
          <w:sz w:val="24"/>
          <w:szCs w:val="24"/>
        </w:rPr>
        <w:t>B</w:t>
      </w:r>
      <w:r w:rsidRPr="00B27B03">
        <w:rPr>
          <w:sz w:val="24"/>
          <w:szCs w:val="24"/>
        </w:rPr>
        <w:t>ased on the totality of the circumstances</w:t>
      </w:r>
      <w:r>
        <w:rPr>
          <w:sz w:val="24"/>
          <w:szCs w:val="24"/>
        </w:rPr>
        <w:t>, including the previous four factors, we find no mitigating factors</w:t>
      </w:r>
      <w:r w:rsidR="004177D4">
        <w:rPr>
          <w:sz w:val="24"/>
          <w:szCs w:val="24"/>
        </w:rPr>
        <w:t xml:space="preserve"> and several aggravating factors</w:t>
      </w:r>
      <w:r>
        <w:rPr>
          <w:sz w:val="24"/>
          <w:szCs w:val="24"/>
        </w:rPr>
        <w:t xml:space="preserve">.  </w:t>
      </w:r>
      <w:r w:rsidR="00184342">
        <w:rPr>
          <w:sz w:val="24"/>
          <w:szCs w:val="24"/>
        </w:rPr>
        <w:t>Despite the aggravating factors, t</w:t>
      </w:r>
      <w:r w:rsidR="00CD1CB3">
        <w:rPr>
          <w:sz w:val="24"/>
          <w:szCs w:val="24"/>
        </w:rPr>
        <w:t>he</w:t>
      </w:r>
      <w:r w:rsidR="00563A05">
        <w:rPr>
          <w:sz w:val="24"/>
          <w:szCs w:val="24"/>
        </w:rPr>
        <w:t xml:space="preserve"> Commission</w:t>
      </w:r>
      <w:r>
        <w:rPr>
          <w:sz w:val="24"/>
          <w:szCs w:val="24"/>
        </w:rPr>
        <w:t xml:space="preserve"> </w:t>
      </w:r>
      <w:r w:rsidR="00EA0B16">
        <w:rPr>
          <w:sz w:val="24"/>
          <w:szCs w:val="24"/>
        </w:rPr>
        <w:t>finds</w:t>
      </w:r>
      <w:r>
        <w:rPr>
          <w:sz w:val="24"/>
          <w:szCs w:val="24"/>
        </w:rPr>
        <w:t xml:space="preserve"> that the established RA penalty schedule should appl</w:t>
      </w:r>
      <w:r w:rsidR="00EB2162">
        <w:rPr>
          <w:sz w:val="24"/>
          <w:szCs w:val="24"/>
        </w:rPr>
        <w:t>y</w:t>
      </w:r>
      <w:r>
        <w:rPr>
          <w:sz w:val="24"/>
          <w:szCs w:val="24"/>
        </w:rPr>
        <w:t xml:space="preserve"> to SDCP’s deficiency amount.  </w:t>
      </w:r>
      <w:r w:rsidR="00184342">
        <w:rPr>
          <w:sz w:val="24"/>
          <w:szCs w:val="24"/>
        </w:rPr>
        <w:t xml:space="preserve">As such, SDCP’s assessed </w:t>
      </w:r>
      <w:r w:rsidRPr="00B27B03" w:rsidR="00184342">
        <w:rPr>
          <w:sz w:val="24"/>
          <w:szCs w:val="24"/>
        </w:rPr>
        <w:t xml:space="preserve">citation </w:t>
      </w:r>
      <w:r w:rsidR="00184342">
        <w:rPr>
          <w:sz w:val="24"/>
          <w:szCs w:val="24"/>
        </w:rPr>
        <w:t xml:space="preserve">shall not be </w:t>
      </w:r>
      <w:r w:rsidRPr="00B27B03" w:rsidR="00184342">
        <w:rPr>
          <w:sz w:val="24"/>
          <w:szCs w:val="24"/>
        </w:rPr>
        <w:t xml:space="preserve">excused </w:t>
      </w:r>
      <w:r w:rsidR="00184342">
        <w:rPr>
          <w:sz w:val="24"/>
          <w:szCs w:val="24"/>
        </w:rPr>
        <w:t>and</w:t>
      </w:r>
      <w:r w:rsidRPr="00B27B03" w:rsidR="00184342">
        <w:rPr>
          <w:sz w:val="24"/>
          <w:szCs w:val="24"/>
        </w:rPr>
        <w:t xml:space="preserve"> </w:t>
      </w:r>
      <w:r w:rsidR="00184342">
        <w:rPr>
          <w:sz w:val="24"/>
          <w:szCs w:val="24"/>
        </w:rPr>
        <w:t xml:space="preserve">the penalty shall not be </w:t>
      </w:r>
      <w:r w:rsidRPr="00B27B03" w:rsidR="00184342">
        <w:rPr>
          <w:sz w:val="24"/>
          <w:szCs w:val="24"/>
        </w:rPr>
        <w:t>reduced.</w:t>
      </w:r>
      <w:r w:rsidR="00184342">
        <w:rPr>
          <w:sz w:val="24"/>
          <w:szCs w:val="24"/>
        </w:rPr>
        <w:t xml:space="preserve">  </w:t>
      </w:r>
    </w:p>
    <w:p w:rsidR="00377AC0" w:rsidP="00B80E79" w:rsidRDefault="00377AC0" w14:paraId="1FFFD4AE" w14:textId="77777777">
      <w:pPr>
        <w:pStyle w:val="Standard"/>
        <w:spacing w:line="240" w:lineRule="auto"/>
        <w:ind w:firstLine="0"/>
        <w:rPr>
          <w:b/>
          <w:bCs/>
          <w:sz w:val="24"/>
          <w:szCs w:val="24"/>
          <w:u w:val="single"/>
        </w:rPr>
      </w:pPr>
    </w:p>
    <w:p w:rsidRPr="006075C8" w:rsidR="00380495" w:rsidP="006075C8" w:rsidRDefault="00FF556C" w14:paraId="5A7ADDEC" w14:textId="432E5B71">
      <w:pPr>
        <w:pStyle w:val="Standard"/>
        <w:spacing w:line="240" w:lineRule="auto"/>
        <w:ind w:firstLine="0"/>
        <w:rPr>
          <w:b/>
          <w:bCs/>
          <w:sz w:val="24"/>
          <w:szCs w:val="24"/>
          <w:u w:val="single"/>
        </w:rPr>
      </w:pPr>
      <w:r w:rsidRPr="00B27B03">
        <w:rPr>
          <w:b/>
          <w:bCs/>
          <w:sz w:val="24"/>
          <w:szCs w:val="24"/>
          <w:u w:val="single"/>
        </w:rPr>
        <w:t>CONCLUSION</w:t>
      </w:r>
    </w:p>
    <w:p w:rsidR="006075C8" w:rsidP="00BD6522" w:rsidRDefault="006075C8" w14:paraId="3DC69D31" w14:textId="77777777">
      <w:pPr>
        <w:pStyle w:val="ListParagraph"/>
        <w:spacing w:line="240" w:lineRule="auto"/>
        <w:ind w:left="0" w:firstLine="0"/>
        <w:rPr>
          <w:rFonts w:cs="ArialUnicodeMS"/>
          <w:sz w:val="24"/>
          <w:szCs w:val="24"/>
        </w:rPr>
      </w:pPr>
    </w:p>
    <w:p w:rsidRPr="00BD6522" w:rsidR="00FF556C" w:rsidP="00BD6522" w:rsidRDefault="008841FA" w14:paraId="4706D259" w14:textId="65841794">
      <w:pPr>
        <w:pStyle w:val="ListParagraph"/>
        <w:spacing w:line="240" w:lineRule="auto"/>
        <w:ind w:left="0" w:firstLine="0"/>
        <w:rPr>
          <w:rFonts w:cs="ArialUnicodeMS"/>
          <w:sz w:val="24"/>
          <w:szCs w:val="24"/>
        </w:rPr>
      </w:pPr>
      <w:r w:rsidRPr="00B27B03">
        <w:rPr>
          <w:rFonts w:cs="ArialUnicodeMS"/>
          <w:sz w:val="24"/>
          <w:szCs w:val="24"/>
        </w:rPr>
        <w:t>Based on the five-factor</w:t>
      </w:r>
      <w:r w:rsidRPr="00B27B03" w:rsidR="00512353">
        <w:rPr>
          <w:rFonts w:cs="ArialUnicodeMS"/>
          <w:sz w:val="24"/>
          <w:szCs w:val="24"/>
        </w:rPr>
        <w:t xml:space="preserve"> test in</w:t>
      </w:r>
      <w:r w:rsidRPr="00B27B03">
        <w:rPr>
          <w:rFonts w:cs="ArialUnicodeMS"/>
          <w:sz w:val="24"/>
          <w:szCs w:val="24"/>
        </w:rPr>
        <w:t xml:space="preserve"> D.98-12-075, </w:t>
      </w:r>
      <w:r w:rsidR="00BD6522">
        <w:rPr>
          <w:rFonts w:cs="ArialUnicodeMS"/>
          <w:sz w:val="24"/>
          <w:szCs w:val="24"/>
        </w:rPr>
        <w:t>SDCP</w:t>
      </w:r>
      <w:r w:rsidRPr="00B27B03" w:rsidR="00380495">
        <w:rPr>
          <w:rFonts w:cs="ArialUnicodeMS"/>
          <w:sz w:val="24"/>
          <w:szCs w:val="24"/>
        </w:rPr>
        <w:t xml:space="preserve"> failed to meet its burden </w:t>
      </w:r>
      <w:r w:rsidRPr="00B27B03" w:rsidR="006C72ED">
        <w:rPr>
          <w:rFonts w:cs="ArialUnicodeMS"/>
          <w:sz w:val="24"/>
          <w:szCs w:val="24"/>
        </w:rPr>
        <w:t>to</w:t>
      </w:r>
      <w:r w:rsidRPr="00B27B03">
        <w:rPr>
          <w:rFonts w:cs="ArialUnicodeMS"/>
          <w:sz w:val="24"/>
          <w:szCs w:val="24"/>
        </w:rPr>
        <w:t xml:space="preserve"> </w:t>
      </w:r>
      <w:r w:rsidRPr="00B27B03" w:rsidR="00380495">
        <w:rPr>
          <w:rFonts w:cs="ArialUnicodeMS"/>
          <w:sz w:val="24"/>
          <w:szCs w:val="24"/>
        </w:rPr>
        <w:t xml:space="preserve">rebut CPED’s demonstration that </w:t>
      </w:r>
      <w:r w:rsidRPr="00B27B03" w:rsidR="006C72ED">
        <w:rPr>
          <w:rFonts w:cs="ArialUnicodeMS"/>
          <w:sz w:val="24"/>
          <w:szCs w:val="24"/>
        </w:rPr>
        <w:t>the</w:t>
      </w:r>
      <w:r w:rsidRPr="00B27B03" w:rsidR="00380495">
        <w:rPr>
          <w:rFonts w:cs="ArialUnicodeMS"/>
          <w:sz w:val="24"/>
          <w:szCs w:val="24"/>
        </w:rPr>
        <w:t xml:space="preserve"> violation</w:t>
      </w:r>
      <w:r w:rsidR="006E6ABB">
        <w:rPr>
          <w:rFonts w:cs="ArialUnicodeMS"/>
          <w:sz w:val="24"/>
          <w:szCs w:val="24"/>
        </w:rPr>
        <w:t>s</w:t>
      </w:r>
      <w:r w:rsidRPr="00B27B03" w:rsidR="00380495">
        <w:rPr>
          <w:rFonts w:cs="ArialUnicodeMS"/>
          <w:sz w:val="24"/>
          <w:szCs w:val="24"/>
        </w:rPr>
        <w:t xml:space="preserve"> occurred and </w:t>
      </w:r>
      <w:r w:rsidR="00BD6522">
        <w:rPr>
          <w:rFonts w:cs="ArialUnicodeMS"/>
          <w:sz w:val="24"/>
          <w:szCs w:val="24"/>
        </w:rPr>
        <w:t>SDCP</w:t>
      </w:r>
      <w:r w:rsidRPr="00B27B03" w:rsidR="006C72ED">
        <w:rPr>
          <w:rFonts w:cs="ArialUnicodeMS"/>
          <w:sz w:val="24"/>
          <w:szCs w:val="24"/>
        </w:rPr>
        <w:t xml:space="preserve"> </w:t>
      </w:r>
      <w:r w:rsidRPr="00B27B03" w:rsidR="00380495">
        <w:rPr>
          <w:rFonts w:cs="ArialUnicodeMS"/>
          <w:sz w:val="24"/>
          <w:szCs w:val="24"/>
        </w:rPr>
        <w:t xml:space="preserve">failed to meet its burden of </w:t>
      </w:r>
      <w:r w:rsidRPr="00B27B03">
        <w:rPr>
          <w:rFonts w:cs="ArialUnicodeMS"/>
          <w:sz w:val="24"/>
          <w:szCs w:val="24"/>
        </w:rPr>
        <w:t>persuasion</w:t>
      </w:r>
      <w:r w:rsidRPr="00B27B03" w:rsidR="00380495">
        <w:rPr>
          <w:rFonts w:cs="ArialUnicodeMS"/>
          <w:sz w:val="24"/>
          <w:szCs w:val="24"/>
        </w:rPr>
        <w:t xml:space="preserve"> that </w:t>
      </w:r>
      <w:r w:rsidRPr="00B27B03" w:rsidR="00FE6B02">
        <w:rPr>
          <w:rFonts w:cs="ArialUnicodeMS"/>
          <w:sz w:val="24"/>
          <w:szCs w:val="24"/>
        </w:rPr>
        <w:t xml:space="preserve">the citation penalty should be reduced or </w:t>
      </w:r>
      <w:r w:rsidRPr="00B27B03">
        <w:rPr>
          <w:rFonts w:cs="ArialUnicodeMS"/>
          <w:sz w:val="24"/>
          <w:szCs w:val="24"/>
        </w:rPr>
        <w:t>excused</w:t>
      </w:r>
      <w:r w:rsidRPr="00B27B03" w:rsidR="00380495">
        <w:rPr>
          <w:rFonts w:cs="ArialUnicodeMS"/>
          <w:sz w:val="24"/>
          <w:szCs w:val="24"/>
        </w:rPr>
        <w:t>.</w:t>
      </w:r>
      <w:r w:rsidRPr="00B27B03">
        <w:rPr>
          <w:rFonts w:cs="ArialUnicodeMS"/>
          <w:sz w:val="24"/>
          <w:szCs w:val="24"/>
        </w:rPr>
        <w:t xml:space="preserve">  The citation appeal is </w:t>
      </w:r>
      <w:r w:rsidRPr="00B27B03" w:rsidR="00FC3FFA">
        <w:rPr>
          <w:rFonts w:cs="ArialUnicodeMS"/>
          <w:sz w:val="24"/>
          <w:szCs w:val="24"/>
        </w:rPr>
        <w:t>hereby denied.</w:t>
      </w:r>
    </w:p>
    <w:p w:rsidR="000110F5" w:rsidRDefault="000110F5" w14:paraId="707A494C" w14:textId="1E5AE059">
      <w:pPr>
        <w:rPr>
          <w:rFonts w:ascii="Book Antiqua" w:hAnsi="Book Antiqua"/>
          <w:bCs/>
          <w:szCs w:val="24"/>
        </w:rPr>
      </w:pPr>
    </w:p>
    <w:p w:rsidRPr="00B27B03" w:rsidR="00C47C2A" w:rsidRDefault="00C47C2A" w14:paraId="6BC0899B" w14:textId="77777777">
      <w:pPr>
        <w:rPr>
          <w:rFonts w:ascii="Book Antiqua" w:hAnsi="Book Antiqua"/>
          <w:b/>
          <w:szCs w:val="24"/>
          <w:u w:val="single"/>
        </w:rPr>
      </w:pPr>
      <w:r w:rsidRPr="00B27B03">
        <w:rPr>
          <w:rFonts w:ascii="Book Antiqua" w:hAnsi="Book Antiqua"/>
          <w:b/>
          <w:szCs w:val="24"/>
          <w:u w:val="single"/>
        </w:rPr>
        <w:t>COMMENTS</w:t>
      </w:r>
    </w:p>
    <w:p w:rsidRPr="000110F5" w:rsidR="00C47C2A" w:rsidP="000110F5" w:rsidRDefault="000110F5" w14:paraId="49A42AE6" w14:textId="4AE57B30">
      <w:pPr>
        <w:spacing w:before="240" w:after="240"/>
        <w:rPr>
          <w:rFonts w:ascii="Book Antiqua" w:hAnsi="Book Antiqua"/>
        </w:rPr>
      </w:pPr>
      <w:r w:rsidRPr="00A012BB">
        <w:rPr>
          <w:rFonts w:ascii="Book Antiqua" w:hAnsi="Book Antiqua" w:eastAsia="MS Mincho"/>
          <w:color w:val="000000"/>
          <w:szCs w:val="24"/>
        </w:rPr>
        <w:t>Pub. Util. Code § 311(g)(1) requires that a draft resolution be served on all parties and be subject to a public review and comment period of 30 days or more, prior to a vote of the Commission on the resolution.</w:t>
      </w:r>
      <w:r w:rsidR="00192ADB">
        <w:rPr>
          <w:rFonts w:ascii="Book Antiqua" w:hAnsi="Book Antiqua" w:eastAsia="MS Mincho"/>
          <w:color w:val="000000"/>
          <w:szCs w:val="24"/>
        </w:rPr>
        <w:t xml:space="preserve"> </w:t>
      </w:r>
      <w:r w:rsidRPr="00A012BB">
        <w:rPr>
          <w:rFonts w:ascii="Book Antiqua" w:hAnsi="Book Antiqua" w:eastAsia="MS Mincho"/>
          <w:color w:val="000000"/>
          <w:szCs w:val="24"/>
        </w:rPr>
        <w:t xml:space="preserve"> A draft of today’s resolution was distributed for comment to the service list.</w:t>
      </w:r>
    </w:p>
    <w:p w:rsidRPr="00B27B03" w:rsidR="00C47C2A" w:rsidRDefault="00C47C2A" w14:paraId="3A0E883B" w14:textId="77777777">
      <w:pPr>
        <w:keepNext/>
        <w:rPr>
          <w:rFonts w:ascii="Book Antiqua" w:hAnsi="Book Antiqua"/>
          <w:b/>
          <w:szCs w:val="24"/>
          <w:u w:val="single"/>
        </w:rPr>
      </w:pPr>
      <w:r w:rsidRPr="00B27B03">
        <w:rPr>
          <w:rFonts w:ascii="Book Antiqua" w:hAnsi="Book Antiqua"/>
          <w:b/>
          <w:szCs w:val="24"/>
          <w:u w:val="single"/>
        </w:rPr>
        <w:t>FINDINGS</w:t>
      </w:r>
      <w:r w:rsidRPr="00B27B03" w:rsidR="005413B8">
        <w:rPr>
          <w:rFonts w:ascii="Book Antiqua" w:hAnsi="Book Antiqua"/>
          <w:b/>
          <w:szCs w:val="24"/>
          <w:u w:val="single"/>
        </w:rPr>
        <w:t xml:space="preserve"> OF FACT</w:t>
      </w:r>
    </w:p>
    <w:p w:rsidRPr="00B27B03" w:rsidR="0049601F" w:rsidRDefault="0049601F" w14:paraId="5A8D0EA2" w14:textId="77777777">
      <w:pPr>
        <w:keepNext/>
        <w:rPr>
          <w:rFonts w:ascii="Book Antiqua" w:hAnsi="Book Antiqua"/>
          <w:b/>
          <w:szCs w:val="24"/>
          <w:u w:val="single"/>
        </w:rPr>
      </w:pPr>
    </w:p>
    <w:p w:rsidRPr="000110F5" w:rsidR="0049601F" w:rsidP="000110F5" w:rsidRDefault="0049601F" w14:paraId="2871565D" w14:textId="13BD9C25">
      <w:pPr>
        <w:numPr>
          <w:ilvl w:val="5"/>
          <w:numId w:val="15"/>
        </w:numPr>
        <w:spacing w:after="120"/>
        <w:ind w:left="720"/>
        <w:rPr>
          <w:rFonts w:ascii="Book Antiqua" w:hAnsi="Book Antiqua"/>
          <w:szCs w:val="24"/>
        </w:rPr>
      </w:pPr>
      <w:r w:rsidRPr="00B27B03">
        <w:rPr>
          <w:rFonts w:ascii="Book Antiqua" w:hAnsi="Book Antiqua"/>
          <w:szCs w:val="24"/>
        </w:rPr>
        <w:t xml:space="preserve">On </w:t>
      </w:r>
      <w:r w:rsidR="00493A7B">
        <w:rPr>
          <w:rFonts w:ascii="Book Antiqua" w:hAnsi="Book Antiqua"/>
          <w:szCs w:val="24"/>
        </w:rPr>
        <w:t>October 4, 2021</w:t>
      </w:r>
      <w:r w:rsidRPr="00B27B03">
        <w:rPr>
          <w:rFonts w:ascii="Book Antiqua" w:hAnsi="Book Antiqua"/>
          <w:szCs w:val="24"/>
        </w:rPr>
        <w:t>, CPED issued Citation E-4195-</w:t>
      </w:r>
      <w:r w:rsidR="00493A7B">
        <w:rPr>
          <w:rFonts w:ascii="Book Antiqua" w:hAnsi="Book Antiqua"/>
          <w:szCs w:val="24"/>
        </w:rPr>
        <w:t>0107</w:t>
      </w:r>
      <w:r w:rsidRPr="00B27B03">
        <w:rPr>
          <w:rFonts w:ascii="Book Antiqua" w:hAnsi="Book Antiqua"/>
          <w:szCs w:val="24"/>
        </w:rPr>
        <w:t xml:space="preserve"> to </w:t>
      </w:r>
      <w:r w:rsidR="00493A7B">
        <w:rPr>
          <w:rFonts w:ascii="Book Antiqua" w:hAnsi="Book Antiqua"/>
          <w:szCs w:val="24"/>
        </w:rPr>
        <w:t>SDCP</w:t>
      </w:r>
      <w:r w:rsidRPr="00B27B03">
        <w:rPr>
          <w:rFonts w:ascii="Book Antiqua" w:hAnsi="Book Antiqua"/>
          <w:szCs w:val="24"/>
        </w:rPr>
        <w:t>.  A penalty of $</w:t>
      </w:r>
      <w:r w:rsidR="00493A7B">
        <w:rPr>
          <w:rFonts w:ascii="Book Antiqua" w:hAnsi="Book Antiqua"/>
          <w:szCs w:val="24"/>
        </w:rPr>
        <w:t xml:space="preserve">581,817.60 </w:t>
      </w:r>
      <w:r w:rsidRPr="00B27B03">
        <w:rPr>
          <w:rFonts w:ascii="Book Antiqua" w:hAnsi="Book Antiqua"/>
          <w:szCs w:val="24"/>
        </w:rPr>
        <w:t xml:space="preserve">was assessed in accordance with the schedule of penalties in Resolution E-4195, as modified.  </w:t>
      </w:r>
    </w:p>
    <w:p w:rsidRPr="000110F5" w:rsidR="00C47C2A" w:rsidP="000110F5" w:rsidRDefault="0049601F" w14:paraId="013C8453" w14:textId="0D89205B">
      <w:pPr>
        <w:keepNext/>
        <w:numPr>
          <w:ilvl w:val="5"/>
          <w:numId w:val="15"/>
        </w:numPr>
        <w:spacing w:after="120"/>
        <w:ind w:left="720"/>
        <w:rPr>
          <w:rFonts w:ascii="Book Antiqua" w:hAnsi="Book Antiqua"/>
          <w:szCs w:val="24"/>
        </w:rPr>
      </w:pPr>
      <w:r w:rsidRPr="000110F5">
        <w:rPr>
          <w:rFonts w:ascii="Book Antiqua" w:hAnsi="Book Antiqua"/>
          <w:szCs w:val="24"/>
        </w:rPr>
        <w:t xml:space="preserve">On </w:t>
      </w:r>
      <w:r w:rsidR="00493A7B">
        <w:rPr>
          <w:rFonts w:ascii="Book Antiqua" w:hAnsi="Book Antiqua"/>
          <w:szCs w:val="24"/>
        </w:rPr>
        <w:t>November 3</w:t>
      </w:r>
      <w:r w:rsidRPr="000110F5">
        <w:rPr>
          <w:rFonts w:ascii="Book Antiqua" w:hAnsi="Book Antiqua"/>
          <w:szCs w:val="24"/>
        </w:rPr>
        <w:t xml:space="preserve">, 2021, </w:t>
      </w:r>
      <w:r w:rsidR="00493A7B">
        <w:rPr>
          <w:rFonts w:ascii="Book Antiqua" w:hAnsi="Book Antiqua"/>
          <w:szCs w:val="24"/>
        </w:rPr>
        <w:t>SDCP</w:t>
      </w:r>
      <w:r w:rsidRPr="000110F5">
        <w:rPr>
          <w:rFonts w:ascii="Book Antiqua" w:hAnsi="Book Antiqua"/>
          <w:szCs w:val="24"/>
        </w:rPr>
        <w:t xml:space="preserve"> filed a </w:t>
      </w:r>
      <w:r w:rsidRPr="000110F5" w:rsidR="00541876">
        <w:rPr>
          <w:rFonts w:ascii="Book Antiqua" w:hAnsi="Book Antiqua"/>
          <w:szCs w:val="24"/>
        </w:rPr>
        <w:t>N</w:t>
      </w:r>
      <w:r w:rsidRPr="000110F5">
        <w:rPr>
          <w:rFonts w:ascii="Book Antiqua" w:hAnsi="Book Antiqua"/>
          <w:szCs w:val="24"/>
        </w:rPr>
        <w:t xml:space="preserve">otice of </w:t>
      </w:r>
      <w:r w:rsidRPr="000110F5" w:rsidR="00541876">
        <w:rPr>
          <w:rFonts w:ascii="Book Antiqua" w:hAnsi="Book Antiqua"/>
          <w:szCs w:val="24"/>
        </w:rPr>
        <w:t>A</w:t>
      </w:r>
      <w:r w:rsidRPr="000110F5">
        <w:rPr>
          <w:rFonts w:ascii="Book Antiqua" w:hAnsi="Book Antiqua"/>
          <w:szCs w:val="24"/>
        </w:rPr>
        <w:t>ppeal of Citation</w:t>
      </w:r>
      <w:r w:rsidR="000110F5">
        <w:rPr>
          <w:rFonts w:ascii="Book Antiqua" w:hAnsi="Book Antiqua"/>
          <w:szCs w:val="24"/>
        </w:rPr>
        <w:t> </w:t>
      </w:r>
      <w:r w:rsidRPr="000110F5">
        <w:rPr>
          <w:rFonts w:ascii="Book Antiqua" w:hAnsi="Book Antiqua"/>
          <w:szCs w:val="24"/>
        </w:rPr>
        <w:t>E</w:t>
      </w:r>
      <w:r w:rsidR="000110F5">
        <w:rPr>
          <w:rFonts w:ascii="Book Antiqua" w:hAnsi="Book Antiqua"/>
          <w:szCs w:val="24"/>
        </w:rPr>
        <w:noBreakHyphen/>
      </w:r>
      <w:r w:rsidRPr="000110F5">
        <w:rPr>
          <w:rFonts w:ascii="Book Antiqua" w:hAnsi="Book Antiqua"/>
          <w:szCs w:val="24"/>
        </w:rPr>
        <w:t>4195-</w:t>
      </w:r>
      <w:r w:rsidR="00493A7B">
        <w:rPr>
          <w:rFonts w:ascii="Book Antiqua" w:hAnsi="Book Antiqua"/>
          <w:szCs w:val="24"/>
        </w:rPr>
        <w:t>0107</w:t>
      </w:r>
      <w:r w:rsidRPr="000110F5">
        <w:rPr>
          <w:rFonts w:ascii="Book Antiqua" w:hAnsi="Book Antiqua"/>
          <w:szCs w:val="24"/>
        </w:rPr>
        <w:t xml:space="preserve">. </w:t>
      </w:r>
    </w:p>
    <w:p w:rsidRPr="000110F5" w:rsidR="007D1A97" w:rsidP="000110F5" w:rsidRDefault="00B770AD" w14:paraId="4F4B1A5A" w14:textId="064FCE1B">
      <w:pPr>
        <w:numPr>
          <w:ilvl w:val="5"/>
          <w:numId w:val="15"/>
        </w:numPr>
        <w:spacing w:after="120"/>
        <w:ind w:left="720"/>
        <w:rPr>
          <w:rFonts w:ascii="Book Antiqua" w:hAnsi="Book Antiqua"/>
          <w:szCs w:val="24"/>
        </w:rPr>
      </w:pPr>
      <w:r w:rsidRPr="000110F5">
        <w:rPr>
          <w:rFonts w:ascii="Book Antiqua" w:hAnsi="Book Antiqua"/>
          <w:szCs w:val="24"/>
        </w:rPr>
        <w:t>Citation E-4195-</w:t>
      </w:r>
      <w:r w:rsidR="00493A7B">
        <w:rPr>
          <w:rFonts w:ascii="Book Antiqua" w:hAnsi="Book Antiqua"/>
          <w:szCs w:val="24"/>
        </w:rPr>
        <w:t>0107</w:t>
      </w:r>
      <w:r w:rsidRPr="000110F5">
        <w:rPr>
          <w:rFonts w:ascii="Book Antiqua" w:hAnsi="Book Antiqua"/>
          <w:szCs w:val="24"/>
        </w:rPr>
        <w:t xml:space="preserve"> correctly identifies </w:t>
      </w:r>
      <w:r w:rsidR="00493A7B">
        <w:rPr>
          <w:rFonts w:ascii="Book Antiqua" w:hAnsi="Book Antiqua"/>
          <w:szCs w:val="24"/>
        </w:rPr>
        <w:t>SDCP’s</w:t>
      </w:r>
      <w:r w:rsidRPr="000110F5" w:rsidR="00E130BF">
        <w:rPr>
          <w:rFonts w:ascii="Book Antiqua" w:hAnsi="Book Antiqua"/>
          <w:szCs w:val="24"/>
        </w:rPr>
        <w:t xml:space="preserve"> deficiencies in procurement of its </w:t>
      </w:r>
      <w:r w:rsidR="00493A7B">
        <w:rPr>
          <w:rFonts w:ascii="Book Antiqua" w:hAnsi="Book Antiqua"/>
          <w:szCs w:val="24"/>
        </w:rPr>
        <w:t xml:space="preserve">September </w:t>
      </w:r>
      <w:r w:rsidRPr="000110F5" w:rsidR="00E130BF">
        <w:rPr>
          <w:rFonts w:ascii="Book Antiqua" w:hAnsi="Book Antiqua"/>
          <w:szCs w:val="24"/>
        </w:rPr>
        <w:t xml:space="preserve">2021 </w:t>
      </w:r>
      <w:r w:rsidR="00493A7B">
        <w:rPr>
          <w:rFonts w:ascii="Book Antiqua" w:hAnsi="Book Antiqua"/>
          <w:szCs w:val="24"/>
        </w:rPr>
        <w:t>month</w:t>
      </w:r>
      <w:r w:rsidRPr="000110F5" w:rsidR="00E130BF">
        <w:rPr>
          <w:rFonts w:ascii="Book Antiqua" w:hAnsi="Book Antiqua"/>
          <w:szCs w:val="24"/>
        </w:rPr>
        <w:t xml:space="preserve">-ahead </w:t>
      </w:r>
      <w:r w:rsidR="00493A7B">
        <w:rPr>
          <w:rFonts w:ascii="Book Antiqua" w:hAnsi="Book Antiqua"/>
          <w:szCs w:val="24"/>
        </w:rPr>
        <w:t>system</w:t>
      </w:r>
      <w:r w:rsidRPr="000110F5" w:rsidR="00E130BF">
        <w:rPr>
          <w:rFonts w:ascii="Book Antiqua" w:hAnsi="Book Antiqua"/>
          <w:szCs w:val="24"/>
        </w:rPr>
        <w:t xml:space="preserve"> RA obligations.  </w:t>
      </w:r>
    </w:p>
    <w:p w:rsidRPr="00493A7B" w:rsidR="00493A7B" w:rsidP="00493A7B" w:rsidRDefault="00E130BF" w14:paraId="0A102967" w14:textId="580F2DFF">
      <w:pPr>
        <w:numPr>
          <w:ilvl w:val="5"/>
          <w:numId w:val="15"/>
        </w:numPr>
        <w:ind w:left="720"/>
        <w:rPr>
          <w:rFonts w:ascii="Book Antiqua" w:hAnsi="Book Antiqua"/>
          <w:szCs w:val="24"/>
        </w:rPr>
      </w:pPr>
      <w:r w:rsidRPr="00B27B03">
        <w:rPr>
          <w:rFonts w:ascii="Book Antiqua" w:hAnsi="Book Antiqua"/>
          <w:szCs w:val="24"/>
        </w:rPr>
        <w:t>Citation E-4195-</w:t>
      </w:r>
      <w:r w:rsidR="00493A7B">
        <w:rPr>
          <w:rFonts w:ascii="Book Antiqua" w:hAnsi="Book Antiqua"/>
          <w:szCs w:val="24"/>
        </w:rPr>
        <w:t>0107</w:t>
      </w:r>
      <w:r w:rsidRPr="00B27B03">
        <w:rPr>
          <w:rFonts w:ascii="Book Antiqua" w:hAnsi="Book Antiqua"/>
          <w:szCs w:val="24"/>
        </w:rPr>
        <w:t xml:space="preserve"> correctly calculates the penalties pursuant to the penalty schedule adopted in Resolution E-4195, as modified.</w:t>
      </w:r>
    </w:p>
    <w:p w:rsidRPr="00B27B03" w:rsidR="00C47C2A" w:rsidRDefault="00C47C2A" w14:paraId="7808C13F" w14:textId="77777777">
      <w:pPr>
        <w:rPr>
          <w:rFonts w:ascii="Book Antiqua" w:hAnsi="Book Antiqua"/>
          <w:szCs w:val="24"/>
        </w:rPr>
      </w:pPr>
    </w:p>
    <w:p w:rsidRPr="00B27B03" w:rsidR="005413B8" w:rsidP="005413B8" w:rsidRDefault="005413B8" w14:paraId="02EA7EA8" w14:textId="77777777">
      <w:pPr>
        <w:keepNext/>
        <w:rPr>
          <w:rFonts w:ascii="Book Antiqua" w:hAnsi="Book Antiqua"/>
          <w:b/>
          <w:szCs w:val="24"/>
          <w:u w:val="single"/>
        </w:rPr>
      </w:pPr>
      <w:r w:rsidRPr="00B27B03">
        <w:rPr>
          <w:rFonts w:ascii="Book Antiqua" w:hAnsi="Book Antiqua"/>
          <w:b/>
          <w:szCs w:val="24"/>
          <w:u w:val="single"/>
        </w:rPr>
        <w:t>CONCLUSIONS OF LAW</w:t>
      </w:r>
    </w:p>
    <w:p w:rsidRPr="00B27B03" w:rsidR="005413B8" w:rsidP="005413B8" w:rsidRDefault="005413B8" w14:paraId="7909B4BD" w14:textId="77777777">
      <w:pPr>
        <w:keepNext/>
        <w:rPr>
          <w:rFonts w:ascii="Book Antiqua" w:hAnsi="Book Antiqua"/>
          <w:b/>
          <w:szCs w:val="24"/>
          <w:u w:val="single"/>
        </w:rPr>
      </w:pPr>
    </w:p>
    <w:p w:rsidRPr="000110F5" w:rsidR="005114C0" w:rsidP="000110F5" w:rsidRDefault="00493A7B" w14:paraId="1B96F140" w14:textId="7CA4C69F">
      <w:pPr>
        <w:numPr>
          <w:ilvl w:val="5"/>
          <w:numId w:val="31"/>
        </w:numPr>
        <w:spacing w:after="120"/>
        <w:ind w:left="720"/>
        <w:rPr>
          <w:rFonts w:ascii="Book Antiqua" w:hAnsi="Book Antiqua"/>
          <w:szCs w:val="24"/>
        </w:rPr>
      </w:pPr>
      <w:r>
        <w:rPr>
          <w:rFonts w:ascii="Book Antiqua" w:hAnsi="Book Antiqua"/>
          <w:szCs w:val="24"/>
        </w:rPr>
        <w:t>SDCP</w:t>
      </w:r>
      <w:r w:rsidRPr="00B27B03" w:rsidR="005114C0">
        <w:rPr>
          <w:rFonts w:ascii="Book Antiqua" w:hAnsi="Book Antiqua"/>
          <w:szCs w:val="24"/>
        </w:rPr>
        <w:t xml:space="preserve"> has not met its burden of rebutting CPED’s demonstration that the violation occurred and failed to meet its burden of persuasion that the citation penalty should be reduced or excused.</w:t>
      </w:r>
    </w:p>
    <w:p w:rsidRPr="000110F5" w:rsidR="00541876" w:rsidP="000110F5" w:rsidRDefault="005114C0" w14:paraId="2C8ACB44" w14:textId="3CAB7D7B">
      <w:pPr>
        <w:numPr>
          <w:ilvl w:val="5"/>
          <w:numId w:val="31"/>
        </w:numPr>
        <w:spacing w:after="120"/>
        <w:ind w:left="720"/>
        <w:rPr>
          <w:rFonts w:ascii="Book Antiqua" w:hAnsi="Book Antiqua"/>
          <w:szCs w:val="24"/>
        </w:rPr>
      </w:pPr>
      <w:r w:rsidRPr="00B27B03">
        <w:rPr>
          <w:rFonts w:ascii="Book Antiqua" w:hAnsi="Book Antiqua"/>
          <w:szCs w:val="24"/>
        </w:rPr>
        <w:t xml:space="preserve">Based on </w:t>
      </w:r>
      <w:r w:rsidRPr="00B27B03" w:rsidR="00541876">
        <w:rPr>
          <w:rFonts w:ascii="Book Antiqua" w:hAnsi="Book Antiqua"/>
          <w:szCs w:val="24"/>
        </w:rPr>
        <w:t>review of the evidence and testimony</w:t>
      </w:r>
      <w:r w:rsidRPr="00B27B03">
        <w:rPr>
          <w:rFonts w:ascii="Book Antiqua" w:hAnsi="Book Antiqua"/>
          <w:szCs w:val="24"/>
        </w:rPr>
        <w:t xml:space="preserve">, the </w:t>
      </w:r>
      <w:r w:rsidRPr="00B27B03" w:rsidR="00B52773">
        <w:rPr>
          <w:rFonts w:ascii="Book Antiqua" w:hAnsi="Book Antiqua"/>
          <w:szCs w:val="24"/>
        </w:rPr>
        <w:t xml:space="preserve">citation and penalty amount </w:t>
      </w:r>
      <w:r w:rsidR="003F43B2">
        <w:rPr>
          <w:rFonts w:ascii="Book Antiqua" w:hAnsi="Book Antiqua"/>
          <w:szCs w:val="24"/>
        </w:rPr>
        <w:t>were</w:t>
      </w:r>
      <w:r w:rsidRPr="00B27B03" w:rsidR="00B52773">
        <w:rPr>
          <w:rFonts w:ascii="Book Antiqua" w:hAnsi="Book Antiqua"/>
          <w:szCs w:val="24"/>
        </w:rPr>
        <w:t xml:space="preserve"> appropriately issued</w:t>
      </w:r>
      <w:r w:rsidRPr="00B27B03">
        <w:rPr>
          <w:rFonts w:ascii="Book Antiqua" w:hAnsi="Book Antiqua"/>
          <w:szCs w:val="24"/>
        </w:rPr>
        <w:t>.</w:t>
      </w:r>
    </w:p>
    <w:p w:rsidR="00875E62" w:rsidP="000110F5" w:rsidRDefault="00875E62" w14:paraId="63A4BA08" w14:textId="5AC035E6">
      <w:pPr>
        <w:numPr>
          <w:ilvl w:val="5"/>
          <w:numId w:val="31"/>
        </w:numPr>
        <w:ind w:left="720"/>
        <w:rPr>
          <w:rFonts w:ascii="Book Antiqua" w:hAnsi="Book Antiqua"/>
          <w:szCs w:val="24"/>
        </w:rPr>
      </w:pPr>
      <w:r w:rsidRPr="00B27B03">
        <w:rPr>
          <w:rFonts w:ascii="Book Antiqua" w:hAnsi="Book Antiqua"/>
          <w:szCs w:val="24"/>
        </w:rPr>
        <w:t xml:space="preserve">The citation should be </w:t>
      </w:r>
      <w:r w:rsidRPr="00B27B03" w:rsidR="00181F1D">
        <w:rPr>
          <w:rFonts w:ascii="Book Antiqua" w:hAnsi="Book Antiqua"/>
          <w:szCs w:val="24"/>
        </w:rPr>
        <w:t>affirmed</w:t>
      </w:r>
      <w:r w:rsidRPr="00B27B03">
        <w:rPr>
          <w:rFonts w:ascii="Book Antiqua" w:hAnsi="Book Antiqua"/>
          <w:szCs w:val="24"/>
        </w:rPr>
        <w:t>.</w:t>
      </w:r>
    </w:p>
    <w:p w:rsidRPr="00B27B03" w:rsidR="0074224A" w:rsidP="000110F5" w:rsidRDefault="0074224A" w14:paraId="1AE0A13B" w14:textId="77777777">
      <w:pPr>
        <w:numPr>
          <w:ilvl w:val="5"/>
          <w:numId w:val="31"/>
        </w:numPr>
        <w:ind w:left="720"/>
        <w:rPr>
          <w:rFonts w:ascii="Book Antiqua" w:hAnsi="Book Antiqua"/>
          <w:szCs w:val="24"/>
        </w:rPr>
      </w:pPr>
    </w:p>
    <w:p w:rsidRPr="00B27B03" w:rsidR="00875E62" w:rsidP="00875E62" w:rsidRDefault="00875E62" w14:paraId="4181A5F0" w14:textId="77777777">
      <w:pPr>
        <w:rPr>
          <w:rFonts w:ascii="Book Antiqua" w:hAnsi="Book Antiqua"/>
          <w:szCs w:val="24"/>
        </w:rPr>
      </w:pPr>
    </w:p>
    <w:p w:rsidRPr="004F2255" w:rsidR="004F2255" w:rsidP="004F2255" w:rsidRDefault="004F2255" w14:paraId="667E37E4" w14:textId="77777777">
      <w:pPr>
        <w:rPr>
          <w:rFonts w:ascii="Book Antiqua" w:hAnsi="Book Antiqua"/>
          <w:szCs w:val="24"/>
        </w:rPr>
      </w:pPr>
      <w:r w:rsidRPr="004F2255">
        <w:rPr>
          <w:rFonts w:ascii="Book Antiqua" w:hAnsi="Book Antiqua"/>
          <w:bCs/>
          <w:szCs w:val="24"/>
        </w:rPr>
        <w:lastRenderedPageBreak/>
        <w:t>Therefore</w:t>
      </w:r>
      <w:r w:rsidRPr="004F2255">
        <w:rPr>
          <w:rFonts w:ascii="Book Antiqua" w:hAnsi="Book Antiqua"/>
          <w:b/>
          <w:szCs w:val="24"/>
        </w:rPr>
        <w:t>, IT IS ORDERED</w:t>
      </w:r>
      <w:r w:rsidRPr="004F2255">
        <w:rPr>
          <w:rFonts w:ascii="Book Antiqua" w:hAnsi="Book Antiqua"/>
          <w:szCs w:val="24"/>
        </w:rPr>
        <w:t xml:space="preserve"> that:</w:t>
      </w:r>
    </w:p>
    <w:p w:rsidRPr="00B27B03" w:rsidR="006B0918" w:rsidRDefault="006B0918" w14:paraId="69C5A0CB" w14:textId="77777777">
      <w:pPr>
        <w:rPr>
          <w:rFonts w:ascii="Book Antiqua" w:hAnsi="Book Antiqua"/>
          <w:szCs w:val="24"/>
        </w:rPr>
      </w:pPr>
    </w:p>
    <w:p w:rsidRPr="003F43B2" w:rsidR="006B0918" w:rsidP="003F43B2" w:rsidRDefault="006B0918" w14:paraId="3E1B46D9" w14:textId="6E593D4D">
      <w:pPr>
        <w:numPr>
          <w:ilvl w:val="5"/>
          <w:numId w:val="30"/>
        </w:numPr>
        <w:spacing w:after="120"/>
        <w:ind w:left="720"/>
        <w:rPr>
          <w:rFonts w:ascii="Book Antiqua" w:hAnsi="Book Antiqua"/>
          <w:szCs w:val="24"/>
        </w:rPr>
      </w:pPr>
      <w:r w:rsidRPr="00B27B03">
        <w:rPr>
          <w:rFonts w:ascii="Book Antiqua" w:hAnsi="Book Antiqua"/>
          <w:szCs w:val="24"/>
        </w:rPr>
        <w:t>Citation E-4195-</w:t>
      </w:r>
      <w:r w:rsidR="00493A7B">
        <w:rPr>
          <w:rFonts w:ascii="Book Antiqua" w:hAnsi="Book Antiqua"/>
          <w:szCs w:val="24"/>
        </w:rPr>
        <w:t>0107</w:t>
      </w:r>
      <w:r w:rsidRPr="00B27B03">
        <w:rPr>
          <w:rFonts w:ascii="Book Antiqua" w:hAnsi="Book Antiqua"/>
          <w:szCs w:val="24"/>
        </w:rPr>
        <w:t xml:space="preserve"> is </w:t>
      </w:r>
      <w:r w:rsidRPr="00B27B03" w:rsidR="008C188E">
        <w:rPr>
          <w:rFonts w:ascii="Book Antiqua" w:hAnsi="Book Antiqua"/>
          <w:szCs w:val="24"/>
        </w:rPr>
        <w:t>affirmed</w:t>
      </w:r>
      <w:r w:rsidRPr="00B27B03">
        <w:rPr>
          <w:rFonts w:ascii="Book Antiqua" w:hAnsi="Book Antiqua"/>
          <w:szCs w:val="24"/>
        </w:rPr>
        <w:t>.</w:t>
      </w:r>
    </w:p>
    <w:p w:rsidRPr="003F43B2" w:rsidR="000110F5" w:rsidP="003F43B2" w:rsidRDefault="00493A7B" w14:paraId="41F42E6D" w14:textId="08EC2875">
      <w:pPr>
        <w:numPr>
          <w:ilvl w:val="5"/>
          <w:numId w:val="30"/>
        </w:numPr>
        <w:spacing w:after="120"/>
        <w:ind w:left="720"/>
        <w:rPr>
          <w:rFonts w:ascii="Book Antiqua" w:hAnsi="Book Antiqua"/>
          <w:szCs w:val="24"/>
        </w:rPr>
      </w:pPr>
      <w:r>
        <w:rPr>
          <w:rFonts w:ascii="Book Antiqua" w:hAnsi="Book Antiqua" w:cs="BookAntiqua"/>
          <w:szCs w:val="24"/>
        </w:rPr>
        <w:t>San Diego Community Power</w:t>
      </w:r>
      <w:r w:rsidRPr="00B27B03" w:rsidR="006B0918">
        <w:rPr>
          <w:rFonts w:ascii="Book Antiqua" w:hAnsi="Book Antiqua" w:cs="BookAntiqua"/>
          <w:szCs w:val="24"/>
        </w:rPr>
        <w:t xml:space="preserve"> shall pay a fine of </w:t>
      </w:r>
      <w:r w:rsidRPr="00B27B03">
        <w:rPr>
          <w:rFonts w:ascii="Book Antiqua" w:hAnsi="Book Antiqua"/>
          <w:szCs w:val="24"/>
        </w:rPr>
        <w:t>$</w:t>
      </w:r>
      <w:r>
        <w:rPr>
          <w:rFonts w:ascii="Book Antiqua" w:hAnsi="Book Antiqua"/>
          <w:szCs w:val="24"/>
        </w:rPr>
        <w:t xml:space="preserve">581,817.60 </w:t>
      </w:r>
      <w:r w:rsidRPr="00B27B03" w:rsidR="006B0918">
        <w:rPr>
          <w:rFonts w:ascii="Book Antiqua" w:hAnsi="Book Antiqua" w:cs="BookAntiqua"/>
          <w:szCs w:val="24"/>
        </w:rPr>
        <w:t>by check or money order</w:t>
      </w:r>
      <w:r w:rsidRPr="00B27B03" w:rsidR="006B0918">
        <w:rPr>
          <w:rFonts w:ascii="Book Antiqua" w:hAnsi="Book Antiqua"/>
          <w:szCs w:val="24"/>
        </w:rPr>
        <w:t xml:space="preserve"> </w:t>
      </w:r>
      <w:r w:rsidRPr="00B27B03" w:rsidR="006B0918">
        <w:rPr>
          <w:rFonts w:ascii="Book Antiqua" w:hAnsi="Book Antiqua" w:cs="BookAntiqua"/>
          <w:szCs w:val="24"/>
        </w:rPr>
        <w:t>payable to the California Public Utilities Commission and mailed or delivered to</w:t>
      </w:r>
      <w:r w:rsidRPr="00B27B03" w:rsidR="006B0918">
        <w:rPr>
          <w:rFonts w:ascii="Book Antiqua" w:hAnsi="Book Antiqua"/>
          <w:szCs w:val="24"/>
        </w:rPr>
        <w:t xml:space="preserve"> </w:t>
      </w:r>
      <w:r w:rsidRPr="00B27B03" w:rsidR="006B0918">
        <w:rPr>
          <w:rFonts w:ascii="Book Antiqua" w:hAnsi="Book Antiqua" w:cs="BookAntiqua"/>
          <w:szCs w:val="24"/>
        </w:rPr>
        <w:t>the Commission’s Fiscal Office at 505 Van Ness Avenue, San Francisco,</w:t>
      </w:r>
      <w:r w:rsidRPr="00B27B03" w:rsidR="006B0918">
        <w:rPr>
          <w:rFonts w:ascii="Book Antiqua" w:hAnsi="Book Antiqua"/>
          <w:szCs w:val="24"/>
        </w:rPr>
        <w:t xml:space="preserve"> </w:t>
      </w:r>
      <w:r w:rsidRPr="00B27B03" w:rsidR="006B0918">
        <w:rPr>
          <w:rFonts w:ascii="Book Antiqua" w:hAnsi="Book Antiqua" w:cs="BookAntiqua"/>
          <w:szCs w:val="24"/>
        </w:rPr>
        <w:t>California 94102 within 30 days of the effective date of this resolution.</w:t>
      </w:r>
    </w:p>
    <w:p w:rsidRPr="00B27B03" w:rsidR="006B0918" w:rsidP="000110F5" w:rsidRDefault="00953EFF" w14:paraId="72BDEF22" w14:textId="69713163">
      <w:pPr>
        <w:numPr>
          <w:ilvl w:val="5"/>
          <w:numId w:val="30"/>
        </w:numPr>
        <w:ind w:left="720"/>
        <w:rPr>
          <w:rFonts w:ascii="Book Antiqua" w:hAnsi="Book Antiqua"/>
          <w:szCs w:val="24"/>
        </w:rPr>
      </w:pPr>
      <w:r>
        <w:rPr>
          <w:rFonts w:ascii="Book Antiqua" w:hAnsi="Book Antiqua"/>
          <w:szCs w:val="24"/>
        </w:rPr>
        <w:t>K.21-</w:t>
      </w:r>
      <w:r w:rsidR="00493A7B">
        <w:rPr>
          <w:rFonts w:ascii="Book Antiqua" w:hAnsi="Book Antiqua"/>
          <w:szCs w:val="24"/>
        </w:rPr>
        <w:t>11</w:t>
      </w:r>
      <w:r>
        <w:rPr>
          <w:rFonts w:ascii="Book Antiqua" w:hAnsi="Book Antiqua"/>
          <w:szCs w:val="24"/>
        </w:rPr>
        <w:t>-001</w:t>
      </w:r>
      <w:r w:rsidRPr="00B27B03" w:rsidR="006B0918">
        <w:rPr>
          <w:rFonts w:ascii="Book Antiqua" w:hAnsi="Book Antiqua"/>
          <w:szCs w:val="24"/>
        </w:rPr>
        <w:t xml:space="preserve"> is closed.</w:t>
      </w:r>
    </w:p>
    <w:p w:rsidRPr="00B27B03" w:rsidR="006B0918" w:rsidRDefault="006B0918" w14:paraId="7B8BED93" w14:textId="77777777">
      <w:pPr>
        <w:rPr>
          <w:rFonts w:ascii="Book Antiqua" w:hAnsi="Book Antiqua"/>
          <w:szCs w:val="24"/>
        </w:rPr>
      </w:pPr>
    </w:p>
    <w:p w:rsidRPr="00B27B03" w:rsidR="00C47C2A" w:rsidRDefault="00C47C2A" w14:paraId="422614EB" w14:textId="77777777">
      <w:pPr>
        <w:rPr>
          <w:rFonts w:ascii="Book Antiqua" w:hAnsi="Book Antiqua"/>
          <w:szCs w:val="24"/>
        </w:rPr>
      </w:pPr>
      <w:r w:rsidRPr="00B27B03">
        <w:rPr>
          <w:rFonts w:ascii="Book Antiqua" w:hAnsi="Book Antiqua"/>
          <w:szCs w:val="24"/>
        </w:rPr>
        <w:t>This resolution is effective today.</w:t>
      </w:r>
    </w:p>
    <w:p w:rsidRPr="00B27B03" w:rsidR="00C47C2A" w:rsidRDefault="00C47C2A" w14:paraId="49FD403B" w14:textId="77777777">
      <w:pPr>
        <w:rPr>
          <w:rFonts w:ascii="Book Antiqua" w:hAnsi="Book Antiqua"/>
          <w:szCs w:val="24"/>
        </w:rPr>
      </w:pPr>
    </w:p>
    <w:p w:rsidRPr="00B27B03" w:rsidR="00C47C2A" w:rsidRDefault="00C47C2A" w14:paraId="1395EE81" w14:textId="77777777">
      <w:pPr>
        <w:rPr>
          <w:rFonts w:ascii="Book Antiqua" w:hAnsi="Book Antiqua"/>
          <w:szCs w:val="24"/>
        </w:rPr>
      </w:pPr>
      <w:r w:rsidRPr="00B27B03">
        <w:rPr>
          <w:rFonts w:ascii="Book Antiqua" w:hAnsi="Book Antiqua"/>
          <w:szCs w:val="24"/>
        </w:rPr>
        <w:t>I certify that the foregoing resolution was duly introduced, passed, and adopted at a conference of the Public Utilities Commission of the State of California held on _______________, the following Commissioners voting favorably thereon:</w:t>
      </w:r>
    </w:p>
    <w:p w:rsidRPr="00B27B03" w:rsidR="00C47C2A" w:rsidRDefault="00C47C2A" w14:paraId="79EB80E2" w14:textId="77777777">
      <w:pPr>
        <w:rPr>
          <w:rFonts w:ascii="Book Antiqua" w:hAnsi="Book Antiqua"/>
          <w:szCs w:val="24"/>
        </w:rPr>
      </w:pPr>
    </w:p>
    <w:p w:rsidRPr="00B27B03" w:rsidR="00C47C2A" w:rsidRDefault="00C47C2A" w14:paraId="5ABC5CE1" w14:textId="77777777">
      <w:pPr>
        <w:rPr>
          <w:rFonts w:ascii="Book Antiqua" w:hAnsi="Book Antiqua"/>
          <w:szCs w:val="24"/>
        </w:rPr>
      </w:pPr>
    </w:p>
    <w:tbl>
      <w:tblPr>
        <w:tblW w:w="0" w:type="auto"/>
        <w:tblInd w:w="4428" w:type="dxa"/>
        <w:tblLayout w:type="fixed"/>
        <w:tblLook w:val="0000" w:firstRow="0" w:lastRow="0" w:firstColumn="0" w:lastColumn="0" w:noHBand="0" w:noVBand="0"/>
      </w:tblPr>
      <w:tblGrid>
        <w:gridCol w:w="3780"/>
      </w:tblGrid>
      <w:tr w:rsidRPr="00B27B03" w:rsidR="00C47C2A" w14:paraId="58525231" w14:textId="77777777">
        <w:tc>
          <w:tcPr>
            <w:tcW w:w="3780" w:type="dxa"/>
            <w:tcBorders>
              <w:bottom w:val="single" w:color="auto" w:sz="6" w:space="0"/>
            </w:tcBorders>
          </w:tcPr>
          <w:p w:rsidRPr="00B27B03" w:rsidR="00C47C2A" w:rsidRDefault="00C47C2A" w14:paraId="07440A78" w14:textId="77777777">
            <w:pPr>
              <w:jc w:val="center"/>
              <w:rPr>
                <w:rFonts w:ascii="Book Antiqua" w:hAnsi="Book Antiqua"/>
                <w:szCs w:val="24"/>
              </w:rPr>
            </w:pPr>
          </w:p>
        </w:tc>
      </w:tr>
      <w:tr w:rsidRPr="00B27B03" w:rsidR="00C47C2A" w14:paraId="3A6D93FE" w14:textId="77777777">
        <w:tc>
          <w:tcPr>
            <w:tcW w:w="3780" w:type="dxa"/>
          </w:tcPr>
          <w:p w:rsidRPr="00B27B03" w:rsidR="00C47C2A" w:rsidRDefault="006B0918" w14:paraId="69280F45" w14:textId="77777777">
            <w:pPr>
              <w:spacing w:before="120"/>
              <w:jc w:val="center"/>
              <w:rPr>
                <w:rFonts w:ascii="Book Antiqua" w:hAnsi="Book Antiqua"/>
                <w:szCs w:val="24"/>
              </w:rPr>
            </w:pPr>
            <w:r w:rsidRPr="00B27B03">
              <w:rPr>
                <w:rFonts w:ascii="Book Antiqua" w:hAnsi="Book Antiqua"/>
                <w:szCs w:val="24"/>
              </w:rPr>
              <w:t>Rachel Peterson</w:t>
            </w:r>
          </w:p>
          <w:p w:rsidRPr="00B27B03" w:rsidR="00C47C2A" w:rsidRDefault="00C47C2A" w14:paraId="40DEB25E" w14:textId="77777777">
            <w:pPr>
              <w:jc w:val="center"/>
              <w:rPr>
                <w:rFonts w:ascii="Book Antiqua" w:hAnsi="Book Antiqua"/>
                <w:szCs w:val="24"/>
              </w:rPr>
            </w:pPr>
            <w:r w:rsidRPr="00B27B03">
              <w:rPr>
                <w:rFonts w:ascii="Book Antiqua" w:hAnsi="Book Antiqua"/>
                <w:szCs w:val="24"/>
              </w:rPr>
              <w:t>Executive Director</w:t>
            </w:r>
          </w:p>
        </w:tc>
      </w:tr>
      <w:bookmarkEnd w:id="0"/>
    </w:tbl>
    <w:p w:rsidR="00F8485C" w:rsidRDefault="00F8485C" w14:paraId="17B482B7" w14:textId="77777777">
      <w:pPr>
        <w:pStyle w:val="standard0"/>
        <w:spacing w:line="240" w:lineRule="auto"/>
        <w:rPr>
          <w:rFonts w:ascii="Book Antiqua" w:hAnsi="Book Antiqua"/>
          <w:szCs w:val="24"/>
        </w:rPr>
        <w:sectPr w:rsidR="00F8485C" w:rsidSect="006D0A8D">
          <w:headerReference w:type="first" r:id="rId12"/>
          <w:footerReference w:type="first" r:id="rId13"/>
          <w:pgSz w:w="12240" w:h="15840" w:code="1"/>
          <w:pgMar w:top="1440" w:right="1440" w:bottom="1440" w:left="1440" w:header="720" w:footer="720" w:gutter="0"/>
          <w:pgNumType w:fmt="numberInDash" w:start="1"/>
          <w:cols w:space="720"/>
          <w:titlePg/>
        </w:sectPr>
      </w:pPr>
    </w:p>
    <w:p w:rsidRPr="00070884" w:rsidR="00F8485C" w:rsidP="00F8485C" w:rsidRDefault="00F8485C" w14:paraId="03076D38" w14:textId="7DCBEC9D">
      <w:pPr>
        <w:widowControl w:val="0"/>
        <w:tabs>
          <w:tab w:val="center" w:pos="4320"/>
          <w:tab w:val="right" w:pos="8640"/>
        </w:tabs>
        <w:rPr>
          <w:rFonts w:ascii="Book Antiqua" w:hAnsi="Book Antiqua"/>
          <w:sz w:val="26"/>
        </w:rPr>
      </w:pPr>
      <w:r>
        <w:rPr>
          <w:rFonts w:ascii="Book Antiqua" w:hAnsi="Book Antiqua"/>
          <w:sz w:val="26"/>
        </w:rPr>
        <w:lastRenderedPageBreak/>
        <w:t>ALJ</w:t>
      </w:r>
      <w:r w:rsidRPr="00070884">
        <w:rPr>
          <w:rFonts w:ascii="Book Antiqua" w:hAnsi="Book Antiqua"/>
          <w:sz w:val="26"/>
        </w:rPr>
        <w:t>/</w:t>
      </w:r>
      <w:r>
        <w:rPr>
          <w:rFonts w:ascii="Book Antiqua" w:hAnsi="Book Antiqua"/>
          <w:sz w:val="26"/>
        </w:rPr>
        <w:t>DBB</w:t>
      </w:r>
      <w:r w:rsidRPr="00070884">
        <w:rPr>
          <w:rFonts w:ascii="Book Antiqua" w:hAnsi="Book Antiqua"/>
          <w:sz w:val="26"/>
        </w:rPr>
        <w:t>/</w:t>
      </w:r>
      <w:proofErr w:type="spellStart"/>
      <w:r>
        <w:rPr>
          <w:rFonts w:ascii="Book Antiqua" w:hAnsi="Book Antiqua"/>
          <w:sz w:val="26"/>
        </w:rPr>
        <w:t>sgu</w:t>
      </w:r>
      <w:proofErr w:type="spellEnd"/>
    </w:p>
    <w:p w:rsidRPr="00070884" w:rsidR="00F8485C" w:rsidP="00F8485C" w:rsidRDefault="00F8485C" w14:paraId="4EF59C70" w14:textId="77777777">
      <w:pPr>
        <w:widowControl w:val="0"/>
        <w:tabs>
          <w:tab w:val="center" w:pos="4320"/>
          <w:tab w:val="right" w:pos="8640"/>
        </w:tabs>
        <w:rPr>
          <w:sz w:val="26"/>
        </w:rPr>
      </w:pPr>
    </w:p>
    <w:p w:rsidRPr="00070884" w:rsidR="00F8485C" w:rsidP="00F8485C" w:rsidRDefault="00F8485C" w14:paraId="3F7F5D24" w14:textId="77777777">
      <w:pPr>
        <w:widowControl w:val="0"/>
        <w:tabs>
          <w:tab w:val="center" w:pos="4320"/>
          <w:tab w:val="right" w:pos="8640"/>
        </w:tabs>
        <w:rPr>
          <w:sz w:val="26"/>
        </w:rPr>
      </w:pPr>
    </w:p>
    <w:p w:rsidRPr="00070884" w:rsidR="00F8485C" w:rsidP="00F8485C" w:rsidRDefault="00F8485C" w14:paraId="14250081" w14:textId="77777777">
      <w:pPr>
        <w:suppressAutoHyphens/>
        <w:rPr>
          <w:rFonts w:ascii="Arial" w:hAnsi="Arial" w:cs="Arial"/>
          <w:b/>
        </w:rPr>
      </w:pPr>
      <w:r w:rsidRPr="00070884">
        <w:rPr>
          <w:rFonts w:ascii="Arial" w:hAnsi="Arial" w:cs="Arial"/>
          <w:b/>
        </w:rPr>
        <w:t>BEFORE THE PUBLIC UTILITIES COMMISSION OF THE STATE OF CALIFORNIA</w:t>
      </w:r>
    </w:p>
    <w:p w:rsidRPr="00070884" w:rsidR="00F8485C" w:rsidP="00F8485C" w:rsidRDefault="00F8485C" w14:paraId="6A9100D8" w14:textId="77777777">
      <w:pPr>
        <w:suppressAutoHyphens/>
        <w:rPr>
          <w:sz w:val="26"/>
        </w:rPr>
      </w:pPr>
    </w:p>
    <w:p w:rsidRPr="00B27B03" w:rsidR="00F8485C" w:rsidP="00F8485C" w:rsidRDefault="00F8485C" w14:paraId="4636B584" w14:textId="77777777">
      <w:pPr>
        <w:pStyle w:val="BlockText"/>
        <w:rPr>
          <w:rFonts w:ascii="Book Antiqua" w:hAnsi="Book Antiqua"/>
          <w:szCs w:val="24"/>
        </w:rPr>
      </w:pPr>
      <w:r w:rsidRPr="00B27B03">
        <w:rPr>
          <w:rFonts w:ascii="Book Antiqua" w:hAnsi="Book Antiqua"/>
          <w:szCs w:val="24"/>
        </w:rPr>
        <w:t xml:space="preserve">RESOLUTION </w:t>
      </w:r>
      <w:r>
        <w:rPr>
          <w:rFonts w:ascii="Book Antiqua" w:hAnsi="Book Antiqua"/>
          <w:szCs w:val="24"/>
        </w:rPr>
        <w:t>ALJ-432</w:t>
      </w:r>
      <w:r w:rsidRPr="00B27B03">
        <w:rPr>
          <w:rFonts w:ascii="Book Antiqua" w:hAnsi="Book Antiqua"/>
          <w:szCs w:val="24"/>
        </w:rPr>
        <w:t>.  Resolves the Appeal K.21-</w:t>
      </w:r>
      <w:r>
        <w:rPr>
          <w:rFonts w:ascii="Book Antiqua" w:hAnsi="Book Antiqua"/>
          <w:szCs w:val="24"/>
        </w:rPr>
        <w:t>11-001</w:t>
      </w:r>
      <w:r w:rsidRPr="00B27B03">
        <w:rPr>
          <w:rFonts w:ascii="Book Antiqua" w:hAnsi="Book Antiqua"/>
          <w:szCs w:val="24"/>
        </w:rPr>
        <w:t xml:space="preserve"> of Citation</w:t>
      </w:r>
      <w:r>
        <w:rPr>
          <w:rFonts w:ascii="Book Antiqua" w:hAnsi="Book Antiqua"/>
          <w:szCs w:val="24"/>
        </w:rPr>
        <w:t> </w:t>
      </w:r>
      <w:r w:rsidRPr="00B27B03">
        <w:rPr>
          <w:rFonts w:ascii="Book Antiqua" w:hAnsi="Book Antiqua"/>
          <w:szCs w:val="24"/>
        </w:rPr>
        <w:t>E</w:t>
      </w:r>
      <w:r>
        <w:rPr>
          <w:rFonts w:ascii="Book Antiqua" w:hAnsi="Book Antiqua"/>
          <w:szCs w:val="24"/>
        </w:rPr>
        <w:noBreakHyphen/>
      </w:r>
      <w:r w:rsidRPr="00B27B03">
        <w:rPr>
          <w:rFonts w:ascii="Book Antiqua" w:hAnsi="Book Antiqua"/>
          <w:szCs w:val="24"/>
        </w:rPr>
        <w:t>4195-</w:t>
      </w:r>
      <w:r>
        <w:rPr>
          <w:rFonts w:ascii="Book Antiqua" w:hAnsi="Book Antiqua"/>
          <w:szCs w:val="24"/>
        </w:rPr>
        <w:t>0107</w:t>
      </w:r>
      <w:r w:rsidRPr="00B27B03">
        <w:rPr>
          <w:rFonts w:ascii="Book Antiqua" w:hAnsi="Book Antiqua"/>
          <w:szCs w:val="24"/>
        </w:rPr>
        <w:t xml:space="preserve"> by </w:t>
      </w:r>
      <w:r>
        <w:rPr>
          <w:rFonts w:ascii="Book Antiqua" w:hAnsi="Book Antiqua"/>
          <w:szCs w:val="24"/>
        </w:rPr>
        <w:t>San Diego Community Power</w:t>
      </w:r>
      <w:r w:rsidRPr="00B27B03">
        <w:rPr>
          <w:rFonts w:ascii="Book Antiqua" w:hAnsi="Book Antiqua"/>
          <w:szCs w:val="24"/>
        </w:rPr>
        <w:t>.</w:t>
      </w:r>
    </w:p>
    <w:p w:rsidRPr="00070884" w:rsidR="00F8485C" w:rsidP="00F8485C" w:rsidRDefault="00F8485C" w14:paraId="6D43F71D" w14:textId="77777777">
      <w:pPr>
        <w:suppressAutoHyphens/>
        <w:rPr>
          <w:sz w:val="26"/>
        </w:rPr>
      </w:pPr>
    </w:p>
    <w:p w:rsidRPr="00070884" w:rsidR="00F8485C" w:rsidP="00F8485C" w:rsidRDefault="00F8485C" w14:paraId="636C0905" w14:textId="77777777">
      <w:pPr>
        <w:jc w:val="center"/>
        <w:rPr>
          <w:rFonts w:ascii="Arial" w:hAnsi="Arial" w:cs="Arial"/>
          <w:b/>
          <w:sz w:val="26"/>
          <w:szCs w:val="26"/>
        </w:rPr>
      </w:pPr>
      <w:r w:rsidRPr="00070884">
        <w:rPr>
          <w:rFonts w:ascii="Arial" w:hAnsi="Arial" w:cs="Arial"/>
          <w:b/>
          <w:sz w:val="26"/>
          <w:szCs w:val="26"/>
        </w:rPr>
        <w:t>INFORMATION REGARDING SERVICE</w:t>
      </w:r>
    </w:p>
    <w:p w:rsidRPr="00070884" w:rsidR="00F8485C" w:rsidP="00F8485C" w:rsidRDefault="00F8485C" w14:paraId="42A2FDD3" w14:textId="77777777">
      <w:pPr>
        <w:suppressAutoHyphens/>
        <w:rPr>
          <w:sz w:val="26"/>
          <w:szCs w:val="26"/>
        </w:rPr>
      </w:pPr>
    </w:p>
    <w:p w:rsidRPr="00070884" w:rsidR="00F8485C" w:rsidP="00F8485C" w:rsidRDefault="00F8485C" w14:paraId="01F06EE8" w14:textId="7F8E9D27">
      <w:pPr>
        <w:spacing w:line="360" w:lineRule="auto"/>
        <w:ind w:firstLine="720"/>
        <w:rPr>
          <w:rFonts w:ascii="Book Antiqua" w:hAnsi="Book Antiqua"/>
          <w:sz w:val="26"/>
        </w:rPr>
      </w:pPr>
      <w:r w:rsidRPr="00070884">
        <w:rPr>
          <w:rFonts w:ascii="Book Antiqua" w:hAnsi="Book Antiqua"/>
          <w:sz w:val="26"/>
        </w:rPr>
        <w:t xml:space="preserve">I have electronically served all persons on the attached official service list who have provided an e-mail address for </w:t>
      </w:r>
      <w:r>
        <w:rPr>
          <w:rFonts w:ascii="Book Antiqua" w:hAnsi="Book Antiqua"/>
          <w:sz w:val="26"/>
        </w:rPr>
        <w:t>K.</w:t>
      </w:r>
      <w:r>
        <w:rPr>
          <w:rFonts w:ascii="Book Antiqua" w:hAnsi="Book Antiqua"/>
          <w:sz w:val="26"/>
        </w:rPr>
        <w:t>21-11-001.</w:t>
      </w:r>
    </w:p>
    <w:p w:rsidRPr="00070884" w:rsidR="00F8485C" w:rsidP="00F8485C" w:rsidRDefault="00F8485C" w14:paraId="7FDB794B" w14:textId="77777777">
      <w:pPr>
        <w:spacing w:line="360" w:lineRule="auto"/>
        <w:ind w:firstLine="720"/>
        <w:rPr>
          <w:rFonts w:ascii="Book Antiqua" w:hAnsi="Book Antiqua"/>
          <w:sz w:val="26"/>
        </w:rPr>
      </w:pPr>
      <w:r w:rsidRPr="00070884">
        <w:rPr>
          <w:rFonts w:ascii="Book Antiqua" w:hAnsi="Book Antiqua"/>
          <w:sz w:val="26"/>
        </w:rPr>
        <w:t>Upon confirmation of this document’s acceptance for filing, I will cause a copy of the filed document to be served by U.S. mail on all parties listed in the “Party” category of the official service list for whom no e-mail address is provided.</w:t>
      </w:r>
    </w:p>
    <w:p w:rsidRPr="00070884" w:rsidR="00F8485C" w:rsidP="00F8485C" w:rsidRDefault="00F8485C" w14:paraId="21C9293D" w14:textId="095E4A9B">
      <w:pPr>
        <w:spacing w:line="360" w:lineRule="auto"/>
        <w:ind w:firstLine="720"/>
        <w:rPr>
          <w:rFonts w:ascii="Book Antiqua" w:hAnsi="Book Antiqua"/>
          <w:sz w:val="26"/>
        </w:rPr>
      </w:pPr>
      <w:r w:rsidRPr="00070884">
        <w:rPr>
          <w:rFonts w:ascii="Book Antiqua" w:hAnsi="Book Antiqua"/>
          <w:sz w:val="26"/>
        </w:rPr>
        <w:t xml:space="preserve">Dated </w:t>
      </w:r>
      <w:r>
        <w:rPr>
          <w:rFonts w:ascii="Book Antiqua" w:hAnsi="Book Antiqua"/>
          <w:sz w:val="26"/>
        </w:rPr>
        <w:t>January 30, 2023</w:t>
      </w:r>
      <w:r>
        <w:rPr>
          <w:rFonts w:ascii="Book Antiqua" w:hAnsi="Book Antiqua"/>
          <w:sz w:val="26"/>
        </w:rPr>
        <w:t>,</w:t>
      </w:r>
      <w:r w:rsidRPr="00070884">
        <w:rPr>
          <w:rFonts w:ascii="Book Antiqua" w:hAnsi="Book Antiqua"/>
          <w:sz w:val="26"/>
        </w:rPr>
        <w:t xml:space="preserve"> at San Francisco, California.</w:t>
      </w:r>
    </w:p>
    <w:p w:rsidRPr="00070884" w:rsidR="00F8485C" w:rsidP="00F8485C" w:rsidRDefault="00F8485C" w14:paraId="3D3FBE6F" w14:textId="77777777">
      <w:pPr>
        <w:rPr>
          <w:rFonts w:ascii="Book Antiqua" w:hAnsi="Book Antiqua"/>
          <w:sz w:val="26"/>
        </w:rPr>
      </w:pPr>
    </w:p>
    <w:p w:rsidRPr="00070884" w:rsidR="00F8485C" w:rsidP="00F8485C" w:rsidRDefault="00F8485C" w14:paraId="517987C8" w14:textId="77777777">
      <w:pPr>
        <w:rPr>
          <w:rFonts w:ascii="Book Antiqua" w:hAnsi="Book Antiqua"/>
          <w:sz w:val="26"/>
        </w:rPr>
      </w:pPr>
    </w:p>
    <w:tbl>
      <w:tblPr>
        <w:tblW w:w="8928" w:type="dxa"/>
        <w:tblLayout w:type="fixed"/>
        <w:tblLook w:val="0000" w:firstRow="0" w:lastRow="0" w:firstColumn="0" w:lastColumn="0" w:noHBand="0" w:noVBand="0"/>
      </w:tblPr>
      <w:tblGrid>
        <w:gridCol w:w="4248"/>
        <w:gridCol w:w="4680"/>
      </w:tblGrid>
      <w:tr w:rsidRPr="00070884" w:rsidR="00F8485C" w:rsidTr="00D74A4E" w14:paraId="133715A2" w14:textId="77777777">
        <w:tc>
          <w:tcPr>
            <w:tcW w:w="4248" w:type="dxa"/>
          </w:tcPr>
          <w:p w:rsidRPr="00070884" w:rsidR="00F8485C" w:rsidP="00D74A4E" w:rsidRDefault="00F8485C" w14:paraId="3E5AED3B" w14:textId="77777777">
            <w:pPr>
              <w:jc w:val="center"/>
              <w:rPr>
                <w:rFonts w:ascii="Book Antiqua" w:hAnsi="Book Antiqua"/>
                <w:sz w:val="26"/>
                <w:szCs w:val="26"/>
              </w:rPr>
            </w:pPr>
            <w:r>
              <w:rPr>
                <w:rFonts w:ascii="Book Antiqua" w:hAnsi="Book Antiqua"/>
                <w:sz w:val="26"/>
                <w:szCs w:val="26"/>
              </w:rPr>
              <w:t xml:space="preserve">             </w:t>
            </w:r>
          </w:p>
        </w:tc>
        <w:tc>
          <w:tcPr>
            <w:tcW w:w="4680" w:type="dxa"/>
            <w:tcBorders>
              <w:bottom w:val="single" w:color="auto" w:sz="4" w:space="0"/>
            </w:tcBorders>
          </w:tcPr>
          <w:p w:rsidRPr="00070884" w:rsidR="00F8485C" w:rsidP="00D74A4E" w:rsidRDefault="00F8485C" w14:paraId="414BC7A6" w14:textId="77777777">
            <w:pPr>
              <w:jc w:val="center"/>
              <w:rPr>
                <w:rFonts w:ascii="Book Antiqua" w:hAnsi="Book Antiqua"/>
                <w:sz w:val="26"/>
                <w:szCs w:val="26"/>
              </w:rPr>
            </w:pPr>
            <w:r>
              <w:rPr>
                <w:rFonts w:ascii="Book Antiqua" w:hAnsi="Book Antiqua"/>
                <w:sz w:val="26"/>
                <w:szCs w:val="26"/>
              </w:rPr>
              <w:t>/s</w:t>
            </w:r>
            <w:proofErr w:type="gramStart"/>
            <w:r>
              <w:rPr>
                <w:rFonts w:ascii="Book Antiqua" w:hAnsi="Book Antiqua"/>
                <w:sz w:val="26"/>
                <w:szCs w:val="26"/>
              </w:rPr>
              <w:t>/  SHANE</w:t>
            </w:r>
            <w:proofErr w:type="gramEnd"/>
            <w:r>
              <w:rPr>
                <w:rFonts w:ascii="Book Antiqua" w:hAnsi="Book Antiqua"/>
                <w:sz w:val="26"/>
                <w:szCs w:val="26"/>
              </w:rPr>
              <w:t xml:space="preserve"> GUTTO</w:t>
            </w:r>
          </w:p>
        </w:tc>
      </w:tr>
      <w:tr w:rsidRPr="00070884" w:rsidR="00F8485C" w:rsidTr="00D74A4E" w14:paraId="015929F0" w14:textId="77777777">
        <w:trPr>
          <w:trHeight w:val="345"/>
        </w:trPr>
        <w:tc>
          <w:tcPr>
            <w:tcW w:w="4248" w:type="dxa"/>
          </w:tcPr>
          <w:p w:rsidRPr="00070884" w:rsidR="00F8485C" w:rsidP="00D74A4E" w:rsidRDefault="00F8485C" w14:paraId="434591A9" w14:textId="77777777">
            <w:pPr>
              <w:jc w:val="center"/>
              <w:rPr>
                <w:rFonts w:ascii="Book Antiqua" w:hAnsi="Book Antiqua"/>
                <w:sz w:val="26"/>
                <w:szCs w:val="26"/>
              </w:rPr>
            </w:pPr>
          </w:p>
        </w:tc>
        <w:tc>
          <w:tcPr>
            <w:tcW w:w="4680" w:type="dxa"/>
            <w:tcBorders>
              <w:top w:val="single" w:color="auto" w:sz="4" w:space="0"/>
            </w:tcBorders>
          </w:tcPr>
          <w:p w:rsidRPr="00070884" w:rsidR="00F8485C" w:rsidP="00D74A4E" w:rsidRDefault="00F8485C" w14:paraId="5EF1E7DE" w14:textId="77777777">
            <w:pPr>
              <w:jc w:val="center"/>
              <w:rPr>
                <w:rFonts w:ascii="Book Antiqua" w:hAnsi="Book Antiqua"/>
                <w:sz w:val="26"/>
                <w:szCs w:val="26"/>
              </w:rPr>
            </w:pPr>
            <w:r>
              <w:rPr>
                <w:rFonts w:ascii="Book Antiqua" w:hAnsi="Book Antiqua"/>
                <w:sz w:val="26"/>
                <w:szCs w:val="26"/>
              </w:rPr>
              <w:t>Shane Gutto</w:t>
            </w:r>
          </w:p>
        </w:tc>
      </w:tr>
    </w:tbl>
    <w:p w:rsidRPr="00070884" w:rsidR="00F8485C" w:rsidP="00F8485C" w:rsidRDefault="00F8485C" w14:paraId="54AA7A15" w14:textId="77777777">
      <w:pPr>
        <w:autoSpaceDE w:val="0"/>
        <w:autoSpaceDN w:val="0"/>
        <w:adjustRightInd w:val="0"/>
        <w:jc w:val="center"/>
        <w:rPr>
          <w:rFonts w:ascii="Book Antiqua" w:hAnsi="Book Antiqua" w:cs="Helvetica"/>
          <w:b/>
          <w:bCs/>
          <w:spacing w:val="120"/>
          <w:sz w:val="26"/>
          <w:szCs w:val="26"/>
        </w:rPr>
        <w:sectPr w:rsidRPr="00070884" w:rsidR="00F8485C" w:rsidSect="001159C9">
          <w:headerReference w:type="default" r:id="rId14"/>
          <w:footerReference w:type="default" r:id="rId15"/>
          <w:headerReference w:type="first" r:id="rId16"/>
          <w:footerReference w:type="first" r:id="rId17"/>
          <w:pgSz w:w="12240" w:h="15840"/>
          <w:pgMar w:top="1728" w:right="1440" w:bottom="1440" w:left="1440" w:header="720" w:footer="720" w:gutter="0"/>
          <w:pgNumType w:fmt="numberInDash" w:start="2"/>
          <w:cols w:space="720"/>
          <w:titlePg/>
          <w:docGrid w:linePitch="360"/>
        </w:sectPr>
      </w:pPr>
    </w:p>
    <w:p w:rsidRPr="00070884" w:rsidR="00F8485C" w:rsidP="00F8485C" w:rsidRDefault="00F8485C" w14:paraId="2B1A63AE" w14:textId="77777777">
      <w:pPr>
        <w:autoSpaceDE w:val="0"/>
        <w:autoSpaceDN w:val="0"/>
        <w:adjustRightInd w:val="0"/>
        <w:jc w:val="center"/>
        <w:rPr>
          <w:rFonts w:ascii="Book Antiqua" w:hAnsi="Book Antiqua" w:cs="Helvetica"/>
          <w:b/>
          <w:bCs/>
          <w:spacing w:val="120"/>
          <w:sz w:val="26"/>
          <w:szCs w:val="26"/>
        </w:rPr>
        <w:sectPr w:rsidRPr="00070884" w:rsidR="00F8485C" w:rsidSect="00FA0F86">
          <w:headerReference w:type="first" r:id="rId18"/>
          <w:footerReference w:type="first" r:id="rId19"/>
          <w:type w:val="continuous"/>
          <w:pgSz w:w="12240" w:h="15840"/>
          <w:pgMar w:top="1728" w:right="1440" w:bottom="1440" w:left="1440" w:header="720" w:footer="720" w:gutter="0"/>
          <w:pgNumType w:fmt="numberInDash" w:start="1"/>
          <w:cols w:space="720"/>
          <w:titlePg/>
          <w:docGrid w:linePitch="360"/>
        </w:sectPr>
      </w:pPr>
    </w:p>
    <w:p w:rsidRPr="00070884" w:rsidR="00F8485C" w:rsidP="00F8485C" w:rsidRDefault="00F8485C" w14:paraId="2E6EC64E" w14:textId="77777777">
      <w:pPr>
        <w:autoSpaceDE w:val="0"/>
        <w:autoSpaceDN w:val="0"/>
        <w:adjustRightInd w:val="0"/>
        <w:jc w:val="center"/>
        <w:rPr>
          <w:rFonts w:ascii="Arial" w:hAnsi="Arial" w:cs="Arial"/>
          <w:b/>
          <w:bCs/>
          <w:spacing w:val="120"/>
          <w:sz w:val="26"/>
          <w:szCs w:val="26"/>
        </w:rPr>
      </w:pPr>
      <w:r w:rsidRPr="00070884">
        <w:rPr>
          <w:rFonts w:ascii="Arial" w:hAnsi="Arial" w:cs="Arial"/>
          <w:b/>
          <w:bCs/>
          <w:spacing w:val="120"/>
          <w:sz w:val="26"/>
          <w:szCs w:val="26"/>
        </w:rPr>
        <w:lastRenderedPageBreak/>
        <w:t>NOTICE</w:t>
      </w:r>
    </w:p>
    <w:p w:rsidRPr="00070884" w:rsidR="00F8485C" w:rsidP="00F8485C" w:rsidRDefault="00F8485C" w14:paraId="6ABA6BBC" w14:textId="77777777">
      <w:pPr>
        <w:autoSpaceDE w:val="0"/>
        <w:autoSpaceDN w:val="0"/>
        <w:adjustRightInd w:val="0"/>
        <w:rPr>
          <w:rFonts w:ascii="Helvetica" w:hAnsi="Helvetica" w:cs="Helvetica"/>
          <w:szCs w:val="24"/>
        </w:rPr>
      </w:pPr>
    </w:p>
    <w:p w:rsidRPr="00070884" w:rsidR="00F8485C" w:rsidP="00F8485C" w:rsidRDefault="00F8485C" w14:paraId="0CC3FD7E"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070884" w:rsidR="00F8485C" w:rsidP="00F8485C" w:rsidRDefault="00F8485C" w14:paraId="55E0775B" w14:textId="77777777">
      <w:pPr>
        <w:autoSpaceDE w:val="0"/>
        <w:autoSpaceDN w:val="0"/>
        <w:adjustRightInd w:val="0"/>
        <w:ind w:left="720" w:right="1080"/>
        <w:rPr>
          <w:rFonts w:ascii="Arial" w:hAnsi="Arial" w:cs="Arial"/>
          <w:szCs w:val="24"/>
        </w:rPr>
      </w:pPr>
    </w:p>
    <w:p w:rsidRPr="00070884" w:rsidR="00F8485C" w:rsidP="00F8485C" w:rsidRDefault="00F8485C" w14:paraId="1F4FBAD2"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 xml:space="preserve">* * * * * * * * * * * * * * * * * * * * * * * * * * * * * * * * * * * * * * * * * * * * * * </w:t>
      </w:r>
    </w:p>
    <w:p w:rsidRPr="00070884" w:rsidR="00F8485C" w:rsidP="00F8485C" w:rsidRDefault="00F8485C" w14:paraId="50BEDF2F" w14:textId="77777777">
      <w:pPr>
        <w:tabs>
          <w:tab w:val="left" w:pos="0"/>
        </w:tabs>
        <w:autoSpaceDE w:val="0"/>
        <w:autoSpaceDN w:val="0"/>
        <w:adjustRightInd w:val="0"/>
        <w:ind w:left="720" w:right="1440"/>
        <w:rPr>
          <w:rFonts w:ascii="Arial" w:hAnsi="Arial" w:cs="Arial"/>
          <w:sz w:val="18"/>
          <w:szCs w:val="18"/>
        </w:rPr>
      </w:pPr>
    </w:p>
    <w:p w:rsidRPr="00070884" w:rsidR="00F8485C" w:rsidP="00F8485C" w:rsidRDefault="00F8485C" w14:paraId="4584E032" w14:textId="77777777">
      <w:pPr>
        <w:tabs>
          <w:tab w:val="left" w:pos="0"/>
        </w:tabs>
        <w:autoSpaceDE w:val="0"/>
        <w:autoSpaceDN w:val="0"/>
        <w:adjustRightInd w:val="0"/>
        <w:ind w:left="720" w:right="900"/>
        <w:rPr>
          <w:rFonts w:ascii="Arial" w:hAnsi="Arial" w:cs="Arial"/>
          <w:szCs w:val="24"/>
        </w:rPr>
      </w:pPr>
      <w:r w:rsidRPr="00070884">
        <w:rPr>
          <w:rFonts w:ascii="Arial" w:hAnsi="Arial" w:cs="Arial"/>
          <w:szCs w:val="24"/>
        </w:rPr>
        <w:t>The Commission’s policy is to schedule hearings (meetings, workshops, etc.) in locations that are accessible to people with disabilities.  To verify that a particular location is accessible, call: Calendar Clerk (415) 703</w:t>
      </w:r>
      <w:r w:rsidRPr="00070884">
        <w:rPr>
          <w:rFonts w:ascii="Arial" w:hAnsi="Arial" w:cs="Arial"/>
          <w:szCs w:val="24"/>
        </w:rPr>
        <w:noBreakHyphen/>
        <w:t>1203.</w:t>
      </w:r>
    </w:p>
    <w:p w:rsidRPr="00070884" w:rsidR="00F8485C" w:rsidP="00F8485C" w:rsidRDefault="00F8485C" w14:paraId="1599BB01" w14:textId="77777777">
      <w:pPr>
        <w:tabs>
          <w:tab w:val="left" w:pos="0"/>
        </w:tabs>
        <w:autoSpaceDE w:val="0"/>
        <w:autoSpaceDN w:val="0"/>
        <w:adjustRightInd w:val="0"/>
        <w:ind w:left="720" w:right="900"/>
        <w:rPr>
          <w:rFonts w:ascii="Arial" w:hAnsi="Arial" w:cs="Arial"/>
          <w:szCs w:val="24"/>
        </w:rPr>
      </w:pPr>
    </w:p>
    <w:p w:rsidRPr="00070884" w:rsidR="00F8485C" w:rsidP="00F8485C" w:rsidRDefault="00F8485C" w14:paraId="45A7CADD" w14:textId="77777777">
      <w:pPr>
        <w:tabs>
          <w:tab w:val="left" w:pos="0"/>
        </w:tabs>
        <w:autoSpaceDE w:val="0"/>
        <w:autoSpaceDN w:val="0"/>
        <w:adjustRightInd w:val="0"/>
        <w:ind w:left="720" w:right="900"/>
        <w:rPr>
          <w:rFonts w:ascii="Arial" w:hAnsi="Arial" w:cs="Arial"/>
          <w:szCs w:val="24"/>
        </w:rPr>
        <w:sectPr w:rsidRPr="00070884" w:rsidR="00F8485C" w:rsidSect="001159C9">
          <w:headerReference w:type="first" r:id="rId20"/>
          <w:footerReference w:type="first" r:id="rId21"/>
          <w:pgSz w:w="12240" w:h="15840"/>
          <w:pgMar w:top="1728" w:right="1440" w:bottom="1440" w:left="1440" w:header="720" w:footer="720" w:gutter="0"/>
          <w:pgNumType w:fmt="numberInDash" w:start="2"/>
          <w:cols w:space="720"/>
          <w:titlePg/>
          <w:docGrid w:linePitch="360"/>
        </w:sectPr>
      </w:pPr>
      <w:r w:rsidRPr="00070884">
        <w:rPr>
          <w:rFonts w:ascii="Arial" w:hAnsi="Arial" w:cs="Arial"/>
          <w:szCs w:val="24"/>
        </w:rPr>
        <w:t>If specialized accommodations for the disabled are needed, e.g., sign language interpreters, those making the arrangements must call the Public Advisor at (415) 703</w:t>
      </w:r>
      <w:r w:rsidRPr="00070884">
        <w:rPr>
          <w:rFonts w:ascii="Arial" w:hAnsi="Arial" w:cs="Arial"/>
          <w:szCs w:val="24"/>
        </w:rPr>
        <w:noBreakHyphen/>
        <w:t>2074 or TDD# (415) 703-2032 five working days in advance of the event</w:t>
      </w:r>
      <w:r>
        <w:rPr>
          <w:rFonts w:ascii="Arial" w:hAnsi="Arial" w:cs="Arial"/>
          <w:szCs w:val="24"/>
        </w:rPr>
        <w: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Pr="00F8485C" w:rsidR="00F8485C" w:rsidTr="00D74A4E" w14:paraId="6E908085" w14:textId="77777777">
        <w:tblPrEx>
          <w:tblCellMar>
            <w:top w:w="0" w:type="dxa"/>
            <w:bottom w:w="0" w:type="dxa"/>
          </w:tblCellMar>
        </w:tblPrEx>
        <w:tc>
          <w:tcPr>
            <w:tcW w:w="5400" w:type="dxa"/>
            <w:tcBorders>
              <w:top w:val="nil"/>
              <w:left w:val="nil"/>
              <w:bottom w:val="nil"/>
              <w:right w:val="nil"/>
            </w:tcBorders>
          </w:tcPr>
          <w:p w:rsidRPr="00F8485C" w:rsidR="00F8485C" w:rsidP="00D74A4E" w:rsidRDefault="00F8485C" w14:paraId="064F9EF5" w14:textId="70BDFC47">
            <w:pPr>
              <w:rPr>
                <w:rFonts w:ascii="Book Antiqua" w:hAnsi="Book Antiqua"/>
                <w:sz w:val="18"/>
                <w:szCs w:val="18"/>
              </w:rPr>
            </w:pPr>
            <w:r w:rsidRPr="00F8485C">
              <w:rPr>
                <w:rFonts w:ascii="Book Antiqua" w:hAnsi="Book Antiqua"/>
                <w:b/>
                <w:bCs/>
                <w:sz w:val="18"/>
                <w:szCs w:val="18"/>
              </w:rPr>
              <w:lastRenderedPageBreak/>
              <w:t xml:space="preserve">************** PARTIES ************** </w:t>
            </w:r>
            <w:r w:rsidRPr="00F8485C">
              <w:rPr>
                <w:rFonts w:ascii="Book Antiqua" w:hAnsi="Book Antiqua"/>
                <w:sz w:val="18"/>
                <w:szCs w:val="18"/>
              </w:rPr>
              <w:br/>
            </w:r>
            <w:r w:rsidRPr="00F8485C">
              <w:rPr>
                <w:rFonts w:ascii="Book Antiqua" w:hAnsi="Book Antiqua"/>
                <w:b/>
                <w:bCs/>
                <w:sz w:val="18"/>
                <w:szCs w:val="18"/>
              </w:rPr>
              <w:t>************ SERVICE LIST ***********</w:t>
            </w:r>
            <w:r w:rsidRPr="00F8485C">
              <w:rPr>
                <w:rFonts w:ascii="Book Antiqua" w:hAnsi="Book Antiqua"/>
                <w:b/>
                <w:bCs/>
                <w:sz w:val="18"/>
                <w:szCs w:val="18"/>
              </w:rPr>
              <w:br/>
              <w:t xml:space="preserve">Last Updated on 30-JAN-2023 by: KB3 </w:t>
            </w:r>
            <w:r w:rsidRPr="00F8485C">
              <w:rPr>
                <w:rFonts w:ascii="Book Antiqua" w:hAnsi="Book Antiqua"/>
                <w:sz w:val="18"/>
                <w:szCs w:val="18"/>
              </w:rPr>
              <w:br/>
            </w:r>
            <w:r w:rsidRPr="00F8485C">
              <w:rPr>
                <w:rFonts w:ascii="Book Antiqua" w:hAnsi="Book Antiqua"/>
                <w:b/>
                <w:bCs/>
                <w:sz w:val="18"/>
                <w:szCs w:val="18"/>
              </w:rPr>
              <w:t>K2111001 LIST</w:t>
            </w:r>
            <w:r w:rsidRPr="00F8485C">
              <w:rPr>
                <w:rFonts w:ascii="Book Antiqua" w:hAnsi="Book Antiqua"/>
                <w:sz w:val="18"/>
                <w:szCs w:val="18"/>
              </w:rPr>
              <w:br/>
              <w:t xml:space="preserve">David Gibbs                                  </w:t>
            </w:r>
            <w:r w:rsidRPr="00F8485C">
              <w:rPr>
                <w:rFonts w:ascii="Book Antiqua" w:hAnsi="Book Antiqua"/>
                <w:sz w:val="18"/>
                <w:szCs w:val="18"/>
              </w:rPr>
              <w:br/>
              <w:t xml:space="preserve">Legal Division                               </w:t>
            </w:r>
            <w:r w:rsidRPr="00F8485C">
              <w:rPr>
                <w:rFonts w:ascii="Book Antiqua" w:hAnsi="Book Antiqua"/>
                <w:sz w:val="18"/>
                <w:szCs w:val="18"/>
              </w:rPr>
              <w:br/>
              <w:t xml:space="preserve">320 West 4th Street Suite 500                </w:t>
            </w:r>
            <w:r w:rsidRPr="00F8485C">
              <w:rPr>
                <w:rFonts w:ascii="Book Antiqua" w:hAnsi="Book Antiqua"/>
                <w:sz w:val="18"/>
                <w:szCs w:val="18"/>
              </w:rPr>
              <w:br/>
              <w:t xml:space="preserve">Los Angeles CA 90013                         </w:t>
            </w:r>
            <w:r w:rsidRPr="00F8485C">
              <w:rPr>
                <w:rFonts w:ascii="Book Antiqua" w:hAnsi="Book Antiqua"/>
                <w:sz w:val="18"/>
                <w:szCs w:val="18"/>
              </w:rPr>
              <w:br/>
              <w:t xml:space="preserve">(213) 576-7031                               </w:t>
            </w:r>
            <w:r w:rsidRPr="00F8485C">
              <w:rPr>
                <w:rFonts w:ascii="Book Antiqua" w:hAnsi="Book Antiqua"/>
                <w:sz w:val="18"/>
                <w:szCs w:val="18"/>
              </w:rPr>
              <w:br/>
              <w:t xml:space="preserve">dgs@cpuc.ca.gov                              </w:t>
            </w:r>
            <w:r w:rsidRPr="00F8485C">
              <w:rPr>
                <w:rFonts w:ascii="Book Antiqua" w:hAnsi="Book Antiqua"/>
                <w:sz w:val="18"/>
                <w:szCs w:val="18"/>
              </w:rPr>
              <w:br/>
              <w:t xml:space="preserve">For: Consumer Protection and Enforcement Division (CPED)                                                                                                                                                                                                                                                                                                                                                                                                                                                                                                                                                                                                                                                                                                                                                                        </w:t>
            </w:r>
            <w:r w:rsidRPr="00F8485C">
              <w:rPr>
                <w:rFonts w:ascii="Book Antiqua" w:hAnsi="Book Antiqua"/>
                <w:sz w:val="18"/>
                <w:szCs w:val="18"/>
              </w:rPr>
              <w:br/>
            </w:r>
            <w:r w:rsidRPr="00F8485C">
              <w:rPr>
                <w:rFonts w:ascii="Book Antiqua" w:hAnsi="Book Antiqua"/>
                <w:sz w:val="18"/>
                <w:szCs w:val="18"/>
              </w:rPr>
              <w:br/>
              <w:t xml:space="preserve">Ty </w:t>
            </w:r>
            <w:proofErr w:type="spellStart"/>
            <w:r w:rsidRPr="00F8485C">
              <w:rPr>
                <w:rFonts w:ascii="Book Antiqua" w:hAnsi="Book Antiqua"/>
                <w:sz w:val="18"/>
                <w:szCs w:val="18"/>
              </w:rPr>
              <w:t>Tosdal</w:t>
            </w:r>
            <w:proofErr w:type="spellEnd"/>
            <w:r w:rsidRPr="00F8485C">
              <w:rPr>
                <w:rFonts w:ascii="Book Antiqua" w:hAnsi="Book Antiqua"/>
                <w:sz w:val="18"/>
                <w:szCs w:val="18"/>
              </w:rPr>
              <w:t xml:space="preserve">                                    </w:t>
            </w:r>
            <w:r w:rsidRPr="00F8485C">
              <w:rPr>
                <w:rFonts w:ascii="Book Antiqua" w:hAnsi="Book Antiqua"/>
                <w:sz w:val="18"/>
                <w:szCs w:val="18"/>
              </w:rPr>
              <w:br/>
              <w:t xml:space="preserve">Counsel                                      </w:t>
            </w:r>
            <w:r w:rsidRPr="00F8485C">
              <w:rPr>
                <w:rFonts w:ascii="Book Antiqua" w:hAnsi="Book Antiqua"/>
                <w:sz w:val="18"/>
                <w:szCs w:val="18"/>
              </w:rPr>
              <w:br/>
              <w:t xml:space="preserve">TOSDAL, APC                                  </w:t>
            </w:r>
            <w:r w:rsidRPr="00F8485C">
              <w:rPr>
                <w:rFonts w:ascii="Book Antiqua" w:hAnsi="Book Antiqua"/>
                <w:sz w:val="18"/>
                <w:szCs w:val="18"/>
              </w:rPr>
              <w:br/>
              <w:t xml:space="preserve">777 SOUTH HIGHWAY 101 STE. 215               </w:t>
            </w:r>
            <w:r w:rsidRPr="00F8485C">
              <w:rPr>
                <w:rFonts w:ascii="Book Antiqua" w:hAnsi="Book Antiqua"/>
                <w:sz w:val="18"/>
                <w:szCs w:val="18"/>
              </w:rPr>
              <w:br/>
              <w:t xml:space="preserve">SOLANA BEACH CA 92075                        </w:t>
            </w:r>
            <w:r w:rsidRPr="00F8485C">
              <w:rPr>
                <w:rFonts w:ascii="Book Antiqua" w:hAnsi="Book Antiqua"/>
                <w:sz w:val="18"/>
                <w:szCs w:val="18"/>
              </w:rPr>
              <w:br/>
              <w:t xml:space="preserve">(858) 252-6416                               </w:t>
            </w:r>
            <w:r w:rsidRPr="00F8485C">
              <w:rPr>
                <w:rFonts w:ascii="Book Antiqua" w:hAnsi="Book Antiqua"/>
                <w:sz w:val="18"/>
                <w:szCs w:val="18"/>
              </w:rPr>
              <w:br/>
              <w:t xml:space="preserve">Ty@TosdalAPC.com                             </w:t>
            </w:r>
            <w:r w:rsidRPr="00F8485C">
              <w:rPr>
                <w:rFonts w:ascii="Book Antiqua" w:hAnsi="Book Antiqua"/>
                <w:sz w:val="18"/>
                <w:szCs w:val="18"/>
              </w:rPr>
              <w:br/>
              <w:t>For: San Diego Community Power                                                                                                                                                                                                                                                                                                                                                                                                                                                                                                                                                                                                                                                                                                                                                                                                  ____________________________________________</w:t>
            </w:r>
            <w:r w:rsidRPr="00F8485C">
              <w:rPr>
                <w:rFonts w:ascii="Book Antiqua" w:hAnsi="Book Antiqua"/>
                <w:sz w:val="18"/>
                <w:szCs w:val="18"/>
              </w:rPr>
              <w:br/>
            </w:r>
            <w:r w:rsidRPr="00F8485C">
              <w:rPr>
                <w:rFonts w:ascii="Book Antiqua" w:hAnsi="Book Antiqua"/>
                <w:sz w:val="18"/>
                <w:szCs w:val="18"/>
              </w:rPr>
              <w:br/>
            </w:r>
            <w:r w:rsidRPr="00F8485C">
              <w:rPr>
                <w:rFonts w:ascii="Book Antiqua" w:hAnsi="Book Antiqua"/>
                <w:b/>
                <w:bCs/>
                <w:sz w:val="18"/>
                <w:szCs w:val="18"/>
              </w:rPr>
              <w:t xml:space="preserve">********** STATE EMPLOYEE *********** </w:t>
            </w:r>
            <w:r w:rsidRPr="00F8485C">
              <w:rPr>
                <w:rFonts w:ascii="Book Antiqua" w:hAnsi="Book Antiqua"/>
                <w:sz w:val="18"/>
                <w:szCs w:val="18"/>
              </w:rPr>
              <w:br/>
            </w:r>
            <w:r w:rsidRPr="00F8485C">
              <w:rPr>
                <w:rFonts w:ascii="Book Antiqua" w:hAnsi="Book Antiqua"/>
                <w:sz w:val="18"/>
                <w:szCs w:val="18"/>
              </w:rPr>
              <w:br/>
            </w:r>
            <w:r w:rsidRPr="00F8485C">
              <w:rPr>
                <w:rFonts w:ascii="Book Antiqua" w:hAnsi="Book Antiqua"/>
                <w:b/>
                <w:bCs/>
                <w:sz w:val="18"/>
                <w:szCs w:val="18"/>
              </w:rPr>
              <w:t xml:space="preserve">********* INFORMATION ONLY ********** </w:t>
            </w:r>
            <w:r w:rsidRPr="00F8485C">
              <w:rPr>
                <w:rFonts w:ascii="Book Antiqua" w:hAnsi="Book Antiqua"/>
                <w:sz w:val="18"/>
                <w:szCs w:val="18"/>
              </w:rPr>
              <w:br/>
            </w:r>
            <w:r w:rsidRPr="00F8485C">
              <w:rPr>
                <w:rFonts w:ascii="Book Antiqua" w:hAnsi="Book Antiqua"/>
                <w:sz w:val="18"/>
                <w:szCs w:val="18"/>
              </w:rPr>
              <w:br/>
              <w:t xml:space="preserve">Scott </w:t>
            </w:r>
            <w:proofErr w:type="spellStart"/>
            <w:r w:rsidRPr="00F8485C">
              <w:rPr>
                <w:rFonts w:ascii="Book Antiqua" w:hAnsi="Book Antiqua"/>
                <w:sz w:val="18"/>
                <w:szCs w:val="18"/>
              </w:rPr>
              <w:t>Blaising</w:t>
            </w:r>
            <w:proofErr w:type="spellEnd"/>
            <w:r w:rsidRPr="00F8485C">
              <w:rPr>
                <w:rFonts w:ascii="Book Antiqua" w:hAnsi="Book Antiqua"/>
                <w:sz w:val="18"/>
                <w:szCs w:val="18"/>
              </w:rPr>
              <w:t xml:space="preserve">                               </w:t>
            </w:r>
            <w:r w:rsidRPr="00F8485C">
              <w:rPr>
                <w:rFonts w:ascii="Book Antiqua" w:hAnsi="Book Antiqua"/>
                <w:sz w:val="18"/>
                <w:szCs w:val="18"/>
              </w:rPr>
              <w:br/>
              <w:t xml:space="preserve">Attorney At Law                              </w:t>
            </w:r>
            <w:r w:rsidRPr="00F8485C">
              <w:rPr>
                <w:rFonts w:ascii="Book Antiqua" w:hAnsi="Book Antiqua"/>
                <w:sz w:val="18"/>
                <w:szCs w:val="18"/>
              </w:rPr>
              <w:br/>
              <w:t xml:space="preserve">BRAUN &amp; BLAISING, P.C.                       </w:t>
            </w:r>
            <w:r w:rsidRPr="00F8485C">
              <w:rPr>
                <w:rFonts w:ascii="Book Antiqua" w:hAnsi="Book Antiqua"/>
                <w:sz w:val="18"/>
                <w:szCs w:val="18"/>
              </w:rPr>
              <w:br/>
              <w:t xml:space="preserve">EMAIL ONLY                                   </w:t>
            </w:r>
            <w:r w:rsidRPr="00F8485C">
              <w:rPr>
                <w:rFonts w:ascii="Book Antiqua" w:hAnsi="Book Antiqua"/>
                <w:sz w:val="18"/>
                <w:szCs w:val="18"/>
              </w:rPr>
              <w:br/>
              <w:t xml:space="preserve">EMAIL ON LY CA 00000                         </w:t>
            </w:r>
            <w:r w:rsidRPr="00F8485C">
              <w:rPr>
                <w:rFonts w:ascii="Book Antiqua" w:hAnsi="Book Antiqua"/>
                <w:sz w:val="18"/>
                <w:szCs w:val="18"/>
              </w:rPr>
              <w:br/>
              <w:t xml:space="preserve">(916) 682-9702                               </w:t>
            </w:r>
            <w:r w:rsidRPr="00F8485C">
              <w:rPr>
                <w:rFonts w:ascii="Book Antiqua" w:hAnsi="Book Antiqua"/>
                <w:sz w:val="18"/>
                <w:szCs w:val="18"/>
              </w:rPr>
              <w:br/>
              <w:t xml:space="preserve">blaising@braunlegal.com                      </w:t>
            </w:r>
            <w:r w:rsidRPr="00F8485C">
              <w:rPr>
                <w:rFonts w:ascii="Book Antiqua" w:hAnsi="Book Antiqua"/>
                <w:sz w:val="18"/>
                <w:szCs w:val="18"/>
              </w:rPr>
              <w:br/>
            </w:r>
            <w:r w:rsidRPr="00F8485C">
              <w:rPr>
                <w:rFonts w:ascii="Book Antiqua" w:hAnsi="Book Antiqua"/>
                <w:sz w:val="18"/>
                <w:szCs w:val="18"/>
              </w:rPr>
              <w:br/>
              <w:t xml:space="preserve">Katie </w:t>
            </w:r>
            <w:proofErr w:type="spellStart"/>
            <w:r w:rsidRPr="00F8485C">
              <w:rPr>
                <w:rFonts w:ascii="Book Antiqua" w:hAnsi="Book Antiqua"/>
                <w:sz w:val="18"/>
                <w:szCs w:val="18"/>
              </w:rPr>
              <w:t>Eng</w:t>
            </w:r>
            <w:proofErr w:type="spellEnd"/>
            <w:r w:rsidRPr="00F8485C">
              <w:rPr>
                <w:rFonts w:ascii="Book Antiqua" w:hAnsi="Book Antiqua"/>
                <w:sz w:val="18"/>
                <w:szCs w:val="18"/>
              </w:rPr>
              <w:t xml:space="preserve">                                    </w:t>
            </w:r>
            <w:r w:rsidRPr="00F8485C">
              <w:rPr>
                <w:rFonts w:ascii="Book Antiqua" w:hAnsi="Book Antiqua"/>
                <w:sz w:val="18"/>
                <w:szCs w:val="18"/>
              </w:rPr>
              <w:br/>
              <w:t xml:space="preserve">BRAUN BLAISING &amp; WYNNE                       </w:t>
            </w:r>
            <w:r w:rsidRPr="00F8485C">
              <w:rPr>
                <w:rFonts w:ascii="Book Antiqua" w:hAnsi="Book Antiqua"/>
                <w:sz w:val="18"/>
                <w:szCs w:val="18"/>
              </w:rPr>
              <w:br/>
              <w:t xml:space="preserve">555 CAPITOL MALL, SUITE 570                  </w:t>
            </w:r>
            <w:r w:rsidRPr="00F8485C">
              <w:rPr>
                <w:rFonts w:ascii="Book Antiqua" w:hAnsi="Book Antiqua"/>
                <w:sz w:val="18"/>
                <w:szCs w:val="18"/>
              </w:rPr>
              <w:br/>
              <w:t xml:space="preserve">SACRAMENTO CA 95814                          </w:t>
            </w:r>
            <w:r w:rsidRPr="00F8485C">
              <w:rPr>
                <w:rFonts w:ascii="Book Antiqua" w:hAnsi="Book Antiqua"/>
                <w:sz w:val="18"/>
                <w:szCs w:val="18"/>
              </w:rPr>
              <w:br/>
              <w:t xml:space="preserve">(916) 326-5812                               </w:t>
            </w:r>
            <w:r w:rsidRPr="00F8485C">
              <w:rPr>
                <w:rFonts w:ascii="Book Antiqua" w:hAnsi="Book Antiqua"/>
                <w:sz w:val="18"/>
                <w:szCs w:val="18"/>
              </w:rPr>
              <w:br/>
              <w:t xml:space="preserve">eng@braunlegal.com                           </w:t>
            </w:r>
            <w:r w:rsidRPr="00F8485C">
              <w:rPr>
                <w:rFonts w:ascii="Book Antiqua" w:hAnsi="Book Antiqua"/>
                <w:sz w:val="18"/>
                <w:szCs w:val="18"/>
              </w:rPr>
              <w:br/>
            </w:r>
            <w:r w:rsidRPr="00F8485C">
              <w:rPr>
                <w:rFonts w:ascii="Book Antiqua" w:hAnsi="Book Antiqua"/>
                <w:sz w:val="18"/>
                <w:szCs w:val="18"/>
              </w:rPr>
              <w:br/>
              <w:t xml:space="preserve">Josh Stoops                                  </w:t>
            </w:r>
            <w:r w:rsidRPr="00F8485C">
              <w:rPr>
                <w:rFonts w:ascii="Book Antiqua" w:hAnsi="Book Antiqua"/>
                <w:sz w:val="18"/>
                <w:szCs w:val="18"/>
              </w:rPr>
              <w:br/>
              <w:t xml:space="preserve">Attorney                                     </w:t>
            </w:r>
            <w:r w:rsidRPr="00F8485C">
              <w:rPr>
                <w:rFonts w:ascii="Book Antiqua" w:hAnsi="Book Antiqua"/>
                <w:sz w:val="18"/>
                <w:szCs w:val="18"/>
              </w:rPr>
              <w:br/>
              <w:t xml:space="preserve">BRAUN BLAISING &amp; WYNNE, P.C.                 </w:t>
            </w:r>
            <w:r w:rsidRPr="00F8485C">
              <w:rPr>
                <w:rFonts w:ascii="Book Antiqua" w:hAnsi="Book Antiqua"/>
                <w:sz w:val="18"/>
                <w:szCs w:val="18"/>
              </w:rPr>
              <w:br/>
              <w:t xml:space="preserve">555 CAPITOL MALL, STE 570                    </w:t>
            </w:r>
            <w:r w:rsidRPr="00F8485C">
              <w:rPr>
                <w:rFonts w:ascii="Book Antiqua" w:hAnsi="Book Antiqua"/>
                <w:sz w:val="18"/>
                <w:szCs w:val="18"/>
              </w:rPr>
              <w:br/>
              <w:t xml:space="preserve">SACRAMENTO CA 95814                          </w:t>
            </w:r>
            <w:r w:rsidRPr="00F8485C">
              <w:rPr>
                <w:rFonts w:ascii="Book Antiqua" w:hAnsi="Book Antiqua"/>
                <w:sz w:val="18"/>
                <w:szCs w:val="18"/>
              </w:rPr>
              <w:br/>
              <w:t xml:space="preserve">(916) 326-5812                               </w:t>
            </w:r>
            <w:r w:rsidRPr="00F8485C">
              <w:rPr>
                <w:rFonts w:ascii="Book Antiqua" w:hAnsi="Book Antiqua"/>
                <w:sz w:val="18"/>
                <w:szCs w:val="18"/>
              </w:rPr>
              <w:br/>
              <w:t xml:space="preserve">Stoops@BraunLegal.com                        </w:t>
            </w:r>
            <w:r w:rsidRPr="00F8485C">
              <w:rPr>
                <w:rFonts w:ascii="Book Antiqua" w:hAnsi="Book Antiqua"/>
                <w:sz w:val="18"/>
                <w:szCs w:val="18"/>
              </w:rPr>
              <w:br/>
            </w:r>
            <w:r w:rsidRPr="00F8485C">
              <w:rPr>
                <w:rFonts w:ascii="Book Antiqua" w:hAnsi="Book Antiqua"/>
                <w:sz w:val="18"/>
                <w:szCs w:val="18"/>
              </w:rPr>
              <w:br/>
              <w:t xml:space="preserve">Regulatory Clerk                             </w:t>
            </w:r>
            <w:r w:rsidRPr="00F8485C">
              <w:rPr>
                <w:rFonts w:ascii="Book Antiqua" w:hAnsi="Book Antiqua"/>
                <w:sz w:val="18"/>
                <w:szCs w:val="18"/>
              </w:rPr>
              <w:br/>
              <w:t>BRAUN BLAISING &amp; WYNNE, PC (BB&amp;</w:t>
            </w:r>
            <w:proofErr w:type="gramStart"/>
            <w:r w:rsidRPr="00F8485C">
              <w:rPr>
                <w:rFonts w:ascii="Book Antiqua" w:hAnsi="Book Antiqua"/>
                <w:sz w:val="18"/>
                <w:szCs w:val="18"/>
              </w:rPr>
              <w:t xml:space="preserve">W)   </w:t>
            </w:r>
            <w:proofErr w:type="gramEnd"/>
            <w:r w:rsidRPr="00F8485C">
              <w:rPr>
                <w:rFonts w:ascii="Book Antiqua" w:hAnsi="Book Antiqua"/>
                <w:sz w:val="18"/>
                <w:szCs w:val="18"/>
              </w:rPr>
              <w:t xml:space="preserve">         </w:t>
            </w:r>
            <w:r w:rsidRPr="00F8485C">
              <w:rPr>
                <w:rFonts w:ascii="Book Antiqua" w:hAnsi="Book Antiqua"/>
                <w:sz w:val="18"/>
                <w:szCs w:val="18"/>
              </w:rPr>
              <w:br/>
              <w:t xml:space="preserve">555 CAPITOL MALL, STE 570                    </w:t>
            </w:r>
            <w:r w:rsidRPr="00F8485C">
              <w:rPr>
                <w:rFonts w:ascii="Book Antiqua" w:hAnsi="Book Antiqua"/>
                <w:sz w:val="18"/>
                <w:szCs w:val="18"/>
              </w:rPr>
              <w:br/>
              <w:t xml:space="preserve">SACRAMENTO CA 95814                          </w:t>
            </w:r>
            <w:r w:rsidRPr="00F8485C">
              <w:rPr>
                <w:rFonts w:ascii="Book Antiqua" w:hAnsi="Book Antiqua"/>
                <w:sz w:val="18"/>
                <w:szCs w:val="18"/>
              </w:rPr>
              <w:br/>
              <w:t xml:space="preserve">regulatory@braunlegal.com                    </w:t>
            </w:r>
            <w:r w:rsidRPr="00F8485C">
              <w:rPr>
                <w:rFonts w:ascii="Book Antiqua" w:hAnsi="Book Antiqua"/>
                <w:sz w:val="18"/>
                <w:szCs w:val="18"/>
              </w:rPr>
              <w:br/>
            </w:r>
            <w:r w:rsidRPr="00F8485C">
              <w:rPr>
                <w:rFonts w:ascii="Book Antiqua" w:hAnsi="Book Antiqua"/>
                <w:sz w:val="18"/>
                <w:szCs w:val="18"/>
              </w:rPr>
              <w:br/>
            </w:r>
          </w:p>
        </w:tc>
        <w:tc>
          <w:tcPr>
            <w:tcW w:w="5400" w:type="dxa"/>
            <w:tcBorders>
              <w:top w:val="nil"/>
              <w:left w:val="nil"/>
              <w:bottom w:val="nil"/>
              <w:right w:val="nil"/>
            </w:tcBorders>
          </w:tcPr>
          <w:p w:rsidRPr="00F8485C" w:rsidR="00F8485C" w:rsidP="00D74A4E" w:rsidRDefault="00F8485C" w14:paraId="3791C71D" w14:textId="3A8F9976">
            <w:pPr>
              <w:rPr>
                <w:rFonts w:ascii="Book Antiqua" w:hAnsi="Book Antiqua"/>
                <w:sz w:val="18"/>
                <w:szCs w:val="18"/>
              </w:rPr>
            </w:pPr>
            <w:r w:rsidRPr="00F8485C">
              <w:rPr>
                <w:rFonts w:ascii="Book Antiqua" w:hAnsi="Book Antiqua"/>
                <w:sz w:val="18"/>
                <w:szCs w:val="18"/>
              </w:rPr>
              <w:t>Narissa Jimenez-</w:t>
            </w:r>
            <w:proofErr w:type="spellStart"/>
            <w:r w:rsidRPr="00F8485C">
              <w:rPr>
                <w:rFonts w:ascii="Book Antiqua" w:hAnsi="Book Antiqua"/>
                <w:sz w:val="18"/>
                <w:szCs w:val="18"/>
              </w:rPr>
              <w:t>Petchum</w:t>
            </w:r>
            <w:proofErr w:type="spellEnd"/>
            <w:r w:rsidRPr="00F8485C">
              <w:rPr>
                <w:rFonts w:ascii="Book Antiqua" w:hAnsi="Book Antiqua"/>
                <w:sz w:val="18"/>
                <w:szCs w:val="18"/>
              </w:rPr>
              <w:t xml:space="preserve">                      </w:t>
            </w:r>
            <w:r w:rsidRPr="00F8485C">
              <w:rPr>
                <w:rFonts w:ascii="Book Antiqua" w:hAnsi="Book Antiqua"/>
                <w:sz w:val="18"/>
                <w:szCs w:val="18"/>
              </w:rPr>
              <w:br/>
              <w:t xml:space="preserve">CALIFORNIA PUBLIC UTILITIES                  </w:t>
            </w:r>
            <w:r w:rsidRPr="00F8485C">
              <w:rPr>
                <w:rFonts w:ascii="Book Antiqua" w:hAnsi="Book Antiqua"/>
                <w:sz w:val="18"/>
                <w:szCs w:val="18"/>
              </w:rPr>
              <w:br/>
              <w:t xml:space="preserve">EMAIL ONLY                                   </w:t>
            </w:r>
            <w:r w:rsidRPr="00F8485C">
              <w:rPr>
                <w:rFonts w:ascii="Book Antiqua" w:hAnsi="Book Antiqua"/>
                <w:sz w:val="18"/>
                <w:szCs w:val="18"/>
              </w:rPr>
              <w:br/>
              <w:t xml:space="preserve">EMAIL ONLY CA 00000                          </w:t>
            </w:r>
            <w:r w:rsidRPr="00F8485C">
              <w:rPr>
                <w:rFonts w:ascii="Book Antiqua" w:hAnsi="Book Antiqua"/>
                <w:sz w:val="18"/>
                <w:szCs w:val="18"/>
              </w:rPr>
              <w:br/>
              <w:t xml:space="preserve">Narissa.Jimenez-Petchumrus@cpuc.ca.gov       </w:t>
            </w:r>
            <w:r w:rsidRPr="00F8485C">
              <w:rPr>
                <w:rFonts w:ascii="Book Antiqua" w:hAnsi="Book Antiqua"/>
                <w:sz w:val="18"/>
                <w:szCs w:val="18"/>
              </w:rPr>
              <w:br/>
            </w:r>
            <w:r w:rsidRPr="00F8485C">
              <w:rPr>
                <w:rFonts w:ascii="Book Antiqua" w:hAnsi="Book Antiqua"/>
                <w:sz w:val="18"/>
                <w:szCs w:val="18"/>
              </w:rPr>
              <w:br/>
              <w:t xml:space="preserve">Debbie Chiv                                  </w:t>
            </w:r>
            <w:r w:rsidRPr="00F8485C">
              <w:rPr>
                <w:rFonts w:ascii="Book Antiqua" w:hAnsi="Book Antiqua"/>
                <w:sz w:val="18"/>
                <w:szCs w:val="18"/>
              </w:rPr>
              <w:br/>
              <w:t xml:space="preserve">Administrative Law Judge Division            </w:t>
            </w:r>
            <w:r w:rsidRPr="00F8485C">
              <w:rPr>
                <w:rFonts w:ascii="Book Antiqua" w:hAnsi="Book Antiqua"/>
                <w:sz w:val="18"/>
                <w:szCs w:val="18"/>
              </w:rPr>
              <w:br/>
              <w:t xml:space="preserve">RM. 5011                                     </w:t>
            </w:r>
            <w:r w:rsidRPr="00F8485C">
              <w:rPr>
                <w:rFonts w:ascii="Book Antiqua" w:hAnsi="Book Antiqua"/>
                <w:sz w:val="18"/>
                <w:szCs w:val="18"/>
              </w:rPr>
              <w:br/>
              <w:t xml:space="preserve">505 Van Ness Avenue                          </w:t>
            </w:r>
            <w:r w:rsidRPr="00F8485C">
              <w:rPr>
                <w:rFonts w:ascii="Book Antiqua" w:hAnsi="Book Antiqua"/>
                <w:sz w:val="18"/>
                <w:szCs w:val="18"/>
              </w:rPr>
              <w:br/>
              <w:t xml:space="preserve">San Francisco CA 94102 3298                  </w:t>
            </w:r>
            <w:r w:rsidRPr="00F8485C">
              <w:rPr>
                <w:rFonts w:ascii="Book Antiqua" w:hAnsi="Book Antiqua"/>
                <w:sz w:val="18"/>
                <w:szCs w:val="18"/>
              </w:rPr>
              <w:br/>
              <w:t xml:space="preserve">(415) 703-4415                               </w:t>
            </w:r>
            <w:r w:rsidRPr="00F8485C">
              <w:rPr>
                <w:rFonts w:ascii="Book Antiqua" w:hAnsi="Book Antiqua"/>
                <w:sz w:val="18"/>
                <w:szCs w:val="18"/>
              </w:rPr>
              <w:br/>
              <w:t xml:space="preserve">dbb@cpuc.ca.gov                              </w:t>
            </w:r>
            <w:r w:rsidRPr="00F8485C">
              <w:rPr>
                <w:rFonts w:ascii="Book Antiqua" w:hAnsi="Book Antiqua"/>
                <w:sz w:val="18"/>
                <w:szCs w:val="18"/>
              </w:rPr>
              <w:br/>
            </w:r>
            <w:r w:rsidRPr="00F8485C">
              <w:rPr>
                <w:rFonts w:ascii="Book Antiqua" w:hAnsi="Book Antiqua"/>
                <w:sz w:val="18"/>
                <w:szCs w:val="18"/>
              </w:rPr>
              <w:br/>
              <w:t xml:space="preserve">Christopher Clay                             </w:t>
            </w:r>
            <w:r w:rsidRPr="00F8485C">
              <w:rPr>
                <w:rFonts w:ascii="Book Antiqua" w:hAnsi="Book Antiqua"/>
                <w:sz w:val="18"/>
                <w:szCs w:val="18"/>
              </w:rPr>
              <w:br/>
              <w:t xml:space="preserve">Legal Division                               </w:t>
            </w:r>
            <w:r w:rsidRPr="00F8485C">
              <w:rPr>
                <w:rFonts w:ascii="Book Antiqua" w:hAnsi="Book Antiqua"/>
                <w:sz w:val="18"/>
                <w:szCs w:val="18"/>
              </w:rPr>
              <w:br/>
              <w:t xml:space="preserve">RM. 4300                                     </w:t>
            </w:r>
            <w:r w:rsidRPr="00F8485C">
              <w:rPr>
                <w:rFonts w:ascii="Book Antiqua" w:hAnsi="Book Antiqua"/>
                <w:sz w:val="18"/>
                <w:szCs w:val="18"/>
              </w:rPr>
              <w:br/>
              <w:t xml:space="preserve">505 Van Ness Avenue                          </w:t>
            </w:r>
            <w:r w:rsidRPr="00F8485C">
              <w:rPr>
                <w:rFonts w:ascii="Book Antiqua" w:hAnsi="Book Antiqua"/>
                <w:sz w:val="18"/>
                <w:szCs w:val="18"/>
              </w:rPr>
              <w:br/>
              <w:t xml:space="preserve">San Francisco CA 94102 3298                  </w:t>
            </w:r>
            <w:r w:rsidRPr="00F8485C">
              <w:rPr>
                <w:rFonts w:ascii="Book Antiqua" w:hAnsi="Book Antiqua"/>
                <w:sz w:val="18"/>
                <w:szCs w:val="18"/>
              </w:rPr>
              <w:br/>
              <w:t xml:space="preserve">(415) 703-1123                               </w:t>
            </w:r>
            <w:r w:rsidRPr="00F8485C">
              <w:rPr>
                <w:rFonts w:ascii="Book Antiqua" w:hAnsi="Book Antiqua"/>
                <w:sz w:val="18"/>
                <w:szCs w:val="18"/>
              </w:rPr>
              <w:br/>
              <w:t xml:space="preserve">cec@cpuc.ca.gov                              </w:t>
            </w:r>
            <w:r w:rsidRPr="00F8485C">
              <w:rPr>
                <w:rFonts w:ascii="Book Antiqua" w:hAnsi="Book Antiqua"/>
                <w:sz w:val="18"/>
                <w:szCs w:val="18"/>
              </w:rPr>
              <w:br/>
            </w:r>
            <w:r w:rsidRPr="00F8485C">
              <w:rPr>
                <w:rFonts w:ascii="Book Antiqua" w:hAnsi="Book Antiqua"/>
                <w:sz w:val="18"/>
                <w:szCs w:val="18"/>
              </w:rPr>
              <w:br/>
              <w:t xml:space="preserve">Andrew B. Brown                              </w:t>
            </w:r>
            <w:r w:rsidRPr="00F8485C">
              <w:rPr>
                <w:rFonts w:ascii="Book Antiqua" w:hAnsi="Book Antiqua"/>
                <w:sz w:val="18"/>
                <w:szCs w:val="18"/>
              </w:rPr>
              <w:br/>
              <w:t xml:space="preserve">Attorney                                     </w:t>
            </w:r>
            <w:r w:rsidRPr="00F8485C">
              <w:rPr>
                <w:rFonts w:ascii="Book Antiqua" w:hAnsi="Book Antiqua"/>
                <w:sz w:val="18"/>
                <w:szCs w:val="18"/>
              </w:rPr>
              <w:br/>
              <w:t xml:space="preserve">ELLISON SCHNEIDER HARRIS &amp; DONLAN LLP        </w:t>
            </w:r>
            <w:r w:rsidRPr="00F8485C">
              <w:rPr>
                <w:rFonts w:ascii="Book Antiqua" w:hAnsi="Book Antiqua"/>
                <w:sz w:val="18"/>
                <w:szCs w:val="18"/>
              </w:rPr>
              <w:br/>
              <w:t xml:space="preserve">2600 CAPITOL AVENUE, SUITE 400               </w:t>
            </w:r>
            <w:r w:rsidRPr="00F8485C">
              <w:rPr>
                <w:rFonts w:ascii="Book Antiqua" w:hAnsi="Book Antiqua"/>
                <w:sz w:val="18"/>
                <w:szCs w:val="18"/>
              </w:rPr>
              <w:br/>
              <w:t xml:space="preserve">SACRAMENTO CA 95816                          </w:t>
            </w:r>
            <w:r w:rsidRPr="00F8485C">
              <w:rPr>
                <w:rFonts w:ascii="Book Antiqua" w:hAnsi="Book Antiqua"/>
                <w:sz w:val="18"/>
                <w:szCs w:val="18"/>
              </w:rPr>
              <w:br/>
              <w:t xml:space="preserve">(916) 447-2166                               </w:t>
            </w:r>
            <w:r w:rsidRPr="00F8485C">
              <w:rPr>
                <w:rFonts w:ascii="Book Antiqua" w:hAnsi="Book Antiqua"/>
                <w:sz w:val="18"/>
                <w:szCs w:val="18"/>
              </w:rPr>
              <w:br/>
              <w:t xml:space="preserve">abb@eslawfirm.com                            </w:t>
            </w:r>
            <w:r w:rsidRPr="00F8485C">
              <w:rPr>
                <w:rFonts w:ascii="Book Antiqua" w:hAnsi="Book Antiqua"/>
                <w:sz w:val="18"/>
                <w:szCs w:val="18"/>
              </w:rPr>
              <w:br/>
            </w:r>
            <w:r w:rsidRPr="00F8485C">
              <w:rPr>
                <w:rFonts w:ascii="Book Antiqua" w:hAnsi="Book Antiqua"/>
                <w:sz w:val="18"/>
                <w:szCs w:val="18"/>
              </w:rPr>
              <w:br/>
              <w:t xml:space="preserve">Charlyn A. Hook                              </w:t>
            </w:r>
            <w:r w:rsidRPr="00F8485C">
              <w:rPr>
                <w:rFonts w:ascii="Book Antiqua" w:hAnsi="Book Antiqua"/>
                <w:sz w:val="18"/>
                <w:szCs w:val="18"/>
              </w:rPr>
              <w:br/>
              <w:t xml:space="preserve">Legal Division                               </w:t>
            </w:r>
            <w:r w:rsidRPr="00F8485C">
              <w:rPr>
                <w:rFonts w:ascii="Book Antiqua" w:hAnsi="Book Antiqua"/>
                <w:sz w:val="18"/>
                <w:szCs w:val="18"/>
              </w:rPr>
              <w:br/>
              <w:t xml:space="preserve">RM. 5123                                     </w:t>
            </w:r>
            <w:r w:rsidRPr="00F8485C">
              <w:rPr>
                <w:rFonts w:ascii="Book Antiqua" w:hAnsi="Book Antiqua"/>
                <w:sz w:val="18"/>
                <w:szCs w:val="18"/>
              </w:rPr>
              <w:br/>
              <w:t xml:space="preserve">505 Van Ness Avenue                          </w:t>
            </w:r>
            <w:r w:rsidRPr="00F8485C">
              <w:rPr>
                <w:rFonts w:ascii="Book Antiqua" w:hAnsi="Book Antiqua"/>
                <w:sz w:val="18"/>
                <w:szCs w:val="18"/>
              </w:rPr>
              <w:br/>
              <w:t xml:space="preserve">San Francisco CA 94102 3298                  </w:t>
            </w:r>
            <w:r w:rsidRPr="00F8485C">
              <w:rPr>
                <w:rFonts w:ascii="Book Antiqua" w:hAnsi="Book Antiqua"/>
                <w:sz w:val="18"/>
                <w:szCs w:val="18"/>
              </w:rPr>
              <w:br/>
              <w:t xml:space="preserve">(415) 703-3050                               </w:t>
            </w:r>
            <w:r w:rsidRPr="00F8485C">
              <w:rPr>
                <w:rFonts w:ascii="Book Antiqua" w:hAnsi="Book Antiqua"/>
                <w:sz w:val="18"/>
                <w:szCs w:val="18"/>
              </w:rPr>
              <w:br/>
              <w:t xml:space="preserve">chh@cpuc.ca.gov                              </w:t>
            </w:r>
            <w:r w:rsidRPr="00F8485C">
              <w:rPr>
                <w:rFonts w:ascii="Book Antiqua" w:hAnsi="Book Antiqua"/>
                <w:sz w:val="18"/>
                <w:szCs w:val="18"/>
              </w:rPr>
              <w:br/>
            </w:r>
            <w:r w:rsidRPr="00F8485C">
              <w:rPr>
                <w:rFonts w:ascii="Book Antiqua" w:hAnsi="Book Antiqua"/>
                <w:sz w:val="18"/>
                <w:szCs w:val="18"/>
              </w:rPr>
              <w:br/>
            </w:r>
            <w:proofErr w:type="spellStart"/>
            <w:r w:rsidRPr="00F8485C">
              <w:rPr>
                <w:rFonts w:ascii="Book Antiqua" w:hAnsi="Book Antiqua"/>
                <w:sz w:val="18"/>
                <w:szCs w:val="18"/>
              </w:rPr>
              <w:t>Ke</w:t>
            </w:r>
            <w:proofErr w:type="spellEnd"/>
            <w:r w:rsidRPr="00F8485C">
              <w:rPr>
                <w:rFonts w:ascii="Book Antiqua" w:hAnsi="Book Antiqua"/>
                <w:sz w:val="18"/>
                <w:szCs w:val="18"/>
              </w:rPr>
              <w:t xml:space="preserve"> Hao Ouyang                                </w:t>
            </w:r>
            <w:r w:rsidRPr="00F8485C">
              <w:rPr>
                <w:rFonts w:ascii="Book Antiqua" w:hAnsi="Book Antiqua"/>
                <w:sz w:val="18"/>
                <w:szCs w:val="18"/>
              </w:rPr>
              <w:br/>
              <w:t xml:space="preserve">Consumer Protection and Enforcement Division </w:t>
            </w:r>
            <w:r w:rsidRPr="00F8485C">
              <w:rPr>
                <w:rFonts w:ascii="Book Antiqua" w:hAnsi="Book Antiqua"/>
                <w:sz w:val="18"/>
                <w:szCs w:val="18"/>
              </w:rPr>
              <w:br/>
              <w:t xml:space="preserve">AREA 2-E                                     </w:t>
            </w:r>
            <w:r w:rsidRPr="00F8485C">
              <w:rPr>
                <w:rFonts w:ascii="Book Antiqua" w:hAnsi="Book Antiqua"/>
                <w:sz w:val="18"/>
                <w:szCs w:val="18"/>
              </w:rPr>
              <w:br/>
              <w:t xml:space="preserve">505 Van Ness Avenue                          </w:t>
            </w:r>
            <w:r w:rsidRPr="00F8485C">
              <w:rPr>
                <w:rFonts w:ascii="Book Antiqua" w:hAnsi="Book Antiqua"/>
                <w:sz w:val="18"/>
                <w:szCs w:val="18"/>
              </w:rPr>
              <w:br/>
              <w:t xml:space="preserve">San Francisco CA 94102 3298                  </w:t>
            </w:r>
            <w:r w:rsidRPr="00F8485C">
              <w:rPr>
                <w:rFonts w:ascii="Book Antiqua" w:hAnsi="Book Antiqua"/>
                <w:sz w:val="18"/>
                <w:szCs w:val="18"/>
              </w:rPr>
              <w:br/>
              <w:t xml:space="preserve">(415) 703-1235                               </w:t>
            </w:r>
            <w:r w:rsidRPr="00F8485C">
              <w:rPr>
                <w:rFonts w:ascii="Book Antiqua" w:hAnsi="Book Antiqua"/>
                <w:sz w:val="18"/>
                <w:szCs w:val="18"/>
              </w:rPr>
              <w:br/>
              <w:t xml:space="preserve">kho@cpuc.ca.gov                              </w:t>
            </w:r>
            <w:r w:rsidRPr="00F8485C">
              <w:rPr>
                <w:rFonts w:ascii="Book Antiqua" w:hAnsi="Book Antiqua"/>
                <w:sz w:val="18"/>
                <w:szCs w:val="18"/>
              </w:rPr>
              <w:br/>
            </w:r>
            <w:r w:rsidRPr="00F8485C">
              <w:rPr>
                <w:rFonts w:ascii="Book Antiqua" w:hAnsi="Book Antiqua"/>
                <w:sz w:val="18"/>
                <w:szCs w:val="18"/>
              </w:rPr>
              <w:br/>
              <w:t xml:space="preserve">Christa Lim                                  </w:t>
            </w:r>
            <w:r w:rsidRPr="00F8485C">
              <w:rPr>
                <w:rFonts w:ascii="Book Antiqua" w:hAnsi="Book Antiqua"/>
                <w:sz w:val="18"/>
                <w:szCs w:val="18"/>
              </w:rPr>
              <w:br/>
              <w:t xml:space="preserve">Regulatory Affairs (West)                    </w:t>
            </w:r>
            <w:r w:rsidRPr="00F8485C">
              <w:rPr>
                <w:rFonts w:ascii="Book Antiqua" w:hAnsi="Book Antiqua"/>
                <w:sz w:val="18"/>
                <w:szCs w:val="18"/>
              </w:rPr>
              <w:br/>
              <w:t xml:space="preserve">SHELL ENERGY                                 </w:t>
            </w:r>
            <w:r w:rsidRPr="00F8485C">
              <w:rPr>
                <w:rFonts w:ascii="Book Antiqua" w:hAnsi="Book Antiqua"/>
                <w:sz w:val="18"/>
                <w:szCs w:val="18"/>
              </w:rPr>
              <w:br/>
              <w:t xml:space="preserve">EMAIL ONLY                                   </w:t>
            </w:r>
            <w:r w:rsidRPr="00F8485C">
              <w:rPr>
                <w:rFonts w:ascii="Book Antiqua" w:hAnsi="Book Antiqua"/>
                <w:sz w:val="18"/>
                <w:szCs w:val="18"/>
              </w:rPr>
              <w:br/>
              <w:t xml:space="preserve">EMAIL ONLY CA 00000                          </w:t>
            </w:r>
            <w:r w:rsidRPr="00F8485C">
              <w:rPr>
                <w:rFonts w:ascii="Book Antiqua" w:hAnsi="Book Antiqua"/>
                <w:sz w:val="18"/>
                <w:szCs w:val="18"/>
              </w:rPr>
              <w:br/>
              <w:t xml:space="preserve">(858) 241-4107                               </w:t>
            </w:r>
            <w:r w:rsidRPr="00F8485C">
              <w:rPr>
                <w:rFonts w:ascii="Book Antiqua" w:hAnsi="Book Antiqua"/>
                <w:sz w:val="18"/>
                <w:szCs w:val="18"/>
              </w:rPr>
              <w:br/>
              <w:t xml:space="preserve">christa.lim@shell.com                        </w:t>
            </w:r>
            <w:r w:rsidRPr="00F8485C">
              <w:rPr>
                <w:rFonts w:ascii="Book Antiqua" w:hAnsi="Book Antiqua"/>
                <w:sz w:val="18"/>
                <w:szCs w:val="18"/>
              </w:rPr>
              <w:br/>
            </w:r>
            <w:r w:rsidRPr="00F8485C">
              <w:rPr>
                <w:rFonts w:ascii="Book Antiqua" w:hAnsi="Book Antiqua"/>
                <w:sz w:val="18"/>
                <w:szCs w:val="18"/>
              </w:rPr>
              <w:br/>
            </w:r>
            <w:r w:rsidRPr="00F8485C">
              <w:rPr>
                <w:rFonts w:ascii="Book Antiqua" w:hAnsi="Book Antiqua"/>
                <w:sz w:val="18"/>
                <w:szCs w:val="18"/>
              </w:rPr>
              <w:br/>
            </w:r>
          </w:p>
        </w:tc>
      </w:tr>
      <w:tr w:rsidRPr="00F8485C" w:rsidR="00F8485C" w:rsidTr="00D74A4E" w14:paraId="4197D6FE" w14:textId="77777777">
        <w:tblPrEx>
          <w:tblCellMar>
            <w:top w:w="0" w:type="dxa"/>
            <w:bottom w:w="0" w:type="dxa"/>
          </w:tblCellMar>
        </w:tblPrEx>
        <w:tc>
          <w:tcPr>
            <w:tcW w:w="5400" w:type="dxa"/>
            <w:tcBorders>
              <w:top w:val="nil"/>
              <w:left w:val="nil"/>
              <w:bottom w:val="nil"/>
              <w:right w:val="nil"/>
            </w:tcBorders>
          </w:tcPr>
          <w:p w:rsidRPr="00F8485C" w:rsidR="00F8485C" w:rsidP="00D74A4E" w:rsidRDefault="00F8485C" w14:paraId="389F581E" w14:textId="77777777">
            <w:pPr>
              <w:rPr>
                <w:rFonts w:ascii="Book Antiqua" w:hAnsi="Book Antiqua"/>
                <w:sz w:val="18"/>
                <w:szCs w:val="18"/>
              </w:rPr>
            </w:pPr>
            <w:r w:rsidRPr="00F8485C">
              <w:rPr>
                <w:rFonts w:ascii="Book Antiqua" w:hAnsi="Book Antiqua"/>
                <w:sz w:val="18"/>
                <w:szCs w:val="18"/>
              </w:rPr>
              <w:lastRenderedPageBreak/>
              <w:t xml:space="preserve">Rebecca </w:t>
            </w:r>
            <w:proofErr w:type="spellStart"/>
            <w:r w:rsidRPr="00F8485C">
              <w:rPr>
                <w:rFonts w:ascii="Book Antiqua" w:hAnsi="Book Antiqua"/>
                <w:sz w:val="18"/>
                <w:szCs w:val="18"/>
              </w:rPr>
              <w:t>Meiers</w:t>
            </w:r>
            <w:proofErr w:type="spellEnd"/>
            <w:r w:rsidRPr="00F8485C">
              <w:rPr>
                <w:rFonts w:ascii="Book Antiqua" w:hAnsi="Book Antiqua"/>
                <w:sz w:val="18"/>
                <w:szCs w:val="18"/>
              </w:rPr>
              <w:t xml:space="preserve">-De </w:t>
            </w:r>
            <w:proofErr w:type="spellStart"/>
            <w:r w:rsidRPr="00F8485C">
              <w:rPr>
                <w:rFonts w:ascii="Book Antiqua" w:hAnsi="Book Antiqua"/>
                <w:sz w:val="18"/>
                <w:szCs w:val="18"/>
              </w:rPr>
              <w:t>Pastino</w:t>
            </w:r>
            <w:proofErr w:type="spellEnd"/>
            <w:r w:rsidRPr="00F8485C">
              <w:rPr>
                <w:rFonts w:ascii="Book Antiqua" w:hAnsi="Book Antiqua"/>
                <w:sz w:val="18"/>
                <w:szCs w:val="18"/>
              </w:rPr>
              <w:t xml:space="preserve">                    </w:t>
            </w:r>
            <w:r w:rsidRPr="00F8485C">
              <w:rPr>
                <w:rFonts w:ascii="Book Antiqua" w:hAnsi="Book Antiqua"/>
                <w:sz w:val="18"/>
                <w:szCs w:val="18"/>
              </w:rPr>
              <w:br/>
              <w:t xml:space="preserve">Sr. Attorney                                 </w:t>
            </w:r>
            <w:r w:rsidRPr="00F8485C">
              <w:rPr>
                <w:rFonts w:ascii="Book Antiqua" w:hAnsi="Book Antiqua"/>
                <w:sz w:val="18"/>
                <w:szCs w:val="18"/>
              </w:rPr>
              <w:br/>
              <w:t xml:space="preserve">SOUTHERN CALIFORNIA EDISON COMPANY           </w:t>
            </w:r>
            <w:r w:rsidRPr="00F8485C">
              <w:rPr>
                <w:rFonts w:ascii="Book Antiqua" w:hAnsi="Book Antiqua"/>
                <w:sz w:val="18"/>
                <w:szCs w:val="18"/>
              </w:rPr>
              <w:br/>
              <w:t xml:space="preserve">2244 WALNUT GROVE AVENUE                     </w:t>
            </w:r>
            <w:r w:rsidRPr="00F8485C">
              <w:rPr>
                <w:rFonts w:ascii="Book Antiqua" w:hAnsi="Book Antiqua"/>
                <w:sz w:val="18"/>
                <w:szCs w:val="18"/>
              </w:rPr>
              <w:br/>
              <w:t xml:space="preserve">ROSEMEAD CA 91770                            </w:t>
            </w:r>
            <w:r w:rsidRPr="00F8485C">
              <w:rPr>
                <w:rFonts w:ascii="Book Antiqua" w:hAnsi="Book Antiqua"/>
                <w:sz w:val="18"/>
                <w:szCs w:val="18"/>
              </w:rPr>
              <w:br/>
              <w:t xml:space="preserve">(626) 302-6016                               </w:t>
            </w:r>
            <w:r w:rsidRPr="00F8485C">
              <w:rPr>
                <w:rFonts w:ascii="Book Antiqua" w:hAnsi="Book Antiqua"/>
                <w:sz w:val="18"/>
                <w:szCs w:val="18"/>
              </w:rPr>
              <w:br/>
              <w:t xml:space="preserve">Rebecca.Meiers.DePastino@SCE.com             </w:t>
            </w:r>
            <w:r w:rsidRPr="00F8485C">
              <w:rPr>
                <w:rFonts w:ascii="Book Antiqua" w:hAnsi="Book Antiqua"/>
                <w:sz w:val="18"/>
                <w:szCs w:val="18"/>
              </w:rPr>
              <w:br/>
            </w:r>
            <w:r w:rsidRPr="00F8485C">
              <w:rPr>
                <w:rFonts w:ascii="Book Antiqua" w:hAnsi="Book Antiqua"/>
                <w:sz w:val="18"/>
                <w:szCs w:val="18"/>
              </w:rPr>
              <w:br/>
              <w:t xml:space="preserve">Erin Hudak                                   </w:t>
            </w:r>
            <w:r w:rsidRPr="00F8485C">
              <w:rPr>
                <w:rFonts w:ascii="Book Antiqua" w:hAnsi="Book Antiqua"/>
                <w:sz w:val="18"/>
                <w:szCs w:val="18"/>
              </w:rPr>
              <w:br/>
              <w:t xml:space="preserve">TOSDAL APC                                   </w:t>
            </w:r>
            <w:r w:rsidRPr="00F8485C">
              <w:rPr>
                <w:rFonts w:ascii="Book Antiqua" w:hAnsi="Book Antiqua"/>
                <w:sz w:val="18"/>
                <w:szCs w:val="18"/>
              </w:rPr>
              <w:br/>
              <w:t xml:space="preserve">845 15TH STREET, SUITE 103                   </w:t>
            </w:r>
            <w:r w:rsidRPr="00F8485C">
              <w:rPr>
                <w:rFonts w:ascii="Book Antiqua" w:hAnsi="Book Antiqua"/>
                <w:sz w:val="18"/>
                <w:szCs w:val="18"/>
              </w:rPr>
              <w:br/>
              <w:t xml:space="preserve">SAN DIEGO CA 92101                           </w:t>
            </w:r>
            <w:r w:rsidRPr="00F8485C">
              <w:rPr>
                <w:rFonts w:ascii="Book Antiqua" w:hAnsi="Book Antiqua"/>
                <w:sz w:val="18"/>
                <w:szCs w:val="18"/>
              </w:rPr>
              <w:br/>
              <w:t xml:space="preserve">(714) 580-8113                               </w:t>
            </w:r>
            <w:r w:rsidRPr="00F8485C">
              <w:rPr>
                <w:rFonts w:ascii="Book Antiqua" w:hAnsi="Book Antiqua"/>
                <w:sz w:val="18"/>
                <w:szCs w:val="18"/>
              </w:rPr>
              <w:br/>
              <w:t xml:space="preserve">erin@tosdalapc.com                           </w:t>
            </w:r>
            <w:r w:rsidRPr="00F8485C">
              <w:rPr>
                <w:rFonts w:ascii="Book Antiqua" w:hAnsi="Book Antiqua"/>
                <w:sz w:val="18"/>
                <w:szCs w:val="18"/>
              </w:rPr>
              <w:br/>
            </w:r>
            <w:r w:rsidRPr="00F8485C">
              <w:rPr>
                <w:rFonts w:ascii="Book Antiqua" w:hAnsi="Book Antiqua"/>
                <w:sz w:val="18"/>
                <w:szCs w:val="18"/>
              </w:rPr>
              <w:br/>
              <w:t>Kalia Mitchell-</w:t>
            </w:r>
            <w:proofErr w:type="spellStart"/>
            <w:r w:rsidRPr="00F8485C">
              <w:rPr>
                <w:rFonts w:ascii="Book Antiqua" w:hAnsi="Book Antiqua"/>
                <w:sz w:val="18"/>
                <w:szCs w:val="18"/>
              </w:rPr>
              <w:t>Silbaugh</w:t>
            </w:r>
            <w:proofErr w:type="spellEnd"/>
            <w:r w:rsidRPr="00F8485C">
              <w:rPr>
                <w:rFonts w:ascii="Book Antiqua" w:hAnsi="Book Antiqua"/>
                <w:sz w:val="18"/>
                <w:szCs w:val="18"/>
              </w:rPr>
              <w:t xml:space="preserve">                      </w:t>
            </w:r>
            <w:r w:rsidRPr="00F8485C">
              <w:rPr>
                <w:rFonts w:ascii="Book Antiqua" w:hAnsi="Book Antiqua"/>
                <w:sz w:val="18"/>
                <w:szCs w:val="18"/>
              </w:rPr>
              <w:br/>
              <w:t xml:space="preserve">Legal Assistant                              </w:t>
            </w:r>
            <w:r w:rsidRPr="00F8485C">
              <w:rPr>
                <w:rFonts w:ascii="Book Antiqua" w:hAnsi="Book Antiqua"/>
                <w:sz w:val="18"/>
                <w:szCs w:val="18"/>
              </w:rPr>
              <w:br/>
              <w:t xml:space="preserve">TOSDAL APC                                   </w:t>
            </w:r>
            <w:r w:rsidRPr="00F8485C">
              <w:rPr>
                <w:rFonts w:ascii="Book Antiqua" w:hAnsi="Book Antiqua"/>
                <w:sz w:val="18"/>
                <w:szCs w:val="18"/>
              </w:rPr>
              <w:br/>
              <w:t xml:space="preserve">845 15TH STREET, SUITE 103                   </w:t>
            </w:r>
            <w:r w:rsidRPr="00F8485C">
              <w:rPr>
                <w:rFonts w:ascii="Book Antiqua" w:hAnsi="Book Antiqua"/>
                <w:sz w:val="18"/>
                <w:szCs w:val="18"/>
              </w:rPr>
              <w:br/>
              <w:t xml:space="preserve">SAN DIEGO CA 92101                           </w:t>
            </w:r>
            <w:r w:rsidRPr="00F8485C">
              <w:rPr>
                <w:rFonts w:ascii="Book Antiqua" w:hAnsi="Book Antiqua"/>
                <w:sz w:val="18"/>
                <w:szCs w:val="18"/>
              </w:rPr>
              <w:br/>
              <w:t xml:space="preserve">(707) 868-8304                               </w:t>
            </w:r>
            <w:r w:rsidRPr="00F8485C">
              <w:rPr>
                <w:rFonts w:ascii="Book Antiqua" w:hAnsi="Book Antiqua"/>
                <w:sz w:val="18"/>
                <w:szCs w:val="18"/>
              </w:rPr>
              <w:br/>
              <w:t xml:space="preserve">kali@tosdalapc.com                           </w:t>
            </w:r>
            <w:r w:rsidRPr="00F8485C">
              <w:rPr>
                <w:rFonts w:ascii="Book Antiqua" w:hAnsi="Book Antiqua"/>
                <w:sz w:val="18"/>
                <w:szCs w:val="18"/>
              </w:rPr>
              <w:br/>
            </w:r>
            <w:r w:rsidRPr="00F8485C">
              <w:rPr>
                <w:rFonts w:ascii="Book Antiqua" w:hAnsi="Book Antiqua"/>
                <w:sz w:val="18"/>
                <w:szCs w:val="18"/>
              </w:rPr>
              <w:br/>
              <w:t xml:space="preserve">Stephanie Wu                                 </w:t>
            </w:r>
            <w:r w:rsidRPr="00F8485C">
              <w:rPr>
                <w:rFonts w:ascii="Book Antiqua" w:hAnsi="Book Antiqua"/>
                <w:sz w:val="18"/>
                <w:szCs w:val="18"/>
              </w:rPr>
              <w:br/>
              <w:t xml:space="preserve">Consumer Protection and Enforcement Division </w:t>
            </w:r>
            <w:r w:rsidRPr="00F8485C">
              <w:rPr>
                <w:rFonts w:ascii="Book Antiqua" w:hAnsi="Book Antiqua"/>
                <w:sz w:val="18"/>
                <w:szCs w:val="18"/>
              </w:rPr>
              <w:br/>
              <w:t xml:space="preserve">505 Van Ness Avenue                          </w:t>
            </w:r>
            <w:r w:rsidRPr="00F8485C">
              <w:rPr>
                <w:rFonts w:ascii="Book Antiqua" w:hAnsi="Book Antiqua"/>
                <w:sz w:val="18"/>
                <w:szCs w:val="18"/>
              </w:rPr>
              <w:br/>
              <w:t xml:space="preserve">San Francisco CA 94102 3298                  </w:t>
            </w:r>
            <w:r w:rsidRPr="00F8485C">
              <w:rPr>
                <w:rFonts w:ascii="Book Antiqua" w:hAnsi="Book Antiqua"/>
                <w:sz w:val="18"/>
                <w:szCs w:val="18"/>
              </w:rPr>
              <w:br/>
              <w:t xml:space="preserve">(415) 696-7309                               </w:t>
            </w:r>
            <w:r w:rsidRPr="00F8485C">
              <w:rPr>
                <w:rFonts w:ascii="Book Antiqua" w:hAnsi="Book Antiqua"/>
                <w:sz w:val="18"/>
                <w:szCs w:val="18"/>
              </w:rPr>
              <w:br/>
              <w:t xml:space="preserve">sw3@cpuc.ca.gov                              </w:t>
            </w:r>
            <w:r w:rsidRPr="00F8485C">
              <w:rPr>
                <w:rFonts w:ascii="Book Antiqua" w:hAnsi="Book Antiqua"/>
                <w:sz w:val="18"/>
                <w:szCs w:val="18"/>
              </w:rPr>
              <w:br/>
            </w:r>
            <w:r w:rsidRPr="00F8485C">
              <w:rPr>
                <w:rFonts w:ascii="Book Antiqua" w:hAnsi="Book Antiqua"/>
                <w:sz w:val="18"/>
                <w:szCs w:val="18"/>
              </w:rPr>
              <w:br/>
              <w:t xml:space="preserve">Matthew </w:t>
            </w:r>
            <w:proofErr w:type="spellStart"/>
            <w:r w:rsidRPr="00F8485C">
              <w:rPr>
                <w:rFonts w:ascii="Book Antiqua" w:hAnsi="Book Antiqua"/>
                <w:sz w:val="18"/>
                <w:szCs w:val="18"/>
              </w:rPr>
              <w:t>Yergovich</w:t>
            </w:r>
            <w:proofErr w:type="spellEnd"/>
            <w:r w:rsidRPr="00F8485C">
              <w:rPr>
                <w:rFonts w:ascii="Book Antiqua" w:hAnsi="Book Antiqua"/>
                <w:sz w:val="18"/>
                <w:szCs w:val="18"/>
              </w:rPr>
              <w:t xml:space="preserve">                            </w:t>
            </w:r>
            <w:r w:rsidRPr="00F8485C">
              <w:rPr>
                <w:rFonts w:ascii="Book Antiqua" w:hAnsi="Book Antiqua"/>
                <w:sz w:val="18"/>
                <w:szCs w:val="18"/>
              </w:rPr>
              <w:br/>
              <w:t xml:space="preserve">Legal Division                               </w:t>
            </w:r>
            <w:r w:rsidRPr="00F8485C">
              <w:rPr>
                <w:rFonts w:ascii="Book Antiqua" w:hAnsi="Book Antiqua"/>
                <w:sz w:val="18"/>
                <w:szCs w:val="18"/>
              </w:rPr>
              <w:br/>
              <w:t xml:space="preserve">505 Van Ness Avenue                          </w:t>
            </w:r>
            <w:r w:rsidRPr="00F8485C">
              <w:rPr>
                <w:rFonts w:ascii="Book Antiqua" w:hAnsi="Book Antiqua"/>
                <w:sz w:val="18"/>
                <w:szCs w:val="18"/>
              </w:rPr>
              <w:br/>
              <w:t xml:space="preserve">San Francisco CA 94102 3298                  </w:t>
            </w:r>
            <w:r w:rsidRPr="00F8485C">
              <w:rPr>
                <w:rFonts w:ascii="Book Antiqua" w:hAnsi="Book Antiqua"/>
                <w:sz w:val="18"/>
                <w:szCs w:val="18"/>
              </w:rPr>
              <w:br/>
              <w:t xml:space="preserve">(415) 703-1271                               </w:t>
            </w:r>
            <w:r w:rsidRPr="00F8485C">
              <w:rPr>
                <w:rFonts w:ascii="Book Antiqua" w:hAnsi="Book Antiqua"/>
                <w:sz w:val="18"/>
                <w:szCs w:val="18"/>
              </w:rPr>
              <w:br/>
              <w:t xml:space="preserve">myh@cpuc.ca.gov                              </w:t>
            </w:r>
            <w:r w:rsidRPr="00F8485C">
              <w:rPr>
                <w:rFonts w:ascii="Book Antiqua" w:hAnsi="Book Antiqua"/>
                <w:sz w:val="18"/>
                <w:szCs w:val="18"/>
              </w:rPr>
              <w:br/>
            </w:r>
            <w:r w:rsidRPr="00F8485C">
              <w:rPr>
                <w:rFonts w:ascii="Book Antiqua" w:hAnsi="Book Antiqua"/>
                <w:sz w:val="18"/>
                <w:szCs w:val="18"/>
              </w:rPr>
              <w:br/>
              <w:t xml:space="preserve">Daniel </w:t>
            </w:r>
            <w:proofErr w:type="spellStart"/>
            <w:r w:rsidRPr="00F8485C">
              <w:rPr>
                <w:rFonts w:ascii="Book Antiqua" w:hAnsi="Book Antiqua"/>
                <w:sz w:val="18"/>
                <w:szCs w:val="18"/>
              </w:rPr>
              <w:t>Zarchy</w:t>
            </w:r>
            <w:proofErr w:type="spellEnd"/>
            <w:r w:rsidRPr="00F8485C">
              <w:rPr>
                <w:rFonts w:ascii="Book Antiqua" w:hAnsi="Book Antiqua"/>
                <w:sz w:val="18"/>
                <w:szCs w:val="18"/>
              </w:rPr>
              <w:t xml:space="preserve">                                </w:t>
            </w:r>
            <w:r w:rsidRPr="00F8485C">
              <w:rPr>
                <w:rFonts w:ascii="Book Antiqua" w:hAnsi="Book Antiqua"/>
                <w:sz w:val="18"/>
                <w:szCs w:val="18"/>
              </w:rPr>
              <w:br/>
              <w:t xml:space="preserve">EMAIL ONLY                                   </w:t>
            </w:r>
            <w:r w:rsidRPr="00F8485C">
              <w:rPr>
                <w:rFonts w:ascii="Book Antiqua" w:hAnsi="Book Antiqua"/>
                <w:sz w:val="18"/>
                <w:szCs w:val="18"/>
              </w:rPr>
              <w:br/>
              <w:t xml:space="preserve">EMAIL ONLY CA 00000                          </w:t>
            </w:r>
            <w:r w:rsidRPr="00F8485C">
              <w:rPr>
                <w:rFonts w:ascii="Book Antiqua" w:hAnsi="Book Antiqua"/>
                <w:sz w:val="18"/>
                <w:szCs w:val="18"/>
              </w:rPr>
              <w:br/>
              <w:t xml:space="preserve">dzarchy@gmail.com                            </w:t>
            </w:r>
            <w:r w:rsidRPr="00F8485C">
              <w:rPr>
                <w:rFonts w:ascii="Book Antiqua" w:hAnsi="Book Antiqua"/>
                <w:sz w:val="18"/>
                <w:szCs w:val="18"/>
              </w:rPr>
              <w:br/>
            </w:r>
            <w:r w:rsidRPr="00F8485C">
              <w:rPr>
                <w:rFonts w:ascii="Book Antiqua" w:hAnsi="Book Antiqua"/>
                <w:sz w:val="18"/>
                <w:szCs w:val="18"/>
              </w:rPr>
              <w:br/>
            </w:r>
          </w:p>
        </w:tc>
        <w:tc>
          <w:tcPr>
            <w:tcW w:w="5400" w:type="dxa"/>
            <w:tcBorders>
              <w:top w:val="nil"/>
              <w:left w:val="nil"/>
              <w:bottom w:val="nil"/>
              <w:right w:val="nil"/>
            </w:tcBorders>
          </w:tcPr>
          <w:p w:rsidRPr="00F8485C" w:rsidR="00F8485C" w:rsidP="00D74A4E" w:rsidRDefault="00F8485C" w14:paraId="54043CA8" w14:textId="77777777">
            <w:pPr>
              <w:rPr>
                <w:rFonts w:ascii="Book Antiqua" w:hAnsi="Book Antiqua"/>
                <w:sz w:val="18"/>
                <w:szCs w:val="18"/>
              </w:rPr>
            </w:pPr>
          </w:p>
        </w:tc>
      </w:tr>
    </w:tbl>
    <w:p w:rsidRPr="00B27B03" w:rsidR="00C47C2A" w:rsidRDefault="00C47C2A" w14:paraId="18D35AEE" w14:textId="77777777">
      <w:pPr>
        <w:pStyle w:val="standard0"/>
        <w:spacing w:line="240" w:lineRule="auto"/>
        <w:rPr>
          <w:rFonts w:ascii="Book Antiqua" w:hAnsi="Book Antiqua"/>
          <w:szCs w:val="24"/>
        </w:rPr>
      </w:pPr>
    </w:p>
    <w:sectPr w:rsidRPr="00B27B03" w:rsidR="00C47C2A" w:rsidSect="0092114E">
      <w:headerReference w:type="first" r:id="rId22"/>
      <w:footerReference w:type="first" r:id="rId23"/>
      <w:pgSz w:w="12240" w:h="15840" w:code="1"/>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8E54" w14:textId="77777777" w:rsidR="00937ECB" w:rsidRDefault="00937ECB">
      <w:r>
        <w:separator/>
      </w:r>
    </w:p>
  </w:endnote>
  <w:endnote w:type="continuationSeparator" w:id="0">
    <w:p w14:paraId="09BD828C" w14:textId="77777777" w:rsidR="00937ECB" w:rsidRDefault="0093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swiss"/>
    <w:notTrueType/>
    <w:pitch w:val="default"/>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58406970"/>
      <w:docPartObj>
        <w:docPartGallery w:val="Page Numbers (Bottom of Page)"/>
        <w:docPartUnique/>
      </w:docPartObj>
    </w:sdtPr>
    <w:sdtEndPr>
      <w:rPr>
        <w:noProof/>
      </w:rPr>
    </w:sdtEndPr>
    <w:sdtContent>
      <w:p w14:paraId="1C45D78A" w14:textId="20EB4F02" w:rsidR="0007762F" w:rsidRPr="00377AC0" w:rsidRDefault="0007762F">
        <w:pPr>
          <w:pStyle w:val="Footer"/>
          <w:jc w:val="center"/>
          <w:rPr>
            <w:rFonts w:ascii="Book Antiqua" w:hAnsi="Book Antiqua"/>
          </w:rPr>
        </w:pPr>
        <w:r w:rsidRPr="00377AC0">
          <w:rPr>
            <w:rFonts w:ascii="Book Antiqua" w:hAnsi="Book Antiqua"/>
          </w:rPr>
          <w:fldChar w:fldCharType="begin"/>
        </w:r>
        <w:r w:rsidRPr="00377AC0">
          <w:rPr>
            <w:rFonts w:ascii="Book Antiqua" w:hAnsi="Book Antiqua"/>
          </w:rPr>
          <w:instrText xml:space="preserve"> PAGE   \* MERGEFORMAT </w:instrText>
        </w:r>
        <w:r w:rsidRPr="00377AC0">
          <w:rPr>
            <w:rFonts w:ascii="Book Antiqua" w:hAnsi="Book Antiqua"/>
          </w:rPr>
          <w:fldChar w:fldCharType="separate"/>
        </w:r>
        <w:r w:rsidRPr="00377AC0">
          <w:rPr>
            <w:rFonts w:ascii="Book Antiqua" w:hAnsi="Book Antiqua"/>
            <w:noProof/>
          </w:rPr>
          <w:t>2</w:t>
        </w:r>
        <w:r w:rsidRPr="00377AC0">
          <w:rPr>
            <w:rFonts w:ascii="Book Antiqua" w:hAnsi="Book Antiqua"/>
            <w:noProof/>
          </w:rPr>
          <w:fldChar w:fldCharType="end"/>
        </w:r>
      </w:p>
    </w:sdtContent>
  </w:sdt>
  <w:p w14:paraId="67F0CF19" w14:textId="77777777" w:rsidR="0007762F" w:rsidRDefault="0007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8825" w14:textId="06824A0E" w:rsidR="0007762F" w:rsidRPr="006E3D6E" w:rsidRDefault="0007762F" w:rsidP="006E3D6E">
    <w:pPr>
      <w:pStyle w:val="Footer"/>
      <w:tabs>
        <w:tab w:val="clear" w:pos="4320"/>
        <w:tab w:val="center" w:pos="4680"/>
      </w:tabs>
      <w:rPr>
        <w:rFonts w:ascii="Book Antiqua" w:hAnsi="Book Antiqua"/>
      </w:rPr>
    </w:pPr>
  </w:p>
  <w:p w14:paraId="23F0D854" w14:textId="77777777" w:rsidR="006D0A8D" w:rsidRDefault="006D0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357730312"/>
      <w:docPartObj>
        <w:docPartGallery w:val="Page Numbers (Bottom of Page)"/>
        <w:docPartUnique/>
      </w:docPartObj>
    </w:sdtPr>
    <w:sdtEndPr>
      <w:rPr>
        <w:noProof/>
      </w:rPr>
    </w:sdtEndPr>
    <w:sdtContent>
      <w:p w14:paraId="35EB9C9F" w14:textId="77777777" w:rsidR="006E3D6E" w:rsidRPr="006E3D6E" w:rsidRDefault="006E3D6E" w:rsidP="006E3D6E">
        <w:pPr>
          <w:pStyle w:val="Footer"/>
          <w:tabs>
            <w:tab w:val="clear" w:pos="4320"/>
            <w:tab w:val="center" w:pos="4680"/>
          </w:tabs>
          <w:rPr>
            <w:rFonts w:ascii="Book Antiqua" w:hAnsi="Book Antiqua"/>
          </w:rPr>
        </w:pPr>
        <w:r w:rsidRPr="006E3D6E">
          <w:rPr>
            <w:rFonts w:ascii="Book Antiqua" w:hAnsi="Book Antiqua"/>
            <w:sz w:val="16"/>
            <w:szCs w:val="16"/>
          </w:rPr>
          <w:t>500883618</w:t>
        </w:r>
        <w:r w:rsidRPr="006E3D6E">
          <w:rPr>
            <w:rFonts w:ascii="Book Antiqua" w:hAnsi="Book Antiqua"/>
          </w:rPr>
          <w:tab/>
        </w:r>
        <w:r w:rsidRPr="006E3D6E">
          <w:rPr>
            <w:rFonts w:ascii="Book Antiqua" w:hAnsi="Book Antiqua"/>
          </w:rPr>
          <w:fldChar w:fldCharType="begin"/>
        </w:r>
        <w:r w:rsidRPr="006E3D6E">
          <w:rPr>
            <w:rFonts w:ascii="Book Antiqua" w:hAnsi="Book Antiqua"/>
          </w:rPr>
          <w:instrText xml:space="preserve"> PAGE   \* MERGEFORMAT </w:instrText>
        </w:r>
        <w:r w:rsidRPr="006E3D6E">
          <w:rPr>
            <w:rFonts w:ascii="Book Antiqua" w:hAnsi="Book Antiqua"/>
          </w:rPr>
          <w:fldChar w:fldCharType="separate"/>
        </w:r>
        <w:r w:rsidRPr="006E3D6E">
          <w:rPr>
            <w:rFonts w:ascii="Book Antiqua" w:hAnsi="Book Antiqua"/>
            <w:noProof/>
          </w:rPr>
          <w:t>2</w:t>
        </w:r>
        <w:r w:rsidRPr="006E3D6E">
          <w:rPr>
            <w:rFonts w:ascii="Book Antiqua" w:hAnsi="Book Antiqua"/>
            <w:noProof/>
          </w:rPr>
          <w:fldChar w:fldCharType="end"/>
        </w:r>
      </w:p>
    </w:sdtContent>
  </w:sdt>
  <w:p w14:paraId="2AE447C5" w14:textId="77777777" w:rsidR="006E3D6E" w:rsidRDefault="006E3D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3CF8" w14:textId="77777777" w:rsidR="00F8485C" w:rsidRPr="00070884" w:rsidRDefault="00F8485C" w:rsidP="00070884">
    <w:pPr>
      <w:pStyle w:val="Footer"/>
      <w:jc w:val="center"/>
      <w:rPr>
        <w:rFonts w:ascii="Book Antiqua" w:hAnsi="Book Antiqua"/>
      </w:rPr>
    </w:pPr>
    <w:r w:rsidRPr="00070884">
      <w:rPr>
        <w:rFonts w:ascii="Book Antiqua" w:hAnsi="Book Antiqua"/>
      </w:rPr>
      <w:fldChar w:fldCharType="begin"/>
    </w:r>
    <w:r w:rsidRPr="00070884">
      <w:rPr>
        <w:rFonts w:ascii="Book Antiqua" w:hAnsi="Book Antiqua"/>
      </w:rPr>
      <w:instrText xml:space="preserve"> PAGE   \* MERGEFORMAT </w:instrText>
    </w:r>
    <w:r w:rsidRPr="00070884">
      <w:rPr>
        <w:rFonts w:ascii="Book Antiqua" w:hAnsi="Book Antiqua"/>
      </w:rPr>
      <w:fldChar w:fldCharType="separate"/>
    </w:r>
    <w:r w:rsidRPr="00070884">
      <w:rPr>
        <w:rFonts w:ascii="Book Antiqua" w:hAnsi="Book Antiqua"/>
        <w:noProof/>
      </w:rPr>
      <w:t>2</w:t>
    </w:r>
    <w:r w:rsidRPr="00070884">
      <w:rPr>
        <w:rFonts w:ascii="Book Antiqua" w:hAnsi="Book Antiqua"/>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332" w14:textId="77777777" w:rsidR="00F8485C" w:rsidRPr="00AF0F82" w:rsidRDefault="00F8485C" w:rsidP="00070884">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8951" w14:textId="77777777" w:rsidR="00F8485C" w:rsidRDefault="00F8485C" w:rsidP="002F4E62">
    <w:pPr>
      <w:pStyle w:val="Footer"/>
    </w:pPr>
    <w:r>
      <w:fldChar w:fldCharType="begin"/>
    </w:r>
    <w:r>
      <w:instrText xml:space="preserve"> PAGE   \* MERGEFORMAT </w:instrText>
    </w:r>
    <w:r>
      <w:fldChar w:fldCharType="separate"/>
    </w:r>
    <w:r>
      <w:rPr>
        <w:noProof/>
      </w:rPr>
      <w:t>- 1 -</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7491" w14:textId="77777777" w:rsidR="00F8485C" w:rsidRPr="00AF0F82" w:rsidRDefault="00F8485C" w:rsidP="00070884">
    <w:pPr>
      <w:pStyle w:val="Footer"/>
      <w:jc w:val="center"/>
      <w:rPr>
        <w:rFonts w:ascii="Book Antiqua" w:hAnsi="Book Antiqua"/>
      </w:rPr>
    </w:pPr>
    <w:r w:rsidRPr="00AF0F82">
      <w:rPr>
        <w:rFonts w:ascii="Book Antiqua" w:hAnsi="Book Antiqua"/>
      </w:rPr>
      <w:fldChar w:fldCharType="begin"/>
    </w:r>
    <w:r w:rsidRPr="00AF0F82">
      <w:rPr>
        <w:rFonts w:ascii="Book Antiqua" w:hAnsi="Book Antiqua"/>
      </w:rPr>
      <w:instrText xml:space="preserve"> PAGE   \* MERGEFORMAT </w:instrText>
    </w:r>
    <w:r w:rsidRPr="00AF0F82">
      <w:rPr>
        <w:rFonts w:ascii="Book Antiqua" w:hAnsi="Book Antiqua"/>
      </w:rPr>
      <w:fldChar w:fldCharType="separate"/>
    </w:r>
    <w:r w:rsidRPr="00AF0F82">
      <w:rPr>
        <w:rFonts w:ascii="Book Antiqua" w:hAnsi="Book Antiqua"/>
        <w:noProof/>
      </w:rPr>
      <w:t>- 2 -</w:t>
    </w:r>
    <w:r w:rsidRPr="00AF0F82">
      <w:rPr>
        <w:rFonts w:ascii="Book Antiqua" w:hAnsi="Book Antiqua"/>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B6B" w14:textId="77777777" w:rsidR="0092114E" w:rsidRPr="0068104E" w:rsidRDefault="00000000" w:rsidP="00D25A58">
    <w:pPr>
      <w:pStyle w:val="Footer"/>
      <w:jc w:val="center"/>
      <w:rPr>
        <w:rFonts w:ascii="Book Antiqua" w:hAnsi="Book Antiqua"/>
      </w:rPr>
    </w:pPr>
    <w:r w:rsidRPr="0068104E">
      <w:rPr>
        <w:rFonts w:ascii="Book Antiqua" w:hAnsi="Book Antiqua"/>
      </w:rPr>
      <w:fldChar w:fldCharType="begin"/>
    </w:r>
    <w:r w:rsidRPr="0068104E">
      <w:rPr>
        <w:rFonts w:ascii="Book Antiqua" w:hAnsi="Book Antiqua"/>
      </w:rPr>
      <w:instrText xml:space="preserve"> PAGE   \* MERGEFORMAT </w:instrText>
    </w:r>
    <w:r w:rsidRPr="0068104E">
      <w:rPr>
        <w:rFonts w:ascii="Book Antiqua" w:hAnsi="Book Antiqua"/>
      </w:rPr>
      <w:fldChar w:fldCharType="separate"/>
    </w:r>
    <w:r w:rsidRPr="0068104E">
      <w:rPr>
        <w:rFonts w:ascii="Book Antiqua" w:hAnsi="Book Antiqua"/>
        <w:noProof/>
      </w:rPr>
      <w:t>- 1 -</w:t>
    </w:r>
    <w:r w:rsidRPr="0068104E">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9A5" w14:textId="77777777" w:rsidR="00937ECB" w:rsidRDefault="00937ECB">
      <w:r>
        <w:separator/>
      </w:r>
    </w:p>
  </w:footnote>
  <w:footnote w:type="continuationSeparator" w:id="0">
    <w:p w14:paraId="2D5B56CD" w14:textId="77777777" w:rsidR="00937ECB" w:rsidRDefault="00937ECB">
      <w:r>
        <w:continuationSeparator/>
      </w:r>
    </w:p>
  </w:footnote>
  <w:footnote w:id="1">
    <w:p w14:paraId="1B7F3AE3" w14:textId="5A4BCEFC" w:rsidR="009D2BBE" w:rsidRPr="006B79B9" w:rsidRDefault="009D2BBE" w:rsidP="006B79B9">
      <w:pPr>
        <w:pStyle w:val="FootnoteText"/>
        <w:ind w:left="288" w:hanging="288"/>
        <w:rPr>
          <w:rFonts w:ascii="Book Antiqua" w:hAnsi="Book Antiqua"/>
          <w:sz w:val="22"/>
          <w:szCs w:val="22"/>
          <w:lang w:val="en-ZW"/>
        </w:rPr>
      </w:pPr>
      <w:r w:rsidRPr="006B79B9">
        <w:rPr>
          <w:rStyle w:val="FootnoteReference"/>
          <w:rFonts w:ascii="Book Antiqua" w:hAnsi="Book Antiqua"/>
          <w:sz w:val="22"/>
          <w:szCs w:val="22"/>
        </w:rPr>
        <w:footnoteRef/>
      </w:r>
      <w:r w:rsidRPr="006B79B9">
        <w:rPr>
          <w:rFonts w:ascii="Book Antiqua" w:hAnsi="Book Antiqua"/>
          <w:sz w:val="22"/>
          <w:szCs w:val="22"/>
        </w:rPr>
        <w:t xml:space="preserve"> </w:t>
      </w:r>
      <w:r>
        <w:rPr>
          <w:rFonts w:ascii="Book Antiqua" w:hAnsi="Book Antiqua"/>
          <w:sz w:val="22"/>
          <w:szCs w:val="22"/>
        </w:rPr>
        <w:tab/>
      </w:r>
      <w:r w:rsidR="0036739E">
        <w:rPr>
          <w:rFonts w:ascii="Book Antiqua" w:hAnsi="Book Antiqua"/>
          <w:sz w:val="22"/>
          <w:szCs w:val="22"/>
        </w:rPr>
        <w:t xml:space="preserve">We note that </w:t>
      </w:r>
      <w:r w:rsidR="00C80972">
        <w:rPr>
          <w:rFonts w:ascii="Book Antiqua" w:hAnsi="Book Antiqua"/>
          <w:sz w:val="22"/>
          <w:szCs w:val="22"/>
        </w:rPr>
        <w:t xml:space="preserve">while </w:t>
      </w:r>
      <w:r w:rsidR="0036739E" w:rsidRPr="009450A6">
        <w:rPr>
          <w:rFonts w:ascii="Book Antiqua" w:hAnsi="Book Antiqua"/>
          <w:sz w:val="22"/>
          <w:szCs w:val="22"/>
        </w:rPr>
        <w:t>CPED</w:t>
      </w:r>
      <w:r w:rsidR="0036739E">
        <w:rPr>
          <w:rFonts w:ascii="Book Antiqua" w:hAnsi="Book Antiqua"/>
          <w:sz w:val="22"/>
          <w:szCs w:val="22"/>
        </w:rPr>
        <w:t xml:space="preserve"> and SDCP submitted filings that redacted the deficiency month and RA type for this citation appeal, SDCP’s November 3, 2021 Notice of Appeal disclosed this information. </w:t>
      </w:r>
    </w:p>
  </w:footnote>
  <w:footnote w:id="2">
    <w:p w14:paraId="73DF3764" w14:textId="28D58102" w:rsidR="0003439C" w:rsidRPr="003A23FA" w:rsidRDefault="0003439C"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D.05-10-042 at Conclusion of Law</w:t>
      </w:r>
      <w:r w:rsidR="0052477B" w:rsidRPr="003A23FA">
        <w:rPr>
          <w:rFonts w:ascii="Book Antiqua" w:hAnsi="Book Antiqua"/>
          <w:sz w:val="22"/>
          <w:szCs w:val="22"/>
          <w:lang w:val="en-ZW"/>
        </w:rPr>
        <w:t xml:space="preserve"> (COL)</w:t>
      </w:r>
      <w:r w:rsidRPr="003A23FA">
        <w:rPr>
          <w:rFonts w:ascii="Book Antiqua" w:hAnsi="Book Antiqua"/>
          <w:sz w:val="22"/>
          <w:szCs w:val="22"/>
          <w:lang w:val="en-ZW"/>
        </w:rPr>
        <w:t xml:space="preserve"> 21.</w:t>
      </w:r>
    </w:p>
  </w:footnote>
  <w:footnote w:id="3">
    <w:p w14:paraId="6B4EA59D" w14:textId="21C2E0F3" w:rsidR="00E03A36" w:rsidRPr="003A23FA" w:rsidRDefault="00E03A36"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ALJ-</w:t>
      </w:r>
      <w:r w:rsidR="00DA081E" w:rsidRPr="003A23FA">
        <w:rPr>
          <w:rFonts w:ascii="Book Antiqua" w:hAnsi="Book Antiqua"/>
          <w:sz w:val="22"/>
          <w:szCs w:val="22"/>
          <w:lang w:val="en-ZW"/>
        </w:rPr>
        <w:t>377</w:t>
      </w:r>
      <w:r w:rsidRPr="003A23FA">
        <w:rPr>
          <w:rFonts w:ascii="Book Antiqua" w:hAnsi="Book Antiqua"/>
          <w:sz w:val="22"/>
          <w:szCs w:val="22"/>
          <w:lang w:val="en-ZW"/>
        </w:rPr>
        <w:t>, Appendix A.</w:t>
      </w:r>
    </w:p>
  </w:footnote>
  <w:footnote w:id="4">
    <w:p w14:paraId="1CE85A81" w14:textId="4C3C9F19" w:rsidR="00DF37E2" w:rsidRPr="003A23FA" w:rsidRDefault="00DF37E2"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rPr>
        <w:t>See</w:t>
      </w:r>
      <w:r w:rsidRPr="003A23FA">
        <w:rPr>
          <w:rFonts w:ascii="Book Antiqua" w:hAnsi="Book Antiqua"/>
          <w:sz w:val="22"/>
          <w:szCs w:val="22"/>
        </w:rPr>
        <w:t xml:space="preserve"> D.98-12-075, </w:t>
      </w:r>
      <w:r w:rsidRPr="003A23FA">
        <w:rPr>
          <w:rFonts w:ascii="Book Antiqua" w:hAnsi="Book Antiqua"/>
          <w:sz w:val="22"/>
          <w:szCs w:val="22"/>
          <w:lang w:val="en-ZW"/>
        </w:rPr>
        <w:t>1998 Cal. PUC LEXIS 1018, at 52-59.</w:t>
      </w:r>
    </w:p>
  </w:footnote>
  <w:footnote w:id="5">
    <w:p w14:paraId="775B8F67" w14:textId="051B7DF9" w:rsidR="00B35DDC" w:rsidRPr="003A23FA" w:rsidRDefault="00B35DDC"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137609" w:rsidRPr="003A23FA">
        <w:rPr>
          <w:rFonts w:ascii="Book Antiqua" w:hAnsi="Book Antiqua"/>
          <w:sz w:val="22"/>
          <w:szCs w:val="22"/>
          <w:lang w:val="en-ZW"/>
        </w:rPr>
        <w:t>SDCP Response to ALJ’s E-mail Ruling</w:t>
      </w:r>
      <w:r w:rsidRPr="003A23FA">
        <w:rPr>
          <w:rFonts w:ascii="Book Antiqua" w:hAnsi="Book Antiqua"/>
          <w:sz w:val="22"/>
          <w:szCs w:val="22"/>
          <w:lang w:val="en-ZW"/>
        </w:rPr>
        <w:t xml:space="preserve">, </w:t>
      </w:r>
      <w:r w:rsidR="00137609" w:rsidRPr="003A23FA">
        <w:rPr>
          <w:rFonts w:ascii="Book Antiqua" w:hAnsi="Book Antiqua"/>
          <w:sz w:val="22"/>
          <w:szCs w:val="22"/>
          <w:lang w:val="en-ZW"/>
        </w:rPr>
        <w:t>December 30</w:t>
      </w:r>
      <w:r w:rsidR="000B7BB8" w:rsidRPr="003A23FA">
        <w:rPr>
          <w:rFonts w:ascii="Book Antiqua" w:hAnsi="Book Antiqua"/>
          <w:sz w:val="22"/>
          <w:szCs w:val="22"/>
          <w:lang w:val="en-ZW"/>
        </w:rPr>
        <w:t>, 202</w:t>
      </w:r>
      <w:r w:rsidR="00137609" w:rsidRPr="003A23FA">
        <w:rPr>
          <w:rFonts w:ascii="Book Antiqua" w:hAnsi="Book Antiqua"/>
          <w:sz w:val="22"/>
          <w:szCs w:val="22"/>
          <w:lang w:val="en-ZW"/>
        </w:rPr>
        <w:t>1</w:t>
      </w:r>
      <w:r w:rsidR="000B7BB8" w:rsidRPr="003A23FA">
        <w:rPr>
          <w:rFonts w:ascii="Book Antiqua" w:hAnsi="Book Antiqua"/>
          <w:sz w:val="22"/>
          <w:szCs w:val="22"/>
          <w:lang w:val="en-ZW"/>
        </w:rPr>
        <w:t xml:space="preserve">, </w:t>
      </w:r>
      <w:r w:rsidRPr="003A23FA">
        <w:rPr>
          <w:rFonts w:ascii="Book Antiqua" w:hAnsi="Book Antiqua"/>
          <w:sz w:val="22"/>
          <w:szCs w:val="22"/>
          <w:lang w:val="en-ZW"/>
        </w:rPr>
        <w:t xml:space="preserve">at </w:t>
      </w:r>
      <w:r w:rsidR="00B27B03" w:rsidRPr="003A23FA">
        <w:rPr>
          <w:rFonts w:ascii="Book Antiqua" w:hAnsi="Book Antiqua"/>
          <w:sz w:val="22"/>
          <w:szCs w:val="22"/>
          <w:lang w:val="en-ZW"/>
        </w:rPr>
        <w:t>2</w:t>
      </w:r>
      <w:r w:rsidR="00E27F6D" w:rsidRPr="003A23FA">
        <w:rPr>
          <w:rFonts w:ascii="Book Antiqua" w:hAnsi="Book Antiqua"/>
          <w:sz w:val="22"/>
          <w:szCs w:val="22"/>
          <w:lang w:val="en-ZW"/>
        </w:rPr>
        <w:t xml:space="preserve">; CPED </w:t>
      </w:r>
      <w:r w:rsidR="005A397D" w:rsidRPr="003A23FA">
        <w:rPr>
          <w:rFonts w:ascii="Book Antiqua" w:hAnsi="Book Antiqua"/>
          <w:sz w:val="22"/>
          <w:szCs w:val="22"/>
          <w:lang w:val="en-ZW"/>
        </w:rPr>
        <w:t>Response to ALJ’s E</w:t>
      </w:r>
      <w:r w:rsidR="00377AC0">
        <w:rPr>
          <w:rFonts w:ascii="Book Antiqua" w:hAnsi="Book Antiqua"/>
          <w:sz w:val="22"/>
          <w:szCs w:val="22"/>
          <w:lang w:val="en-ZW"/>
        </w:rPr>
        <w:noBreakHyphen/>
      </w:r>
      <w:r w:rsidR="005A397D" w:rsidRPr="003A23FA">
        <w:rPr>
          <w:rFonts w:ascii="Book Antiqua" w:hAnsi="Book Antiqua"/>
          <w:sz w:val="22"/>
          <w:szCs w:val="22"/>
          <w:lang w:val="en-ZW"/>
        </w:rPr>
        <w:t>mail Ruling</w:t>
      </w:r>
      <w:r w:rsidR="000B7BB8" w:rsidRPr="003A23FA">
        <w:rPr>
          <w:rFonts w:ascii="Book Antiqua" w:hAnsi="Book Antiqua"/>
          <w:sz w:val="22"/>
          <w:szCs w:val="22"/>
          <w:lang w:val="en-ZW"/>
        </w:rPr>
        <w:t>,</w:t>
      </w:r>
      <w:r w:rsidR="00E27F6D" w:rsidRPr="003A23FA">
        <w:rPr>
          <w:rFonts w:ascii="Book Antiqua" w:hAnsi="Book Antiqua"/>
          <w:sz w:val="22"/>
          <w:szCs w:val="22"/>
          <w:lang w:val="en-ZW"/>
        </w:rPr>
        <w:t xml:space="preserve"> </w:t>
      </w:r>
      <w:r w:rsidR="005A397D" w:rsidRPr="003A23FA">
        <w:rPr>
          <w:rFonts w:ascii="Book Antiqua" w:hAnsi="Book Antiqua"/>
          <w:sz w:val="22"/>
          <w:szCs w:val="22"/>
          <w:lang w:val="en-ZW"/>
        </w:rPr>
        <w:t>December 30, 2021</w:t>
      </w:r>
      <w:r w:rsidR="000B7BB8" w:rsidRPr="003A23FA">
        <w:rPr>
          <w:rFonts w:ascii="Book Antiqua" w:hAnsi="Book Antiqua"/>
          <w:sz w:val="22"/>
          <w:szCs w:val="22"/>
          <w:lang w:val="en-ZW"/>
        </w:rPr>
        <w:t>, at</w:t>
      </w:r>
      <w:r w:rsidR="009635CE" w:rsidRPr="003A23FA">
        <w:rPr>
          <w:rFonts w:ascii="Book Antiqua" w:hAnsi="Book Antiqua"/>
          <w:sz w:val="22"/>
          <w:szCs w:val="22"/>
          <w:lang w:val="en-ZW"/>
        </w:rPr>
        <w:t> </w:t>
      </w:r>
      <w:r w:rsidR="005A397D" w:rsidRPr="003A23FA">
        <w:rPr>
          <w:rFonts w:ascii="Book Antiqua" w:hAnsi="Book Antiqua"/>
          <w:sz w:val="22"/>
          <w:szCs w:val="22"/>
          <w:lang w:val="en-ZW"/>
        </w:rPr>
        <w:t>1</w:t>
      </w:r>
      <w:r w:rsidRPr="003A23FA">
        <w:rPr>
          <w:rFonts w:ascii="Book Antiqua" w:hAnsi="Book Antiqua"/>
          <w:sz w:val="22"/>
          <w:szCs w:val="22"/>
          <w:lang w:val="en-ZW"/>
        </w:rPr>
        <w:t>.</w:t>
      </w:r>
    </w:p>
  </w:footnote>
  <w:footnote w:id="6">
    <w:p w14:paraId="37425AAD" w14:textId="228FD7C2" w:rsidR="005B4312" w:rsidRPr="003A23FA" w:rsidRDefault="005B4312"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w:t>
      </w:r>
      <w:r w:rsidR="001602F9" w:rsidRPr="003A23FA">
        <w:rPr>
          <w:rFonts w:ascii="Book Antiqua" w:hAnsi="Book Antiqua"/>
          <w:sz w:val="22"/>
          <w:szCs w:val="22"/>
          <w:lang w:val="en-ZW"/>
        </w:rPr>
        <w:t>, September 19, 2022,</w:t>
      </w:r>
      <w:r w:rsidRPr="003A23FA">
        <w:rPr>
          <w:rFonts w:ascii="Book Antiqua" w:hAnsi="Book Antiqua"/>
          <w:sz w:val="22"/>
          <w:szCs w:val="22"/>
          <w:lang w:val="en-ZW"/>
        </w:rPr>
        <w:t xml:space="preserve"> at 17</w:t>
      </w:r>
      <w:r w:rsidR="00255E4B" w:rsidRPr="003A23FA">
        <w:rPr>
          <w:rFonts w:ascii="Book Antiqua" w:hAnsi="Book Antiqua"/>
          <w:sz w:val="22"/>
          <w:szCs w:val="22"/>
          <w:lang w:val="en-ZW"/>
        </w:rPr>
        <w:t xml:space="preserve">, </w:t>
      </w:r>
      <w:r w:rsidR="00A377DB" w:rsidRPr="003A23FA">
        <w:rPr>
          <w:rFonts w:ascii="Book Antiqua" w:hAnsi="Book Antiqua"/>
          <w:sz w:val="22"/>
          <w:szCs w:val="22"/>
          <w:lang w:val="en-ZW"/>
        </w:rPr>
        <w:t>19.</w:t>
      </w:r>
    </w:p>
  </w:footnote>
  <w:footnote w:id="7">
    <w:p w14:paraId="58B21A3E" w14:textId="21AB9966" w:rsidR="00731374" w:rsidRPr="003A23FA" w:rsidRDefault="0073137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rPr>
        <w:t>CPED</w:t>
      </w:r>
      <w:r w:rsidR="001602F9" w:rsidRPr="003A23FA">
        <w:rPr>
          <w:rFonts w:ascii="Book Antiqua" w:hAnsi="Book Antiqua"/>
          <w:sz w:val="22"/>
          <w:szCs w:val="22"/>
        </w:rPr>
        <w:t xml:space="preserve"> Opening</w:t>
      </w:r>
      <w:r w:rsidRPr="003A23FA">
        <w:rPr>
          <w:rFonts w:ascii="Book Antiqua" w:hAnsi="Book Antiqua"/>
          <w:sz w:val="22"/>
          <w:szCs w:val="22"/>
        </w:rPr>
        <w:t xml:space="preserve"> Brief</w:t>
      </w:r>
      <w:r w:rsidR="001602F9" w:rsidRPr="003A23FA">
        <w:rPr>
          <w:rFonts w:ascii="Book Antiqua" w:hAnsi="Book Antiqua"/>
          <w:sz w:val="22"/>
          <w:szCs w:val="22"/>
        </w:rPr>
        <w:t>, September 19, 2022,</w:t>
      </w:r>
      <w:r w:rsidRPr="003A23FA">
        <w:rPr>
          <w:rFonts w:ascii="Book Antiqua" w:hAnsi="Book Antiqua"/>
          <w:sz w:val="22"/>
          <w:szCs w:val="22"/>
        </w:rPr>
        <w:t xml:space="preserve"> at 5 (citing </w:t>
      </w:r>
      <w:r w:rsidR="001602F9" w:rsidRPr="003A23FA">
        <w:rPr>
          <w:rFonts w:ascii="Book Antiqua" w:hAnsi="Book Antiqua"/>
          <w:sz w:val="22"/>
          <w:szCs w:val="22"/>
        </w:rPr>
        <w:t xml:space="preserve">Exhibit CPED-2C, Prepared Testimony of Stephanie </w:t>
      </w:r>
      <w:r w:rsidRPr="003A23FA">
        <w:rPr>
          <w:rFonts w:ascii="Book Antiqua" w:hAnsi="Book Antiqua"/>
          <w:sz w:val="22"/>
          <w:szCs w:val="22"/>
          <w:lang w:val="en-ZW"/>
        </w:rPr>
        <w:t>Wu</w:t>
      </w:r>
      <w:r w:rsidR="001602F9" w:rsidRPr="003A23FA">
        <w:rPr>
          <w:rFonts w:ascii="Book Antiqua" w:hAnsi="Book Antiqua"/>
          <w:sz w:val="22"/>
          <w:szCs w:val="22"/>
          <w:lang w:val="en-ZW"/>
        </w:rPr>
        <w:t xml:space="preserve"> </w:t>
      </w:r>
      <w:r w:rsidRPr="003A23FA">
        <w:rPr>
          <w:rFonts w:ascii="Book Antiqua" w:hAnsi="Book Antiqua"/>
          <w:sz w:val="22"/>
          <w:szCs w:val="22"/>
          <w:lang w:val="en-ZW"/>
        </w:rPr>
        <w:t>at 3-4</w:t>
      </w:r>
      <w:r w:rsidR="007E3508" w:rsidRPr="003A23FA">
        <w:rPr>
          <w:rFonts w:ascii="Book Antiqua" w:hAnsi="Book Antiqua"/>
          <w:sz w:val="22"/>
          <w:szCs w:val="22"/>
          <w:lang w:val="en-ZW"/>
        </w:rPr>
        <w:t xml:space="preserve">, Attachment </w:t>
      </w:r>
      <w:r w:rsidR="00F9611D" w:rsidRPr="003A23FA">
        <w:rPr>
          <w:rFonts w:ascii="Book Antiqua" w:hAnsi="Book Antiqua"/>
          <w:sz w:val="22"/>
          <w:szCs w:val="22"/>
          <w:lang w:val="en-ZW"/>
        </w:rPr>
        <w:t>4 (April 13, 2021 SDCP Response to March 16, 2021 CPED data request DR-ELE-00174-1</w:t>
      </w:r>
      <w:r w:rsidR="00A10283" w:rsidRPr="003A23FA">
        <w:rPr>
          <w:rFonts w:ascii="Book Antiqua" w:hAnsi="Book Antiqua"/>
          <w:sz w:val="22"/>
          <w:szCs w:val="22"/>
          <w:lang w:val="en-ZW"/>
        </w:rPr>
        <w:t>, Declaration of</w:t>
      </w:r>
      <w:r w:rsidR="00C779CF" w:rsidRPr="003A23FA">
        <w:rPr>
          <w:rFonts w:ascii="Book Antiqua" w:hAnsi="Book Antiqua"/>
          <w:sz w:val="22"/>
          <w:szCs w:val="22"/>
          <w:lang w:val="en-ZW"/>
        </w:rPr>
        <w:t xml:space="preserve"> John </w:t>
      </w:r>
      <w:proofErr w:type="spellStart"/>
      <w:r w:rsidR="00C779CF" w:rsidRPr="003A23FA">
        <w:rPr>
          <w:rFonts w:ascii="Book Antiqua" w:hAnsi="Book Antiqua"/>
          <w:sz w:val="22"/>
          <w:szCs w:val="22"/>
          <w:lang w:val="en-ZW"/>
        </w:rPr>
        <w:t>Dalessi</w:t>
      </w:r>
      <w:proofErr w:type="spellEnd"/>
      <w:r w:rsidR="00A10283" w:rsidRPr="003A23FA">
        <w:rPr>
          <w:rFonts w:ascii="Book Antiqua" w:hAnsi="Book Antiqua"/>
          <w:sz w:val="22"/>
          <w:szCs w:val="22"/>
          <w:lang w:val="en-ZW"/>
        </w:rPr>
        <w:t xml:space="preserve"> </w:t>
      </w:r>
      <w:r w:rsidR="00C779CF" w:rsidRPr="003A23FA">
        <w:rPr>
          <w:rFonts w:ascii="Book Antiqua" w:hAnsi="Book Antiqua"/>
          <w:sz w:val="22"/>
          <w:szCs w:val="22"/>
          <w:lang w:val="en-ZW"/>
        </w:rPr>
        <w:t>at Paragraph 18</w:t>
      </w:r>
      <w:r w:rsidRPr="003A23FA">
        <w:rPr>
          <w:rFonts w:ascii="Book Antiqua" w:hAnsi="Book Antiqua"/>
          <w:sz w:val="22"/>
          <w:szCs w:val="22"/>
          <w:lang w:val="en-ZW"/>
        </w:rPr>
        <w:t>)</w:t>
      </w:r>
      <w:r w:rsidR="001602F9" w:rsidRPr="003A23FA">
        <w:rPr>
          <w:rFonts w:ascii="Book Antiqua" w:hAnsi="Book Antiqua"/>
          <w:sz w:val="22"/>
          <w:szCs w:val="22"/>
          <w:lang w:val="en-ZW"/>
        </w:rPr>
        <w:t>)</w:t>
      </w:r>
      <w:r w:rsidRPr="003A23FA">
        <w:rPr>
          <w:rFonts w:ascii="Book Antiqua" w:hAnsi="Book Antiqua"/>
          <w:sz w:val="22"/>
          <w:szCs w:val="22"/>
          <w:lang w:val="en-ZW"/>
        </w:rPr>
        <w:t>.</w:t>
      </w:r>
      <w:r w:rsidR="00BF63CA" w:rsidRPr="003A23FA">
        <w:rPr>
          <w:rFonts w:ascii="Book Antiqua" w:hAnsi="Book Antiqua"/>
          <w:sz w:val="22"/>
          <w:szCs w:val="22"/>
          <w:lang w:val="en-ZW"/>
        </w:rPr>
        <w:t xml:space="preserve">  </w:t>
      </w:r>
      <w:r w:rsidR="004F217E" w:rsidRPr="003A23FA">
        <w:rPr>
          <w:rFonts w:ascii="Book Antiqua" w:hAnsi="Book Antiqua"/>
          <w:sz w:val="22"/>
          <w:szCs w:val="22"/>
          <w:lang w:val="en-ZW"/>
        </w:rPr>
        <w:t>We note</w:t>
      </w:r>
      <w:r w:rsidR="00BF63CA" w:rsidRPr="003A23FA">
        <w:rPr>
          <w:rFonts w:ascii="Book Antiqua" w:hAnsi="Book Antiqua"/>
          <w:sz w:val="22"/>
          <w:szCs w:val="22"/>
          <w:lang w:val="en-ZW"/>
        </w:rPr>
        <w:t xml:space="preserve"> that </w:t>
      </w:r>
      <w:r w:rsidR="00BF63CA" w:rsidRPr="003A23FA">
        <w:rPr>
          <w:rFonts w:ascii="Book Antiqua" w:hAnsi="Book Antiqua" w:cs="ArialUnicodeMS"/>
          <w:sz w:val="22"/>
          <w:szCs w:val="22"/>
        </w:rPr>
        <w:t xml:space="preserve">Pacific Gas and Electric Company held </w:t>
      </w:r>
      <w:r w:rsidR="001602F9" w:rsidRPr="003A23FA">
        <w:rPr>
          <w:rFonts w:ascii="Book Antiqua" w:hAnsi="Book Antiqua" w:cs="ArialUnicodeMS"/>
          <w:sz w:val="22"/>
          <w:szCs w:val="22"/>
        </w:rPr>
        <w:t xml:space="preserve">RFO </w:t>
      </w:r>
      <w:r w:rsidR="00BF63CA" w:rsidRPr="003A23FA">
        <w:rPr>
          <w:rFonts w:ascii="Book Antiqua" w:hAnsi="Book Antiqua" w:cs="ArialUnicodeMS"/>
          <w:sz w:val="22"/>
          <w:szCs w:val="22"/>
        </w:rPr>
        <w:t>solicitations in 2019</w:t>
      </w:r>
      <w:r w:rsidR="001602F9" w:rsidRPr="003A23FA">
        <w:rPr>
          <w:rFonts w:ascii="Book Antiqua" w:hAnsi="Book Antiqua" w:cs="ArialUnicodeMS"/>
          <w:sz w:val="22"/>
          <w:szCs w:val="22"/>
        </w:rPr>
        <w:t xml:space="preserve"> </w:t>
      </w:r>
      <w:r w:rsidR="003A23FA">
        <w:rPr>
          <w:rFonts w:ascii="Book Antiqua" w:hAnsi="Book Antiqua" w:cs="ArialUnicodeMS"/>
          <w:sz w:val="22"/>
          <w:szCs w:val="22"/>
        </w:rPr>
        <w:t>for</w:t>
      </w:r>
      <w:r w:rsidR="001602F9" w:rsidRPr="003A23FA">
        <w:rPr>
          <w:rFonts w:ascii="Book Antiqua" w:hAnsi="Book Antiqua" w:cs="ArialUnicodeMS"/>
          <w:sz w:val="22"/>
          <w:szCs w:val="22"/>
        </w:rPr>
        <w:t xml:space="preserve"> September 2021 system RA.  H</w:t>
      </w:r>
      <w:r w:rsidR="00BF63CA" w:rsidRPr="003A23FA">
        <w:rPr>
          <w:rFonts w:ascii="Book Antiqua" w:hAnsi="Book Antiqua" w:cs="ArialUnicodeMS"/>
          <w:sz w:val="22"/>
          <w:szCs w:val="22"/>
        </w:rPr>
        <w:t xml:space="preserve">owever, SDCP did not submit </w:t>
      </w:r>
      <w:r w:rsidR="00C83664" w:rsidRPr="003A23FA">
        <w:rPr>
          <w:rFonts w:ascii="Book Antiqua" w:hAnsi="Book Antiqua" w:cs="ArialUnicodeMS"/>
          <w:sz w:val="22"/>
          <w:szCs w:val="22"/>
        </w:rPr>
        <w:t>it</w:t>
      </w:r>
      <w:r w:rsidR="00BF63CA" w:rsidRPr="003A23FA">
        <w:rPr>
          <w:rFonts w:ascii="Book Antiqua" w:hAnsi="Book Antiqua" w:cs="ArialUnicodeMS"/>
          <w:sz w:val="22"/>
          <w:szCs w:val="22"/>
        </w:rPr>
        <w:t xml:space="preserve">s </w:t>
      </w:r>
      <w:r w:rsidR="001602F9" w:rsidRPr="003A23FA">
        <w:rPr>
          <w:rFonts w:ascii="Book Antiqua" w:hAnsi="Book Antiqua" w:cs="ArialUnicodeMS"/>
          <w:sz w:val="22"/>
          <w:szCs w:val="22"/>
        </w:rPr>
        <w:t xml:space="preserve">implementation plan and statement of intent to serve customers </w:t>
      </w:r>
      <w:r w:rsidR="00BF63CA" w:rsidRPr="003A23FA">
        <w:rPr>
          <w:rFonts w:ascii="Book Antiqua" w:hAnsi="Book Antiqua" w:cs="ArialUnicodeMS"/>
          <w:sz w:val="22"/>
          <w:szCs w:val="22"/>
        </w:rPr>
        <w:t xml:space="preserve">to the Commission </w:t>
      </w:r>
      <w:r w:rsidR="00C83664" w:rsidRPr="003A23FA">
        <w:rPr>
          <w:rFonts w:ascii="Book Antiqua" w:hAnsi="Book Antiqua" w:cs="ArialUnicodeMS"/>
          <w:sz w:val="22"/>
          <w:szCs w:val="22"/>
        </w:rPr>
        <w:t>until December 2019.</w:t>
      </w:r>
      <w:r w:rsidR="00525CB9" w:rsidRPr="003A23FA">
        <w:rPr>
          <w:rFonts w:ascii="Book Antiqua" w:hAnsi="Book Antiqua" w:cs="ArialUnicodeMS"/>
          <w:sz w:val="22"/>
          <w:szCs w:val="22"/>
        </w:rPr>
        <w:t xml:space="preserve">  </w:t>
      </w:r>
      <w:r w:rsidR="00525CB9" w:rsidRPr="003A23FA">
        <w:rPr>
          <w:rFonts w:ascii="Book Antiqua" w:hAnsi="Book Antiqua" w:cs="ArialUnicodeMS"/>
          <w:i/>
          <w:iCs/>
          <w:sz w:val="22"/>
          <w:szCs w:val="22"/>
        </w:rPr>
        <w:t>See</w:t>
      </w:r>
      <w:r w:rsidR="00525CB9" w:rsidRPr="003A23FA">
        <w:rPr>
          <w:rFonts w:ascii="Book Antiqua" w:hAnsi="Book Antiqua" w:cs="ArialUnicodeMS"/>
          <w:sz w:val="22"/>
          <w:szCs w:val="22"/>
        </w:rPr>
        <w:t xml:space="preserve"> Exhibit SDCP_02, Reply Testimony of Byron </w:t>
      </w:r>
      <w:proofErr w:type="spellStart"/>
      <w:r w:rsidR="00525CB9" w:rsidRPr="003A23FA">
        <w:rPr>
          <w:rFonts w:ascii="Book Antiqua" w:hAnsi="Book Antiqua" w:cs="ArialUnicodeMS"/>
          <w:sz w:val="22"/>
          <w:szCs w:val="22"/>
        </w:rPr>
        <w:t>Vosburg</w:t>
      </w:r>
      <w:proofErr w:type="spellEnd"/>
      <w:r w:rsidR="00525CB9" w:rsidRPr="003A23FA">
        <w:rPr>
          <w:rFonts w:ascii="Book Antiqua" w:hAnsi="Book Antiqua" w:cs="ArialUnicodeMS"/>
          <w:sz w:val="22"/>
          <w:szCs w:val="22"/>
        </w:rPr>
        <w:t>, May 20, 2022, at 2.</w:t>
      </w:r>
    </w:p>
  </w:footnote>
  <w:footnote w:id="8">
    <w:p w14:paraId="10853B73" w14:textId="6A85FF77" w:rsidR="00FC4843" w:rsidRPr="003A23FA" w:rsidRDefault="00FC4843"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 xml:space="preserve">. </w:t>
      </w:r>
    </w:p>
  </w:footnote>
  <w:footnote w:id="9">
    <w:p w14:paraId="24D75DEF" w14:textId="31A66A0D" w:rsidR="00283D61" w:rsidRPr="003A23FA" w:rsidRDefault="00283D6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7A2C06" w:rsidRPr="003A23FA">
        <w:rPr>
          <w:rFonts w:ascii="Book Antiqua" w:hAnsi="Book Antiqua"/>
          <w:sz w:val="22"/>
          <w:szCs w:val="22"/>
        </w:rPr>
        <w:t xml:space="preserve">Exhibit SDCP_02, </w:t>
      </w:r>
      <w:r w:rsidRPr="003A23FA">
        <w:rPr>
          <w:rFonts w:ascii="Book Antiqua" w:hAnsi="Book Antiqua"/>
          <w:sz w:val="22"/>
          <w:szCs w:val="22"/>
          <w:lang w:val="en-ZW"/>
        </w:rPr>
        <w:t xml:space="preserve">Reply Testimony of </w:t>
      </w:r>
      <w:r w:rsidR="007A2C06" w:rsidRPr="003A23FA">
        <w:rPr>
          <w:rFonts w:ascii="Book Antiqua" w:hAnsi="Book Antiqua"/>
          <w:sz w:val="22"/>
          <w:szCs w:val="22"/>
          <w:lang w:val="en-ZW"/>
        </w:rPr>
        <w:t xml:space="preserve">B. </w:t>
      </w:r>
      <w:proofErr w:type="spellStart"/>
      <w:r w:rsidR="007A2C06" w:rsidRPr="003A23FA">
        <w:rPr>
          <w:rFonts w:ascii="Book Antiqua" w:hAnsi="Book Antiqua"/>
          <w:sz w:val="22"/>
          <w:szCs w:val="22"/>
          <w:lang w:val="en-ZW"/>
        </w:rPr>
        <w:t>Vosburg</w:t>
      </w:r>
      <w:proofErr w:type="spellEnd"/>
      <w:r w:rsidR="007A2C06" w:rsidRPr="003A23FA">
        <w:rPr>
          <w:rFonts w:ascii="Book Antiqua" w:hAnsi="Book Antiqua"/>
          <w:sz w:val="22"/>
          <w:szCs w:val="22"/>
          <w:lang w:val="en-ZW"/>
        </w:rPr>
        <w:t>,</w:t>
      </w:r>
      <w:r w:rsidRPr="003A23FA">
        <w:rPr>
          <w:rFonts w:ascii="Book Antiqua" w:hAnsi="Book Antiqua"/>
          <w:sz w:val="22"/>
          <w:szCs w:val="22"/>
          <w:lang w:val="en-ZW"/>
        </w:rPr>
        <w:t xml:space="preserve"> at 3.</w:t>
      </w:r>
    </w:p>
  </w:footnote>
  <w:footnote w:id="10">
    <w:p w14:paraId="65D074E5" w14:textId="583F3BD4" w:rsidR="00FD0F7D" w:rsidRPr="003A23FA" w:rsidRDefault="00FD0F7D"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C759B8" w:rsidRPr="003A23FA">
        <w:rPr>
          <w:rFonts w:ascii="Book Antiqua" w:hAnsi="Book Antiqua"/>
          <w:sz w:val="22"/>
          <w:szCs w:val="22"/>
        </w:rPr>
        <w:t xml:space="preserve">CPED Opening Brief at </w:t>
      </w:r>
      <w:r w:rsidR="00882A30" w:rsidRPr="003A23FA">
        <w:rPr>
          <w:rFonts w:ascii="Book Antiqua" w:hAnsi="Book Antiqua"/>
          <w:sz w:val="22"/>
          <w:szCs w:val="22"/>
        </w:rPr>
        <w:t xml:space="preserve">6 (citing </w:t>
      </w:r>
      <w:r w:rsidR="005C0AE7" w:rsidRPr="003A23FA">
        <w:rPr>
          <w:rFonts w:ascii="Book Antiqua" w:hAnsi="Book Antiqua"/>
          <w:sz w:val="22"/>
          <w:szCs w:val="22"/>
        </w:rPr>
        <w:t xml:space="preserve">Exhibit CPED-2C, </w:t>
      </w:r>
      <w:r w:rsidR="00882A30" w:rsidRPr="003A23FA">
        <w:rPr>
          <w:rFonts w:ascii="Book Antiqua" w:hAnsi="Book Antiqua"/>
          <w:sz w:val="22"/>
          <w:szCs w:val="22"/>
        </w:rPr>
        <w:t xml:space="preserve">Testimony </w:t>
      </w:r>
      <w:r w:rsidR="005C0AE7" w:rsidRPr="003A23FA">
        <w:rPr>
          <w:rFonts w:ascii="Book Antiqua" w:hAnsi="Book Antiqua"/>
          <w:sz w:val="22"/>
          <w:szCs w:val="22"/>
        </w:rPr>
        <w:t xml:space="preserve">of S. Wu, </w:t>
      </w:r>
      <w:r w:rsidR="00882A30" w:rsidRPr="003A23FA">
        <w:rPr>
          <w:rFonts w:ascii="Book Antiqua" w:hAnsi="Book Antiqua"/>
          <w:sz w:val="22"/>
          <w:szCs w:val="22"/>
        </w:rPr>
        <w:t>at 8</w:t>
      </w:r>
      <w:r w:rsidR="007A2C06" w:rsidRPr="003A23FA">
        <w:rPr>
          <w:rFonts w:ascii="Book Antiqua" w:hAnsi="Book Antiqua"/>
          <w:sz w:val="22"/>
          <w:szCs w:val="22"/>
        </w:rPr>
        <w:t>).</w:t>
      </w:r>
    </w:p>
  </w:footnote>
  <w:footnote w:id="11">
    <w:p w14:paraId="0CE7A9FA" w14:textId="1A5BA0AD" w:rsidR="00946664" w:rsidRPr="003A23FA" w:rsidRDefault="0094666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See</w:t>
      </w:r>
      <w:r w:rsidRPr="003A23FA">
        <w:rPr>
          <w:rFonts w:ascii="Book Antiqua" w:hAnsi="Book Antiqua"/>
          <w:sz w:val="22"/>
          <w:szCs w:val="22"/>
          <w:lang w:val="en-ZW"/>
        </w:rPr>
        <w:t xml:space="preserve"> </w:t>
      </w:r>
      <w:r w:rsidR="007A2C06" w:rsidRPr="003A23FA">
        <w:rPr>
          <w:rFonts w:ascii="Book Antiqua" w:hAnsi="Book Antiqua"/>
          <w:sz w:val="22"/>
          <w:szCs w:val="22"/>
          <w:lang w:val="en-ZW"/>
        </w:rPr>
        <w:t xml:space="preserve">Exhibit CPED-2C, Testimony of S. Wu, </w:t>
      </w:r>
      <w:r w:rsidRPr="003A23FA">
        <w:rPr>
          <w:rFonts w:ascii="Book Antiqua" w:hAnsi="Book Antiqua"/>
          <w:sz w:val="22"/>
          <w:szCs w:val="22"/>
          <w:lang w:val="en-ZW"/>
        </w:rPr>
        <w:t>Attachment 12</w:t>
      </w:r>
      <w:r w:rsidR="007A2C06" w:rsidRPr="003A23FA">
        <w:rPr>
          <w:rFonts w:ascii="Book Antiqua" w:hAnsi="Book Antiqua"/>
          <w:sz w:val="22"/>
          <w:szCs w:val="22"/>
          <w:lang w:val="en-ZW"/>
        </w:rPr>
        <w:t xml:space="preserve"> (March 30, 2021, </w:t>
      </w:r>
      <w:r w:rsidR="003A23FA">
        <w:rPr>
          <w:rFonts w:ascii="Book Antiqua" w:hAnsi="Book Antiqua"/>
          <w:sz w:val="22"/>
          <w:szCs w:val="22"/>
          <w:lang w:val="en-ZW"/>
        </w:rPr>
        <w:t>E-</w:t>
      </w:r>
      <w:r w:rsidR="007A2C06" w:rsidRPr="003A23FA">
        <w:rPr>
          <w:rFonts w:ascii="Book Antiqua" w:hAnsi="Book Antiqua"/>
          <w:sz w:val="22"/>
          <w:szCs w:val="22"/>
          <w:lang w:val="en-ZW"/>
        </w:rPr>
        <w:t xml:space="preserve">mail </w:t>
      </w:r>
      <w:r w:rsidR="003A23FA">
        <w:rPr>
          <w:rFonts w:ascii="Book Antiqua" w:hAnsi="Book Antiqua"/>
          <w:sz w:val="22"/>
          <w:szCs w:val="22"/>
          <w:lang w:val="en-ZW"/>
        </w:rPr>
        <w:t>E</w:t>
      </w:r>
      <w:r w:rsidR="007A2C06" w:rsidRPr="003A23FA">
        <w:rPr>
          <w:rFonts w:ascii="Book Antiqua" w:hAnsi="Book Antiqua"/>
          <w:sz w:val="22"/>
          <w:szCs w:val="22"/>
          <w:lang w:val="en-ZW"/>
        </w:rPr>
        <w:t xml:space="preserve">xchange between SDCP and </w:t>
      </w:r>
      <w:proofErr w:type="spellStart"/>
      <w:r w:rsidR="007A2C06" w:rsidRPr="003A23FA">
        <w:rPr>
          <w:rFonts w:ascii="Book Antiqua" w:hAnsi="Book Antiqua"/>
          <w:sz w:val="22"/>
          <w:szCs w:val="22"/>
          <w:lang w:val="en-ZW"/>
        </w:rPr>
        <w:t>Tullett</w:t>
      </w:r>
      <w:proofErr w:type="spellEnd"/>
      <w:r w:rsidR="007A2C06" w:rsidRPr="003A23FA">
        <w:rPr>
          <w:rFonts w:ascii="Book Antiqua" w:hAnsi="Book Antiqua"/>
          <w:sz w:val="22"/>
          <w:szCs w:val="22"/>
          <w:lang w:val="en-ZW"/>
        </w:rPr>
        <w:t xml:space="preserve"> </w:t>
      </w:r>
      <w:proofErr w:type="spellStart"/>
      <w:r w:rsidR="007A2C06" w:rsidRPr="003A23FA">
        <w:rPr>
          <w:rFonts w:ascii="Book Antiqua" w:hAnsi="Book Antiqua"/>
          <w:sz w:val="22"/>
          <w:szCs w:val="22"/>
          <w:lang w:val="en-ZW"/>
        </w:rPr>
        <w:t>Prebon</w:t>
      </w:r>
      <w:proofErr w:type="spellEnd"/>
      <w:r w:rsidR="003A23FA">
        <w:rPr>
          <w:rFonts w:ascii="Book Antiqua" w:hAnsi="Book Antiqua"/>
          <w:sz w:val="22"/>
          <w:szCs w:val="22"/>
          <w:lang w:val="en-ZW"/>
        </w:rPr>
        <w:t>)</w:t>
      </w:r>
      <w:r w:rsidR="007A2C06" w:rsidRPr="003A23FA">
        <w:rPr>
          <w:rFonts w:ascii="Book Antiqua" w:hAnsi="Book Antiqua"/>
          <w:sz w:val="22"/>
          <w:szCs w:val="22"/>
          <w:lang w:val="en-ZW"/>
        </w:rPr>
        <w:t>.</w:t>
      </w:r>
    </w:p>
  </w:footnote>
  <w:footnote w:id="12">
    <w:p w14:paraId="29E19F77" w14:textId="19362346" w:rsidR="005D6590" w:rsidRPr="003A23FA" w:rsidRDefault="005D6590"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400040" w:rsidRPr="003A23FA">
        <w:rPr>
          <w:rFonts w:ascii="Book Antiqua" w:hAnsi="Book Antiqua"/>
          <w:sz w:val="22"/>
          <w:szCs w:val="22"/>
        </w:rPr>
        <w:t xml:space="preserve">Exhibit SDCP_01, </w:t>
      </w:r>
      <w:r w:rsidR="00400040" w:rsidRPr="003A23FA">
        <w:rPr>
          <w:rFonts w:ascii="Book Antiqua" w:hAnsi="Book Antiqua"/>
          <w:sz w:val="22"/>
          <w:szCs w:val="22"/>
          <w:lang w:val="en-ZW"/>
        </w:rPr>
        <w:t>Prepared</w:t>
      </w:r>
      <w:r w:rsidR="00A549AF" w:rsidRPr="003A23FA">
        <w:rPr>
          <w:rFonts w:ascii="Book Antiqua" w:hAnsi="Book Antiqua"/>
          <w:sz w:val="22"/>
          <w:szCs w:val="22"/>
          <w:lang w:val="en-ZW"/>
        </w:rPr>
        <w:t xml:space="preserve"> </w:t>
      </w:r>
      <w:r w:rsidR="00400040" w:rsidRPr="003A23FA">
        <w:rPr>
          <w:rFonts w:ascii="Book Antiqua" w:hAnsi="Book Antiqua"/>
          <w:sz w:val="22"/>
          <w:szCs w:val="22"/>
          <w:lang w:val="en-ZW"/>
        </w:rPr>
        <w:t>T</w:t>
      </w:r>
      <w:r w:rsidR="00A549AF" w:rsidRPr="003A23FA">
        <w:rPr>
          <w:rFonts w:ascii="Book Antiqua" w:hAnsi="Book Antiqua"/>
          <w:sz w:val="22"/>
          <w:szCs w:val="22"/>
          <w:lang w:val="en-ZW"/>
        </w:rPr>
        <w:t xml:space="preserve">estimony </w:t>
      </w:r>
      <w:r w:rsidR="00400040" w:rsidRPr="003A23FA">
        <w:rPr>
          <w:rFonts w:ascii="Book Antiqua" w:hAnsi="Book Antiqua"/>
          <w:sz w:val="22"/>
          <w:szCs w:val="22"/>
          <w:lang w:val="en-ZW"/>
        </w:rPr>
        <w:t xml:space="preserve">of </w:t>
      </w:r>
      <w:r w:rsidR="005C0AE7" w:rsidRPr="003A23FA">
        <w:rPr>
          <w:rFonts w:ascii="Book Antiqua" w:hAnsi="Book Antiqua"/>
          <w:sz w:val="22"/>
          <w:szCs w:val="22"/>
          <w:lang w:val="en-ZW"/>
        </w:rPr>
        <w:t>B.</w:t>
      </w:r>
      <w:r w:rsidR="00400040" w:rsidRPr="003A23FA">
        <w:rPr>
          <w:rFonts w:ascii="Book Antiqua" w:hAnsi="Book Antiqua"/>
          <w:sz w:val="22"/>
          <w:szCs w:val="22"/>
          <w:lang w:val="en-ZW"/>
        </w:rPr>
        <w:t xml:space="preserve"> </w:t>
      </w:r>
      <w:proofErr w:type="spellStart"/>
      <w:r w:rsidR="00400040" w:rsidRPr="003A23FA">
        <w:rPr>
          <w:rFonts w:ascii="Book Antiqua" w:hAnsi="Book Antiqua"/>
          <w:sz w:val="22"/>
          <w:szCs w:val="22"/>
          <w:lang w:val="en-ZW"/>
        </w:rPr>
        <w:t>Vosburg</w:t>
      </w:r>
      <w:proofErr w:type="spellEnd"/>
      <w:r w:rsidR="00400040" w:rsidRPr="003A23FA">
        <w:rPr>
          <w:rFonts w:ascii="Book Antiqua" w:hAnsi="Book Antiqua"/>
          <w:sz w:val="22"/>
          <w:szCs w:val="22"/>
          <w:lang w:val="en-ZW"/>
        </w:rPr>
        <w:t xml:space="preserve">, April 26, 2022, </w:t>
      </w:r>
      <w:r w:rsidR="00A549AF" w:rsidRPr="003A23FA">
        <w:rPr>
          <w:rFonts w:ascii="Book Antiqua" w:hAnsi="Book Antiqua"/>
          <w:sz w:val="22"/>
          <w:szCs w:val="22"/>
          <w:lang w:val="en-ZW"/>
        </w:rPr>
        <w:t>at 13.</w:t>
      </w:r>
    </w:p>
  </w:footnote>
  <w:footnote w:id="13">
    <w:p w14:paraId="3DC9CD9D" w14:textId="4CF3F1B8" w:rsidR="00DB6905" w:rsidRPr="003A23FA" w:rsidRDefault="00DB6905"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w:t>
      </w:r>
    </w:p>
  </w:footnote>
  <w:footnote w:id="14">
    <w:p w14:paraId="0A7E60F5" w14:textId="48204E75" w:rsidR="00C126D4" w:rsidRPr="003A23FA" w:rsidRDefault="00C126D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5C0AE7" w:rsidRPr="003A23FA">
        <w:rPr>
          <w:rFonts w:ascii="Book Antiqua" w:hAnsi="Book Antiqua"/>
          <w:sz w:val="22"/>
          <w:szCs w:val="22"/>
          <w:lang w:val="en-ZW"/>
        </w:rPr>
        <w:t xml:space="preserve">Exhibit CPED-2C, Testimony of S. Wu, </w:t>
      </w:r>
      <w:r w:rsidR="00D10AC6" w:rsidRPr="003A23FA">
        <w:rPr>
          <w:rFonts w:ascii="Book Antiqua" w:hAnsi="Book Antiqua"/>
          <w:sz w:val="22"/>
          <w:szCs w:val="22"/>
          <w:lang w:val="en-ZW"/>
        </w:rPr>
        <w:t>Attachment 14</w:t>
      </w:r>
      <w:r w:rsidR="005C0AE7" w:rsidRPr="003A23FA">
        <w:rPr>
          <w:rFonts w:ascii="Book Antiqua" w:hAnsi="Book Antiqua"/>
          <w:sz w:val="22"/>
          <w:szCs w:val="22"/>
          <w:lang w:val="en-ZW"/>
        </w:rPr>
        <w:t xml:space="preserve"> (</w:t>
      </w:r>
      <w:r w:rsidR="00D10AC6" w:rsidRPr="003A23FA">
        <w:rPr>
          <w:rFonts w:ascii="Book Antiqua" w:hAnsi="Book Antiqua"/>
          <w:sz w:val="22"/>
          <w:szCs w:val="22"/>
          <w:lang w:val="en-ZW"/>
        </w:rPr>
        <w:t xml:space="preserve">May 4, </w:t>
      </w:r>
      <w:proofErr w:type="gramStart"/>
      <w:r w:rsidR="00D10AC6" w:rsidRPr="003A23FA">
        <w:rPr>
          <w:rFonts w:ascii="Book Antiqua" w:hAnsi="Book Antiqua"/>
          <w:sz w:val="22"/>
          <w:szCs w:val="22"/>
          <w:lang w:val="en-ZW"/>
        </w:rPr>
        <w:t>2021</w:t>
      </w:r>
      <w:proofErr w:type="gramEnd"/>
      <w:r w:rsidR="00D10AC6" w:rsidRPr="003A23FA">
        <w:rPr>
          <w:rFonts w:ascii="Book Antiqua" w:hAnsi="Book Antiqua"/>
          <w:sz w:val="22"/>
          <w:szCs w:val="22"/>
          <w:lang w:val="en-ZW"/>
        </w:rPr>
        <w:t xml:space="preserve"> </w:t>
      </w:r>
      <w:r w:rsidR="003A23FA">
        <w:rPr>
          <w:rFonts w:ascii="Book Antiqua" w:hAnsi="Book Antiqua"/>
          <w:sz w:val="22"/>
          <w:szCs w:val="22"/>
          <w:lang w:val="en-ZW"/>
        </w:rPr>
        <w:t>E-</w:t>
      </w:r>
      <w:r w:rsidR="00D10AC6" w:rsidRPr="003A23FA">
        <w:rPr>
          <w:rFonts w:ascii="Book Antiqua" w:hAnsi="Book Antiqua"/>
          <w:sz w:val="22"/>
          <w:szCs w:val="22"/>
          <w:lang w:val="en-ZW"/>
        </w:rPr>
        <w:t xml:space="preserve">mail </w:t>
      </w:r>
      <w:r w:rsidR="003A23FA">
        <w:rPr>
          <w:rFonts w:ascii="Book Antiqua" w:hAnsi="Book Antiqua"/>
          <w:sz w:val="22"/>
          <w:szCs w:val="22"/>
          <w:lang w:val="en-ZW"/>
        </w:rPr>
        <w:t>E</w:t>
      </w:r>
      <w:r w:rsidR="005C0AE7" w:rsidRPr="003A23FA">
        <w:rPr>
          <w:rFonts w:ascii="Book Antiqua" w:hAnsi="Book Antiqua"/>
          <w:sz w:val="22"/>
          <w:szCs w:val="22"/>
          <w:lang w:val="en-ZW"/>
        </w:rPr>
        <w:t>xchange between SDCP and</w:t>
      </w:r>
      <w:r w:rsidR="00D10AC6" w:rsidRPr="003A23FA">
        <w:rPr>
          <w:rFonts w:ascii="Book Antiqua" w:hAnsi="Book Antiqua"/>
          <w:sz w:val="22"/>
          <w:szCs w:val="22"/>
          <w:lang w:val="en-ZW"/>
        </w:rPr>
        <w:t xml:space="preserve"> </w:t>
      </w:r>
      <w:proofErr w:type="spellStart"/>
      <w:r w:rsidR="00D10AC6" w:rsidRPr="003A23FA">
        <w:rPr>
          <w:rFonts w:ascii="Book Antiqua" w:hAnsi="Book Antiqua"/>
          <w:sz w:val="22"/>
          <w:szCs w:val="22"/>
          <w:lang w:val="en-ZW"/>
        </w:rPr>
        <w:t>Tullett</w:t>
      </w:r>
      <w:proofErr w:type="spellEnd"/>
      <w:r w:rsidR="00D10AC6" w:rsidRPr="003A23FA">
        <w:rPr>
          <w:rFonts w:ascii="Book Antiqua" w:hAnsi="Book Antiqua"/>
          <w:sz w:val="22"/>
          <w:szCs w:val="22"/>
          <w:lang w:val="en-ZW"/>
        </w:rPr>
        <w:t xml:space="preserve"> </w:t>
      </w:r>
      <w:proofErr w:type="spellStart"/>
      <w:r w:rsidR="00D10AC6" w:rsidRPr="003A23FA">
        <w:rPr>
          <w:rFonts w:ascii="Book Antiqua" w:hAnsi="Book Antiqua"/>
          <w:sz w:val="22"/>
          <w:szCs w:val="22"/>
          <w:lang w:val="en-ZW"/>
        </w:rPr>
        <w:t>Prebon</w:t>
      </w:r>
      <w:proofErr w:type="spellEnd"/>
      <w:r w:rsidR="005C0AE7" w:rsidRPr="003A23FA">
        <w:rPr>
          <w:rFonts w:ascii="Book Antiqua" w:hAnsi="Book Antiqua"/>
          <w:sz w:val="22"/>
          <w:szCs w:val="22"/>
          <w:lang w:val="en-ZW"/>
        </w:rPr>
        <w:t>)</w:t>
      </w:r>
      <w:r w:rsidR="003A23FA">
        <w:rPr>
          <w:rFonts w:ascii="Book Antiqua" w:hAnsi="Book Antiqua"/>
          <w:sz w:val="22"/>
          <w:szCs w:val="22"/>
          <w:lang w:val="en-ZW"/>
        </w:rPr>
        <w:t>,</w:t>
      </w:r>
      <w:r w:rsidR="00D10AC6" w:rsidRPr="003A23FA">
        <w:rPr>
          <w:rFonts w:ascii="Book Antiqua" w:hAnsi="Book Antiqua" w:cs="ArialUnicodeMS"/>
          <w:sz w:val="22"/>
          <w:szCs w:val="22"/>
        </w:rPr>
        <w:t xml:space="preserve"> Attachment 15</w:t>
      </w:r>
      <w:r w:rsidR="005C0AE7" w:rsidRPr="003A23FA">
        <w:rPr>
          <w:rFonts w:ascii="Book Antiqua" w:hAnsi="Book Antiqua" w:cs="ArialUnicodeMS"/>
          <w:sz w:val="22"/>
          <w:szCs w:val="22"/>
        </w:rPr>
        <w:t xml:space="preserve"> (</w:t>
      </w:r>
      <w:r w:rsidR="00D10AC6" w:rsidRPr="003A23FA">
        <w:rPr>
          <w:rFonts w:ascii="Book Antiqua" w:hAnsi="Book Antiqua" w:cs="ArialUnicodeMS"/>
          <w:sz w:val="22"/>
          <w:szCs w:val="22"/>
        </w:rPr>
        <w:t xml:space="preserve">June 7, 2021 </w:t>
      </w:r>
      <w:r w:rsidR="003A23FA">
        <w:rPr>
          <w:rFonts w:ascii="Book Antiqua" w:hAnsi="Book Antiqua" w:cs="ArialUnicodeMS"/>
          <w:sz w:val="22"/>
          <w:szCs w:val="22"/>
        </w:rPr>
        <w:t>E-</w:t>
      </w:r>
      <w:r w:rsidR="00D10AC6" w:rsidRPr="003A23FA">
        <w:rPr>
          <w:rFonts w:ascii="Book Antiqua" w:hAnsi="Book Antiqua" w:cs="ArialUnicodeMS"/>
          <w:sz w:val="22"/>
          <w:szCs w:val="22"/>
        </w:rPr>
        <w:t xml:space="preserve">mail </w:t>
      </w:r>
      <w:r w:rsidR="003A23FA">
        <w:rPr>
          <w:rFonts w:ascii="Book Antiqua" w:hAnsi="Book Antiqua" w:cs="ArialUnicodeMS"/>
          <w:sz w:val="22"/>
          <w:szCs w:val="22"/>
        </w:rPr>
        <w:t>E</w:t>
      </w:r>
      <w:r w:rsidR="005C0AE7" w:rsidRPr="003A23FA">
        <w:rPr>
          <w:rFonts w:ascii="Book Antiqua" w:hAnsi="Book Antiqua" w:cs="ArialUnicodeMS"/>
          <w:sz w:val="22"/>
          <w:szCs w:val="22"/>
        </w:rPr>
        <w:t xml:space="preserve">xchange between SDCP and </w:t>
      </w:r>
      <w:r w:rsidR="00D10AC6" w:rsidRPr="003A23FA">
        <w:rPr>
          <w:rFonts w:ascii="Book Antiqua" w:hAnsi="Book Antiqua" w:cs="ArialUnicodeMS"/>
          <w:sz w:val="22"/>
          <w:szCs w:val="22"/>
        </w:rPr>
        <w:t>Equus Energy Group</w:t>
      </w:r>
      <w:r w:rsidR="005C0AE7" w:rsidRPr="003A23FA">
        <w:rPr>
          <w:rFonts w:ascii="Book Antiqua" w:hAnsi="Book Antiqua" w:cs="ArialUnicodeMS"/>
          <w:sz w:val="22"/>
          <w:szCs w:val="22"/>
        </w:rPr>
        <w:t>)</w:t>
      </w:r>
      <w:r w:rsidR="003A23FA">
        <w:rPr>
          <w:rFonts w:ascii="Book Antiqua" w:hAnsi="Book Antiqua" w:cs="ArialUnicodeMS"/>
          <w:sz w:val="22"/>
          <w:szCs w:val="22"/>
        </w:rPr>
        <w:t>,</w:t>
      </w:r>
      <w:r w:rsidR="005C0AE7" w:rsidRPr="003A23FA">
        <w:rPr>
          <w:rFonts w:ascii="Book Antiqua" w:hAnsi="Book Antiqua" w:cs="ArialUnicodeMS"/>
          <w:sz w:val="22"/>
          <w:szCs w:val="22"/>
        </w:rPr>
        <w:t xml:space="preserve"> Attachment 1</w:t>
      </w:r>
      <w:r w:rsidR="003A23FA">
        <w:rPr>
          <w:rFonts w:ascii="Book Antiqua" w:hAnsi="Book Antiqua" w:cs="ArialUnicodeMS"/>
          <w:sz w:val="22"/>
          <w:szCs w:val="22"/>
        </w:rPr>
        <w:t>6</w:t>
      </w:r>
      <w:r w:rsidR="005C0AE7" w:rsidRPr="003A23FA">
        <w:rPr>
          <w:rFonts w:ascii="Book Antiqua" w:hAnsi="Book Antiqua" w:cs="ArialUnicodeMS"/>
          <w:sz w:val="22"/>
          <w:szCs w:val="22"/>
        </w:rPr>
        <w:t xml:space="preserve"> (</w:t>
      </w:r>
      <w:r w:rsidR="0016034F" w:rsidRPr="003A23FA">
        <w:rPr>
          <w:rFonts w:ascii="Book Antiqua" w:hAnsi="Book Antiqua" w:cs="ArialUnicodeMS"/>
          <w:sz w:val="22"/>
          <w:szCs w:val="22"/>
        </w:rPr>
        <w:t>June 9</w:t>
      </w:r>
      <w:r w:rsidR="005C0AE7" w:rsidRPr="003A23FA">
        <w:rPr>
          <w:rFonts w:ascii="Book Antiqua" w:hAnsi="Book Antiqua" w:cs="ArialUnicodeMS"/>
          <w:sz w:val="22"/>
          <w:szCs w:val="22"/>
        </w:rPr>
        <w:t xml:space="preserve">, 2021 </w:t>
      </w:r>
      <w:r w:rsidR="003A23FA">
        <w:rPr>
          <w:rFonts w:ascii="Book Antiqua" w:hAnsi="Book Antiqua" w:cs="ArialUnicodeMS"/>
          <w:sz w:val="22"/>
          <w:szCs w:val="22"/>
        </w:rPr>
        <w:t>E-</w:t>
      </w:r>
      <w:r w:rsidR="005C0AE7" w:rsidRPr="003A23FA">
        <w:rPr>
          <w:rFonts w:ascii="Book Antiqua" w:hAnsi="Book Antiqua" w:cs="ArialUnicodeMS"/>
          <w:sz w:val="22"/>
          <w:szCs w:val="22"/>
        </w:rPr>
        <w:t xml:space="preserve">mail </w:t>
      </w:r>
      <w:r w:rsidR="003A23FA">
        <w:rPr>
          <w:rFonts w:ascii="Book Antiqua" w:hAnsi="Book Antiqua" w:cs="ArialUnicodeMS"/>
          <w:sz w:val="22"/>
          <w:szCs w:val="22"/>
        </w:rPr>
        <w:t>E</w:t>
      </w:r>
      <w:r w:rsidR="005C0AE7" w:rsidRPr="003A23FA">
        <w:rPr>
          <w:rFonts w:ascii="Book Antiqua" w:hAnsi="Book Antiqua" w:cs="ArialUnicodeMS"/>
          <w:sz w:val="22"/>
          <w:szCs w:val="22"/>
        </w:rPr>
        <w:t xml:space="preserve">xchange between SDCP and </w:t>
      </w:r>
      <w:proofErr w:type="spellStart"/>
      <w:r w:rsidR="005C0AE7" w:rsidRPr="003A23FA">
        <w:rPr>
          <w:rFonts w:ascii="Book Antiqua" w:hAnsi="Book Antiqua" w:cs="ArialUnicodeMS"/>
          <w:sz w:val="22"/>
          <w:szCs w:val="22"/>
        </w:rPr>
        <w:t>Tullett</w:t>
      </w:r>
      <w:proofErr w:type="spellEnd"/>
      <w:r w:rsidR="005C0AE7" w:rsidRPr="003A23FA">
        <w:rPr>
          <w:rFonts w:ascii="Book Antiqua" w:hAnsi="Book Antiqua" w:cs="ArialUnicodeMS"/>
          <w:sz w:val="22"/>
          <w:szCs w:val="22"/>
        </w:rPr>
        <w:t xml:space="preserve"> </w:t>
      </w:r>
      <w:proofErr w:type="spellStart"/>
      <w:r w:rsidR="005C0AE7" w:rsidRPr="003A23FA">
        <w:rPr>
          <w:rFonts w:ascii="Book Antiqua" w:hAnsi="Book Antiqua" w:cs="ArialUnicodeMS"/>
          <w:sz w:val="22"/>
          <w:szCs w:val="22"/>
        </w:rPr>
        <w:t>Prebon</w:t>
      </w:r>
      <w:proofErr w:type="spellEnd"/>
      <w:r w:rsidR="005C0AE7" w:rsidRPr="003A23FA">
        <w:rPr>
          <w:rFonts w:ascii="Book Antiqua" w:hAnsi="Book Antiqua" w:cs="ArialUnicodeMS"/>
          <w:sz w:val="22"/>
          <w:szCs w:val="22"/>
        </w:rPr>
        <w:t>), Attachment 1</w:t>
      </w:r>
      <w:r w:rsidR="003A23FA">
        <w:rPr>
          <w:rFonts w:ascii="Book Antiqua" w:hAnsi="Book Antiqua" w:cs="ArialUnicodeMS"/>
          <w:sz w:val="22"/>
          <w:szCs w:val="22"/>
        </w:rPr>
        <w:t>7</w:t>
      </w:r>
      <w:r w:rsidR="005C0AE7" w:rsidRPr="003A23FA">
        <w:rPr>
          <w:rFonts w:ascii="Book Antiqua" w:hAnsi="Book Antiqua" w:cs="ArialUnicodeMS"/>
          <w:sz w:val="22"/>
          <w:szCs w:val="22"/>
        </w:rPr>
        <w:t xml:space="preserve"> (</w:t>
      </w:r>
      <w:r w:rsidR="0016034F" w:rsidRPr="003A23FA">
        <w:rPr>
          <w:rFonts w:ascii="Book Antiqua" w:hAnsi="Book Antiqua" w:cs="ArialUnicodeMS"/>
          <w:sz w:val="22"/>
          <w:szCs w:val="22"/>
        </w:rPr>
        <w:t>June 15</w:t>
      </w:r>
      <w:r w:rsidR="005C0AE7" w:rsidRPr="003A23FA">
        <w:rPr>
          <w:rFonts w:ascii="Book Antiqua" w:hAnsi="Book Antiqua" w:cs="ArialUnicodeMS"/>
          <w:sz w:val="22"/>
          <w:szCs w:val="22"/>
        </w:rPr>
        <w:t xml:space="preserve">, 2021 </w:t>
      </w:r>
      <w:r w:rsidR="003A23FA">
        <w:rPr>
          <w:rFonts w:ascii="Book Antiqua" w:hAnsi="Book Antiqua" w:cs="ArialUnicodeMS"/>
          <w:sz w:val="22"/>
          <w:szCs w:val="22"/>
        </w:rPr>
        <w:t>E-</w:t>
      </w:r>
      <w:r w:rsidR="005C0AE7" w:rsidRPr="003A23FA">
        <w:rPr>
          <w:rFonts w:ascii="Book Antiqua" w:hAnsi="Book Antiqua" w:cs="ArialUnicodeMS"/>
          <w:sz w:val="22"/>
          <w:szCs w:val="22"/>
        </w:rPr>
        <w:t xml:space="preserve">mail </w:t>
      </w:r>
      <w:r w:rsidR="003A23FA">
        <w:rPr>
          <w:rFonts w:ascii="Book Antiqua" w:hAnsi="Book Antiqua" w:cs="ArialUnicodeMS"/>
          <w:sz w:val="22"/>
          <w:szCs w:val="22"/>
        </w:rPr>
        <w:t>E</w:t>
      </w:r>
      <w:r w:rsidR="005C0AE7" w:rsidRPr="003A23FA">
        <w:rPr>
          <w:rFonts w:ascii="Book Antiqua" w:hAnsi="Book Antiqua" w:cs="ArialUnicodeMS"/>
          <w:sz w:val="22"/>
          <w:szCs w:val="22"/>
        </w:rPr>
        <w:t xml:space="preserve">xchange between SDCP and </w:t>
      </w:r>
      <w:proofErr w:type="spellStart"/>
      <w:r w:rsidR="005C0AE7" w:rsidRPr="003A23FA">
        <w:rPr>
          <w:rFonts w:ascii="Book Antiqua" w:hAnsi="Book Antiqua" w:cs="ArialUnicodeMS"/>
          <w:sz w:val="22"/>
          <w:szCs w:val="22"/>
        </w:rPr>
        <w:t>Tullett</w:t>
      </w:r>
      <w:proofErr w:type="spellEnd"/>
      <w:r w:rsidR="005C0AE7" w:rsidRPr="003A23FA">
        <w:rPr>
          <w:rFonts w:ascii="Book Antiqua" w:hAnsi="Book Antiqua" w:cs="ArialUnicodeMS"/>
          <w:sz w:val="22"/>
          <w:szCs w:val="22"/>
        </w:rPr>
        <w:t xml:space="preserve"> </w:t>
      </w:r>
      <w:proofErr w:type="spellStart"/>
      <w:r w:rsidR="005C0AE7" w:rsidRPr="003A23FA">
        <w:rPr>
          <w:rFonts w:ascii="Book Antiqua" w:hAnsi="Book Antiqua" w:cs="ArialUnicodeMS"/>
          <w:sz w:val="22"/>
          <w:szCs w:val="22"/>
        </w:rPr>
        <w:t>Prebon</w:t>
      </w:r>
      <w:proofErr w:type="spellEnd"/>
      <w:r w:rsidR="005C0AE7" w:rsidRPr="003A23FA">
        <w:rPr>
          <w:rFonts w:ascii="Book Antiqua" w:hAnsi="Book Antiqua" w:cs="ArialUnicodeMS"/>
          <w:sz w:val="22"/>
          <w:szCs w:val="22"/>
        </w:rPr>
        <w:t>).</w:t>
      </w:r>
    </w:p>
  </w:footnote>
  <w:footnote w:id="15">
    <w:p w14:paraId="7BC0CC07" w14:textId="4FAC19B5" w:rsidR="0074581F" w:rsidRPr="003A23FA" w:rsidRDefault="0074581F"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5C0AE7" w:rsidRPr="003A23FA">
        <w:rPr>
          <w:rFonts w:ascii="Book Antiqua" w:hAnsi="Book Antiqua"/>
          <w:sz w:val="22"/>
          <w:szCs w:val="22"/>
        </w:rPr>
        <w:t xml:space="preserve">Exhibit SDCP_01, </w:t>
      </w:r>
      <w:r w:rsidR="005C0AE7" w:rsidRPr="003A23FA">
        <w:rPr>
          <w:rFonts w:ascii="Book Antiqua" w:hAnsi="Book Antiqua"/>
          <w:sz w:val="22"/>
          <w:szCs w:val="22"/>
          <w:lang w:val="en-ZW"/>
        </w:rPr>
        <w:t xml:space="preserve">Testimony of B. </w:t>
      </w:r>
      <w:proofErr w:type="spellStart"/>
      <w:r w:rsidR="005C0AE7" w:rsidRPr="003A23FA">
        <w:rPr>
          <w:rFonts w:ascii="Book Antiqua" w:hAnsi="Book Antiqua"/>
          <w:sz w:val="22"/>
          <w:szCs w:val="22"/>
          <w:lang w:val="en-ZW"/>
        </w:rPr>
        <w:t>Vosburg</w:t>
      </w:r>
      <w:proofErr w:type="spellEnd"/>
      <w:r w:rsidR="005C0AE7" w:rsidRPr="003A23FA">
        <w:rPr>
          <w:rFonts w:ascii="Book Antiqua" w:hAnsi="Book Antiqua"/>
          <w:sz w:val="22"/>
          <w:szCs w:val="22"/>
          <w:lang w:val="en-ZW"/>
        </w:rPr>
        <w:t>, at 14.</w:t>
      </w:r>
    </w:p>
  </w:footnote>
  <w:footnote w:id="16">
    <w:p w14:paraId="0AA7E3D7" w14:textId="18630DB2" w:rsidR="00445B60" w:rsidRPr="003A23FA" w:rsidRDefault="00445B60"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w:t>
      </w:r>
    </w:p>
  </w:footnote>
  <w:footnote w:id="17">
    <w:p w14:paraId="161D9F8B" w14:textId="2B113072" w:rsidR="003F7231" w:rsidRPr="003A23FA" w:rsidRDefault="003F723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5C0AE7" w:rsidRPr="003A23FA">
        <w:rPr>
          <w:rFonts w:ascii="Book Antiqua" w:hAnsi="Book Antiqua"/>
          <w:i/>
          <w:iCs/>
          <w:sz w:val="22"/>
          <w:szCs w:val="22"/>
          <w:lang w:val="en-ZW"/>
        </w:rPr>
        <w:t>Id</w:t>
      </w:r>
      <w:r w:rsidRPr="003A23FA">
        <w:rPr>
          <w:rFonts w:ascii="Book Antiqua" w:hAnsi="Book Antiqua"/>
          <w:sz w:val="22"/>
          <w:szCs w:val="22"/>
          <w:lang w:val="en-ZW"/>
        </w:rPr>
        <w:t>.</w:t>
      </w:r>
      <w:r w:rsidR="005C0AE7" w:rsidRPr="003A23FA">
        <w:rPr>
          <w:rFonts w:ascii="Book Antiqua" w:hAnsi="Book Antiqua"/>
          <w:sz w:val="22"/>
          <w:szCs w:val="22"/>
          <w:lang w:val="en-ZW"/>
        </w:rPr>
        <w:t xml:space="preserve"> at 16-17.</w:t>
      </w:r>
    </w:p>
  </w:footnote>
  <w:footnote w:id="18">
    <w:p w14:paraId="21EAAAAC" w14:textId="4D7C4387" w:rsidR="00A95A40" w:rsidRPr="003A23FA" w:rsidRDefault="00A95A40"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w:t>
      </w:r>
    </w:p>
  </w:footnote>
  <w:footnote w:id="19">
    <w:p w14:paraId="33DB7DC5" w14:textId="1A6EB3B3" w:rsidR="005A579A" w:rsidRPr="003A23FA" w:rsidRDefault="005A579A"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 xml:space="preserve">Notice of Appeal </w:t>
      </w:r>
      <w:r w:rsidR="00892854" w:rsidRPr="003A23FA">
        <w:rPr>
          <w:rFonts w:ascii="Book Antiqua" w:hAnsi="Book Antiqua"/>
          <w:sz w:val="22"/>
          <w:szCs w:val="22"/>
          <w:lang w:val="en-ZW"/>
        </w:rPr>
        <w:t xml:space="preserve">of SDCP from Citation No. E-4195-0107, </w:t>
      </w:r>
      <w:r w:rsidRPr="003A23FA">
        <w:rPr>
          <w:rFonts w:ascii="Book Antiqua" w:hAnsi="Book Antiqua"/>
          <w:sz w:val="22"/>
          <w:szCs w:val="22"/>
          <w:lang w:val="en-ZW"/>
        </w:rPr>
        <w:t>at 14.</w:t>
      </w:r>
    </w:p>
  </w:footnote>
  <w:footnote w:id="20">
    <w:p w14:paraId="64A871DA" w14:textId="23F0A1A9" w:rsidR="00D07936" w:rsidRPr="003A23FA" w:rsidRDefault="00D07936"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892854" w:rsidRPr="003A23FA">
        <w:rPr>
          <w:rFonts w:ascii="Book Antiqua" w:hAnsi="Book Antiqua"/>
          <w:sz w:val="22"/>
          <w:szCs w:val="22"/>
        </w:rPr>
        <w:t xml:space="preserve">Exhibit SDCP_01, </w:t>
      </w:r>
      <w:r w:rsidR="00892854" w:rsidRPr="003A23FA">
        <w:rPr>
          <w:rFonts w:ascii="Book Antiqua" w:hAnsi="Book Antiqua"/>
          <w:sz w:val="22"/>
          <w:szCs w:val="22"/>
          <w:lang w:val="en-ZW"/>
        </w:rPr>
        <w:t xml:space="preserve">Testimony of B. </w:t>
      </w:r>
      <w:proofErr w:type="spellStart"/>
      <w:r w:rsidR="00892854" w:rsidRPr="003A23FA">
        <w:rPr>
          <w:rFonts w:ascii="Book Antiqua" w:hAnsi="Book Antiqua"/>
          <w:sz w:val="22"/>
          <w:szCs w:val="22"/>
          <w:lang w:val="en-ZW"/>
        </w:rPr>
        <w:t>Vosburg</w:t>
      </w:r>
      <w:proofErr w:type="spellEnd"/>
      <w:r w:rsidR="00892854" w:rsidRPr="003A23FA">
        <w:rPr>
          <w:rFonts w:ascii="Book Antiqua" w:hAnsi="Book Antiqua"/>
          <w:sz w:val="22"/>
          <w:szCs w:val="22"/>
          <w:lang w:val="en-ZW"/>
        </w:rPr>
        <w:t xml:space="preserve">, </w:t>
      </w:r>
      <w:r w:rsidRPr="003A23FA">
        <w:rPr>
          <w:rFonts w:ascii="Book Antiqua" w:hAnsi="Book Antiqua"/>
          <w:sz w:val="22"/>
          <w:szCs w:val="22"/>
          <w:lang w:val="en-ZW"/>
        </w:rPr>
        <w:t>at 10.</w:t>
      </w:r>
    </w:p>
  </w:footnote>
  <w:footnote w:id="21">
    <w:p w14:paraId="11AE33BE" w14:textId="461C9364" w:rsidR="005A579A" w:rsidRPr="003A23FA" w:rsidRDefault="005A579A"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BC2783" w:rsidRPr="003A23FA">
        <w:rPr>
          <w:rFonts w:ascii="Book Antiqua" w:hAnsi="Book Antiqua"/>
          <w:sz w:val="22"/>
          <w:szCs w:val="22"/>
          <w:lang w:val="en-ZW"/>
        </w:rPr>
        <w:t xml:space="preserve">Exhibit CPED-2C, Testimony of S. Wu, </w:t>
      </w:r>
      <w:r w:rsidRPr="003A23FA">
        <w:rPr>
          <w:rFonts w:ascii="Book Antiqua" w:hAnsi="Book Antiqua"/>
          <w:sz w:val="22"/>
          <w:szCs w:val="22"/>
          <w:lang w:val="en-ZW"/>
        </w:rPr>
        <w:t xml:space="preserve">at 5 (citing Attachment 9, </w:t>
      </w:r>
      <w:r w:rsidR="00BC2783" w:rsidRPr="003A23FA">
        <w:rPr>
          <w:rFonts w:ascii="Book Antiqua" w:hAnsi="Book Antiqua"/>
          <w:sz w:val="22"/>
          <w:szCs w:val="22"/>
          <w:lang w:val="en-ZW"/>
        </w:rPr>
        <w:t xml:space="preserve">October 21-28, 2020, </w:t>
      </w:r>
      <w:r w:rsidR="003A23FA">
        <w:rPr>
          <w:rFonts w:ascii="Book Antiqua" w:hAnsi="Book Antiqua"/>
          <w:sz w:val="22"/>
          <w:szCs w:val="22"/>
          <w:lang w:val="en-ZW"/>
        </w:rPr>
        <w:t>E-</w:t>
      </w:r>
      <w:r w:rsidRPr="003A23FA">
        <w:rPr>
          <w:rFonts w:ascii="Book Antiqua" w:hAnsi="Book Antiqua"/>
          <w:sz w:val="22"/>
          <w:szCs w:val="22"/>
          <w:lang w:val="en-ZW"/>
        </w:rPr>
        <w:t xml:space="preserve">mail </w:t>
      </w:r>
      <w:r w:rsidR="003A23FA">
        <w:rPr>
          <w:rFonts w:ascii="Book Antiqua" w:hAnsi="Book Antiqua"/>
          <w:sz w:val="22"/>
          <w:szCs w:val="22"/>
          <w:lang w:val="en-ZW"/>
        </w:rPr>
        <w:t>E</w:t>
      </w:r>
      <w:r w:rsidR="00BC2783" w:rsidRPr="003A23FA">
        <w:rPr>
          <w:rFonts w:ascii="Book Antiqua" w:hAnsi="Book Antiqua"/>
          <w:sz w:val="22"/>
          <w:szCs w:val="22"/>
          <w:lang w:val="en-ZW"/>
        </w:rPr>
        <w:t>xchange between SDCP</w:t>
      </w:r>
      <w:r w:rsidRPr="003A23FA">
        <w:rPr>
          <w:rFonts w:ascii="Book Antiqua" w:hAnsi="Book Antiqua"/>
          <w:sz w:val="22"/>
          <w:szCs w:val="22"/>
          <w:lang w:val="en-ZW"/>
        </w:rPr>
        <w:t xml:space="preserve"> and </w:t>
      </w:r>
      <w:proofErr w:type="spellStart"/>
      <w:r w:rsidRPr="003A23FA">
        <w:rPr>
          <w:rFonts w:ascii="Book Antiqua" w:hAnsi="Book Antiqua"/>
          <w:sz w:val="22"/>
          <w:szCs w:val="22"/>
          <w:lang w:val="en-ZW"/>
        </w:rPr>
        <w:t>Tullett</w:t>
      </w:r>
      <w:proofErr w:type="spellEnd"/>
      <w:r w:rsidRPr="003A23FA">
        <w:rPr>
          <w:rFonts w:ascii="Book Antiqua" w:hAnsi="Book Antiqua"/>
          <w:sz w:val="22"/>
          <w:szCs w:val="22"/>
          <w:lang w:val="en-ZW"/>
        </w:rPr>
        <w:t xml:space="preserve"> </w:t>
      </w:r>
      <w:proofErr w:type="spellStart"/>
      <w:r w:rsidRPr="003A23FA">
        <w:rPr>
          <w:rFonts w:ascii="Book Antiqua" w:hAnsi="Book Antiqua"/>
          <w:sz w:val="22"/>
          <w:szCs w:val="22"/>
          <w:lang w:val="en-ZW"/>
        </w:rPr>
        <w:t>Prebon</w:t>
      </w:r>
      <w:proofErr w:type="spellEnd"/>
      <w:r w:rsidRPr="003A23FA">
        <w:rPr>
          <w:rFonts w:ascii="Book Antiqua" w:hAnsi="Book Antiqua"/>
          <w:sz w:val="22"/>
          <w:szCs w:val="22"/>
          <w:lang w:val="en-ZW"/>
        </w:rPr>
        <w:t>).</w:t>
      </w:r>
    </w:p>
  </w:footnote>
  <w:footnote w:id="22">
    <w:p w14:paraId="6303BA77" w14:textId="514F4C4D" w:rsidR="005A579A" w:rsidRPr="003A23FA" w:rsidRDefault="005A579A"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 xml:space="preserve">. </w:t>
      </w:r>
    </w:p>
  </w:footnote>
  <w:footnote w:id="23">
    <w:p w14:paraId="0E99683E" w14:textId="6A2F122B" w:rsidR="00352421" w:rsidRPr="003A23FA" w:rsidRDefault="0035242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 xml:space="preserve">D.98-12-075 at </w:t>
      </w:r>
      <w:r w:rsidR="002B005E" w:rsidRPr="003A23FA">
        <w:rPr>
          <w:rFonts w:ascii="Book Antiqua" w:hAnsi="Book Antiqua"/>
          <w:sz w:val="22"/>
          <w:szCs w:val="22"/>
          <w:lang w:val="en-ZW"/>
        </w:rPr>
        <w:t>54</w:t>
      </w:r>
      <w:r w:rsidRPr="003A23FA">
        <w:rPr>
          <w:rFonts w:ascii="Book Antiqua" w:hAnsi="Book Antiqua"/>
          <w:sz w:val="22"/>
          <w:szCs w:val="22"/>
          <w:lang w:val="en-ZW"/>
        </w:rPr>
        <w:t>.</w:t>
      </w:r>
    </w:p>
  </w:footnote>
  <w:footnote w:id="24">
    <w:p w14:paraId="2E40D5E3" w14:textId="7388485C" w:rsidR="0092789B" w:rsidRPr="003A23FA" w:rsidRDefault="0092789B"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 xml:space="preserve">. at </w:t>
      </w:r>
      <w:r w:rsidR="00705844" w:rsidRPr="003A23FA">
        <w:rPr>
          <w:rFonts w:ascii="Book Antiqua" w:hAnsi="Book Antiqua"/>
          <w:sz w:val="22"/>
          <w:szCs w:val="22"/>
          <w:lang w:val="en-ZW"/>
        </w:rPr>
        <w:t>55.</w:t>
      </w:r>
    </w:p>
  </w:footnote>
  <w:footnote w:id="25">
    <w:p w14:paraId="085A2442" w14:textId="4E4CF4D8" w:rsidR="00C00CD1" w:rsidRPr="003A23FA" w:rsidRDefault="00C00CD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w:t>
      </w:r>
    </w:p>
  </w:footnote>
  <w:footnote w:id="26">
    <w:p w14:paraId="459157CD" w14:textId="7959F362" w:rsidR="0030514D" w:rsidRPr="003A23FA" w:rsidRDefault="0030514D"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Resolution ALJ-424,</w:t>
      </w:r>
      <w:r w:rsidR="00BC2783" w:rsidRPr="003A23FA">
        <w:rPr>
          <w:rFonts w:ascii="Book Antiqua" w:hAnsi="Book Antiqua"/>
          <w:sz w:val="22"/>
          <w:szCs w:val="22"/>
          <w:lang w:val="en-ZW"/>
        </w:rPr>
        <w:t xml:space="preserve"> </w:t>
      </w:r>
      <w:r w:rsidR="00BC2783" w:rsidRPr="003A23FA">
        <w:rPr>
          <w:rFonts w:ascii="Book Antiqua" w:hAnsi="Book Antiqua"/>
          <w:i/>
          <w:iCs/>
          <w:sz w:val="22"/>
          <w:szCs w:val="22"/>
          <w:lang w:val="en-ZW"/>
        </w:rPr>
        <w:t>Resolves the Appeal K.21-08-001 of Citation E-4195-100 by Commercial Energy</w:t>
      </w:r>
      <w:r w:rsidR="00BC2783" w:rsidRPr="003A23FA">
        <w:rPr>
          <w:rFonts w:ascii="Book Antiqua" w:hAnsi="Book Antiqua"/>
          <w:sz w:val="22"/>
          <w:szCs w:val="22"/>
          <w:lang w:val="en-ZW"/>
        </w:rPr>
        <w:t>,</w:t>
      </w:r>
      <w:r w:rsidRPr="003A23FA">
        <w:rPr>
          <w:rFonts w:ascii="Book Antiqua" w:hAnsi="Book Antiqua"/>
          <w:sz w:val="22"/>
          <w:szCs w:val="22"/>
          <w:lang w:val="en-ZW"/>
        </w:rPr>
        <w:t xml:space="preserve"> at 8</w:t>
      </w:r>
      <w:r w:rsidR="00BC2783" w:rsidRPr="003A23FA">
        <w:rPr>
          <w:rFonts w:ascii="Book Antiqua" w:hAnsi="Book Antiqua"/>
          <w:sz w:val="22"/>
          <w:szCs w:val="22"/>
          <w:lang w:val="en-ZW"/>
        </w:rPr>
        <w:t>.</w:t>
      </w:r>
    </w:p>
  </w:footnote>
  <w:footnote w:id="27">
    <w:p w14:paraId="79B63D35" w14:textId="0ADAEC8B" w:rsidR="00500658" w:rsidRPr="003A23FA" w:rsidRDefault="00500658"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BC2783" w:rsidRPr="003A23FA">
        <w:rPr>
          <w:rFonts w:ascii="Book Antiqua" w:hAnsi="Book Antiqua"/>
          <w:i/>
          <w:iCs/>
          <w:sz w:val="22"/>
          <w:szCs w:val="22"/>
          <w:lang w:val="en-ZW"/>
        </w:rPr>
        <w:t>Id</w:t>
      </w:r>
      <w:r w:rsidRPr="003A23FA">
        <w:rPr>
          <w:rFonts w:ascii="Book Antiqua" w:hAnsi="Book Antiqua"/>
          <w:sz w:val="22"/>
          <w:szCs w:val="22"/>
          <w:lang w:val="en-ZW"/>
        </w:rPr>
        <w:t xml:space="preserve">. </w:t>
      </w:r>
      <w:r w:rsidRPr="003A23FA">
        <w:rPr>
          <w:rFonts w:ascii="Book Antiqua" w:hAnsi="Book Antiqua"/>
          <w:i/>
          <w:iCs/>
          <w:sz w:val="22"/>
          <w:szCs w:val="22"/>
          <w:lang w:val="en-ZW"/>
        </w:rPr>
        <w:t>See also</w:t>
      </w:r>
      <w:r w:rsidRPr="003A23FA">
        <w:rPr>
          <w:rFonts w:ascii="Book Antiqua" w:hAnsi="Book Antiqua"/>
          <w:sz w:val="22"/>
          <w:szCs w:val="22"/>
          <w:lang w:val="en-ZW"/>
        </w:rPr>
        <w:t xml:space="preserve"> Resolution ALJ-406, </w:t>
      </w:r>
      <w:r w:rsidR="00BC2783" w:rsidRPr="003A23FA">
        <w:rPr>
          <w:rFonts w:ascii="Book Antiqua" w:hAnsi="Book Antiqua"/>
          <w:i/>
          <w:iCs/>
          <w:sz w:val="22"/>
          <w:szCs w:val="22"/>
        </w:rPr>
        <w:t>Resolves K.20-04-005, the Appeal of City of San Jose, an administrator of San Jose Clean Energy,</w:t>
      </w:r>
      <w:r w:rsidR="00BC2783" w:rsidRPr="003A23FA">
        <w:rPr>
          <w:i/>
          <w:iCs/>
          <w:sz w:val="22"/>
          <w:szCs w:val="22"/>
        </w:rPr>
        <w:t xml:space="preserve"> </w:t>
      </w:r>
      <w:r w:rsidRPr="003A23FA">
        <w:rPr>
          <w:rFonts w:ascii="Book Antiqua" w:hAnsi="Book Antiqua"/>
          <w:sz w:val="22"/>
          <w:szCs w:val="22"/>
          <w:lang w:val="en-ZW"/>
        </w:rPr>
        <w:t>at 5.</w:t>
      </w:r>
    </w:p>
  </w:footnote>
  <w:footnote w:id="28">
    <w:p w14:paraId="052DB3B3" w14:textId="0BB14061" w:rsidR="00684654" w:rsidRPr="003A23FA" w:rsidRDefault="0068465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D.05-10-042 at</w:t>
      </w:r>
      <w:r w:rsidRPr="003A23FA">
        <w:rPr>
          <w:rFonts w:ascii="Book Antiqua" w:hAnsi="Book Antiqua" w:cs="Arial"/>
          <w:sz w:val="22"/>
          <w:szCs w:val="22"/>
        </w:rPr>
        <w:t xml:space="preserve"> 93.</w:t>
      </w:r>
    </w:p>
  </w:footnote>
  <w:footnote w:id="29">
    <w:p w14:paraId="45538496" w14:textId="29FF7F57" w:rsidR="005F3A48" w:rsidRPr="003A23FA" w:rsidRDefault="005F3A48"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8C6287" w:rsidRPr="003A23FA">
        <w:rPr>
          <w:rFonts w:ascii="Book Antiqua" w:hAnsi="Book Antiqua"/>
          <w:i/>
          <w:iCs/>
          <w:sz w:val="22"/>
          <w:szCs w:val="22"/>
        </w:rPr>
        <w:t>See</w:t>
      </w:r>
      <w:r w:rsidR="008C6287" w:rsidRPr="003A23FA">
        <w:rPr>
          <w:rFonts w:ascii="Book Antiqua" w:hAnsi="Book Antiqua"/>
          <w:sz w:val="22"/>
          <w:szCs w:val="22"/>
        </w:rPr>
        <w:t xml:space="preserve"> </w:t>
      </w:r>
      <w:r w:rsidRPr="003A23FA">
        <w:rPr>
          <w:rFonts w:ascii="Book Antiqua" w:hAnsi="Book Antiqua"/>
          <w:sz w:val="22"/>
          <w:szCs w:val="22"/>
          <w:lang w:val="en-ZW"/>
        </w:rPr>
        <w:t>D.98-12-075</w:t>
      </w:r>
      <w:r w:rsidR="00AE0063" w:rsidRPr="003A23FA">
        <w:rPr>
          <w:rFonts w:ascii="Book Antiqua" w:hAnsi="Book Antiqua"/>
          <w:sz w:val="22"/>
          <w:szCs w:val="22"/>
          <w:lang w:val="en-ZW"/>
        </w:rPr>
        <w:t xml:space="preserve"> </w:t>
      </w:r>
      <w:r w:rsidRPr="003A23FA">
        <w:rPr>
          <w:rFonts w:ascii="Book Antiqua" w:hAnsi="Book Antiqua"/>
          <w:sz w:val="22"/>
          <w:szCs w:val="22"/>
          <w:lang w:val="en-ZW"/>
        </w:rPr>
        <w:t xml:space="preserve">at </w:t>
      </w:r>
      <w:r w:rsidR="004B62A9" w:rsidRPr="003A23FA">
        <w:rPr>
          <w:rFonts w:ascii="Book Antiqua" w:hAnsi="Book Antiqua"/>
          <w:sz w:val="22"/>
          <w:szCs w:val="22"/>
          <w:lang w:val="en-ZW"/>
        </w:rPr>
        <w:t>56</w:t>
      </w:r>
      <w:r w:rsidR="000619E1" w:rsidRPr="003A23FA">
        <w:rPr>
          <w:rFonts w:ascii="Book Antiqua" w:hAnsi="Book Antiqua"/>
          <w:sz w:val="22"/>
          <w:szCs w:val="22"/>
          <w:lang w:val="en-ZW"/>
        </w:rPr>
        <w:t xml:space="preserve">; Resolution </w:t>
      </w:r>
      <w:r w:rsidR="00FE791F" w:rsidRPr="003A23FA">
        <w:rPr>
          <w:rFonts w:ascii="Book Antiqua" w:hAnsi="Book Antiqua"/>
          <w:sz w:val="22"/>
          <w:szCs w:val="22"/>
          <w:lang w:val="en-ZW"/>
        </w:rPr>
        <w:t xml:space="preserve">ALJ-406 at 5; </w:t>
      </w:r>
      <w:r w:rsidR="000619E1" w:rsidRPr="003A23FA">
        <w:rPr>
          <w:rFonts w:ascii="Book Antiqua" w:hAnsi="Book Antiqua"/>
          <w:sz w:val="22"/>
          <w:szCs w:val="22"/>
          <w:lang w:val="en-ZW"/>
        </w:rPr>
        <w:t xml:space="preserve">Resolution </w:t>
      </w:r>
      <w:r w:rsidR="00FE791F" w:rsidRPr="003A23FA">
        <w:rPr>
          <w:rFonts w:ascii="Book Antiqua" w:hAnsi="Book Antiqua"/>
          <w:sz w:val="22"/>
          <w:szCs w:val="22"/>
          <w:lang w:val="en-ZW"/>
        </w:rPr>
        <w:t>ALJ-424 at 8.</w:t>
      </w:r>
    </w:p>
  </w:footnote>
  <w:footnote w:id="30">
    <w:p w14:paraId="39644C32" w14:textId="49C4E5A0" w:rsidR="0059239F" w:rsidRPr="003A23FA" w:rsidRDefault="0059239F"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 at 18.</w:t>
      </w:r>
    </w:p>
  </w:footnote>
  <w:footnote w:id="31">
    <w:p w14:paraId="6495BC5F" w14:textId="4381B1AF" w:rsidR="005D7968" w:rsidRPr="003A23FA" w:rsidRDefault="005D7968"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254028" w:rsidRPr="00634BA2">
        <w:rPr>
          <w:rFonts w:ascii="Book Antiqua" w:hAnsi="Book Antiqua"/>
          <w:i/>
          <w:iCs/>
          <w:sz w:val="22"/>
          <w:szCs w:val="22"/>
          <w:lang w:val="en-ZW"/>
        </w:rPr>
        <w:t>Id</w:t>
      </w:r>
      <w:r w:rsidRPr="003A23FA">
        <w:rPr>
          <w:rFonts w:ascii="Book Antiqua" w:hAnsi="Book Antiqua"/>
          <w:sz w:val="22"/>
          <w:szCs w:val="22"/>
          <w:lang w:val="en-ZW"/>
        </w:rPr>
        <w:t>.</w:t>
      </w:r>
    </w:p>
  </w:footnote>
  <w:footnote w:id="32">
    <w:p w14:paraId="345CA4BA" w14:textId="13DD9A46" w:rsidR="00E174BB" w:rsidRPr="003A23FA" w:rsidRDefault="00E174BB"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 xml:space="preserve">D.98-12-075 at </w:t>
      </w:r>
      <w:r w:rsidR="00510C3A" w:rsidRPr="003A23FA">
        <w:rPr>
          <w:rFonts w:ascii="Book Antiqua" w:hAnsi="Book Antiqua"/>
          <w:sz w:val="22"/>
          <w:szCs w:val="22"/>
          <w:lang w:val="en-ZW"/>
        </w:rPr>
        <w:t>56</w:t>
      </w:r>
      <w:r w:rsidR="00722F88" w:rsidRPr="003A23FA">
        <w:rPr>
          <w:rFonts w:ascii="Book Antiqua" w:hAnsi="Book Antiqua"/>
          <w:sz w:val="22"/>
          <w:szCs w:val="22"/>
          <w:lang w:val="en-ZW"/>
        </w:rPr>
        <w:t>.</w:t>
      </w:r>
    </w:p>
  </w:footnote>
  <w:footnote w:id="33">
    <w:p w14:paraId="61284CA9" w14:textId="37743304" w:rsidR="00542664" w:rsidRPr="003A23FA" w:rsidRDefault="0054266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 xml:space="preserve">. </w:t>
      </w:r>
    </w:p>
  </w:footnote>
  <w:footnote w:id="34">
    <w:p w14:paraId="6211C81C" w14:textId="7FD5F425" w:rsidR="00BF5AC4" w:rsidRPr="003A23FA" w:rsidRDefault="00BF5AC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 at 5</w:t>
      </w:r>
      <w:r w:rsidR="00543899" w:rsidRPr="003A23FA">
        <w:rPr>
          <w:rFonts w:ascii="Book Antiqua" w:hAnsi="Book Antiqua"/>
          <w:sz w:val="22"/>
          <w:szCs w:val="22"/>
          <w:lang w:val="en-ZW"/>
        </w:rPr>
        <w:t>7.</w:t>
      </w:r>
    </w:p>
  </w:footnote>
  <w:footnote w:id="35">
    <w:p w14:paraId="2FAD23DB" w14:textId="4E042B86" w:rsidR="002A54B4" w:rsidRPr="003A23FA" w:rsidRDefault="002A54B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 at 7.</w:t>
      </w:r>
    </w:p>
  </w:footnote>
  <w:footnote w:id="36">
    <w:p w14:paraId="336F0037" w14:textId="110685BB" w:rsidR="002A54B4" w:rsidRPr="003A23FA" w:rsidRDefault="002A54B4"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2C2118" w:rsidRPr="003A23FA">
        <w:rPr>
          <w:rFonts w:ascii="Book Antiqua" w:hAnsi="Book Antiqua"/>
          <w:sz w:val="22"/>
          <w:szCs w:val="22"/>
        </w:rPr>
        <w:t xml:space="preserve">Resolution </w:t>
      </w:r>
      <w:r w:rsidRPr="003A23FA">
        <w:rPr>
          <w:rFonts w:ascii="Book Antiqua" w:hAnsi="Book Antiqua"/>
          <w:sz w:val="22"/>
          <w:szCs w:val="22"/>
          <w:lang w:val="en-ZW"/>
        </w:rPr>
        <w:t>ALJ-424 at 8</w:t>
      </w:r>
      <w:r w:rsidR="002C2118" w:rsidRPr="003A23FA">
        <w:rPr>
          <w:rFonts w:ascii="Book Antiqua" w:hAnsi="Book Antiqua"/>
          <w:sz w:val="22"/>
          <w:szCs w:val="22"/>
          <w:lang w:val="en-ZW"/>
        </w:rPr>
        <w:t>; Resolution</w:t>
      </w:r>
      <w:r w:rsidRPr="003A23FA">
        <w:rPr>
          <w:rFonts w:ascii="Book Antiqua" w:hAnsi="Book Antiqua"/>
          <w:sz w:val="22"/>
          <w:szCs w:val="22"/>
          <w:lang w:val="en-ZW"/>
        </w:rPr>
        <w:t xml:space="preserve"> ALJ</w:t>
      </w:r>
      <w:r w:rsidR="002C2118" w:rsidRPr="003A23FA">
        <w:rPr>
          <w:rFonts w:ascii="Book Antiqua" w:hAnsi="Book Antiqua"/>
          <w:sz w:val="22"/>
          <w:szCs w:val="22"/>
          <w:lang w:val="en-ZW"/>
        </w:rPr>
        <w:t>-</w:t>
      </w:r>
      <w:r w:rsidRPr="003A23FA">
        <w:rPr>
          <w:rFonts w:ascii="Book Antiqua" w:hAnsi="Book Antiqua"/>
          <w:sz w:val="22"/>
          <w:szCs w:val="22"/>
          <w:lang w:val="en-ZW"/>
        </w:rPr>
        <w:t>406 at 5.</w:t>
      </w:r>
    </w:p>
  </w:footnote>
  <w:footnote w:id="37">
    <w:p w14:paraId="6706C9BD" w14:textId="42450670" w:rsidR="00CA790A" w:rsidRPr="003A23FA" w:rsidRDefault="00CA790A"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See</w:t>
      </w:r>
      <w:r w:rsidRPr="003A23FA">
        <w:rPr>
          <w:rFonts w:ascii="Book Antiqua" w:hAnsi="Book Antiqua"/>
          <w:sz w:val="22"/>
          <w:szCs w:val="22"/>
          <w:lang w:val="en-ZW"/>
        </w:rPr>
        <w:t xml:space="preserve"> D.98-12-075 at 56.</w:t>
      </w:r>
    </w:p>
  </w:footnote>
  <w:footnote w:id="38">
    <w:p w14:paraId="13E5D962" w14:textId="6D14D6AB" w:rsidR="00D85297" w:rsidRPr="003A23FA" w:rsidRDefault="00D85297"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 at 9.</w:t>
      </w:r>
    </w:p>
  </w:footnote>
  <w:footnote w:id="39">
    <w:p w14:paraId="0925D97A" w14:textId="537C521C" w:rsidR="007A0156" w:rsidRPr="003A23FA" w:rsidRDefault="007A0156"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 xml:space="preserve">CPED Opening </w:t>
      </w:r>
      <w:r w:rsidR="002C2118" w:rsidRPr="003A23FA">
        <w:rPr>
          <w:rFonts w:ascii="Book Antiqua" w:hAnsi="Book Antiqua"/>
          <w:sz w:val="22"/>
          <w:szCs w:val="22"/>
          <w:lang w:val="en-ZW"/>
        </w:rPr>
        <w:t xml:space="preserve">Brief </w:t>
      </w:r>
      <w:r w:rsidRPr="003A23FA">
        <w:rPr>
          <w:rFonts w:ascii="Book Antiqua" w:hAnsi="Book Antiqua"/>
          <w:sz w:val="22"/>
          <w:szCs w:val="22"/>
          <w:lang w:val="en-ZW"/>
        </w:rPr>
        <w:t>at 12.</w:t>
      </w:r>
    </w:p>
  </w:footnote>
  <w:footnote w:id="40">
    <w:p w14:paraId="7CBF2EDD" w14:textId="6366DCE7" w:rsidR="007A0156" w:rsidRPr="003A23FA" w:rsidRDefault="007A0156"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Reply Brief</w:t>
      </w:r>
      <w:r w:rsidR="002C2118" w:rsidRPr="003A23FA">
        <w:rPr>
          <w:rFonts w:ascii="Book Antiqua" w:hAnsi="Book Antiqua"/>
          <w:sz w:val="22"/>
          <w:szCs w:val="22"/>
          <w:lang w:val="en-ZW"/>
        </w:rPr>
        <w:t xml:space="preserve">, October 11, 2022, </w:t>
      </w:r>
      <w:r w:rsidRPr="003A23FA">
        <w:rPr>
          <w:rFonts w:ascii="Book Antiqua" w:hAnsi="Book Antiqua"/>
          <w:sz w:val="22"/>
          <w:szCs w:val="22"/>
          <w:lang w:val="en-ZW"/>
        </w:rPr>
        <w:t>at 8.</w:t>
      </w:r>
    </w:p>
  </w:footnote>
  <w:footnote w:id="41">
    <w:p w14:paraId="7E17E6BC" w14:textId="595171CD" w:rsidR="00E10138" w:rsidRPr="003A23FA" w:rsidRDefault="00E10138"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2C2118" w:rsidRPr="003A23FA">
        <w:rPr>
          <w:rFonts w:ascii="Book Antiqua" w:hAnsi="Book Antiqua"/>
          <w:sz w:val="22"/>
          <w:szCs w:val="22"/>
        </w:rPr>
        <w:t xml:space="preserve">Commission’s Recent Citations Issued via Energy Division </w:t>
      </w:r>
      <w:r w:rsidR="004C261C">
        <w:rPr>
          <w:rFonts w:ascii="Book Antiqua" w:hAnsi="Book Antiqua"/>
          <w:sz w:val="22"/>
          <w:szCs w:val="22"/>
        </w:rPr>
        <w:t>C</w:t>
      </w:r>
      <w:r w:rsidR="002C2118" w:rsidRPr="003A23FA">
        <w:rPr>
          <w:rFonts w:ascii="Book Antiqua" w:hAnsi="Book Antiqua"/>
          <w:sz w:val="22"/>
          <w:szCs w:val="22"/>
        </w:rPr>
        <w:t xml:space="preserve">itation </w:t>
      </w:r>
      <w:r w:rsidR="004C261C">
        <w:rPr>
          <w:rFonts w:ascii="Book Antiqua" w:hAnsi="Book Antiqua"/>
          <w:sz w:val="22"/>
          <w:szCs w:val="22"/>
        </w:rPr>
        <w:t>P</w:t>
      </w:r>
      <w:r w:rsidR="002C2118" w:rsidRPr="003A23FA">
        <w:rPr>
          <w:rFonts w:ascii="Book Antiqua" w:hAnsi="Book Antiqua"/>
          <w:sz w:val="22"/>
          <w:szCs w:val="22"/>
        </w:rPr>
        <w:t xml:space="preserve">rograms, available at: </w:t>
      </w:r>
      <w:hyperlink r:id="rId1" w:history="1">
        <w:r w:rsidRPr="003A23FA">
          <w:rPr>
            <w:rStyle w:val="Hyperlink"/>
            <w:rFonts w:ascii="Book Antiqua" w:hAnsi="Book Antiqua"/>
            <w:sz w:val="22"/>
            <w:szCs w:val="22"/>
          </w:rPr>
          <w:t>UEB Citations-Fines-Restitutions -- Active.xlsx (ca.gov)</w:t>
        </w:r>
      </w:hyperlink>
    </w:p>
  </w:footnote>
  <w:footnote w:id="42">
    <w:p w14:paraId="5100A49F" w14:textId="2A1DDA2C" w:rsidR="009F1EE2" w:rsidRPr="003A23FA" w:rsidRDefault="009F1EE2"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E66F23" w:rsidRPr="003A23FA">
        <w:rPr>
          <w:rFonts w:ascii="Book Antiqua" w:hAnsi="Book Antiqua"/>
          <w:i/>
          <w:iCs/>
          <w:sz w:val="22"/>
          <w:szCs w:val="22"/>
        </w:rPr>
        <w:t>See</w:t>
      </w:r>
      <w:r w:rsidR="00E66F23" w:rsidRPr="003A23FA">
        <w:rPr>
          <w:rFonts w:ascii="Book Antiqua" w:hAnsi="Book Antiqua"/>
          <w:sz w:val="22"/>
          <w:szCs w:val="22"/>
        </w:rPr>
        <w:t xml:space="preserve"> </w:t>
      </w:r>
      <w:r w:rsidR="00E66F23" w:rsidRPr="003A23FA">
        <w:rPr>
          <w:rFonts w:ascii="Book Antiqua" w:hAnsi="Book Antiqua"/>
          <w:sz w:val="22"/>
          <w:szCs w:val="22"/>
          <w:lang w:val="en-ZW"/>
        </w:rPr>
        <w:t>D.98-12-075 at 56</w:t>
      </w:r>
      <w:r w:rsidR="0046365B" w:rsidRPr="003A23FA">
        <w:rPr>
          <w:rFonts w:ascii="Book Antiqua" w:hAnsi="Book Antiqua"/>
          <w:sz w:val="22"/>
          <w:szCs w:val="22"/>
          <w:lang w:val="en-ZW"/>
        </w:rPr>
        <w:t>.</w:t>
      </w:r>
    </w:p>
  </w:footnote>
  <w:footnote w:id="43">
    <w:p w14:paraId="20B856BC" w14:textId="56479463" w:rsidR="00DC610C" w:rsidRPr="003A23FA" w:rsidRDefault="00DC610C"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w:t>
      </w:r>
    </w:p>
  </w:footnote>
  <w:footnote w:id="44">
    <w:p w14:paraId="54C0C74A" w14:textId="131481F8" w:rsidR="00356548" w:rsidRPr="003A23FA" w:rsidRDefault="00356548"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 at 21.</w:t>
      </w:r>
    </w:p>
  </w:footnote>
  <w:footnote w:id="45">
    <w:p w14:paraId="2C92D5ED" w14:textId="14CABF11" w:rsidR="00E66F23" w:rsidRPr="003A23FA" w:rsidRDefault="00E66F23"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CPED Opening Brief at 12.</w:t>
      </w:r>
    </w:p>
  </w:footnote>
  <w:footnote w:id="46">
    <w:p w14:paraId="51890F9F" w14:textId="4110BCF4" w:rsidR="009C4521" w:rsidRPr="003A23FA" w:rsidRDefault="009C452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009635CE" w:rsidRPr="003A23FA">
        <w:rPr>
          <w:rFonts w:ascii="Book Antiqua" w:hAnsi="Book Antiqua"/>
          <w:sz w:val="22"/>
          <w:szCs w:val="22"/>
          <w:lang w:val="en-ZW"/>
        </w:rPr>
        <w:t xml:space="preserve"> </w:t>
      </w:r>
      <w:r w:rsidR="003A23FA">
        <w:rPr>
          <w:rFonts w:ascii="Book Antiqua" w:hAnsi="Book Antiqua"/>
          <w:sz w:val="22"/>
          <w:szCs w:val="22"/>
          <w:lang w:val="en-ZW"/>
        </w:rPr>
        <w:tab/>
      </w:r>
      <w:r w:rsidRPr="003A23FA">
        <w:rPr>
          <w:rFonts w:ascii="Book Antiqua" w:hAnsi="Book Antiqua"/>
          <w:sz w:val="22"/>
          <w:szCs w:val="22"/>
          <w:lang w:val="en-ZW"/>
        </w:rPr>
        <w:t>D.</w:t>
      </w:r>
      <w:r w:rsidR="00A953F1" w:rsidRPr="003A23FA">
        <w:rPr>
          <w:rFonts w:ascii="Book Antiqua" w:hAnsi="Book Antiqua"/>
          <w:sz w:val="22"/>
          <w:szCs w:val="22"/>
          <w:lang w:val="en-ZW"/>
        </w:rPr>
        <w:t>98-12-075</w:t>
      </w:r>
      <w:r w:rsidRPr="003A23FA">
        <w:rPr>
          <w:rFonts w:ascii="Book Antiqua" w:hAnsi="Book Antiqua"/>
          <w:sz w:val="22"/>
          <w:szCs w:val="22"/>
          <w:lang w:val="en-ZW"/>
        </w:rPr>
        <w:t xml:space="preserve"> at 60.</w:t>
      </w:r>
    </w:p>
  </w:footnote>
  <w:footnote w:id="47">
    <w:p w14:paraId="706D24DA" w14:textId="3A2DA4F2" w:rsidR="00E66F23" w:rsidRPr="003A23FA" w:rsidRDefault="00E66F23"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 xml:space="preserve">SDCP Opening </w:t>
      </w:r>
      <w:r w:rsidR="00C47B70" w:rsidRPr="003A23FA">
        <w:rPr>
          <w:rFonts w:ascii="Book Antiqua" w:hAnsi="Book Antiqua"/>
          <w:sz w:val="22"/>
          <w:szCs w:val="22"/>
          <w:lang w:val="en-ZW"/>
        </w:rPr>
        <w:t>Brief</w:t>
      </w:r>
      <w:r w:rsidRPr="003A23FA">
        <w:rPr>
          <w:rFonts w:ascii="Book Antiqua" w:hAnsi="Book Antiqua"/>
          <w:sz w:val="22"/>
          <w:szCs w:val="22"/>
          <w:lang w:val="en-ZW"/>
        </w:rPr>
        <w:t xml:space="preserve"> at 21.</w:t>
      </w:r>
    </w:p>
  </w:footnote>
  <w:footnote w:id="48">
    <w:p w14:paraId="122931C3" w14:textId="72C39DF0" w:rsidR="00955F5E" w:rsidRPr="003A23FA" w:rsidRDefault="00955F5E"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See</w:t>
      </w:r>
      <w:r w:rsidRPr="003A23FA">
        <w:rPr>
          <w:rFonts w:ascii="Book Antiqua" w:hAnsi="Book Antiqua"/>
          <w:sz w:val="22"/>
          <w:szCs w:val="22"/>
          <w:lang w:val="en-ZW"/>
        </w:rPr>
        <w:t xml:space="preserve"> </w:t>
      </w:r>
      <w:r w:rsidR="009A53C4" w:rsidRPr="003A23FA">
        <w:rPr>
          <w:rFonts w:ascii="Book Antiqua" w:hAnsi="Book Antiqua"/>
          <w:sz w:val="22"/>
          <w:szCs w:val="22"/>
          <w:lang w:val="en-ZW"/>
        </w:rPr>
        <w:t xml:space="preserve">Resolution ALJ-424; </w:t>
      </w:r>
      <w:r w:rsidR="00C47B70" w:rsidRPr="003A23FA">
        <w:rPr>
          <w:rFonts w:ascii="Book Antiqua" w:hAnsi="Book Antiqua"/>
          <w:sz w:val="22"/>
          <w:szCs w:val="22"/>
          <w:lang w:val="en-ZW"/>
        </w:rPr>
        <w:t xml:space="preserve">Resolution ALJ-406; </w:t>
      </w:r>
      <w:r w:rsidR="00295283" w:rsidRPr="003A23FA">
        <w:rPr>
          <w:rFonts w:ascii="Book Antiqua" w:hAnsi="Book Antiqua"/>
          <w:sz w:val="22"/>
          <w:szCs w:val="22"/>
          <w:lang w:val="en-ZW"/>
        </w:rPr>
        <w:t xml:space="preserve">Resolution ALJ-356, </w:t>
      </w:r>
      <w:r w:rsidR="00C47B70" w:rsidRPr="003A23FA">
        <w:rPr>
          <w:rFonts w:ascii="Book Antiqua" w:hAnsi="Book Antiqua"/>
          <w:i/>
          <w:iCs/>
          <w:sz w:val="22"/>
          <w:szCs w:val="22"/>
        </w:rPr>
        <w:t>Resolving Citation Appeal K.18-05-018 and affirming the penalty assessed against Pilot Power Group, Inc</w:t>
      </w:r>
      <w:r w:rsidR="00C47B70" w:rsidRPr="003A23FA">
        <w:rPr>
          <w:rFonts w:ascii="Book Antiqua" w:hAnsi="Book Antiqua"/>
          <w:sz w:val="22"/>
          <w:szCs w:val="22"/>
        </w:rPr>
        <w:t>.;</w:t>
      </w:r>
      <w:r w:rsidR="00C47B70" w:rsidRPr="003A23FA">
        <w:rPr>
          <w:sz w:val="22"/>
          <w:szCs w:val="22"/>
        </w:rPr>
        <w:t xml:space="preserve"> </w:t>
      </w:r>
      <w:r w:rsidR="009D5A88" w:rsidRPr="003A23FA">
        <w:rPr>
          <w:rFonts w:ascii="Book Antiqua" w:hAnsi="Book Antiqua"/>
          <w:sz w:val="22"/>
          <w:szCs w:val="22"/>
          <w:lang w:val="en-ZW"/>
        </w:rPr>
        <w:t>Resolution ALJ</w:t>
      </w:r>
      <w:r w:rsidR="00192ADB">
        <w:rPr>
          <w:rFonts w:ascii="Book Antiqua" w:hAnsi="Book Antiqua"/>
          <w:sz w:val="22"/>
          <w:szCs w:val="22"/>
          <w:lang w:val="en-ZW"/>
        </w:rPr>
        <w:noBreakHyphen/>
      </w:r>
      <w:r w:rsidR="009D5A88" w:rsidRPr="003A23FA">
        <w:rPr>
          <w:rFonts w:ascii="Book Antiqua" w:hAnsi="Book Antiqua"/>
          <w:sz w:val="22"/>
          <w:szCs w:val="22"/>
          <w:lang w:val="en-ZW"/>
        </w:rPr>
        <w:t xml:space="preserve">298, </w:t>
      </w:r>
      <w:r w:rsidR="00C47B70" w:rsidRPr="003A23FA">
        <w:rPr>
          <w:rFonts w:ascii="Book Antiqua" w:hAnsi="Book Antiqua"/>
          <w:i/>
          <w:iCs/>
          <w:sz w:val="22"/>
          <w:szCs w:val="22"/>
        </w:rPr>
        <w:t>Affirming the Penalty Assessed Against 3 Phase Renewables</w:t>
      </w:r>
      <w:r w:rsidR="00C47B70" w:rsidRPr="003A23FA">
        <w:rPr>
          <w:sz w:val="22"/>
          <w:szCs w:val="22"/>
        </w:rPr>
        <w:t xml:space="preserve">; </w:t>
      </w:r>
      <w:r w:rsidR="00CA1CDD" w:rsidRPr="003A23FA">
        <w:rPr>
          <w:rFonts w:ascii="Book Antiqua" w:hAnsi="Book Antiqua"/>
          <w:sz w:val="22"/>
          <w:szCs w:val="22"/>
          <w:lang w:val="en-ZW"/>
        </w:rPr>
        <w:t>Resolution ALJ-382</w:t>
      </w:r>
      <w:r w:rsidR="00C47B70" w:rsidRPr="003A23FA">
        <w:rPr>
          <w:rFonts w:ascii="Book Antiqua" w:hAnsi="Book Antiqua"/>
          <w:sz w:val="22"/>
          <w:szCs w:val="22"/>
          <w:lang w:val="en-ZW"/>
        </w:rPr>
        <w:t xml:space="preserve">, </w:t>
      </w:r>
      <w:r w:rsidR="00C47B70" w:rsidRPr="003A23FA">
        <w:rPr>
          <w:rFonts w:ascii="Book Antiqua" w:hAnsi="Book Antiqua"/>
          <w:i/>
          <w:iCs/>
          <w:sz w:val="22"/>
          <w:szCs w:val="22"/>
        </w:rPr>
        <w:t>Resolves the Appeal K.19-03-024 of Citation E-4195-0052 by San Jose Clean Energy.</w:t>
      </w:r>
    </w:p>
  </w:footnote>
  <w:footnote w:id="49">
    <w:p w14:paraId="3C1BC81C" w14:textId="03D9D809" w:rsidR="00AF1A91" w:rsidRPr="003A23FA" w:rsidRDefault="00AF1A9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 at 17.</w:t>
      </w:r>
    </w:p>
  </w:footnote>
  <w:footnote w:id="50">
    <w:p w14:paraId="61E3C6C3" w14:textId="5741948E" w:rsidR="00AF1A91" w:rsidRPr="003A23FA" w:rsidRDefault="00AF1A9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Resolution ALJ-406 at 3.</w:t>
      </w:r>
    </w:p>
  </w:footnote>
  <w:footnote w:id="51">
    <w:p w14:paraId="7A4D2398" w14:textId="0D2FCCB0" w:rsidR="00AF1A91" w:rsidRPr="003A23FA" w:rsidRDefault="00AF1A9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 xml:space="preserve">Resolution ALJ-424 at 16 (quoting </w:t>
      </w:r>
      <w:r w:rsidR="00C25CBE">
        <w:rPr>
          <w:rFonts w:ascii="Book Antiqua" w:hAnsi="Book Antiqua"/>
          <w:sz w:val="22"/>
          <w:szCs w:val="22"/>
          <w:lang w:val="en-ZW"/>
        </w:rPr>
        <w:t xml:space="preserve">Resolution </w:t>
      </w:r>
      <w:r w:rsidRPr="003A23FA">
        <w:rPr>
          <w:rFonts w:ascii="Book Antiqua" w:hAnsi="Book Antiqua"/>
          <w:sz w:val="22"/>
          <w:szCs w:val="22"/>
          <w:lang w:val="en-ZW"/>
        </w:rPr>
        <w:t>ALJ-382 at 5).</w:t>
      </w:r>
    </w:p>
  </w:footnote>
  <w:footnote w:id="52">
    <w:p w14:paraId="7C5B689D" w14:textId="60D110C4" w:rsidR="00AF1A91" w:rsidRPr="003A23FA" w:rsidRDefault="00AF1A91"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rPr>
        <w:t>Id</w:t>
      </w:r>
      <w:r w:rsidRPr="003A23FA">
        <w:rPr>
          <w:rFonts w:ascii="Book Antiqua" w:hAnsi="Book Antiqua"/>
          <w:sz w:val="22"/>
          <w:szCs w:val="22"/>
          <w:lang w:val="en-ZW"/>
        </w:rPr>
        <w:t>.</w:t>
      </w:r>
    </w:p>
  </w:footnote>
  <w:footnote w:id="53">
    <w:p w14:paraId="2E65838A" w14:textId="4F7D261D" w:rsidR="00857775" w:rsidRPr="003A23FA" w:rsidRDefault="00857775"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Resolution ALJ-298 at COL 3.</w:t>
      </w:r>
    </w:p>
  </w:footnote>
  <w:footnote w:id="54">
    <w:p w14:paraId="5166C800" w14:textId="0F2C0A7E" w:rsidR="00E319DB" w:rsidRPr="003A23FA" w:rsidRDefault="00E319DB"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D.98-12-075 at 59.</w:t>
      </w:r>
    </w:p>
  </w:footnote>
  <w:footnote w:id="55">
    <w:p w14:paraId="243A354F" w14:textId="279B4317" w:rsidR="007A103C" w:rsidRPr="003A23FA" w:rsidRDefault="007A103C"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sz w:val="22"/>
          <w:szCs w:val="22"/>
          <w:lang w:val="en-ZW"/>
        </w:rPr>
        <w:t>SDCP Opening Brief at 21.</w:t>
      </w:r>
    </w:p>
  </w:footnote>
  <w:footnote w:id="56">
    <w:p w14:paraId="29B9214E" w14:textId="146AF6A4" w:rsidR="00AA67AC" w:rsidRPr="003A23FA" w:rsidRDefault="00AA67AC"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F113E6" w:rsidRPr="00634BA2">
        <w:rPr>
          <w:rFonts w:ascii="Book Antiqua" w:hAnsi="Book Antiqua"/>
          <w:i/>
          <w:iCs/>
          <w:sz w:val="22"/>
          <w:szCs w:val="22"/>
          <w:lang w:val="en-ZW"/>
        </w:rPr>
        <w:t>Id</w:t>
      </w:r>
      <w:r w:rsidR="00F113E6">
        <w:rPr>
          <w:rFonts w:ascii="Book Antiqua" w:hAnsi="Book Antiqua"/>
          <w:sz w:val="22"/>
          <w:szCs w:val="22"/>
          <w:lang w:val="en-ZW"/>
        </w:rPr>
        <w:t>.</w:t>
      </w:r>
      <w:r w:rsidRPr="003A23FA">
        <w:rPr>
          <w:rFonts w:ascii="Book Antiqua" w:hAnsi="Book Antiqua"/>
          <w:sz w:val="22"/>
          <w:szCs w:val="22"/>
          <w:lang w:val="en-ZW"/>
        </w:rPr>
        <w:t xml:space="preserve"> at 24.</w:t>
      </w:r>
    </w:p>
  </w:footnote>
  <w:footnote w:id="57">
    <w:p w14:paraId="3E3F6AC7" w14:textId="0EB288DA" w:rsidR="00AA67AC" w:rsidRPr="003A23FA" w:rsidRDefault="00AA67AC"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Pr="003A23FA">
        <w:rPr>
          <w:rFonts w:ascii="Book Antiqua" w:hAnsi="Book Antiqua"/>
          <w:i/>
          <w:iCs/>
          <w:sz w:val="22"/>
          <w:szCs w:val="22"/>
          <w:lang w:val="en-ZW"/>
        </w:rPr>
        <w:t>Id</w:t>
      </w:r>
      <w:r w:rsidRPr="003A23FA">
        <w:rPr>
          <w:rFonts w:ascii="Book Antiqua" w:hAnsi="Book Antiqua"/>
          <w:sz w:val="22"/>
          <w:szCs w:val="22"/>
          <w:lang w:val="en-ZW"/>
        </w:rPr>
        <w:t>.</w:t>
      </w:r>
    </w:p>
  </w:footnote>
  <w:footnote w:id="58">
    <w:p w14:paraId="3E32E20F" w14:textId="7238CFE2" w:rsidR="00BF130B" w:rsidRPr="003A23FA" w:rsidRDefault="00BF130B" w:rsidP="003A23FA">
      <w:pPr>
        <w:pStyle w:val="FootnoteText"/>
        <w:spacing w:after="60"/>
        <w:ind w:left="288" w:hanging="288"/>
        <w:rPr>
          <w:rFonts w:ascii="Book Antiqua" w:hAnsi="Book Antiqua"/>
          <w:sz w:val="22"/>
          <w:szCs w:val="22"/>
          <w:lang w:val="en-ZW"/>
        </w:rPr>
      </w:pPr>
      <w:r w:rsidRPr="003A23FA">
        <w:rPr>
          <w:rStyle w:val="FootnoteReference"/>
          <w:rFonts w:ascii="Book Antiqua" w:hAnsi="Book Antiqua"/>
          <w:sz w:val="22"/>
          <w:szCs w:val="22"/>
        </w:rPr>
        <w:footnoteRef/>
      </w:r>
      <w:r w:rsidRPr="003A23FA">
        <w:rPr>
          <w:rFonts w:ascii="Book Antiqua" w:hAnsi="Book Antiqua"/>
          <w:sz w:val="22"/>
          <w:szCs w:val="22"/>
        </w:rPr>
        <w:t xml:space="preserve"> </w:t>
      </w:r>
      <w:r w:rsidR="003A23FA">
        <w:rPr>
          <w:rFonts w:ascii="Book Antiqua" w:hAnsi="Book Antiqua"/>
          <w:sz w:val="22"/>
          <w:szCs w:val="22"/>
        </w:rPr>
        <w:tab/>
      </w:r>
      <w:r w:rsidR="00C47B70" w:rsidRPr="003A23FA">
        <w:rPr>
          <w:rFonts w:ascii="Book Antiqua" w:hAnsi="Book Antiqua"/>
          <w:i/>
          <w:iCs/>
          <w:sz w:val="22"/>
          <w:szCs w:val="22"/>
          <w:lang w:val="en-ZW"/>
        </w:rPr>
        <w:t>Id</w:t>
      </w:r>
      <w:r w:rsidR="00C47B70" w:rsidRPr="003A23FA">
        <w:rPr>
          <w:rFonts w:ascii="Book Antiqua" w:hAnsi="Book Antiqua"/>
          <w:sz w:val="22"/>
          <w:szCs w:val="22"/>
          <w:lang w:val="en-ZW"/>
        </w:rPr>
        <w:t xml:space="preserve">. </w:t>
      </w:r>
      <w:r w:rsidRPr="003A23FA">
        <w:rPr>
          <w:rFonts w:ascii="Book Antiqua" w:hAnsi="Book Antiqua"/>
          <w:sz w:val="22"/>
          <w:szCs w:val="22"/>
          <w:lang w:val="en-ZW"/>
        </w:rPr>
        <w:t>at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52C3" w14:textId="62466386" w:rsidR="00377AC0" w:rsidRPr="0030350E" w:rsidRDefault="00377AC0" w:rsidP="00377AC0">
    <w:pPr>
      <w:pStyle w:val="Header"/>
      <w:tabs>
        <w:tab w:val="clear" w:pos="8640"/>
        <w:tab w:val="right" w:pos="9360"/>
      </w:tabs>
      <w:rPr>
        <w:rFonts w:ascii="Book Antiqua" w:hAnsi="Book Antiqua"/>
        <w:b/>
        <w:szCs w:val="24"/>
      </w:rPr>
    </w:pPr>
    <w:r w:rsidRPr="0030350E">
      <w:rPr>
        <w:rFonts w:ascii="Book Antiqua" w:hAnsi="Book Antiqua"/>
      </w:rPr>
      <w:t>Resolution ALJ-</w:t>
    </w:r>
    <w:proofErr w:type="gramStart"/>
    <w:r w:rsidRPr="0030350E">
      <w:rPr>
        <w:rFonts w:ascii="Book Antiqua" w:hAnsi="Book Antiqua"/>
      </w:rPr>
      <w:t>4</w:t>
    </w:r>
    <w:r>
      <w:rPr>
        <w:rFonts w:ascii="Book Antiqua" w:hAnsi="Book Antiqua"/>
      </w:rPr>
      <w:t>32</w:t>
    </w:r>
    <w:r w:rsidRPr="0030350E">
      <w:rPr>
        <w:rFonts w:ascii="Book Antiqua" w:hAnsi="Book Antiqua"/>
      </w:rPr>
      <w:t xml:space="preserve">  A</w:t>
    </w:r>
    <w:r>
      <w:rPr>
        <w:rFonts w:ascii="Book Antiqua" w:hAnsi="Book Antiqua"/>
      </w:rPr>
      <w:t>LJ</w:t>
    </w:r>
    <w:proofErr w:type="gramEnd"/>
    <w:r>
      <w:rPr>
        <w:rFonts w:ascii="Book Antiqua" w:hAnsi="Book Antiqua"/>
      </w:rPr>
      <w:t>/DBB</w:t>
    </w:r>
    <w:r w:rsidRPr="0030350E">
      <w:rPr>
        <w:rFonts w:ascii="Book Antiqua" w:hAnsi="Book Antiqua"/>
        <w:szCs w:val="24"/>
      </w:rPr>
      <w:t>/</w:t>
    </w:r>
    <w:proofErr w:type="spellStart"/>
    <w:r w:rsidRPr="0030350E">
      <w:rPr>
        <w:rFonts w:ascii="Book Antiqua" w:hAnsi="Book Antiqua"/>
        <w:szCs w:val="24"/>
      </w:rPr>
      <w:t>sgu</w:t>
    </w:r>
    <w:proofErr w:type="spellEnd"/>
    <w:r w:rsidRPr="0030350E">
      <w:rPr>
        <w:rFonts w:ascii="Book Antiqua" w:hAnsi="Book Antiqua"/>
        <w:szCs w:val="24"/>
      </w:rPr>
      <w:tab/>
    </w:r>
    <w:r w:rsidRPr="0030350E">
      <w:rPr>
        <w:rFonts w:ascii="Book Antiqua" w:hAnsi="Book Antiqua"/>
        <w:szCs w:val="24"/>
      </w:rPr>
      <w:tab/>
    </w:r>
    <w:r w:rsidRPr="0030350E">
      <w:rPr>
        <w:rFonts w:ascii="Book Antiqua" w:hAnsi="Book Antiqua"/>
        <w:b/>
        <w:szCs w:val="24"/>
      </w:rPr>
      <w:t>DRAFT</w:t>
    </w:r>
  </w:p>
  <w:p w14:paraId="612D0A8B" w14:textId="77777777" w:rsidR="00377AC0" w:rsidRDefault="00377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335" w14:textId="77777777" w:rsidR="006D0A8D" w:rsidRDefault="006D0A8D">
    <w:pPr>
      <w:pStyle w:val="Header"/>
      <w:rPr>
        <w:b/>
        <w:szCs w:val="24"/>
      </w:rPr>
    </w:pPr>
  </w:p>
  <w:p w14:paraId="54D8C69F" w14:textId="77777777" w:rsidR="006D0A8D" w:rsidRDefault="006D0A8D">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407C" w14:textId="16D84C78" w:rsidR="006E3D6E" w:rsidRPr="006D0A8D" w:rsidRDefault="006E3D6E" w:rsidP="006D0A8D">
    <w:pPr>
      <w:pStyle w:val="Header"/>
      <w:tabs>
        <w:tab w:val="clear" w:pos="8640"/>
        <w:tab w:val="right" w:pos="9360"/>
      </w:tabs>
      <w:rPr>
        <w:rFonts w:ascii="Book Antiqua" w:hAnsi="Book Antiqua"/>
        <w:b/>
        <w:szCs w:val="24"/>
      </w:rPr>
    </w:pPr>
    <w:r>
      <w:rPr>
        <w:rFonts w:ascii="Book Antiqua" w:hAnsi="Book Antiqua"/>
        <w:szCs w:val="24"/>
      </w:rPr>
      <w:t>ALJ/DBB/</w:t>
    </w:r>
    <w:proofErr w:type="spellStart"/>
    <w:r>
      <w:rPr>
        <w:rFonts w:ascii="Book Antiqua" w:hAnsi="Book Antiqua"/>
        <w:szCs w:val="24"/>
      </w:rPr>
      <w:t>sgu</w:t>
    </w:r>
    <w:proofErr w:type="spellEnd"/>
    <w:r w:rsidRPr="006D0A8D">
      <w:rPr>
        <w:rFonts w:ascii="Book Antiqua" w:hAnsi="Book Antiqua"/>
        <w:szCs w:val="24"/>
      </w:rPr>
      <w:tab/>
    </w:r>
    <w:r w:rsidRPr="006D0A8D">
      <w:rPr>
        <w:rFonts w:ascii="Book Antiqua" w:hAnsi="Book Antiqua"/>
        <w:b/>
        <w:szCs w:val="24"/>
      </w:rPr>
      <w:t>DRAFT</w:t>
    </w:r>
    <w:r w:rsidRPr="006D0A8D">
      <w:rPr>
        <w:rFonts w:ascii="Book Antiqua" w:hAnsi="Book Antiqua"/>
        <w:b/>
        <w:szCs w:val="24"/>
      </w:rPr>
      <w:tab/>
      <w:t>Agenda ID #</w:t>
    </w:r>
    <w:r w:rsidR="00F8485C">
      <w:rPr>
        <w:rFonts w:ascii="Book Antiqua" w:hAnsi="Book Antiqua"/>
        <w:b/>
        <w:szCs w:val="24"/>
      </w:rPr>
      <w:t>21314</w:t>
    </w:r>
  </w:p>
  <w:p w14:paraId="303FBCAD" w14:textId="77777777" w:rsidR="006E3D6E" w:rsidRDefault="006E3D6E">
    <w:pPr>
      <w:pStyle w:val="Header"/>
      <w:rPr>
        <w:b/>
        <w:szCs w:val="24"/>
      </w:rPr>
    </w:pPr>
  </w:p>
  <w:p w14:paraId="1835F458" w14:textId="77777777" w:rsidR="006E3D6E" w:rsidRDefault="006E3D6E">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B51" w14:textId="209CCB04" w:rsidR="0065289C" w:rsidRPr="00E064B2" w:rsidRDefault="0065289C" w:rsidP="0065289C">
    <w:pPr>
      <w:pStyle w:val="Header"/>
      <w:rPr>
        <w:rFonts w:ascii="Book Antiqua" w:hAnsi="Book Antiqua"/>
      </w:rPr>
    </w:pPr>
    <w:r>
      <w:rPr>
        <w:rFonts w:ascii="Book Antiqua" w:hAnsi="Book Antiqua"/>
      </w:rPr>
      <w:t>Resolution ALJ-</w:t>
    </w:r>
    <w:proofErr w:type="gramStart"/>
    <w:r>
      <w:rPr>
        <w:rFonts w:ascii="Book Antiqua" w:hAnsi="Book Antiqua"/>
      </w:rPr>
      <w:t>432  ALJ</w:t>
    </w:r>
    <w:proofErr w:type="gramEnd"/>
    <w:r>
      <w:rPr>
        <w:rFonts w:ascii="Book Antiqua" w:hAnsi="Book Antiqua"/>
      </w:rPr>
      <w:t>/DBB/</w:t>
    </w:r>
    <w:proofErr w:type="spellStart"/>
    <w:r>
      <w:rPr>
        <w:rFonts w:ascii="Book Antiqua" w:hAnsi="Book Antiqua"/>
      </w:rPr>
      <w:t>sgu</w:t>
    </w:r>
    <w:proofErr w:type="spellEnd"/>
  </w:p>
  <w:p w14:paraId="4D19D685" w14:textId="06DE7E37" w:rsidR="00F8485C" w:rsidRPr="00E7690F" w:rsidRDefault="00F8485C" w:rsidP="0065289C">
    <w:pPr>
      <w:tabs>
        <w:tab w:val="left" w:pos="1620"/>
      </w:tabs>
      <w:rPr>
        <w:sz w:val="22"/>
        <w:szCs w:val="22"/>
      </w:rPr>
    </w:pPr>
    <w:r w:rsidRPr="00E7690F">
      <w:rPr>
        <w:sz w:val="22"/>
        <w:szCs w:val="22"/>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7E5D" w14:textId="77777777" w:rsidR="00F8485C" w:rsidRDefault="00F8485C">
    <w:pPr>
      <w:pStyle w:val="Heade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62D6" w14:textId="77777777" w:rsidR="00F8485C" w:rsidRDefault="00F848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551" w14:textId="6608DD78" w:rsidR="00F8485C" w:rsidRPr="00E064B2" w:rsidRDefault="00F8485C">
    <w:pPr>
      <w:pStyle w:val="Header"/>
      <w:rPr>
        <w:rFonts w:ascii="Book Antiqua" w:hAnsi="Book Antiqua"/>
      </w:rPr>
    </w:pPr>
    <w:r>
      <w:rPr>
        <w:rFonts w:ascii="Book Antiqua" w:hAnsi="Book Antiqua"/>
      </w:rPr>
      <w:t>Resolution ALJ-</w:t>
    </w:r>
    <w:proofErr w:type="gramStart"/>
    <w:r>
      <w:rPr>
        <w:rFonts w:ascii="Book Antiqua" w:hAnsi="Book Antiqua"/>
      </w:rPr>
      <w:t>432</w:t>
    </w:r>
    <w:r>
      <w:rPr>
        <w:rFonts w:ascii="Book Antiqua" w:hAnsi="Book Antiqua"/>
      </w:rPr>
      <w:t xml:space="preserve">  ALJ</w:t>
    </w:r>
    <w:proofErr w:type="gramEnd"/>
    <w:r>
      <w:rPr>
        <w:rFonts w:ascii="Book Antiqua" w:hAnsi="Book Antiqua"/>
      </w:rPr>
      <w:t>/</w:t>
    </w:r>
    <w:r>
      <w:rPr>
        <w:rFonts w:ascii="Book Antiqua" w:hAnsi="Book Antiqua"/>
      </w:rPr>
      <w:t>DBB</w:t>
    </w:r>
    <w:r>
      <w:rPr>
        <w:rFonts w:ascii="Book Antiqua" w:hAnsi="Book Antiqua"/>
      </w:rPr>
      <w:t>/</w:t>
    </w:r>
    <w:proofErr w:type="spellStart"/>
    <w:r>
      <w:rPr>
        <w:rFonts w:ascii="Book Antiqua" w:hAnsi="Book Antiqua"/>
      </w:rPr>
      <w:t>sgu</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F470" w14:textId="77777777" w:rsidR="00F8485C" w:rsidRPr="00E064B2" w:rsidRDefault="00F8485C" w:rsidP="00F8485C">
    <w:pPr>
      <w:pStyle w:val="Header"/>
      <w:rPr>
        <w:rFonts w:ascii="Book Antiqua" w:hAnsi="Book Antiqua"/>
      </w:rPr>
    </w:pPr>
    <w:r>
      <w:rPr>
        <w:rFonts w:ascii="Book Antiqua" w:hAnsi="Book Antiqua"/>
      </w:rPr>
      <w:t>Resolution ALJ-</w:t>
    </w:r>
    <w:proofErr w:type="gramStart"/>
    <w:r>
      <w:rPr>
        <w:rFonts w:ascii="Book Antiqua" w:hAnsi="Book Antiqua"/>
      </w:rPr>
      <w:t>432  ALJ</w:t>
    </w:r>
    <w:proofErr w:type="gramEnd"/>
    <w:r>
      <w:rPr>
        <w:rFonts w:ascii="Book Antiqua" w:hAnsi="Book Antiqua"/>
      </w:rPr>
      <w:t>/DBB/</w:t>
    </w:r>
    <w:proofErr w:type="spellStart"/>
    <w:r>
      <w:rPr>
        <w:rFonts w:ascii="Book Antiqua" w:hAnsi="Book Antiqua"/>
      </w:rPr>
      <w:t>sgu</w:t>
    </w:r>
    <w:proofErr w:type="spellEnd"/>
  </w:p>
  <w:p w14:paraId="38C6C9A5" w14:textId="77777777" w:rsidR="0092114E" w:rsidRPr="0092114E" w:rsidRDefault="00000000" w:rsidP="0092114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E46"/>
    <w:multiLevelType w:val="hybridMultilevel"/>
    <w:tmpl w:val="BA1668B8"/>
    <w:lvl w:ilvl="0" w:tplc="1E40C8AC">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76ED"/>
    <w:multiLevelType w:val="hybridMultilevel"/>
    <w:tmpl w:val="047ED2F6"/>
    <w:lvl w:ilvl="0" w:tplc="8C7278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4C94"/>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 w15:restartNumberingAfterBreak="0">
    <w:nsid w:val="0A3F4356"/>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736E22"/>
    <w:multiLevelType w:val="hybridMultilevel"/>
    <w:tmpl w:val="6F56DA60"/>
    <w:lvl w:ilvl="0" w:tplc="3878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00D6"/>
    <w:multiLevelType w:val="hybridMultilevel"/>
    <w:tmpl w:val="776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4F08"/>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4933ED"/>
    <w:multiLevelType w:val="hybridMultilevel"/>
    <w:tmpl w:val="66D42D60"/>
    <w:lvl w:ilvl="0" w:tplc="095EBBF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2901A5"/>
    <w:multiLevelType w:val="hybridMultilevel"/>
    <w:tmpl w:val="81B2F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764F0"/>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3E079B"/>
    <w:multiLevelType w:val="hybridMultilevel"/>
    <w:tmpl w:val="CCB4AC30"/>
    <w:lvl w:ilvl="0" w:tplc="1B0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5EE38B3"/>
    <w:multiLevelType w:val="hybridMultilevel"/>
    <w:tmpl w:val="F06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60E71"/>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15" w15:restartNumberingAfterBreak="0">
    <w:nsid w:val="390E1599"/>
    <w:multiLevelType w:val="hybridMultilevel"/>
    <w:tmpl w:val="165AE8BA"/>
    <w:lvl w:ilvl="0" w:tplc="AFFC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47695"/>
    <w:multiLevelType w:val="hybridMultilevel"/>
    <w:tmpl w:val="4BE4F430"/>
    <w:lvl w:ilvl="0" w:tplc="30B01E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72301"/>
    <w:multiLevelType w:val="hybridMultilevel"/>
    <w:tmpl w:val="047ED2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9C0618"/>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0" w15:restartNumberingAfterBreak="0">
    <w:nsid w:val="3FA43480"/>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942946"/>
    <w:multiLevelType w:val="hybridMultilevel"/>
    <w:tmpl w:val="1BF85B44"/>
    <w:lvl w:ilvl="0" w:tplc="D262BAFC">
      <w:start w:val="1"/>
      <w:numFmt w:val="decimal"/>
      <w:lvlText w:val="%1."/>
      <w:lvlJc w:val="left"/>
      <w:pPr>
        <w:ind w:left="1824" w:hanging="372"/>
      </w:pPr>
      <w:rPr>
        <w:rFonts w:ascii="Book Antiqua" w:eastAsia="Times New Roman" w:hAnsi="Book Antiqua" w:cs="Times New Roman"/>
      </w:rPr>
    </w:lvl>
    <w:lvl w:ilvl="1" w:tplc="04090019">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22" w15:restartNumberingAfterBreak="0">
    <w:nsid w:val="445F4364"/>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097EB2"/>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4" w15:restartNumberingAfterBreak="0">
    <w:nsid w:val="4A415C16"/>
    <w:multiLevelType w:val="hybridMultilevel"/>
    <w:tmpl w:val="34B6B634"/>
    <w:lvl w:ilvl="0" w:tplc="C42439AE">
      <w:start w:val="11"/>
      <w:numFmt w:val="bullet"/>
      <w:lvlText w:val="-"/>
      <w:lvlJc w:val="left"/>
      <w:pPr>
        <w:ind w:left="720" w:hanging="360"/>
      </w:pPr>
      <w:rPr>
        <w:rFonts w:ascii="Book Antiqua" w:eastAsia="Calibri" w:hAnsi="Book Antiqua" w:cs="ArialUnicode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503CF"/>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F557B0"/>
    <w:multiLevelType w:val="hybridMultilevel"/>
    <w:tmpl w:val="7B76F1AA"/>
    <w:lvl w:ilvl="0" w:tplc="98F6AF82">
      <w:start w:val="1"/>
      <w:numFmt w:val="upperRoman"/>
      <w:pStyle w:val="BookAntiqua"/>
      <w:lvlText w:val="%1."/>
      <w:lvlJc w:val="left"/>
      <w:pPr>
        <w:ind w:left="1080" w:hanging="720"/>
      </w:pPr>
      <w:rPr>
        <w:rFonts w:hint="default"/>
      </w:rPr>
    </w:lvl>
    <w:lvl w:ilvl="1" w:tplc="7734A97A">
      <w:start w:val="1"/>
      <w:numFmt w:val="decimal"/>
      <w:lvlText w:val="%2."/>
      <w:lvlJc w:val="left"/>
      <w:rPr>
        <w:rFonts w:ascii="Book Antiqua" w:eastAsia="Calibri" w:hAnsi="Book Antiqua" w:cs="Arial"/>
      </w:rPr>
    </w:lvl>
    <w:lvl w:ilvl="2" w:tplc="2E34D38A">
      <w:start w:val="1"/>
      <w:numFmt w:val="lowerLetter"/>
      <w:lvlText w:val="%3."/>
      <w:lvlJc w:val="left"/>
      <w:rPr>
        <w:rFonts w:ascii="Book Antiqua" w:eastAsia="Calibri" w:hAnsi="Book Antiqua" w:cs="Arial"/>
      </w:rPr>
    </w:lvl>
    <w:lvl w:ilvl="3" w:tplc="4DBCB580">
      <w:start w:val="4"/>
      <w:numFmt w:val="upperLetter"/>
      <w:lvlText w:val="%4."/>
      <w:lvlJc w:val="left"/>
      <w:pPr>
        <w:ind w:left="2880" w:hanging="360"/>
      </w:pPr>
      <w:rPr>
        <w:rFonts w:eastAsia="Times New Roman" w:cs="Times New Roman" w:hint="default"/>
        <w:b w:val="0"/>
      </w:rPr>
    </w:lvl>
    <w:lvl w:ilvl="4" w:tplc="23B2DB5C">
      <w:start w:val="1"/>
      <w:numFmt w:val="decimal"/>
      <w:lvlText w:val="(%5)"/>
      <w:lvlJc w:val="left"/>
      <w:pPr>
        <w:ind w:left="3600" w:hanging="360"/>
      </w:pPr>
      <w:rPr>
        <w:rFonts w:hint="default"/>
        <w:b w:val="0"/>
        <w:bCs w:val="0"/>
      </w:rPr>
    </w:lvl>
    <w:lvl w:ilvl="5" w:tplc="0409001B">
      <w:start w:val="1"/>
      <w:numFmt w:val="lowerRoman"/>
      <w:lvlText w:val="%6."/>
      <w:lvlJc w:val="right"/>
      <w:pPr>
        <w:ind w:left="4320" w:hanging="180"/>
      </w:pPr>
    </w:lvl>
    <w:lvl w:ilvl="6" w:tplc="7FD0D15E">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87DCF"/>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8" w15:restartNumberingAfterBreak="0">
    <w:nsid w:val="59961210"/>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29" w15:restartNumberingAfterBreak="0">
    <w:nsid w:val="5A9E2171"/>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56426C"/>
    <w:multiLevelType w:val="hybridMultilevel"/>
    <w:tmpl w:val="CCB4AC30"/>
    <w:lvl w:ilvl="0" w:tplc="1B0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E7B4B"/>
    <w:multiLevelType w:val="multilevel"/>
    <w:tmpl w:val="31A057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1"/>
      <w:numFmt w:val="lowerRoman"/>
      <w:isLgl/>
      <w:lvlText w:val="%1.%2.%3."/>
      <w:lvlJc w:val="left"/>
      <w:pPr>
        <w:ind w:left="1440" w:hanging="1080"/>
      </w:pPr>
      <w:rPr>
        <w:rFonts w:hint="default"/>
        <w:b/>
        <w:u w:val="single"/>
      </w:rPr>
    </w:lvl>
    <w:lvl w:ilvl="3">
      <w:start w:val="1"/>
      <w:numFmt w:val="lowerRoman"/>
      <w:isLgl/>
      <w:lvlText w:val="%1.%2.%3.%4."/>
      <w:lvlJc w:val="left"/>
      <w:pPr>
        <w:ind w:left="1800" w:hanging="144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33" w15:restartNumberingAfterBreak="0">
    <w:nsid w:val="7ABC455D"/>
    <w:multiLevelType w:val="multilevel"/>
    <w:tmpl w:val="800CC7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abstractNum w:abstractNumId="34" w15:restartNumberingAfterBreak="0">
    <w:nsid w:val="7CA925D5"/>
    <w:multiLevelType w:val="multilevel"/>
    <w:tmpl w:val="4DEA894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Book Antiqua" w:eastAsia="Calibri" w:hAnsi="Book Antiqua"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C76289"/>
    <w:multiLevelType w:val="multilevel"/>
    <w:tmpl w:val="59FEF2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400" w:hanging="2160"/>
      </w:pPr>
      <w:rPr>
        <w:rFonts w:hint="default"/>
        <w:b/>
        <w:u w:val="single"/>
      </w:rPr>
    </w:lvl>
  </w:abstractNum>
  <w:num w:numId="1" w16cid:durableId="892622765">
    <w:abstractNumId w:val="16"/>
  </w:num>
  <w:num w:numId="2" w16cid:durableId="1506046177">
    <w:abstractNumId w:val="31"/>
  </w:num>
  <w:num w:numId="3" w16cid:durableId="1105231714">
    <w:abstractNumId w:val="13"/>
  </w:num>
  <w:num w:numId="4" w16cid:durableId="970549375">
    <w:abstractNumId w:val="29"/>
  </w:num>
  <w:num w:numId="5" w16cid:durableId="674917587">
    <w:abstractNumId w:val="30"/>
  </w:num>
  <w:num w:numId="6" w16cid:durableId="936406890">
    <w:abstractNumId w:val="33"/>
  </w:num>
  <w:num w:numId="7" w16cid:durableId="2112434910">
    <w:abstractNumId w:val="9"/>
  </w:num>
  <w:num w:numId="8" w16cid:durableId="719790901">
    <w:abstractNumId w:val="28"/>
  </w:num>
  <w:num w:numId="9" w16cid:durableId="1349478156">
    <w:abstractNumId w:val="22"/>
  </w:num>
  <w:num w:numId="10" w16cid:durableId="288973540">
    <w:abstractNumId w:val="35"/>
  </w:num>
  <w:num w:numId="11" w16cid:durableId="28917467">
    <w:abstractNumId w:val="11"/>
  </w:num>
  <w:num w:numId="12" w16cid:durableId="243610668">
    <w:abstractNumId w:val="0"/>
  </w:num>
  <w:num w:numId="13" w16cid:durableId="1049378749">
    <w:abstractNumId w:val="7"/>
  </w:num>
  <w:num w:numId="14" w16cid:durableId="1954632729">
    <w:abstractNumId w:val="14"/>
  </w:num>
  <w:num w:numId="15" w16cid:durableId="432551462">
    <w:abstractNumId w:val="6"/>
  </w:num>
  <w:num w:numId="16" w16cid:durableId="166288281">
    <w:abstractNumId w:val="10"/>
  </w:num>
  <w:num w:numId="17" w16cid:durableId="1483739901">
    <w:abstractNumId w:val="8"/>
  </w:num>
  <w:num w:numId="18" w16cid:durableId="968363152">
    <w:abstractNumId w:val="20"/>
  </w:num>
  <w:num w:numId="19" w16cid:durableId="829911130">
    <w:abstractNumId w:val="25"/>
  </w:num>
  <w:num w:numId="20" w16cid:durableId="154610839">
    <w:abstractNumId w:val="1"/>
  </w:num>
  <w:num w:numId="21" w16cid:durableId="1437678447">
    <w:abstractNumId w:val="21"/>
  </w:num>
  <w:num w:numId="22" w16cid:durableId="1359307885">
    <w:abstractNumId w:val="23"/>
  </w:num>
  <w:num w:numId="23" w16cid:durableId="1885869629">
    <w:abstractNumId w:val="5"/>
  </w:num>
  <w:num w:numId="24" w16cid:durableId="1500265838">
    <w:abstractNumId w:val="18"/>
  </w:num>
  <w:num w:numId="25" w16cid:durableId="1632782223">
    <w:abstractNumId w:val="26"/>
  </w:num>
  <w:num w:numId="26" w16cid:durableId="1958676187">
    <w:abstractNumId w:val="15"/>
  </w:num>
  <w:num w:numId="27" w16cid:durableId="1106461367">
    <w:abstractNumId w:val="19"/>
  </w:num>
  <w:num w:numId="28" w16cid:durableId="448400964">
    <w:abstractNumId w:val="4"/>
  </w:num>
  <w:num w:numId="29" w16cid:durableId="1755399170">
    <w:abstractNumId w:val="32"/>
  </w:num>
  <w:num w:numId="30" w16cid:durableId="1405880705">
    <w:abstractNumId w:val="34"/>
  </w:num>
  <w:num w:numId="31" w16cid:durableId="1508061984">
    <w:abstractNumId w:val="3"/>
  </w:num>
  <w:num w:numId="32" w16cid:durableId="1460756256">
    <w:abstractNumId w:val="17"/>
  </w:num>
  <w:num w:numId="33" w16cid:durableId="1879972859">
    <w:abstractNumId w:val="12"/>
  </w:num>
  <w:num w:numId="34" w16cid:durableId="1440224092">
    <w:abstractNumId w:val="24"/>
  </w:num>
  <w:num w:numId="35" w16cid:durableId="219631936">
    <w:abstractNumId w:val="2"/>
  </w:num>
  <w:num w:numId="36" w16cid:durableId="11199578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013EB"/>
    <w:rsid w:val="0000224B"/>
    <w:rsid w:val="0000229A"/>
    <w:rsid w:val="00005BB8"/>
    <w:rsid w:val="00006617"/>
    <w:rsid w:val="00006634"/>
    <w:rsid w:val="00006795"/>
    <w:rsid w:val="000079B4"/>
    <w:rsid w:val="000110F5"/>
    <w:rsid w:val="000118BF"/>
    <w:rsid w:val="00011A18"/>
    <w:rsid w:val="0001292C"/>
    <w:rsid w:val="00013B86"/>
    <w:rsid w:val="00013EC8"/>
    <w:rsid w:val="00014D39"/>
    <w:rsid w:val="0001632A"/>
    <w:rsid w:val="00020B9E"/>
    <w:rsid w:val="00022FD2"/>
    <w:rsid w:val="0002310A"/>
    <w:rsid w:val="00031C11"/>
    <w:rsid w:val="00031D6D"/>
    <w:rsid w:val="00031F72"/>
    <w:rsid w:val="0003439C"/>
    <w:rsid w:val="000343C3"/>
    <w:rsid w:val="00035EA0"/>
    <w:rsid w:val="0003636B"/>
    <w:rsid w:val="00042424"/>
    <w:rsid w:val="00042739"/>
    <w:rsid w:val="0004319F"/>
    <w:rsid w:val="0004377C"/>
    <w:rsid w:val="00043E02"/>
    <w:rsid w:val="0004415D"/>
    <w:rsid w:val="00044715"/>
    <w:rsid w:val="00045880"/>
    <w:rsid w:val="00045F86"/>
    <w:rsid w:val="000515A0"/>
    <w:rsid w:val="00053985"/>
    <w:rsid w:val="000541E7"/>
    <w:rsid w:val="00054726"/>
    <w:rsid w:val="00055FA2"/>
    <w:rsid w:val="00057B97"/>
    <w:rsid w:val="0006065E"/>
    <w:rsid w:val="00060F15"/>
    <w:rsid w:val="00061991"/>
    <w:rsid w:val="000619E1"/>
    <w:rsid w:val="00064A84"/>
    <w:rsid w:val="00065025"/>
    <w:rsid w:val="00065E08"/>
    <w:rsid w:val="000664FA"/>
    <w:rsid w:val="00066BAB"/>
    <w:rsid w:val="000672F3"/>
    <w:rsid w:val="00067C7C"/>
    <w:rsid w:val="00071539"/>
    <w:rsid w:val="0007375C"/>
    <w:rsid w:val="00075C4D"/>
    <w:rsid w:val="0007762F"/>
    <w:rsid w:val="000776C2"/>
    <w:rsid w:val="00077B33"/>
    <w:rsid w:val="0008022C"/>
    <w:rsid w:val="00080DF0"/>
    <w:rsid w:val="000814D1"/>
    <w:rsid w:val="000818BE"/>
    <w:rsid w:val="00084DB5"/>
    <w:rsid w:val="00093F23"/>
    <w:rsid w:val="00094815"/>
    <w:rsid w:val="00095910"/>
    <w:rsid w:val="0009607C"/>
    <w:rsid w:val="00096449"/>
    <w:rsid w:val="0009714D"/>
    <w:rsid w:val="000979DE"/>
    <w:rsid w:val="000A06D1"/>
    <w:rsid w:val="000A11E1"/>
    <w:rsid w:val="000A1B29"/>
    <w:rsid w:val="000A1D05"/>
    <w:rsid w:val="000A6B36"/>
    <w:rsid w:val="000B00B5"/>
    <w:rsid w:val="000B0183"/>
    <w:rsid w:val="000B175C"/>
    <w:rsid w:val="000B1BD2"/>
    <w:rsid w:val="000B34DD"/>
    <w:rsid w:val="000B3DFE"/>
    <w:rsid w:val="000B4ED8"/>
    <w:rsid w:val="000B5055"/>
    <w:rsid w:val="000B5192"/>
    <w:rsid w:val="000B6067"/>
    <w:rsid w:val="000B7BB8"/>
    <w:rsid w:val="000C24E5"/>
    <w:rsid w:val="000C25F7"/>
    <w:rsid w:val="000C298F"/>
    <w:rsid w:val="000C2A3C"/>
    <w:rsid w:val="000C496C"/>
    <w:rsid w:val="000C4E04"/>
    <w:rsid w:val="000C4EF7"/>
    <w:rsid w:val="000C587F"/>
    <w:rsid w:val="000C72AD"/>
    <w:rsid w:val="000D0922"/>
    <w:rsid w:val="000D0F49"/>
    <w:rsid w:val="000D11B2"/>
    <w:rsid w:val="000D2D17"/>
    <w:rsid w:val="000D3571"/>
    <w:rsid w:val="000D3967"/>
    <w:rsid w:val="000D626B"/>
    <w:rsid w:val="000D62EA"/>
    <w:rsid w:val="000E1FC6"/>
    <w:rsid w:val="000E2984"/>
    <w:rsid w:val="000E3099"/>
    <w:rsid w:val="000E3712"/>
    <w:rsid w:val="000E39FC"/>
    <w:rsid w:val="000E494E"/>
    <w:rsid w:val="000E4E77"/>
    <w:rsid w:val="000E5493"/>
    <w:rsid w:val="000E55DE"/>
    <w:rsid w:val="000E5BB5"/>
    <w:rsid w:val="000E7314"/>
    <w:rsid w:val="000F0370"/>
    <w:rsid w:val="000F1043"/>
    <w:rsid w:val="000F2269"/>
    <w:rsid w:val="000F3E37"/>
    <w:rsid w:val="000F5373"/>
    <w:rsid w:val="000F5B62"/>
    <w:rsid w:val="000F5D06"/>
    <w:rsid w:val="000F5E0D"/>
    <w:rsid w:val="000F6566"/>
    <w:rsid w:val="0010137F"/>
    <w:rsid w:val="00102A84"/>
    <w:rsid w:val="00103169"/>
    <w:rsid w:val="001037C3"/>
    <w:rsid w:val="00103D73"/>
    <w:rsid w:val="0010464A"/>
    <w:rsid w:val="00104E81"/>
    <w:rsid w:val="00104E8A"/>
    <w:rsid w:val="0010533C"/>
    <w:rsid w:val="001054AD"/>
    <w:rsid w:val="00105D2A"/>
    <w:rsid w:val="00105FFB"/>
    <w:rsid w:val="001072A2"/>
    <w:rsid w:val="00110F78"/>
    <w:rsid w:val="001111FC"/>
    <w:rsid w:val="001118F0"/>
    <w:rsid w:val="0011232F"/>
    <w:rsid w:val="00113514"/>
    <w:rsid w:val="00114C6F"/>
    <w:rsid w:val="00116082"/>
    <w:rsid w:val="00116729"/>
    <w:rsid w:val="00116755"/>
    <w:rsid w:val="00120051"/>
    <w:rsid w:val="00120185"/>
    <w:rsid w:val="001237C4"/>
    <w:rsid w:val="00124320"/>
    <w:rsid w:val="001254D3"/>
    <w:rsid w:val="00125C1F"/>
    <w:rsid w:val="00126A27"/>
    <w:rsid w:val="00126CB3"/>
    <w:rsid w:val="00127310"/>
    <w:rsid w:val="00132295"/>
    <w:rsid w:val="00133518"/>
    <w:rsid w:val="00135469"/>
    <w:rsid w:val="00135548"/>
    <w:rsid w:val="0013703D"/>
    <w:rsid w:val="00137510"/>
    <w:rsid w:val="00137609"/>
    <w:rsid w:val="00137783"/>
    <w:rsid w:val="00141EEA"/>
    <w:rsid w:val="00143815"/>
    <w:rsid w:val="00144003"/>
    <w:rsid w:val="00144524"/>
    <w:rsid w:val="00147E8B"/>
    <w:rsid w:val="00150A0F"/>
    <w:rsid w:val="00151BA3"/>
    <w:rsid w:val="00151CC7"/>
    <w:rsid w:val="0015264B"/>
    <w:rsid w:val="001531F1"/>
    <w:rsid w:val="001541BD"/>
    <w:rsid w:val="00154586"/>
    <w:rsid w:val="00154667"/>
    <w:rsid w:val="001551DF"/>
    <w:rsid w:val="00155291"/>
    <w:rsid w:val="00156F94"/>
    <w:rsid w:val="0015792B"/>
    <w:rsid w:val="00157B02"/>
    <w:rsid w:val="00157CC9"/>
    <w:rsid w:val="001602F9"/>
    <w:rsid w:val="0016034F"/>
    <w:rsid w:val="001625EF"/>
    <w:rsid w:val="00164CE0"/>
    <w:rsid w:val="0016674E"/>
    <w:rsid w:val="001704E4"/>
    <w:rsid w:val="00171F22"/>
    <w:rsid w:val="00172C3E"/>
    <w:rsid w:val="001736D2"/>
    <w:rsid w:val="0017397C"/>
    <w:rsid w:val="00173F64"/>
    <w:rsid w:val="00174EFD"/>
    <w:rsid w:val="00175672"/>
    <w:rsid w:val="00175B99"/>
    <w:rsid w:val="00176F8F"/>
    <w:rsid w:val="00177776"/>
    <w:rsid w:val="00177B60"/>
    <w:rsid w:val="00180395"/>
    <w:rsid w:val="00181650"/>
    <w:rsid w:val="0018198C"/>
    <w:rsid w:val="00181F1D"/>
    <w:rsid w:val="0018393A"/>
    <w:rsid w:val="00183A03"/>
    <w:rsid w:val="00184342"/>
    <w:rsid w:val="0018501B"/>
    <w:rsid w:val="00186E2E"/>
    <w:rsid w:val="00187D9E"/>
    <w:rsid w:val="00192ADB"/>
    <w:rsid w:val="00193261"/>
    <w:rsid w:val="00193736"/>
    <w:rsid w:val="00193D22"/>
    <w:rsid w:val="00193D6B"/>
    <w:rsid w:val="00196716"/>
    <w:rsid w:val="001A069F"/>
    <w:rsid w:val="001A1336"/>
    <w:rsid w:val="001A14F9"/>
    <w:rsid w:val="001A1878"/>
    <w:rsid w:val="001A2FD7"/>
    <w:rsid w:val="001A4A5A"/>
    <w:rsid w:val="001A4D0C"/>
    <w:rsid w:val="001A6011"/>
    <w:rsid w:val="001A60DD"/>
    <w:rsid w:val="001A7090"/>
    <w:rsid w:val="001B1585"/>
    <w:rsid w:val="001B1B32"/>
    <w:rsid w:val="001B2003"/>
    <w:rsid w:val="001B243E"/>
    <w:rsid w:val="001B2585"/>
    <w:rsid w:val="001B2729"/>
    <w:rsid w:val="001B36E6"/>
    <w:rsid w:val="001B53A4"/>
    <w:rsid w:val="001B6C5A"/>
    <w:rsid w:val="001C03F9"/>
    <w:rsid w:val="001C239A"/>
    <w:rsid w:val="001C6093"/>
    <w:rsid w:val="001D182C"/>
    <w:rsid w:val="001D34B8"/>
    <w:rsid w:val="001D43ED"/>
    <w:rsid w:val="001D51FE"/>
    <w:rsid w:val="001D56AC"/>
    <w:rsid w:val="001D682D"/>
    <w:rsid w:val="001D77B8"/>
    <w:rsid w:val="001D7B0E"/>
    <w:rsid w:val="001E0D91"/>
    <w:rsid w:val="001E10E9"/>
    <w:rsid w:val="001E52B4"/>
    <w:rsid w:val="001E6B3F"/>
    <w:rsid w:val="001E6ECD"/>
    <w:rsid w:val="001E73CE"/>
    <w:rsid w:val="001F0C0E"/>
    <w:rsid w:val="001F2745"/>
    <w:rsid w:val="001F2BD9"/>
    <w:rsid w:val="001F324E"/>
    <w:rsid w:val="001F4DAB"/>
    <w:rsid w:val="001F6D35"/>
    <w:rsid w:val="002008D3"/>
    <w:rsid w:val="00200E46"/>
    <w:rsid w:val="00202F1C"/>
    <w:rsid w:val="00203479"/>
    <w:rsid w:val="00204157"/>
    <w:rsid w:val="0020460D"/>
    <w:rsid w:val="0020483B"/>
    <w:rsid w:val="00204840"/>
    <w:rsid w:val="00205758"/>
    <w:rsid w:val="002059E1"/>
    <w:rsid w:val="00207218"/>
    <w:rsid w:val="0020787C"/>
    <w:rsid w:val="0021070B"/>
    <w:rsid w:val="00211261"/>
    <w:rsid w:val="00212CF6"/>
    <w:rsid w:val="00212E65"/>
    <w:rsid w:val="002135D1"/>
    <w:rsid w:val="002159DF"/>
    <w:rsid w:val="00215D6A"/>
    <w:rsid w:val="002160F4"/>
    <w:rsid w:val="0021714C"/>
    <w:rsid w:val="00221C7D"/>
    <w:rsid w:val="00221FA9"/>
    <w:rsid w:val="0022206F"/>
    <w:rsid w:val="002222ED"/>
    <w:rsid w:val="00222708"/>
    <w:rsid w:val="00224CF0"/>
    <w:rsid w:val="002257E7"/>
    <w:rsid w:val="00226EAA"/>
    <w:rsid w:val="002301C0"/>
    <w:rsid w:val="002302CB"/>
    <w:rsid w:val="00230EA4"/>
    <w:rsid w:val="00233FB5"/>
    <w:rsid w:val="002343E7"/>
    <w:rsid w:val="00234536"/>
    <w:rsid w:val="002376C7"/>
    <w:rsid w:val="00240E52"/>
    <w:rsid w:val="00242DC0"/>
    <w:rsid w:val="0024425F"/>
    <w:rsid w:val="00245CEB"/>
    <w:rsid w:val="002463AC"/>
    <w:rsid w:val="00247115"/>
    <w:rsid w:val="0025392D"/>
    <w:rsid w:val="00254028"/>
    <w:rsid w:val="00255A6B"/>
    <w:rsid w:val="00255E4B"/>
    <w:rsid w:val="00255F9C"/>
    <w:rsid w:val="0026080F"/>
    <w:rsid w:val="00260EC3"/>
    <w:rsid w:val="002635D2"/>
    <w:rsid w:val="00263F9E"/>
    <w:rsid w:val="00264376"/>
    <w:rsid w:val="00264972"/>
    <w:rsid w:val="002649F1"/>
    <w:rsid w:val="002679D2"/>
    <w:rsid w:val="00267D17"/>
    <w:rsid w:val="0027005D"/>
    <w:rsid w:val="002701DA"/>
    <w:rsid w:val="00270AB4"/>
    <w:rsid w:val="00271514"/>
    <w:rsid w:val="00272FC4"/>
    <w:rsid w:val="00273566"/>
    <w:rsid w:val="0027383B"/>
    <w:rsid w:val="002740F9"/>
    <w:rsid w:val="00275BB2"/>
    <w:rsid w:val="002765B3"/>
    <w:rsid w:val="00280448"/>
    <w:rsid w:val="00280D9D"/>
    <w:rsid w:val="00281227"/>
    <w:rsid w:val="00281247"/>
    <w:rsid w:val="00282034"/>
    <w:rsid w:val="00283AFB"/>
    <w:rsid w:val="00283BEA"/>
    <w:rsid w:val="00283D61"/>
    <w:rsid w:val="00284536"/>
    <w:rsid w:val="002847C8"/>
    <w:rsid w:val="00284AEA"/>
    <w:rsid w:val="00284CBA"/>
    <w:rsid w:val="002850B3"/>
    <w:rsid w:val="00286318"/>
    <w:rsid w:val="00286F93"/>
    <w:rsid w:val="00290F56"/>
    <w:rsid w:val="002912D9"/>
    <w:rsid w:val="0029170B"/>
    <w:rsid w:val="00291EAE"/>
    <w:rsid w:val="002936FF"/>
    <w:rsid w:val="00294B35"/>
    <w:rsid w:val="00295283"/>
    <w:rsid w:val="00295956"/>
    <w:rsid w:val="002A11D9"/>
    <w:rsid w:val="002A1D58"/>
    <w:rsid w:val="002A2FDE"/>
    <w:rsid w:val="002A4729"/>
    <w:rsid w:val="002A52E8"/>
    <w:rsid w:val="002A54B4"/>
    <w:rsid w:val="002A5BD0"/>
    <w:rsid w:val="002A6B10"/>
    <w:rsid w:val="002A6C5D"/>
    <w:rsid w:val="002A7577"/>
    <w:rsid w:val="002B005E"/>
    <w:rsid w:val="002B011A"/>
    <w:rsid w:val="002B197A"/>
    <w:rsid w:val="002B264D"/>
    <w:rsid w:val="002B2871"/>
    <w:rsid w:val="002B29B9"/>
    <w:rsid w:val="002B3353"/>
    <w:rsid w:val="002B3CAB"/>
    <w:rsid w:val="002B4EF6"/>
    <w:rsid w:val="002B4FE8"/>
    <w:rsid w:val="002B616F"/>
    <w:rsid w:val="002B6E40"/>
    <w:rsid w:val="002B741A"/>
    <w:rsid w:val="002B7D32"/>
    <w:rsid w:val="002C06F1"/>
    <w:rsid w:val="002C0E3E"/>
    <w:rsid w:val="002C14DB"/>
    <w:rsid w:val="002C2118"/>
    <w:rsid w:val="002C2224"/>
    <w:rsid w:val="002C2230"/>
    <w:rsid w:val="002C2E05"/>
    <w:rsid w:val="002C4226"/>
    <w:rsid w:val="002C4514"/>
    <w:rsid w:val="002C6934"/>
    <w:rsid w:val="002C7733"/>
    <w:rsid w:val="002D018B"/>
    <w:rsid w:val="002D23F6"/>
    <w:rsid w:val="002D4ED4"/>
    <w:rsid w:val="002D4EFF"/>
    <w:rsid w:val="002D549F"/>
    <w:rsid w:val="002D60EB"/>
    <w:rsid w:val="002D7DBC"/>
    <w:rsid w:val="002E07F4"/>
    <w:rsid w:val="002E0D4C"/>
    <w:rsid w:val="002E26E0"/>
    <w:rsid w:val="002E42AB"/>
    <w:rsid w:val="002E4486"/>
    <w:rsid w:val="002E5FB3"/>
    <w:rsid w:val="002E642A"/>
    <w:rsid w:val="002E6EF0"/>
    <w:rsid w:val="002F04E0"/>
    <w:rsid w:val="002F0AF3"/>
    <w:rsid w:val="002F3554"/>
    <w:rsid w:val="002F3678"/>
    <w:rsid w:val="002F3F9D"/>
    <w:rsid w:val="002F4A34"/>
    <w:rsid w:val="002F62FD"/>
    <w:rsid w:val="002F7354"/>
    <w:rsid w:val="002F7E22"/>
    <w:rsid w:val="00300E29"/>
    <w:rsid w:val="00301064"/>
    <w:rsid w:val="00302B5E"/>
    <w:rsid w:val="00304258"/>
    <w:rsid w:val="00304B38"/>
    <w:rsid w:val="00304FF8"/>
    <w:rsid w:val="0030514D"/>
    <w:rsid w:val="003058B8"/>
    <w:rsid w:val="003058EA"/>
    <w:rsid w:val="003065F4"/>
    <w:rsid w:val="00307AF9"/>
    <w:rsid w:val="00307EFB"/>
    <w:rsid w:val="00310487"/>
    <w:rsid w:val="00311FBE"/>
    <w:rsid w:val="00312316"/>
    <w:rsid w:val="003131D0"/>
    <w:rsid w:val="003143F3"/>
    <w:rsid w:val="00314BF3"/>
    <w:rsid w:val="00315DED"/>
    <w:rsid w:val="00316C2D"/>
    <w:rsid w:val="003177B9"/>
    <w:rsid w:val="0032007D"/>
    <w:rsid w:val="00321F18"/>
    <w:rsid w:val="003225C1"/>
    <w:rsid w:val="003230CF"/>
    <w:rsid w:val="00325806"/>
    <w:rsid w:val="0032632D"/>
    <w:rsid w:val="0032662F"/>
    <w:rsid w:val="003272DA"/>
    <w:rsid w:val="00330352"/>
    <w:rsid w:val="0033237B"/>
    <w:rsid w:val="0033343D"/>
    <w:rsid w:val="003338A9"/>
    <w:rsid w:val="00333DF1"/>
    <w:rsid w:val="00334F29"/>
    <w:rsid w:val="003358CB"/>
    <w:rsid w:val="0033593F"/>
    <w:rsid w:val="00336C3E"/>
    <w:rsid w:val="00337BF1"/>
    <w:rsid w:val="003464DF"/>
    <w:rsid w:val="003467C8"/>
    <w:rsid w:val="00346ED3"/>
    <w:rsid w:val="00346F12"/>
    <w:rsid w:val="00347504"/>
    <w:rsid w:val="003477D2"/>
    <w:rsid w:val="00350854"/>
    <w:rsid w:val="00350944"/>
    <w:rsid w:val="00350F0D"/>
    <w:rsid w:val="00352421"/>
    <w:rsid w:val="00355854"/>
    <w:rsid w:val="00356548"/>
    <w:rsid w:val="00356864"/>
    <w:rsid w:val="00357FB3"/>
    <w:rsid w:val="00360D1B"/>
    <w:rsid w:val="00361255"/>
    <w:rsid w:val="003633EB"/>
    <w:rsid w:val="00364B6B"/>
    <w:rsid w:val="00366280"/>
    <w:rsid w:val="003667FA"/>
    <w:rsid w:val="0036739E"/>
    <w:rsid w:val="00367784"/>
    <w:rsid w:val="0037023A"/>
    <w:rsid w:val="0037041F"/>
    <w:rsid w:val="003708B4"/>
    <w:rsid w:val="00370A5E"/>
    <w:rsid w:val="003735BA"/>
    <w:rsid w:val="00373B07"/>
    <w:rsid w:val="003748AB"/>
    <w:rsid w:val="003751B8"/>
    <w:rsid w:val="003751F0"/>
    <w:rsid w:val="00377AC0"/>
    <w:rsid w:val="00380070"/>
    <w:rsid w:val="00380495"/>
    <w:rsid w:val="00381298"/>
    <w:rsid w:val="00384410"/>
    <w:rsid w:val="00384A51"/>
    <w:rsid w:val="003858A0"/>
    <w:rsid w:val="00387E7B"/>
    <w:rsid w:val="0039030E"/>
    <w:rsid w:val="00391DD0"/>
    <w:rsid w:val="00392747"/>
    <w:rsid w:val="003936BE"/>
    <w:rsid w:val="00394333"/>
    <w:rsid w:val="00394836"/>
    <w:rsid w:val="00397616"/>
    <w:rsid w:val="00397640"/>
    <w:rsid w:val="00397BE0"/>
    <w:rsid w:val="00397C67"/>
    <w:rsid w:val="003A008F"/>
    <w:rsid w:val="003A23FA"/>
    <w:rsid w:val="003A306F"/>
    <w:rsid w:val="003A5381"/>
    <w:rsid w:val="003A53AE"/>
    <w:rsid w:val="003A5413"/>
    <w:rsid w:val="003A7D7F"/>
    <w:rsid w:val="003B11EA"/>
    <w:rsid w:val="003B2A90"/>
    <w:rsid w:val="003B56D3"/>
    <w:rsid w:val="003B5B7F"/>
    <w:rsid w:val="003B6AD4"/>
    <w:rsid w:val="003B6BCE"/>
    <w:rsid w:val="003B6CD2"/>
    <w:rsid w:val="003B7205"/>
    <w:rsid w:val="003C012A"/>
    <w:rsid w:val="003C0D81"/>
    <w:rsid w:val="003C13EB"/>
    <w:rsid w:val="003C316A"/>
    <w:rsid w:val="003C3B11"/>
    <w:rsid w:val="003C60F7"/>
    <w:rsid w:val="003D0DA4"/>
    <w:rsid w:val="003D1B20"/>
    <w:rsid w:val="003D58A5"/>
    <w:rsid w:val="003D6C66"/>
    <w:rsid w:val="003D6FFD"/>
    <w:rsid w:val="003D793B"/>
    <w:rsid w:val="003D7F66"/>
    <w:rsid w:val="003E0250"/>
    <w:rsid w:val="003E0AFF"/>
    <w:rsid w:val="003E1630"/>
    <w:rsid w:val="003E1D78"/>
    <w:rsid w:val="003E29B0"/>
    <w:rsid w:val="003E33BE"/>
    <w:rsid w:val="003E5791"/>
    <w:rsid w:val="003E7BF6"/>
    <w:rsid w:val="003F0261"/>
    <w:rsid w:val="003F0F38"/>
    <w:rsid w:val="003F1BF6"/>
    <w:rsid w:val="003F2AEE"/>
    <w:rsid w:val="003F2BF7"/>
    <w:rsid w:val="003F43B2"/>
    <w:rsid w:val="003F52A5"/>
    <w:rsid w:val="003F5F9E"/>
    <w:rsid w:val="003F7231"/>
    <w:rsid w:val="003F78A8"/>
    <w:rsid w:val="00400040"/>
    <w:rsid w:val="00403F9A"/>
    <w:rsid w:val="00406FAC"/>
    <w:rsid w:val="004079D8"/>
    <w:rsid w:val="00410C88"/>
    <w:rsid w:val="004134CC"/>
    <w:rsid w:val="00413531"/>
    <w:rsid w:val="00416EAD"/>
    <w:rsid w:val="00417401"/>
    <w:rsid w:val="004177D4"/>
    <w:rsid w:val="00422A08"/>
    <w:rsid w:val="00423BE9"/>
    <w:rsid w:val="00424539"/>
    <w:rsid w:val="004249E1"/>
    <w:rsid w:val="00424E79"/>
    <w:rsid w:val="004257CD"/>
    <w:rsid w:val="0042670B"/>
    <w:rsid w:val="00427D7F"/>
    <w:rsid w:val="00430208"/>
    <w:rsid w:val="0043051C"/>
    <w:rsid w:val="0043061D"/>
    <w:rsid w:val="0043064E"/>
    <w:rsid w:val="0043109B"/>
    <w:rsid w:val="00431850"/>
    <w:rsid w:val="004318B5"/>
    <w:rsid w:val="004318BC"/>
    <w:rsid w:val="00431B1F"/>
    <w:rsid w:val="00431C90"/>
    <w:rsid w:val="00431DA6"/>
    <w:rsid w:val="00431EA4"/>
    <w:rsid w:val="004334DD"/>
    <w:rsid w:val="00433E74"/>
    <w:rsid w:val="00435F4F"/>
    <w:rsid w:val="0044125F"/>
    <w:rsid w:val="004412CA"/>
    <w:rsid w:val="0044182E"/>
    <w:rsid w:val="00442B30"/>
    <w:rsid w:val="00442C26"/>
    <w:rsid w:val="004433F4"/>
    <w:rsid w:val="004434DC"/>
    <w:rsid w:val="00445B60"/>
    <w:rsid w:val="00450402"/>
    <w:rsid w:val="00450765"/>
    <w:rsid w:val="00450CFE"/>
    <w:rsid w:val="0045108D"/>
    <w:rsid w:val="004529CC"/>
    <w:rsid w:val="004538C1"/>
    <w:rsid w:val="00453B9D"/>
    <w:rsid w:val="00455063"/>
    <w:rsid w:val="00456F38"/>
    <w:rsid w:val="00457250"/>
    <w:rsid w:val="0045751F"/>
    <w:rsid w:val="0046079B"/>
    <w:rsid w:val="0046235B"/>
    <w:rsid w:val="004628F9"/>
    <w:rsid w:val="0046365B"/>
    <w:rsid w:val="0046432D"/>
    <w:rsid w:val="00464A71"/>
    <w:rsid w:val="00465757"/>
    <w:rsid w:val="00466049"/>
    <w:rsid w:val="00467AC2"/>
    <w:rsid w:val="00467EA5"/>
    <w:rsid w:val="00470B8F"/>
    <w:rsid w:val="00472ECB"/>
    <w:rsid w:val="0047485F"/>
    <w:rsid w:val="00475050"/>
    <w:rsid w:val="00475149"/>
    <w:rsid w:val="00475726"/>
    <w:rsid w:val="004763FB"/>
    <w:rsid w:val="00476784"/>
    <w:rsid w:val="004773CA"/>
    <w:rsid w:val="00480141"/>
    <w:rsid w:val="00482AFC"/>
    <w:rsid w:val="0048374A"/>
    <w:rsid w:val="00485CCC"/>
    <w:rsid w:val="004863BA"/>
    <w:rsid w:val="00487A04"/>
    <w:rsid w:val="00491438"/>
    <w:rsid w:val="0049298A"/>
    <w:rsid w:val="00492B2E"/>
    <w:rsid w:val="00493081"/>
    <w:rsid w:val="0049399F"/>
    <w:rsid w:val="00493A7B"/>
    <w:rsid w:val="004949A8"/>
    <w:rsid w:val="0049601F"/>
    <w:rsid w:val="004963C5"/>
    <w:rsid w:val="00496BA6"/>
    <w:rsid w:val="00496F53"/>
    <w:rsid w:val="004979DE"/>
    <w:rsid w:val="004A0CA9"/>
    <w:rsid w:val="004A1B5A"/>
    <w:rsid w:val="004A3F1B"/>
    <w:rsid w:val="004A6C5E"/>
    <w:rsid w:val="004A6D64"/>
    <w:rsid w:val="004A715B"/>
    <w:rsid w:val="004A76A9"/>
    <w:rsid w:val="004A7796"/>
    <w:rsid w:val="004A7FC4"/>
    <w:rsid w:val="004B1876"/>
    <w:rsid w:val="004B1E7B"/>
    <w:rsid w:val="004B2128"/>
    <w:rsid w:val="004B39F5"/>
    <w:rsid w:val="004B5630"/>
    <w:rsid w:val="004B56CD"/>
    <w:rsid w:val="004B5A75"/>
    <w:rsid w:val="004B5C19"/>
    <w:rsid w:val="004B5E52"/>
    <w:rsid w:val="004B5E77"/>
    <w:rsid w:val="004B62A9"/>
    <w:rsid w:val="004B6A61"/>
    <w:rsid w:val="004B6B8A"/>
    <w:rsid w:val="004B6D64"/>
    <w:rsid w:val="004C0399"/>
    <w:rsid w:val="004C07B8"/>
    <w:rsid w:val="004C1B25"/>
    <w:rsid w:val="004C261C"/>
    <w:rsid w:val="004C2B7B"/>
    <w:rsid w:val="004C2F21"/>
    <w:rsid w:val="004C328F"/>
    <w:rsid w:val="004C385E"/>
    <w:rsid w:val="004C4018"/>
    <w:rsid w:val="004C460A"/>
    <w:rsid w:val="004C50DB"/>
    <w:rsid w:val="004C5BD5"/>
    <w:rsid w:val="004C68D6"/>
    <w:rsid w:val="004C6AAE"/>
    <w:rsid w:val="004C6F6A"/>
    <w:rsid w:val="004D0084"/>
    <w:rsid w:val="004D05B3"/>
    <w:rsid w:val="004D09A5"/>
    <w:rsid w:val="004D0B3A"/>
    <w:rsid w:val="004D1725"/>
    <w:rsid w:val="004D2AB1"/>
    <w:rsid w:val="004D4506"/>
    <w:rsid w:val="004D54DE"/>
    <w:rsid w:val="004D5A5F"/>
    <w:rsid w:val="004D69E3"/>
    <w:rsid w:val="004D7E50"/>
    <w:rsid w:val="004D7E57"/>
    <w:rsid w:val="004D7FDA"/>
    <w:rsid w:val="004E1300"/>
    <w:rsid w:val="004E1557"/>
    <w:rsid w:val="004E248C"/>
    <w:rsid w:val="004E2C1E"/>
    <w:rsid w:val="004E38F8"/>
    <w:rsid w:val="004E40F3"/>
    <w:rsid w:val="004E4C49"/>
    <w:rsid w:val="004E66BF"/>
    <w:rsid w:val="004E747A"/>
    <w:rsid w:val="004E7748"/>
    <w:rsid w:val="004E7D7E"/>
    <w:rsid w:val="004F1697"/>
    <w:rsid w:val="004F1D13"/>
    <w:rsid w:val="004F217E"/>
    <w:rsid w:val="004F2255"/>
    <w:rsid w:val="004F2AE9"/>
    <w:rsid w:val="004F2E32"/>
    <w:rsid w:val="004F4215"/>
    <w:rsid w:val="004F4B7A"/>
    <w:rsid w:val="004F5FA5"/>
    <w:rsid w:val="004F63BE"/>
    <w:rsid w:val="00500147"/>
    <w:rsid w:val="005003AD"/>
    <w:rsid w:val="00500658"/>
    <w:rsid w:val="00501E87"/>
    <w:rsid w:val="005027CD"/>
    <w:rsid w:val="00502ABD"/>
    <w:rsid w:val="0050393C"/>
    <w:rsid w:val="0050548B"/>
    <w:rsid w:val="00505B9A"/>
    <w:rsid w:val="00505D30"/>
    <w:rsid w:val="00506372"/>
    <w:rsid w:val="00510649"/>
    <w:rsid w:val="00510C3A"/>
    <w:rsid w:val="00510EBC"/>
    <w:rsid w:val="005114C0"/>
    <w:rsid w:val="00512353"/>
    <w:rsid w:val="00512CCC"/>
    <w:rsid w:val="00514204"/>
    <w:rsid w:val="00514BC1"/>
    <w:rsid w:val="00515C47"/>
    <w:rsid w:val="00515E46"/>
    <w:rsid w:val="00516330"/>
    <w:rsid w:val="005169EA"/>
    <w:rsid w:val="005217BE"/>
    <w:rsid w:val="005228A3"/>
    <w:rsid w:val="00523710"/>
    <w:rsid w:val="005239FB"/>
    <w:rsid w:val="0052477B"/>
    <w:rsid w:val="00524DB8"/>
    <w:rsid w:val="00525CB9"/>
    <w:rsid w:val="00526172"/>
    <w:rsid w:val="00527A43"/>
    <w:rsid w:val="00530EC3"/>
    <w:rsid w:val="005311E1"/>
    <w:rsid w:val="00532089"/>
    <w:rsid w:val="005320AF"/>
    <w:rsid w:val="00537E87"/>
    <w:rsid w:val="0054024E"/>
    <w:rsid w:val="0054025C"/>
    <w:rsid w:val="005413B8"/>
    <w:rsid w:val="005413BF"/>
    <w:rsid w:val="005416CD"/>
    <w:rsid w:val="00541801"/>
    <w:rsid w:val="00541876"/>
    <w:rsid w:val="00541E06"/>
    <w:rsid w:val="00542628"/>
    <w:rsid w:val="00542664"/>
    <w:rsid w:val="00543899"/>
    <w:rsid w:val="00545B19"/>
    <w:rsid w:val="0054606D"/>
    <w:rsid w:val="00546520"/>
    <w:rsid w:val="00550D18"/>
    <w:rsid w:val="00551BF2"/>
    <w:rsid w:val="00552282"/>
    <w:rsid w:val="005525D6"/>
    <w:rsid w:val="0055357A"/>
    <w:rsid w:val="00555342"/>
    <w:rsid w:val="00556AA6"/>
    <w:rsid w:val="00556FD9"/>
    <w:rsid w:val="00557140"/>
    <w:rsid w:val="005617E4"/>
    <w:rsid w:val="00562628"/>
    <w:rsid w:val="00563A05"/>
    <w:rsid w:val="00563E7C"/>
    <w:rsid w:val="00563EE2"/>
    <w:rsid w:val="005654AE"/>
    <w:rsid w:val="00565D49"/>
    <w:rsid w:val="005662DE"/>
    <w:rsid w:val="00567A0F"/>
    <w:rsid w:val="00567D5C"/>
    <w:rsid w:val="005700D5"/>
    <w:rsid w:val="00571045"/>
    <w:rsid w:val="00571BA6"/>
    <w:rsid w:val="00571E6A"/>
    <w:rsid w:val="0057345C"/>
    <w:rsid w:val="0057421C"/>
    <w:rsid w:val="00574DA6"/>
    <w:rsid w:val="00574EFD"/>
    <w:rsid w:val="005750BA"/>
    <w:rsid w:val="005768C9"/>
    <w:rsid w:val="00577330"/>
    <w:rsid w:val="005804AC"/>
    <w:rsid w:val="00580FA0"/>
    <w:rsid w:val="005810DA"/>
    <w:rsid w:val="00581D39"/>
    <w:rsid w:val="00583BD6"/>
    <w:rsid w:val="00584721"/>
    <w:rsid w:val="0058488B"/>
    <w:rsid w:val="005858CF"/>
    <w:rsid w:val="0058769F"/>
    <w:rsid w:val="00587E4D"/>
    <w:rsid w:val="00590086"/>
    <w:rsid w:val="005908F2"/>
    <w:rsid w:val="0059221D"/>
    <w:rsid w:val="0059239F"/>
    <w:rsid w:val="005925F6"/>
    <w:rsid w:val="00592C6E"/>
    <w:rsid w:val="005945E8"/>
    <w:rsid w:val="00594D43"/>
    <w:rsid w:val="00595548"/>
    <w:rsid w:val="005962BD"/>
    <w:rsid w:val="005A0091"/>
    <w:rsid w:val="005A050D"/>
    <w:rsid w:val="005A06D5"/>
    <w:rsid w:val="005A337E"/>
    <w:rsid w:val="005A397D"/>
    <w:rsid w:val="005A579A"/>
    <w:rsid w:val="005A7981"/>
    <w:rsid w:val="005B23A7"/>
    <w:rsid w:val="005B2E4B"/>
    <w:rsid w:val="005B3255"/>
    <w:rsid w:val="005B4312"/>
    <w:rsid w:val="005B49E1"/>
    <w:rsid w:val="005B4C7C"/>
    <w:rsid w:val="005B5B30"/>
    <w:rsid w:val="005B6A43"/>
    <w:rsid w:val="005C02D6"/>
    <w:rsid w:val="005C0AE7"/>
    <w:rsid w:val="005C146A"/>
    <w:rsid w:val="005C3A5D"/>
    <w:rsid w:val="005C4A64"/>
    <w:rsid w:val="005C4CBF"/>
    <w:rsid w:val="005C57DF"/>
    <w:rsid w:val="005C742B"/>
    <w:rsid w:val="005C7EFB"/>
    <w:rsid w:val="005D0A63"/>
    <w:rsid w:val="005D18B7"/>
    <w:rsid w:val="005D218C"/>
    <w:rsid w:val="005D3DEA"/>
    <w:rsid w:val="005D6590"/>
    <w:rsid w:val="005D6C17"/>
    <w:rsid w:val="005D7968"/>
    <w:rsid w:val="005E0CF0"/>
    <w:rsid w:val="005E0E2B"/>
    <w:rsid w:val="005E3373"/>
    <w:rsid w:val="005E4153"/>
    <w:rsid w:val="005E5F2B"/>
    <w:rsid w:val="005E68FB"/>
    <w:rsid w:val="005E69FD"/>
    <w:rsid w:val="005E6EAF"/>
    <w:rsid w:val="005E73BE"/>
    <w:rsid w:val="005F01B1"/>
    <w:rsid w:val="005F07EF"/>
    <w:rsid w:val="005F194C"/>
    <w:rsid w:val="005F1C94"/>
    <w:rsid w:val="005F20DC"/>
    <w:rsid w:val="005F34D5"/>
    <w:rsid w:val="005F3A48"/>
    <w:rsid w:val="005F409E"/>
    <w:rsid w:val="005F6591"/>
    <w:rsid w:val="005F65FF"/>
    <w:rsid w:val="00600378"/>
    <w:rsid w:val="00600F24"/>
    <w:rsid w:val="0060257F"/>
    <w:rsid w:val="006031F0"/>
    <w:rsid w:val="00604938"/>
    <w:rsid w:val="00604D97"/>
    <w:rsid w:val="00604D9B"/>
    <w:rsid w:val="006051E7"/>
    <w:rsid w:val="00606496"/>
    <w:rsid w:val="0060709B"/>
    <w:rsid w:val="006075C8"/>
    <w:rsid w:val="00607715"/>
    <w:rsid w:val="00610FD7"/>
    <w:rsid w:val="00611231"/>
    <w:rsid w:val="006120C1"/>
    <w:rsid w:val="0061296A"/>
    <w:rsid w:val="00612F51"/>
    <w:rsid w:val="0061426E"/>
    <w:rsid w:val="006147FF"/>
    <w:rsid w:val="0061762C"/>
    <w:rsid w:val="0061796A"/>
    <w:rsid w:val="00617E2F"/>
    <w:rsid w:val="006214C5"/>
    <w:rsid w:val="006231C7"/>
    <w:rsid w:val="0062377C"/>
    <w:rsid w:val="0062405D"/>
    <w:rsid w:val="006256CF"/>
    <w:rsid w:val="00625A5D"/>
    <w:rsid w:val="00626621"/>
    <w:rsid w:val="00627DEF"/>
    <w:rsid w:val="00627E8E"/>
    <w:rsid w:val="00627F32"/>
    <w:rsid w:val="006314A2"/>
    <w:rsid w:val="00631657"/>
    <w:rsid w:val="00633F48"/>
    <w:rsid w:val="00634BA2"/>
    <w:rsid w:val="00634DC3"/>
    <w:rsid w:val="006350AD"/>
    <w:rsid w:val="00635BA6"/>
    <w:rsid w:val="00635E1D"/>
    <w:rsid w:val="00636909"/>
    <w:rsid w:val="00636E6A"/>
    <w:rsid w:val="0063784B"/>
    <w:rsid w:val="00640263"/>
    <w:rsid w:val="0064151C"/>
    <w:rsid w:val="006417CA"/>
    <w:rsid w:val="00641953"/>
    <w:rsid w:val="006425F6"/>
    <w:rsid w:val="0064267D"/>
    <w:rsid w:val="00643155"/>
    <w:rsid w:val="00643E4A"/>
    <w:rsid w:val="00644ADB"/>
    <w:rsid w:val="006456AB"/>
    <w:rsid w:val="006459A4"/>
    <w:rsid w:val="00650911"/>
    <w:rsid w:val="0065118E"/>
    <w:rsid w:val="00651591"/>
    <w:rsid w:val="00651C07"/>
    <w:rsid w:val="00651C61"/>
    <w:rsid w:val="0065289C"/>
    <w:rsid w:val="006531F7"/>
    <w:rsid w:val="00653401"/>
    <w:rsid w:val="00653996"/>
    <w:rsid w:val="0065400A"/>
    <w:rsid w:val="006545F9"/>
    <w:rsid w:val="0065615B"/>
    <w:rsid w:val="00656355"/>
    <w:rsid w:val="006567D3"/>
    <w:rsid w:val="00656A6E"/>
    <w:rsid w:val="006576E7"/>
    <w:rsid w:val="006600BB"/>
    <w:rsid w:val="006603AC"/>
    <w:rsid w:val="006620ED"/>
    <w:rsid w:val="0066211D"/>
    <w:rsid w:val="0066233D"/>
    <w:rsid w:val="00663547"/>
    <w:rsid w:val="00664820"/>
    <w:rsid w:val="00664CE9"/>
    <w:rsid w:val="006660A5"/>
    <w:rsid w:val="0066698F"/>
    <w:rsid w:val="00666FB8"/>
    <w:rsid w:val="006675D2"/>
    <w:rsid w:val="0067034C"/>
    <w:rsid w:val="006703E7"/>
    <w:rsid w:val="00670FA9"/>
    <w:rsid w:val="00673527"/>
    <w:rsid w:val="00673760"/>
    <w:rsid w:val="006748DF"/>
    <w:rsid w:val="00676995"/>
    <w:rsid w:val="0068206E"/>
    <w:rsid w:val="00682A43"/>
    <w:rsid w:val="006832AF"/>
    <w:rsid w:val="006839D8"/>
    <w:rsid w:val="00683C28"/>
    <w:rsid w:val="00684654"/>
    <w:rsid w:val="00684C42"/>
    <w:rsid w:val="0068533B"/>
    <w:rsid w:val="006855A8"/>
    <w:rsid w:val="006856F0"/>
    <w:rsid w:val="00685786"/>
    <w:rsid w:val="00686CA2"/>
    <w:rsid w:val="00691BEF"/>
    <w:rsid w:val="00691D31"/>
    <w:rsid w:val="0069275D"/>
    <w:rsid w:val="006935B4"/>
    <w:rsid w:val="00697D7D"/>
    <w:rsid w:val="006A0A75"/>
    <w:rsid w:val="006A1116"/>
    <w:rsid w:val="006A3A28"/>
    <w:rsid w:val="006A61B3"/>
    <w:rsid w:val="006A6DB3"/>
    <w:rsid w:val="006A7EB7"/>
    <w:rsid w:val="006B0084"/>
    <w:rsid w:val="006B0918"/>
    <w:rsid w:val="006B27B7"/>
    <w:rsid w:val="006B5338"/>
    <w:rsid w:val="006B55C6"/>
    <w:rsid w:val="006B56E1"/>
    <w:rsid w:val="006B5CC7"/>
    <w:rsid w:val="006B7348"/>
    <w:rsid w:val="006B79B9"/>
    <w:rsid w:val="006B7FB5"/>
    <w:rsid w:val="006C0D41"/>
    <w:rsid w:val="006C2150"/>
    <w:rsid w:val="006C2B70"/>
    <w:rsid w:val="006C2E3B"/>
    <w:rsid w:val="006C371A"/>
    <w:rsid w:val="006C5287"/>
    <w:rsid w:val="006C5336"/>
    <w:rsid w:val="006C5649"/>
    <w:rsid w:val="006C669C"/>
    <w:rsid w:val="006C72ED"/>
    <w:rsid w:val="006C7B31"/>
    <w:rsid w:val="006D0020"/>
    <w:rsid w:val="006D0352"/>
    <w:rsid w:val="006D03C5"/>
    <w:rsid w:val="006D06A6"/>
    <w:rsid w:val="006D0A8D"/>
    <w:rsid w:val="006D2ACF"/>
    <w:rsid w:val="006D362C"/>
    <w:rsid w:val="006D39C3"/>
    <w:rsid w:val="006D3C4F"/>
    <w:rsid w:val="006D3E9C"/>
    <w:rsid w:val="006D51A5"/>
    <w:rsid w:val="006D71C8"/>
    <w:rsid w:val="006D75D1"/>
    <w:rsid w:val="006E000F"/>
    <w:rsid w:val="006E14B4"/>
    <w:rsid w:val="006E18E7"/>
    <w:rsid w:val="006E3D6E"/>
    <w:rsid w:val="006E46DB"/>
    <w:rsid w:val="006E5CF9"/>
    <w:rsid w:val="006E60CA"/>
    <w:rsid w:val="006E6ABB"/>
    <w:rsid w:val="006E6BEA"/>
    <w:rsid w:val="006E730A"/>
    <w:rsid w:val="006F07CD"/>
    <w:rsid w:val="006F0D31"/>
    <w:rsid w:val="006F1DF1"/>
    <w:rsid w:val="006F2D7A"/>
    <w:rsid w:val="006F2F62"/>
    <w:rsid w:val="006F35B7"/>
    <w:rsid w:val="006F3871"/>
    <w:rsid w:val="006F5E61"/>
    <w:rsid w:val="006F76CE"/>
    <w:rsid w:val="00700B97"/>
    <w:rsid w:val="00700CF8"/>
    <w:rsid w:val="00701361"/>
    <w:rsid w:val="007013EF"/>
    <w:rsid w:val="00701922"/>
    <w:rsid w:val="00703C34"/>
    <w:rsid w:val="007040B6"/>
    <w:rsid w:val="00705844"/>
    <w:rsid w:val="00705DAD"/>
    <w:rsid w:val="00707146"/>
    <w:rsid w:val="00707222"/>
    <w:rsid w:val="007075C1"/>
    <w:rsid w:val="0071295D"/>
    <w:rsid w:val="00712B36"/>
    <w:rsid w:val="0071411C"/>
    <w:rsid w:val="007146AB"/>
    <w:rsid w:val="00716510"/>
    <w:rsid w:val="007221C1"/>
    <w:rsid w:val="00722F88"/>
    <w:rsid w:val="007312DD"/>
    <w:rsid w:val="00731374"/>
    <w:rsid w:val="007315F7"/>
    <w:rsid w:val="00732531"/>
    <w:rsid w:val="00734569"/>
    <w:rsid w:val="0073460B"/>
    <w:rsid w:val="00734A61"/>
    <w:rsid w:val="00736BB3"/>
    <w:rsid w:val="00737C8A"/>
    <w:rsid w:val="007409CA"/>
    <w:rsid w:val="00740EA9"/>
    <w:rsid w:val="00741260"/>
    <w:rsid w:val="00741D6C"/>
    <w:rsid w:val="0074224A"/>
    <w:rsid w:val="007423AB"/>
    <w:rsid w:val="007427C3"/>
    <w:rsid w:val="00742C58"/>
    <w:rsid w:val="00743753"/>
    <w:rsid w:val="00743A58"/>
    <w:rsid w:val="007440BD"/>
    <w:rsid w:val="00744A15"/>
    <w:rsid w:val="0074581F"/>
    <w:rsid w:val="007459FD"/>
    <w:rsid w:val="007465CB"/>
    <w:rsid w:val="007466A5"/>
    <w:rsid w:val="00746A76"/>
    <w:rsid w:val="00746F04"/>
    <w:rsid w:val="0075071A"/>
    <w:rsid w:val="00751FEF"/>
    <w:rsid w:val="0075201C"/>
    <w:rsid w:val="007524ED"/>
    <w:rsid w:val="0075313A"/>
    <w:rsid w:val="00762294"/>
    <w:rsid w:val="00763D89"/>
    <w:rsid w:val="007644E4"/>
    <w:rsid w:val="00764F1C"/>
    <w:rsid w:val="0076593F"/>
    <w:rsid w:val="007671C3"/>
    <w:rsid w:val="00767E22"/>
    <w:rsid w:val="00770D21"/>
    <w:rsid w:val="007724CC"/>
    <w:rsid w:val="00772CF7"/>
    <w:rsid w:val="007736BA"/>
    <w:rsid w:val="00774329"/>
    <w:rsid w:val="00774E6F"/>
    <w:rsid w:val="0077585C"/>
    <w:rsid w:val="00776169"/>
    <w:rsid w:val="00777DA9"/>
    <w:rsid w:val="00780D15"/>
    <w:rsid w:val="00781A50"/>
    <w:rsid w:val="00781FEB"/>
    <w:rsid w:val="00782037"/>
    <w:rsid w:val="00783180"/>
    <w:rsid w:val="00783F75"/>
    <w:rsid w:val="0078448B"/>
    <w:rsid w:val="0078448D"/>
    <w:rsid w:val="00784976"/>
    <w:rsid w:val="00786272"/>
    <w:rsid w:val="00786F08"/>
    <w:rsid w:val="0079084A"/>
    <w:rsid w:val="00791F84"/>
    <w:rsid w:val="0079216B"/>
    <w:rsid w:val="00793856"/>
    <w:rsid w:val="00793D41"/>
    <w:rsid w:val="007A0156"/>
    <w:rsid w:val="007A029A"/>
    <w:rsid w:val="007A0CB0"/>
    <w:rsid w:val="007A0DDD"/>
    <w:rsid w:val="007A103C"/>
    <w:rsid w:val="007A11CE"/>
    <w:rsid w:val="007A12FC"/>
    <w:rsid w:val="007A2C06"/>
    <w:rsid w:val="007A6700"/>
    <w:rsid w:val="007A7FD5"/>
    <w:rsid w:val="007B034D"/>
    <w:rsid w:val="007B0744"/>
    <w:rsid w:val="007B1307"/>
    <w:rsid w:val="007B1A70"/>
    <w:rsid w:val="007B1B39"/>
    <w:rsid w:val="007B2872"/>
    <w:rsid w:val="007B2F8E"/>
    <w:rsid w:val="007B3489"/>
    <w:rsid w:val="007B38D0"/>
    <w:rsid w:val="007B48A6"/>
    <w:rsid w:val="007B4A45"/>
    <w:rsid w:val="007B4DDE"/>
    <w:rsid w:val="007B5015"/>
    <w:rsid w:val="007B5BDA"/>
    <w:rsid w:val="007B6B50"/>
    <w:rsid w:val="007C1A3F"/>
    <w:rsid w:val="007C277A"/>
    <w:rsid w:val="007C34F5"/>
    <w:rsid w:val="007C47BA"/>
    <w:rsid w:val="007C7C3E"/>
    <w:rsid w:val="007C7E64"/>
    <w:rsid w:val="007D0772"/>
    <w:rsid w:val="007D10D5"/>
    <w:rsid w:val="007D1A97"/>
    <w:rsid w:val="007D2CF8"/>
    <w:rsid w:val="007D4286"/>
    <w:rsid w:val="007D488C"/>
    <w:rsid w:val="007D58B0"/>
    <w:rsid w:val="007D5A5B"/>
    <w:rsid w:val="007D5E0F"/>
    <w:rsid w:val="007D6BB4"/>
    <w:rsid w:val="007D7C0C"/>
    <w:rsid w:val="007E02E3"/>
    <w:rsid w:val="007E17EA"/>
    <w:rsid w:val="007E1CC6"/>
    <w:rsid w:val="007E1E60"/>
    <w:rsid w:val="007E3508"/>
    <w:rsid w:val="007E4304"/>
    <w:rsid w:val="007E4AC5"/>
    <w:rsid w:val="007E4C56"/>
    <w:rsid w:val="007E6B6C"/>
    <w:rsid w:val="007E6B79"/>
    <w:rsid w:val="007E6C26"/>
    <w:rsid w:val="007E7216"/>
    <w:rsid w:val="007F22A4"/>
    <w:rsid w:val="007F35A7"/>
    <w:rsid w:val="007F4844"/>
    <w:rsid w:val="007F4C66"/>
    <w:rsid w:val="007F63D6"/>
    <w:rsid w:val="007F677D"/>
    <w:rsid w:val="007F7AA6"/>
    <w:rsid w:val="008012D1"/>
    <w:rsid w:val="008025CF"/>
    <w:rsid w:val="00804325"/>
    <w:rsid w:val="00804942"/>
    <w:rsid w:val="008068E9"/>
    <w:rsid w:val="008106E8"/>
    <w:rsid w:val="00810701"/>
    <w:rsid w:val="0081384B"/>
    <w:rsid w:val="00814202"/>
    <w:rsid w:val="00815136"/>
    <w:rsid w:val="00820583"/>
    <w:rsid w:val="008222D6"/>
    <w:rsid w:val="00824EC1"/>
    <w:rsid w:val="0082555D"/>
    <w:rsid w:val="00830759"/>
    <w:rsid w:val="00830E4D"/>
    <w:rsid w:val="008315E1"/>
    <w:rsid w:val="00831FC9"/>
    <w:rsid w:val="00832535"/>
    <w:rsid w:val="00833279"/>
    <w:rsid w:val="008355D6"/>
    <w:rsid w:val="00835B27"/>
    <w:rsid w:val="00835C3D"/>
    <w:rsid w:val="008401E9"/>
    <w:rsid w:val="008404E1"/>
    <w:rsid w:val="00840CF8"/>
    <w:rsid w:val="008421B9"/>
    <w:rsid w:val="008421FA"/>
    <w:rsid w:val="008429BB"/>
    <w:rsid w:val="0084315D"/>
    <w:rsid w:val="00843EF2"/>
    <w:rsid w:val="00844637"/>
    <w:rsid w:val="00844909"/>
    <w:rsid w:val="00846C21"/>
    <w:rsid w:val="008470AB"/>
    <w:rsid w:val="00850B21"/>
    <w:rsid w:val="008515E0"/>
    <w:rsid w:val="00851982"/>
    <w:rsid w:val="00852993"/>
    <w:rsid w:val="00853A6C"/>
    <w:rsid w:val="00854BA3"/>
    <w:rsid w:val="00856754"/>
    <w:rsid w:val="00856A0A"/>
    <w:rsid w:val="00857775"/>
    <w:rsid w:val="0086083E"/>
    <w:rsid w:val="0086117B"/>
    <w:rsid w:val="0086155B"/>
    <w:rsid w:val="008625AB"/>
    <w:rsid w:val="008642FB"/>
    <w:rsid w:val="00864770"/>
    <w:rsid w:val="008666F5"/>
    <w:rsid w:val="008675A1"/>
    <w:rsid w:val="00870067"/>
    <w:rsid w:val="008705DB"/>
    <w:rsid w:val="00870758"/>
    <w:rsid w:val="00870937"/>
    <w:rsid w:val="00871F77"/>
    <w:rsid w:val="00872209"/>
    <w:rsid w:val="00872C2C"/>
    <w:rsid w:val="00872F45"/>
    <w:rsid w:val="00873DF1"/>
    <w:rsid w:val="00874163"/>
    <w:rsid w:val="008745FA"/>
    <w:rsid w:val="00874783"/>
    <w:rsid w:val="00875E62"/>
    <w:rsid w:val="00876A7B"/>
    <w:rsid w:val="00876EC1"/>
    <w:rsid w:val="00876F28"/>
    <w:rsid w:val="008776B9"/>
    <w:rsid w:val="008779B3"/>
    <w:rsid w:val="00877A70"/>
    <w:rsid w:val="0088073B"/>
    <w:rsid w:val="00881270"/>
    <w:rsid w:val="00882A30"/>
    <w:rsid w:val="008841FA"/>
    <w:rsid w:val="00885268"/>
    <w:rsid w:val="00886156"/>
    <w:rsid w:val="00886E86"/>
    <w:rsid w:val="008877C4"/>
    <w:rsid w:val="008906FE"/>
    <w:rsid w:val="00890A94"/>
    <w:rsid w:val="00891251"/>
    <w:rsid w:val="00891AD5"/>
    <w:rsid w:val="00892854"/>
    <w:rsid w:val="00893270"/>
    <w:rsid w:val="00894039"/>
    <w:rsid w:val="00896654"/>
    <w:rsid w:val="0089721D"/>
    <w:rsid w:val="008A092F"/>
    <w:rsid w:val="008A0957"/>
    <w:rsid w:val="008A34BA"/>
    <w:rsid w:val="008A3576"/>
    <w:rsid w:val="008A38FA"/>
    <w:rsid w:val="008A43BA"/>
    <w:rsid w:val="008A4805"/>
    <w:rsid w:val="008A4F49"/>
    <w:rsid w:val="008A5E86"/>
    <w:rsid w:val="008A6566"/>
    <w:rsid w:val="008A706F"/>
    <w:rsid w:val="008B0FD7"/>
    <w:rsid w:val="008B14C0"/>
    <w:rsid w:val="008B2AC3"/>
    <w:rsid w:val="008B368A"/>
    <w:rsid w:val="008B3E0F"/>
    <w:rsid w:val="008B415D"/>
    <w:rsid w:val="008B5CF8"/>
    <w:rsid w:val="008B75FC"/>
    <w:rsid w:val="008B781A"/>
    <w:rsid w:val="008B7F31"/>
    <w:rsid w:val="008C17AE"/>
    <w:rsid w:val="008C188E"/>
    <w:rsid w:val="008C1C61"/>
    <w:rsid w:val="008C1EB5"/>
    <w:rsid w:val="008C2BE3"/>
    <w:rsid w:val="008C2C94"/>
    <w:rsid w:val="008C331D"/>
    <w:rsid w:val="008C3B93"/>
    <w:rsid w:val="008C4F4C"/>
    <w:rsid w:val="008C54C4"/>
    <w:rsid w:val="008C5507"/>
    <w:rsid w:val="008C5DEC"/>
    <w:rsid w:val="008C6287"/>
    <w:rsid w:val="008C64BD"/>
    <w:rsid w:val="008C724F"/>
    <w:rsid w:val="008D0038"/>
    <w:rsid w:val="008D2AFC"/>
    <w:rsid w:val="008D4009"/>
    <w:rsid w:val="008D63EB"/>
    <w:rsid w:val="008D6DF2"/>
    <w:rsid w:val="008D7349"/>
    <w:rsid w:val="008D7A39"/>
    <w:rsid w:val="008E25B3"/>
    <w:rsid w:val="008E37FC"/>
    <w:rsid w:val="008E40B5"/>
    <w:rsid w:val="008E5B3B"/>
    <w:rsid w:val="008E7A15"/>
    <w:rsid w:val="008F15A7"/>
    <w:rsid w:val="008F2131"/>
    <w:rsid w:val="008F23E0"/>
    <w:rsid w:val="008F2F8A"/>
    <w:rsid w:val="008F4CCD"/>
    <w:rsid w:val="008F4E2F"/>
    <w:rsid w:val="008F765A"/>
    <w:rsid w:val="008F7B8F"/>
    <w:rsid w:val="00900E58"/>
    <w:rsid w:val="00901A0B"/>
    <w:rsid w:val="00903353"/>
    <w:rsid w:val="00905CDE"/>
    <w:rsid w:val="00905DB8"/>
    <w:rsid w:val="00905FF7"/>
    <w:rsid w:val="00906592"/>
    <w:rsid w:val="009079C7"/>
    <w:rsid w:val="00907A05"/>
    <w:rsid w:val="00911B25"/>
    <w:rsid w:val="00911D5B"/>
    <w:rsid w:val="009123E3"/>
    <w:rsid w:val="009124EC"/>
    <w:rsid w:val="00912BDF"/>
    <w:rsid w:val="00913559"/>
    <w:rsid w:val="00913936"/>
    <w:rsid w:val="0091396A"/>
    <w:rsid w:val="0091586B"/>
    <w:rsid w:val="00916A1A"/>
    <w:rsid w:val="00916CDC"/>
    <w:rsid w:val="00917604"/>
    <w:rsid w:val="00920570"/>
    <w:rsid w:val="00921237"/>
    <w:rsid w:val="00921C31"/>
    <w:rsid w:val="00924BB6"/>
    <w:rsid w:val="00924FC3"/>
    <w:rsid w:val="00925352"/>
    <w:rsid w:val="00927070"/>
    <w:rsid w:val="0092766E"/>
    <w:rsid w:val="0092789B"/>
    <w:rsid w:val="009279D0"/>
    <w:rsid w:val="00931036"/>
    <w:rsid w:val="009312CE"/>
    <w:rsid w:val="0093530A"/>
    <w:rsid w:val="00937889"/>
    <w:rsid w:val="00937ECB"/>
    <w:rsid w:val="0094141F"/>
    <w:rsid w:val="00945092"/>
    <w:rsid w:val="00946394"/>
    <w:rsid w:val="00946664"/>
    <w:rsid w:val="00946744"/>
    <w:rsid w:val="009471DE"/>
    <w:rsid w:val="0095131B"/>
    <w:rsid w:val="00952979"/>
    <w:rsid w:val="0095335C"/>
    <w:rsid w:val="00953EFF"/>
    <w:rsid w:val="00954F34"/>
    <w:rsid w:val="00955B53"/>
    <w:rsid w:val="00955F5E"/>
    <w:rsid w:val="00957C92"/>
    <w:rsid w:val="00961011"/>
    <w:rsid w:val="0096187D"/>
    <w:rsid w:val="00963488"/>
    <w:rsid w:val="009635CE"/>
    <w:rsid w:val="00963C55"/>
    <w:rsid w:val="00965161"/>
    <w:rsid w:val="009663DF"/>
    <w:rsid w:val="00966772"/>
    <w:rsid w:val="009679D3"/>
    <w:rsid w:val="009701CB"/>
    <w:rsid w:val="009702E9"/>
    <w:rsid w:val="00970502"/>
    <w:rsid w:val="00972B93"/>
    <w:rsid w:val="009740E6"/>
    <w:rsid w:val="00974B47"/>
    <w:rsid w:val="00974FA5"/>
    <w:rsid w:val="0097680B"/>
    <w:rsid w:val="00976BE4"/>
    <w:rsid w:val="0097755E"/>
    <w:rsid w:val="00980481"/>
    <w:rsid w:val="00982FEC"/>
    <w:rsid w:val="00984995"/>
    <w:rsid w:val="00984A78"/>
    <w:rsid w:val="00984C39"/>
    <w:rsid w:val="00985AD2"/>
    <w:rsid w:val="00985AE7"/>
    <w:rsid w:val="00985EF2"/>
    <w:rsid w:val="00985FC9"/>
    <w:rsid w:val="009900F2"/>
    <w:rsid w:val="00991017"/>
    <w:rsid w:val="00991945"/>
    <w:rsid w:val="0099197A"/>
    <w:rsid w:val="00991B96"/>
    <w:rsid w:val="00992EC5"/>
    <w:rsid w:val="0099417C"/>
    <w:rsid w:val="00995FB6"/>
    <w:rsid w:val="00996E26"/>
    <w:rsid w:val="0099701F"/>
    <w:rsid w:val="009978EB"/>
    <w:rsid w:val="009A0577"/>
    <w:rsid w:val="009A27D5"/>
    <w:rsid w:val="009A2879"/>
    <w:rsid w:val="009A2EA2"/>
    <w:rsid w:val="009A3616"/>
    <w:rsid w:val="009A3C67"/>
    <w:rsid w:val="009A420B"/>
    <w:rsid w:val="009A5055"/>
    <w:rsid w:val="009A53C4"/>
    <w:rsid w:val="009A543F"/>
    <w:rsid w:val="009A6208"/>
    <w:rsid w:val="009A6281"/>
    <w:rsid w:val="009A79CD"/>
    <w:rsid w:val="009A7CA8"/>
    <w:rsid w:val="009B0F6C"/>
    <w:rsid w:val="009B2F4F"/>
    <w:rsid w:val="009B55C5"/>
    <w:rsid w:val="009B5C51"/>
    <w:rsid w:val="009B63F0"/>
    <w:rsid w:val="009B686A"/>
    <w:rsid w:val="009B6E2A"/>
    <w:rsid w:val="009C1A91"/>
    <w:rsid w:val="009C1F29"/>
    <w:rsid w:val="009C25BF"/>
    <w:rsid w:val="009C4332"/>
    <w:rsid w:val="009C4337"/>
    <w:rsid w:val="009C4521"/>
    <w:rsid w:val="009C6F06"/>
    <w:rsid w:val="009C76FE"/>
    <w:rsid w:val="009D0967"/>
    <w:rsid w:val="009D1109"/>
    <w:rsid w:val="009D27F7"/>
    <w:rsid w:val="009D2BBE"/>
    <w:rsid w:val="009D39B5"/>
    <w:rsid w:val="009D3C19"/>
    <w:rsid w:val="009D5A88"/>
    <w:rsid w:val="009D60A5"/>
    <w:rsid w:val="009E1E55"/>
    <w:rsid w:val="009E280A"/>
    <w:rsid w:val="009E2BD0"/>
    <w:rsid w:val="009E2F6A"/>
    <w:rsid w:val="009E56F1"/>
    <w:rsid w:val="009E7776"/>
    <w:rsid w:val="009F07B4"/>
    <w:rsid w:val="009F0E27"/>
    <w:rsid w:val="009F1337"/>
    <w:rsid w:val="009F1D69"/>
    <w:rsid w:val="009F1EE2"/>
    <w:rsid w:val="009F30DF"/>
    <w:rsid w:val="00A0016D"/>
    <w:rsid w:val="00A00850"/>
    <w:rsid w:val="00A00E5A"/>
    <w:rsid w:val="00A02799"/>
    <w:rsid w:val="00A03F1D"/>
    <w:rsid w:val="00A046ED"/>
    <w:rsid w:val="00A04DC8"/>
    <w:rsid w:val="00A0600A"/>
    <w:rsid w:val="00A07C16"/>
    <w:rsid w:val="00A07E0F"/>
    <w:rsid w:val="00A10283"/>
    <w:rsid w:val="00A1030C"/>
    <w:rsid w:val="00A11B15"/>
    <w:rsid w:val="00A11C78"/>
    <w:rsid w:val="00A15BE3"/>
    <w:rsid w:val="00A16244"/>
    <w:rsid w:val="00A20A86"/>
    <w:rsid w:val="00A20AA2"/>
    <w:rsid w:val="00A210AD"/>
    <w:rsid w:val="00A216C4"/>
    <w:rsid w:val="00A216DC"/>
    <w:rsid w:val="00A22027"/>
    <w:rsid w:val="00A22B27"/>
    <w:rsid w:val="00A22C47"/>
    <w:rsid w:val="00A22C96"/>
    <w:rsid w:val="00A23197"/>
    <w:rsid w:val="00A25FB7"/>
    <w:rsid w:val="00A27686"/>
    <w:rsid w:val="00A27843"/>
    <w:rsid w:val="00A27BB3"/>
    <w:rsid w:val="00A30354"/>
    <w:rsid w:val="00A30DD7"/>
    <w:rsid w:val="00A31009"/>
    <w:rsid w:val="00A33524"/>
    <w:rsid w:val="00A33A0A"/>
    <w:rsid w:val="00A3556B"/>
    <w:rsid w:val="00A35C16"/>
    <w:rsid w:val="00A37661"/>
    <w:rsid w:val="00A377DB"/>
    <w:rsid w:val="00A43950"/>
    <w:rsid w:val="00A4484E"/>
    <w:rsid w:val="00A4700C"/>
    <w:rsid w:val="00A47226"/>
    <w:rsid w:val="00A50A19"/>
    <w:rsid w:val="00A50A51"/>
    <w:rsid w:val="00A50B3A"/>
    <w:rsid w:val="00A515A3"/>
    <w:rsid w:val="00A5350B"/>
    <w:rsid w:val="00A545AE"/>
    <w:rsid w:val="00A549AF"/>
    <w:rsid w:val="00A55113"/>
    <w:rsid w:val="00A560A1"/>
    <w:rsid w:val="00A576F7"/>
    <w:rsid w:val="00A601CF"/>
    <w:rsid w:val="00A608A0"/>
    <w:rsid w:val="00A60AC1"/>
    <w:rsid w:val="00A61A71"/>
    <w:rsid w:val="00A62F04"/>
    <w:rsid w:val="00A64B75"/>
    <w:rsid w:val="00A64DD3"/>
    <w:rsid w:val="00A650C3"/>
    <w:rsid w:val="00A652A4"/>
    <w:rsid w:val="00A65595"/>
    <w:rsid w:val="00A6672D"/>
    <w:rsid w:val="00A6709A"/>
    <w:rsid w:val="00A67AC0"/>
    <w:rsid w:val="00A712BD"/>
    <w:rsid w:val="00A733E0"/>
    <w:rsid w:val="00A73B6D"/>
    <w:rsid w:val="00A73CFF"/>
    <w:rsid w:val="00A749B1"/>
    <w:rsid w:val="00A752B3"/>
    <w:rsid w:val="00A7617B"/>
    <w:rsid w:val="00A76A55"/>
    <w:rsid w:val="00A77053"/>
    <w:rsid w:val="00A80227"/>
    <w:rsid w:val="00A805DF"/>
    <w:rsid w:val="00A8173D"/>
    <w:rsid w:val="00A8185D"/>
    <w:rsid w:val="00A81F71"/>
    <w:rsid w:val="00A8287F"/>
    <w:rsid w:val="00A829EB"/>
    <w:rsid w:val="00A8368B"/>
    <w:rsid w:val="00A8417E"/>
    <w:rsid w:val="00A84188"/>
    <w:rsid w:val="00A843B4"/>
    <w:rsid w:val="00A84587"/>
    <w:rsid w:val="00A84F30"/>
    <w:rsid w:val="00A850E7"/>
    <w:rsid w:val="00A85423"/>
    <w:rsid w:val="00A8746A"/>
    <w:rsid w:val="00A942EA"/>
    <w:rsid w:val="00A953F1"/>
    <w:rsid w:val="00A95A40"/>
    <w:rsid w:val="00A971BD"/>
    <w:rsid w:val="00A97B44"/>
    <w:rsid w:val="00AA16A4"/>
    <w:rsid w:val="00AA202D"/>
    <w:rsid w:val="00AA27DD"/>
    <w:rsid w:val="00AA2C8C"/>
    <w:rsid w:val="00AA4093"/>
    <w:rsid w:val="00AA457F"/>
    <w:rsid w:val="00AA5355"/>
    <w:rsid w:val="00AA5653"/>
    <w:rsid w:val="00AA6595"/>
    <w:rsid w:val="00AA67AC"/>
    <w:rsid w:val="00AA6B5C"/>
    <w:rsid w:val="00AA7420"/>
    <w:rsid w:val="00AA750F"/>
    <w:rsid w:val="00AA7EB5"/>
    <w:rsid w:val="00AB049D"/>
    <w:rsid w:val="00AB59FE"/>
    <w:rsid w:val="00AB6511"/>
    <w:rsid w:val="00AB7341"/>
    <w:rsid w:val="00AB7A34"/>
    <w:rsid w:val="00AB7CEA"/>
    <w:rsid w:val="00AC05A1"/>
    <w:rsid w:val="00AC1317"/>
    <w:rsid w:val="00AC1C7F"/>
    <w:rsid w:val="00AC1E47"/>
    <w:rsid w:val="00AC2607"/>
    <w:rsid w:val="00AC2A93"/>
    <w:rsid w:val="00AC313D"/>
    <w:rsid w:val="00AC31E6"/>
    <w:rsid w:val="00AC4D60"/>
    <w:rsid w:val="00AC6AFA"/>
    <w:rsid w:val="00AC6F1A"/>
    <w:rsid w:val="00AD052F"/>
    <w:rsid w:val="00AD199E"/>
    <w:rsid w:val="00AD1BC7"/>
    <w:rsid w:val="00AD48AA"/>
    <w:rsid w:val="00AD50C9"/>
    <w:rsid w:val="00AD7A32"/>
    <w:rsid w:val="00AD7BF0"/>
    <w:rsid w:val="00AD7D67"/>
    <w:rsid w:val="00AE0063"/>
    <w:rsid w:val="00AE0E34"/>
    <w:rsid w:val="00AE0E96"/>
    <w:rsid w:val="00AE0F4A"/>
    <w:rsid w:val="00AE4A3D"/>
    <w:rsid w:val="00AE544B"/>
    <w:rsid w:val="00AE553A"/>
    <w:rsid w:val="00AF14F5"/>
    <w:rsid w:val="00AF1561"/>
    <w:rsid w:val="00AF1A91"/>
    <w:rsid w:val="00AF3478"/>
    <w:rsid w:val="00AF3D6E"/>
    <w:rsid w:val="00AF487B"/>
    <w:rsid w:val="00AF516C"/>
    <w:rsid w:val="00AF588C"/>
    <w:rsid w:val="00AF5928"/>
    <w:rsid w:val="00AF5AFB"/>
    <w:rsid w:val="00AF5FE7"/>
    <w:rsid w:val="00AF6EF5"/>
    <w:rsid w:val="00AF71B7"/>
    <w:rsid w:val="00B00074"/>
    <w:rsid w:val="00B00DCA"/>
    <w:rsid w:val="00B0468E"/>
    <w:rsid w:val="00B054EB"/>
    <w:rsid w:val="00B0744B"/>
    <w:rsid w:val="00B07671"/>
    <w:rsid w:val="00B11496"/>
    <w:rsid w:val="00B124B0"/>
    <w:rsid w:val="00B1426B"/>
    <w:rsid w:val="00B1544E"/>
    <w:rsid w:val="00B16801"/>
    <w:rsid w:val="00B20130"/>
    <w:rsid w:val="00B212B5"/>
    <w:rsid w:val="00B238ED"/>
    <w:rsid w:val="00B27B03"/>
    <w:rsid w:val="00B27DA8"/>
    <w:rsid w:val="00B30E2A"/>
    <w:rsid w:val="00B3260D"/>
    <w:rsid w:val="00B33B5A"/>
    <w:rsid w:val="00B341D3"/>
    <w:rsid w:val="00B358AF"/>
    <w:rsid w:val="00B35DDC"/>
    <w:rsid w:val="00B36C97"/>
    <w:rsid w:val="00B36DCF"/>
    <w:rsid w:val="00B370DB"/>
    <w:rsid w:val="00B37DB5"/>
    <w:rsid w:val="00B37E5F"/>
    <w:rsid w:val="00B407E9"/>
    <w:rsid w:val="00B40C86"/>
    <w:rsid w:val="00B42B76"/>
    <w:rsid w:val="00B463F2"/>
    <w:rsid w:val="00B468F0"/>
    <w:rsid w:val="00B47AFF"/>
    <w:rsid w:val="00B5021B"/>
    <w:rsid w:val="00B50E46"/>
    <w:rsid w:val="00B51F43"/>
    <w:rsid w:val="00B52264"/>
    <w:rsid w:val="00B52773"/>
    <w:rsid w:val="00B5595B"/>
    <w:rsid w:val="00B55A1D"/>
    <w:rsid w:val="00B56F69"/>
    <w:rsid w:val="00B607B2"/>
    <w:rsid w:val="00B626C6"/>
    <w:rsid w:val="00B62A4F"/>
    <w:rsid w:val="00B65C06"/>
    <w:rsid w:val="00B67709"/>
    <w:rsid w:val="00B67E38"/>
    <w:rsid w:val="00B67ECD"/>
    <w:rsid w:val="00B703C8"/>
    <w:rsid w:val="00B7152B"/>
    <w:rsid w:val="00B7286B"/>
    <w:rsid w:val="00B72C6B"/>
    <w:rsid w:val="00B72C90"/>
    <w:rsid w:val="00B73482"/>
    <w:rsid w:val="00B74739"/>
    <w:rsid w:val="00B74E06"/>
    <w:rsid w:val="00B75FE4"/>
    <w:rsid w:val="00B76328"/>
    <w:rsid w:val="00B763B6"/>
    <w:rsid w:val="00B770AD"/>
    <w:rsid w:val="00B80E79"/>
    <w:rsid w:val="00B831B2"/>
    <w:rsid w:val="00B83401"/>
    <w:rsid w:val="00B85890"/>
    <w:rsid w:val="00B85F69"/>
    <w:rsid w:val="00B87914"/>
    <w:rsid w:val="00B908A3"/>
    <w:rsid w:val="00B93C76"/>
    <w:rsid w:val="00B96F46"/>
    <w:rsid w:val="00BA2E19"/>
    <w:rsid w:val="00BA50A4"/>
    <w:rsid w:val="00BA627E"/>
    <w:rsid w:val="00BA6B63"/>
    <w:rsid w:val="00BA71D0"/>
    <w:rsid w:val="00BA79D6"/>
    <w:rsid w:val="00BB0A96"/>
    <w:rsid w:val="00BB0DC1"/>
    <w:rsid w:val="00BB1A87"/>
    <w:rsid w:val="00BB265A"/>
    <w:rsid w:val="00BB2749"/>
    <w:rsid w:val="00BB4423"/>
    <w:rsid w:val="00BB4E0F"/>
    <w:rsid w:val="00BB5733"/>
    <w:rsid w:val="00BB5D00"/>
    <w:rsid w:val="00BB66E8"/>
    <w:rsid w:val="00BB6FA8"/>
    <w:rsid w:val="00BC22A5"/>
    <w:rsid w:val="00BC2783"/>
    <w:rsid w:val="00BC4878"/>
    <w:rsid w:val="00BC4A32"/>
    <w:rsid w:val="00BC4FA3"/>
    <w:rsid w:val="00BC5FEB"/>
    <w:rsid w:val="00BC6B88"/>
    <w:rsid w:val="00BD0122"/>
    <w:rsid w:val="00BD2140"/>
    <w:rsid w:val="00BD31C5"/>
    <w:rsid w:val="00BD6458"/>
    <w:rsid w:val="00BD6522"/>
    <w:rsid w:val="00BD71E1"/>
    <w:rsid w:val="00BE0ED2"/>
    <w:rsid w:val="00BE0FF7"/>
    <w:rsid w:val="00BE1CA2"/>
    <w:rsid w:val="00BE506E"/>
    <w:rsid w:val="00BE669D"/>
    <w:rsid w:val="00BE68CD"/>
    <w:rsid w:val="00BE70FF"/>
    <w:rsid w:val="00BF007E"/>
    <w:rsid w:val="00BF06E5"/>
    <w:rsid w:val="00BF0EFD"/>
    <w:rsid w:val="00BF130B"/>
    <w:rsid w:val="00BF1794"/>
    <w:rsid w:val="00BF19A8"/>
    <w:rsid w:val="00BF3337"/>
    <w:rsid w:val="00BF5AC4"/>
    <w:rsid w:val="00BF63CA"/>
    <w:rsid w:val="00BF68FE"/>
    <w:rsid w:val="00BF709A"/>
    <w:rsid w:val="00BF7554"/>
    <w:rsid w:val="00C00CD1"/>
    <w:rsid w:val="00C02C45"/>
    <w:rsid w:val="00C03D51"/>
    <w:rsid w:val="00C047FB"/>
    <w:rsid w:val="00C0517C"/>
    <w:rsid w:val="00C061E9"/>
    <w:rsid w:val="00C070AC"/>
    <w:rsid w:val="00C10116"/>
    <w:rsid w:val="00C1097D"/>
    <w:rsid w:val="00C11EBF"/>
    <w:rsid w:val="00C126C8"/>
    <w:rsid w:val="00C126D4"/>
    <w:rsid w:val="00C13C45"/>
    <w:rsid w:val="00C156E7"/>
    <w:rsid w:val="00C16C3F"/>
    <w:rsid w:val="00C16CB9"/>
    <w:rsid w:val="00C20BEB"/>
    <w:rsid w:val="00C21208"/>
    <w:rsid w:val="00C218A6"/>
    <w:rsid w:val="00C21D9D"/>
    <w:rsid w:val="00C22E4D"/>
    <w:rsid w:val="00C2346E"/>
    <w:rsid w:val="00C2415C"/>
    <w:rsid w:val="00C25CBE"/>
    <w:rsid w:val="00C26FAA"/>
    <w:rsid w:val="00C27076"/>
    <w:rsid w:val="00C30CF1"/>
    <w:rsid w:val="00C32E26"/>
    <w:rsid w:val="00C33BC2"/>
    <w:rsid w:val="00C34313"/>
    <w:rsid w:val="00C3477D"/>
    <w:rsid w:val="00C35F6D"/>
    <w:rsid w:val="00C3667C"/>
    <w:rsid w:val="00C41B7C"/>
    <w:rsid w:val="00C41E6D"/>
    <w:rsid w:val="00C41EB3"/>
    <w:rsid w:val="00C44367"/>
    <w:rsid w:val="00C45378"/>
    <w:rsid w:val="00C463EA"/>
    <w:rsid w:val="00C47B70"/>
    <w:rsid w:val="00C47C2A"/>
    <w:rsid w:val="00C47CC6"/>
    <w:rsid w:val="00C51320"/>
    <w:rsid w:val="00C517CE"/>
    <w:rsid w:val="00C51A2E"/>
    <w:rsid w:val="00C523FE"/>
    <w:rsid w:val="00C56416"/>
    <w:rsid w:val="00C60023"/>
    <w:rsid w:val="00C60805"/>
    <w:rsid w:val="00C64C50"/>
    <w:rsid w:val="00C65B5D"/>
    <w:rsid w:val="00C66DAE"/>
    <w:rsid w:val="00C72D8B"/>
    <w:rsid w:val="00C731A8"/>
    <w:rsid w:val="00C73F2A"/>
    <w:rsid w:val="00C7497E"/>
    <w:rsid w:val="00C7589C"/>
    <w:rsid w:val="00C759B8"/>
    <w:rsid w:val="00C76FBC"/>
    <w:rsid w:val="00C779CF"/>
    <w:rsid w:val="00C80972"/>
    <w:rsid w:val="00C80B7F"/>
    <w:rsid w:val="00C81B6B"/>
    <w:rsid w:val="00C8316D"/>
    <w:rsid w:val="00C83664"/>
    <w:rsid w:val="00C83E77"/>
    <w:rsid w:val="00C8418A"/>
    <w:rsid w:val="00C8563A"/>
    <w:rsid w:val="00C86683"/>
    <w:rsid w:val="00C87D39"/>
    <w:rsid w:val="00C87EA2"/>
    <w:rsid w:val="00C904BF"/>
    <w:rsid w:val="00C90B6B"/>
    <w:rsid w:val="00C91637"/>
    <w:rsid w:val="00C9230A"/>
    <w:rsid w:val="00C95BE4"/>
    <w:rsid w:val="00CA1784"/>
    <w:rsid w:val="00CA1CDD"/>
    <w:rsid w:val="00CA3D30"/>
    <w:rsid w:val="00CA49A6"/>
    <w:rsid w:val="00CA4E2D"/>
    <w:rsid w:val="00CA560A"/>
    <w:rsid w:val="00CA5937"/>
    <w:rsid w:val="00CA6A54"/>
    <w:rsid w:val="00CA7844"/>
    <w:rsid w:val="00CA790A"/>
    <w:rsid w:val="00CB145B"/>
    <w:rsid w:val="00CB1809"/>
    <w:rsid w:val="00CB2219"/>
    <w:rsid w:val="00CB3725"/>
    <w:rsid w:val="00CB37F6"/>
    <w:rsid w:val="00CB4040"/>
    <w:rsid w:val="00CB4995"/>
    <w:rsid w:val="00CB5A12"/>
    <w:rsid w:val="00CB6EF9"/>
    <w:rsid w:val="00CB7EFA"/>
    <w:rsid w:val="00CC067D"/>
    <w:rsid w:val="00CC14EE"/>
    <w:rsid w:val="00CC1D62"/>
    <w:rsid w:val="00CC436C"/>
    <w:rsid w:val="00CC524C"/>
    <w:rsid w:val="00CC52A4"/>
    <w:rsid w:val="00CC60A3"/>
    <w:rsid w:val="00CC6DAB"/>
    <w:rsid w:val="00CD12BD"/>
    <w:rsid w:val="00CD1CB3"/>
    <w:rsid w:val="00CD2022"/>
    <w:rsid w:val="00CD3094"/>
    <w:rsid w:val="00CD4475"/>
    <w:rsid w:val="00CD52FE"/>
    <w:rsid w:val="00CD5401"/>
    <w:rsid w:val="00CD625E"/>
    <w:rsid w:val="00CD6428"/>
    <w:rsid w:val="00CD6BE6"/>
    <w:rsid w:val="00CE0789"/>
    <w:rsid w:val="00CE0D83"/>
    <w:rsid w:val="00CE2B5B"/>
    <w:rsid w:val="00CE49FC"/>
    <w:rsid w:val="00CE4EFC"/>
    <w:rsid w:val="00CE5BCE"/>
    <w:rsid w:val="00CE5CBA"/>
    <w:rsid w:val="00CF02A1"/>
    <w:rsid w:val="00CF1109"/>
    <w:rsid w:val="00CF147A"/>
    <w:rsid w:val="00CF1E07"/>
    <w:rsid w:val="00CF1F75"/>
    <w:rsid w:val="00CF1FF3"/>
    <w:rsid w:val="00CF2FFF"/>
    <w:rsid w:val="00CF3604"/>
    <w:rsid w:val="00CF41B0"/>
    <w:rsid w:val="00CF4E98"/>
    <w:rsid w:val="00CF6133"/>
    <w:rsid w:val="00CF68C7"/>
    <w:rsid w:val="00CF78A6"/>
    <w:rsid w:val="00D00AC2"/>
    <w:rsid w:val="00D01F55"/>
    <w:rsid w:val="00D03FF8"/>
    <w:rsid w:val="00D048ED"/>
    <w:rsid w:val="00D049E4"/>
    <w:rsid w:val="00D04D73"/>
    <w:rsid w:val="00D06B72"/>
    <w:rsid w:val="00D0787F"/>
    <w:rsid w:val="00D07936"/>
    <w:rsid w:val="00D10AC6"/>
    <w:rsid w:val="00D10D24"/>
    <w:rsid w:val="00D11E5A"/>
    <w:rsid w:val="00D1380A"/>
    <w:rsid w:val="00D141A7"/>
    <w:rsid w:val="00D15C44"/>
    <w:rsid w:val="00D16D7F"/>
    <w:rsid w:val="00D20748"/>
    <w:rsid w:val="00D22061"/>
    <w:rsid w:val="00D230B7"/>
    <w:rsid w:val="00D24180"/>
    <w:rsid w:val="00D248F2"/>
    <w:rsid w:val="00D259F2"/>
    <w:rsid w:val="00D26FE7"/>
    <w:rsid w:val="00D27F42"/>
    <w:rsid w:val="00D30233"/>
    <w:rsid w:val="00D311BD"/>
    <w:rsid w:val="00D31345"/>
    <w:rsid w:val="00D31AD2"/>
    <w:rsid w:val="00D331AD"/>
    <w:rsid w:val="00D33C66"/>
    <w:rsid w:val="00D34D4F"/>
    <w:rsid w:val="00D35065"/>
    <w:rsid w:val="00D37A45"/>
    <w:rsid w:val="00D412B2"/>
    <w:rsid w:val="00D422E5"/>
    <w:rsid w:val="00D44EB6"/>
    <w:rsid w:val="00D44F87"/>
    <w:rsid w:val="00D4526A"/>
    <w:rsid w:val="00D452CF"/>
    <w:rsid w:val="00D477EC"/>
    <w:rsid w:val="00D50125"/>
    <w:rsid w:val="00D522D9"/>
    <w:rsid w:val="00D5233B"/>
    <w:rsid w:val="00D5261C"/>
    <w:rsid w:val="00D53400"/>
    <w:rsid w:val="00D54354"/>
    <w:rsid w:val="00D54BFC"/>
    <w:rsid w:val="00D55C5F"/>
    <w:rsid w:val="00D5697C"/>
    <w:rsid w:val="00D57A5B"/>
    <w:rsid w:val="00D6041F"/>
    <w:rsid w:val="00D61DFB"/>
    <w:rsid w:val="00D61E23"/>
    <w:rsid w:val="00D62E4C"/>
    <w:rsid w:val="00D63B7C"/>
    <w:rsid w:val="00D65BDB"/>
    <w:rsid w:val="00D66301"/>
    <w:rsid w:val="00D67A24"/>
    <w:rsid w:val="00D67E24"/>
    <w:rsid w:val="00D703A8"/>
    <w:rsid w:val="00D7069E"/>
    <w:rsid w:val="00D73BD0"/>
    <w:rsid w:val="00D74408"/>
    <w:rsid w:val="00D760FC"/>
    <w:rsid w:val="00D76340"/>
    <w:rsid w:val="00D7759F"/>
    <w:rsid w:val="00D80363"/>
    <w:rsid w:val="00D809C4"/>
    <w:rsid w:val="00D82EBA"/>
    <w:rsid w:val="00D85297"/>
    <w:rsid w:val="00D867C8"/>
    <w:rsid w:val="00D876DF"/>
    <w:rsid w:val="00D87FF5"/>
    <w:rsid w:val="00D9010A"/>
    <w:rsid w:val="00D9069A"/>
    <w:rsid w:val="00D90DD8"/>
    <w:rsid w:val="00D912F0"/>
    <w:rsid w:val="00D926B6"/>
    <w:rsid w:val="00D93863"/>
    <w:rsid w:val="00D93A4B"/>
    <w:rsid w:val="00D93F79"/>
    <w:rsid w:val="00D93FEB"/>
    <w:rsid w:val="00D94974"/>
    <w:rsid w:val="00D95CEA"/>
    <w:rsid w:val="00D96A0C"/>
    <w:rsid w:val="00D97641"/>
    <w:rsid w:val="00DA081E"/>
    <w:rsid w:val="00DA1557"/>
    <w:rsid w:val="00DA1A7F"/>
    <w:rsid w:val="00DA2B7D"/>
    <w:rsid w:val="00DA397E"/>
    <w:rsid w:val="00DA4A1D"/>
    <w:rsid w:val="00DA5983"/>
    <w:rsid w:val="00DA6723"/>
    <w:rsid w:val="00DA6B45"/>
    <w:rsid w:val="00DA7F4C"/>
    <w:rsid w:val="00DB1108"/>
    <w:rsid w:val="00DB34A7"/>
    <w:rsid w:val="00DB40B5"/>
    <w:rsid w:val="00DB5971"/>
    <w:rsid w:val="00DB5D2D"/>
    <w:rsid w:val="00DB6905"/>
    <w:rsid w:val="00DB727E"/>
    <w:rsid w:val="00DB79B3"/>
    <w:rsid w:val="00DC000E"/>
    <w:rsid w:val="00DC005E"/>
    <w:rsid w:val="00DC1126"/>
    <w:rsid w:val="00DC187D"/>
    <w:rsid w:val="00DC1CBD"/>
    <w:rsid w:val="00DC2264"/>
    <w:rsid w:val="00DC2A9F"/>
    <w:rsid w:val="00DC46D8"/>
    <w:rsid w:val="00DC5AE7"/>
    <w:rsid w:val="00DC610C"/>
    <w:rsid w:val="00DC67C3"/>
    <w:rsid w:val="00DC7AA7"/>
    <w:rsid w:val="00DC7CD2"/>
    <w:rsid w:val="00DD02FE"/>
    <w:rsid w:val="00DD1DD1"/>
    <w:rsid w:val="00DD25C5"/>
    <w:rsid w:val="00DD65C6"/>
    <w:rsid w:val="00DD7FE9"/>
    <w:rsid w:val="00DE0F63"/>
    <w:rsid w:val="00DE38EE"/>
    <w:rsid w:val="00DE630D"/>
    <w:rsid w:val="00DE7912"/>
    <w:rsid w:val="00DF10D5"/>
    <w:rsid w:val="00DF2479"/>
    <w:rsid w:val="00DF2EAA"/>
    <w:rsid w:val="00DF313B"/>
    <w:rsid w:val="00DF37E2"/>
    <w:rsid w:val="00DF4C25"/>
    <w:rsid w:val="00DF5686"/>
    <w:rsid w:val="00DF58D7"/>
    <w:rsid w:val="00DF63D5"/>
    <w:rsid w:val="00DF6B4D"/>
    <w:rsid w:val="00DF6BC8"/>
    <w:rsid w:val="00E039CD"/>
    <w:rsid w:val="00E03A36"/>
    <w:rsid w:val="00E05808"/>
    <w:rsid w:val="00E05E2A"/>
    <w:rsid w:val="00E0657F"/>
    <w:rsid w:val="00E10138"/>
    <w:rsid w:val="00E1077B"/>
    <w:rsid w:val="00E109A6"/>
    <w:rsid w:val="00E10B3A"/>
    <w:rsid w:val="00E111D7"/>
    <w:rsid w:val="00E12636"/>
    <w:rsid w:val="00E12AF7"/>
    <w:rsid w:val="00E130BF"/>
    <w:rsid w:val="00E13E10"/>
    <w:rsid w:val="00E13FB9"/>
    <w:rsid w:val="00E156DB"/>
    <w:rsid w:val="00E15AEF"/>
    <w:rsid w:val="00E174BB"/>
    <w:rsid w:val="00E231F5"/>
    <w:rsid w:val="00E2339F"/>
    <w:rsid w:val="00E239BA"/>
    <w:rsid w:val="00E24EE2"/>
    <w:rsid w:val="00E25C36"/>
    <w:rsid w:val="00E2612C"/>
    <w:rsid w:val="00E265D0"/>
    <w:rsid w:val="00E26DCA"/>
    <w:rsid w:val="00E27C39"/>
    <w:rsid w:val="00E27C97"/>
    <w:rsid w:val="00E27F6D"/>
    <w:rsid w:val="00E3078B"/>
    <w:rsid w:val="00E3118D"/>
    <w:rsid w:val="00E319DB"/>
    <w:rsid w:val="00E325AF"/>
    <w:rsid w:val="00E32644"/>
    <w:rsid w:val="00E34DE8"/>
    <w:rsid w:val="00E34F27"/>
    <w:rsid w:val="00E36043"/>
    <w:rsid w:val="00E4016E"/>
    <w:rsid w:val="00E40457"/>
    <w:rsid w:val="00E408AB"/>
    <w:rsid w:val="00E415A4"/>
    <w:rsid w:val="00E4196A"/>
    <w:rsid w:val="00E41AD5"/>
    <w:rsid w:val="00E446D1"/>
    <w:rsid w:val="00E4672B"/>
    <w:rsid w:val="00E47E4D"/>
    <w:rsid w:val="00E51360"/>
    <w:rsid w:val="00E525E0"/>
    <w:rsid w:val="00E549B4"/>
    <w:rsid w:val="00E5701B"/>
    <w:rsid w:val="00E61772"/>
    <w:rsid w:val="00E61C9E"/>
    <w:rsid w:val="00E63C86"/>
    <w:rsid w:val="00E64B4F"/>
    <w:rsid w:val="00E6626A"/>
    <w:rsid w:val="00E66F23"/>
    <w:rsid w:val="00E7224B"/>
    <w:rsid w:val="00E722DC"/>
    <w:rsid w:val="00E7667B"/>
    <w:rsid w:val="00E76F25"/>
    <w:rsid w:val="00E77C5C"/>
    <w:rsid w:val="00E81C7C"/>
    <w:rsid w:val="00E81CEE"/>
    <w:rsid w:val="00E83308"/>
    <w:rsid w:val="00E8415C"/>
    <w:rsid w:val="00E84F3A"/>
    <w:rsid w:val="00E85011"/>
    <w:rsid w:val="00E85458"/>
    <w:rsid w:val="00E87F4D"/>
    <w:rsid w:val="00E90FCA"/>
    <w:rsid w:val="00E91F07"/>
    <w:rsid w:val="00E926C4"/>
    <w:rsid w:val="00E9311F"/>
    <w:rsid w:val="00E93306"/>
    <w:rsid w:val="00E9342E"/>
    <w:rsid w:val="00E94F78"/>
    <w:rsid w:val="00E96BAB"/>
    <w:rsid w:val="00E97114"/>
    <w:rsid w:val="00E97731"/>
    <w:rsid w:val="00EA0805"/>
    <w:rsid w:val="00EA0B16"/>
    <w:rsid w:val="00EA12B1"/>
    <w:rsid w:val="00EA1922"/>
    <w:rsid w:val="00EA2DF9"/>
    <w:rsid w:val="00EA3AE7"/>
    <w:rsid w:val="00EA3C8E"/>
    <w:rsid w:val="00EA5991"/>
    <w:rsid w:val="00EA60FF"/>
    <w:rsid w:val="00EA79DC"/>
    <w:rsid w:val="00EB05F8"/>
    <w:rsid w:val="00EB2162"/>
    <w:rsid w:val="00EB2E79"/>
    <w:rsid w:val="00EB4862"/>
    <w:rsid w:val="00EB48E9"/>
    <w:rsid w:val="00EB5A68"/>
    <w:rsid w:val="00EB6030"/>
    <w:rsid w:val="00EB7359"/>
    <w:rsid w:val="00EB787A"/>
    <w:rsid w:val="00EB7D8C"/>
    <w:rsid w:val="00EC14B9"/>
    <w:rsid w:val="00EC1D98"/>
    <w:rsid w:val="00EC2A79"/>
    <w:rsid w:val="00EC2BC1"/>
    <w:rsid w:val="00EC2F88"/>
    <w:rsid w:val="00EC31E5"/>
    <w:rsid w:val="00EC36F6"/>
    <w:rsid w:val="00EC42E6"/>
    <w:rsid w:val="00EC57AF"/>
    <w:rsid w:val="00ED08D4"/>
    <w:rsid w:val="00ED1BE7"/>
    <w:rsid w:val="00ED2076"/>
    <w:rsid w:val="00ED22AD"/>
    <w:rsid w:val="00ED2CFA"/>
    <w:rsid w:val="00ED49F6"/>
    <w:rsid w:val="00ED4BB6"/>
    <w:rsid w:val="00ED5692"/>
    <w:rsid w:val="00ED56F6"/>
    <w:rsid w:val="00ED57E9"/>
    <w:rsid w:val="00ED68F1"/>
    <w:rsid w:val="00ED6DD0"/>
    <w:rsid w:val="00ED7201"/>
    <w:rsid w:val="00EE314B"/>
    <w:rsid w:val="00EE47AA"/>
    <w:rsid w:val="00EE5BE7"/>
    <w:rsid w:val="00EE6654"/>
    <w:rsid w:val="00EE6C47"/>
    <w:rsid w:val="00EF003B"/>
    <w:rsid w:val="00EF0D2F"/>
    <w:rsid w:val="00EF119F"/>
    <w:rsid w:val="00EF30A3"/>
    <w:rsid w:val="00EF31C0"/>
    <w:rsid w:val="00EF3C35"/>
    <w:rsid w:val="00EF4A71"/>
    <w:rsid w:val="00EF510D"/>
    <w:rsid w:val="00EF7AE8"/>
    <w:rsid w:val="00EF7C1C"/>
    <w:rsid w:val="00F0088F"/>
    <w:rsid w:val="00F00C1A"/>
    <w:rsid w:val="00F0169B"/>
    <w:rsid w:val="00F01802"/>
    <w:rsid w:val="00F01D12"/>
    <w:rsid w:val="00F01D6E"/>
    <w:rsid w:val="00F03470"/>
    <w:rsid w:val="00F04583"/>
    <w:rsid w:val="00F0466F"/>
    <w:rsid w:val="00F04C2F"/>
    <w:rsid w:val="00F0500D"/>
    <w:rsid w:val="00F0530D"/>
    <w:rsid w:val="00F060C8"/>
    <w:rsid w:val="00F06600"/>
    <w:rsid w:val="00F07682"/>
    <w:rsid w:val="00F113E6"/>
    <w:rsid w:val="00F130D2"/>
    <w:rsid w:val="00F15B52"/>
    <w:rsid w:val="00F15F74"/>
    <w:rsid w:val="00F168F6"/>
    <w:rsid w:val="00F16AE8"/>
    <w:rsid w:val="00F16C52"/>
    <w:rsid w:val="00F174AB"/>
    <w:rsid w:val="00F178BA"/>
    <w:rsid w:val="00F23837"/>
    <w:rsid w:val="00F25C10"/>
    <w:rsid w:val="00F31FAA"/>
    <w:rsid w:val="00F32320"/>
    <w:rsid w:val="00F3426D"/>
    <w:rsid w:val="00F34BAF"/>
    <w:rsid w:val="00F35664"/>
    <w:rsid w:val="00F35BAA"/>
    <w:rsid w:val="00F35CBE"/>
    <w:rsid w:val="00F3717E"/>
    <w:rsid w:val="00F43592"/>
    <w:rsid w:val="00F43A04"/>
    <w:rsid w:val="00F44973"/>
    <w:rsid w:val="00F50FFA"/>
    <w:rsid w:val="00F534F3"/>
    <w:rsid w:val="00F548C1"/>
    <w:rsid w:val="00F60015"/>
    <w:rsid w:val="00F60480"/>
    <w:rsid w:val="00F615C1"/>
    <w:rsid w:val="00F62758"/>
    <w:rsid w:val="00F63737"/>
    <w:rsid w:val="00F6463C"/>
    <w:rsid w:val="00F64E1E"/>
    <w:rsid w:val="00F6574A"/>
    <w:rsid w:val="00F662ED"/>
    <w:rsid w:val="00F7150C"/>
    <w:rsid w:val="00F72208"/>
    <w:rsid w:val="00F7557F"/>
    <w:rsid w:val="00F77460"/>
    <w:rsid w:val="00F77CEC"/>
    <w:rsid w:val="00F77E1B"/>
    <w:rsid w:val="00F80CEA"/>
    <w:rsid w:val="00F80EA8"/>
    <w:rsid w:val="00F819AA"/>
    <w:rsid w:val="00F82699"/>
    <w:rsid w:val="00F82E48"/>
    <w:rsid w:val="00F8485C"/>
    <w:rsid w:val="00F87280"/>
    <w:rsid w:val="00F8750C"/>
    <w:rsid w:val="00F90B65"/>
    <w:rsid w:val="00F91BC4"/>
    <w:rsid w:val="00F93781"/>
    <w:rsid w:val="00F93A10"/>
    <w:rsid w:val="00F95CAB"/>
    <w:rsid w:val="00F95F62"/>
    <w:rsid w:val="00F9611D"/>
    <w:rsid w:val="00F97661"/>
    <w:rsid w:val="00F97D5E"/>
    <w:rsid w:val="00F97D6D"/>
    <w:rsid w:val="00FA046F"/>
    <w:rsid w:val="00FA147E"/>
    <w:rsid w:val="00FA153B"/>
    <w:rsid w:val="00FA16C9"/>
    <w:rsid w:val="00FA39BD"/>
    <w:rsid w:val="00FA3EDE"/>
    <w:rsid w:val="00FA46CD"/>
    <w:rsid w:val="00FA4980"/>
    <w:rsid w:val="00FA6BB6"/>
    <w:rsid w:val="00FA75C7"/>
    <w:rsid w:val="00FA7FD2"/>
    <w:rsid w:val="00FB01BA"/>
    <w:rsid w:val="00FB0443"/>
    <w:rsid w:val="00FB1A8D"/>
    <w:rsid w:val="00FB31A5"/>
    <w:rsid w:val="00FB5E6E"/>
    <w:rsid w:val="00FB65FC"/>
    <w:rsid w:val="00FC1DBF"/>
    <w:rsid w:val="00FC32D0"/>
    <w:rsid w:val="00FC3B6C"/>
    <w:rsid w:val="00FC3FFA"/>
    <w:rsid w:val="00FC4843"/>
    <w:rsid w:val="00FC6671"/>
    <w:rsid w:val="00FD0BBE"/>
    <w:rsid w:val="00FD0F7D"/>
    <w:rsid w:val="00FD1F1D"/>
    <w:rsid w:val="00FD225C"/>
    <w:rsid w:val="00FD27CD"/>
    <w:rsid w:val="00FD30D8"/>
    <w:rsid w:val="00FD3942"/>
    <w:rsid w:val="00FD5312"/>
    <w:rsid w:val="00FD65C3"/>
    <w:rsid w:val="00FD716E"/>
    <w:rsid w:val="00FE17AF"/>
    <w:rsid w:val="00FE330D"/>
    <w:rsid w:val="00FE33E2"/>
    <w:rsid w:val="00FE362A"/>
    <w:rsid w:val="00FE3963"/>
    <w:rsid w:val="00FE576B"/>
    <w:rsid w:val="00FE614A"/>
    <w:rsid w:val="00FE6B02"/>
    <w:rsid w:val="00FE791F"/>
    <w:rsid w:val="00FF004B"/>
    <w:rsid w:val="00FF178F"/>
    <w:rsid w:val="00FF2311"/>
    <w:rsid w:val="00FF4C88"/>
    <w:rsid w:val="00FF556C"/>
    <w:rsid w:val="00FF6183"/>
    <w:rsid w:val="00FF6795"/>
    <w:rsid w:val="00FF6E7B"/>
    <w:rsid w:val="00FF723E"/>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07AF5630"/>
  <w15:chartTrackingRefBased/>
  <w15:docId w15:val="{C8F3D3F9-5125-4FCC-BB73-5477580F359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Standard"/>
    <w:link w:val="Heading1Char"/>
    <w:uiPriority w:val="4"/>
    <w:qFormat/>
    <w:rsid w:val="00143815"/>
    <w:pPr>
      <w:keepNext/>
      <w:keepLines/>
      <w:numPr>
        <w:numId w:val="11"/>
      </w:numPr>
      <w:spacing w:after="120"/>
      <w:outlineLvl w:val="0"/>
    </w:pPr>
    <w:rPr>
      <w:rFonts w:ascii="Arial" w:hAnsi="Arial"/>
      <w:b/>
      <w:sz w:val="26"/>
      <w:szCs w:val="32"/>
    </w:rPr>
  </w:style>
  <w:style w:type="paragraph" w:styleId="Heading2">
    <w:name w:val="heading 2"/>
    <w:basedOn w:val="Normal"/>
    <w:next w:val="Standard"/>
    <w:link w:val="Heading2Char"/>
    <w:uiPriority w:val="4"/>
    <w:qFormat/>
    <w:rsid w:val="00143815"/>
    <w:pPr>
      <w:keepNext/>
      <w:keepLines/>
      <w:numPr>
        <w:ilvl w:val="1"/>
        <w:numId w:val="11"/>
      </w:numPr>
      <w:spacing w:after="120"/>
      <w:outlineLvl w:val="1"/>
    </w:pPr>
    <w:rPr>
      <w:rFonts w:ascii="Arial" w:eastAsia="Calibri" w:hAnsi="Arial" w:cs="Arial"/>
      <w:b/>
      <w:sz w:val="26"/>
      <w:szCs w:val="26"/>
    </w:rPr>
  </w:style>
  <w:style w:type="paragraph" w:styleId="Heading3">
    <w:name w:val="heading 3"/>
    <w:basedOn w:val="Normal"/>
    <w:next w:val="Standard"/>
    <w:link w:val="Heading3Char"/>
    <w:uiPriority w:val="4"/>
    <w:qFormat/>
    <w:rsid w:val="00143815"/>
    <w:pPr>
      <w:keepNext/>
      <w:keepLines/>
      <w:numPr>
        <w:ilvl w:val="2"/>
        <w:numId w:val="11"/>
      </w:numPr>
      <w:spacing w:after="120"/>
      <w:outlineLvl w:val="2"/>
    </w:pPr>
    <w:rPr>
      <w:rFonts w:ascii="Arial" w:hAnsi="Arial"/>
      <w:b/>
      <w:sz w:val="26"/>
      <w:szCs w:val="24"/>
    </w:rPr>
  </w:style>
  <w:style w:type="paragraph" w:styleId="Heading4">
    <w:name w:val="heading 4"/>
    <w:basedOn w:val="Normal"/>
    <w:next w:val="Standard"/>
    <w:link w:val="Heading4Char"/>
    <w:uiPriority w:val="4"/>
    <w:rsid w:val="00143815"/>
    <w:pPr>
      <w:keepNext/>
      <w:keepLines/>
      <w:numPr>
        <w:ilvl w:val="3"/>
        <w:numId w:val="11"/>
      </w:numPr>
      <w:spacing w:after="120"/>
      <w:outlineLvl w:val="3"/>
    </w:pPr>
    <w:rPr>
      <w:rFonts w:ascii="Arial" w:hAnsi="Arial"/>
      <w:b/>
      <w:iCs/>
      <w:sz w:val="26"/>
      <w:szCs w:val="26"/>
    </w:rPr>
  </w:style>
  <w:style w:type="paragraph" w:styleId="Heading5">
    <w:name w:val="heading 5"/>
    <w:basedOn w:val="Normal"/>
    <w:next w:val="Standard"/>
    <w:link w:val="Heading5Char"/>
    <w:uiPriority w:val="4"/>
    <w:rsid w:val="00143815"/>
    <w:pPr>
      <w:keepNext/>
      <w:keepLines/>
      <w:numPr>
        <w:ilvl w:val="4"/>
        <w:numId w:val="11"/>
      </w:numPr>
      <w:spacing w:after="120"/>
      <w:outlineLvl w:val="4"/>
    </w:pPr>
    <w:rPr>
      <w:rFonts w:ascii="Arial" w:hAnsi="Arial"/>
      <w:b/>
      <w:sz w:val="26"/>
      <w:szCs w:val="26"/>
    </w:rPr>
  </w:style>
  <w:style w:type="paragraph" w:styleId="Heading6">
    <w:name w:val="heading 6"/>
    <w:basedOn w:val="Normal"/>
    <w:next w:val="Standard"/>
    <w:link w:val="Heading6Char"/>
    <w:uiPriority w:val="4"/>
    <w:rsid w:val="00143815"/>
    <w:pPr>
      <w:keepNext/>
      <w:keepLines/>
      <w:numPr>
        <w:ilvl w:val="5"/>
        <w:numId w:val="11"/>
      </w:numPr>
      <w:spacing w:before="40" w:after="120"/>
      <w:outlineLvl w:val="5"/>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style>
  <w:style w:type="character" w:styleId="FootnoteReference">
    <w:name w:val="footnote reference"/>
    <w:aliases w:val="o,fr,o1,o2,o3,o4,o5,o6,o11,o21,o7"/>
    <w:uiPriority w:val="99"/>
    <w:qForma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0">
    <w:name w:val="standard"/>
    <w:basedOn w:val="Normal"/>
    <w:link w:val="standardChar"/>
    <w:pPr>
      <w:spacing w:line="360" w:lineRule="auto"/>
      <w:ind w:firstLine="720"/>
    </w:pPr>
  </w:style>
  <w:style w:type="paragraph" w:styleId="Title">
    <w:name w:val="Title"/>
    <w:basedOn w:val="Normal"/>
    <w:link w:val="TitleChar"/>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0"/>
    <w:rPr>
      <w:rFonts w:ascii="Palatino" w:hAnsi="Palatino"/>
      <w:sz w:val="24"/>
      <w:lang w:val="en-US" w:eastAsia="en-US" w:bidi="ar-SA"/>
    </w:rPr>
  </w:style>
  <w:style w:type="paragraph" w:customStyle="1" w:styleId="Standard">
    <w:name w:val="Standard"/>
    <w:basedOn w:val="Normal"/>
    <w:qFormat/>
    <w:rsid w:val="000B5192"/>
    <w:pPr>
      <w:spacing w:line="360" w:lineRule="auto"/>
      <w:ind w:firstLine="720"/>
    </w:pPr>
    <w:rPr>
      <w:rFonts w:ascii="Book Antiqua" w:eastAsia="Calibri" w:hAnsi="Book Antiqua"/>
      <w:sz w:val="26"/>
      <w:szCs w:val="22"/>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0B5192"/>
    <w:rPr>
      <w:rFonts w:ascii="Palatino" w:hAnsi="Palatino"/>
      <w:sz w:val="24"/>
    </w:rPr>
  </w:style>
  <w:style w:type="paragraph" w:styleId="ListParagraph">
    <w:name w:val="List Paragraph"/>
    <w:basedOn w:val="Normal"/>
    <w:link w:val="ListParagraphChar"/>
    <w:uiPriority w:val="34"/>
    <w:qFormat/>
    <w:rsid w:val="000B5192"/>
    <w:pPr>
      <w:spacing w:line="360" w:lineRule="auto"/>
      <w:ind w:left="720" w:firstLine="720"/>
      <w:contextualSpacing/>
    </w:pPr>
    <w:rPr>
      <w:rFonts w:ascii="Book Antiqua" w:eastAsia="Calibri" w:hAnsi="Book Antiqua"/>
      <w:sz w:val="26"/>
      <w:szCs w:val="22"/>
    </w:rPr>
  </w:style>
  <w:style w:type="paragraph" w:styleId="BalloonText">
    <w:name w:val="Balloon Text"/>
    <w:basedOn w:val="Normal"/>
    <w:link w:val="BalloonTextChar"/>
    <w:rsid w:val="0022206F"/>
    <w:rPr>
      <w:rFonts w:ascii="Segoe UI" w:hAnsi="Segoe UI" w:cs="Segoe UI"/>
      <w:sz w:val="18"/>
      <w:szCs w:val="18"/>
    </w:rPr>
  </w:style>
  <w:style w:type="character" w:customStyle="1" w:styleId="BalloonTextChar">
    <w:name w:val="Balloon Text Char"/>
    <w:link w:val="BalloonText"/>
    <w:rsid w:val="0022206F"/>
    <w:rPr>
      <w:rFonts w:ascii="Segoe UI" w:hAnsi="Segoe UI" w:cs="Segoe UI"/>
      <w:sz w:val="18"/>
      <w:szCs w:val="18"/>
    </w:rPr>
  </w:style>
  <w:style w:type="character" w:customStyle="1" w:styleId="Heading1Char">
    <w:name w:val="Heading 1 Char"/>
    <w:link w:val="Heading1"/>
    <w:uiPriority w:val="4"/>
    <w:rsid w:val="00143815"/>
    <w:rPr>
      <w:rFonts w:ascii="Arial" w:hAnsi="Arial"/>
      <w:b/>
      <w:sz w:val="26"/>
      <w:szCs w:val="32"/>
    </w:rPr>
  </w:style>
  <w:style w:type="character" w:customStyle="1" w:styleId="Heading2Char">
    <w:name w:val="Heading 2 Char"/>
    <w:link w:val="Heading2"/>
    <w:uiPriority w:val="4"/>
    <w:rsid w:val="00143815"/>
    <w:rPr>
      <w:rFonts w:ascii="Arial" w:eastAsia="Calibri" w:hAnsi="Arial" w:cs="Arial"/>
      <w:b/>
      <w:sz w:val="26"/>
      <w:szCs w:val="26"/>
    </w:rPr>
  </w:style>
  <w:style w:type="character" w:customStyle="1" w:styleId="Heading3Char">
    <w:name w:val="Heading 3 Char"/>
    <w:link w:val="Heading3"/>
    <w:uiPriority w:val="4"/>
    <w:rsid w:val="00143815"/>
    <w:rPr>
      <w:rFonts w:ascii="Arial" w:hAnsi="Arial"/>
      <w:b/>
      <w:sz w:val="26"/>
      <w:szCs w:val="24"/>
    </w:rPr>
  </w:style>
  <w:style w:type="character" w:customStyle="1" w:styleId="Heading4Char">
    <w:name w:val="Heading 4 Char"/>
    <w:link w:val="Heading4"/>
    <w:uiPriority w:val="4"/>
    <w:rsid w:val="00143815"/>
    <w:rPr>
      <w:rFonts w:ascii="Arial" w:hAnsi="Arial"/>
      <w:b/>
      <w:iCs/>
      <w:sz w:val="26"/>
      <w:szCs w:val="26"/>
    </w:rPr>
  </w:style>
  <w:style w:type="character" w:customStyle="1" w:styleId="Heading5Char">
    <w:name w:val="Heading 5 Char"/>
    <w:link w:val="Heading5"/>
    <w:uiPriority w:val="4"/>
    <w:rsid w:val="00143815"/>
    <w:rPr>
      <w:rFonts w:ascii="Arial" w:hAnsi="Arial"/>
      <w:b/>
      <w:sz w:val="26"/>
      <w:szCs w:val="26"/>
    </w:rPr>
  </w:style>
  <w:style w:type="character" w:customStyle="1" w:styleId="Heading6Char">
    <w:name w:val="Heading 6 Char"/>
    <w:link w:val="Heading6"/>
    <w:uiPriority w:val="4"/>
    <w:rsid w:val="00143815"/>
    <w:rPr>
      <w:rFonts w:ascii="Arial" w:hAnsi="Arial"/>
      <w:b/>
      <w:sz w:val="26"/>
      <w:szCs w:val="26"/>
    </w:rPr>
  </w:style>
  <w:style w:type="paragraph" w:customStyle="1" w:styleId="BlockQuote">
    <w:name w:val="Block Quote"/>
    <w:basedOn w:val="Standard"/>
    <w:uiPriority w:val="5"/>
    <w:qFormat/>
    <w:rsid w:val="00143815"/>
    <w:pPr>
      <w:spacing w:after="120" w:line="240" w:lineRule="auto"/>
      <w:ind w:left="720" w:right="720" w:firstLine="0"/>
    </w:pPr>
  </w:style>
  <w:style w:type="numbering" w:customStyle="1" w:styleId="Headings">
    <w:name w:val="Headings"/>
    <w:uiPriority w:val="99"/>
    <w:rsid w:val="00143815"/>
    <w:pPr>
      <w:numPr>
        <w:numId w:val="11"/>
      </w:numPr>
    </w:pPr>
  </w:style>
  <w:style w:type="paragraph" w:customStyle="1" w:styleId="ListAlpha">
    <w:name w:val="List Alpha"/>
    <w:basedOn w:val="Standard"/>
    <w:uiPriority w:val="4"/>
    <w:qFormat/>
    <w:rsid w:val="00143815"/>
    <w:pPr>
      <w:numPr>
        <w:ilvl w:val="7"/>
        <w:numId w:val="11"/>
      </w:numPr>
      <w:spacing w:after="120" w:line="240" w:lineRule="auto"/>
      <w:ind w:left="4680" w:hanging="1800"/>
    </w:pPr>
  </w:style>
  <w:style w:type="character" w:styleId="CommentReference">
    <w:name w:val="annotation reference"/>
    <w:rsid w:val="00D5233B"/>
    <w:rPr>
      <w:sz w:val="16"/>
      <w:szCs w:val="16"/>
    </w:rPr>
  </w:style>
  <w:style w:type="paragraph" w:styleId="CommentText">
    <w:name w:val="annotation text"/>
    <w:basedOn w:val="Normal"/>
    <w:link w:val="CommentTextChar"/>
    <w:rsid w:val="00D5233B"/>
    <w:rPr>
      <w:sz w:val="20"/>
    </w:rPr>
  </w:style>
  <w:style w:type="character" w:customStyle="1" w:styleId="CommentTextChar">
    <w:name w:val="Comment Text Char"/>
    <w:link w:val="CommentText"/>
    <w:rsid w:val="00D5233B"/>
    <w:rPr>
      <w:rFonts w:ascii="Palatino" w:hAnsi="Palatino"/>
    </w:rPr>
  </w:style>
  <w:style w:type="paragraph" w:styleId="CommentSubject">
    <w:name w:val="annotation subject"/>
    <w:basedOn w:val="CommentText"/>
    <w:next w:val="CommentText"/>
    <w:link w:val="CommentSubjectChar"/>
    <w:rsid w:val="00D5233B"/>
    <w:rPr>
      <w:b/>
      <w:bCs/>
    </w:rPr>
  </w:style>
  <w:style w:type="character" w:customStyle="1" w:styleId="CommentSubjectChar">
    <w:name w:val="Comment Subject Char"/>
    <w:link w:val="CommentSubject"/>
    <w:rsid w:val="00D5233B"/>
    <w:rPr>
      <w:rFonts w:ascii="Palatino" w:hAnsi="Palatino"/>
      <w:b/>
      <w:bCs/>
    </w:rPr>
  </w:style>
  <w:style w:type="paragraph" w:customStyle="1" w:styleId="Default">
    <w:name w:val="Default"/>
    <w:rsid w:val="00CB145B"/>
    <w:pPr>
      <w:autoSpaceDE w:val="0"/>
      <w:autoSpaceDN w:val="0"/>
      <w:adjustRightInd w:val="0"/>
    </w:pPr>
    <w:rPr>
      <w:rFonts w:eastAsia="Calibri"/>
      <w:color w:val="000000"/>
      <w:sz w:val="24"/>
      <w:szCs w:val="24"/>
    </w:rPr>
  </w:style>
  <w:style w:type="character" w:customStyle="1" w:styleId="ListParagraphChar">
    <w:name w:val="List Paragraph Char"/>
    <w:link w:val="ListParagraph"/>
    <w:uiPriority w:val="34"/>
    <w:rsid w:val="00DF2479"/>
    <w:rPr>
      <w:rFonts w:ascii="Book Antiqua" w:eastAsia="Calibri" w:hAnsi="Book Antiqua"/>
      <w:sz w:val="26"/>
      <w:szCs w:val="22"/>
    </w:rPr>
  </w:style>
  <w:style w:type="paragraph" w:customStyle="1" w:styleId="BookAntiqua">
    <w:name w:val="BookAntiqua"/>
    <w:basedOn w:val="ListParagraph"/>
    <w:qFormat/>
    <w:rsid w:val="007F4C66"/>
    <w:pPr>
      <w:numPr>
        <w:numId w:val="25"/>
      </w:numPr>
      <w:tabs>
        <w:tab w:val="num" w:pos="216"/>
      </w:tabs>
      <w:spacing w:after="160" w:line="259" w:lineRule="auto"/>
      <w:ind w:left="216" w:hanging="216"/>
    </w:pPr>
    <w:rPr>
      <w:rFonts w:cs="Arial"/>
      <w:b/>
      <w:bCs/>
      <w:sz w:val="24"/>
      <w:szCs w:val="24"/>
      <w:u w:val="single"/>
    </w:rPr>
  </w:style>
  <w:style w:type="character" w:customStyle="1" w:styleId="ssleftalign">
    <w:name w:val="ss_leftalign"/>
    <w:basedOn w:val="DefaultParagraphFont"/>
    <w:rsid w:val="00E174BB"/>
  </w:style>
  <w:style w:type="character" w:customStyle="1" w:styleId="TitleChar">
    <w:name w:val="Title Char"/>
    <w:basedOn w:val="DefaultParagraphFont"/>
    <w:link w:val="Title"/>
    <w:rsid w:val="006D0A8D"/>
    <w:rPr>
      <w:rFonts w:ascii="Helvetica" w:hAnsi="Helvetica"/>
      <w:b/>
      <w:sz w:val="24"/>
    </w:rPr>
  </w:style>
  <w:style w:type="character" w:customStyle="1" w:styleId="FooterChar">
    <w:name w:val="Footer Char"/>
    <w:basedOn w:val="DefaultParagraphFont"/>
    <w:link w:val="Footer"/>
    <w:uiPriority w:val="99"/>
    <w:rsid w:val="006D0A8D"/>
    <w:rPr>
      <w:rFonts w:ascii="Palatino" w:hAnsi="Palatino"/>
      <w:sz w:val="24"/>
    </w:rPr>
  </w:style>
  <w:style w:type="paragraph" w:styleId="Revision">
    <w:name w:val="Revision"/>
    <w:hidden/>
    <w:uiPriority w:val="99"/>
    <w:semiHidden/>
    <w:rsid w:val="000E494E"/>
    <w:rPr>
      <w:rFonts w:ascii="Palatino" w:hAnsi="Palatino"/>
      <w:sz w:val="24"/>
    </w:rPr>
  </w:style>
  <w:style w:type="character" w:styleId="Hyperlink">
    <w:name w:val="Hyperlink"/>
    <w:basedOn w:val="DefaultParagraphFont"/>
    <w:uiPriority w:val="99"/>
    <w:unhideWhenUsed/>
    <w:rsid w:val="00E10138"/>
    <w:rPr>
      <w:color w:val="0000FF"/>
      <w:u w:val="single"/>
    </w:rPr>
  </w:style>
  <w:style w:type="character" w:styleId="FollowedHyperlink">
    <w:name w:val="FollowedHyperlink"/>
    <w:basedOn w:val="DefaultParagraphFont"/>
    <w:rsid w:val="00C8316D"/>
    <w:rPr>
      <w:color w:val="954F72" w:themeColor="followedHyperlink"/>
      <w:u w:val="single"/>
    </w:rPr>
  </w:style>
  <w:style w:type="character" w:customStyle="1" w:styleId="HeaderChar">
    <w:name w:val="Header Char"/>
    <w:basedOn w:val="DefaultParagraphFont"/>
    <w:link w:val="Header"/>
    <w:rsid w:val="00377AC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2066440666">
      <w:bodyDiv w:val="1"/>
      <w:marLeft w:val="0"/>
      <w:marRight w:val="0"/>
      <w:marTop w:val="0"/>
      <w:marBottom w:val="0"/>
      <w:divBdr>
        <w:top w:val="none" w:sz="0" w:space="0" w:color="auto"/>
        <w:left w:val="none" w:sz="0" w:space="0" w:color="auto"/>
        <w:bottom w:val="none" w:sz="0" w:space="0" w:color="auto"/>
        <w:right w:val="none" w:sz="0" w:space="0" w:color="auto"/>
      </w:divBdr>
      <w:divsChild>
        <w:div w:id="17788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divisions/consumer-protection-and-enforcement-division/documents/ueb/energy-citations/ueb-energy-citations---updated-1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136B-F4F1-47FC-A7C1-F0A0647EC1D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5570</ap:Words>
  <ap:Characters>31752</ap:Characters>
  <ap:Application>Microsoft Office Word</ap:Application>
  <ap:DocSecurity>0</ap:DocSecurity>
  <ap:Lines>264</ap:Lines>
  <ap:Paragraphs>74</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37248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2023-01-30T11:33:05Z</dcterms:created>
  <dcterms:modified xsi:type="dcterms:W3CDTF">2023-01-30T11:33:05Z</dcterms:modified>
</cp:coreProperties>
</file>