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B5E59" w:rsidR="00B60421" w:rsidP="007E0FEE" w:rsidRDefault="00F5196B" w14:paraId="120273DC" w14:textId="1D83F21F">
      <w:pPr>
        <w:tabs>
          <w:tab w:val="center" w:pos="4680"/>
          <w:tab w:val="right" w:pos="9360"/>
        </w:tabs>
        <w:spacing w:line="240" w:lineRule="auto"/>
        <w:ind w:firstLine="0"/>
      </w:pPr>
      <w:r w:rsidRPr="00CB5E59">
        <w:t>ALJ</w:t>
      </w:r>
      <w:r w:rsidRPr="00CB5E59" w:rsidR="00DA7B5D">
        <w:t>/</w:t>
      </w:r>
      <w:r w:rsidRPr="00CB5E59" w:rsidR="00D50AD0">
        <w:t>RMD</w:t>
      </w:r>
      <w:r w:rsidRPr="00CB5E59" w:rsidR="00B13F51">
        <w:t>/JOR</w:t>
      </w:r>
      <w:r w:rsidRPr="00CB5E59" w:rsidR="00D50AD0">
        <w:t>/mef</w:t>
      </w:r>
      <w:r w:rsidR="004009D9">
        <w:t xml:space="preserve">   </w:t>
      </w:r>
      <w:r w:rsidRPr="00CB5E59" w:rsidR="00DA7B5D">
        <w:rPr>
          <w:rFonts w:ascii="Arial" w:hAnsi="Arial" w:cs="Arial"/>
          <w:b/>
          <w:bCs/>
          <w:sz w:val="32"/>
          <w:szCs w:val="32"/>
        </w:rPr>
        <w:t>PROPOSED DECISION</w:t>
      </w:r>
      <w:r w:rsidRPr="00CB5E59" w:rsidR="00633730">
        <w:tab/>
      </w:r>
      <w:r w:rsidRPr="004009D9" w:rsidR="00DA7B5D">
        <w:rPr>
          <w:b/>
          <w:bCs/>
          <w:szCs w:val="26"/>
        </w:rPr>
        <w:t>Agenda ID #</w:t>
      </w:r>
      <w:proofErr w:type="gramStart"/>
      <w:r w:rsidRPr="004009D9" w:rsidR="006A3D21">
        <w:rPr>
          <w:b/>
          <w:bCs/>
          <w:szCs w:val="26"/>
        </w:rPr>
        <w:t>21237</w:t>
      </w:r>
      <w:r w:rsidRPr="004009D9" w:rsidR="004009D9">
        <w:rPr>
          <w:b/>
          <w:bCs/>
          <w:szCs w:val="26"/>
        </w:rPr>
        <w:t xml:space="preserve">  (</w:t>
      </w:r>
      <w:proofErr w:type="gramEnd"/>
      <w:r w:rsidRPr="004009D9" w:rsidR="004009D9">
        <w:rPr>
          <w:b/>
          <w:bCs/>
          <w:szCs w:val="26"/>
        </w:rPr>
        <w:t>Rev. 1)</w:t>
      </w:r>
    </w:p>
    <w:p w:rsidR="00DA7B5D" w:rsidP="72C23D9D" w:rsidRDefault="00D50AD0" w14:paraId="00700CAD" w14:textId="79AC1314">
      <w:pPr>
        <w:spacing w:line="240" w:lineRule="auto"/>
        <w:jc w:val="right"/>
        <w:rPr>
          <w:b/>
          <w:bCs/>
        </w:rPr>
      </w:pPr>
      <w:r w:rsidRPr="00CB5E59">
        <w:rPr>
          <w:b/>
          <w:bCs/>
        </w:rPr>
        <w:t>Ratesetting</w:t>
      </w:r>
    </w:p>
    <w:p w:rsidRPr="00CB5E59" w:rsidR="004009D9" w:rsidP="72C23D9D" w:rsidRDefault="004009D9" w14:paraId="5964D0E3" w14:textId="72345FEC">
      <w:pPr>
        <w:spacing w:line="240" w:lineRule="auto"/>
        <w:jc w:val="right"/>
        <w:rPr>
          <w:b/>
          <w:bCs/>
        </w:rPr>
      </w:pPr>
      <w:r>
        <w:rPr>
          <w:b/>
          <w:bCs/>
        </w:rPr>
        <w:t>1/12/</w:t>
      </w:r>
      <w:proofErr w:type="gramStart"/>
      <w:r>
        <w:rPr>
          <w:b/>
          <w:bCs/>
        </w:rPr>
        <w:t>2023  Item</w:t>
      </w:r>
      <w:proofErr w:type="gramEnd"/>
      <w:r>
        <w:rPr>
          <w:b/>
          <w:bCs/>
        </w:rPr>
        <w:t xml:space="preserve"> #21</w:t>
      </w:r>
    </w:p>
    <w:p w:rsidRPr="00CB5E59" w:rsidR="004009D9" w:rsidP="005650DE" w:rsidRDefault="004009D9" w14:paraId="29BD47D5" w14:textId="77777777"/>
    <w:p w:rsidRPr="00CB5E59" w:rsidR="00DA7B5D" w:rsidP="00D50AD0" w:rsidRDefault="00DA7B5D" w14:paraId="65A2F595" w14:textId="6C3DFB98">
      <w:pPr>
        <w:spacing w:line="240" w:lineRule="auto"/>
        <w:ind w:left="1080" w:hanging="1080"/>
      </w:pPr>
      <w:r w:rsidRPr="00CB5E59">
        <w:t xml:space="preserve">Decision </w:t>
      </w:r>
      <w:r w:rsidRPr="00CB5E59" w:rsidR="00D50AD0">
        <w:rPr>
          <w:b/>
          <w:bCs/>
          <w:u w:val="single"/>
        </w:rPr>
        <w:t>PROPOSED DECISION OF ADMINISTRATIVE LAW JUDGES</w:t>
      </w:r>
      <w:r w:rsidRPr="00CB5E59" w:rsidR="005650DE">
        <w:rPr>
          <w:b/>
          <w:bCs/>
          <w:u w:val="single"/>
        </w:rPr>
        <w:t xml:space="preserve"> </w:t>
      </w:r>
      <w:r w:rsidRPr="00CB5E59" w:rsidR="00B13F51">
        <w:rPr>
          <w:b/>
          <w:bCs/>
          <w:u w:val="single"/>
        </w:rPr>
        <w:t xml:space="preserve">REGINA DEANGELIS AND JOHN H. </w:t>
      </w:r>
      <w:r w:rsidRPr="00CB5E59" w:rsidR="005650DE">
        <w:rPr>
          <w:b/>
          <w:bCs/>
          <w:u w:val="single"/>
        </w:rPr>
        <w:t>LARSEN</w:t>
      </w:r>
      <w:r w:rsidRPr="00CB5E59" w:rsidR="00B13F51">
        <w:rPr>
          <w:b/>
          <w:bCs/>
        </w:rPr>
        <w:t xml:space="preserve"> </w:t>
      </w:r>
      <w:r w:rsidRPr="00CB5E59" w:rsidR="00D50AD0">
        <w:rPr>
          <w:b/>
          <w:bCs/>
        </w:rPr>
        <w:t xml:space="preserve">(Mailed </w:t>
      </w:r>
      <w:r w:rsidR="006A3D21">
        <w:rPr>
          <w:b/>
          <w:bCs/>
        </w:rPr>
        <w:t>12</w:t>
      </w:r>
      <w:r w:rsidRPr="00CB5E59" w:rsidR="00D50AD0">
        <w:rPr>
          <w:b/>
          <w:bCs/>
        </w:rPr>
        <w:t>/</w:t>
      </w:r>
      <w:r w:rsidR="006A3D21">
        <w:rPr>
          <w:b/>
          <w:bCs/>
        </w:rPr>
        <w:t>9</w:t>
      </w:r>
      <w:r w:rsidRPr="00CB5E59" w:rsidR="00D50AD0">
        <w:rPr>
          <w:b/>
          <w:bCs/>
        </w:rPr>
        <w:t>/</w:t>
      </w:r>
      <w:r w:rsidR="006A3D21">
        <w:rPr>
          <w:b/>
          <w:bCs/>
        </w:rPr>
        <w:t>2022</w:t>
      </w:r>
      <w:r w:rsidRPr="00CB5E59" w:rsidR="00D50AD0">
        <w:rPr>
          <w:b/>
          <w:bCs/>
        </w:rPr>
        <w:t>)</w:t>
      </w:r>
    </w:p>
    <w:p w:rsidRPr="00CB5E59" w:rsidR="00DA7B5D" w:rsidP="00BB0243" w:rsidRDefault="00DA7B5D" w14:paraId="37B43076" w14:textId="77777777">
      <w:pPr>
        <w:spacing w:line="240" w:lineRule="auto"/>
        <w:jc w:val="center"/>
        <w:rPr>
          <w:u w:val="single"/>
        </w:rPr>
      </w:pPr>
    </w:p>
    <w:p w:rsidRPr="00CB5E59" w:rsidR="00DA7B5D" w:rsidP="00BB0243" w:rsidRDefault="00DA7B5D" w14:paraId="16B3F5B6" w14:textId="77777777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CB5E59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Pr="00CB5E59" w:rsidR="00DA7B5D" w:rsidP="008F0116" w:rsidRDefault="00DA7B5D" w14:paraId="10E60E9A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CB5E59" w:rsidR="00DA7B5D" w:rsidTr="00DA7B5D" w14:paraId="725186B4" w14:textId="77777777">
        <w:tc>
          <w:tcPr>
            <w:tcW w:w="4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CB5E59" w:rsidR="00DA7B5D" w:rsidP="00C10B5F" w:rsidRDefault="00F5196B" w14:paraId="64CAE85C" w14:textId="0CC6A3E2">
            <w:pPr>
              <w:spacing w:line="240" w:lineRule="auto"/>
              <w:ind w:firstLine="0"/>
              <w:rPr>
                <w:rFonts w:cs="Arial"/>
                <w:szCs w:val="26"/>
              </w:rPr>
            </w:pPr>
            <w:r w:rsidRPr="00CB5E59">
              <w:rPr>
                <w:rFonts w:cs="Arial"/>
                <w:szCs w:val="26"/>
              </w:rPr>
              <w:t>Application of Pacific Gas and Electric Company for Authority, Among Other Things, to Increase Rates and Charges for Electric and Gas Service Effective on January 1, 2023.</w:t>
            </w:r>
            <w:r w:rsidRPr="00CB5E59" w:rsidR="00DA7B5D">
              <w:rPr>
                <w:rFonts w:cs="Arial"/>
                <w:szCs w:val="26"/>
              </w:rPr>
              <w:br/>
            </w:r>
          </w:p>
        </w:tc>
        <w:tc>
          <w:tcPr>
            <w:tcW w:w="467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CB5E59" w:rsidR="00DA7B5D" w:rsidP="00412C83" w:rsidRDefault="00F5196B" w14:paraId="5740F706" w14:textId="316BB93D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 w:rsidRPr="00CB5E59">
              <w:rPr>
                <w:rFonts w:cs="Arial"/>
                <w:szCs w:val="26"/>
              </w:rPr>
              <w:t>Application 21-06-021</w:t>
            </w:r>
          </w:p>
        </w:tc>
      </w:tr>
    </w:tbl>
    <w:p w:rsidRPr="00CB5E59" w:rsidR="00DA7B5D" w:rsidP="008F0116" w:rsidRDefault="00DA7B5D" w14:paraId="3CA9AC50" w14:textId="13EAC3E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Pr="00CB5E59" w:rsidR="005650DE" w:rsidP="008F0116" w:rsidRDefault="005650DE" w14:paraId="306A24CC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Pr="00CB5E59" w:rsidR="005650DE" w:rsidP="00461DD8" w:rsidRDefault="00F5196B" w14:paraId="09BAD790" w14:textId="302AFBC1">
      <w:pPr>
        <w:spacing w:line="240" w:lineRule="auto"/>
        <w:ind w:firstLine="0"/>
        <w:jc w:val="center"/>
        <w:rPr>
          <w:rFonts w:ascii="Arial" w:hAnsi="Arial" w:cs="Arial"/>
          <w:b/>
          <w:bCs/>
        </w:rPr>
      </w:pPr>
      <w:r w:rsidRPr="00CB5E59">
        <w:rPr>
          <w:rFonts w:ascii="Arial" w:hAnsi="Arial" w:cs="Arial"/>
          <w:b/>
          <w:bCs/>
        </w:rPr>
        <w:t>DECISION APPROVING</w:t>
      </w:r>
      <w:r w:rsidRPr="00CB5E59" w:rsidR="00FC6853">
        <w:rPr>
          <w:rFonts w:ascii="Arial" w:hAnsi="Arial" w:cs="Arial"/>
          <w:b/>
          <w:bCs/>
        </w:rPr>
        <w:t xml:space="preserve"> </w:t>
      </w:r>
      <w:r w:rsidRPr="00CB5E59">
        <w:rPr>
          <w:rFonts w:ascii="Arial" w:hAnsi="Arial" w:cs="Arial"/>
          <w:b/>
          <w:bCs/>
        </w:rPr>
        <w:t xml:space="preserve">SETTLEMENT </w:t>
      </w:r>
      <w:r w:rsidRPr="00CB5E59" w:rsidR="00FF431F">
        <w:rPr>
          <w:rFonts w:ascii="Arial" w:hAnsi="Arial" w:cs="Arial"/>
          <w:b/>
          <w:bCs/>
        </w:rPr>
        <w:t xml:space="preserve">REGARDING </w:t>
      </w:r>
      <w:r w:rsidRPr="00CB5E59" w:rsidR="005650DE">
        <w:rPr>
          <w:rFonts w:ascii="Arial" w:hAnsi="Arial" w:cs="Arial"/>
          <w:b/>
          <w:bCs/>
        </w:rPr>
        <w:br/>
      </w:r>
      <w:r w:rsidRPr="00CB5E59" w:rsidR="00FF431F">
        <w:rPr>
          <w:rFonts w:ascii="Arial" w:hAnsi="Arial" w:cs="Arial"/>
          <w:b/>
          <w:bCs/>
        </w:rPr>
        <w:t xml:space="preserve"> </w:t>
      </w:r>
      <w:r w:rsidRPr="00CB5E59" w:rsidR="00F20227">
        <w:rPr>
          <w:rFonts w:ascii="Arial" w:hAnsi="Arial" w:cs="Arial"/>
          <w:b/>
          <w:bCs/>
        </w:rPr>
        <w:t xml:space="preserve">WILDFIRE </w:t>
      </w:r>
      <w:r w:rsidRPr="00CB5E59" w:rsidR="007A5837">
        <w:rPr>
          <w:rFonts w:ascii="Arial" w:hAnsi="Arial" w:cs="Arial"/>
          <w:b/>
          <w:bCs/>
        </w:rPr>
        <w:t xml:space="preserve">LIABILITY </w:t>
      </w:r>
      <w:r w:rsidRPr="00CB5E59">
        <w:rPr>
          <w:rFonts w:ascii="Arial" w:hAnsi="Arial" w:cs="Arial"/>
          <w:b/>
          <w:bCs/>
        </w:rPr>
        <w:t>INSURANCE</w:t>
      </w:r>
      <w:r w:rsidRPr="00CB5E59" w:rsidR="00FF431F">
        <w:rPr>
          <w:rFonts w:ascii="Arial" w:hAnsi="Arial" w:cs="Arial"/>
          <w:b/>
          <w:bCs/>
        </w:rPr>
        <w:t xml:space="preserve"> COVERAGE</w:t>
      </w:r>
    </w:p>
    <w:p w:rsidRPr="00CB5E59" w:rsidR="005650DE" w:rsidP="005650DE" w:rsidRDefault="005650DE" w14:paraId="09859D58" w14:textId="77777777"/>
    <w:p w:rsidRPr="00CB5E59" w:rsidR="005650DE" w:rsidP="005650DE" w:rsidRDefault="005650DE" w14:paraId="2ACDC86D" w14:textId="5FEC5BAB">
      <w:pPr>
        <w:sectPr w:rsidRPr="00CB5E59" w:rsidR="005650DE" w:rsidSect="00B201F5">
          <w:headerReference w:type="first" r:id="rId11"/>
          <w:footerReference w:type="first" r:id="rId12"/>
          <w:pgSz w:w="12240" w:h="15840"/>
          <w:pgMar w:top="1728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Pr="00646EE0" w:rsidR="005E7137" w:rsidP="00461DD8" w:rsidRDefault="005E7137" w14:paraId="5722C141" w14:textId="00588A3B">
      <w:pPr>
        <w:ind w:firstLine="0"/>
        <w:jc w:val="center"/>
        <w:rPr>
          <w:b/>
          <w:bCs/>
        </w:rPr>
      </w:pPr>
      <w:bookmarkStart w:name="_Toc120097217" w:id="0"/>
      <w:bookmarkStart w:name="_Toc8123714" w:id="1"/>
      <w:bookmarkStart w:name="_Toc12866683" w:id="2"/>
      <w:r w:rsidRPr="00646EE0">
        <w:rPr>
          <w:b/>
          <w:bCs/>
        </w:rPr>
        <w:lastRenderedPageBreak/>
        <w:t>Table of Contents</w:t>
      </w:r>
      <w:bookmarkEnd w:id="0"/>
    </w:p>
    <w:p w:rsidRPr="00646EE0" w:rsidR="005E7137" w:rsidP="005E7137" w:rsidRDefault="005E7137" w14:paraId="5FBBAC75" w14:textId="6641976F">
      <w:pPr>
        <w:ind w:firstLine="0"/>
        <w:rPr>
          <w:b/>
          <w:bCs/>
        </w:rPr>
      </w:pPr>
      <w:r w:rsidRPr="00646EE0">
        <w:rPr>
          <w:b/>
          <w:bCs/>
        </w:rPr>
        <w:t>Title</w:t>
      </w:r>
      <w:r w:rsidRPr="00646EE0">
        <w:rPr>
          <w:b/>
          <w:bCs/>
        </w:rPr>
        <w:tab/>
      </w:r>
      <w:r w:rsidRPr="00646EE0">
        <w:rPr>
          <w:b/>
          <w:bCs/>
        </w:rPr>
        <w:tab/>
      </w:r>
      <w:r w:rsidRPr="00646EE0">
        <w:rPr>
          <w:b/>
          <w:bCs/>
        </w:rPr>
        <w:tab/>
      </w:r>
      <w:r w:rsidRPr="00646EE0">
        <w:rPr>
          <w:b/>
          <w:bCs/>
        </w:rPr>
        <w:tab/>
      </w:r>
      <w:r w:rsidRPr="00646EE0">
        <w:rPr>
          <w:b/>
          <w:bCs/>
        </w:rPr>
        <w:tab/>
      </w:r>
      <w:r w:rsidRPr="00646EE0">
        <w:rPr>
          <w:b/>
          <w:bCs/>
        </w:rPr>
        <w:tab/>
      </w:r>
      <w:r w:rsidRPr="00646EE0">
        <w:rPr>
          <w:b/>
          <w:bCs/>
        </w:rPr>
        <w:tab/>
      </w:r>
      <w:r w:rsidRPr="00646EE0">
        <w:rPr>
          <w:b/>
          <w:bCs/>
        </w:rPr>
        <w:tab/>
      </w:r>
      <w:r w:rsidRPr="00646EE0">
        <w:rPr>
          <w:b/>
          <w:bCs/>
        </w:rPr>
        <w:tab/>
      </w:r>
      <w:r w:rsidRPr="00646EE0">
        <w:rPr>
          <w:b/>
          <w:bCs/>
        </w:rPr>
        <w:tab/>
      </w:r>
      <w:r w:rsidRPr="00646EE0">
        <w:rPr>
          <w:b/>
          <w:bCs/>
        </w:rPr>
        <w:tab/>
      </w:r>
      <w:r w:rsidRPr="00646EE0">
        <w:rPr>
          <w:b/>
          <w:bCs/>
        </w:rPr>
        <w:tab/>
      </w:r>
      <w:r w:rsidRPr="00646EE0" w:rsidR="00F66CA8">
        <w:rPr>
          <w:b/>
          <w:bCs/>
        </w:rPr>
        <w:tab/>
      </w:r>
      <w:r w:rsidRPr="00646EE0" w:rsidR="00F66CA8">
        <w:rPr>
          <w:b/>
          <w:bCs/>
        </w:rPr>
        <w:tab/>
      </w:r>
      <w:r w:rsidRPr="00646EE0" w:rsidR="00F66CA8">
        <w:rPr>
          <w:b/>
          <w:bCs/>
        </w:rPr>
        <w:tab/>
      </w:r>
      <w:r w:rsidRPr="00646EE0" w:rsidR="00F66CA8">
        <w:rPr>
          <w:b/>
          <w:bCs/>
        </w:rPr>
        <w:tab/>
      </w:r>
      <w:r w:rsidRPr="00646EE0" w:rsidR="00F66CA8">
        <w:rPr>
          <w:b/>
          <w:bCs/>
        </w:rPr>
        <w:tab/>
      </w:r>
      <w:r w:rsidRPr="00646EE0" w:rsidR="00F66CA8">
        <w:rPr>
          <w:b/>
          <w:bCs/>
        </w:rPr>
        <w:tab/>
      </w:r>
      <w:r w:rsidRPr="00646EE0" w:rsidR="00F66CA8">
        <w:rPr>
          <w:b/>
          <w:bCs/>
        </w:rPr>
        <w:tab/>
        <w:t xml:space="preserve"> </w:t>
      </w:r>
      <w:r w:rsidRPr="00646EE0">
        <w:rPr>
          <w:b/>
          <w:bCs/>
        </w:rPr>
        <w:t>Page</w:t>
      </w:r>
    </w:p>
    <w:p w:rsidR="0005165A" w:rsidRDefault="005E7137" w14:paraId="11C82326" w14:textId="44E0078A">
      <w:pPr>
        <w:pStyle w:val="TOC1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r w:rsidRPr="00CB5E59">
        <w:fldChar w:fldCharType="begin"/>
      </w:r>
      <w:r w:rsidRPr="00CB5E59">
        <w:instrText xml:space="preserve"> TOC \o "1-3" \h \z \u </w:instrText>
      </w:r>
      <w:r w:rsidRPr="00CB5E59">
        <w:fldChar w:fldCharType="separate"/>
      </w:r>
      <w:hyperlink w:history="1" w:anchor="_Toc121488159">
        <w:r w:rsidRPr="00F96BC7" w:rsidR="0005165A">
          <w:rPr>
            <w:rStyle w:val="Hyperlink"/>
            <w:noProof/>
          </w:rPr>
          <w:t>DECISION APPROVING SETTLEMENT REGARDING  WILDFIRE LIABILITY INSURANCE COVERAGE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_Toc121488159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 w:rsidR="00B41551">
          <w:rPr>
            <w:noProof/>
            <w:webHidden/>
          </w:rPr>
          <w:t>2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B41551" w14:paraId="45F9116A" w14:textId="520F274B">
      <w:pPr>
        <w:pStyle w:val="TOC1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60">
        <w:r w:rsidRPr="00F96BC7" w:rsidR="0005165A">
          <w:rPr>
            <w:rStyle w:val="Hyperlink"/>
            <w:noProof/>
          </w:rPr>
          <w:t>Summary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_Toc121488160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B41551" w14:paraId="7F1DFA94" w14:textId="45BE0F23">
      <w:pPr>
        <w:pStyle w:val="TOC1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61">
        <w:r w:rsidRPr="00F96BC7" w:rsidR="0005165A">
          <w:rPr>
            <w:rStyle w:val="Hyperlink"/>
            <w:noProof/>
          </w:rPr>
          <w:t>1.</w:t>
        </w:r>
        <w:r w:rsidR="0005165A">
          <w:rPr>
            <w:rFonts w:asciiTheme="minorHAnsi" w:hAnsiTheme="minorHAnsi" w:cstheme="minorBidi"/>
            <w:noProof/>
            <w:sz w:val="22"/>
          </w:rPr>
          <w:tab/>
        </w:r>
        <w:r w:rsidRPr="00F96BC7" w:rsidR="0005165A">
          <w:rPr>
            <w:rStyle w:val="Hyperlink"/>
            <w:noProof/>
          </w:rPr>
          <w:t>Background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_Toc121488161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B41551" w14:paraId="3C22EF42" w14:textId="14FD0C3C">
      <w:pPr>
        <w:pStyle w:val="TOC2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62">
        <w:r w:rsidRPr="00F96BC7" w:rsidR="0005165A">
          <w:rPr>
            <w:rStyle w:val="Hyperlink"/>
            <w:noProof/>
          </w:rPr>
          <w:t>1.1.</w:t>
        </w:r>
        <w:r w:rsidR="0005165A">
          <w:rPr>
            <w:rFonts w:asciiTheme="minorHAnsi" w:hAnsiTheme="minorHAnsi" w:cstheme="minorBidi"/>
            <w:noProof/>
            <w:sz w:val="22"/>
          </w:rPr>
          <w:tab/>
        </w:r>
        <w:r w:rsidRPr="00F96BC7" w:rsidR="0005165A">
          <w:rPr>
            <w:rStyle w:val="Hyperlink"/>
            <w:noProof/>
          </w:rPr>
          <w:t>PG&amp;E’s Current Wildfire  Liability Insurance Coverage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_Toc121488162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B41551" w14:paraId="23419B9B" w14:textId="4197AFAA">
      <w:pPr>
        <w:pStyle w:val="TOC2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63">
        <w:r w:rsidRPr="00F96BC7" w:rsidR="0005165A">
          <w:rPr>
            <w:rStyle w:val="Hyperlink"/>
            <w:noProof/>
          </w:rPr>
          <w:t>1.2.</w:t>
        </w:r>
        <w:r w:rsidR="0005165A">
          <w:rPr>
            <w:rFonts w:asciiTheme="minorHAnsi" w:hAnsiTheme="minorHAnsi" w:cstheme="minorBidi"/>
            <w:noProof/>
            <w:sz w:val="22"/>
          </w:rPr>
          <w:tab/>
        </w:r>
        <w:r w:rsidRPr="00F96BC7" w:rsidR="0005165A">
          <w:rPr>
            <w:rStyle w:val="Hyperlink"/>
            <w:noProof/>
          </w:rPr>
          <w:t xml:space="preserve">Wildfires Involving PG&amp;E Equipment,  Claims History, </w:t>
        </w:r>
        <w:r w:rsidR="0005165A">
          <w:rPr>
            <w:rStyle w:val="Hyperlink"/>
            <w:noProof/>
          </w:rPr>
          <w:br/>
        </w:r>
        <w:r w:rsidRPr="00F96BC7" w:rsidR="0005165A">
          <w:rPr>
            <w:rStyle w:val="Hyperlink"/>
            <w:noProof/>
          </w:rPr>
          <w:t>and Bankruptcy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_Toc121488163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B41551" w14:paraId="26FB60FA" w14:textId="5DD1FCC5">
      <w:pPr>
        <w:pStyle w:val="TOC2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64">
        <w:r w:rsidRPr="00F96BC7" w:rsidR="0005165A">
          <w:rPr>
            <w:rStyle w:val="Hyperlink"/>
            <w:noProof/>
          </w:rPr>
          <w:t>1.3.</w:t>
        </w:r>
        <w:r w:rsidR="0005165A">
          <w:rPr>
            <w:rFonts w:asciiTheme="minorHAnsi" w:hAnsiTheme="minorHAnsi" w:cstheme="minorBidi"/>
            <w:noProof/>
            <w:sz w:val="22"/>
          </w:rPr>
          <w:tab/>
        </w:r>
        <w:r w:rsidRPr="00F96BC7" w:rsidR="0005165A">
          <w:rPr>
            <w:rStyle w:val="Hyperlink"/>
            <w:noProof/>
          </w:rPr>
          <w:t>2019 Wildfire Legislation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_Toc121488164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B41551" w14:paraId="14C41E3B" w14:textId="1CEFE431">
      <w:pPr>
        <w:pStyle w:val="TOC2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65">
        <w:r w:rsidRPr="00F96BC7" w:rsidR="0005165A">
          <w:rPr>
            <w:rStyle w:val="Hyperlink"/>
            <w:noProof/>
          </w:rPr>
          <w:t>1.4.</w:t>
        </w:r>
        <w:r w:rsidR="0005165A">
          <w:rPr>
            <w:rFonts w:asciiTheme="minorHAnsi" w:hAnsiTheme="minorHAnsi" w:cstheme="minorBidi"/>
            <w:noProof/>
            <w:sz w:val="22"/>
          </w:rPr>
          <w:tab/>
        </w:r>
        <w:r w:rsidRPr="00F96BC7" w:rsidR="0005165A">
          <w:rPr>
            <w:rStyle w:val="Hyperlink"/>
            <w:noProof/>
          </w:rPr>
          <w:t>Initial Positions of TURN, Cal Advocates, and PG&amp;E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_Toc121488165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B41551" w14:paraId="42C874E1" w14:textId="442C362A">
      <w:pPr>
        <w:pStyle w:val="TOC2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66">
        <w:r w:rsidRPr="00F96BC7" w:rsidR="0005165A">
          <w:rPr>
            <w:rStyle w:val="Hyperlink"/>
            <w:noProof/>
          </w:rPr>
          <w:t>1.5.</w:t>
        </w:r>
        <w:r w:rsidR="0005165A">
          <w:rPr>
            <w:rFonts w:asciiTheme="minorHAnsi" w:hAnsiTheme="minorHAnsi" w:cstheme="minorBidi"/>
            <w:noProof/>
            <w:sz w:val="22"/>
          </w:rPr>
          <w:tab/>
        </w:r>
        <w:r w:rsidRPr="00F96BC7" w:rsidR="0005165A">
          <w:rPr>
            <w:rStyle w:val="Hyperlink"/>
            <w:noProof/>
          </w:rPr>
          <w:t>The October 7, 2022 Settlement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_Toc121488166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B41551" w14:paraId="1F38C577" w14:textId="40D75B6B">
      <w:pPr>
        <w:pStyle w:val="TOC1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67">
        <w:r w:rsidRPr="00F96BC7" w:rsidR="0005165A">
          <w:rPr>
            <w:rStyle w:val="Hyperlink"/>
            <w:noProof/>
          </w:rPr>
          <w:t>2.</w:t>
        </w:r>
        <w:r w:rsidR="0005165A">
          <w:rPr>
            <w:rFonts w:asciiTheme="minorHAnsi" w:hAnsiTheme="minorHAnsi" w:cstheme="minorBidi"/>
            <w:noProof/>
            <w:sz w:val="22"/>
          </w:rPr>
          <w:tab/>
        </w:r>
        <w:r w:rsidRPr="00F96BC7" w:rsidR="0005165A">
          <w:rPr>
            <w:rStyle w:val="Hyperlink"/>
            <w:noProof/>
          </w:rPr>
          <w:t>Discussion of Settlement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_Toc121488167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B41551" w14:paraId="5FFC2505" w14:textId="1748705C">
      <w:pPr>
        <w:pStyle w:val="TOC2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68">
        <w:r w:rsidRPr="00F96BC7" w:rsidR="0005165A">
          <w:rPr>
            <w:rStyle w:val="Hyperlink"/>
            <w:noProof/>
          </w:rPr>
          <w:t>2.1.</w:t>
        </w:r>
        <w:r w:rsidR="0005165A">
          <w:rPr>
            <w:rFonts w:asciiTheme="minorHAnsi" w:hAnsiTheme="minorHAnsi" w:cstheme="minorBidi"/>
            <w:noProof/>
            <w:sz w:val="22"/>
          </w:rPr>
          <w:tab/>
        </w:r>
        <w:r w:rsidRPr="00F96BC7" w:rsidR="0005165A">
          <w:rPr>
            <w:rStyle w:val="Hyperlink"/>
            <w:noProof/>
          </w:rPr>
          <w:t>Reasonableness in Light of the Record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_Toc121488168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E2471D" w14:paraId="672512E5" w14:textId="08D66C93">
      <w:pPr>
        <w:pStyle w:val="TOC2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69">
        <w:r w:rsidRPr="00F96BC7" w:rsidR="0005165A">
          <w:rPr>
            <w:rStyle w:val="Hyperlink"/>
            <w:noProof/>
          </w:rPr>
          <w:t>2.2.</w:t>
        </w:r>
        <w:r w:rsidR="0005165A">
          <w:rPr>
            <w:rFonts w:asciiTheme="minorHAnsi" w:hAnsiTheme="minorHAnsi" w:cstheme="minorBidi"/>
            <w:noProof/>
            <w:sz w:val="22"/>
          </w:rPr>
          <w:tab/>
        </w:r>
        <w:r w:rsidRPr="00F96BC7" w:rsidR="0005165A">
          <w:rPr>
            <w:rStyle w:val="Hyperlink"/>
            <w:noProof/>
          </w:rPr>
          <w:t>Consistency With Applicable Law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_Toc121488169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 w:rsidR="00B41551">
          <w:rPr>
            <w:noProof/>
            <w:webHidden/>
          </w:rPr>
          <w:t>18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B41551" w14:paraId="1452D27B" w14:textId="792EA3E4">
      <w:pPr>
        <w:pStyle w:val="TOC2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70">
        <w:r w:rsidRPr="00F96BC7" w:rsidR="0005165A">
          <w:rPr>
            <w:rStyle w:val="Hyperlink"/>
            <w:noProof/>
          </w:rPr>
          <w:t>2.3</w:t>
        </w:r>
        <w:r w:rsidR="0005165A">
          <w:rPr>
            <w:rFonts w:asciiTheme="minorHAnsi" w:hAnsiTheme="minorHAnsi" w:cstheme="minorBidi"/>
            <w:noProof/>
            <w:sz w:val="22"/>
          </w:rPr>
          <w:tab/>
        </w:r>
        <w:r w:rsidRPr="00F96BC7" w:rsidR="0005165A">
          <w:rPr>
            <w:rStyle w:val="Hyperlink"/>
            <w:noProof/>
          </w:rPr>
          <w:t>Public Interest Standard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_Toc121488170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B41551" w14:paraId="486172C1" w14:textId="71F330A2">
      <w:pPr>
        <w:pStyle w:val="TOC1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71">
        <w:r w:rsidRPr="00F96BC7" w:rsidR="0005165A">
          <w:rPr>
            <w:rStyle w:val="Hyperlink"/>
            <w:noProof/>
          </w:rPr>
          <w:t>3.</w:t>
        </w:r>
        <w:r w:rsidR="0005165A">
          <w:rPr>
            <w:rFonts w:asciiTheme="minorHAnsi" w:hAnsiTheme="minorHAnsi" w:cstheme="minorBidi"/>
            <w:noProof/>
            <w:sz w:val="22"/>
          </w:rPr>
          <w:tab/>
        </w:r>
        <w:r w:rsidRPr="00F96BC7" w:rsidR="0005165A">
          <w:rPr>
            <w:rStyle w:val="Hyperlink"/>
            <w:noProof/>
          </w:rPr>
          <w:t>Timing of Consideration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_Toc121488171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B41551" w14:paraId="5D7C272F" w14:textId="54D38EC6">
      <w:pPr>
        <w:pStyle w:val="TOC1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72">
        <w:r w:rsidRPr="00F96BC7" w:rsidR="0005165A">
          <w:rPr>
            <w:rStyle w:val="Hyperlink"/>
            <w:noProof/>
          </w:rPr>
          <w:t>4.</w:t>
        </w:r>
        <w:r w:rsidR="0005165A">
          <w:rPr>
            <w:rFonts w:asciiTheme="minorHAnsi" w:hAnsiTheme="minorHAnsi" w:cstheme="minorBidi"/>
            <w:noProof/>
            <w:sz w:val="22"/>
          </w:rPr>
          <w:tab/>
        </w:r>
        <w:r w:rsidRPr="00F96BC7" w:rsidR="0005165A">
          <w:rPr>
            <w:rStyle w:val="Hyperlink"/>
            <w:noProof/>
          </w:rPr>
          <w:t>Conclusion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_Toc121488172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B41551" w14:paraId="7EF82471" w14:textId="03EF13B5">
      <w:pPr>
        <w:pStyle w:val="TOC1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73">
        <w:r w:rsidRPr="00F96BC7" w:rsidR="0005165A">
          <w:rPr>
            <w:rStyle w:val="Hyperlink"/>
            <w:noProof/>
          </w:rPr>
          <w:t>5.</w:t>
        </w:r>
        <w:r w:rsidR="0005165A">
          <w:rPr>
            <w:rFonts w:asciiTheme="minorHAnsi" w:hAnsiTheme="minorHAnsi" w:cstheme="minorBidi"/>
            <w:noProof/>
            <w:sz w:val="22"/>
          </w:rPr>
          <w:tab/>
        </w:r>
        <w:r w:rsidRPr="00F96BC7" w:rsidR="0005165A">
          <w:rPr>
            <w:rStyle w:val="Hyperlink"/>
            <w:noProof/>
          </w:rPr>
          <w:t>Comments on Proposed Decision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_Toc121488173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E2471D" w14:paraId="109AF23F" w14:textId="4FD272A4">
      <w:pPr>
        <w:pStyle w:val="TOC1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74">
        <w:r w:rsidRPr="00F96BC7" w:rsidR="0005165A">
          <w:rPr>
            <w:rStyle w:val="Hyperlink"/>
            <w:noProof/>
          </w:rPr>
          <w:t>6.</w:t>
        </w:r>
        <w:r w:rsidR="0005165A">
          <w:rPr>
            <w:rFonts w:asciiTheme="minorHAnsi" w:hAnsiTheme="minorHAnsi" w:cstheme="minorBidi"/>
            <w:noProof/>
            <w:sz w:val="22"/>
          </w:rPr>
          <w:tab/>
        </w:r>
        <w:r w:rsidRPr="00F96BC7" w:rsidR="0005165A">
          <w:rPr>
            <w:rStyle w:val="Hyperlink"/>
            <w:noProof/>
          </w:rPr>
          <w:t>Assignment of Proceeding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_Toc121488174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 w:rsidR="00B41551">
          <w:rPr>
            <w:noProof/>
            <w:webHidden/>
          </w:rPr>
          <w:t>22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E2471D" w14:paraId="234C23A5" w14:textId="608A1002">
      <w:pPr>
        <w:pStyle w:val="TOC1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75">
        <w:r w:rsidRPr="00F96BC7" w:rsidR="0005165A">
          <w:rPr>
            <w:rStyle w:val="Hyperlink"/>
            <w:noProof/>
          </w:rPr>
          <w:t>Findings of Fact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_Toc121488175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 w:rsidR="00B41551">
          <w:rPr>
            <w:noProof/>
            <w:webHidden/>
          </w:rPr>
          <w:t>22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B41551" w14:paraId="3B0032BB" w14:textId="1A26DC8C">
      <w:pPr>
        <w:pStyle w:val="TOC1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76">
        <w:r w:rsidRPr="00F96BC7" w:rsidR="0005165A">
          <w:rPr>
            <w:rStyle w:val="Hyperlink"/>
            <w:noProof/>
          </w:rPr>
          <w:t>Conclusions of Law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_Toc121488176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05165A">
          <w:rPr>
            <w:noProof/>
            <w:webHidden/>
          </w:rPr>
          <w:fldChar w:fldCharType="end"/>
        </w:r>
      </w:hyperlink>
    </w:p>
    <w:p w:rsidR="0005165A" w:rsidRDefault="00B41551" w14:paraId="11A6F5D8" w14:textId="21322B3A">
      <w:pPr>
        <w:pStyle w:val="TOC1"/>
        <w:tabs>
          <w:tab w:val="right" w:leader="dot" w:pos="9350"/>
        </w:tabs>
        <w:rPr>
          <w:rFonts w:asciiTheme="minorHAnsi" w:hAnsiTheme="minorHAnsi" w:cstheme="minorBidi"/>
          <w:noProof/>
          <w:sz w:val="22"/>
        </w:rPr>
      </w:pPr>
      <w:hyperlink w:history="1" w:anchor="_Toc121488177">
        <w:r w:rsidRPr="00F96BC7" w:rsidR="0005165A">
          <w:rPr>
            <w:rStyle w:val="Hyperlink"/>
            <w:noProof/>
          </w:rPr>
          <w:t>ORDER</w:t>
        </w:r>
        <w:r w:rsidR="0005165A">
          <w:rPr>
            <w:noProof/>
            <w:webHidden/>
          </w:rPr>
          <w:tab/>
        </w:r>
        <w:r w:rsidR="0005165A">
          <w:rPr>
            <w:noProof/>
            <w:webHidden/>
          </w:rPr>
          <w:fldChar w:fldCharType="begin"/>
        </w:r>
        <w:r w:rsidR="0005165A">
          <w:rPr>
            <w:noProof/>
            <w:webHidden/>
          </w:rPr>
          <w:instrText xml:space="preserve"> PAGEREF _Toc121488177 \h </w:instrText>
        </w:r>
        <w:r w:rsidR="0005165A">
          <w:rPr>
            <w:noProof/>
            <w:webHidden/>
          </w:rPr>
        </w:r>
        <w:r w:rsidR="0005165A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05165A">
          <w:rPr>
            <w:noProof/>
            <w:webHidden/>
          </w:rPr>
          <w:fldChar w:fldCharType="end"/>
        </w:r>
      </w:hyperlink>
    </w:p>
    <w:p w:rsidRPr="00CB5E59" w:rsidR="00646430" w:rsidP="005E7137" w:rsidRDefault="005E7137" w14:paraId="17F03F85" w14:textId="4D322500">
      <w:pPr>
        <w:pStyle w:val="Dummy"/>
        <w:spacing w:after="240"/>
        <w:sectPr w:rsidRPr="00CB5E59" w:rsidR="00646430" w:rsidSect="00646430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728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 w:rsidRPr="00CB5E59">
        <w:fldChar w:fldCharType="end"/>
      </w:r>
    </w:p>
    <w:p w:rsidRPr="00CB5E59" w:rsidR="005650DE" w:rsidP="00646430" w:rsidRDefault="005650DE" w14:paraId="386B7F4D" w14:textId="59F3C1B1">
      <w:pPr>
        <w:pStyle w:val="Dummy"/>
        <w:spacing w:after="240"/>
        <w:jc w:val="center"/>
      </w:pPr>
      <w:bookmarkStart w:name="_Toc120097218" w:id="3"/>
      <w:bookmarkStart w:name="_Toc121488159" w:id="4"/>
      <w:r w:rsidRPr="00CB5E59">
        <w:lastRenderedPageBreak/>
        <w:t xml:space="preserve">DECISION APPROVING SETTLEMENT REGARDING </w:t>
      </w:r>
      <w:r w:rsidRPr="00CB5E59">
        <w:br/>
        <w:t>WILDFIRE LIABILITY INSURANCE COVERAGE</w:t>
      </w:r>
      <w:bookmarkEnd w:id="3"/>
      <w:bookmarkEnd w:id="4"/>
    </w:p>
    <w:p w:rsidRPr="00CB5E59" w:rsidR="005A148C" w:rsidP="005A148C" w:rsidRDefault="005A148C" w14:paraId="1071EA72" w14:textId="44A04F8F">
      <w:pPr>
        <w:pStyle w:val="Dummy"/>
      </w:pPr>
      <w:bookmarkStart w:name="_Toc121488160" w:id="5"/>
      <w:r w:rsidRPr="00CB5E59">
        <w:t>Summary</w:t>
      </w:r>
      <w:bookmarkEnd w:id="1"/>
      <w:bookmarkEnd w:id="2"/>
      <w:bookmarkEnd w:id="5"/>
    </w:p>
    <w:p w:rsidRPr="00CB5E59" w:rsidR="00F1390D" w:rsidP="5E2DEBEF" w:rsidRDefault="4A05D137" w14:paraId="77CDA33C" w14:textId="09960689">
      <w:pPr>
        <w:pStyle w:val="Standard"/>
      </w:pPr>
      <w:r w:rsidRPr="00CB5E59">
        <w:t>Th</w:t>
      </w:r>
      <w:r w:rsidRPr="00CB5E59" w:rsidR="69ABCCBF">
        <w:t xml:space="preserve">is decision </w:t>
      </w:r>
      <w:r w:rsidRPr="00CB5E59" w:rsidR="4B22E7B7">
        <w:t>adopts</w:t>
      </w:r>
      <w:r w:rsidRPr="00CB5E59" w:rsidR="22D73F53">
        <w:t xml:space="preserve"> an</w:t>
      </w:r>
      <w:r w:rsidRPr="00CB5E59" w:rsidR="6BE2C549">
        <w:t xml:space="preserve"> unopposed </w:t>
      </w:r>
      <w:r w:rsidRPr="00CB5E59" w:rsidR="00962CDA">
        <w:t>settlement</w:t>
      </w:r>
      <w:r w:rsidRPr="00CB5E59" w:rsidR="69ABCCBF">
        <w:t xml:space="preserve"> </w:t>
      </w:r>
      <w:r w:rsidRPr="00CB5E59" w:rsidR="00011FD5">
        <w:t xml:space="preserve">by </w:t>
      </w:r>
      <w:r w:rsidRPr="00CB5E59" w:rsidR="00966ACB">
        <w:t>Pacific</w:t>
      </w:r>
      <w:r w:rsidRPr="00CB5E59" w:rsidR="005B09BA">
        <w:t> </w:t>
      </w:r>
      <w:r w:rsidRPr="00CB5E59" w:rsidR="00966ACB">
        <w:t>Gas and Electric</w:t>
      </w:r>
      <w:r w:rsidRPr="00CB5E59" w:rsidR="005B09BA">
        <w:t> </w:t>
      </w:r>
      <w:r w:rsidRPr="00CB5E59" w:rsidR="00966ACB">
        <w:t>Company (PG&amp;E), the Public</w:t>
      </w:r>
      <w:r w:rsidRPr="00CB5E59" w:rsidR="005B09BA">
        <w:t> </w:t>
      </w:r>
      <w:r w:rsidRPr="00CB5E59" w:rsidR="00966ACB">
        <w:t>Advocates</w:t>
      </w:r>
      <w:r w:rsidRPr="00CB5E59" w:rsidR="005B09BA">
        <w:t> </w:t>
      </w:r>
      <w:r w:rsidRPr="00CB5E59" w:rsidR="00966ACB">
        <w:t>Office at the California Public</w:t>
      </w:r>
      <w:r w:rsidRPr="00CB5E59" w:rsidR="005B09BA">
        <w:t> </w:t>
      </w:r>
      <w:r w:rsidRPr="00CB5E59" w:rsidR="00966ACB">
        <w:t>Utilities Commission, and The Utility Reform Network</w:t>
      </w:r>
      <w:r w:rsidRPr="00CB5E59" w:rsidR="00011FD5">
        <w:t xml:space="preserve"> </w:t>
      </w:r>
      <w:r w:rsidRPr="00CB5E59" w:rsidR="1814BAA5">
        <w:t xml:space="preserve">to resolve </w:t>
      </w:r>
      <w:r w:rsidRPr="00CB5E59" w:rsidR="00386FB8">
        <w:t>the</w:t>
      </w:r>
      <w:r w:rsidRPr="00CB5E59" w:rsidR="1814BAA5">
        <w:t xml:space="preserve"> contested issues </w:t>
      </w:r>
      <w:r w:rsidRPr="00CB5E59" w:rsidR="00386FB8">
        <w:t>for the 2023</w:t>
      </w:r>
      <w:r w:rsidRPr="00CB5E59" w:rsidR="002A4A7F">
        <w:noBreakHyphen/>
      </w:r>
      <w:r w:rsidRPr="00CB5E59" w:rsidR="00386FB8">
        <w:t>2026 general rate case</w:t>
      </w:r>
      <w:r w:rsidRPr="00CB5E59" w:rsidR="002A4A7F">
        <w:t xml:space="preserve"> (GRC)</w:t>
      </w:r>
      <w:r w:rsidRPr="00CB5E59" w:rsidR="00386FB8">
        <w:t xml:space="preserve"> period</w:t>
      </w:r>
      <w:r w:rsidRPr="00CB5E59" w:rsidR="1814BAA5">
        <w:t xml:space="preserve"> regarding the structure and funding of </w:t>
      </w:r>
      <w:r w:rsidRPr="00CB5E59" w:rsidR="697CF8C3">
        <w:t>P</w:t>
      </w:r>
      <w:r w:rsidRPr="00CB5E59" w:rsidR="00966ACB">
        <w:t>G&amp;E</w:t>
      </w:r>
      <w:r w:rsidRPr="00CB5E59" w:rsidR="002A4A7F">
        <w:t>’</w:t>
      </w:r>
      <w:r w:rsidRPr="00CB5E59" w:rsidR="71821083">
        <w:t xml:space="preserve">s </w:t>
      </w:r>
      <w:r w:rsidRPr="00CB5E59" w:rsidR="24061197">
        <w:t xml:space="preserve">wildfire liability insurance coverage. </w:t>
      </w:r>
      <w:r w:rsidRPr="00CB5E59" w:rsidR="00386FB8">
        <w:t>T</w:t>
      </w:r>
      <w:r w:rsidRPr="00CB5E59" w:rsidR="20389433">
        <w:t>he</w:t>
      </w:r>
      <w:r w:rsidRPr="00CB5E59" w:rsidR="20168695">
        <w:t xml:space="preserve"> </w:t>
      </w:r>
      <w:r w:rsidRPr="00CB5E59" w:rsidR="0E393D14">
        <w:t>a</w:t>
      </w:r>
      <w:r w:rsidRPr="00CB5E59" w:rsidR="00E70AC0">
        <w:t>dopted</w:t>
      </w:r>
      <w:r w:rsidRPr="00CB5E59" w:rsidR="0E393D14">
        <w:t xml:space="preserve"> </w:t>
      </w:r>
      <w:r w:rsidRPr="00CB5E59" w:rsidR="00962CDA">
        <w:t>settlement</w:t>
      </w:r>
      <w:r w:rsidRPr="00CB5E59" w:rsidR="0E393D14">
        <w:t xml:space="preserve"> </w:t>
      </w:r>
      <w:r w:rsidRPr="00CB5E59" w:rsidR="00386FB8">
        <w:t>establishes</w:t>
      </w:r>
      <w:r w:rsidRPr="00CB5E59" w:rsidR="0E393D14">
        <w:t xml:space="preserve"> a revenue requirement of $400</w:t>
      </w:r>
      <w:r w:rsidRPr="00CB5E59" w:rsidR="002A4A7F">
        <w:t> </w:t>
      </w:r>
      <w:r w:rsidRPr="00CB5E59" w:rsidR="0E393D14">
        <w:t xml:space="preserve">million </w:t>
      </w:r>
      <w:r w:rsidRPr="00CB5E59" w:rsidR="553A64F4">
        <w:t xml:space="preserve">for </w:t>
      </w:r>
      <w:r w:rsidRPr="00CB5E59" w:rsidR="0E393D14">
        <w:t>2023</w:t>
      </w:r>
      <w:r w:rsidRPr="00CB5E59" w:rsidR="00597D5E">
        <w:t xml:space="preserve"> </w:t>
      </w:r>
      <w:r w:rsidRPr="00CB5E59" w:rsidR="0E393D14">
        <w:t xml:space="preserve">for wildfire </w:t>
      </w:r>
      <w:r w:rsidRPr="00CB5E59" w:rsidR="004670D0">
        <w:t xml:space="preserve">liability </w:t>
      </w:r>
      <w:r w:rsidRPr="00CB5E59" w:rsidR="0E393D14">
        <w:t xml:space="preserve">insurance </w:t>
      </w:r>
      <w:r w:rsidRPr="00CB5E59" w:rsidR="2F66FE7C">
        <w:t>coverage</w:t>
      </w:r>
      <w:r w:rsidRPr="00CB5E59" w:rsidR="00E70AC0">
        <w:t xml:space="preserve"> and </w:t>
      </w:r>
      <w:r w:rsidRPr="00CB5E59" w:rsidR="2F66FE7C">
        <w:t>approve</w:t>
      </w:r>
      <w:r w:rsidRPr="00CB5E59" w:rsidR="00E70AC0">
        <w:t>s</w:t>
      </w:r>
      <w:r w:rsidRPr="00CB5E59" w:rsidR="2F66FE7C">
        <w:t xml:space="preserve"> coverage </w:t>
      </w:r>
      <w:r w:rsidRPr="00CB5E59" w:rsidR="00E70AC0">
        <w:t xml:space="preserve">which </w:t>
      </w:r>
      <w:r w:rsidRPr="00CB5E59" w:rsidR="383415BB">
        <w:t xml:space="preserve">consists entirely of </w:t>
      </w:r>
      <w:r w:rsidRPr="00CB5E59" w:rsidR="2F66FE7C">
        <w:t>self</w:t>
      </w:r>
      <w:r w:rsidRPr="00CB5E59" w:rsidR="002A4A7F">
        <w:noBreakHyphen/>
      </w:r>
      <w:r w:rsidRPr="00CB5E59" w:rsidR="2F66FE7C">
        <w:t>insurance for third</w:t>
      </w:r>
      <w:r w:rsidRPr="00CB5E59" w:rsidR="002A4A7F">
        <w:noBreakHyphen/>
      </w:r>
      <w:r w:rsidRPr="00CB5E59" w:rsidR="2F66FE7C">
        <w:t>party wildfire claims of less</w:t>
      </w:r>
      <w:r w:rsidRPr="00CB5E59" w:rsidR="002A4A7F">
        <w:t> </w:t>
      </w:r>
      <w:r w:rsidRPr="00CB5E59" w:rsidR="2F66FE7C">
        <w:t>than $1</w:t>
      </w:r>
      <w:r w:rsidRPr="00CB5E59" w:rsidR="002A4A7F">
        <w:t> </w:t>
      </w:r>
      <w:r w:rsidRPr="00CB5E59" w:rsidR="2F66FE7C">
        <w:t>billion per</w:t>
      </w:r>
      <w:r w:rsidRPr="00CB5E59" w:rsidR="002A4A7F">
        <w:t> </w:t>
      </w:r>
      <w:r w:rsidRPr="00CB5E59" w:rsidR="2F66FE7C">
        <w:t>year</w:t>
      </w:r>
      <w:r w:rsidRPr="00CB5E59" w:rsidR="7C565390">
        <w:t xml:space="preserve">. The settlement is adopted </w:t>
      </w:r>
      <w:r w:rsidRPr="00CB5E59" w:rsidR="2F66FE7C">
        <w:t>within the framework of the California Wildfire Fund</w:t>
      </w:r>
      <w:r w:rsidRPr="00CB5E59" w:rsidR="004670D0">
        <w:t xml:space="preserve"> </w:t>
      </w:r>
      <w:r w:rsidRPr="00CB5E59" w:rsidR="2F66FE7C">
        <w:t xml:space="preserve">established </w:t>
      </w:r>
      <w:r w:rsidRPr="00CB5E59" w:rsidR="00597D5E">
        <w:t xml:space="preserve">by statute </w:t>
      </w:r>
      <w:r w:rsidRPr="00CB5E59" w:rsidR="2F66FE7C">
        <w:t>in 2019</w:t>
      </w:r>
      <w:r w:rsidRPr="00CB5E59" w:rsidR="00E70AC0">
        <w:t>.</w:t>
      </w:r>
    </w:p>
    <w:p w:rsidRPr="00CB5E59" w:rsidR="74A04B9F" w:rsidP="5E2DEBEF" w:rsidRDefault="420F40AF" w14:paraId="57207268" w14:textId="445F6B1B">
      <w:pPr>
        <w:pStyle w:val="Standard"/>
        <w:rPr>
          <w:rFonts w:eastAsia="Calibri" w:cs="Arial"/>
        </w:rPr>
      </w:pPr>
      <w:r w:rsidRPr="00CB5E59">
        <w:t xml:space="preserve">The </w:t>
      </w:r>
      <w:r w:rsidRPr="00CB5E59" w:rsidR="00962CDA">
        <w:t>settlement</w:t>
      </w:r>
      <w:r w:rsidRPr="00CB5E59">
        <w:t xml:space="preserve">’s </w:t>
      </w:r>
      <w:r w:rsidRPr="00CB5E59" w:rsidR="37C24939">
        <w:t xml:space="preserve">full </w:t>
      </w:r>
      <w:r w:rsidRPr="00CB5E59" w:rsidR="7131FFF6">
        <w:t xml:space="preserve">use of self-insurance </w:t>
      </w:r>
      <w:r w:rsidRPr="00CB5E59" w:rsidR="00BC5FB8">
        <w:t>is</w:t>
      </w:r>
      <w:r w:rsidRPr="00CB5E59" w:rsidR="1E0309C0">
        <w:t xml:space="preserve"> supported</w:t>
      </w:r>
      <w:r w:rsidRPr="00CB5E59" w:rsidR="7131FFF6">
        <w:t xml:space="preserve"> </w:t>
      </w:r>
      <w:r w:rsidRPr="00CB5E59" w:rsidR="2741A2E2">
        <w:t xml:space="preserve">by </w:t>
      </w:r>
      <w:proofErr w:type="gramStart"/>
      <w:r w:rsidRPr="00CB5E59" w:rsidR="384BA97B">
        <w:t>a number of</w:t>
      </w:r>
      <w:proofErr w:type="gramEnd"/>
      <w:r w:rsidRPr="00CB5E59" w:rsidR="384BA97B">
        <w:t xml:space="preserve"> factors. </w:t>
      </w:r>
      <w:r w:rsidRPr="00CB5E59" w:rsidR="00D72D15">
        <w:t>Since 2017, w</w:t>
      </w:r>
      <w:r w:rsidRPr="00CB5E59" w:rsidR="7C44FE63">
        <w:t>ildfire liability insurance for t</w:t>
      </w:r>
      <w:r w:rsidRPr="00CB5E59" w:rsidR="06CAE555">
        <w:t xml:space="preserve">hird-party </w:t>
      </w:r>
      <w:r w:rsidRPr="00CB5E59" w:rsidR="283A528B">
        <w:t xml:space="preserve">claims </w:t>
      </w:r>
      <w:r w:rsidRPr="00CB5E59" w:rsidR="7580CD87">
        <w:t xml:space="preserve">has </w:t>
      </w:r>
      <w:r w:rsidRPr="00CB5E59" w:rsidR="05B6B682">
        <w:t xml:space="preserve">risen </w:t>
      </w:r>
      <w:r w:rsidRPr="00CB5E59" w:rsidR="00D72D15">
        <w:t>to the point that s</w:t>
      </w:r>
      <w:r w:rsidRPr="00CB5E59" w:rsidR="00567F31">
        <w:t>elf</w:t>
      </w:r>
      <w:r w:rsidRPr="00CB5E59" w:rsidR="002A4A7F">
        <w:noBreakHyphen/>
      </w:r>
      <w:r w:rsidRPr="00CB5E59" w:rsidR="00567F31">
        <w:t>insurance</w:t>
      </w:r>
      <w:r w:rsidRPr="00CB5E59" w:rsidR="00BC5FB8">
        <w:t xml:space="preserve"> </w:t>
      </w:r>
      <w:r w:rsidRPr="00CB5E59" w:rsidR="2DB0480F">
        <w:t>is likely to</w:t>
      </w:r>
      <w:r w:rsidRPr="00CB5E59" w:rsidR="2535BA78">
        <w:t xml:space="preserve"> </w:t>
      </w:r>
      <w:r w:rsidRPr="00CB5E59" w:rsidR="06CAE555">
        <w:t>achiev</w:t>
      </w:r>
      <w:r w:rsidRPr="00CB5E59" w:rsidR="2B54A847">
        <w:t>e</w:t>
      </w:r>
      <w:r w:rsidRPr="00CB5E59" w:rsidR="06CAE555">
        <w:t xml:space="preserve"> sufficient insurance coverage at a lower overall cost to PG&amp;E’s customers</w:t>
      </w:r>
      <w:r w:rsidRPr="00CB5E59" w:rsidR="00D72D15">
        <w:t xml:space="preserve"> than commercial insurance</w:t>
      </w:r>
      <w:r w:rsidRPr="00CB5E59" w:rsidR="06CAE555">
        <w:t xml:space="preserve">. </w:t>
      </w:r>
      <w:r w:rsidRPr="00CB5E59" w:rsidR="0DD34985">
        <w:rPr>
          <w:rFonts w:eastAsia="Calibri" w:cs="Arial"/>
        </w:rPr>
        <w:t xml:space="preserve">PG&amp;E </w:t>
      </w:r>
      <w:r w:rsidRPr="00CB5E59" w:rsidR="3646F648">
        <w:rPr>
          <w:rFonts w:eastAsia="Calibri" w:cs="Arial"/>
        </w:rPr>
        <w:t xml:space="preserve">shareholders </w:t>
      </w:r>
      <w:r w:rsidRPr="00CB5E59" w:rsidR="0DD34985">
        <w:rPr>
          <w:rFonts w:eastAsia="Calibri" w:cs="Arial"/>
        </w:rPr>
        <w:t>w</w:t>
      </w:r>
      <w:r w:rsidRPr="00CB5E59" w:rsidR="5DC5077C">
        <w:rPr>
          <w:rFonts w:eastAsia="Calibri" w:cs="Arial"/>
        </w:rPr>
        <w:t>ill</w:t>
      </w:r>
      <w:r w:rsidRPr="00CB5E59" w:rsidR="0DD34985">
        <w:rPr>
          <w:rFonts w:eastAsia="Calibri" w:cs="Arial"/>
        </w:rPr>
        <w:t xml:space="preserve"> </w:t>
      </w:r>
      <w:r w:rsidRPr="00CB5E59" w:rsidR="2649FADB">
        <w:rPr>
          <w:rFonts w:eastAsia="Calibri" w:cs="Arial"/>
        </w:rPr>
        <w:t>pay</w:t>
      </w:r>
      <w:r w:rsidRPr="00CB5E59" w:rsidR="0DD34985">
        <w:rPr>
          <w:rFonts w:eastAsia="Calibri" w:cs="Arial"/>
        </w:rPr>
        <w:t xml:space="preserve"> a deductible of 5</w:t>
      </w:r>
      <w:r w:rsidRPr="00CB5E59" w:rsidR="002A4A7F">
        <w:rPr>
          <w:rFonts w:eastAsia="Calibri" w:cs="Arial"/>
        </w:rPr>
        <w:t xml:space="preserve"> percent </w:t>
      </w:r>
      <w:r w:rsidRPr="00CB5E59" w:rsidR="0DD34985">
        <w:rPr>
          <w:rFonts w:eastAsia="Calibri" w:cs="Arial"/>
        </w:rPr>
        <w:t>up to a maximum of $50</w:t>
      </w:r>
      <w:r w:rsidRPr="00CB5E59" w:rsidR="002A4A7F">
        <w:rPr>
          <w:rFonts w:eastAsia="Calibri" w:cs="Arial"/>
        </w:rPr>
        <w:t> </w:t>
      </w:r>
      <w:r w:rsidRPr="00CB5E59" w:rsidR="0DD34985">
        <w:rPr>
          <w:rFonts w:eastAsia="Calibri" w:cs="Arial"/>
        </w:rPr>
        <w:t xml:space="preserve">million </w:t>
      </w:r>
      <w:r w:rsidRPr="00CB5E59" w:rsidR="431E243D">
        <w:rPr>
          <w:rFonts w:eastAsia="Calibri" w:cs="Arial"/>
        </w:rPr>
        <w:t>for</w:t>
      </w:r>
      <w:r w:rsidRPr="00CB5E59" w:rsidR="0DD34985">
        <w:rPr>
          <w:rFonts w:eastAsia="Calibri" w:cs="Arial"/>
        </w:rPr>
        <w:t xml:space="preserve"> self</w:t>
      </w:r>
      <w:r w:rsidRPr="00CB5E59" w:rsidR="002A4A7F">
        <w:rPr>
          <w:rFonts w:eastAsia="Calibri" w:cs="Arial"/>
        </w:rPr>
        <w:noBreakHyphen/>
      </w:r>
      <w:r w:rsidRPr="00CB5E59" w:rsidR="0DD34985">
        <w:rPr>
          <w:rFonts w:eastAsia="Calibri" w:cs="Arial"/>
        </w:rPr>
        <w:t xml:space="preserve">insurance costs for </w:t>
      </w:r>
      <w:r w:rsidRPr="00CB5E59" w:rsidR="2082C6C5">
        <w:rPr>
          <w:rFonts w:eastAsia="Calibri" w:cs="Arial"/>
        </w:rPr>
        <w:t>third</w:t>
      </w:r>
      <w:r w:rsidRPr="00CB5E59" w:rsidR="002A4A7F">
        <w:rPr>
          <w:rFonts w:eastAsia="Calibri" w:cs="Arial"/>
        </w:rPr>
        <w:noBreakHyphen/>
      </w:r>
      <w:r w:rsidRPr="00CB5E59" w:rsidR="2082C6C5">
        <w:rPr>
          <w:rFonts w:eastAsia="Calibri" w:cs="Arial"/>
        </w:rPr>
        <w:t xml:space="preserve">party </w:t>
      </w:r>
      <w:r w:rsidRPr="00CB5E59" w:rsidR="0DD34985">
        <w:rPr>
          <w:rFonts w:eastAsia="Calibri" w:cs="Arial"/>
        </w:rPr>
        <w:t xml:space="preserve">wildfire </w:t>
      </w:r>
      <w:r w:rsidRPr="00CB5E59" w:rsidR="54B060A7">
        <w:rPr>
          <w:rFonts w:eastAsia="Calibri" w:cs="Arial"/>
        </w:rPr>
        <w:t xml:space="preserve">claims </w:t>
      </w:r>
      <w:r w:rsidRPr="00CB5E59" w:rsidR="0DD34985">
        <w:rPr>
          <w:rFonts w:eastAsia="Calibri" w:cs="Arial"/>
        </w:rPr>
        <w:t>that</w:t>
      </w:r>
      <w:r w:rsidRPr="00CB5E59" w:rsidR="64250667">
        <w:rPr>
          <w:rFonts w:eastAsia="Calibri" w:cs="Arial"/>
        </w:rPr>
        <w:t xml:space="preserve"> arise</w:t>
      </w:r>
      <w:r w:rsidRPr="00CB5E59" w:rsidR="0DD34985">
        <w:rPr>
          <w:rFonts w:eastAsia="Calibri" w:cs="Arial"/>
        </w:rPr>
        <w:t xml:space="preserve"> each calendar</w:t>
      </w:r>
      <w:r w:rsidRPr="00CB5E59" w:rsidR="002A4A7F">
        <w:rPr>
          <w:rFonts w:eastAsia="Calibri" w:cs="Arial"/>
        </w:rPr>
        <w:t> </w:t>
      </w:r>
      <w:r w:rsidRPr="00CB5E59" w:rsidR="0DD34985">
        <w:rPr>
          <w:rFonts w:eastAsia="Calibri" w:cs="Arial"/>
        </w:rPr>
        <w:t>year.</w:t>
      </w:r>
      <w:r w:rsidRPr="00CB5E59" w:rsidR="57DC8F4C">
        <w:t xml:space="preserve"> PG&amp;E shareholders will </w:t>
      </w:r>
      <w:r w:rsidRPr="00CB5E59" w:rsidR="00D72D15">
        <w:t xml:space="preserve">also </w:t>
      </w:r>
      <w:r w:rsidRPr="00CB5E59" w:rsidR="57DC8F4C">
        <w:t xml:space="preserve">continue to contribute to the Wildfire Fund, </w:t>
      </w:r>
      <w:r w:rsidRPr="00CB5E59" w:rsidR="00BC5FB8">
        <w:t xml:space="preserve">which </w:t>
      </w:r>
      <w:r w:rsidRPr="00CB5E59" w:rsidR="001306F3">
        <w:t xml:space="preserve">was created by statute for </w:t>
      </w:r>
      <w:r w:rsidRPr="00CB5E59" w:rsidR="57DC8F4C">
        <w:t>wildfire claims greater than $1</w:t>
      </w:r>
      <w:r w:rsidRPr="00CB5E59" w:rsidR="002A4A7F">
        <w:t> </w:t>
      </w:r>
      <w:r w:rsidRPr="00CB5E59" w:rsidR="57DC8F4C">
        <w:t>billion per</w:t>
      </w:r>
      <w:r w:rsidRPr="00CB5E59" w:rsidR="002A4A7F">
        <w:t> </w:t>
      </w:r>
      <w:r w:rsidRPr="00CB5E59" w:rsidR="57DC8F4C">
        <w:t xml:space="preserve">year. </w:t>
      </w:r>
      <w:r w:rsidRPr="00CB5E59" w:rsidR="001306F3">
        <w:rPr>
          <w:rFonts w:eastAsia="Calibri" w:cs="Arial"/>
        </w:rPr>
        <w:t>For these reasons</w:t>
      </w:r>
      <w:r w:rsidRPr="00CB5E59" w:rsidR="00966ACB">
        <w:rPr>
          <w:rFonts w:eastAsia="Calibri" w:cs="Arial"/>
        </w:rPr>
        <w:t>, t</w:t>
      </w:r>
      <w:r w:rsidRPr="00CB5E59" w:rsidR="74A04B9F">
        <w:rPr>
          <w:rFonts w:eastAsia="Calibri" w:cs="Arial"/>
        </w:rPr>
        <w:t xml:space="preserve">he </w:t>
      </w:r>
      <w:r w:rsidRPr="00CB5E59" w:rsidR="00962CDA">
        <w:rPr>
          <w:rFonts w:eastAsia="Calibri" w:cs="Arial"/>
        </w:rPr>
        <w:t>settlement</w:t>
      </w:r>
      <w:r w:rsidRPr="00CB5E59" w:rsidR="74A04B9F">
        <w:rPr>
          <w:rFonts w:eastAsia="Calibri" w:cs="Arial"/>
        </w:rPr>
        <w:t xml:space="preserve"> </w:t>
      </w:r>
      <w:r w:rsidRPr="00CB5E59" w:rsidR="001306F3">
        <w:rPr>
          <w:rFonts w:eastAsia="Calibri" w:cs="Arial"/>
        </w:rPr>
        <w:t>is</w:t>
      </w:r>
      <w:r w:rsidRPr="00CB5E59" w:rsidR="4E1059F6">
        <w:rPr>
          <w:rFonts w:eastAsia="Calibri" w:cs="Arial"/>
        </w:rPr>
        <w:t xml:space="preserve"> reasonable </w:t>
      </w:r>
      <w:proofErr w:type="gramStart"/>
      <w:r w:rsidRPr="00CB5E59" w:rsidR="4E1059F6">
        <w:rPr>
          <w:rFonts w:eastAsia="Calibri" w:cs="Arial"/>
        </w:rPr>
        <w:t>in light of</w:t>
      </w:r>
      <w:proofErr w:type="gramEnd"/>
      <w:r w:rsidRPr="00CB5E59" w:rsidR="4E1059F6">
        <w:rPr>
          <w:rFonts w:eastAsia="Calibri" w:cs="Arial"/>
        </w:rPr>
        <w:t xml:space="preserve"> the whole record of this proceeding, consistent with the law, and in the public interest.</w:t>
      </w:r>
    </w:p>
    <w:p w:rsidRPr="00CB5E59" w:rsidR="48BA54FE" w:rsidP="0FB35AB6" w:rsidRDefault="48BA54FE" w14:paraId="593B09B5" w14:textId="0586CFAB">
      <w:pPr>
        <w:pStyle w:val="Standard"/>
        <w:rPr>
          <w:rFonts w:eastAsia="Calibri" w:cs="Arial"/>
        </w:rPr>
      </w:pPr>
      <w:r w:rsidRPr="00CB5E59">
        <w:t xml:space="preserve">The Commission will adopt PG&amp;E’s </w:t>
      </w:r>
      <w:r w:rsidRPr="00CB5E59" w:rsidR="00ED0ADF">
        <w:t xml:space="preserve">total </w:t>
      </w:r>
      <w:r w:rsidRPr="00CB5E59">
        <w:t xml:space="preserve">revenue requirement in a future decision in this proceeding. PG&amp;E will continue to track the cost of PG&amp;E’s </w:t>
      </w:r>
      <w:r w:rsidRPr="00CB5E59">
        <w:lastRenderedPageBreak/>
        <w:t xml:space="preserve">wildfire liability insurance in the Risk Transfer Balancing Account. The approved </w:t>
      </w:r>
      <w:r w:rsidRPr="00CB5E59" w:rsidR="00962CDA">
        <w:t>settlement</w:t>
      </w:r>
      <w:r w:rsidRPr="00CB5E59">
        <w:t xml:space="preserve"> is set forth in Appendix</w:t>
      </w:r>
      <w:r w:rsidRPr="00CB5E59" w:rsidR="002A4A7F">
        <w:t> </w:t>
      </w:r>
      <w:r w:rsidRPr="00CB5E59">
        <w:t>1.</w:t>
      </w:r>
    </w:p>
    <w:p w:rsidRPr="00CB5E59" w:rsidR="180C6AF5" w:rsidP="50AD889D" w:rsidRDefault="0520DF71" w14:paraId="6A95382B" w14:textId="75F8C4CC">
      <w:pPr>
        <w:pStyle w:val="Standard"/>
        <w:rPr>
          <w:rFonts w:eastAsia="Calibri" w:cs="Arial"/>
        </w:rPr>
      </w:pPr>
      <w:r w:rsidRPr="00CB5E59">
        <w:rPr>
          <w:rFonts w:eastAsia="Calibri" w:cs="Arial"/>
        </w:rPr>
        <w:t xml:space="preserve">This proceeding </w:t>
      </w:r>
      <w:r w:rsidRPr="00CB5E59" w:rsidR="787AF36C">
        <w:rPr>
          <w:rFonts w:eastAsia="Calibri" w:cs="Arial"/>
        </w:rPr>
        <w:t>remains open.</w:t>
      </w:r>
    </w:p>
    <w:p w:rsidRPr="00CB5E59" w:rsidR="0063491C" w:rsidP="65DAF6F8" w:rsidRDefault="002C7FE9" w14:paraId="54C7DAF7" w14:textId="7630E51D">
      <w:pPr>
        <w:pStyle w:val="Heading1"/>
        <w:numPr>
          <w:ilvl w:val="0"/>
          <w:numId w:val="5"/>
        </w:numPr>
        <w:rPr>
          <w:rFonts w:asciiTheme="minorHAnsi" w:hAnsiTheme="minorHAnsi" w:eastAsiaTheme="minorEastAsia" w:cstheme="minorBidi"/>
          <w:szCs w:val="26"/>
        </w:rPr>
      </w:pPr>
      <w:bookmarkStart w:name="_Toc8123715" w:id="6"/>
      <w:bookmarkStart w:name="_Toc12866684" w:id="7"/>
      <w:bookmarkStart w:name="_Toc121488161" w:id="8"/>
      <w:r w:rsidRPr="00CB5E59">
        <w:t>Background</w:t>
      </w:r>
      <w:bookmarkEnd w:id="6"/>
      <w:bookmarkEnd w:id="7"/>
      <w:bookmarkEnd w:id="8"/>
    </w:p>
    <w:p w:rsidRPr="00CB5E59" w:rsidR="0037456D" w:rsidP="0037456D" w:rsidRDefault="00461DD8" w14:paraId="2046A782" w14:textId="105D505C">
      <w:pPr>
        <w:pStyle w:val="Standard"/>
      </w:pPr>
      <w:r w:rsidRPr="00CB5E59">
        <w:t xml:space="preserve">Pacific Gas and Electric Company (PG&amp;E) </w:t>
      </w:r>
      <w:r w:rsidRPr="00CB5E59" w:rsidR="00E70AC0">
        <w:t>is a public investor</w:t>
      </w:r>
      <w:r w:rsidRPr="00CB5E59" w:rsidR="002A4A7F">
        <w:noBreakHyphen/>
      </w:r>
      <w:r w:rsidRPr="00CB5E59" w:rsidR="00E70AC0">
        <w:t>owned utility providing electric retail and natural gas service to approximately 16</w:t>
      </w:r>
      <w:r w:rsidRPr="00CB5E59" w:rsidR="002A4A7F">
        <w:t> </w:t>
      </w:r>
      <w:r w:rsidRPr="00CB5E59" w:rsidR="00E70AC0">
        <w:t>million customers. Its service territory consists of approximately 70,000</w:t>
      </w:r>
      <w:r w:rsidR="00D84385">
        <w:t> </w:t>
      </w:r>
      <w:r w:rsidRPr="00CB5E59" w:rsidR="00E70AC0">
        <w:t>square-miles in northern and central California.</w:t>
      </w:r>
      <w:r w:rsidRPr="00CB5E59" w:rsidR="00E70AC0">
        <w:rPr>
          <w:rStyle w:val="FootnoteReference"/>
        </w:rPr>
        <w:footnoteReference w:id="2"/>
      </w:r>
      <w:r w:rsidRPr="00CB5E59" w:rsidR="00E70AC0">
        <w:t xml:space="preserve"> </w:t>
      </w:r>
      <w:r w:rsidRPr="00CB5E59" w:rsidR="004670D0">
        <w:t>On June</w:t>
      </w:r>
      <w:r w:rsidRPr="00CB5E59" w:rsidR="002A4A7F">
        <w:t> </w:t>
      </w:r>
      <w:r w:rsidRPr="00CB5E59" w:rsidR="004670D0">
        <w:t>30,</w:t>
      </w:r>
      <w:r w:rsidRPr="00CB5E59" w:rsidR="002A4A7F">
        <w:t> </w:t>
      </w:r>
      <w:r w:rsidRPr="00CB5E59" w:rsidR="004670D0">
        <w:t>2021, PG&amp;E filed Application</w:t>
      </w:r>
      <w:r w:rsidRPr="00CB5E59" w:rsidR="002A4A7F">
        <w:t> </w:t>
      </w:r>
      <w:r w:rsidRPr="00CB5E59" w:rsidR="004670D0">
        <w:t>(A.)</w:t>
      </w:r>
      <w:r w:rsidRPr="00CB5E59" w:rsidR="002A4A7F">
        <w:t> </w:t>
      </w:r>
      <w:r w:rsidRPr="00CB5E59" w:rsidR="004670D0">
        <w:t>21</w:t>
      </w:r>
      <w:r w:rsidRPr="00CB5E59" w:rsidR="002A4A7F">
        <w:noBreakHyphen/>
      </w:r>
      <w:r w:rsidRPr="00CB5E59" w:rsidR="004670D0">
        <w:t>06</w:t>
      </w:r>
      <w:r w:rsidRPr="00CB5E59" w:rsidR="002A4A7F">
        <w:noBreakHyphen/>
      </w:r>
      <w:r w:rsidRPr="00CB5E59" w:rsidR="004670D0">
        <w:t>021, including its proposed structure, funding, and revenue requirement for wildfire liability insurance coverage.</w:t>
      </w:r>
      <w:r w:rsidRPr="00CB5E59" w:rsidR="00E70AC0">
        <w:rPr>
          <w:rStyle w:val="FootnoteReference"/>
        </w:rPr>
        <w:footnoteReference w:id="3"/>
      </w:r>
      <w:r w:rsidRPr="00CB5E59" w:rsidR="00E70AC0">
        <w:t xml:space="preserve"> </w:t>
      </w:r>
      <w:r w:rsidRPr="00CB5E59" w:rsidR="78DF3E32">
        <w:t>Numerous p</w:t>
      </w:r>
      <w:r w:rsidRPr="00CB5E59" w:rsidR="61505A14">
        <w:t>rotests</w:t>
      </w:r>
      <w:r w:rsidRPr="00CB5E59" w:rsidR="004670D0">
        <w:t xml:space="preserve"> and </w:t>
      </w:r>
      <w:r w:rsidRPr="00CB5E59" w:rsidR="78DF3E32">
        <w:t>r</w:t>
      </w:r>
      <w:r w:rsidRPr="00CB5E59" w:rsidR="61505A14">
        <w:t>esponses</w:t>
      </w:r>
      <w:r w:rsidRPr="00CB5E59" w:rsidR="004670D0">
        <w:t xml:space="preserve"> to the </w:t>
      </w:r>
      <w:r w:rsidRPr="00CB5E59" w:rsidR="61505A14">
        <w:t xml:space="preserve">application </w:t>
      </w:r>
      <w:r w:rsidRPr="00CB5E59" w:rsidR="004670D0">
        <w:t>were timely filed</w:t>
      </w:r>
      <w:r w:rsidR="007347EB">
        <w:t xml:space="preserve"> </w:t>
      </w:r>
      <w:r w:rsidRPr="00CB5E59" w:rsidR="004670D0">
        <w:t>by</w:t>
      </w:r>
      <w:r w:rsidR="007347EB">
        <w:t xml:space="preserve"> </w:t>
      </w:r>
      <w:r w:rsidRPr="00CB5E59" w:rsidR="004670D0">
        <w:t>parties</w:t>
      </w:r>
      <w:r w:rsidRPr="00CB5E59" w:rsidR="00B32B9E">
        <w:t>.</w:t>
      </w:r>
      <w:r w:rsidR="003376A0">
        <w:rPr>
          <w:rStyle w:val="FootnoteReference"/>
        </w:rPr>
        <w:footnoteReference w:id="4"/>
      </w:r>
      <w:r w:rsidR="00E426DB">
        <w:t xml:space="preserve"> </w:t>
      </w:r>
      <w:r w:rsidRPr="00CB5E59" w:rsidR="0037456D">
        <w:t>An evidentiary hearing on insurance</w:t>
      </w:r>
      <w:r w:rsidRPr="00CB5E59" w:rsidR="002A4A7F">
        <w:noBreakHyphen/>
      </w:r>
      <w:r w:rsidRPr="00CB5E59" w:rsidR="0037456D">
        <w:t>related issues was scheduled for August</w:t>
      </w:r>
      <w:r w:rsidRPr="00CB5E59" w:rsidR="00B223FE">
        <w:t> </w:t>
      </w:r>
      <w:r w:rsidRPr="00CB5E59" w:rsidR="0037456D">
        <w:t>26,</w:t>
      </w:r>
      <w:r w:rsidRPr="00CB5E59" w:rsidR="00B223FE">
        <w:t> </w:t>
      </w:r>
      <w:r w:rsidRPr="00CB5E59" w:rsidR="0037456D">
        <w:t>2022. However, after PG&amp;E served its rebuttal testimony</w:t>
      </w:r>
      <w:r w:rsidRPr="00CB5E59" w:rsidR="00A36DA5">
        <w:t xml:space="preserve"> on August</w:t>
      </w:r>
      <w:r w:rsidRPr="00CB5E59" w:rsidR="00B223FE">
        <w:t> </w:t>
      </w:r>
      <w:r w:rsidRPr="00CB5E59" w:rsidR="00A36DA5">
        <w:t>25,</w:t>
      </w:r>
      <w:r w:rsidRPr="00CB5E59" w:rsidR="00B223FE">
        <w:t> </w:t>
      </w:r>
      <w:r w:rsidRPr="00CB5E59" w:rsidR="00A36DA5">
        <w:t>2022</w:t>
      </w:r>
      <w:r w:rsidRPr="00CB5E59" w:rsidR="0037456D">
        <w:t>, PG&amp;E, Cal</w:t>
      </w:r>
      <w:r w:rsidRPr="00CB5E59" w:rsidR="00B223FE">
        <w:t> </w:t>
      </w:r>
      <w:r w:rsidRPr="00CB5E59" w:rsidR="0037456D">
        <w:t>Advocates, and TURN (the Settling</w:t>
      </w:r>
      <w:r w:rsidRPr="00CB5E59" w:rsidR="00B223FE">
        <w:t> </w:t>
      </w:r>
      <w:r w:rsidRPr="00CB5E59" w:rsidR="0037456D">
        <w:t>Parties) began exploring settlement of the wildfire liability insurance issues</w:t>
      </w:r>
      <w:r w:rsidRPr="00CB5E59" w:rsidR="00A36DA5">
        <w:t>.</w:t>
      </w:r>
      <w:r w:rsidRPr="00CB5E59" w:rsidR="00D72D15">
        <w:t xml:space="preserve"> </w:t>
      </w:r>
      <w:r w:rsidRPr="00CB5E59" w:rsidR="00A36DA5">
        <w:t>Accordingly, t</w:t>
      </w:r>
      <w:r w:rsidRPr="00CB5E59" w:rsidR="0037456D">
        <w:t xml:space="preserve">he </w:t>
      </w:r>
      <w:r w:rsidRPr="00CB5E59" w:rsidR="00A36DA5">
        <w:t>A</w:t>
      </w:r>
      <w:r w:rsidRPr="00CB5E59" w:rsidR="0037456D">
        <w:t xml:space="preserve">dministrative </w:t>
      </w:r>
      <w:r w:rsidRPr="00CB5E59" w:rsidR="00A36DA5">
        <w:t>L</w:t>
      </w:r>
      <w:r w:rsidRPr="00CB5E59" w:rsidR="0037456D">
        <w:t xml:space="preserve">aw </w:t>
      </w:r>
      <w:r w:rsidRPr="00CB5E59" w:rsidR="00A36DA5">
        <w:t>J</w:t>
      </w:r>
      <w:r w:rsidRPr="00CB5E59" w:rsidR="0037456D">
        <w:t>udges (ALJs) granted a request to postpone evidentiary</w:t>
      </w:r>
      <w:r w:rsidRPr="00CB5E59" w:rsidR="00B223FE">
        <w:t> </w:t>
      </w:r>
      <w:r w:rsidRPr="00CB5E59" w:rsidR="0037456D">
        <w:t>hearings on PG&amp;E’s insurance program until September</w:t>
      </w:r>
      <w:r w:rsidRPr="00CB5E59" w:rsidR="00B223FE">
        <w:t> </w:t>
      </w:r>
      <w:r w:rsidRPr="00CB5E59" w:rsidR="0037456D">
        <w:t>13,</w:t>
      </w:r>
      <w:r w:rsidRPr="00CB5E59" w:rsidR="00B223FE">
        <w:t> </w:t>
      </w:r>
      <w:r w:rsidRPr="00CB5E59" w:rsidR="0037456D">
        <w:t>2022. On September</w:t>
      </w:r>
      <w:r w:rsidRPr="00CB5E59" w:rsidR="00B223FE">
        <w:t> </w:t>
      </w:r>
      <w:r w:rsidRPr="00CB5E59" w:rsidR="0037456D">
        <w:t>9,</w:t>
      </w:r>
      <w:r w:rsidRPr="00CB5E59" w:rsidR="00B223FE">
        <w:t> </w:t>
      </w:r>
      <w:r w:rsidRPr="00CB5E59" w:rsidR="0037456D">
        <w:t>2022, the Settling Parties requested that the hearing be taken off</w:t>
      </w:r>
      <w:r w:rsidR="00E426DB">
        <w:t xml:space="preserve"> the</w:t>
      </w:r>
      <w:r w:rsidRPr="00CB5E59" w:rsidR="0037456D">
        <w:t xml:space="preserve"> calendar while they finalized a settlement. On September</w:t>
      </w:r>
      <w:r w:rsidRPr="00CB5E59" w:rsidR="00B223FE">
        <w:t> </w:t>
      </w:r>
      <w:r w:rsidRPr="00CB5E59" w:rsidR="0037456D">
        <w:t>20,</w:t>
      </w:r>
      <w:r w:rsidRPr="00CB5E59" w:rsidR="00B223FE">
        <w:t> </w:t>
      </w:r>
      <w:r w:rsidRPr="00CB5E59" w:rsidR="0037456D">
        <w:t>2022, PG&amp;E issued a Notice of Settlement Conference pursuant to Rule</w:t>
      </w:r>
      <w:r w:rsidRPr="00CB5E59" w:rsidR="00B223FE">
        <w:t> </w:t>
      </w:r>
      <w:r w:rsidRPr="00CB5E59" w:rsidR="0037456D">
        <w:t>12.1(b)</w:t>
      </w:r>
      <w:r w:rsidRPr="00CB5E59" w:rsidR="00A36DA5">
        <w:t xml:space="preserve"> of the Commission’s Rules</w:t>
      </w:r>
      <w:r w:rsidRPr="00CB5E59" w:rsidR="0037456D">
        <w:t>. On September</w:t>
      </w:r>
      <w:r w:rsidRPr="00CB5E59" w:rsidR="00B223FE">
        <w:t> </w:t>
      </w:r>
      <w:r w:rsidRPr="00CB5E59" w:rsidR="0037456D">
        <w:t>28,</w:t>
      </w:r>
      <w:r w:rsidRPr="00CB5E59" w:rsidR="00B223FE">
        <w:t> </w:t>
      </w:r>
      <w:r w:rsidRPr="00CB5E59" w:rsidR="0037456D">
        <w:t xml:space="preserve">2022, the Settling Parties held the settlement conference, </w:t>
      </w:r>
      <w:r w:rsidRPr="00CB5E59" w:rsidR="0037456D">
        <w:lastRenderedPageBreak/>
        <w:t xml:space="preserve">which was attended by party representatives. </w:t>
      </w:r>
      <w:r w:rsidRPr="00CB5E59" w:rsidR="00A36DA5">
        <w:t>O</w:t>
      </w:r>
      <w:r w:rsidRPr="00CB5E59" w:rsidR="0037456D">
        <w:t>n October</w:t>
      </w:r>
      <w:r w:rsidRPr="00CB5E59" w:rsidR="00B223FE">
        <w:t> </w:t>
      </w:r>
      <w:r w:rsidRPr="00CB5E59" w:rsidR="0037456D">
        <w:t>7,</w:t>
      </w:r>
      <w:r w:rsidRPr="00CB5E59" w:rsidR="00B223FE">
        <w:t> </w:t>
      </w:r>
      <w:r w:rsidRPr="00CB5E59" w:rsidR="0037456D">
        <w:t xml:space="preserve">2022, the Settling Parties filed a Motion for Expedited Approval and Adoption of the Attached </w:t>
      </w:r>
      <w:r w:rsidRPr="00CB5E59" w:rsidR="00962CDA">
        <w:t>Settlement</w:t>
      </w:r>
      <w:r w:rsidRPr="00CB5E59" w:rsidR="0037456D">
        <w:t xml:space="preserve"> on Insurance</w:t>
      </w:r>
      <w:r w:rsidRPr="00CB5E59" w:rsidR="00B223FE">
        <w:noBreakHyphen/>
      </w:r>
      <w:r w:rsidRPr="00CB5E59" w:rsidR="0037456D">
        <w:t xml:space="preserve">Related Issues (Joint </w:t>
      </w:r>
      <w:r w:rsidRPr="00CB5E59" w:rsidR="00A36DA5">
        <w:t xml:space="preserve">Settlement </w:t>
      </w:r>
      <w:r w:rsidRPr="00CB5E59" w:rsidR="0037456D">
        <w:t>Motion).</w:t>
      </w:r>
    </w:p>
    <w:p w:rsidRPr="00CB5E59" w:rsidR="00663375" w:rsidP="001F43C1" w:rsidRDefault="009B3E2D" w14:paraId="15320C86" w14:textId="65957A5F">
      <w:pPr>
        <w:pStyle w:val="Heading2"/>
      </w:pPr>
      <w:bookmarkStart w:name="_Toc121488162" w:id="9"/>
      <w:r w:rsidRPr="00CB5E59">
        <w:t xml:space="preserve">PG&amp;E’s </w:t>
      </w:r>
      <w:r w:rsidRPr="00CB5E59" w:rsidR="7A84C9BE">
        <w:t xml:space="preserve">Current </w:t>
      </w:r>
      <w:r w:rsidRPr="00CB5E59" w:rsidR="00957A45">
        <w:t xml:space="preserve">Wildfire </w:t>
      </w:r>
      <w:r w:rsidRPr="00CB5E59" w:rsidR="00B223FE">
        <w:br/>
      </w:r>
      <w:r w:rsidRPr="00CB5E59">
        <w:t>Liability Insurance Coverage</w:t>
      </w:r>
      <w:bookmarkEnd w:id="9"/>
      <w:r w:rsidRPr="00CB5E59">
        <w:t xml:space="preserve"> </w:t>
      </w:r>
    </w:p>
    <w:p w:rsidRPr="00CB5E59" w:rsidR="00663375" w:rsidP="50AD889D" w:rsidRDefault="70EF842A" w14:paraId="30E4E64D" w14:textId="75AAD31D">
      <w:pPr>
        <w:pStyle w:val="Standard"/>
        <w:rPr>
          <w:rStyle w:val="FootnoteReference"/>
          <w:rFonts w:eastAsia="Calibri" w:cs="Arial"/>
        </w:rPr>
      </w:pPr>
      <w:r w:rsidRPr="00CB5E59">
        <w:t xml:space="preserve">PG&amp;E </w:t>
      </w:r>
      <w:r w:rsidRPr="00CB5E59" w:rsidR="005F23E6">
        <w:t xml:space="preserve">currently </w:t>
      </w:r>
      <w:r w:rsidRPr="00CB5E59" w:rsidR="6F47A19C">
        <w:t>h</w:t>
      </w:r>
      <w:r w:rsidRPr="00CB5E59" w:rsidR="6F4CB306">
        <w:t>olds</w:t>
      </w:r>
      <w:r w:rsidRPr="00CB5E59" w:rsidR="73AA0E39">
        <w:t xml:space="preserve"> general liability insurance to </w:t>
      </w:r>
      <w:r w:rsidRPr="00CB5E59">
        <w:t>cover</w:t>
      </w:r>
      <w:r w:rsidRPr="00CB5E59" w:rsidR="73AA0E39">
        <w:t xml:space="preserve"> claims for </w:t>
      </w:r>
      <w:r w:rsidRPr="00CB5E59">
        <w:t>workers’ compensation, bodily injury</w:t>
      </w:r>
      <w:r w:rsidRPr="00CB5E59" w:rsidR="73AA0E39">
        <w:t xml:space="preserve">, </w:t>
      </w:r>
      <w:r w:rsidRPr="00CB5E59">
        <w:t xml:space="preserve">and property damage </w:t>
      </w:r>
      <w:r w:rsidRPr="00CB5E59" w:rsidR="73AA0E39">
        <w:t xml:space="preserve">from </w:t>
      </w:r>
      <w:r w:rsidRPr="00CB5E59">
        <w:t xml:space="preserve">wildfire and </w:t>
      </w:r>
      <w:r w:rsidRPr="00CB5E59" w:rsidR="73AA0E39">
        <w:t xml:space="preserve">other causes. </w:t>
      </w:r>
      <w:r w:rsidRPr="00CB5E59" w:rsidR="117E41FA">
        <w:t>For the last GRC</w:t>
      </w:r>
      <w:r w:rsidRPr="00CB5E59" w:rsidR="00CD085C">
        <w:t> </w:t>
      </w:r>
      <w:r w:rsidRPr="00CB5E59" w:rsidR="117E41FA">
        <w:t>period</w:t>
      </w:r>
      <w:r w:rsidRPr="00CB5E59" w:rsidR="005F23E6">
        <w:t xml:space="preserve"> (2020</w:t>
      </w:r>
      <w:r w:rsidRPr="00CB5E59" w:rsidR="00CD085C">
        <w:noBreakHyphen/>
      </w:r>
      <w:r w:rsidRPr="00CB5E59" w:rsidR="005F23E6">
        <w:t>2022)</w:t>
      </w:r>
      <w:r w:rsidRPr="00CB5E59" w:rsidR="117E41FA">
        <w:t>,</w:t>
      </w:r>
      <w:r w:rsidRPr="00CB5E59" w:rsidR="005D202B">
        <w:rPr>
          <w:rStyle w:val="FootnoteReference"/>
        </w:rPr>
        <w:footnoteReference w:id="5"/>
      </w:r>
      <w:r w:rsidRPr="00CB5E59" w:rsidR="117E41FA">
        <w:t xml:space="preserve"> </w:t>
      </w:r>
      <w:r w:rsidRPr="00CB5E59" w:rsidR="6703372A">
        <w:t xml:space="preserve">the Commission authorized </w:t>
      </w:r>
      <w:r w:rsidRPr="00CB5E59" w:rsidR="117E41FA">
        <w:t xml:space="preserve">PG&amp;E </w:t>
      </w:r>
      <w:r w:rsidRPr="00CB5E59" w:rsidR="6703372A">
        <w:t xml:space="preserve">to spend </w:t>
      </w:r>
      <w:r w:rsidRPr="00CB5E59" w:rsidR="117E41FA">
        <w:t>$297</w:t>
      </w:r>
      <w:r w:rsidRPr="00CB5E59" w:rsidR="00CD085C">
        <w:t> </w:t>
      </w:r>
      <w:r w:rsidRPr="00CB5E59" w:rsidR="117E41FA">
        <w:t>million for general liability insurance from the commercial market</w:t>
      </w:r>
      <w:r w:rsidRPr="00CB5E59" w:rsidR="6703372A">
        <w:t xml:space="preserve"> for 20</w:t>
      </w:r>
      <w:r w:rsidRPr="00CB5E59" w:rsidR="4BDEF13B">
        <w:t>20.</w:t>
      </w:r>
      <w:r w:rsidRPr="00CB5E59" w:rsidR="001F6052">
        <w:rPr>
          <w:rStyle w:val="FootnoteReference"/>
        </w:rPr>
        <w:footnoteReference w:id="6"/>
      </w:r>
      <w:r w:rsidRPr="00CB5E59" w:rsidR="6703372A">
        <w:t xml:space="preserve"> </w:t>
      </w:r>
      <w:r w:rsidRPr="00CB5E59" w:rsidR="117E41FA">
        <w:t>The majority of this</w:t>
      </w:r>
      <w:r w:rsidRPr="00CB5E59" w:rsidR="005F23E6">
        <w:t xml:space="preserve"> general liability</w:t>
      </w:r>
      <w:r w:rsidRPr="00CB5E59" w:rsidR="117E41FA">
        <w:t xml:space="preserve"> insurance was for excess liability insurance for third</w:t>
      </w:r>
      <w:r w:rsidRPr="00CB5E59" w:rsidR="00DD16B3">
        <w:noBreakHyphen/>
      </w:r>
      <w:r w:rsidRPr="00CB5E59" w:rsidR="117E41FA">
        <w:t>party wildfire</w:t>
      </w:r>
      <w:r w:rsidRPr="00CB5E59" w:rsidR="00DD16B3">
        <w:noBreakHyphen/>
      </w:r>
      <w:r w:rsidRPr="00CB5E59" w:rsidR="117E41FA">
        <w:t>related claims.</w:t>
      </w:r>
      <w:r w:rsidRPr="00CB5E59" w:rsidR="71E896D3">
        <w:t xml:space="preserve"> </w:t>
      </w:r>
      <w:r w:rsidRPr="00CB5E59" w:rsidR="4BDEF13B">
        <w:t>This general</w:t>
      </w:r>
      <w:r w:rsidRPr="00CB5E59" w:rsidR="00DD16B3">
        <w:t> </w:t>
      </w:r>
      <w:r w:rsidRPr="00CB5E59" w:rsidR="4BDEF13B">
        <w:t xml:space="preserve">liability insurance also included </w:t>
      </w:r>
      <w:r w:rsidRPr="00CB5E59" w:rsidR="000A7DC1">
        <w:t xml:space="preserve">costs of </w:t>
      </w:r>
      <w:r w:rsidRPr="00CB5E59">
        <w:t>approximately $5.155</w:t>
      </w:r>
      <w:r w:rsidRPr="00CB5E59" w:rsidR="00DD16B3">
        <w:t> </w:t>
      </w:r>
      <w:r w:rsidRPr="00CB5E59">
        <w:t>million for other commercial insurance</w:t>
      </w:r>
      <w:r w:rsidRPr="00CB5E59" w:rsidR="4BDEF13B">
        <w:t xml:space="preserve"> </w:t>
      </w:r>
      <w:r w:rsidRPr="00CB5E59">
        <w:t>provid</w:t>
      </w:r>
      <w:r w:rsidRPr="00CB5E59" w:rsidR="4BDEF13B">
        <w:t>ing</w:t>
      </w:r>
      <w:r w:rsidRPr="00CB5E59">
        <w:t xml:space="preserve"> coverage for crime, fiduciary liability, business travel, surety bonds, etc.</w:t>
      </w:r>
      <w:r w:rsidRPr="00CB5E59">
        <w:rPr>
          <w:rStyle w:val="FootnoteReference"/>
        </w:rPr>
        <w:footnoteReference w:id="7"/>
      </w:r>
      <w:r w:rsidRPr="00CB5E59" w:rsidR="2F55354A">
        <w:t xml:space="preserve"> </w:t>
      </w:r>
      <w:r w:rsidRPr="00CB5E59" w:rsidR="7AAA8202">
        <w:t xml:space="preserve">Given the </w:t>
      </w:r>
      <w:r w:rsidRPr="00CB5E59" w:rsidR="6F4CB306">
        <w:t>significant</w:t>
      </w:r>
      <w:r w:rsidRPr="00CB5E59" w:rsidR="2F55354A">
        <w:t xml:space="preserve"> difference in price for wildfire</w:t>
      </w:r>
      <w:r w:rsidRPr="00CB5E59" w:rsidR="000A7DC1">
        <w:t xml:space="preserve"> and non-wildfire</w:t>
      </w:r>
      <w:r w:rsidRPr="00CB5E59" w:rsidR="2F55354A">
        <w:t xml:space="preserve"> liability insurance, PG&amp;E now purchases liability coverage for wildfire claims separate from non-wildfire liability insurance.</w:t>
      </w:r>
      <w:r w:rsidRPr="00CB5E59">
        <w:rPr>
          <w:rStyle w:val="FootnoteReference"/>
          <w:rFonts w:eastAsia="Calibri" w:cs="Arial"/>
        </w:rPr>
        <w:footnoteReference w:id="8"/>
      </w:r>
    </w:p>
    <w:p w:rsidRPr="00CB5E59" w:rsidR="003B2937" w:rsidP="001F6052" w:rsidRDefault="000A7DC1" w14:paraId="173D6CFA" w14:textId="0DFA1A41">
      <w:pPr>
        <w:pStyle w:val="Standard"/>
      </w:pPr>
      <w:r w:rsidRPr="00CB5E59">
        <w:t xml:space="preserve">The Commission in </w:t>
      </w:r>
      <w:r w:rsidRPr="00CB5E59" w:rsidR="35284E73">
        <w:t>D.20</w:t>
      </w:r>
      <w:r w:rsidRPr="00CB5E59" w:rsidR="00DD16B3">
        <w:noBreakHyphen/>
      </w:r>
      <w:r w:rsidRPr="00CB5E59" w:rsidR="35284E73">
        <w:t>12</w:t>
      </w:r>
      <w:r w:rsidRPr="00CB5E59" w:rsidR="00DD16B3">
        <w:noBreakHyphen/>
      </w:r>
      <w:r w:rsidRPr="00CB5E59" w:rsidR="35284E73">
        <w:t xml:space="preserve">005 authorized </w:t>
      </w:r>
      <w:r w:rsidRPr="00CB5E59" w:rsidR="65392203">
        <w:t>PG&amp;E</w:t>
      </w:r>
      <w:r w:rsidRPr="00CB5E59" w:rsidR="35284E73">
        <w:t xml:space="preserve"> </w:t>
      </w:r>
      <w:r w:rsidRPr="00CB5E59" w:rsidR="65392203">
        <w:t>to establish a</w:t>
      </w:r>
      <w:r w:rsidRPr="00CB5E59" w:rsidR="336FC650">
        <w:t xml:space="preserve"> </w:t>
      </w:r>
      <w:r w:rsidRPr="00CB5E59" w:rsidR="65392203">
        <w:t>two</w:t>
      </w:r>
      <w:r w:rsidRPr="00CB5E59" w:rsidR="00DD16B3">
        <w:noBreakHyphen/>
      </w:r>
      <w:r w:rsidRPr="00CB5E59" w:rsidR="65392203">
        <w:t>way R</w:t>
      </w:r>
      <w:r w:rsidRPr="00CB5E59" w:rsidR="35284E73">
        <w:t>isk Transfer Balancing Account (R</w:t>
      </w:r>
      <w:r w:rsidRPr="00CB5E59" w:rsidR="65392203">
        <w:t>TBA</w:t>
      </w:r>
      <w:r w:rsidRPr="00CB5E59" w:rsidR="32908ADB">
        <w:t>)</w:t>
      </w:r>
      <w:r w:rsidRPr="00CB5E59" w:rsidR="65392203">
        <w:t xml:space="preserve"> to record </w:t>
      </w:r>
      <w:r w:rsidRPr="00CB5E59" w:rsidR="35284E73">
        <w:t>g</w:t>
      </w:r>
      <w:r w:rsidRPr="00CB5E59" w:rsidR="65392203">
        <w:t xml:space="preserve">eneral </w:t>
      </w:r>
      <w:r w:rsidRPr="00CB5E59" w:rsidR="35284E73">
        <w:t>l</w:t>
      </w:r>
      <w:r w:rsidRPr="00CB5E59" w:rsidR="65392203">
        <w:t xml:space="preserve">iability insurance costs. The RTBA </w:t>
      </w:r>
      <w:r w:rsidRPr="00CB5E59" w:rsidR="35284E73">
        <w:t xml:space="preserve">allows PG&amp;E to </w:t>
      </w:r>
      <w:r w:rsidRPr="00CB5E59" w:rsidR="65392203">
        <w:t xml:space="preserve">record the difference between the amounts authorized in </w:t>
      </w:r>
      <w:r w:rsidRPr="00CB5E59" w:rsidR="35284E73">
        <w:t>D.20</w:t>
      </w:r>
      <w:r w:rsidRPr="00CB5E59" w:rsidR="00DD16B3">
        <w:noBreakHyphen/>
      </w:r>
      <w:r w:rsidRPr="00CB5E59" w:rsidR="35284E73">
        <w:t>12</w:t>
      </w:r>
      <w:r w:rsidRPr="00CB5E59" w:rsidR="00DD16B3">
        <w:noBreakHyphen/>
      </w:r>
      <w:r w:rsidRPr="00CB5E59" w:rsidR="35284E73">
        <w:t xml:space="preserve">005 </w:t>
      </w:r>
      <w:r w:rsidRPr="00CB5E59" w:rsidR="65392203">
        <w:t xml:space="preserve">and </w:t>
      </w:r>
      <w:r w:rsidR="00E426DB">
        <w:t xml:space="preserve">the </w:t>
      </w:r>
      <w:r w:rsidRPr="00CB5E59" w:rsidR="65392203">
        <w:t xml:space="preserve">actual costs of insurance premiums for </w:t>
      </w:r>
      <w:r w:rsidRPr="00CB5E59">
        <w:t xml:space="preserve">obtaining </w:t>
      </w:r>
      <w:r w:rsidRPr="00CB5E59" w:rsidR="65392203">
        <w:t>coverage up to $1.4</w:t>
      </w:r>
      <w:r w:rsidRPr="00CB5E59" w:rsidR="00DD16B3">
        <w:t> </w:t>
      </w:r>
      <w:r w:rsidRPr="00CB5E59" w:rsidR="65392203">
        <w:t>billion.</w:t>
      </w:r>
      <w:r w:rsidRPr="00CB5E59" w:rsidR="32908ADB">
        <w:t xml:space="preserve"> </w:t>
      </w:r>
      <w:r w:rsidRPr="00CB5E59" w:rsidR="3D781460">
        <w:t>D.20</w:t>
      </w:r>
      <w:r w:rsidRPr="00CB5E59" w:rsidR="00DD16B3">
        <w:noBreakHyphen/>
      </w:r>
      <w:r w:rsidRPr="00CB5E59" w:rsidR="3D781460">
        <w:t>12</w:t>
      </w:r>
      <w:r w:rsidRPr="00CB5E59" w:rsidR="00DD16B3">
        <w:noBreakHyphen/>
      </w:r>
      <w:r w:rsidRPr="00CB5E59" w:rsidR="3D781460">
        <w:t xml:space="preserve">005 </w:t>
      </w:r>
      <w:r w:rsidRPr="00CB5E59" w:rsidR="35D1672B">
        <w:t>authoriz</w:t>
      </w:r>
      <w:r w:rsidRPr="00CB5E59" w:rsidR="32908ADB">
        <w:t>ed</w:t>
      </w:r>
      <w:r w:rsidRPr="00CB5E59" w:rsidR="35D1672B">
        <w:t xml:space="preserve"> PG&amp;E to use excess funding in its RTBA as self</w:t>
      </w:r>
      <w:r w:rsidRPr="00CB5E59" w:rsidR="00DD16B3">
        <w:noBreakHyphen/>
      </w:r>
      <w:r w:rsidRPr="00CB5E59" w:rsidR="35D1672B">
        <w:t>insurance</w:t>
      </w:r>
      <w:r w:rsidRPr="00CB5E59" w:rsidR="32908ADB">
        <w:t xml:space="preserve"> up to $1</w:t>
      </w:r>
      <w:r w:rsidRPr="00CB5E59" w:rsidR="00DD16B3">
        <w:t> </w:t>
      </w:r>
      <w:r w:rsidRPr="00CB5E59" w:rsidR="32908ADB">
        <w:t>billion if competitively</w:t>
      </w:r>
      <w:r w:rsidRPr="00CB5E59" w:rsidR="00DD16B3">
        <w:noBreakHyphen/>
      </w:r>
      <w:r w:rsidRPr="00CB5E59" w:rsidR="32908ADB">
        <w:t xml:space="preserve">priced </w:t>
      </w:r>
      <w:r w:rsidRPr="00CB5E59" w:rsidR="32908ADB">
        <w:lastRenderedPageBreak/>
        <w:t xml:space="preserve">insurance in </w:t>
      </w:r>
      <w:r w:rsidRPr="00CB5E59" w:rsidR="336FC650">
        <w:t xml:space="preserve">available </w:t>
      </w:r>
      <w:r w:rsidRPr="00CB5E59" w:rsidR="32908ADB">
        <w:t>market</w:t>
      </w:r>
      <w:r w:rsidRPr="00CB5E59" w:rsidR="336FC650">
        <w:t>s</w:t>
      </w:r>
      <w:r w:rsidRPr="00CB5E59" w:rsidR="32908ADB">
        <w:t xml:space="preserve"> </w:t>
      </w:r>
      <w:r w:rsidRPr="00CB5E59" w:rsidR="336FC650">
        <w:t>wa</w:t>
      </w:r>
      <w:r w:rsidRPr="00CB5E59" w:rsidR="32908ADB">
        <w:t>s limited.</w:t>
      </w:r>
      <w:r w:rsidRPr="00CB5E59" w:rsidR="00315B5E">
        <w:rPr>
          <w:vertAlign w:val="superscript"/>
        </w:rPr>
        <w:footnoteReference w:id="9"/>
      </w:r>
      <w:r w:rsidRPr="00CB5E59" w:rsidR="35D1672B">
        <w:t xml:space="preserve"> </w:t>
      </w:r>
      <w:r w:rsidRPr="00CB5E59" w:rsidR="32908ADB">
        <w:t xml:space="preserve">However, PG&amp;E </w:t>
      </w:r>
      <w:r w:rsidRPr="00CB5E59">
        <w:t xml:space="preserve">did not rely on this authority </w:t>
      </w:r>
      <w:r w:rsidRPr="00CB5E59" w:rsidR="35D1672B">
        <w:t>to utilize the self</w:t>
      </w:r>
      <w:r w:rsidRPr="00CB5E59" w:rsidR="00DD16B3">
        <w:noBreakHyphen/>
      </w:r>
      <w:r w:rsidRPr="00CB5E59" w:rsidR="35D1672B">
        <w:t>insurance provisions of its RTBA because it never had excess funding in the account.</w:t>
      </w:r>
      <w:r w:rsidRPr="00CB5E59" w:rsidR="00315B5E">
        <w:rPr>
          <w:vertAlign w:val="superscript"/>
        </w:rPr>
        <w:footnoteReference w:id="10"/>
      </w:r>
      <w:r w:rsidRPr="00CB5E59" w:rsidR="35D1672B">
        <w:t xml:space="preserve"> </w:t>
      </w:r>
    </w:p>
    <w:p w:rsidRPr="00CB5E59" w:rsidR="00542306" w:rsidP="00FB17E6" w:rsidRDefault="67623247" w14:paraId="30DD8E48" w14:textId="24A11D00">
      <w:pPr>
        <w:pStyle w:val="Standard"/>
      </w:pPr>
      <w:r w:rsidRPr="00CB5E59">
        <w:t xml:space="preserve"> </w:t>
      </w:r>
      <w:r w:rsidRPr="00CB5E59" w:rsidR="195F4EC5">
        <w:t>In D.</w:t>
      </w:r>
      <w:r w:rsidRPr="00CB5E59" w:rsidR="67B4CE62">
        <w:t>20</w:t>
      </w:r>
      <w:r w:rsidRPr="00CB5E59" w:rsidR="00DD16B3">
        <w:noBreakHyphen/>
      </w:r>
      <w:r w:rsidRPr="00CB5E59" w:rsidR="67B4CE62">
        <w:t>12</w:t>
      </w:r>
      <w:r w:rsidRPr="00CB5E59" w:rsidR="00DD16B3">
        <w:noBreakHyphen/>
      </w:r>
      <w:r w:rsidRPr="00CB5E59" w:rsidR="67B4CE62">
        <w:t>005</w:t>
      </w:r>
      <w:r w:rsidRPr="00CB5E59" w:rsidR="195F4EC5">
        <w:t>, the Commission expected</w:t>
      </w:r>
      <w:r w:rsidRPr="00CB5E59" w:rsidR="67B4CE62">
        <w:t xml:space="preserve"> </w:t>
      </w:r>
      <w:r w:rsidRPr="00CB5E59" w:rsidR="1AE34A17">
        <w:t xml:space="preserve">PG&amp;E </w:t>
      </w:r>
      <w:r w:rsidRPr="00CB5E59" w:rsidR="5176A7A1">
        <w:t>to</w:t>
      </w:r>
      <w:r w:rsidRPr="00CB5E59" w:rsidR="67B4CE62">
        <w:t xml:space="preserve"> </w:t>
      </w:r>
      <w:r w:rsidRPr="00CB5E59" w:rsidR="1075880B">
        <w:t xml:space="preserve">obtain additional insurance within the limits of what is authorized by </w:t>
      </w:r>
      <w:r w:rsidRPr="00CB5E59" w:rsidR="799D349A">
        <w:t>D.20</w:t>
      </w:r>
      <w:r w:rsidRPr="00CB5E59" w:rsidR="00DD16B3">
        <w:noBreakHyphen/>
      </w:r>
      <w:r w:rsidRPr="00CB5E59" w:rsidR="799D349A">
        <w:t>12</w:t>
      </w:r>
      <w:r w:rsidRPr="00CB5E59" w:rsidR="00DD16B3">
        <w:noBreakHyphen/>
      </w:r>
      <w:r w:rsidRPr="00CB5E59" w:rsidR="799D349A">
        <w:t xml:space="preserve">005 </w:t>
      </w:r>
      <w:r w:rsidRPr="00CB5E59" w:rsidR="1075880B">
        <w:t xml:space="preserve">by purchasing commercial insurance if </w:t>
      </w:r>
      <w:r w:rsidRPr="00CB5E59" w:rsidR="00DD16B3">
        <w:t>competitively priced</w:t>
      </w:r>
      <w:r w:rsidRPr="00CB5E59" w:rsidR="1075880B">
        <w:t xml:space="preserve"> insurance </w:t>
      </w:r>
      <w:r w:rsidRPr="00CB5E59" w:rsidR="67B4CE62">
        <w:t>wa</w:t>
      </w:r>
      <w:r w:rsidRPr="00CB5E59" w:rsidR="1075880B">
        <w:t>s available in the commercial market.</w:t>
      </w:r>
      <w:r w:rsidRPr="00CB5E59" w:rsidR="00FB17E6">
        <w:t xml:space="preserve"> For the 2021</w:t>
      </w:r>
      <w:r w:rsidRPr="00CB5E59" w:rsidR="00DD16B3">
        <w:noBreakHyphen/>
      </w:r>
      <w:r w:rsidRPr="00CB5E59" w:rsidR="00FB17E6">
        <w:t xml:space="preserve">2022 </w:t>
      </w:r>
      <w:r w:rsidR="00186A27">
        <w:t xml:space="preserve">insurance </w:t>
      </w:r>
      <w:r w:rsidRPr="00CB5E59" w:rsidR="00FB17E6">
        <w:t>policy year</w:t>
      </w:r>
      <w:r w:rsidRPr="00CB5E59" w:rsidR="00263FAE">
        <w:t>,</w:t>
      </w:r>
      <w:r w:rsidRPr="00CB5E59" w:rsidR="00FB17E6">
        <w:t xml:space="preserve"> PG&amp;E purchased $900</w:t>
      </w:r>
      <w:r w:rsidRPr="00CB5E59" w:rsidR="00DD16B3">
        <w:t> </w:t>
      </w:r>
      <w:r w:rsidRPr="00CB5E59" w:rsidR="00FB17E6">
        <w:t>million in wildfire insurance coverage at a cost of $708</w:t>
      </w:r>
      <w:r w:rsidRPr="00CB5E59" w:rsidR="00DD16B3">
        <w:t> </w:t>
      </w:r>
      <w:r w:rsidRPr="00CB5E59" w:rsidR="00FB17E6">
        <w:t>million</w:t>
      </w:r>
      <w:r w:rsidRPr="00CB5E59" w:rsidR="008C2848">
        <w:t>.</w:t>
      </w:r>
      <w:r w:rsidRPr="00CB5E59" w:rsidR="00FB17E6">
        <w:rPr>
          <w:rStyle w:val="FootnoteReference"/>
        </w:rPr>
        <w:footnoteReference w:id="11"/>
      </w:r>
      <w:r w:rsidRPr="00CB5E59" w:rsidR="00FB17E6">
        <w:t xml:space="preserve"> </w:t>
      </w:r>
      <w:r w:rsidR="00245A6F">
        <w:t>PG&amp;E’s currently effective coverage for the 2022-2023</w:t>
      </w:r>
      <w:r w:rsidR="00186A27">
        <w:t xml:space="preserve"> insurance</w:t>
      </w:r>
      <w:r w:rsidR="00245A6F">
        <w:t xml:space="preserve"> policy year </w:t>
      </w:r>
      <w:r w:rsidRPr="00CB5E59" w:rsidR="4433AC16">
        <w:t>expire</w:t>
      </w:r>
      <w:r w:rsidRPr="00CB5E59" w:rsidR="67B4CE62">
        <w:t>s</w:t>
      </w:r>
      <w:r w:rsidRPr="00CB5E59" w:rsidR="4433AC16">
        <w:t xml:space="preserve"> in</w:t>
      </w:r>
      <w:r w:rsidRPr="00CB5E59" w:rsidR="67B4CE62">
        <w:t xml:space="preserve"> March</w:t>
      </w:r>
      <w:r w:rsidRPr="00CB5E59" w:rsidR="00DD16B3">
        <w:t> </w:t>
      </w:r>
      <w:r w:rsidRPr="00CB5E59" w:rsidR="67B4CE62">
        <w:t xml:space="preserve">2023 </w:t>
      </w:r>
      <w:r w:rsidRPr="00CB5E59" w:rsidR="4433AC16">
        <w:t xml:space="preserve">and </w:t>
      </w:r>
      <w:r w:rsidRPr="00CB5E59" w:rsidR="646A4E71">
        <w:t>July</w:t>
      </w:r>
      <w:r w:rsidRPr="00CB5E59" w:rsidR="00DD16B3">
        <w:t> </w:t>
      </w:r>
      <w:r w:rsidRPr="00CB5E59" w:rsidR="67B4CE62">
        <w:t>2023.</w:t>
      </w:r>
      <w:r w:rsidRPr="00CB5E59" w:rsidR="00957A45">
        <w:rPr>
          <w:rStyle w:val="FootnoteReference"/>
        </w:rPr>
        <w:footnoteReference w:id="12"/>
      </w:r>
    </w:p>
    <w:p w:rsidRPr="00CB5E59" w:rsidR="0087604E" w:rsidP="65DAF6F8" w:rsidRDefault="005C5A09" w14:paraId="73C148B7" w14:textId="0AAF95E5">
      <w:pPr>
        <w:pStyle w:val="Heading2"/>
      </w:pPr>
      <w:bookmarkStart w:name="_Toc121488163" w:id="10"/>
      <w:r w:rsidRPr="00CB5E59">
        <w:t xml:space="preserve">Wildfires Involving PG&amp;E Equipment, </w:t>
      </w:r>
      <w:r w:rsidRPr="00CB5E59" w:rsidR="00DD16B3">
        <w:br/>
      </w:r>
      <w:r w:rsidRPr="00CB5E59" w:rsidR="0087604E">
        <w:t>Claim</w:t>
      </w:r>
      <w:r w:rsidRPr="00CB5E59">
        <w:t>s</w:t>
      </w:r>
      <w:r w:rsidRPr="00CB5E59" w:rsidR="0087604E">
        <w:t xml:space="preserve"> History</w:t>
      </w:r>
      <w:r w:rsidRPr="00CB5E59">
        <w:t>, and Bankruptcy</w:t>
      </w:r>
      <w:bookmarkEnd w:id="10"/>
      <w:r w:rsidRPr="00CB5E59" w:rsidR="0087604E">
        <w:t xml:space="preserve"> </w:t>
      </w:r>
    </w:p>
    <w:p w:rsidRPr="00CB5E59" w:rsidR="007E6D3C" w:rsidP="00DD16B3" w:rsidRDefault="5176A7A1" w14:paraId="1D7FD46B" w14:textId="1C0BCE18">
      <w:pPr>
        <w:pStyle w:val="Standard"/>
      </w:pPr>
      <w:r w:rsidRPr="00CB5E59">
        <w:t xml:space="preserve">From 2017 through 2021, an unprecedented number of wildfires </w:t>
      </w:r>
      <w:r w:rsidRPr="00CB5E59" w:rsidR="77333D64">
        <w:t xml:space="preserve">tragically </w:t>
      </w:r>
      <w:r w:rsidRPr="00CB5E59">
        <w:t>caused</w:t>
      </w:r>
      <w:r w:rsidRPr="00CB5E59" w:rsidR="4631E6E8">
        <w:t xml:space="preserve"> a record amount of damage to persons and property in PG&amp;E’s service territory.</w:t>
      </w:r>
      <w:r w:rsidRPr="00CB5E59" w:rsidR="00974031">
        <w:rPr>
          <w:rStyle w:val="FootnoteReference"/>
        </w:rPr>
        <w:footnoteReference w:id="13"/>
      </w:r>
      <w:r w:rsidRPr="00CB5E59" w:rsidR="4631E6E8">
        <w:t xml:space="preserve"> </w:t>
      </w:r>
      <w:r w:rsidRPr="00CB5E59" w:rsidR="000A7DC1">
        <w:t xml:space="preserve">Some of these fires were caused by malfunctions of PG&amp;E electric infrastructure. In some instances, </w:t>
      </w:r>
      <w:r w:rsidRPr="00CB5E59" w:rsidR="73F8B854">
        <w:t xml:space="preserve">PG&amp;E </w:t>
      </w:r>
      <w:r w:rsidRPr="00CB5E59" w:rsidR="0079638E">
        <w:t>can be</w:t>
      </w:r>
      <w:r w:rsidRPr="00CB5E59" w:rsidR="008C2848">
        <w:t xml:space="preserve"> held </w:t>
      </w:r>
      <w:r w:rsidRPr="00CB5E59" w:rsidR="73F8B854">
        <w:t xml:space="preserve">liable for </w:t>
      </w:r>
      <w:r w:rsidRPr="00CB5E59" w:rsidR="23A59350">
        <w:t xml:space="preserve">the </w:t>
      </w:r>
      <w:r w:rsidRPr="00CB5E59" w:rsidR="36B5BBDA">
        <w:t xml:space="preserve">damages </w:t>
      </w:r>
      <w:r w:rsidRPr="00CB5E59" w:rsidR="73F8B854">
        <w:t xml:space="preserve">from third parties </w:t>
      </w:r>
      <w:r w:rsidRPr="00CB5E59" w:rsidR="6E7E09AF">
        <w:t>impacted by the</w:t>
      </w:r>
      <w:r w:rsidRPr="00CB5E59" w:rsidR="73F8B854">
        <w:t xml:space="preserve"> fires </w:t>
      </w:r>
      <w:r w:rsidRPr="00CB5E59" w:rsidR="6E7E09AF">
        <w:t xml:space="preserve">in PG&amp;E’s territory </w:t>
      </w:r>
      <w:r w:rsidRPr="00CB5E59" w:rsidR="163B4ED5">
        <w:t xml:space="preserve">started by </w:t>
      </w:r>
      <w:r w:rsidRPr="00CB5E59" w:rsidR="67A8AAA1">
        <w:t>its</w:t>
      </w:r>
      <w:r w:rsidRPr="00CB5E59" w:rsidR="36B5BBDA">
        <w:t xml:space="preserve"> </w:t>
      </w:r>
      <w:r w:rsidRPr="00CB5E59" w:rsidR="163B4ED5">
        <w:t>powerlines or other equipment</w:t>
      </w:r>
      <w:r w:rsidRPr="00CB5E59" w:rsidR="73F8B854">
        <w:t>.</w:t>
      </w:r>
      <w:r w:rsidRPr="00CB5E59" w:rsidR="00D9707F">
        <w:rPr>
          <w:rStyle w:val="FootnoteReference"/>
        </w:rPr>
        <w:footnoteReference w:id="14"/>
      </w:r>
      <w:r w:rsidRPr="00CB5E59" w:rsidR="36B5BBDA">
        <w:t xml:space="preserve"> </w:t>
      </w:r>
      <w:r w:rsidRPr="00CB5E59" w:rsidR="73F8B854">
        <w:t xml:space="preserve">As a result, </w:t>
      </w:r>
      <w:r w:rsidRPr="00CB5E59" w:rsidR="36B5BBDA">
        <w:t xml:space="preserve">PG&amp;E’s liability for claims arising from fires </w:t>
      </w:r>
      <w:r w:rsidRPr="00CB5E59" w:rsidR="00546EF8">
        <w:t xml:space="preserve">substantially </w:t>
      </w:r>
      <w:r w:rsidRPr="00CB5E59" w:rsidR="38C0B925">
        <w:t xml:space="preserve">increased </w:t>
      </w:r>
      <w:r w:rsidRPr="00CB5E59" w:rsidR="73F8B854">
        <w:t>to</w:t>
      </w:r>
      <w:r w:rsidRPr="00CB5E59" w:rsidR="38C0B925">
        <w:t xml:space="preserve"> the amounts </w:t>
      </w:r>
      <w:r w:rsidRPr="00CB5E59" w:rsidR="00546EF8">
        <w:t xml:space="preserve">estimated </w:t>
      </w:r>
      <w:r w:rsidRPr="00CB5E59" w:rsidR="38C0B925">
        <w:t>below:</w:t>
      </w:r>
      <w:r w:rsidRPr="00CB5E59" w:rsidR="00C13EFA">
        <w:rPr>
          <w:rStyle w:val="FootnoteReference"/>
        </w:rPr>
        <w:footnoteReference w:id="15"/>
      </w:r>
    </w:p>
    <w:p w:rsidRPr="00CB5E59" w:rsidR="00DD16B3" w:rsidP="00DD16B3" w:rsidRDefault="00251FAE" w14:paraId="461BC865" w14:textId="5EFEB457">
      <w:pPr>
        <w:pStyle w:val="Standard"/>
        <w:ind w:firstLine="0"/>
        <w:jc w:val="center"/>
        <w:rPr>
          <w:b/>
          <w:bCs/>
        </w:rPr>
      </w:pPr>
      <w:r w:rsidRPr="00CB5E59">
        <w:rPr>
          <w:b/>
          <w:bCs/>
        </w:rPr>
        <w:lastRenderedPageBreak/>
        <w:t>Table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31"/>
        <w:gridCol w:w="2724"/>
        <w:gridCol w:w="2340"/>
      </w:tblGrid>
      <w:tr w:rsidRPr="00CB5E59" w:rsidR="00DD16B3" w:rsidTr="00DD16B3" w14:paraId="36D3D4DF" w14:textId="77777777">
        <w:trPr>
          <w:jc w:val="center"/>
        </w:trPr>
        <w:tc>
          <w:tcPr>
            <w:tcW w:w="1231" w:type="dxa"/>
            <w:vAlign w:val="center"/>
          </w:tcPr>
          <w:p w:rsidRPr="00CB5E59" w:rsidR="00DD16B3" w:rsidP="00DD16B3" w:rsidRDefault="00DD16B3" w14:paraId="1DF1192C" w14:textId="39D059CD">
            <w:pPr>
              <w:pStyle w:val="Standard"/>
              <w:spacing w:line="240" w:lineRule="auto"/>
              <w:ind w:firstLine="0"/>
              <w:jc w:val="center"/>
            </w:pPr>
            <w:r w:rsidRPr="00CB5E59">
              <w:rPr>
                <w:b/>
                <w:bCs/>
                <w:u w:val="single"/>
              </w:rPr>
              <w:t>Year</w:t>
            </w:r>
          </w:p>
        </w:tc>
        <w:tc>
          <w:tcPr>
            <w:tcW w:w="2724" w:type="dxa"/>
            <w:vAlign w:val="center"/>
          </w:tcPr>
          <w:p w:rsidRPr="00CB5E59" w:rsidR="00DD16B3" w:rsidP="00DD16B3" w:rsidRDefault="00DD16B3" w14:paraId="455F6A80" w14:textId="5AE9626C">
            <w:pPr>
              <w:pStyle w:val="Standard"/>
              <w:spacing w:line="240" w:lineRule="auto"/>
              <w:ind w:firstLine="0"/>
              <w:jc w:val="center"/>
            </w:pPr>
            <w:r w:rsidRPr="00CB5E59">
              <w:rPr>
                <w:b/>
                <w:bCs/>
                <w:u w:val="single"/>
              </w:rPr>
              <w:t>PG&amp;E Estimated Wildfire Liabilities</w:t>
            </w:r>
          </w:p>
        </w:tc>
        <w:tc>
          <w:tcPr>
            <w:tcW w:w="2340" w:type="dxa"/>
            <w:vAlign w:val="center"/>
          </w:tcPr>
          <w:p w:rsidRPr="00CB5E59" w:rsidR="00DD16B3" w:rsidP="00DD16B3" w:rsidRDefault="00DD16B3" w14:paraId="78858F35" w14:textId="53E25D12">
            <w:pPr>
              <w:pStyle w:val="Standard"/>
              <w:spacing w:line="240" w:lineRule="auto"/>
              <w:ind w:firstLine="0"/>
              <w:jc w:val="center"/>
            </w:pPr>
            <w:proofErr w:type="gramStart"/>
            <w:r w:rsidRPr="00CB5E59">
              <w:rPr>
                <w:b/>
                <w:bCs/>
                <w:u w:val="single"/>
              </w:rPr>
              <w:t>Amount  Recovered</w:t>
            </w:r>
            <w:proofErr w:type="gramEnd"/>
            <w:r w:rsidR="003277B3">
              <w:rPr>
                <w:b/>
                <w:bCs/>
                <w:u w:val="single"/>
              </w:rPr>
              <w:t xml:space="preserve"> From Insurance</w:t>
            </w:r>
            <w:r w:rsidRPr="00CB5E59">
              <w:rPr>
                <w:rStyle w:val="FootnoteReference"/>
                <w:b/>
                <w:bCs/>
                <w:u w:val="single"/>
              </w:rPr>
              <w:footnoteReference w:id="16"/>
            </w:r>
          </w:p>
        </w:tc>
      </w:tr>
      <w:tr w:rsidRPr="00CB5E59" w:rsidR="00DD16B3" w:rsidTr="00DD16B3" w14:paraId="0E100507" w14:textId="77777777">
        <w:trPr>
          <w:jc w:val="center"/>
        </w:trPr>
        <w:tc>
          <w:tcPr>
            <w:tcW w:w="1231" w:type="dxa"/>
            <w:vAlign w:val="center"/>
          </w:tcPr>
          <w:p w:rsidRPr="00CB5E59" w:rsidR="00DD16B3" w:rsidP="00DD16B3" w:rsidRDefault="00DD16B3" w14:paraId="59157988" w14:textId="793B5BB9">
            <w:pPr>
              <w:pStyle w:val="Standard"/>
              <w:spacing w:line="240" w:lineRule="auto"/>
              <w:ind w:firstLine="0"/>
              <w:jc w:val="center"/>
            </w:pPr>
            <w:r w:rsidRPr="00CB5E59">
              <w:t>2017</w:t>
            </w:r>
          </w:p>
        </w:tc>
        <w:tc>
          <w:tcPr>
            <w:tcW w:w="2724" w:type="dxa"/>
            <w:vAlign w:val="center"/>
          </w:tcPr>
          <w:p w:rsidRPr="00CB5E59" w:rsidR="00DD16B3" w:rsidP="00DD16B3" w:rsidRDefault="00DD16B3" w14:paraId="27E44D3F" w14:textId="3A89AAEF">
            <w:pPr>
              <w:pStyle w:val="Standard"/>
              <w:spacing w:line="240" w:lineRule="auto"/>
              <w:ind w:firstLine="0"/>
              <w:jc w:val="center"/>
            </w:pPr>
            <w:r w:rsidRPr="00CB5E59">
              <w:t>$7,500 million</w:t>
            </w:r>
          </w:p>
        </w:tc>
        <w:tc>
          <w:tcPr>
            <w:tcW w:w="2340" w:type="dxa"/>
            <w:vAlign w:val="center"/>
          </w:tcPr>
          <w:p w:rsidRPr="00CB5E59" w:rsidR="00DD16B3" w:rsidP="00DD16B3" w:rsidRDefault="00DD16B3" w14:paraId="7C742082" w14:textId="2E194DBD">
            <w:pPr>
              <w:pStyle w:val="Standard"/>
              <w:spacing w:line="240" w:lineRule="auto"/>
              <w:ind w:firstLine="0"/>
              <w:jc w:val="center"/>
            </w:pPr>
            <w:r w:rsidRPr="00CB5E59">
              <w:t>$</w:t>
            </w:r>
            <w:r w:rsidR="003277B3">
              <w:t>842.5</w:t>
            </w:r>
            <w:r w:rsidRPr="00CB5E59">
              <w:t xml:space="preserve"> million</w:t>
            </w:r>
          </w:p>
        </w:tc>
      </w:tr>
      <w:tr w:rsidRPr="00CB5E59" w:rsidR="00DD16B3" w:rsidTr="00DD16B3" w14:paraId="4D686A2C" w14:textId="77777777">
        <w:trPr>
          <w:jc w:val="center"/>
        </w:trPr>
        <w:tc>
          <w:tcPr>
            <w:tcW w:w="1231" w:type="dxa"/>
            <w:vAlign w:val="center"/>
          </w:tcPr>
          <w:p w:rsidRPr="00CB5E59" w:rsidR="00DD16B3" w:rsidP="00DD16B3" w:rsidRDefault="00DD16B3" w14:paraId="179DA34E" w14:textId="3B391AA4">
            <w:pPr>
              <w:pStyle w:val="Standard"/>
              <w:spacing w:line="240" w:lineRule="auto"/>
              <w:ind w:firstLine="0"/>
              <w:jc w:val="center"/>
            </w:pPr>
            <w:r w:rsidRPr="00CB5E59">
              <w:t>2018</w:t>
            </w:r>
          </w:p>
        </w:tc>
        <w:tc>
          <w:tcPr>
            <w:tcW w:w="2724" w:type="dxa"/>
            <w:vAlign w:val="center"/>
          </w:tcPr>
          <w:p w:rsidRPr="00CB5E59" w:rsidR="00DD16B3" w:rsidP="00DD16B3" w:rsidRDefault="00DD16B3" w14:paraId="158E9EF0" w14:textId="6466FE45">
            <w:pPr>
              <w:pStyle w:val="Standard"/>
              <w:spacing w:line="240" w:lineRule="auto"/>
              <w:ind w:firstLine="0"/>
              <w:jc w:val="center"/>
            </w:pPr>
            <w:r w:rsidRPr="00CB5E59">
              <w:t>$12,900 million</w:t>
            </w:r>
          </w:p>
        </w:tc>
        <w:tc>
          <w:tcPr>
            <w:tcW w:w="2340" w:type="dxa"/>
            <w:vAlign w:val="center"/>
          </w:tcPr>
          <w:p w:rsidRPr="00CB5E59" w:rsidR="00DD16B3" w:rsidP="00DD16B3" w:rsidRDefault="00DD16B3" w14:paraId="1B740820" w14:textId="07B2E7DD">
            <w:pPr>
              <w:pStyle w:val="Standard"/>
              <w:spacing w:line="240" w:lineRule="auto"/>
              <w:ind w:firstLine="0"/>
              <w:jc w:val="center"/>
            </w:pPr>
            <w:r w:rsidRPr="00CB5E59">
              <w:t>$1,200 million</w:t>
            </w:r>
          </w:p>
        </w:tc>
      </w:tr>
      <w:tr w:rsidRPr="00CB5E59" w:rsidR="00DD16B3" w:rsidTr="00DD16B3" w14:paraId="440E6F0E" w14:textId="77777777">
        <w:trPr>
          <w:jc w:val="center"/>
        </w:trPr>
        <w:tc>
          <w:tcPr>
            <w:tcW w:w="1231" w:type="dxa"/>
            <w:vAlign w:val="center"/>
          </w:tcPr>
          <w:p w:rsidRPr="00CB5E59" w:rsidR="00DD16B3" w:rsidP="00DD16B3" w:rsidRDefault="00DD16B3" w14:paraId="39BDFCD1" w14:textId="032A684D">
            <w:pPr>
              <w:pStyle w:val="Standard"/>
              <w:spacing w:line="240" w:lineRule="auto"/>
              <w:ind w:firstLine="0"/>
              <w:jc w:val="center"/>
            </w:pPr>
            <w:r w:rsidRPr="00CB5E59">
              <w:t>2019</w:t>
            </w:r>
          </w:p>
        </w:tc>
        <w:tc>
          <w:tcPr>
            <w:tcW w:w="2724" w:type="dxa"/>
            <w:vAlign w:val="center"/>
          </w:tcPr>
          <w:p w:rsidRPr="00CB5E59" w:rsidR="00DD16B3" w:rsidP="00DD16B3" w:rsidRDefault="00DD16B3" w14:paraId="4898A7CE" w14:textId="73684AAE">
            <w:pPr>
              <w:pStyle w:val="Standard"/>
              <w:spacing w:line="240" w:lineRule="auto"/>
              <w:ind w:firstLine="0"/>
              <w:jc w:val="center"/>
            </w:pPr>
            <w:r w:rsidRPr="00CB5E59">
              <w:t>$800 million</w:t>
            </w:r>
          </w:p>
        </w:tc>
        <w:tc>
          <w:tcPr>
            <w:tcW w:w="2340" w:type="dxa"/>
            <w:vAlign w:val="center"/>
          </w:tcPr>
          <w:p w:rsidRPr="00CB5E59" w:rsidR="00DD16B3" w:rsidP="00DD16B3" w:rsidRDefault="00DD16B3" w14:paraId="236A676C" w14:textId="6A4199FA">
            <w:pPr>
              <w:pStyle w:val="Standard"/>
              <w:spacing w:line="240" w:lineRule="auto"/>
              <w:ind w:firstLine="0"/>
              <w:jc w:val="center"/>
            </w:pPr>
            <w:r w:rsidRPr="00CB5E59">
              <w:t>$430 million</w:t>
            </w:r>
          </w:p>
        </w:tc>
      </w:tr>
      <w:tr w:rsidRPr="00CB5E59" w:rsidR="00DD16B3" w:rsidTr="00DD16B3" w14:paraId="18A2193B" w14:textId="77777777">
        <w:trPr>
          <w:jc w:val="center"/>
        </w:trPr>
        <w:tc>
          <w:tcPr>
            <w:tcW w:w="1231" w:type="dxa"/>
            <w:vAlign w:val="center"/>
          </w:tcPr>
          <w:p w:rsidRPr="00CB5E59" w:rsidR="00DD16B3" w:rsidP="00DD16B3" w:rsidRDefault="00DD16B3" w14:paraId="78C7373C" w14:textId="50819801">
            <w:pPr>
              <w:pStyle w:val="Standard"/>
              <w:spacing w:line="240" w:lineRule="auto"/>
              <w:ind w:firstLine="0"/>
              <w:jc w:val="center"/>
            </w:pPr>
            <w:r w:rsidRPr="00CB5E59">
              <w:t>2020</w:t>
            </w:r>
          </w:p>
        </w:tc>
        <w:tc>
          <w:tcPr>
            <w:tcW w:w="2724" w:type="dxa"/>
            <w:vAlign w:val="center"/>
          </w:tcPr>
          <w:p w:rsidRPr="00CB5E59" w:rsidR="00DD16B3" w:rsidP="00DD16B3" w:rsidRDefault="00DD16B3" w14:paraId="0D9F001F" w14:textId="2FDB1837">
            <w:pPr>
              <w:pStyle w:val="Standard"/>
              <w:spacing w:line="240" w:lineRule="auto"/>
              <w:ind w:firstLine="0"/>
              <w:jc w:val="center"/>
            </w:pPr>
            <w:r w:rsidRPr="00CB5E59">
              <w:t>$375 million</w:t>
            </w:r>
          </w:p>
        </w:tc>
        <w:tc>
          <w:tcPr>
            <w:tcW w:w="2340" w:type="dxa"/>
            <w:vAlign w:val="center"/>
          </w:tcPr>
          <w:p w:rsidRPr="00CB5E59" w:rsidR="00DD16B3" w:rsidP="00DD16B3" w:rsidRDefault="00DD16B3" w14:paraId="27D45A8A" w14:textId="22334AEC">
            <w:pPr>
              <w:pStyle w:val="Standard"/>
              <w:spacing w:line="240" w:lineRule="auto"/>
              <w:ind w:firstLine="0"/>
              <w:jc w:val="center"/>
            </w:pPr>
            <w:r w:rsidRPr="00CB5E59">
              <w:t>$375 million</w:t>
            </w:r>
          </w:p>
        </w:tc>
      </w:tr>
      <w:tr w:rsidRPr="00CB5E59" w:rsidR="00DD16B3" w:rsidTr="00DD16B3" w14:paraId="45292DBB" w14:textId="77777777">
        <w:trPr>
          <w:jc w:val="center"/>
        </w:trPr>
        <w:tc>
          <w:tcPr>
            <w:tcW w:w="1231" w:type="dxa"/>
            <w:vAlign w:val="center"/>
          </w:tcPr>
          <w:p w:rsidRPr="00CB5E59" w:rsidR="00DD16B3" w:rsidP="00DD16B3" w:rsidRDefault="00DD16B3" w14:paraId="1DAEAFA6" w14:textId="0756A1F8">
            <w:pPr>
              <w:pStyle w:val="Standard"/>
              <w:spacing w:line="240" w:lineRule="auto"/>
              <w:ind w:firstLine="0"/>
              <w:jc w:val="center"/>
            </w:pPr>
            <w:r w:rsidRPr="00CB5E59">
              <w:t>2021</w:t>
            </w:r>
          </w:p>
        </w:tc>
        <w:tc>
          <w:tcPr>
            <w:tcW w:w="2724" w:type="dxa"/>
            <w:vAlign w:val="center"/>
          </w:tcPr>
          <w:p w:rsidRPr="00CB5E59" w:rsidR="00DD16B3" w:rsidP="00DD16B3" w:rsidRDefault="00DD16B3" w14:paraId="51952428" w14:textId="7117CF4D">
            <w:pPr>
              <w:pStyle w:val="Standard"/>
              <w:spacing w:line="240" w:lineRule="auto"/>
              <w:ind w:firstLine="0"/>
              <w:jc w:val="center"/>
            </w:pPr>
            <w:r w:rsidRPr="00CB5E59">
              <w:t>$1,150 million</w:t>
            </w:r>
          </w:p>
        </w:tc>
        <w:tc>
          <w:tcPr>
            <w:tcW w:w="2340" w:type="dxa"/>
            <w:vAlign w:val="center"/>
          </w:tcPr>
          <w:p w:rsidRPr="00CB5E59" w:rsidR="00DD16B3" w:rsidP="00DD16B3" w:rsidRDefault="00DD16B3" w14:paraId="6198FCDA" w14:textId="3ADC1063">
            <w:pPr>
              <w:pStyle w:val="Standard"/>
              <w:spacing w:line="240" w:lineRule="auto"/>
              <w:ind w:firstLine="0"/>
              <w:jc w:val="center"/>
            </w:pPr>
            <w:r w:rsidRPr="00CB5E59">
              <w:t>$569 million</w:t>
            </w:r>
          </w:p>
        </w:tc>
      </w:tr>
    </w:tbl>
    <w:p w:rsidRPr="00CB5E59" w:rsidR="2D110B1F" w:rsidP="00B4339B" w:rsidRDefault="00A5704E" w14:paraId="05DE9389" w14:textId="56CF0A59">
      <w:pPr>
        <w:pStyle w:val="Standard"/>
        <w:spacing w:before="240"/>
        <w:ind w:firstLine="0"/>
        <w:rPr>
          <w:rFonts w:eastAsia="Calibri" w:cs="Arial"/>
        </w:rPr>
      </w:pPr>
      <w:r w:rsidRPr="00CB5E59">
        <w:t>D</w:t>
      </w:r>
      <w:r w:rsidRPr="00CB5E59" w:rsidR="2D110B1F">
        <w:t xml:space="preserve">amage </w:t>
      </w:r>
      <w:r w:rsidRPr="00CB5E59" w:rsidR="00546EF8">
        <w:t xml:space="preserve">caused by </w:t>
      </w:r>
      <w:r w:rsidRPr="00CB5E59" w:rsidR="2D110B1F">
        <w:t xml:space="preserve">fires </w:t>
      </w:r>
      <w:r w:rsidRPr="00CB5E59" w:rsidR="00546EF8">
        <w:t xml:space="preserve">ignited by PG&amp;E </w:t>
      </w:r>
      <w:r w:rsidRPr="00CB5E59" w:rsidR="3539012C">
        <w:t>infrastructure</w:t>
      </w:r>
      <w:r w:rsidRPr="00CB5E59" w:rsidR="2D110B1F">
        <w:t xml:space="preserve"> in 2022 was less</w:t>
      </w:r>
      <w:r w:rsidRPr="00CB5E59" w:rsidR="004B5AF0">
        <w:t> </w:t>
      </w:r>
      <w:r w:rsidRPr="00CB5E59" w:rsidR="2D110B1F">
        <w:t xml:space="preserve">than </w:t>
      </w:r>
      <w:r w:rsidRPr="00CB5E59" w:rsidR="00B84F8E">
        <w:t>10</w:t>
      </w:r>
      <w:r w:rsidRPr="00CB5E59" w:rsidR="004B5AF0">
        <w:t> </w:t>
      </w:r>
      <w:r w:rsidRPr="00CB5E59" w:rsidR="2D110B1F">
        <w:t>percent of the average for the last six</w:t>
      </w:r>
      <w:r w:rsidRPr="00CB5E59" w:rsidR="004B5AF0">
        <w:t> </w:t>
      </w:r>
      <w:r w:rsidRPr="00CB5E59" w:rsidR="2D110B1F">
        <w:t>years.</w:t>
      </w:r>
      <w:r w:rsidRPr="00CB5E59" w:rsidR="2D110B1F">
        <w:rPr>
          <w:rStyle w:val="FootnoteReference"/>
          <w:rFonts w:eastAsia="Calibri" w:cs="Arial"/>
        </w:rPr>
        <w:footnoteReference w:id="17"/>
      </w:r>
    </w:p>
    <w:p w:rsidRPr="00CB5E59" w:rsidR="003B140C" w:rsidP="00E26B27" w:rsidRDefault="4ABA77AE" w14:paraId="010E6FD0" w14:textId="04BB9EED">
      <w:pPr>
        <w:pStyle w:val="Standard"/>
        <w:rPr>
          <w:b/>
          <w:bCs/>
        </w:rPr>
      </w:pPr>
      <w:r w:rsidRPr="00CB5E59">
        <w:t xml:space="preserve">PG&amp;E did not have </w:t>
      </w:r>
      <w:r w:rsidRPr="00CB5E59" w:rsidR="00546EF8">
        <w:t xml:space="preserve">sufficient </w:t>
      </w:r>
      <w:r w:rsidRPr="00CB5E59">
        <w:t xml:space="preserve">insurance to cover </w:t>
      </w:r>
      <w:r w:rsidRPr="00CB5E59" w:rsidR="5FE40FA3">
        <w:t>the 2017 and 2018 claims and</w:t>
      </w:r>
      <w:r w:rsidRPr="00CB5E59" w:rsidR="00546EF8">
        <w:t>, as a result,</w:t>
      </w:r>
      <w:r w:rsidRPr="00CB5E59" w:rsidR="5FE40FA3">
        <w:t xml:space="preserve"> filed for</w:t>
      </w:r>
      <w:r w:rsidRPr="00CB5E59" w:rsidR="10C2CAFB">
        <w:t xml:space="preserve"> </w:t>
      </w:r>
      <w:r w:rsidRPr="00CB5E59" w:rsidR="5FE40FA3">
        <w:t>Chapter</w:t>
      </w:r>
      <w:r w:rsidRPr="00CB5E59" w:rsidR="004B5AF0">
        <w:t> </w:t>
      </w:r>
      <w:r w:rsidRPr="00CB5E59" w:rsidR="5FE40FA3">
        <w:t>11 bankruptcy protection in January</w:t>
      </w:r>
      <w:r w:rsidRPr="00CB5E59" w:rsidR="004B5AF0">
        <w:t> </w:t>
      </w:r>
      <w:r w:rsidRPr="00CB5E59" w:rsidR="5FE40FA3">
        <w:t>2019.</w:t>
      </w:r>
      <w:r w:rsidRPr="00CB5E59" w:rsidR="006F7608">
        <w:rPr>
          <w:rStyle w:val="FootnoteReference"/>
        </w:rPr>
        <w:footnoteReference w:id="18"/>
      </w:r>
      <w:r w:rsidRPr="00CB5E59" w:rsidR="10C2CAFB">
        <w:t xml:space="preserve"> </w:t>
      </w:r>
      <w:r w:rsidR="00867689">
        <w:t>Due to a number of factors including PG&amp;E’s increased claims, t</w:t>
      </w:r>
      <w:r w:rsidRPr="00CB5E59" w:rsidR="5D81E230">
        <w:t>he general liability insurance market</w:t>
      </w:r>
      <w:r w:rsidR="004E43CF">
        <w:t xml:space="preserve"> </w:t>
      </w:r>
      <w:r w:rsidR="00867689">
        <w:t xml:space="preserve">continued to </w:t>
      </w:r>
      <w:r w:rsidRPr="00CB5E59" w:rsidR="5D81E230">
        <w:t>increas</w:t>
      </w:r>
      <w:r w:rsidR="00867689">
        <w:t>e</w:t>
      </w:r>
      <w:r w:rsidRPr="00CB5E59" w:rsidR="7314C03B">
        <w:t xml:space="preserve"> insurance </w:t>
      </w:r>
      <w:r w:rsidRPr="00CB5E59" w:rsidR="5D81E230">
        <w:t>premiums and reduc</w:t>
      </w:r>
      <w:r w:rsidR="00867689">
        <w:t>e</w:t>
      </w:r>
      <w:r w:rsidRPr="00CB5E59" w:rsidR="5D81E230">
        <w:t xml:space="preserve"> </w:t>
      </w:r>
      <w:r w:rsidRPr="00CB5E59" w:rsidR="7314C03B">
        <w:t xml:space="preserve">the </w:t>
      </w:r>
      <w:r w:rsidRPr="00CB5E59" w:rsidR="5D81E230">
        <w:t>availab</w:t>
      </w:r>
      <w:r w:rsidRPr="00CB5E59" w:rsidR="7314C03B">
        <w:t xml:space="preserve">ility of insurance to cover </w:t>
      </w:r>
      <w:r w:rsidRPr="00CB5E59" w:rsidR="5D81E230">
        <w:t>wildfire risk</w:t>
      </w:r>
      <w:r w:rsidRPr="00CB5E59" w:rsidR="7314C03B">
        <w:t>.</w:t>
      </w:r>
      <w:r w:rsidRPr="00CB5E59" w:rsidR="009239D8">
        <w:rPr>
          <w:rStyle w:val="FootnoteReference"/>
        </w:rPr>
        <w:footnoteReference w:id="19"/>
      </w:r>
      <w:r w:rsidRPr="00CB5E59" w:rsidR="79CEB6FA">
        <w:t xml:space="preserve"> </w:t>
      </w:r>
      <w:r w:rsidRPr="00CB5E59" w:rsidR="23F9A8C1">
        <w:t>As Table</w:t>
      </w:r>
      <w:r w:rsidRPr="00CB5E59" w:rsidR="004B5AF0">
        <w:t> </w:t>
      </w:r>
      <w:r w:rsidRPr="00CB5E59" w:rsidR="23F9A8C1">
        <w:t xml:space="preserve">2 </w:t>
      </w:r>
      <w:r w:rsidRPr="00CB5E59" w:rsidR="3539012C">
        <w:t>illustrates</w:t>
      </w:r>
      <w:r w:rsidRPr="00CB5E59" w:rsidR="23F9A8C1">
        <w:t xml:space="preserve">, </w:t>
      </w:r>
      <w:r w:rsidRPr="00CB5E59" w:rsidR="56EF3BBF">
        <w:t xml:space="preserve">PG&amp;E’s </w:t>
      </w:r>
      <w:r w:rsidRPr="00CB5E59" w:rsidR="23F9A8C1">
        <w:t xml:space="preserve">wildfire liability insurance </w:t>
      </w:r>
      <w:r w:rsidRPr="00CB5E59" w:rsidR="56EF3BBF">
        <w:t xml:space="preserve">cost </w:t>
      </w:r>
      <w:r w:rsidRPr="00CB5E59" w:rsidR="39562F4E">
        <w:t xml:space="preserve">per limit of coverage </w:t>
      </w:r>
      <w:r w:rsidRPr="00CB5E59" w:rsidR="23F9A8C1">
        <w:t xml:space="preserve">grew until </w:t>
      </w:r>
      <w:r w:rsidRPr="00CB5E59" w:rsidR="00546EF8">
        <w:t xml:space="preserve">the costs </w:t>
      </w:r>
      <w:r w:rsidRPr="00CB5E59" w:rsidR="23F9A8C1">
        <w:t>reached 8</w:t>
      </w:r>
      <w:r w:rsidRPr="00CB5E59" w:rsidR="39562F4E">
        <w:t>1.6</w:t>
      </w:r>
      <w:r w:rsidRPr="00CB5E59" w:rsidR="004B5AF0">
        <w:t> percent</w:t>
      </w:r>
      <w:r w:rsidRPr="00CB5E59" w:rsidR="00546EF8">
        <w:t xml:space="preserve"> of the coverage amount</w:t>
      </w:r>
      <w:r w:rsidRPr="00CB5E59" w:rsidR="23F9A8C1">
        <w:t xml:space="preserve"> </w:t>
      </w:r>
      <w:r w:rsidRPr="00CB5E59" w:rsidR="39562F4E">
        <w:t xml:space="preserve">for </w:t>
      </w:r>
      <w:r w:rsidRPr="00CB5E59" w:rsidR="23F9A8C1">
        <w:t>the</w:t>
      </w:r>
      <w:r w:rsidR="00186A27">
        <w:t xml:space="preserve"> </w:t>
      </w:r>
      <w:r w:rsidRPr="00CB5E59" w:rsidR="23F9A8C1">
        <w:t xml:space="preserve">2020-21 </w:t>
      </w:r>
      <w:r w:rsidR="00186A27">
        <w:t xml:space="preserve">insurance </w:t>
      </w:r>
      <w:r w:rsidRPr="00CB5E59" w:rsidR="23F9A8C1">
        <w:t>policy year:</w:t>
      </w:r>
    </w:p>
    <w:p w:rsidRPr="00CB5E59" w:rsidR="00C66F61" w:rsidP="004E43CF" w:rsidRDefault="00743547" w14:paraId="4A9A0BD0" w14:textId="799DA057">
      <w:pPr>
        <w:pStyle w:val="Standard"/>
        <w:keepNext/>
        <w:keepLines/>
        <w:spacing w:line="240" w:lineRule="auto"/>
        <w:jc w:val="center"/>
        <w:rPr>
          <w:b/>
          <w:bCs/>
        </w:rPr>
      </w:pPr>
      <w:r w:rsidRPr="00CB5E59">
        <w:rPr>
          <w:b/>
          <w:bCs/>
        </w:rPr>
        <w:lastRenderedPageBreak/>
        <w:t>Table 2</w:t>
      </w:r>
      <w:r w:rsidRPr="00CB5E59">
        <w:rPr>
          <w:rStyle w:val="FootnoteReference"/>
          <w:b/>
          <w:bCs/>
        </w:rPr>
        <w:footnoteReference w:id="20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1440"/>
        <w:gridCol w:w="1386"/>
        <w:gridCol w:w="2214"/>
      </w:tblGrid>
      <w:tr w:rsidRPr="00CB5E59" w:rsidR="004B5AF0" w:rsidTr="004B5AF0" w14:paraId="6E7D9AD3" w14:textId="77777777">
        <w:trPr>
          <w:jc w:val="center"/>
        </w:trPr>
        <w:tc>
          <w:tcPr>
            <w:tcW w:w="1255" w:type="dxa"/>
            <w:vAlign w:val="center"/>
          </w:tcPr>
          <w:p w:rsidRPr="00CB5E59" w:rsidR="004B5AF0" w:rsidP="004E43CF" w:rsidRDefault="004B5AF0" w14:paraId="1F4A05F6" w14:textId="67DC3CB5">
            <w:pPr>
              <w:pStyle w:val="Standard"/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rPr>
                <w:b/>
                <w:bCs/>
              </w:rPr>
              <w:t>Policy</w:t>
            </w:r>
            <w:r w:rsidRPr="00CB5E59">
              <w:rPr>
                <w:b/>
                <w:bCs/>
                <w:u w:val="single"/>
              </w:rPr>
              <w:t xml:space="preserve"> </w:t>
            </w:r>
            <w:r w:rsidRPr="00CB5E59">
              <w:rPr>
                <w:b/>
                <w:bCs/>
                <w:u w:val="single"/>
              </w:rPr>
              <w:br/>
              <w:t>Year</w:t>
            </w:r>
          </w:p>
        </w:tc>
        <w:tc>
          <w:tcPr>
            <w:tcW w:w="1440" w:type="dxa"/>
            <w:vAlign w:val="center"/>
          </w:tcPr>
          <w:p w:rsidRPr="00CB5E59" w:rsidR="004B5AF0" w:rsidP="004E43CF" w:rsidRDefault="004B5AF0" w14:paraId="75D35E3E" w14:textId="397C1271">
            <w:pPr>
              <w:pStyle w:val="Standard"/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rPr>
                <w:b/>
                <w:bCs/>
              </w:rPr>
              <w:t>Cost</w:t>
            </w:r>
            <w:r w:rsidRPr="00CB5E59">
              <w:rPr>
                <w:b/>
                <w:bCs/>
              </w:rPr>
              <w:br/>
            </w:r>
            <w:r w:rsidRPr="00CB5E59">
              <w:rPr>
                <w:b/>
                <w:bCs/>
                <w:u w:val="single"/>
              </w:rPr>
              <w:t>(millions)</w:t>
            </w:r>
          </w:p>
        </w:tc>
        <w:tc>
          <w:tcPr>
            <w:tcW w:w="1386" w:type="dxa"/>
            <w:vAlign w:val="center"/>
          </w:tcPr>
          <w:p w:rsidRPr="00CB5E59" w:rsidR="004B5AF0" w:rsidP="004E43CF" w:rsidRDefault="004B5AF0" w14:paraId="48D37359" w14:textId="7EDB2DE1">
            <w:pPr>
              <w:pStyle w:val="Standard"/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rPr>
                <w:b/>
                <w:bCs/>
              </w:rPr>
              <w:t>Coverage</w:t>
            </w:r>
            <w:r w:rsidRPr="00CB5E59">
              <w:rPr>
                <w:b/>
                <w:bCs/>
              </w:rPr>
              <w:br/>
            </w:r>
            <w:r w:rsidRPr="00CB5E59">
              <w:rPr>
                <w:b/>
                <w:bCs/>
                <w:u w:val="single"/>
              </w:rPr>
              <w:t>(millions)</w:t>
            </w:r>
          </w:p>
        </w:tc>
        <w:tc>
          <w:tcPr>
            <w:tcW w:w="2214" w:type="dxa"/>
            <w:vAlign w:val="center"/>
          </w:tcPr>
          <w:p w:rsidRPr="00CB5E59" w:rsidR="004B5AF0" w:rsidP="004E43CF" w:rsidRDefault="004B5AF0" w14:paraId="72FCFCDD" w14:textId="45C05720">
            <w:pPr>
              <w:pStyle w:val="Standard"/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rPr>
                <w:b/>
                <w:bCs/>
              </w:rPr>
              <w:t>Cost/</w:t>
            </w:r>
            <w:r w:rsidRPr="00CB5E59">
              <w:rPr>
                <w:b/>
                <w:bCs/>
                <w:u w:val="single"/>
              </w:rPr>
              <w:t xml:space="preserve"> </w:t>
            </w:r>
            <w:r w:rsidRPr="00CB5E59">
              <w:rPr>
                <w:b/>
                <w:bCs/>
                <w:u w:val="single"/>
              </w:rPr>
              <w:br/>
              <w:t>Coverage Limit</w:t>
            </w:r>
          </w:p>
        </w:tc>
      </w:tr>
      <w:tr w:rsidRPr="00CB5E59" w:rsidR="004B5AF0" w:rsidTr="004B5AF0" w14:paraId="6C8374CC" w14:textId="77777777">
        <w:trPr>
          <w:jc w:val="center"/>
        </w:trPr>
        <w:tc>
          <w:tcPr>
            <w:tcW w:w="1255" w:type="dxa"/>
            <w:vAlign w:val="center"/>
          </w:tcPr>
          <w:p w:rsidRPr="00CB5E59" w:rsidR="004B5AF0" w:rsidP="004E43CF" w:rsidRDefault="004B5AF0" w14:paraId="7D6D4088" w14:textId="723E96BD">
            <w:pPr>
              <w:pStyle w:val="Standard"/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2015-16</w:t>
            </w:r>
          </w:p>
        </w:tc>
        <w:tc>
          <w:tcPr>
            <w:tcW w:w="1440" w:type="dxa"/>
            <w:vAlign w:val="center"/>
          </w:tcPr>
          <w:p w:rsidRPr="00CB5E59" w:rsidR="004B5AF0" w:rsidP="004E43CF" w:rsidRDefault="004B5AF0" w14:paraId="63519877" w14:textId="5C2FA81E">
            <w:pPr>
              <w:pStyle w:val="Standard"/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$42.90</w:t>
            </w:r>
          </w:p>
        </w:tc>
        <w:tc>
          <w:tcPr>
            <w:tcW w:w="1386" w:type="dxa"/>
            <w:vAlign w:val="center"/>
          </w:tcPr>
          <w:p w:rsidRPr="00CB5E59" w:rsidR="004B5AF0" w:rsidP="004E43CF" w:rsidRDefault="004B5AF0" w14:paraId="4C52FF32" w14:textId="5CCBAFCE">
            <w:pPr>
              <w:pStyle w:val="Standard"/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$931</w:t>
            </w:r>
          </w:p>
        </w:tc>
        <w:tc>
          <w:tcPr>
            <w:tcW w:w="2214" w:type="dxa"/>
            <w:vAlign w:val="center"/>
          </w:tcPr>
          <w:p w:rsidRPr="00CB5E59" w:rsidR="004B5AF0" w:rsidP="004E43CF" w:rsidRDefault="004B5AF0" w14:paraId="27150592" w14:textId="1931B9B7">
            <w:pPr>
              <w:pStyle w:val="Standard"/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4.6%</w:t>
            </w:r>
          </w:p>
        </w:tc>
      </w:tr>
      <w:tr w:rsidRPr="00CB5E59" w:rsidR="004B5AF0" w:rsidTr="004B5AF0" w14:paraId="03F3B5F8" w14:textId="77777777">
        <w:trPr>
          <w:jc w:val="center"/>
        </w:trPr>
        <w:tc>
          <w:tcPr>
            <w:tcW w:w="1255" w:type="dxa"/>
            <w:vAlign w:val="center"/>
          </w:tcPr>
          <w:p w:rsidRPr="00CB5E59" w:rsidR="004B5AF0" w:rsidP="004E43CF" w:rsidRDefault="004B5AF0" w14:paraId="63A98A42" w14:textId="3CFA2044">
            <w:pPr>
              <w:pStyle w:val="Standard"/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2016-17</w:t>
            </w:r>
          </w:p>
        </w:tc>
        <w:tc>
          <w:tcPr>
            <w:tcW w:w="1440" w:type="dxa"/>
            <w:vAlign w:val="center"/>
          </w:tcPr>
          <w:p w:rsidRPr="00CB5E59" w:rsidR="004B5AF0" w:rsidP="004E43CF" w:rsidRDefault="004B5AF0" w14:paraId="7A29FEAF" w14:textId="5323A43D">
            <w:pPr>
              <w:pStyle w:val="Standard"/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$72.10</w:t>
            </w:r>
          </w:p>
        </w:tc>
        <w:tc>
          <w:tcPr>
            <w:tcW w:w="1386" w:type="dxa"/>
            <w:vAlign w:val="center"/>
          </w:tcPr>
          <w:p w:rsidRPr="00CB5E59" w:rsidR="004B5AF0" w:rsidP="004E43CF" w:rsidRDefault="004B5AF0" w14:paraId="381C7151" w14:textId="197558F4">
            <w:pPr>
              <w:pStyle w:val="Standard"/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$869</w:t>
            </w:r>
          </w:p>
        </w:tc>
        <w:tc>
          <w:tcPr>
            <w:tcW w:w="2214" w:type="dxa"/>
            <w:vAlign w:val="center"/>
          </w:tcPr>
          <w:p w:rsidRPr="00CB5E59" w:rsidR="004B5AF0" w:rsidP="004E43CF" w:rsidRDefault="004B5AF0" w14:paraId="36340013" w14:textId="0AE15D43">
            <w:pPr>
              <w:pStyle w:val="Standard"/>
              <w:keepNext/>
              <w:keepLines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8.3%</w:t>
            </w:r>
          </w:p>
        </w:tc>
      </w:tr>
      <w:tr w:rsidRPr="00CB5E59" w:rsidR="004B5AF0" w:rsidTr="004B5AF0" w14:paraId="619013C0" w14:textId="77777777">
        <w:trPr>
          <w:jc w:val="center"/>
        </w:trPr>
        <w:tc>
          <w:tcPr>
            <w:tcW w:w="1255" w:type="dxa"/>
            <w:vAlign w:val="center"/>
          </w:tcPr>
          <w:p w:rsidRPr="00CB5E59" w:rsidR="004B5AF0" w:rsidP="004B5AF0" w:rsidRDefault="004B5AF0" w14:paraId="37988F23" w14:textId="10105153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2017-18</w:t>
            </w:r>
          </w:p>
        </w:tc>
        <w:tc>
          <w:tcPr>
            <w:tcW w:w="1440" w:type="dxa"/>
            <w:vAlign w:val="center"/>
          </w:tcPr>
          <w:p w:rsidRPr="00CB5E59" w:rsidR="004B5AF0" w:rsidP="004B5AF0" w:rsidRDefault="004B5AF0" w14:paraId="72B7F359" w14:textId="6294859C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$120.40</w:t>
            </w:r>
          </w:p>
        </w:tc>
        <w:tc>
          <w:tcPr>
            <w:tcW w:w="1386" w:type="dxa"/>
            <w:vAlign w:val="center"/>
          </w:tcPr>
          <w:p w:rsidRPr="00CB5E59" w:rsidR="004B5AF0" w:rsidP="004B5AF0" w:rsidRDefault="00804B88" w14:paraId="15FFA208" w14:textId="6032F55D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t xml:space="preserve">    </w:t>
            </w:r>
            <w:r w:rsidRPr="00CB5E59" w:rsidR="004B5AF0">
              <w:t>$842.50</w:t>
            </w:r>
          </w:p>
        </w:tc>
        <w:tc>
          <w:tcPr>
            <w:tcW w:w="2214" w:type="dxa"/>
            <w:vAlign w:val="center"/>
          </w:tcPr>
          <w:p w:rsidRPr="00CB5E59" w:rsidR="004B5AF0" w:rsidP="004B5AF0" w:rsidRDefault="004B5AF0" w14:paraId="0AF7DAC3" w14:textId="177B6621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14.3%</w:t>
            </w:r>
          </w:p>
        </w:tc>
      </w:tr>
      <w:tr w:rsidRPr="00CB5E59" w:rsidR="004B5AF0" w:rsidTr="004B5AF0" w14:paraId="51C6A82F" w14:textId="77777777">
        <w:trPr>
          <w:jc w:val="center"/>
        </w:trPr>
        <w:tc>
          <w:tcPr>
            <w:tcW w:w="1255" w:type="dxa"/>
            <w:vAlign w:val="center"/>
          </w:tcPr>
          <w:p w:rsidRPr="00CB5E59" w:rsidR="004B5AF0" w:rsidP="004B5AF0" w:rsidRDefault="004B5AF0" w14:paraId="6F528D54" w14:textId="11135500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2018-19</w:t>
            </w:r>
          </w:p>
        </w:tc>
        <w:tc>
          <w:tcPr>
            <w:tcW w:w="1440" w:type="dxa"/>
            <w:vAlign w:val="center"/>
          </w:tcPr>
          <w:p w:rsidRPr="00CB5E59" w:rsidR="004B5AF0" w:rsidP="004B5AF0" w:rsidRDefault="004B5AF0" w14:paraId="4D04D4E3" w14:textId="40E09681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$385.20</w:t>
            </w:r>
          </w:p>
        </w:tc>
        <w:tc>
          <w:tcPr>
            <w:tcW w:w="1386" w:type="dxa"/>
            <w:vAlign w:val="center"/>
          </w:tcPr>
          <w:p w:rsidRPr="00CB5E59" w:rsidR="004B5AF0" w:rsidP="00804B88" w:rsidRDefault="00804B88" w14:paraId="4D67EE97" w14:textId="1E432D23">
            <w:pPr>
              <w:pStyle w:val="Standard"/>
              <w:spacing w:line="240" w:lineRule="auto"/>
              <w:ind w:firstLine="0"/>
              <w:rPr>
                <w:b/>
                <w:bCs/>
              </w:rPr>
            </w:pPr>
            <w:r>
              <w:t xml:space="preserve">  </w:t>
            </w:r>
            <w:r w:rsidRPr="00CB5E59" w:rsidR="004B5AF0">
              <w:t>$1,400</w:t>
            </w:r>
          </w:p>
        </w:tc>
        <w:tc>
          <w:tcPr>
            <w:tcW w:w="2214" w:type="dxa"/>
            <w:vAlign w:val="center"/>
          </w:tcPr>
          <w:p w:rsidRPr="00CB5E59" w:rsidR="004B5AF0" w:rsidP="004B5AF0" w:rsidRDefault="004B5AF0" w14:paraId="273906CD" w14:textId="354BDA64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27.5%</w:t>
            </w:r>
          </w:p>
        </w:tc>
      </w:tr>
      <w:tr w:rsidRPr="00CB5E59" w:rsidR="004B5AF0" w:rsidTr="004B5AF0" w14:paraId="7D569731" w14:textId="77777777">
        <w:trPr>
          <w:jc w:val="center"/>
        </w:trPr>
        <w:tc>
          <w:tcPr>
            <w:tcW w:w="1255" w:type="dxa"/>
            <w:vAlign w:val="center"/>
          </w:tcPr>
          <w:p w:rsidRPr="00CB5E59" w:rsidR="004B5AF0" w:rsidP="004B5AF0" w:rsidRDefault="004B5AF0" w14:paraId="4D2EF860" w14:textId="03C56605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2019-20</w:t>
            </w:r>
          </w:p>
        </w:tc>
        <w:tc>
          <w:tcPr>
            <w:tcW w:w="1440" w:type="dxa"/>
            <w:vAlign w:val="center"/>
          </w:tcPr>
          <w:p w:rsidRPr="00CB5E59" w:rsidR="004B5AF0" w:rsidP="004B5AF0" w:rsidRDefault="004B5AF0" w14:paraId="1DFB6AE5" w14:textId="066C80B8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$158.50</w:t>
            </w:r>
          </w:p>
        </w:tc>
        <w:tc>
          <w:tcPr>
            <w:tcW w:w="1386" w:type="dxa"/>
            <w:vAlign w:val="center"/>
          </w:tcPr>
          <w:p w:rsidRPr="00CB5E59" w:rsidR="004B5AF0" w:rsidP="004B5AF0" w:rsidRDefault="004B5AF0" w14:paraId="51409BDF" w14:textId="4ED4B601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$430</w:t>
            </w:r>
          </w:p>
        </w:tc>
        <w:tc>
          <w:tcPr>
            <w:tcW w:w="2214" w:type="dxa"/>
            <w:vAlign w:val="center"/>
          </w:tcPr>
          <w:p w:rsidRPr="00CB5E59" w:rsidR="004B5AF0" w:rsidP="004B5AF0" w:rsidRDefault="004B5AF0" w14:paraId="36A89B32" w14:textId="14CD42B4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36.9%</w:t>
            </w:r>
          </w:p>
        </w:tc>
      </w:tr>
      <w:tr w:rsidRPr="00CB5E59" w:rsidR="004B5AF0" w:rsidTr="004B5AF0" w14:paraId="1233C1B7" w14:textId="77777777">
        <w:trPr>
          <w:jc w:val="center"/>
        </w:trPr>
        <w:tc>
          <w:tcPr>
            <w:tcW w:w="1255" w:type="dxa"/>
            <w:vAlign w:val="center"/>
          </w:tcPr>
          <w:p w:rsidRPr="00CB5E59" w:rsidR="004B5AF0" w:rsidP="004B5AF0" w:rsidRDefault="004B5AF0" w14:paraId="7DF31E52" w14:textId="4F06B364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2020-21</w:t>
            </w:r>
          </w:p>
        </w:tc>
        <w:tc>
          <w:tcPr>
            <w:tcW w:w="1440" w:type="dxa"/>
            <w:vAlign w:val="center"/>
          </w:tcPr>
          <w:p w:rsidRPr="00CB5E59" w:rsidR="004B5AF0" w:rsidP="004B5AF0" w:rsidRDefault="004B5AF0" w14:paraId="72DF22CD" w14:textId="1867A470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$708.40</w:t>
            </w:r>
          </w:p>
        </w:tc>
        <w:tc>
          <w:tcPr>
            <w:tcW w:w="1386" w:type="dxa"/>
            <w:vAlign w:val="center"/>
          </w:tcPr>
          <w:p w:rsidRPr="00CB5E59" w:rsidR="004B5AF0" w:rsidP="004B5AF0" w:rsidRDefault="004B5AF0" w14:paraId="75470BC7" w14:textId="6A694E77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$868</w:t>
            </w:r>
          </w:p>
        </w:tc>
        <w:tc>
          <w:tcPr>
            <w:tcW w:w="2214" w:type="dxa"/>
            <w:vAlign w:val="center"/>
          </w:tcPr>
          <w:p w:rsidRPr="00CB5E59" w:rsidR="004B5AF0" w:rsidP="004B5AF0" w:rsidRDefault="004B5AF0" w14:paraId="419BD47E" w14:textId="27423370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81.6%</w:t>
            </w:r>
          </w:p>
        </w:tc>
      </w:tr>
      <w:tr w:rsidRPr="00CB5E59" w:rsidR="004B5AF0" w:rsidTr="004B5AF0" w14:paraId="3CE0F6BC" w14:textId="77777777">
        <w:trPr>
          <w:jc w:val="center"/>
        </w:trPr>
        <w:tc>
          <w:tcPr>
            <w:tcW w:w="1255" w:type="dxa"/>
            <w:vAlign w:val="center"/>
          </w:tcPr>
          <w:p w:rsidRPr="00CB5E59" w:rsidR="004B5AF0" w:rsidP="004B5AF0" w:rsidRDefault="004B5AF0" w14:paraId="669B3815" w14:textId="23CF611E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2021-22</w:t>
            </w:r>
          </w:p>
        </w:tc>
        <w:tc>
          <w:tcPr>
            <w:tcW w:w="1440" w:type="dxa"/>
            <w:vAlign w:val="center"/>
          </w:tcPr>
          <w:p w:rsidRPr="00CB5E59" w:rsidR="004B5AF0" w:rsidP="004B5AF0" w:rsidRDefault="004B5AF0" w14:paraId="6BC37D14" w14:textId="7AC865B3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$707</w:t>
            </w:r>
          </w:p>
        </w:tc>
        <w:tc>
          <w:tcPr>
            <w:tcW w:w="1386" w:type="dxa"/>
            <w:vAlign w:val="center"/>
          </w:tcPr>
          <w:p w:rsidRPr="00CB5E59" w:rsidR="004B5AF0" w:rsidP="004B5AF0" w:rsidRDefault="004B5AF0" w14:paraId="45A26758" w14:textId="68D28F91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$900</w:t>
            </w:r>
          </w:p>
        </w:tc>
        <w:tc>
          <w:tcPr>
            <w:tcW w:w="2214" w:type="dxa"/>
            <w:vAlign w:val="center"/>
          </w:tcPr>
          <w:p w:rsidRPr="00CB5E59" w:rsidR="004B5AF0" w:rsidP="004B5AF0" w:rsidRDefault="004B5AF0" w14:paraId="02637736" w14:textId="365BD097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78.5%</w:t>
            </w:r>
          </w:p>
        </w:tc>
      </w:tr>
      <w:tr w:rsidRPr="00CB5E59" w:rsidR="004B5AF0" w:rsidTr="004B5AF0" w14:paraId="311E9365" w14:textId="77777777">
        <w:trPr>
          <w:jc w:val="center"/>
        </w:trPr>
        <w:tc>
          <w:tcPr>
            <w:tcW w:w="1255" w:type="dxa"/>
            <w:vAlign w:val="center"/>
          </w:tcPr>
          <w:p w:rsidRPr="00CB5E59" w:rsidR="004B5AF0" w:rsidP="004B5AF0" w:rsidRDefault="004B5AF0" w14:paraId="1D6652E8" w14:textId="5DD6C455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2022-23</w:t>
            </w:r>
          </w:p>
        </w:tc>
        <w:tc>
          <w:tcPr>
            <w:tcW w:w="1440" w:type="dxa"/>
            <w:vAlign w:val="center"/>
          </w:tcPr>
          <w:p w:rsidRPr="00CB5E59" w:rsidR="004B5AF0" w:rsidP="004B5AF0" w:rsidRDefault="004B5AF0" w14:paraId="79875922" w14:textId="09519149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$745.6</w:t>
            </w:r>
          </w:p>
        </w:tc>
        <w:tc>
          <w:tcPr>
            <w:tcW w:w="1386" w:type="dxa"/>
            <w:vAlign w:val="center"/>
          </w:tcPr>
          <w:p w:rsidRPr="00CB5E59" w:rsidR="004B5AF0" w:rsidP="004B5AF0" w:rsidRDefault="00804B88" w14:paraId="587358CC" w14:textId="40B1ED72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t xml:space="preserve">   </w:t>
            </w:r>
            <w:r w:rsidRPr="00CB5E59" w:rsidR="004B5AF0">
              <w:t xml:space="preserve">$940 </w:t>
            </w:r>
            <w:r w:rsidRPr="00CB5E59" w:rsidR="004B5AF0">
              <w:tab/>
            </w:r>
          </w:p>
        </w:tc>
        <w:tc>
          <w:tcPr>
            <w:tcW w:w="2214" w:type="dxa"/>
            <w:vAlign w:val="center"/>
          </w:tcPr>
          <w:p w:rsidRPr="00CB5E59" w:rsidR="004B5AF0" w:rsidP="004B5AF0" w:rsidRDefault="004B5AF0" w14:paraId="5C22763B" w14:textId="67FEBFBE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t>79.3%</w:t>
            </w:r>
          </w:p>
        </w:tc>
      </w:tr>
    </w:tbl>
    <w:p w:rsidRPr="00CB5E59" w:rsidR="6DE7AA02" w:rsidP="00B4339B" w:rsidRDefault="7BC8877F" w14:paraId="3312A867" w14:textId="5A214E48">
      <w:pPr>
        <w:pStyle w:val="Standard"/>
        <w:spacing w:before="240"/>
        <w:ind w:firstLine="0"/>
        <w:rPr>
          <w:rFonts w:eastAsia="Calibri" w:cs="Arial"/>
          <w:szCs w:val="26"/>
        </w:rPr>
      </w:pPr>
      <w:r w:rsidRPr="00CB5E59">
        <w:rPr>
          <w:rFonts w:eastAsia="Calibri" w:cs="Arial"/>
        </w:rPr>
        <w:t xml:space="preserve">Furthermore, the cost </w:t>
      </w:r>
      <w:r w:rsidRPr="00CB5E59" w:rsidR="0079638E">
        <w:rPr>
          <w:rFonts w:eastAsia="Calibri" w:cs="Arial"/>
        </w:rPr>
        <w:t>t</w:t>
      </w:r>
      <w:r w:rsidRPr="00CB5E59">
        <w:rPr>
          <w:rFonts w:eastAsia="Calibri" w:cs="Arial"/>
        </w:rPr>
        <w:t>o PG&amp;E to procure approximately $</w:t>
      </w:r>
      <w:r w:rsidRPr="00CB5E59" w:rsidR="6DE7AA02">
        <w:rPr>
          <w:rFonts w:eastAsia="Calibri" w:cs="Arial"/>
        </w:rPr>
        <w:t>600</w:t>
      </w:r>
      <w:r w:rsidRPr="00CB5E59" w:rsidR="004B5AF0">
        <w:rPr>
          <w:rFonts w:eastAsia="Calibri" w:cs="Arial"/>
        </w:rPr>
        <w:t> </w:t>
      </w:r>
      <w:r w:rsidRPr="00CB5E59" w:rsidR="5B1AFA18">
        <w:rPr>
          <w:rFonts w:eastAsia="Calibri" w:cs="Arial"/>
        </w:rPr>
        <w:t>million in coverage that will expire in July</w:t>
      </w:r>
      <w:r w:rsidRPr="00CB5E59" w:rsidR="00F7450B">
        <w:rPr>
          <w:rFonts w:eastAsia="Calibri" w:cs="Arial"/>
        </w:rPr>
        <w:t> </w:t>
      </w:r>
      <w:r w:rsidRPr="00CB5E59" w:rsidR="5B1AFA18">
        <w:rPr>
          <w:rFonts w:eastAsia="Calibri" w:cs="Arial"/>
        </w:rPr>
        <w:t>2023 is estimated to be $500</w:t>
      </w:r>
      <w:r w:rsidRPr="00CB5E59" w:rsidR="00F7450B">
        <w:rPr>
          <w:rFonts w:eastAsia="Calibri" w:cs="Arial"/>
        </w:rPr>
        <w:t> </w:t>
      </w:r>
      <w:r w:rsidRPr="00CB5E59" w:rsidR="5B1AFA18">
        <w:rPr>
          <w:rFonts w:eastAsia="Calibri" w:cs="Arial"/>
        </w:rPr>
        <w:t>million or 83</w:t>
      </w:r>
      <w:r w:rsidRPr="00CB5E59" w:rsidR="004B5AF0">
        <w:rPr>
          <w:rFonts w:eastAsia="Calibri" w:cs="Arial"/>
        </w:rPr>
        <w:t> percent</w:t>
      </w:r>
      <w:r w:rsidRPr="00CB5E59" w:rsidR="1786AB71">
        <w:rPr>
          <w:rFonts w:eastAsia="Calibri" w:cs="Arial"/>
        </w:rPr>
        <w:t>.</w:t>
      </w:r>
      <w:r w:rsidRPr="00CB5E59">
        <w:rPr>
          <w:rStyle w:val="FootnoteReference"/>
          <w:rFonts w:eastAsia="Calibri" w:cs="Arial"/>
        </w:rPr>
        <w:footnoteReference w:id="21"/>
      </w:r>
    </w:p>
    <w:p w:rsidRPr="00CB5E59" w:rsidR="0087604E" w:rsidP="00E02B38" w:rsidRDefault="00435EAE" w14:paraId="40C12E72" w14:textId="6FF8F21E">
      <w:pPr>
        <w:pStyle w:val="Heading2"/>
      </w:pPr>
      <w:bookmarkStart w:name="_Toc121488164" w:id="12"/>
      <w:r w:rsidRPr="00CB5E59">
        <w:t xml:space="preserve">2019 </w:t>
      </w:r>
      <w:r w:rsidRPr="00CB5E59" w:rsidR="0087604E">
        <w:t xml:space="preserve">Wildfire </w:t>
      </w:r>
      <w:r w:rsidRPr="00CB5E59">
        <w:t>Legislation</w:t>
      </w:r>
      <w:bookmarkEnd w:id="12"/>
    </w:p>
    <w:p w:rsidRPr="00CB5E59" w:rsidR="005E2711" w:rsidP="00320E17" w:rsidRDefault="014C4F5F" w14:paraId="111D95E0" w14:textId="493CE7C6">
      <w:pPr>
        <w:pStyle w:val="Standard"/>
      </w:pPr>
      <w:r w:rsidRPr="00CB5E59">
        <w:t xml:space="preserve">In 2019, </w:t>
      </w:r>
      <w:r w:rsidRPr="00CB5E59" w:rsidR="00546EF8">
        <w:t xml:space="preserve">the </w:t>
      </w:r>
      <w:r w:rsidRPr="00CB5E59">
        <w:t>California</w:t>
      </w:r>
      <w:r w:rsidRPr="00CB5E59" w:rsidR="00546EF8">
        <w:t xml:space="preserve"> Legislature</w:t>
      </w:r>
      <w:r w:rsidRPr="00CB5E59">
        <w:t xml:space="preserve"> responded to the record-breaking wildfires </w:t>
      </w:r>
      <w:r w:rsidRPr="00CB5E59" w:rsidR="062BACF2">
        <w:t xml:space="preserve">by </w:t>
      </w:r>
      <w:r w:rsidRPr="00CB5E59">
        <w:t>enacting a broad set of reforms</w:t>
      </w:r>
      <w:r w:rsidRPr="00CB5E59" w:rsidR="00320E17">
        <w:rPr>
          <w:rStyle w:val="FootnoteReference"/>
        </w:rPr>
        <w:footnoteReference w:id="22"/>
      </w:r>
      <w:r w:rsidRPr="00CB5E59" w:rsidR="4E1D3B5B">
        <w:t xml:space="preserve"> to address </w:t>
      </w:r>
      <w:r w:rsidRPr="00CB5E59" w:rsidR="0079638E">
        <w:t xml:space="preserve">the </w:t>
      </w:r>
      <w:r w:rsidRPr="00CB5E59" w:rsidR="4E1D3B5B">
        <w:t xml:space="preserve">increased risk of catastrophic wildfires, </w:t>
      </w:r>
      <w:r w:rsidRPr="00CB5E59" w:rsidR="0079638E">
        <w:t xml:space="preserve">the increased risk of electric utilities to </w:t>
      </w:r>
      <w:r w:rsidRPr="00CB5E59" w:rsidR="4E1D3B5B">
        <w:t xml:space="preserve">financial liability, and </w:t>
      </w:r>
      <w:r w:rsidRPr="00CB5E59" w:rsidR="0079638E">
        <w:t xml:space="preserve">increased </w:t>
      </w:r>
      <w:r w:rsidRPr="00CB5E59" w:rsidR="00E26B27">
        <w:t xml:space="preserve">costs to </w:t>
      </w:r>
      <w:r w:rsidRPr="00CB5E59" w:rsidR="4E1D3B5B">
        <w:t>ratepayer.</w:t>
      </w:r>
      <w:r w:rsidRPr="00CB5E59" w:rsidR="00C91C01">
        <w:rPr>
          <w:rStyle w:val="FootnoteReference"/>
        </w:rPr>
        <w:footnoteReference w:id="23"/>
      </w:r>
      <w:r w:rsidRPr="00CB5E59" w:rsidR="062BACF2">
        <w:t xml:space="preserve"> The </w:t>
      </w:r>
      <w:r w:rsidRPr="00CB5E59">
        <w:t>programs</w:t>
      </w:r>
      <w:r w:rsidRPr="00CB5E59" w:rsidR="062BACF2">
        <w:t xml:space="preserve"> established</w:t>
      </w:r>
      <w:r w:rsidRPr="00CB5E59" w:rsidR="47CDA767">
        <w:t xml:space="preserve"> </w:t>
      </w:r>
      <w:r w:rsidRPr="00CB5E59" w:rsidR="00C44D67">
        <w:t xml:space="preserve">a </w:t>
      </w:r>
      <w:r w:rsidRPr="00CB5E59" w:rsidR="062BACF2">
        <w:t>n</w:t>
      </w:r>
      <w:r w:rsidRPr="00CB5E59" w:rsidR="0B69DD0A">
        <w:t xml:space="preserve">ew </w:t>
      </w:r>
      <w:r w:rsidRPr="00CB5E59" w:rsidR="00C44D67">
        <w:t xml:space="preserve">wildfire insurance </w:t>
      </w:r>
      <w:r w:rsidRPr="00CB5E59" w:rsidR="0B69DD0A">
        <w:t xml:space="preserve">fund </w:t>
      </w:r>
      <w:r w:rsidRPr="00CB5E59" w:rsidR="47CDA767">
        <w:t xml:space="preserve">to facilitate payment of wildfire-related liabilities, </w:t>
      </w:r>
      <w:r w:rsidRPr="00CB5E59" w:rsidR="005F4BEA">
        <w:t xml:space="preserve">allowed </w:t>
      </w:r>
      <w:r w:rsidRPr="00CB5E59" w:rsidR="001D3196">
        <w:t>electric</w:t>
      </w:r>
      <w:r w:rsidRPr="00CB5E59" w:rsidR="0B69DD0A">
        <w:t xml:space="preserve"> utilities </w:t>
      </w:r>
      <w:r w:rsidRPr="00CB5E59" w:rsidR="005F4BEA">
        <w:t>to elect to participate in the fund,</w:t>
      </w:r>
      <w:r w:rsidRPr="00CB5E59" w:rsidR="0B69DD0A">
        <w:t xml:space="preserve"> </w:t>
      </w:r>
      <w:r w:rsidRPr="00CB5E59" w:rsidR="005F4BEA">
        <w:t>instituted</w:t>
      </w:r>
      <w:r w:rsidRPr="00CB5E59" w:rsidR="0B69DD0A">
        <w:t xml:space="preserve"> other </w:t>
      </w:r>
      <w:r w:rsidRPr="00CB5E59" w:rsidR="062BACF2">
        <w:t xml:space="preserve">requirements for </w:t>
      </w:r>
      <w:r w:rsidRPr="00CB5E59" w:rsidR="5756C403">
        <w:t>utilit</w:t>
      </w:r>
      <w:r w:rsidRPr="00CB5E59" w:rsidR="2B80C05E">
        <w:t>ies</w:t>
      </w:r>
      <w:r w:rsidRPr="00CB5E59" w:rsidR="4ABBF3F9">
        <w:t xml:space="preserve"> </w:t>
      </w:r>
      <w:r w:rsidRPr="00CB5E59" w:rsidR="0B69DD0A">
        <w:t xml:space="preserve">to </w:t>
      </w:r>
      <w:r w:rsidRPr="00CB5E59" w:rsidR="4ABBF3F9">
        <w:t xml:space="preserve">access </w:t>
      </w:r>
      <w:r w:rsidRPr="00CB5E59" w:rsidR="005F4BEA">
        <w:t xml:space="preserve">the </w:t>
      </w:r>
      <w:r w:rsidRPr="00CB5E59" w:rsidR="062BACF2">
        <w:t xml:space="preserve">fund, </w:t>
      </w:r>
      <w:r w:rsidRPr="00CB5E59" w:rsidR="002F011A">
        <w:t xml:space="preserve">specified procedural </w:t>
      </w:r>
      <w:r w:rsidRPr="00CB5E59" w:rsidR="47CDA767">
        <w:t xml:space="preserve">mechanisms for utilities to seek recovery of costs, and </w:t>
      </w:r>
      <w:r w:rsidRPr="00CB5E59" w:rsidR="4ABBF3F9">
        <w:t>limited ratepayer</w:t>
      </w:r>
      <w:r w:rsidRPr="00CB5E59" w:rsidR="00E26B27">
        <w:t xml:space="preserve"> cost</w:t>
      </w:r>
      <w:r w:rsidRPr="00CB5E59" w:rsidR="4ABBF3F9">
        <w:t>s</w:t>
      </w:r>
      <w:r w:rsidRPr="00CB5E59" w:rsidR="0B69DD0A">
        <w:t>.</w:t>
      </w:r>
    </w:p>
    <w:p w:rsidRPr="00CB5E59" w:rsidR="009B15CA" w:rsidP="009B15CA" w:rsidRDefault="00A432AF" w14:paraId="008E36CF" w14:textId="6DE94E33">
      <w:pPr>
        <w:pStyle w:val="Standard"/>
      </w:pPr>
      <w:r>
        <w:lastRenderedPageBreak/>
        <w:t>In</w:t>
      </w:r>
      <w:r w:rsidRPr="00CB5E59" w:rsidR="1B314270">
        <w:t xml:space="preserve"> 2019</w:t>
      </w:r>
      <w:r w:rsidRPr="00CB5E59" w:rsidR="00546EF8">
        <w:t>,</w:t>
      </w:r>
      <w:r w:rsidRPr="00CB5E59" w:rsidDel="00546EF8" w:rsidR="1B314270">
        <w:t xml:space="preserve"> </w:t>
      </w:r>
      <w:r w:rsidRPr="00CB5E59" w:rsidR="00546EF8">
        <w:t xml:space="preserve">the </w:t>
      </w:r>
      <w:r w:rsidRPr="00CB5E59" w:rsidR="13089E8B">
        <w:t>Legislat</w:t>
      </w:r>
      <w:r w:rsidRPr="00CB5E59" w:rsidR="3539012C">
        <w:t>ure</w:t>
      </w:r>
      <w:r w:rsidRPr="00CB5E59" w:rsidR="1B314270">
        <w:t xml:space="preserve"> </w:t>
      </w:r>
      <w:r w:rsidRPr="00CB5E59" w:rsidR="001D3196">
        <w:t xml:space="preserve">also </w:t>
      </w:r>
      <w:r w:rsidRPr="00CB5E59" w:rsidR="6A75AB7A">
        <w:t>adopted</w:t>
      </w:r>
      <w:r w:rsidRPr="00CB5E59" w:rsidR="1B314270">
        <w:t xml:space="preserve"> incentives for electrical utilities to in</w:t>
      </w:r>
      <w:r w:rsidRPr="00CB5E59" w:rsidR="1DE63919">
        <w:t>crease</w:t>
      </w:r>
      <w:r w:rsidRPr="00CB5E59" w:rsidR="1B314270">
        <w:t xml:space="preserve"> investments in wildfire risk mitigation programs, including electrical grid hardening, situational awareness, and, in the near-term, public safety power shutoffs. </w:t>
      </w:r>
      <w:r w:rsidRPr="00CB5E59" w:rsidR="001D3196">
        <w:t xml:space="preserve">For example, </w:t>
      </w:r>
      <w:r w:rsidRPr="00CB5E59" w:rsidR="57A9C47D">
        <w:t>Assembly</w:t>
      </w:r>
      <w:r w:rsidRPr="00CB5E59" w:rsidR="00F7450B">
        <w:t> </w:t>
      </w:r>
      <w:r w:rsidRPr="00CB5E59" w:rsidR="57A9C47D">
        <w:t>Bill</w:t>
      </w:r>
      <w:r w:rsidRPr="00CB5E59" w:rsidR="00F7450B">
        <w:t> </w:t>
      </w:r>
      <w:r w:rsidRPr="00CB5E59" w:rsidR="57A9C47D">
        <w:t>(</w:t>
      </w:r>
      <w:r w:rsidRPr="00CB5E59" w:rsidR="1B314270">
        <w:t>AB</w:t>
      </w:r>
      <w:r w:rsidRPr="00CB5E59" w:rsidR="00263FAE">
        <w:t>)</w:t>
      </w:r>
      <w:r w:rsidRPr="00CB5E59" w:rsidR="00F7450B">
        <w:t> </w:t>
      </w:r>
      <w:r w:rsidRPr="00CB5E59" w:rsidR="1B314270">
        <w:t xml:space="preserve">1054 requires electrical corporations to file wildfire mitigation plans with the </w:t>
      </w:r>
      <w:r w:rsidRPr="00CB5E59" w:rsidR="6BE1F50D">
        <w:t>Office of Energy Infrastructure</w:t>
      </w:r>
      <w:r w:rsidRPr="00CB5E59" w:rsidR="00FB3CC2">
        <w:t xml:space="preserve">, </w:t>
      </w:r>
      <w:r w:rsidRPr="00CB5E59" w:rsidR="00686455">
        <w:t xml:space="preserve">which are ratified by </w:t>
      </w:r>
      <w:r w:rsidRPr="00CB5E59" w:rsidR="0072107D">
        <w:t>the Commissio</w:t>
      </w:r>
      <w:r w:rsidRPr="00CB5E59" w:rsidR="00A5704E">
        <w:t>n</w:t>
      </w:r>
      <w:r w:rsidRPr="00CB5E59" w:rsidR="1B314270">
        <w:t xml:space="preserve">. </w:t>
      </w:r>
      <w:r w:rsidRPr="00CB5E59" w:rsidR="5950B68B">
        <w:t xml:space="preserve">These </w:t>
      </w:r>
      <w:r w:rsidRPr="00CB5E59" w:rsidR="0AF2F788">
        <w:t>p</w:t>
      </w:r>
      <w:r w:rsidRPr="00CB5E59" w:rsidR="1B314270">
        <w:t xml:space="preserve">lans describe </w:t>
      </w:r>
      <w:r w:rsidRPr="00CB5E59" w:rsidR="0079638E">
        <w:t xml:space="preserve">how </w:t>
      </w:r>
      <w:r w:rsidRPr="00CB5E59" w:rsidR="1B314270">
        <w:t>utilit</w:t>
      </w:r>
      <w:r w:rsidRPr="00CB5E59" w:rsidR="0079638E">
        <w:t>ies</w:t>
      </w:r>
      <w:r w:rsidRPr="00CB5E59" w:rsidR="146D06B3">
        <w:t xml:space="preserve"> </w:t>
      </w:r>
      <w:r w:rsidRPr="00CB5E59" w:rsidR="1B314270">
        <w:t xml:space="preserve">implement preventive strategies and programs to minimize the risk of its electrical lines and equipment causing catastrophic wildfires, including </w:t>
      </w:r>
      <w:r w:rsidRPr="00CB5E59" w:rsidR="0079638E">
        <w:t xml:space="preserve">the impact of </w:t>
      </w:r>
      <w:r w:rsidRPr="00CB5E59" w:rsidR="1B314270">
        <w:t>climate change.</w:t>
      </w:r>
      <w:r w:rsidRPr="00CB5E59" w:rsidR="009B15CA">
        <w:rPr>
          <w:rStyle w:val="FootnoteReference"/>
        </w:rPr>
        <w:footnoteReference w:id="24"/>
      </w:r>
    </w:p>
    <w:p w:rsidRPr="00CB5E59" w:rsidR="00371601" w:rsidP="00F7450B" w:rsidRDefault="0B69DD0A" w14:paraId="50F5325F" w14:textId="61286840">
      <w:pPr>
        <w:pStyle w:val="Standard"/>
      </w:pPr>
      <w:r w:rsidRPr="00CB5E59">
        <w:t xml:space="preserve">PG&amp;E became eligible </w:t>
      </w:r>
      <w:r w:rsidRPr="00CB5E59" w:rsidR="002F011A">
        <w:t>to participate in</w:t>
      </w:r>
      <w:r w:rsidRPr="00CB5E59">
        <w:t xml:space="preserve"> the </w:t>
      </w:r>
      <w:r w:rsidRPr="00CB5E59" w:rsidR="1EF36D89">
        <w:t>California Wildfire Fund (Wildfire</w:t>
      </w:r>
      <w:r w:rsidRPr="00CB5E59" w:rsidR="00F7450B">
        <w:t> </w:t>
      </w:r>
      <w:r w:rsidRPr="00CB5E59" w:rsidR="1EF36D89">
        <w:t xml:space="preserve">Fund) </w:t>
      </w:r>
      <w:r w:rsidRPr="00CB5E59">
        <w:t>when it exited bankruptcy and the Commission approved its reorganization plan</w:t>
      </w:r>
      <w:r w:rsidRPr="00CB5E59" w:rsidR="4DE02F92">
        <w:t>.</w:t>
      </w:r>
      <w:r w:rsidRPr="00CB5E59" w:rsidR="00830911">
        <w:rPr>
          <w:rStyle w:val="FootnoteReference"/>
        </w:rPr>
        <w:footnoteReference w:id="25"/>
      </w:r>
      <w:r w:rsidRPr="00CB5E59" w:rsidR="4DE02F92">
        <w:t xml:space="preserve"> </w:t>
      </w:r>
      <w:r w:rsidRPr="00CB5E59" w:rsidR="001D3196">
        <w:t xml:space="preserve">As required by the 2019 legislation, </w:t>
      </w:r>
      <w:r w:rsidRPr="00CB5E59" w:rsidR="4DE02F92">
        <w:t>PG&amp;E made its initial contribution to the fund</w:t>
      </w:r>
      <w:r w:rsidRPr="00CB5E59" w:rsidR="00974031">
        <w:rPr>
          <w:rStyle w:val="FootnoteReference"/>
        </w:rPr>
        <w:footnoteReference w:id="26"/>
      </w:r>
      <w:r w:rsidRPr="00CB5E59" w:rsidR="4DE02F92">
        <w:t xml:space="preserve"> of $4.81</w:t>
      </w:r>
      <w:r w:rsidRPr="00CB5E59" w:rsidR="00F7450B">
        <w:t> </w:t>
      </w:r>
      <w:r w:rsidRPr="00CB5E59" w:rsidR="4DE02F92">
        <w:t>billion, has made annual contributions</w:t>
      </w:r>
      <w:r w:rsidRPr="00CB5E59" w:rsidR="00974031">
        <w:rPr>
          <w:rStyle w:val="FootnoteReference"/>
        </w:rPr>
        <w:footnoteReference w:id="27"/>
      </w:r>
      <w:r w:rsidRPr="00CB5E59" w:rsidR="4DE02F92">
        <w:t xml:space="preserve"> of </w:t>
      </w:r>
      <w:r w:rsidRPr="00CB5E59" w:rsidR="2B80C05E">
        <w:t>$192.60</w:t>
      </w:r>
      <w:r w:rsidRPr="00CB5E59" w:rsidR="00F7450B">
        <w:t> </w:t>
      </w:r>
      <w:r w:rsidRPr="00CB5E59" w:rsidR="2B80C05E">
        <w:t>million since then</w:t>
      </w:r>
      <w:r w:rsidR="00C04427">
        <w:t>,</w:t>
      </w:r>
      <w:r w:rsidRPr="00CB5E59" w:rsidR="2B80C05E">
        <w:t xml:space="preserve"> and has complied with new requirements for wildfire mitigation.</w:t>
      </w:r>
      <w:r w:rsidRPr="00CB5E59" w:rsidR="006D056E">
        <w:rPr>
          <w:rStyle w:val="FootnoteReference"/>
        </w:rPr>
        <w:footnoteReference w:id="28"/>
      </w:r>
      <w:r w:rsidRPr="00CB5E59" w:rsidR="4DE02F92">
        <w:t xml:space="preserve"> </w:t>
      </w:r>
      <w:r w:rsidRPr="00CB5E59" w:rsidR="001D3196">
        <w:t xml:space="preserve">Consistent with the 2019 legislation, </w:t>
      </w:r>
      <w:r w:rsidRPr="00CB5E59" w:rsidR="3B8DDFEC">
        <w:t xml:space="preserve">PG&amp;E’s initial contribution </w:t>
      </w:r>
      <w:r w:rsidRPr="00CB5E59" w:rsidR="001D3196">
        <w:t xml:space="preserve">to the fund </w:t>
      </w:r>
      <w:r w:rsidRPr="00CB5E59" w:rsidR="3B8DDFEC">
        <w:t>of $4.81</w:t>
      </w:r>
      <w:r w:rsidRPr="00CB5E59" w:rsidR="00F7450B">
        <w:t> </w:t>
      </w:r>
      <w:r w:rsidRPr="00CB5E59" w:rsidR="3B8DDFEC">
        <w:t>billion and its annual contributions of $192.60</w:t>
      </w:r>
      <w:r w:rsidRPr="00CB5E59" w:rsidR="00F7450B">
        <w:t> </w:t>
      </w:r>
      <w:r w:rsidRPr="00CB5E59" w:rsidR="3B8DDFEC">
        <w:t>million may not be recovered from ratepayers.</w:t>
      </w:r>
      <w:r w:rsidRPr="00CB5E59" w:rsidR="00CF35C1">
        <w:rPr>
          <w:rStyle w:val="FootnoteReference"/>
        </w:rPr>
        <w:footnoteReference w:id="29"/>
      </w:r>
      <w:r w:rsidRPr="00CB5E59" w:rsidR="7DDDC7AF">
        <w:t xml:space="preserve"> </w:t>
      </w:r>
      <w:bookmarkStart w:name="_Hlk117846741" w:id="14"/>
      <w:r w:rsidRPr="00CB5E59" w:rsidR="7DDDC7AF">
        <w:t>AB</w:t>
      </w:r>
      <w:r w:rsidRPr="00CB5E59" w:rsidR="00F7450B">
        <w:t> </w:t>
      </w:r>
      <w:r w:rsidRPr="00CB5E59" w:rsidR="7DDDC7AF">
        <w:t xml:space="preserve">1054 requires </w:t>
      </w:r>
      <w:r w:rsidRPr="00CB5E59" w:rsidR="3430E914">
        <w:t>utilities</w:t>
      </w:r>
      <w:r w:rsidRPr="00CB5E59" w:rsidR="7DDDC7AF">
        <w:t xml:space="preserve"> to be </w:t>
      </w:r>
      <w:r w:rsidRPr="00CB5E59" w:rsidR="6A75AB7A">
        <w:t>financial</w:t>
      </w:r>
      <w:r w:rsidRPr="00CB5E59" w:rsidR="4BFE5733">
        <w:t>ly</w:t>
      </w:r>
      <w:r w:rsidRPr="00CB5E59" w:rsidR="6A75AB7A">
        <w:t xml:space="preserve"> </w:t>
      </w:r>
      <w:r w:rsidRPr="00CB5E59" w:rsidR="7DDDC7AF">
        <w:t>responsible for the first $1</w:t>
      </w:r>
      <w:r w:rsidRPr="00CB5E59" w:rsidR="00F7450B">
        <w:t> </w:t>
      </w:r>
      <w:r w:rsidRPr="00CB5E59" w:rsidR="7DDDC7AF">
        <w:t xml:space="preserve">billion in claim costs before the Wildfire Fund may be </w:t>
      </w:r>
      <w:r w:rsidRPr="00CB5E59" w:rsidR="7DDDC7AF">
        <w:lastRenderedPageBreak/>
        <w:t>accessed.</w:t>
      </w:r>
      <w:r w:rsidRPr="00CB5E59" w:rsidR="00371601">
        <w:rPr>
          <w:rStyle w:val="FootnoteReference"/>
        </w:rPr>
        <w:footnoteReference w:id="30"/>
      </w:r>
      <w:r w:rsidRPr="00CB5E59" w:rsidR="22CF8B14">
        <w:t xml:space="preserve"> </w:t>
      </w:r>
      <w:bookmarkEnd w:id="14"/>
      <w:r w:rsidRPr="00CB5E59" w:rsidR="22CF8B14">
        <w:t>Ratepayers contribute to the Wildfire Fund through a portion of the non-</w:t>
      </w:r>
      <w:proofErr w:type="spellStart"/>
      <w:r w:rsidRPr="00CB5E59" w:rsidR="22CF8B14">
        <w:t>bypassable</w:t>
      </w:r>
      <w:proofErr w:type="spellEnd"/>
      <w:r w:rsidRPr="00CB5E59" w:rsidR="22CF8B14">
        <w:t xml:space="preserve"> charge </w:t>
      </w:r>
      <w:r w:rsidRPr="00CB5E59" w:rsidR="0FE8134B">
        <w:t>they</w:t>
      </w:r>
      <w:r w:rsidRPr="00CB5E59" w:rsidR="22CF8B14">
        <w:t xml:space="preserve"> pay each month.</w:t>
      </w:r>
      <w:r w:rsidRPr="00CB5E59" w:rsidR="00783FA8">
        <w:rPr>
          <w:rStyle w:val="FootnoteReference"/>
        </w:rPr>
        <w:footnoteReference w:id="31"/>
      </w:r>
    </w:p>
    <w:p w:rsidRPr="00CB5E59" w:rsidR="00F256F2" w:rsidP="00F7450B" w:rsidRDefault="076FE630" w14:paraId="09747D57" w14:textId="57C5FA83">
      <w:pPr>
        <w:pStyle w:val="Standard"/>
      </w:pPr>
      <w:r w:rsidRPr="00CB5E59">
        <w:t>Pursuant to Pub.</w:t>
      </w:r>
      <w:r w:rsidRPr="00CB5E59" w:rsidR="00F7450B">
        <w:t> </w:t>
      </w:r>
      <w:r w:rsidRPr="00CB5E59">
        <w:t xml:space="preserve">Util. </w:t>
      </w:r>
      <w:r w:rsidRPr="00CB5E59" w:rsidR="00F7450B">
        <w:t>Code </w:t>
      </w:r>
      <w:r w:rsidRPr="00CB5E59">
        <w:t>Section</w:t>
      </w:r>
      <w:r w:rsidRPr="00CB5E59" w:rsidR="00F7450B">
        <w:t> </w:t>
      </w:r>
      <w:r w:rsidRPr="00CB5E59">
        <w:t>3293</w:t>
      </w:r>
      <w:r w:rsidRPr="00CB5E59" w:rsidR="02D88F77">
        <w:t>, the Wildfire Fund administrator</w:t>
      </w:r>
      <w:r w:rsidRPr="00CB5E59" w:rsidR="00373325">
        <w:rPr>
          <w:rStyle w:val="FootnoteReference"/>
        </w:rPr>
        <w:footnoteReference w:id="32"/>
      </w:r>
      <w:r w:rsidRPr="00CB5E59" w:rsidR="02D88F77">
        <w:t xml:space="preserve"> </w:t>
      </w:r>
      <w:r w:rsidRPr="00CB5E59" w:rsidR="00713609">
        <w:t xml:space="preserve">shall </w:t>
      </w:r>
      <w:r w:rsidRPr="00CB5E59" w:rsidR="02D88F77">
        <w:t>periodically review</w:t>
      </w:r>
      <w:r w:rsidRPr="00CB5E59" w:rsidR="76FE261A">
        <w:t xml:space="preserve"> and recommend</w:t>
      </w:r>
      <w:r w:rsidR="00C04427">
        <w:t xml:space="preserve"> </w:t>
      </w:r>
      <w:r w:rsidRPr="00CB5E59" w:rsidR="76FE261A">
        <w:t>the appropriate amount of insurance coverage required based on various factors.</w:t>
      </w:r>
      <w:r w:rsidRPr="00CB5E59" w:rsidR="00D12A4F">
        <w:t xml:space="preserve"> </w:t>
      </w:r>
      <w:r w:rsidRPr="00CB5E59" w:rsidR="14240462">
        <w:t>This decision is subject to modification based on</w:t>
      </w:r>
      <w:r w:rsidRPr="00CB5E59" w:rsidR="60FC4952">
        <w:t xml:space="preserve"> such a</w:t>
      </w:r>
      <w:r w:rsidRPr="00CB5E59" w:rsidR="14240462">
        <w:t xml:space="preserve"> review. </w:t>
      </w:r>
    </w:p>
    <w:p w:rsidRPr="00CB5E59" w:rsidR="009B3E2D" w:rsidP="001F43C1" w:rsidRDefault="00F62FA5" w14:paraId="58963778" w14:textId="697FECBA">
      <w:pPr>
        <w:pStyle w:val="Heading2"/>
      </w:pPr>
      <w:bookmarkStart w:name="_Toc121488165" w:id="15"/>
      <w:r w:rsidRPr="00CB5E59">
        <w:t xml:space="preserve">Initial </w:t>
      </w:r>
      <w:r w:rsidRPr="00CB5E59" w:rsidR="009B3E2D">
        <w:t>Positions</w:t>
      </w:r>
      <w:r w:rsidRPr="00CB5E59">
        <w:t xml:space="preserve"> of TURN,</w:t>
      </w:r>
      <w:r w:rsidRPr="00CB5E59" w:rsidR="00F7450B">
        <w:br/>
      </w:r>
      <w:r w:rsidRPr="00CB5E59">
        <w:t>Cal Advocates, and PG&amp;E</w:t>
      </w:r>
      <w:bookmarkEnd w:id="15"/>
    </w:p>
    <w:p w:rsidRPr="00CB5E59" w:rsidR="00912DC2" w:rsidP="0025199B" w:rsidRDefault="1EF36D89" w14:paraId="1E81F978" w14:textId="4A3BE67E">
      <w:pPr>
        <w:pStyle w:val="Standard"/>
      </w:pPr>
      <w:r w:rsidRPr="00CB5E59">
        <w:t>In its GRC application for test</w:t>
      </w:r>
      <w:r w:rsidR="00A63F03">
        <w:t>-</w:t>
      </w:r>
      <w:r w:rsidRPr="00CB5E59">
        <w:t xml:space="preserve">year </w:t>
      </w:r>
      <w:r w:rsidRPr="00CB5E59" w:rsidR="50654118">
        <w:t>2023</w:t>
      </w:r>
      <w:r w:rsidRPr="00CB5E59" w:rsidR="6C5EA3F2">
        <w:t xml:space="preserve">, </w:t>
      </w:r>
      <w:r w:rsidRPr="00CB5E59" w:rsidR="46907113">
        <w:t xml:space="preserve">PG&amp;E </w:t>
      </w:r>
      <w:r w:rsidRPr="00CB5E59" w:rsidR="29BE7169">
        <w:t>requested</w:t>
      </w:r>
      <w:r w:rsidRPr="00CB5E59" w:rsidR="714069AE">
        <w:t xml:space="preserve"> </w:t>
      </w:r>
      <w:r w:rsidRPr="00CB5E59" w:rsidR="1A78DACE">
        <w:t xml:space="preserve">a revenue requirement </w:t>
      </w:r>
      <w:r w:rsidRPr="00CB5E59" w:rsidR="690FEB0E">
        <w:t xml:space="preserve">of </w:t>
      </w:r>
      <w:r w:rsidRPr="00CB5E59" w:rsidR="714069AE">
        <w:t>$707</w:t>
      </w:r>
      <w:r w:rsidRPr="00CB5E59" w:rsidR="00F7450B">
        <w:t> </w:t>
      </w:r>
      <w:r w:rsidRPr="00CB5E59" w:rsidR="714069AE">
        <w:t xml:space="preserve">million </w:t>
      </w:r>
      <w:r w:rsidRPr="00CB5E59" w:rsidR="7CBA0A75">
        <w:t xml:space="preserve">for </w:t>
      </w:r>
      <w:r w:rsidRPr="00CB5E59" w:rsidR="50654118">
        <w:t xml:space="preserve">third-party </w:t>
      </w:r>
      <w:r w:rsidRPr="00CB5E59" w:rsidR="7CBA0A75">
        <w:t xml:space="preserve">wildfire liability insurance coverage, including </w:t>
      </w:r>
      <w:r w:rsidRPr="00CB5E59" w:rsidR="29BE7169">
        <w:t>$250</w:t>
      </w:r>
      <w:r w:rsidRPr="00CB5E59" w:rsidR="00F7450B">
        <w:t> </w:t>
      </w:r>
      <w:r w:rsidRPr="00CB5E59" w:rsidR="29BE7169">
        <w:t xml:space="preserve">million for self-insurance and $457 million </w:t>
      </w:r>
      <w:r w:rsidRPr="00CB5E59" w:rsidR="50654118">
        <w:t xml:space="preserve">for commercial </w:t>
      </w:r>
      <w:r w:rsidRPr="00CB5E59" w:rsidR="29BE7169">
        <w:t xml:space="preserve">insurance to </w:t>
      </w:r>
      <w:r w:rsidRPr="00CB5E59" w:rsidR="50654118">
        <w:t>s</w:t>
      </w:r>
      <w:r w:rsidRPr="00CB5E59" w:rsidR="29BE7169">
        <w:t>ecure a total of $1</w:t>
      </w:r>
      <w:r w:rsidRPr="00CB5E59" w:rsidR="00F7450B">
        <w:t> </w:t>
      </w:r>
      <w:r w:rsidRPr="00CB5E59" w:rsidR="29BE7169">
        <w:t>billion in total wildfire coverage</w:t>
      </w:r>
      <w:r w:rsidRPr="00CB5E59" w:rsidR="50654118">
        <w:t xml:space="preserve"> </w:t>
      </w:r>
      <w:r w:rsidRPr="00CB5E59" w:rsidR="29BE7169">
        <w:t>(the level before the Wildfire Fund can be accessed)</w:t>
      </w:r>
      <w:r w:rsidRPr="00CB5E59" w:rsidR="50654118">
        <w:t>.</w:t>
      </w:r>
      <w:r w:rsidRPr="00CB5E59" w:rsidR="29BE7169">
        <w:t xml:space="preserve"> For each attrition year, PG&amp;E proposed an additional $75</w:t>
      </w:r>
      <w:r w:rsidRPr="00CB5E59" w:rsidR="00F7450B">
        <w:t> </w:t>
      </w:r>
      <w:r w:rsidRPr="00CB5E59" w:rsidR="29BE7169">
        <w:t>million for self-insurance, raising the funding dedicated to self</w:t>
      </w:r>
      <w:r w:rsidRPr="00CB5E59" w:rsidR="00B84F8E">
        <w:noBreakHyphen/>
      </w:r>
      <w:r w:rsidRPr="00CB5E59" w:rsidR="29BE7169">
        <w:t>insurance to $325</w:t>
      </w:r>
      <w:r w:rsidRPr="00CB5E59" w:rsidR="00F7450B">
        <w:t> </w:t>
      </w:r>
      <w:r w:rsidRPr="00CB5E59" w:rsidR="29BE7169">
        <w:t>million in 2024, 2025</w:t>
      </w:r>
      <w:r w:rsidR="00C04427">
        <w:t>,</w:t>
      </w:r>
      <w:r w:rsidRPr="00CB5E59" w:rsidR="29BE7169">
        <w:t xml:space="preserve"> and 2026. </w:t>
      </w:r>
      <w:proofErr w:type="gramStart"/>
      <w:r w:rsidRPr="00CB5E59" w:rsidR="29BE7169">
        <w:t>All of</w:t>
      </w:r>
      <w:proofErr w:type="gramEnd"/>
      <w:r w:rsidRPr="00CB5E59" w:rsidR="29BE7169">
        <w:t xml:space="preserve"> the associated revenue requirement during the 2023 GRC cycle would be subject to two-way balancing account treatment through the RTBA, under which PG&amp;E would be authorized to recover its actual costs of procuring insurance coverage of up to $1</w:t>
      </w:r>
      <w:r w:rsidRPr="00CB5E59" w:rsidR="00F7450B">
        <w:t> </w:t>
      </w:r>
      <w:r w:rsidRPr="00CB5E59" w:rsidR="29BE7169">
        <w:t>billion, without any further regulatory process or reasonableness review, consistent with the RTBA terms and conditions adopted in the test year 2020 GRC.</w:t>
      </w:r>
      <w:r w:rsidRPr="00CB5E59" w:rsidR="0025199B">
        <w:rPr>
          <w:rStyle w:val="FootnoteReference"/>
        </w:rPr>
        <w:footnoteReference w:id="33"/>
      </w:r>
      <w:r w:rsidRPr="00CB5E59" w:rsidR="714069AE">
        <w:t xml:space="preserve"> </w:t>
      </w:r>
    </w:p>
    <w:p w:rsidRPr="00CB5E59" w:rsidR="00EC3ACB" w:rsidP="00EC3ACB" w:rsidRDefault="273CC58B" w14:paraId="0D304536" w14:textId="478CD8E1">
      <w:pPr>
        <w:pStyle w:val="Standard"/>
      </w:pPr>
      <w:r w:rsidRPr="00CB5E59">
        <w:lastRenderedPageBreak/>
        <w:t xml:space="preserve">Cal Advocates </w:t>
      </w:r>
      <w:r w:rsidRPr="00CB5E59" w:rsidR="0DCFB7EE">
        <w:t>recommend</w:t>
      </w:r>
      <w:r w:rsidRPr="00CB5E59" w:rsidR="5D3240FC">
        <w:t>ed that</w:t>
      </w:r>
      <w:r w:rsidRPr="00CB5E59" w:rsidR="0DCFB7EE">
        <w:t xml:space="preserve"> </w:t>
      </w:r>
      <w:r w:rsidRPr="00CB5E59" w:rsidR="5D3240FC">
        <w:t xml:space="preserve">the Commission authorize </w:t>
      </w:r>
      <w:r w:rsidRPr="00CB5E59" w:rsidR="0DCFB7EE">
        <w:t xml:space="preserve">PG&amp;E </w:t>
      </w:r>
      <w:r w:rsidRPr="00CB5E59" w:rsidR="5D3240FC">
        <w:t xml:space="preserve">to </w:t>
      </w:r>
      <w:r w:rsidRPr="00CB5E59" w:rsidR="0DCFB7EE">
        <w:t>purchase $353.75</w:t>
      </w:r>
      <w:r w:rsidRPr="00CB5E59" w:rsidR="00F7450B">
        <w:t> </w:t>
      </w:r>
      <w:r w:rsidRPr="00CB5E59" w:rsidR="0DCFB7EE">
        <w:t xml:space="preserve">million </w:t>
      </w:r>
      <w:r w:rsidRPr="00CB5E59" w:rsidR="5D3240FC">
        <w:t xml:space="preserve">in commercial insurance </w:t>
      </w:r>
      <w:r w:rsidRPr="00CB5E59" w:rsidR="0DCFB7EE">
        <w:t xml:space="preserve">and </w:t>
      </w:r>
      <w:r w:rsidRPr="00CB5E59" w:rsidR="5D3240FC">
        <w:t xml:space="preserve">require </w:t>
      </w:r>
      <w:r w:rsidRPr="00CB5E59" w:rsidR="0DCFB7EE">
        <w:t>the difference between the procured coverage and $1</w:t>
      </w:r>
      <w:r w:rsidRPr="00CB5E59" w:rsidR="00F7450B">
        <w:t> </w:t>
      </w:r>
      <w:r w:rsidRPr="00CB5E59" w:rsidR="0DCFB7EE">
        <w:t xml:space="preserve">billion in coverage </w:t>
      </w:r>
      <w:r w:rsidRPr="00CB5E59" w:rsidR="5D3240FC">
        <w:t xml:space="preserve">to be </w:t>
      </w:r>
      <w:r w:rsidRPr="00CB5E59" w:rsidR="0DCFB7EE">
        <w:t>shareholder</w:t>
      </w:r>
      <w:r w:rsidR="00E426DB">
        <w:t>-</w:t>
      </w:r>
      <w:r w:rsidRPr="00CB5E59" w:rsidR="0DCFB7EE">
        <w:t>funded self-insurance.</w:t>
      </w:r>
      <w:r w:rsidRPr="00CB5E59" w:rsidR="00EC3ACB">
        <w:rPr>
          <w:vertAlign w:val="superscript"/>
        </w:rPr>
        <w:footnoteReference w:id="34"/>
      </w:r>
      <w:r w:rsidRPr="00CB5E59" w:rsidR="0DCFB7EE">
        <w:t xml:space="preserve"> </w:t>
      </w:r>
    </w:p>
    <w:p w:rsidRPr="00CB5E59" w:rsidR="00804B88" w:rsidP="00E3784D" w:rsidRDefault="61177324" w14:paraId="10AB7555" w14:textId="7EEF3E60">
      <w:pPr>
        <w:pStyle w:val="Standard"/>
      </w:pPr>
      <w:r w:rsidRPr="00CB5E59">
        <w:t>TURN recommended that</w:t>
      </w:r>
      <w:r w:rsidRPr="00CB5E59" w:rsidR="3CC49B5A">
        <w:t xml:space="preserve"> the Commission authorize</w:t>
      </w:r>
      <w:r w:rsidRPr="00CB5E59">
        <w:t xml:space="preserve"> PG&amp;E </w:t>
      </w:r>
      <w:r w:rsidRPr="00CB5E59" w:rsidR="3CC49B5A">
        <w:t xml:space="preserve">to </w:t>
      </w:r>
      <w:r w:rsidRPr="00CB5E59">
        <w:t>self-insure $333</w:t>
      </w:r>
      <w:r w:rsidRPr="00CB5E59" w:rsidR="00F7450B">
        <w:t> </w:t>
      </w:r>
      <w:r w:rsidRPr="00CB5E59">
        <w:t xml:space="preserve">million in wildfire liability insurance without any reliance on </w:t>
      </w:r>
      <w:r w:rsidRPr="00CB5E59" w:rsidR="3CC49B5A">
        <w:t xml:space="preserve">commercial </w:t>
      </w:r>
      <w:r w:rsidRPr="00CB5E59">
        <w:t>insurance</w:t>
      </w:r>
      <w:r w:rsidR="00867689">
        <w:t>.</w:t>
      </w:r>
      <w:r w:rsidRPr="00CB5E59" w:rsidR="00E3784D">
        <w:rPr>
          <w:vertAlign w:val="superscript"/>
        </w:rPr>
        <w:footnoteReference w:id="35"/>
      </w:r>
      <w:r w:rsidRPr="00CB5E59">
        <w:t xml:space="preserve"> Absent a wildfire that drains the pool of resources, TURN’s proposal would see the </w:t>
      </w:r>
      <w:r w:rsidRPr="00CB5E59" w:rsidR="4DCD46B0">
        <w:t xml:space="preserve">self-insurance </w:t>
      </w:r>
      <w:r w:rsidRPr="00CB5E59">
        <w:t>fund grow to $1 billion in coverage after three</w:t>
      </w:r>
      <w:r w:rsidRPr="00CB5E59" w:rsidR="00F7450B">
        <w:t> </w:t>
      </w:r>
      <w:r w:rsidRPr="00CB5E59">
        <w:t>years.</w:t>
      </w:r>
      <w:r w:rsidRPr="00CB5E59" w:rsidR="00E3784D">
        <w:rPr>
          <w:vertAlign w:val="superscript"/>
        </w:rPr>
        <w:footnoteReference w:id="36"/>
      </w:r>
      <w:r w:rsidRPr="00CB5E59">
        <w:t xml:space="preserve"> Investments made by the fund could reduce funding in the fourth</w:t>
      </w:r>
      <w:r w:rsidRPr="00CB5E59" w:rsidR="00F7450B">
        <w:t> </w:t>
      </w:r>
      <w:r w:rsidRPr="00CB5E59">
        <w:t>year of the GRC cycle or achieve an accrued amount somewhat above $1</w:t>
      </w:r>
      <w:r w:rsidRPr="00CB5E59" w:rsidR="00F7450B">
        <w:t> </w:t>
      </w:r>
      <w:r w:rsidRPr="00CB5E59">
        <w:t>billion by the end of the cycle. The self-insurance fund would be reimbursed for claims paid out after an application-based reasonableness review by the Commission to determine who is responsible for the reimbursement.</w:t>
      </w:r>
      <w:r w:rsidRPr="00CB5E59" w:rsidR="00E3784D">
        <w:rPr>
          <w:vertAlign w:val="superscript"/>
        </w:rPr>
        <w:footnoteReference w:id="37"/>
      </w:r>
      <w:r w:rsidRPr="00CB5E59">
        <w:t xml:space="preserve">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885"/>
        <w:gridCol w:w="7920"/>
      </w:tblGrid>
      <w:tr w:rsidRPr="00CB5E59" w:rsidR="00191110" w:rsidTr="00B13F51" w14:paraId="451D2DC3" w14:textId="77777777">
        <w:tc>
          <w:tcPr>
            <w:tcW w:w="9805" w:type="dxa"/>
            <w:gridSpan w:val="2"/>
          </w:tcPr>
          <w:p w:rsidRPr="00CB5E59" w:rsidR="00191110" w:rsidP="75C49C5E" w:rsidRDefault="526C15CA" w14:paraId="54330A40" w14:textId="6B869A6C">
            <w:pPr>
              <w:pStyle w:val="Standard"/>
              <w:spacing w:line="240" w:lineRule="auto"/>
              <w:ind w:firstLine="0"/>
              <w:rPr>
                <w:b/>
                <w:bCs/>
              </w:rPr>
            </w:pPr>
            <w:r w:rsidRPr="00CB5E59">
              <w:rPr>
                <w:b/>
                <w:bCs/>
              </w:rPr>
              <w:t xml:space="preserve">Comparing Positions on Insurance </w:t>
            </w:r>
            <w:r w:rsidRPr="00CB5E59" w:rsidR="0AE4865B">
              <w:rPr>
                <w:b/>
                <w:bCs/>
              </w:rPr>
              <w:t xml:space="preserve">with the </w:t>
            </w:r>
            <w:r w:rsidRPr="00CB5E59" w:rsidR="00962CDA">
              <w:rPr>
                <w:b/>
                <w:bCs/>
              </w:rPr>
              <w:t>Settlement</w:t>
            </w:r>
          </w:p>
        </w:tc>
      </w:tr>
      <w:tr w:rsidRPr="00CB5E59" w:rsidR="00191110" w:rsidTr="00B4339B" w14:paraId="4CBD1B3C" w14:textId="77777777">
        <w:tc>
          <w:tcPr>
            <w:tcW w:w="1885" w:type="dxa"/>
            <w:vAlign w:val="center"/>
          </w:tcPr>
          <w:p w:rsidRPr="00CB5E59" w:rsidR="00191110" w:rsidP="00F7450B" w:rsidRDefault="00191110" w14:paraId="0B717CFE" w14:textId="77777777">
            <w:pPr>
              <w:pStyle w:val="Standard"/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CB5E59">
              <w:rPr>
                <w:b/>
                <w:bCs/>
              </w:rPr>
              <w:t>Party</w:t>
            </w:r>
          </w:p>
        </w:tc>
        <w:tc>
          <w:tcPr>
            <w:tcW w:w="7920" w:type="dxa"/>
          </w:tcPr>
          <w:p w:rsidRPr="00CB5E59" w:rsidR="00191110" w:rsidP="00F62FA5" w:rsidRDefault="00191110" w14:paraId="1BD4C603" w14:textId="77777777">
            <w:pPr>
              <w:pStyle w:val="Standard"/>
              <w:spacing w:line="240" w:lineRule="auto"/>
              <w:rPr>
                <w:b/>
                <w:bCs/>
              </w:rPr>
            </w:pPr>
            <w:r w:rsidRPr="00CB5E59">
              <w:rPr>
                <w:b/>
                <w:bCs/>
              </w:rPr>
              <w:t>Insurance proposal</w:t>
            </w:r>
          </w:p>
        </w:tc>
      </w:tr>
      <w:tr w:rsidRPr="00CB5E59" w:rsidR="00191110" w:rsidTr="00B4339B" w14:paraId="72FACC7A" w14:textId="77777777">
        <w:tc>
          <w:tcPr>
            <w:tcW w:w="1885" w:type="dxa"/>
            <w:vAlign w:val="center"/>
          </w:tcPr>
          <w:p w:rsidRPr="00B4339B" w:rsidR="00191110" w:rsidP="00B4339B" w:rsidRDefault="00191110" w14:paraId="0DCAA4D7" w14:textId="72461A55">
            <w:pPr>
              <w:pStyle w:val="Standard"/>
              <w:spacing w:line="240" w:lineRule="auto"/>
              <w:ind w:firstLine="0"/>
              <w:rPr>
                <w:sz w:val="24"/>
                <w:szCs w:val="24"/>
              </w:rPr>
            </w:pPr>
            <w:r w:rsidRPr="00B4339B">
              <w:rPr>
                <w:sz w:val="24"/>
                <w:szCs w:val="24"/>
              </w:rPr>
              <w:t>PG&amp;E</w:t>
            </w:r>
            <w:r w:rsidRPr="00B4339B" w:rsidR="00511A58">
              <w:rPr>
                <w:sz w:val="24"/>
                <w:szCs w:val="24"/>
              </w:rPr>
              <w:t>’s</w:t>
            </w:r>
            <w:r w:rsidRPr="00B4339B">
              <w:rPr>
                <w:sz w:val="24"/>
                <w:szCs w:val="24"/>
              </w:rPr>
              <w:t xml:space="preserve"> initial</w:t>
            </w:r>
            <w:r w:rsidRPr="00B4339B" w:rsidR="00623FB4">
              <w:rPr>
                <w:sz w:val="24"/>
                <w:szCs w:val="24"/>
              </w:rPr>
              <w:t xml:space="preserve"> proposal</w:t>
            </w:r>
          </w:p>
        </w:tc>
        <w:tc>
          <w:tcPr>
            <w:tcW w:w="7920" w:type="dxa"/>
          </w:tcPr>
          <w:p w:rsidRPr="00B4339B" w:rsidR="00191110" w:rsidP="00F62FA5" w:rsidRDefault="00191110" w14:paraId="32228FFE" w14:textId="5693EF99">
            <w:pPr>
              <w:pStyle w:val="Standard"/>
              <w:spacing w:line="240" w:lineRule="auto"/>
              <w:ind w:firstLine="0"/>
              <w:rPr>
                <w:sz w:val="24"/>
                <w:szCs w:val="24"/>
              </w:rPr>
            </w:pPr>
            <w:r w:rsidRPr="00B4339B">
              <w:rPr>
                <w:sz w:val="24"/>
                <w:szCs w:val="24"/>
              </w:rPr>
              <w:t>$707</w:t>
            </w:r>
            <w:r w:rsidR="00B4339B">
              <w:rPr>
                <w:sz w:val="24"/>
                <w:szCs w:val="24"/>
              </w:rPr>
              <w:t> </w:t>
            </w:r>
            <w:r w:rsidRPr="00B4339B">
              <w:rPr>
                <w:sz w:val="24"/>
                <w:szCs w:val="24"/>
              </w:rPr>
              <w:t>million for third-party wildfire liability insurance coverage, including $250</w:t>
            </w:r>
            <w:r w:rsidR="00B4339B">
              <w:rPr>
                <w:sz w:val="24"/>
                <w:szCs w:val="24"/>
              </w:rPr>
              <w:t> </w:t>
            </w:r>
            <w:r w:rsidRPr="00B4339B">
              <w:rPr>
                <w:sz w:val="24"/>
                <w:szCs w:val="24"/>
              </w:rPr>
              <w:t>million for self-insurance and $457</w:t>
            </w:r>
            <w:r w:rsidRPr="00B4339B" w:rsidR="00B4339B">
              <w:rPr>
                <w:sz w:val="24"/>
                <w:szCs w:val="24"/>
              </w:rPr>
              <w:t> </w:t>
            </w:r>
            <w:r w:rsidRPr="00B4339B">
              <w:rPr>
                <w:sz w:val="24"/>
                <w:szCs w:val="24"/>
              </w:rPr>
              <w:t>million for commercial insurance</w:t>
            </w:r>
          </w:p>
        </w:tc>
      </w:tr>
      <w:tr w:rsidRPr="00CB5E59" w:rsidR="00191110" w:rsidTr="00B4339B" w14:paraId="508BA827" w14:textId="77777777">
        <w:tc>
          <w:tcPr>
            <w:tcW w:w="1885" w:type="dxa"/>
            <w:vAlign w:val="center"/>
          </w:tcPr>
          <w:p w:rsidRPr="00B4339B" w:rsidR="00191110" w:rsidP="00B4339B" w:rsidRDefault="00191110" w14:paraId="1A834FEC" w14:textId="4D2D46DB">
            <w:pPr>
              <w:pStyle w:val="Standard"/>
              <w:spacing w:line="240" w:lineRule="auto"/>
              <w:ind w:firstLine="0"/>
              <w:rPr>
                <w:sz w:val="24"/>
                <w:szCs w:val="24"/>
              </w:rPr>
            </w:pPr>
            <w:r w:rsidRPr="00B4339B">
              <w:rPr>
                <w:sz w:val="24"/>
                <w:szCs w:val="24"/>
              </w:rPr>
              <w:t>Cal</w:t>
            </w:r>
            <w:r w:rsidRPr="00B4339B" w:rsidR="00511A58">
              <w:rPr>
                <w:sz w:val="24"/>
                <w:szCs w:val="24"/>
              </w:rPr>
              <w:t xml:space="preserve"> Ad</w:t>
            </w:r>
            <w:r w:rsidRPr="00B4339B">
              <w:rPr>
                <w:sz w:val="24"/>
                <w:szCs w:val="24"/>
              </w:rPr>
              <w:t>vocates</w:t>
            </w:r>
          </w:p>
        </w:tc>
        <w:tc>
          <w:tcPr>
            <w:tcW w:w="7920" w:type="dxa"/>
          </w:tcPr>
          <w:p w:rsidRPr="00B4339B" w:rsidR="00191110" w:rsidP="00F62FA5" w:rsidRDefault="00191110" w14:paraId="3A9DBDEB" w14:textId="0337AB08">
            <w:pPr>
              <w:pStyle w:val="Standard"/>
              <w:spacing w:line="240" w:lineRule="auto"/>
              <w:ind w:firstLine="0"/>
              <w:rPr>
                <w:sz w:val="24"/>
                <w:szCs w:val="24"/>
              </w:rPr>
            </w:pPr>
            <w:r w:rsidRPr="00B4339B">
              <w:rPr>
                <w:sz w:val="24"/>
                <w:szCs w:val="24"/>
              </w:rPr>
              <w:t>$353.75</w:t>
            </w:r>
            <w:r w:rsidR="00B4339B">
              <w:rPr>
                <w:sz w:val="24"/>
                <w:szCs w:val="24"/>
              </w:rPr>
              <w:t> </w:t>
            </w:r>
            <w:r w:rsidRPr="00B4339B">
              <w:rPr>
                <w:sz w:val="24"/>
                <w:szCs w:val="24"/>
              </w:rPr>
              <w:t>million in commercial insurance and require the difference between the procured coverage and $1</w:t>
            </w:r>
            <w:r w:rsidR="00B4339B">
              <w:rPr>
                <w:sz w:val="24"/>
                <w:szCs w:val="24"/>
              </w:rPr>
              <w:t> </w:t>
            </w:r>
            <w:r w:rsidRPr="00B4339B">
              <w:rPr>
                <w:sz w:val="24"/>
                <w:szCs w:val="24"/>
              </w:rPr>
              <w:t>billion in coverage to be shareholder funded self-insurance</w:t>
            </w:r>
          </w:p>
        </w:tc>
      </w:tr>
      <w:tr w:rsidRPr="00CB5E59" w:rsidR="00191110" w:rsidTr="00B4339B" w14:paraId="7A0C8DC9" w14:textId="77777777">
        <w:tc>
          <w:tcPr>
            <w:tcW w:w="1885" w:type="dxa"/>
            <w:vAlign w:val="center"/>
          </w:tcPr>
          <w:p w:rsidRPr="00B4339B" w:rsidR="00191110" w:rsidP="00B4339B" w:rsidRDefault="00191110" w14:paraId="18BEBA76" w14:textId="77777777">
            <w:pPr>
              <w:pStyle w:val="Standard"/>
              <w:spacing w:line="240" w:lineRule="auto"/>
              <w:ind w:firstLine="0"/>
              <w:rPr>
                <w:sz w:val="24"/>
                <w:szCs w:val="24"/>
              </w:rPr>
            </w:pPr>
            <w:r w:rsidRPr="00B4339B">
              <w:rPr>
                <w:sz w:val="24"/>
                <w:szCs w:val="24"/>
              </w:rPr>
              <w:t>TURN</w:t>
            </w:r>
          </w:p>
        </w:tc>
        <w:tc>
          <w:tcPr>
            <w:tcW w:w="7920" w:type="dxa"/>
          </w:tcPr>
          <w:p w:rsidRPr="00B4339B" w:rsidR="00191110" w:rsidP="00F62FA5" w:rsidRDefault="00623FB4" w14:paraId="6803EF9F" w14:textId="343A9289">
            <w:pPr>
              <w:pStyle w:val="Standard"/>
              <w:spacing w:line="240" w:lineRule="auto"/>
              <w:ind w:firstLine="0"/>
              <w:rPr>
                <w:sz w:val="24"/>
                <w:szCs w:val="24"/>
              </w:rPr>
            </w:pPr>
            <w:r w:rsidRPr="00B4339B">
              <w:rPr>
                <w:sz w:val="24"/>
                <w:szCs w:val="24"/>
              </w:rPr>
              <w:t>S</w:t>
            </w:r>
            <w:r w:rsidRPr="00B4339B" w:rsidR="00191110">
              <w:rPr>
                <w:sz w:val="24"/>
                <w:szCs w:val="24"/>
              </w:rPr>
              <w:t>elf-insure $333</w:t>
            </w:r>
            <w:r w:rsidR="00B4339B">
              <w:rPr>
                <w:sz w:val="24"/>
                <w:szCs w:val="24"/>
              </w:rPr>
              <w:t> </w:t>
            </w:r>
            <w:r w:rsidRPr="00B4339B" w:rsidR="00191110">
              <w:rPr>
                <w:sz w:val="24"/>
                <w:szCs w:val="24"/>
              </w:rPr>
              <w:t>million in wildfire liability insurance without any reliance on commercial insurance and forego access to the Wildfire Fund for the first two years of the program</w:t>
            </w:r>
          </w:p>
        </w:tc>
      </w:tr>
      <w:tr w:rsidRPr="00CB5E59" w:rsidR="00191110" w:rsidTr="00B4339B" w14:paraId="784EF208" w14:textId="77777777">
        <w:tc>
          <w:tcPr>
            <w:tcW w:w="1885" w:type="dxa"/>
          </w:tcPr>
          <w:p w:rsidRPr="00B4339B" w:rsidR="00191110" w:rsidP="00F62FA5" w:rsidRDefault="00CF3009" w14:paraId="4EA84EDB" w14:textId="43DF0019">
            <w:pPr>
              <w:pStyle w:val="Standard"/>
              <w:spacing w:line="240" w:lineRule="auto"/>
              <w:ind w:firstLine="0"/>
              <w:rPr>
                <w:sz w:val="24"/>
                <w:szCs w:val="24"/>
              </w:rPr>
            </w:pPr>
            <w:r w:rsidRPr="00B4339B">
              <w:rPr>
                <w:sz w:val="24"/>
                <w:szCs w:val="24"/>
              </w:rPr>
              <w:t>Settlement</w:t>
            </w:r>
            <w:r w:rsidRPr="00B4339B" w:rsidR="001911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20" w:type="dxa"/>
          </w:tcPr>
          <w:p w:rsidRPr="00B4339B" w:rsidR="00191110" w:rsidP="00F62FA5" w:rsidRDefault="00191110" w14:paraId="29E604B2" w14:textId="050F60C5">
            <w:pPr>
              <w:pStyle w:val="Standard"/>
              <w:spacing w:line="240" w:lineRule="auto"/>
              <w:ind w:firstLine="0"/>
              <w:rPr>
                <w:sz w:val="24"/>
                <w:szCs w:val="24"/>
              </w:rPr>
            </w:pPr>
            <w:r w:rsidRPr="00B4339B">
              <w:rPr>
                <w:sz w:val="24"/>
                <w:szCs w:val="24"/>
              </w:rPr>
              <w:t>$400 million for self-insurance + 5</w:t>
            </w:r>
            <w:r w:rsidR="00B4339B">
              <w:rPr>
                <w:sz w:val="24"/>
                <w:szCs w:val="24"/>
              </w:rPr>
              <w:t> percent</w:t>
            </w:r>
            <w:r w:rsidRPr="00B4339B">
              <w:rPr>
                <w:sz w:val="24"/>
                <w:szCs w:val="24"/>
              </w:rPr>
              <w:t xml:space="preserve"> PG&amp;E shareholder deductible + mechanism for annual adjustments for 2024, 2025 and 2026.</w:t>
            </w:r>
          </w:p>
        </w:tc>
      </w:tr>
    </w:tbl>
    <w:p w:rsidRPr="00CB5E59" w:rsidR="00F5196B" w:rsidP="00F7450B" w:rsidRDefault="1085A0A7" w14:paraId="1E6F68A2" w14:textId="0FB50590">
      <w:pPr>
        <w:pStyle w:val="Heading2"/>
        <w:rPr>
          <w:rFonts w:asciiTheme="minorHAnsi" w:hAnsiTheme="minorHAnsi" w:eastAsiaTheme="minorEastAsia"/>
        </w:rPr>
      </w:pPr>
      <w:bookmarkStart w:name="_Toc121488166" w:id="16"/>
      <w:bookmarkStart w:name="_Toc8123717" w:id="17"/>
      <w:bookmarkStart w:name="_Toc12866686" w:id="18"/>
      <w:r w:rsidRPr="00CB5E59">
        <w:lastRenderedPageBreak/>
        <w:t xml:space="preserve">The </w:t>
      </w:r>
      <w:r w:rsidRPr="00CB5E59" w:rsidR="0F4295DA">
        <w:t xml:space="preserve">October 7, </w:t>
      </w:r>
      <w:proofErr w:type="gramStart"/>
      <w:r w:rsidRPr="00CB5E59" w:rsidR="0F4295DA">
        <w:t>2022</w:t>
      </w:r>
      <w:proofErr w:type="gramEnd"/>
      <w:r w:rsidRPr="00CB5E59" w:rsidR="0F4295DA">
        <w:t xml:space="preserve"> </w:t>
      </w:r>
      <w:r w:rsidRPr="00CB5E59" w:rsidR="00CF3009">
        <w:t>Settlement</w:t>
      </w:r>
      <w:bookmarkEnd w:id="16"/>
    </w:p>
    <w:p w:rsidRPr="00CB5E59" w:rsidR="00FF759E" w:rsidP="00FF759E" w:rsidRDefault="3313AFC1" w14:paraId="6D575241" w14:textId="77777777">
      <w:pPr>
        <w:pStyle w:val="Standard"/>
      </w:pPr>
      <w:r w:rsidRPr="00CB5E59">
        <w:t>The Settling Parties</w:t>
      </w:r>
      <w:r w:rsidRPr="00CB5E59" w:rsidR="00BC1C3E">
        <w:t xml:space="preserve"> (Cal Advocates, TURN, and PG&amp;E)</w:t>
      </w:r>
      <w:r w:rsidRPr="00CB5E59">
        <w:t xml:space="preserve"> have agreed upon a </w:t>
      </w:r>
      <w:r w:rsidRPr="00CB5E59" w:rsidR="00816E95">
        <w:t xml:space="preserve">program </w:t>
      </w:r>
      <w:r w:rsidRPr="00CB5E59">
        <w:t xml:space="preserve">that would have PG&amp;E </w:t>
      </w:r>
      <w:r w:rsidRPr="00CB5E59" w:rsidR="000A68E5">
        <w:t xml:space="preserve">use </w:t>
      </w:r>
      <w:r w:rsidRPr="00CB5E59">
        <w:t xml:space="preserve">self-insurance for wildfire liability insurance coverage </w:t>
      </w:r>
      <w:r w:rsidRPr="00CB5E59" w:rsidR="00816E95">
        <w:t xml:space="preserve">of </w:t>
      </w:r>
      <w:r w:rsidRPr="00CB5E59" w:rsidR="000A68E5">
        <w:t xml:space="preserve">less than $1 billion </w:t>
      </w:r>
      <w:r w:rsidRPr="00CB5E59">
        <w:t>during the test year 2023 GRC cycle</w:t>
      </w:r>
      <w:r w:rsidRPr="00CB5E59" w:rsidR="00531F58">
        <w:t xml:space="preserve"> (2023-2026)</w:t>
      </w:r>
      <w:r w:rsidRPr="00CB5E59">
        <w:t xml:space="preserve">. </w:t>
      </w:r>
      <w:r w:rsidRPr="00CB5E59" w:rsidR="077624C9">
        <w:t>K</w:t>
      </w:r>
      <w:r w:rsidRPr="00CB5E59" w:rsidR="7CF767FF">
        <w:t xml:space="preserve">ey </w:t>
      </w:r>
      <w:r w:rsidRPr="00CB5E59">
        <w:t xml:space="preserve">elements of the </w:t>
      </w:r>
      <w:r w:rsidRPr="00CB5E59" w:rsidR="00CF3009">
        <w:t>Settlement</w:t>
      </w:r>
      <w:r w:rsidRPr="00CB5E59" w:rsidR="00BC1C3E">
        <w:t>, as</w:t>
      </w:r>
      <w:r w:rsidRPr="00CB5E59">
        <w:t xml:space="preserve"> </w:t>
      </w:r>
      <w:r w:rsidRPr="00CB5E59" w:rsidR="40333CDA">
        <w:t xml:space="preserve">summarized by the </w:t>
      </w:r>
      <w:r w:rsidRPr="00CB5E59" w:rsidR="00BC1C3E">
        <w:t xml:space="preserve">Settling </w:t>
      </w:r>
      <w:r w:rsidRPr="00CB5E59" w:rsidR="0F4295DA">
        <w:t>P</w:t>
      </w:r>
      <w:r w:rsidRPr="00CB5E59" w:rsidR="0ABC48F5">
        <w:t>arties</w:t>
      </w:r>
      <w:r w:rsidRPr="00CB5E59" w:rsidR="40333CDA">
        <w:t xml:space="preserve"> </w:t>
      </w:r>
      <w:r w:rsidRPr="00CB5E59" w:rsidR="7CF767FF">
        <w:t>include:</w:t>
      </w:r>
      <w:r w:rsidRPr="00CB5E59" w:rsidR="00237347">
        <w:rPr>
          <w:rStyle w:val="FootnoteReference"/>
        </w:rPr>
        <w:footnoteReference w:id="38"/>
      </w:r>
      <w:r w:rsidRPr="00CB5E59" w:rsidR="7CF767FF">
        <w:t xml:space="preserve"> </w:t>
      </w:r>
    </w:p>
    <w:p w:rsidRPr="00CB5E59" w:rsidR="009A6D9B" w:rsidP="00781B63" w:rsidRDefault="00E31BB2" w14:paraId="31487D0E" w14:textId="56E07B9E">
      <w:pPr>
        <w:pStyle w:val="Standard"/>
        <w:spacing w:after="120" w:line="240" w:lineRule="auto"/>
        <w:ind w:left="1080" w:right="1440" w:hanging="360"/>
      </w:pPr>
      <w:r w:rsidRPr="00CB5E59">
        <w:t xml:space="preserve"> • The initial rate recovery amount for PG&amp;E’s revenue requirement in 2023 shall be $400 million for self</w:t>
      </w:r>
      <w:r w:rsidRPr="00CB5E59" w:rsidR="00781B63">
        <w:noBreakHyphen/>
      </w:r>
      <w:r w:rsidRPr="00CB5E59">
        <w:t>insurance, a reduction of approximately $307</w:t>
      </w:r>
      <w:r w:rsidRPr="00CB5E59" w:rsidR="00781B63">
        <w:t> </w:t>
      </w:r>
      <w:r w:rsidRPr="00CB5E59">
        <w:t>million from PG&amp;E’s proposed revenue requirement figure in its prepared testimony</w:t>
      </w:r>
      <w:r w:rsidRPr="00CB5E59" w:rsidR="001F7DAC">
        <w:t xml:space="preserve"> for total wildfire liability insurance coverage</w:t>
      </w:r>
      <w:r w:rsidRPr="00CB5E59">
        <w:t>.</w:t>
      </w:r>
      <w:r w:rsidRPr="00CB5E59" w:rsidR="00816E95">
        <w:rPr>
          <w:rStyle w:val="FootnoteReference"/>
        </w:rPr>
        <w:footnoteReference w:id="39"/>
      </w:r>
    </w:p>
    <w:p w:rsidRPr="00CB5E59" w:rsidR="008078F5" w:rsidP="00781B63" w:rsidRDefault="00E31BB2" w14:paraId="58C8858C" w14:textId="7DD752C6">
      <w:pPr>
        <w:pStyle w:val="Standard"/>
        <w:spacing w:after="120" w:line="240" w:lineRule="auto"/>
        <w:ind w:left="1080" w:right="1440" w:hanging="360"/>
      </w:pPr>
      <w:r w:rsidRPr="00CB5E59">
        <w:t xml:space="preserve">• In each year of the 2023 GRC cycle, PG&amp;E would have a </w:t>
      </w:r>
      <w:r w:rsidRPr="00CB5E59" w:rsidR="00B955C3">
        <w:t xml:space="preserve">shareholder </w:t>
      </w:r>
      <w:r w:rsidRPr="00CB5E59">
        <w:t>deductible of 5</w:t>
      </w:r>
      <w:r w:rsidRPr="00CB5E59" w:rsidR="00781B63">
        <w:t xml:space="preserve"> percent </w:t>
      </w:r>
      <w:r w:rsidRPr="00CB5E59">
        <w:t>of up to $1</w:t>
      </w:r>
      <w:r w:rsidRPr="00CB5E59" w:rsidR="00781B63">
        <w:t> </w:t>
      </w:r>
      <w:r w:rsidRPr="00CB5E59">
        <w:t>billion of self</w:t>
      </w:r>
      <w:r w:rsidRPr="00CB5E59" w:rsidR="00781B63">
        <w:noBreakHyphen/>
      </w:r>
      <w:r w:rsidRPr="00CB5E59">
        <w:t>insurance costs ultimately paid for wildfire events that occur each calendar year. The total amount of the deductible will not exceed $50</w:t>
      </w:r>
      <w:r w:rsidRPr="00CB5E59" w:rsidR="00781B63">
        <w:t> </w:t>
      </w:r>
      <w:r w:rsidRPr="00CB5E59">
        <w:t>million annually notwithstanding the number of wildfire events (</w:t>
      </w:r>
      <w:r w:rsidRPr="00CB5E59">
        <w:rPr>
          <w:i/>
          <w:iCs/>
        </w:rPr>
        <w:t>i.e</w:t>
      </w:r>
      <w:r w:rsidRPr="00CB5E59">
        <w:t>.,</w:t>
      </w:r>
      <w:r w:rsidRPr="00CB5E59" w:rsidR="00781B63">
        <w:t> </w:t>
      </w:r>
      <w:r w:rsidRPr="00CB5E59">
        <w:t>5</w:t>
      </w:r>
      <w:r w:rsidRPr="00CB5E59" w:rsidR="00781B63">
        <w:t> </w:t>
      </w:r>
      <w:r w:rsidRPr="00CB5E59">
        <w:t>percent of $1</w:t>
      </w:r>
      <w:r w:rsidRPr="00CB5E59" w:rsidR="00781B63">
        <w:t> </w:t>
      </w:r>
      <w:r w:rsidRPr="00CB5E59">
        <w:t>billion of self</w:t>
      </w:r>
      <w:r w:rsidRPr="00CB5E59" w:rsidR="00781B63">
        <w:noBreakHyphen/>
      </w:r>
      <w:r w:rsidRPr="00CB5E59">
        <w:t>insurance costs). No rate recovery of such deductible costs would be permitted.</w:t>
      </w:r>
      <w:r w:rsidRPr="00CB5E59" w:rsidR="00816E95">
        <w:rPr>
          <w:rStyle w:val="FootnoteReference"/>
        </w:rPr>
        <w:footnoteReference w:id="40"/>
      </w:r>
    </w:p>
    <w:p w:rsidRPr="00CB5E59" w:rsidR="008078F5" w:rsidP="00781B63" w:rsidRDefault="00E31BB2" w14:paraId="773A6DCF" w14:textId="2F765A11">
      <w:pPr>
        <w:pStyle w:val="Standard"/>
        <w:spacing w:after="120" w:line="240" w:lineRule="auto"/>
        <w:ind w:left="1080" w:right="1440" w:hanging="360"/>
      </w:pPr>
      <w:r w:rsidRPr="00CB5E59">
        <w:t xml:space="preserve">• The accrued self-insurance funds will be </w:t>
      </w:r>
      <w:r w:rsidRPr="00CB5E59" w:rsidR="00781B63">
        <w:t>invested,</w:t>
      </w:r>
      <w:r w:rsidRPr="00CB5E59">
        <w:t xml:space="preserve"> and the resulting returns used to offset a portion of the cost to customers.</w:t>
      </w:r>
      <w:r w:rsidRPr="00CB5E59" w:rsidR="00816E95">
        <w:rPr>
          <w:rStyle w:val="FootnoteReference"/>
        </w:rPr>
        <w:footnoteReference w:id="41"/>
      </w:r>
      <w:r w:rsidRPr="00CB5E59">
        <w:t xml:space="preserve"> </w:t>
      </w:r>
    </w:p>
    <w:p w:rsidRPr="00CB5E59" w:rsidR="008078F5" w:rsidP="00781B63" w:rsidRDefault="00E31BB2" w14:paraId="30AA56BB" w14:textId="079A7609">
      <w:pPr>
        <w:pStyle w:val="Standard"/>
        <w:spacing w:after="120" w:line="240" w:lineRule="auto"/>
        <w:ind w:left="1080" w:right="1440" w:hanging="360"/>
      </w:pPr>
      <w:r w:rsidRPr="00CB5E59">
        <w:t>• PG&amp;E commits to seeking recovery of the portion of wildfire liability self-insurance that would be allocated to transmission customers through F</w:t>
      </w:r>
      <w:r w:rsidRPr="00CB5E59" w:rsidR="35AEB6E5">
        <w:t xml:space="preserve">ederal </w:t>
      </w:r>
      <w:r w:rsidRPr="00CB5E59">
        <w:t>E</w:t>
      </w:r>
      <w:r w:rsidRPr="00CB5E59" w:rsidR="037742BC">
        <w:t xml:space="preserve">nergy </w:t>
      </w:r>
      <w:r w:rsidRPr="00CB5E59">
        <w:t>R</w:t>
      </w:r>
      <w:r w:rsidRPr="00CB5E59" w:rsidR="44F6D3EC">
        <w:t xml:space="preserve">egulatory </w:t>
      </w:r>
      <w:r w:rsidRPr="00CB5E59">
        <w:t>C</w:t>
      </w:r>
      <w:r w:rsidRPr="00CB5E59" w:rsidR="384E1D86">
        <w:t>ommission</w:t>
      </w:r>
      <w:r w:rsidRPr="00CB5E59">
        <w:t xml:space="preserve"> </w:t>
      </w:r>
      <w:r w:rsidRPr="00CB5E59" w:rsidR="384E1D86">
        <w:t>(FERC)</w:t>
      </w:r>
      <w:r w:rsidRPr="00CB5E59">
        <w:t xml:space="preserve"> Transmission Owner </w:t>
      </w:r>
      <w:r w:rsidRPr="00CB5E59">
        <w:lastRenderedPageBreak/>
        <w:t>(TO)</w:t>
      </w:r>
      <w:r w:rsidR="00980648">
        <w:t xml:space="preserve">-jurisdictional </w:t>
      </w:r>
      <w:r w:rsidRPr="00CB5E59">
        <w:t>rates</w:t>
      </w:r>
      <w:r w:rsidR="00980648">
        <w:rPr>
          <w:rStyle w:val="FootnoteReference"/>
        </w:rPr>
        <w:footnoteReference w:id="42"/>
      </w:r>
      <w:r w:rsidRPr="00CB5E59">
        <w:t xml:space="preserve"> in effect starting on January</w:t>
      </w:r>
      <w:r w:rsidRPr="00CB5E59" w:rsidR="00781B63">
        <w:t> </w:t>
      </w:r>
      <w:r w:rsidRPr="00CB5E59">
        <w:t>1,</w:t>
      </w:r>
      <w:r w:rsidRPr="00CB5E59" w:rsidR="00781B63">
        <w:t> </w:t>
      </w:r>
      <w:r w:rsidRPr="00CB5E59">
        <w:t>2024. To the extent recovery is authorized by FERC, the</w:t>
      </w:r>
      <w:r w:rsidRPr="00CB5E59" w:rsidR="008078F5">
        <w:t xml:space="preserve"> </w:t>
      </w:r>
      <w:r w:rsidRPr="00CB5E59">
        <w:t>amounts recovered would be applied toward achieving a total, available self</w:t>
      </w:r>
      <w:r w:rsidRPr="00CB5E59" w:rsidR="00781B63">
        <w:noBreakHyphen/>
      </w:r>
      <w:r w:rsidRPr="00CB5E59">
        <w:t>insurance accrual amount of $1 billion, which could reduce the total amount collected from customers for that purpose.</w:t>
      </w:r>
      <w:r w:rsidRPr="00CB5E59" w:rsidR="007A10D1">
        <w:rPr>
          <w:rStyle w:val="FootnoteReference"/>
        </w:rPr>
        <w:footnoteReference w:id="43"/>
      </w:r>
      <w:r w:rsidRPr="00CB5E59">
        <w:t xml:space="preserve"> </w:t>
      </w:r>
    </w:p>
    <w:p w:rsidRPr="00CB5E59" w:rsidR="00CE7DA0" w:rsidP="00781B63" w:rsidRDefault="00E31BB2" w14:paraId="597D21A5" w14:textId="32964759">
      <w:pPr>
        <w:pStyle w:val="Standard"/>
        <w:spacing w:after="120" w:line="240" w:lineRule="auto"/>
        <w:ind w:left="1080" w:right="1440" w:hanging="360"/>
      </w:pPr>
      <w:r w:rsidRPr="00CB5E59">
        <w:t xml:space="preserve">• The </w:t>
      </w:r>
      <w:r w:rsidRPr="00CB5E59" w:rsidR="00962CDA">
        <w:t>Settlement Agreement (Settlement)</w:t>
      </w:r>
      <w:r w:rsidRPr="00CB5E59">
        <w:t xml:space="preserve"> includes a mechanism for annual adjustments for </w:t>
      </w:r>
      <w:r w:rsidRPr="00CB5E59" w:rsidR="7CE9E8A6">
        <w:t>years</w:t>
      </w:r>
      <w:r w:rsidRPr="00CB5E59">
        <w:t xml:space="preserve"> 2024, 2025 and 2026. If the estimated claims for wildfire events from the immediately preceding year exceed the amount collected for self-insurance in that same year, the self</w:t>
      </w:r>
      <w:r w:rsidRPr="00CB5E59" w:rsidR="00781B63">
        <w:noBreakHyphen/>
      </w:r>
      <w:r w:rsidRPr="00CB5E59">
        <w:t>insurance amount to be collected in rates during the following year would increase by 50</w:t>
      </w:r>
      <w:r w:rsidRPr="00CB5E59" w:rsidR="00781B63">
        <w:t> percent</w:t>
      </w:r>
      <w:r w:rsidRPr="00CB5E59">
        <w:t xml:space="preserve"> of the difference between the self-insurance amount collected and estimated claims for events in the immediately preceding year. The increase in revenue requirement would become effective January</w:t>
      </w:r>
      <w:r w:rsidRPr="00CB5E59" w:rsidR="00781B63">
        <w:t> </w:t>
      </w:r>
      <w:r w:rsidRPr="00CB5E59">
        <w:t>1 of the following year, or as soon thereafter as practicable. For example, if PG&amp;E incurred estimated claims of $500</w:t>
      </w:r>
      <w:r w:rsidRPr="00CB5E59" w:rsidR="00781B63">
        <w:t> </w:t>
      </w:r>
      <w:r w:rsidRPr="00CB5E59">
        <w:t>million for 2023, the self-insurance amount to be collected in 2024 would increase by $50</w:t>
      </w:r>
      <w:r w:rsidRPr="00CB5E59" w:rsidR="00781B63">
        <w:t> </w:t>
      </w:r>
      <w:r w:rsidRPr="00CB5E59">
        <w:t>million, representing the 50% of the difference between the $400</w:t>
      </w:r>
      <w:r w:rsidRPr="00CB5E59" w:rsidR="00781B63">
        <w:t> </w:t>
      </w:r>
      <w:r w:rsidRPr="00CB5E59">
        <w:t>million collected for self-insurance in 2023 and the estimated claims amount, and the new funding level of $450</w:t>
      </w:r>
      <w:r w:rsidRPr="00CB5E59" w:rsidR="00781B63">
        <w:t> </w:t>
      </w:r>
      <w:r w:rsidRPr="00CB5E59">
        <w:t>million would go into effect on January</w:t>
      </w:r>
      <w:r w:rsidRPr="00CB5E59" w:rsidR="00781B63">
        <w:t> </w:t>
      </w:r>
      <w:r w:rsidRPr="00CB5E59">
        <w:t>1,</w:t>
      </w:r>
      <w:r w:rsidRPr="00CB5E59" w:rsidR="00781B63">
        <w:t> </w:t>
      </w:r>
      <w:r w:rsidRPr="00CB5E59">
        <w:t>2024</w:t>
      </w:r>
      <w:r w:rsidR="00C04427">
        <w:t>,</w:t>
      </w:r>
      <w:r w:rsidRPr="00CB5E59">
        <w:t xml:space="preserve"> or as soon thereafter as practicable.</w:t>
      </w:r>
      <w:r w:rsidRPr="00CB5E59" w:rsidR="007A10D1">
        <w:rPr>
          <w:rStyle w:val="FootnoteReference"/>
        </w:rPr>
        <w:footnoteReference w:id="44"/>
      </w:r>
      <w:r w:rsidRPr="00CB5E59">
        <w:t xml:space="preserve"> </w:t>
      </w:r>
    </w:p>
    <w:p w:rsidRPr="00CB5E59" w:rsidR="00CE7DA0" w:rsidP="00781B63" w:rsidRDefault="00E31BB2" w14:paraId="66340A4E" w14:textId="69A4538B">
      <w:pPr>
        <w:pStyle w:val="Standard"/>
        <w:numPr>
          <w:ilvl w:val="0"/>
          <w:numId w:val="19"/>
        </w:numPr>
        <w:spacing w:after="120" w:line="240" w:lineRule="auto"/>
        <w:ind w:left="1080" w:right="1440"/>
      </w:pPr>
      <w:r w:rsidRPr="00CB5E59">
        <w:t>The amount collected for self-insurance in</w:t>
      </w:r>
      <w:r w:rsidRPr="00CB5E59" w:rsidR="001F43C1">
        <w:t xml:space="preserve"> </w:t>
      </w:r>
      <w:r w:rsidRPr="00CB5E59" w:rsidR="00CE7DA0">
        <w:t>r</w:t>
      </w:r>
      <w:r w:rsidRPr="00CB5E59">
        <w:t>evenue requirements would</w:t>
      </w:r>
      <w:r w:rsidRPr="00CB5E59" w:rsidR="001F43C1">
        <w:t xml:space="preserve"> </w:t>
      </w:r>
      <w:r w:rsidRPr="00CB5E59">
        <w:t>be reduced for 2025, 2026 or both if the self-insurance fund balance could reach $1</w:t>
      </w:r>
      <w:r w:rsidRPr="00CB5E59" w:rsidR="00781B63">
        <w:t> </w:t>
      </w:r>
      <w:r w:rsidRPr="00CB5E59">
        <w:t>billion as of the end of either or both</w:t>
      </w:r>
      <w:r w:rsidRPr="00CB5E59" w:rsidR="00781B63">
        <w:t> </w:t>
      </w:r>
      <w:r w:rsidRPr="00CB5E59">
        <w:t>years.</w:t>
      </w:r>
      <w:r w:rsidRPr="00CB5E59" w:rsidR="007A10D1">
        <w:rPr>
          <w:rStyle w:val="FootnoteReference"/>
        </w:rPr>
        <w:footnoteReference w:id="45"/>
      </w:r>
    </w:p>
    <w:p w:rsidRPr="00CB5E59" w:rsidR="003709C3" w:rsidP="00781B63" w:rsidRDefault="00E31BB2" w14:paraId="1E5437AB" w14:textId="1173450B">
      <w:pPr>
        <w:pStyle w:val="Standard"/>
        <w:spacing w:after="120" w:line="240" w:lineRule="auto"/>
        <w:ind w:left="1080" w:right="1440" w:hanging="360"/>
      </w:pPr>
      <w:r w:rsidRPr="00CB5E59">
        <w:lastRenderedPageBreak/>
        <w:t xml:space="preserve">• The </w:t>
      </w:r>
      <w:r w:rsidRPr="00CB5E59" w:rsidR="00962CDA">
        <w:t>Settlement</w:t>
      </w:r>
      <w:r w:rsidRPr="00CB5E59">
        <w:t xml:space="preserve"> includes reasonable provisions for addressing the balance of self</w:t>
      </w:r>
      <w:r w:rsidRPr="00CB5E59" w:rsidR="008078F5">
        <w:t>-</w:t>
      </w:r>
      <w:r w:rsidRPr="00CB5E59">
        <w:t>insurance funding at the end of the test year 2023 cycle, whether the funding is over</w:t>
      </w:r>
      <w:r w:rsidR="00E426DB">
        <w:t>-</w:t>
      </w:r>
      <w:r w:rsidRPr="00CB5E59">
        <w:t xml:space="preserve">collected (such that the </w:t>
      </w:r>
      <w:proofErr w:type="gramStart"/>
      <w:r w:rsidRPr="00CB5E59">
        <w:t>amount</w:t>
      </w:r>
      <w:proofErr w:type="gramEnd"/>
      <w:r w:rsidRPr="00CB5E59">
        <w:t xml:space="preserve"> of wildfire-related claims over the cycle is less than the amount of self</w:t>
      </w:r>
      <w:r w:rsidRPr="00CB5E59" w:rsidR="003709C3">
        <w:t>-</w:t>
      </w:r>
      <w:r w:rsidRPr="00CB5E59">
        <w:t>insurance) or under</w:t>
      </w:r>
      <w:r w:rsidRPr="00CB5E59" w:rsidR="003709C3">
        <w:t xml:space="preserve"> </w:t>
      </w:r>
      <w:r w:rsidRPr="00CB5E59">
        <w:t>collected (the amount of claims exceeds the amount of self-insurance).</w:t>
      </w:r>
      <w:r w:rsidRPr="00CB5E59" w:rsidR="007A10D1">
        <w:rPr>
          <w:rStyle w:val="FootnoteReference"/>
        </w:rPr>
        <w:footnoteReference w:id="46"/>
      </w:r>
    </w:p>
    <w:p w:rsidRPr="00CB5E59" w:rsidR="003709C3" w:rsidP="00781B63" w:rsidRDefault="00E31BB2" w14:paraId="52CF3377" w14:textId="6BB7BF4B">
      <w:pPr>
        <w:pStyle w:val="Standard"/>
        <w:spacing w:after="120" w:line="240" w:lineRule="auto"/>
        <w:ind w:left="1080" w:right="1440" w:hanging="360"/>
      </w:pPr>
      <w:r w:rsidRPr="00CB5E59">
        <w:t xml:space="preserve">• For the 2023 GRC period, the </w:t>
      </w:r>
      <w:r w:rsidRPr="00CB5E59" w:rsidR="00962CDA">
        <w:t>Settlement</w:t>
      </w:r>
      <w:r w:rsidRPr="00CB5E59">
        <w:t xml:space="preserve"> establishes that no reimbursement of self-insurance funding or self-insurance costs will be tied to the outcomes of reasonableness reviews.</w:t>
      </w:r>
      <w:r w:rsidRPr="00CB5E59" w:rsidR="007A10D1">
        <w:rPr>
          <w:rStyle w:val="FootnoteReference"/>
        </w:rPr>
        <w:footnoteReference w:id="47"/>
      </w:r>
      <w:r w:rsidRPr="00CB5E59">
        <w:t xml:space="preserve"> </w:t>
      </w:r>
    </w:p>
    <w:p w:rsidRPr="00CB5E59" w:rsidR="006522FC" w:rsidP="00781B63" w:rsidRDefault="00E31BB2" w14:paraId="7EBCC8DD" w14:textId="5A92407E">
      <w:pPr>
        <w:pStyle w:val="Standard"/>
        <w:spacing w:after="120" w:line="240" w:lineRule="auto"/>
        <w:ind w:left="1080" w:right="1440" w:hanging="360"/>
      </w:pPr>
      <w:r w:rsidRPr="00CB5E59">
        <w:t xml:space="preserve">• The </w:t>
      </w:r>
      <w:r w:rsidRPr="00CB5E59" w:rsidR="00962CDA">
        <w:t>Settlement</w:t>
      </w:r>
      <w:r w:rsidRPr="00CB5E59">
        <w:t xml:space="preserve"> provides for an implementation and reporting process that relies on Tier</w:t>
      </w:r>
      <w:r w:rsidRPr="00CB5E59" w:rsidR="00781B63">
        <w:t> </w:t>
      </w:r>
      <w:r w:rsidRPr="00CB5E59">
        <w:t>2 Advice</w:t>
      </w:r>
      <w:r w:rsidRPr="00CB5E59" w:rsidR="00781B63">
        <w:t> </w:t>
      </w:r>
      <w:r w:rsidRPr="00CB5E59">
        <w:t>Letters for necessary revenue requirement adjustments under the agreement, as well as resolution of the overcollection or under</w:t>
      </w:r>
      <w:r w:rsidRPr="00CB5E59" w:rsidR="006522FC">
        <w:t xml:space="preserve"> </w:t>
      </w:r>
      <w:r w:rsidRPr="00CB5E59">
        <w:t>collection that may exist at the end of the 2023 GRC period.</w:t>
      </w:r>
      <w:r w:rsidRPr="00CB5E59" w:rsidR="007A10D1">
        <w:rPr>
          <w:rStyle w:val="FootnoteReference"/>
        </w:rPr>
        <w:footnoteReference w:id="48"/>
      </w:r>
    </w:p>
    <w:p w:rsidRPr="00CB5E59" w:rsidR="006522FC" w:rsidP="00781B63" w:rsidRDefault="00E31BB2" w14:paraId="6F57A295" w14:textId="2F57EEAD">
      <w:pPr>
        <w:pStyle w:val="Standard"/>
        <w:spacing w:after="120" w:line="240" w:lineRule="auto"/>
        <w:ind w:left="1080" w:right="1440" w:hanging="360"/>
      </w:pPr>
      <w:r w:rsidRPr="00CB5E59">
        <w:t xml:space="preserve">• The Risk Transfer Balancing Account (RTBA) shall be modified as necessary to support </w:t>
      </w:r>
      <w:r w:rsidR="00E426DB">
        <w:t xml:space="preserve">the </w:t>
      </w:r>
      <w:r w:rsidRPr="00CB5E59">
        <w:t xml:space="preserve">administration of the </w:t>
      </w:r>
      <w:r w:rsidRPr="00CB5E59" w:rsidR="00962CDA">
        <w:t>Settlement</w:t>
      </w:r>
      <w:r w:rsidRPr="00CB5E59">
        <w:t xml:space="preserve"> and, more broadly, the shift to reliance on 100</w:t>
      </w:r>
      <w:r w:rsidRPr="00CB5E59" w:rsidR="00781B63">
        <w:t> percent</w:t>
      </w:r>
      <w:r w:rsidRPr="00CB5E59">
        <w:t xml:space="preserve"> self-insurance for wildfire liability insurance during the 2023 GRC period.</w:t>
      </w:r>
      <w:r w:rsidRPr="00CB5E59" w:rsidR="007A10D1">
        <w:rPr>
          <w:rStyle w:val="FootnoteReference"/>
        </w:rPr>
        <w:footnoteReference w:id="49"/>
      </w:r>
    </w:p>
    <w:p w:rsidRPr="00CB5E59" w:rsidR="00AF691D" w:rsidP="00781B63" w:rsidRDefault="00E31BB2" w14:paraId="59CEBEC1" w14:textId="664AE623">
      <w:pPr>
        <w:pStyle w:val="Standard"/>
        <w:spacing w:after="120" w:line="240" w:lineRule="auto"/>
        <w:ind w:left="1080" w:right="1440" w:hanging="360"/>
      </w:pPr>
      <w:r w:rsidRPr="00CB5E59">
        <w:t xml:space="preserve">• The </w:t>
      </w:r>
      <w:r w:rsidRPr="00CB5E59" w:rsidR="00962CDA">
        <w:t>Settlement</w:t>
      </w:r>
      <w:r w:rsidRPr="00CB5E59">
        <w:t xml:space="preserve"> includes a provision that would become effective absent a final decision adopted no later than February</w:t>
      </w:r>
      <w:r w:rsidRPr="00CB5E59" w:rsidR="00781B63">
        <w:t> </w:t>
      </w:r>
      <w:r w:rsidRPr="00CB5E59">
        <w:t>1,</w:t>
      </w:r>
      <w:r w:rsidRPr="00CB5E59" w:rsidR="00781B63">
        <w:t> </w:t>
      </w:r>
      <w:r w:rsidRPr="00CB5E59">
        <w:t xml:space="preserve">2023, in recognition that despite the Settling Parties’ shared belief that self-insurance is the strongly preferred option under current circumstances, as of that date PG&amp;E may need to renew some or </w:t>
      </w:r>
      <w:proofErr w:type="gramStart"/>
      <w:r w:rsidRPr="00CB5E59">
        <w:t>all of</w:t>
      </w:r>
      <w:proofErr w:type="gramEnd"/>
      <w:r w:rsidRPr="00CB5E59">
        <w:t xml:space="preserve"> the commercial coverage that will be expiring on March</w:t>
      </w:r>
      <w:r w:rsidRPr="00CB5E59" w:rsidR="00781B63">
        <w:t> </w:t>
      </w:r>
      <w:r w:rsidRPr="00CB5E59">
        <w:t>31,</w:t>
      </w:r>
      <w:r w:rsidRPr="00CB5E59" w:rsidR="00781B63">
        <w:t> </w:t>
      </w:r>
      <w:r w:rsidRPr="00CB5E59">
        <w:t>2023.</w:t>
      </w:r>
      <w:r w:rsidRPr="00CB5E59" w:rsidR="007A10D1">
        <w:rPr>
          <w:rStyle w:val="FootnoteReference"/>
        </w:rPr>
        <w:footnoteReference w:id="50"/>
      </w:r>
    </w:p>
    <w:p w:rsidRPr="00CB5E59" w:rsidR="00BC1C3E" w:rsidP="65DAF6F8" w:rsidRDefault="00BC1C3E" w14:paraId="2A04FEAF" w14:textId="72BEFA8A">
      <w:pPr>
        <w:pStyle w:val="Heading1"/>
      </w:pPr>
      <w:bookmarkStart w:name="_Toc121488167" w:id="19"/>
      <w:r w:rsidRPr="00CB5E59">
        <w:lastRenderedPageBreak/>
        <w:t>Discussion</w:t>
      </w:r>
      <w:r w:rsidRPr="00CB5E59" w:rsidR="007441CA">
        <w:t xml:space="preserve"> of Settlement</w:t>
      </w:r>
      <w:bookmarkEnd w:id="19"/>
    </w:p>
    <w:bookmarkEnd w:id="17"/>
    <w:bookmarkEnd w:id="18"/>
    <w:p w:rsidRPr="00CB5E59" w:rsidR="00BC1C3E" w:rsidP="00804B88" w:rsidRDefault="002242E2" w14:paraId="7412D19B" w14:textId="1E0026D1">
      <w:pPr>
        <w:pStyle w:val="Standard"/>
      </w:pPr>
      <w:r w:rsidRPr="00CB5E59">
        <w:t xml:space="preserve">The Commission has long favored the settlement of disputes. </w:t>
      </w:r>
      <w:r w:rsidRPr="00CB5E59" w:rsidR="0092058B">
        <w:t>This policy</w:t>
      </w:r>
      <w:r w:rsidR="00804B88">
        <w:t xml:space="preserve"> </w:t>
      </w:r>
      <w:r w:rsidRPr="00CB5E59" w:rsidR="0092058B">
        <w:t>supports many worthwhile goals, including reducing litigation costs, conser</w:t>
      </w:r>
      <w:r w:rsidRPr="00CB5E59" w:rsidR="0045257D">
        <w:t>v</w:t>
      </w:r>
      <w:r w:rsidRPr="00CB5E59" w:rsidR="0092058B">
        <w:t>ing</w:t>
      </w:r>
      <w:r w:rsidRPr="00CB5E59" w:rsidR="00D058AD">
        <w:t xml:space="preserve"> </w:t>
      </w:r>
      <w:r w:rsidRPr="00CB5E59" w:rsidR="0092058B">
        <w:t>scarce resources, and allowing parties to reduce the risk that litigation will</w:t>
      </w:r>
      <w:r w:rsidRPr="00CB5E59" w:rsidR="00B84984">
        <w:t xml:space="preserve"> </w:t>
      </w:r>
      <w:r w:rsidRPr="00CB5E59" w:rsidR="0092058B">
        <w:t>produce unacceptable results.</w:t>
      </w:r>
      <w:r w:rsidRPr="00CB5E59" w:rsidR="005D6837">
        <w:rPr>
          <w:rStyle w:val="FootnoteReference"/>
        </w:rPr>
        <w:footnoteReference w:id="51"/>
      </w:r>
      <w:r w:rsidRPr="00CB5E59" w:rsidR="0045257D">
        <w:t xml:space="preserve"> </w:t>
      </w:r>
      <w:r w:rsidRPr="00CB5E59" w:rsidR="00B84984">
        <w:t>Although</w:t>
      </w:r>
      <w:r w:rsidR="00FF4935">
        <w:t xml:space="preserve"> the Commission</w:t>
      </w:r>
      <w:r w:rsidRPr="00CB5E59" w:rsidR="00B84984">
        <w:t xml:space="preserve"> favor</w:t>
      </w:r>
      <w:r w:rsidR="00FF4935">
        <w:t>s</w:t>
      </w:r>
      <w:r w:rsidRPr="00CB5E59" w:rsidR="00B84984">
        <w:t xml:space="preserve"> settlements,</w:t>
      </w:r>
      <w:r w:rsidR="00FF4935">
        <w:t xml:space="preserve"> it</w:t>
      </w:r>
      <w:r w:rsidRPr="00CB5E59" w:rsidR="00B84984">
        <w:t xml:space="preserve"> ha</w:t>
      </w:r>
      <w:r w:rsidR="00FF4935">
        <w:t>s</w:t>
      </w:r>
      <w:r w:rsidRPr="00CB5E59" w:rsidR="00B84984">
        <w:t xml:space="preserve"> specific rules regarding the submission, review, and approval of them.</w:t>
      </w:r>
      <w:r w:rsidRPr="00CB5E59" w:rsidR="0045257D">
        <w:t xml:space="preserve"> </w:t>
      </w:r>
      <w:r w:rsidRPr="00CB5E59" w:rsidR="007C54E6">
        <w:t>In evaluating whether to approve th</w:t>
      </w:r>
      <w:r w:rsidRPr="00CB5E59" w:rsidR="00E077A0">
        <w:t xml:space="preserve">is </w:t>
      </w:r>
      <w:r w:rsidRPr="00CB5E59" w:rsidR="00CF3009">
        <w:t>Settlement</w:t>
      </w:r>
      <w:r w:rsidRPr="00CB5E59" w:rsidR="007C54E6">
        <w:t xml:space="preserve">, </w:t>
      </w:r>
      <w:r w:rsidR="00FF4935">
        <w:t xml:space="preserve">the Commission is </w:t>
      </w:r>
      <w:r w:rsidRPr="00CB5E59" w:rsidR="007C54E6">
        <w:t xml:space="preserve">guided not only by </w:t>
      </w:r>
      <w:r w:rsidR="00FF4935">
        <w:t>its</w:t>
      </w:r>
      <w:r w:rsidRPr="00CB5E59" w:rsidR="007C54E6">
        <w:t xml:space="preserve"> precedents on settlements, but also by the overall “just and reasonable”</w:t>
      </w:r>
      <w:r w:rsidRPr="00CB5E59" w:rsidR="00D058AD">
        <w:rPr>
          <w:rFonts w:ascii="BookAntiqua" w:hAnsi="BookAntiqua" w:cs="BookAntiqua"/>
        </w:rPr>
        <w:t xml:space="preserve"> </w:t>
      </w:r>
      <w:r w:rsidRPr="00CB5E59" w:rsidR="00D058AD">
        <w:t>standard of the Public</w:t>
      </w:r>
      <w:r w:rsidRPr="00CB5E59" w:rsidR="00781B63">
        <w:t> </w:t>
      </w:r>
      <w:r w:rsidRPr="00CB5E59" w:rsidR="00D058AD">
        <w:t>Utilities Code.</w:t>
      </w:r>
      <w:r w:rsidRPr="00CB5E59" w:rsidR="00B22E53">
        <w:rPr>
          <w:rStyle w:val="FootnoteReference"/>
        </w:rPr>
        <w:footnoteReference w:id="52"/>
      </w:r>
      <w:r w:rsidRPr="00CB5E59" w:rsidR="00D058AD">
        <w:t xml:space="preserve"> As noted in Rule</w:t>
      </w:r>
      <w:r w:rsidRPr="00CB5E59" w:rsidR="00781B63">
        <w:t> </w:t>
      </w:r>
      <w:r w:rsidRPr="00CB5E59" w:rsidR="00D058AD">
        <w:t>12.1(d), the Commission will not approve</w:t>
      </w:r>
      <w:r w:rsidRPr="00CB5E59" w:rsidR="00460D2E">
        <w:t xml:space="preserve"> </w:t>
      </w:r>
      <w:r w:rsidRPr="00CB5E59" w:rsidR="00D058AD">
        <w:t>a settlement “unless the settlement is reasonable in light of the whole record, is</w:t>
      </w:r>
      <w:r w:rsidRPr="00CB5E59" w:rsidR="00460D2E">
        <w:t xml:space="preserve"> </w:t>
      </w:r>
      <w:r w:rsidRPr="00CB5E59" w:rsidR="00D058AD">
        <w:t>consistent with law, and in the public interest.” Rule 12.1(</w:t>
      </w:r>
      <w:r w:rsidRPr="00CB5E59" w:rsidR="003154E5">
        <w:t xml:space="preserve">d) </w:t>
      </w:r>
      <w:r w:rsidRPr="00CB5E59" w:rsidR="00D058AD">
        <w:t>provides</w:t>
      </w:r>
      <w:r w:rsidRPr="00CB5E59" w:rsidR="003A1CBA">
        <w:t xml:space="preserve"> </w:t>
      </w:r>
      <w:r w:rsidRPr="00CB5E59" w:rsidR="00D058AD">
        <w:t xml:space="preserve">that settlements need not be joined by all parties. The </w:t>
      </w:r>
      <w:r w:rsidRPr="00CB5E59" w:rsidR="00CF3009">
        <w:t>Settlement</w:t>
      </w:r>
      <w:r w:rsidRPr="00CB5E59" w:rsidR="00D058AD">
        <w:t xml:space="preserve"> before </w:t>
      </w:r>
      <w:r w:rsidRPr="00CB5E59" w:rsidR="00EB3E98">
        <w:t>the Commission</w:t>
      </w:r>
      <w:r w:rsidRPr="00CB5E59" w:rsidR="00D058AD">
        <w:t xml:space="preserve"> is not</w:t>
      </w:r>
      <w:r w:rsidRPr="00CB5E59" w:rsidR="00D0203E">
        <w:t xml:space="preserve"> </w:t>
      </w:r>
      <w:r w:rsidRPr="00CB5E59" w:rsidR="0D133226">
        <w:t xml:space="preserve">an </w:t>
      </w:r>
      <w:r w:rsidRPr="00CB5E59" w:rsidR="00D058AD">
        <w:t>all-party settlement.</w:t>
      </w:r>
      <w:r w:rsidRPr="00CB5E59" w:rsidR="00EB3E98">
        <w:t xml:space="preserve"> However, the </w:t>
      </w:r>
      <w:r w:rsidRPr="00CB5E59" w:rsidR="00CF3009">
        <w:t>Settlement</w:t>
      </w:r>
      <w:r w:rsidRPr="00CB5E59" w:rsidR="00EB3E98">
        <w:t xml:space="preserve"> is not contested. </w:t>
      </w:r>
      <w:r w:rsidRPr="00CB5E59" w:rsidR="00DA1B0D">
        <w:t xml:space="preserve">As discussed below, </w:t>
      </w:r>
      <w:r w:rsidR="004A0379">
        <w:t>the Commission</w:t>
      </w:r>
      <w:r w:rsidRPr="00CB5E59" w:rsidR="00DA1B0D">
        <w:t xml:space="preserve"> find</w:t>
      </w:r>
      <w:r w:rsidR="004A0379">
        <w:t>s</w:t>
      </w:r>
      <w:r w:rsidRPr="00CB5E59" w:rsidR="00DA1B0D">
        <w:t xml:space="preserve"> </w:t>
      </w:r>
      <w:r w:rsidR="004A0379">
        <w:t xml:space="preserve">that </w:t>
      </w:r>
      <w:r w:rsidRPr="00CB5E59" w:rsidR="00DA1B0D">
        <w:t>the October</w:t>
      </w:r>
      <w:r w:rsidR="004E43CF">
        <w:t> </w:t>
      </w:r>
      <w:r w:rsidRPr="00CB5E59" w:rsidR="00DA1B0D">
        <w:t>7,</w:t>
      </w:r>
      <w:r w:rsidR="004E43CF">
        <w:t> </w:t>
      </w:r>
      <w:proofErr w:type="gramStart"/>
      <w:r w:rsidRPr="00CB5E59" w:rsidR="00DA1B0D">
        <w:t>2022</w:t>
      </w:r>
      <w:proofErr w:type="gramEnd"/>
      <w:r w:rsidRPr="00CB5E59" w:rsidR="00DA1B0D">
        <w:t xml:space="preserve"> </w:t>
      </w:r>
      <w:r w:rsidRPr="00CB5E59" w:rsidR="00CF3009">
        <w:t>Settlement</w:t>
      </w:r>
      <w:r w:rsidRPr="00CB5E59" w:rsidR="00DA1B0D">
        <w:t xml:space="preserve"> meets</w:t>
      </w:r>
      <w:r w:rsidRPr="00CB5E59" w:rsidDel="00DA1B0D" w:rsidR="00C732B9">
        <w:t xml:space="preserve"> </w:t>
      </w:r>
      <w:r w:rsidRPr="00CB5E59" w:rsidR="00C732B9">
        <w:t>the</w:t>
      </w:r>
      <w:r w:rsidRPr="00CB5E59" w:rsidR="000B0F67">
        <w:t xml:space="preserve"> </w:t>
      </w:r>
      <w:r w:rsidRPr="00CB5E59" w:rsidR="00C732B9">
        <w:t>criteria set forth in Rule</w:t>
      </w:r>
      <w:r w:rsidRPr="00CB5E59" w:rsidR="00781B63">
        <w:t> </w:t>
      </w:r>
      <w:r w:rsidRPr="00CB5E59" w:rsidR="00C732B9">
        <w:t>12.1(d) of the Commission’s Rules of Practice and Procedure.</w:t>
      </w:r>
      <w:bookmarkStart w:name="_Hlk117685745" w:id="20"/>
    </w:p>
    <w:p w:rsidRPr="00CB5E59" w:rsidR="00BC1C3E" w:rsidP="65DAF6F8" w:rsidRDefault="00BC1C3E" w14:paraId="7F3511E9" w14:textId="755A2C76">
      <w:pPr>
        <w:pStyle w:val="Heading2"/>
      </w:pPr>
      <w:bookmarkStart w:name="_Toc121488168" w:id="21"/>
      <w:r w:rsidRPr="00CB5E59">
        <w:t>Reasonable</w:t>
      </w:r>
      <w:r w:rsidRPr="00CB5E59" w:rsidR="00302174">
        <w:t>ness</w:t>
      </w:r>
      <w:r w:rsidRPr="00CB5E59">
        <w:t xml:space="preserve"> </w:t>
      </w:r>
      <w:proofErr w:type="gramStart"/>
      <w:r w:rsidRPr="00CB5E59">
        <w:t>in Light of</w:t>
      </w:r>
      <w:proofErr w:type="gramEnd"/>
      <w:r w:rsidRPr="00CB5E59">
        <w:t xml:space="preserve"> the Record</w:t>
      </w:r>
      <w:bookmarkEnd w:id="21"/>
    </w:p>
    <w:p w:rsidRPr="00CB5E59" w:rsidR="002B3FBE" w:rsidP="003F4B5B" w:rsidRDefault="4AE9A187" w14:paraId="7BFFED9F" w14:textId="392BFD33">
      <w:pPr>
        <w:pStyle w:val="Standard"/>
      </w:pPr>
      <w:r w:rsidRPr="00CB5E59">
        <w:t>First, Rule</w:t>
      </w:r>
      <w:r w:rsidRPr="00CB5E59" w:rsidR="00781B63">
        <w:t> </w:t>
      </w:r>
      <w:r w:rsidRPr="00CB5E59">
        <w:t xml:space="preserve">12.1(d) requires the </w:t>
      </w:r>
      <w:r w:rsidRPr="00CB5E59" w:rsidR="00962CDA">
        <w:t>Settlement</w:t>
      </w:r>
      <w:r w:rsidRPr="00CB5E59">
        <w:t xml:space="preserve"> to be r</w:t>
      </w:r>
      <w:r w:rsidRPr="00CB5E59" w:rsidR="33CADC25">
        <w:t xml:space="preserve">easonable </w:t>
      </w:r>
      <w:proofErr w:type="gramStart"/>
      <w:r w:rsidRPr="00CB5E59" w:rsidR="05171CFD">
        <w:t>in light of</w:t>
      </w:r>
      <w:proofErr w:type="gramEnd"/>
      <w:r w:rsidRPr="00CB5E59" w:rsidR="05171CFD">
        <w:t xml:space="preserve"> the whole record</w:t>
      </w:r>
      <w:r w:rsidRPr="00CB5E59">
        <w:t>.</w:t>
      </w:r>
      <w:r w:rsidRPr="00CB5E59" w:rsidR="05171CFD">
        <w:t xml:space="preserve"> </w:t>
      </w:r>
      <w:r w:rsidRPr="00CB5E59" w:rsidR="6E042CCB">
        <w:t>The record in this proceeding</w:t>
      </w:r>
      <w:r w:rsidRPr="00CB5E59" w:rsidR="076263FB">
        <w:t>, pertaining to wildfire liability insurance, is provided in</w:t>
      </w:r>
      <w:r w:rsidRPr="00CB5E59" w:rsidR="6E042CCB">
        <w:t xml:space="preserve"> the exhibits and testimony </w:t>
      </w:r>
      <w:r w:rsidRPr="00CB5E59" w:rsidR="7B4B4DEC">
        <w:t>submitted</w:t>
      </w:r>
      <w:r w:rsidRPr="00CB5E59" w:rsidR="6E042CCB">
        <w:t xml:space="preserve"> with PG&amp;E’s application, </w:t>
      </w:r>
      <w:r w:rsidRPr="00CB5E59" w:rsidR="007A10D1">
        <w:t xml:space="preserve">PG&amp;E’s </w:t>
      </w:r>
      <w:r w:rsidRPr="00CB5E59" w:rsidR="6E042CCB">
        <w:t xml:space="preserve">amended application, update testimony, Cal Advocates and TURN’s intervenor testimony, PG&amp;E’s rebuttal testimony, </w:t>
      </w:r>
      <w:r w:rsidRPr="00CB5E59" w:rsidR="411C5CAF">
        <w:t>the declaration of Stephen</w:t>
      </w:r>
      <w:r w:rsidRPr="00CB5E59" w:rsidR="00781B63">
        <w:t> </w:t>
      </w:r>
      <w:r w:rsidRPr="00CB5E59" w:rsidR="411C5CAF">
        <w:t>J.</w:t>
      </w:r>
      <w:r w:rsidRPr="00CB5E59" w:rsidR="00781B63">
        <w:t> </w:t>
      </w:r>
      <w:r w:rsidRPr="00CB5E59" w:rsidR="411C5CAF">
        <w:t xml:space="preserve">Cairns </w:t>
      </w:r>
      <w:r w:rsidRPr="00CB5E59" w:rsidR="7B4B4DEC">
        <w:t>submitted</w:t>
      </w:r>
      <w:r w:rsidRPr="00CB5E59" w:rsidR="411C5CAF">
        <w:t xml:space="preserve"> with the October</w:t>
      </w:r>
      <w:r w:rsidRPr="00CB5E59" w:rsidR="00781B63">
        <w:t> </w:t>
      </w:r>
      <w:r w:rsidRPr="00CB5E59" w:rsidR="411C5CAF">
        <w:t>7,</w:t>
      </w:r>
      <w:r w:rsidRPr="00CB5E59" w:rsidR="00781B63">
        <w:t> </w:t>
      </w:r>
      <w:proofErr w:type="gramStart"/>
      <w:r w:rsidRPr="00CB5E59" w:rsidR="411C5CAF">
        <w:t>2022</w:t>
      </w:r>
      <w:proofErr w:type="gramEnd"/>
      <w:r w:rsidRPr="00CB5E59" w:rsidR="411C5CAF">
        <w:t xml:space="preserve"> motion, </w:t>
      </w:r>
      <w:r w:rsidRPr="00CB5E59" w:rsidR="6E042CCB">
        <w:t>and the documents for which official notice has been taken.</w:t>
      </w:r>
      <w:r w:rsidRPr="00CB5E59" w:rsidR="32EAFE1D">
        <w:t xml:space="preserve"> </w:t>
      </w:r>
    </w:p>
    <w:p w:rsidRPr="00CB5E59" w:rsidR="001113BA" w:rsidP="72C23D9D" w:rsidRDefault="66BFC4B0" w14:paraId="000F49C7" w14:textId="0FBD2853">
      <w:pPr>
        <w:pStyle w:val="Standard"/>
      </w:pPr>
      <w:r w:rsidRPr="00CB5E59">
        <w:lastRenderedPageBreak/>
        <w:t>In D.</w:t>
      </w:r>
      <w:r w:rsidRPr="00CB5E59" w:rsidR="7DE2272C">
        <w:t>20-12-005</w:t>
      </w:r>
      <w:r w:rsidRPr="00CB5E59">
        <w:t xml:space="preserve">, the Commission authorized PG&amp;E to use self-insurance </w:t>
      </w:r>
      <w:r w:rsidRPr="00CB5E59" w:rsidR="5CD7E6E4">
        <w:t xml:space="preserve">if the availability of </w:t>
      </w:r>
      <w:proofErr w:type="gramStart"/>
      <w:r w:rsidRPr="00CB5E59" w:rsidR="633E7D48">
        <w:t>competitively-priced</w:t>
      </w:r>
      <w:proofErr w:type="gramEnd"/>
      <w:r w:rsidRPr="00CB5E59" w:rsidR="633E7D48">
        <w:t xml:space="preserve"> </w:t>
      </w:r>
      <w:r w:rsidRPr="00CB5E59" w:rsidR="6F8EA51C">
        <w:t xml:space="preserve">commercial insurance </w:t>
      </w:r>
      <w:r w:rsidRPr="00CB5E59" w:rsidR="633E7D48">
        <w:t>is limited</w:t>
      </w:r>
      <w:r w:rsidRPr="00CB5E59">
        <w:t>.</w:t>
      </w:r>
      <w:r w:rsidRPr="00CB5E59">
        <w:rPr>
          <w:rStyle w:val="FootnoteReference"/>
        </w:rPr>
        <w:footnoteReference w:id="53"/>
      </w:r>
      <w:r w:rsidRPr="00CB5E59">
        <w:t xml:space="preserve"> </w:t>
      </w:r>
      <w:r w:rsidRPr="00CB5E59" w:rsidR="00EE03AE">
        <w:t>In D.20-12-005, the Commission made no determination on whether commercial insurance that cost more tha</w:t>
      </w:r>
      <w:r w:rsidR="00E426DB">
        <w:t>n</w:t>
      </w:r>
      <w:r w:rsidRPr="00CB5E59" w:rsidR="00EE03AE">
        <w:t xml:space="preserve"> 50</w:t>
      </w:r>
      <w:r w:rsidRPr="00CB5E59" w:rsidR="00781B63">
        <w:t> </w:t>
      </w:r>
      <w:r w:rsidRPr="00CB5E59" w:rsidR="00EE03AE">
        <w:t>percent was reasonable.</w:t>
      </w:r>
      <w:r w:rsidR="00C94F98">
        <w:t xml:space="preserve"> </w:t>
      </w:r>
      <w:r w:rsidR="00867689">
        <w:t>A</w:t>
      </w:r>
      <w:r w:rsidR="00C94F98">
        <w:t>ccording to PG&amp;E’s guiding principles, procuring insurance that cost over 50</w:t>
      </w:r>
      <w:r w:rsidR="004009D9">
        <w:t> </w:t>
      </w:r>
      <w:r w:rsidR="00C94F98">
        <w:t>percent of the coverage amount would not</w:t>
      </w:r>
      <w:r w:rsidR="00867689">
        <w:t xml:space="preserve"> have </w:t>
      </w:r>
      <w:r w:rsidR="00C94F98">
        <w:t>be</w:t>
      </w:r>
      <w:r w:rsidR="00867689">
        <w:t>en</w:t>
      </w:r>
      <w:r w:rsidR="00C94F98">
        <w:t xml:space="preserve"> reasonable</w:t>
      </w:r>
      <w:r w:rsidR="00867689">
        <w:t xml:space="preserve"> for the 2019 renewal given the market conditions that existed at that time</w:t>
      </w:r>
      <w:r w:rsidR="00C94F98">
        <w:t>.</w:t>
      </w:r>
      <w:r w:rsidR="00C94F98">
        <w:rPr>
          <w:rStyle w:val="FootnoteReference"/>
        </w:rPr>
        <w:footnoteReference w:id="54"/>
      </w:r>
      <w:r w:rsidRPr="00CB5E59" w:rsidR="00EE03AE">
        <w:t xml:space="preserve"> </w:t>
      </w:r>
      <w:r w:rsidRPr="00CB5E59" w:rsidR="7DE2272C">
        <w:t>Now that the cost of co</w:t>
      </w:r>
      <w:r w:rsidRPr="00CB5E59">
        <w:t xml:space="preserve">mmercial insurance </w:t>
      </w:r>
      <w:r w:rsidRPr="00CB5E59" w:rsidR="05B3231B">
        <w:t>is</w:t>
      </w:r>
      <w:r w:rsidRPr="00CB5E59" w:rsidR="7DE2272C">
        <w:t xml:space="preserve"> up to 80</w:t>
      </w:r>
      <w:r w:rsidRPr="00CB5E59" w:rsidR="00781B63">
        <w:t> </w:t>
      </w:r>
      <w:r w:rsidRPr="00CB5E59">
        <w:t>percent of the coverage</w:t>
      </w:r>
      <w:r w:rsidRPr="00CB5E59" w:rsidR="779FBD45">
        <w:t xml:space="preserve"> it would provide</w:t>
      </w:r>
      <w:r w:rsidRPr="00CB5E59">
        <w:t xml:space="preserve">, the Commission finds the </w:t>
      </w:r>
      <w:r w:rsidRPr="00CB5E59" w:rsidR="00962CDA">
        <w:t>Settlement</w:t>
      </w:r>
      <w:r w:rsidRPr="00CB5E59" w:rsidR="00CF3009">
        <w:t xml:space="preserve"> </w:t>
      </w:r>
      <w:r w:rsidRPr="00CB5E59" w:rsidR="7B4B4DEC">
        <w:t>recommending</w:t>
      </w:r>
      <w:r w:rsidRPr="00CB5E59">
        <w:t xml:space="preserve"> PG&amp;E</w:t>
      </w:r>
      <w:r w:rsidRPr="00CB5E59" w:rsidR="7DE2272C">
        <w:t xml:space="preserve"> to use self-insurance for </w:t>
      </w:r>
      <w:r w:rsidRPr="00CB5E59">
        <w:t xml:space="preserve">wildfire claims to be </w:t>
      </w:r>
      <w:r w:rsidRPr="00CB5E59" w:rsidR="29B35488">
        <w:t xml:space="preserve">a </w:t>
      </w:r>
      <w:r w:rsidRPr="00CB5E59">
        <w:t>reasonable</w:t>
      </w:r>
      <w:r w:rsidRPr="00CB5E59" w:rsidR="4C0738BC">
        <w:t xml:space="preserve"> alternative</w:t>
      </w:r>
      <w:r w:rsidR="00C94F98">
        <w:t>.</w:t>
      </w:r>
      <w:r w:rsidR="00C94F98">
        <w:rPr>
          <w:rStyle w:val="CommentReference"/>
        </w:rPr>
        <w:t xml:space="preserve"> </w:t>
      </w:r>
    </w:p>
    <w:p w:rsidRPr="00CB5E59" w:rsidR="4CC04074" w:rsidP="72C23D9D" w:rsidRDefault="4CC04074" w14:paraId="44E4825D" w14:textId="2E7BC532">
      <w:pPr>
        <w:pStyle w:val="Standard"/>
      </w:pPr>
      <w:r w:rsidRPr="00CB5E59">
        <w:t xml:space="preserve">Self-insurance for </w:t>
      </w:r>
      <w:r w:rsidRPr="00CB5E59" w:rsidR="0AE823E2">
        <w:t xml:space="preserve">PG&amp;E’s </w:t>
      </w:r>
      <w:r w:rsidRPr="00CB5E59">
        <w:t>wildfire claims is a reasonable alternative to commercial insurance</w:t>
      </w:r>
      <w:r w:rsidRPr="00CB5E59" w:rsidR="70A12CDE">
        <w:t>, in part,</w:t>
      </w:r>
      <w:r w:rsidRPr="00CB5E59">
        <w:t xml:space="preserve"> because the </w:t>
      </w:r>
      <w:r w:rsidRPr="00CB5E59" w:rsidR="00F22919">
        <w:t xml:space="preserve">need for </w:t>
      </w:r>
      <w:r w:rsidRPr="00CB5E59" w:rsidR="6CF0CC17">
        <w:t xml:space="preserve">wildfire liability insurance is </w:t>
      </w:r>
      <w:r w:rsidRPr="00CB5E59" w:rsidR="00F22919">
        <w:t xml:space="preserve">reduced </w:t>
      </w:r>
      <w:r w:rsidRPr="00CB5E59" w:rsidR="6CF0CC17">
        <w:t xml:space="preserve">by the coverage provided by the Wildfire Fund. This fund </w:t>
      </w:r>
      <w:r w:rsidRPr="00CB5E59" w:rsidR="00EE03AE">
        <w:t>is designed to</w:t>
      </w:r>
      <w:r w:rsidRPr="00CB5E59" w:rsidR="6CF0CC17">
        <w:t xml:space="preserve"> </w:t>
      </w:r>
      <w:r w:rsidRPr="00CB5E59" w:rsidR="14892205">
        <w:t>limit</w:t>
      </w:r>
      <w:r w:rsidRPr="00CB5E59" w:rsidR="3568C89A">
        <w:t xml:space="preserve"> PG&amp;E’s </w:t>
      </w:r>
      <w:r w:rsidRPr="00CB5E59" w:rsidR="14892205">
        <w:t xml:space="preserve">annual </w:t>
      </w:r>
      <w:r w:rsidRPr="00CB5E59" w:rsidR="768F5A50">
        <w:t xml:space="preserve">wildfire </w:t>
      </w:r>
      <w:r w:rsidRPr="00CB5E59" w:rsidR="14892205">
        <w:t xml:space="preserve">liability to </w:t>
      </w:r>
      <w:r w:rsidRPr="00CB5E59" w:rsidR="3ABDF6E7">
        <w:t xml:space="preserve">the annual Wildfire Fund </w:t>
      </w:r>
      <w:r w:rsidRPr="00CB5E59" w:rsidR="00EE03AE">
        <w:t>“</w:t>
      </w:r>
      <w:r w:rsidRPr="00CB5E59" w:rsidR="3ABDF6E7">
        <w:t>deductible</w:t>
      </w:r>
      <w:r w:rsidRPr="00CB5E59" w:rsidR="00EE03AE">
        <w:t>”</w:t>
      </w:r>
      <w:r w:rsidRPr="00CB5E59" w:rsidR="3ABDF6E7">
        <w:t xml:space="preserve"> of $1</w:t>
      </w:r>
      <w:r w:rsidRPr="00CB5E59" w:rsidR="00781B63">
        <w:t> </w:t>
      </w:r>
      <w:r w:rsidRPr="00CB5E59" w:rsidR="3ABDF6E7">
        <w:t xml:space="preserve">billion. </w:t>
      </w:r>
    </w:p>
    <w:p w:rsidRPr="00CB5E59" w:rsidR="001B5251" w:rsidP="72C23D9D" w:rsidRDefault="00A5704E" w14:paraId="2C99359C" w14:textId="6C0E965E">
      <w:pPr>
        <w:pStyle w:val="Standard"/>
      </w:pPr>
      <w:r w:rsidRPr="00CB5E59">
        <w:t>O</w:t>
      </w:r>
      <w:r w:rsidRPr="00CB5E59" w:rsidR="00EE03AE">
        <w:t>ther</w:t>
      </w:r>
      <w:r w:rsidRPr="00CB5E59" w:rsidR="00F22919">
        <w:t xml:space="preserve"> consider</w:t>
      </w:r>
      <w:r w:rsidRPr="00CB5E59" w:rsidR="00EE03AE">
        <w:t>ation</w:t>
      </w:r>
      <w:r w:rsidRPr="00CB5E59" w:rsidR="54036E7E">
        <w:t>s are</w:t>
      </w:r>
      <w:r w:rsidRPr="00CB5E59" w:rsidR="001B5251">
        <w:t xml:space="preserve"> PG&amp;E’s recent history of third-party wildfire claims, the amounts paid for those claims, </w:t>
      </w:r>
      <w:r w:rsidR="004A0379">
        <w:t xml:space="preserve">the time it takes to pay </w:t>
      </w:r>
      <w:r w:rsidR="008B3F0D">
        <w:t>claims</w:t>
      </w:r>
      <w:r w:rsidR="004A0379">
        <w:t xml:space="preserve">, </w:t>
      </w:r>
      <w:r w:rsidRPr="00CB5E59" w:rsidR="001B5251">
        <w:t xml:space="preserve">and the cost of insuring possible claims </w:t>
      </w:r>
      <w:r w:rsidRPr="00CB5E59" w:rsidR="00F22919">
        <w:t>below $1</w:t>
      </w:r>
      <w:r w:rsidRPr="00CB5E59" w:rsidR="00781B63">
        <w:t> </w:t>
      </w:r>
      <w:r w:rsidRPr="00CB5E59" w:rsidR="00F22919">
        <w:t xml:space="preserve">billion </w:t>
      </w:r>
      <w:r w:rsidRPr="00CB5E59" w:rsidR="001B5251">
        <w:t xml:space="preserve">in </w:t>
      </w:r>
      <w:r w:rsidRPr="00CB5E59" w:rsidR="00F22919">
        <w:t xml:space="preserve">each of </w:t>
      </w:r>
      <w:r w:rsidRPr="00CB5E59" w:rsidR="001B5251">
        <w:t xml:space="preserve">the next four years. </w:t>
      </w:r>
      <w:proofErr w:type="gramStart"/>
      <w:r w:rsidRPr="00CB5E59" w:rsidR="001B5251">
        <w:t>In light of</w:t>
      </w:r>
      <w:proofErr w:type="gramEnd"/>
      <w:r w:rsidRPr="00CB5E59" w:rsidR="001B5251">
        <w:t xml:space="preserve"> </w:t>
      </w:r>
      <w:r w:rsidRPr="00CB5E59" w:rsidR="00460631">
        <w:t xml:space="preserve">PG&amp;E’s </w:t>
      </w:r>
      <w:r w:rsidRPr="00CB5E59" w:rsidR="00EE03AE">
        <w:t>recent claims</w:t>
      </w:r>
      <w:r w:rsidRPr="00CB5E59" w:rsidR="001B5251">
        <w:t xml:space="preserve">, the </w:t>
      </w:r>
      <w:r w:rsidRPr="00CB5E59" w:rsidR="00962CDA">
        <w:t>Settlement</w:t>
      </w:r>
      <w:r w:rsidRPr="00CB5E59" w:rsidR="001B5251">
        <w:t xml:space="preserve"> </w:t>
      </w:r>
      <w:r w:rsidRPr="00CB5E59" w:rsidR="00460631">
        <w:t xml:space="preserve">provides a reasonable mechanism for funding and </w:t>
      </w:r>
      <w:r w:rsidRPr="00CB5E59" w:rsidR="001B5251">
        <w:t xml:space="preserve">paying possible </w:t>
      </w:r>
      <w:r w:rsidRPr="00CB5E59" w:rsidR="00460631">
        <w:t xml:space="preserve">third-party wildfire damage </w:t>
      </w:r>
      <w:r w:rsidRPr="00CB5E59" w:rsidR="001B5251">
        <w:t xml:space="preserve">claims. </w:t>
      </w:r>
      <w:r w:rsidRPr="00CB5E59" w:rsidR="00EE03AE">
        <w:t xml:space="preserve">While the Commission is unable </w:t>
      </w:r>
      <w:r w:rsidRPr="00CB5E59" w:rsidR="7B4B4DEC">
        <w:t>to</w:t>
      </w:r>
      <w:r w:rsidRPr="00CB5E59" w:rsidR="59752E4E">
        <w:t xml:space="preserve"> </w:t>
      </w:r>
      <w:r w:rsidRPr="00CB5E59" w:rsidR="001B5251">
        <w:t xml:space="preserve">predict </w:t>
      </w:r>
      <w:r w:rsidRPr="00CB5E59" w:rsidR="00EE03AE">
        <w:t xml:space="preserve">the amount </w:t>
      </w:r>
      <w:r w:rsidRPr="00CB5E59" w:rsidR="7B4B4DEC">
        <w:t>of</w:t>
      </w:r>
      <w:r w:rsidRPr="00CB5E59" w:rsidR="59752E4E">
        <w:t xml:space="preserve"> </w:t>
      </w:r>
      <w:r w:rsidRPr="00CB5E59" w:rsidR="001B5251">
        <w:t xml:space="preserve">such claims in the next four years, if the payable claims </w:t>
      </w:r>
      <w:r w:rsidRPr="00CB5E59" w:rsidR="00F22919">
        <w:t>are</w:t>
      </w:r>
      <w:r w:rsidRPr="00CB5E59" w:rsidR="001B5251">
        <w:t xml:space="preserve"> </w:t>
      </w:r>
      <w:proofErr w:type="gramStart"/>
      <w:r w:rsidRPr="00CB5E59" w:rsidR="001B5251">
        <w:t>similar to</w:t>
      </w:r>
      <w:proofErr w:type="gramEnd"/>
      <w:r w:rsidRPr="00CB5E59" w:rsidR="001B5251">
        <w:t xml:space="preserve"> the claims paid in the last three to five </w:t>
      </w:r>
      <w:r w:rsidRPr="00CB5E59" w:rsidR="001B5251">
        <w:lastRenderedPageBreak/>
        <w:t xml:space="preserve">years, the cost of </w:t>
      </w:r>
      <w:r w:rsidRPr="00CB5E59" w:rsidR="00EE03AE">
        <w:t xml:space="preserve">PG&amp;E establishing </w:t>
      </w:r>
      <w:r w:rsidRPr="00CB5E59" w:rsidR="001B5251">
        <w:t xml:space="preserve">wildfire liability self-insurance will </w:t>
      </w:r>
      <w:r w:rsidRPr="00CB5E59" w:rsidR="00460631">
        <w:t>probably</w:t>
      </w:r>
      <w:r w:rsidRPr="00CB5E59" w:rsidR="00FB17E6">
        <w:t xml:space="preserve"> </w:t>
      </w:r>
      <w:r w:rsidRPr="00CB5E59" w:rsidR="001B5251">
        <w:t>be less than the cost of paying such claims using commercial insurance.</w:t>
      </w:r>
    </w:p>
    <w:p w:rsidRPr="00CB5E59" w:rsidR="0F7F36C0" w:rsidP="72C23D9D" w:rsidRDefault="00EE03AE" w14:paraId="131B6A8F" w14:textId="3A81662B">
      <w:pPr>
        <w:pStyle w:val="Standard"/>
      </w:pPr>
      <w:r w:rsidRPr="00CB5E59">
        <w:t xml:space="preserve">In addition, </w:t>
      </w:r>
      <w:r w:rsidRPr="00CB5E59" w:rsidR="7B4B4DEC">
        <w:t>t</w:t>
      </w:r>
      <w:r w:rsidRPr="00CB5E59" w:rsidR="4F1C86F3">
        <w:t xml:space="preserve">he </w:t>
      </w:r>
      <w:r w:rsidRPr="00CB5E59" w:rsidR="0F7F36C0">
        <w:t xml:space="preserve">parties </w:t>
      </w:r>
      <w:r w:rsidRPr="00CB5E59" w:rsidR="7B4B4DEC">
        <w:t>suggest</w:t>
      </w:r>
      <w:r w:rsidRPr="00CB5E59" w:rsidR="0F7F36C0">
        <w:t xml:space="preserve"> that the risk that ratepayers will pay more </w:t>
      </w:r>
      <w:r w:rsidRPr="00CB5E59" w:rsidR="165495CE">
        <w:t xml:space="preserve">for self-insurance than for commercial insurance in any year is low for several reasons. First, </w:t>
      </w:r>
      <w:r w:rsidRPr="00CB5E59" w:rsidR="00A6577E">
        <w:t xml:space="preserve">the parties assert that </w:t>
      </w:r>
      <w:r w:rsidRPr="00CB5E59" w:rsidR="0F7F36C0">
        <w:t xml:space="preserve">wildfire liability claims incurred during the 2023-26 period are on average </w:t>
      </w:r>
      <w:r w:rsidRPr="00CB5E59" w:rsidR="38BE554A">
        <w:t xml:space="preserve">likely to be </w:t>
      </w:r>
      <w:r w:rsidRPr="00CB5E59" w:rsidR="0F7F36C0">
        <w:t xml:space="preserve">below the cost of equivalent </w:t>
      </w:r>
      <w:r w:rsidRPr="00CB5E59" w:rsidR="71FDD7FD">
        <w:t>commercial insurance</w:t>
      </w:r>
      <w:r w:rsidRPr="00CB5E59" w:rsidR="48E6F587">
        <w:t xml:space="preserve">, which has been </w:t>
      </w:r>
      <w:r w:rsidRPr="00CB5E59" w:rsidR="0F7F36C0">
        <w:t>approximately $750</w:t>
      </w:r>
      <w:r w:rsidRPr="00CB5E59" w:rsidR="00781B63">
        <w:t> </w:t>
      </w:r>
      <w:r w:rsidRPr="00CB5E59" w:rsidR="0F7F36C0">
        <w:t>million for $1</w:t>
      </w:r>
      <w:r w:rsidRPr="00CB5E59" w:rsidR="00781B63">
        <w:t> </w:t>
      </w:r>
      <w:r w:rsidRPr="00CB5E59" w:rsidR="0F7F36C0">
        <w:t>billion of coverage in recent years</w:t>
      </w:r>
      <w:r w:rsidRPr="00CB5E59" w:rsidR="6EC3703E">
        <w:t xml:space="preserve">. </w:t>
      </w:r>
      <w:r w:rsidRPr="00CB5E59" w:rsidR="00A6577E">
        <w:t>The parties assert that t</w:t>
      </w:r>
      <w:r w:rsidRPr="00CB5E59" w:rsidR="6EC3703E">
        <w:t xml:space="preserve">his is a reasonably likely scenario because the average </w:t>
      </w:r>
      <w:r w:rsidRPr="00CB5E59" w:rsidR="00F22919">
        <w:t xml:space="preserve">annual </w:t>
      </w:r>
      <w:r w:rsidRPr="00CB5E59" w:rsidR="56B5AD14">
        <w:t xml:space="preserve">amount </w:t>
      </w:r>
      <w:r w:rsidRPr="00CB5E59" w:rsidR="6EC3703E">
        <w:t>pa</w:t>
      </w:r>
      <w:r w:rsidRPr="00CB5E59" w:rsidR="4E439ACB">
        <w:t>id</w:t>
      </w:r>
      <w:r w:rsidRPr="00CB5E59" w:rsidR="00F22919">
        <w:t xml:space="preserve"> </w:t>
      </w:r>
      <w:r w:rsidRPr="00CB5E59" w:rsidR="106F986E">
        <w:t xml:space="preserve">for wildfire claims from 2019 through 2021 </w:t>
      </w:r>
      <w:r w:rsidRPr="00CB5E59" w:rsidR="00F22919">
        <w:t xml:space="preserve">was </w:t>
      </w:r>
      <w:r w:rsidRPr="00CB5E59" w:rsidR="21A38CEC">
        <w:t>$458</w:t>
      </w:r>
      <w:r w:rsidRPr="00CB5E59" w:rsidR="00781B63">
        <w:t> </w:t>
      </w:r>
      <w:r w:rsidRPr="00CB5E59" w:rsidR="21A38CEC">
        <w:t>million</w:t>
      </w:r>
      <w:r w:rsidRPr="00CB5E59" w:rsidR="00F22919">
        <w:t>,</w:t>
      </w:r>
      <w:r w:rsidRPr="00CB5E59" w:rsidR="0F7F36C0">
        <w:rPr>
          <w:rStyle w:val="FootnoteReference"/>
        </w:rPr>
        <w:footnoteReference w:id="55"/>
      </w:r>
      <w:r w:rsidRPr="00CB5E59" w:rsidR="21A38CEC">
        <w:t xml:space="preserve"> </w:t>
      </w:r>
      <w:r w:rsidRPr="00CB5E59" w:rsidR="00F22919">
        <w:t xml:space="preserve">which </w:t>
      </w:r>
      <w:r w:rsidRPr="00CB5E59" w:rsidR="21A38CEC">
        <w:t>is less than the estimated current cost of commercial insurance for $1</w:t>
      </w:r>
      <w:r w:rsidRPr="00CB5E59" w:rsidR="00781B63">
        <w:t> </w:t>
      </w:r>
      <w:r w:rsidRPr="00CB5E59" w:rsidR="21A38CEC">
        <w:t>billion in coverage</w:t>
      </w:r>
      <w:r w:rsidRPr="00CB5E59" w:rsidR="00FB17E6">
        <w:t xml:space="preserve"> and less than the $708</w:t>
      </w:r>
      <w:r w:rsidRPr="00CB5E59" w:rsidR="00781B63">
        <w:t> </w:t>
      </w:r>
      <w:r w:rsidRPr="00CB5E59" w:rsidR="00FB17E6">
        <w:t xml:space="preserve">million PG&amp;E paid </w:t>
      </w:r>
      <w:r w:rsidRPr="00CB5E59" w:rsidR="00F22919">
        <w:t xml:space="preserve">for the </w:t>
      </w:r>
      <w:r w:rsidRPr="00CB5E59" w:rsidR="00FB17E6">
        <w:t xml:space="preserve">last </w:t>
      </w:r>
      <w:r w:rsidRPr="00CB5E59" w:rsidR="00F22919">
        <w:t>policy period</w:t>
      </w:r>
      <w:r w:rsidRPr="00CB5E59" w:rsidR="00FB17E6">
        <w:t>.</w:t>
      </w:r>
      <w:r w:rsidRPr="00CB5E59" w:rsidR="21A38CEC">
        <w:t xml:space="preserve"> </w:t>
      </w:r>
      <w:r w:rsidRPr="00CB5E59" w:rsidR="5E0F3E44">
        <w:t>Second, the parties have performed a reasonable amou</w:t>
      </w:r>
      <w:r w:rsidRPr="00CB5E59" w:rsidR="7B8263EC">
        <w:t xml:space="preserve">nt of </w:t>
      </w:r>
      <w:r w:rsidRPr="00CB5E59" w:rsidR="5E0F3E44">
        <w:t>modeling to support the finding that</w:t>
      </w:r>
      <w:r w:rsidRPr="00CB5E59" w:rsidR="4F7EFFC6">
        <w:t xml:space="preserve"> ratepayers are likely to pay less for self-insurance.</w:t>
      </w:r>
      <w:r w:rsidRPr="00CB5E59" w:rsidR="0F7F36C0">
        <w:rPr>
          <w:rStyle w:val="FootnoteReference"/>
        </w:rPr>
        <w:footnoteReference w:id="56"/>
      </w:r>
      <w:r w:rsidRPr="00CB5E59" w:rsidR="77633A7B">
        <w:t xml:space="preserve"> </w:t>
      </w:r>
    </w:p>
    <w:p w:rsidRPr="00CB5E59" w:rsidR="68923FAA" w:rsidP="72C23D9D" w:rsidRDefault="00EE03AE" w14:paraId="2DC8D0CD" w14:textId="75BA1AB5">
      <w:pPr>
        <w:pStyle w:val="Standard"/>
      </w:pPr>
      <w:r w:rsidRPr="00CB5E59">
        <w:t xml:space="preserve">In testimony submitted earlier in this proceeding, </w:t>
      </w:r>
      <w:r w:rsidRPr="00CB5E59" w:rsidR="7B4B4DEC">
        <w:t>t</w:t>
      </w:r>
      <w:r w:rsidRPr="00CB5E59" w:rsidR="5C329449">
        <w:t>he</w:t>
      </w:r>
      <w:r w:rsidRPr="00CB5E59" w:rsidR="68923FAA">
        <w:t xml:space="preserve"> parties disagreed regarding the extent of self-insurance </w:t>
      </w:r>
      <w:r w:rsidRPr="00CB5E59">
        <w:t>versus</w:t>
      </w:r>
      <w:r w:rsidRPr="00CB5E59" w:rsidR="68923FAA">
        <w:t xml:space="preserve"> commercial insurance</w:t>
      </w:r>
      <w:r w:rsidRPr="00CB5E59" w:rsidR="1FEA2CB2">
        <w:t xml:space="preserve"> and the amounts to be paid by shareholders </w:t>
      </w:r>
      <w:r w:rsidRPr="00CB5E59" w:rsidR="00EA2B4D">
        <w:t>versus</w:t>
      </w:r>
      <w:r w:rsidRPr="00CB5E59" w:rsidR="1FEA2CB2">
        <w:t xml:space="preserve"> ratepayers.</w:t>
      </w:r>
      <w:r w:rsidRPr="00CB5E59" w:rsidR="755E0DFC">
        <w:t xml:space="preserve"> </w:t>
      </w:r>
      <w:r w:rsidRPr="00CB5E59" w:rsidR="359437D9">
        <w:t xml:space="preserve">However, </w:t>
      </w:r>
      <w:r w:rsidRPr="00CB5E59" w:rsidR="00EA2B4D">
        <w:t xml:space="preserve">the </w:t>
      </w:r>
      <w:r w:rsidRPr="00CB5E59" w:rsidR="00CF3009">
        <w:t>Settlement</w:t>
      </w:r>
      <w:r w:rsidRPr="00CB5E59" w:rsidR="00EA2B4D">
        <w:t xml:space="preserve"> explains that, </w:t>
      </w:r>
      <w:r w:rsidRPr="00CB5E59" w:rsidR="00F22919">
        <w:t xml:space="preserve">after </w:t>
      </w:r>
      <w:r w:rsidRPr="00CB5E59" w:rsidR="755E0DFC">
        <w:t xml:space="preserve">PG&amp;E </w:t>
      </w:r>
      <w:r w:rsidRPr="00CB5E59" w:rsidR="00F22919">
        <w:t xml:space="preserve">agreed to </w:t>
      </w:r>
      <w:r w:rsidRPr="00CB5E59" w:rsidR="797282B1">
        <w:t xml:space="preserve">support using entirely self-insurance for its wildfire liability insurance </w:t>
      </w:r>
      <w:r w:rsidRPr="00CB5E59" w:rsidR="0C2213BC">
        <w:t>under certain circumstances</w:t>
      </w:r>
      <w:r w:rsidRPr="00CB5E59" w:rsidR="00EA2B4D">
        <w:t>,</w:t>
      </w:r>
      <w:r w:rsidRPr="00CB5E59" w:rsidR="00F22919">
        <w:t xml:space="preserve"> settlement of these issues became a possibility.</w:t>
      </w:r>
      <w:r w:rsidRPr="00CB5E59">
        <w:rPr>
          <w:rStyle w:val="FootnoteReference"/>
        </w:rPr>
        <w:footnoteReference w:id="57"/>
      </w:r>
      <w:r w:rsidRPr="00CB5E59" w:rsidR="0C2213BC">
        <w:t xml:space="preserve"> </w:t>
      </w:r>
    </w:p>
    <w:p w:rsidRPr="00CB5E59" w:rsidR="250BAC9F" w:rsidP="00F22919" w:rsidRDefault="250BAC9F" w14:paraId="161CFA60" w14:textId="639938F4">
      <w:pPr>
        <w:pStyle w:val="Standard"/>
      </w:pPr>
      <w:r w:rsidRPr="00CB5E59">
        <w:t>One of the unresolved issues between the parties</w:t>
      </w:r>
      <w:r w:rsidRPr="00CB5E59" w:rsidR="16827564">
        <w:t>’</w:t>
      </w:r>
      <w:r w:rsidRPr="00CB5E59">
        <w:t xml:space="preserve"> initial positions</w:t>
      </w:r>
      <w:r w:rsidRPr="00CB5E59" w:rsidR="00F22919">
        <w:t xml:space="preserve"> was </w:t>
      </w:r>
      <w:r w:rsidRPr="00CB5E59" w:rsidR="240A78B9">
        <w:t xml:space="preserve">the amount of </w:t>
      </w:r>
      <w:r w:rsidRPr="00CB5E59" w:rsidR="00F22919">
        <w:t xml:space="preserve">PG&amp;E </w:t>
      </w:r>
      <w:r w:rsidRPr="00CB5E59" w:rsidR="240A78B9">
        <w:t>shareholder</w:t>
      </w:r>
      <w:r w:rsidRPr="00CB5E59" w:rsidR="00F22919">
        <w:t xml:space="preserve"> responsibility</w:t>
      </w:r>
      <w:r w:rsidRPr="00CB5E59" w:rsidR="240A78B9">
        <w:t xml:space="preserve">. This </w:t>
      </w:r>
      <w:r w:rsidRPr="00CB5E59" w:rsidR="035CEB52">
        <w:t xml:space="preserve">issue was resolved by </w:t>
      </w:r>
      <w:r w:rsidRPr="00CB5E59" w:rsidR="035CEB52">
        <w:lastRenderedPageBreak/>
        <w:t xml:space="preserve">requiring </w:t>
      </w:r>
      <w:r w:rsidRPr="00CB5E59" w:rsidR="5CE963B6">
        <w:t>PG&amp;E</w:t>
      </w:r>
      <w:r w:rsidRPr="00CB5E59" w:rsidR="00B118E5">
        <w:t xml:space="preserve"> share</w:t>
      </w:r>
      <w:r w:rsidRPr="00CB5E59" w:rsidR="000C38F6">
        <w:t>h</w:t>
      </w:r>
      <w:r w:rsidRPr="00CB5E59" w:rsidR="00B118E5">
        <w:t>older</w:t>
      </w:r>
      <w:r w:rsidR="00CB264D">
        <w:t>s</w:t>
      </w:r>
      <w:r w:rsidRPr="00CB5E59" w:rsidR="5CE963B6">
        <w:t xml:space="preserve"> </w:t>
      </w:r>
      <w:r w:rsidRPr="00CB5E59" w:rsidR="248EAADB">
        <w:t xml:space="preserve">to </w:t>
      </w:r>
      <w:r w:rsidRPr="00CB5E59" w:rsidR="2A8AC9D8">
        <w:t xml:space="preserve">be solely responsible for a </w:t>
      </w:r>
      <w:r w:rsidRPr="00CB5E59" w:rsidR="01A7E99B">
        <w:t>five</w:t>
      </w:r>
      <w:r w:rsidRPr="00CB5E59" w:rsidR="00781B63">
        <w:t> </w:t>
      </w:r>
      <w:r w:rsidRPr="00CB5E59" w:rsidR="01A7E99B">
        <w:t xml:space="preserve">percent </w:t>
      </w:r>
      <w:r w:rsidRPr="00CB5E59" w:rsidR="2A8AC9D8">
        <w:t xml:space="preserve">deductible for </w:t>
      </w:r>
      <w:r w:rsidRPr="00CB5E59" w:rsidR="1142B988">
        <w:t>self</w:t>
      </w:r>
      <w:r w:rsidRPr="00CB5E59" w:rsidR="2A8AC9D8">
        <w:t>-</w:t>
      </w:r>
      <w:r w:rsidRPr="00CB5E59" w:rsidR="7C2350BD">
        <w:t>i</w:t>
      </w:r>
      <w:r w:rsidRPr="00CB5E59" w:rsidR="2A8AC9D8">
        <w:t>nsurance costs up to $1 billion or $50 million</w:t>
      </w:r>
      <w:r w:rsidRPr="00CB5E59" w:rsidR="5BD37C7E">
        <w:t xml:space="preserve"> without any recovery in rates. This deductible creates </w:t>
      </w:r>
      <w:r w:rsidRPr="00CB5E59" w:rsidR="00A6B5B5">
        <w:t xml:space="preserve">an </w:t>
      </w:r>
      <w:r w:rsidRPr="00CB5E59" w:rsidR="3B5CC199">
        <w:t>addition</w:t>
      </w:r>
      <w:r w:rsidRPr="00CB5E59" w:rsidR="02A4500B">
        <w:t xml:space="preserve">al </w:t>
      </w:r>
      <w:r w:rsidRPr="00CB5E59" w:rsidR="3B5CC199">
        <w:t xml:space="preserve">incentive </w:t>
      </w:r>
      <w:r w:rsidRPr="00CB5E59" w:rsidR="5FF9284D">
        <w:t xml:space="preserve">for PG&amp;E to </w:t>
      </w:r>
      <w:r w:rsidRPr="00CB5E59" w:rsidR="3B5CC199">
        <w:t>mitigate the risk of wildfires caused by its equipment.</w:t>
      </w:r>
      <w:r w:rsidRPr="00CB5E59" w:rsidR="45273102">
        <w:t xml:space="preserve"> The Commission also notes that the Wildfire Fund requires PG</w:t>
      </w:r>
      <w:r w:rsidRPr="00CB5E59" w:rsidR="3B5CC199">
        <w:t xml:space="preserve">&amp;E </w:t>
      </w:r>
      <w:r w:rsidRPr="00CB5E59" w:rsidR="7EF1B3FD">
        <w:t xml:space="preserve">to make an </w:t>
      </w:r>
      <w:r w:rsidRPr="00CB5E59" w:rsidR="2A8AC9D8">
        <w:t xml:space="preserve">annual </w:t>
      </w:r>
      <w:r w:rsidRPr="00CB5E59" w:rsidR="1B4E3D66">
        <w:t xml:space="preserve">non-recoverable </w:t>
      </w:r>
      <w:r w:rsidRPr="00CB5E59" w:rsidR="2A8AC9D8">
        <w:t>contribution to the Wild</w:t>
      </w:r>
      <w:r w:rsidRPr="00CB5E59" w:rsidR="73A3426A">
        <w:t>f</w:t>
      </w:r>
      <w:r w:rsidRPr="00CB5E59" w:rsidR="2A8AC9D8">
        <w:t>ire Fund of $192.60</w:t>
      </w:r>
      <w:r w:rsidRPr="00CB5E59" w:rsidR="00781B63">
        <w:t> </w:t>
      </w:r>
      <w:r w:rsidRPr="00CB5E59" w:rsidR="698BED56">
        <w:t>million per</w:t>
      </w:r>
      <w:r w:rsidRPr="00CB5E59" w:rsidR="00781B63">
        <w:t> </w:t>
      </w:r>
      <w:r w:rsidRPr="00CB5E59" w:rsidR="698BED56">
        <w:t>year.</w:t>
      </w:r>
      <w:r w:rsidRPr="00CB5E59" w:rsidR="1E9E0D7F">
        <w:t xml:space="preserve"> </w:t>
      </w:r>
    </w:p>
    <w:p w:rsidRPr="00CB5E59" w:rsidR="4F44F653" w:rsidP="1FD3B373" w:rsidRDefault="4F44F653" w14:paraId="15FFB0C7" w14:textId="6CA207A4">
      <w:pPr>
        <w:pStyle w:val="Standard"/>
        <w:rPr>
          <w:rFonts w:asciiTheme="minorHAnsi" w:hAnsiTheme="minorHAnsi" w:eastAsiaTheme="minorEastAsia"/>
          <w:b/>
          <w:bCs/>
        </w:rPr>
      </w:pPr>
      <w:r w:rsidRPr="00CB5E59">
        <w:t xml:space="preserve">Finally, the other terms of the settlement represent a reasonable compromise and provide an effective mechanism for the Commission to oversee PG&amp;E’s expenditure of wildfire liability </w:t>
      </w:r>
      <w:r w:rsidRPr="00CB5E59" w:rsidR="00A5704E">
        <w:t>s</w:t>
      </w:r>
      <w:r w:rsidRPr="00CB5E59">
        <w:t>elf-</w:t>
      </w:r>
      <w:r w:rsidRPr="00CB5E59" w:rsidR="00A5704E">
        <w:t>i</w:t>
      </w:r>
      <w:r w:rsidRPr="00CB5E59">
        <w:t>nsurance costs.</w:t>
      </w:r>
      <w:r w:rsidRPr="00CB5E59" w:rsidR="6D3C4E1D">
        <w:t xml:space="preserve"> The </w:t>
      </w:r>
      <w:r w:rsidRPr="00CB5E59" w:rsidR="00962CDA">
        <w:t>Settlement</w:t>
      </w:r>
      <w:r w:rsidRPr="00CB5E59" w:rsidR="6D3C4E1D">
        <w:t xml:space="preserve"> includes a </w:t>
      </w:r>
      <w:r w:rsidRPr="00CB5E59" w:rsidR="2B22D20F">
        <w:t>mechanism for addressing claims above the self-insurance coverage authorized and accumulated</w:t>
      </w:r>
      <w:r w:rsidRPr="00CB5E59" w:rsidR="63AFAA05">
        <w:t xml:space="preserve">. In addition, </w:t>
      </w:r>
      <w:r w:rsidRPr="00CB5E59" w:rsidR="3AE06392">
        <w:t>PG&amp;E has a captive</w:t>
      </w:r>
      <w:r w:rsidRPr="00CB5E59" w:rsidR="00A00DCD">
        <w:rPr>
          <w:rStyle w:val="FootnoteReference"/>
        </w:rPr>
        <w:footnoteReference w:id="58"/>
      </w:r>
      <w:r w:rsidRPr="00CB5E59" w:rsidR="3AE06392">
        <w:t xml:space="preserve"> insurance administrator in place to administer the proposed self-insurance program.</w:t>
      </w:r>
      <w:r w:rsidRPr="00CB5E59">
        <w:rPr>
          <w:rStyle w:val="FootnoteReference"/>
          <w:rFonts w:eastAsiaTheme="minorEastAsia"/>
        </w:rPr>
        <w:footnoteReference w:id="59"/>
      </w:r>
    </w:p>
    <w:p w:rsidRPr="00CB5E59" w:rsidR="00705209" w:rsidP="000B0EAF" w:rsidRDefault="7A8398A1" w14:paraId="4D2E99E0" w14:textId="0D5942F3">
      <w:pPr>
        <w:pStyle w:val="Standard"/>
      </w:pPr>
      <w:proofErr w:type="gramStart"/>
      <w:r w:rsidRPr="00CB5E59">
        <w:t>All of</w:t>
      </w:r>
      <w:proofErr w:type="gramEnd"/>
      <w:r w:rsidRPr="00CB5E59">
        <w:t xml:space="preserve"> the above </w:t>
      </w:r>
      <w:r w:rsidRPr="00CB5E59" w:rsidR="513C4D1C">
        <w:t>provides sufficient evidence to support the parties’ determination that t</w:t>
      </w:r>
      <w:r w:rsidRPr="00CB5E59">
        <w:t xml:space="preserve">he </w:t>
      </w:r>
      <w:r w:rsidRPr="00CB5E59" w:rsidR="00962CDA">
        <w:t>Settlement</w:t>
      </w:r>
      <w:r w:rsidRPr="00CB5E59" w:rsidR="00263FAE">
        <w:t>,</w:t>
      </w:r>
      <w:r w:rsidRPr="00CB5E59" w:rsidR="513C4D1C">
        <w:t xml:space="preserve"> </w:t>
      </w:r>
      <w:r w:rsidRPr="00CB5E59">
        <w:t>along with the parties’ evaluation of it, may be given material weight.</w:t>
      </w:r>
      <w:r w:rsidRPr="00CB5E59" w:rsidR="00FE604A">
        <w:rPr>
          <w:rStyle w:val="FootnoteReference"/>
        </w:rPr>
        <w:footnoteReference w:id="60"/>
      </w:r>
      <w:r w:rsidRPr="00CB5E59" w:rsidR="0779E32C">
        <w:t xml:space="preserve"> </w:t>
      </w:r>
      <w:r w:rsidRPr="00CB5E59" w:rsidR="513C4D1C">
        <w:t xml:space="preserve">In addition, the scope of the record provides sufficient information and data to enable the Commission to implement the provisions, terms, and conditions of the </w:t>
      </w:r>
      <w:r w:rsidRPr="00CB5E59" w:rsidR="00CF3009">
        <w:t>Settlement</w:t>
      </w:r>
      <w:r w:rsidRPr="00CB5E59" w:rsidR="513C4D1C">
        <w:t xml:space="preserve">, and to discharge the Commission’s regulatory obligations. </w:t>
      </w:r>
      <w:r w:rsidRPr="00CB5E59" w:rsidR="2E9682CC">
        <w:t xml:space="preserve">Therefore, the </w:t>
      </w:r>
      <w:r w:rsidRPr="00CB5E59" w:rsidR="00962CDA">
        <w:t>Settlement</w:t>
      </w:r>
      <w:r w:rsidRPr="00CB5E59" w:rsidR="2E9682CC">
        <w:t xml:space="preserve"> is reasonable </w:t>
      </w:r>
      <w:proofErr w:type="gramStart"/>
      <w:r w:rsidRPr="00CB5E59" w:rsidR="2E9682CC">
        <w:t>in light of</w:t>
      </w:r>
      <w:proofErr w:type="gramEnd"/>
      <w:r w:rsidRPr="00CB5E59" w:rsidR="2E9682CC">
        <w:t xml:space="preserve"> the whole record before the Commission.</w:t>
      </w:r>
    </w:p>
    <w:p w:rsidRPr="00CB5E59" w:rsidR="00EA2B4D" w:rsidP="65DAF6F8" w:rsidRDefault="00EA2B4D" w14:paraId="1D8CC9A7" w14:textId="3BD94658">
      <w:pPr>
        <w:pStyle w:val="Heading2"/>
      </w:pPr>
      <w:bookmarkStart w:name="_Toc121488169" w:id="22"/>
      <w:r w:rsidRPr="00CB5E59">
        <w:lastRenderedPageBreak/>
        <w:t>Consisten</w:t>
      </w:r>
      <w:r w:rsidRPr="00CB5E59" w:rsidR="002971F6">
        <w:t xml:space="preserve">cy </w:t>
      </w:r>
      <w:r w:rsidRPr="00CB5E59">
        <w:t>With Applicable Law</w:t>
      </w:r>
      <w:bookmarkEnd w:id="22"/>
    </w:p>
    <w:p w:rsidRPr="00CB5E59" w:rsidR="00EA2B4D" w:rsidP="00D40532" w:rsidRDefault="2E9682CC" w14:paraId="5D9E755F" w14:textId="3A9CCF5D">
      <w:pPr>
        <w:pStyle w:val="Standard"/>
      </w:pPr>
      <w:r w:rsidRPr="00CB5E59">
        <w:t>Second</w:t>
      </w:r>
      <w:r w:rsidRPr="00CB5E59" w:rsidR="00CF3009">
        <w:t>,</w:t>
      </w:r>
      <w:r w:rsidRPr="00CB5E59">
        <w:t xml:space="preserve"> t</w:t>
      </w:r>
      <w:r w:rsidRPr="00CB5E59" w:rsidR="693E2BA0">
        <w:t xml:space="preserve">he </w:t>
      </w:r>
      <w:r w:rsidRPr="00CB5E59" w:rsidR="00CF3009">
        <w:t>S</w:t>
      </w:r>
      <w:r w:rsidRPr="00CB5E59" w:rsidR="693E2BA0">
        <w:t xml:space="preserve">ettlement is consistent with applicable law. The applicable law includes </w:t>
      </w:r>
      <w:r w:rsidRPr="00CB5E59" w:rsidR="5AA46CB3">
        <w:t>Pub.</w:t>
      </w:r>
      <w:r w:rsidRPr="00CB5E59" w:rsidR="00781B63">
        <w:t> </w:t>
      </w:r>
      <w:r w:rsidRPr="00CB5E59" w:rsidR="5AA46CB3">
        <w:t>Util. Code</w:t>
      </w:r>
      <w:r w:rsidRPr="00CB5E59" w:rsidR="00781B63">
        <w:t> </w:t>
      </w:r>
      <w:r w:rsidRPr="00CB5E59" w:rsidR="5AA46CB3">
        <w:t>Sections</w:t>
      </w:r>
      <w:r w:rsidRPr="00CB5E59" w:rsidR="00781B63">
        <w:t> </w:t>
      </w:r>
      <w:r w:rsidRPr="00CB5E59" w:rsidR="30D9C9B7">
        <w:t>451, 454,</w:t>
      </w:r>
      <w:r w:rsidRPr="00CB5E59" w:rsidR="693E2BA0">
        <w:t xml:space="preserve"> </w:t>
      </w:r>
      <w:r w:rsidRPr="00CB5E59" w:rsidR="5AA46CB3">
        <w:t xml:space="preserve">491, 701, 728, and requirements of the </w:t>
      </w:r>
      <w:r w:rsidRPr="00CB5E59" w:rsidR="34C52FCE">
        <w:t>2019 Wil</w:t>
      </w:r>
      <w:r w:rsidRPr="00CB5E59" w:rsidR="00A5704E">
        <w:t>d</w:t>
      </w:r>
      <w:r w:rsidRPr="00CB5E59" w:rsidR="34C52FCE">
        <w:t>fire Legislation.</w:t>
      </w:r>
      <w:r w:rsidRPr="00CB5E59">
        <w:rPr>
          <w:rStyle w:val="FootnoteReference"/>
        </w:rPr>
        <w:footnoteReference w:id="61"/>
      </w:r>
      <w:r w:rsidRPr="00CB5E59" w:rsidR="693E2BA0">
        <w:t xml:space="preserve"> The Commission found PG&amp;E to have satisfied the eligibility requirements for the Wildfire Fund when the Commission approved PG&amp;E’s reorganization plan. PG&amp;E has also paid its initial contribution and annual contributions to this fund.</w:t>
      </w:r>
      <w:r w:rsidRPr="00CB5E59" w:rsidR="1A9EA136">
        <w:t xml:space="preserve"> The </w:t>
      </w:r>
      <w:r w:rsidRPr="00CB5E59" w:rsidR="00962CDA">
        <w:t>Settlement</w:t>
      </w:r>
      <w:r w:rsidRPr="00CB5E59" w:rsidR="1A9EA136">
        <w:t xml:space="preserve"> </w:t>
      </w:r>
      <w:r w:rsidRPr="00CB5E59" w:rsidR="36F01260">
        <w:t>is structured to provide</w:t>
      </w:r>
      <w:r w:rsidRPr="00CB5E59">
        <w:t xml:space="preserve"> </w:t>
      </w:r>
      <w:r w:rsidRPr="00CB5E59" w:rsidR="36F01260">
        <w:t xml:space="preserve">wildfire </w:t>
      </w:r>
      <w:r w:rsidRPr="00CB5E59" w:rsidR="000B0F67">
        <w:t>liability</w:t>
      </w:r>
      <w:r w:rsidRPr="00CB5E59" w:rsidR="36F01260">
        <w:t xml:space="preserve"> insurance coverage within the framework provided by the Wildfire Fund </w:t>
      </w:r>
      <w:r w:rsidRPr="00CB5E59" w:rsidR="1A9EA136">
        <w:t>during the 2023-2026 period,</w:t>
      </w:r>
      <w:r w:rsidRPr="00CB5E59" w:rsidR="36F01260">
        <w:t xml:space="preserve"> </w:t>
      </w:r>
      <w:r w:rsidRPr="00CB5E59" w:rsidR="1A9EA136">
        <w:t>consistent with the requirement that the utility maintain</w:t>
      </w:r>
      <w:r w:rsidR="00E426DB">
        <w:t>s</w:t>
      </w:r>
      <w:r w:rsidRPr="00CB5E59" w:rsidR="1A9EA136">
        <w:t xml:space="preserve"> reasonable insurance coverage under Pub</w:t>
      </w:r>
      <w:r w:rsidRPr="00CB5E59" w:rsidR="36F01260">
        <w:t>.</w:t>
      </w:r>
      <w:r w:rsidRPr="00CB5E59" w:rsidR="00781B63">
        <w:t> </w:t>
      </w:r>
      <w:r w:rsidRPr="00CB5E59" w:rsidR="1A9EA136">
        <w:t>Util</w:t>
      </w:r>
      <w:r w:rsidRPr="00CB5E59" w:rsidR="36F01260">
        <w:t>.</w:t>
      </w:r>
      <w:r w:rsidRPr="00CB5E59" w:rsidR="1A9EA136">
        <w:t xml:space="preserve"> Code</w:t>
      </w:r>
      <w:r w:rsidRPr="00CB5E59" w:rsidR="00781B63">
        <w:t> </w:t>
      </w:r>
      <w:r w:rsidRPr="00CB5E59" w:rsidR="1A9EA136">
        <w:t>Section</w:t>
      </w:r>
      <w:r w:rsidRPr="00CB5E59" w:rsidR="00781B63">
        <w:t> </w:t>
      </w:r>
      <w:r w:rsidRPr="00CB5E59" w:rsidR="1A9EA136">
        <w:t>3293.</w:t>
      </w:r>
      <w:r w:rsidRPr="00CB5E59" w:rsidR="36F01260">
        <w:t xml:space="preserve"> Finally, no party</w:t>
      </w:r>
      <w:r w:rsidRPr="00CB5E59" w:rsidR="00EA2B4D">
        <w:t xml:space="preserve"> </w:t>
      </w:r>
      <w:r w:rsidRPr="00CB5E59" w:rsidR="36F01260">
        <w:t xml:space="preserve">opposed the </w:t>
      </w:r>
      <w:r w:rsidRPr="00CB5E59" w:rsidR="00962CDA">
        <w:t>Settlement</w:t>
      </w:r>
      <w:r w:rsidRPr="00CB5E59" w:rsidR="1A9EA136">
        <w:t xml:space="preserve"> </w:t>
      </w:r>
      <w:r w:rsidRPr="00CB5E59" w:rsidR="36F01260">
        <w:t xml:space="preserve">or made the Commission aware of any </w:t>
      </w:r>
      <w:r w:rsidRPr="00CB5E59" w:rsidR="1A9EA136">
        <w:t xml:space="preserve">statutory provisions or controlling law that would contravene or compromise the </w:t>
      </w:r>
      <w:r w:rsidRPr="00CB5E59" w:rsidR="00962CDA">
        <w:t>Settlement</w:t>
      </w:r>
      <w:r w:rsidRPr="00CB5E59" w:rsidR="1A9EA136">
        <w:t xml:space="preserve">. </w:t>
      </w:r>
    </w:p>
    <w:p w:rsidRPr="00CB5E59" w:rsidR="00EA2B4D" w:rsidP="65DAF6F8" w:rsidRDefault="4CD9E3C8" w14:paraId="2F131066" w14:textId="68CABC1E">
      <w:pPr>
        <w:pStyle w:val="Heading2"/>
        <w:numPr>
          <w:ilvl w:val="1"/>
          <w:numId w:val="0"/>
        </w:numPr>
        <w:ind w:firstLine="720"/>
      </w:pPr>
      <w:bookmarkStart w:name="_Toc121488170" w:id="23"/>
      <w:r w:rsidRPr="00CB5E59">
        <w:t>2.3</w:t>
      </w:r>
      <w:r w:rsidRPr="00CB5E59" w:rsidR="00EA2B4D">
        <w:tab/>
        <w:t>Public Interest</w:t>
      </w:r>
      <w:r w:rsidRPr="00CB5E59" w:rsidR="00476FE5">
        <w:t xml:space="preserve"> Standard</w:t>
      </w:r>
      <w:bookmarkEnd w:id="23"/>
    </w:p>
    <w:p w:rsidRPr="00CB5E59" w:rsidR="00506AA2" w:rsidP="00D40532" w:rsidRDefault="2E9682CC" w14:paraId="319D931F" w14:textId="387AB1BF">
      <w:pPr>
        <w:pStyle w:val="Standard"/>
      </w:pPr>
      <w:r w:rsidRPr="00CB5E59">
        <w:t xml:space="preserve">Third, </w:t>
      </w:r>
      <w:r w:rsidRPr="00CB5E59" w:rsidR="5AA46CB3">
        <w:t>Rule</w:t>
      </w:r>
      <w:r w:rsidRPr="00CB5E59" w:rsidR="00781B63">
        <w:t> </w:t>
      </w:r>
      <w:r w:rsidRPr="00CB5E59" w:rsidR="5AA46CB3">
        <w:t xml:space="preserve">12.1(d) requires settlements to be in the public interest. The parties reasonably agree that the </w:t>
      </w:r>
      <w:r w:rsidRPr="00CB5E59" w:rsidR="00962CDA">
        <w:t>Settlement</w:t>
      </w:r>
      <w:r w:rsidRPr="00CB5E59" w:rsidR="008C3615">
        <w:t xml:space="preserve"> </w:t>
      </w:r>
      <w:r w:rsidRPr="00CB5E59" w:rsidR="5AA46CB3">
        <w:t>is in the public interest b</w:t>
      </w:r>
      <w:r w:rsidRPr="00CB5E59" w:rsidR="709602CE">
        <w:t xml:space="preserve">ased on </w:t>
      </w:r>
      <w:proofErr w:type="gramStart"/>
      <w:r w:rsidRPr="00CB5E59" w:rsidR="709602CE">
        <w:t>all of</w:t>
      </w:r>
      <w:proofErr w:type="gramEnd"/>
      <w:r w:rsidRPr="00CB5E59" w:rsidR="709602CE">
        <w:t xml:space="preserve"> the above.</w:t>
      </w:r>
      <w:r w:rsidRPr="00CB5E59" w:rsidR="69870219">
        <w:t xml:space="preserve"> </w:t>
      </w:r>
      <w:bookmarkEnd w:id="20"/>
      <w:r w:rsidRPr="00CB5E59" w:rsidR="60E07CCB">
        <w:t>The initial rate recovery amount for PG&amp;E’s</w:t>
      </w:r>
      <w:r w:rsidRPr="00CB5E59" w:rsidR="001F43C1">
        <w:t xml:space="preserve"> </w:t>
      </w:r>
      <w:r w:rsidRPr="00CB5E59" w:rsidR="60E07CCB">
        <w:t xml:space="preserve">revenue requirement in 2023 </w:t>
      </w:r>
      <w:r w:rsidRPr="00CB5E59" w:rsidR="730B5507">
        <w:t xml:space="preserve">of </w:t>
      </w:r>
      <w:r w:rsidRPr="00CB5E59" w:rsidR="60E07CCB">
        <w:t>$400</w:t>
      </w:r>
      <w:r w:rsidRPr="00CB5E59" w:rsidR="00B13F51">
        <w:t> </w:t>
      </w:r>
      <w:r w:rsidRPr="00CB5E59" w:rsidR="60E07CCB">
        <w:t>million for self-insurance</w:t>
      </w:r>
      <w:r w:rsidRPr="00CB5E59" w:rsidR="730B5507">
        <w:t xml:space="preserve"> is </w:t>
      </w:r>
      <w:r w:rsidRPr="00CB5E59" w:rsidR="60E07CCB">
        <w:t>$307</w:t>
      </w:r>
      <w:r w:rsidRPr="00CB5E59" w:rsidR="00781B63">
        <w:t> </w:t>
      </w:r>
      <w:r w:rsidRPr="00CB5E59" w:rsidR="60E07CCB">
        <w:t xml:space="preserve">million </w:t>
      </w:r>
      <w:r w:rsidRPr="00CB5E59" w:rsidR="730B5507">
        <w:t xml:space="preserve">less than the amount </w:t>
      </w:r>
      <w:r w:rsidRPr="00CB5E59" w:rsidR="60E07CCB">
        <w:t>PG&amp;E</w:t>
      </w:r>
      <w:r w:rsidRPr="00CB5E59" w:rsidR="730B5507">
        <w:t xml:space="preserve"> p</w:t>
      </w:r>
      <w:r w:rsidRPr="00CB5E59" w:rsidR="60E07CCB">
        <w:t xml:space="preserve">roposed in its </w:t>
      </w:r>
      <w:r w:rsidRPr="00CB5E59" w:rsidR="730B5507">
        <w:t xml:space="preserve">application. </w:t>
      </w:r>
      <w:r w:rsidRPr="00CB5E59" w:rsidR="1A9EA136">
        <w:t>For the entire GRC period from 2023 through 2026</w:t>
      </w:r>
      <w:r w:rsidRPr="00CB5E59" w:rsidR="002415EA">
        <w:t>,</w:t>
      </w:r>
      <w:r w:rsidRPr="00CB5E59" w:rsidR="69870219">
        <w:t xml:space="preserve"> the probability of ratepayers paying more</w:t>
      </w:r>
      <w:r w:rsidRPr="00CB5E59" w:rsidR="002415EA">
        <w:t xml:space="preserve"> for wildfire liability insurance through self-insurance </w:t>
      </w:r>
      <w:r w:rsidRPr="00CB5E59" w:rsidR="69870219">
        <w:t>is low</w:t>
      </w:r>
      <w:r w:rsidRPr="00CB5E59" w:rsidR="002415EA">
        <w:t>,</w:t>
      </w:r>
      <w:r w:rsidRPr="00CB5E59" w:rsidR="69870219">
        <w:t xml:space="preserve"> and there is a high probability that </w:t>
      </w:r>
      <w:r w:rsidRPr="00CB5E59" w:rsidR="002415EA">
        <w:t xml:space="preserve">ratepayers will pay less using </w:t>
      </w:r>
      <w:r w:rsidRPr="00CB5E59" w:rsidR="69870219">
        <w:t xml:space="preserve">self-insurance compared to the current rate of commercial insurance. The trend in wildfire liability insurance costs can be further assessed by reviewing </w:t>
      </w:r>
      <w:r w:rsidRPr="00CB5E59">
        <w:t xml:space="preserve">PG&amp;E’s </w:t>
      </w:r>
      <w:r w:rsidRPr="00CB5E59" w:rsidR="69870219">
        <w:t xml:space="preserve">claims history and damages caused by wildfires. </w:t>
      </w:r>
      <w:r w:rsidRPr="00CB5E59" w:rsidR="2B23538F">
        <w:t>O</w:t>
      </w:r>
      <w:r w:rsidRPr="00CB5E59" w:rsidR="69870219">
        <w:t xml:space="preserve">ne </w:t>
      </w:r>
      <w:r w:rsidRPr="00CB5E59" w:rsidR="69870219">
        <w:lastRenderedPageBreak/>
        <w:t>cannot determine how much more will be paid on claims from the catastrophic years of 2017 and 2018</w:t>
      </w:r>
      <w:r w:rsidRPr="00CB5E59" w:rsidR="2B23538F">
        <w:t xml:space="preserve"> or </w:t>
      </w:r>
      <w:r w:rsidRPr="00CB5E59" w:rsidR="002415EA">
        <w:t xml:space="preserve">what </w:t>
      </w:r>
      <w:r w:rsidRPr="00CB5E59" w:rsidR="2B23538F">
        <w:t xml:space="preserve">the impacts of climate change </w:t>
      </w:r>
      <w:r w:rsidRPr="00CB5E59" w:rsidR="002415EA">
        <w:t xml:space="preserve">will be </w:t>
      </w:r>
      <w:r w:rsidRPr="00CB5E59" w:rsidR="2B23538F">
        <w:t xml:space="preserve">in the next four years. But </w:t>
      </w:r>
      <w:r w:rsidRPr="00CB5E59" w:rsidR="008C3615">
        <w:t xml:space="preserve">by the </w:t>
      </w:r>
      <w:r w:rsidRPr="00CB5E59" w:rsidR="69870219">
        <w:t xml:space="preserve">end of </w:t>
      </w:r>
      <w:r w:rsidRPr="00CB5E59" w:rsidR="008C3615">
        <w:t xml:space="preserve">the 2022 fire season, </w:t>
      </w:r>
      <w:r w:rsidRPr="00CB5E59" w:rsidR="69870219">
        <w:t xml:space="preserve">the damage fires caused </w:t>
      </w:r>
      <w:r w:rsidR="00CB264D">
        <w:t xml:space="preserve">to </w:t>
      </w:r>
      <w:r w:rsidRPr="00CB5E59" w:rsidR="69870219">
        <w:t xml:space="preserve">structures in 2022 was </w:t>
      </w:r>
      <w:r w:rsidRPr="00CB5E59" w:rsidR="002415EA">
        <w:t xml:space="preserve">substantially </w:t>
      </w:r>
      <w:r w:rsidRPr="00CB5E59" w:rsidR="69870219">
        <w:t xml:space="preserve">less </w:t>
      </w:r>
      <w:r w:rsidRPr="00CB5E59" w:rsidR="14ED1245">
        <w:t>th</w:t>
      </w:r>
      <w:r w:rsidRPr="00CB5E59" w:rsidR="13F486CE">
        <w:t>a</w:t>
      </w:r>
      <w:r w:rsidRPr="00CB5E59" w:rsidR="14ED1245">
        <w:t>n</w:t>
      </w:r>
      <w:r w:rsidRPr="00CB5E59" w:rsidR="69870219">
        <w:t xml:space="preserve"> the average</w:t>
      </w:r>
      <w:r w:rsidRPr="00CB5E59" w:rsidR="002415EA">
        <w:t xml:space="preserve"> claims during </w:t>
      </w:r>
      <w:r w:rsidRPr="00CB5E59" w:rsidR="69870219">
        <w:t>the last six years.</w:t>
      </w:r>
      <w:r w:rsidRPr="00CB5E59" w:rsidR="004910C4">
        <w:rPr>
          <w:rStyle w:val="FootnoteReference"/>
        </w:rPr>
        <w:footnoteReference w:id="62"/>
      </w:r>
      <w:r w:rsidRPr="00CB5E59" w:rsidR="2B23538F">
        <w:t xml:space="preserve"> </w:t>
      </w:r>
      <w:r w:rsidRPr="00CB5E59" w:rsidR="00263FAE">
        <w:t>S</w:t>
      </w:r>
      <w:r w:rsidRPr="00CB5E59" w:rsidR="2B23538F">
        <w:t>elf-insurance will save additional</w:t>
      </w:r>
      <w:r w:rsidRPr="00CB5E59">
        <w:t xml:space="preserve"> funds</w:t>
      </w:r>
      <w:r w:rsidRPr="00CB5E59" w:rsidR="2B23538F">
        <w:t xml:space="preserve"> by avoiding fees and taxes associated </w:t>
      </w:r>
      <w:r w:rsidRPr="00CB5E59">
        <w:t>with</w:t>
      </w:r>
      <w:r w:rsidRPr="00CB5E59" w:rsidR="2B23538F">
        <w:t xml:space="preserve"> commercial insurance and </w:t>
      </w:r>
      <w:r w:rsidRPr="00CB5E59">
        <w:t xml:space="preserve">allow money to be </w:t>
      </w:r>
      <w:r w:rsidRPr="00CB5E59" w:rsidR="2B23538F">
        <w:t>earn</w:t>
      </w:r>
      <w:r w:rsidRPr="00CB5E59">
        <w:t xml:space="preserve">ed </w:t>
      </w:r>
      <w:r w:rsidRPr="00CB5E59" w:rsidR="2B23538F">
        <w:t xml:space="preserve">from </w:t>
      </w:r>
      <w:r w:rsidRPr="00CB5E59">
        <w:t xml:space="preserve">the </w:t>
      </w:r>
      <w:r w:rsidRPr="00CB5E59" w:rsidR="2B23538F">
        <w:t>invest</w:t>
      </w:r>
      <w:r w:rsidRPr="00CB5E59">
        <w:t xml:space="preserve">ment of </w:t>
      </w:r>
      <w:r w:rsidRPr="00CB5E59" w:rsidR="3284572C">
        <w:t>self-insurance funds.</w:t>
      </w:r>
      <w:r w:rsidRPr="00CB5E59" w:rsidR="00D40532">
        <w:rPr>
          <w:rStyle w:val="FootnoteReference"/>
        </w:rPr>
        <w:footnoteReference w:id="63"/>
      </w:r>
    </w:p>
    <w:p w:rsidRPr="00CB5E59" w:rsidR="00226A9F" w:rsidP="00226A9F" w:rsidRDefault="00EA2B4D" w14:paraId="71A1CE94" w14:textId="5D82F200">
      <w:pPr>
        <w:pStyle w:val="Heading1"/>
      </w:pPr>
      <w:bookmarkStart w:name="_Toc121488171" w:id="24"/>
      <w:r w:rsidRPr="00CB5E59">
        <w:t>Timing of Consideration</w:t>
      </w:r>
      <w:bookmarkEnd w:id="24"/>
    </w:p>
    <w:p w:rsidRPr="00CB5E59" w:rsidR="00226A9F" w:rsidP="00CF3009" w:rsidRDefault="00226A9F" w14:paraId="387DBA75" w14:textId="25855BE1">
      <w:pPr>
        <w:pStyle w:val="Standard"/>
      </w:pPr>
      <w:r w:rsidRPr="00CB5E59">
        <w:t>Rule</w:t>
      </w:r>
      <w:r w:rsidRPr="00CB5E59" w:rsidR="00B13F51">
        <w:t> </w:t>
      </w:r>
      <w:r w:rsidRPr="00CB5E59">
        <w:t xml:space="preserve">12.1(c) </w:t>
      </w:r>
      <w:r w:rsidRPr="00CB5E59" w:rsidR="009E20F4">
        <w:t xml:space="preserve">of the Commission’s Rules </w:t>
      </w:r>
      <w:r w:rsidRPr="00CB5E59">
        <w:t xml:space="preserve">states that settlements should ordinarily not include deadlines for Commission approval. However, in </w:t>
      </w:r>
      <w:r w:rsidRPr="00CB5E59" w:rsidR="009E20F4">
        <w:t>a “</w:t>
      </w:r>
      <w:r w:rsidRPr="00CB5E59">
        <w:t>rare</w:t>
      </w:r>
      <w:r w:rsidRPr="00CB5E59" w:rsidR="00B13F51">
        <w:t> </w:t>
      </w:r>
      <w:r w:rsidRPr="00CB5E59">
        <w:t>case</w:t>
      </w:r>
      <w:r w:rsidRPr="00CB5E59" w:rsidR="009E20F4">
        <w:t>”</w:t>
      </w:r>
      <w:r w:rsidRPr="00CB5E59">
        <w:t xml:space="preserve"> where </w:t>
      </w:r>
      <w:r w:rsidR="00E426DB">
        <w:t xml:space="preserve">a </w:t>
      </w:r>
      <w:r w:rsidRPr="00CB5E59">
        <w:t>delay beyond a certain date would invalidate the basis for the proposal, the timing urgency must be clearly stated and fully justified in the motion</w:t>
      </w:r>
      <w:r w:rsidRPr="00CB5E59" w:rsidR="002741AD">
        <w:t xml:space="preserve"> seeking Commission consideration of the </w:t>
      </w:r>
      <w:r w:rsidRPr="00CB5E59" w:rsidR="00CF3009">
        <w:t>S</w:t>
      </w:r>
      <w:r w:rsidRPr="00CB5E59" w:rsidR="002741AD">
        <w:t>ettlement</w:t>
      </w:r>
      <w:r w:rsidRPr="00CB5E59">
        <w:t>.</w:t>
      </w:r>
    </w:p>
    <w:p w:rsidRPr="00CB5E59" w:rsidR="00226A9F" w:rsidP="00226A9F" w:rsidRDefault="00226A9F" w14:paraId="4A66EC53" w14:textId="16860169">
      <w:pPr>
        <w:pStyle w:val="Standard"/>
      </w:pPr>
      <w:r w:rsidRPr="00CB5E59">
        <w:t>The Settling Parties submit that the circumstances present here represent such a “rare</w:t>
      </w:r>
      <w:r w:rsidRPr="00CB5E59" w:rsidR="00B13F51">
        <w:t> </w:t>
      </w:r>
      <w:r w:rsidRPr="00CB5E59">
        <w:t>case” and</w:t>
      </w:r>
      <w:r w:rsidRPr="00CB5E59" w:rsidR="002741AD">
        <w:t>,</w:t>
      </w:r>
      <w:r w:rsidRPr="00CB5E59">
        <w:t xml:space="preserve"> therefore</w:t>
      </w:r>
      <w:r w:rsidRPr="00CB5E59" w:rsidR="002741AD">
        <w:t>,</w:t>
      </w:r>
      <w:r w:rsidRPr="00CB5E59">
        <w:t xml:space="preserve"> urge the Commission to adopt an approach under which a final decision adopting the </w:t>
      </w:r>
      <w:r w:rsidRPr="00CB5E59" w:rsidR="00962CDA">
        <w:t>Settlement</w:t>
      </w:r>
      <w:r w:rsidRPr="00CB5E59">
        <w:t xml:space="preserve"> would be issued no later than February</w:t>
      </w:r>
      <w:r w:rsidRPr="00CB5E59" w:rsidR="00B13F51">
        <w:t> </w:t>
      </w:r>
      <w:r w:rsidRPr="00CB5E59">
        <w:t>1,</w:t>
      </w:r>
      <w:r w:rsidRPr="00CB5E59" w:rsidR="00B13F51">
        <w:t> </w:t>
      </w:r>
      <w:r w:rsidRPr="00CB5E59">
        <w:t xml:space="preserve">2023. A substantial portion of PG&amp;E’s current wildfire liability insurance coverage for the 2022-2023 </w:t>
      </w:r>
      <w:r w:rsidR="00186A27">
        <w:t xml:space="preserve">insurance </w:t>
      </w:r>
      <w:r w:rsidRPr="00CB5E59">
        <w:t>policy year is set to expire on March</w:t>
      </w:r>
      <w:r w:rsidRPr="00CB5E59" w:rsidR="00B13F51">
        <w:t> </w:t>
      </w:r>
      <w:r w:rsidRPr="00CB5E59">
        <w:t>31,</w:t>
      </w:r>
      <w:r w:rsidRPr="00CB5E59" w:rsidR="00B13F51">
        <w:t> </w:t>
      </w:r>
      <w:r w:rsidRPr="00CB5E59">
        <w:t>2023. Among other reasons, PG&amp;E would need to make decisions on how to replace that insurance coverage by approximately mid-</w:t>
      </w:r>
      <w:r w:rsidRPr="00CB5E59" w:rsidR="00B13F51">
        <w:t>February 2023 and</w:t>
      </w:r>
      <w:r w:rsidRPr="00CB5E59">
        <w:t xml:space="preserve"> would likely need to engage its brokers for the renewal by the beginning of February to make that timeline. Absent authority to implement a 100</w:t>
      </w:r>
      <w:r w:rsidRPr="00CB5E59" w:rsidR="00B13F51">
        <w:t> percent</w:t>
      </w:r>
      <w:r w:rsidRPr="00CB5E59">
        <w:t xml:space="preserve"> self-insurance model, PG&amp;E would likely choose to rely on some amount of </w:t>
      </w:r>
      <w:r w:rsidRPr="00CB5E59">
        <w:lastRenderedPageBreak/>
        <w:t xml:space="preserve">commercial insurance products for that purpose. Finally, issuing a final decision on the </w:t>
      </w:r>
      <w:r w:rsidRPr="00CB5E59" w:rsidR="00962CDA">
        <w:t>Settlement</w:t>
      </w:r>
      <w:r w:rsidRPr="00CB5E59">
        <w:t xml:space="preserve"> </w:t>
      </w:r>
      <w:r w:rsidRPr="00CB5E59" w:rsidR="002415EA">
        <w:t xml:space="preserve">by </w:t>
      </w:r>
      <w:r w:rsidRPr="00CB5E59" w:rsidR="00B13F51">
        <w:t>February </w:t>
      </w:r>
      <w:r w:rsidRPr="00CB5E59" w:rsidR="002415EA">
        <w:t>1</w:t>
      </w:r>
      <w:r w:rsidRPr="00CB5E59" w:rsidR="00B13F51">
        <w:t>, </w:t>
      </w:r>
      <w:proofErr w:type="gramStart"/>
      <w:r w:rsidRPr="00CB5E59" w:rsidR="002415EA">
        <w:t>2023</w:t>
      </w:r>
      <w:proofErr w:type="gramEnd"/>
      <w:r w:rsidRPr="00CB5E59" w:rsidR="002415EA">
        <w:t xml:space="preserve"> </w:t>
      </w:r>
      <w:r w:rsidRPr="00CB5E59">
        <w:t>would enable the utility to implement a 100</w:t>
      </w:r>
      <w:r w:rsidRPr="00CB5E59" w:rsidR="00B13F51">
        <w:t xml:space="preserve"> percent </w:t>
      </w:r>
      <w:r w:rsidRPr="00CB5E59">
        <w:t>self-insurance approach to wildfire liability insurance at the earliest opportunity, and thereby maximize the potential benefits such a shift in insurance strategy could deliver to PG&amp;E’s customers.</w:t>
      </w:r>
      <w:r w:rsidRPr="00CB5E59">
        <w:rPr>
          <w:rStyle w:val="FootnoteReference"/>
        </w:rPr>
        <w:footnoteReference w:id="64"/>
      </w:r>
      <w:r w:rsidRPr="00CB5E59">
        <w:t xml:space="preserve"> </w:t>
      </w:r>
    </w:p>
    <w:p w:rsidRPr="00CB5E59" w:rsidR="00226A9F" w:rsidP="00226A9F" w:rsidRDefault="00226A9F" w14:paraId="6985137A" w14:textId="3A9BAF94">
      <w:pPr>
        <w:pStyle w:val="Standard"/>
      </w:pPr>
      <w:r w:rsidRPr="00CB5E59">
        <w:t xml:space="preserve">Therefore, this </w:t>
      </w:r>
      <w:r w:rsidRPr="00CB5E59" w:rsidR="00962CDA">
        <w:t>Settlement</w:t>
      </w:r>
      <w:r w:rsidRPr="00CB5E59">
        <w:t xml:space="preserve"> presents the “rare case” described in Rule</w:t>
      </w:r>
      <w:r w:rsidRPr="00CB5E59" w:rsidR="00B13F51">
        <w:t> </w:t>
      </w:r>
      <w:r w:rsidRPr="00CB5E59">
        <w:t>12.1(c)</w:t>
      </w:r>
      <w:r w:rsidRPr="00CB5E59" w:rsidR="008C3615">
        <w:t xml:space="preserve"> in which </w:t>
      </w:r>
      <w:r w:rsidRPr="00CB5E59">
        <w:t xml:space="preserve">a delay in implementation would at least partly invalidate the basis for the proposal. </w:t>
      </w:r>
    </w:p>
    <w:p w:rsidRPr="00CB5E59" w:rsidR="00FA1B4F" w:rsidP="00FA1B4F" w:rsidRDefault="187EA07F" w14:paraId="5419DA6B" w14:textId="05791E71">
      <w:pPr>
        <w:pStyle w:val="Heading1"/>
      </w:pPr>
      <w:bookmarkStart w:name="_Toc8123721" w:id="25"/>
      <w:bookmarkStart w:name="_Toc12866692" w:id="26"/>
      <w:bookmarkStart w:name="_Toc121488172" w:id="27"/>
      <w:r w:rsidRPr="00CB5E59">
        <w:t>Conclusion</w:t>
      </w:r>
      <w:bookmarkEnd w:id="25"/>
      <w:bookmarkEnd w:id="26"/>
      <w:bookmarkEnd w:id="27"/>
    </w:p>
    <w:p w:rsidRPr="00CB5E59" w:rsidR="001C27C1" w:rsidP="65DAF6F8" w:rsidRDefault="001C7BCC" w14:paraId="731C2FF7" w14:textId="08229F02">
      <w:pPr>
        <w:rPr>
          <w:rFonts w:eastAsia="Book Antiqua" w:cs="Book Antiqua"/>
        </w:rPr>
      </w:pPr>
      <w:r w:rsidRPr="00CB5E59">
        <w:rPr>
          <w:rFonts w:eastAsia="Book Antiqua" w:cs="Book Antiqua"/>
        </w:rPr>
        <w:t xml:space="preserve">Under the </w:t>
      </w:r>
      <w:r w:rsidRPr="00CB5E59" w:rsidR="00CF3009">
        <w:rPr>
          <w:rFonts w:eastAsia="Book Antiqua" w:cs="Book Antiqua"/>
        </w:rPr>
        <w:t>S</w:t>
      </w:r>
      <w:r w:rsidRPr="00CB5E59" w:rsidR="00C873F5">
        <w:rPr>
          <w:rFonts w:eastAsia="Book Antiqua" w:cs="Book Antiqua"/>
        </w:rPr>
        <w:t xml:space="preserve">ettlement approved by this decision, </w:t>
      </w:r>
      <w:r w:rsidRPr="00CB5E59" w:rsidR="280B4FE8">
        <w:rPr>
          <w:rFonts w:eastAsia="Book Antiqua" w:cs="Book Antiqua"/>
        </w:rPr>
        <w:t xml:space="preserve">PG&amp;E </w:t>
      </w:r>
      <w:r w:rsidRPr="00CB5E59" w:rsidR="00C873F5">
        <w:rPr>
          <w:rFonts w:eastAsia="Book Antiqua" w:cs="Book Antiqua"/>
        </w:rPr>
        <w:t xml:space="preserve">is authorized </w:t>
      </w:r>
      <w:r w:rsidRPr="00CB5E59" w:rsidR="280B4FE8">
        <w:rPr>
          <w:rFonts w:eastAsia="Book Antiqua" w:cs="Book Antiqua"/>
        </w:rPr>
        <w:t xml:space="preserve">to entirely self-insure </w:t>
      </w:r>
      <w:r w:rsidRPr="00CB5E59" w:rsidR="62DB0678">
        <w:rPr>
          <w:rFonts w:eastAsia="Book Antiqua" w:cs="Book Antiqua"/>
        </w:rPr>
        <w:t xml:space="preserve">for </w:t>
      </w:r>
      <w:r w:rsidRPr="00CB5E59" w:rsidR="536477A9">
        <w:rPr>
          <w:rFonts w:eastAsia="Book Antiqua" w:cs="Book Antiqua"/>
        </w:rPr>
        <w:t>third-party wildfire liability insurance claims</w:t>
      </w:r>
      <w:r w:rsidRPr="00CB5E59" w:rsidR="005A3009">
        <w:rPr>
          <w:rFonts w:eastAsia="Book Antiqua" w:cs="Book Antiqua"/>
        </w:rPr>
        <w:t xml:space="preserve"> </w:t>
      </w:r>
      <w:r w:rsidR="00CB264D">
        <w:rPr>
          <w:rFonts w:eastAsia="Book Antiqua" w:cs="Book Antiqua"/>
        </w:rPr>
        <w:t xml:space="preserve">of </w:t>
      </w:r>
      <w:r w:rsidRPr="00CB5E59" w:rsidR="005A3009">
        <w:rPr>
          <w:rFonts w:eastAsia="Book Antiqua" w:cs="Book Antiqua"/>
        </w:rPr>
        <w:t>less than $1</w:t>
      </w:r>
      <w:r w:rsidRPr="00CB5E59" w:rsidR="00B13F51">
        <w:rPr>
          <w:rFonts w:eastAsia="Book Antiqua" w:cs="Book Antiqua"/>
        </w:rPr>
        <w:t> </w:t>
      </w:r>
      <w:r w:rsidRPr="00CB5E59" w:rsidR="005A3009">
        <w:rPr>
          <w:rFonts w:eastAsia="Book Antiqua" w:cs="Book Antiqua"/>
        </w:rPr>
        <w:t>billion</w:t>
      </w:r>
      <w:r w:rsidRPr="00CB5E59" w:rsidR="536477A9">
        <w:rPr>
          <w:rFonts w:eastAsia="Book Antiqua" w:cs="Book Antiqua"/>
        </w:rPr>
        <w:t xml:space="preserve"> </w:t>
      </w:r>
      <w:r w:rsidR="00CB264D">
        <w:rPr>
          <w:rFonts w:eastAsia="Book Antiqua" w:cs="Book Antiqua"/>
        </w:rPr>
        <w:t xml:space="preserve">per year </w:t>
      </w:r>
      <w:r w:rsidRPr="00CB5E59" w:rsidR="536477A9">
        <w:rPr>
          <w:rFonts w:eastAsia="Book Antiqua" w:cs="Book Antiqua"/>
        </w:rPr>
        <w:t xml:space="preserve">for </w:t>
      </w:r>
      <w:r w:rsidRPr="00CB5E59" w:rsidR="280B4FE8">
        <w:rPr>
          <w:rFonts w:eastAsia="Book Antiqua" w:cs="Book Antiqua"/>
        </w:rPr>
        <w:t xml:space="preserve">the 2023–2026 GRC </w:t>
      </w:r>
      <w:r w:rsidRPr="00CB5E59" w:rsidR="0767CF9F">
        <w:rPr>
          <w:rFonts w:eastAsia="Book Antiqua" w:cs="Book Antiqua"/>
        </w:rPr>
        <w:t>period</w:t>
      </w:r>
      <w:r w:rsidRPr="00CB5E59" w:rsidR="6D63E0BB">
        <w:rPr>
          <w:rFonts w:eastAsia="Book Antiqua" w:cs="Book Antiqua"/>
        </w:rPr>
        <w:t xml:space="preserve">. </w:t>
      </w:r>
      <w:r w:rsidRPr="00CB5E59" w:rsidR="666A208B">
        <w:rPr>
          <w:rFonts w:eastAsia="Book Antiqua" w:cs="Book Antiqua"/>
        </w:rPr>
        <w:t xml:space="preserve">PG&amp;E </w:t>
      </w:r>
      <w:r w:rsidRPr="00CB5E59" w:rsidR="54DBACD4">
        <w:rPr>
          <w:rFonts w:eastAsia="Book Antiqua" w:cs="Book Antiqua"/>
        </w:rPr>
        <w:t>is</w:t>
      </w:r>
      <w:r w:rsidRPr="00CB5E59" w:rsidR="280B4FE8">
        <w:rPr>
          <w:rFonts w:eastAsia="Book Antiqua" w:cs="Book Antiqua"/>
        </w:rPr>
        <w:t xml:space="preserve"> </w:t>
      </w:r>
      <w:r w:rsidRPr="00CB5E59" w:rsidR="00C92072">
        <w:rPr>
          <w:rFonts w:eastAsia="Book Antiqua" w:cs="Book Antiqua"/>
        </w:rPr>
        <w:t xml:space="preserve">further authorized </w:t>
      </w:r>
      <w:r w:rsidRPr="00CB5E59" w:rsidR="280B4FE8">
        <w:rPr>
          <w:rFonts w:eastAsia="Book Antiqua" w:cs="Book Antiqua"/>
        </w:rPr>
        <w:t>to recover a revenue requirement</w:t>
      </w:r>
      <w:r w:rsidRPr="00CB5E59" w:rsidR="005A3009">
        <w:rPr>
          <w:rFonts w:eastAsia="Book Antiqua" w:cs="Book Antiqua"/>
        </w:rPr>
        <w:t xml:space="preserve"> for wildfire liability insurance</w:t>
      </w:r>
      <w:r w:rsidRPr="00CB5E59" w:rsidR="280B4FE8">
        <w:rPr>
          <w:rFonts w:eastAsia="Book Antiqua" w:cs="Book Antiqua"/>
        </w:rPr>
        <w:t xml:space="preserve"> in 2023 of $400</w:t>
      </w:r>
      <w:r w:rsidRPr="00CB5E59" w:rsidR="00B13F51">
        <w:rPr>
          <w:rFonts w:eastAsia="Book Antiqua" w:cs="Book Antiqua"/>
        </w:rPr>
        <w:t> </w:t>
      </w:r>
      <w:r w:rsidRPr="00CB5E59" w:rsidR="280B4FE8">
        <w:rPr>
          <w:rFonts w:eastAsia="Book Antiqua" w:cs="Book Antiqua"/>
        </w:rPr>
        <w:t>million</w:t>
      </w:r>
      <w:r w:rsidRPr="00CB5E59" w:rsidR="005A3009">
        <w:rPr>
          <w:rFonts w:eastAsia="Book Antiqua" w:cs="Book Antiqua"/>
        </w:rPr>
        <w:t>,</w:t>
      </w:r>
      <w:r w:rsidRPr="00CB5E59" w:rsidR="280B4FE8">
        <w:rPr>
          <w:rFonts w:eastAsia="Book Antiqua" w:cs="Book Antiqua"/>
        </w:rPr>
        <w:t xml:space="preserve"> with annual adjustments for years 2024, 2025</w:t>
      </w:r>
      <w:r w:rsidR="00E426DB">
        <w:rPr>
          <w:rFonts w:eastAsia="Book Antiqua" w:cs="Book Antiqua"/>
        </w:rPr>
        <w:t>,</w:t>
      </w:r>
      <w:r w:rsidRPr="00CB5E59" w:rsidR="280B4FE8">
        <w:rPr>
          <w:rFonts w:eastAsia="Book Antiqua" w:cs="Book Antiqua"/>
        </w:rPr>
        <w:t xml:space="preserve"> and 2026</w:t>
      </w:r>
      <w:r w:rsidRPr="00CB5E59" w:rsidR="002D26F2">
        <w:rPr>
          <w:rFonts w:eastAsia="Book Antiqua" w:cs="Book Antiqua"/>
        </w:rPr>
        <w:t>,</w:t>
      </w:r>
      <w:r w:rsidRPr="00CB5E59" w:rsidR="280B4FE8">
        <w:rPr>
          <w:rFonts w:eastAsia="Book Antiqua" w:cs="Book Antiqua"/>
        </w:rPr>
        <w:t xml:space="preserve"> as described above</w:t>
      </w:r>
      <w:r w:rsidRPr="00CB5E59" w:rsidR="027480D8">
        <w:rPr>
          <w:rFonts w:eastAsia="Book Antiqua" w:cs="Book Antiqua"/>
        </w:rPr>
        <w:t>,</w:t>
      </w:r>
      <w:r w:rsidRPr="00CB5E59" w:rsidR="002D26F2">
        <w:rPr>
          <w:rFonts w:eastAsia="Book Antiqua" w:cs="Book Antiqua"/>
        </w:rPr>
        <w:t xml:space="preserve"> with </w:t>
      </w:r>
      <w:r w:rsidRPr="00CB5E59" w:rsidR="4E45A067">
        <w:rPr>
          <w:rFonts w:eastAsia="Book Antiqua" w:cs="Book Antiqua"/>
        </w:rPr>
        <w:t>t</w:t>
      </w:r>
      <w:r w:rsidRPr="00CB5E59" w:rsidR="666A208B">
        <w:rPr>
          <w:rFonts w:eastAsia="Book Antiqua" w:cs="Book Antiqua"/>
        </w:rPr>
        <w:t>he</w:t>
      </w:r>
      <w:r w:rsidRPr="00CB5E59" w:rsidR="280B4FE8">
        <w:rPr>
          <w:rFonts w:eastAsia="Book Antiqua" w:cs="Book Antiqua"/>
        </w:rPr>
        <w:t xml:space="preserve"> amount collected for self-insurance in </w:t>
      </w:r>
      <w:r w:rsidRPr="00CB5E59" w:rsidR="002D26F2">
        <w:rPr>
          <w:rFonts w:eastAsia="Book Antiqua" w:cs="Book Antiqua"/>
        </w:rPr>
        <w:t xml:space="preserve">the </w:t>
      </w:r>
      <w:r w:rsidRPr="00CB5E59" w:rsidR="280B4FE8">
        <w:rPr>
          <w:rFonts w:eastAsia="Book Antiqua" w:cs="Book Antiqua"/>
        </w:rPr>
        <w:t xml:space="preserve">revenue requirements </w:t>
      </w:r>
      <w:r w:rsidRPr="00CB5E59" w:rsidR="4E45A067">
        <w:rPr>
          <w:rFonts w:eastAsia="Book Antiqua" w:cs="Book Antiqua"/>
        </w:rPr>
        <w:t>being</w:t>
      </w:r>
      <w:r w:rsidRPr="00CB5E59" w:rsidR="280B4FE8">
        <w:rPr>
          <w:rFonts w:eastAsia="Book Antiqua" w:cs="Book Antiqua"/>
        </w:rPr>
        <w:t xml:space="preserve"> reduced for 2025, 2026 or both</w:t>
      </w:r>
      <w:r w:rsidRPr="00CB5E59" w:rsidR="00D36C45">
        <w:rPr>
          <w:rFonts w:eastAsia="Book Antiqua" w:cs="Book Antiqua"/>
        </w:rPr>
        <w:t xml:space="preserve"> years,</w:t>
      </w:r>
      <w:r w:rsidRPr="00CB5E59" w:rsidR="280B4FE8">
        <w:rPr>
          <w:rFonts w:eastAsia="Book Antiqua" w:cs="Book Antiqua"/>
        </w:rPr>
        <w:t xml:space="preserve"> if </w:t>
      </w:r>
      <w:r w:rsidRPr="00CB5E59" w:rsidR="00D36C45">
        <w:rPr>
          <w:rFonts w:eastAsia="Book Antiqua" w:cs="Book Antiqua"/>
        </w:rPr>
        <w:t>PG&amp;</w:t>
      </w:r>
      <w:r w:rsidRPr="00CB5E59" w:rsidR="4E45A067">
        <w:rPr>
          <w:rFonts w:eastAsia="Book Antiqua" w:cs="Book Antiqua"/>
        </w:rPr>
        <w:t>E’s</w:t>
      </w:r>
      <w:r w:rsidRPr="00CB5E59" w:rsidR="280B4FE8">
        <w:rPr>
          <w:rFonts w:eastAsia="Book Antiqua" w:cs="Book Antiqua"/>
        </w:rPr>
        <w:t xml:space="preserve"> self-insurance fund balance reach</w:t>
      </w:r>
      <w:r w:rsidRPr="00CB5E59" w:rsidR="002415EA">
        <w:rPr>
          <w:rFonts w:eastAsia="Book Antiqua" w:cs="Book Antiqua"/>
        </w:rPr>
        <w:t>es</w:t>
      </w:r>
      <w:r w:rsidRPr="00CB5E59" w:rsidR="280B4FE8">
        <w:rPr>
          <w:rFonts w:eastAsia="Book Antiqua" w:cs="Book Antiqua"/>
        </w:rPr>
        <w:t xml:space="preserve"> $1</w:t>
      </w:r>
      <w:r w:rsidRPr="00CB5E59" w:rsidR="00B13F51">
        <w:rPr>
          <w:rFonts w:eastAsia="Book Antiqua" w:cs="Book Antiqua"/>
        </w:rPr>
        <w:t> </w:t>
      </w:r>
      <w:r w:rsidRPr="00CB5E59" w:rsidR="280B4FE8">
        <w:rPr>
          <w:rFonts w:eastAsia="Book Antiqua" w:cs="Book Antiqua"/>
        </w:rPr>
        <w:t xml:space="preserve">billion. </w:t>
      </w:r>
      <w:r w:rsidRPr="00CB5E59" w:rsidR="001C27C1">
        <w:rPr>
          <w:rFonts w:eastAsia="Book Antiqua" w:cs="Book Antiqua"/>
        </w:rPr>
        <w:t>PG&amp;E will invest the self-insurance funds and the resulting returns will be used to offset a portion of the cost to customers.</w:t>
      </w:r>
    </w:p>
    <w:p w:rsidRPr="00CB5E59" w:rsidR="00BD21C8" w:rsidP="001F43C1" w:rsidRDefault="280B4FE8" w14:paraId="5DAB5D52" w14:textId="043C52B4">
      <w:pPr>
        <w:rPr>
          <w:rFonts w:eastAsia="Book Antiqua" w:cs="Book Antiqua"/>
        </w:rPr>
      </w:pPr>
      <w:r w:rsidRPr="00CB5E59">
        <w:rPr>
          <w:rFonts w:eastAsia="Book Antiqua" w:cs="Book Antiqua"/>
        </w:rPr>
        <w:t>Th</w:t>
      </w:r>
      <w:r w:rsidR="00CB264D">
        <w:rPr>
          <w:rFonts w:eastAsia="Book Antiqua" w:cs="Book Antiqua"/>
        </w:rPr>
        <w:t>e</w:t>
      </w:r>
      <w:r w:rsidRPr="00CB5E59">
        <w:rPr>
          <w:rFonts w:eastAsia="Book Antiqua" w:cs="Book Antiqua"/>
        </w:rPr>
        <w:t xml:space="preserve"> revenue requirement</w:t>
      </w:r>
      <w:r w:rsidRPr="00CB5E59" w:rsidR="00CA2F3D">
        <w:rPr>
          <w:rFonts w:eastAsia="Book Antiqua" w:cs="Book Antiqua"/>
        </w:rPr>
        <w:t xml:space="preserve"> reflected in this </w:t>
      </w:r>
      <w:r w:rsidRPr="00CB5E59" w:rsidR="00CF3009">
        <w:rPr>
          <w:rFonts w:eastAsia="Book Antiqua" w:cs="Book Antiqua"/>
        </w:rPr>
        <w:t>S</w:t>
      </w:r>
      <w:r w:rsidRPr="00CB5E59" w:rsidR="009871B6">
        <w:rPr>
          <w:rFonts w:eastAsia="Book Antiqua" w:cs="Book Antiqua"/>
        </w:rPr>
        <w:t>ettlement</w:t>
      </w:r>
      <w:r w:rsidRPr="00CB5E59">
        <w:rPr>
          <w:rFonts w:eastAsia="Book Antiqua" w:cs="Book Antiqua"/>
        </w:rPr>
        <w:t xml:space="preserve"> will be included in the revenue requirement </w:t>
      </w:r>
      <w:r w:rsidRPr="00CB5E59" w:rsidR="009871B6">
        <w:rPr>
          <w:rFonts w:eastAsia="Book Antiqua" w:cs="Book Antiqua"/>
        </w:rPr>
        <w:t xml:space="preserve">approved by the Commission in the final decision in this </w:t>
      </w:r>
      <w:r w:rsidRPr="00CB5E59" w:rsidR="002A4A7F">
        <w:rPr>
          <w:rFonts w:eastAsia="Book Antiqua" w:cs="Book Antiqua"/>
        </w:rPr>
        <w:t>GRC</w:t>
      </w:r>
      <w:r w:rsidRPr="00CB5E59">
        <w:rPr>
          <w:rFonts w:eastAsia="Book Antiqua" w:cs="Book Antiqua"/>
        </w:rPr>
        <w:t>.</w:t>
      </w:r>
      <w:r w:rsidR="009F13F4">
        <w:rPr>
          <w:rStyle w:val="FootnoteReference"/>
          <w:rFonts w:eastAsia="Book Antiqua" w:cs="Book Antiqua"/>
        </w:rPr>
        <w:footnoteReference w:id="65"/>
      </w:r>
      <w:r w:rsidRPr="00CB5E59" w:rsidR="00BD21C8">
        <w:rPr>
          <w:rFonts w:eastAsia="Book Antiqua" w:cs="Book Antiqua"/>
        </w:rPr>
        <w:t xml:space="preserve"> </w:t>
      </w:r>
    </w:p>
    <w:p w:rsidRPr="00CB5E59" w:rsidR="00B75AF5" w:rsidP="4721AEEF" w:rsidRDefault="280B4FE8" w14:paraId="79E49663" w14:textId="11076A3C">
      <w:pPr>
        <w:rPr>
          <w:rFonts w:eastAsia="Book Antiqua" w:cs="Book Antiqua"/>
        </w:rPr>
      </w:pPr>
      <w:r w:rsidRPr="00CB5E59">
        <w:rPr>
          <w:rFonts w:eastAsia="Book Antiqua" w:cs="Book Antiqua"/>
        </w:rPr>
        <w:lastRenderedPageBreak/>
        <w:t>PG&amp;E shall seek recovery of the portion of wildfire liability self-insurance that would be allocated to transmission customers through Federal Energy Regulatory Commission (FERC) Transmission Owner (TO) rates in effect starting on January</w:t>
      </w:r>
      <w:r w:rsidRPr="00CB5E59" w:rsidR="00B13F51">
        <w:rPr>
          <w:rFonts w:eastAsia="Book Antiqua" w:cs="Book Antiqua"/>
        </w:rPr>
        <w:t> </w:t>
      </w:r>
      <w:r w:rsidRPr="00CB5E59">
        <w:rPr>
          <w:rFonts w:eastAsia="Book Antiqua" w:cs="Book Antiqua"/>
        </w:rPr>
        <w:t>1,</w:t>
      </w:r>
      <w:r w:rsidRPr="00CB5E59" w:rsidR="00B13F51">
        <w:rPr>
          <w:rFonts w:eastAsia="Book Antiqua" w:cs="Book Antiqua"/>
        </w:rPr>
        <w:t> </w:t>
      </w:r>
      <w:r w:rsidRPr="00CB5E59">
        <w:rPr>
          <w:rFonts w:eastAsia="Book Antiqua" w:cs="Book Antiqua"/>
        </w:rPr>
        <w:t>2024. Any amount recovered would be applied toward the self</w:t>
      </w:r>
      <w:r w:rsidRPr="00CB5E59" w:rsidR="00B13F51">
        <w:rPr>
          <w:rFonts w:eastAsia="Book Antiqua" w:cs="Book Antiqua"/>
        </w:rPr>
        <w:noBreakHyphen/>
      </w:r>
      <w:r w:rsidRPr="00CB5E59">
        <w:rPr>
          <w:rFonts w:eastAsia="Book Antiqua" w:cs="Book Antiqua"/>
        </w:rPr>
        <w:t>insurance fund. In each year of the 2023 GRC cycle, PG&amp;E</w:t>
      </w:r>
      <w:r w:rsidR="000B79DA">
        <w:rPr>
          <w:rFonts w:eastAsia="Book Antiqua" w:cs="Book Antiqua"/>
        </w:rPr>
        <w:t xml:space="preserve"> shareholders</w:t>
      </w:r>
      <w:r w:rsidRPr="00CB5E59">
        <w:rPr>
          <w:rFonts w:eastAsia="Book Antiqua" w:cs="Book Antiqua"/>
        </w:rPr>
        <w:t xml:space="preserve"> would pay the first five percent of up to $1 billion of self-insurance costs paid for any third</w:t>
      </w:r>
      <w:r w:rsidRPr="00CB5E59" w:rsidR="00B13F51">
        <w:rPr>
          <w:rFonts w:eastAsia="Book Antiqua" w:cs="Book Antiqua"/>
        </w:rPr>
        <w:noBreakHyphen/>
      </w:r>
      <w:r w:rsidRPr="00CB5E59">
        <w:rPr>
          <w:rFonts w:eastAsia="Book Antiqua" w:cs="Book Antiqua"/>
        </w:rPr>
        <w:t xml:space="preserve">party claims for damages caused by wildfires started by PG&amp;E equipment, which may not be recovered from ratepayers. </w:t>
      </w:r>
    </w:p>
    <w:p w:rsidRPr="00CB5E59" w:rsidR="00BD21C8" w:rsidP="72C23D9D" w:rsidRDefault="280B4FE8" w14:paraId="4163E259" w14:textId="0D58265E">
      <w:pPr>
        <w:rPr>
          <w:rFonts w:eastAsia="Book Antiqua" w:cs="Book Antiqua"/>
          <w:szCs w:val="26"/>
        </w:rPr>
      </w:pPr>
      <w:r w:rsidRPr="00CB5E59">
        <w:rPr>
          <w:rFonts w:eastAsia="Book Antiqua" w:cs="Book Antiqua"/>
          <w:szCs w:val="26"/>
        </w:rPr>
        <w:t xml:space="preserve">The Settlement provides for an implementation and reporting process </w:t>
      </w:r>
      <w:r w:rsidRPr="00CB5E59" w:rsidR="5E033FCE">
        <w:rPr>
          <w:rFonts w:eastAsia="Book Antiqua" w:cs="Book Antiqua"/>
          <w:szCs w:val="26"/>
        </w:rPr>
        <w:t xml:space="preserve">using </w:t>
      </w:r>
      <w:r w:rsidRPr="00CB5E59">
        <w:rPr>
          <w:rFonts w:eastAsia="Book Antiqua" w:cs="Book Antiqua"/>
          <w:szCs w:val="26"/>
        </w:rPr>
        <w:t>Tier</w:t>
      </w:r>
      <w:r w:rsidRPr="00CB5E59" w:rsidR="00B13F51">
        <w:rPr>
          <w:rFonts w:eastAsia="Book Antiqua" w:cs="Book Antiqua"/>
          <w:szCs w:val="26"/>
        </w:rPr>
        <w:t> </w:t>
      </w:r>
      <w:r w:rsidRPr="00CB5E59">
        <w:rPr>
          <w:rFonts w:eastAsia="Book Antiqua" w:cs="Book Antiqua"/>
          <w:szCs w:val="26"/>
        </w:rPr>
        <w:t>2 Advice Letters for necessary revenue requirement adjustments under the agreement, as well as resolution of the over</w:t>
      </w:r>
      <w:r w:rsidR="00E426DB">
        <w:rPr>
          <w:rFonts w:eastAsia="Book Antiqua" w:cs="Book Antiqua"/>
          <w:szCs w:val="26"/>
        </w:rPr>
        <w:t>-</w:t>
      </w:r>
      <w:r w:rsidRPr="00CB5E59">
        <w:rPr>
          <w:rFonts w:eastAsia="Book Antiqua" w:cs="Book Antiqua"/>
          <w:szCs w:val="26"/>
        </w:rPr>
        <w:t>collection or under</w:t>
      </w:r>
      <w:r w:rsidR="00E426DB">
        <w:rPr>
          <w:rFonts w:eastAsia="Book Antiqua" w:cs="Book Antiqua"/>
          <w:szCs w:val="26"/>
        </w:rPr>
        <w:t>-</w:t>
      </w:r>
      <w:r w:rsidRPr="00CB5E59">
        <w:rPr>
          <w:rFonts w:eastAsia="Book Antiqua" w:cs="Book Antiqua"/>
          <w:szCs w:val="26"/>
        </w:rPr>
        <w:t xml:space="preserve">collection that may exist at the end of the 2023 GRC period. </w:t>
      </w:r>
    </w:p>
    <w:p w:rsidRPr="00CB5E59" w:rsidR="00B75AF5" w:rsidP="65DAF6F8" w:rsidRDefault="00FB05F6" w14:paraId="1291860F" w14:textId="50B77A53">
      <w:pPr>
        <w:rPr>
          <w:rFonts w:eastAsia="Book Antiqua" w:cs="Book Antiqua"/>
        </w:rPr>
      </w:pPr>
      <w:r w:rsidRPr="00CB5E59">
        <w:rPr>
          <w:rFonts w:eastAsia="Book Antiqua" w:cs="Book Antiqua"/>
        </w:rPr>
        <w:t>PG&amp;E’s</w:t>
      </w:r>
      <w:r w:rsidRPr="00CB5E59" w:rsidR="280B4FE8">
        <w:rPr>
          <w:rFonts w:eastAsia="Book Antiqua" w:cs="Book Antiqua"/>
        </w:rPr>
        <w:t xml:space="preserve"> Risk Transfer Balancing Account shall be modified as necessary to support </w:t>
      </w:r>
      <w:r w:rsidR="00E426DB">
        <w:rPr>
          <w:rFonts w:eastAsia="Book Antiqua" w:cs="Book Antiqua"/>
        </w:rPr>
        <w:t xml:space="preserve">the </w:t>
      </w:r>
      <w:r w:rsidRPr="00CB5E59" w:rsidR="280B4FE8">
        <w:rPr>
          <w:rFonts w:eastAsia="Book Antiqua" w:cs="Book Antiqua"/>
        </w:rPr>
        <w:t xml:space="preserve">administration of the </w:t>
      </w:r>
      <w:r w:rsidRPr="00CB5E59" w:rsidR="00962CDA">
        <w:rPr>
          <w:rFonts w:eastAsia="Book Antiqua" w:cs="Book Antiqua"/>
        </w:rPr>
        <w:t>Settlement</w:t>
      </w:r>
      <w:r w:rsidRPr="00CB5E59" w:rsidR="0077631E">
        <w:rPr>
          <w:rFonts w:eastAsia="Book Antiqua" w:cs="Book Antiqua"/>
        </w:rPr>
        <w:t xml:space="preserve"> and to ensure funds deposited in the Risk Transfer Balancing Account are used</w:t>
      </w:r>
      <w:r w:rsidRPr="00CB5E59" w:rsidR="0087497F">
        <w:rPr>
          <w:rFonts w:eastAsia="Book Antiqua" w:cs="Book Antiqua"/>
        </w:rPr>
        <w:t xml:space="preserve"> to support the self-insurance </w:t>
      </w:r>
      <w:r w:rsidRPr="00CB5E59" w:rsidR="003324EF">
        <w:rPr>
          <w:rFonts w:eastAsia="Book Antiqua" w:cs="Book Antiqua"/>
        </w:rPr>
        <w:t>mechanism approved in this decision</w:t>
      </w:r>
      <w:r w:rsidRPr="00CB5E59" w:rsidR="280B4FE8">
        <w:rPr>
          <w:rFonts w:eastAsia="Book Antiqua" w:cs="Book Antiqua"/>
        </w:rPr>
        <w:t>.</w:t>
      </w:r>
      <w:r w:rsidRPr="00CB5E59" w:rsidR="3EB83770">
        <w:rPr>
          <w:rFonts w:eastAsia="Book Antiqua" w:cs="Book Antiqua"/>
        </w:rPr>
        <w:t xml:space="preserve"> </w:t>
      </w:r>
      <w:r w:rsidRPr="00CB5E59">
        <w:rPr>
          <w:rFonts w:eastAsia="Book Antiqua" w:cs="Book Antiqua"/>
        </w:rPr>
        <w:t xml:space="preserve">Accordingly, the Commission </w:t>
      </w:r>
      <w:r w:rsidRPr="00CB5E59" w:rsidR="280B4FE8">
        <w:rPr>
          <w:rFonts w:eastAsia="Book Antiqua" w:cs="Book Antiqua"/>
        </w:rPr>
        <w:t>find</w:t>
      </w:r>
      <w:r w:rsidRPr="00CB5E59">
        <w:rPr>
          <w:rFonts w:eastAsia="Book Antiqua" w:cs="Book Antiqua"/>
        </w:rPr>
        <w:t>s the Settlement</w:t>
      </w:r>
      <w:r w:rsidRPr="00CB5E59" w:rsidR="280B4FE8">
        <w:rPr>
          <w:rFonts w:eastAsia="Book Antiqua" w:cs="Book Antiqua"/>
        </w:rPr>
        <w:t xml:space="preserve"> reasonable </w:t>
      </w:r>
      <w:proofErr w:type="gramStart"/>
      <w:r w:rsidRPr="00CB5E59" w:rsidR="280B4FE8">
        <w:rPr>
          <w:rFonts w:eastAsia="Book Antiqua" w:cs="Book Antiqua"/>
        </w:rPr>
        <w:t>in light of</w:t>
      </w:r>
      <w:proofErr w:type="gramEnd"/>
      <w:r w:rsidRPr="00CB5E59" w:rsidR="280B4FE8">
        <w:rPr>
          <w:rFonts w:eastAsia="Book Antiqua" w:cs="Book Antiqua"/>
        </w:rPr>
        <w:t xml:space="preserve"> the whole record, consistent with law, and in the public interest, for the reasons discussed herein.</w:t>
      </w:r>
    </w:p>
    <w:p w:rsidRPr="00CB5E59" w:rsidR="005939A5" w:rsidP="005939A5" w:rsidRDefault="005939A5" w14:paraId="02ACB914" w14:textId="77777777">
      <w:pPr>
        <w:pStyle w:val="Heading1"/>
      </w:pPr>
      <w:bookmarkStart w:name="_Toc8123723" w:id="28"/>
      <w:bookmarkStart w:name="_Toc12866693" w:id="29"/>
      <w:bookmarkStart w:name="_Toc121488173" w:id="30"/>
      <w:r w:rsidRPr="00CB5E59">
        <w:t>Comments on Proposed Decision</w:t>
      </w:r>
      <w:bookmarkEnd w:id="28"/>
      <w:bookmarkEnd w:id="29"/>
      <w:bookmarkEnd w:id="30"/>
    </w:p>
    <w:p w:rsidRPr="00CB5E59" w:rsidR="005939A5" w:rsidP="15DA13AE" w:rsidRDefault="009570AF" w14:paraId="663BBD4F" w14:textId="012862B5">
      <w:pPr>
        <w:pStyle w:val="Standard"/>
      </w:pPr>
      <w:r w:rsidRPr="00CB5E59">
        <w:t>The proposed decision of ALJ</w:t>
      </w:r>
      <w:r w:rsidRPr="00CB5E59" w:rsidR="00B63D52">
        <w:t>s Regina</w:t>
      </w:r>
      <w:r w:rsidRPr="00CB5E59" w:rsidR="00B13F51">
        <w:t> </w:t>
      </w:r>
      <w:r w:rsidRPr="00CB5E59" w:rsidR="00B63D52">
        <w:t>DeAngelis and John</w:t>
      </w:r>
      <w:r w:rsidRPr="00CB5E59" w:rsidR="00B13F51">
        <w:t> </w:t>
      </w:r>
      <w:r w:rsidRPr="00CB5E59" w:rsidR="00B63D52">
        <w:t>H.</w:t>
      </w:r>
      <w:r w:rsidRPr="00CB5E59" w:rsidR="00B13F51">
        <w:t> </w:t>
      </w:r>
      <w:r w:rsidRPr="00CB5E59" w:rsidR="00B63D52">
        <w:t xml:space="preserve">Larsen </w:t>
      </w:r>
      <w:r w:rsidRPr="00CB5E59" w:rsidR="76EC06C0">
        <w:t>in this matte</w:t>
      </w:r>
      <w:r w:rsidRPr="00CB5E59" w:rsidR="008C3615">
        <w:t xml:space="preserve">r </w:t>
      </w:r>
      <w:r w:rsidRPr="00CB5E59" w:rsidR="76EC06C0">
        <w:t>was mailed to the parties in accordance with Section</w:t>
      </w:r>
      <w:r w:rsidRPr="00CB5E59" w:rsidR="00B13F51">
        <w:t> </w:t>
      </w:r>
      <w:r w:rsidRPr="00CB5E59" w:rsidR="76EC06C0">
        <w:t>311 of the Pub</w:t>
      </w:r>
      <w:r w:rsidRPr="00CB5E59" w:rsidR="00B13F51">
        <w:t>. </w:t>
      </w:r>
      <w:r w:rsidRPr="00CB5E59" w:rsidR="76EC06C0">
        <w:t>Util</w:t>
      </w:r>
      <w:r w:rsidRPr="00CB5E59" w:rsidR="00B13F51">
        <w:t>.</w:t>
      </w:r>
      <w:r w:rsidRPr="00CB5E59" w:rsidR="76EC06C0">
        <w:t xml:space="preserve"> </w:t>
      </w:r>
      <w:r w:rsidRPr="00CB5E59" w:rsidR="089A63E5">
        <w:t>Code and comments were allowed under Rule</w:t>
      </w:r>
      <w:r w:rsidRPr="00CB5E59" w:rsidR="00B13F51">
        <w:t> </w:t>
      </w:r>
      <w:r w:rsidRPr="00CB5E59" w:rsidR="089A63E5">
        <w:t>14.3 of the Commission’s Rules of Practice and Procedure</w:t>
      </w:r>
      <w:r w:rsidRPr="00CB5E59" w:rsidR="7A9C6787">
        <w:t xml:space="preserve">. Comments were filed on </w:t>
      </w:r>
      <w:r w:rsidR="007C5AEB">
        <w:t xml:space="preserve">December 28, </w:t>
      </w:r>
      <w:proofErr w:type="gramStart"/>
      <w:r w:rsidR="007C5AEB">
        <w:t>2022</w:t>
      </w:r>
      <w:proofErr w:type="gramEnd"/>
      <w:r w:rsidR="007C5AEB">
        <w:t xml:space="preserve"> </w:t>
      </w:r>
      <w:r w:rsidRPr="00CB5E59" w:rsidR="7A9C6787">
        <w:t>by</w:t>
      </w:r>
      <w:r w:rsidR="007C5AEB">
        <w:t xml:space="preserve"> the Settling Parties</w:t>
      </w:r>
      <w:r w:rsidRPr="00CB5E59" w:rsidR="7A9C6787">
        <w:t>.</w:t>
      </w:r>
      <w:r w:rsidR="007C5AEB">
        <w:t xml:space="preserve"> </w:t>
      </w:r>
      <w:r w:rsidR="00F32027">
        <w:t>Minor revisions and corrections have been made to reflect</w:t>
      </w:r>
      <w:r w:rsidR="007C5AEB">
        <w:t xml:space="preserve"> the Settling Parties’ comments.</w:t>
      </w:r>
    </w:p>
    <w:p w:rsidRPr="00CB5E59" w:rsidR="005939A5" w:rsidP="00513718" w:rsidRDefault="005939A5" w14:paraId="67F44749" w14:textId="472EDF8F">
      <w:pPr>
        <w:pStyle w:val="Heading1"/>
      </w:pPr>
      <w:bookmarkStart w:name="_Toc8123724" w:id="31"/>
      <w:bookmarkStart w:name="_Toc12866694" w:id="32"/>
      <w:bookmarkStart w:name="_Toc121488174" w:id="33"/>
      <w:r w:rsidRPr="00CB5E59">
        <w:lastRenderedPageBreak/>
        <w:t>Assignment of Proceeding</w:t>
      </w:r>
      <w:bookmarkEnd w:id="31"/>
      <w:bookmarkEnd w:id="32"/>
      <w:bookmarkEnd w:id="33"/>
    </w:p>
    <w:p w:rsidRPr="00CB5E59" w:rsidR="005939A5" w:rsidP="006E6574" w:rsidRDefault="0013191F" w14:paraId="215F9CEE" w14:textId="5B28F726">
      <w:pPr>
        <w:pStyle w:val="Standard"/>
      </w:pPr>
      <w:bookmarkStart w:name="_Hlk118204775" w:id="34"/>
      <w:r w:rsidRPr="00CB5E59">
        <w:t>John</w:t>
      </w:r>
      <w:r w:rsidRPr="00CB5E59" w:rsidR="00513718">
        <w:t> </w:t>
      </w:r>
      <w:r w:rsidRPr="00CB5E59">
        <w:t xml:space="preserve">Reynolds </w:t>
      </w:r>
      <w:r w:rsidRPr="00CB5E59" w:rsidR="005939A5">
        <w:t xml:space="preserve">is the assigned Commissioner and </w:t>
      </w:r>
      <w:r w:rsidRPr="00CB5E59">
        <w:t>Regina</w:t>
      </w:r>
      <w:r w:rsidRPr="00CB5E59" w:rsidR="00513718">
        <w:t> </w:t>
      </w:r>
      <w:proofErr w:type="gramStart"/>
      <w:r w:rsidRPr="00CB5E59" w:rsidR="00646EE0">
        <w:t>DeAngelis</w:t>
      </w:r>
      <w:proofErr w:type="gramEnd"/>
      <w:r w:rsidRPr="00CB5E59">
        <w:t xml:space="preserve"> and John</w:t>
      </w:r>
      <w:r w:rsidRPr="00CB5E59" w:rsidR="00513718">
        <w:t> </w:t>
      </w:r>
      <w:r w:rsidRPr="00CB5E59">
        <w:t>H.</w:t>
      </w:r>
      <w:r w:rsidRPr="00CB5E59" w:rsidR="00513718">
        <w:t> </w:t>
      </w:r>
      <w:r w:rsidRPr="00CB5E59">
        <w:t xml:space="preserve">Larsen are the </w:t>
      </w:r>
      <w:r w:rsidRPr="00CB5E59" w:rsidR="005939A5">
        <w:t xml:space="preserve">assigned </w:t>
      </w:r>
      <w:r w:rsidRPr="00CB5E59" w:rsidR="001A7B27">
        <w:t>ALJs</w:t>
      </w:r>
      <w:r w:rsidRPr="00CB5E59" w:rsidR="005939A5">
        <w:t xml:space="preserve"> in this proceeding.</w:t>
      </w:r>
    </w:p>
    <w:p w:rsidRPr="00CB5E59" w:rsidR="005939A5" w:rsidP="005939A5" w:rsidRDefault="005939A5" w14:paraId="6C140F08" w14:textId="77777777">
      <w:pPr>
        <w:pStyle w:val="Dummy"/>
      </w:pPr>
      <w:bookmarkStart w:name="_Toc8123725" w:id="35"/>
      <w:bookmarkStart w:name="_Toc12866695" w:id="36"/>
      <w:bookmarkStart w:name="_Toc121488175" w:id="37"/>
      <w:bookmarkEnd w:id="34"/>
      <w:r w:rsidRPr="00CB5E59">
        <w:t>Findings of Fact</w:t>
      </w:r>
      <w:bookmarkEnd w:id="35"/>
      <w:bookmarkEnd w:id="36"/>
      <w:bookmarkEnd w:id="37"/>
    </w:p>
    <w:p w:rsidRPr="00CB5E59" w:rsidR="0013191F" w:rsidP="001A7B27" w:rsidRDefault="6464203C" w14:paraId="64C0F692" w14:textId="15F01846">
      <w:pPr>
        <w:pStyle w:val="FoF"/>
        <w:numPr>
          <w:ilvl w:val="0"/>
          <w:numId w:val="0"/>
        </w:numPr>
        <w:ind w:firstLine="360"/>
      </w:pPr>
      <w:bookmarkStart w:name="_Hlk118100715" w:id="38"/>
      <w:r w:rsidRPr="00CB5E59">
        <w:t>1.</w:t>
      </w:r>
      <w:r w:rsidRPr="00CB5E59" w:rsidR="1B625111">
        <w:tab/>
      </w:r>
      <w:r w:rsidRPr="00CB5E59" w:rsidR="1582800B">
        <w:t>The Settling Parties held a settlement conference on September</w:t>
      </w:r>
      <w:r w:rsidRPr="00CB5E59" w:rsidR="00513718">
        <w:t> </w:t>
      </w:r>
      <w:r w:rsidRPr="00CB5E59" w:rsidR="1582800B">
        <w:t>28,</w:t>
      </w:r>
      <w:r w:rsidRPr="00CB5E59" w:rsidR="00513718">
        <w:t> </w:t>
      </w:r>
      <w:r w:rsidRPr="00CB5E59" w:rsidR="1582800B">
        <w:t>2022, as required by Rule</w:t>
      </w:r>
      <w:r w:rsidRPr="00CB5E59" w:rsidR="00513718">
        <w:t> </w:t>
      </w:r>
      <w:r w:rsidRPr="00CB5E59" w:rsidR="1582800B">
        <w:t>12.1(b) with notice to all parties to the proceeding.</w:t>
      </w:r>
    </w:p>
    <w:bookmarkEnd w:id="38"/>
    <w:p w:rsidRPr="00CB5E59" w:rsidR="5E65ED92" w:rsidP="001A7B27" w:rsidRDefault="5E65ED92" w14:paraId="53BBF622" w14:textId="612402C7">
      <w:pPr>
        <w:pStyle w:val="FoF"/>
        <w:numPr>
          <w:ilvl w:val="0"/>
          <w:numId w:val="0"/>
        </w:numPr>
        <w:ind w:firstLine="360"/>
      </w:pPr>
      <w:r w:rsidRPr="00CB5E59">
        <w:t>2.</w:t>
      </w:r>
      <w:r w:rsidRPr="00CB5E59">
        <w:tab/>
      </w:r>
      <w:r w:rsidRPr="00CB5E59" w:rsidR="3F399E09">
        <w:t>The c</w:t>
      </w:r>
      <w:r w:rsidRPr="00CB5E59">
        <w:t xml:space="preserve">ost of </w:t>
      </w:r>
      <w:r w:rsidRPr="00CB5E59" w:rsidR="2F4772FA">
        <w:t xml:space="preserve">commercial insurance to cover </w:t>
      </w:r>
      <w:r w:rsidRPr="00CB5E59" w:rsidR="1143B011">
        <w:t xml:space="preserve">PG&amp;E’s wildfire liability </w:t>
      </w:r>
      <w:r w:rsidRPr="00CB5E59" w:rsidR="675696E8">
        <w:t xml:space="preserve">is </w:t>
      </w:r>
      <w:r w:rsidRPr="00CB5E59" w:rsidR="78CC9280">
        <w:t xml:space="preserve">up </w:t>
      </w:r>
      <w:r w:rsidRPr="00CB5E59" w:rsidR="3C10C4B6">
        <w:t>t</w:t>
      </w:r>
      <w:r w:rsidRPr="00CB5E59" w:rsidR="22E66DC7">
        <w:t xml:space="preserve">o </w:t>
      </w:r>
      <w:r w:rsidRPr="00CB5E59" w:rsidR="3C10C4B6">
        <w:t>80</w:t>
      </w:r>
      <w:r w:rsidRPr="00CB5E59" w:rsidR="00513718">
        <w:t> </w:t>
      </w:r>
      <w:r w:rsidRPr="00CB5E59" w:rsidR="3C10C4B6">
        <w:t>percent of the coverage</w:t>
      </w:r>
      <w:r w:rsidRPr="00CB5E59" w:rsidR="654C8DEE">
        <w:t xml:space="preserve"> it would provide.</w:t>
      </w:r>
    </w:p>
    <w:p w:rsidRPr="00CB5E59" w:rsidR="3BCF5EFE" w:rsidP="001A7B27" w:rsidRDefault="3BCF5EFE" w14:paraId="7665A079" w14:textId="26812FD2">
      <w:pPr>
        <w:pStyle w:val="FoF"/>
        <w:numPr>
          <w:ilvl w:val="0"/>
          <w:numId w:val="0"/>
        </w:numPr>
        <w:ind w:firstLine="360"/>
      </w:pPr>
      <w:r w:rsidRPr="00CB5E59">
        <w:t>3.</w:t>
      </w:r>
      <w:r w:rsidRPr="00CB5E59">
        <w:tab/>
        <w:t>The Wildfire Fund will limit PG&amp;E’s annual wildfire liability to the annual Wildfire Fund deductible of $1</w:t>
      </w:r>
      <w:r w:rsidRPr="00CB5E59" w:rsidR="00513718">
        <w:t> </w:t>
      </w:r>
      <w:r w:rsidRPr="00CB5E59">
        <w:t>billion.</w:t>
      </w:r>
    </w:p>
    <w:p w:rsidRPr="00CB5E59" w:rsidR="00F2271D" w:rsidP="001A7B27" w:rsidRDefault="0B53B92D" w14:paraId="7E5584E7" w14:textId="1EF4DB85">
      <w:pPr>
        <w:pStyle w:val="FoF"/>
        <w:numPr>
          <w:ilvl w:val="0"/>
          <w:numId w:val="0"/>
        </w:numPr>
        <w:ind w:firstLine="360"/>
      </w:pPr>
      <w:r w:rsidRPr="00CB5E59">
        <w:t>4</w:t>
      </w:r>
      <w:r w:rsidRPr="00CB5E59" w:rsidR="654C8DEE">
        <w:t>.</w:t>
      </w:r>
      <w:r w:rsidRPr="00CB5E59" w:rsidR="69176D7B">
        <w:tab/>
      </w:r>
      <w:r w:rsidRPr="00CB5E59" w:rsidR="78369A0F">
        <w:t xml:space="preserve">The Settlement reduces PG&amp;E’s </w:t>
      </w:r>
      <w:r w:rsidRPr="00CB5E59" w:rsidR="00FF566B">
        <w:t xml:space="preserve">proposed </w:t>
      </w:r>
      <w:r w:rsidRPr="00CB5E59" w:rsidR="78369A0F">
        <w:t>test</w:t>
      </w:r>
      <w:r w:rsidR="00C04427">
        <w:t>-</w:t>
      </w:r>
      <w:r w:rsidRPr="00CB5E59" w:rsidR="78369A0F">
        <w:t>year 2023 revenue requirement</w:t>
      </w:r>
      <w:r w:rsidRPr="00CB5E59" w:rsidDel="00FF566B" w:rsidR="78369A0F">
        <w:t xml:space="preserve"> </w:t>
      </w:r>
      <w:r w:rsidRPr="00CB5E59" w:rsidR="00FF566B">
        <w:t xml:space="preserve">for wildfire liability insurance from </w:t>
      </w:r>
      <w:r w:rsidRPr="00CB5E59" w:rsidR="1C12BF52">
        <w:t>$707 milli</w:t>
      </w:r>
      <w:r w:rsidRPr="00CB5E59" w:rsidR="2DB2D09B">
        <w:t>on</w:t>
      </w:r>
      <w:r w:rsidRPr="00CB5E59" w:rsidR="1C12BF52">
        <w:t xml:space="preserve"> to </w:t>
      </w:r>
      <w:r w:rsidRPr="00CB5E59" w:rsidR="78369A0F">
        <w:t>$400</w:t>
      </w:r>
      <w:r w:rsidRPr="00CB5E59" w:rsidR="00513718">
        <w:t> </w:t>
      </w:r>
      <w:r w:rsidRPr="00CB5E59" w:rsidR="78369A0F">
        <w:t>million</w:t>
      </w:r>
      <w:r w:rsidRPr="00CB5E59" w:rsidR="3B68C879">
        <w:t xml:space="preserve"> with adjustments for years 2024, 2025, and 2026, if </w:t>
      </w:r>
      <w:r w:rsidRPr="00CB5E59" w:rsidR="3C4E7152">
        <w:t>the estimated claims for wildfire events from the immediately preceding year exceed the amount collected for self-insurance in that same year.</w:t>
      </w:r>
    </w:p>
    <w:p w:rsidRPr="00CB5E59" w:rsidR="51AFF070" w:rsidP="001A7B27" w:rsidRDefault="51AFF070" w14:paraId="19293724" w14:textId="3D8B6515">
      <w:pPr>
        <w:pStyle w:val="FoF"/>
        <w:numPr>
          <w:ilvl w:val="0"/>
          <w:numId w:val="0"/>
        </w:numPr>
        <w:ind w:firstLine="360"/>
      </w:pPr>
      <w:r w:rsidRPr="00CB5E59">
        <w:t>5.</w:t>
      </w:r>
      <w:r w:rsidRPr="00CB5E59">
        <w:tab/>
      </w:r>
      <w:r w:rsidRPr="00CB5E59" w:rsidR="5C1655E0">
        <w:t>The total cost</w:t>
      </w:r>
      <w:r w:rsidRPr="00CB5E59" w:rsidR="0081572C">
        <w:t xml:space="preserve"> </w:t>
      </w:r>
      <w:r w:rsidRPr="00CB5E59" w:rsidR="00FE2C00">
        <w:t>reflected in the revenue requirement</w:t>
      </w:r>
      <w:r w:rsidRPr="00CB5E59" w:rsidR="5C1655E0">
        <w:t xml:space="preserve"> to PG&amp;E customers of the Settlement will depend on the total amount of eligible wildfire liability claims that PG&amp;E incurs during the 2023-2026 period.</w:t>
      </w:r>
    </w:p>
    <w:p w:rsidRPr="00CB5E59" w:rsidR="5C1655E0" w:rsidP="001A7B27" w:rsidRDefault="5C1655E0" w14:paraId="512B56C0" w14:textId="24CC67C0">
      <w:pPr>
        <w:pStyle w:val="FoF"/>
        <w:numPr>
          <w:ilvl w:val="0"/>
          <w:numId w:val="0"/>
        </w:numPr>
        <w:ind w:firstLine="360"/>
      </w:pPr>
      <w:r w:rsidRPr="00CB5E59">
        <w:t>6.</w:t>
      </w:r>
      <w:r w:rsidRPr="00CB5E59">
        <w:tab/>
        <w:t>In any year during the 2023-2026 period, PG&amp;E’s wildfire liability insurance cost through self-insurance pursuant to the Settlement is likely to be less than the cost of commercial</w:t>
      </w:r>
      <w:r w:rsidRPr="00CB5E59" w:rsidR="00FE2C00">
        <w:t xml:space="preserve"> insurance</w:t>
      </w:r>
      <w:r w:rsidRPr="00CB5E59">
        <w:t xml:space="preserve"> for $1 billion of coverage.</w:t>
      </w:r>
    </w:p>
    <w:p w:rsidRPr="00CB5E59" w:rsidR="00F2271D" w:rsidP="001A7B27" w:rsidRDefault="3B07A735" w14:paraId="01ABE3C4" w14:textId="13A16A78">
      <w:pPr>
        <w:pStyle w:val="FoF"/>
        <w:numPr>
          <w:ilvl w:val="0"/>
          <w:numId w:val="0"/>
        </w:numPr>
        <w:ind w:firstLine="360"/>
      </w:pPr>
      <w:r w:rsidRPr="00CB5E59">
        <w:t>7</w:t>
      </w:r>
      <w:r w:rsidRPr="00CB5E59" w:rsidR="6E377D5A">
        <w:t>.</w:t>
      </w:r>
      <w:r w:rsidRPr="00CB5E59" w:rsidR="00F2271D">
        <w:tab/>
      </w:r>
      <w:r w:rsidRPr="00CB5E59" w:rsidR="1C12BF52">
        <w:t>The potential impact of the</w:t>
      </w:r>
      <w:r w:rsidRPr="00CB5E59" w:rsidR="00FE2C00">
        <w:t xml:space="preserve"> S</w:t>
      </w:r>
      <w:r w:rsidRPr="00CB5E59" w:rsidR="1C12BF52">
        <w:t>ettlement also includes:</w:t>
      </w:r>
    </w:p>
    <w:p w:rsidRPr="00CB5E59" w:rsidR="00F2271D" w:rsidP="001A7B27" w:rsidRDefault="78369A0F" w14:paraId="416BDDC3" w14:textId="633D8AE9">
      <w:pPr>
        <w:pStyle w:val="FoF"/>
        <w:numPr>
          <w:ilvl w:val="1"/>
          <w:numId w:val="7"/>
        </w:numPr>
        <w:spacing w:after="120" w:line="240" w:lineRule="auto"/>
        <w:ind w:left="1440" w:right="1440" w:hanging="360"/>
      </w:pPr>
      <w:r w:rsidRPr="00CB5E59">
        <w:t>Additional sav</w:t>
      </w:r>
      <w:r w:rsidRPr="00CB5E59" w:rsidR="1C12BF52">
        <w:t xml:space="preserve">ings in </w:t>
      </w:r>
      <w:r w:rsidRPr="00CB5E59">
        <w:t>avoided fees and taxes tied to third-party insurance coverage, amounting to at least approximately $14</w:t>
      </w:r>
      <w:r w:rsidRPr="00CB5E59" w:rsidR="00513718">
        <w:t> </w:t>
      </w:r>
      <w:r w:rsidRPr="00CB5E59">
        <w:t>million in 2023 that PG&amp;E would not need to collect from ratepayers under the proposed self</w:t>
      </w:r>
      <w:r w:rsidRPr="00CB5E59" w:rsidR="001A7B27">
        <w:noBreakHyphen/>
      </w:r>
      <w:r w:rsidRPr="00CB5E59">
        <w:t>insurance structure.</w:t>
      </w:r>
      <w:r w:rsidRPr="00CB5E59" w:rsidR="1C12BF52">
        <w:t xml:space="preserve"> </w:t>
      </w:r>
    </w:p>
    <w:p w:rsidRPr="00CB5E59" w:rsidR="00FF759E" w:rsidP="001A7B27" w:rsidRDefault="7BC538CB" w14:paraId="66D98719" w14:textId="630711BE">
      <w:pPr>
        <w:pStyle w:val="FoF"/>
        <w:numPr>
          <w:ilvl w:val="1"/>
          <w:numId w:val="7"/>
        </w:numPr>
        <w:spacing w:after="120" w:line="240" w:lineRule="auto"/>
        <w:ind w:left="1440" w:right="1440" w:hanging="360"/>
      </w:pPr>
      <w:bookmarkStart w:name="_Hlk117851188" w:id="39"/>
      <w:r w:rsidRPr="00CB5E59">
        <w:lastRenderedPageBreak/>
        <w:t>The</w:t>
      </w:r>
      <w:r w:rsidRPr="00CB5E59" w:rsidR="00FE2C00">
        <w:t xml:space="preserve"> </w:t>
      </w:r>
      <w:r w:rsidRPr="00CB5E59">
        <w:t>Settlement provides for investment of the self</w:t>
      </w:r>
      <w:r w:rsidRPr="00CB5E59" w:rsidR="001A7B27">
        <w:noBreakHyphen/>
      </w:r>
      <w:r w:rsidRPr="00CB5E59">
        <w:t>insurance funds, with a return that will provide an additional contribution to the amount of accrued funds and could serve to reduce the total amount collected from PG&amp;E customers.</w:t>
      </w:r>
      <w:bookmarkStart w:name="_Hlk116660617" w:id="40"/>
      <w:bookmarkEnd w:id="39"/>
    </w:p>
    <w:p w:rsidRPr="00CB5E59" w:rsidR="21461AF5" w:rsidP="007347EB" w:rsidRDefault="007347EB" w14:paraId="3E554145" w14:textId="2A786134">
      <w:pPr>
        <w:pStyle w:val="FoF"/>
        <w:numPr>
          <w:ilvl w:val="0"/>
          <w:numId w:val="0"/>
        </w:numPr>
        <w:ind w:firstLine="360"/>
      </w:pPr>
      <w:r>
        <w:t>8.</w:t>
      </w:r>
      <w:r>
        <w:tab/>
      </w:r>
      <w:r w:rsidRPr="00CB5E59" w:rsidR="1C12BF52">
        <w:t xml:space="preserve">PG&amp;E </w:t>
      </w:r>
      <w:r w:rsidRPr="00CB5E59" w:rsidR="00DF50FD">
        <w:t xml:space="preserve">commits </w:t>
      </w:r>
      <w:r w:rsidRPr="00CB5E59" w:rsidR="1C12BF52">
        <w:t xml:space="preserve">to </w:t>
      </w:r>
      <w:r w:rsidRPr="00CB5E59" w:rsidR="00AA5404">
        <w:t>seek</w:t>
      </w:r>
      <w:r w:rsidR="00E426DB">
        <w:t>ing</w:t>
      </w:r>
      <w:r w:rsidRPr="00CB5E59" w:rsidR="00AA5404">
        <w:t xml:space="preserve"> </w:t>
      </w:r>
      <w:r w:rsidRPr="00CB5E59" w:rsidR="00C76A34">
        <w:t>a portion</w:t>
      </w:r>
      <w:r w:rsidRPr="00CB5E59" w:rsidR="78369A0F">
        <w:t xml:space="preserve"> of wildfire</w:t>
      </w:r>
      <w:r w:rsidRPr="00CB5E59" w:rsidR="00FF759E">
        <w:t xml:space="preserve"> </w:t>
      </w:r>
      <w:r w:rsidRPr="00CB5E59" w:rsidR="78369A0F">
        <w:t>liability self</w:t>
      </w:r>
      <w:r w:rsidRPr="00CB5E59" w:rsidR="1C12BF52">
        <w:t>-</w:t>
      </w:r>
      <w:r w:rsidRPr="00CB5E59" w:rsidR="78369A0F">
        <w:t>insurance costs in the utility’s FERC-jurisdictional revenue requirement for the 2024-2026 period</w:t>
      </w:r>
      <w:r w:rsidRPr="00CB5E59" w:rsidR="00263FAE">
        <w:t>,</w:t>
      </w:r>
      <w:r w:rsidRPr="00CB5E59" w:rsidR="005902CD">
        <w:t xml:space="preserve"> </w:t>
      </w:r>
      <w:r w:rsidRPr="00CB5E59" w:rsidR="78369A0F">
        <w:t xml:space="preserve">reducing the total amount collected in </w:t>
      </w:r>
      <w:r w:rsidR="00E426DB">
        <w:t xml:space="preserve">the </w:t>
      </w:r>
      <w:r w:rsidRPr="00CB5E59" w:rsidR="78369A0F">
        <w:t>CPUC-jurisdictional revenue requirement.</w:t>
      </w:r>
      <w:bookmarkEnd w:id="40"/>
    </w:p>
    <w:p w:rsidRPr="00CB5E59" w:rsidR="00F62B7A" w:rsidP="001A7B27" w:rsidRDefault="00FF759E" w14:paraId="61AAAB06" w14:textId="6FC6B77D">
      <w:pPr>
        <w:pStyle w:val="FoF"/>
        <w:numPr>
          <w:ilvl w:val="0"/>
          <w:numId w:val="0"/>
        </w:numPr>
        <w:ind w:firstLine="360"/>
      </w:pPr>
      <w:r w:rsidRPr="00CB5E59">
        <w:t>9.</w:t>
      </w:r>
      <w:r w:rsidRPr="00CB5E59">
        <w:tab/>
      </w:r>
      <w:r w:rsidRPr="00CB5E59" w:rsidR="4CA423A8">
        <w:t xml:space="preserve">On </w:t>
      </w:r>
      <w:r w:rsidRPr="00CB5E59" w:rsidR="78369A0F">
        <w:t>October</w:t>
      </w:r>
      <w:r w:rsidRPr="00CB5E59" w:rsidR="00513718">
        <w:t> </w:t>
      </w:r>
      <w:r w:rsidRPr="00CB5E59" w:rsidR="78369A0F">
        <w:t>7,</w:t>
      </w:r>
      <w:r w:rsidRPr="00CB5E59" w:rsidR="00513718">
        <w:t> </w:t>
      </w:r>
      <w:r w:rsidRPr="00CB5E59" w:rsidR="78369A0F">
        <w:t>2022, the Settling Parties jointly moved for approval of the Settlement</w:t>
      </w:r>
      <w:r w:rsidRPr="00CB5E59" w:rsidR="008C2526">
        <w:t xml:space="preserve"> </w:t>
      </w:r>
      <w:r w:rsidRPr="00CB5E59" w:rsidR="78369A0F">
        <w:t>regarding the structure and funding of liability insurance for third-party wildfire claims.</w:t>
      </w:r>
    </w:p>
    <w:p w:rsidRPr="00CB5E59" w:rsidR="7CBE2036" w:rsidP="001A7B27" w:rsidRDefault="00FF759E" w14:paraId="2C24EDF0" w14:textId="627526A5">
      <w:pPr>
        <w:pStyle w:val="FoF"/>
        <w:numPr>
          <w:ilvl w:val="0"/>
          <w:numId w:val="0"/>
        </w:numPr>
        <w:ind w:firstLine="180"/>
      </w:pPr>
      <w:r w:rsidRPr="00CB5E59">
        <w:t>10.</w:t>
      </w:r>
      <w:r w:rsidRPr="00CB5E59">
        <w:tab/>
      </w:r>
      <w:r w:rsidRPr="00CB5E59" w:rsidR="6C4211A5">
        <w:t>No</w:t>
      </w:r>
      <w:r w:rsidRPr="00CB5E59" w:rsidR="4CA423A8">
        <w:t xml:space="preserve"> party </w:t>
      </w:r>
      <w:r w:rsidRPr="00CB5E59" w:rsidR="6C4211A5">
        <w:t>oppos</w:t>
      </w:r>
      <w:r w:rsidRPr="00CB5E59" w:rsidR="008C2526">
        <w:t>ed</w:t>
      </w:r>
      <w:r w:rsidRPr="00CB5E59" w:rsidR="6C4211A5">
        <w:t xml:space="preserve"> the Settlement.</w:t>
      </w:r>
      <w:r w:rsidRPr="00CB5E59" w:rsidR="008C2526">
        <w:t xml:space="preserve">  This is not an all-party settlement</w:t>
      </w:r>
      <w:r w:rsidRPr="00CB5E59" w:rsidR="00263FAE">
        <w:t xml:space="preserve">, </w:t>
      </w:r>
      <w:r w:rsidRPr="00CB5E59" w:rsidR="006230C3">
        <w:t xml:space="preserve">as it is </w:t>
      </w:r>
      <w:r w:rsidRPr="00CB5E59" w:rsidR="00B9035F">
        <w:t>filed by PG&amp;E, TURN, and Cal Advocates.</w:t>
      </w:r>
    </w:p>
    <w:p w:rsidRPr="00CB5E59" w:rsidR="005939A5" w:rsidP="005939A5" w:rsidRDefault="005939A5" w14:paraId="41F60482" w14:textId="77777777">
      <w:pPr>
        <w:pStyle w:val="Dummy"/>
      </w:pPr>
      <w:bookmarkStart w:name="_Toc8123726" w:id="41"/>
      <w:bookmarkStart w:name="_Toc12866696" w:id="42"/>
      <w:bookmarkStart w:name="_Toc121488176" w:id="43"/>
      <w:r w:rsidRPr="00CB5E59">
        <w:t>Conclusions of Law</w:t>
      </w:r>
      <w:bookmarkEnd w:id="41"/>
      <w:bookmarkEnd w:id="42"/>
      <w:bookmarkEnd w:id="43"/>
    </w:p>
    <w:p w:rsidRPr="00CB5E59" w:rsidR="00EE717A" w:rsidP="001A7B27" w:rsidRDefault="456ABEFD" w14:paraId="0A28C8F7" w14:textId="61BF5284">
      <w:pPr>
        <w:pStyle w:val="CoL"/>
        <w:ind w:firstLine="360"/>
      </w:pPr>
      <w:r w:rsidRPr="00CB5E59">
        <w:t>1.</w:t>
      </w:r>
      <w:r w:rsidRPr="00CB5E59" w:rsidR="00EE717A">
        <w:tab/>
      </w:r>
      <w:r w:rsidRPr="00CB5E59" w:rsidR="0683375A">
        <w:t xml:space="preserve">Hearings on </w:t>
      </w:r>
      <w:r w:rsidRPr="00CB5E59" w:rsidDel="00B9035F" w:rsidR="0683375A">
        <w:t xml:space="preserve">the </w:t>
      </w:r>
      <w:r w:rsidRPr="00CB5E59" w:rsidR="0683375A">
        <w:t>Settlement are not necessary.</w:t>
      </w:r>
      <w:r w:rsidRPr="00CB5E59" w:rsidR="00EE717A">
        <w:tab/>
      </w:r>
    </w:p>
    <w:p w:rsidRPr="00CB5E59" w:rsidR="00EE717A" w:rsidP="001A7B27" w:rsidRDefault="29E86915" w14:paraId="32DAFCD8" w14:textId="38A1644A">
      <w:pPr>
        <w:pStyle w:val="CoL"/>
        <w:ind w:firstLine="360"/>
      </w:pPr>
      <w:r w:rsidRPr="00CB5E59">
        <w:t>2.</w:t>
      </w:r>
      <w:r w:rsidRPr="00CB5E59" w:rsidR="00EE717A">
        <w:tab/>
      </w:r>
      <w:r w:rsidRPr="00CB5E59" w:rsidR="6C4211A5">
        <w:t xml:space="preserve">The Settlement is consistent with PG&amp;E’s participation in the Wildfire Fund. </w:t>
      </w:r>
    </w:p>
    <w:p w:rsidRPr="00CB5E59" w:rsidR="590535A9" w:rsidP="001A7B27" w:rsidRDefault="261B1865" w14:paraId="15C98A77" w14:textId="7100E96F">
      <w:pPr>
        <w:pStyle w:val="CoL"/>
        <w:ind w:firstLine="360"/>
      </w:pPr>
      <w:r w:rsidRPr="00CB5E59">
        <w:t>3</w:t>
      </w:r>
      <w:r w:rsidRPr="00CB5E59" w:rsidR="18390BC5">
        <w:t>.</w:t>
      </w:r>
      <w:r w:rsidRPr="00CB5E59">
        <w:tab/>
      </w:r>
      <w:r w:rsidRPr="00CB5E59" w:rsidR="4CA423A8">
        <w:t>The</w:t>
      </w:r>
      <w:r w:rsidRPr="00CB5E59" w:rsidR="00B9035F">
        <w:t xml:space="preserve"> </w:t>
      </w:r>
      <w:r w:rsidRPr="00CB5E59" w:rsidR="00CF3009">
        <w:t>Settlement</w:t>
      </w:r>
      <w:r w:rsidRPr="00CB5E59" w:rsidR="4CA423A8">
        <w:t xml:space="preserve"> of </w:t>
      </w:r>
      <w:r w:rsidRPr="00CB5E59" w:rsidR="00B9035F">
        <w:t>PG&amp;E, Cal Advocates, and TURN</w:t>
      </w:r>
      <w:r w:rsidRPr="00CB5E59" w:rsidR="00F04189">
        <w:t xml:space="preserve"> </w:t>
      </w:r>
      <w:r w:rsidRPr="00CB5E59" w:rsidR="4CA423A8">
        <w:t xml:space="preserve">is reasonable </w:t>
      </w:r>
      <w:proofErr w:type="gramStart"/>
      <w:r w:rsidRPr="00CB5E59" w:rsidR="4CA423A8">
        <w:t>in light of</w:t>
      </w:r>
      <w:proofErr w:type="gramEnd"/>
      <w:r w:rsidRPr="00CB5E59" w:rsidR="4CA423A8">
        <w:t xml:space="preserve"> the whole record, consistent with law, and in the public interest. </w:t>
      </w:r>
    </w:p>
    <w:p w:rsidRPr="00CB5E59" w:rsidR="00BB0243" w:rsidP="00B4339B" w:rsidRDefault="005939A5" w14:paraId="459A5F20" w14:textId="77777777">
      <w:pPr>
        <w:pStyle w:val="Mainex"/>
        <w:spacing w:before="240" w:after="240"/>
      </w:pPr>
      <w:bookmarkStart w:name="_Toc12866697" w:id="44"/>
      <w:bookmarkStart w:name="_Toc121488177" w:id="45"/>
      <w:r w:rsidRPr="00CB5E59">
        <w:t>O</w:t>
      </w:r>
      <w:r w:rsidRPr="00CB5E59" w:rsidR="00722850">
        <w:t>RDER</w:t>
      </w:r>
      <w:bookmarkEnd w:id="44"/>
      <w:bookmarkEnd w:id="45"/>
    </w:p>
    <w:p w:rsidRPr="00CB5E59" w:rsidR="00BB0243" w:rsidP="000A6E05" w:rsidRDefault="00BB0243" w14:paraId="4E403068" w14:textId="77777777">
      <w:pPr>
        <w:keepNext/>
      </w:pPr>
      <w:r w:rsidRPr="00CB5E59">
        <w:rPr>
          <w:b/>
        </w:rPr>
        <w:t>IT IS ORDERED</w:t>
      </w:r>
      <w:r w:rsidRPr="00CB5E59">
        <w:t xml:space="preserve"> that:</w:t>
      </w:r>
    </w:p>
    <w:p w:rsidRPr="00CB5E59" w:rsidR="00FC0D91" w:rsidP="001E2A62" w:rsidRDefault="00FC0D91" w14:paraId="485281E8" w14:textId="31FA4FDD">
      <w:pPr>
        <w:pStyle w:val="OP"/>
      </w:pPr>
      <w:r w:rsidRPr="00CB5E59">
        <w:t xml:space="preserve">The </w:t>
      </w:r>
      <w:r w:rsidRPr="00CB5E59" w:rsidR="00FA2C05">
        <w:t>S</w:t>
      </w:r>
      <w:r w:rsidRPr="00CB5E59">
        <w:t xml:space="preserve">ettlement of Pacific Gas and Electric Company, the Public Advocates Office at the California Public Utilities Commission, and The Utility Reform Network dated October 7, </w:t>
      </w:r>
      <w:proofErr w:type="gramStart"/>
      <w:r w:rsidRPr="00CB5E59">
        <w:t>2022</w:t>
      </w:r>
      <w:proofErr w:type="gramEnd"/>
      <w:r w:rsidRPr="00CB5E59">
        <w:t xml:space="preserve"> is approved</w:t>
      </w:r>
      <w:r w:rsidRPr="00CB5E59" w:rsidR="003E68D5">
        <w:t xml:space="preserve"> consistent with this decision. </w:t>
      </w:r>
    </w:p>
    <w:p w:rsidRPr="00CB5E59" w:rsidR="00915F84" w:rsidP="00915F84" w:rsidRDefault="00915F84" w14:paraId="685CE856" w14:textId="6AD69F22">
      <w:pPr>
        <w:pStyle w:val="OP"/>
      </w:pPr>
      <w:r w:rsidRPr="00CB5E59">
        <w:t xml:space="preserve">To implement the </w:t>
      </w:r>
      <w:r w:rsidRPr="00CB5E59" w:rsidR="00962CDA">
        <w:t>Settlement</w:t>
      </w:r>
      <w:r w:rsidRPr="00CB5E59">
        <w:t xml:space="preserve">, </w:t>
      </w:r>
      <w:r w:rsidRPr="00CB5E59" w:rsidR="00FA2C05">
        <w:t>Pacific Gas and Electric Company (</w:t>
      </w:r>
      <w:r w:rsidRPr="00CB5E59">
        <w:t>P</w:t>
      </w:r>
      <w:r w:rsidRPr="00CB5E59" w:rsidR="00D54D20">
        <w:t>G&amp;E</w:t>
      </w:r>
      <w:r w:rsidRPr="00CB5E59" w:rsidR="00FA2C05">
        <w:t>)</w:t>
      </w:r>
      <w:r w:rsidRPr="00CB5E59" w:rsidR="00D54D20">
        <w:t xml:space="preserve"> </w:t>
      </w:r>
      <w:r w:rsidRPr="00CB5E59">
        <w:t xml:space="preserve">shall </w:t>
      </w:r>
      <w:r w:rsidRPr="00CB5E59" w:rsidR="00D54D20">
        <w:t xml:space="preserve">file </w:t>
      </w:r>
      <w:r w:rsidRPr="00CB5E59">
        <w:t>the following advice letters</w:t>
      </w:r>
      <w:r w:rsidRPr="00CB5E59" w:rsidR="00FA2C05">
        <w:t>:</w:t>
      </w:r>
      <w:r w:rsidRPr="00CB5E59">
        <w:t xml:space="preserve"> </w:t>
      </w:r>
    </w:p>
    <w:p w:rsidRPr="00CB5E59" w:rsidR="00F2271D" w:rsidP="001A7B27" w:rsidRDefault="7667EEFE" w14:paraId="0C71CBCF" w14:textId="7F0DAEF3">
      <w:pPr>
        <w:pStyle w:val="OP"/>
        <w:numPr>
          <w:ilvl w:val="1"/>
          <w:numId w:val="32"/>
        </w:numPr>
        <w:spacing w:after="120" w:line="240" w:lineRule="auto"/>
        <w:ind w:left="1080" w:right="1440" w:hanging="360"/>
        <w:rPr>
          <w:szCs w:val="26"/>
        </w:rPr>
      </w:pPr>
      <w:r w:rsidRPr="00CB5E59">
        <w:rPr>
          <w:szCs w:val="26"/>
        </w:rPr>
        <w:lastRenderedPageBreak/>
        <w:t xml:space="preserve">Starting </w:t>
      </w:r>
      <w:r w:rsidRPr="00CB5E59" w:rsidR="00251426">
        <w:rPr>
          <w:szCs w:val="26"/>
        </w:rPr>
        <w:t>on or before April 1,</w:t>
      </w:r>
      <w:r w:rsidRPr="00CB5E59">
        <w:rPr>
          <w:szCs w:val="26"/>
        </w:rPr>
        <w:t xml:space="preserve"> 2024, </w:t>
      </w:r>
      <w:r w:rsidRPr="00CB5E59" w:rsidR="00D40D18">
        <w:rPr>
          <w:szCs w:val="26"/>
        </w:rPr>
        <w:t xml:space="preserve">2025, </w:t>
      </w:r>
      <w:r w:rsidRPr="00CB5E59" w:rsidR="00251426">
        <w:rPr>
          <w:szCs w:val="26"/>
        </w:rPr>
        <w:t xml:space="preserve">and </w:t>
      </w:r>
      <w:r w:rsidRPr="00CB5E59" w:rsidR="00D40D18">
        <w:rPr>
          <w:szCs w:val="26"/>
        </w:rPr>
        <w:t xml:space="preserve">2026, </w:t>
      </w:r>
      <w:r w:rsidRPr="00CB5E59" w:rsidR="5B3E3982">
        <w:rPr>
          <w:szCs w:val="26"/>
        </w:rPr>
        <w:t xml:space="preserve">PG&amp;E </w:t>
      </w:r>
      <w:r w:rsidRPr="00CB5E59">
        <w:rPr>
          <w:szCs w:val="26"/>
        </w:rPr>
        <w:t xml:space="preserve">shall file </w:t>
      </w:r>
      <w:r w:rsidRPr="00CB5E59" w:rsidR="6EDFF18F">
        <w:rPr>
          <w:szCs w:val="26"/>
        </w:rPr>
        <w:t>a Tier</w:t>
      </w:r>
      <w:r w:rsidRPr="00CB5E59" w:rsidR="00513718">
        <w:rPr>
          <w:szCs w:val="26"/>
        </w:rPr>
        <w:t> </w:t>
      </w:r>
      <w:r w:rsidRPr="00CB5E59" w:rsidR="6EDFF18F">
        <w:rPr>
          <w:szCs w:val="26"/>
        </w:rPr>
        <w:t xml:space="preserve">2 Advice Letter </w:t>
      </w:r>
      <w:r w:rsidRPr="00CB5E59" w:rsidR="00D40D18">
        <w:rPr>
          <w:szCs w:val="26"/>
        </w:rPr>
        <w:t>that</w:t>
      </w:r>
      <w:r w:rsidRPr="00CB5E59" w:rsidR="453FDCC6">
        <w:rPr>
          <w:szCs w:val="26"/>
        </w:rPr>
        <w:t xml:space="preserve"> </w:t>
      </w:r>
      <w:r w:rsidRPr="00CB5E59" w:rsidR="6EDFF18F">
        <w:rPr>
          <w:szCs w:val="26"/>
        </w:rPr>
        <w:t>include</w:t>
      </w:r>
      <w:r w:rsidRPr="00CB5E59" w:rsidR="00D40D18">
        <w:rPr>
          <w:szCs w:val="26"/>
        </w:rPr>
        <w:t xml:space="preserve">s </w:t>
      </w:r>
      <w:r w:rsidRPr="00CB5E59" w:rsidR="6EDFF18F">
        <w:rPr>
          <w:szCs w:val="26"/>
        </w:rPr>
        <w:t>the claims activity for the prior year and show</w:t>
      </w:r>
      <w:r w:rsidRPr="00CB5E59" w:rsidR="00D40D18">
        <w:rPr>
          <w:szCs w:val="26"/>
        </w:rPr>
        <w:t>s</w:t>
      </w:r>
      <w:r w:rsidRPr="00CB5E59" w:rsidR="6EDFF18F">
        <w:rPr>
          <w:szCs w:val="26"/>
        </w:rPr>
        <w:t xml:space="preserve"> the calculation of the revenue requirement to be included in rates for the following year under the </w:t>
      </w:r>
      <w:r w:rsidRPr="00CB5E59" w:rsidR="51A49AFE">
        <w:rPr>
          <w:szCs w:val="26"/>
        </w:rPr>
        <w:t>a</w:t>
      </w:r>
      <w:r w:rsidRPr="00CB5E59" w:rsidR="5CA9D932">
        <w:rPr>
          <w:szCs w:val="26"/>
        </w:rPr>
        <w:t xml:space="preserve">djustment </w:t>
      </w:r>
      <w:r w:rsidRPr="00CB5E59" w:rsidR="3C123B3A">
        <w:rPr>
          <w:szCs w:val="26"/>
        </w:rPr>
        <w:t>m</w:t>
      </w:r>
      <w:r w:rsidRPr="00CB5E59" w:rsidR="5CA9D932">
        <w:rPr>
          <w:szCs w:val="26"/>
        </w:rPr>
        <w:t>echanism</w:t>
      </w:r>
      <w:r w:rsidRPr="00CB5E59" w:rsidR="100C608D">
        <w:rPr>
          <w:szCs w:val="26"/>
        </w:rPr>
        <w:t xml:space="preserve"> in Section</w:t>
      </w:r>
      <w:r w:rsidRPr="00CB5E59" w:rsidR="00513718">
        <w:rPr>
          <w:szCs w:val="26"/>
        </w:rPr>
        <w:t> </w:t>
      </w:r>
      <w:r w:rsidRPr="00CB5E59" w:rsidR="100C608D">
        <w:rPr>
          <w:szCs w:val="26"/>
        </w:rPr>
        <w:t>3.2.2 of the Settlement</w:t>
      </w:r>
      <w:r w:rsidRPr="00CB5E59">
        <w:rPr>
          <w:szCs w:val="26"/>
        </w:rPr>
        <w:t>, effective January 1 of that year.</w:t>
      </w:r>
      <w:r w:rsidRPr="00CB5E59" w:rsidR="453FDCC6">
        <w:rPr>
          <w:szCs w:val="26"/>
        </w:rPr>
        <w:t xml:space="preserve"> To expedite the adjustment of the revenue requirement, </w:t>
      </w:r>
      <w:r w:rsidRPr="00CB5E59" w:rsidR="6EDFF18F">
        <w:rPr>
          <w:szCs w:val="26"/>
        </w:rPr>
        <w:t xml:space="preserve">PG&amp;E may file a Tier 2 Advice Letter providing its best estimate of </w:t>
      </w:r>
      <w:r w:rsidRPr="00CB5E59" w:rsidR="00263FAE">
        <w:rPr>
          <w:szCs w:val="26"/>
        </w:rPr>
        <w:t>s</w:t>
      </w:r>
      <w:r w:rsidRPr="00CB5E59" w:rsidR="6EDFF18F">
        <w:rPr>
          <w:szCs w:val="26"/>
        </w:rPr>
        <w:t>elf-</w:t>
      </w:r>
      <w:r w:rsidRPr="00CB5E59" w:rsidR="00263FAE">
        <w:rPr>
          <w:szCs w:val="26"/>
        </w:rPr>
        <w:t>i</w:t>
      </w:r>
      <w:r w:rsidRPr="00CB5E59" w:rsidR="6EDFF18F">
        <w:rPr>
          <w:szCs w:val="26"/>
        </w:rPr>
        <w:t xml:space="preserve">nsurance </w:t>
      </w:r>
      <w:r w:rsidRPr="00CB5E59" w:rsidR="00263FAE">
        <w:rPr>
          <w:szCs w:val="26"/>
        </w:rPr>
        <w:t>c</w:t>
      </w:r>
      <w:r w:rsidRPr="00CB5E59" w:rsidR="6EDFF18F">
        <w:rPr>
          <w:szCs w:val="26"/>
        </w:rPr>
        <w:t xml:space="preserve">osts for the year such that any adjustments to the revenue requirement may be implemented on January 1st of the following year or as soon as practicable thereafter. </w:t>
      </w:r>
      <w:r w:rsidRPr="00CB5E59" w:rsidR="453FDCC6">
        <w:rPr>
          <w:szCs w:val="26"/>
        </w:rPr>
        <w:t>PG&amp;E may also file two additional advice letters throughout the year to inform the Commission of material changes to self-insurance cost data.</w:t>
      </w:r>
      <w:r w:rsidRPr="00CB5E59" w:rsidR="59C7AA09">
        <w:rPr>
          <w:szCs w:val="26"/>
        </w:rPr>
        <w:t xml:space="preserve"> </w:t>
      </w:r>
      <w:r w:rsidRPr="00CB5E59" w:rsidR="6EDFF18F">
        <w:rPr>
          <w:szCs w:val="26"/>
        </w:rPr>
        <w:t xml:space="preserve">The </w:t>
      </w:r>
      <w:r w:rsidRPr="00CB5E59" w:rsidR="59C7AA09">
        <w:rPr>
          <w:szCs w:val="26"/>
        </w:rPr>
        <w:t>a</w:t>
      </w:r>
      <w:r w:rsidRPr="00CB5E59" w:rsidR="6EDFF18F">
        <w:rPr>
          <w:szCs w:val="26"/>
        </w:rPr>
        <w:t xml:space="preserve">dvice </w:t>
      </w:r>
      <w:r w:rsidRPr="00CB5E59" w:rsidR="59C7AA09">
        <w:rPr>
          <w:szCs w:val="26"/>
        </w:rPr>
        <w:t>l</w:t>
      </w:r>
      <w:r w:rsidRPr="00CB5E59" w:rsidR="6EDFF18F">
        <w:rPr>
          <w:szCs w:val="26"/>
        </w:rPr>
        <w:t xml:space="preserve">etter process described in Section 3.7 </w:t>
      </w:r>
      <w:r w:rsidR="00C04427">
        <w:rPr>
          <w:szCs w:val="26"/>
        </w:rPr>
        <w:t xml:space="preserve">of </w:t>
      </w:r>
      <w:r w:rsidRPr="00CB5E59" w:rsidR="59C7AA09">
        <w:rPr>
          <w:szCs w:val="26"/>
        </w:rPr>
        <w:t xml:space="preserve">the </w:t>
      </w:r>
      <w:r w:rsidRPr="00CB5E59" w:rsidR="00962CDA">
        <w:rPr>
          <w:szCs w:val="26"/>
        </w:rPr>
        <w:t>Settlement</w:t>
      </w:r>
      <w:r w:rsidRPr="00CB5E59" w:rsidR="59C7AA09">
        <w:rPr>
          <w:szCs w:val="26"/>
        </w:rPr>
        <w:t xml:space="preserve"> </w:t>
      </w:r>
      <w:r w:rsidRPr="00CB5E59" w:rsidR="6EDFF18F">
        <w:rPr>
          <w:szCs w:val="26"/>
        </w:rPr>
        <w:t xml:space="preserve">will continue </w:t>
      </w:r>
      <w:r w:rsidRPr="00CB5E59" w:rsidR="59C7AA09">
        <w:rPr>
          <w:szCs w:val="26"/>
        </w:rPr>
        <w:t xml:space="preserve">until modified by the next </w:t>
      </w:r>
      <w:r w:rsidRPr="00CB5E59" w:rsidR="3D809332">
        <w:rPr>
          <w:szCs w:val="26"/>
        </w:rPr>
        <w:t>general rate case</w:t>
      </w:r>
      <w:r w:rsidRPr="00CB5E59" w:rsidR="3683684D">
        <w:rPr>
          <w:szCs w:val="26"/>
        </w:rPr>
        <w:t xml:space="preserve"> (GRC)</w:t>
      </w:r>
      <w:r w:rsidRPr="00CB5E59" w:rsidR="59C7AA09">
        <w:rPr>
          <w:szCs w:val="26"/>
        </w:rPr>
        <w:t xml:space="preserve">. </w:t>
      </w:r>
      <w:r w:rsidRPr="00CB5E59" w:rsidR="003F4B5B">
        <w:rPr>
          <w:szCs w:val="26"/>
        </w:rPr>
        <w:t xml:space="preserve"> </w:t>
      </w:r>
    </w:p>
    <w:p w:rsidRPr="00CB5E59" w:rsidR="00971B3B" w:rsidP="001A7B27" w:rsidRDefault="00D35AF5" w14:paraId="4A674FDB" w14:textId="15DF270E">
      <w:pPr>
        <w:pStyle w:val="OP"/>
        <w:numPr>
          <w:ilvl w:val="1"/>
          <w:numId w:val="32"/>
        </w:numPr>
        <w:spacing w:after="120" w:line="240" w:lineRule="auto"/>
        <w:ind w:left="1080" w:right="1440" w:hanging="360"/>
        <w:rPr>
          <w:szCs w:val="26"/>
        </w:rPr>
      </w:pPr>
      <w:r w:rsidRPr="00CB5E59">
        <w:rPr>
          <w:szCs w:val="26"/>
        </w:rPr>
        <w:t>PG&amp;E may account for its</w:t>
      </w:r>
      <w:r w:rsidRPr="00CB5E59" w:rsidR="00E74488">
        <w:rPr>
          <w:szCs w:val="26"/>
        </w:rPr>
        <w:t xml:space="preserve"> shareholder</w:t>
      </w:r>
      <w:r w:rsidRPr="00CB5E59">
        <w:rPr>
          <w:szCs w:val="26"/>
        </w:rPr>
        <w:t xml:space="preserve"> annual deductible by offsetting the amount of the revenue requirement to be collected in a following year or by otherwise including the amount of the deductible as a credit to customers in the risk transfer balancing account (RTBA)</w:t>
      </w:r>
      <w:r w:rsidRPr="00CB5E59" w:rsidR="00E74488">
        <w:rPr>
          <w:szCs w:val="26"/>
        </w:rPr>
        <w:t>, at shareholder cost</w:t>
      </w:r>
      <w:r w:rsidRPr="00CB5E59">
        <w:rPr>
          <w:szCs w:val="26"/>
        </w:rPr>
        <w:t>.</w:t>
      </w:r>
    </w:p>
    <w:p w:rsidRPr="00CB5E59" w:rsidR="00971B3B" w:rsidP="001A7B27" w:rsidRDefault="00971B3B" w14:paraId="7CC0649B" w14:textId="11BB3EA3">
      <w:pPr>
        <w:pStyle w:val="OP"/>
        <w:numPr>
          <w:ilvl w:val="1"/>
          <w:numId w:val="32"/>
        </w:numPr>
        <w:spacing w:after="120" w:line="240" w:lineRule="auto"/>
        <w:ind w:left="1080" w:right="1440" w:hanging="360"/>
        <w:rPr>
          <w:szCs w:val="26"/>
        </w:rPr>
      </w:pPr>
      <w:r w:rsidRPr="00CB5E59">
        <w:rPr>
          <w:szCs w:val="26"/>
        </w:rPr>
        <w:t xml:space="preserve">At the end of the 2023 GRC period, PG&amp;E may file a Tier 2 Advice Letter in accordance with Section 3.7.3 of the </w:t>
      </w:r>
      <w:r w:rsidRPr="00CB5E59" w:rsidR="00962CDA">
        <w:rPr>
          <w:szCs w:val="26"/>
        </w:rPr>
        <w:t>Settlement</w:t>
      </w:r>
      <w:r w:rsidRPr="00CB5E59">
        <w:rPr>
          <w:szCs w:val="26"/>
        </w:rPr>
        <w:t xml:space="preserve"> to true-up over and under collections </w:t>
      </w:r>
      <w:r w:rsidRPr="00CB5E59" w:rsidR="00D97125">
        <w:rPr>
          <w:szCs w:val="26"/>
        </w:rPr>
        <w:t xml:space="preserve">described in the </w:t>
      </w:r>
      <w:r w:rsidRPr="00CB5E59" w:rsidR="00962CDA">
        <w:rPr>
          <w:szCs w:val="26"/>
        </w:rPr>
        <w:t>Settlement</w:t>
      </w:r>
      <w:r w:rsidRPr="00CB5E59" w:rsidR="00D97125">
        <w:rPr>
          <w:szCs w:val="26"/>
        </w:rPr>
        <w:t>.</w:t>
      </w:r>
    </w:p>
    <w:p w:rsidRPr="00CB5E59" w:rsidR="00FC0FF0" w:rsidP="001A7B27" w:rsidRDefault="00316312" w14:paraId="455388DC" w14:textId="29748B93">
      <w:pPr>
        <w:pStyle w:val="OP"/>
        <w:numPr>
          <w:ilvl w:val="1"/>
          <w:numId w:val="32"/>
        </w:numPr>
        <w:spacing w:after="120" w:line="240" w:lineRule="auto"/>
        <w:ind w:left="1080" w:right="1440" w:hanging="360"/>
        <w:rPr>
          <w:szCs w:val="26"/>
        </w:rPr>
      </w:pPr>
      <w:r w:rsidRPr="00CB5E59">
        <w:rPr>
          <w:szCs w:val="26"/>
        </w:rPr>
        <w:t xml:space="preserve">The term of this Settlement is for the 2023 GRC </w:t>
      </w:r>
      <w:r w:rsidRPr="00CB5E59" w:rsidR="00FC0FF0">
        <w:rPr>
          <w:szCs w:val="26"/>
        </w:rPr>
        <w:t>p</w:t>
      </w:r>
      <w:r w:rsidRPr="00CB5E59">
        <w:rPr>
          <w:szCs w:val="26"/>
        </w:rPr>
        <w:t xml:space="preserve">eriod and may be extended into </w:t>
      </w:r>
      <w:r w:rsidRPr="00CB5E59" w:rsidR="00971B3B">
        <w:rPr>
          <w:szCs w:val="26"/>
        </w:rPr>
        <w:t xml:space="preserve">the </w:t>
      </w:r>
      <w:r w:rsidRPr="00CB5E59">
        <w:rPr>
          <w:szCs w:val="26"/>
        </w:rPr>
        <w:t xml:space="preserve">2027 </w:t>
      </w:r>
      <w:r w:rsidRPr="00CB5E59" w:rsidR="00971B3B">
        <w:rPr>
          <w:szCs w:val="26"/>
        </w:rPr>
        <w:t xml:space="preserve">GRC </w:t>
      </w:r>
      <w:r w:rsidRPr="00CB5E59">
        <w:rPr>
          <w:szCs w:val="26"/>
        </w:rPr>
        <w:t>as set forth in Section</w:t>
      </w:r>
      <w:r w:rsidRPr="00CB5E59" w:rsidR="001A7B27">
        <w:rPr>
          <w:szCs w:val="26"/>
        </w:rPr>
        <w:t> </w:t>
      </w:r>
      <w:r w:rsidRPr="00CB5E59">
        <w:rPr>
          <w:szCs w:val="26"/>
        </w:rPr>
        <w:t xml:space="preserve">3.3.2 </w:t>
      </w:r>
      <w:r w:rsidRPr="00CB5E59" w:rsidR="00FC0FF0">
        <w:rPr>
          <w:szCs w:val="26"/>
        </w:rPr>
        <w:t xml:space="preserve">of the </w:t>
      </w:r>
      <w:r w:rsidRPr="00CB5E59" w:rsidR="00962CDA">
        <w:rPr>
          <w:szCs w:val="26"/>
        </w:rPr>
        <w:t>Settlement</w:t>
      </w:r>
      <w:r w:rsidRPr="00CB5E59" w:rsidR="00971B3B">
        <w:rPr>
          <w:szCs w:val="26"/>
        </w:rPr>
        <w:t xml:space="preserve"> in a Tier 2 advice letter.</w:t>
      </w:r>
      <w:r w:rsidRPr="00CB5E59">
        <w:rPr>
          <w:szCs w:val="26"/>
        </w:rPr>
        <w:t xml:space="preserve"> In the first quarter of 2026, the Settling Parties </w:t>
      </w:r>
      <w:r w:rsidRPr="00CB5E59" w:rsidR="00FC0FF0">
        <w:rPr>
          <w:szCs w:val="26"/>
        </w:rPr>
        <w:t>shall</w:t>
      </w:r>
      <w:r w:rsidRPr="00CB5E59">
        <w:rPr>
          <w:szCs w:val="26"/>
        </w:rPr>
        <w:t xml:space="preserve"> meet to assess the operation of the self-insurance approach through the first three years of the </w:t>
      </w:r>
      <w:r w:rsidRPr="00CB5E59" w:rsidR="00FC0FF0">
        <w:rPr>
          <w:szCs w:val="26"/>
        </w:rPr>
        <w:t xml:space="preserve">2023 </w:t>
      </w:r>
      <w:r w:rsidRPr="00CB5E59">
        <w:rPr>
          <w:szCs w:val="26"/>
        </w:rPr>
        <w:t xml:space="preserve">GRC </w:t>
      </w:r>
      <w:r w:rsidRPr="00CB5E59" w:rsidR="00FC0FF0">
        <w:rPr>
          <w:szCs w:val="26"/>
        </w:rPr>
        <w:t>p</w:t>
      </w:r>
      <w:r w:rsidRPr="00CB5E59">
        <w:rPr>
          <w:szCs w:val="26"/>
        </w:rPr>
        <w:t>eriod, to discuss likely conditions as of the end of the GRC cycle and for the start of the 2027 GRC cycle</w:t>
      </w:r>
      <w:r w:rsidRPr="00CB5E59" w:rsidR="00971B3B">
        <w:rPr>
          <w:szCs w:val="26"/>
        </w:rPr>
        <w:t xml:space="preserve">, and to prepare a report of the foregoing for the 2027 GRC. PG&amp;E shall file said report in its 2027 GRC application. </w:t>
      </w:r>
    </w:p>
    <w:p w:rsidRPr="00CB5E59" w:rsidR="00FE0FA2" w:rsidP="001A7B27" w:rsidRDefault="6A684969" w14:paraId="1E219E79" w14:textId="299A2FB3">
      <w:pPr>
        <w:pStyle w:val="ListParagraph"/>
        <w:numPr>
          <w:ilvl w:val="1"/>
          <w:numId w:val="32"/>
        </w:numPr>
        <w:ind w:left="1080" w:hanging="360"/>
        <w:rPr>
          <w:b/>
          <w:bCs/>
          <w:sz w:val="26"/>
          <w:szCs w:val="26"/>
        </w:rPr>
      </w:pPr>
      <w:r w:rsidRPr="00CB5E59">
        <w:rPr>
          <w:sz w:val="26"/>
          <w:szCs w:val="26"/>
        </w:rPr>
        <w:lastRenderedPageBreak/>
        <w:t>PG&amp;E shall file a Tier 2 advice letter to modify the terms of t</w:t>
      </w:r>
      <w:r w:rsidRPr="00CB5E59" w:rsidR="24887D80">
        <w:rPr>
          <w:sz w:val="26"/>
          <w:szCs w:val="26"/>
        </w:rPr>
        <w:t xml:space="preserve">he </w:t>
      </w:r>
      <w:r w:rsidRPr="00CB5E59" w:rsidR="71306F0C">
        <w:rPr>
          <w:sz w:val="26"/>
          <w:szCs w:val="26"/>
        </w:rPr>
        <w:t xml:space="preserve">RTBA </w:t>
      </w:r>
      <w:r w:rsidRPr="00CB5E59" w:rsidR="24887D80">
        <w:rPr>
          <w:sz w:val="26"/>
          <w:szCs w:val="26"/>
        </w:rPr>
        <w:t xml:space="preserve">consistent with the terms of the </w:t>
      </w:r>
      <w:r w:rsidRPr="00CB5E59" w:rsidR="00962CDA">
        <w:rPr>
          <w:sz w:val="26"/>
          <w:szCs w:val="26"/>
        </w:rPr>
        <w:t>Settlement</w:t>
      </w:r>
      <w:r w:rsidRPr="00CB5E59" w:rsidR="4F7523BC">
        <w:rPr>
          <w:sz w:val="26"/>
          <w:szCs w:val="26"/>
        </w:rPr>
        <w:t xml:space="preserve"> </w:t>
      </w:r>
      <w:r w:rsidRPr="00CB5E59" w:rsidR="00C4548E">
        <w:rPr>
          <w:sz w:val="26"/>
          <w:szCs w:val="26"/>
        </w:rPr>
        <w:t>and to ensure funds deposited in the RTBA</w:t>
      </w:r>
      <w:r w:rsidRPr="00CB5E59" w:rsidR="007F1721">
        <w:rPr>
          <w:sz w:val="26"/>
          <w:szCs w:val="26"/>
        </w:rPr>
        <w:t xml:space="preserve"> </w:t>
      </w:r>
      <w:r w:rsidRPr="00CB5E59" w:rsidR="2129B80D">
        <w:rPr>
          <w:sz w:val="26"/>
          <w:szCs w:val="26"/>
        </w:rPr>
        <w:t>Wildfire Liability Self-Insurance</w:t>
      </w:r>
      <w:r w:rsidRPr="00CB5E59" w:rsidDel="007F1721" w:rsidR="00C4548E">
        <w:rPr>
          <w:sz w:val="26"/>
          <w:szCs w:val="26"/>
        </w:rPr>
        <w:t xml:space="preserve"> </w:t>
      </w:r>
      <w:r w:rsidRPr="00CB5E59" w:rsidR="2129B80D">
        <w:rPr>
          <w:sz w:val="26"/>
          <w:szCs w:val="26"/>
        </w:rPr>
        <w:t>Subaccount</w:t>
      </w:r>
      <w:r w:rsidRPr="00CB5E59" w:rsidR="00263FAE">
        <w:rPr>
          <w:sz w:val="26"/>
          <w:szCs w:val="26"/>
        </w:rPr>
        <w:t xml:space="preserve"> </w:t>
      </w:r>
      <w:r w:rsidRPr="00CB5E59" w:rsidR="00C4548E">
        <w:rPr>
          <w:sz w:val="26"/>
          <w:szCs w:val="26"/>
        </w:rPr>
        <w:t xml:space="preserve">are </w:t>
      </w:r>
      <w:r w:rsidRPr="00CB5E59" w:rsidR="00CD760B">
        <w:rPr>
          <w:sz w:val="26"/>
          <w:szCs w:val="26"/>
        </w:rPr>
        <w:t>only</w:t>
      </w:r>
      <w:r w:rsidRPr="00CB5E59" w:rsidR="00C4548E">
        <w:rPr>
          <w:sz w:val="26"/>
          <w:szCs w:val="26"/>
        </w:rPr>
        <w:t xml:space="preserve"> used </w:t>
      </w:r>
      <w:r w:rsidRPr="00CB5E59" w:rsidR="00CD760B">
        <w:rPr>
          <w:sz w:val="26"/>
          <w:szCs w:val="26"/>
        </w:rPr>
        <w:t>to support the self-insurance mechanism approved in this decision</w:t>
      </w:r>
      <w:r w:rsidRPr="00CB5E59" w:rsidR="4F7523BC">
        <w:rPr>
          <w:sz w:val="26"/>
          <w:szCs w:val="26"/>
        </w:rPr>
        <w:t xml:space="preserve"> </w:t>
      </w:r>
      <w:r w:rsidRPr="00CB5E59" w:rsidR="00124190">
        <w:rPr>
          <w:sz w:val="26"/>
          <w:szCs w:val="26"/>
        </w:rPr>
        <w:t xml:space="preserve">within </w:t>
      </w:r>
      <w:r w:rsidRPr="00CB5E59" w:rsidR="005F247C">
        <w:rPr>
          <w:sz w:val="26"/>
          <w:szCs w:val="26"/>
        </w:rPr>
        <w:t xml:space="preserve">30 days of the effective date of this decision. </w:t>
      </w:r>
      <w:r w:rsidRPr="00CB5E59" w:rsidR="39254179">
        <w:rPr>
          <w:b/>
          <w:bCs/>
          <w:sz w:val="26"/>
          <w:szCs w:val="26"/>
        </w:rPr>
        <w:t xml:space="preserve"> </w:t>
      </w:r>
    </w:p>
    <w:p w:rsidRPr="00CB5E59" w:rsidR="6485E527" w:rsidP="00FE0FA2" w:rsidRDefault="00EB288B" w14:paraId="35E6888A" w14:textId="1EEC337A">
      <w:pPr>
        <w:pStyle w:val="OP"/>
      </w:pPr>
      <w:r w:rsidRPr="00CB5E59">
        <w:t xml:space="preserve">Pacific Gas and Electric </w:t>
      </w:r>
      <w:r w:rsidRPr="00CB5E59" w:rsidR="63F77098">
        <w:t>Company</w:t>
      </w:r>
      <w:r w:rsidRPr="00CB5E59" w:rsidDel="00FA2C05" w:rsidR="6485E527">
        <w:t xml:space="preserve"> </w:t>
      </w:r>
      <w:r w:rsidRPr="00CB5E59" w:rsidR="6485E527">
        <w:t>shall seek recovery of the portion of wildfire liability self-in</w:t>
      </w:r>
      <w:r w:rsidRPr="00CB5E59" w:rsidR="1CC433F5">
        <w:t>surance that would be allocated to transmission customers through Federal Energy Regulatory Commissi</w:t>
      </w:r>
      <w:r w:rsidRPr="00CB5E59" w:rsidR="7C8C9F95">
        <w:t>o</w:t>
      </w:r>
      <w:r w:rsidRPr="00CB5E59" w:rsidR="1CC433F5">
        <w:t>n transmissi</w:t>
      </w:r>
      <w:r w:rsidRPr="00CB5E59" w:rsidR="027D3CF2">
        <w:t>on owner rates in effect starting on January 1, 2024.</w:t>
      </w:r>
    </w:p>
    <w:p w:rsidRPr="00CB5E59" w:rsidR="00F6397D" w:rsidP="00B3087D" w:rsidRDefault="421DB8EE" w14:paraId="510505B8" w14:textId="20EB9950">
      <w:pPr>
        <w:pStyle w:val="OP"/>
      </w:pPr>
      <w:r w:rsidRPr="00CB5E59">
        <w:t>Application</w:t>
      </w:r>
      <w:r w:rsidRPr="00CB5E59" w:rsidR="25B44A9B">
        <w:t xml:space="preserve"> </w:t>
      </w:r>
      <w:r w:rsidRPr="00CB5E59" w:rsidR="6A21BB2E">
        <w:t>21-06-021 remains open</w:t>
      </w:r>
      <w:r w:rsidRPr="00CB5E59">
        <w:t>.</w:t>
      </w:r>
    </w:p>
    <w:p w:rsidRPr="00CB5E59" w:rsidR="008F0116" w:rsidP="008F0116" w:rsidRDefault="008F0116" w14:paraId="48B9336B" w14:textId="77777777">
      <w:r w:rsidRPr="00CB5E59">
        <w:t>This order is effective today.</w:t>
      </w:r>
    </w:p>
    <w:p w:rsidRPr="00CB5E59" w:rsidR="00714CF2" w:rsidP="00646EE0" w:rsidRDefault="008F0116" w14:paraId="03F665F8" w14:textId="4DCBA89B">
      <w:pPr>
        <w:spacing w:after="480"/>
      </w:pPr>
      <w:r w:rsidRPr="00CB5E59">
        <w:t xml:space="preserve">Dated </w:t>
      </w:r>
      <w:r w:rsidRPr="00CB5E59">
        <w:rPr>
          <w:u w:val="single"/>
        </w:rPr>
        <w:tab/>
      </w:r>
      <w:r w:rsidRPr="00CB5E59">
        <w:rPr>
          <w:u w:val="single"/>
        </w:rPr>
        <w:tab/>
      </w:r>
      <w:r w:rsidRPr="00CB5E59">
        <w:rPr>
          <w:u w:val="single"/>
        </w:rPr>
        <w:tab/>
      </w:r>
      <w:r w:rsidRPr="00CB5E59">
        <w:rPr>
          <w:u w:val="single"/>
        </w:rPr>
        <w:tab/>
      </w:r>
      <w:r w:rsidRPr="00CB5E59">
        <w:rPr>
          <w:u w:val="single"/>
        </w:rPr>
        <w:tab/>
      </w:r>
      <w:r w:rsidRPr="00CB5E59">
        <w:t>, at San Francisco, California</w:t>
      </w:r>
      <w:r w:rsidRPr="00CB5E59" w:rsidR="00FF110C">
        <w:t>.</w:t>
      </w:r>
    </w:p>
    <w:p w:rsidR="50BB00B1" w:rsidP="00646EE0" w:rsidRDefault="50BB00B1" w14:paraId="3F7D9ECE" w14:textId="5344D49E">
      <w:pPr>
        <w:ind w:firstLine="0"/>
        <w:rPr>
          <w:rFonts w:eastAsia="Calibri" w:cs="Arial"/>
          <w:b/>
          <w:bCs/>
          <w:szCs w:val="26"/>
        </w:rPr>
      </w:pPr>
    </w:p>
    <w:p w:rsidR="00646EE0" w:rsidP="50BB00B1" w:rsidRDefault="00646EE0" w14:paraId="399C2D51" w14:textId="378356DD">
      <w:pPr>
        <w:ind w:firstLine="0"/>
        <w:rPr>
          <w:rFonts w:eastAsia="Calibri" w:cs="Arial"/>
          <w:b/>
          <w:bCs/>
          <w:szCs w:val="26"/>
        </w:rPr>
      </w:pPr>
    </w:p>
    <w:p w:rsidR="00646EE0" w:rsidP="50BB00B1" w:rsidRDefault="00646EE0" w14:paraId="44A83F57" w14:textId="0592CB65">
      <w:pPr>
        <w:ind w:firstLine="0"/>
        <w:rPr>
          <w:rFonts w:eastAsia="Calibri" w:cs="Arial"/>
          <w:b/>
          <w:bCs/>
          <w:szCs w:val="26"/>
        </w:rPr>
      </w:pPr>
    </w:p>
    <w:p w:rsidR="00646EE0" w:rsidP="50BB00B1" w:rsidRDefault="00646EE0" w14:paraId="6B918C8C" w14:textId="129D8180">
      <w:pPr>
        <w:ind w:firstLine="0"/>
        <w:rPr>
          <w:rFonts w:eastAsia="Calibri" w:cs="Arial"/>
          <w:b/>
          <w:bCs/>
          <w:szCs w:val="26"/>
        </w:rPr>
      </w:pPr>
    </w:p>
    <w:p w:rsidR="00646EE0" w:rsidP="50BB00B1" w:rsidRDefault="00646EE0" w14:paraId="3F7DC5A5" w14:textId="571422FB">
      <w:pPr>
        <w:ind w:firstLine="0"/>
        <w:rPr>
          <w:rFonts w:eastAsia="Calibri" w:cs="Arial"/>
          <w:b/>
          <w:bCs/>
          <w:szCs w:val="26"/>
        </w:rPr>
      </w:pPr>
    </w:p>
    <w:p w:rsidR="00646EE0" w:rsidP="50BB00B1" w:rsidRDefault="00646EE0" w14:paraId="3A8EE16F" w14:textId="77777777">
      <w:pPr>
        <w:ind w:firstLine="0"/>
        <w:rPr>
          <w:rFonts w:eastAsia="Calibri" w:cs="Arial"/>
          <w:b/>
          <w:bCs/>
          <w:szCs w:val="26"/>
        </w:rPr>
      </w:pPr>
    </w:p>
    <w:p w:rsidR="00646EE0" w:rsidP="50BB00B1" w:rsidRDefault="00646EE0" w14:paraId="5EB6D948" w14:textId="27BA95FF">
      <w:pPr>
        <w:ind w:firstLine="0"/>
        <w:rPr>
          <w:rFonts w:eastAsia="Calibri" w:cs="Arial"/>
          <w:b/>
          <w:bCs/>
          <w:szCs w:val="26"/>
        </w:rPr>
      </w:pPr>
    </w:p>
    <w:p w:rsidRPr="00CB5E59" w:rsidR="00646EE0" w:rsidP="50BB00B1" w:rsidRDefault="00646EE0" w14:paraId="3C190E43" w14:textId="77777777">
      <w:pPr>
        <w:ind w:firstLine="0"/>
        <w:rPr>
          <w:rFonts w:eastAsia="Calibri" w:cs="Arial"/>
          <w:b/>
          <w:bCs/>
          <w:szCs w:val="26"/>
        </w:rPr>
      </w:pPr>
    </w:p>
    <w:p w:rsidRPr="00CB5E59" w:rsidR="000366E0" w:rsidP="180C6AF5" w:rsidRDefault="000366E0" w14:paraId="052F89AA" w14:textId="75EF085E">
      <w:pPr>
        <w:ind w:firstLine="0"/>
        <w:rPr>
          <w:rFonts w:eastAsia="Calibri" w:cs="Arial"/>
          <w:b/>
          <w:bCs/>
          <w:szCs w:val="26"/>
        </w:rPr>
      </w:pPr>
    </w:p>
    <w:p w:rsidRPr="00CB5E59" w:rsidR="00513718" w:rsidP="000366E0" w:rsidRDefault="00513718" w14:paraId="56795B29" w14:textId="77777777">
      <w:pPr>
        <w:ind w:firstLine="0"/>
        <w:sectPr w:rsidRPr="00CB5E59" w:rsidR="00513718" w:rsidSect="0005165A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728" w:right="1440" w:bottom="1440" w:left="1440" w:header="720" w:footer="720" w:gutter="0"/>
          <w:pgNumType w:start="2"/>
          <w:cols w:space="720"/>
          <w:titlePg/>
          <w:docGrid w:linePitch="360"/>
        </w:sectPr>
      </w:pPr>
    </w:p>
    <w:p w:rsidRPr="00CB5E59" w:rsidR="00513718" w:rsidP="00513718" w:rsidRDefault="00513718" w14:paraId="671A407C" w14:textId="77777777">
      <w:pPr>
        <w:ind w:firstLine="0"/>
        <w:jc w:val="center"/>
        <w:rPr>
          <w:b/>
          <w:bCs/>
          <w:sz w:val="48"/>
          <w:szCs w:val="48"/>
        </w:rPr>
      </w:pPr>
    </w:p>
    <w:p w:rsidRPr="00CB5E59" w:rsidR="00513718" w:rsidP="00513718" w:rsidRDefault="00513718" w14:paraId="3A0B4F9D" w14:textId="77777777">
      <w:pPr>
        <w:ind w:firstLine="0"/>
        <w:jc w:val="center"/>
        <w:rPr>
          <w:b/>
          <w:bCs/>
          <w:sz w:val="48"/>
          <w:szCs w:val="48"/>
        </w:rPr>
      </w:pPr>
    </w:p>
    <w:p w:rsidRPr="00CB5E59" w:rsidR="00513718" w:rsidP="00513718" w:rsidRDefault="00513718" w14:paraId="393B5CAC" w14:textId="77777777">
      <w:pPr>
        <w:ind w:firstLine="0"/>
        <w:jc w:val="center"/>
        <w:rPr>
          <w:b/>
          <w:bCs/>
          <w:sz w:val="48"/>
          <w:szCs w:val="48"/>
        </w:rPr>
      </w:pPr>
    </w:p>
    <w:p w:rsidRPr="00513718" w:rsidR="000366E0" w:rsidP="00513718" w:rsidRDefault="00513718" w14:paraId="52CE4220" w14:textId="36F0007B">
      <w:pPr>
        <w:ind w:firstLine="0"/>
        <w:jc w:val="center"/>
        <w:rPr>
          <w:b/>
          <w:bCs/>
          <w:sz w:val="48"/>
          <w:szCs w:val="48"/>
        </w:rPr>
      </w:pPr>
      <w:r w:rsidRPr="00CB5E59">
        <w:rPr>
          <w:b/>
          <w:bCs/>
          <w:sz w:val="48"/>
          <w:szCs w:val="48"/>
        </w:rPr>
        <w:t>A</w:t>
      </w:r>
      <w:r w:rsidRPr="00CB5E59" w:rsidR="00B20719">
        <w:rPr>
          <w:b/>
          <w:bCs/>
          <w:sz w:val="48"/>
          <w:szCs w:val="48"/>
        </w:rPr>
        <w:t>PPENDIX 1</w:t>
      </w:r>
    </w:p>
    <w:sectPr w:rsidRPr="00513718" w:rsidR="000366E0" w:rsidSect="002A4A7F">
      <w:headerReference w:type="first" r:id="rId21"/>
      <w:footerReference w:type="first" r:id="rId22"/>
      <w:pgSz w:w="12240" w:h="15840"/>
      <w:pgMar w:top="1728" w:right="1440" w:bottom="1440" w:left="1440" w:header="720" w:footer="720" w:gutter="0"/>
      <w:pgNumType w:fmt="numberInDash" w:start="1"/>
      <w:cols w:space="720"/>
      <w:titlePg/>
      <w:docGrid w:linePitch="360"/>
    </w:sectPr>
    <w:p>
      <w:r>
        <w:t xml:space="preserve"/>
      </w:r>
    </w:p>
    <w:p>
      <w:r>
        <w:t xml:space="preserve">Attachment 1: </w:t>
      </w:r>
    </w:p>
    <w:p>
      <w:hyperlink w:history="true" r:id="R0933235518b54bc0">
        <w:r w:rsidRPr="00CB1292">
          <w:rPr>
            <w:rStyle w:val="Hyperlink"/>
            <w:color w:val="2E74B5" w:themeColor="accent1" w:themeShade="BF"/>
            <w:u w:val="single"/>
          </w:rPr>
          <w:t>(REDLINE) A.21-06-021 DECISION APPROVING SETTLEMENT REGARDING WILDFIRE LIABILITY INSURANCE COVERAGE.pdf</w:t>
        </w:r>
      </w:hyperlink>
    </w:p>
    <w:p>
      <w:r>
        <w:t xml:space="preserve"/>
      </w:r>
    </w:p>
    <w:p>
      <w:r>
        <w:t xml:space="preserve">Attachment 2: </w:t>
      </w:r>
    </w:p>
    <w:p>
      <w:hyperlink w:history="true" r:id="R0c324ab6205a4282">
        <w:r w:rsidRPr="00CB1292">
          <w:rPr>
            <w:rStyle w:val="Hyperlink"/>
            <w:color w:val="2E74B5" w:themeColor="accent1" w:themeShade="BF"/>
            <w:u w:val="single"/>
          </w:rPr>
          <w:t>Appendix 1.pdf</w:t>
        </w:r>
      </w:hyperlink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6314" w14:textId="77777777" w:rsidR="00A36C19" w:rsidRDefault="00A36C19" w:rsidP="0098138E">
      <w:pPr>
        <w:spacing w:line="240" w:lineRule="auto"/>
      </w:pPr>
      <w:r>
        <w:separator/>
      </w:r>
    </w:p>
  </w:endnote>
  <w:endnote w:type="continuationSeparator" w:id="0">
    <w:p w14:paraId="25AC3FD9" w14:textId="77777777" w:rsidR="00A36C19" w:rsidRDefault="00A36C19" w:rsidP="0098138E">
      <w:pPr>
        <w:spacing w:line="240" w:lineRule="auto"/>
      </w:pPr>
      <w:r>
        <w:continuationSeparator/>
      </w:r>
    </w:p>
  </w:endnote>
  <w:endnote w:type="continuationNotice" w:id="1">
    <w:p w14:paraId="71FAE755" w14:textId="77777777" w:rsidR="00A36C19" w:rsidRDefault="00A36C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640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15153" w14:textId="11E4D594" w:rsidR="005B09BA" w:rsidRDefault="00B201F5" w:rsidP="00B20719">
        <w:pPr>
          <w:pStyle w:val="Footer"/>
          <w:ind w:firstLine="0"/>
        </w:pPr>
        <w:r w:rsidRPr="00B41551">
          <w:rPr>
            <w:sz w:val="16"/>
            <w:szCs w:val="16"/>
          </w:rPr>
          <w:t>500984866</w:t>
        </w:r>
        <w:r w:rsidR="00B20719">
          <w:tab/>
        </w:r>
        <w:r w:rsidR="0005165A">
          <w:t xml:space="preserve">- </w:t>
        </w:r>
        <w:r w:rsidR="005B09BA">
          <w:fldChar w:fldCharType="begin"/>
        </w:r>
        <w:r w:rsidR="005B09BA">
          <w:instrText xml:space="preserve"> PAGE   \* MERGEFORMAT </w:instrText>
        </w:r>
        <w:r w:rsidR="005B09BA">
          <w:fldChar w:fldCharType="separate"/>
        </w:r>
        <w:r w:rsidR="005B09BA">
          <w:rPr>
            <w:noProof/>
          </w:rPr>
          <w:t>2</w:t>
        </w:r>
        <w:r w:rsidR="005B09BA">
          <w:rPr>
            <w:noProof/>
          </w:rPr>
          <w:fldChar w:fldCharType="end"/>
        </w:r>
        <w:r w:rsidR="0005165A">
          <w:rPr>
            <w:noProof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801A" w14:textId="5DBBBB7C" w:rsidR="00513718" w:rsidRDefault="00513718" w:rsidP="005E713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436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35A2F" w14:textId="77081601" w:rsidR="002A4A7F" w:rsidRDefault="00646430" w:rsidP="00646430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4998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23108" w14:textId="2027A6C0" w:rsidR="00646430" w:rsidRDefault="0005165A" w:rsidP="0005165A">
        <w:pPr>
          <w:pStyle w:val="Footer"/>
          <w:ind w:firstLine="0"/>
          <w:jc w:val="center"/>
        </w:pPr>
        <w:r>
          <w:t xml:space="preserve">- </w:t>
        </w:r>
        <w:r w:rsidR="00646430">
          <w:fldChar w:fldCharType="begin"/>
        </w:r>
        <w:r w:rsidR="00646430">
          <w:instrText xml:space="preserve"> PAGE   \* MERGEFORMAT </w:instrText>
        </w:r>
        <w:r w:rsidR="00646430">
          <w:fldChar w:fldCharType="separate"/>
        </w:r>
        <w:r w:rsidR="00646430">
          <w:rPr>
            <w:noProof/>
          </w:rPr>
          <w:t>2</w:t>
        </w:r>
        <w:r w:rsidR="00646430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1686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8363D" w14:textId="67A5A721" w:rsidR="00646430" w:rsidRDefault="0005165A" w:rsidP="0005165A">
        <w:pPr>
          <w:pStyle w:val="Footer"/>
          <w:ind w:left="720" w:firstLine="0"/>
          <w:jc w:val="center"/>
        </w:pPr>
        <w:r>
          <w:t xml:space="preserve">- </w:t>
        </w:r>
        <w:r w:rsidR="00646430">
          <w:fldChar w:fldCharType="begin"/>
        </w:r>
        <w:r w:rsidR="00646430">
          <w:instrText xml:space="preserve"> PAGE   \* MERGEFORMAT </w:instrText>
        </w:r>
        <w:r w:rsidR="00646430">
          <w:fldChar w:fldCharType="separate"/>
        </w:r>
        <w:r w:rsidR="00646430">
          <w:rPr>
            <w:noProof/>
          </w:rPr>
          <w:t>2</w:t>
        </w:r>
        <w:r w:rsidR="00646430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114AE" w14:textId="016DBC9E" w:rsidR="00513718" w:rsidRDefault="00513718" w:rsidP="005B09BA">
    <w:pPr>
      <w:pStyle w:val="Footer"/>
      <w:ind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8786F" w14:textId="77777777" w:rsidR="00A36C19" w:rsidRDefault="00A36C19" w:rsidP="00DF58E7">
      <w:pPr>
        <w:spacing w:line="240" w:lineRule="auto"/>
        <w:ind w:firstLine="0"/>
      </w:pPr>
      <w:r>
        <w:separator/>
      </w:r>
    </w:p>
  </w:footnote>
  <w:footnote w:type="continuationSeparator" w:id="0">
    <w:p w14:paraId="45C343F6" w14:textId="77777777" w:rsidR="00A36C19" w:rsidRDefault="00A36C19" w:rsidP="00DF58E7">
      <w:pPr>
        <w:spacing w:line="240" w:lineRule="auto"/>
        <w:ind w:firstLine="0"/>
      </w:pPr>
      <w:r>
        <w:continuationSeparator/>
      </w:r>
    </w:p>
  </w:footnote>
  <w:footnote w:type="continuationNotice" w:id="1">
    <w:p w14:paraId="48AD5D95" w14:textId="77777777" w:rsidR="00A36C19" w:rsidRPr="00DF58E7" w:rsidRDefault="00A36C19" w:rsidP="00DF58E7">
      <w:pPr>
        <w:spacing w:line="240" w:lineRule="auto"/>
        <w:ind w:firstLine="0"/>
        <w:jc w:val="right"/>
        <w:rPr>
          <w:i/>
          <w:sz w:val="22"/>
        </w:rPr>
      </w:pPr>
      <w:r w:rsidRPr="00DF58E7">
        <w:rPr>
          <w:i/>
          <w:sz w:val="22"/>
        </w:rPr>
        <w:t>Footnote continued on next page.</w:t>
      </w:r>
    </w:p>
  </w:footnote>
  <w:footnote w:id="2">
    <w:p w14:paraId="173C6FD3" w14:textId="1BE042F6" w:rsidR="65DAF6F8" w:rsidRDefault="65DAF6F8" w:rsidP="00E02B38">
      <w:pPr>
        <w:pStyle w:val="FootnoteText"/>
        <w:rPr>
          <w:rFonts w:eastAsia="Calibri" w:cs="Arial"/>
        </w:rPr>
      </w:pPr>
      <w:r w:rsidRPr="65DAF6F8">
        <w:rPr>
          <w:rStyle w:val="FootnoteReference"/>
          <w:rFonts w:eastAsia="Calibri" w:cs="Arial"/>
          <w:szCs w:val="22"/>
        </w:rPr>
        <w:footnoteRef/>
      </w:r>
      <w:r w:rsidRPr="65DAF6F8">
        <w:rPr>
          <w:rFonts w:eastAsia="Calibri" w:cs="Arial"/>
          <w:szCs w:val="22"/>
        </w:rPr>
        <w:t xml:space="preserve"> </w:t>
      </w:r>
      <w:r w:rsidR="002A4A7F">
        <w:rPr>
          <w:rFonts w:eastAsia="Calibri" w:cs="Arial"/>
          <w:szCs w:val="22"/>
        </w:rPr>
        <w:t xml:space="preserve"> </w:t>
      </w:r>
      <w:r w:rsidRPr="65DAF6F8">
        <w:rPr>
          <w:rFonts w:eastAsia="Calibri" w:cs="Arial"/>
          <w:szCs w:val="22"/>
        </w:rPr>
        <w:t>20</w:t>
      </w:r>
      <w:r w:rsidRPr="00CB5E59">
        <w:rPr>
          <w:rFonts w:eastAsia="Calibri" w:cs="Arial"/>
          <w:szCs w:val="22"/>
        </w:rPr>
        <w:t xml:space="preserve">23 </w:t>
      </w:r>
      <w:r w:rsidR="00461DD8" w:rsidRPr="00CB5E59">
        <w:rPr>
          <w:rFonts w:eastAsia="Calibri" w:cs="Arial"/>
          <w:szCs w:val="22"/>
        </w:rPr>
        <w:t>general rate case (</w:t>
      </w:r>
      <w:r w:rsidRPr="00CB5E59">
        <w:rPr>
          <w:rFonts w:eastAsia="Calibri" w:cs="Arial"/>
          <w:szCs w:val="22"/>
        </w:rPr>
        <w:t>GRC</w:t>
      </w:r>
      <w:r w:rsidR="00461DD8" w:rsidRPr="00CB5E59">
        <w:rPr>
          <w:rFonts w:eastAsia="Calibri" w:cs="Arial"/>
          <w:szCs w:val="22"/>
        </w:rPr>
        <w:t>)</w:t>
      </w:r>
      <w:r w:rsidRPr="00CB5E59">
        <w:rPr>
          <w:rFonts w:eastAsia="Calibri" w:cs="Arial"/>
          <w:szCs w:val="22"/>
        </w:rPr>
        <w:t xml:space="preserve"> Appl</w:t>
      </w:r>
      <w:r w:rsidRPr="65DAF6F8">
        <w:rPr>
          <w:rFonts w:eastAsia="Calibri" w:cs="Arial"/>
          <w:szCs w:val="22"/>
        </w:rPr>
        <w:t xml:space="preserve">ication of PG&amp;E filed </w:t>
      </w:r>
      <w:r w:rsidR="002A4A7F">
        <w:rPr>
          <w:rFonts w:eastAsia="Calibri" w:cs="Arial"/>
          <w:szCs w:val="22"/>
        </w:rPr>
        <w:t xml:space="preserve">on </w:t>
      </w:r>
      <w:r w:rsidRPr="65DAF6F8">
        <w:rPr>
          <w:rFonts w:eastAsia="Calibri" w:cs="Arial"/>
          <w:szCs w:val="22"/>
        </w:rPr>
        <w:t>June</w:t>
      </w:r>
      <w:r w:rsidR="002A4A7F">
        <w:rPr>
          <w:rFonts w:eastAsia="Calibri" w:cs="Arial"/>
          <w:szCs w:val="22"/>
        </w:rPr>
        <w:t> </w:t>
      </w:r>
      <w:r w:rsidRPr="65DAF6F8">
        <w:rPr>
          <w:rFonts w:eastAsia="Calibri" w:cs="Arial"/>
          <w:szCs w:val="22"/>
        </w:rPr>
        <w:t>30,</w:t>
      </w:r>
      <w:r w:rsidR="002A4A7F">
        <w:rPr>
          <w:rFonts w:eastAsia="Calibri" w:cs="Arial"/>
          <w:szCs w:val="22"/>
        </w:rPr>
        <w:t> </w:t>
      </w:r>
      <w:r w:rsidRPr="65DAF6F8">
        <w:rPr>
          <w:rFonts w:eastAsia="Calibri" w:cs="Arial"/>
          <w:szCs w:val="22"/>
        </w:rPr>
        <w:t>2021 at</w:t>
      </w:r>
      <w:r w:rsidR="002A4A7F">
        <w:rPr>
          <w:rFonts w:eastAsia="Calibri" w:cs="Arial"/>
          <w:szCs w:val="22"/>
        </w:rPr>
        <w:t> </w:t>
      </w:r>
      <w:r w:rsidRPr="65DAF6F8">
        <w:rPr>
          <w:rFonts w:eastAsia="Calibri" w:cs="Arial"/>
          <w:szCs w:val="22"/>
        </w:rPr>
        <w:t>1; PG&amp;E Exhibit</w:t>
      </w:r>
      <w:r w:rsidR="002A4A7F">
        <w:rPr>
          <w:rFonts w:eastAsia="Calibri" w:cs="Arial"/>
          <w:szCs w:val="22"/>
        </w:rPr>
        <w:noBreakHyphen/>
      </w:r>
      <w:r w:rsidRPr="65DAF6F8">
        <w:rPr>
          <w:rFonts w:eastAsia="Calibri" w:cs="Arial"/>
          <w:szCs w:val="22"/>
        </w:rPr>
        <w:t>1 at</w:t>
      </w:r>
      <w:r w:rsidR="002A4A7F">
        <w:rPr>
          <w:rFonts w:eastAsia="Calibri" w:cs="Arial"/>
          <w:szCs w:val="22"/>
        </w:rPr>
        <w:t> </w:t>
      </w:r>
      <w:r w:rsidRPr="65DAF6F8">
        <w:rPr>
          <w:rFonts w:eastAsia="Calibri" w:cs="Arial"/>
          <w:szCs w:val="22"/>
        </w:rPr>
        <w:t>1</w:t>
      </w:r>
      <w:r w:rsidR="002A4A7F">
        <w:rPr>
          <w:rFonts w:eastAsia="Calibri" w:cs="Arial"/>
          <w:szCs w:val="22"/>
        </w:rPr>
        <w:noBreakHyphen/>
      </w:r>
      <w:r w:rsidRPr="65DAF6F8">
        <w:rPr>
          <w:rFonts w:eastAsia="Calibri" w:cs="Arial"/>
          <w:szCs w:val="22"/>
        </w:rPr>
        <w:t>1</w:t>
      </w:r>
      <w:r w:rsidR="00D72D15">
        <w:rPr>
          <w:rFonts w:eastAsia="Calibri" w:cs="Arial"/>
          <w:szCs w:val="22"/>
        </w:rPr>
        <w:t>.</w:t>
      </w:r>
    </w:p>
  </w:footnote>
  <w:footnote w:id="3">
    <w:p w14:paraId="50F40C06" w14:textId="165F5799" w:rsidR="00E70AC0" w:rsidRPr="00320FCB" w:rsidRDefault="00E70AC0" w:rsidP="00E70AC0">
      <w:pPr>
        <w:pStyle w:val="FootnoteText"/>
        <w:rPr>
          <w:lang w:val="en-ZW"/>
        </w:rPr>
      </w:pPr>
      <w:r>
        <w:rPr>
          <w:rStyle w:val="FootnoteReference"/>
        </w:rPr>
        <w:footnoteRef/>
      </w:r>
      <w:r>
        <w:t xml:space="preserve"> </w:t>
      </w:r>
      <w:r w:rsidR="002A4A7F">
        <w:t xml:space="preserve"> </w:t>
      </w:r>
      <w:r w:rsidR="3E531BC9">
        <w:t>PG&amp;</w:t>
      </w:r>
      <w:r w:rsidR="7696B443">
        <w:t xml:space="preserve">E </w:t>
      </w:r>
      <w:r w:rsidR="04F747D8">
        <w:t xml:space="preserve">amended </w:t>
      </w:r>
      <w:r w:rsidR="07E95A33">
        <w:t xml:space="preserve">its </w:t>
      </w:r>
      <w:r w:rsidR="1576A93F">
        <w:t xml:space="preserve">application on </w:t>
      </w:r>
      <w:r w:rsidR="4DBA41B9">
        <w:t>March</w:t>
      </w:r>
      <w:r w:rsidR="002A4A7F">
        <w:t> </w:t>
      </w:r>
      <w:r w:rsidR="4DBA41B9">
        <w:t>10,</w:t>
      </w:r>
      <w:r w:rsidR="002A4A7F">
        <w:t> </w:t>
      </w:r>
      <w:r w:rsidR="514680AA">
        <w:t>2022.</w:t>
      </w:r>
      <w:r w:rsidR="11C623A0">
        <w:t xml:space="preserve"> All</w:t>
      </w:r>
      <w:r>
        <w:t xml:space="preserve"> documents filed in this proceeding are available on the Commission’s website at the Docket Card for </w:t>
      </w:r>
      <w:r w:rsidR="00461DD8">
        <w:t>Appli</w:t>
      </w:r>
      <w:r>
        <w:t>A.21</w:t>
      </w:r>
      <w:r w:rsidR="002A4A7F">
        <w:noBreakHyphen/>
      </w:r>
      <w:r>
        <w:t>06</w:t>
      </w:r>
      <w:r w:rsidR="002A4A7F">
        <w:noBreakHyphen/>
      </w:r>
      <w:r>
        <w:t xml:space="preserve">021.  </w:t>
      </w:r>
    </w:p>
  </w:footnote>
  <w:footnote w:id="4">
    <w:p w14:paraId="2B24E574" w14:textId="186461E1" w:rsidR="003376A0" w:rsidRDefault="003376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F19A9">
        <w:t xml:space="preserve"> </w:t>
      </w:r>
      <w:r>
        <w:t>Twenty-</w:t>
      </w:r>
      <w:r w:rsidR="009F13F4">
        <w:t>nine</w:t>
      </w:r>
      <w:r>
        <w:t xml:space="preserve"> entities were made parties either by filing protests or responses to PG&amp;E’s application or by filing motions pursuant to Rule 1.4.</w:t>
      </w:r>
    </w:p>
  </w:footnote>
  <w:footnote w:id="5">
    <w:p w14:paraId="2CC541D9" w14:textId="4369A0DE" w:rsidR="005D202B" w:rsidRDefault="005D202B">
      <w:pPr>
        <w:pStyle w:val="FootnoteText"/>
      </w:pPr>
      <w:r>
        <w:rPr>
          <w:rStyle w:val="FootnoteReference"/>
        </w:rPr>
        <w:footnoteRef/>
      </w:r>
      <w:r w:rsidR="00DD16B3">
        <w:t xml:space="preserve"> </w:t>
      </w:r>
      <w:r>
        <w:t xml:space="preserve"> </w:t>
      </w:r>
      <w:r w:rsidRPr="005D202B">
        <w:t>The test</w:t>
      </w:r>
      <w:r w:rsidR="00DD16B3">
        <w:noBreakHyphen/>
      </w:r>
      <w:r w:rsidRPr="005D202B">
        <w:t>year</w:t>
      </w:r>
      <w:r w:rsidR="00DD16B3">
        <w:t> </w:t>
      </w:r>
      <w:r w:rsidRPr="005D202B">
        <w:t xml:space="preserve">2020 </w:t>
      </w:r>
      <w:r w:rsidR="002A4A7F">
        <w:t>GRC</w:t>
      </w:r>
      <w:r w:rsidRPr="005D202B">
        <w:t xml:space="preserve"> </w:t>
      </w:r>
      <w:r w:rsidR="001F6052">
        <w:t xml:space="preserve">covered the </w:t>
      </w:r>
      <w:r w:rsidRPr="005D202B">
        <w:t>period from 2020 through 2022.</w:t>
      </w:r>
    </w:p>
  </w:footnote>
  <w:footnote w:id="6">
    <w:p w14:paraId="67A0E8C4" w14:textId="2AADC877" w:rsidR="001F6052" w:rsidRDefault="001F60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D16B3">
        <w:t xml:space="preserve"> </w:t>
      </w:r>
      <w:r w:rsidRPr="001F6052">
        <w:t>D</w:t>
      </w:r>
      <w:r>
        <w:t>ecision (D</w:t>
      </w:r>
      <w:r w:rsidR="00DD16B3">
        <w:t>.</w:t>
      </w:r>
      <w:r>
        <w:t>)</w:t>
      </w:r>
      <w:r w:rsidR="00DD16B3">
        <w:t> </w:t>
      </w:r>
      <w:r w:rsidRPr="001F6052">
        <w:t>20</w:t>
      </w:r>
      <w:r w:rsidR="00DD16B3">
        <w:noBreakHyphen/>
      </w:r>
      <w:r w:rsidRPr="001F6052">
        <w:t>12</w:t>
      </w:r>
      <w:r w:rsidR="00DD16B3">
        <w:noBreakHyphen/>
      </w:r>
      <w:r w:rsidRPr="001F6052">
        <w:t>005</w:t>
      </w:r>
      <w:r w:rsidR="65DAF6F8" w:rsidRPr="001F6052">
        <w:t>, Conclusion of Law (COL) 85 at 404</w:t>
      </w:r>
      <w:r>
        <w:t>.</w:t>
      </w:r>
    </w:p>
  </w:footnote>
  <w:footnote w:id="7">
    <w:p w14:paraId="0D5CBED0" w14:textId="275FD155" w:rsidR="50AD889D" w:rsidRPr="008F19A9" w:rsidRDefault="50AD889D" w:rsidP="50AD889D">
      <w:pPr>
        <w:pStyle w:val="FootnoteText"/>
        <w:rPr>
          <w:lang w:val="da-DK"/>
        </w:rPr>
      </w:pPr>
      <w:r w:rsidRPr="50AD889D">
        <w:rPr>
          <w:rStyle w:val="FootnoteReference"/>
          <w:rFonts w:eastAsia="Calibri" w:cs="Arial"/>
          <w:szCs w:val="22"/>
        </w:rPr>
        <w:footnoteRef/>
      </w:r>
      <w:r w:rsidRPr="008F19A9">
        <w:rPr>
          <w:rFonts w:eastAsia="Calibri" w:cs="Arial"/>
          <w:szCs w:val="22"/>
          <w:lang w:val="da-DK"/>
        </w:rPr>
        <w:t xml:space="preserve"> </w:t>
      </w:r>
      <w:r w:rsidR="00DD16B3" w:rsidRPr="008F19A9">
        <w:rPr>
          <w:rFonts w:eastAsia="Calibri" w:cs="Arial"/>
          <w:szCs w:val="22"/>
          <w:lang w:val="da-DK"/>
        </w:rPr>
        <w:t xml:space="preserve"> </w:t>
      </w:r>
      <w:r w:rsidRPr="008F19A9">
        <w:rPr>
          <w:rFonts w:eastAsia="Calibri" w:cs="Arial"/>
          <w:szCs w:val="22"/>
          <w:lang w:val="da-DK"/>
        </w:rPr>
        <w:t>D.20-12-005 at</w:t>
      </w:r>
      <w:r w:rsidR="00DD16B3" w:rsidRPr="008F19A9">
        <w:rPr>
          <w:rFonts w:eastAsia="Calibri" w:cs="Arial"/>
          <w:szCs w:val="22"/>
          <w:lang w:val="da-DK"/>
        </w:rPr>
        <w:t> </w:t>
      </w:r>
      <w:r w:rsidRPr="008F19A9">
        <w:rPr>
          <w:rFonts w:eastAsia="Calibri" w:cs="Arial"/>
          <w:szCs w:val="22"/>
          <w:lang w:val="da-DK"/>
        </w:rPr>
        <w:t>249.</w:t>
      </w:r>
    </w:p>
  </w:footnote>
  <w:footnote w:id="8">
    <w:p w14:paraId="61951E58" w14:textId="31D389BF" w:rsidR="50AD889D" w:rsidRDefault="50AD889D" w:rsidP="50AD889D">
      <w:pPr>
        <w:pStyle w:val="FootnoteText"/>
        <w:rPr>
          <w:rFonts w:eastAsia="Calibri" w:cs="Arial"/>
          <w:szCs w:val="22"/>
        </w:rPr>
      </w:pPr>
      <w:r w:rsidRPr="50AD889D">
        <w:rPr>
          <w:rStyle w:val="FootnoteReference"/>
          <w:rFonts w:eastAsia="Calibri" w:cs="Arial"/>
          <w:szCs w:val="22"/>
        </w:rPr>
        <w:footnoteRef/>
      </w:r>
      <w:r w:rsidRPr="008F19A9">
        <w:rPr>
          <w:rFonts w:eastAsia="Calibri" w:cs="Arial"/>
          <w:szCs w:val="22"/>
          <w:lang w:val="da-DK"/>
        </w:rPr>
        <w:t xml:space="preserve"> </w:t>
      </w:r>
      <w:r w:rsidR="00DD16B3" w:rsidRPr="008F19A9">
        <w:rPr>
          <w:rFonts w:eastAsia="Calibri" w:cs="Arial"/>
          <w:szCs w:val="22"/>
          <w:lang w:val="da-DK"/>
        </w:rPr>
        <w:t xml:space="preserve"> </w:t>
      </w:r>
      <w:r w:rsidRPr="008F19A9">
        <w:rPr>
          <w:rFonts w:eastAsia="Calibri" w:cs="Arial"/>
          <w:szCs w:val="22"/>
          <w:lang w:val="da-DK"/>
        </w:rPr>
        <w:t>Ex. PG&amp;E-9 at 3-39</w:t>
      </w:r>
      <w:r w:rsidR="007D5C5B" w:rsidRPr="008F19A9">
        <w:rPr>
          <w:rFonts w:eastAsia="Calibri" w:cs="Arial"/>
          <w:szCs w:val="22"/>
          <w:lang w:val="da-DK"/>
        </w:rPr>
        <w:t xml:space="preserve">. </w:t>
      </w:r>
      <w:r w:rsidR="007D5C5B">
        <w:rPr>
          <w:rFonts w:eastAsia="Calibri" w:cs="Arial"/>
          <w:szCs w:val="22"/>
        </w:rPr>
        <w:t xml:space="preserve">In this GRC, wildfire liability insurance is included </w:t>
      </w:r>
      <w:r w:rsidR="008C329F">
        <w:rPr>
          <w:rFonts w:eastAsia="Calibri" w:cs="Arial"/>
          <w:szCs w:val="22"/>
        </w:rPr>
        <w:t xml:space="preserve">in </w:t>
      </w:r>
      <w:r w:rsidR="00150550">
        <w:rPr>
          <w:rFonts w:eastAsia="Calibri" w:cs="Arial"/>
          <w:szCs w:val="22"/>
        </w:rPr>
        <w:t xml:space="preserve">the line item for </w:t>
      </w:r>
      <w:r w:rsidR="00303A74">
        <w:rPr>
          <w:rFonts w:eastAsia="Calibri" w:cs="Arial"/>
          <w:szCs w:val="22"/>
        </w:rPr>
        <w:t>general liability i</w:t>
      </w:r>
      <w:r w:rsidR="00303A74" w:rsidRPr="00CB5E59">
        <w:rPr>
          <w:rFonts w:eastAsia="Calibri" w:cs="Arial"/>
          <w:szCs w:val="22"/>
        </w:rPr>
        <w:t>nsurance</w:t>
      </w:r>
      <w:r w:rsidR="00150550" w:rsidRPr="00CB5E59">
        <w:rPr>
          <w:rFonts w:eastAsia="Calibri" w:cs="Arial"/>
          <w:szCs w:val="22"/>
        </w:rPr>
        <w:t xml:space="preserve">. </w:t>
      </w:r>
      <w:r w:rsidR="00461DD8" w:rsidRPr="00CB5E59">
        <w:rPr>
          <w:rFonts w:eastAsia="Calibri" w:cs="Arial"/>
          <w:szCs w:val="22"/>
        </w:rPr>
        <w:t>(</w:t>
      </w:r>
      <w:r w:rsidR="00150550" w:rsidRPr="00CB5E59">
        <w:rPr>
          <w:rFonts w:eastAsia="Calibri" w:cs="Arial"/>
          <w:i/>
          <w:iCs/>
          <w:szCs w:val="22"/>
        </w:rPr>
        <w:t>See</w:t>
      </w:r>
      <w:r w:rsidR="00150550" w:rsidRPr="00CB5E59">
        <w:rPr>
          <w:rFonts w:eastAsia="Calibri" w:cs="Arial"/>
          <w:szCs w:val="22"/>
        </w:rPr>
        <w:t xml:space="preserve"> </w:t>
      </w:r>
      <w:r w:rsidR="007D5C5B" w:rsidRPr="00CB5E59">
        <w:rPr>
          <w:rFonts w:eastAsia="Calibri" w:cs="Arial"/>
          <w:szCs w:val="22"/>
        </w:rPr>
        <w:t>PG&amp;E Exhibit 9 at 3-15, Table 3-1, line 6.</w:t>
      </w:r>
      <w:r w:rsidR="00461DD8" w:rsidRPr="00CB5E59">
        <w:rPr>
          <w:rFonts w:eastAsia="Calibri" w:cs="Arial"/>
          <w:szCs w:val="22"/>
        </w:rPr>
        <w:t>)</w:t>
      </w:r>
    </w:p>
  </w:footnote>
  <w:footnote w:id="9">
    <w:p w14:paraId="4ECAF396" w14:textId="53B9389D" w:rsidR="00315B5E" w:rsidRDefault="00315B5E" w:rsidP="180C6AF5">
      <w:pPr>
        <w:pStyle w:val="FootnoteText"/>
      </w:pPr>
      <w:r w:rsidRPr="6772C988">
        <w:rPr>
          <w:rStyle w:val="FootnoteReference"/>
          <w:rFonts w:eastAsia="Calibri"/>
        </w:rPr>
        <w:footnoteRef/>
      </w:r>
      <w:r w:rsidR="180C6AF5" w:rsidRPr="6772C988">
        <w:rPr>
          <w:rFonts w:eastAsia="Calibri"/>
        </w:rPr>
        <w:t xml:space="preserve"> </w:t>
      </w:r>
      <w:r w:rsidR="00DD16B3">
        <w:rPr>
          <w:rFonts w:eastAsia="Calibri"/>
        </w:rPr>
        <w:t xml:space="preserve"> </w:t>
      </w:r>
      <w:r w:rsidR="180C6AF5" w:rsidRPr="6772C988">
        <w:rPr>
          <w:rFonts w:eastAsia="Calibri"/>
        </w:rPr>
        <w:t xml:space="preserve">PG&amp;E </w:t>
      </w:r>
      <w:r w:rsidR="180C6AF5" w:rsidRPr="2C63ED66">
        <w:rPr>
          <w:rFonts w:eastAsia="Calibri"/>
        </w:rPr>
        <w:t>Ex</w:t>
      </w:r>
      <w:r w:rsidR="180C6AF5">
        <w:rPr>
          <w:rFonts w:eastAsia="Calibri"/>
        </w:rPr>
        <w:t xml:space="preserve">hibit </w:t>
      </w:r>
      <w:r w:rsidR="180C6AF5" w:rsidRPr="2C63ED66">
        <w:rPr>
          <w:rFonts w:eastAsia="Calibri"/>
        </w:rPr>
        <w:t>9</w:t>
      </w:r>
      <w:r w:rsidR="180C6AF5" w:rsidRPr="00C347EF">
        <w:rPr>
          <w:rFonts w:eastAsia="Calibri"/>
        </w:rPr>
        <w:t xml:space="preserve"> </w:t>
      </w:r>
      <w:r w:rsidR="180C6AF5" w:rsidRPr="6772C988">
        <w:rPr>
          <w:rFonts w:eastAsia="Calibri"/>
        </w:rPr>
        <w:t>at 3-29</w:t>
      </w:r>
      <w:r w:rsidR="180C6AF5">
        <w:rPr>
          <w:rFonts w:eastAsia="Calibri"/>
        </w:rPr>
        <w:t xml:space="preserve">. </w:t>
      </w:r>
    </w:p>
  </w:footnote>
  <w:footnote w:id="10">
    <w:p w14:paraId="332CF450" w14:textId="1BCF23A0" w:rsidR="00315B5E" w:rsidRDefault="00315B5E" w:rsidP="00315B5E">
      <w:pPr>
        <w:pStyle w:val="FootnoteText"/>
      </w:pPr>
      <w:r w:rsidRPr="6772C988">
        <w:rPr>
          <w:rStyle w:val="FootnoteReference"/>
          <w:rFonts w:eastAsia="Calibri"/>
        </w:rPr>
        <w:footnoteRef/>
      </w:r>
      <w:r w:rsidR="180C6AF5" w:rsidRPr="6772C988">
        <w:rPr>
          <w:rFonts w:eastAsia="Calibri"/>
        </w:rPr>
        <w:t xml:space="preserve"> </w:t>
      </w:r>
      <w:r w:rsidR="008F19A9">
        <w:rPr>
          <w:rFonts w:eastAsia="Calibri"/>
        </w:rPr>
        <w:t xml:space="preserve"> </w:t>
      </w:r>
      <w:r w:rsidR="180C6AF5" w:rsidRPr="2C63ED66">
        <w:rPr>
          <w:rFonts w:eastAsia="Calibri"/>
        </w:rPr>
        <w:t xml:space="preserve">PG&amp;E Exhibit 9 at </w:t>
      </w:r>
      <w:r w:rsidR="180C6AF5">
        <w:rPr>
          <w:rFonts w:eastAsia="Calibri"/>
        </w:rPr>
        <w:t xml:space="preserve">3-39 - </w:t>
      </w:r>
      <w:r w:rsidR="180C6AF5" w:rsidRPr="6772C988">
        <w:rPr>
          <w:rFonts w:eastAsia="Calibri"/>
        </w:rPr>
        <w:t>3-30</w:t>
      </w:r>
      <w:r w:rsidR="180C6AF5">
        <w:rPr>
          <w:rFonts w:eastAsia="Calibri"/>
        </w:rPr>
        <w:t>.</w:t>
      </w:r>
    </w:p>
  </w:footnote>
  <w:footnote w:id="11">
    <w:p w14:paraId="372D5492" w14:textId="71584906" w:rsidR="00FB17E6" w:rsidRDefault="00FB17E6">
      <w:pPr>
        <w:pStyle w:val="FootnoteText"/>
      </w:pPr>
      <w:r>
        <w:rPr>
          <w:rStyle w:val="FootnoteReference"/>
        </w:rPr>
        <w:footnoteRef/>
      </w:r>
      <w:r>
        <w:t xml:space="preserve"> PG&amp;E Exhibit 9 at 3-26 – 3-27; TURN Exhibit 17 at 1.</w:t>
      </w:r>
    </w:p>
  </w:footnote>
  <w:footnote w:id="12">
    <w:p w14:paraId="610CCA60" w14:textId="524D7382" w:rsidR="00957A45" w:rsidRDefault="00957A45">
      <w:pPr>
        <w:pStyle w:val="FootnoteText"/>
        <w:rPr>
          <w:rFonts w:eastAsia="Calibri" w:cs="Arial"/>
          <w:szCs w:val="22"/>
        </w:rPr>
      </w:pPr>
      <w:r>
        <w:rPr>
          <w:rStyle w:val="FootnoteReference"/>
        </w:rPr>
        <w:footnoteRef/>
      </w:r>
      <w:r w:rsidR="50BB00B1">
        <w:t xml:space="preserve"> October</w:t>
      </w:r>
      <w:r w:rsidR="00DD16B3">
        <w:t> </w:t>
      </w:r>
      <w:r w:rsidR="50BB00B1">
        <w:t>7,</w:t>
      </w:r>
      <w:r w:rsidR="00DD16B3">
        <w:t> </w:t>
      </w:r>
      <w:r w:rsidR="50BB00B1">
        <w:t xml:space="preserve">2022 Joint </w:t>
      </w:r>
      <w:r w:rsidR="001E3520">
        <w:t xml:space="preserve">Settlement </w:t>
      </w:r>
      <w:r w:rsidR="50BB00B1">
        <w:t>Motion at 11.</w:t>
      </w:r>
    </w:p>
  </w:footnote>
  <w:footnote w:id="13">
    <w:p w14:paraId="1BB0B968" w14:textId="4E57E152" w:rsidR="00974031" w:rsidRDefault="00974031" w:rsidP="120D89C5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 w:rsidR="120D89C5">
        <w:t xml:space="preserve"> On November</w:t>
      </w:r>
      <w:r w:rsidR="004B5AF0">
        <w:t> </w:t>
      </w:r>
      <w:r w:rsidR="50BB00B1">
        <w:t>16,</w:t>
      </w:r>
      <w:r w:rsidR="004B5AF0">
        <w:t> </w:t>
      </w:r>
      <w:r w:rsidR="120D89C5">
        <w:t xml:space="preserve">2022, official notice </w:t>
      </w:r>
      <w:r w:rsidR="000A7DC1">
        <w:t xml:space="preserve">was taken </w:t>
      </w:r>
      <w:r w:rsidR="120D89C5">
        <w:t>of the California Department of Forestry Incident Archives f</w:t>
      </w:r>
      <w:bookmarkStart w:id="11" w:name="_Hlk117840123"/>
      <w:r w:rsidR="120D89C5" w:rsidRPr="120D89C5">
        <w:t xml:space="preserve">rom 2017-2022, which are available at </w:t>
      </w:r>
      <w:bookmarkEnd w:id="11"/>
      <w:r w:rsidR="003D0A6F">
        <w:fldChar w:fldCharType="begin"/>
      </w:r>
      <w:r w:rsidR="003D0A6F">
        <w:instrText xml:space="preserve"> HYPERLINK "http://www.fire.ca.gov" </w:instrText>
      </w:r>
      <w:r w:rsidR="003D0A6F">
        <w:fldChar w:fldCharType="separate"/>
      </w:r>
      <w:r w:rsidR="120D89C5" w:rsidRPr="004A737B">
        <w:rPr>
          <w:rStyle w:val="Hyperlink"/>
          <w:b/>
          <w:bCs/>
        </w:rPr>
        <w:t>www.fire.ca.gov.</w:t>
      </w:r>
      <w:r w:rsidR="003D0A6F">
        <w:rPr>
          <w:rStyle w:val="Hyperlink"/>
          <w:b/>
          <w:bCs/>
        </w:rPr>
        <w:fldChar w:fldCharType="end"/>
      </w:r>
    </w:p>
  </w:footnote>
  <w:footnote w:id="14">
    <w:p w14:paraId="73934F4B" w14:textId="5966764A" w:rsidR="00D9707F" w:rsidRDefault="00D970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9707F">
        <w:rPr>
          <w:i/>
          <w:iCs/>
        </w:rPr>
        <w:t>Barnham v. Southern California Edison Company</w:t>
      </w:r>
      <w:r w:rsidRPr="00D9707F">
        <w:t xml:space="preserve"> (1999) 74 Cal. App. 4th 744.</w:t>
      </w:r>
    </w:p>
  </w:footnote>
  <w:footnote w:id="15">
    <w:p w14:paraId="5BCB1AB4" w14:textId="4AD4C7E7" w:rsidR="00C13EFA" w:rsidRDefault="00C13EFA">
      <w:pPr>
        <w:pStyle w:val="FootnoteText"/>
      </w:pPr>
      <w:r>
        <w:rPr>
          <w:rStyle w:val="FootnoteReference"/>
        </w:rPr>
        <w:footnoteRef/>
      </w:r>
      <w:r w:rsidR="180C6AF5">
        <w:t xml:space="preserve"> TURN </w:t>
      </w:r>
      <w:r w:rsidR="00546EF8">
        <w:t>Exhibit</w:t>
      </w:r>
      <w:r w:rsidR="180C6AF5">
        <w:t xml:space="preserve"> 17, </w:t>
      </w:r>
      <w:r w:rsidR="180C6AF5" w:rsidRPr="00C13EFA">
        <w:t>Attachment 5 (PG&amp;E Response to TURN Data Request 79, Question 3, Supplement 1)</w:t>
      </w:r>
      <w:r w:rsidR="180C6AF5">
        <w:t xml:space="preserve"> at 16 - 17.</w:t>
      </w:r>
    </w:p>
  </w:footnote>
  <w:footnote w:id="16">
    <w:p w14:paraId="4256F0AE" w14:textId="77777777" w:rsidR="00DD16B3" w:rsidRDefault="00DD16B3" w:rsidP="00DD16B3">
      <w:pPr>
        <w:pStyle w:val="FootnoteText"/>
      </w:pPr>
      <w:r>
        <w:rPr>
          <w:rStyle w:val="FootnoteReference"/>
        </w:rPr>
        <w:footnoteRef/>
      </w:r>
      <w:r>
        <w:t xml:space="preserve"> Amounts paid or recovered reflect claims incurred for wildfires that occurred during that year. The parties assert there is often a lag between the time a wildfire event occurs and when the claims are ultimately paid. </w:t>
      </w:r>
      <w:r w:rsidRPr="00A5704E">
        <w:t>Settlement, § 3.2.1.</w:t>
      </w:r>
    </w:p>
  </w:footnote>
  <w:footnote w:id="17">
    <w:p w14:paraId="7EB5FD5F" w14:textId="54906F3B" w:rsidR="15DA13AE" w:rsidRDefault="15DA13AE" w:rsidP="004B5AF0">
      <w:pPr>
        <w:pStyle w:val="FootnoteText"/>
        <w:rPr>
          <w:rFonts w:eastAsia="Calibri" w:cs="Arial"/>
          <w:b/>
          <w:bCs/>
          <w:szCs w:val="22"/>
        </w:rPr>
      </w:pPr>
      <w:r w:rsidRPr="15DA13AE">
        <w:rPr>
          <w:rStyle w:val="FootnoteReference"/>
          <w:rFonts w:eastAsia="Calibri" w:cs="Arial"/>
          <w:szCs w:val="22"/>
        </w:rPr>
        <w:footnoteRef/>
      </w:r>
      <w:r w:rsidRPr="15DA13AE">
        <w:rPr>
          <w:rFonts w:eastAsia="Calibri" w:cs="Arial"/>
          <w:szCs w:val="22"/>
        </w:rPr>
        <w:t xml:space="preserve"> </w:t>
      </w:r>
      <w:r>
        <w:t>On November</w:t>
      </w:r>
      <w:r w:rsidR="004B5AF0">
        <w:t> </w:t>
      </w:r>
      <w:r w:rsidR="008C2848">
        <w:t>16</w:t>
      </w:r>
      <w:r>
        <w:t>,</w:t>
      </w:r>
      <w:r w:rsidR="004B5AF0">
        <w:t> </w:t>
      </w:r>
      <w:r>
        <w:t xml:space="preserve">2022, the ALJs took official notice of the California Department of Forestry Incident Archives from 2017-2022, which are available at </w:t>
      </w:r>
      <w:hyperlink r:id="rId1" w:history="1">
        <w:r w:rsidR="004B5AF0" w:rsidRPr="00EF2815">
          <w:rPr>
            <w:rStyle w:val="Hyperlink"/>
            <w:b/>
            <w:bCs/>
          </w:rPr>
          <w:t>www.fire.ca.gov.</w:t>
        </w:r>
      </w:hyperlink>
    </w:p>
  </w:footnote>
  <w:footnote w:id="18">
    <w:p w14:paraId="258FF96E" w14:textId="67B58331" w:rsidR="006F7608" w:rsidRDefault="006F7608" w:rsidP="004B5A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239D8">
        <w:t>D.</w:t>
      </w:r>
      <w:r w:rsidR="009239D8" w:rsidRPr="009239D8">
        <w:t>20-05-053</w:t>
      </w:r>
      <w:r w:rsidR="009239D8">
        <w:t xml:space="preserve"> at 2.</w:t>
      </w:r>
    </w:p>
  </w:footnote>
  <w:footnote w:id="19">
    <w:p w14:paraId="76D4A77C" w14:textId="56326799" w:rsidR="009239D8" w:rsidRDefault="009239D8" w:rsidP="004B5AF0">
      <w:pPr>
        <w:pStyle w:val="FootnoteText"/>
      </w:pPr>
      <w:r>
        <w:rPr>
          <w:rStyle w:val="FootnoteReference"/>
        </w:rPr>
        <w:footnoteRef/>
      </w:r>
      <w:r w:rsidR="180C6AF5">
        <w:t xml:space="preserve"> PG&amp;E Exhibit 9 at 3-11, 3-24</w:t>
      </w:r>
      <w:r w:rsidR="50BB00B1">
        <w:t xml:space="preserve"> - 3-26</w:t>
      </w:r>
      <w:r w:rsidR="180C6AF5">
        <w:t>.</w:t>
      </w:r>
    </w:p>
  </w:footnote>
  <w:footnote w:id="20">
    <w:p w14:paraId="2391B165" w14:textId="63881331" w:rsidR="50BB00B1" w:rsidRDefault="50BB00B1" w:rsidP="004B5AF0">
      <w:pPr>
        <w:pStyle w:val="FootnoteText"/>
        <w:rPr>
          <w:rFonts w:eastAsia="Calibri" w:cs="Arial"/>
          <w:szCs w:val="22"/>
        </w:rPr>
      </w:pPr>
      <w:r w:rsidRPr="50BB00B1">
        <w:rPr>
          <w:rStyle w:val="FootnoteReference"/>
          <w:rFonts w:eastAsia="Calibri" w:cs="Arial"/>
          <w:szCs w:val="22"/>
        </w:rPr>
        <w:footnoteRef/>
      </w:r>
      <w:r w:rsidRPr="50BB00B1">
        <w:rPr>
          <w:rFonts w:eastAsia="Calibri" w:cs="Arial"/>
          <w:szCs w:val="22"/>
        </w:rPr>
        <w:t xml:space="preserve"> </w:t>
      </w:r>
      <w:r w:rsidR="00546EF8" w:rsidRPr="50BB00B1">
        <w:rPr>
          <w:rFonts w:eastAsia="Calibri" w:cs="Arial"/>
          <w:szCs w:val="22"/>
        </w:rPr>
        <w:t xml:space="preserve">TURN </w:t>
      </w:r>
      <w:r w:rsidRPr="50BB00B1">
        <w:rPr>
          <w:rFonts w:eastAsia="Calibri" w:cs="Arial"/>
          <w:szCs w:val="22"/>
        </w:rPr>
        <w:t>Exhibit 17 at 4.</w:t>
      </w:r>
    </w:p>
  </w:footnote>
  <w:footnote w:id="21">
    <w:p w14:paraId="0955218A" w14:textId="69FF648C" w:rsidR="50BB00B1" w:rsidRDefault="50BB00B1" w:rsidP="50BB00B1">
      <w:pPr>
        <w:pStyle w:val="FootnoteText"/>
        <w:rPr>
          <w:rFonts w:eastAsia="Calibri" w:cs="Arial"/>
          <w:szCs w:val="22"/>
        </w:rPr>
      </w:pPr>
      <w:r w:rsidRPr="50BB00B1">
        <w:rPr>
          <w:rStyle w:val="FootnoteReference"/>
          <w:rFonts w:eastAsia="Calibri" w:cs="Arial"/>
          <w:szCs w:val="22"/>
        </w:rPr>
        <w:footnoteRef/>
      </w:r>
      <w:r w:rsidRPr="50BB00B1">
        <w:rPr>
          <w:rFonts w:eastAsia="Calibri" w:cs="Arial"/>
          <w:szCs w:val="22"/>
        </w:rPr>
        <w:t xml:space="preserve"> October</w:t>
      </w:r>
      <w:r w:rsidR="00F7450B">
        <w:rPr>
          <w:rFonts w:eastAsia="Calibri" w:cs="Arial"/>
          <w:szCs w:val="22"/>
        </w:rPr>
        <w:t> </w:t>
      </w:r>
      <w:r w:rsidRPr="50BB00B1">
        <w:rPr>
          <w:rFonts w:eastAsia="Calibri" w:cs="Arial"/>
          <w:szCs w:val="22"/>
        </w:rPr>
        <w:t>7,</w:t>
      </w:r>
      <w:r w:rsidR="00F7450B">
        <w:rPr>
          <w:rFonts w:eastAsia="Calibri" w:cs="Arial"/>
          <w:szCs w:val="22"/>
        </w:rPr>
        <w:t> </w:t>
      </w:r>
      <w:r w:rsidRPr="50BB00B1">
        <w:rPr>
          <w:rFonts w:eastAsia="Calibri" w:cs="Arial"/>
          <w:szCs w:val="22"/>
        </w:rPr>
        <w:t xml:space="preserve">2022 Joint </w:t>
      </w:r>
      <w:r w:rsidR="001E3520">
        <w:rPr>
          <w:rFonts w:eastAsia="Calibri" w:cs="Arial"/>
          <w:szCs w:val="22"/>
        </w:rPr>
        <w:t xml:space="preserve">Settlement </w:t>
      </w:r>
      <w:r w:rsidRPr="50BB00B1">
        <w:rPr>
          <w:rFonts w:eastAsia="Calibri" w:cs="Arial"/>
          <w:szCs w:val="22"/>
        </w:rPr>
        <w:t>Motion, Appendix</w:t>
      </w:r>
      <w:r w:rsidR="00F7450B">
        <w:rPr>
          <w:rFonts w:eastAsia="Calibri" w:cs="Arial"/>
          <w:szCs w:val="22"/>
        </w:rPr>
        <w:t> </w:t>
      </w:r>
      <w:r w:rsidRPr="50BB00B1">
        <w:rPr>
          <w:rFonts w:eastAsia="Calibri" w:cs="Arial"/>
          <w:szCs w:val="22"/>
        </w:rPr>
        <w:t>B at</w:t>
      </w:r>
      <w:r w:rsidR="00F7450B">
        <w:rPr>
          <w:rFonts w:eastAsia="Calibri" w:cs="Arial"/>
          <w:szCs w:val="22"/>
        </w:rPr>
        <w:t> </w:t>
      </w:r>
      <w:r w:rsidRPr="50BB00B1">
        <w:rPr>
          <w:rFonts w:eastAsia="Calibri" w:cs="Arial"/>
          <w:szCs w:val="22"/>
        </w:rPr>
        <w:t>4.</w:t>
      </w:r>
    </w:p>
  </w:footnote>
  <w:footnote w:id="22">
    <w:p w14:paraId="452ABDD5" w14:textId="0FE9CC1C" w:rsidR="00320E17" w:rsidRDefault="00320E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593B">
        <w:t>The California Wildfire Fund was established under</w:t>
      </w:r>
      <w:r w:rsidR="00F7450B">
        <w:t xml:space="preserve"> </w:t>
      </w:r>
      <w:r w:rsidRPr="0002593B">
        <w:t>AB</w:t>
      </w:r>
      <w:r w:rsidR="00F7450B">
        <w:t> </w:t>
      </w:r>
      <w:r w:rsidRPr="0002593B">
        <w:t xml:space="preserve">1054 </w:t>
      </w:r>
      <w:r w:rsidR="00AE78DC">
        <w:t xml:space="preserve">(Stats. 2019, ch. 79) </w:t>
      </w:r>
      <w:r w:rsidRPr="0002593B">
        <w:t>(which was subsequently amended by AB</w:t>
      </w:r>
      <w:r w:rsidR="00F7450B">
        <w:t> </w:t>
      </w:r>
      <w:r w:rsidRPr="0002593B">
        <w:t xml:space="preserve">1513 </w:t>
      </w:r>
      <w:r w:rsidR="00AE78DC">
        <w:t>(Stats. 2019, ch. 396)</w:t>
      </w:r>
      <w:r w:rsidRPr="0002593B">
        <w:t>), and AB</w:t>
      </w:r>
      <w:r w:rsidR="00F7450B">
        <w:t> </w:t>
      </w:r>
      <w:r w:rsidRPr="0002593B">
        <w:t>111</w:t>
      </w:r>
      <w:r w:rsidR="00AE78DC">
        <w:t xml:space="preserve"> (Stats. 2019, ch. 81)</w:t>
      </w:r>
      <w:r w:rsidRPr="0002593B">
        <w:t>, known as the “2019 Wildfire Legislation,” and was signed into law by Governor Gavin</w:t>
      </w:r>
      <w:r w:rsidR="00F7450B">
        <w:t> </w:t>
      </w:r>
      <w:r w:rsidRPr="0002593B">
        <w:t>Newsom on July</w:t>
      </w:r>
      <w:r w:rsidR="00F7450B">
        <w:t> </w:t>
      </w:r>
      <w:r w:rsidRPr="0002593B">
        <w:t>12,</w:t>
      </w:r>
      <w:r w:rsidR="00F7450B">
        <w:t> </w:t>
      </w:r>
      <w:r w:rsidRPr="0002593B">
        <w:t>2019.</w:t>
      </w:r>
    </w:p>
  </w:footnote>
  <w:footnote w:id="23">
    <w:p w14:paraId="5D4BAFF9" w14:textId="76CD08BC" w:rsidR="00C91C01" w:rsidRDefault="00C91C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46EF8">
        <w:t>AB</w:t>
      </w:r>
      <w:r w:rsidR="00F7450B">
        <w:t> </w:t>
      </w:r>
      <w:r w:rsidR="00546EF8">
        <w:t>1054 (</w:t>
      </w:r>
      <w:r>
        <w:t>Stats.</w:t>
      </w:r>
      <w:r w:rsidR="00F7450B">
        <w:t> </w:t>
      </w:r>
      <w:r>
        <w:t>2019, ch.</w:t>
      </w:r>
      <w:r w:rsidR="00F7450B">
        <w:t> </w:t>
      </w:r>
      <w:r>
        <w:t>79</w:t>
      </w:r>
      <w:r w:rsidR="00546EF8">
        <w:t>)</w:t>
      </w:r>
      <w:r w:rsidR="001D3196">
        <w:t xml:space="preserve"> at</w:t>
      </w:r>
      <w:r w:rsidR="00E26B27">
        <w:t xml:space="preserve"> </w:t>
      </w:r>
      <w:r>
        <w:t>§</w:t>
      </w:r>
      <w:r w:rsidR="00F7450B">
        <w:t> </w:t>
      </w:r>
      <w:r>
        <w:t>1(a).</w:t>
      </w:r>
    </w:p>
  </w:footnote>
  <w:footnote w:id="24">
    <w:p w14:paraId="1675ED68" w14:textId="472A028D" w:rsidR="009B15CA" w:rsidRDefault="009B15CA" w:rsidP="120D89C5">
      <w:pPr>
        <w:pStyle w:val="FootnoteText"/>
        <w:rPr>
          <w:rFonts w:eastAsia="Calibri" w:cs="Arial"/>
        </w:rPr>
      </w:pPr>
      <w:r>
        <w:rPr>
          <w:rStyle w:val="FootnoteReference"/>
        </w:rPr>
        <w:footnoteRef/>
      </w:r>
      <w:r w:rsidR="120D89C5">
        <w:t xml:space="preserve"> On November</w:t>
      </w:r>
      <w:r w:rsidR="00F7450B">
        <w:t> </w:t>
      </w:r>
      <w:r w:rsidR="50BB00B1">
        <w:t>16,</w:t>
      </w:r>
      <w:r w:rsidR="00F7450B">
        <w:t> </w:t>
      </w:r>
      <w:r w:rsidR="120D89C5">
        <w:t xml:space="preserve">2022, official notice </w:t>
      </w:r>
      <w:r w:rsidR="001D3196">
        <w:t xml:space="preserve">was taken </w:t>
      </w:r>
      <w:r w:rsidR="120D89C5">
        <w:t xml:space="preserve">of the </w:t>
      </w:r>
      <w:r w:rsidR="120D89C5" w:rsidRPr="120D89C5">
        <w:t>2022 Annual Report of the California Wildfire Fund’s Operations dated July</w:t>
      </w:r>
      <w:r w:rsidR="00F7450B">
        <w:t> </w:t>
      </w:r>
      <w:r w:rsidR="120D89C5" w:rsidRPr="120D89C5">
        <w:t>28,</w:t>
      </w:r>
      <w:r w:rsidR="00F7450B">
        <w:t> </w:t>
      </w:r>
      <w:r w:rsidR="120D89C5" w:rsidRPr="120D89C5">
        <w:t xml:space="preserve">2022, which is available at </w:t>
      </w:r>
      <w:hyperlink r:id="rId2">
        <w:r w:rsidR="120D89C5" w:rsidRPr="120D89C5">
          <w:rPr>
            <w:rStyle w:val="Hyperlink"/>
          </w:rPr>
          <w:t>754529_4e8ac993311146a7943f633b808b5201.pdf (cawildfirefund.com).</w:t>
        </w:r>
      </w:hyperlink>
    </w:p>
  </w:footnote>
  <w:footnote w:id="25">
    <w:p w14:paraId="1CA3AC39" w14:textId="27980272" w:rsidR="00830911" w:rsidRPr="008F19A9" w:rsidRDefault="00830911">
      <w:pPr>
        <w:pStyle w:val="FootnoteText"/>
        <w:rPr>
          <w:lang w:val="da-DK"/>
        </w:rPr>
      </w:pPr>
      <w:r>
        <w:rPr>
          <w:rStyle w:val="FootnoteReference"/>
        </w:rPr>
        <w:footnoteRef/>
      </w:r>
      <w:r w:rsidRPr="008F19A9">
        <w:rPr>
          <w:lang w:val="da-DK"/>
        </w:rPr>
        <w:t xml:space="preserve"> D.20</w:t>
      </w:r>
      <w:r w:rsidR="00F7450B" w:rsidRPr="008F19A9">
        <w:rPr>
          <w:lang w:val="da-DK"/>
        </w:rPr>
        <w:noBreakHyphen/>
      </w:r>
      <w:r w:rsidRPr="008F19A9">
        <w:rPr>
          <w:lang w:val="da-DK"/>
        </w:rPr>
        <w:t>05</w:t>
      </w:r>
      <w:r w:rsidR="00F7450B" w:rsidRPr="008F19A9">
        <w:rPr>
          <w:lang w:val="da-DK"/>
        </w:rPr>
        <w:noBreakHyphen/>
      </w:r>
      <w:r w:rsidRPr="008F19A9">
        <w:rPr>
          <w:lang w:val="da-DK"/>
        </w:rPr>
        <w:t>053.</w:t>
      </w:r>
    </w:p>
  </w:footnote>
  <w:footnote w:id="26">
    <w:p w14:paraId="4E0FB3D2" w14:textId="70410892" w:rsidR="50BB00B1" w:rsidRPr="008F19A9" w:rsidRDefault="50BB00B1" w:rsidP="50BB00B1">
      <w:pPr>
        <w:pStyle w:val="FootnoteText"/>
        <w:rPr>
          <w:rFonts w:eastAsia="Calibri" w:cs="Arial"/>
          <w:szCs w:val="22"/>
          <w:lang w:val="da-DK"/>
        </w:rPr>
      </w:pPr>
      <w:r w:rsidRPr="50BB00B1">
        <w:rPr>
          <w:rStyle w:val="FootnoteReference"/>
          <w:rFonts w:eastAsia="Calibri" w:cs="Arial"/>
          <w:szCs w:val="22"/>
        </w:rPr>
        <w:footnoteRef/>
      </w:r>
      <w:r w:rsidRPr="008F19A9">
        <w:rPr>
          <w:rFonts w:eastAsia="Calibri" w:cs="Arial"/>
          <w:szCs w:val="22"/>
          <w:lang w:val="da-DK"/>
        </w:rPr>
        <w:t xml:space="preserve"> Pub.</w:t>
      </w:r>
      <w:r w:rsidR="00F7450B" w:rsidRPr="008F19A9">
        <w:rPr>
          <w:rFonts w:eastAsia="Calibri" w:cs="Arial"/>
          <w:szCs w:val="22"/>
          <w:lang w:val="da-DK"/>
        </w:rPr>
        <w:t> </w:t>
      </w:r>
      <w:r w:rsidRPr="008F19A9">
        <w:rPr>
          <w:rFonts w:eastAsia="Calibri" w:cs="Arial"/>
          <w:szCs w:val="22"/>
          <w:lang w:val="da-DK"/>
        </w:rPr>
        <w:t>Util. Code</w:t>
      </w:r>
      <w:r w:rsidR="00F7450B" w:rsidRPr="008F19A9">
        <w:rPr>
          <w:rFonts w:eastAsia="Calibri" w:cs="Arial"/>
          <w:szCs w:val="22"/>
          <w:lang w:val="da-DK"/>
        </w:rPr>
        <w:t> </w:t>
      </w:r>
      <w:r w:rsidRPr="008F19A9">
        <w:rPr>
          <w:rFonts w:eastAsia="Calibri" w:cs="Arial"/>
          <w:szCs w:val="22"/>
          <w:lang w:val="da-DK"/>
        </w:rPr>
        <w:t>§</w:t>
      </w:r>
      <w:r w:rsidR="00F7450B" w:rsidRPr="008F19A9">
        <w:rPr>
          <w:rFonts w:eastAsia="Calibri" w:cs="Arial"/>
          <w:szCs w:val="22"/>
          <w:lang w:val="da-DK"/>
        </w:rPr>
        <w:t> </w:t>
      </w:r>
      <w:r w:rsidRPr="008F19A9">
        <w:rPr>
          <w:rFonts w:eastAsia="Calibri" w:cs="Arial"/>
          <w:szCs w:val="22"/>
          <w:lang w:val="da-DK"/>
        </w:rPr>
        <w:t xml:space="preserve">3280(i)(1), </w:t>
      </w:r>
      <w:bookmarkStart w:id="13" w:name="_Hlk119245613"/>
      <w:r w:rsidR="001D3196" w:rsidRPr="008F19A9">
        <w:rPr>
          <w:rFonts w:eastAsia="Calibri" w:cs="Arial"/>
          <w:szCs w:val="22"/>
          <w:lang w:val="da-DK"/>
        </w:rPr>
        <w:t>§</w:t>
      </w:r>
      <w:bookmarkEnd w:id="13"/>
      <w:r w:rsidR="00F7450B" w:rsidRPr="008F19A9">
        <w:rPr>
          <w:rFonts w:eastAsia="Calibri" w:cs="Arial"/>
          <w:szCs w:val="22"/>
          <w:lang w:val="da-DK"/>
        </w:rPr>
        <w:t> </w:t>
      </w:r>
      <w:r w:rsidRPr="008F19A9">
        <w:rPr>
          <w:rFonts w:eastAsia="Calibri" w:cs="Arial"/>
          <w:szCs w:val="22"/>
          <w:lang w:val="da-DK"/>
        </w:rPr>
        <w:t>3292.</w:t>
      </w:r>
    </w:p>
  </w:footnote>
  <w:footnote w:id="27">
    <w:p w14:paraId="5252AF28" w14:textId="075FEA36" w:rsidR="50BB00B1" w:rsidRDefault="50BB00B1" w:rsidP="50BB00B1">
      <w:pPr>
        <w:pStyle w:val="FootnoteText"/>
        <w:rPr>
          <w:rFonts w:eastAsia="Calibri" w:cs="Arial"/>
          <w:szCs w:val="22"/>
        </w:rPr>
      </w:pPr>
      <w:r w:rsidRPr="50BB00B1">
        <w:rPr>
          <w:rStyle w:val="FootnoteReference"/>
          <w:rFonts w:eastAsia="Calibri" w:cs="Arial"/>
          <w:szCs w:val="22"/>
        </w:rPr>
        <w:footnoteRef/>
      </w:r>
      <w:r w:rsidRPr="50BB00B1">
        <w:rPr>
          <w:rFonts w:eastAsia="Calibri" w:cs="Arial"/>
          <w:szCs w:val="22"/>
        </w:rPr>
        <w:t xml:space="preserve"> Pub.</w:t>
      </w:r>
      <w:r w:rsidR="00F7450B">
        <w:rPr>
          <w:rFonts w:eastAsia="Calibri" w:cs="Arial"/>
          <w:szCs w:val="22"/>
        </w:rPr>
        <w:t> </w:t>
      </w:r>
      <w:r w:rsidRPr="50BB00B1">
        <w:rPr>
          <w:rFonts w:eastAsia="Calibri" w:cs="Arial"/>
          <w:szCs w:val="22"/>
        </w:rPr>
        <w:t>Util. Code</w:t>
      </w:r>
      <w:r w:rsidR="00F7450B">
        <w:rPr>
          <w:rFonts w:eastAsia="Calibri" w:cs="Arial"/>
          <w:szCs w:val="22"/>
        </w:rPr>
        <w:t> </w:t>
      </w:r>
      <w:r w:rsidRPr="50BB00B1">
        <w:rPr>
          <w:rFonts w:eastAsia="Calibri" w:cs="Arial"/>
          <w:szCs w:val="22"/>
        </w:rPr>
        <w:t>§</w:t>
      </w:r>
      <w:r w:rsidR="00F7450B">
        <w:rPr>
          <w:rFonts w:eastAsia="Calibri" w:cs="Arial"/>
          <w:szCs w:val="22"/>
        </w:rPr>
        <w:t> </w:t>
      </w:r>
      <w:r w:rsidRPr="50BB00B1">
        <w:rPr>
          <w:rFonts w:eastAsia="Calibri" w:cs="Arial"/>
          <w:szCs w:val="22"/>
        </w:rPr>
        <w:t xml:space="preserve">3280(b)(1), </w:t>
      </w:r>
      <w:r w:rsidR="001D3196" w:rsidRPr="001D3196">
        <w:rPr>
          <w:rFonts w:eastAsia="Calibri" w:cs="Arial"/>
          <w:szCs w:val="22"/>
        </w:rPr>
        <w:t>§</w:t>
      </w:r>
      <w:r w:rsidR="00F7450B">
        <w:rPr>
          <w:rFonts w:eastAsia="Calibri" w:cs="Arial"/>
          <w:szCs w:val="22"/>
        </w:rPr>
        <w:t> </w:t>
      </w:r>
      <w:r w:rsidRPr="50BB00B1">
        <w:rPr>
          <w:rFonts w:eastAsia="Calibri" w:cs="Arial"/>
          <w:szCs w:val="22"/>
        </w:rPr>
        <w:t>3292.</w:t>
      </w:r>
    </w:p>
  </w:footnote>
  <w:footnote w:id="28">
    <w:p w14:paraId="1564B324" w14:textId="0DBF719B" w:rsidR="006D056E" w:rsidRDefault="006D056E">
      <w:pPr>
        <w:pStyle w:val="FootnoteText"/>
        <w:rPr>
          <w:rFonts w:eastAsia="Calibri" w:cs="Arial"/>
          <w:szCs w:val="22"/>
        </w:rPr>
      </w:pPr>
      <w:r>
        <w:rPr>
          <w:rStyle w:val="FootnoteReference"/>
        </w:rPr>
        <w:footnoteRef/>
      </w:r>
      <w:r w:rsidR="50BB00B1">
        <w:t xml:space="preserve"> On November</w:t>
      </w:r>
      <w:r w:rsidR="00F7450B">
        <w:t> </w:t>
      </w:r>
      <w:r w:rsidR="50BB00B1">
        <w:t>16,</w:t>
      </w:r>
      <w:r w:rsidR="00F7450B">
        <w:t> </w:t>
      </w:r>
      <w:r w:rsidR="50BB00B1">
        <w:t xml:space="preserve">2022, official notice </w:t>
      </w:r>
      <w:r w:rsidR="001D3196">
        <w:t xml:space="preserve">was taken </w:t>
      </w:r>
      <w:r w:rsidR="50BB00B1">
        <w:t>of the 2022 Annual Report of the California Wildfire Fund’s Operations dated July</w:t>
      </w:r>
      <w:r w:rsidR="00F7450B">
        <w:t> </w:t>
      </w:r>
      <w:r w:rsidR="50BB00B1">
        <w:t>28,</w:t>
      </w:r>
      <w:r w:rsidR="00F7450B">
        <w:t> </w:t>
      </w:r>
      <w:r w:rsidR="50BB00B1">
        <w:t xml:space="preserve">2022, which is available at </w:t>
      </w:r>
      <w:hyperlink r:id="rId3">
        <w:r w:rsidR="50BB00B1" w:rsidRPr="50BB00B1">
          <w:rPr>
            <w:rStyle w:val="Hyperlink"/>
          </w:rPr>
          <w:t>754529_4e8ac993311146a7943f633b808b5201.pdf (cawildfirefund.com).</w:t>
        </w:r>
      </w:hyperlink>
    </w:p>
  </w:footnote>
  <w:footnote w:id="29">
    <w:p w14:paraId="522CCF3F" w14:textId="31A0D50C" w:rsidR="00CF35C1" w:rsidRPr="008F19A9" w:rsidRDefault="00CF35C1">
      <w:pPr>
        <w:pStyle w:val="FootnoteText"/>
        <w:rPr>
          <w:lang w:val="da-DK"/>
        </w:rPr>
      </w:pPr>
      <w:r>
        <w:rPr>
          <w:rStyle w:val="FootnoteReference"/>
        </w:rPr>
        <w:footnoteRef/>
      </w:r>
      <w:r w:rsidRPr="008F19A9">
        <w:rPr>
          <w:lang w:val="da-DK"/>
        </w:rPr>
        <w:t xml:space="preserve"> Pub.</w:t>
      </w:r>
      <w:r w:rsidR="00F7450B" w:rsidRPr="008F19A9">
        <w:rPr>
          <w:lang w:val="da-DK"/>
        </w:rPr>
        <w:t> </w:t>
      </w:r>
      <w:r w:rsidRPr="008F19A9">
        <w:rPr>
          <w:lang w:val="da-DK"/>
        </w:rPr>
        <w:t>Util. Code</w:t>
      </w:r>
      <w:r w:rsidR="00F7450B" w:rsidRPr="008F19A9">
        <w:rPr>
          <w:lang w:val="da-DK"/>
        </w:rPr>
        <w:t> </w:t>
      </w:r>
      <w:r w:rsidRPr="008F19A9">
        <w:rPr>
          <w:lang w:val="da-DK"/>
        </w:rPr>
        <w:t>§</w:t>
      </w:r>
      <w:r w:rsidR="00F7450B" w:rsidRPr="008F19A9">
        <w:rPr>
          <w:lang w:val="da-DK"/>
        </w:rPr>
        <w:t> </w:t>
      </w:r>
      <w:r w:rsidRPr="008F19A9">
        <w:rPr>
          <w:lang w:val="da-DK"/>
        </w:rPr>
        <w:t>3292(b)(3)</w:t>
      </w:r>
      <w:r w:rsidR="001D3196" w:rsidRPr="008F19A9">
        <w:rPr>
          <w:lang w:val="da-DK"/>
        </w:rPr>
        <w:t>,</w:t>
      </w:r>
      <w:r w:rsidRPr="008F19A9">
        <w:rPr>
          <w:b/>
          <w:bCs/>
          <w:lang w:val="da-DK"/>
        </w:rPr>
        <w:t xml:space="preserve"> </w:t>
      </w:r>
      <w:r w:rsidRPr="008F19A9">
        <w:rPr>
          <w:lang w:val="da-DK"/>
        </w:rPr>
        <w:t>§</w:t>
      </w:r>
      <w:r w:rsidR="00F7450B" w:rsidRPr="008F19A9">
        <w:rPr>
          <w:lang w:val="da-DK"/>
        </w:rPr>
        <w:t> </w:t>
      </w:r>
      <w:r w:rsidRPr="008F19A9">
        <w:rPr>
          <w:lang w:val="da-DK"/>
        </w:rPr>
        <w:t>3292(c).</w:t>
      </w:r>
    </w:p>
  </w:footnote>
  <w:footnote w:id="30">
    <w:p w14:paraId="18710AEA" w14:textId="6AA4B66D" w:rsidR="00371601" w:rsidRDefault="00371601">
      <w:pPr>
        <w:pStyle w:val="FootnoteText"/>
      </w:pPr>
      <w:r>
        <w:rPr>
          <w:rStyle w:val="FootnoteReference"/>
        </w:rPr>
        <w:footnoteRef/>
      </w:r>
      <w:r w:rsidRPr="008F19A9">
        <w:rPr>
          <w:lang w:val="da-DK"/>
        </w:rPr>
        <w:t xml:space="preserve"> Pub.</w:t>
      </w:r>
      <w:r w:rsidR="00F7450B" w:rsidRPr="008F19A9">
        <w:rPr>
          <w:lang w:val="da-DK"/>
        </w:rPr>
        <w:t> </w:t>
      </w:r>
      <w:r w:rsidRPr="008F19A9">
        <w:rPr>
          <w:lang w:val="da-DK"/>
        </w:rPr>
        <w:t xml:space="preserve">Util. </w:t>
      </w:r>
      <w:r>
        <w:t>Code</w:t>
      </w:r>
      <w:r w:rsidR="00F7450B">
        <w:t> </w:t>
      </w:r>
      <w:r>
        <w:t>§</w:t>
      </w:r>
      <w:r w:rsidR="00F7450B">
        <w:t> </w:t>
      </w:r>
      <w:r>
        <w:t>3280(f</w:t>
      </w:r>
      <w:r w:rsidR="50BB00B1">
        <w:t>).</w:t>
      </w:r>
    </w:p>
  </w:footnote>
  <w:footnote w:id="31">
    <w:p w14:paraId="5219A59A" w14:textId="36953B89" w:rsidR="00783FA8" w:rsidRDefault="00783F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3FA8">
        <w:t>D.19</w:t>
      </w:r>
      <w:r w:rsidR="00F7450B">
        <w:noBreakHyphen/>
      </w:r>
      <w:r w:rsidRPr="00783FA8">
        <w:t>10</w:t>
      </w:r>
      <w:r w:rsidR="00F7450B">
        <w:noBreakHyphen/>
      </w:r>
      <w:r w:rsidRPr="00783FA8">
        <w:t>056.</w:t>
      </w:r>
      <w:r>
        <w:t xml:space="preserve"> </w:t>
      </w:r>
      <w:r w:rsidRPr="00F7450B">
        <w:rPr>
          <w:i/>
          <w:iCs/>
        </w:rPr>
        <w:t>See</w:t>
      </w:r>
      <w:r>
        <w:t xml:space="preserve"> </w:t>
      </w:r>
      <w:r w:rsidRPr="00F7450B">
        <w:rPr>
          <w:i/>
          <w:iCs/>
        </w:rPr>
        <w:t>also</w:t>
      </w:r>
      <w:r>
        <w:t xml:space="preserve"> D.19</w:t>
      </w:r>
      <w:r w:rsidR="00F7450B">
        <w:noBreakHyphen/>
      </w:r>
      <w:r>
        <w:t>12</w:t>
      </w:r>
      <w:r w:rsidR="00F7450B">
        <w:noBreakHyphen/>
      </w:r>
      <w:r>
        <w:t>056 at</w:t>
      </w:r>
      <w:r w:rsidR="00F7450B">
        <w:t> </w:t>
      </w:r>
      <w:r>
        <w:t>27.</w:t>
      </w:r>
    </w:p>
  </w:footnote>
  <w:footnote w:id="32">
    <w:p w14:paraId="7AA5ECC9" w14:textId="65C4D3C3" w:rsidR="00373325" w:rsidRPr="00373325" w:rsidRDefault="00373325" w:rsidP="5E2DEBEF">
      <w:pPr>
        <w:pStyle w:val="FootnoteText"/>
        <w:rPr>
          <w:rFonts w:eastAsia="Calibri" w:cs="Arial"/>
          <w:szCs w:val="22"/>
          <w:lang w:val="en-ZW"/>
        </w:rPr>
      </w:pPr>
      <w:r>
        <w:rPr>
          <w:rStyle w:val="FootnoteReference"/>
        </w:rPr>
        <w:footnoteRef/>
      </w:r>
      <w:r w:rsidR="5E2DEBEF">
        <w:t xml:space="preserve"> </w:t>
      </w:r>
      <w:r w:rsidR="5E2DEBEF">
        <w:rPr>
          <w:lang w:val="en-ZW"/>
        </w:rPr>
        <w:t xml:space="preserve">The current administrator of the Wildfire Fund is the California Earthquake Authority. </w:t>
      </w:r>
      <w:r w:rsidR="5E2DEBEF">
        <w:t>On November</w:t>
      </w:r>
      <w:r w:rsidR="00F7450B">
        <w:t> </w:t>
      </w:r>
      <w:r w:rsidR="5E2DEBEF">
        <w:t>16,</w:t>
      </w:r>
      <w:r w:rsidR="00F7450B">
        <w:t> </w:t>
      </w:r>
      <w:r w:rsidR="5E2DEBEF">
        <w:t xml:space="preserve">2022, official notice was taken of the 2022 Annual Report of the California Wildfire Fund’s Operations dated July 28, 2022, which is available at </w:t>
      </w:r>
      <w:hyperlink r:id="rId4">
        <w:r w:rsidR="5E2DEBEF" w:rsidRPr="5E2DEBEF">
          <w:rPr>
            <w:rStyle w:val="Hyperlink"/>
          </w:rPr>
          <w:t>754529_4e8ac993311146a7943f633b808b5201.pdf (cawildfirefund.com).</w:t>
        </w:r>
      </w:hyperlink>
    </w:p>
  </w:footnote>
  <w:footnote w:id="33">
    <w:p w14:paraId="042C021C" w14:textId="5637EE13" w:rsidR="0025199B" w:rsidRDefault="002519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116E3">
        <w:t>October</w:t>
      </w:r>
      <w:r w:rsidR="00F7450B">
        <w:t> </w:t>
      </w:r>
      <w:r w:rsidR="008116E3">
        <w:t>7,</w:t>
      </w:r>
      <w:r w:rsidR="00F7450B">
        <w:t> </w:t>
      </w:r>
      <w:r w:rsidR="008116E3">
        <w:t xml:space="preserve">2022 Joint </w:t>
      </w:r>
      <w:r w:rsidR="001E3520">
        <w:t xml:space="preserve">Settlement </w:t>
      </w:r>
      <w:r w:rsidR="008116E3">
        <w:t>Motion at</w:t>
      </w:r>
      <w:r w:rsidR="00F7450B">
        <w:t> </w:t>
      </w:r>
      <w:r w:rsidR="008116E3">
        <w:t>4-5.</w:t>
      </w:r>
    </w:p>
  </w:footnote>
  <w:footnote w:id="34">
    <w:p w14:paraId="4866FA02" w14:textId="0668CBF8" w:rsidR="00EC3ACB" w:rsidRDefault="00EC3ACB" w:rsidP="00EC3ACB">
      <w:pPr>
        <w:pStyle w:val="FootnoteText"/>
      </w:pPr>
      <w:r>
        <w:rPr>
          <w:rStyle w:val="FootnoteReference"/>
        </w:rPr>
        <w:footnoteRef/>
      </w:r>
      <w:r w:rsidR="180C6AF5">
        <w:t xml:space="preserve"> Cal Advocates Exhibit 13 at 13 - 15.</w:t>
      </w:r>
    </w:p>
  </w:footnote>
  <w:footnote w:id="35">
    <w:p w14:paraId="0EEB99B2" w14:textId="2D8B7FDF" w:rsidR="00E3784D" w:rsidRDefault="00E3784D" w:rsidP="00E3784D">
      <w:pPr>
        <w:pStyle w:val="FootnoteText"/>
      </w:pPr>
      <w:r>
        <w:rPr>
          <w:rStyle w:val="FootnoteReference"/>
        </w:rPr>
        <w:footnoteRef/>
      </w:r>
      <w:r w:rsidR="180C6AF5">
        <w:t xml:space="preserve"> TURN Exhibit 17 at 16.</w:t>
      </w:r>
    </w:p>
  </w:footnote>
  <w:footnote w:id="36">
    <w:p w14:paraId="7F73EB3F" w14:textId="0467235E" w:rsidR="00E3784D" w:rsidRDefault="00E3784D" w:rsidP="00E3784D">
      <w:pPr>
        <w:pStyle w:val="FootnoteText"/>
      </w:pPr>
      <w:r>
        <w:rPr>
          <w:rStyle w:val="FootnoteReference"/>
        </w:rPr>
        <w:footnoteRef/>
      </w:r>
      <w:r w:rsidR="180C6AF5">
        <w:t xml:space="preserve"> TURN Exhibit 17 at 16.</w:t>
      </w:r>
    </w:p>
  </w:footnote>
  <w:footnote w:id="37">
    <w:p w14:paraId="1D14C8D3" w14:textId="1339E050" w:rsidR="00E3784D" w:rsidRDefault="00E3784D" w:rsidP="00E3784D">
      <w:pPr>
        <w:pStyle w:val="FootnoteText"/>
      </w:pPr>
      <w:r>
        <w:rPr>
          <w:rStyle w:val="FootnoteReference"/>
        </w:rPr>
        <w:footnoteRef/>
      </w:r>
      <w:r w:rsidR="180C6AF5">
        <w:t xml:space="preserve"> TURN Exhibit 17 at 17.</w:t>
      </w:r>
    </w:p>
  </w:footnote>
  <w:footnote w:id="38">
    <w:p w14:paraId="76ADA0F4" w14:textId="1A27A9EE" w:rsidR="00237347" w:rsidRDefault="00237347">
      <w:pPr>
        <w:pStyle w:val="FootnoteText"/>
      </w:pPr>
      <w:r>
        <w:rPr>
          <w:rStyle w:val="FootnoteReference"/>
        </w:rPr>
        <w:footnoteRef/>
      </w:r>
      <w:r w:rsidR="00816E95">
        <w:t xml:space="preserve"> </w:t>
      </w:r>
      <w:r w:rsidR="4D6DFE5E">
        <w:t xml:space="preserve">October 7, </w:t>
      </w:r>
      <w:r w:rsidR="00816E95">
        <w:t>2022,</w:t>
      </w:r>
      <w:r w:rsidR="4D6DFE5E">
        <w:t xml:space="preserve"> Joint </w:t>
      </w:r>
      <w:r w:rsidR="001E3520">
        <w:t xml:space="preserve">Settlement </w:t>
      </w:r>
      <w:r w:rsidR="4D6DFE5E">
        <w:t>Motion at 9-11.</w:t>
      </w:r>
    </w:p>
  </w:footnote>
  <w:footnote w:id="39">
    <w:p w14:paraId="0C07E138" w14:textId="3714B0DC" w:rsidR="00816E95" w:rsidRDefault="00816E95">
      <w:pPr>
        <w:pStyle w:val="FootnoteText"/>
      </w:pPr>
      <w:r>
        <w:rPr>
          <w:rStyle w:val="FootnoteReference"/>
        </w:rPr>
        <w:footnoteRef/>
      </w:r>
      <w:r>
        <w:t xml:space="preserve"> Settlement</w:t>
      </w:r>
      <w:r w:rsidR="003154E5">
        <w:t>, §</w:t>
      </w:r>
      <w:r>
        <w:t xml:space="preserve"> </w:t>
      </w:r>
      <w:r w:rsidRPr="00816E95">
        <w:t>3.2.1</w:t>
      </w:r>
      <w:r>
        <w:t>.</w:t>
      </w:r>
    </w:p>
  </w:footnote>
  <w:footnote w:id="40">
    <w:p w14:paraId="0755C6B8" w14:textId="44328B45" w:rsidR="00816E95" w:rsidRDefault="00816E95">
      <w:pPr>
        <w:pStyle w:val="FootnoteText"/>
      </w:pPr>
      <w:r>
        <w:rPr>
          <w:rStyle w:val="FootnoteReference"/>
        </w:rPr>
        <w:footnoteRef/>
      </w:r>
      <w:r>
        <w:t xml:space="preserve"> Settlement</w:t>
      </w:r>
      <w:r w:rsidR="003154E5">
        <w:t>, §</w:t>
      </w:r>
      <w:r>
        <w:t xml:space="preserve"> </w:t>
      </w:r>
      <w:r w:rsidRPr="00816E95">
        <w:t>3.2.3</w:t>
      </w:r>
      <w:r>
        <w:t>.</w:t>
      </w:r>
      <w:r w:rsidRPr="00816E95">
        <w:t xml:space="preserve"> </w:t>
      </w:r>
    </w:p>
  </w:footnote>
  <w:footnote w:id="41">
    <w:p w14:paraId="2C59F11C" w14:textId="657EEEFC" w:rsidR="00816E95" w:rsidRDefault="00816E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16E95">
        <w:t>Settlement</w:t>
      </w:r>
      <w:r w:rsidR="003154E5">
        <w:t xml:space="preserve">, § </w:t>
      </w:r>
      <w:r w:rsidRPr="00816E95">
        <w:t>3.6</w:t>
      </w:r>
      <w:r>
        <w:t>.</w:t>
      </w:r>
    </w:p>
  </w:footnote>
  <w:footnote w:id="42">
    <w:p w14:paraId="4BAEEAE5" w14:textId="187EE740" w:rsidR="00980648" w:rsidRDefault="009806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73E71">
        <w:t xml:space="preserve">The FERC-jurisdictional amount is the </w:t>
      </w:r>
      <w:r w:rsidRPr="00980648">
        <w:t>amount PG&amp;E will seek to recove</w:t>
      </w:r>
      <w:r w:rsidR="00373E71">
        <w:t>r</w:t>
      </w:r>
      <w:r w:rsidRPr="00980648">
        <w:t xml:space="preserve"> for self-insurance that would be allocated to transmission customers through FERC TO rates in effect starting on January 1, 2024, according to the Settlement Agreement, Section 3.5.</w:t>
      </w:r>
    </w:p>
  </w:footnote>
  <w:footnote w:id="43">
    <w:p w14:paraId="71FDF05B" w14:textId="70028C6D" w:rsidR="007A10D1" w:rsidRDefault="007A1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10D1">
        <w:t>Settlement</w:t>
      </w:r>
      <w:r w:rsidR="003154E5">
        <w:t>,</w:t>
      </w:r>
      <w:r w:rsidR="00BC1C3E">
        <w:t xml:space="preserve"> </w:t>
      </w:r>
      <w:r w:rsidR="003154E5">
        <w:t xml:space="preserve">§ </w:t>
      </w:r>
      <w:r w:rsidRPr="007A10D1">
        <w:t>3.5</w:t>
      </w:r>
      <w:r>
        <w:t>.</w:t>
      </w:r>
    </w:p>
  </w:footnote>
  <w:footnote w:id="44">
    <w:p w14:paraId="10D66601" w14:textId="7CD76B12" w:rsidR="007A10D1" w:rsidRDefault="007A1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10D1">
        <w:t>Settlement</w:t>
      </w:r>
      <w:r w:rsidR="003154E5">
        <w:t>, §</w:t>
      </w:r>
      <w:r w:rsidRPr="007A10D1">
        <w:t xml:space="preserve"> 3.2.2.1</w:t>
      </w:r>
      <w:r>
        <w:t xml:space="preserve">. </w:t>
      </w:r>
    </w:p>
  </w:footnote>
  <w:footnote w:id="45">
    <w:p w14:paraId="4986EAC6" w14:textId="5ECE55E3" w:rsidR="007A10D1" w:rsidRDefault="007A1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10D1">
        <w:t>Settlement</w:t>
      </w:r>
      <w:r w:rsidR="003154E5">
        <w:t xml:space="preserve">, § </w:t>
      </w:r>
      <w:r w:rsidRPr="007A10D1">
        <w:t>3.2.2.2.</w:t>
      </w:r>
    </w:p>
  </w:footnote>
  <w:footnote w:id="46">
    <w:p w14:paraId="28868CB8" w14:textId="1A2D9B2B" w:rsidR="007A10D1" w:rsidRDefault="007A1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10D1">
        <w:t>Settlement</w:t>
      </w:r>
      <w:r w:rsidR="003154E5">
        <w:t>,</w:t>
      </w:r>
      <w:r w:rsidRPr="007A10D1">
        <w:t xml:space="preserve"> </w:t>
      </w:r>
      <w:r w:rsidR="003154E5">
        <w:t xml:space="preserve"> § </w:t>
      </w:r>
      <w:r w:rsidRPr="007A10D1">
        <w:t>3.3.</w:t>
      </w:r>
    </w:p>
  </w:footnote>
  <w:footnote w:id="47">
    <w:p w14:paraId="3E292262" w14:textId="1103D0B3" w:rsidR="007A10D1" w:rsidRDefault="007A1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10D1">
        <w:t>Settlement</w:t>
      </w:r>
      <w:r w:rsidR="003154E5">
        <w:t>,</w:t>
      </w:r>
      <w:r w:rsidRPr="007A10D1">
        <w:t xml:space="preserve"> </w:t>
      </w:r>
      <w:r w:rsidR="003154E5">
        <w:t xml:space="preserve">§ </w:t>
      </w:r>
      <w:r w:rsidR="003831DB">
        <w:t xml:space="preserve"> </w:t>
      </w:r>
      <w:r w:rsidRPr="007A10D1">
        <w:t>3.4</w:t>
      </w:r>
      <w:r>
        <w:t>.</w:t>
      </w:r>
    </w:p>
  </w:footnote>
  <w:footnote w:id="48">
    <w:p w14:paraId="1BAAADC3" w14:textId="7FECA310" w:rsidR="007A10D1" w:rsidRDefault="007A1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10D1">
        <w:t>Settlement</w:t>
      </w:r>
      <w:r w:rsidR="003154E5">
        <w:t xml:space="preserve">, </w:t>
      </w:r>
      <w:r w:rsidRPr="007A10D1">
        <w:t xml:space="preserve"> </w:t>
      </w:r>
      <w:r w:rsidR="003154E5">
        <w:t xml:space="preserve">§ </w:t>
      </w:r>
      <w:r w:rsidRPr="007A10D1">
        <w:t>3.7</w:t>
      </w:r>
      <w:r>
        <w:t>.</w:t>
      </w:r>
    </w:p>
  </w:footnote>
  <w:footnote w:id="49">
    <w:p w14:paraId="33326D97" w14:textId="45ADB35F" w:rsidR="007A10D1" w:rsidRDefault="007A1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10D1">
        <w:t>Settlement</w:t>
      </w:r>
      <w:r w:rsidR="003154E5">
        <w:t>,</w:t>
      </w:r>
      <w:r w:rsidRPr="007A10D1">
        <w:t xml:space="preserve"> </w:t>
      </w:r>
      <w:r w:rsidR="003154E5">
        <w:t>§</w:t>
      </w:r>
      <w:r w:rsidRPr="007A10D1">
        <w:t xml:space="preserve"> 3.8</w:t>
      </w:r>
      <w:r>
        <w:t>.</w:t>
      </w:r>
    </w:p>
  </w:footnote>
  <w:footnote w:id="50">
    <w:p w14:paraId="0B0C5067" w14:textId="319813ED" w:rsidR="007A10D1" w:rsidRDefault="007A1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A10D1">
        <w:t>Settlement</w:t>
      </w:r>
      <w:r w:rsidR="003154E5">
        <w:t>, §</w:t>
      </w:r>
      <w:r w:rsidRPr="007A10D1">
        <w:t xml:space="preserve"> 3.10</w:t>
      </w:r>
      <w:r>
        <w:t>.</w:t>
      </w:r>
    </w:p>
  </w:footnote>
  <w:footnote w:id="51">
    <w:p w14:paraId="134D5B5B" w14:textId="1A20C462" w:rsidR="005D6837" w:rsidRPr="001F43C1" w:rsidRDefault="005D6837">
      <w:pPr>
        <w:pStyle w:val="FootnoteText"/>
        <w:rPr>
          <w:lang w:val="en-ZW"/>
        </w:rPr>
      </w:pPr>
      <w:r>
        <w:rPr>
          <w:rStyle w:val="FootnoteReference"/>
        </w:rPr>
        <w:footnoteRef/>
      </w:r>
      <w:r>
        <w:t xml:space="preserve"> </w:t>
      </w:r>
      <w:r w:rsidRPr="005D6837">
        <w:t>D.05-03-022 at 7-8.</w:t>
      </w:r>
    </w:p>
  </w:footnote>
  <w:footnote w:id="52">
    <w:p w14:paraId="6E0F7592" w14:textId="02606D3F" w:rsidR="00B22E53" w:rsidRPr="00781B63" w:rsidRDefault="00B22E53">
      <w:pPr>
        <w:pStyle w:val="FootnoteText"/>
        <w:rPr>
          <w:lang w:val="en-ZW"/>
        </w:rPr>
      </w:pPr>
      <w:r w:rsidRPr="00781B63">
        <w:rPr>
          <w:rStyle w:val="FootnoteReference"/>
        </w:rPr>
        <w:footnoteRef/>
      </w:r>
      <w:r w:rsidRPr="00781B63">
        <w:t xml:space="preserve"> </w:t>
      </w:r>
      <w:r w:rsidR="000B0F67" w:rsidRPr="00781B63">
        <w:rPr>
          <w:rFonts w:cs="BookAntiqua"/>
        </w:rPr>
        <w:t xml:space="preserve">Pub. Util. Code </w:t>
      </w:r>
      <w:r w:rsidRPr="00781B63">
        <w:rPr>
          <w:rFonts w:cs="BookAntiqua"/>
        </w:rPr>
        <w:t>§ 451, which requires that public utility rates “shall be just and reasonable.</w:t>
      </w:r>
      <w:r w:rsidR="00C94F98">
        <w:rPr>
          <w:rFonts w:cs="BookAntiqua"/>
        </w:rPr>
        <w:t>”</w:t>
      </w:r>
    </w:p>
  </w:footnote>
  <w:footnote w:id="53">
    <w:p w14:paraId="61FC3CEF" w14:textId="5469A4CE" w:rsidR="65DAF6F8" w:rsidRDefault="65DAF6F8" w:rsidP="001F43C1">
      <w:pPr>
        <w:pStyle w:val="FootnoteText"/>
        <w:rPr>
          <w:rFonts w:eastAsia="Calibri" w:cs="Arial"/>
        </w:rPr>
      </w:pPr>
      <w:r w:rsidRPr="65DAF6F8">
        <w:rPr>
          <w:rStyle w:val="FootnoteReference"/>
          <w:rFonts w:eastAsia="Calibri" w:cs="Arial"/>
          <w:szCs w:val="22"/>
        </w:rPr>
        <w:footnoteRef/>
      </w:r>
      <w:r w:rsidRPr="65DAF6F8">
        <w:rPr>
          <w:rFonts w:eastAsia="Calibri" w:cs="Arial"/>
          <w:szCs w:val="22"/>
        </w:rPr>
        <w:t xml:space="preserve"> </w:t>
      </w:r>
      <w:r>
        <w:t>D</w:t>
      </w:r>
      <w:r w:rsidR="00D72D15">
        <w:t>.</w:t>
      </w:r>
      <w:r>
        <w:t>20-12-005, Conclusion of Law (COL) 85 at 404.</w:t>
      </w:r>
    </w:p>
  </w:footnote>
  <w:footnote w:id="54">
    <w:p w14:paraId="5A6FAC35" w14:textId="2A4C1D15" w:rsidR="00C94F98" w:rsidRDefault="00C94F98">
      <w:pPr>
        <w:pStyle w:val="FootnoteText"/>
      </w:pPr>
      <w:r>
        <w:rPr>
          <w:rStyle w:val="FootnoteReference"/>
        </w:rPr>
        <w:footnoteRef/>
      </w:r>
      <w:r>
        <w:t xml:space="preserve"> TURN Exhibit 17 at 11.</w:t>
      </w:r>
    </w:p>
  </w:footnote>
  <w:footnote w:id="55">
    <w:p w14:paraId="5A396323" w14:textId="0D86C001" w:rsidR="72C23D9D" w:rsidRDefault="72C23D9D" w:rsidP="72C23D9D">
      <w:pPr>
        <w:pStyle w:val="FootnoteText"/>
      </w:pPr>
      <w:r w:rsidRPr="72C23D9D">
        <w:rPr>
          <w:rStyle w:val="FootnoteReference"/>
          <w:rFonts w:eastAsia="Calibri" w:cs="Arial"/>
          <w:szCs w:val="22"/>
        </w:rPr>
        <w:footnoteRef/>
      </w:r>
      <w:r w:rsidRPr="72C23D9D">
        <w:rPr>
          <w:rFonts w:eastAsia="Calibri" w:cs="Arial"/>
          <w:szCs w:val="22"/>
        </w:rPr>
        <w:t xml:space="preserve"> </w:t>
      </w:r>
      <w:r w:rsidRPr="00781B63">
        <w:rPr>
          <w:rFonts w:eastAsia="Calibri" w:cs="Arial"/>
          <w:i/>
          <w:iCs/>
          <w:szCs w:val="22"/>
        </w:rPr>
        <w:t>See</w:t>
      </w:r>
      <w:r w:rsidRPr="72C23D9D">
        <w:rPr>
          <w:rFonts w:eastAsia="Calibri" w:cs="Arial"/>
          <w:szCs w:val="22"/>
        </w:rPr>
        <w:t xml:space="preserve"> Table 1</w:t>
      </w:r>
      <w:r w:rsidR="001E3520">
        <w:rPr>
          <w:rFonts w:eastAsia="Calibri" w:cs="Arial"/>
          <w:szCs w:val="22"/>
        </w:rPr>
        <w:t>, herein</w:t>
      </w:r>
      <w:r w:rsidRPr="72C23D9D">
        <w:rPr>
          <w:rFonts w:eastAsia="Calibri" w:cs="Arial"/>
          <w:szCs w:val="22"/>
        </w:rPr>
        <w:t>.</w:t>
      </w:r>
    </w:p>
  </w:footnote>
  <w:footnote w:id="56">
    <w:p w14:paraId="17212E5E" w14:textId="30B557FA" w:rsidR="72C23D9D" w:rsidRDefault="72C23D9D" w:rsidP="00263FAE">
      <w:pPr>
        <w:pStyle w:val="Standard"/>
        <w:spacing w:line="240" w:lineRule="auto"/>
        <w:ind w:firstLine="0"/>
        <w:rPr>
          <w:rFonts w:eastAsia="Calibri" w:cs="Arial"/>
        </w:rPr>
      </w:pPr>
      <w:r w:rsidRPr="72C23D9D">
        <w:rPr>
          <w:rStyle w:val="FootnoteReference"/>
          <w:rFonts w:eastAsia="Calibri" w:cs="Arial"/>
          <w:sz w:val="22"/>
        </w:rPr>
        <w:footnoteRef/>
      </w:r>
      <w:r w:rsidRPr="72C23D9D">
        <w:rPr>
          <w:rFonts w:eastAsia="Calibri" w:cs="Arial"/>
          <w:sz w:val="22"/>
        </w:rPr>
        <w:t xml:space="preserve"> </w:t>
      </w:r>
      <w:r w:rsidRPr="001E3520">
        <w:rPr>
          <w:rFonts w:eastAsia="Calibri" w:cs="Arial"/>
          <w:sz w:val="22"/>
        </w:rPr>
        <w:t xml:space="preserve">The second example in the </w:t>
      </w:r>
      <w:r w:rsidRPr="004F47CF">
        <w:rPr>
          <w:sz w:val="22"/>
        </w:rPr>
        <w:t>October</w:t>
      </w:r>
      <w:r w:rsidR="00781B63">
        <w:rPr>
          <w:sz w:val="22"/>
        </w:rPr>
        <w:t> </w:t>
      </w:r>
      <w:r w:rsidRPr="004F47CF">
        <w:rPr>
          <w:sz w:val="22"/>
        </w:rPr>
        <w:t>7,</w:t>
      </w:r>
      <w:r w:rsidR="00781B63">
        <w:rPr>
          <w:sz w:val="22"/>
        </w:rPr>
        <w:t> </w:t>
      </w:r>
      <w:r w:rsidRPr="004F47CF">
        <w:rPr>
          <w:sz w:val="22"/>
        </w:rPr>
        <w:t xml:space="preserve">2022 Joint </w:t>
      </w:r>
      <w:r w:rsidR="001E3520" w:rsidRPr="004F47CF">
        <w:rPr>
          <w:sz w:val="22"/>
        </w:rPr>
        <w:t xml:space="preserve">Settlement </w:t>
      </w:r>
      <w:r w:rsidRPr="004F47CF">
        <w:rPr>
          <w:sz w:val="22"/>
        </w:rPr>
        <w:t xml:space="preserve">Motion of the Settling Parties, </w:t>
      </w:r>
      <w:r w:rsidRPr="001E3520">
        <w:rPr>
          <w:sz w:val="22"/>
        </w:rPr>
        <w:t>Attachment</w:t>
      </w:r>
      <w:r w:rsidR="00781B63">
        <w:rPr>
          <w:sz w:val="22"/>
        </w:rPr>
        <w:t> </w:t>
      </w:r>
      <w:r w:rsidRPr="001E3520">
        <w:rPr>
          <w:sz w:val="22"/>
        </w:rPr>
        <w:t>A, Appendix</w:t>
      </w:r>
      <w:r w:rsidR="00781B63">
        <w:rPr>
          <w:sz w:val="22"/>
        </w:rPr>
        <w:t> </w:t>
      </w:r>
      <w:r w:rsidRPr="001E3520">
        <w:rPr>
          <w:sz w:val="22"/>
        </w:rPr>
        <w:t xml:space="preserve">A is a likely scenario because it is supported by seventeen modeling runs. </w:t>
      </w:r>
      <w:r w:rsidR="001E3520" w:rsidRPr="00781B63">
        <w:rPr>
          <w:i/>
          <w:iCs/>
          <w:sz w:val="22"/>
        </w:rPr>
        <w:t>See</w:t>
      </w:r>
      <w:r w:rsidR="001E3520">
        <w:rPr>
          <w:sz w:val="22"/>
        </w:rPr>
        <w:t xml:space="preserve"> </w:t>
      </w:r>
      <w:r w:rsidRPr="001E3520">
        <w:rPr>
          <w:sz w:val="22"/>
        </w:rPr>
        <w:t>October</w:t>
      </w:r>
      <w:r w:rsidR="00781B63">
        <w:rPr>
          <w:sz w:val="22"/>
        </w:rPr>
        <w:t> </w:t>
      </w:r>
      <w:r w:rsidRPr="001E3520">
        <w:rPr>
          <w:sz w:val="22"/>
        </w:rPr>
        <w:t>7,</w:t>
      </w:r>
      <w:r w:rsidR="00781B63">
        <w:rPr>
          <w:sz w:val="22"/>
        </w:rPr>
        <w:t> </w:t>
      </w:r>
      <w:r w:rsidRPr="001E3520">
        <w:rPr>
          <w:sz w:val="22"/>
        </w:rPr>
        <w:t>2022 Joint</w:t>
      </w:r>
      <w:r w:rsidR="001E3520" w:rsidRPr="001E3520">
        <w:rPr>
          <w:sz w:val="22"/>
        </w:rPr>
        <w:t xml:space="preserve"> Settlement</w:t>
      </w:r>
      <w:r w:rsidRPr="001E3520">
        <w:rPr>
          <w:sz w:val="22"/>
        </w:rPr>
        <w:t xml:space="preserve"> Motion at</w:t>
      </w:r>
      <w:r w:rsidR="00781B63">
        <w:rPr>
          <w:sz w:val="22"/>
        </w:rPr>
        <w:t> </w:t>
      </w:r>
      <w:r w:rsidRPr="001E3520">
        <w:rPr>
          <w:sz w:val="22"/>
        </w:rPr>
        <w:t>14.</w:t>
      </w:r>
    </w:p>
  </w:footnote>
  <w:footnote w:id="57">
    <w:p w14:paraId="185EE06A" w14:textId="28194A61" w:rsidR="65DAF6F8" w:rsidRDefault="65DAF6F8" w:rsidP="001F43C1">
      <w:pPr>
        <w:pStyle w:val="FootnoteText"/>
        <w:rPr>
          <w:rFonts w:eastAsia="Calibri" w:cs="Arial"/>
        </w:rPr>
      </w:pPr>
      <w:r w:rsidRPr="65DAF6F8">
        <w:rPr>
          <w:rStyle w:val="FootnoteReference"/>
          <w:rFonts w:eastAsia="Calibri" w:cs="Arial"/>
          <w:szCs w:val="22"/>
        </w:rPr>
        <w:footnoteRef/>
      </w:r>
      <w:r w:rsidRPr="65DAF6F8">
        <w:rPr>
          <w:rFonts w:eastAsia="Calibri" w:cs="Arial"/>
          <w:szCs w:val="22"/>
        </w:rPr>
        <w:t xml:space="preserve"> </w:t>
      </w:r>
      <w:r w:rsidRPr="65DAF6F8">
        <w:rPr>
          <w:rFonts w:eastAsia="Calibri" w:cs="Arial"/>
        </w:rPr>
        <w:t>October 7, 2022 Joint Settlement Motion at 7.</w:t>
      </w:r>
    </w:p>
  </w:footnote>
  <w:footnote w:id="58">
    <w:p w14:paraId="75845AB6" w14:textId="75845C4B" w:rsidR="00A00DCD" w:rsidRPr="00CB5E59" w:rsidRDefault="00A00DCD" w:rsidP="00B84F8E">
      <w:pPr>
        <w:spacing w:after="120" w:line="240" w:lineRule="auto"/>
        <w:ind w:firstLine="0"/>
      </w:pPr>
      <w:r w:rsidRPr="00CB5E59">
        <w:rPr>
          <w:rStyle w:val="FootnoteReference"/>
        </w:rPr>
        <w:footnoteRef/>
      </w:r>
      <w:r w:rsidRPr="00CB5E59">
        <w:t xml:space="preserve"> </w:t>
      </w:r>
      <w:r w:rsidR="00E36F66" w:rsidRPr="00CB5E59">
        <w:rPr>
          <w:rFonts w:eastAsia="Calibri" w:cs="Arial"/>
          <w:sz w:val="22"/>
        </w:rPr>
        <w:t>A captive is a licensed insurance company created by a company, or group of companies, to cover unique risks specific to the operations of the forming companies that are difficult to place directly into the traditional insurance market (e.g., wildfire risk).</w:t>
      </w:r>
      <w:r w:rsidR="009C46D0" w:rsidRPr="00CB5E59">
        <w:rPr>
          <w:rFonts w:eastAsia="Calibri" w:cs="Arial"/>
          <w:sz w:val="22"/>
        </w:rPr>
        <w:t xml:space="preserve"> PG&amp;E Exhibit 9</w:t>
      </w:r>
      <w:r w:rsidR="001A5357" w:rsidRPr="00CB5E59">
        <w:rPr>
          <w:rFonts w:eastAsia="Calibri" w:cs="Arial"/>
          <w:sz w:val="22"/>
        </w:rPr>
        <w:t xml:space="preserve"> at 3-12.</w:t>
      </w:r>
    </w:p>
  </w:footnote>
  <w:footnote w:id="59">
    <w:p w14:paraId="2F580A3F" w14:textId="63B5D73E" w:rsidR="72C23D9D" w:rsidRDefault="72C23D9D" w:rsidP="72C23D9D">
      <w:pPr>
        <w:pStyle w:val="FootnoteText"/>
        <w:rPr>
          <w:rFonts w:eastAsia="Calibri" w:cs="Arial"/>
          <w:szCs w:val="22"/>
        </w:rPr>
      </w:pPr>
      <w:r w:rsidRPr="00CB5E59">
        <w:rPr>
          <w:rStyle w:val="FootnoteReference"/>
          <w:rFonts w:eastAsia="Calibri" w:cs="Arial"/>
          <w:szCs w:val="22"/>
        </w:rPr>
        <w:footnoteRef/>
      </w:r>
      <w:r w:rsidRPr="00CB5E59">
        <w:rPr>
          <w:rFonts w:eastAsia="Calibri" w:cs="Arial"/>
          <w:szCs w:val="22"/>
        </w:rPr>
        <w:t xml:space="preserve"> PG&amp;E Exhibit 9 at 3-11</w:t>
      </w:r>
      <w:r w:rsidR="00263FAE" w:rsidRPr="00CB5E59">
        <w:rPr>
          <w:rFonts w:eastAsia="Calibri" w:cs="Arial"/>
          <w:szCs w:val="22"/>
        </w:rPr>
        <w:t xml:space="preserve"> </w:t>
      </w:r>
      <w:r w:rsidRPr="00CB5E59">
        <w:rPr>
          <w:rFonts w:eastAsia="Calibri" w:cs="Arial"/>
          <w:szCs w:val="22"/>
        </w:rPr>
        <w:t>- 3-12.</w:t>
      </w:r>
      <w:r w:rsidRPr="72C23D9D">
        <w:rPr>
          <w:rFonts w:eastAsia="Calibri" w:cs="Arial"/>
          <w:szCs w:val="22"/>
        </w:rPr>
        <w:t xml:space="preserve"> </w:t>
      </w:r>
    </w:p>
  </w:footnote>
  <w:footnote w:id="60">
    <w:p w14:paraId="631417E3" w14:textId="4199A705" w:rsidR="00FE604A" w:rsidRDefault="00FE604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B0F67">
        <w:rPr>
          <w:i/>
          <w:iCs/>
        </w:rPr>
        <w:t>Southern California Gas Co</w:t>
      </w:r>
      <w:r w:rsidRPr="00FE604A">
        <w:t>. (1999) D</w:t>
      </w:r>
      <w:r w:rsidR="00D72D15">
        <w:t>.</w:t>
      </w:r>
      <w:r w:rsidRPr="00FE604A">
        <w:t>00-09-034, 2000 Cal. PUC LEXIS 694, at 31.</w:t>
      </w:r>
    </w:p>
  </w:footnote>
  <w:footnote w:id="61">
    <w:p w14:paraId="1687F441" w14:textId="179B7F15" w:rsidR="4721AEEF" w:rsidRPr="008F19A9" w:rsidRDefault="4721AEEF" w:rsidP="00263FAE">
      <w:pPr>
        <w:pStyle w:val="FootnoteText"/>
        <w:rPr>
          <w:lang w:val="da-DK"/>
        </w:rPr>
      </w:pPr>
      <w:r w:rsidRPr="4721AEEF">
        <w:rPr>
          <w:rStyle w:val="FootnoteReference"/>
          <w:rFonts w:eastAsia="Calibri" w:cs="Arial"/>
          <w:szCs w:val="22"/>
        </w:rPr>
        <w:footnoteRef/>
      </w:r>
      <w:r w:rsidRPr="008F19A9">
        <w:rPr>
          <w:rFonts w:eastAsia="Calibri" w:cs="Arial"/>
          <w:szCs w:val="22"/>
          <w:lang w:val="da-DK"/>
        </w:rPr>
        <w:t xml:space="preserve"> </w:t>
      </w:r>
      <w:r w:rsidRPr="008F19A9">
        <w:rPr>
          <w:lang w:val="da-DK"/>
        </w:rPr>
        <w:t>Pub.</w:t>
      </w:r>
      <w:r w:rsidR="00781B63" w:rsidRPr="008F19A9">
        <w:rPr>
          <w:lang w:val="da-DK"/>
        </w:rPr>
        <w:t> </w:t>
      </w:r>
      <w:r w:rsidRPr="008F19A9">
        <w:rPr>
          <w:lang w:val="da-DK"/>
        </w:rPr>
        <w:t>Util. Code</w:t>
      </w:r>
      <w:r w:rsidR="00781B63" w:rsidRPr="008F19A9">
        <w:rPr>
          <w:lang w:val="da-DK"/>
        </w:rPr>
        <w:t> </w:t>
      </w:r>
      <w:r w:rsidR="00263FAE" w:rsidRPr="008F19A9">
        <w:rPr>
          <w:lang w:val="da-DK"/>
        </w:rPr>
        <w:t>§</w:t>
      </w:r>
      <w:r w:rsidR="00781B63" w:rsidRPr="008F19A9">
        <w:rPr>
          <w:lang w:val="da-DK"/>
        </w:rPr>
        <w:t> </w:t>
      </w:r>
      <w:r w:rsidRPr="008F19A9">
        <w:rPr>
          <w:lang w:val="da-DK"/>
        </w:rPr>
        <w:t xml:space="preserve">3280 </w:t>
      </w:r>
      <w:r w:rsidRPr="008F19A9">
        <w:rPr>
          <w:i/>
          <w:iCs/>
          <w:lang w:val="da-DK"/>
        </w:rPr>
        <w:t>et seq</w:t>
      </w:r>
      <w:r w:rsidRPr="008F19A9">
        <w:rPr>
          <w:lang w:val="da-DK"/>
        </w:rPr>
        <w:t>.</w:t>
      </w:r>
    </w:p>
  </w:footnote>
  <w:footnote w:id="62">
    <w:p w14:paraId="5416052F" w14:textId="0BBDD7AA" w:rsidR="004910C4" w:rsidRDefault="004910C4">
      <w:pPr>
        <w:pStyle w:val="FootnoteText"/>
      </w:pPr>
      <w:r>
        <w:rPr>
          <w:rStyle w:val="FootnoteReference"/>
        </w:rPr>
        <w:footnoteRef/>
      </w:r>
      <w:r w:rsidR="120D89C5">
        <w:t xml:space="preserve"> On Novembe</w:t>
      </w:r>
      <w:r w:rsidR="008C2848">
        <w:t>r</w:t>
      </w:r>
      <w:r w:rsidR="00B13F51">
        <w:t> </w:t>
      </w:r>
      <w:r w:rsidR="008C2848">
        <w:t>16</w:t>
      </w:r>
      <w:r w:rsidR="120D89C5">
        <w:t>,</w:t>
      </w:r>
      <w:r w:rsidR="00B13F51">
        <w:t> </w:t>
      </w:r>
      <w:r w:rsidR="120D89C5">
        <w:t>2022, official notice</w:t>
      </w:r>
      <w:r w:rsidR="00EA2B4D">
        <w:t xml:space="preserve"> was taken</w:t>
      </w:r>
      <w:r w:rsidR="120D89C5">
        <w:t xml:space="preserve"> of the California Department of Forestry Incident Archives from 2017-2022, which are available at </w:t>
      </w:r>
      <w:hyperlink r:id="rId5">
        <w:r w:rsidR="120D89C5" w:rsidRPr="120D89C5">
          <w:rPr>
            <w:rStyle w:val="Hyperlink"/>
            <w:b/>
            <w:bCs/>
          </w:rPr>
          <w:t>www.fire.ca.gov.</w:t>
        </w:r>
      </w:hyperlink>
      <w:r w:rsidR="120D89C5" w:rsidRPr="120D89C5">
        <w:rPr>
          <w:b/>
          <w:bCs/>
        </w:rPr>
        <w:t xml:space="preserve"> </w:t>
      </w:r>
    </w:p>
  </w:footnote>
  <w:footnote w:id="63">
    <w:p w14:paraId="0EEE7CD2" w14:textId="1E5D33E4" w:rsidR="00D40532" w:rsidRDefault="00D405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40532">
        <w:t>October</w:t>
      </w:r>
      <w:r w:rsidR="00B13F51">
        <w:t> </w:t>
      </w:r>
      <w:r w:rsidRPr="00D40532">
        <w:t>7,</w:t>
      </w:r>
      <w:r w:rsidR="00B13F51">
        <w:t> </w:t>
      </w:r>
      <w:r w:rsidRPr="00D40532">
        <w:t xml:space="preserve">2022 Joint </w:t>
      </w:r>
      <w:r w:rsidR="001E3520">
        <w:t xml:space="preserve">Settlement </w:t>
      </w:r>
      <w:r w:rsidRPr="00D40532">
        <w:t xml:space="preserve">Motion at </w:t>
      </w:r>
      <w:r>
        <w:t>13</w:t>
      </w:r>
      <w:r w:rsidRPr="00D40532">
        <w:t>.</w:t>
      </w:r>
    </w:p>
  </w:footnote>
  <w:footnote w:id="64">
    <w:p w14:paraId="31491BAB" w14:textId="05663F13" w:rsidR="00226A9F" w:rsidRDefault="00226A9F" w:rsidP="00226A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5AF5">
        <w:t>October</w:t>
      </w:r>
      <w:r w:rsidR="00B13F51">
        <w:t> </w:t>
      </w:r>
      <w:r w:rsidRPr="00B75AF5">
        <w:t>7,</w:t>
      </w:r>
      <w:r w:rsidR="00B13F51">
        <w:t> </w:t>
      </w:r>
      <w:r w:rsidRPr="00B75AF5">
        <w:t>2022 Joint</w:t>
      </w:r>
      <w:r w:rsidR="001E3520">
        <w:t xml:space="preserve"> Settlement</w:t>
      </w:r>
      <w:r w:rsidRPr="00B75AF5">
        <w:t xml:space="preserve"> Motion at</w:t>
      </w:r>
      <w:r w:rsidR="00B13F51">
        <w:t> </w:t>
      </w:r>
      <w:r>
        <w:t>15-17.</w:t>
      </w:r>
    </w:p>
  </w:footnote>
  <w:footnote w:id="65">
    <w:p w14:paraId="193D6303" w14:textId="3E8E633D" w:rsidR="009F13F4" w:rsidRDefault="009F13F4">
      <w:pPr>
        <w:pStyle w:val="FootnoteText"/>
      </w:pPr>
      <w:r>
        <w:rPr>
          <w:rStyle w:val="FootnoteReference"/>
        </w:rPr>
        <w:footnoteRef/>
      </w:r>
      <w:r w:rsidR="00646EE0">
        <w:t xml:space="preserve"> </w:t>
      </w:r>
      <w:r w:rsidRPr="009F13F4">
        <w:t>The inputs into the Results of Operations model (such as expense, taxes, etc.) for wildfire liability self-insurance to produce the revenue requirement reflected in the Settlement will be established when the total revenue requirement for 2023-2026 is adopted by the Commission in in this proceeding.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08DA" w14:textId="77777777" w:rsidR="005650DE" w:rsidRPr="00646EE0" w:rsidRDefault="005650DE" w:rsidP="00646EE0">
    <w:pPr>
      <w:pStyle w:val="Header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C25D" w14:textId="77777777" w:rsidR="00513718" w:rsidRDefault="00513718" w:rsidP="002A4A7F">
    <w:pPr>
      <w:pStyle w:val="Header"/>
      <w:tabs>
        <w:tab w:val="clear" w:pos="4680"/>
      </w:tabs>
      <w:ind w:firstLine="0"/>
      <w:rPr>
        <w:b/>
      </w:rPr>
    </w:pPr>
    <w:r w:rsidRPr="005B09BA">
      <w:t>A.21-06-021</w:t>
    </w:r>
    <w:r>
      <w:t xml:space="preserve">  ALJ/JOR/RMD/mef</w:t>
    </w:r>
    <w:r>
      <w:tab/>
    </w:r>
    <w:r w:rsidRPr="00B13F51">
      <w:rPr>
        <w:b/>
        <w:bCs/>
      </w:rPr>
      <w:t>PROPOSED DECISION</w:t>
    </w:r>
  </w:p>
  <w:p w14:paraId="5638457F" w14:textId="77777777" w:rsidR="00513718" w:rsidRPr="00B3087D" w:rsidRDefault="00513718" w:rsidP="002A4A7F">
    <w:pPr>
      <w:pStyle w:val="Header"/>
      <w:tabs>
        <w:tab w:val="clear" w:pos="4680"/>
      </w:tabs>
      <w:ind w:firstLine="0"/>
      <w:rPr>
        <w:i/>
        <w:color w:val="FF0000"/>
      </w:rPr>
    </w:pPr>
    <w:r w:rsidRPr="00B3087D">
      <w:rPr>
        <w:i/>
        <w:color w:val="FF0000"/>
      </w:rPr>
      <w:t xml:space="preserve"> [</w:t>
    </w:r>
    <w:r>
      <w:rPr>
        <w:i/>
        <w:color w:val="FF0000"/>
      </w:rPr>
      <w:t>11/23/2022</w:t>
    </w:r>
    <w:r w:rsidRPr="00B3087D">
      <w:rPr>
        <w:i/>
        <w:color w:val="FF0000"/>
      </w:rPr>
      <w:t xml:space="preserve">] Internal Review Draft; Subject to </w:t>
    </w:r>
    <w:r w:rsidRPr="00B3087D">
      <w:rPr>
        <w:b/>
        <w:i/>
        <w:color w:val="FF0000"/>
      </w:rPr>
      <w:t>ALJ Division Review</w:t>
    </w:r>
  </w:p>
  <w:p w14:paraId="47CEFF90" w14:textId="77777777" w:rsidR="00513718" w:rsidRPr="00B3087D" w:rsidRDefault="00513718" w:rsidP="002A4A7F">
    <w:pPr>
      <w:pStyle w:val="Header"/>
      <w:tabs>
        <w:tab w:val="clear" w:pos="4680"/>
      </w:tabs>
      <w:ind w:firstLine="0"/>
      <w:rPr>
        <w:i/>
        <w:color w:val="FF0000"/>
      </w:rPr>
    </w:pPr>
    <w:r>
      <w:rPr>
        <w:b/>
        <w:color w:val="FF0000"/>
      </w:rPr>
      <w:t>CONFIDENTIAL</w:t>
    </w:r>
    <w:r w:rsidRPr="00B3087D">
      <w:rPr>
        <w:b/>
        <w:color w:val="FF0000"/>
      </w:rPr>
      <w:t xml:space="preserve">; </w:t>
    </w:r>
    <w:r w:rsidRPr="00B3087D">
      <w:rPr>
        <w:i/>
        <w:color w:val="FF0000"/>
      </w:rPr>
      <w:t>Deliberative Process Privilege</w:t>
    </w:r>
  </w:p>
  <w:p w14:paraId="6B2F1CC3" w14:textId="77777777" w:rsidR="00513718" w:rsidRDefault="00513718" w:rsidP="002A4A7F">
    <w:pPr>
      <w:pStyle w:val="Header"/>
      <w:ind w:firstLine="0"/>
    </w:pPr>
  </w:p>
  <w:p w14:paraId="096F62CC" w14:textId="77777777" w:rsidR="00513718" w:rsidRPr="002A4A7F" w:rsidRDefault="00513718" w:rsidP="002A4A7F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05DE" w14:textId="2266B91D" w:rsidR="005650DE" w:rsidRDefault="005B09BA" w:rsidP="005650DE">
    <w:pPr>
      <w:pStyle w:val="Header"/>
      <w:tabs>
        <w:tab w:val="clear" w:pos="4680"/>
      </w:tabs>
      <w:ind w:firstLine="0"/>
      <w:rPr>
        <w:b/>
      </w:rPr>
    </w:pPr>
    <w:r w:rsidRPr="005B09BA">
      <w:t>A.21-06-021</w:t>
    </w:r>
    <w:r w:rsidR="005650DE">
      <w:t xml:space="preserve">  </w:t>
    </w:r>
    <w:r>
      <w:t>ALJ</w:t>
    </w:r>
    <w:r w:rsidR="005650DE">
      <w:t>/</w:t>
    </w:r>
    <w:r w:rsidR="00B13F51">
      <w:t>R</w:t>
    </w:r>
    <w:r>
      <w:t>MD/</w:t>
    </w:r>
    <w:r w:rsidR="00B13F51">
      <w:t>JOR/</w:t>
    </w:r>
    <w:r>
      <w:t>mef</w:t>
    </w:r>
    <w:r w:rsidR="00B13F51">
      <w:tab/>
    </w:r>
    <w:r w:rsidR="00B13F51" w:rsidRPr="004009D9">
      <w:rPr>
        <w:b/>
        <w:bCs/>
        <w:szCs w:val="26"/>
      </w:rPr>
      <w:t>PROPOSED DECISION</w:t>
    </w:r>
    <w:r w:rsidR="004009D9" w:rsidRPr="004009D9">
      <w:rPr>
        <w:b/>
        <w:bCs/>
        <w:szCs w:val="26"/>
      </w:rPr>
      <w:t xml:space="preserve"> (Rev. 1)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3805" w14:textId="182441C7" w:rsidR="00646430" w:rsidRDefault="00646430" w:rsidP="002A4A7F">
    <w:pPr>
      <w:pStyle w:val="Header"/>
      <w:tabs>
        <w:tab w:val="clear" w:pos="4680"/>
      </w:tabs>
      <w:ind w:firstLine="0"/>
      <w:rPr>
        <w:b/>
      </w:rPr>
    </w:pPr>
    <w:r w:rsidRPr="005B09BA">
      <w:t>A.21-06-021</w:t>
    </w:r>
    <w:r>
      <w:t xml:space="preserve">  ALJ/JOR/RMD/mef</w:t>
    </w:r>
    <w:r>
      <w:tab/>
    </w:r>
    <w:r w:rsidRPr="00B13F51">
      <w:rPr>
        <w:b/>
        <w:bCs/>
      </w:rPr>
      <w:t>PROPOSED DECISION</w:t>
    </w:r>
    <w:r w:rsidR="004009D9">
      <w:rPr>
        <w:b/>
        <w:bCs/>
      </w:rPr>
      <w:t xml:space="preserve"> (Rev. 1)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2D525" w14:textId="05261E58" w:rsidR="00646430" w:rsidRDefault="00646430" w:rsidP="005650DE">
    <w:pPr>
      <w:pStyle w:val="Header"/>
      <w:tabs>
        <w:tab w:val="clear" w:pos="4680"/>
      </w:tabs>
      <w:ind w:firstLine="0"/>
      <w:rPr>
        <w:b/>
      </w:rPr>
    </w:pPr>
    <w:r w:rsidRPr="005B09BA">
      <w:t>A.21-06-021</w:t>
    </w:r>
    <w:r>
      <w:t xml:space="preserve">  ALJ/RMD/JOR/mef</w:t>
    </w:r>
    <w:r>
      <w:tab/>
    </w:r>
    <w:r w:rsidRPr="00B13F51">
      <w:rPr>
        <w:b/>
        <w:bCs/>
      </w:rPr>
      <w:t>PROPOSED DECISION</w:t>
    </w:r>
    <w:r w:rsidR="004009D9">
      <w:rPr>
        <w:b/>
        <w:bCs/>
      </w:rPr>
      <w:t xml:space="preserve"> (Rev.1)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FD07D" w14:textId="53320C8B" w:rsidR="00513718" w:rsidRPr="00B4339B" w:rsidRDefault="00513718" w:rsidP="00B4339B">
    <w:pPr>
      <w:pStyle w:val="Header"/>
      <w:tabs>
        <w:tab w:val="clear" w:pos="4680"/>
      </w:tabs>
      <w:ind w:firstLine="0"/>
      <w:rPr>
        <w:b/>
      </w:rPr>
    </w:pPr>
    <w:r w:rsidRPr="005B09BA">
      <w:t>A.21-06-021</w:t>
    </w:r>
    <w:r>
      <w:t xml:space="preserve">  ALJ/RMD/JOR/mef</w:t>
    </w:r>
    <w:r>
      <w:tab/>
    </w:r>
    <w:r w:rsidRPr="00B13F51">
      <w:rPr>
        <w:b/>
        <w:bCs/>
      </w:rPr>
      <w:t>PROPOSED DECISION</w:t>
    </w:r>
    <w:r w:rsidR="004009D9">
      <w:rPr>
        <w:b/>
        <w:bCs/>
      </w:rPr>
      <w:t xml:space="preserve"> (REV.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1C77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E4973"/>
    <w:multiLevelType w:val="hybridMultilevel"/>
    <w:tmpl w:val="41CA65F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A9E7E"/>
    <w:multiLevelType w:val="multilevel"/>
    <w:tmpl w:val="5C464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FoF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88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4" w15:restartNumberingAfterBreak="0">
    <w:nsid w:val="15CF5867"/>
    <w:multiLevelType w:val="hybridMultilevel"/>
    <w:tmpl w:val="6A442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056CB"/>
    <w:multiLevelType w:val="multilevel"/>
    <w:tmpl w:val="18F4A5AC"/>
    <w:numStyleLink w:val="FoFCoLOP"/>
  </w:abstractNum>
  <w:abstractNum w:abstractNumId="6" w15:restartNumberingAfterBreak="0">
    <w:nsid w:val="1E2242C9"/>
    <w:multiLevelType w:val="multilevel"/>
    <w:tmpl w:val="ECB8CCE8"/>
    <w:numStyleLink w:val="Headings"/>
  </w:abstractNum>
  <w:abstractNum w:abstractNumId="7" w15:restartNumberingAfterBreak="0">
    <w:nsid w:val="1FC570B9"/>
    <w:multiLevelType w:val="hybridMultilevel"/>
    <w:tmpl w:val="5C72D5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AF750"/>
    <w:multiLevelType w:val="hybridMultilevel"/>
    <w:tmpl w:val="A8D2F8B8"/>
    <w:lvl w:ilvl="0" w:tplc="6688C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687E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2A7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80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46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6E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ED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0C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E9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DB1A0"/>
    <w:multiLevelType w:val="hybridMultilevel"/>
    <w:tmpl w:val="5778EB44"/>
    <w:lvl w:ilvl="0" w:tplc="543022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D29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CF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E7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E0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840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80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E6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46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D53B4"/>
    <w:multiLevelType w:val="hybridMultilevel"/>
    <w:tmpl w:val="83222400"/>
    <w:lvl w:ilvl="0" w:tplc="FC166418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65302"/>
    <w:multiLevelType w:val="hybridMultilevel"/>
    <w:tmpl w:val="8B583280"/>
    <w:lvl w:ilvl="0" w:tplc="8998FE62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C560F"/>
    <w:multiLevelType w:val="multilevel"/>
    <w:tmpl w:val="7DB8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1F6D42"/>
    <w:multiLevelType w:val="multilevel"/>
    <w:tmpl w:val="ECB8CCE8"/>
    <w:styleLink w:val="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1008" w:hanging="64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58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736" w:hanging="1296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0"/>
        </w:tabs>
        <w:ind w:left="3312" w:hanging="1512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5760" w:hanging="1440"/>
      </w:pPr>
      <w:rPr>
        <w:rFonts w:ascii="Arial" w:hAnsi="Arial" w:hint="default"/>
        <w:b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23DAD2"/>
    <w:multiLevelType w:val="hybridMultilevel"/>
    <w:tmpl w:val="968C0500"/>
    <w:lvl w:ilvl="0" w:tplc="34D2BE56">
      <w:start w:val="1"/>
      <w:numFmt w:val="lowerLetter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716C9910">
      <w:start w:val="1"/>
      <w:numFmt w:val="lowerLetter"/>
      <w:lvlText w:val="%2."/>
      <w:lvlJc w:val="left"/>
      <w:pPr>
        <w:ind w:left="1440" w:hanging="360"/>
      </w:pPr>
    </w:lvl>
    <w:lvl w:ilvl="2" w:tplc="98568E2E">
      <w:start w:val="1"/>
      <w:numFmt w:val="lowerRoman"/>
      <w:lvlText w:val="%3."/>
      <w:lvlJc w:val="right"/>
      <w:pPr>
        <w:ind w:left="2160" w:hanging="180"/>
      </w:pPr>
    </w:lvl>
    <w:lvl w:ilvl="3" w:tplc="EBBE9B04">
      <w:start w:val="1"/>
      <w:numFmt w:val="decimal"/>
      <w:lvlText w:val="%4."/>
      <w:lvlJc w:val="left"/>
      <w:pPr>
        <w:ind w:left="2880" w:hanging="360"/>
      </w:pPr>
    </w:lvl>
    <w:lvl w:ilvl="4" w:tplc="7F44FA0E">
      <w:start w:val="1"/>
      <w:numFmt w:val="lowerLetter"/>
      <w:lvlText w:val="%5."/>
      <w:lvlJc w:val="left"/>
      <w:pPr>
        <w:ind w:left="3600" w:hanging="360"/>
      </w:pPr>
    </w:lvl>
    <w:lvl w:ilvl="5" w:tplc="939E9C0A">
      <w:start w:val="1"/>
      <w:numFmt w:val="lowerRoman"/>
      <w:lvlText w:val="%6."/>
      <w:lvlJc w:val="right"/>
      <w:pPr>
        <w:ind w:left="4320" w:hanging="180"/>
      </w:pPr>
    </w:lvl>
    <w:lvl w:ilvl="6" w:tplc="CB3EC7E2">
      <w:start w:val="1"/>
      <w:numFmt w:val="decimal"/>
      <w:lvlText w:val="%7."/>
      <w:lvlJc w:val="left"/>
      <w:pPr>
        <w:ind w:left="5040" w:hanging="360"/>
      </w:pPr>
    </w:lvl>
    <w:lvl w:ilvl="7" w:tplc="C7361A46">
      <w:start w:val="1"/>
      <w:numFmt w:val="lowerLetter"/>
      <w:lvlText w:val="%8."/>
      <w:lvlJc w:val="left"/>
      <w:pPr>
        <w:ind w:left="5760" w:hanging="360"/>
      </w:pPr>
    </w:lvl>
    <w:lvl w:ilvl="8" w:tplc="573AAD7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16CBB"/>
    <w:multiLevelType w:val="hybridMultilevel"/>
    <w:tmpl w:val="27F2E1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8F7F92"/>
    <w:multiLevelType w:val="hybridMultilevel"/>
    <w:tmpl w:val="2BFCD322"/>
    <w:lvl w:ilvl="0" w:tplc="4A644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08E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F36E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AE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25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9E4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A6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20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02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E03F9"/>
    <w:multiLevelType w:val="hybridMultilevel"/>
    <w:tmpl w:val="1D7800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D33E5"/>
    <w:multiLevelType w:val="hybridMultilevel"/>
    <w:tmpl w:val="D11472E8"/>
    <w:lvl w:ilvl="0" w:tplc="C56AFAE6">
      <w:start w:val="1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B53EDD"/>
    <w:multiLevelType w:val="hybridMultilevel"/>
    <w:tmpl w:val="D87ED3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E4B80"/>
    <w:multiLevelType w:val="multilevel"/>
    <w:tmpl w:val="76DA1E0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9D042D7"/>
    <w:multiLevelType w:val="multilevel"/>
    <w:tmpl w:val="18F4A5AC"/>
    <w:numStyleLink w:val="FoFCoLOP"/>
  </w:abstractNum>
  <w:abstractNum w:abstractNumId="22" w15:restartNumberingAfterBreak="0">
    <w:nsid w:val="5A9E2171"/>
    <w:multiLevelType w:val="multilevel"/>
    <w:tmpl w:val="BD4C7B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lvlText w:val="%3.%2.%1.%4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C141D63"/>
    <w:multiLevelType w:val="hybridMultilevel"/>
    <w:tmpl w:val="FFFFFFFF"/>
    <w:lvl w:ilvl="0" w:tplc="0B0A032A">
      <w:start w:val="1"/>
      <w:numFmt w:val="lowerLetter"/>
      <w:lvlText w:val="%1."/>
      <w:lvlJc w:val="left"/>
      <w:pPr>
        <w:ind w:left="720" w:hanging="360"/>
      </w:pPr>
    </w:lvl>
    <w:lvl w:ilvl="1" w:tplc="BCE894EA">
      <w:start w:val="1"/>
      <w:numFmt w:val="lowerLetter"/>
      <w:lvlText w:val="%2."/>
      <w:lvlJc w:val="left"/>
      <w:pPr>
        <w:ind w:left="1440" w:hanging="360"/>
      </w:pPr>
    </w:lvl>
    <w:lvl w:ilvl="2" w:tplc="45CE69A0">
      <w:start w:val="1"/>
      <w:numFmt w:val="lowerRoman"/>
      <w:lvlText w:val="%3."/>
      <w:lvlJc w:val="right"/>
      <w:pPr>
        <w:ind w:left="2160" w:hanging="180"/>
      </w:pPr>
    </w:lvl>
    <w:lvl w:ilvl="3" w:tplc="76C61CD6">
      <w:start w:val="1"/>
      <w:numFmt w:val="decimal"/>
      <w:lvlText w:val="%4."/>
      <w:lvlJc w:val="left"/>
      <w:pPr>
        <w:ind w:left="2880" w:hanging="360"/>
      </w:pPr>
    </w:lvl>
    <w:lvl w:ilvl="4" w:tplc="A1F60B5E">
      <w:start w:val="1"/>
      <w:numFmt w:val="lowerLetter"/>
      <w:lvlText w:val="%5."/>
      <w:lvlJc w:val="left"/>
      <w:pPr>
        <w:ind w:left="3600" w:hanging="360"/>
      </w:pPr>
    </w:lvl>
    <w:lvl w:ilvl="5" w:tplc="75467A5A">
      <w:start w:val="1"/>
      <w:numFmt w:val="lowerRoman"/>
      <w:lvlText w:val="%6."/>
      <w:lvlJc w:val="right"/>
      <w:pPr>
        <w:ind w:left="4320" w:hanging="180"/>
      </w:pPr>
    </w:lvl>
    <w:lvl w:ilvl="6" w:tplc="4ADE7E9C">
      <w:start w:val="1"/>
      <w:numFmt w:val="decimal"/>
      <w:lvlText w:val="%7."/>
      <w:lvlJc w:val="left"/>
      <w:pPr>
        <w:ind w:left="5040" w:hanging="360"/>
      </w:pPr>
    </w:lvl>
    <w:lvl w:ilvl="7" w:tplc="B4EC6E10">
      <w:start w:val="1"/>
      <w:numFmt w:val="lowerLetter"/>
      <w:lvlText w:val="%8."/>
      <w:lvlJc w:val="left"/>
      <w:pPr>
        <w:ind w:left="5760" w:hanging="360"/>
      </w:pPr>
    </w:lvl>
    <w:lvl w:ilvl="8" w:tplc="E250BBC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25780"/>
    <w:multiLevelType w:val="multilevel"/>
    <w:tmpl w:val="3C526EDE"/>
    <w:lvl w:ilvl="0">
      <w:start w:val="1"/>
      <w:numFmt w:val="decimal"/>
      <w:lvlText w:val="%1."/>
      <w:lvlJc w:val="left"/>
      <w:pPr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lvlText w:val="%8."/>
      <w:lvlJc w:val="left"/>
      <w:pPr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20B16F4"/>
    <w:multiLevelType w:val="hybridMultilevel"/>
    <w:tmpl w:val="793A3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C48083"/>
    <w:multiLevelType w:val="hybridMultilevel"/>
    <w:tmpl w:val="FFFFFFFF"/>
    <w:lvl w:ilvl="0" w:tplc="65D40D5E">
      <w:start w:val="1"/>
      <w:numFmt w:val="lowerLetter"/>
      <w:lvlText w:val="%1."/>
      <w:lvlJc w:val="left"/>
      <w:pPr>
        <w:ind w:left="720" w:hanging="360"/>
      </w:pPr>
    </w:lvl>
    <w:lvl w:ilvl="1" w:tplc="339C4488">
      <w:start w:val="1"/>
      <w:numFmt w:val="lowerLetter"/>
      <w:lvlText w:val="%2."/>
      <w:lvlJc w:val="left"/>
      <w:pPr>
        <w:ind w:left="1440" w:hanging="360"/>
      </w:pPr>
    </w:lvl>
    <w:lvl w:ilvl="2" w:tplc="933611B4">
      <w:start w:val="1"/>
      <w:numFmt w:val="lowerRoman"/>
      <w:lvlText w:val="%3."/>
      <w:lvlJc w:val="right"/>
      <w:pPr>
        <w:ind w:left="2160" w:hanging="180"/>
      </w:pPr>
    </w:lvl>
    <w:lvl w:ilvl="3" w:tplc="7646D3A0">
      <w:start w:val="1"/>
      <w:numFmt w:val="decimal"/>
      <w:lvlText w:val="%4."/>
      <w:lvlJc w:val="left"/>
      <w:pPr>
        <w:ind w:left="2880" w:hanging="360"/>
      </w:pPr>
    </w:lvl>
    <w:lvl w:ilvl="4" w:tplc="2AF66392">
      <w:start w:val="1"/>
      <w:numFmt w:val="lowerLetter"/>
      <w:lvlText w:val="%5."/>
      <w:lvlJc w:val="left"/>
      <w:pPr>
        <w:ind w:left="3600" w:hanging="360"/>
      </w:pPr>
    </w:lvl>
    <w:lvl w:ilvl="5" w:tplc="3A785C2C">
      <w:start w:val="1"/>
      <w:numFmt w:val="lowerRoman"/>
      <w:lvlText w:val="%6."/>
      <w:lvlJc w:val="right"/>
      <w:pPr>
        <w:ind w:left="4320" w:hanging="180"/>
      </w:pPr>
    </w:lvl>
    <w:lvl w:ilvl="6" w:tplc="87EE471C">
      <w:start w:val="1"/>
      <w:numFmt w:val="decimal"/>
      <w:lvlText w:val="%7."/>
      <w:lvlJc w:val="left"/>
      <w:pPr>
        <w:ind w:left="5040" w:hanging="360"/>
      </w:pPr>
    </w:lvl>
    <w:lvl w:ilvl="7" w:tplc="6BBEC7FE">
      <w:start w:val="1"/>
      <w:numFmt w:val="lowerLetter"/>
      <w:lvlText w:val="%8."/>
      <w:lvlJc w:val="left"/>
      <w:pPr>
        <w:ind w:left="5760" w:hanging="360"/>
      </w:pPr>
    </w:lvl>
    <w:lvl w:ilvl="8" w:tplc="0994E90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F7E1C"/>
    <w:multiLevelType w:val="hybridMultilevel"/>
    <w:tmpl w:val="2F5AD6F8"/>
    <w:lvl w:ilvl="0" w:tplc="721C3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8A3290"/>
    <w:multiLevelType w:val="multilevel"/>
    <w:tmpl w:val="FD009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89A0AFE"/>
    <w:multiLevelType w:val="multilevel"/>
    <w:tmpl w:val="18F4A5AC"/>
    <w:numStyleLink w:val="FoFCoLOP"/>
  </w:abstractNum>
  <w:abstractNum w:abstractNumId="30" w15:restartNumberingAfterBreak="0">
    <w:nsid w:val="78B63C59"/>
    <w:multiLevelType w:val="hybridMultilevel"/>
    <w:tmpl w:val="16F407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5A0881"/>
    <w:multiLevelType w:val="hybridMultilevel"/>
    <w:tmpl w:val="3F6C99B0"/>
    <w:lvl w:ilvl="0" w:tplc="88FA4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E93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C844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66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65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63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EB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87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C4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03775">
    <w:abstractNumId w:val="8"/>
  </w:num>
  <w:num w:numId="2" w16cid:durableId="734816822">
    <w:abstractNumId w:val="16"/>
  </w:num>
  <w:num w:numId="3" w16cid:durableId="574510093">
    <w:abstractNumId w:val="31"/>
  </w:num>
  <w:num w:numId="4" w16cid:durableId="725959190">
    <w:abstractNumId w:val="9"/>
  </w:num>
  <w:num w:numId="5" w16cid:durableId="12817202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3771245">
    <w:abstractNumId w:val="3"/>
  </w:num>
  <w:num w:numId="7" w16cid:durableId="415592744">
    <w:abstractNumId w:val="21"/>
  </w:num>
  <w:num w:numId="8" w16cid:durableId="524173113">
    <w:abstractNumId w:val="5"/>
  </w:num>
  <w:num w:numId="9" w16cid:durableId="2143115360">
    <w:abstractNumId w:val="29"/>
  </w:num>
  <w:num w:numId="10" w16cid:durableId="1768037132">
    <w:abstractNumId w:val="13"/>
  </w:num>
  <w:num w:numId="11" w16cid:durableId="647632561">
    <w:abstractNumId w:val="6"/>
  </w:num>
  <w:num w:numId="12" w16cid:durableId="372461247">
    <w:abstractNumId w:val="27"/>
  </w:num>
  <w:num w:numId="13" w16cid:durableId="1805847729">
    <w:abstractNumId w:val="0"/>
  </w:num>
  <w:num w:numId="14" w16cid:durableId="52777326">
    <w:abstractNumId w:val="13"/>
  </w:num>
  <w:num w:numId="15" w16cid:durableId="290483322">
    <w:abstractNumId w:val="22"/>
  </w:num>
  <w:num w:numId="16" w16cid:durableId="1081876254">
    <w:abstractNumId w:val="24"/>
  </w:num>
  <w:num w:numId="17" w16cid:durableId="1909263831">
    <w:abstractNumId w:val="25"/>
  </w:num>
  <w:num w:numId="18" w16cid:durableId="45229429">
    <w:abstractNumId w:val="4"/>
  </w:num>
  <w:num w:numId="19" w16cid:durableId="1518155057">
    <w:abstractNumId w:val="1"/>
  </w:num>
  <w:num w:numId="20" w16cid:durableId="1970092269">
    <w:abstractNumId w:val="20"/>
  </w:num>
  <w:num w:numId="21" w16cid:durableId="1903635002">
    <w:abstractNumId w:val="12"/>
  </w:num>
  <w:num w:numId="22" w16cid:durableId="1066995372">
    <w:abstractNumId w:val="28"/>
  </w:num>
  <w:num w:numId="23" w16cid:durableId="1942301763">
    <w:abstractNumId w:val="19"/>
  </w:num>
  <w:num w:numId="24" w16cid:durableId="1089623262">
    <w:abstractNumId w:val="13"/>
    <w:lvlOverride w:ilvl="0">
      <w:startOverride w:val="1"/>
      <w:lvl w:ilvl="0">
        <w:start w:val="1"/>
        <w:numFmt w:val="decimal"/>
        <w:pStyle w:val="Heading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Heading2"/>
        <w:lvlText w:val="%1.%2."/>
        <w:lvlJc w:val="left"/>
        <w:pPr>
          <w:tabs>
            <w:tab w:val="num" w:pos="720"/>
          </w:tabs>
          <w:ind w:left="1008" w:hanging="648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kern w:val="0"/>
          <w:sz w:val="26"/>
          <w:u w:val="none"/>
          <w:vertAlign w:val="baseline"/>
          <w14:cntxtAlts w14:val="0"/>
        </w:rPr>
      </w:lvl>
    </w:lvlOverride>
  </w:num>
  <w:num w:numId="25" w16cid:durableId="2003510955">
    <w:abstractNumId w:val="30"/>
  </w:num>
  <w:num w:numId="26" w16cid:durableId="508057417">
    <w:abstractNumId w:val="15"/>
  </w:num>
  <w:num w:numId="27" w16cid:durableId="573586771">
    <w:abstractNumId w:val="7"/>
  </w:num>
  <w:num w:numId="28" w16cid:durableId="13073450">
    <w:abstractNumId w:val="17"/>
  </w:num>
  <w:num w:numId="29" w16cid:durableId="644164184">
    <w:abstractNumId w:val="2"/>
  </w:num>
  <w:num w:numId="30" w16cid:durableId="2045861917">
    <w:abstractNumId w:val="21"/>
    <w:lvlOverride w:ilvl="0">
      <w:startOverride w:val="8"/>
    </w:lvlOverride>
  </w:num>
  <w:num w:numId="31" w16cid:durableId="974681979">
    <w:abstractNumId w:val="21"/>
    <w:lvlOverride w:ilvl="0">
      <w:startOverride w:val="8"/>
    </w:lvlOverride>
  </w:num>
  <w:num w:numId="32" w16cid:durableId="1360542592">
    <w:abstractNumId w:val="29"/>
  </w:num>
  <w:num w:numId="33" w16cid:durableId="351536839">
    <w:abstractNumId w:val="26"/>
  </w:num>
  <w:num w:numId="34" w16cid:durableId="463542440">
    <w:abstractNumId w:val="23"/>
  </w:num>
  <w:num w:numId="35" w16cid:durableId="1369598958">
    <w:abstractNumId w:val="14"/>
  </w:num>
  <w:num w:numId="36" w16cid:durableId="2015380999">
    <w:abstractNumId w:val="21"/>
  </w:num>
  <w:num w:numId="37" w16cid:durableId="237591798">
    <w:abstractNumId w:val="21"/>
  </w:num>
  <w:num w:numId="38" w16cid:durableId="762992391">
    <w:abstractNumId w:val="10"/>
  </w:num>
  <w:num w:numId="39" w16cid:durableId="253824649">
    <w:abstractNumId w:val="18"/>
  </w:num>
  <w:num w:numId="40" w16cid:durableId="26889755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AF"/>
    <w:rsid w:val="0000068E"/>
    <w:rsid w:val="00000F6A"/>
    <w:rsid w:val="0000379D"/>
    <w:rsid w:val="00003F8B"/>
    <w:rsid w:val="000059C5"/>
    <w:rsid w:val="000103FA"/>
    <w:rsid w:val="00011FD5"/>
    <w:rsid w:val="00014297"/>
    <w:rsid w:val="0001465D"/>
    <w:rsid w:val="00015033"/>
    <w:rsid w:val="00021567"/>
    <w:rsid w:val="00024077"/>
    <w:rsid w:val="0002593B"/>
    <w:rsid w:val="000278B1"/>
    <w:rsid w:val="00027C92"/>
    <w:rsid w:val="00027E86"/>
    <w:rsid w:val="00033C94"/>
    <w:rsid w:val="00035853"/>
    <w:rsid w:val="00035E70"/>
    <w:rsid w:val="000366E0"/>
    <w:rsid w:val="000402A5"/>
    <w:rsid w:val="00040B41"/>
    <w:rsid w:val="0004264A"/>
    <w:rsid w:val="00046DEE"/>
    <w:rsid w:val="000479E1"/>
    <w:rsid w:val="000508D9"/>
    <w:rsid w:val="0005165A"/>
    <w:rsid w:val="00051F24"/>
    <w:rsid w:val="000559C4"/>
    <w:rsid w:val="000571B0"/>
    <w:rsid w:val="0006086B"/>
    <w:rsid w:val="00063ABC"/>
    <w:rsid w:val="000640E1"/>
    <w:rsid w:val="0007115A"/>
    <w:rsid w:val="00073C30"/>
    <w:rsid w:val="000751EE"/>
    <w:rsid w:val="00081902"/>
    <w:rsid w:val="000830AC"/>
    <w:rsid w:val="00087767"/>
    <w:rsid w:val="000952BA"/>
    <w:rsid w:val="00096707"/>
    <w:rsid w:val="000973C8"/>
    <w:rsid w:val="000A2AA9"/>
    <w:rsid w:val="000A3DE6"/>
    <w:rsid w:val="000A3F55"/>
    <w:rsid w:val="000A56F2"/>
    <w:rsid w:val="000A68E5"/>
    <w:rsid w:val="000A6B4D"/>
    <w:rsid w:val="000A6E05"/>
    <w:rsid w:val="000A7DC1"/>
    <w:rsid w:val="000B0EAF"/>
    <w:rsid w:val="000B0F67"/>
    <w:rsid w:val="000B12FA"/>
    <w:rsid w:val="000B26AF"/>
    <w:rsid w:val="000B3BAE"/>
    <w:rsid w:val="000B79DA"/>
    <w:rsid w:val="000C08BF"/>
    <w:rsid w:val="000C3690"/>
    <w:rsid w:val="000C38F6"/>
    <w:rsid w:val="000C3B83"/>
    <w:rsid w:val="000C3B9A"/>
    <w:rsid w:val="000C6E18"/>
    <w:rsid w:val="000C7AFB"/>
    <w:rsid w:val="000D062F"/>
    <w:rsid w:val="000D25A8"/>
    <w:rsid w:val="000D3F50"/>
    <w:rsid w:val="000D580B"/>
    <w:rsid w:val="000D5859"/>
    <w:rsid w:val="000D5BB2"/>
    <w:rsid w:val="000D6803"/>
    <w:rsid w:val="000D6F18"/>
    <w:rsid w:val="000E0B45"/>
    <w:rsid w:val="000E4C53"/>
    <w:rsid w:val="000E6FEF"/>
    <w:rsid w:val="000E7437"/>
    <w:rsid w:val="000E7852"/>
    <w:rsid w:val="000F2012"/>
    <w:rsid w:val="000F3647"/>
    <w:rsid w:val="000F3964"/>
    <w:rsid w:val="000F443B"/>
    <w:rsid w:val="000F57B1"/>
    <w:rsid w:val="000F765B"/>
    <w:rsid w:val="00102268"/>
    <w:rsid w:val="00103D55"/>
    <w:rsid w:val="001042CE"/>
    <w:rsid w:val="00107527"/>
    <w:rsid w:val="001105FE"/>
    <w:rsid w:val="00110B21"/>
    <w:rsid w:val="001113BA"/>
    <w:rsid w:val="001144DC"/>
    <w:rsid w:val="00114DF4"/>
    <w:rsid w:val="00115179"/>
    <w:rsid w:val="00120B51"/>
    <w:rsid w:val="00121089"/>
    <w:rsid w:val="00124190"/>
    <w:rsid w:val="00125DA0"/>
    <w:rsid w:val="0012D5F3"/>
    <w:rsid w:val="0013002A"/>
    <w:rsid w:val="001306F3"/>
    <w:rsid w:val="0013191F"/>
    <w:rsid w:val="00134E04"/>
    <w:rsid w:val="00136AE4"/>
    <w:rsid w:val="0013708D"/>
    <w:rsid w:val="0014126B"/>
    <w:rsid w:val="00142BA3"/>
    <w:rsid w:val="001455BD"/>
    <w:rsid w:val="00145E21"/>
    <w:rsid w:val="00147FBE"/>
    <w:rsid w:val="00150550"/>
    <w:rsid w:val="001508AB"/>
    <w:rsid w:val="00154615"/>
    <w:rsid w:val="0015468C"/>
    <w:rsid w:val="00156D2A"/>
    <w:rsid w:val="00157ABF"/>
    <w:rsid w:val="00162DDC"/>
    <w:rsid w:val="00163852"/>
    <w:rsid w:val="00165438"/>
    <w:rsid w:val="00166435"/>
    <w:rsid w:val="0017098D"/>
    <w:rsid w:val="0017263C"/>
    <w:rsid w:val="001765C3"/>
    <w:rsid w:val="00181ACB"/>
    <w:rsid w:val="00182A54"/>
    <w:rsid w:val="001832E3"/>
    <w:rsid w:val="00183313"/>
    <w:rsid w:val="00183F5B"/>
    <w:rsid w:val="00186A27"/>
    <w:rsid w:val="00186BF6"/>
    <w:rsid w:val="00191110"/>
    <w:rsid w:val="00191BA1"/>
    <w:rsid w:val="00191D8E"/>
    <w:rsid w:val="00193740"/>
    <w:rsid w:val="001948F4"/>
    <w:rsid w:val="00197ADF"/>
    <w:rsid w:val="001A17D5"/>
    <w:rsid w:val="001A3CF9"/>
    <w:rsid w:val="001A5357"/>
    <w:rsid w:val="001A6237"/>
    <w:rsid w:val="001A6638"/>
    <w:rsid w:val="001A6CDD"/>
    <w:rsid w:val="001A7B27"/>
    <w:rsid w:val="001B079F"/>
    <w:rsid w:val="001B1FDB"/>
    <w:rsid w:val="001B5251"/>
    <w:rsid w:val="001B6ECB"/>
    <w:rsid w:val="001C1DD0"/>
    <w:rsid w:val="001C27C1"/>
    <w:rsid w:val="001C363F"/>
    <w:rsid w:val="001C3E2A"/>
    <w:rsid w:val="001C7BCC"/>
    <w:rsid w:val="001D0153"/>
    <w:rsid w:val="001D17C3"/>
    <w:rsid w:val="001D3196"/>
    <w:rsid w:val="001E0132"/>
    <w:rsid w:val="001E2A62"/>
    <w:rsid w:val="001E2B86"/>
    <w:rsid w:val="001E3520"/>
    <w:rsid w:val="001E42AC"/>
    <w:rsid w:val="001E733F"/>
    <w:rsid w:val="001E7FEE"/>
    <w:rsid w:val="001F2819"/>
    <w:rsid w:val="001F3A2D"/>
    <w:rsid w:val="001F4201"/>
    <w:rsid w:val="001F43C1"/>
    <w:rsid w:val="001F5271"/>
    <w:rsid w:val="001F6052"/>
    <w:rsid w:val="001F7DAC"/>
    <w:rsid w:val="00203467"/>
    <w:rsid w:val="002043EC"/>
    <w:rsid w:val="00207A08"/>
    <w:rsid w:val="00210ED9"/>
    <w:rsid w:val="0021160E"/>
    <w:rsid w:val="00211E7D"/>
    <w:rsid w:val="00216541"/>
    <w:rsid w:val="00222AE5"/>
    <w:rsid w:val="002242E2"/>
    <w:rsid w:val="00225A53"/>
    <w:rsid w:val="00225E8A"/>
    <w:rsid w:val="00226A9F"/>
    <w:rsid w:val="002317B4"/>
    <w:rsid w:val="00231F66"/>
    <w:rsid w:val="00237347"/>
    <w:rsid w:val="002415EA"/>
    <w:rsid w:val="00243CC1"/>
    <w:rsid w:val="00243DC0"/>
    <w:rsid w:val="00244A8C"/>
    <w:rsid w:val="002455A0"/>
    <w:rsid w:val="00245A6F"/>
    <w:rsid w:val="00247477"/>
    <w:rsid w:val="00250372"/>
    <w:rsid w:val="0025042C"/>
    <w:rsid w:val="00251426"/>
    <w:rsid w:val="0025199B"/>
    <w:rsid w:val="00251FAE"/>
    <w:rsid w:val="002572F2"/>
    <w:rsid w:val="00260E83"/>
    <w:rsid w:val="00262A89"/>
    <w:rsid w:val="00262FDB"/>
    <w:rsid w:val="00263FAE"/>
    <w:rsid w:val="00265563"/>
    <w:rsid w:val="0026693D"/>
    <w:rsid w:val="00267161"/>
    <w:rsid w:val="00270440"/>
    <w:rsid w:val="002741AD"/>
    <w:rsid w:val="0027621D"/>
    <w:rsid w:val="0027753E"/>
    <w:rsid w:val="00280132"/>
    <w:rsid w:val="00280247"/>
    <w:rsid w:val="0028104B"/>
    <w:rsid w:val="00281186"/>
    <w:rsid w:val="00282324"/>
    <w:rsid w:val="0028451C"/>
    <w:rsid w:val="00284813"/>
    <w:rsid w:val="00285DFE"/>
    <w:rsid w:val="00286123"/>
    <w:rsid w:val="00287471"/>
    <w:rsid w:val="00292BA7"/>
    <w:rsid w:val="00292F1D"/>
    <w:rsid w:val="00293DEE"/>
    <w:rsid w:val="002956A3"/>
    <w:rsid w:val="00296DC7"/>
    <w:rsid w:val="002971F6"/>
    <w:rsid w:val="002A0B5D"/>
    <w:rsid w:val="002A1023"/>
    <w:rsid w:val="002A4A7F"/>
    <w:rsid w:val="002A5499"/>
    <w:rsid w:val="002A5C55"/>
    <w:rsid w:val="002AE6EE"/>
    <w:rsid w:val="002B1723"/>
    <w:rsid w:val="002B19D6"/>
    <w:rsid w:val="002B1BC4"/>
    <w:rsid w:val="002B1D37"/>
    <w:rsid w:val="002B35C2"/>
    <w:rsid w:val="002B3755"/>
    <w:rsid w:val="002B3FBE"/>
    <w:rsid w:val="002B4B67"/>
    <w:rsid w:val="002B5CD3"/>
    <w:rsid w:val="002C0577"/>
    <w:rsid w:val="002C185E"/>
    <w:rsid w:val="002C2399"/>
    <w:rsid w:val="002C2528"/>
    <w:rsid w:val="002C2A09"/>
    <w:rsid w:val="002C2ED6"/>
    <w:rsid w:val="002C2F7D"/>
    <w:rsid w:val="002C4B48"/>
    <w:rsid w:val="002C5D56"/>
    <w:rsid w:val="002C7FE9"/>
    <w:rsid w:val="002D26F2"/>
    <w:rsid w:val="002D482E"/>
    <w:rsid w:val="002D4A22"/>
    <w:rsid w:val="002D4EFD"/>
    <w:rsid w:val="002D6C62"/>
    <w:rsid w:val="002E05E1"/>
    <w:rsid w:val="002E14EB"/>
    <w:rsid w:val="002E2C66"/>
    <w:rsid w:val="002E4B7D"/>
    <w:rsid w:val="002E7B6D"/>
    <w:rsid w:val="002F011A"/>
    <w:rsid w:val="002F2929"/>
    <w:rsid w:val="002F408B"/>
    <w:rsid w:val="002F7525"/>
    <w:rsid w:val="00300265"/>
    <w:rsid w:val="00301DA5"/>
    <w:rsid w:val="00302174"/>
    <w:rsid w:val="00302DE5"/>
    <w:rsid w:val="00303A74"/>
    <w:rsid w:val="003047E1"/>
    <w:rsid w:val="00304A06"/>
    <w:rsid w:val="00305503"/>
    <w:rsid w:val="00305525"/>
    <w:rsid w:val="00306367"/>
    <w:rsid w:val="00311561"/>
    <w:rsid w:val="00312331"/>
    <w:rsid w:val="003152D4"/>
    <w:rsid w:val="003154E5"/>
    <w:rsid w:val="00315B5E"/>
    <w:rsid w:val="00315B9B"/>
    <w:rsid w:val="00316071"/>
    <w:rsid w:val="00316312"/>
    <w:rsid w:val="00317744"/>
    <w:rsid w:val="00320E17"/>
    <w:rsid w:val="00326894"/>
    <w:rsid w:val="003277B3"/>
    <w:rsid w:val="00330E6F"/>
    <w:rsid w:val="00330E8D"/>
    <w:rsid w:val="003324EF"/>
    <w:rsid w:val="003376A0"/>
    <w:rsid w:val="00341B30"/>
    <w:rsid w:val="00343E5C"/>
    <w:rsid w:val="00346264"/>
    <w:rsid w:val="00346709"/>
    <w:rsid w:val="00350F01"/>
    <w:rsid w:val="00351BA9"/>
    <w:rsid w:val="00353352"/>
    <w:rsid w:val="00354E04"/>
    <w:rsid w:val="00357B42"/>
    <w:rsid w:val="0036017B"/>
    <w:rsid w:val="00362755"/>
    <w:rsid w:val="00363EFC"/>
    <w:rsid w:val="00367F5D"/>
    <w:rsid w:val="003709C3"/>
    <w:rsid w:val="00371565"/>
    <w:rsid w:val="00371601"/>
    <w:rsid w:val="0037307B"/>
    <w:rsid w:val="00373325"/>
    <w:rsid w:val="00373B93"/>
    <w:rsid w:val="00373E71"/>
    <w:rsid w:val="0037456D"/>
    <w:rsid w:val="0038008C"/>
    <w:rsid w:val="00380411"/>
    <w:rsid w:val="0038117C"/>
    <w:rsid w:val="003831DB"/>
    <w:rsid w:val="003834C9"/>
    <w:rsid w:val="003861BE"/>
    <w:rsid w:val="003866F9"/>
    <w:rsid w:val="00386FB8"/>
    <w:rsid w:val="003872C5"/>
    <w:rsid w:val="0039240C"/>
    <w:rsid w:val="00395111"/>
    <w:rsid w:val="00396ECB"/>
    <w:rsid w:val="00397938"/>
    <w:rsid w:val="003A08E0"/>
    <w:rsid w:val="003A0CE0"/>
    <w:rsid w:val="003A1CBA"/>
    <w:rsid w:val="003A38F0"/>
    <w:rsid w:val="003A62D7"/>
    <w:rsid w:val="003A66F3"/>
    <w:rsid w:val="003A6E9E"/>
    <w:rsid w:val="003A70F9"/>
    <w:rsid w:val="003A7238"/>
    <w:rsid w:val="003B140C"/>
    <w:rsid w:val="003B2372"/>
    <w:rsid w:val="003B2937"/>
    <w:rsid w:val="003B3456"/>
    <w:rsid w:val="003B6FF9"/>
    <w:rsid w:val="003B71DD"/>
    <w:rsid w:val="003C1064"/>
    <w:rsid w:val="003C2BBB"/>
    <w:rsid w:val="003C4E26"/>
    <w:rsid w:val="003C572E"/>
    <w:rsid w:val="003C65C4"/>
    <w:rsid w:val="003C6F83"/>
    <w:rsid w:val="003D0A6F"/>
    <w:rsid w:val="003D23ED"/>
    <w:rsid w:val="003D3B17"/>
    <w:rsid w:val="003D6A93"/>
    <w:rsid w:val="003E1F58"/>
    <w:rsid w:val="003E2395"/>
    <w:rsid w:val="003E3672"/>
    <w:rsid w:val="003E38EC"/>
    <w:rsid w:val="003E68D5"/>
    <w:rsid w:val="003E6B03"/>
    <w:rsid w:val="003E7C7F"/>
    <w:rsid w:val="003F4329"/>
    <w:rsid w:val="003F4B5B"/>
    <w:rsid w:val="003F55AF"/>
    <w:rsid w:val="003F57BB"/>
    <w:rsid w:val="003F6B93"/>
    <w:rsid w:val="003F7E74"/>
    <w:rsid w:val="004009D9"/>
    <w:rsid w:val="00400E9F"/>
    <w:rsid w:val="00401E8D"/>
    <w:rsid w:val="00402D8E"/>
    <w:rsid w:val="00405C5B"/>
    <w:rsid w:val="00406C3B"/>
    <w:rsid w:val="00407540"/>
    <w:rsid w:val="00412534"/>
    <w:rsid w:val="00412C83"/>
    <w:rsid w:val="004164A6"/>
    <w:rsid w:val="00426014"/>
    <w:rsid w:val="00426B94"/>
    <w:rsid w:val="00431B0A"/>
    <w:rsid w:val="0043222E"/>
    <w:rsid w:val="00432539"/>
    <w:rsid w:val="00435EAE"/>
    <w:rsid w:val="00436D7B"/>
    <w:rsid w:val="00443CB2"/>
    <w:rsid w:val="00444268"/>
    <w:rsid w:val="00446EC4"/>
    <w:rsid w:val="00451232"/>
    <w:rsid w:val="00452133"/>
    <w:rsid w:val="004522CB"/>
    <w:rsid w:val="0045257D"/>
    <w:rsid w:val="0045316C"/>
    <w:rsid w:val="004543F2"/>
    <w:rsid w:val="00455B24"/>
    <w:rsid w:val="00456DE0"/>
    <w:rsid w:val="00460631"/>
    <w:rsid w:val="00460B7D"/>
    <w:rsid w:val="00460D2E"/>
    <w:rsid w:val="00461DD8"/>
    <w:rsid w:val="0046474F"/>
    <w:rsid w:val="004659FD"/>
    <w:rsid w:val="00467042"/>
    <w:rsid w:val="004670D0"/>
    <w:rsid w:val="00467986"/>
    <w:rsid w:val="00472324"/>
    <w:rsid w:val="00472621"/>
    <w:rsid w:val="00472F5D"/>
    <w:rsid w:val="0047305B"/>
    <w:rsid w:val="00475911"/>
    <w:rsid w:val="00476DBA"/>
    <w:rsid w:val="00476FE5"/>
    <w:rsid w:val="0047715C"/>
    <w:rsid w:val="00477693"/>
    <w:rsid w:val="00480CB0"/>
    <w:rsid w:val="00481A55"/>
    <w:rsid w:val="00481D5E"/>
    <w:rsid w:val="00482765"/>
    <w:rsid w:val="00484BAF"/>
    <w:rsid w:val="00485B9B"/>
    <w:rsid w:val="0048773C"/>
    <w:rsid w:val="004910C4"/>
    <w:rsid w:val="00494CDD"/>
    <w:rsid w:val="004957B6"/>
    <w:rsid w:val="004A0379"/>
    <w:rsid w:val="004A05AE"/>
    <w:rsid w:val="004A075F"/>
    <w:rsid w:val="004A08C2"/>
    <w:rsid w:val="004A25DA"/>
    <w:rsid w:val="004A27FA"/>
    <w:rsid w:val="004A2DD2"/>
    <w:rsid w:val="004A52B1"/>
    <w:rsid w:val="004A737B"/>
    <w:rsid w:val="004B18F8"/>
    <w:rsid w:val="004B34EA"/>
    <w:rsid w:val="004B4A4B"/>
    <w:rsid w:val="004B4E22"/>
    <w:rsid w:val="004B5494"/>
    <w:rsid w:val="004B5704"/>
    <w:rsid w:val="004B5AF0"/>
    <w:rsid w:val="004B6A2C"/>
    <w:rsid w:val="004C18B4"/>
    <w:rsid w:val="004C6D83"/>
    <w:rsid w:val="004C7AC8"/>
    <w:rsid w:val="004C7D3A"/>
    <w:rsid w:val="004D12FF"/>
    <w:rsid w:val="004D1584"/>
    <w:rsid w:val="004D6E79"/>
    <w:rsid w:val="004D6F23"/>
    <w:rsid w:val="004D6F56"/>
    <w:rsid w:val="004E06ED"/>
    <w:rsid w:val="004E0A09"/>
    <w:rsid w:val="004E1BE9"/>
    <w:rsid w:val="004E43CF"/>
    <w:rsid w:val="004F47CF"/>
    <w:rsid w:val="004F5B5F"/>
    <w:rsid w:val="004F663B"/>
    <w:rsid w:val="005018A8"/>
    <w:rsid w:val="005047EE"/>
    <w:rsid w:val="00505A39"/>
    <w:rsid w:val="00505E7F"/>
    <w:rsid w:val="00506AA2"/>
    <w:rsid w:val="005106B1"/>
    <w:rsid w:val="005112CB"/>
    <w:rsid w:val="00511A58"/>
    <w:rsid w:val="0051289D"/>
    <w:rsid w:val="00513718"/>
    <w:rsid w:val="00514926"/>
    <w:rsid w:val="00514A0E"/>
    <w:rsid w:val="00514CBB"/>
    <w:rsid w:val="00516F37"/>
    <w:rsid w:val="005233BB"/>
    <w:rsid w:val="0052407C"/>
    <w:rsid w:val="005240BF"/>
    <w:rsid w:val="0052522E"/>
    <w:rsid w:val="00525855"/>
    <w:rsid w:val="00526340"/>
    <w:rsid w:val="00531018"/>
    <w:rsid w:val="00531F58"/>
    <w:rsid w:val="0053309F"/>
    <w:rsid w:val="0053546F"/>
    <w:rsid w:val="005376CF"/>
    <w:rsid w:val="00541D1E"/>
    <w:rsid w:val="00542306"/>
    <w:rsid w:val="0054271C"/>
    <w:rsid w:val="00544190"/>
    <w:rsid w:val="005456AF"/>
    <w:rsid w:val="00546EF8"/>
    <w:rsid w:val="0055002D"/>
    <w:rsid w:val="0055143C"/>
    <w:rsid w:val="00552529"/>
    <w:rsid w:val="0056043B"/>
    <w:rsid w:val="00563DFB"/>
    <w:rsid w:val="005647D7"/>
    <w:rsid w:val="005650DE"/>
    <w:rsid w:val="00565D13"/>
    <w:rsid w:val="00567F31"/>
    <w:rsid w:val="0057007E"/>
    <w:rsid w:val="0057094B"/>
    <w:rsid w:val="0058249E"/>
    <w:rsid w:val="005838B9"/>
    <w:rsid w:val="00583AC9"/>
    <w:rsid w:val="00583F63"/>
    <w:rsid w:val="00585390"/>
    <w:rsid w:val="0058604C"/>
    <w:rsid w:val="00586B48"/>
    <w:rsid w:val="005902CD"/>
    <w:rsid w:val="00591B23"/>
    <w:rsid w:val="00591D1E"/>
    <w:rsid w:val="00591F7B"/>
    <w:rsid w:val="0059286E"/>
    <w:rsid w:val="005939A5"/>
    <w:rsid w:val="00594970"/>
    <w:rsid w:val="00597693"/>
    <w:rsid w:val="00597D5E"/>
    <w:rsid w:val="005A0DF9"/>
    <w:rsid w:val="005A148C"/>
    <w:rsid w:val="005A1AB4"/>
    <w:rsid w:val="005A3009"/>
    <w:rsid w:val="005A4CFA"/>
    <w:rsid w:val="005B09BA"/>
    <w:rsid w:val="005B3365"/>
    <w:rsid w:val="005B33BB"/>
    <w:rsid w:val="005C1CD7"/>
    <w:rsid w:val="005C1CE8"/>
    <w:rsid w:val="005C3423"/>
    <w:rsid w:val="005C5A09"/>
    <w:rsid w:val="005C5F53"/>
    <w:rsid w:val="005C6161"/>
    <w:rsid w:val="005C71B4"/>
    <w:rsid w:val="005D202B"/>
    <w:rsid w:val="005D2D46"/>
    <w:rsid w:val="005D4AFF"/>
    <w:rsid w:val="005D6837"/>
    <w:rsid w:val="005D697D"/>
    <w:rsid w:val="005D73C0"/>
    <w:rsid w:val="005E146C"/>
    <w:rsid w:val="005E1AE4"/>
    <w:rsid w:val="005E2711"/>
    <w:rsid w:val="005E4301"/>
    <w:rsid w:val="005E7137"/>
    <w:rsid w:val="005F04C1"/>
    <w:rsid w:val="005F23E6"/>
    <w:rsid w:val="005F247C"/>
    <w:rsid w:val="005F4BEA"/>
    <w:rsid w:val="005F5F35"/>
    <w:rsid w:val="005F78DE"/>
    <w:rsid w:val="00601582"/>
    <w:rsid w:val="0060511D"/>
    <w:rsid w:val="006063B5"/>
    <w:rsid w:val="0060661F"/>
    <w:rsid w:val="00607CDD"/>
    <w:rsid w:val="00607EFC"/>
    <w:rsid w:val="00613F60"/>
    <w:rsid w:val="00616724"/>
    <w:rsid w:val="00620F8F"/>
    <w:rsid w:val="00621ED3"/>
    <w:rsid w:val="006230C3"/>
    <w:rsid w:val="00623FB4"/>
    <w:rsid w:val="00624500"/>
    <w:rsid w:val="00626B3A"/>
    <w:rsid w:val="0062716D"/>
    <w:rsid w:val="00630AA9"/>
    <w:rsid w:val="00631A0D"/>
    <w:rsid w:val="00631B7D"/>
    <w:rsid w:val="00632207"/>
    <w:rsid w:val="00633730"/>
    <w:rsid w:val="00633BAE"/>
    <w:rsid w:val="0063491C"/>
    <w:rsid w:val="00640B83"/>
    <w:rsid w:val="00641CF9"/>
    <w:rsid w:val="00643F3B"/>
    <w:rsid w:val="00644029"/>
    <w:rsid w:val="00646430"/>
    <w:rsid w:val="00646EE0"/>
    <w:rsid w:val="0064774A"/>
    <w:rsid w:val="00647B9E"/>
    <w:rsid w:val="00651E02"/>
    <w:rsid w:val="006522FC"/>
    <w:rsid w:val="0065302F"/>
    <w:rsid w:val="00656026"/>
    <w:rsid w:val="0066042E"/>
    <w:rsid w:val="0066070D"/>
    <w:rsid w:val="00663375"/>
    <w:rsid w:val="006636E8"/>
    <w:rsid w:val="00664C25"/>
    <w:rsid w:val="006655F7"/>
    <w:rsid w:val="006672FB"/>
    <w:rsid w:val="006724A5"/>
    <w:rsid w:val="006749A0"/>
    <w:rsid w:val="00674E1B"/>
    <w:rsid w:val="00681B97"/>
    <w:rsid w:val="00686455"/>
    <w:rsid w:val="00694056"/>
    <w:rsid w:val="00694B7D"/>
    <w:rsid w:val="00694FD0"/>
    <w:rsid w:val="00696702"/>
    <w:rsid w:val="006A0194"/>
    <w:rsid w:val="006A05F0"/>
    <w:rsid w:val="006A1308"/>
    <w:rsid w:val="006A28A5"/>
    <w:rsid w:val="006A3AD4"/>
    <w:rsid w:val="006A3D21"/>
    <w:rsid w:val="006A5CD5"/>
    <w:rsid w:val="006B003A"/>
    <w:rsid w:val="006B0354"/>
    <w:rsid w:val="006B1BD2"/>
    <w:rsid w:val="006B294B"/>
    <w:rsid w:val="006B2A93"/>
    <w:rsid w:val="006B62C9"/>
    <w:rsid w:val="006B73C5"/>
    <w:rsid w:val="006C6C05"/>
    <w:rsid w:val="006C78F9"/>
    <w:rsid w:val="006D056E"/>
    <w:rsid w:val="006D1DA0"/>
    <w:rsid w:val="006D202B"/>
    <w:rsid w:val="006D232E"/>
    <w:rsid w:val="006D4F2C"/>
    <w:rsid w:val="006D55DA"/>
    <w:rsid w:val="006E0371"/>
    <w:rsid w:val="006E1B3E"/>
    <w:rsid w:val="006E3F55"/>
    <w:rsid w:val="006E47EA"/>
    <w:rsid w:val="006E4ECC"/>
    <w:rsid w:val="006E5ACF"/>
    <w:rsid w:val="006E5E28"/>
    <w:rsid w:val="006E6574"/>
    <w:rsid w:val="006F19C6"/>
    <w:rsid w:val="006F46A2"/>
    <w:rsid w:val="006F6525"/>
    <w:rsid w:val="006F7608"/>
    <w:rsid w:val="00700C78"/>
    <w:rsid w:val="00702B68"/>
    <w:rsid w:val="00703BD2"/>
    <w:rsid w:val="00705209"/>
    <w:rsid w:val="0070693E"/>
    <w:rsid w:val="0071287A"/>
    <w:rsid w:val="00713609"/>
    <w:rsid w:val="007138D7"/>
    <w:rsid w:val="00714CF2"/>
    <w:rsid w:val="007156B9"/>
    <w:rsid w:val="007161A7"/>
    <w:rsid w:val="00720817"/>
    <w:rsid w:val="0072107D"/>
    <w:rsid w:val="007223B7"/>
    <w:rsid w:val="00722850"/>
    <w:rsid w:val="00722D46"/>
    <w:rsid w:val="007231C1"/>
    <w:rsid w:val="00723810"/>
    <w:rsid w:val="00724F26"/>
    <w:rsid w:val="00727A4E"/>
    <w:rsid w:val="007303E2"/>
    <w:rsid w:val="0073227B"/>
    <w:rsid w:val="00732C4E"/>
    <w:rsid w:val="0073353F"/>
    <w:rsid w:val="00733A00"/>
    <w:rsid w:val="007347EB"/>
    <w:rsid w:val="007367EB"/>
    <w:rsid w:val="00741187"/>
    <w:rsid w:val="0074222E"/>
    <w:rsid w:val="00742E45"/>
    <w:rsid w:val="00743547"/>
    <w:rsid w:val="007441CA"/>
    <w:rsid w:val="007447AF"/>
    <w:rsid w:val="00750816"/>
    <w:rsid w:val="00751061"/>
    <w:rsid w:val="00751E93"/>
    <w:rsid w:val="00752499"/>
    <w:rsid w:val="00752578"/>
    <w:rsid w:val="00753EBB"/>
    <w:rsid w:val="0075419C"/>
    <w:rsid w:val="007546E1"/>
    <w:rsid w:val="00756166"/>
    <w:rsid w:val="00756C57"/>
    <w:rsid w:val="00757F9E"/>
    <w:rsid w:val="00760C5E"/>
    <w:rsid w:val="00761173"/>
    <w:rsid w:val="007657C1"/>
    <w:rsid w:val="007717E2"/>
    <w:rsid w:val="007719BC"/>
    <w:rsid w:val="00773879"/>
    <w:rsid w:val="00773C58"/>
    <w:rsid w:val="0077631E"/>
    <w:rsid w:val="00781B63"/>
    <w:rsid w:val="00783025"/>
    <w:rsid w:val="0078376B"/>
    <w:rsid w:val="00783975"/>
    <w:rsid w:val="00783FA8"/>
    <w:rsid w:val="00786EF5"/>
    <w:rsid w:val="00790494"/>
    <w:rsid w:val="007931C0"/>
    <w:rsid w:val="0079638E"/>
    <w:rsid w:val="00796AE1"/>
    <w:rsid w:val="007A01CE"/>
    <w:rsid w:val="007A0610"/>
    <w:rsid w:val="007A088F"/>
    <w:rsid w:val="007A10D1"/>
    <w:rsid w:val="007A28E6"/>
    <w:rsid w:val="007A406D"/>
    <w:rsid w:val="007A5496"/>
    <w:rsid w:val="007A5837"/>
    <w:rsid w:val="007A62B0"/>
    <w:rsid w:val="007A6E3A"/>
    <w:rsid w:val="007A7A0B"/>
    <w:rsid w:val="007A7D67"/>
    <w:rsid w:val="007B0247"/>
    <w:rsid w:val="007B2500"/>
    <w:rsid w:val="007C54E6"/>
    <w:rsid w:val="007C5823"/>
    <w:rsid w:val="007C58B9"/>
    <w:rsid w:val="007C5A0C"/>
    <w:rsid w:val="007C5AEB"/>
    <w:rsid w:val="007D06CB"/>
    <w:rsid w:val="007D3693"/>
    <w:rsid w:val="007D3A07"/>
    <w:rsid w:val="007D3F2C"/>
    <w:rsid w:val="007D5C5B"/>
    <w:rsid w:val="007E0387"/>
    <w:rsid w:val="007E0FEE"/>
    <w:rsid w:val="007E41A8"/>
    <w:rsid w:val="007E6849"/>
    <w:rsid w:val="007E6D3C"/>
    <w:rsid w:val="007E7280"/>
    <w:rsid w:val="007F0C08"/>
    <w:rsid w:val="007F1186"/>
    <w:rsid w:val="007F1721"/>
    <w:rsid w:val="007F2017"/>
    <w:rsid w:val="007F6A49"/>
    <w:rsid w:val="00800D22"/>
    <w:rsid w:val="0080186F"/>
    <w:rsid w:val="008026EA"/>
    <w:rsid w:val="0080366C"/>
    <w:rsid w:val="00803907"/>
    <w:rsid w:val="00804239"/>
    <w:rsid w:val="00804B88"/>
    <w:rsid w:val="00804EBC"/>
    <w:rsid w:val="00807188"/>
    <w:rsid w:val="008078F5"/>
    <w:rsid w:val="0081034D"/>
    <w:rsid w:val="0081041E"/>
    <w:rsid w:val="008116E3"/>
    <w:rsid w:val="00812C05"/>
    <w:rsid w:val="008141DB"/>
    <w:rsid w:val="008143A7"/>
    <w:rsid w:val="0081572C"/>
    <w:rsid w:val="00816E95"/>
    <w:rsid w:val="008171EB"/>
    <w:rsid w:val="00820580"/>
    <w:rsid w:val="00821C30"/>
    <w:rsid w:val="00823F06"/>
    <w:rsid w:val="00824FD2"/>
    <w:rsid w:val="00825358"/>
    <w:rsid w:val="00825C23"/>
    <w:rsid w:val="00826942"/>
    <w:rsid w:val="0082BEE2"/>
    <w:rsid w:val="00830911"/>
    <w:rsid w:val="00832E07"/>
    <w:rsid w:val="0083336B"/>
    <w:rsid w:val="008339BB"/>
    <w:rsid w:val="00834991"/>
    <w:rsid w:val="008357CE"/>
    <w:rsid w:val="00836FEB"/>
    <w:rsid w:val="00846458"/>
    <w:rsid w:val="00847D1F"/>
    <w:rsid w:val="00850827"/>
    <w:rsid w:val="00850E3C"/>
    <w:rsid w:val="00852711"/>
    <w:rsid w:val="00853B6D"/>
    <w:rsid w:val="00856636"/>
    <w:rsid w:val="008572D6"/>
    <w:rsid w:val="008577A7"/>
    <w:rsid w:val="0086419A"/>
    <w:rsid w:val="0086447F"/>
    <w:rsid w:val="00867689"/>
    <w:rsid w:val="0087023B"/>
    <w:rsid w:val="008719B9"/>
    <w:rsid w:val="008729F0"/>
    <w:rsid w:val="008737E0"/>
    <w:rsid w:val="0087497F"/>
    <w:rsid w:val="00874C7F"/>
    <w:rsid w:val="0087604E"/>
    <w:rsid w:val="00876C63"/>
    <w:rsid w:val="00877A37"/>
    <w:rsid w:val="00883A36"/>
    <w:rsid w:val="00886297"/>
    <w:rsid w:val="00886319"/>
    <w:rsid w:val="0088743A"/>
    <w:rsid w:val="0088752B"/>
    <w:rsid w:val="0089007C"/>
    <w:rsid w:val="00890E41"/>
    <w:rsid w:val="00893D73"/>
    <w:rsid w:val="00894D53"/>
    <w:rsid w:val="0089530B"/>
    <w:rsid w:val="00895AF9"/>
    <w:rsid w:val="008977EA"/>
    <w:rsid w:val="00897CA5"/>
    <w:rsid w:val="008A0384"/>
    <w:rsid w:val="008A11CA"/>
    <w:rsid w:val="008A179F"/>
    <w:rsid w:val="008A1E46"/>
    <w:rsid w:val="008A34A7"/>
    <w:rsid w:val="008A3C94"/>
    <w:rsid w:val="008A5788"/>
    <w:rsid w:val="008A5834"/>
    <w:rsid w:val="008A781D"/>
    <w:rsid w:val="008B0864"/>
    <w:rsid w:val="008B1243"/>
    <w:rsid w:val="008B1969"/>
    <w:rsid w:val="008B2BB4"/>
    <w:rsid w:val="008B3B72"/>
    <w:rsid w:val="008B3D90"/>
    <w:rsid w:val="008B3F0D"/>
    <w:rsid w:val="008B65D7"/>
    <w:rsid w:val="008C2526"/>
    <w:rsid w:val="008C2793"/>
    <w:rsid w:val="008C2848"/>
    <w:rsid w:val="008C329F"/>
    <w:rsid w:val="008C3615"/>
    <w:rsid w:val="008C6BC2"/>
    <w:rsid w:val="008C7413"/>
    <w:rsid w:val="008D0D0A"/>
    <w:rsid w:val="008D0F95"/>
    <w:rsid w:val="008D16B7"/>
    <w:rsid w:val="008D1FCD"/>
    <w:rsid w:val="008D35B9"/>
    <w:rsid w:val="008D4097"/>
    <w:rsid w:val="008D6FB1"/>
    <w:rsid w:val="008E03F8"/>
    <w:rsid w:val="008E26DE"/>
    <w:rsid w:val="008E2CD1"/>
    <w:rsid w:val="008E3118"/>
    <w:rsid w:val="008E51B5"/>
    <w:rsid w:val="008E6AE6"/>
    <w:rsid w:val="008F0116"/>
    <w:rsid w:val="008F065A"/>
    <w:rsid w:val="008F143D"/>
    <w:rsid w:val="008F19A9"/>
    <w:rsid w:val="008F36B6"/>
    <w:rsid w:val="008F3F73"/>
    <w:rsid w:val="008F488F"/>
    <w:rsid w:val="008F4EBA"/>
    <w:rsid w:val="008F7D16"/>
    <w:rsid w:val="00900089"/>
    <w:rsid w:val="009015AD"/>
    <w:rsid w:val="009063CD"/>
    <w:rsid w:val="0090B82A"/>
    <w:rsid w:val="0091038A"/>
    <w:rsid w:val="00910DA5"/>
    <w:rsid w:val="009113A0"/>
    <w:rsid w:val="00912753"/>
    <w:rsid w:val="00912DC2"/>
    <w:rsid w:val="009131C9"/>
    <w:rsid w:val="00915B96"/>
    <w:rsid w:val="00915F84"/>
    <w:rsid w:val="0092058B"/>
    <w:rsid w:val="00923779"/>
    <w:rsid w:val="009239D8"/>
    <w:rsid w:val="0092460E"/>
    <w:rsid w:val="00930A02"/>
    <w:rsid w:val="00932865"/>
    <w:rsid w:val="0093371D"/>
    <w:rsid w:val="00934192"/>
    <w:rsid w:val="00937375"/>
    <w:rsid w:val="009406B1"/>
    <w:rsid w:val="00945814"/>
    <w:rsid w:val="00946244"/>
    <w:rsid w:val="00947BC6"/>
    <w:rsid w:val="00947DC2"/>
    <w:rsid w:val="00951582"/>
    <w:rsid w:val="00952C8A"/>
    <w:rsid w:val="00954077"/>
    <w:rsid w:val="009570AF"/>
    <w:rsid w:val="00957A45"/>
    <w:rsid w:val="0096183B"/>
    <w:rsid w:val="00962CDA"/>
    <w:rsid w:val="009649EC"/>
    <w:rsid w:val="009650BA"/>
    <w:rsid w:val="009667E9"/>
    <w:rsid w:val="00966ACB"/>
    <w:rsid w:val="00966E30"/>
    <w:rsid w:val="009705CC"/>
    <w:rsid w:val="00971B3B"/>
    <w:rsid w:val="00973C65"/>
    <w:rsid w:val="00974031"/>
    <w:rsid w:val="0097482A"/>
    <w:rsid w:val="00975FA0"/>
    <w:rsid w:val="00976313"/>
    <w:rsid w:val="00980648"/>
    <w:rsid w:val="0098138E"/>
    <w:rsid w:val="00982D26"/>
    <w:rsid w:val="0098655A"/>
    <w:rsid w:val="009871B6"/>
    <w:rsid w:val="00987525"/>
    <w:rsid w:val="00990041"/>
    <w:rsid w:val="00994FBA"/>
    <w:rsid w:val="0099583F"/>
    <w:rsid w:val="009958D8"/>
    <w:rsid w:val="0099697F"/>
    <w:rsid w:val="00997C1F"/>
    <w:rsid w:val="00997F44"/>
    <w:rsid w:val="009A01D2"/>
    <w:rsid w:val="009A38DA"/>
    <w:rsid w:val="009A4F38"/>
    <w:rsid w:val="009A5389"/>
    <w:rsid w:val="009A58BE"/>
    <w:rsid w:val="009A6565"/>
    <w:rsid w:val="009A6D9B"/>
    <w:rsid w:val="009A7E54"/>
    <w:rsid w:val="009B0B2C"/>
    <w:rsid w:val="009B15CA"/>
    <w:rsid w:val="009B1DEA"/>
    <w:rsid w:val="009B2B5D"/>
    <w:rsid w:val="009B3908"/>
    <w:rsid w:val="009B3E2D"/>
    <w:rsid w:val="009B6C3E"/>
    <w:rsid w:val="009C0D19"/>
    <w:rsid w:val="009C250A"/>
    <w:rsid w:val="009C46D0"/>
    <w:rsid w:val="009C57F7"/>
    <w:rsid w:val="009D1F22"/>
    <w:rsid w:val="009D2E41"/>
    <w:rsid w:val="009D3C77"/>
    <w:rsid w:val="009D5069"/>
    <w:rsid w:val="009D6545"/>
    <w:rsid w:val="009E0385"/>
    <w:rsid w:val="009E1669"/>
    <w:rsid w:val="009E20F4"/>
    <w:rsid w:val="009E6166"/>
    <w:rsid w:val="009E65F9"/>
    <w:rsid w:val="009E66C0"/>
    <w:rsid w:val="009E7C7F"/>
    <w:rsid w:val="009F13F4"/>
    <w:rsid w:val="009F1E8A"/>
    <w:rsid w:val="009F3435"/>
    <w:rsid w:val="009F704B"/>
    <w:rsid w:val="00A00DCD"/>
    <w:rsid w:val="00A033F9"/>
    <w:rsid w:val="00A05D94"/>
    <w:rsid w:val="00A07A27"/>
    <w:rsid w:val="00A1114D"/>
    <w:rsid w:val="00A12CA0"/>
    <w:rsid w:val="00A17CE0"/>
    <w:rsid w:val="00A259B8"/>
    <w:rsid w:val="00A32F99"/>
    <w:rsid w:val="00A333DA"/>
    <w:rsid w:val="00A3357D"/>
    <w:rsid w:val="00A36C19"/>
    <w:rsid w:val="00A36DA5"/>
    <w:rsid w:val="00A41769"/>
    <w:rsid w:val="00A417A0"/>
    <w:rsid w:val="00A42306"/>
    <w:rsid w:val="00A432AF"/>
    <w:rsid w:val="00A4331A"/>
    <w:rsid w:val="00A44681"/>
    <w:rsid w:val="00A45087"/>
    <w:rsid w:val="00A55589"/>
    <w:rsid w:val="00A55ACD"/>
    <w:rsid w:val="00A55B19"/>
    <w:rsid w:val="00A5704E"/>
    <w:rsid w:val="00A57370"/>
    <w:rsid w:val="00A63F03"/>
    <w:rsid w:val="00A641AB"/>
    <w:rsid w:val="00A6459D"/>
    <w:rsid w:val="00A6577E"/>
    <w:rsid w:val="00A65E28"/>
    <w:rsid w:val="00A6B5B5"/>
    <w:rsid w:val="00A729B2"/>
    <w:rsid w:val="00A73FB3"/>
    <w:rsid w:val="00A74603"/>
    <w:rsid w:val="00A83363"/>
    <w:rsid w:val="00A83825"/>
    <w:rsid w:val="00A845CC"/>
    <w:rsid w:val="00A848D8"/>
    <w:rsid w:val="00A86BA9"/>
    <w:rsid w:val="00A90045"/>
    <w:rsid w:val="00A9090B"/>
    <w:rsid w:val="00A91BAA"/>
    <w:rsid w:val="00A93656"/>
    <w:rsid w:val="00A93F06"/>
    <w:rsid w:val="00A93F90"/>
    <w:rsid w:val="00AA5404"/>
    <w:rsid w:val="00AA7D45"/>
    <w:rsid w:val="00AAD371"/>
    <w:rsid w:val="00AB02F7"/>
    <w:rsid w:val="00AB5B89"/>
    <w:rsid w:val="00AC05F3"/>
    <w:rsid w:val="00AC0CF9"/>
    <w:rsid w:val="00AC4465"/>
    <w:rsid w:val="00AC536B"/>
    <w:rsid w:val="00ACE982"/>
    <w:rsid w:val="00AD205E"/>
    <w:rsid w:val="00AE4096"/>
    <w:rsid w:val="00AE5DC4"/>
    <w:rsid w:val="00AE78DC"/>
    <w:rsid w:val="00AF23DC"/>
    <w:rsid w:val="00AF3296"/>
    <w:rsid w:val="00AF427F"/>
    <w:rsid w:val="00AF4F15"/>
    <w:rsid w:val="00AF68CB"/>
    <w:rsid w:val="00AF691D"/>
    <w:rsid w:val="00B01770"/>
    <w:rsid w:val="00B01F7E"/>
    <w:rsid w:val="00B04A04"/>
    <w:rsid w:val="00B054BE"/>
    <w:rsid w:val="00B0638B"/>
    <w:rsid w:val="00B118E5"/>
    <w:rsid w:val="00B12833"/>
    <w:rsid w:val="00B13F51"/>
    <w:rsid w:val="00B16DA7"/>
    <w:rsid w:val="00B200D3"/>
    <w:rsid w:val="00B201F5"/>
    <w:rsid w:val="00B202E7"/>
    <w:rsid w:val="00B20719"/>
    <w:rsid w:val="00B210F6"/>
    <w:rsid w:val="00B2181A"/>
    <w:rsid w:val="00B223FE"/>
    <w:rsid w:val="00B22E53"/>
    <w:rsid w:val="00B3087D"/>
    <w:rsid w:val="00B30B5A"/>
    <w:rsid w:val="00B31C88"/>
    <w:rsid w:val="00B31D83"/>
    <w:rsid w:val="00B32B9E"/>
    <w:rsid w:val="00B34794"/>
    <w:rsid w:val="00B34A81"/>
    <w:rsid w:val="00B40A8B"/>
    <w:rsid w:val="00B41551"/>
    <w:rsid w:val="00B42C2B"/>
    <w:rsid w:val="00B4339B"/>
    <w:rsid w:val="00B44E6F"/>
    <w:rsid w:val="00B47A17"/>
    <w:rsid w:val="00B47F7A"/>
    <w:rsid w:val="00B54A1A"/>
    <w:rsid w:val="00B60421"/>
    <w:rsid w:val="00B60765"/>
    <w:rsid w:val="00B60C9D"/>
    <w:rsid w:val="00B63D52"/>
    <w:rsid w:val="00B6499C"/>
    <w:rsid w:val="00B64A7E"/>
    <w:rsid w:val="00B66328"/>
    <w:rsid w:val="00B673B6"/>
    <w:rsid w:val="00B678E2"/>
    <w:rsid w:val="00B6797A"/>
    <w:rsid w:val="00B717C9"/>
    <w:rsid w:val="00B75AF5"/>
    <w:rsid w:val="00B762D7"/>
    <w:rsid w:val="00B80C74"/>
    <w:rsid w:val="00B82546"/>
    <w:rsid w:val="00B84984"/>
    <w:rsid w:val="00B84F8E"/>
    <w:rsid w:val="00B852FC"/>
    <w:rsid w:val="00B863BE"/>
    <w:rsid w:val="00B87E73"/>
    <w:rsid w:val="00B9035F"/>
    <w:rsid w:val="00B913A3"/>
    <w:rsid w:val="00B9432C"/>
    <w:rsid w:val="00B955C3"/>
    <w:rsid w:val="00B95AE1"/>
    <w:rsid w:val="00BA47E4"/>
    <w:rsid w:val="00BA5BDA"/>
    <w:rsid w:val="00BA6A50"/>
    <w:rsid w:val="00BB020D"/>
    <w:rsid w:val="00BB0243"/>
    <w:rsid w:val="00BB0C40"/>
    <w:rsid w:val="00BB0D96"/>
    <w:rsid w:val="00BB1CCB"/>
    <w:rsid w:val="00BB468A"/>
    <w:rsid w:val="00BC1790"/>
    <w:rsid w:val="00BC1C3E"/>
    <w:rsid w:val="00BC1E3D"/>
    <w:rsid w:val="00BC5ED5"/>
    <w:rsid w:val="00BC5FB8"/>
    <w:rsid w:val="00BD21C8"/>
    <w:rsid w:val="00BD2554"/>
    <w:rsid w:val="00BD5C37"/>
    <w:rsid w:val="00BD5F66"/>
    <w:rsid w:val="00BE1941"/>
    <w:rsid w:val="00BE4DBF"/>
    <w:rsid w:val="00BE6400"/>
    <w:rsid w:val="00BF1996"/>
    <w:rsid w:val="00BF2077"/>
    <w:rsid w:val="00BF46BF"/>
    <w:rsid w:val="00BF7B45"/>
    <w:rsid w:val="00BF7BF1"/>
    <w:rsid w:val="00C010D2"/>
    <w:rsid w:val="00C04427"/>
    <w:rsid w:val="00C04968"/>
    <w:rsid w:val="00C06210"/>
    <w:rsid w:val="00C07445"/>
    <w:rsid w:val="00C10B5F"/>
    <w:rsid w:val="00C128C8"/>
    <w:rsid w:val="00C13EFA"/>
    <w:rsid w:val="00C20388"/>
    <w:rsid w:val="00C21CBA"/>
    <w:rsid w:val="00C25297"/>
    <w:rsid w:val="00C26772"/>
    <w:rsid w:val="00C31C2F"/>
    <w:rsid w:val="00C34C47"/>
    <w:rsid w:val="00C34D8B"/>
    <w:rsid w:val="00C36583"/>
    <w:rsid w:val="00C43CAE"/>
    <w:rsid w:val="00C44650"/>
    <w:rsid w:val="00C44D67"/>
    <w:rsid w:val="00C4548E"/>
    <w:rsid w:val="00C4657C"/>
    <w:rsid w:val="00C475E8"/>
    <w:rsid w:val="00C507ED"/>
    <w:rsid w:val="00C53F92"/>
    <w:rsid w:val="00C56C00"/>
    <w:rsid w:val="00C573C4"/>
    <w:rsid w:val="00C66CE4"/>
    <w:rsid w:val="00C66F61"/>
    <w:rsid w:val="00C67FA5"/>
    <w:rsid w:val="00C724FE"/>
    <w:rsid w:val="00C732B9"/>
    <w:rsid w:val="00C73F18"/>
    <w:rsid w:val="00C7692A"/>
    <w:rsid w:val="00C76A34"/>
    <w:rsid w:val="00C77E8D"/>
    <w:rsid w:val="00C803DE"/>
    <w:rsid w:val="00C81DE5"/>
    <w:rsid w:val="00C8327A"/>
    <w:rsid w:val="00C84708"/>
    <w:rsid w:val="00C873F5"/>
    <w:rsid w:val="00C913A1"/>
    <w:rsid w:val="00C91C01"/>
    <w:rsid w:val="00C92072"/>
    <w:rsid w:val="00C92C9D"/>
    <w:rsid w:val="00C93793"/>
    <w:rsid w:val="00C94F98"/>
    <w:rsid w:val="00C95E1F"/>
    <w:rsid w:val="00C9649A"/>
    <w:rsid w:val="00CA2A87"/>
    <w:rsid w:val="00CA2F3D"/>
    <w:rsid w:val="00CA4A8C"/>
    <w:rsid w:val="00CA5474"/>
    <w:rsid w:val="00CB264D"/>
    <w:rsid w:val="00CB5E59"/>
    <w:rsid w:val="00CB64A9"/>
    <w:rsid w:val="00CB66D5"/>
    <w:rsid w:val="00CC169A"/>
    <w:rsid w:val="00CC245A"/>
    <w:rsid w:val="00CC2CD7"/>
    <w:rsid w:val="00CC3856"/>
    <w:rsid w:val="00CC5AEA"/>
    <w:rsid w:val="00CC606D"/>
    <w:rsid w:val="00CC6A99"/>
    <w:rsid w:val="00CD085C"/>
    <w:rsid w:val="00CD0CA5"/>
    <w:rsid w:val="00CD2CE8"/>
    <w:rsid w:val="00CD32A3"/>
    <w:rsid w:val="00CD36D9"/>
    <w:rsid w:val="00CD4539"/>
    <w:rsid w:val="00CD48A3"/>
    <w:rsid w:val="00CD760B"/>
    <w:rsid w:val="00CE39A3"/>
    <w:rsid w:val="00CE6308"/>
    <w:rsid w:val="00CE7DA0"/>
    <w:rsid w:val="00CF3009"/>
    <w:rsid w:val="00CF35C1"/>
    <w:rsid w:val="00CF38E5"/>
    <w:rsid w:val="00CF3D86"/>
    <w:rsid w:val="00CF6FDB"/>
    <w:rsid w:val="00D00AA3"/>
    <w:rsid w:val="00D00E9A"/>
    <w:rsid w:val="00D01B75"/>
    <w:rsid w:val="00D0203E"/>
    <w:rsid w:val="00D058AD"/>
    <w:rsid w:val="00D05B00"/>
    <w:rsid w:val="00D07F73"/>
    <w:rsid w:val="00D1003E"/>
    <w:rsid w:val="00D12A4F"/>
    <w:rsid w:val="00D136EE"/>
    <w:rsid w:val="00D1491E"/>
    <w:rsid w:val="00D15FC9"/>
    <w:rsid w:val="00D2041C"/>
    <w:rsid w:val="00D21DC9"/>
    <w:rsid w:val="00D21FEC"/>
    <w:rsid w:val="00D223C8"/>
    <w:rsid w:val="00D237E6"/>
    <w:rsid w:val="00D2422A"/>
    <w:rsid w:val="00D25ADE"/>
    <w:rsid w:val="00D30E9A"/>
    <w:rsid w:val="00D34BF4"/>
    <w:rsid w:val="00D34D34"/>
    <w:rsid w:val="00D357BB"/>
    <w:rsid w:val="00D35AF5"/>
    <w:rsid w:val="00D36C45"/>
    <w:rsid w:val="00D40532"/>
    <w:rsid w:val="00D40D18"/>
    <w:rsid w:val="00D43297"/>
    <w:rsid w:val="00D43C7A"/>
    <w:rsid w:val="00D44DB6"/>
    <w:rsid w:val="00D45284"/>
    <w:rsid w:val="00D473F8"/>
    <w:rsid w:val="00D47A09"/>
    <w:rsid w:val="00D50119"/>
    <w:rsid w:val="00D50AD0"/>
    <w:rsid w:val="00D53C66"/>
    <w:rsid w:val="00D54115"/>
    <w:rsid w:val="00D54D20"/>
    <w:rsid w:val="00D54F15"/>
    <w:rsid w:val="00D55008"/>
    <w:rsid w:val="00D61B09"/>
    <w:rsid w:val="00D62582"/>
    <w:rsid w:val="00D66788"/>
    <w:rsid w:val="00D667A2"/>
    <w:rsid w:val="00D679B3"/>
    <w:rsid w:val="00D72652"/>
    <w:rsid w:val="00D72A6F"/>
    <w:rsid w:val="00D72D15"/>
    <w:rsid w:val="00D75F21"/>
    <w:rsid w:val="00D76B34"/>
    <w:rsid w:val="00D76EF3"/>
    <w:rsid w:val="00D771AB"/>
    <w:rsid w:val="00D80BB2"/>
    <w:rsid w:val="00D818FF"/>
    <w:rsid w:val="00D822E8"/>
    <w:rsid w:val="00D82895"/>
    <w:rsid w:val="00D8293A"/>
    <w:rsid w:val="00D82A43"/>
    <w:rsid w:val="00D84385"/>
    <w:rsid w:val="00D87BF8"/>
    <w:rsid w:val="00D9261A"/>
    <w:rsid w:val="00D93209"/>
    <w:rsid w:val="00D94C68"/>
    <w:rsid w:val="00D95FE9"/>
    <w:rsid w:val="00D9707F"/>
    <w:rsid w:val="00D97125"/>
    <w:rsid w:val="00DA1B0D"/>
    <w:rsid w:val="00DA376F"/>
    <w:rsid w:val="00DA477B"/>
    <w:rsid w:val="00DA73E4"/>
    <w:rsid w:val="00DA7B5D"/>
    <w:rsid w:val="00DB3452"/>
    <w:rsid w:val="00DB69BC"/>
    <w:rsid w:val="00DB7C2B"/>
    <w:rsid w:val="00DB7EFB"/>
    <w:rsid w:val="00DC19F9"/>
    <w:rsid w:val="00DD16B3"/>
    <w:rsid w:val="00DD1A4A"/>
    <w:rsid w:val="00DD5064"/>
    <w:rsid w:val="00DD5725"/>
    <w:rsid w:val="00DD57C2"/>
    <w:rsid w:val="00DE043E"/>
    <w:rsid w:val="00DE1F73"/>
    <w:rsid w:val="00DE2037"/>
    <w:rsid w:val="00DE2A4D"/>
    <w:rsid w:val="00DE4066"/>
    <w:rsid w:val="00DE49FF"/>
    <w:rsid w:val="00DE68A8"/>
    <w:rsid w:val="00DE6A28"/>
    <w:rsid w:val="00DF50FD"/>
    <w:rsid w:val="00DF58E7"/>
    <w:rsid w:val="00DF5D19"/>
    <w:rsid w:val="00DF687A"/>
    <w:rsid w:val="00E01BFD"/>
    <w:rsid w:val="00E01F10"/>
    <w:rsid w:val="00E02B38"/>
    <w:rsid w:val="00E03979"/>
    <w:rsid w:val="00E04E64"/>
    <w:rsid w:val="00E067CC"/>
    <w:rsid w:val="00E077A0"/>
    <w:rsid w:val="00E10028"/>
    <w:rsid w:val="00E10D11"/>
    <w:rsid w:val="00E11876"/>
    <w:rsid w:val="00E13E8B"/>
    <w:rsid w:val="00E14026"/>
    <w:rsid w:val="00E1568A"/>
    <w:rsid w:val="00E224EF"/>
    <w:rsid w:val="00E230A4"/>
    <w:rsid w:val="00E23CBB"/>
    <w:rsid w:val="00E2471D"/>
    <w:rsid w:val="00E247D7"/>
    <w:rsid w:val="00E249C4"/>
    <w:rsid w:val="00E26B27"/>
    <w:rsid w:val="00E31BB2"/>
    <w:rsid w:val="00E33044"/>
    <w:rsid w:val="00E3309D"/>
    <w:rsid w:val="00E35532"/>
    <w:rsid w:val="00E36B9C"/>
    <w:rsid w:val="00E36F66"/>
    <w:rsid w:val="00E3784D"/>
    <w:rsid w:val="00E37B59"/>
    <w:rsid w:val="00E426DB"/>
    <w:rsid w:val="00E449C3"/>
    <w:rsid w:val="00E5029D"/>
    <w:rsid w:val="00E53FE1"/>
    <w:rsid w:val="00E552FF"/>
    <w:rsid w:val="00E55E97"/>
    <w:rsid w:val="00E562C1"/>
    <w:rsid w:val="00E56847"/>
    <w:rsid w:val="00E600E6"/>
    <w:rsid w:val="00E60E24"/>
    <w:rsid w:val="00E60E79"/>
    <w:rsid w:val="00E60ED7"/>
    <w:rsid w:val="00E63205"/>
    <w:rsid w:val="00E639F2"/>
    <w:rsid w:val="00E63FF2"/>
    <w:rsid w:val="00E64BAE"/>
    <w:rsid w:val="00E70878"/>
    <w:rsid w:val="00E70AC0"/>
    <w:rsid w:val="00E71C76"/>
    <w:rsid w:val="00E721DA"/>
    <w:rsid w:val="00E72437"/>
    <w:rsid w:val="00E7288D"/>
    <w:rsid w:val="00E729C7"/>
    <w:rsid w:val="00E72F03"/>
    <w:rsid w:val="00E74488"/>
    <w:rsid w:val="00E74FC1"/>
    <w:rsid w:val="00E75C4E"/>
    <w:rsid w:val="00E762E7"/>
    <w:rsid w:val="00E8156D"/>
    <w:rsid w:val="00E81E07"/>
    <w:rsid w:val="00E81E62"/>
    <w:rsid w:val="00E84B63"/>
    <w:rsid w:val="00E866DE"/>
    <w:rsid w:val="00E9026E"/>
    <w:rsid w:val="00E91821"/>
    <w:rsid w:val="00E92E8C"/>
    <w:rsid w:val="00E94975"/>
    <w:rsid w:val="00E96D1D"/>
    <w:rsid w:val="00E970F9"/>
    <w:rsid w:val="00EA2A82"/>
    <w:rsid w:val="00EA2B4D"/>
    <w:rsid w:val="00EA36C6"/>
    <w:rsid w:val="00EA4B70"/>
    <w:rsid w:val="00EA6824"/>
    <w:rsid w:val="00EA6D19"/>
    <w:rsid w:val="00EB0BDB"/>
    <w:rsid w:val="00EB25FA"/>
    <w:rsid w:val="00EB288B"/>
    <w:rsid w:val="00EB3E98"/>
    <w:rsid w:val="00EB5F5D"/>
    <w:rsid w:val="00EB7825"/>
    <w:rsid w:val="00EB79B6"/>
    <w:rsid w:val="00EC0985"/>
    <w:rsid w:val="00EC3ACB"/>
    <w:rsid w:val="00EC5B1F"/>
    <w:rsid w:val="00EC5E5A"/>
    <w:rsid w:val="00EC718F"/>
    <w:rsid w:val="00ED0ADF"/>
    <w:rsid w:val="00ED2677"/>
    <w:rsid w:val="00ED3F4E"/>
    <w:rsid w:val="00ED5349"/>
    <w:rsid w:val="00ED5725"/>
    <w:rsid w:val="00ED6A61"/>
    <w:rsid w:val="00ED7031"/>
    <w:rsid w:val="00ED71A3"/>
    <w:rsid w:val="00EE03AE"/>
    <w:rsid w:val="00EE1563"/>
    <w:rsid w:val="00EE3060"/>
    <w:rsid w:val="00EE428D"/>
    <w:rsid w:val="00EE4315"/>
    <w:rsid w:val="00EE4F03"/>
    <w:rsid w:val="00EE6C11"/>
    <w:rsid w:val="00EE717A"/>
    <w:rsid w:val="00EEED45"/>
    <w:rsid w:val="00EF164F"/>
    <w:rsid w:val="00EF2490"/>
    <w:rsid w:val="00EF2990"/>
    <w:rsid w:val="00EF2F8D"/>
    <w:rsid w:val="00EF3669"/>
    <w:rsid w:val="00EF429C"/>
    <w:rsid w:val="00EF4597"/>
    <w:rsid w:val="00EF6E36"/>
    <w:rsid w:val="00F0057B"/>
    <w:rsid w:val="00F017FB"/>
    <w:rsid w:val="00F0387F"/>
    <w:rsid w:val="00F04189"/>
    <w:rsid w:val="00F044F7"/>
    <w:rsid w:val="00F05E02"/>
    <w:rsid w:val="00F06993"/>
    <w:rsid w:val="00F10A47"/>
    <w:rsid w:val="00F11914"/>
    <w:rsid w:val="00F1390D"/>
    <w:rsid w:val="00F146FD"/>
    <w:rsid w:val="00F161B9"/>
    <w:rsid w:val="00F165A8"/>
    <w:rsid w:val="00F20227"/>
    <w:rsid w:val="00F2271D"/>
    <w:rsid w:val="00F22919"/>
    <w:rsid w:val="00F22BE0"/>
    <w:rsid w:val="00F2309C"/>
    <w:rsid w:val="00F24A3F"/>
    <w:rsid w:val="00F256F2"/>
    <w:rsid w:val="00F26CD2"/>
    <w:rsid w:val="00F26ED3"/>
    <w:rsid w:val="00F3051F"/>
    <w:rsid w:val="00F32027"/>
    <w:rsid w:val="00F33B67"/>
    <w:rsid w:val="00F375E0"/>
    <w:rsid w:val="00F40040"/>
    <w:rsid w:val="00F455DC"/>
    <w:rsid w:val="00F5196B"/>
    <w:rsid w:val="00F519EE"/>
    <w:rsid w:val="00F520CF"/>
    <w:rsid w:val="00F52151"/>
    <w:rsid w:val="00F521F2"/>
    <w:rsid w:val="00F54B10"/>
    <w:rsid w:val="00F569A2"/>
    <w:rsid w:val="00F6057E"/>
    <w:rsid w:val="00F60BD1"/>
    <w:rsid w:val="00F62B7A"/>
    <w:rsid w:val="00F62FA5"/>
    <w:rsid w:val="00F6356A"/>
    <w:rsid w:val="00F6397D"/>
    <w:rsid w:val="00F64832"/>
    <w:rsid w:val="00F66CA8"/>
    <w:rsid w:val="00F6758B"/>
    <w:rsid w:val="00F676DA"/>
    <w:rsid w:val="00F70A5F"/>
    <w:rsid w:val="00F7293E"/>
    <w:rsid w:val="00F73515"/>
    <w:rsid w:val="00F7450B"/>
    <w:rsid w:val="00F74E9F"/>
    <w:rsid w:val="00F756AF"/>
    <w:rsid w:val="00F7573F"/>
    <w:rsid w:val="00F76650"/>
    <w:rsid w:val="00F76E73"/>
    <w:rsid w:val="00F80C99"/>
    <w:rsid w:val="00F81A0D"/>
    <w:rsid w:val="00F83CF2"/>
    <w:rsid w:val="00F9187B"/>
    <w:rsid w:val="00F92385"/>
    <w:rsid w:val="00F94779"/>
    <w:rsid w:val="00F95C3F"/>
    <w:rsid w:val="00F96675"/>
    <w:rsid w:val="00F971D7"/>
    <w:rsid w:val="00F97FC4"/>
    <w:rsid w:val="00FA09EE"/>
    <w:rsid w:val="00FA177C"/>
    <w:rsid w:val="00FA1B4F"/>
    <w:rsid w:val="00FA2587"/>
    <w:rsid w:val="00FA2C05"/>
    <w:rsid w:val="00FA628B"/>
    <w:rsid w:val="00FA67B0"/>
    <w:rsid w:val="00FB008E"/>
    <w:rsid w:val="00FB05F6"/>
    <w:rsid w:val="00FB06C4"/>
    <w:rsid w:val="00FB0B50"/>
    <w:rsid w:val="00FB163C"/>
    <w:rsid w:val="00FB17E6"/>
    <w:rsid w:val="00FB2643"/>
    <w:rsid w:val="00FB2C71"/>
    <w:rsid w:val="00FB3093"/>
    <w:rsid w:val="00FB3CC2"/>
    <w:rsid w:val="00FB55AE"/>
    <w:rsid w:val="00FB7113"/>
    <w:rsid w:val="00FC0D91"/>
    <w:rsid w:val="00FC0FF0"/>
    <w:rsid w:val="00FC227E"/>
    <w:rsid w:val="00FC3358"/>
    <w:rsid w:val="00FC3D86"/>
    <w:rsid w:val="00FC47F9"/>
    <w:rsid w:val="00FC6733"/>
    <w:rsid w:val="00FC6853"/>
    <w:rsid w:val="00FC6AF1"/>
    <w:rsid w:val="00FD19C7"/>
    <w:rsid w:val="00FD2FDA"/>
    <w:rsid w:val="00FD5964"/>
    <w:rsid w:val="00FD643A"/>
    <w:rsid w:val="00FD76D1"/>
    <w:rsid w:val="00FE0C1C"/>
    <w:rsid w:val="00FE0FA2"/>
    <w:rsid w:val="00FE28DA"/>
    <w:rsid w:val="00FE2C00"/>
    <w:rsid w:val="00FE5580"/>
    <w:rsid w:val="00FE604A"/>
    <w:rsid w:val="00FF110C"/>
    <w:rsid w:val="00FF431F"/>
    <w:rsid w:val="00FF43D7"/>
    <w:rsid w:val="00FF4935"/>
    <w:rsid w:val="00FF566B"/>
    <w:rsid w:val="00FF759E"/>
    <w:rsid w:val="01087263"/>
    <w:rsid w:val="0110775C"/>
    <w:rsid w:val="014C4F5F"/>
    <w:rsid w:val="0157E593"/>
    <w:rsid w:val="019C67EA"/>
    <w:rsid w:val="01A7E99B"/>
    <w:rsid w:val="01AFC9CC"/>
    <w:rsid w:val="01E3D9F9"/>
    <w:rsid w:val="01F382FB"/>
    <w:rsid w:val="01FF048A"/>
    <w:rsid w:val="0201E1F9"/>
    <w:rsid w:val="02164417"/>
    <w:rsid w:val="024C5E76"/>
    <w:rsid w:val="027480D8"/>
    <w:rsid w:val="027D3CF2"/>
    <w:rsid w:val="028ABDA6"/>
    <w:rsid w:val="029AA0DB"/>
    <w:rsid w:val="02A4500B"/>
    <w:rsid w:val="02D88F77"/>
    <w:rsid w:val="02DD526B"/>
    <w:rsid w:val="02F3B5F4"/>
    <w:rsid w:val="03050CA8"/>
    <w:rsid w:val="030DF739"/>
    <w:rsid w:val="033FC17B"/>
    <w:rsid w:val="035CEB52"/>
    <w:rsid w:val="0365206D"/>
    <w:rsid w:val="037742BC"/>
    <w:rsid w:val="0396DD7A"/>
    <w:rsid w:val="03A3EC36"/>
    <w:rsid w:val="03BA65C3"/>
    <w:rsid w:val="03CAB4F4"/>
    <w:rsid w:val="03D8DE29"/>
    <w:rsid w:val="03FE27A3"/>
    <w:rsid w:val="0413E36A"/>
    <w:rsid w:val="043FEC6D"/>
    <w:rsid w:val="04414A92"/>
    <w:rsid w:val="044A44C4"/>
    <w:rsid w:val="047E9E19"/>
    <w:rsid w:val="04825281"/>
    <w:rsid w:val="0488D001"/>
    <w:rsid w:val="048D5ED6"/>
    <w:rsid w:val="04973807"/>
    <w:rsid w:val="049D5E0E"/>
    <w:rsid w:val="04A969BB"/>
    <w:rsid w:val="04B3EE08"/>
    <w:rsid w:val="04B63796"/>
    <w:rsid w:val="04DAAF8D"/>
    <w:rsid w:val="04E59556"/>
    <w:rsid w:val="04F747D8"/>
    <w:rsid w:val="0501289D"/>
    <w:rsid w:val="0505A907"/>
    <w:rsid w:val="050AB4A1"/>
    <w:rsid w:val="05112358"/>
    <w:rsid w:val="05171CFD"/>
    <w:rsid w:val="0520DF71"/>
    <w:rsid w:val="0525551C"/>
    <w:rsid w:val="05346713"/>
    <w:rsid w:val="0561C591"/>
    <w:rsid w:val="05694D75"/>
    <w:rsid w:val="056C3667"/>
    <w:rsid w:val="057402AE"/>
    <w:rsid w:val="059286B8"/>
    <w:rsid w:val="0597ACB8"/>
    <w:rsid w:val="05992F23"/>
    <w:rsid w:val="05B3231B"/>
    <w:rsid w:val="05B54371"/>
    <w:rsid w:val="05B6B682"/>
    <w:rsid w:val="05E27FAE"/>
    <w:rsid w:val="0615EF4C"/>
    <w:rsid w:val="062B4AFD"/>
    <w:rsid w:val="062BACF2"/>
    <w:rsid w:val="06453A1C"/>
    <w:rsid w:val="067DDBAB"/>
    <w:rsid w:val="0683375A"/>
    <w:rsid w:val="06AB294D"/>
    <w:rsid w:val="06BC7BE1"/>
    <w:rsid w:val="06CAE555"/>
    <w:rsid w:val="06D6A1D9"/>
    <w:rsid w:val="070114B8"/>
    <w:rsid w:val="071615AB"/>
    <w:rsid w:val="071A9CA9"/>
    <w:rsid w:val="072AA94B"/>
    <w:rsid w:val="072DD01B"/>
    <w:rsid w:val="07525259"/>
    <w:rsid w:val="075CCF64"/>
    <w:rsid w:val="0762412D"/>
    <w:rsid w:val="076263FB"/>
    <w:rsid w:val="0767CF9F"/>
    <w:rsid w:val="076FE630"/>
    <w:rsid w:val="077624C9"/>
    <w:rsid w:val="07775589"/>
    <w:rsid w:val="0779E32C"/>
    <w:rsid w:val="07894A62"/>
    <w:rsid w:val="07AB2E74"/>
    <w:rsid w:val="07D97B5C"/>
    <w:rsid w:val="07E8663A"/>
    <w:rsid w:val="07E95A33"/>
    <w:rsid w:val="07F7EDFF"/>
    <w:rsid w:val="07FE081D"/>
    <w:rsid w:val="081B38C2"/>
    <w:rsid w:val="082D1319"/>
    <w:rsid w:val="083277F2"/>
    <w:rsid w:val="083B6FBE"/>
    <w:rsid w:val="084F23A2"/>
    <w:rsid w:val="08511C3C"/>
    <w:rsid w:val="08512406"/>
    <w:rsid w:val="08562E42"/>
    <w:rsid w:val="085F072B"/>
    <w:rsid w:val="0860220B"/>
    <w:rsid w:val="08804594"/>
    <w:rsid w:val="088DB17A"/>
    <w:rsid w:val="089A63E5"/>
    <w:rsid w:val="08A3A934"/>
    <w:rsid w:val="08AA1718"/>
    <w:rsid w:val="08C139FB"/>
    <w:rsid w:val="08CA33A7"/>
    <w:rsid w:val="091815B4"/>
    <w:rsid w:val="09288CD6"/>
    <w:rsid w:val="092E7D0D"/>
    <w:rsid w:val="095D0A72"/>
    <w:rsid w:val="09A145FC"/>
    <w:rsid w:val="09A2094E"/>
    <w:rsid w:val="09EF9F57"/>
    <w:rsid w:val="09F50FA6"/>
    <w:rsid w:val="09F67D24"/>
    <w:rsid w:val="09F92994"/>
    <w:rsid w:val="0A1B5E3A"/>
    <w:rsid w:val="0A230B38"/>
    <w:rsid w:val="0A5440CA"/>
    <w:rsid w:val="0A689D89"/>
    <w:rsid w:val="0A6FF1D9"/>
    <w:rsid w:val="0A7880E5"/>
    <w:rsid w:val="0AAF926E"/>
    <w:rsid w:val="0AB143A1"/>
    <w:rsid w:val="0ABC48F5"/>
    <w:rsid w:val="0ACE9F7C"/>
    <w:rsid w:val="0AE4865B"/>
    <w:rsid w:val="0AE5D235"/>
    <w:rsid w:val="0AE823E2"/>
    <w:rsid w:val="0AF2F788"/>
    <w:rsid w:val="0B288761"/>
    <w:rsid w:val="0B34FB7C"/>
    <w:rsid w:val="0B433895"/>
    <w:rsid w:val="0B53B92D"/>
    <w:rsid w:val="0B64BD1E"/>
    <w:rsid w:val="0B69DD0A"/>
    <w:rsid w:val="0B7F04DF"/>
    <w:rsid w:val="0B82D6F6"/>
    <w:rsid w:val="0B8D14B2"/>
    <w:rsid w:val="0B8FD547"/>
    <w:rsid w:val="0BADF29D"/>
    <w:rsid w:val="0BE10513"/>
    <w:rsid w:val="0C0DD814"/>
    <w:rsid w:val="0C1A9F31"/>
    <w:rsid w:val="0C2213BC"/>
    <w:rsid w:val="0C4AE5D8"/>
    <w:rsid w:val="0C80C4A0"/>
    <w:rsid w:val="0C9FC7B2"/>
    <w:rsid w:val="0CCDA3FD"/>
    <w:rsid w:val="0CCEF0A5"/>
    <w:rsid w:val="0CD25AA4"/>
    <w:rsid w:val="0CD8309E"/>
    <w:rsid w:val="0CDC705B"/>
    <w:rsid w:val="0CFA3A61"/>
    <w:rsid w:val="0CFCAF39"/>
    <w:rsid w:val="0D133226"/>
    <w:rsid w:val="0D13A6E5"/>
    <w:rsid w:val="0D363199"/>
    <w:rsid w:val="0D434A78"/>
    <w:rsid w:val="0D620434"/>
    <w:rsid w:val="0D69BEE9"/>
    <w:rsid w:val="0D77081D"/>
    <w:rsid w:val="0D87ADDC"/>
    <w:rsid w:val="0D8BE18C"/>
    <w:rsid w:val="0D8F14BA"/>
    <w:rsid w:val="0D9569E2"/>
    <w:rsid w:val="0DA25E50"/>
    <w:rsid w:val="0DBCBC3A"/>
    <w:rsid w:val="0DC95AA6"/>
    <w:rsid w:val="0DCFB7EE"/>
    <w:rsid w:val="0DD34985"/>
    <w:rsid w:val="0E178A55"/>
    <w:rsid w:val="0E2F710D"/>
    <w:rsid w:val="0E38DCA6"/>
    <w:rsid w:val="0E393D14"/>
    <w:rsid w:val="0E3FF5A3"/>
    <w:rsid w:val="0E5DFB03"/>
    <w:rsid w:val="0E649E81"/>
    <w:rsid w:val="0EC512D3"/>
    <w:rsid w:val="0EC7C1B7"/>
    <w:rsid w:val="0ED89843"/>
    <w:rsid w:val="0EF67C5B"/>
    <w:rsid w:val="0F0A09C2"/>
    <w:rsid w:val="0F2AE51B"/>
    <w:rsid w:val="0F2DD978"/>
    <w:rsid w:val="0F305725"/>
    <w:rsid w:val="0F36CFE9"/>
    <w:rsid w:val="0F4295DA"/>
    <w:rsid w:val="0F5FD69E"/>
    <w:rsid w:val="0F718AF5"/>
    <w:rsid w:val="0F7F36C0"/>
    <w:rsid w:val="0F8850E6"/>
    <w:rsid w:val="0F90D5C8"/>
    <w:rsid w:val="0F95DF15"/>
    <w:rsid w:val="0F96A1B2"/>
    <w:rsid w:val="0F9CEA8D"/>
    <w:rsid w:val="0FB35AB6"/>
    <w:rsid w:val="0FDD204E"/>
    <w:rsid w:val="0FE8134B"/>
    <w:rsid w:val="0FF0D3BA"/>
    <w:rsid w:val="100C608D"/>
    <w:rsid w:val="1017F527"/>
    <w:rsid w:val="1063100F"/>
    <w:rsid w:val="106CA2FB"/>
    <w:rsid w:val="106F986E"/>
    <w:rsid w:val="1075880B"/>
    <w:rsid w:val="1085A0A7"/>
    <w:rsid w:val="1091B0B7"/>
    <w:rsid w:val="10A9EB7B"/>
    <w:rsid w:val="10AECEB1"/>
    <w:rsid w:val="10C2CAFB"/>
    <w:rsid w:val="10C42C84"/>
    <w:rsid w:val="10D7EB9D"/>
    <w:rsid w:val="10E3E0A6"/>
    <w:rsid w:val="10FFF5A7"/>
    <w:rsid w:val="11039453"/>
    <w:rsid w:val="11124A0C"/>
    <w:rsid w:val="1138A105"/>
    <w:rsid w:val="113DA8D9"/>
    <w:rsid w:val="1142B988"/>
    <w:rsid w:val="1143B011"/>
    <w:rsid w:val="114B2590"/>
    <w:rsid w:val="1150ECF4"/>
    <w:rsid w:val="11681C57"/>
    <w:rsid w:val="117E41FA"/>
    <w:rsid w:val="118266EF"/>
    <w:rsid w:val="11862F23"/>
    <w:rsid w:val="118C5CB9"/>
    <w:rsid w:val="11C623A0"/>
    <w:rsid w:val="11D5500E"/>
    <w:rsid w:val="120D89C5"/>
    <w:rsid w:val="120E08CD"/>
    <w:rsid w:val="12145D48"/>
    <w:rsid w:val="121B41CA"/>
    <w:rsid w:val="121FF349"/>
    <w:rsid w:val="12778780"/>
    <w:rsid w:val="127E4F46"/>
    <w:rsid w:val="12AA3F53"/>
    <w:rsid w:val="12B8A49F"/>
    <w:rsid w:val="12D97354"/>
    <w:rsid w:val="12EBBAE5"/>
    <w:rsid w:val="13089E8B"/>
    <w:rsid w:val="130E748C"/>
    <w:rsid w:val="13267E2F"/>
    <w:rsid w:val="13283A71"/>
    <w:rsid w:val="132C014C"/>
    <w:rsid w:val="132D1828"/>
    <w:rsid w:val="132D8E68"/>
    <w:rsid w:val="134BA456"/>
    <w:rsid w:val="136D4071"/>
    <w:rsid w:val="1388C7F3"/>
    <w:rsid w:val="139AE72C"/>
    <w:rsid w:val="13A16D9B"/>
    <w:rsid w:val="13E4F173"/>
    <w:rsid w:val="13E9092D"/>
    <w:rsid w:val="13F486CE"/>
    <w:rsid w:val="13F8D7C4"/>
    <w:rsid w:val="13FC0CD0"/>
    <w:rsid w:val="1412DE8B"/>
    <w:rsid w:val="1418276B"/>
    <w:rsid w:val="14240462"/>
    <w:rsid w:val="142FBB34"/>
    <w:rsid w:val="143F4C7B"/>
    <w:rsid w:val="146D06B3"/>
    <w:rsid w:val="14892205"/>
    <w:rsid w:val="1499D88E"/>
    <w:rsid w:val="14CE770B"/>
    <w:rsid w:val="14ED1245"/>
    <w:rsid w:val="14F0E231"/>
    <w:rsid w:val="15310123"/>
    <w:rsid w:val="155E8D99"/>
    <w:rsid w:val="155F1FB6"/>
    <w:rsid w:val="1576A93F"/>
    <w:rsid w:val="1580795E"/>
    <w:rsid w:val="1582800B"/>
    <w:rsid w:val="158F446E"/>
    <w:rsid w:val="15AFD2E8"/>
    <w:rsid w:val="15BA933F"/>
    <w:rsid w:val="15DA13AE"/>
    <w:rsid w:val="16237FE9"/>
    <w:rsid w:val="163B4ED5"/>
    <w:rsid w:val="1642A973"/>
    <w:rsid w:val="165495CE"/>
    <w:rsid w:val="16805A5D"/>
    <w:rsid w:val="16827564"/>
    <w:rsid w:val="16831322"/>
    <w:rsid w:val="16F6B9AC"/>
    <w:rsid w:val="16FB4047"/>
    <w:rsid w:val="1704F0E6"/>
    <w:rsid w:val="1728AB5C"/>
    <w:rsid w:val="174C8DB5"/>
    <w:rsid w:val="17508023"/>
    <w:rsid w:val="1752E52E"/>
    <w:rsid w:val="1778900F"/>
    <w:rsid w:val="17850374"/>
    <w:rsid w:val="1786AB71"/>
    <w:rsid w:val="179601A5"/>
    <w:rsid w:val="1796FCA4"/>
    <w:rsid w:val="17B0CFB4"/>
    <w:rsid w:val="17C08FE9"/>
    <w:rsid w:val="17F7EA8B"/>
    <w:rsid w:val="17FD40E5"/>
    <w:rsid w:val="17FF24EF"/>
    <w:rsid w:val="180C6AF5"/>
    <w:rsid w:val="1814BAA5"/>
    <w:rsid w:val="181AA6CB"/>
    <w:rsid w:val="18349BD6"/>
    <w:rsid w:val="18390BC5"/>
    <w:rsid w:val="185C7866"/>
    <w:rsid w:val="185DB9EF"/>
    <w:rsid w:val="186F0E6F"/>
    <w:rsid w:val="187EA07F"/>
    <w:rsid w:val="1887F811"/>
    <w:rsid w:val="188FF64E"/>
    <w:rsid w:val="18B65DCF"/>
    <w:rsid w:val="18D394D5"/>
    <w:rsid w:val="18F637ED"/>
    <w:rsid w:val="1934E91C"/>
    <w:rsid w:val="193B4732"/>
    <w:rsid w:val="19426187"/>
    <w:rsid w:val="195F4EC5"/>
    <w:rsid w:val="196CC597"/>
    <w:rsid w:val="19726CB8"/>
    <w:rsid w:val="19C8CEBF"/>
    <w:rsid w:val="19CD4B9C"/>
    <w:rsid w:val="19F337ED"/>
    <w:rsid w:val="1A0117CD"/>
    <w:rsid w:val="1A121636"/>
    <w:rsid w:val="1A14456E"/>
    <w:rsid w:val="1A147912"/>
    <w:rsid w:val="1A23DA79"/>
    <w:rsid w:val="1A3AC3B5"/>
    <w:rsid w:val="1A6F3328"/>
    <w:rsid w:val="1A78DACE"/>
    <w:rsid w:val="1A9BA966"/>
    <w:rsid w:val="1A9EA136"/>
    <w:rsid w:val="1AA1D84E"/>
    <w:rsid w:val="1AC3DCA4"/>
    <w:rsid w:val="1ACA361F"/>
    <w:rsid w:val="1AD692F7"/>
    <w:rsid w:val="1ADB75F5"/>
    <w:rsid w:val="1AE34A17"/>
    <w:rsid w:val="1AE8309A"/>
    <w:rsid w:val="1AE9FCE6"/>
    <w:rsid w:val="1AF1427B"/>
    <w:rsid w:val="1AFABE24"/>
    <w:rsid w:val="1B314270"/>
    <w:rsid w:val="1B4DC942"/>
    <w:rsid w:val="1B4E3D66"/>
    <w:rsid w:val="1B54285D"/>
    <w:rsid w:val="1B57A8C9"/>
    <w:rsid w:val="1B597BA1"/>
    <w:rsid w:val="1B5A718D"/>
    <w:rsid w:val="1B625111"/>
    <w:rsid w:val="1B743A79"/>
    <w:rsid w:val="1BA6AF31"/>
    <w:rsid w:val="1BA8702A"/>
    <w:rsid w:val="1BBB54C3"/>
    <w:rsid w:val="1BBFFA53"/>
    <w:rsid w:val="1BD8D1E7"/>
    <w:rsid w:val="1BDCFB61"/>
    <w:rsid w:val="1C0E227B"/>
    <w:rsid w:val="1C12BF52"/>
    <w:rsid w:val="1C1FC5E9"/>
    <w:rsid w:val="1C45BB15"/>
    <w:rsid w:val="1C7040A7"/>
    <w:rsid w:val="1C95E268"/>
    <w:rsid w:val="1C9E5A7F"/>
    <w:rsid w:val="1CA1F451"/>
    <w:rsid w:val="1CBEC667"/>
    <w:rsid w:val="1CC433F5"/>
    <w:rsid w:val="1CC53386"/>
    <w:rsid w:val="1CCA9F6A"/>
    <w:rsid w:val="1CCE22A9"/>
    <w:rsid w:val="1CE05FC3"/>
    <w:rsid w:val="1CE5F532"/>
    <w:rsid w:val="1CF6F2FE"/>
    <w:rsid w:val="1D10A04B"/>
    <w:rsid w:val="1D186825"/>
    <w:rsid w:val="1D245A93"/>
    <w:rsid w:val="1D3AC00D"/>
    <w:rsid w:val="1D53E150"/>
    <w:rsid w:val="1D962D27"/>
    <w:rsid w:val="1DBE92B7"/>
    <w:rsid w:val="1DC6EA7D"/>
    <w:rsid w:val="1DE63919"/>
    <w:rsid w:val="1E0309C0"/>
    <w:rsid w:val="1E063E28"/>
    <w:rsid w:val="1E11C581"/>
    <w:rsid w:val="1E1EB54E"/>
    <w:rsid w:val="1E2B7254"/>
    <w:rsid w:val="1E429DFA"/>
    <w:rsid w:val="1E517B90"/>
    <w:rsid w:val="1E6FF5AA"/>
    <w:rsid w:val="1E73DCD1"/>
    <w:rsid w:val="1E75C7F0"/>
    <w:rsid w:val="1E92124F"/>
    <w:rsid w:val="1E9A8285"/>
    <w:rsid w:val="1E9E0D7F"/>
    <w:rsid w:val="1EB301A2"/>
    <w:rsid w:val="1EBD6811"/>
    <w:rsid w:val="1ED0C7D8"/>
    <w:rsid w:val="1ED912C9"/>
    <w:rsid w:val="1EE866E0"/>
    <w:rsid w:val="1EF36D89"/>
    <w:rsid w:val="1F001EC1"/>
    <w:rsid w:val="1F1F138E"/>
    <w:rsid w:val="1F36403B"/>
    <w:rsid w:val="1F6FF92B"/>
    <w:rsid w:val="1F71DC3E"/>
    <w:rsid w:val="1F7C43B1"/>
    <w:rsid w:val="1F810E9A"/>
    <w:rsid w:val="1F8A4881"/>
    <w:rsid w:val="1F9014A9"/>
    <w:rsid w:val="1F916447"/>
    <w:rsid w:val="1FB11C20"/>
    <w:rsid w:val="1FBDF08F"/>
    <w:rsid w:val="1FCC4485"/>
    <w:rsid w:val="1FD3B373"/>
    <w:rsid w:val="1FD5FB41"/>
    <w:rsid w:val="1FEA2CB2"/>
    <w:rsid w:val="2000FCBC"/>
    <w:rsid w:val="20168695"/>
    <w:rsid w:val="201F32A5"/>
    <w:rsid w:val="20389433"/>
    <w:rsid w:val="203A65EC"/>
    <w:rsid w:val="20453C7C"/>
    <w:rsid w:val="205CF7D6"/>
    <w:rsid w:val="207CAA84"/>
    <w:rsid w:val="2082C6C5"/>
    <w:rsid w:val="2082DA8F"/>
    <w:rsid w:val="20905D2B"/>
    <w:rsid w:val="209BC095"/>
    <w:rsid w:val="20A6621D"/>
    <w:rsid w:val="20C5890C"/>
    <w:rsid w:val="20CBC10A"/>
    <w:rsid w:val="20D2109C"/>
    <w:rsid w:val="20DC9AD1"/>
    <w:rsid w:val="20E1939E"/>
    <w:rsid w:val="20E93676"/>
    <w:rsid w:val="20EF86AD"/>
    <w:rsid w:val="210110B5"/>
    <w:rsid w:val="21025CC9"/>
    <w:rsid w:val="210AD2E7"/>
    <w:rsid w:val="2116A962"/>
    <w:rsid w:val="2129B80D"/>
    <w:rsid w:val="213E7D93"/>
    <w:rsid w:val="21461AF5"/>
    <w:rsid w:val="214DBC36"/>
    <w:rsid w:val="214FC9D6"/>
    <w:rsid w:val="215A84EF"/>
    <w:rsid w:val="2163420D"/>
    <w:rsid w:val="2168D404"/>
    <w:rsid w:val="216E7572"/>
    <w:rsid w:val="21732D9E"/>
    <w:rsid w:val="217F44FF"/>
    <w:rsid w:val="218355BB"/>
    <w:rsid w:val="219701FF"/>
    <w:rsid w:val="21A38CEC"/>
    <w:rsid w:val="21A95AFE"/>
    <w:rsid w:val="21D09C39"/>
    <w:rsid w:val="21E2587F"/>
    <w:rsid w:val="21F4DF7A"/>
    <w:rsid w:val="220C29B2"/>
    <w:rsid w:val="220F548D"/>
    <w:rsid w:val="2215F0B5"/>
    <w:rsid w:val="222A5386"/>
    <w:rsid w:val="222C23ED"/>
    <w:rsid w:val="224E9492"/>
    <w:rsid w:val="224ECC39"/>
    <w:rsid w:val="2254761C"/>
    <w:rsid w:val="226B1655"/>
    <w:rsid w:val="227F5910"/>
    <w:rsid w:val="22A9859C"/>
    <w:rsid w:val="22B004B5"/>
    <w:rsid w:val="22CF8B14"/>
    <w:rsid w:val="22D73F53"/>
    <w:rsid w:val="22D9AF4B"/>
    <w:rsid w:val="22E66DC7"/>
    <w:rsid w:val="22FFECA5"/>
    <w:rsid w:val="230EFDFF"/>
    <w:rsid w:val="2324D679"/>
    <w:rsid w:val="233338DF"/>
    <w:rsid w:val="233BBB0A"/>
    <w:rsid w:val="23666BC4"/>
    <w:rsid w:val="236C6C9A"/>
    <w:rsid w:val="237A1D18"/>
    <w:rsid w:val="23A59350"/>
    <w:rsid w:val="23AB24EE"/>
    <w:rsid w:val="23D94FEB"/>
    <w:rsid w:val="23F9A8C1"/>
    <w:rsid w:val="24061197"/>
    <w:rsid w:val="240A78B9"/>
    <w:rsid w:val="24158B94"/>
    <w:rsid w:val="242C8F67"/>
    <w:rsid w:val="24475218"/>
    <w:rsid w:val="24555468"/>
    <w:rsid w:val="2484C41B"/>
    <w:rsid w:val="248517B4"/>
    <w:rsid w:val="24887D80"/>
    <w:rsid w:val="248EAADB"/>
    <w:rsid w:val="24939312"/>
    <w:rsid w:val="24D4E9E4"/>
    <w:rsid w:val="24EDEF63"/>
    <w:rsid w:val="250BAC9F"/>
    <w:rsid w:val="2535BA78"/>
    <w:rsid w:val="25379762"/>
    <w:rsid w:val="2559279F"/>
    <w:rsid w:val="257C1974"/>
    <w:rsid w:val="2599DD2A"/>
    <w:rsid w:val="25B44A9B"/>
    <w:rsid w:val="25B504C1"/>
    <w:rsid w:val="25BFC4D4"/>
    <w:rsid w:val="25C9DEA7"/>
    <w:rsid w:val="25E1A063"/>
    <w:rsid w:val="25FA91A4"/>
    <w:rsid w:val="261B1865"/>
    <w:rsid w:val="2626E5DC"/>
    <w:rsid w:val="262775ED"/>
    <w:rsid w:val="262B078A"/>
    <w:rsid w:val="263667EF"/>
    <w:rsid w:val="263F5C18"/>
    <w:rsid w:val="2649FADB"/>
    <w:rsid w:val="266A9845"/>
    <w:rsid w:val="266D14B4"/>
    <w:rsid w:val="26DFCB8B"/>
    <w:rsid w:val="26EE49C7"/>
    <w:rsid w:val="2706F88E"/>
    <w:rsid w:val="270A10F3"/>
    <w:rsid w:val="273CC58B"/>
    <w:rsid w:val="273EBB3F"/>
    <w:rsid w:val="2741A2E2"/>
    <w:rsid w:val="275D756E"/>
    <w:rsid w:val="27671AE5"/>
    <w:rsid w:val="2773C484"/>
    <w:rsid w:val="278A5DCD"/>
    <w:rsid w:val="279C22E6"/>
    <w:rsid w:val="27B8D8AE"/>
    <w:rsid w:val="27CFE18A"/>
    <w:rsid w:val="27F868F4"/>
    <w:rsid w:val="27FCDB39"/>
    <w:rsid w:val="27FFA76F"/>
    <w:rsid w:val="280B4FE8"/>
    <w:rsid w:val="28153F97"/>
    <w:rsid w:val="281A004B"/>
    <w:rsid w:val="2837AB5D"/>
    <w:rsid w:val="283A528B"/>
    <w:rsid w:val="2858CDAB"/>
    <w:rsid w:val="285CEA35"/>
    <w:rsid w:val="2866A688"/>
    <w:rsid w:val="287810F7"/>
    <w:rsid w:val="28A7C152"/>
    <w:rsid w:val="28B127B2"/>
    <w:rsid w:val="28BB637C"/>
    <w:rsid w:val="28BF4E5F"/>
    <w:rsid w:val="2903669E"/>
    <w:rsid w:val="290F142D"/>
    <w:rsid w:val="294DDBD8"/>
    <w:rsid w:val="29526D87"/>
    <w:rsid w:val="295F9250"/>
    <w:rsid w:val="29681E06"/>
    <w:rsid w:val="29697C0A"/>
    <w:rsid w:val="297FF32D"/>
    <w:rsid w:val="298FC9D9"/>
    <w:rsid w:val="29943955"/>
    <w:rsid w:val="299F03D0"/>
    <w:rsid w:val="29A5969D"/>
    <w:rsid w:val="29AD1118"/>
    <w:rsid w:val="29AF3B8B"/>
    <w:rsid w:val="29B35488"/>
    <w:rsid w:val="29B4FC12"/>
    <w:rsid w:val="29BE7169"/>
    <w:rsid w:val="29D93A75"/>
    <w:rsid w:val="29E86915"/>
    <w:rsid w:val="2A0903BE"/>
    <w:rsid w:val="2A34415A"/>
    <w:rsid w:val="2A44ECDF"/>
    <w:rsid w:val="2A52D9A2"/>
    <w:rsid w:val="2A61E414"/>
    <w:rsid w:val="2A66EF4D"/>
    <w:rsid w:val="2A8AC9D8"/>
    <w:rsid w:val="2ADA314F"/>
    <w:rsid w:val="2AF03308"/>
    <w:rsid w:val="2AF68D88"/>
    <w:rsid w:val="2B22D20F"/>
    <w:rsid w:val="2B23538F"/>
    <w:rsid w:val="2B3600E1"/>
    <w:rsid w:val="2B463775"/>
    <w:rsid w:val="2B4CE059"/>
    <w:rsid w:val="2B54A847"/>
    <w:rsid w:val="2B70D7EC"/>
    <w:rsid w:val="2B80C05E"/>
    <w:rsid w:val="2B84EE27"/>
    <w:rsid w:val="2B9BEB19"/>
    <w:rsid w:val="2BA33A0D"/>
    <w:rsid w:val="2BD10338"/>
    <w:rsid w:val="2C122C62"/>
    <w:rsid w:val="2C302E1D"/>
    <w:rsid w:val="2C41581A"/>
    <w:rsid w:val="2C791A28"/>
    <w:rsid w:val="2CA439B6"/>
    <w:rsid w:val="2CD1C346"/>
    <w:rsid w:val="2CD6ECB0"/>
    <w:rsid w:val="2D0541B2"/>
    <w:rsid w:val="2D110B1F"/>
    <w:rsid w:val="2D126B58"/>
    <w:rsid w:val="2D12C92E"/>
    <w:rsid w:val="2D39EA05"/>
    <w:rsid w:val="2D40CC5D"/>
    <w:rsid w:val="2D7BE4CF"/>
    <w:rsid w:val="2D863AB8"/>
    <w:rsid w:val="2D90B6AF"/>
    <w:rsid w:val="2DB0480F"/>
    <w:rsid w:val="2DB2D09B"/>
    <w:rsid w:val="2DD55D8F"/>
    <w:rsid w:val="2E0AD479"/>
    <w:rsid w:val="2E4C71C7"/>
    <w:rsid w:val="2E618E24"/>
    <w:rsid w:val="2E81667C"/>
    <w:rsid w:val="2E83DB9E"/>
    <w:rsid w:val="2E9682CC"/>
    <w:rsid w:val="2E9970B0"/>
    <w:rsid w:val="2EB4F01E"/>
    <w:rsid w:val="2EBD7708"/>
    <w:rsid w:val="2EC97226"/>
    <w:rsid w:val="2ED1E466"/>
    <w:rsid w:val="2ED792DE"/>
    <w:rsid w:val="2ED7B186"/>
    <w:rsid w:val="2EEB50B0"/>
    <w:rsid w:val="2F005508"/>
    <w:rsid w:val="2F336A75"/>
    <w:rsid w:val="2F3C79F0"/>
    <w:rsid w:val="2F4772FA"/>
    <w:rsid w:val="2F4EBE4A"/>
    <w:rsid w:val="2F55354A"/>
    <w:rsid w:val="2F66FE7C"/>
    <w:rsid w:val="2F6C6AD9"/>
    <w:rsid w:val="2FAE663A"/>
    <w:rsid w:val="2FBF24DA"/>
    <w:rsid w:val="2FC1DEB5"/>
    <w:rsid w:val="2FC37F29"/>
    <w:rsid w:val="2FC6D54E"/>
    <w:rsid w:val="2FD2D413"/>
    <w:rsid w:val="2FD73026"/>
    <w:rsid w:val="2FDD4A35"/>
    <w:rsid w:val="2FF4DDC7"/>
    <w:rsid w:val="2FF8E109"/>
    <w:rsid w:val="300EC7B5"/>
    <w:rsid w:val="3018C27E"/>
    <w:rsid w:val="302CE370"/>
    <w:rsid w:val="3064563B"/>
    <w:rsid w:val="30648DD2"/>
    <w:rsid w:val="30782C38"/>
    <w:rsid w:val="308796FD"/>
    <w:rsid w:val="30AA9CE7"/>
    <w:rsid w:val="30B169C2"/>
    <w:rsid w:val="30B41A3B"/>
    <w:rsid w:val="30D84892"/>
    <w:rsid w:val="30D9C9B7"/>
    <w:rsid w:val="30E59D85"/>
    <w:rsid w:val="30E77A7F"/>
    <w:rsid w:val="311B49F2"/>
    <w:rsid w:val="3148008D"/>
    <w:rsid w:val="3155CA56"/>
    <w:rsid w:val="3159333F"/>
    <w:rsid w:val="315D5B7B"/>
    <w:rsid w:val="3164073E"/>
    <w:rsid w:val="316BCD86"/>
    <w:rsid w:val="3183BF53"/>
    <w:rsid w:val="3185F18B"/>
    <w:rsid w:val="318A564F"/>
    <w:rsid w:val="318B830B"/>
    <w:rsid w:val="319DAC85"/>
    <w:rsid w:val="31ACAAF7"/>
    <w:rsid w:val="31B1EEF8"/>
    <w:rsid w:val="31EB5A48"/>
    <w:rsid w:val="32098528"/>
    <w:rsid w:val="32099420"/>
    <w:rsid w:val="32136615"/>
    <w:rsid w:val="322078F2"/>
    <w:rsid w:val="32340205"/>
    <w:rsid w:val="323503A1"/>
    <w:rsid w:val="3243A92C"/>
    <w:rsid w:val="324D4D27"/>
    <w:rsid w:val="32556A80"/>
    <w:rsid w:val="32688752"/>
    <w:rsid w:val="327FB363"/>
    <w:rsid w:val="327FEF7F"/>
    <w:rsid w:val="3284572C"/>
    <w:rsid w:val="328A33B2"/>
    <w:rsid w:val="328E2FC1"/>
    <w:rsid w:val="32908ADB"/>
    <w:rsid w:val="32985735"/>
    <w:rsid w:val="32EAFE1D"/>
    <w:rsid w:val="32ECBDEA"/>
    <w:rsid w:val="32F656B4"/>
    <w:rsid w:val="33079DE7"/>
    <w:rsid w:val="330F7F11"/>
    <w:rsid w:val="3313AFC1"/>
    <w:rsid w:val="33164125"/>
    <w:rsid w:val="333E62C3"/>
    <w:rsid w:val="3342E9C1"/>
    <w:rsid w:val="336FC650"/>
    <w:rsid w:val="33A55589"/>
    <w:rsid w:val="33A6FCFE"/>
    <w:rsid w:val="33BDBC35"/>
    <w:rsid w:val="33CA6DAB"/>
    <w:rsid w:val="33CABA22"/>
    <w:rsid w:val="33CADC25"/>
    <w:rsid w:val="33D791E8"/>
    <w:rsid w:val="33F0BA45"/>
    <w:rsid w:val="33FE7D41"/>
    <w:rsid w:val="33FF22E8"/>
    <w:rsid w:val="3416428B"/>
    <w:rsid w:val="342ED609"/>
    <w:rsid w:val="3430E914"/>
    <w:rsid w:val="34476CE6"/>
    <w:rsid w:val="346EAA7E"/>
    <w:rsid w:val="3475DAB1"/>
    <w:rsid w:val="34A58EC3"/>
    <w:rsid w:val="34B7A74B"/>
    <w:rsid w:val="34B8383F"/>
    <w:rsid w:val="34C52FCE"/>
    <w:rsid w:val="34D93F5C"/>
    <w:rsid w:val="34DE1C2F"/>
    <w:rsid w:val="34E6D541"/>
    <w:rsid w:val="34FD5675"/>
    <w:rsid w:val="35103019"/>
    <w:rsid w:val="35284E73"/>
    <w:rsid w:val="352C17B0"/>
    <w:rsid w:val="3539012C"/>
    <w:rsid w:val="353BCB05"/>
    <w:rsid w:val="3544C323"/>
    <w:rsid w:val="3557331D"/>
    <w:rsid w:val="3561D6C5"/>
    <w:rsid w:val="3568C89A"/>
    <w:rsid w:val="3574A1FB"/>
    <w:rsid w:val="359437D9"/>
    <w:rsid w:val="3597B0C4"/>
    <w:rsid w:val="359CC37D"/>
    <w:rsid w:val="35AC9E7C"/>
    <w:rsid w:val="35AEB6E5"/>
    <w:rsid w:val="35BF06AD"/>
    <w:rsid w:val="35C0C862"/>
    <w:rsid w:val="35C7AE79"/>
    <w:rsid w:val="35CA0476"/>
    <w:rsid w:val="35CE5D35"/>
    <w:rsid w:val="35D0654D"/>
    <w:rsid w:val="35D1672B"/>
    <w:rsid w:val="35DB33E9"/>
    <w:rsid w:val="35DEC756"/>
    <w:rsid w:val="36196C42"/>
    <w:rsid w:val="3645873D"/>
    <w:rsid w:val="3646A005"/>
    <w:rsid w:val="3646F648"/>
    <w:rsid w:val="364EDF82"/>
    <w:rsid w:val="3664940A"/>
    <w:rsid w:val="36789436"/>
    <w:rsid w:val="367FA46F"/>
    <w:rsid w:val="3683684D"/>
    <w:rsid w:val="368B1A0D"/>
    <w:rsid w:val="368E66D0"/>
    <w:rsid w:val="368F9300"/>
    <w:rsid w:val="3698FE61"/>
    <w:rsid w:val="36AA771F"/>
    <w:rsid w:val="36B5BBDA"/>
    <w:rsid w:val="36C4A14B"/>
    <w:rsid w:val="36F01260"/>
    <w:rsid w:val="36FBDD18"/>
    <w:rsid w:val="36FC4787"/>
    <w:rsid w:val="37023475"/>
    <w:rsid w:val="3727714D"/>
    <w:rsid w:val="375EB43B"/>
    <w:rsid w:val="3760CEF9"/>
    <w:rsid w:val="3764F492"/>
    <w:rsid w:val="377B7F3A"/>
    <w:rsid w:val="378063E0"/>
    <w:rsid w:val="3781D13B"/>
    <w:rsid w:val="3797DFE6"/>
    <w:rsid w:val="37A8730C"/>
    <w:rsid w:val="37A8C41B"/>
    <w:rsid w:val="37AFD953"/>
    <w:rsid w:val="37B083CF"/>
    <w:rsid w:val="37B606EC"/>
    <w:rsid w:val="37B83D27"/>
    <w:rsid w:val="37C24939"/>
    <w:rsid w:val="37D846BB"/>
    <w:rsid w:val="37EAAFE3"/>
    <w:rsid w:val="380ED300"/>
    <w:rsid w:val="3820DE71"/>
    <w:rsid w:val="383415BB"/>
    <w:rsid w:val="3847DBA0"/>
    <w:rsid w:val="384BA97B"/>
    <w:rsid w:val="384E1D86"/>
    <w:rsid w:val="38B1B66A"/>
    <w:rsid w:val="38BDE0CB"/>
    <w:rsid w:val="38BE554A"/>
    <w:rsid w:val="38C0B925"/>
    <w:rsid w:val="38E8472B"/>
    <w:rsid w:val="38FF6F64"/>
    <w:rsid w:val="39024FB1"/>
    <w:rsid w:val="39254179"/>
    <w:rsid w:val="392B1DA3"/>
    <w:rsid w:val="393D038C"/>
    <w:rsid w:val="39562F4E"/>
    <w:rsid w:val="39724884"/>
    <w:rsid w:val="3984DC20"/>
    <w:rsid w:val="39D27064"/>
    <w:rsid w:val="39D44C6B"/>
    <w:rsid w:val="39E34225"/>
    <w:rsid w:val="39E5218D"/>
    <w:rsid w:val="3A37A433"/>
    <w:rsid w:val="3A3F36AF"/>
    <w:rsid w:val="3A5706ED"/>
    <w:rsid w:val="3A7AEAB4"/>
    <w:rsid w:val="3A9338C3"/>
    <w:rsid w:val="3A97D86F"/>
    <w:rsid w:val="3AA1EBAE"/>
    <w:rsid w:val="3ABDF6E7"/>
    <w:rsid w:val="3AE06392"/>
    <w:rsid w:val="3AEE596D"/>
    <w:rsid w:val="3AFA2622"/>
    <w:rsid w:val="3AFFD003"/>
    <w:rsid w:val="3B07A735"/>
    <w:rsid w:val="3B2A317C"/>
    <w:rsid w:val="3B3E02C3"/>
    <w:rsid w:val="3B5CC199"/>
    <w:rsid w:val="3B5E30B2"/>
    <w:rsid w:val="3B68C879"/>
    <w:rsid w:val="3B86B1DD"/>
    <w:rsid w:val="3B8DDFEC"/>
    <w:rsid w:val="3B9F08BE"/>
    <w:rsid w:val="3BB1BA0E"/>
    <w:rsid w:val="3BB73B20"/>
    <w:rsid w:val="3BC9B7FB"/>
    <w:rsid w:val="3BCF5EFE"/>
    <w:rsid w:val="3BDA0E18"/>
    <w:rsid w:val="3BFB120C"/>
    <w:rsid w:val="3C0873D6"/>
    <w:rsid w:val="3C10C4B6"/>
    <w:rsid w:val="3C123B3A"/>
    <w:rsid w:val="3C1D2D79"/>
    <w:rsid w:val="3C4E7152"/>
    <w:rsid w:val="3C66AAC4"/>
    <w:rsid w:val="3C6FE2A9"/>
    <w:rsid w:val="3C99BE4A"/>
    <w:rsid w:val="3C9CED06"/>
    <w:rsid w:val="3CB637CC"/>
    <w:rsid w:val="3CB903FE"/>
    <w:rsid w:val="3CBCD6F6"/>
    <w:rsid w:val="3CC47E1F"/>
    <w:rsid w:val="3CC482BF"/>
    <w:rsid w:val="3CC49B5A"/>
    <w:rsid w:val="3CC6E71A"/>
    <w:rsid w:val="3CFCD867"/>
    <w:rsid w:val="3D03935A"/>
    <w:rsid w:val="3D0DD2C5"/>
    <w:rsid w:val="3D17CB75"/>
    <w:rsid w:val="3D17F369"/>
    <w:rsid w:val="3D1A4E87"/>
    <w:rsid w:val="3D25FAC0"/>
    <w:rsid w:val="3D3D2536"/>
    <w:rsid w:val="3D6DE3BE"/>
    <w:rsid w:val="3D74C39A"/>
    <w:rsid w:val="3D781460"/>
    <w:rsid w:val="3D798FA3"/>
    <w:rsid w:val="3D809332"/>
    <w:rsid w:val="3D85AA13"/>
    <w:rsid w:val="3D93FE09"/>
    <w:rsid w:val="3DB6AAF0"/>
    <w:rsid w:val="3DB7C6D7"/>
    <w:rsid w:val="3DC42682"/>
    <w:rsid w:val="3DCAA102"/>
    <w:rsid w:val="3DCDF5BF"/>
    <w:rsid w:val="3DF13D1E"/>
    <w:rsid w:val="3DF3EE55"/>
    <w:rsid w:val="3E1053EA"/>
    <w:rsid w:val="3E360F60"/>
    <w:rsid w:val="3E3DA009"/>
    <w:rsid w:val="3E416947"/>
    <w:rsid w:val="3E4CD42B"/>
    <w:rsid w:val="3E51EC03"/>
    <w:rsid w:val="3E531BC9"/>
    <w:rsid w:val="3E544C7B"/>
    <w:rsid w:val="3E55E05F"/>
    <w:rsid w:val="3E74A766"/>
    <w:rsid w:val="3E75A385"/>
    <w:rsid w:val="3E78C438"/>
    <w:rsid w:val="3E7A1EC6"/>
    <w:rsid w:val="3E98A8C8"/>
    <w:rsid w:val="3EB83770"/>
    <w:rsid w:val="3ED004F3"/>
    <w:rsid w:val="3ED28C6B"/>
    <w:rsid w:val="3EE38E52"/>
    <w:rsid w:val="3EF50314"/>
    <w:rsid w:val="3F0D6ACA"/>
    <w:rsid w:val="3F18D217"/>
    <w:rsid w:val="3F2A975E"/>
    <w:rsid w:val="3F349049"/>
    <w:rsid w:val="3F399E09"/>
    <w:rsid w:val="3F53F2D9"/>
    <w:rsid w:val="3F5F014E"/>
    <w:rsid w:val="3F6234B0"/>
    <w:rsid w:val="3F71DBF0"/>
    <w:rsid w:val="3F731E88"/>
    <w:rsid w:val="3F769CC9"/>
    <w:rsid w:val="3F8E852E"/>
    <w:rsid w:val="3FA13136"/>
    <w:rsid w:val="3FA91362"/>
    <w:rsid w:val="3FCCF892"/>
    <w:rsid w:val="3FDEE38F"/>
    <w:rsid w:val="3FE358A0"/>
    <w:rsid w:val="403275CA"/>
    <w:rsid w:val="40333CDA"/>
    <w:rsid w:val="40347929"/>
    <w:rsid w:val="404CA567"/>
    <w:rsid w:val="404D17ED"/>
    <w:rsid w:val="407F5EB3"/>
    <w:rsid w:val="4086BAE0"/>
    <w:rsid w:val="409CA0E5"/>
    <w:rsid w:val="40B52B36"/>
    <w:rsid w:val="40C71D62"/>
    <w:rsid w:val="40CA9D38"/>
    <w:rsid w:val="40CBF835"/>
    <w:rsid w:val="40EE4AF0"/>
    <w:rsid w:val="410EB225"/>
    <w:rsid w:val="41139792"/>
    <w:rsid w:val="41197795"/>
    <w:rsid w:val="411C5CAF"/>
    <w:rsid w:val="4124B85F"/>
    <w:rsid w:val="4131F5C1"/>
    <w:rsid w:val="413888D4"/>
    <w:rsid w:val="413E508F"/>
    <w:rsid w:val="4142DD24"/>
    <w:rsid w:val="41543341"/>
    <w:rsid w:val="41D13CAE"/>
    <w:rsid w:val="41E7156F"/>
    <w:rsid w:val="41E98EA7"/>
    <w:rsid w:val="41F27A63"/>
    <w:rsid w:val="41FF7D25"/>
    <w:rsid w:val="420F40AF"/>
    <w:rsid w:val="421DB8EE"/>
    <w:rsid w:val="4226DD05"/>
    <w:rsid w:val="423CC20E"/>
    <w:rsid w:val="4248C7BB"/>
    <w:rsid w:val="426370F1"/>
    <w:rsid w:val="427DD161"/>
    <w:rsid w:val="4289BDDA"/>
    <w:rsid w:val="429797A5"/>
    <w:rsid w:val="42A588B3"/>
    <w:rsid w:val="42AA0FB1"/>
    <w:rsid w:val="42D89B8B"/>
    <w:rsid w:val="42E7387A"/>
    <w:rsid w:val="4303D883"/>
    <w:rsid w:val="430BFB45"/>
    <w:rsid w:val="431E243D"/>
    <w:rsid w:val="43248825"/>
    <w:rsid w:val="432773B8"/>
    <w:rsid w:val="4344505A"/>
    <w:rsid w:val="437B5576"/>
    <w:rsid w:val="43910AA5"/>
    <w:rsid w:val="439C35A2"/>
    <w:rsid w:val="43A30139"/>
    <w:rsid w:val="43C32C1B"/>
    <w:rsid w:val="43C7FC8C"/>
    <w:rsid w:val="43D95409"/>
    <w:rsid w:val="43EA0E2D"/>
    <w:rsid w:val="442A55A7"/>
    <w:rsid w:val="4433AC16"/>
    <w:rsid w:val="447264EF"/>
    <w:rsid w:val="448308DB"/>
    <w:rsid w:val="449A6C3E"/>
    <w:rsid w:val="449CE5B6"/>
    <w:rsid w:val="44A4148E"/>
    <w:rsid w:val="44BCF7B6"/>
    <w:rsid w:val="44C40FEF"/>
    <w:rsid w:val="44E03803"/>
    <w:rsid w:val="44E07D8C"/>
    <w:rsid w:val="44E37020"/>
    <w:rsid w:val="44F6D3EC"/>
    <w:rsid w:val="44FC2381"/>
    <w:rsid w:val="4509AC7E"/>
    <w:rsid w:val="4517FC2E"/>
    <w:rsid w:val="45273102"/>
    <w:rsid w:val="453FDCC6"/>
    <w:rsid w:val="4540F19D"/>
    <w:rsid w:val="454259D9"/>
    <w:rsid w:val="4556C4FA"/>
    <w:rsid w:val="456ABEFD"/>
    <w:rsid w:val="45708FB9"/>
    <w:rsid w:val="45767322"/>
    <w:rsid w:val="459B073B"/>
    <w:rsid w:val="45AC8550"/>
    <w:rsid w:val="45EF4E70"/>
    <w:rsid w:val="46017AEC"/>
    <w:rsid w:val="460BA311"/>
    <w:rsid w:val="4631E6E8"/>
    <w:rsid w:val="46529A24"/>
    <w:rsid w:val="46907113"/>
    <w:rsid w:val="46A5382F"/>
    <w:rsid w:val="46A9CD08"/>
    <w:rsid w:val="46ACE21B"/>
    <w:rsid w:val="46B9A87C"/>
    <w:rsid w:val="46BB27AC"/>
    <w:rsid w:val="46C0112B"/>
    <w:rsid w:val="46C94309"/>
    <w:rsid w:val="46F53316"/>
    <w:rsid w:val="46FAF00E"/>
    <w:rsid w:val="46FDD26D"/>
    <w:rsid w:val="46FDD2C9"/>
    <w:rsid w:val="471EA307"/>
    <w:rsid w:val="471F24BE"/>
    <w:rsid w:val="4720BE07"/>
    <w:rsid w:val="4721AEEF"/>
    <w:rsid w:val="473FC0EF"/>
    <w:rsid w:val="4756662C"/>
    <w:rsid w:val="477B9CEB"/>
    <w:rsid w:val="478ADE01"/>
    <w:rsid w:val="479590A8"/>
    <w:rsid w:val="47BD7A77"/>
    <w:rsid w:val="47BF6399"/>
    <w:rsid w:val="47CDA767"/>
    <w:rsid w:val="47EB6FAD"/>
    <w:rsid w:val="47EF9DDB"/>
    <w:rsid w:val="48036DB1"/>
    <w:rsid w:val="482BA126"/>
    <w:rsid w:val="482E332F"/>
    <w:rsid w:val="483303F8"/>
    <w:rsid w:val="483BF9CC"/>
    <w:rsid w:val="48459D69"/>
    <w:rsid w:val="4851215C"/>
    <w:rsid w:val="48513ECB"/>
    <w:rsid w:val="48541B30"/>
    <w:rsid w:val="487A4D9A"/>
    <w:rsid w:val="487D5448"/>
    <w:rsid w:val="487E0CF9"/>
    <w:rsid w:val="48884384"/>
    <w:rsid w:val="4898708D"/>
    <w:rsid w:val="489ADA3B"/>
    <w:rsid w:val="48AC557B"/>
    <w:rsid w:val="48BA54FE"/>
    <w:rsid w:val="48CBCD6A"/>
    <w:rsid w:val="48CF1A6B"/>
    <w:rsid w:val="48E6F587"/>
    <w:rsid w:val="48ED62D6"/>
    <w:rsid w:val="4919BEF8"/>
    <w:rsid w:val="491B268B"/>
    <w:rsid w:val="491C21C1"/>
    <w:rsid w:val="491F793C"/>
    <w:rsid w:val="494408F3"/>
    <w:rsid w:val="49743D64"/>
    <w:rsid w:val="49AC2142"/>
    <w:rsid w:val="49C0B5BC"/>
    <w:rsid w:val="49C57C88"/>
    <w:rsid w:val="49CC2237"/>
    <w:rsid w:val="49DDCB63"/>
    <w:rsid w:val="49F89E5E"/>
    <w:rsid w:val="4A05D137"/>
    <w:rsid w:val="4A186CD4"/>
    <w:rsid w:val="4A519CA9"/>
    <w:rsid w:val="4A5600D5"/>
    <w:rsid w:val="4A56C580"/>
    <w:rsid w:val="4A7B517D"/>
    <w:rsid w:val="4A7BEC03"/>
    <w:rsid w:val="4A906B4D"/>
    <w:rsid w:val="4A9115DA"/>
    <w:rsid w:val="4ABA77AE"/>
    <w:rsid w:val="4ABBF3F9"/>
    <w:rsid w:val="4ACE3D45"/>
    <w:rsid w:val="4AE9A187"/>
    <w:rsid w:val="4AE9ED81"/>
    <w:rsid w:val="4AFC3D19"/>
    <w:rsid w:val="4B12F91F"/>
    <w:rsid w:val="4B187196"/>
    <w:rsid w:val="4B21F791"/>
    <w:rsid w:val="4B22E7B7"/>
    <w:rsid w:val="4B277AAE"/>
    <w:rsid w:val="4B394682"/>
    <w:rsid w:val="4B5830B0"/>
    <w:rsid w:val="4B5BB9AA"/>
    <w:rsid w:val="4B6E5A8F"/>
    <w:rsid w:val="4B792F84"/>
    <w:rsid w:val="4B7F5ADB"/>
    <w:rsid w:val="4BB3B182"/>
    <w:rsid w:val="4BC961F9"/>
    <w:rsid w:val="4BDEF13B"/>
    <w:rsid w:val="4BF12ADA"/>
    <w:rsid w:val="4BFE5733"/>
    <w:rsid w:val="4C0738BC"/>
    <w:rsid w:val="4C147890"/>
    <w:rsid w:val="4C2CE63B"/>
    <w:rsid w:val="4C3A65D9"/>
    <w:rsid w:val="4C3C43E8"/>
    <w:rsid w:val="4C44FA1D"/>
    <w:rsid w:val="4C539F8C"/>
    <w:rsid w:val="4C89D3CC"/>
    <w:rsid w:val="4CA18B3E"/>
    <w:rsid w:val="4CA423A8"/>
    <w:rsid w:val="4CAFED73"/>
    <w:rsid w:val="4CC04074"/>
    <w:rsid w:val="4CD9E3C8"/>
    <w:rsid w:val="4D015192"/>
    <w:rsid w:val="4D0619DB"/>
    <w:rsid w:val="4D198DE7"/>
    <w:rsid w:val="4D2AAED3"/>
    <w:rsid w:val="4D31C6F2"/>
    <w:rsid w:val="4D46CDE7"/>
    <w:rsid w:val="4D5596A8"/>
    <w:rsid w:val="4D5677AC"/>
    <w:rsid w:val="4D6B1CC9"/>
    <w:rsid w:val="4D6DFE5E"/>
    <w:rsid w:val="4D7B23ED"/>
    <w:rsid w:val="4D8B8F25"/>
    <w:rsid w:val="4DBA41B9"/>
    <w:rsid w:val="4DC2C844"/>
    <w:rsid w:val="4DCD46B0"/>
    <w:rsid w:val="4DE02F92"/>
    <w:rsid w:val="4DF86A2A"/>
    <w:rsid w:val="4DFE51B9"/>
    <w:rsid w:val="4E1059F6"/>
    <w:rsid w:val="4E185673"/>
    <w:rsid w:val="4E1D3B5B"/>
    <w:rsid w:val="4E220B8C"/>
    <w:rsid w:val="4E439ACB"/>
    <w:rsid w:val="4E45A067"/>
    <w:rsid w:val="4E4751C6"/>
    <w:rsid w:val="4E821E90"/>
    <w:rsid w:val="4E961DE7"/>
    <w:rsid w:val="4E9BB690"/>
    <w:rsid w:val="4EA61E82"/>
    <w:rsid w:val="4EEDE278"/>
    <w:rsid w:val="4EFB2FEC"/>
    <w:rsid w:val="4F026EA2"/>
    <w:rsid w:val="4F170412"/>
    <w:rsid w:val="4F1C86F3"/>
    <w:rsid w:val="4F44F653"/>
    <w:rsid w:val="4F4618DB"/>
    <w:rsid w:val="4F6661E5"/>
    <w:rsid w:val="4F7523BC"/>
    <w:rsid w:val="4F7EFFC6"/>
    <w:rsid w:val="4FA19366"/>
    <w:rsid w:val="4FA8196E"/>
    <w:rsid w:val="4FA98FD5"/>
    <w:rsid w:val="4FAFD7DB"/>
    <w:rsid w:val="4FB34ACE"/>
    <w:rsid w:val="4FC4EF89"/>
    <w:rsid w:val="4FD8C690"/>
    <w:rsid w:val="4FDC2E4E"/>
    <w:rsid w:val="4FE25B8B"/>
    <w:rsid w:val="4FF166BD"/>
    <w:rsid w:val="4FF3B877"/>
    <w:rsid w:val="5023D94D"/>
    <w:rsid w:val="503D4469"/>
    <w:rsid w:val="503F3BB1"/>
    <w:rsid w:val="504C6D48"/>
    <w:rsid w:val="50654118"/>
    <w:rsid w:val="506E3979"/>
    <w:rsid w:val="5088D07C"/>
    <w:rsid w:val="508DE11A"/>
    <w:rsid w:val="509843B0"/>
    <w:rsid w:val="5099AB95"/>
    <w:rsid w:val="50AD889D"/>
    <w:rsid w:val="50BB00B1"/>
    <w:rsid w:val="50BD9B78"/>
    <w:rsid w:val="50C4F2CE"/>
    <w:rsid w:val="50C8C0DF"/>
    <w:rsid w:val="50C8D438"/>
    <w:rsid w:val="50E061CF"/>
    <w:rsid w:val="50FBC6F3"/>
    <w:rsid w:val="51023246"/>
    <w:rsid w:val="51209156"/>
    <w:rsid w:val="5125B99F"/>
    <w:rsid w:val="513C4D1C"/>
    <w:rsid w:val="514680AA"/>
    <w:rsid w:val="5148DE06"/>
    <w:rsid w:val="514F1AD8"/>
    <w:rsid w:val="5176A7A1"/>
    <w:rsid w:val="51862341"/>
    <w:rsid w:val="51906FC7"/>
    <w:rsid w:val="51A49AFE"/>
    <w:rsid w:val="51AFF070"/>
    <w:rsid w:val="51BF11F3"/>
    <w:rsid w:val="51CCF55B"/>
    <w:rsid w:val="51DDFC0F"/>
    <w:rsid w:val="51EB86B7"/>
    <w:rsid w:val="51FC16A1"/>
    <w:rsid w:val="52208CA2"/>
    <w:rsid w:val="52289020"/>
    <w:rsid w:val="5229A8E5"/>
    <w:rsid w:val="524542C0"/>
    <w:rsid w:val="526C15CA"/>
    <w:rsid w:val="527C9748"/>
    <w:rsid w:val="528254D5"/>
    <w:rsid w:val="5293BBD3"/>
    <w:rsid w:val="529519FD"/>
    <w:rsid w:val="529B6B31"/>
    <w:rsid w:val="529C4598"/>
    <w:rsid w:val="52B04F45"/>
    <w:rsid w:val="52B2113B"/>
    <w:rsid w:val="52C8D5E3"/>
    <w:rsid w:val="52D1C2DC"/>
    <w:rsid w:val="52FDBA00"/>
    <w:rsid w:val="5321BBD2"/>
    <w:rsid w:val="5325CF9F"/>
    <w:rsid w:val="53582489"/>
    <w:rsid w:val="536477A9"/>
    <w:rsid w:val="539E666F"/>
    <w:rsid w:val="53A2ED6D"/>
    <w:rsid w:val="53B6F44E"/>
    <w:rsid w:val="53CF7A60"/>
    <w:rsid w:val="53E0457A"/>
    <w:rsid w:val="54036E7E"/>
    <w:rsid w:val="5443CEF7"/>
    <w:rsid w:val="545B4893"/>
    <w:rsid w:val="54709204"/>
    <w:rsid w:val="54764637"/>
    <w:rsid w:val="5499B9D1"/>
    <w:rsid w:val="54B060A7"/>
    <w:rsid w:val="54CA6573"/>
    <w:rsid w:val="54DBACD4"/>
    <w:rsid w:val="54EFC28C"/>
    <w:rsid w:val="54FD436B"/>
    <w:rsid w:val="54FEC0FE"/>
    <w:rsid w:val="55103086"/>
    <w:rsid w:val="551728B4"/>
    <w:rsid w:val="551BBB40"/>
    <w:rsid w:val="552BE4C8"/>
    <w:rsid w:val="553A64F4"/>
    <w:rsid w:val="556100B6"/>
    <w:rsid w:val="556BF29A"/>
    <w:rsid w:val="557F2C6D"/>
    <w:rsid w:val="558635D2"/>
    <w:rsid w:val="55A3EFDE"/>
    <w:rsid w:val="55BFA378"/>
    <w:rsid w:val="55E145AD"/>
    <w:rsid w:val="55EA6D3C"/>
    <w:rsid w:val="55F0620D"/>
    <w:rsid w:val="55F637CD"/>
    <w:rsid w:val="5619B00E"/>
    <w:rsid w:val="569078CA"/>
    <w:rsid w:val="569B1EA9"/>
    <w:rsid w:val="56AFB541"/>
    <w:rsid w:val="56B5AD14"/>
    <w:rsid w:val="56C384CD"/>
    <w:rsid w:val="56E4E6C6"/>
    <w:rsid w:val="56E9A49B"/>
    <w:rsid w:val="56EEDC3D"/>
    <w:rsid w:val="56EF3BBF"/>
    <w:rsid w:val="571EECDD"/>
    <w:rsid w:val="572250E3"/>
    <w:rsid w:val="5737E332"/>
    <w:rsid w:val="573BCB07"/>
    <w:rsid w:val="5756C403"/>
    <w:rsid w:val="57A421B5"/>
    <w:rsid w:val="57A6B35C"/>
    <w:rsid w:val="57A9C47D"/>
    <w:rsid w:val="57C05439"/>
    <w:rsid w:val="57CFAB6D"/>
    <w:rsid w:val="57DC8F4C"/>
    <w:rsid w:val="57E2B55A"/>
    <w:rsid w:val="58155353"/>
    <w:rsid w:val="5824FD13"/>
    <w:rsid w:val="58303236"/>
    <w:rsid w:val="58374DA9"/>
    <w:rsid w:val="583F3508"/>
    <w:rsid w:val="58534EBE"/>
    <w:rsid w:val="58699AB3"/>
    <w:rsid w:val="589F262E"/>
    <w:rsid w:val="58A40477"/>
    <w:rsid w:val="58B1C83D"/>
    <w:rsid w:val="58B8EB8B"/>
    <w:rsid w:val="58C8B321"/>
    <w:rsid w:val="58E30EF6"/>
    <w:rsid w:val="590535A9"/>
    <w:rsid w:val="5911BA16"/>
    <w:rsid w:val="59159C4D"/>
    <w:rsid w:val="5917401A"/>
    <w:rsid w:val="59185771"/>
    <w:rsid w:val="5919C480"/>
    <w:rsid w:val="59227B54"/>
    <w:rsid w:val="59358CA0"/>
    <w:rsid w:val="5950B68B"/>
    <w:rsid w:val="59727AE6"/>
    <w:rsid w:val="59752E4E"/>
    <w:rsid w:val="5990FD56"/>
    <w:rsid w:val="59B778E1"/>
    <w:rsid w:val="59BEBE95"/>
    <w:rsid w:val="59C7AA09"/>
    <w:rsid w:val="59FB258F"/>
    <w:rsid w:val="5A00A2BA"/>
    <w:rsid w:val="5A321BC1"/>
    <w:rsid w:val="5A701F6E"/>
    <w:rsid w:val="5A8BBE4A"/>
    <w:rsid w:val="5A92FC2B"/>
    <w:rsid w:val="5AA46CB3"/>
    <w:rsid w:val="5AB68758"/>
    <w:rsid w:val="5AB70A99"/>
    <w:rsid w:val="5AC87F2C"/>
    <w:rsid w:val="5AD91771"/>
    <w:rsid w:val="5AF8C9CB"/>
    <w:rsid w:val="5B081CF3"/>
    <w:rsid w:val="5B1AFA18"/>
    <w:rsid w:val="5B2CECD4"/>
    <w:rsid w:val="5B317C04"/>
    <w:rsid w:val="5B3E3982"/>
    <w:rsid w:val="5B4C6918"/>
    <w:rsid w:val="5B53C0EE"/>
    <w:rsid w:val="5B57AF2A"/>
    <w:rsid w:val="5B6322E6"/>
    <w:rsid w:val="5B925A86"/>
    <w:rsid w:val="5BD37C7E"/>
    <w:rsid w:val="5BE5B5C0"/>
    <w:rsid w:val="5C0E9FB3"/>
    <w:rsid w:val="5C143DFA"/>
    <w:rsid w:val="5C1655E0"/>
    <w:rsid w:val="5C31DD33"/>
    <w:rsid w:val="5C329449"/>
    <w:rsid w:val="5C3B2037"/>
    <w:rsid w:val="5C44A6C0"/>
    <w:rsid w:val="5C4EE308"/>
    <w:rsid w:val="5C755611"/>
    <w:rsid w:val="5C8182AE"/>
    <w:rsid w:val="5C9674FF"/>
    <w:rsid w:val="5C9C503B"/>
    <w:rsid w:val="5CA9D932"/>
    <w:rsid w:val="5CB92D57"/>
    <w:rsid w:val="5CC9EF76"/>
    <w:rsid w:val="5CCF717B"/>
    <w:rsid w:val="5CD7E6E4"/>
    <w:rsid w:val="5CDEC4DD"/>
    <w:rsid w:val="5CE4DB40"/>
    <w:rsid w:val="5CE963B6"/>
    <w:rsid w:val="5CEF3372"/>
    <w:rsid w:val="5D0917D5"/>
    <w:rsid w:val="5D239C6A"/>
    <w:rsid w:val="5D23B4F7"/>
    <w:rsid w:val="5D3240FC"/>
    <w:rsid w:val="5D328BFF"/>
    <w:rsid w:val="5D36BB4F"/>
    <w:rsid w:val="5D390788"/>
    <w:rsid w:val="5D58193B"/>
    <w:rsid w:val="5D81E230"/>
    <w:rsid w:val="5D949496"/>
    <w:rsid w:val="5D97DE70"/>
    <w:rsid w:val="5DBF3970"/>
    <w:rsid w:val="5DC5077C"/>
    <w:rsid w:val="5DD188E0"/>
    <w:rsid w:val="5DEFD0A9"/>
    <w:rsid w:val="5E033FCE"/>
    <w:rsid w:val="5E0F3E44"/>
    <w:rsid w:val="5E150142"/>
    <w:rsid w:val="5E2DEBEF"/>
    <w:rsid w:val="5E45ED14"/>
    <w:rsid w:val="5E4F2882"/>
    <w:rsid w:val="5E5BCA52"/>
    <w:rsid w:val="5E5F445C"/>
    <w:rsid w:val="5E64A9E6"/>
    <w:rsid w:val="5E65ED92"/>
    <w:rsid w:val="5EB81B2F"/>
    <w:rsid w:val="5ED8C7E4"/>
    <w:rsid w:val="5ED9DB0B"/>
    <w:rsid w:val="5EF61343"/>
    <w:rsid w:val="5EF9AE84"/>
    <w:rsid w:val="5EFC2FE2"/>
    <w:rsid w:val="5EFDACF9"/>
    <w:rsid w:val="5F01EF46"/>
    <w:rsid w:val="5F2C241F"/>
    <w:rsid w:val="5F2DB48F"/>
    <w:rsid w:val="5F3BACB7"/>
    <w:rsid w:val="5F5A89DD"/>
    <w:rsid w:val="5F61448C"/>
    <w:rsid w:val="5F666D4E"/>
    <w:rsid w:val="5F707912"/>
    <w:rsid w:val="5F852DF8"/>
    <w:rsid w:val="5F8BA10A"/>
    <w:rsid w:val="5F90C30C"/>
    <w:rsid w:val="5F941221"/>
    <w:rsid w:val="5FD54CB4"/>
    <w:rsid w:val="5FE40FA3"/>
    <w:rsid w:val="5FF49617"/>
    <w:rsid w:val="5FF8CF23"/>
    <w:rsid w:val="5FF9284D"/>
    <w:rsid w:val="5FFB14BD"/>
    <w:rsid w:val="601113E5"/>
    <w:rsid w:val="602FD749"/>
    <w:rsid w:val="60422D5C"/>
    <w:rsid w:val="607FDC8F"/>
    <w:rsid w:val="609774FD"/>
    <w:rsid w:val="60A8BB99"/>
    <w:rsid w:val="60ABF188"/>
    <w:rsid w:val="60AC7C07"/>
    <w:rsid w:val="60C09A63"/>
    <w:rsid w:val="60C1CD62"/>
    <w:rsid w:val="60CA118F"/>
    <w:rsid w:val="60CA47C3"/>
    <w:rsid w:val="60CAEFF7"/>
    <w:rsid w:val="60CE218E"/>
    <w:rsid w:val="60E07CCB"/>
    <w:rsid w:val="60E61410"/>
    <w:rsid w:val="60E6D22F"/>
    <w:rsid w:val="60FC4952"/>
    <w:rsid w:val="61063921"/>
    <w:rsid w:val="61177324"/>
    <w:rsid w:val="61505A14"/>
    <w:rsid w:val="61695605"/>
    <w:rsid w:val="617B4811"/>
    <w:rsid w:val="618A3601"/>
    <w:rsid w:val="61937F4E"/>
    <w:rsid w:val="61D61A91"/>
    <w:rsid w:val="61EDDC6C"/>
    <w:rsid w:val="62146631"/>
    <w:rsid w:val="6217376D"/>
    <w:rsid w:val="621D961C"/>
    <w:rsid w:val="6221CDCD"/>
    <w:rsid w:val="623F5E66"/>
    <w:rsid w:val="623F6CB8"/>
    <w:rsid w:val="6245E374"/>
    <w:rsid w:val="624BFA28"/>
    <w:rsid w:val="6282A290"/>
    <w:rsid w:val="62964908"/>
    <w:rsid w:val="62B1FB87"/>
    <w:rsid w:val="62BC13F7"/>
    <w:rsid w:val="62C3F1F7"/>
    <w:rsid w:val="62D054B3"/>
    <w:rsid w:val="62D24CF1"/>
    <w:rsid w:val="62DB0678"/>
    <w:rsid w:val="62E51AE5"/>
    <w:rsid w:val="62FA9D84"/>
    <w:rsid w:val="631D9B0D"/>
    <w:rsid w:val="6333081D"/>
    <w:rsid w:val="633E7D48"/>
    <w:rsid w:val="6343F621"/>
    <w:rsid w:val="63496A89"/>
    <w:rsid w:val="635390C4"/>
    <w:rsid w:val="63554FA0"/>
    <w:rsid w:val="6372F450"/>
    <w:rsid w:val="638F0493"/>
    <w:rsid w:val="63AFAA05"/>
    <w:rsid w:val="63E11E15"/>
    <w:rsid w:val="63E64ECB"/>
    <w:rsid w:val="63F77098"/>
    <w:rsid w:val="6402AEF4"/>
    <w:rsid w:val="640C94F8"/>
    <w:rsid w:val="64240EC1"/>
    <w:rsid w:val="64250667"/>
    <w:rsid w:val="6437345A"/>
    <w:rsid w:val="645B8692"/>
    <w:rsid w:val="6460D204"/>
    <w:rsid w:val="6464203C"/>
    <w:rsid w:val="646A4E71"/>
    <w:rsid w:val="6485E527"/>
    <w:rsid w:val="64C11517"/>
    <w:rsid w:val="650C8B81"/>
    <w:rsid w:val="65392203"/>
    <w:rsid w:val="65466948"/>
    <w:rsid w:val="6547F9A5"/>
    <w:rsid w:val="654C8DEE"/>
    <w:rsid w:val="654D2FFF"/>
    <w:rsid w:val="6551932C"/>
    <w:rsid w:val="65632465"/>
    <w:rsid w:val="65794160"/>
    <w:rsid w:val="65801D0A"/>
    <w:rsid w:val="65850D2F"/>
    <w:rsid w:val="658ED815"/>
    <w:rsid w:val="658FC176"/>
    <w:rsid w:val="6596A1CC"/>
    <w:rsid w:val="659C6490"/>
    <w:rsid w:val="65B60452"/>
    <w:rsid w:val="65CE70F1"/>
    <w:rsid w:val="65D676CE"/>
    <w:rsid w:val="65DAF6F8"/>
    <w:rsid w:val="65E03155"/>
    <w:rsid w:val="65E77115"/>
    <w:rsid w:val="661BE53F"/>
    <w:rsid w:val="66330DA1"/>
    <w:rsid w:val="664EF16B"/>
    <w:rsid w:val="666632F4"/>
    <w:rsid w:val="666A208B"/>
    <w:rsid w:val="66707093"/>
    <w:rsid w:val="66769E2C"/>
    <w:rsid w:val="66983630"/>
    <w:rsid w:val="66AB38A6"/>
    <w:rsid w:val="66BFC4B0"/>
    <w:rsid w:val="66C3FEE9"/>
    <w:rsid w:val="66CFBE2D"/>
    <w:rsid w:val="66EDFBB6"/>
    <w:rsid w:val="6703372A"/>
    <w:rsid w:val="670B47A5"/>
    <w:rsid w:val="670E5F3C"/>
    <w:rsid w:val="670E67D5"/>
    <w:rsid w:val="672946B5"/>
    <w:rsid w:val="673497AD"/>
    <w:rsid w:val="674B09C6"/>
    <w:rsid w:val="674B194A"/>
    <w:rsid w:val="675613B3"/>
    <w:rsid w:val="675696E8"/>
    <w:rsid w:val="67623247"/>
    <w:rsid w:val="676A4152"/>
    <w:rsid w:val="67724DAA"/>
    <w:rsid w:val="677EA370"/>
    <w:rsid w:val="67A56405"/>
    <w:rsid w:val="67A8AAA1"/>
    <w:rsid w:val="67B4CE62"/>
    <w:rsid w:val="67BAEB84"/>
    <w:rsid w:val="68019CD6"/>
    <w:rsid w:val="68076E1B"/>
    <w:rsid w:val="681949F7"/>
    <w:rsid w:val="682701E7"/>
    <w:rsid w:val="686E1544"/>
    <w:rsid w:val="688F1B97"/>
    <w:rsid w:val="68923FAA"/>
    <w:rsid w:val="68961930"/>
    <w:rsid w:val="68B0768E"/>
    <w:rsid w:val="68C88929"/>
    <w:rsid w:val="68EB8B70"/>
    <w:rsid w:val="68F1E414"/>
    <w:rsid w:val="6904FA9B"/>
    <w:rsid w:val="690DFF39"/>
    <w:rsid w:val="690FEB0E"/>
    <w:rsid w:val="69176D7B"/>
    <w:rsid w:val="6930B845"/>
    <w:rsid w:val="693E2BA0"/>
    <w:rsid w:val="695703FA"/>
    <w:rsid w:val="697CF8C3"/>
    <w:rsid w:val="69870219"/>
    <w:rsid w:val="698BED56"/>
    <w:rsid w:val="6997C581"/>
    <w:rsid w:val="699F619B"/>
    <w:rsid w:val="69A542A4"/>
    <w:rsid w:val="69ABCCBF"/>
    <w:rsid w:val="69AE3F96"/>
    <w:rsid w:val="69E0AC49"/>
    <w:rsid w:val="69F94F4B"/>
    <w:rsid w:val="6A0B2105"/>
    <w:rsid w:val="6A1BF55D"/>
    <w:rsid w:val="6A21BB2E"/>
    <w:rsid w:val="6A2D4CDA"/>
    <w:rsid w:val="6A31C2C0"/>
    <w:rsid w:val="6A684969"/>
    <w:rsid w:val="6A75AB7A"/>
    <w:rsid w:val="6A7982B1"/>
    <w:rsid w:val="6A843132"/>
    <w:rsid w:val="6A96819F"/>
    <w:rsid w:val="6AA1E214"/>
    <w:rsid w:val="6AA9CF9A"/>
    <w:rsid w:val="6AD7B8A6"/>
    <w:rsid w:val="6AD80697"/>
    <w:rsid w:val="6AEC84C9"/>
    <w:rsid w:val="6AED9799"/>
    <w:rsid w:val="6B190522"/>
    <w:rsid w:val="6B1EE151"/>
    <w:rsid w:val="6B2A8DFE"/>
    <w:rsid w:val="6B5D0A13"/>
    <w:rsid w:val="6B7989E2"/>
    <w:rsid w:val="6B9BD21A"/>
    <w:rsid w:val="6BA9EB2F"/>
    <w:rsid w:val="6BAEBF7D"/>
    <w:rsid w:val="6BE1F50D"/>
    <w:rsid w:val="6BE21EDB"/>
    <w:rsid w:val="6BE2C549"/>
    <w:rsid w:val="6C0CF753"/>
    <w:rsid w:val="6C1004EC"/>
    <w:rsid w:val="6C2DE3F7"/>
    <w:rsid w:val="6C34DAF7"/>
    <w:rsid w:val="6C3DB275"/>
    <w:rsid w:val="6C3F5AE5"/>
    <w:rsid w:val="6C4211A5"/>
    <w:rsid w:val="6C44DF5C"/>
    <w:rsid w:val="6C5A16D9"/>
    <w:rsid w:val="6C5EA3F2"/>
    <w:rsid w:val="6C799E76"/>
    <w:rsid w:val="6C84B18B"/>
    <w:rsid w:val="6C91BA66"/>
    <w:rsid w:val="6CA226B1"/>
    <w:rsid w:val="6CB2741E"/>
    <w:rsid w:val="6CC3FC38"/>
    <w:rsid w:val="6CC9CE89"/>
    <w:rsid w:val="6CD10672"/>
    <w:rsid w:val="6CE05579"/>
    <w:rsid w:val="6CF0CC17"/>
    <w:rsid w:val="6D395B78"/>
    <w:rsid w:val="6D3C4E1D"/>
    <w:rsid w:val="6D45ABD6"/>
    <w:rsid w:val="6D63E0BB"/>
    <w:rsid w:val="6D7410BA"/>
    <w:rsid w:val="6DB59A54"/>
    <w:rsid w:val="6DC093DE"/>
    <w:rsid w:val="6DC55537"/>
    <w:rsid w:val="6DD96957"/>
    <w:rsid w:val="6DD982D6"/>
    <w:rsid w:val="6DE7AA02"/>
    <w:rsid w:val="6DF5BC03"/>
    <w:rsid w:val="6E01A17C"/>
    <w:rsid w:val="6E042CCB"/>
    <w:rsid w:val="6E0C85D1"/>
    <w:rsid w:val="6E0C9AB2"/>
    <w:rsid w:val="6E331567"/>
    <w:rsid w:val="6E377D5A"/>
    <w:rsid w:val="6E650F26"/>
    <w:rsid w:val="6E7990B5"/>
    <w:rsid w:val="6E7E09AF"/>
    <w:rsid w:val="6E83DA6F"/>
    <w:rsid w:val="6E8D9523"/>
    <w:rsid w:val="6EA0B4F9"/>
    <w:rsid w:val="6EAF9AD6"/>
    <w:rsid w:val="6EB67D32"/>
    <w:rsid w:val="6EBB5B4D"/>
    <w:rsid w:val="6EC3703E"/>
    <w:rsid w:val="6EC4E2BA"/>
    <w:rsid w:val="6EDD4568"/>
    <w:rsid w:val="6EDFF18F"/>
    <w:rsid w:val="6EFF21FA"/>
    <w:rsid w:val="6F0533E3"/>
    <w:rsid w:val="6F183AB3"/>
    <w:rsid w:val="6F35644B"/>
    <w:rsid w:val="6F47A19C"/>
    <w:rsid w:val="6F4CB306"/>
    <w:rsid w:val="6F61D740"/>
    <w:rsid w:val="6F8EA51C"/>
    <w:rsid w:val="6FA21D78"/>
    <w:rsid w:val="6FA84A1E"/>
    <w:rsid w:val="6FD40A2E"/>
    <w:rsid w:val="6FD9EB44"/>
    <w:rsid w:val="6FDCDA67"/>
    <w:rsid w:val="6FF3A749"/>
    <w:rsid w:val="70087516"/>
    <w:rsid w:val="704921EF"/>
    <w:rsid w:val="70568082"/>
    <w:rsid w:val="7066FD41"/>
    <w:rsid w:val="70886655"/>
    <w:rsid w:val="708DD873"/>
    <w:rsid w:val="709602CE"/>
    <w:rsid w:val="709C79E7"/>
    <w:rsid w:val="70A12CDE"/>
    <w:rsid w:val="70ABA8BE"/>
    <w:rsid w:val="70C0C883"/>
    <w:rsid w:val="70D1C3DD"/>
    <w:rsid w:val="70DFA8BA"/>
    <w:rsid w:val="70EF842A"/>
    <w:rsid w:val="710BAD44"/>
    <w:rsid w:val="710C57C0"/>
    <w:rsid w:val="7119111E"/>
    <w:rsid w:val="71223963"/>
    <w:rsid w:val="7124858B"/>
    <w:rsid w:val="71306F0C"/>
    <w:rsid w:val="7131FFF6"/>
    <w:rsid w:val="714069AE"/>
    <w:rsid w:val="71821083"/>
    <w:rsid w:val="719F37A8"/>
    <w:rsid w:val="71DE642C"/>
    <w:rsid w:val="71E896D3"/>
    <w:rsid w:val="71EBBE2E"/>
    <w:rsid w:val="71EC4341"/>
    <w:rsid w:val="71EF071F"/>
    <w:rsid w:val="71FDD7FD"/>
    <w:rsid w:val="721C01E0"/>
    <w:rsid w:val="7238CA61"/>
    <w:rsid w:val="723A0E1A"/>
    <w:rsid w:val="725D2568"/>
    <w:rsid w:val="725E0342"/>
    <w:rsid w:val="7289AC91"/>
    <w:rsid w:val="728CECB8"/>
    <w:rsid w:val="72B4E17F"/>
    <w:rsid w:val="72C23D9D"/>
    <w:rsid w:val="72C69229"/>
    <w:rsid w:val="72F9D7CE"/>
    <w:rsid w:val="7303FF28"/>
    <w:rsid w:val="730B5507"/>
    <w:rsid w:val="7310D12A"/>
    <w:rsid w:val="7313DDF7"/>
    <w:rsid w:val="7314C03B"/>
    <w:rsid w:val="732AD41B"/>
    <w:rsid w:val="732B1E2B"/>
    <w:rsid w:val="732B2B5F"/>
    <w:rsid w:val="734BB379"/>
    <w:rsid w:val="73743253"/>
    <w:rsid w:val="7384EDC6"/>
    <w:rsid w:val="73878E81"/>
    <w:rsid w:val="738960A6"/>
    <w:rsid w:val="73A3426A"/>
    <w:rsid w:val="73AA0E39"/>
    <w:rsid w:val="73C00717"/>
    <w:rsid w:val="73DC1436"/>
    <w:rsid w:val="73F47064"/>
    <w:rsid w:val="73F8B854"/>
    <w:rsid w:val="73FDBF9F"/>
    <w:rsid w:val="7415F943"/>
    <w:rsid w:val="74224508"/>
    <w:rsid w:val="743277D6"/>
    <w:rsid w:val="746592CC"/>
    <w:rsid w:val="749AD855"/>
    <w:rsid w:val="74A04B9F"/>
    <w:rsid w:val="74B338C3"/>
    <w:rsid w:val="74EED4F0"/>
    <w:rsid w:val="750489F0"/>
    <w:rsid w:val="7506C1BE"/>
    <w:rsid w:val="750743CB"/>
    <w:rsid w:val="75095518"/>
    <w:rsid w:val="7535E209"/>
    <w:rsid w:val="753D9CBE"/>
    <w:rsid w:val="755E0DFC"/>
    <w:rsid w:val="756447C7"/>
    <w:rsid w:val="7580CD87"/>
    <w:rsid w:val="75B0D228"/>
    <w:rsid w:val="75C49C5E"/>
    <w:rsid w:val="75D02134"/>
    <w:rsid w:val="75DFCE7C"/>
    <w:rsid w:val="75E50A8E"/>
    <w:rsid w:val="75EC8241"/>
    <w:rsid w:val="7632B413"/>
    <w:rsid w:val="7654255A"/>
    <w:rsid w:val="7657712F"/>
    <w:rsid w:val="7667EEFE"/>
    <w:rsid w:val="76770021"/>
    <w:rsid w:val="768F5A50"/>
    <w:rsid w:val="7696B443"/>
    <w:rsid w:val="76CE18F3"/>
    <w:rsid w:val="76D3260F"/>
    <w:rsid w:val="76E0B4FC"/>
    <w:rsid w:val="76E29831"/>
    <w:rsid w:val="76EC06C0"/>
    <w:rsid w:val="76ECD5D3"/>
    <w:rsid w:val="76FE261A"/>
    <w:rsid w:val="771075B9"/>
    <w:rsid w:val="772ABDBE"/>
    <w:rsid w:val="77333D64"/>
    <w:rsid w:val="77606CBF"/>
    <w:rsid w:val="77633A7B"/>
    <w:rsid w:val="77668DFC"/>
    <w:rsid w:val="776F2A45"/>
    <w:rsid w:val="7799B2EF"/>
    <w:rsid w:val="779FBD45"/>
    <w:rsid w:val="77A2060E"/>
    <w:rsid w:val="77A3027D"/>
    <w:rsid w:val="77C6EFA4"/>
    <w:rsid w:val="77D58DE0"/>
    <w:rsid w:val="77FB1BC2"/>
    <w:rsid w:val="7814AB8C"/>
    <w:rsid w:val="7830D5E3"/>
    <w:rsid w:val="78369A0F"/>
    <w:rsid w:val="783D422F"/>
    <w:rsid w:val="78425C68"/>
    <w:rsid w:val="7850D705"/>
    <w:rsid w:val="785644ED"/>
    <w:rsid w:val="785AFFB2"/>
    <w:rsid w:val="7867AACC"/>
    <w:rsid w:val="786DD147"/>
    <w:rsid w:val="787AF36C"/>
    <w:rsid w:val="78A1D067"/>
    <w:rsid w:val="78A2E211"/>
    <w:rsid w:val="78AA6609"/>
    <w:rsid w:val="78B75EBF"/>
    <w:rsid w:val="78BE08A1"/>
    <w:rsid w:val="78C68810"/>
    <w:rsid w:val="78CC9280"/>
    <w:rsid w:val="78DF3E32"/>
    <w:rsid w:val="78F8BDBB"/>
    <w:rsid w:val="7910CE23"/>
    <w:rsid w:val="792678D8"/>
    <w:rsid w:val="79643FD6"/>
    <w:rsid w:val="797282B1"/>
    <w:rsid w:val="799D349A"/>
    <w:rsid w:val="799E7C9F"/>
    <w:rsid w:val="79CCA644"/>
    <w:rsid w:val="79CEB6FA"/>
    <w:rsid w:val="79D0A6BA"/>
    <w:rsid w:val="7A4A43A8"/>
    <w:rsid w:val="7A4AA1CA"/>
    <w:rsid w:val="7A8398A1"/>
    <w:rsid w:val="7A84C9BE"/>
    <w:rsid w:val="7A89F939"/>
    <w:rsid w:val="7A96D08A"/>
    <w:rsid w:val="7A9C6787"/>
    <w:rsid w:val="7AAA8202"/>
    <w:rsid w:val="7AB88AF1"/>
    <w:rsid w:val="7ABB41E5"/>
    <w:rsid w:val="7ADE161B"/>
    <w:rsid w:val="7AE1E7CD"/>
    <w:rsid w:val="7AFE3BBE"/>
    <w:rsid w:val="7B2D4835"/>
    <w:rsid w:val="7B3063DF"/>
    <w:rsid w:val="7B317F4C"/>
    <w:rsid w:val="7B486C7D"/>
    <w:rsid w:val="7B4B4DEC"/>
    <w:rsid w:val="7B5A3851"/>
    <w:rsid w:val="7B8263EC"/>
    <w:rsid w:val="7B92C4BA"/>
    <w:rsid w:val="7BAB14DD"/>
    <w:rsid w:val="7BB78CAB"/>
    <w:rsid w:val="7BC538CB"/>
    <w:rsid w:val="7BC8877F"/>
    <w:rsid w:val="7BD8E7FE"/>
    <w:rsid w:val="7C00F6AB"/>
    <w:rsid w:val="7C2194DA"/>
    <w:rsid w:val="7C2350BD"/>
    <w:rsid w:val="7C44FE63"/>
    <w:rsid w:val="7C565390"/>
    <w:rsid w:val="7C6A4842"/>
    <w:rsid w:val="7C6BDA87"/>
    <w:rsid w:val="7C805C16"/>
    <w:rsid w:val="7C8C9F95"/>
    <w:rsid w:val="7C9AE568"/>
    <w:rsid w:val="7CAAB6F1"/>
    <w:rsid w:val="7CAEE6B4"/>
    <w:rsid w:val="7CB5BC3B"/>
    <w:rsid w:val="7CB9FBB3"/>
    <w:rsid w:val="7CBA0A75"/>
    <w:rsid w:val="7CBCD61E"/>
    <w:rsid w:val="7CBE2036"/>
    <w:rsid w:val="7CE2A2CC"/>
    <w:rsid w:val="7CE9E8A6"/>
    <w:rsid w:val="7CEBA81D"/>
    <w:rsid w:val="7CF767FF"/>
    <w:rsid w:val="7CFA1F76"/>
    <w:rsid w:val="7D0A2BC8"/>
    <w:rsid w:val="7D1A4336"/>
    <w:rsid w:val="7D7D98B0"/>
    <w:rsid w:val="7D7E87D9"/>
    <w:rsid w:val="7D8774D2"/>
    <w:rsid w:val="7D951092"/>
    <w:rsid w:val="7DA5F35A"/>
    <w:rsid w:val="7DCB425B"/>
    <w:rsid w:val="7DDDC7AF"/>
    <w:rsid w:val="7DE2272C"/>
    <w:rsid w:val="7DF687ED"/>
    <w:rsid w:val="7DF855A7"/>
    <w:rsid w:val="7DFFE87F"/>
    <w:rsid w:val="7E34CFF1"/>
    <w:rsid w:val="7E3C9095"/>
    <w:rsid w:val="7E5974C9"/>
    <w:rsid w:val="7E78D805"/>
    <w:rsid w:val="7E868D4E"/>
    <w:rsid w:val="7E98AA7B"/>
    <w:rsid w:val="7E9CC58E"/>
    <w:rsid w:val="7EC5DF71"/>
    <w:rsid w:val="7ED2D5E4"/>
    <w:rsid w:val="7ED86B0A"/>
    <w:rsid w:val="7EEED774"/>
    <w:rsid w:val="7EF1B3FD"/>
    <w:rsid w:val="7EFA8B22"/>
    <w:rsid w:val="7F0A4CB8"/>
    <w:rsid w:val="7F14E3EB"/>
    <w:rsid w:val="7F29DD68"/>
    <w:rsid w:val="7F3862A0"/>
    <w:rsid w:val="7F444EBC"/>
    <w:rsid w:val="7F52C30C"/>
    <w:rsid w:val="7F576F94"/>
    <w:rsid w:val="7F59D2F4"/>
    <w:rsid w:val="7F8C50A4"/>
    <w:rsid w:val="7FA0F90F"/>
    <w:rsid w:val="7FAC185B"/>
    <w:rsid w:val="7FAF6A6E"/>
    <w:rsid w:val="7FBC88BF"/>
    <w:rsid w:val="7FCF5088"/>
    <w:rsid w:val="7FD121AC"/>
    <w:rsid w:val="7FD4B527"/>
    <w:rsid w:val="7FE08B5F"/>
    <w:rsid w:val="7FE5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11490"/>
  <w15:chartTrackingRefBased/>
  <w15:docId w15:val="{F205666F-DA9E-46BC-8E17-FF30978F1517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66E0"/>
    <w:pPr>
      <w:spacing w:after="0" w:line="360" w:lineRule="auto"/>
      <w:ind w:firstLine="720"/>
    </w:pPr>
    <w:rPr>
      <w:rFonts w:ascii="Book Antiqua" w:hAnsi="Book Antiqua"/>
      <w:sz w:val="26"/>
    </w:rPr>
  </w:style>
  <w:style w:type="paragraph" w:styleId="Heading1">
    <w:name w:val="heading 1"/>
    <w:basedOn w:val="Dummy"/>
    <w:next w:val="Standard"/>
    <w:link w:val="Heading1Char"/>
    <w:uiPriority w:val="4"/>
    <w:qFormat/>
    <w:rsid w:val="002A4A7F"/>
    <w:pPr>
      <w:numPr>
        <w:numId w:val="11"/>
      </w:numPr>
      <w:ind w:right="2160"/>
    </w:pPr>
    <w:rPr>
      <w:rFonts w:eastAsiaTheme="majorEastAsia" w:cstheme="majorBidi"/>
      <w:szCs w:val="32"/>
    </w:rPr>
  </w:style>
  <w:style w:type="paragraph" w:styleId="Heading2">
    <w:name w:val="heading 2"/>
    <w:basedOn w:val="Dummy"/>
    <w:next w:val="Standard"/>
    <w:link w:val="Heading2Char"/>
    <w:uiPriority w:val="4"/>
    <w:qFormat/>
    <w:rsid w:val="00B223FE"/>
    <w:pPr>
      <w:numPr>
        <w:ilvl w:val="1"/>
        <w:numId w:val="11"/>
      </w:numPr>
      <w:outlineLvl w:val="1"/>
    </w:pPr>
  </w:style>
  <w:style w:type="paragraph" w:styleId="Heading3">
    <w:name w:val="heading 3"/>
    <w:basedOn w:val="Dummy"/>
    <w:next w:val="Standard"/>
    <w:link w:val="Heading3Char"/>
    <w:uiPriority w:val="4"/>
    <w:qFormat/>
    <w:rsid w:val="00947BC6"/>
    <w:pPr>
      <w:numPr>
        <w:ilvl w:val="2"/>
        <w:numId w:val="11"/>
      </w:numPr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Dummy"/>
    <w:next w:val="Standard"/>
    <w:link w:val="Heading4Char"/>
    <w:uiPriority w:val="4"/>
    <w:rsid w:val="00947BC6"/>
    <w:pPr>
      <w:numPr>
        <w:ilvl w:val="3"/>
        <w:numId w:val="11"/>
      </w:numPr>
      <w:outlineLvl w:val="3"/>
    </w:pPr>
    <w:rPr>
      <w:rFonts w:eastAsiaTheme="majorEastAsia" w:cstheme="majorBidi"/>
      <w:iCs/>
    </w:rPr>
  </w:style>
  <w:style w:type="paragraph" w:styleId="Heading5">
    <w:name w:val="heading 5"/>
    <w:basedOn w:val="Dummy"/>
    <w:next w:val="Standard"/>
    <w:link w:val="Heading5Char"/>
    <w:uiPriority w:val="4"/>
    <w:rsid w:val="00947BC6"/>
    <w:pPr>
      <w:numPr>
        <w:ilvl w:val="4"/>
        <w:numId w:val="11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Dummy"/>
    <w:next w:val="Standard"/>
    <w:link w:val="Heading6Char"/>
    <w:uiPriority w:val="4"/>
    <w:rsid w:val="00947BC6"/>
    <w:pPr>
      <w:numPr>
        <w:ilvl w:val="5"/>
        <w:numId w:val="11"/>
      </w:numPr>
      <w:spacing w:before="4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2A4A7F"/>
    <w:rPr>
      <w:rFonts w:ascii="Arial" w:eastAsiaTheme="majorEastAsia" w:hAnsi="Arial" w:cstheme="majorBidi"/>
      <w:b/>
      <w:sz w:val="26"/>
      <w:szCs w:val="32"/>
    </w:rPr>
  </w:style>
  <w:style w:type="paragraph" w:styleId="TOCHeading">
    <w:name w:val="TOC Heading"/>
    <w:next w:val="Normal"/>
    <w:uiPriority w:val="39"/>
    <w:unhideWhenUsed/>
    <w:rsid w:val="001E2A62"/>
    <w:pPr>
      <w:spacing w:line="240" w:lineRule="auto"/>
      <w:jc w:val="center"/>
    </w:pPr>
    <w:rPr>
      <w:rFonts w:ascii="Arial" w:eastAsiaTheme="majorEastAsia" w:hAnsi="Arial" w:cstheme="majorBidi"/>
      <w:b/>
      <w:sz w:val="26"/>
      <w:szCs w:val="32"/>
    </w:rPr>
  </w:style>
  <w:style w:type="paragraph" w:styleId="Title">
    <w:name w:val="Title"/>
    <w:basedOn w:val="Dummy"/>
    <w:next w:val="Normal"/>
    <w:link w:val="TitleChar"/>
    <w:uiPriority w:val="10"/>
    <w:semiHidden/>
    <w:rsid w:val="00121089"/>
    <w:pPr>
      <w:spacing w:after="0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017B"/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Dummy">
    <w:name w:val="Dummy"/>
    <w:next w:val="Normal"/>
    <w:uiPriority w:val="19"/>
    <w:rsid w:val="00F62B7A"/>
    <w:pPr>
      <w:keepNext/>
      <w:keepLines/>
      <w:spacing w:after="120" w:line="240" w:lineRule="auto"/>
      <w:outlineLvl w:val="0"/>
    </w:pPr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4"/>
    <w:rsid w:val="00B223FE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722850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7A406D"/>
    <w:rPr>
      <w:rFonts w:ascii="Arial" w:eastAsiaTheme="majorEastAsia" w:hAnsi="Arial" w:cstheme="majorBidi"/>
      <w:b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rsid w:val="008A179F"/>
    <w:rPr>
      <w:rFonts w:ascii="Arial" w:eastAsiaTheme="majorEastAsia" w:hAnsi="Arial" w:cstheme="majorBidi"/>
      <w:b/>
      <w:sz w:val="26"/>
      <w:szCs w:val="26"/>
    </w:rPr>
  </w:style>
  <w:style w:type="paragraph" w:customStyle="1" w:styleId="Main">
    <w:name w:val="Main"/>
    <w:next w:val="Normal"/>
    <w:uiPriority w:val="19"/>
    <w:rsid w:val="00F62B7A"/>
    <w:pPr>
      <w:spacing w:after="0" w:line="240" w:lineRule="auto"/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Mainex">
    <w:name w:val="Mainex"/>
    <w:basedOn w:val="Main"/>
    <w:next w:val="Normal"/>
    <w:uiPriority w:val="19"/>
    <w:rsid w:val="000A6E05"/>
    <w:pPr>
      <w:keepNext/>
      <w:spacing w:line="360" w:lineRule="auto"/>
      <w:outlineLvl w:val="0"/>
    </w:pPr>
    <w:rPr>
      <w:spacing w:val="120"/>
    </w:rPr>
  </w:style>
  <w:style w:type="paragraph" w:styleId="TOC2">
    <w:name w:val="toc 2"/>
    <w:basedOn w:val="Normal"/>
    <w:next w:val="Normal"/>
    <w:uiPriority w:val="39"/>
    <w:unhideWhenUsed/>
    <w:rsid w:val="00ED5725"/>
    <w:pPr>
      <w:spacing w:line="240" w:lineRule="auto"/>
      <w:ind w:left="864" w:hanging="648"/>
    </w:pPr>
    <w:rPr>
      <w:rFonts w:eastAsiaTheme="minorEastAsia" w:cs="Times New Roman"/>
    </w:rPr>
  </w:style>
  <w:style w:type="paragraph" w:styleId="TOC1">
    <w:name w:val="toc 1"/>
    <w:basedOn w:val="Normal"/>
    <w:next w:val="Normal"/>
    <w:uiPriority w:val="39"/>
    <w:unhideWhenUsed/>
    <w:rsid w:val="00ED5725"/>
    <w:pPr>
      <w:spacing w:line="240" w:lineRule="auto"/>
      <w:ind w:left="432" w:hanging="432"/>
    </w:pPr>
    <w:rPr>
      <w:rFonts w:eastAsiaTheme="minorEastAsia" w:cs="Times New Roman"/>
    </w:rPr>
  </w:style>
  <w:style w:type="paragraph" w:styleId="TOC3">
    <w:name w:val="toc 3"/>
    <w:basedOn w:val="Normal"/>
    <w:next w:val="Normal"/>
    <w:uiPriority w:val="39"/>
    <w:unhideWhenUsed/>
    <w:rsid w:val="008C7413"/>
    <w:pPr>
      <w:spacing w:line="240" w:lineRule="auto"/>
      <w:ind w:left="1296" w:hanging="864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rsid w:val="00D82A43"/>
    <w:rPr>
      <w:color w:val="0563C1" w:themeColor="hyperlink"/>
      <w:u w:val="single"/>
    </w:rPr>
  </w:style>
  <w:style w:type="numbering" w:customStyle="1" w:styleId="FoFCoLOP">
    <w:name w:val="FoF/CoL/OP"/>
    <w:uiPriority w:val="99"/>
    <w:rsid w:val="008E6AE6"/>
    <w:pPr>
      <w:numPr>
        <w:numId w:val="6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A43"/>
    <w:pPr>
      <w:spacing w:after="100"/>
      <w:ind w:left="2080"/>
    </w:pPr>
  </w:style>
  <w:style w:type="paragraph" w:styleId="Header">
    <w:name w:val="header"/>
    <w:basedOn w:val="Normal"/>
    <w:link w:val="HeaderChar"/>
    <w:uiPriority w:val="99"/>
    <w:semiHidden/>
    <w:rsid w:val="0098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6F2"/>
    <w:rPr>
      <w:rFonts w:ascii="Book Antiqua" w:hAnsi="Book Antiqua"/>
      <w:sz w:val="26"/>
    </w:rPr>
  </w:style>
  <w:style w:type="paragraph" w:styleId="Footer">
    <w:name w:val="footer"/>
    <w:basedOn w:val="Normal"/>
    <w:link w:val="FooterChar"/>
    <w:uiPriority w:val="99"/>
    <w:rsid w:val="00EE3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C1"/>
    <w:rPr>
      <w:rFonts w:ascii="Book Antiqua" w:hAnsi="Book Antiqua"/>
      <w:sz w:val="26"/>
    </w:rPr>
  </w:style>
  <w:style w:type="paragraph" w:customStyle="1" w:styleId="BlockQuote">
    <w:name w:val="Block Quote"/>
    <w:basedOn w:val="Standard"/>
    <w:uiPriority w:val="5"/>
    <w:qFormat/>
    <w:rsid w:val="00EA36C6"/>
    <w:pPr>
      <w:spacing w:after="120" w:line="240" w:lineRule="auto"/>
      <w:ind w:left="720" w:right="720" w:firstLine="0"/>
    </w:pPr>
  </w:style>
  <w:style w:type="paragraph" w:styleId="FootnoteText">
    <w:name w:val="footnote text"/>
    <w:basedOn w:val="Normal"/>
    <w:link w:val="FootnoteTextChar"/>
    <w:uiPriority w:val="40"/>
    <w:qFormat/>
    <w:rsid w:val="00DD16B3"/>
    <w:pPr>
      <w:spacing w:after="120" w:line="240" w:lineRule="auto"/>
      <w:ind w:firstLine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rsid w:val="00DD16B3"/>
    <w:rPr>
      <w:rFonts w:ascii="Book Antiqua" w:hAnsi="Book Antiqua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F58E7"/>
    <w:rPr>
      <w:vertAlign w:val="superscript"/>
    </w:rPr>
  </w:style>
  <w:style w:type="paragraph" w:customStyle="1" w:styleId="FoF">
    <w:name w:val="FoF"/>
    <w:basedOn w:val="Standard"/>
    <w:uiPriority w:val="6"/>
    <w:qFormat/>
    <w:rsid w:val="001E2A62"/>
    <w:pPr>
      <w:numPr>
        <w:numId w:val="7"/>
      </w:numPr>
    </w:pPr>
  </w:style>
  <w:style w:type="paragraph" w:customStyle="1" w:styleId="CoL">
    <w:name w:val="CoL"/>
    <w:basedOn w:val="Standard"/>
    <w:uiPriority w:val="7"/>
    <w:qFormat/>
    <w:rsid w:val="001E2A62"/>
    <w:pPr>
      <w:ind w:firstLine="540"/>
    </w:pPr>
  </w:style>
  <w:style w:type="paragraph" w:styleId="NoSpacing">
    <w:name w:val="No Spacing"/>
    <w:basedOn w:val="Standard"/>
    <w:uiPriority w:val="1"/>
    <w:rsid w:val="001E2A62"/>
    <w:pPr>
      <w:spacing w:line="240" w:lineRule="auto"/>
      <w:ind w:firstLine="0"/>
    </w:pPr>
  </w:style>
  <w:style w:type="paragraph" w:customStyle="1" w:styleId="OP">
    <w:name w:val="OP"/>
    <w:basedOn w:val="Standard"/>
    <w:uiPriority w:val="8"/>
    <w:qFormat/>
    <w:rsid w:val="001E2A62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947BC6"/>
    <w:pPr>
      <w:numPr>
        <w:numId w:val="10"/>
      </w:numPr>
    </w:pPr>
  </w:style>
  <w:style w:type="paragraph" w:customStyle="1" w:styleId="Standard">
    <w:name w:val="Standard"/>
    <w:basedOn w:val="Normal"/>
    <w:qFormat/>
    <w:rsid w:val="007A406D"/>
  </w:style>
  <w:style w:type="paragraph" w:customStyle="1" w:styleId="ListAlpha">
    <w:name w:val="List Alpha"/>
    <w:basedOn w:val="Standard"/>
    <w:uiPriority w:val="4"/>
    <w:qFormat/>
    <w:rsid w:val="00947BC6"/>
    <w:pPr>
      <w:numPr>
        <w:ilvl w:val="7"/>
        <w:numId w:val="11"/>
      </w:numPr>
      <w:spacing w:after="120" w:line="240" w:lineRule="auto"/>
    </w:pPr>
  </w:style>
  <w:style w:type="paragraph" w:styleId="ListBullet">
    <w:name w:val="List Bullet"/>
    <w:basedOn w:val="Standard"/>
    <w:uiPriority w:val="4"/>
    <w:qFormat/>
    <w:rsid w:val="001F2819"/>
    <w:pPr>
      <w:numPr>
        <w:numId w:val="13"/>
      </w:numPr>
      <w:tabs>
        <w:tab w:val="clear" w:pos="360"/>
      </w:tabs>
      <w:spacing w:after="120" w:line="240" w:lineRule="auto"/>
      <w:ind w:left="1080"/>
    </w:pPr>
  </w:style>
  <w:style w:type="character" w:customStyle="1" w:styleId="Heading6Char">
    <w:name w:val="Heading 6 Char"/>
    <w:basedOn w:val="DefaultParagraphFont"/>
    <w:link w:val="Heading6"/>
    <w:uiPriority w:val="4"/>
    <w:rsid w:val="000A56F2"/>
    <w:rPr>
      <w:rFonts w:ascii="Arial" w:eastAsiaTheme="majorEastAsia" w:hAnsi="Arial" w:cstheme="majorBidi"/>
      <w:b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8C7413"/>
    <w:pPr>
      <w:spacing w:line="240" w:lineRule="auto"/>
      <w:ind w:left="1728" w:hanging="1080"/>
    </w:pPr>
  </w:style>
  <w:style w:type="paragraph" w:styleId="TOC5">
    <w:name w:val="toc 5"/>
    <w:basedOn w:val="Normal"/>
    <w:next w:val="Normal"/>
    <w:autoRedefine/>
    <w:uiPriority w:val="39"/>
    <w:unhideWhenUsed/>
    <w:rsid w:val="008C7413"/>
    <w:pPr>
      <w:spacing w:line="240" w:lineRule="auto"/>
      <w:ind w:left="2160" w:hanging="1296"/>
    </w:pPr>
  </w:style>
  <w:style w:type="paragraph" w:styleId="TOC6">
    <w:name w:val="toc 6"/>
    <w:basedOn w:val="Normal"/>
    <w:next w:val="Normal"/>
    <w:autoRedefine/>
    <w:uiPriority w:val="39"/>
    <w:unhideWhenUsed/>
    <w:rsid w:val="008C7413"/>
    <w:pPr>
      <w:spacing w:line="240" w:lineRule="auto"/>
      <w:ind w:left="2592" w:hanging="1512"/>
    </w:pPr>
  </w:style>
  <w:style w:type="paragraph" w:customStyle="1" w:styleId="TableText">
    <w:name w:val="Table Text"/>
    <w:basedOn w:val="NoSpacing"/>
    <w:rsid w:val="00947BC6"/>
    <w:pPr>
      <w:contextualSpacing/>
    </w:pPr>
    <w:rPr>
      <w:sz w:val="22"/>
    </w:rPr>
  </w:style>
  <w:style w:type="paragraph" w:customStyle="1" w:styleId="ListNum">
    <w:name w:val="List Num"/>
    <w:basedOn w:val="Normal"/>
    <w:uiPriority w:val="4"/>
    <w:rsid w:val="006B0354"/>
    <w:pPr>
      <w:tabs>
        <w:tab w:val="num" w:pos="1080"/>
      </w:tabs>
      <w:spacing w:after="120" w:line="240" w:lineRule="auto"/>
      <w:ind w:left="1080" w:right="1440" w:hanging="360"/>
    </w:pPr>
    <w:rPr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52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2FC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2FC"/>
    <w:rPr>
      <w:rFonts w:ascii="Book Antiqua" w:hAnsi="Book Antiqua"/>
      <w:b/>
      <w:bCs/>
      <w:sz w:val="20"/>
      <w:szCs w:val="20"/>
    </w:rPr>
  </w:style>
  <w:style w:type="paragraph" w:styleId="ListParagraph">
    <w:name w:val="List Paragraph"/>
    <w:basedOn w:val="Normal"/>
    <w:uiPriority w:val="34"/>
    <w:rsid w:val="00B223FE"/>
    <w:pPr>
      <w:spacing w:after="120" w:line="240" w:lineRule="auto"/>
      <w:ind w:left="1080" w:right="1440" w:hanging="36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740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5589"/>
    <w:pPr>
      <w:spacing w:after="0" w:line="240" w:lineRule="auto"/>
    </w:pPr>
    <w:rPr>
      <w:rFonts w:ascii="Book Antiqua" w:hAnsi="Book Antiqua"/>
      <w:sz w:val="26"/>
    </w:rPr>
  </w:style>
  <w:style w:type="character" w:styleId="Mention">
    <w:name w:val="Mention"/>
    <w:basedOn w:val="DefaultParagraphFont"/>
    <w:uiPriority w:val="99"/>
    <w:unhideWhenUsed/>
    <w:rsid w:val="000F3647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55F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8F19A9"/>
    <w:pPr>
      <w:tabs>
        <w:tab w:val="left" w:pos="2160"/>
        <w:tab w:val="left" w:pos="3600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F19A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hyperlink" Target="http://docs.cpuc.ca.gov/PublishedDocs/Published/G000/M500/K989/500989615.pdf" TargetMode="External" Id="R0933235518b54bc0" /><Relationship Type="http://schemas.openxmlformats.org/officeDocument/2006/relationships/hyperlink" Target="http://docs.cpuc.ca.gov/PublishedDocs/Published/G000/M501/K024/501024231.pdf" TargetMode="External" Id="R0c324ab6205a4282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wildfirefund.com/_files/ugd/754529_4e8ac993311146a7943f633b808b5201.pdf" TargetMode="External"/><Relationship Id="rId2" Type="http://schemas.openxmlformats.org/officeDocument/2006/relationships/hyperlink" Target="https://www.cawildfirefund.com/_files/ugd/754529_4e8ac993311146a7943f633b808b5201.pdf" TargetMode="External"/><Relationship Id="rId1" Type="http://schemas.openxmlformats.org/officeDocument/2006/relationships/hyperlink" Target="http://www.fire.ca.gov." TargetMode="External"/><Relationship Id="rId5" Type="http://schemas.openxmlformats.org/officeDocument/2006/relationships/hyperlink" Target="http://www.fire.ca.gov" TargetMode="External"/><Relationship Id="rId4" Type="http://schemas.openxmlformats.org/officeDocument/2006/relationships/hyperlink" Target="https://www.cawildfirefund.com/_files/ugd/754529_4e8ac993311146a7943f633b808b52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B8A03DB7B104F969A6B9683F3CB59" ma:contentTypeVersion="5" ma:contentTypeDescription="Create a new document." ma:contentTypeScope="" ma:versionID="b24685fd14b45ff8731b0fc8a479ff91">
  <xsd:schema xmlns:xsd="http://www.w3.org/2001/XMLSchema" xmlns:xs="http://www.w3.org/2001/XMLSchema" xmlns:p="http://schemas.microsoft.com/office/2006/metadata/properties" xmlns:ns3="5b9ff0e8-ac20-4b22-9984-ed13c76f9974" xmlns:ns4="af83d28f-8842-40a1-a00a-09cdbb03a5d5" targetNamespace="http://schemas.microsoft.com/office/2006/metadata/properties" ma:root="true" ma:fieldsID="f5dc9d23ef6f1e208ff5808bfa7c9dff" ns3:_="" ns4:_="">
    <xsd:import namespace="5b9ff0e8-ac20-4b22-9984-ed13c76f9974"/>
    <xsd:import namespace="af83d28f-8842-40a1-a00a-09cdbb03a5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ff0e8-ac20-4b22-9984-ed13c76f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3d28f-8842-40a1-a00a-09cdbb03a5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2361-5645-4EAC-96DA-44B581025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ff0e8-ac20-4b22-9984-ed13c76f9974"/>
    <ds:schemaRef ds:uri="af83d28f-8842-40a1-a00a-09cdbb03a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CCA25-BED7-4692-8EAB-A0C604D10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2D1C0-B55E-46AE-9AA4-41AA237A1D06}">
  <ds:schemaRefs>
    <ds:schemaRef ds:uri="af83d28f-8842-40a1-a00a-09cdbb03a5d5"/>
    <ds:schemaRef ds:uri="http://www.w3.org/XML/1998/namespace"/>
    <ds:schemaRef ds:uri="http://schemas.microsoft.com/office/2006/metadata/properties"/>
    <ds:schemaRef ds:uri="http://purl.org/dc/elements/1.1/"/>
    <ds:schemaRef ds:uri="5b9ff0e8-ac20-4b22-9984-ed13c76f9974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0F7DA7-EDDC-43CC-9107-6D6763578887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27</ap:Pages>
  <ap:Words>5683</ap:Words>
  <ap:Characters>32394</ap:Characters>
  <ap:Application>Microsoft Office Word</ap:Application>
  <ap:DocSecurity>0</ap:DocSecurity>
  <ap:Lines>269</ap:Lines>
  <ap:Paragraphs>76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38001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2023-01-10T20:19:00Z</cp:lastPrinted>
  <dcterms:created xsi:type="dcterms:W3CDTF">2023-01-10T14:22:56Z</dcterms:created>
  <dcterms:modified xsi:type="dcterms:W3CDTF">2023-01-10T14:22:56Z</dcterms:modified>
</cp:coreProperties>
</file>