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673A" w:rsidP="00D1673A" w:rsidRDefault="00D1673A" w14:paraId="31F3D6F2" w14:textId="77777777">
      <w:pPr>
        <w:pStyle w:val="Title"/>
        <w:outlineLvl w:val="0"/>
        <w:rPr>
          <w:b w:val="0"/>
        </w:rPr>
      </w:pPr>
      <w:r>
        <w:rPr>
          <w:b w:val="0"/>
        </w:rPr>
        <w:t>PUBLIC UTILITIES COMMISSION OF THE STATE OF CALIFORNIA</w:t>
      </w:r>
    </w:p>
    <w:p w:rsidR="00D1673A" w:rsidP="00D1673A" w:rsidRDefault="00D1673A" w14:paraId="7289CAE4" w14:textId="77777777">
      <w:pPr>
        <w:rPr>
          <w:sz w:val="26"/>
        </w:rPr>
      </w:pPr>
    </w:p>
    <w:p w:rsidR="00D1673A" w:rsidP="00D1673A" w:rsidRDefault="00D1673A" w14:paraId="0C90B09F" w14:textId="48360526">
      <w:pPr>
        <w:pStyle w:val="Date"/>
        <w:jc w:val="left"/>
      </w:pPr>
      <w:r>
        <w:t>Legal Division</w:t>
      </w:r>
      <w:r>
        <w:tab/>
      </w:r>
      <w:r>
        <w:tab/>
      </w:r>
      <w:r>
        <w:tab/>
      </w:r>
      <w:r>
        <w:tab/>
      </w:r>
      <w:r>
        <w:tab/>
      </w:r>
      <w:r>
        <w:tab/>
      </w:r>
      <w:r w:rsidR="00AA099F">
        <w:tab/>
      </w:r>
      <w:r>
        <w:t>Resolution L-</w:t>
      </w:r>
      <w:r w:rsidR="00A676AB">
        <w:t>619</w:t>
      </w:r>
    </w:p>
    <w:p w:rsidRPr="001E0D2C" w:rsidR="00D1673A" w:rsidP="00AA099F" w:rsidRDefault="007E6BF2" w14:paraId="25D47E22" w14:textId="2942FC3D">
      <w:pPr>
        <w:pStyle w:val="Date"/>
        <w:ind w:left="5760" w:firstLine="720"/>
        <w:jc w:val="left"/>
        <w:rPr>
          <w:bCs/>
        </w:rPr>
      </w:pPr>
      <w:r w:rsidRPr="001E0D2C">
        <w:rPr>
          <w:bCs/>
        </w:rPr>
        <w:t>February 2</w:t>
      </w:r>
      <w:r w:rsidR="003D6B88">
        <w:rPr>
          <w:bCs/>
        </w:rPr>
        <w:t>3</w:t>
      </w:r>
      <w:r w:rsidRPr="001E0D2C">
        <w:rPr>
          <w:bCs/>
        </w:rPr>
        <w:t>, 2023</w:t>
      </w:r>
    </w:p>
    <w:p w:rsidR="00D1673A" w:rsidP="00D1673A" w:rsidRDefault="00D1673A" w14:paraId="63F7A4EF" w14:textId="77777777">
      <w:pPr>
        <w:pStyle w:val="Title"/>
        <w:outlineLvl w:val="0"/>
        <w:rPr>
          <w:u w:val="single"/>
        </w:rPr>
      </w:pPr>
      <w:r>
        <w:rPr>
          <w:u w:val="single"/>
        </w:rPr>
        <w:t>R E S O L U T I O N</w:t>
      </w:r>
    </w:p>
    <w:p w:rsidR="00D1673A" w:rsidP="00D1673A" w:rsidRDefault="00D1673A" w14:paraId="2E7F42B6" w14:textId="77777777">
      <w:pPr>
        <w:rPr>
          <w:b/>
          <w:sz w:val="26"/>
          <w:u w:val="single"/>
        </w:rPr>
      </w:pPr>
    </w:p>
    <w:p w:rsidR="00D1673A" w:rsidP="00D1673A" w:rsidRDefault="00D1673A" w14:paraId="632F0A72" w14:textId="64D93A95">
      <w:pPr>
        <w:pStyle w:val="Quotation"/>
        <w:spacing w:after="0"/>
        <w:ind w:left="450" w:right="720"/>
        <w:rPr>
          <w:b/>
          <w:szCs w:val="26"/>
        </w:rPr>
      </w:pPr>
      <w:bookmarkStart w:name="_Hlk120089498" w:id="0"/>
      <w:r>
        <w:rPr>
          <w:b/>
        </w:rPr>
        <w:t xml:space="preserve">RESOLUTION </w:t>
      </w:r>
      <w:r w:rsidR="003D6B88">
        <w:rPr>
          <w:b/>
        </w:rPr>
        <w:t xml:space="preserve">L-619 </w:t>
      </w:r>
      <w:r>
        <w:rPr>
          <w:b/>
        </w:rPr>
        <w:t xml:space="preserve">AUTHORIZING DISCLOSURE OF </w:t>
      </w:r>
      <w:r>
        <w:rPr>
          <w:b/>
          <w:szCs w:val="26"/>
        </w:rPr>
        <w:t>AUTONOMOUS VEHICLE PILOT AND DEPLOYMENT PHASE I PERMIT APPLICATIONS</w:t>
      </w:r>
      <w:r w:rsidR="007A71F3">
        <w:rPr>
          <w:b/>
          <w:szCs w:val="26"/>
        </w:rPr>
        <w:t xml:space="preserve"> WITHOUT CONFIDENTIALITY CLAIMS OR WITH PROCEDURALLY INADEQUATE CONFIDENTIALITY CLAIMS</w:t>
      </w:r>
    </w:p>
    <w:p w:rsidR="00CA35D0" w:rsidP="00CA35D0" w:rsidRDefault="00CA35D0" w14:paraId="066DD6EE" w14:textId="40501959"/>
    <w:p w:rsidRPr="00CA35D0" w:rsidR="00911D5A" w:rsidP="003D6B88" w:rsidRDefault="00911D5A" w14:paraId="5BE94C83" w14:textId="77777777">
      <w:pPr>
        <w:pBdr>
          <w:bottom w:val="single" w:color="auto" w:sz="4" w:space="1"/>
        </w:pBdr>
      </w:pPr>
    </w:p>
    <w:bookmarkEnd w:id="0"/>
    <w:p w:rsidRPr="00AA099F" w:rsidR="00AA099F" w:rsidP="00AA099F" w:rsidRDefault="00AA099F" w14:paraId="7E771071" w14:textId="77777777"/>
    <w:p w:rsidRPr="00CA35D0" w:rsidR="00D1673A" w:rsidP="00AA099F" w:rsidRDefault="00CA35D0" w14:paraId="1EB09873" w14:textId="5B704E42">
      <w:pPr>
        <w:pStyle w:val="BodyText"/>
        <w:spacing w:after="0"/>
        <w:outlineLvl w:val="0"/>
        <w:rPr>
          <w:b/>
          <w:szCs w:val="26"/>
          <w:u w:val="single"/>
        </w:rPr>
      </w:pPr>
      <w:r w:rsidRPr="00CA35D0">
        <w:rPr>
          <w:b/>
          <w:szCs w:val="26"/>
          <w:u w:val="single"/>
        </w:rPr>
        <w:t>SUMMARY</w:t>
      </w:r>
    </w:p>
    <w:p w:rsidRPr="00D44E0C" w:rsidR="00D1673A" w:rsidP="00D1673A" w:rsidRDefault="00D1673A" w14:paraId="77D52FDE" w14:textId="1A130B4A">
      <w:pPr>
        <w:spacing w:before="240" w:after="240"/>
        <w:rPr>
          <w:sz w:val="26"/>
          <w:szCs w:val="26"/>
        </w:rPr>
      </w:pPr>
      <w:bookmarkStart w:name="OLE_LINK3" w:id="1"/>
      <w:bookmarkStart w:name="OLE_LINK4" w:id="2"/>
      <w:r>
        <w:rPr>
          <w:sz w:val="26"/>
          <w:szCs w:val="26"/>
        </w:rPr>
        <w:t>T</w:t>
      </w:r>
      <w:r w:rsidRPr="00D44E0C">
        <w:rPr>
          <w:sz w:val="26"/>
          <w:szCs w:val="26"/>
        </w:rPr>
        <w:t>he California Public Utilities Commission (“Commission”) has received</w:t>
      </w:r>
      <w:r w:rsidRPr="00D44E0C">
        <w:rPr>
          <w:color w:val="000000"/>
          <w:sz w:val="26"/>
          <w:szCs w:val="26"/>
        </w:rPr>
        <w:t>, pursuant to the California Public Records Act (“CPRA”),</w:t>
      </w:r>
      <w:r w:rsidRPr="00D44E0C">
        <w:rPr>
          <w:sz w:val="26"/>
          <w:szCs w:val="26"/>
        </w:rPr>
        <w:t xml:space="preserve"> </w:t>
      </w:r>
      <w:r>
        <w:rPr>
          <w:sz w:val="26"/>
          <w:szCs w:val="26"/>
        </w:rPr>
        <w:t>numerous</w:t>
      </w:r>
      <w:r w:rsidRPr="00D44E0C">
        <w:rPr>
          <w:sz w:val="26"/>
          <w:szCs w:val="26"/>
        </w:rPr>
        <w:t xml:space="preserve"> public records request</w:t>
      </w:r>
      <w:r>
        <w:rPr>
          <w:sz w:val="26"/>
          <w:szCs w:val="26"/>
        </w:rPr>
        <w:t>s</w:t>
      </w:r>
      <w:r w:rsidRPr="00D44E0C">
        <w:rPr>
          <w:sz w:val="26"/>
          <w:szCs w:val="26"/>
        </w:rPr>
        <w:t xml:space="preserve"> </w:t>
      </w:r>
      <w:r w:rsidRPr="00D44E0C">
        <w:rPr>
          <w:color w:val="000000"/>
          <w:sz w:val="26"/>
          <w:szCs w:val="26"/>
        </w:rPr>
        <w:t>seeking disclosure of autonomous vehicle (“AV”) applications, including two seeking all AV permit applications.</w:t>
      </w:r>
      <w:bookmarkEnd w:id="1"/>
      <w:bookmarkEnd w:id="2"/>
      <w:r w:rsidRPr="00A676AB">
        <w:rPr>
          <w:rStyle w:val="FootnoteReference"/>
          <w:b/>
          <w:bCs/>
          <w:color w:val="000000"/>
          <w:sz w:val="26"/>
          <w:szCs w:val="26"/>
          <w:u w:val="single"/>
        </w:rPr>
        <w:footnoteReference w:id="1"/>
      </w:r>
      <w:r w:rsidRPr="00D44E0C">
        <w:rPr>
          <w:sz w:val="26"/>
          <w:szCs w:val="26"/>
        </w:rPr>
        <w:t xml:space="preserve"> </w:t>
      </w:r>
      <w:r w:rsidR="00A73A86">
        <w:rPr>
          <w:sz w:val="26"/>
          <w:szCs w:val="26"/>
        </w:rPr>
        <w:t xml:space="preserve"> </w:t>
      </w:r>
      <w:r w:rsidRPr="00D44E0C">
        <w:rPr>
          <w:sz w:val="26"/>
          <w:szCs w:val="26"/>
        </w:rPr>
        <w:t xml:space="preserve">The Commission has so far received </w:t>
      </w:r>
      <w:r>
        <w:rPr>
          <w:sz w:val="26"/>
          <w:szCs w:val="26"/>
        </w:rPr>
        <w:t xml:space="preserve">ten </w:t>
      </w:r>
      <w:r w:rsidRPr="00D44E0C">
        <w:rPr>
          <w:sz w:val="26"/>
          <w:szCs w:val="26"/>
        </w:rPr>
        <w:t xml:space="preserve">applications for </w:t>
      </w:r>
      <w:proofErr w:type="spellStart"/>
      <w:r w:rsidRPr="00D44E0C">
        <w:rPr>
          <w:sz w:val="26"/>
          <w:szCs w:val="26"/>
        </w:rPr>
        <w:t>drivered</w:t>
      </w:r>
      <w:proofErr w:type="spellEnd"/>
      <w:r w:rsidRPr="00D44E0C">
        <w:rPr>
          <w:sz w:val="26"/>
          <w:szCs w:val="26"/>
        </w:rPr>
        <w:t xml:space="preserve"> AV pilot permits, two applications for driverless AV pilot permits, </w:t>
      </w:r>
      <w:r>
        <w:rPr>
          <w:sz w:val="26"/>
          <w:szCs w:val="26"/>
        </w:rPr>
        <w:t>and two</w:t>
      </w:r>
      <w:r w:rsidRPr="00D44E0C">
        <w:rPr>
          <w:sz w:val="26"/>
          <w:szCs w:val="26"/>
        </w:rPr>
        <w:t xml:space="preserve"> </w:t>
      </w:r>
      <w:r>
        <w:rPr>
          <w:sz w:val="26"/>
          <w:szCs w:val="26"/>
        </w:rPr>
        <w:t xml:space="preserve">conversion requests from </w:t>
      </w:r>
      <w:proofErr w:type="spellStart"/>
      <w:r>
        <w:rPr>
          <w:sz w:val="26"/>
          <w:szCs w:val="26"/>
        </w:rPr>
        <w:t>Drivered</w:t>
      </w:r>
      <w:proofErr w:type="spellEnd"/>
      <w:r>
        <w:rPr>
          <w:sz w:val="26"/>
          <w:szCs w:val="26"/>
        </w:rPr>
        <w:t xml:space="preserve"> Pilot to </w:t>
      </w:r>
      <w:proofErr w:type="spellStart"/>
      <w:r>
        <w:rPr>
          <w:sz w:val="26"/>
          <w:szCs w:val="26"/>
        </w:rPr>
        <w:t>Drivered</w:t>
      </w:r>
      <w:proofErr w:type="spellEnd"/>
      <w:r>
        <w:rPr>
          <w:sz w:val="26"/>
          <w:szCs w:val="26"/>
        </w:rPr>
        <w:t xml:space="preserve"> Deployment.</w:t>
      </w:r>
      <w:r w:rsidR="00A73A86">
        <w:rPr>
          <w:sz w:val="26"/>
          <w:szCs w:val="26"/>
        </w:rPr>
        <w:t xml:space="preserve"> </w:t>
      </w:r>
      <w:r w:rsidRPr="00D44E0C">
        <w:rPr>
          <w:sz w:val="26"/>
          <w:szCs w:val="26"/>
        </w:rPr>
        <w:t xml:space="preserve"> However, some of the autonomous vehicle application submitters, pursuant to General Order (“G.O.”) 66-D, requested confidential treatment for their AV permit applications. </w:t>
      </w:r>
      <w:r w:rsidR="00A73A86">
        <w:rPr>
          <w:sz w:val="26"/>
          <w:szCs w:val="26"/>
        </w:rPr>
        <w:t xml:space="preserve"> </w:t>
      </w:r>
      <w:r w:rsidRPr="00D44E0C">
        <w:rPr>
          <w:sz w:val="26"/>
          <w:szCs w:val="26"/>
        </w:rPr>
        <w:t xml:space="preserve">Under these conditions, the Commission’s Legal Division is required to issue a Resolution addressing the confidentiality claims and </w:t>
      </w:r>
      <w:r>
        <w:rPr>
          <w:sz w:val="26"/>
          <w:szCs w:val="26"/>
        </w:rPr>
        <w:t xml:space="preserve">making </w:t>
      </w:r>
      <w:r w:rsidRPr="00D44E0C">
        <w:rPr>
          <w:sz w:val="26"/>
          <w:szCs w:val="26"/>
        </w:rPr>
        <w:t>a determination regarding the release of the requested records, to be voted on by the full Commission.</w:t>
      </w:r>
      <w:r w:rsidRPr="00A676AB">
        <w:rPr>
          <w:rStyle w:val="FootnoteReference"/>
          <w:b/>
          <w:bCs/>
          <w:sz w:val="26"/>
          <w:szCs w:val="26"/>
          <w:u w:val="single"/>
        </w:rPr>
        <w:footnoteReference w:id="2"/>
      </w:r>
      <w:r w:rsidRPr="00D44E0C">
        <w:rPr>
          <w:color w:val="000000" w:themeColor="text1"/>
          <w:sz w:val="26"/>
          <w:szCs w:val="26"/>
        </w:rPr>
        <w:t xml:space="preserve"> </w:t>
      </w:r>
      <w:r w:rsidR="00A73A86">
        <w:rPr>
          <w:color w:val="000000" w:themeColor="text1"/>
          <w:sz w:val="26"/>
          <w:szCs w:val="26"/>
        </w:rPr>
        <w:t xml:space="preserve"> </w:t>
      </w:r>
      <w:r w:rsidRPr="00D44E0C">
        <w:rPr>
          <w:color w:val="000000" w:themeColor="text1"/>
          <w:sz w:val="26"/>
          <w:szCs w:val="26"/>
        </w:rPr>
        <w:t>Here, Legal Division considers the confidentiality claims, and authorizes disclosure of the AV pilot and deployment phase I permit applications, though withholding some portions as confidential.</w:t>
      </w:r>
    </w:p>
    <w:p w:rsidR="00A73A86" w:rsidRDefault="00A73A86" w14:paraId="379FA22A" w14:textId="77777777">
      <w:pPr>
        <w:spacing w:after="160" w:line="259" w:lineRule="auto"/>
        <w:rPr>
          <w:b/>
          <w:sz w:val="26"/>
          <w:szCs w:val="26"/>
          <w:u w:val="single"/>
        </w:rPr>
      </w:pPr>
      <w:r>
        <w:rPr>
          <w:b/>
          <w:szCs w:val="26"/>
          <w:u w:val="single"/>
        </w:rPr>
        <w:br w:type="page"/>
      </w:r>
    </w:p>
    <w:p w:rsidRPr="00D44E0C" w:rsidR="00D1673A" w:rsidP="00D1673A" w:rsidRDefault="00D1673A" w14:paraId="489A4B6A" w14:textId="67A4C828">
      <w:pPr>
        <w:pStyle w:val="BodyText"/>
        <w:spacing w:after="240"/>
        <w:outlineLvl w:val="0"/>
        <w:rPr>
          <w:b/>
          <w:szCs w:val="26"/>
          <w:u w:val="single"/>
        </w:rPr>
      </w:pPr>
      <w:r w:rsidRPr="00D44E0C">
        <w:rPr>
          <w:b/>
          <w:szCs w:val="26"/>
          <w:u w:val="single"/>
        </w:rPr>
        <w:lastRenderedPageBreak/>
        <w:t xml:space="preserve">DISCUSSION </w:t>
      </w:r>
    </w:p>
    <w:p w:rsidRPr="00A45D1C" w:rsidR="00D1673A" w:rsidP="00A45D1C" w:rsidRDefault="00D1673A" w14:paraId="624BED69" w14:textId="77777777">
      <w:pPr>
        <w:pStyle w:val="Heading1"/>
      </w:pPr>
      <w:r w:rsidRPr="00A45D1C">
        <w:t>Documents at Issue</w:t>
      </w:r>
    </w:p>
    <w:p w:rsidR="00D1673A" w:rsidP="00D1673A" w:rsidRDefault="00D1673A" w14:paraId="15DFAF10" w14:textId="77777777">
      <w:pPr>
        <w:spacing w:after="240"/>
        <w:rPr>
          <w:sz w:val="26"/>
          <w:szCs w:val="26"/>
        </w:rPr>
      </w:pPr>
      <w:r w:rsidRPr="00D44E0C">
        <w:rPr>
          <w:sz w:val="26"/>
          <w:szCs w:val="26"/>
        </w:rPr>
        <w:t>At present, the</w:t>
      </w:r>
      <w:r>
        <w:rPr>
          <w:sz w:val="26"/>
          <w:szCs w:val="26"/>
        </w:rPr>
        <w:t xml:space="preserve"> Commission has four autonomous vehicle programs for Charter-Party Carrier of Passengers (“TCP”) permitholders: </w:t>
      </w:r>
    </w:p>
    <w:p w:rsidRPr="00245E7C" w:rsidR="00D1673A" w:rsidP="00CA35D0" w:rsidRDefault="00D1673A" w14:paraId="414BAB17" w14:textId="77777777">
      <w:pPr>
        <w:pStyle w:val="ListParagraph"/>
        <w:numPr>
          <w:ilvl w:val="0"/>
          <w:numId w:val="30"/>
        </w:numPr>
        <w:spacing w:after="120"/>
        <w:contextualSpacing w:val="0"/>
        <w:rPr>
          <w:sz w:val="26"/>
          <w:szCs w:val="26"/>
        </w:rPr>
      </w:pPr>
      <w:proofErr w:type="spellStart"/>
      <w:r>
        <w:rPr>
          <w:sz w:val="26"/>
          <w:szCs w:val="26"/>
        </w:rPr>
        <w:t>D</w:t>
      </w:r>
      <w:r w:rsidRPr="00245E7C">
        <w:rPr>
          <w:sz w:val="26"/>
          <w:szCs w:val="26"/>
        </w:rPr>
        <w:t>rivered</w:t>
      </w:r>
      <w:proofErr w:type="spellEnd"/>
      <w:r w:rsidRPr="00245E7C">
        <w:rPr>
          <w:sz w:val="26"/>
          <w:szCs w:val="26"/>
        </w:rPr>
        <w:t xml:space="preserve"> </w:t>
      </w:r>
      <w:r>
        <w:rPr>
          <w:sz w:val="26"/>
          <w:szCs w:val="26"/>
        </w:rPr>
        <w:t>A</w:t>
      </w:r>
      <w:r w:rsidRPr="00245E7C">
        <w:rPr>
          <w:sz w:val="26"/>
          <w:szCs w:val="26"/>
        </w:rPr>
        <w:t xml:space="preserve">utonomous </w:t>
      </w:r>
      <w:r>
        <w:rPr>
          <w:sz w:val="26"/>
          <w:szCs w:val="26"/>
        </w:rPr>
        <w:t>V</w:t>
      </w:r>
      <w:r w:rsidRPr="00245E7C">
        <w:rPr>
          <w:sz w:val="26"/>
          <w:szCs w:val="26"/>
        </w:rPr>
        <w:t xml:space="preserve">ehicle </w:t>
      </w:r>
      <w:r>
        <w:rPr>
          <w:sz w:val="26"/>
          <w:szCs w:val="26"/>
        </w:rPr>
        <w:t>P</w:t>
      </w:r>
      <w:r w:rsidRPr="00245E7C">
        <w:rPr>
          <w:sz w:val="26"/>
          <w:szCs w:val="26"/>
        </w:rPr>
        <w:t xml:space="preserve">ilot </w:t>
      </w:r>
      <w:r>
        <w:rPr>
          <w:sz w:val="26"/>
          <w:szCs w:val="26"/>
        </w:rPr>
        <w:t>P</w:t>
      </w:r>
      <w:r w:rsidRPr="00245E7C">
        <w:rPr>
          <w:sz w:val="26"/>
          <w:szCs w:val="26"/>
        </w:rPr>
        <w:t>rogram</w:t>
      </w:r>
    </w:p>
    <w:p w:rsidR="00D1673A" w:rsidP="00CA35D0" w:rsidRDefault="00D1673A" w14:paraId="0EEF66A1" w14:textId="77777777">
      <w:pPr>
        <w:pStyle w:val="ListParagraph"/>
        <w:numPr>
          <w:ilvl w:val="0"/>
          <w:numId w:val="30"/>
        </w:numPr>
        <w:spacing w:after="120"/>
        <w:contextualSpacing w:val="0"/>
        <w:rPr>
          <w:sz w:val="26"/>
          <w:szCs w:val="26"/>
        </w:rPr>
      </w:pPr>
      <w:r>
        <w:rPr>
          <w:sz w:val="26"/>
          <w:szCs w:val="26"/>
        </w:rPr>
        <w:t>D</w:t>
      </w:r>
      <w:r w:rsidRPr="00245E7C">
        <w:rPr>
          <w:sz w:val="26"/>
          <w:szCs w:val="26"/>
        </w:rPr>
        <w:t xml:space="preserve">riverless </w:t>
      </w:r>
      <w:r>
        <w:rPr>
          <w:sz w:val="26"/>
          <w:szCs w:val="26"/>
        </w:rPr>
        <w:t>A</w:t>
      </w:r>
      <w:r w:rsidRPr="00245E7C">
        <w:rPr>
          <w:sz w:val="26"/>
          <w:szCs w:val="26"/>
        </w:rPr>
        <w:t xml:space="preserve">utonomous </w:t>
      </w:r>
      <w:r>
        <w:rPr>
          <w:sz w:val="26"/>
          <w:szCs w:val="26"/>
        </w:rPr>
        <w:t>V</w:t>
      </w:r>
      <w:r w:rsidRPr="00245E7C">
        <w:rPr>
          <w:sz w:val="26"/>
          <w:szCs w:val="26"/>
        </w:rPr>
        <w:t xml:space="preserve">ehicle </w:t>
      </w:r>
      <w:r>
        <w:rPr>
          <w:sz w:val="26"/>
          <w:szCs w:val="26"/>
        </w:rPr>
        <w:t>P</w:t>
      </w:r>
      <w:r w:rsidRPr="00245E7C">
        <w:rPr>
          <w:sz w:val="26"/>
          <w:szCs w:val="26"/>
        </w:rPr>
        <w:t xml:space="preserve">ilot </w:t>
      </w:r>
      <w:r>
        <w:rPr>
          <w:sz w:val="26"/>
          <w:szCs w:val="26"/>
        </w:rPr>
        <w:t>P</w:t>
      </w:r>
      <w:r w:rsidRPr="00245E7C">
        <w:rPr>
          <w:sz w:val="26"/>
          <w:szCs w:val="26"/>
        </w:rPr>
        <w:t>rogram</w:t>
      </w:r>
    </w:p>
    <w:p w:rsidR="00D1673A" w:rsidP="00CA35D0" w:rsidRDefault="00D1673A" w14:paraId="1140D6BA" w14:textId="77777777">
      <w:pPr>
        <w:pStyle w:val="ListParagraph"/>
        <w:numPr>
          <w:ilvl w:val="0"/>
          <w:numId w:val="30"/>
        </w:numPr>
        <w:spacing w:after="120"/>
        <w:contextualSpacing w:val="0"/>
        <w:rPr>
          <w:sz w:val="26"/>
          <w:szCs w:val="26"/>
        </w:rPr>
      </w:pPr>
      <w:r>
        <w:rPr>
          <w:sz w:val="26"/>
          <w:szCs w:val="26"/>
        </w:rPr>
        <w:t xml:space="preserve">Phase I </w:t>
      </w:r>
      <w:proofErr w:type="spellStart"/>
      <w:r>
        <w:rPr>
          <w:sz w:val="26"/>
          <w:szCs w:val="26"/>
        </w:rPr>
        <w:t>D</w:t>
      </w:r>
      <w:r w:rsidRPr="00245E7C">
        <w:rPr>
          <w:sz w:val="26"/>
          <w:szCs w:val="26"/>
        </w:rPr>
        <w:t>rivered</w:t>
      </w:r>
      <w:proofErr w:type="spellEnd"/>
      <w:r>
        <w:rPr>
          <w:sz w:val="26"/>
          <w:szCs w:val="26"/>
        </w:rPr>
        <w:t xml:space="preserve"> A</w:t>
      </w:r>
      <w:r w:rsidRPr="00245E7C">
        <w:rPr>
          <w:sz w:val="26"/>
          <w:szCs w:val="26"/>
        </w:rPr>
        <w:t xml:space="preserve">utonomous </w:t>
      </w:r>
      <w:r>
        <w:rPr>
          <w:sz w:val="26"/>
          <w:szCs w:val="26"/>
        </w:rPr>
        <w:t>V</w:t>
      </w:r>
      <w:r w:rsidRPr="00245E7C">
        <w:rPr>
          <w:sz w:val="26"/>
          <w:szCs w:val="26"/>
        </w:rPr>
        <w:t xml:space="preserve">ehicle </w:t>
      </w:r>
      <w:r>
        <w:rPr>
          <w:sz w:val="26"/>
          <w:szCs w:val="26"/>
        </w:rPr>
        <w:t>D</w:t>
      </w:r>
      <w:r w:rsidRPr="00245E7C">
        <w:rPr>
          <w:sz w:val="26"/>
          <w:szCs w:val="26"/>
        </w:rPr>
        <w:t xml:space="preserve">eployment </w:t>
      </w:r>
      <w:r>
        <w:rPr>
          <w:sz w:val="26"/>
          <w:szCs w:val="26"/>
        </w:rPr>
        <w:t>P</w:t>
      </w:r>
      <w:r w:rsidRPr="00245E7C">
        <w:rPr>
          <w:sz w:val="26"/>
          <w:szCs w:val="26"/>
        </w:rPr>
        <w:t>rogram</w:t>
      </w:r>
    </w:p>
    <w:p w:rsidRPr="00103E2B" w:rsidR="00D1673A" w:rsidP="00CA35D0" w:rsidRDefault="00D1673A" w14:paraId="7F7A65CC" w14:textId="77777777">
      <w:pPr>
        <w:pStyle w:val="ListParagraph"/>
        <w:numPr>
          <w:ilvl w:val="0"/>
          <w:numId w:val="30"/>
        </w:numPr>
        <w:spacing w:after="120"/>
        <w:contextualSpacing w:val="0"/>
        <w:rPr>
          <w:sz w:val="26"/>
          <w:szCs w:val="26"/>
        </w:rPr>
      </w:pPr>
      <w:r>
        <w:rPr>
          <w:sz w:val="26"/>
          <w:szCs w:val="26"/>
        </w:rPr>
        <w:t>Phase I D</w:t>
      </w:r>
      <w:r w:rsidRPr="00103E2B">
        <w:rPr>
          <w:sz w:val="26"/>
          <w:szCs w:val="26"/>
        </w:rPr>
        <w:t xml:space="preserve">riverless </w:t>
      </w:r>
      <w:r>
        <w:rPr>
          <w:sz w:val="26"/>
          <w:szCs w:val="26"/>
        </w:rPr>
        <w:t>A</w:t>
      </w:r>
      <w:r w:rsidRPr="00103E2B">
        <w:rPr>
          <w:sz w:val="26"/>
          <w:szCs w:val="26"/>
        </w:rPr>
        <w:t xml:space="preserve">utonomous </w:t>
      </w:r>
      <w:r>
        <w:rPr>
          <w:sz w:val="26"/>
          <w:szCs w:val="26"/>
        </w:rPr>
        <w:t>V</w:t>
      </w:r>
      <w:r w:rsidRPr="00103E2B">
        <w:rPr>
          <w:sz w:val="26"/>
          <w:szCs w:val="26"/>
        </w:rPr>
        <w:t xml:space="preserve">ehicle </w:t>
      </w:r>
      <w:r>
        <w:rPr>
          <w:sz w:val="26"/>
          <w:szCs w:val="26"/>
        </w:rPr>
        <w:t>D</w:t>
      </w:r>
      <w:r w:rsidRPr="00103E2B">
        <w:rPr>
          <w:sz w:val="26"/>
          <w:szCs w:val="26"/>
        </w:rPr>
        <w:t xml:space="preserve">eployment </w:t>
      </w:r>
      <w:r>
        <w:rPr>
          <w:sz w:val="26"/>
          <w:szCs w:val="26"/>
        </w:rPr>
        <w:t>Program</w:t>
      </w:r>
    </w:p>
    <w:p w:rsidR="00D1673A" w:rsidP="00772C0D" w:rsidRDefault="00D1673A" w14:paraId="15A04736" w14:textId="7C459DBD">
      <w:pPr>
        <w:rPr>
          <w:sz w:val="26"/>
          <w:szCs w:val="26"/>
        </w:rPr>
      </w:pPr>
      <w:r w:rsidRPr="00103E2B">
        <w:rPr>
          <w:sz w:val="26"/>
          <w:szCs w:val="26"/>
        </w:rPr>
        <w:t xml:space="preserve">The CPUC’s pilot programs are authorized by Decision </w:t>
      </w:r>
      <w:r w:rsidRPr="00EC776F">
        <w:rPr>
          <w:sz w:val="26"/>
          <w:szCs w:val="26"/>
        </w:rPr>
        <w:t xml:space="preserve">(D.) </w:t>
      </w:r>
      <w:r w:rsidRPr="00103E2B">
        <w:rPr>
          <w:sz w:val="26"/>
          <w:szCs w:val="26"/>
        </w:rPr>
        <w:t>18-05-043 and the CPUC’s phase I deployment programs are authorized by Decision 20-11-046 (later modified by D.21-05-017).</w:t>
      </w:r>
    </w:p>
    <w:p w:rsidR="00772C0D" w:rsidP="00772C0D" w:rsidRDefault="00772C0D" w14:paraId="16E2222C" w14:textId="77777777">
      <w:pPr>
        <w:rPr>
          <w:sz w:val="26"/>
          <w:szCs w:val="26"/>
        </w:rPr>
      </w:pPr>
    </w:p>
    <w:p w:rsidR="00D1673A" w:rsidP="00772C0D" w:rsidRDefault="00D1673A" w14:paraId="40D89F16" w14:textId="5812A0EB">
      <w:pPr>
        <w:rPr>
          <w:sz w:val="26"/>
          <w:szCs w:val="26"/>
        </w:rPr>
      </w:pPr>
      <w:r w:rsidRPr="00245E7C">
        <w:rPr>
          <w:sz w:val="26"/>
          <w:szCs w:val="26"/>
        </w:rPr>
        <w:t>AV companies must submit applications to participate in the programs to Consumer Protection and Enforcement Division (“CPED”).</w:t>
      </w:r>
      <w:r w:rsidR="00772C0D">
        <w:rPr>
          <w:sz w:val="26"/>
          <w:szCs w:val="26"/>
        </w:rPr>
        <w:t xml:space="preserve"> </w:t>
      </w:r>
      <w:r w:rsidRPr="00245E7C">
        <w:rPr>
          <w:sz w:val="26"/>
          <w:szCs w:val="26"/>
        </w:rPr>
        <w:t xml:space="preserve"> If approved by CPED, permits to operate in California are </w:t>
      </w:r>
      <w:r>
        <w:rPr>
          <w:sz w:val="26"/>
          <w:szCs w:val="26"/>
        </w:rPr>
        <w:t xml:space="preserve">issued. </w:t>
      </w:r>
      <w:r w:rsidR="00772C0D">
        <w:rPr>
          <w:sz w:val="26"/>
          <w:szCs w:val="26"/>
        </w:rPr>
        <w:t xml:space="preserve"> </w:t>
      </w:r>
      <w:r>
        <w:rPr>
          <w:sz w:val="26"/>
          <w:szCs w:val="26"/>
        </w:rPr>
        <w:t xml:space="preserve">They are </w:t>
      </w:r>
      <w:r w:rsidRPr="00245E7C">
        <w:rPr>
          <w:sz w:val="26"/>
          <w:szCs w:val="26"/>
        </w:rPr>
        <w:t>publicly available on the Commission’s website within the transportation portal.</w:t>
      </w:r>
    </w:p>
    <w:p w:rsidRPr="00D44E0C" w:rsidR="00D1673A" w:rsidP="00A45D1C" w:rsidRDefault="00D1673A" w14:paraId="515BD8DF" w14:textId="77777777">
      <w:pPr>
        <w:pStyle w:val="Heading1"/>
      </w:pPr>
      <w:r w:rsidRPr="00D44E0C">
        <w:t>Legal Background</w:t>
      </w:r>
    </w:p>
    <w:p w:rsidRPr="00D44E0C" w:rsidR="00D1673A" w:rsidP="00D1673A" w:rsidRDefault="00D1673A" w14:paraId="4B9BC099" w14:textId="0E909741">
      <w:pPr>
        <w:spacing w:after="240"/>
        <w:rPr>
          <w:sz w:val="26"/>
          <w:szCs w:val="26"/>
        </w:rPr>
      </w:pPr>
      <w:r w:rsidRPr="00D44E0C">
        <w:rPr>
          <w:sz w:val="26"/>
          <w:szCs w:val="26"/>
        </w:rPr>
        <w:t>The Legislature has declared that “access to information concerning the conduct of the people’s business is a fundamental and necessary right of every person in this state.”</w:t>
      </w:r>
      <w:r w:rsidRPr="00A676AB">
        <w:rPr>
          <w:rStyle w:val="FootnoteReference"/>
          <w:b/>
          <w:bCs/>
          <w:sz w:val="26"/>
          <w:szCs w:val="26"/>
          <w:u w:val="single"/>
        </w:rPr>
        <w:footnoteReference w:id="3"/>
      </w:r>
      <w:r w:rsidRPr="00D44E0C">
        <w:rPr>
          <w:sz w:val="26"/>
          <w:szCs w:val="26"/>
        </w:rPr>
        <w:t xml:space="preserve"> </w:t>
      </w:r>
      <w:r w:rsidR="00772C0D">
        <w:rPr>
          <w:sz w:val="26"/>
          <w:szCs w:val="26"/>
        </w:rPr>
        <w:t xml:space="preserve"> </w:t>
      </w:r>
      <w:r w:rsidRPr="00D44E0C">
        <w:rPr>
          <w:bCs/>
          <w:sz w:val="26"/>
          <w:szCs w:val="26"/>
        </w:rPr>
        <w:t>The California Constitution, the CPRA, and discovery law favor disclosure of public records.</w:t>
      </w:r>
      <w:r w:rsidRPr="00D44E0C">
        <w:rPr>
          <w:rStyle w:val="LineNumber"/>
          <w:szCs w:val="26"/>
        </w:rPr>
        <w:t xml:space="preserve"> </w:t>
      </w:r>
      <w:r w:rsidR="00772C0D">
        <w:rPr>
          <w:rStyle w:val="LineNumber"/>
          <w:szCs w:val="26"/>
        </w:rPr>
        <w:t xml:space="preserve"> </w:t>
      </w:r>
      <w:r w:rsidRPr="00D44E0C">
        <w:rPr>
          <w:rStyle w:val="LineNumber"/>
          <w:szCs w:val="26"/>
        </w:rPr>
        <w:t>The public has constitutional and statutory rights to access most government information.</w:t>
      </w:r>
      <w:r w:rsidRPr="00A676AB">
        <w:rPr>
          <w:rStyle w:val="FootnoteReference"/>
          <w:b/>
          <w:sz w:val="26"/>
          <w:szCs w:val="26"/>
          <w:u w:val="single"/>
        </w:rPr>
        <w:footnoteReference w:id="4"/>
      </w:r>
      <w:r w:rsidRPr="00772C0D" w:rsidR="00772C0D">
        <w:rPr>
          <w:rStyle w:val="FootnoteReference"/>
          <w:bCs/>
          <w:sz w:val="26"/>
          <w:szCs w:val="26"/>
          <w:vertAlign w:val="baseline"/>
        </w:rPr>
        <w:t xml:space="preserve"> </w:t>
      </w:r>
      <w:r w:rsidRPr="00772C0D" w:rsidR="00772C0D">
        <w:rPr>
          <w:bCs/>
          <w:sz w:val="26"/>
          <w:szCs w:val="26"/>
        </w:rPr>
        <w:t xml:space="preserve"> </w:t>
      </w:r>
      <w:r w:rsidRPr="00D44E0C">
        <w:rPr>
          <w:sz w:val="26"/>
          <w:szCs w:val="26"/>
        </w:rPr>
        <w:t>The California Constitution’s mandate provides that the public has the right to access most Commission records. Cal. Const. Article I, § 3(b)(1) states:</w:t>
      </w:r>
    </w:p>
    <w:p w:rsidRPr="00D44E0C" w:rsidR="00D1673A" w:rsidP="00772C0D" w:rsidRDefault="00D1673A" w14:paraId="31388267" w14:textId="77777777">
      <w:pPr>
        <w:spacing w:after="240"/>
        <w:ind w:left="720" w:right="2160"/>
        <w:rPr>
          <w:sz w:val="26"/>
          <w:szCs w:val="26"/>
        </w:rPr>
      </w:pPr>
      <w:r w:rsidRPr="00D44E0C">
        <w:rPr>
          <w:sz w:val="26"/>
          <w:szCs w:val="26"/>
        </w:rPr>
        <w:lastRenderedPageBreak/>
        <w:t>The people have the right of access to information concerning the conduct of the people's business, and, therefore, the meetings of public bodies and the writings of public officials and agencies shall be open to public scrutiny.</w:t>
      </w:r>
      <w:r w:rsidRPr="00A676AB">
        <w:rPr>
          <w:rStyle w:val="FootnoteReference"/>
          <w:b/>
          <w:bCs/>
          <w:sz w:val="26"/>
          <w:szCs w:val="26"/>
          <w:u w:val="single"/>
        </w:rPr>
        <w:footnoteReference w:id="5"/>
      </w:r>
    </w:p>
    <w:p w:rsidR="00D1673A" w:rsidP="00772C0D" w:rsidRDefault="00D1673A" w14:paraId="5FEF7492" w14:textId="5EC97DF5">
      <w:pPr>
        <w:rPr>
          <w:bCs/>
          <w:sz w:val="26"/>
          <w:szCs w:val="26"/>
        </w:rPr>
      </w:pPr>
      <w:r>
        <w:rPr>
          <w:sz w:val="26"/>
          <w:szCs w:val="26"/>
        </w:rPr>
        <w:t>T</w:t>
      </w:r>
      <w:r w:rsidRPr="00D44E0C">
        <w:rPr>
          <w:sz w:val="26"/>
          <w:szCs w:val="26"/>
        </w:rPr>
        <w:t>he California Public Records Act (CPRA) requires that public agency records be open to public inspection unless they are exempt from disclosure under the provisions of the CPRA.</w:t>
      </w:r>
      <w:r w:rsidRPr="00A676AB">
        <w:rPr>
          <w:rStyle w:val="FootnoteReference"/>
          <w:b/>
          <w:bCs/>
          <w:sz w:val="26"/>
          <w:szCs w:val="26"/>
          <w:u w:val="single"/>
        </w:rPr>
        <w:footnoteReference w:id="6"/>
      </w:r>
      <w:r w:rsidRPr="00D44E0C">
        <w:rPr>
          <w:sz w:val="26"/>
          <w:szCs w:val="26"/>
        </w:rPr>
        <w:t xml:space="preserve"> </w:t>
      </w:r>
      <w:r w:rsidR="00772C0D">
        <w:rPr>
          <w:sz w:val="26"/>
          <w:szCs w:val="26"/>
        </w:rPr>
        <w:t xml:space="preserve"> </w:t>
      </w:r>
      <w:r w:rsidRPr="00D44E0C">
        <w:rPr>
          <w:sz w:val="26"/>
          <w:szCs w:val="26"/>
        </w:rPr>
        <w:t>Agencies must justify withholding a public record in response to a CPRA request on the basis of specific exemptions in the CPRA or upon a showing that on the facts of the particular case the public interest in nondisclosure clearly outweighs the public interest in disclosure.</w:t>
      </w:r>
      <w:r w:rsidRPr="00D44E0C">
        <w:rPr>
          <w:rStyle w:val="FootnoteReference"/>
          <w:b/>
          <w:sz w:val="26"/>
          <w:szCs w:val="26"/>
          <w:u w:val="single"/>
        </w:rPr>
        <w:footnoteReference w:id="7"/>
      </w:r>
    </w:p>
    <w:p w:rsidRPr="00D44E0C" w:rsidR="00772C0D" w:rsidP="00772C0D" w:rsidRDefault="00772C0D" w14:paraId="7B373DF9" w14:textId="77777777">
      <w:pPr>
        <w:rPr>
          <w:sz w:val="26"/>
          <w:szCs w:val="26"/>
        </w:rPr>
      </w:pPr>
    </w:p>
    <w:p w:rsidR="00D1673A" w:rsidP="00772C0D" w:rsidRDefault="00D1673A" w14:paraId="0057E600" w14:textId="4F73DB96">
      <w:pPr>
        <w:rPr>
          <w:sz w:val="26"/>
          <w:szCs w:val="26"/>
        </w:rPr>
      </w:pPr>
      <w:r w:rsidRPr="00D44E0C">
        <w:rPr>
          <w:sz w:val="26"/>
          <w:szCs w:val="26"/>
        </w:rPr>
        <w:t>The CPRA requires the Commission to adopt written guidelines for access to agency records, and requires that such regulations and guidelines be consistent with the CPRA and reflect the intention of the Legislature to make agency records accessible to the public.</w:t>
      </w:r>
      <w:r w:rsidRPr="00A676AB">
        <w:rPr>
          <w:rStyle w:val="FootnoteReference"/>
          <w:b/>
          <w:bCs/>
          <w:sz w:val="26"/>
          <w:szCs w:val="26"/>
          <w:u w:val="single"/>
        </w:rPr>
        <w:footnoteReference w:id="8"/>
      </w:r>
      <w:r w:rsidRPr="00D44E0C">
        <w:rPr>
          <w:sz w:val="26"/>
          <w:szCs w:val="26"/>
        </w:rPr>
        <w:t xml:space="preserve"> </w:t>
      </w:r>
      <w:r w:rsidR="00772C0D">
        <w:rPr>
          <w:sz w:val="26"/>
          <w:szCs w:val="26"/>
        </w:rPr>
        <w:t xml:space="preserve"> </w:t>
      </w:r>
      <w:r w:rsidRPr="00D44E0C">
        <w:rPr>
          <w:sz w:val="26"/>
          <w:szCs w:val="26"/>
        </w:rPr>
        <w:t>General Order 66-D (“G.O. 66-D”), effective January 1, 2018, constitutes the Commission’s current guidelines for access to its records, and reflects the intention to make Commission records more accessible.</w:t>
      </w:r>
      <w:r w:rsidRPr="00A676AB">
        <w:rPr>
          <w:rStyle w:val="FootnoteReference"/>
          <w:b/>
          <w:bCs/>
          <w:sz w:val="26"/>
          <w:szCs w:val="26"/>
          <w:u w:val="single"/>
        </w:rPr>
        <w:footnoteReference w:id="9"/>
      </w:r>
      <w:r w:rsidRPr="00D44E0C">
        <w:rPr>
          <w:sz w:val="26"/>
          <w:szCs w:val="26"/>
        </w:rPr>
        <w:t xml:space="preserve"> </w:t>
      </w:r>
      <w:r w:rsidR="00A676AB">
        <w:rPr>
          <w:sz w:val="26"/>
          <w:szCs w:val="26"/>
        </w:rPr>
        <w:t xml:space="preserve"> </w:t>
      </w:r>
      <w:r w:rsidRPr="00D44E0C">
        <w:rPr>
          <w:sz w:val="26"/>
          <w:szCs w:val="26"/>
        </w:rPr>
        <w:t xml:space="preserve">G.O. 66-D also sets forth the requirements that a person must comply with in requesting confidential treatment of information submitted to the Commission. </w:t>
      </w:r>
      <w:r w:rsidR="00772C0D">
        <w:rPr>
          <w:sz w:val="26"/>
          <w:szCs w:val="26"/>
        </w:rPr>
        <w:t xml:space="preserve"> </w:t>
      </w:r>
      <w:r w:rsidRPr="00D44E0C">
        <w:rPr>
          <w:sz w:val="26"/>
          <w:szCs w:val="26"/>
        </w:rPr>
        <w:t xml:space="preserve">This Resolution applies the forgoing legal standards to the </w:t>
      </w:r>
      <w:r w:rsidRPr="00D44E0C">
        <w:rPr>
          <w:sz w:val="26"/>
          <w:szCs w:val="26"/>
        </w:rPr>
        <w:lastRenderedPageBreak/>
        <w:t>information submitters’ claims for confidential treatment for their autonomous vehicle permit applications.</w:t>
      </w:r>
    </w:p>
    <w:p w:rsidRPr="00D44E0C" w:rsidR="00570D1D" w:rsidP="00772C0D" w:rsidRDefault="00570D1D" w14:paraId="2ABBDFD0" w14:textId="77777777">
      <w:pPr>
        <w:rPr>
          <w:sz w:val="26"/>
          <w:szCs w:val="26"/>
        </w:rPr>
      </w:pPr>
    </w:p>
    <w:p w:rsidRPr="00D44E0C" w:rsidR="00D1673A" w:rsidP="00A45D1C" w:rsidRDefault="00D1673A" w14:paraId="471F4320" w14:textId="77777777">
      <w:pPr>
        <w:pStyle w:val="Heading1"/>
      </w:pPr>
      <w:r w:rsidRPr="00D44E0C">
        <w:t>AV Applications without Confidentiality Claims</w:t>
      </w:r>
      <w:r>
        <w:t xml:space="preserve"> </w:t>
      </w:r>
    </w:p>
    <w:p w:rsidRPr="00D44E0C" w:rsidR="00D1673A" w:rsidP="00940D44" w:rsidRDefault="00D1673A" w14:paraId="155EF427" w14:textId="77777777">
      <w:pPr>
        <w:pStyle w:val="BodyText"/>
        <w:spacing w:after="120"/>
        <w:rPr>
          <w:color w:val="000000" w:themeColor="text1"/>
          <w:szCs w:val="26"/>
        </w:rPr>
      </w:pPr>
      <w:r w:rsidRPr="00D44E0C">
        <w:rPr>
          <w:color w:val="000000" w:themeColor="text1"/>
          <w:szCs w:val="26"/>
        </w:rPr>
        <w:t>G.O. 66-D Section 5.2</w:t>
      </w:r>
      <w:r>
        <w:rPr>
          <w:color w:val="000000" w:themeColor="text1"/>
          <w:szCs w:val="26"/>
        </w:rPr>
        <w:t>, which</w:t>
      </w:r>
      <w:r w:rsidRPr="00D44E0C">
        <w:rPr>
          <w:color w:val="000000" w:themeColor="text1"/>
          <w:szCs w:val="26"/>
        </w:rPr>
        <w:t xml:space="preserve"> applies to records without confidentiality claims furnished to the Commission on or after January 1, 2018. G.O. 66-D Section 5.2</w:t>
      </w:r>
      <w:r>
        <w:rPr>
          <w:color w:val="000000" w:themeColor="text1"/>
          <w:szCs w:val="26"/>
        </w:rPr>
        <w:t>,</w:t>
      </w:r>
      <w:r w:rsidRPr="00D44E0C">
        <w:rPr>
          <w:color w:val="000000" w:themeColor="text1"/>
          <w:szCs w:val="26"/>
        </w:rPr>
        <w:t xml:space="preserve"> states:</w:t>
      </w:r>
    </w:p>
    <w:p w:rsidR="00D1673A" w:rsidP="00570D1D" w:rsidRDefault="00D1673A" w14:paraId="76C92FA4" w14:textId="77777777">
      <w:pPr>
        <w:pStyle w:val="BodyText"/>
        <w:spacing w:after="240"/>
        <w:ind w:left="720" w:right="2160"/>
        <w:rPr>
          <w:color w:val="000000" w:themeColor="text1"/>
          <w:szCs w:val="26"/>
        </w:rPr>
      </w:pPr>
      <w:r w:rsidRPr="00D44E0C">
        <w:rPr>
          <w:color w:val="000000" w:themeColor="text1"/>
          <w:szCs w:val="26"/>
        </w:rPr>
        <w:t xml:space="preserve">information submitted to the Commission with no claim of confidentiality at all may be released to the public without further action by the </w:t>
      </w:r>
      <w:proofErr w:type="gramStart"/>
      <w:r w:rsidRPr="00D44E0C">
        <w:rPr>
          <w:color w:val="000000" w:themeColor="text1"/>
          <w:szCs w:val="26"/>
        </w:rPr>
        <w:t>Commission, unless</w:t>
      </w:r>
      <w:proofErr w:type="gramEnd"/>
      <w:r w:rsidRPr="00D44E0C">
        <w:rPr>
          <w:color w:val="000000" w:themeColor="text1"/>
          <w:szCs w:val="26"/>
        </w:rPr>
        <w:t xml:space="preserve"> the Commission withholds the information per an exemption of the CPRA.</w:t>
      </w:r>
    </w:p>
    <w:p w:rsidRPr="006B555A" w:rsidR="00D1673A" w:rsidP="00D1673A" w:rsidRDefault="00D1673A" w14:paraId="1F359E9E" w14:textId="3CFB5E94">
      <w:pPr>
        <w:pStyle w:val="BodyText"/>
        <w:spacing w:after="240"/>
        <w:ind w:right="720"/>
        <w:rPr>
          <w:color w:val="000000" w:themeColor="text1"/>
          <w:szCs w:val="26"/>
        </w:rPr>
      </w:pPr>
      <w:r>
        <w:rPr>
          <w:color w:val="000000" w:themeColor="text1"/>
          <w:szCs w:val="26"/>
        </w:rPr>
        <w:t xml:space="preserve">There are several autonomous vehicle applications that did not file confidentiality claims at all. </w:t>
      </w:r>
      <w:r w:rsidR="00570D1D">
        <w:rPr>
          <w:color w:val="000000" w:themeColor="text1"/>
          <w:szCs w:val="26"/>
        </w:rPr>
        <w:t xml:space="preserve"> </w:t>
      </w:r>
      <w:r>
        <w:rPr>
          <w:color w:val="000000" w:themeColor="text1"/>
          <w:szCs w:val="26"/>
        </w:rPr>
        <w:t xml:space="preserve">The Commission will release them to the public. </w:t>
      </w:r>
      <w:r w:rsidR="00570D1D">
        <w:rPr>
          <w:color w:val="000000" w:themeColor="text1"/>
          <w:szCs w:val="26"/>
        </w:rPr>
        <w:t xml:space="preserve"> </w:t>
      </w:r>
      <w:r>
        <w:rPr>
          <w:color w:val="000000" w:themeColor="text1"/>
          <w:szCs w:val="26"/>
        </w:rPr>
        <w:t xml:space="preserve">They will be redacted according to this Resolution as well. </w:t>
      </w:r>
    </w:p>
    <w:p w:rsidRPr="00D44E0C" w:rsidR="00D1673A" w:rsidP="00A45D1C" w:rsidRDefault="00D1673A" w14:paraId="6712C693" w14:textId="77777777">
      <w:pPr>
        <w:pStyle w:val="Heading1"/>
      </w:pPr>
      <w:r w:rsidRPr="00D44E0C">
        <w:t>AV Applications with Confidentiality Claims</w:t>
      </w:r>
    </w:p>
    <w:p w:rsidRPr="00D44E0C" w:rsidR="00D1673A" w:rsidP="00D1673A" w:rsidRDefault="00D1673A" w14:paraId="5658D190" w14:textId="1AC48A9A">
      <w:pPr>
        <w:pStyle w:val="BodyText"/>
        <w:spacing w:before="120" w:after="240"/>
        <w:rPr>
          <w:szCs w:val="26"/>
        </w:rPr>
      </w:pPr>
      <w:r w:rsidRPr="00D44E0C">
        <w:rPr>
          <w:szCs w:val="26"/>
        </w:rPr>
        <w:t xml:space="preserve">Seven companies have filed applications and received AV operating permits from the CPUC. Only </w:t>
      </w:r>
      <w:r>
        <w:rPr>
          <w:szCs w:val="26"/>
        </w:rPr>
        <w:t>five</w:t>
      </w:r>
      <w:r w:rsidRPr="00D44E0C">
        <w:rPr>
          <w:szCs w:val="26"/>
        </w:rPr>
        <w:t xml:space="preserve"> companies, Aurora, Cruise, Waymo</w:t>
      </w:r>
      <w:r>
        <w:rPr>
          <w:szCs w:val="26"/>
        </w:rPr>
        <w:t>, Motional,</w:t>
      </w:r>
      <w:r w:rsidRPr="00D44E0C">
        <w:rPr>
          <w:szCs w:val="26"/>
        </w:rPr>
        <w:t xml:space="preserve"> and </w:t>
      </w:r>
      <w:proofErr w:type="spellStart"/>
      <w:r w:rsidRPr="00D44E0C">
        <w:rPr>
          <w:szCs w:val="26"/>
        </w:rPr>
        <w:t>Zoox</w:t>
      </w:r>
      <w:proofErr w:type="spellEnd"/>
      <w:r w:rsidRPr="00D44E0C">
        <w:rPr>
          <w:szCs w:val="26"/>
        </w:rPr>
        <w:t>, filed confidentiality claims along with their applications.</w:t>
      </w:r>
      <w:r w:rsidRPr="00A676AB">
        <w:rPr>
          <w:rStyle w:val="FootnoteReference"/>
          <w:b/>
          <w:bCs/>
          <w:szCs w:val="26"/>
          <w:u w:val="single"/>
        </w:rPr>
        <w:footnoteReference w:id="10"/>
      </w:r>
      <w:r w:rsidRPr="00D44E0C">
        <w:rPr>
          <w:szCs w:val="26"/>
        </w:rPr>
        <w:t xml:space="preserve"> </w:t>
      </w:r>
      <w:r w:rsidR="004B6C38">
        <w:rPr>
          <w:szCs w:val="26"/>
        </w:rPr>
        <w:t xml:space="preserve"> </w:t>
      </w:r>
      <w:r w:rsidR="00760930">
        <w:rPr>
          <w:szCs w:val="26"/>
        </w:rPr>
        <w:t>Pony</w:t>
      </w:r>
      <w:r w:rsidR="00C91D36">
        <w:rPr>
          <w:szCs w:val="26"/>
        </w:rPr>
        <w:t>.</w:t>
      </w:r>
      <w:r w:rsidR="00760930">
        <w:rPr>
          <w:szCs w:val="26"/>
        </w:rPr>
        <w:t xml:space="preserve">AI and </w:t>
      </w:r>
      <w:proofErr w:type="spellStart"/>
      <w:r w:rsidR="00760930">
        <w:rPr>
          <w:szCs w:val="26"/>
        </w:rPr>
        <w:t>AutoX</w:t>
      </w:r>
      <w:proofErr w:type="spellEnd"/>
      <w:r w:rsidR="00760930">
        <w:rPr>
          <w:szCs w:val="26"/>
        </w:rPr>
        <w:t xml:space="preserve"> did not file confidentiality claims along with their applications. The companies which did not file confidentiality claims will be redacted according to this Resolution.</w:t>
      </w:r>
    </w:p>
    <w:p w:rsidRPr="00D44E0C" w:rsidR="00D1673A" w:rsidP="00A45D1C" w:rsidRDefault="00D1673A" w14:paraId="286C6B30" w14:textId="77777777">
      <w:pPr>
        <w:pStyle w:val="Heading2"/>
      </w:pPr>
      <w:r w:rsidRPr="00D44E0C">
        <w:t>Procedural Requirements of G.O. 66-D</w:t>
      </w:r>
    </w:p>
    <w:p w:rsidRPr="00D44E0C" w:rsidR="00D1673A" w:rsidP="00D1673A" w:rsidRDefault="00D1673A" w14:paraId="6258DD2A" w14:textId="1E857E13">
      <w:pPr>
        <w:pStyle w:val="BodyText"/>
        <w:spacing w:after="240"/>
        <w:rPr>
          <w:color w:val="000000" w:themeColor="text1"/>
          <w:szCs w:val="26"/>
          <w:highlight w:val="yellow"/>
        </w:rPr>
      </w:pPr>
      <w:r w:rsidRPr="00D44E0C">
        <w:rPr>
          <w:szCs w:val="26"/>
        </w:rPr>
        <w:t xml:space="preserve">The procedural requirements to file confidentiality claims are outlined in G.O. 66-D </w:t>
      </w:r>
      <w:r w:rsidRPr="00152281">
        <w:rPr>
          <w:color w:val="202124"/>
          <w:shd w:val="clear" w:color="auto" w:fill="FFFFFF"/>
        </w:rPr>
        <w:t>§</w:t>
      </w:r>
      <w:r w:rsidR="00023994">
        <w:rPr>
          <w:color w:val="202124"/>
          <w:shd w:val="clear" w:color="auto" w:fill="FFFFFF"/>
        </w:rPr>
        <w:t> </w:t>
      </w:r>
      <w:r w:rsidRPr="00D44E0C">
        <w:rPr>
          <w:szCs w:val="26"/>
        </w:rPr>
        <w:t xml:space="preserve">3.2. G.O. </w:t>
      </w:r>
      <w:r w:rsidR="00CA1EC4">
        <w:rPr>
          <w:szCs w:val="26"/>
        </w:rPr>
        <w:t xml:space="preserve"> </w:t>
      </w:r>
      <w:r w:rsidRPr="00D44E0C">
        <w:rPr>
          <w:szCs w:val="26"/>
        </w:rPr>
        <w:t>66-D Section 3.2 states the information submitter bears the burden of proving the reasons why the Commission sh</w:t>
      </w:r>
      <w:r>
        <w:rPr>
          <w:szCs w:val="26"/>
        </w:rPr>
        <w:t>ould</w:t>
      </w:r>
      <w:r w:rsidRPr="00D44E0C">
        <w:rPr>
          <w:szCs w:val="26"/>
        </w:rPr>
        <w:t xml:space="preserve"> withhold any information, or any portion thereof, from the public.</w:t>
      </w:r>
      <w:r w:rsidRPr="00A676AB">
        <w:rPr>
          <w:rStyle w:val="FootnoteReference"/>
          <w:b/>
          <w:bCs/>
          <w:color w:val="000000" w:themeColor="text1"/>
          <w:szCs w:val="26"/>
          <w:u w:val="single"/>
        </w:rPr>
        <w:footnoteReference w:id="11"/>
      </w:r>
      <w:r w:rsidRPr="00D44E0C">
        <w:rPr>
          <w:color w:val="000000" w:themeColor="text1"/>
          <w:szCs w:val="26"/>
        </w:rPr>
        <w:t xml:space="preserve"> </w:t>
      </w:r>
      <w:r w:rsidR="00CA1EC4">
        <w:rPr>
          <w:color w:val="000000" w:themeColor="text1"/>
          <w:szCs w:val="26"/>
        </w:rPr>
        <w:t xml:space="preserve"> </w:t>
      </w:r>
      <w:r w:rsidRPr="00D44E0C">
        <w:rPr>
          <w:szCs w:val="26"/>
        </w:rPr>
        <w:t>To obtain confidential treatment of information submitted to the Commission, all the following conditions must be met:</w:t>
      </w:r>
    </w:p>
    <w:p w:rsidR="00A45D1C" w:rsidP="00A45D1C" w:rsidRDefault="00D1673A" w14:paraId="41C6BCF8" w14:textId="77777777">
      <w:pPr>
        <w:pStyle w:val="BodyText"/>
        <w:spacing w:after="240"/>
        <w:ind w:left="1080" w:right="2160" w:hanging="360"/>
        <w:rPr>
          <w:szCs w:val="26"/>
        </w:rPr>
      </w:pPr>
      <w:r w:rsidRPr="00D44E0C">
        <w:rPr>
          <w:szCs w:val="26"/>
        </w:rPr>
        <w:t xml:space="preserve">(a) the information submitter must designate each page, section, or field, or any portion thereof, as confidential… </w:t>
      </w:r>
    </w:p>
    <w:p w:rsidR="00A45D1C" w:rsidP="00A45D1C" w:rsidRDefault="00D1673A" w14:paraId="30E2A1E9" w14:textId="77777777">
      <w:pPr>
        <w:pStyle w:val="BodyText"/>
        <w:spacing w:after="240"/>
        <w:ind w:left="1080" w:right="2160" w:hanging="360"/>
        <w:rPr>
          <w:szCs w:val="26"/>
        </w:rPr>
      </w:pPr>
      <w:r w:rsidRPr="00D44E0C">
        <w:rPr>
          <w:szCs w:val="26"/>
        </w:rPr>
        <w:t xml:space="preserve">(b) specify the basis for the Commission to provide confidential treatment with specific citation to an applicable provision of the CPRA. A citation or general marking of confidentiality, such as “GO-66” and/or </w:t>
      </w:r>
      <w:r w:rsidRPr="00D44E0C">
        <w:rPr>
          <w:szCs w:val="26"/>
        </w:rPr>
        <w:lastRenderedPageBreak/>
        <w:t xml:space="preserve">“Public Utilities Code Section 583” without additional justification of confidentiality does not satisfy the information submitter’s burden to establish a basis for confidential treatment… </w:t>
      </w:r>
    </w:p>
    <w:p w:rsidR="00A45D1C" w:rsidP="00A45D1C" w:rsidRDefault="00D1673A" w14:paraId="55E62CCD" w14:textId="77777777">
      <w:pPr>
        <w:pStyle w:val="BodyText"/>
        <w:spacing w:after="240"/>
        <w:ind w:left="1080" w:right="2160" w:hanging="360"/>
        <w:rPr>
          <w:szCs w:val="26"/>
        </w:rPr>
      </w:pPr>
      <w:r w:rsidRPr="00D44E0C">
        <w:rPr>
          <w:szCs w:val="26"/>
        </w:rPr>
        <w:t xml:space="preserve">(c) provide a declaration in support of the legal authority cited in Section 3.2(b) of this GO signed by an officer of the information submitter or by an employee or agent designated by an officer. </w:t>
      </w:r>
      <w:r w:rsidR="00CA1EC4">
        <w:rPr>
          <w:szCs w:val="26"/>
        </w:rPr>
        <w:t xml:space="preserve"> </w:t>
      </w:r>
      <w:r w:rsidRPr="00D44E0C">
        <w:rPr>
          <w:szCs w:val="26"/>
        </w:rPr>
        <w:t xml:space="preserve">The officer delegating signing authority to an employee or agent must be identified in the declaration. </w:t>
      </w:r>
    </w:p>
    <w:p w:rsidRPr="00D44E0C" w:rsidR="00D1673A" w:rsidP="00A45D1C" w:rsidRDefault="00D1673A" w14:paraId="06296E1A" w14:textId="61D22519">
      <w:pPr>
        <w:pStyle w:val="BodyText"/>
        <w:spacing w:after="240"/>
        <w:ind w:left="1080" w:right="2160" w:hanging="360"/>
        <w:rPr>
          <w:color w:val="000000" w:themeColor="text1"/>
          <w:szCs w:val="26"/>
          <w:highlight w:val="yellow"/>
        </w:rPr>
      </w:pPr>
      <w:r w:rsidRPr="00D44E0C">
        <w:rPr>
          <w:szCs w:val="26"/>
        </w:rPr>
        <w:t>(d) Provide a name and email address of the person for the Commission to contact regarding the potential release of information by the Commission per Section 5 of this GO.</w:t>
      </w:r>
      <w:r w:rsidRPr="00A676AB">
        <w:rPr>
          <w:rStyle w:val="FootnoteReference"/>
          <w:b/>
          <w:bCs/>
          <w:color w:val="000000" w:themeColor="text1"/>
          <w:szCs w:val="26"/>
          <w:u w:val="single"/>
        </w:rPr>
        <w:footnoteReference w:id="12"/>
      </w:r>
      <w:r w:rsidRPr="00D44E0C">
        <w:rPr>
          <w:color w:val="000000" w:themeColor="text1"/>
          <w:szCs w:val="26"/>
        </w:rPr>
        <w:t xml:space="preserve"> </w:t>
      </w:r>
    </w:p>
    <w:p w:rsidR="0035407A" w:rsidP="00CA1EC4" w:rsidRDefault="00D1673A" w14:paraId="793B997D" w14:textId="269C5B6D">
      <w:pPr>
        <w:pStyle w:val="BodyText"/>
        <w:spacing w:after="0"/>
        <w:rPr>
          <w:szCs w:val="26"/>
        </w:rPr>
      </w:pPr>
      <w:r w:rsidRPr="00D44E0C">
        <w:rPr>
          <w:szCs w:val="26"/>
        </w:rPr>
        <w:t xml:space="preserve">Aurora states the entirety of their application is confidential. </w:t>
      </w:r>
      <w:r w:rsidR="00CA1EC4">
        <w:rPr>
          <w:szCs w:val="26"/>
        </w:rPr>
        <w:t xml:space="preserve"> </w:t>
      </w:r>
      <w:r w:rsidRPr="00D44E0C">
        <w:rPr>
          <w:szCs w:val="26"/>
        </w:rPr>
        <w:t>Under a section titled “Confidential Information” Aurora states: “In accordance with General Order 66</w:t>
      </w:r>
      <w:r w:rsidR="00484768">
        <w:rPr>
          <w:szCs w:val="26"/>
        </w:rPr>
        <w:t>-</w:t>
      </w:r>
      <w:r w:rsidR="00CA1EC4">
        <w:rPr>
          <w:szCs w:val="26"/>
        </w:rPr>
        <w:t>D</w:t>
      </w:r>
      <w:r w:rsidRPr="00D44E0C">
        <w:rPr>
          <w:szCs w:val="26"/>
        </w:rPr>
        <w:t xml:space="preserve"> and California Government Code 6255, Aurora requests confidential treatment for the entirety of this application, including this letter, its attachments, and all enclosed forms submitted…”</w:t>
      </w:r>
    </w:p>
    <w:p w:rsidR="00A45D1C" w:rsidP="00CA1EC4" w:rsidRDefault="00A45D1C" w14:paraId="576C21F6" w14:textId="77777777">
      <w:pPr>
        <w:pStyle w:val="BodyText"/>
        <w:spacing w:after="0"/>
        <w:rPr>
          <w:szCs w:val="26"/>
        </w:rPr>
      </w:pPr>
    </w:p>
    <w:p w:rsidRPr="0035407A" w:rsidR="00D1673A" w:rsidP="00CA1EC4" w:rsidRDefault="00D1673A" w14:paraId="3D9AEA2A" w14:textId="300C8AA3">
      <w:pPr>
        <w:pStyle w:val="BodyText"/>
        <w:spacing w:after="0"/>
        <w:rPr>
          <w:szCs w:val="26"/>
        </w:rPr>
      </w:pPr>
      <w:proofErr w:type="spellStart"/>
      <w:r w:rsidRPr="00D44E0C">
        <w:rPr>
          <w:rFonts w:eastAsiaTheme="minorHAnsi"/>
          <w:szCs w:val="26"/>
        </w:rPr>
        <w:t>Zoox’s</w:t>
      </w:r>
      <w:proofErr w:type="spellEnd"/>
      <w:r w:rsidRPr="00D44E0C">
        <w:rPr>
          <w:rFonts w:eastAsiaTheme="minorHAnsi"/>
          <w:szCs w:val="26"/>
        </w:rPr>
        <w:t xml:space="preserve"> </w:t>
      </w:r>
      <w:proofErr w:type="spellStart"/>
      <w:r w:rsidRPr="00D44E0C">
        <w:rPr>
          <w:rFonts w:eastAsiaTheme="minorHAnsi"/>
          <w:szCs w:val="26"/>
        </w:rPr>
        <w:t>Drivered</w:t>
      </w:r>
      <w:proofErr w:type="spellEnd"/>
      <w:r w:rsidRPr="00D44E0C">
        <w:rPr>
          <w:rFonts w:eastAsiaTheme="minorHAnsi"/>
          <w:szCs w:val="26"/>
        </w:rPr>
        <w:t xml:space="preserve"> AV Pilot Application requested “pursuant to GO 66</w:t>
      </w:r>
      <w:r w:rsidR="00484768">
        <w:rPr>
          <w:rFonts w:eastAsiaTheme="minorHAnsi"/>
          <w:szCs w:val="26"/>
        </w:rPr>
        <w:t>-</w:t>
      </w:r>
      <w:r w:rsidRPr="00D44E0C">
        <w:rPr>
          <w:rFonts w:eastAsiaTheme="minorHAnsi"/>
          <w:szCs w:val="26"/>
        </w:rPr>
        <w:t>D” that five particular portions of their application be kept confidential.</w:t>
      </w:r>
      <w:r w:rsidRPr="00A676AB">
        <w:rPr>
          <w:rStyle w:val="FootnoteReference"/>
          <w:rFonts w:eastAsiaTheme="minorHAnsi"/>
          <w:b/>
          <w:bCs/>
          <w:szCs w:val="26"/>
          <w:u w:val="single"/>
        </w:rPr>
        <w:footnoteReference w:id="13"/>
      </w:r>
      <w:r w:rsidRPr="00D44E0C">
        <w:rPr>
          <w:rFonts w:eastAsiaTheme="minorHAnsi"/>
          <w:szCs w:val="26"/>
        </w:rPr>
        <w:t xml:space="preserve"> </w:t>
      </w:r>
    </w:p>
    <w:p w:rsidR="00484768" w:rsidP="00D1673A" w:rsidRDefault="00484768" w14:paraId="3F4C8EAA" w14:textId="77777777">
      <w:pPr>
        <w:autoSpaceDE w:val="0"/>
        <w:autoSpaceDN w:val="0"/>
        <w:adjustRightInd w:val="0"/>
        <w:rPr>
          <w:rFonts w:eastAsiaTheme="minorHAnsi"/>
          <w:color w:val="000000" w:themeColor="text1"/>
          <w:sz w:val="26"/>
          <w:szCs w:val="26"/>
        </w:rPr>
      </w:pPr>
    </w:p>
    <w:p w:rsidR="00D1673A" w:rsidP="00D1673A" w:rsidRDefault="00D1673A" w14:paraId="7B161FFA" w14:textId="7709EDCA">
      <w:pPr>
        <w:autoSpaceDE w:val="0"/>
        <w:autoSpaceDN w:val="0"/>
        <w:adjustRightInd w:val="0"/>
        <w:rPr>
          <w:sz w:val="26"/>
          <w:szCs w:val="26"/>
        </w:rPr>
      </w:pPr>
      <w:r>
        <w:rPr>
          <w:rFonts w:eastAsiaTheme="minorHAnsi"/>
          <w:color w:val="000000" w:themeColor="text1"/>
          <w:sz w:val="26"/>
          <w:szCs w:val="26"/>
        </w:rPr>
        <w:t xml:space="preserve">Aurora and </w:t>
      </w:r>
      <w:proofErr w:type="spellStart"/>
      <w:r>
        <w:rPr>
          <w:rFonts w:eastAsiaTheme="minorHAnsi"/>
          <w:color w:val="000000" w:themeColor="text1"/>
          <w:sz w:val="26"/>
          <w:szCs w:val="26"/>
        </w:rPr>
        <w:t>Zoox</w:t>
      </w:r>
      <w:r w:rsidRPr="00D44E0C">
        <w:rPr>
          <w:rFonts w:eastAsiaTheme="minorHAnsi"/>
          <w:color w:val="000000" w:themeColor="text1"/>
          <w:sz w:val="26"/>
          <w:szCs w:val="26"/>
        </w:rPr>
        <w:t>’s</w:t>
      </w:r>
      <w:proofErr w:type="spellEnd"/>
      <w:r w:rsidRPr="00D44E0C">
        <w:rPr>
          <w:rFonts w:eastAsiaTheme="minorHAnsi"/>
          <w:color w:val="000000" w:themeColor="text1"/>
          <w:sz w:val="26"/>
          <w:szCs w:val="26"/>
        </w:rPr>
        <w:t xml:space="preserve"> initial applications’ confidentiality claims do not meet all the minimal requirements of G.O. 66-D Section 3.2. These confidentiality claims are general markings of confidentiality, without additional justification. </w:t>
      </w:r>
      <w:r w:rsidRPr="00D44E0C">
        <w:rPr>
          <w:sz w:val="26"/>
          <w:szCs w:val="26"/>
        </w:rPr>
        <w:t xml:space="preserve">G.O. 66-D </w:t>
      </w:r>
      <w:r w:rsidRPr="00152281">
        <w:rPr>
          <w:color w:val="202124"/>
          <w:sz w:val="26"/>
          <w:szCs w:val="26"/>
          <w:shd w:val="clear" w:color="auto" w:fill="FFFFFF"/>
        </w:rPr>
        <w:t>§</w:t>
      </w:r>
      <w:r>
        <w:rPr>
          <w:color w:val="202124"/>
          <w:shd w:val="clear" w:color="auto" w:fill="FFFFFF"/>
        </w:rPr>
        <w:t xml:space="preserve"> </w:t>
      </w:r>
      <w:r w:rsidRPr="00D44E0C">
        <w:rPr>
          <w:sz w:val="26"/>
          <w:szCs w:val="26"/>
        </w:rPr>
        <w:t>3.2(b) specifically warns that this does not satisfy the information submitter’s burden to establish a basis for confidential treatment.</w:t>
      </w:r>
      <w:r w:rsidRPr="00A676AB">
        <w:rPr>
          <w:rStyle w:val="FootnoteReference"/>
          <w:b/>
          <w:bCs/>
          <w:sz w:val="26"/>
          <w:szCs w:val="26"/>
          <w:u w:val="single"/>
        </w:rPr>
        <w:footnoteReference w:id="14"/>
      </w:r>
      <w:r w:rsidRPr="00D44E0C">
        <w:rPr>
          <w:sz w:val="26"/>
          <w:szCs w:val="26"/>
        </w:rPr>
        <w:t xml:space="preserve"> </w:t>
      </w:r>
      <w:r w:rsidR="00484768">
        <w:rPr>
          <w:sz w:val="26"/>
          <w:szCs w:val="26"/>
        </w:rPr>
        <w:t xml:space="preserve"> </w:t>
      </w:r>
      <w:r w:rsidRPr="00D44E0C">
        <w:rPr>
          <w:sz w:val="26"/>
          <w:szCs w:val="26"/>
        </w:rPr>
        <w:t>Additionally, confidentiality claims must be signed with an officer’s signature and a contact must be provided.</w:t>
      </w:r>
      <w:r w:rsidRPr="00A676AB">
        <w:rPr>
          <w:rStyle w:val="FootnoteReference"/>
          <w:b/>
          <w:bCs/>
          <w:sz w:val="26"/>
          <w:szCs w:val="26"/>
          <w:u w:val="single"/>
        </w:rPr>
        <w:footnoteReference w:id="15"/>
      </w:r>
    </w:p>
    <w:p w:rsidR="00D1673A" w:rsidP="00D1673A" w:rsidRDefault="00D1673A" w14:paraId="1AD5A80B" w14:textId="77777777">
      <w:pPr>
        <w:autoSpaceDE w:val="0"/>
        <w:autoSpaceDN w:val="0"/>
        <w:adjustRightInd w:val="0"/>
        <w:rPr>
          <w:sz w:val="26"/>
          <w:szCs w:val="26"/>
        </w:rPr>
      </w:pPr>
    </w:p>
    <w:p w:rsidR="00D1673A" w:rsidP="00D1673A" w:rsidRDefault="00D1673A" w14:paraId="119C68F8" w14:textId="6A5FD180">
      <w:pPr>
        <w:autoSpaceDE w:val="0"/>
        <w:autoSpaceDN w:val="0"/>
        <w:adjustRightInd w:val="0"/>
        <w:rPr>
          <w:sz w:val="26"/>
          <w:szCs w:val="26"/>
        </w:rPr>
      </w:pPr>
      <w:r w:rsidRPr="007076FA">
        <w:rPr>
          <w:sz w:val="26"/>
          <w:szCs w:val="26"/>
        </w:rPr>
        <w:t xml:space="preserve">Cruise states within PL739-A, all information in the fields (1) California Driver License No., (2) Birth Date, and (3) Full name of driver, are confidential. </w:t>
      </w:r>
      <w:r w:rsidR="00484768">
        <w:rPr>
          <w:sz w:val="26"/>
          <w:szCs w:val="26"/>
        </w:rPr>
        <w:t xml:space="preserve"> </w:t>
      </w:r>
      <w:r w:rsidRPr="007076FA">
        <w:rPr>
          <w:sz w:val="26"/>
          <w:szCs w:val="26"/>
        </w:rPr>
        <w:t xml:space="preserve">Also, Cruise asserts the entirety of the forms TL706-F3 the profit and loss statement, the certificate of liability </w:t>
      </w:r>
      <w:r w:rsidRPr="007076FA">
        <w:rPr>
          <w:sz w:val="26"/>
          <w:szCs w:val="26"/>
        </w:rPr>
        <w:lastRenderedPageBreak/>
        <w:t xml:space="preserve">insurance, the statement and map of their operational design domain, and Cruise’s Staffing Services Agreement with Aerotek, Inc. are confidential. </w:t>
      </w:r>
      <w:r w:rsidR="00484768">
        <w:rPr>
          <w:sz w:val="26"/>
          <w:szCs w:val="26"/>
        </w:rPr>
        <w:t xml:space="preserve"> </w:t>
      </w:r>
      <w:r w:rsidRPr="007076FA">
        <w:rPr>
          <w:sz w:val="26"/>
          <w:szCs w:val="26"/>
        </w:rPr>
        <w:t xml:space="preserve">Cruise </w:t>
      </w:r>
      <w:proofErr w:type="gramStart"/>
      <w:r w:rsidRPr="007076FA">
        <w:rPr>
          <w:sz w:val="26"/>
          <w:szCs w:val="26"/>
        </w:rPr>
        <w:t>cites to</w:t>
      </w:r>
      <w:proofErr w:type="gramEnd"/>
      <w:r w:rsidRPr="007076FA">
        <w:rPr>
          <w:sz w:val="26"/>
          <w:szCs w:val="26"/>
        </w:rPr>
        <w:t xml:space="preserve"> specific statutes to support their claims of </w:t>
      </w:r>
      <w:r w:rsidRPr="002976C1">
        <w:rPr>
          <w:sz w:val="26"/>
          <w:szCs w:val="26"/>
        </w:rPr>
        <w:t xml:space="preserve">confidentiality by document, with supporting justification. </w:t>
      </w:r>
    </w:p>
    <w:p w:rsidRPr="002976C1" w:rsidR="00A45D1C" w:rsidP="00D1673A" w:rsidRDefault="00A45D1C" w14:paraId="78F5145B" w14:textId="77777777">
      <w:pPr>
        <w:autoSpaceDE w:val="0"/>
        <w:autoSpaceDN w:val="0"/>
        <w:adjustRightInd w:val="0"/>
        <w:rPr>
          <w:sz w:val="26"/>
          <w:szCs w:val="26"/>
        </w:rPr>
      </w:pPr>
    </w:p>
    <w:p w:rsidRPr="007076FA" w:rsidR="00D1673A" w:rsidP="00D1673A" w:rsidRDefault="00D1673A" w14:paraId="475BC6F2" w14:textId="2990C0FC">
      <w:pPr>
        <w:autoSpaceDE w:val="0"/>
        <w:autoSpaceDN w:val="0"/>
        <w:adjustRightInd w:val="0"/>
        <w:rPr>
          <w:sz w:val="26"/>
          <w:szCs w:val="26"/>
        </w:rPr>
      </w:pPr>
      <w:r w:rsidRPr="007076FA">
        <w:rPr>
          <w:sz w:val="26"/>
          <w:szCs w:val="26"/>
        </w:rPr>
        <w:t>Motional requests confidential treatment for the operator names, personal addresses, phone numbers, and driver’s license numbers, and AVT numbers, on DMV AV Test Vehicle Operator Permits, phone number on the DMV AVT program manufacturer permit, and the requester account number listed on the DMV Employer Pull Notice (EPN) agreement.</w:t>
      </w:r>
      <w:r w:rsidR="00484768">
        <w:rPr>
          <w:sz w:val="26"/>
          <w:szCs w:val="26"/>
        </w:rPr>
        <w:t xml:space="preserve"> </w:t>
      </w:r>
      <w:r w:rsidRPr="007076FA">
        <w:rPr>
          <w:sz w:val="26"/>
          <w:szCs w:val="26"/>
        </w:rPr>
        <w:t xml:space="preserve"> In their entirety, Motional seeks to claim confidential treatment for Vehicle Preventive Maintenance Record, Form TL-706-F3 profit and loss statement, auto liability and worker’s compensation insurance certificates and policies, and the Motional Operational Design Domain (ODD).</w:t>
      </w:r>
      <w:r w:rsidR="00BA28C1">
        <w:rPr>
          <w:sz w:val="26"/>
          <w:szCs w:val="26"/>
        </w:rPr>
        <w:t xml:space="preserve"> </w:t>
      </w:r>
      <w:r w:rsidRPr="007076FA">
        <w:rPr>
          <w:sz w:val="26"/>
          <w:szCs w:val="26"/>
        </w:rPr>
        <w:t xml:space="preserve"> Motional asserts these are exempt from disclosure either as they are driver personal information, or trade secret information, and cites to statutes. </w:t>
      </w:r>
    </w:p>
    <w:p w:rsidRPr="007076FA" w:rsidR="00D1673A" w:rsidP="00D1673A" w:rsidRDefault="00D1673A" w14:paraId="26EBFF3E" w14:textId="77777777">
      <w:pPr>
        <w:autoSpaceDE w:val="0"/>
        <w:autoSpaceDN w:val="0"/>
        <w:adjustRightInd w:val="0"/>
        <w:rPr>
          <w:sz w:val="26"/>
          <w:szCs w:val="26"/>
        </w:rPr>
      </w:pPr>
    </w:p>
    <w:p w:rsidR="00D1673A" w:rsidP="00A45D1C" w:rsidRDefault="00D1673A" w14:paraId="46ABB262" w14:textId="64E887F8">
      <w:pPr>
        <w:autoSpaceDE w:val="0"/>
        <w:autoSpaceDN w:val="0"/>
        <w:adjustRightInd w:val="0"/>
        <w:rPr>
          <w:sz w:val="26"/>
          <w:szCs w:val="26"/>
        </w:rPr>
      </w:pPr>
      <w:r w:rsidRPr="007076FA">
        <w:rPr>
          <w:sz w:val="26"/>
          <w:szCs w:val="26"/>
        </w:rPr>
        <w:t>Waymo asserts confidential treatment for the following documents in their entirety: AV Test Driver Training Course Outline and Description, Form TL-706-F3 profit and loss statement, addendum to TL-706-F3 profit and loss statement, Waymo LLC Business Affiliation Addendum, Addendum to Driver’s Vehicle Inspection Report, auto liability and workers’ compensation insurance forms, Waymo’s drug and alcohol plan, and Waymo’s contracts or agreements with its third-party staffing vendors.</w:t>
      </w:r>
      <w:r>
        <w:rPr>
          <w:sz w:val="26"/>
          <w:szCs w:val="26"/>
        </w:rPr>
        <w:t xml:space="preserve"> Waymo </w:t>
      </w:r>
      <w:proofErr w:type="gramStart"/>
      <w:r>
        <w:rPr>
          <w:sz w:val="26"/>
          <w:szCs w:val="26"/>
        </w:rPr>
        <w:t>cites to</w:t>
      </w:r>
      <w:proofErr w:type="gramEnd"/>
      <w:r>
        <w:rPr>
          <w:sz w:val="26"/>
          <w:szCs w:val="26"/>
        </w:rPr>
        <w:t xml:space="preserve"> statutes to support their confidentiality claim. </w:t>
      </w:r>
    </w:p>
    <w:p w:rsidRPr="002D1A5B" w:rsidR="00A45D1C" w:rsidP="00A45D1C" w:rsidRDefault="00A45D1C" w14:paraId="47B53226" w14:textId="77777777">
      <w:pPr>
        <w:autoSpaceDE w:val="0"/>
        <w:autoSpaceDN w:val="0"/>
        <w:adjustRightInd w:val="0"/>
        <w:rPr>
          <w:rFonts w:eastAsiaTheme="minorHAnsi"/>
          <w:color w:val="000000" w:themeColor="text1"/>
          <w:sz w:val="26"/>
          <w:szCs w:val="26"/>
        </w:rPr>
      </w:pPr>
    </w:p>
    <w:p w:rsidRPr="00D44E0C" w:rsidR="00D1673A" w:rsidP="00A45D1C" w:rsidRDefault="00D1673A" w14:paraId="43E730AB" w14:textId="4081DAF4">
      <w:pPr>
        <w:pStyle w:val="BodyText"/>
        <w:spacing w:after="0"/>
        <w:rPr>
          <w:szCs w:val="26"/>
        </w:rPr>
      </w:pPr>
      <w:r>
        <w:rPr>
          <w:szCs w:val="26"/>
        </w:rPr>
        <w:t xml:space="preserve">Cruise’s four application’s, </w:t>
      </w:r>
      <w:proofErr w:type="spellStart"/>
      <w:r>
        <w:rPr>
          <w:szCs w:val="26"/>
        </w:rPr>
        <w:t>Motional’s</w:t>
      </w:r>
      <w:proofErr w:type="spellEnd"/>
      <w:r>
        <w:rPr>
          <w:szCs w:val="26"/>
        </w:rPr>
        <w:t xml:space="preserve"> application’s, and Waymo’s re-application’s confidentiality claims </w:t>
      </w:r>
      <w:r w:rsidRPr="00D44E0C">
        <w:rPr>
          <w:szCs w:val="26"/>
        </w:rPr>
        <w:t>sufficiently meet the</w:t>
      </w:r>
      <w:r>
        <w:rPr>
          <w:szCs w:val="26"/>
        </w:rPr>
        <w:t xml:space="preserve"> minimum</w:t>
      </w:r>
      <w:r w:rsidRPr="00D44E0C">
        <w:rPr>
          <w:szCs w:val="26"/>
        </w:rPr>
        <w:t xml:space="preserve"> procedural requirements of G.O. 66-D </w:t>
      </w:r>
      <w:r w:rsidRPr="00152281">
        <w:rPr>
          <w:color w:val="202124"/>
          <w:szCs w:val="26"/>
          <w:shd w:val="clear" w:color="auto" w:fill="FFFFFF"/>
        </w:rPr>
        <w:t>§</w:t>
      </w:r>
      <w:r>
        <w:rPr>
          <w:color w:val="202124"/>
          <w:szCs w:val="26"/>
          <w:shd w:val="clear" w:color="auto" w:fill="FFFFFF"/>
        </w:rPr>
        <w:t xml:space="preserve"> </w:t>
      </w:r>
      <w:r w:rsidRPr="00D44E0C">
        <w:rPr>
          <w:szCs w:val="26"/>
        </w:rPr>
        <w:t>3.2.</w:t>
      </w:r>
      <w:r w:rsidRPr="00A676AB">
        <w:rPr>
          <w:rStyle w:val="FootnoteReference"/>
          <w:b/>
          <w:bCs/>
          <w:szCs w:val="26"/>
          <w:u w:val="single"/>
        </w:rPr>
        <w:footnoteReference w:id="16"/>
      </w:r>
      <w:r w:rsidRPr="00D44E0C">
        <w:rPr>
          <w:szCs w:val="26"/>
        </w:rPr>
        <w:t xml:space="preserve"> </w:t>
      </w:r>
      <w:r w:rsidR="00A676AB">
        <w:rPr>
          <w:szCs w:val="26"/>
        </w:rPr>
        <w:t xml:space="preserve"> </w:t>
      </w:r>
      <w:r w:rsidRPr="00D44E0C">
        <w:rPr>
          <w:color w:val="000000" w:themeColor="text1"/>
          <w:szCs w:val="26"/>
        </w:rPr>
        <w:t xml:space="preserve">When an information submitter has satisfied the procedural requirements, G.O. 66-D </w:t>
      </w:r>
      <w:r w:rsidRPr="00152281">
        <w:rPr>
          <w:color w:val="202124"/>
          <w:szCs w:val="26"/>
          <w:shd w:val="clear" w:color="auto" w:fill="FFFFFF"/>
        </w:rPr>
        <w:t>§</w:t>
      </w:r>
      <w:r>
        <w:rPr>
          <w:color w:val="202124"/>
          <w:szCs w:val="26"/>
          <w:shd w:val="clear" w:color="auto" w:fill="FFFFFF"/>
        </w:rPr>
        <w:t xml:space="preserve"> </w:t>
      </w:r>
      <w:r w:rsidRPr="00D44E0C">
        <w:rPr>
          <w:color w:val="000000" w:themeColor="text1"/>
          <w:szCs w:val="26"/>
        </w:rPr>
        <w:t>5.5 provides that before releasing information in response to a CPRA request, or in any other context, Legal Division will determine whether the information submitter has established a lawful basis of confidentiality.</w:t>
      </w:r>
      <w:r w:rsidRPr="00A676AB">
        <w:rPr>
          <w:rStyle w:val="FootnoteReference"/>
          <w:b/>
          <w:bCs/>
          <w:color w:val="000000" w:themeColor="text1"/>
          <w:szCs w:val="26"/>
          <w:u w:val="single"/>
        </w:rPr>
        <w:footnoteReference w:id="17"/>
      </w:r>
      <w:r w:rsidR="00810033">
        <w:rPr>
          <w:color w:val="000000" w:themeColor="text1"/>
          <w:szCs w:val="26"/>
        </w:rPr>
        <w:t xml:space="preserve"> </w:t>
      </w:r>
      <w:r w:rsidR="00A676AB">
        <w:rPr>
          <w:color w:val="000000" w:themeColor="text1"/>
          <w:szCs w:val="26"/>
        </w:rPr>
        <w:t xml:space="preserve"> </w:t>
      </w:r>
      <w:r w:rsidR="00810033">
        <w:rPr>
          <w:color w:val="000000" w:themeColor="text1"/>
          <w:szCs w:val="26"/>
        </w:rPr>
        <w:t>In a forthcoming Resolution</w:t>
      </w:r>
      <w:r w:rsidRPr="00D44E0C">
        <w:rPr>
          <w:szCs w:val="26"/>
        </w:rPr>
        <w:t xml:space="preserve">, Legal Division </w:t>
      </w:r>
      <w:r w:rsidR="00810033">
        <w:rPr>
          <w:szCs w:val="26"/>
        </w:rPr>
        <w:t>will apply</w:t>
      </w:r>
      <w:r w:rsidRPr="00D44E0C">
        <w:rPr>
          <w:szCs w:val="26"/>
        </w:rPr>
        <w:t xml:space="preserve"> legal standards to determine if Cruise</w:t>
      </w:r>
      <w:r>
        <w:rPr>
          <w:szCs w:val="26"/>
        </w:rPr>
        <w:t>, Motional,</w:t>
      </w:r>
      <w:r w:rsidRPr="00D44E0C">
        <w:rPr>
          <w:szCs w:val="26"/>
        </w:rPr>
        <w:t xml:space="preserve"> and</w:t>
      </w:r>
      <w:r>
        <w:rPr>
          <w:szCs w:val="26"/>
        </w:rPr>
        <w:t>/or</w:t>
      </w:r>
      <w:r w:rsidRPr="00D44E0C">
        <w:rPr>
          <w:szCs w:val="26"/>
        </w:rPr>
        <w:t xml:space="preserve"> Waymo have established a lawful basis of confidentiality. </w:t>
      </w:r>
    </w:p>
    <w:p w:rsidRPr="005325EC" w:rsidR="00D1673A" w:rsidP="00A45D1C" w:rsidRDefault="00D1673A" w14:paraId="0AD28720" w14:textId="154E27F2">
      <w:pPr>
        <w:pStyle w:val="Heading2"/>
      </w:pPr>
      <w:r w:rsidRPr="004B6C38">
        <w:t>By Document</w:t>
      </w:r>
      <w:r>
        <w:t xml:space="preserve"> </w:t>
      </w:r>
    </w:p>
    <w:p w:rsidRPr="00A45D1C" w:rsidR="00A77F5E" w:rsidP="00A45D1C" w:rsidRDefault="00A77F5E" w14:paraId="6EF563FF" w14:textId="143F1EFB">
      <w:pPr>
        <w:pStyle w:val="Heading3"/>
      </w:pPr>
      <w:r w:rsidRPr="00A45D1C">
        <w:t>The Public Records Act Favors Disclosure</w:t>
      </w:r>
    </w:p>
    <w:p w:rsidRPr="00A77F5E" w:rsidR="00A77F5E" w:rsidP="00A77F5E" w:rsidRDefault="00A77F5E" w14:paraId="66BF3F82" w14:textId="63DD4C71">
      <w:pPr>
        <w:pStyle w:val="BodyText"/>
        <w:spacing w:before="120" w:after="240"/>
        <w:rPr>
          <w:szCs w:val="26"/>
        </w:rPr>
      </w:pPr>
      <w:r>
        <w:rPr>
          <w:szCs w:val="26"/>
        </w:rPr>
        <w:t xml:space="preserve">As stated above, in Section 2, the Public Records Act and the Constitution favor disclosure of records, where a specific exemption does not preclude disclosure. Here, the majority of the documents in the Autonomous Vehicle Applications are subject to </w:t>
      </w:r>
      <w:r>
        <w:rPr>
          <w:szCs w:val="26"/>
        </w:rPr>
        <w:lastRenderedPageBreak/>
        <w:t xml:space="preserve">disclosure, unless a specifically enumerated exemption prevents the Commission from disclosing the document. Documents with specific exemptions are listed below. </w:t>
      </w:r>
    </w:p>
    <w:p w:rsidRPr="00D44E0C" w:rsidR="00D1673A" w:rsidP="00A45D1C" w:rsidRDefault="00D1673A" w14:paraId="499695DD" w14:textId="5E35AF47">
      <w:pPr>
        <w:pStyle w:val="Heading3"/>
      </w:pPr>
      <w:r w:rsidRPr="00D44E0C">
        <w:t>Form PL-769-AV DMV AV Manufacturer’s Testing Permits</w:t>
      </w:r>
    </w:p>
    <w:p w:rsidRPr="00EF58C0" w:rsidR="00D1673A" w:rsidP="00D1673A" w:rsidRDefault="00D1673A" w14:paraId="16AF98EF" w14:textId="77777777">
      <w:pPr>
        <w:pStyle w:val="BodyText"/>
        <w:spacing w:before="120" w:after="240"/>
        <w:rPr>
          <w:szCs w:val="26"/>
        </w:rPr>
      </w:pPr>
      <w:r w:rsidRPr="00D44E0C">
        <w:rPr>
          <w:szCs w:val="26"/>
        </w:rPr>
        <w:t>Section 6255(a)</w:t>
      </w:r>
      <w:r>
        <w:rPr>
          <w:szCs w:val="26"/>
        </w:rPr>
        <w:t>,</w:t>
      </w:r>
      <w:r w:rsidRPr="00D44E0C">
        <w:rPr>
          <w:szCs w:val="26"/>
        </w:rPr>
        <w:t xml:space="preserve"> commonly known as the public interest balancing test, </w:t>
      </w:r>
      <w:r>
        <w:rPr>
          <w:szCs w:val="26"/>
        </w:rPr>
        <w:t>which states that</w:t>
      </w:r>
      <w:r w:rsidRPr="00D44E0C">
        <w:rPr>
          <w:szCs w:val="26"/>
        </w:rPr>
        <w:t xml:space="preserve"> an agency may withhold documents </w:t>
      </w:r>
      <w:r>
        <w:rPr>
          <w:szCs w:val="26"/>
        </w:rPr>
        <w:t>if it determines that,</w:t>
      </w:r>
      <w:r w:rsidRPr="00D44E0C">
        <w:rPr>
          <w:szCs w:val="26"/>
        </w:rPr>
        <w:t xml:space="preserve"> on the facts of the case, the public interest served by not disclosing the records clearly outweighs the public interest served by disclosure of the record. </w:t>
      </w:r>
      <w:r w:rsidRPr="00EF58C0">
        <w:rPr>
          <w:szCs w:val="26"/>
        </w:rPr>
        <w:t>G.O. 66-D § 3.2(b) provides in relevant part that:</w:t>
      </w:r>
    </w:p>
    <w:p w:rsidR="00D1673A" w:rsidP="00023994" w:rsidRDefault="00D1673A" w14:paraId="698ACF54" w14:textId="22EB0059">
      <w:pPr>
        <w:ind w:left="1080" w:right="1440"/>
        <w:rPr>
          <w:sz w:val="26"/>
          <w:szCs w:val="26"/>
        </w:rPr>
      </w:pPr>
      <w:r w:rsidRPr="00307DC4">
        <w:rPr>
          <w:sz w:val="26"/>
          <w:szCs w:val="26"/>
        </w:rPr>
        <w:t xml:space="preserve">If the information submitter cites Government Code Section 6255(a) (commonly known as the public interest balancing test) as the legal authority for the Commission to withhold the document from public release, then the information submitter must demonstrate with granular specificity on the facts of the particular information why the </w:t>
      </w:r>
      <w:r w:rsidRPr="00307DC4">
        <w:rPr>
          <w:i/>
          <w:iCs/>
          <w:sz w:val="26"/>
          <w:szCs w:val="26"/>
        </w:rPr>
        <w:t xml:space="preserve">public </w:t>
      </w:r>
      <w:r w:rsidRPr="00307DC4">
        <w:rPr>
          <w:sz w:val="26"/>
          <w:szCs w:val="26"/>
        </w:rPr>
        <w:t xml:space="preserve">interest served by not disclosing the record clearly outweighs the </w:t>
      </w:r>
      <w:r w:rsidRPr="00307DC4">
        <w:rPr>
          <w:i/>
          <w:iCs/>
          <w:sz w:val="26"/>
          <w:szCs w:val="26"/>
        </w:rPr>
        <w:t xml:space="preserve">public </w:t>
      </w:r>
      <w:r w:rsidRPr="00307DC4">
        <w:rPr>
          <w:sz w:val="26"/>
          <w:szCs w:val="26"/>
        </w:rPr>
        <w:t xml:space="preserve">interest served by disclosure of the record. </w:t>
      </w:r>
      <w:r w:rsidR="00BA28C1">
        <w:rPr>
          <w:sz w:val="26"/>
          <w:szCs w:val="26"/>
        </w:rPr>
        <w:t xml:space="preserve"> </w:t>
      </w:r>
      <w:r w:rsidRPr="00307DC4">
        <w:rPr>
          <w:sz w:val="26"/>
          <w:szCs w:val="26"/>
        </w:rPr>
        <w:t xml:space="preserve">A </w:t>
      </w:r>
      <w:r w:rsidRPr="00307DC4">
        <w:rPr>
          <w:i/>
          <w:iCs/>
          <w:sz w:val="26"/>
          <w:szCs w:val="26"/>
        </w:rPr>
        <w:t xml:space="preserve">private </w:t>
      </w:r>
      <w:r w:rsidRPr="00307DC4">
        <w:rPr>
          <w:sz w:val="26"/>
          <w:szCs w:val="26"/>
        </w:rPr>
        <w:t xml:space="preserve">economic interest is an inadequate interest to claim in lieu of a </w:t>
      </w:r>
      <w:r w:rsidRPr="00307DC4">
        <w:rPr>
          <w:i/>
          <w:iCs/>
          <w:sz w:val="26"/>
          <w:szCs w:val="26"/>
        </w:rPr>
        <w:t xml:space="preserve">public </w:t>
      </w:r>
      <w:r w:rsidRPr="00307DC4">
        <w:rPr>
          <w:sz w:val="26"/>
          <w:szCs w:val="26"/>
        </w:rPr>
        <w:t>interest.</w:t>
      </w:r>
    </w:p>
    <w:p w:rsidR="004726F7" w:rsidP="004726F7" w:rsidRDefault="004726F7" w14:paraId="2C791B58" w14:textId="77777777">
      <w:pPr>
        <w:spacing w:line="259" w:lineRule="auto"/>
        <w:ind w:left="1080" w:right="1440"/>
        <w:rPr>
          <w:sz w:val="26"/>
          <w:szCs w:val="26"/>
        </w:rPr>
      </w:pPr>
    </w:p>
    <w:p w:rsidR="00D1673A" w:rsidP="004726F7" w:rsidRDefault="00810033" w14:paraId="53E13686" w14:textId="6330A9F3">
      <w:pPr>
        <w:pStyle w:val="BodyText"/>
        <w:spacing w:after="0"/>
        <w:rPr>
          <w:szCs w:val="26"/>
        </w:rPr>
      </w:pPr>
      <w:r>
        <w:rPr>
          <w:szCs w:val="26"/>
        </w:rPr>
        <w:t>When</w:t>
      </w:r>
      <w:r w:rsidRPr="00EF58C0" w:rsidR="00D1673A">
        <w:rPr>
          <w:szCs w:val="26"/>
        </w:rPr>
        <w:t xml:space="preserve"> it comes to a </w:t>
      </w:r>
      <w:r w:rsidR="00D1673A">
        <w:rPr>
          <w:szCs w:val="26"/>
        </w:rPr>
        <w:t xml:space="preserve">disclosure </w:t>
      </w:r>
      <w:r w:rsidRPr="00EF58C0" w:rsidR="00D1673A">
        <w:rPr>
          <w:szCs w:val="26"/>
        </w:rPr>
        <w:t>decision</w:t>
      </w:r>
      <w:r w:rsidR="00D1673A">
        <w:rPr>
          <w:szCs w:val="26"/>
        </w:rPr>
        <w:t>,</w:t>
      </w:r>
      <w:r w:rsidRPr="00EF58C0" w:rsidR="00D1673A">
        <w:rPr>
          <w:szCs w:val="26"/>
        </w:rPr>
        <w:t xml:space="preserve"> it is the Commission, not the information submitter, that applies the balancing test under Gov. Code </w:t>
      </w:r>
      <w:r w:rsidRPr="00152281" w:rsidR="00D1673A">
        <w:rPr>
          <w:color w:val="202124"/>
          <w:szCs w:val="26"/>
          <w:shd w:val="clear" w:color="auto" w:fill="FFFFFF"/>
        </w:rPr>
        <w:t>§</w:t>
      </w:r>
      <w:r w:rsidR="00D1673A">
        <w:rPr>
          <w:color w:val="202124"/>
          <w:szCs w:val="26"/>
          <w:shd w:val="clear" w:color="auto" w:fill="FFFFFF"/>
        </w:rPr>
        <w:t xml:space="preserve"> </w:t>
      </w:r>
      <w:r w:rsidRPr="00EF58C0" w:rsidR="00D1673A">
        <w:rPr>
          <w:szCs w:val="26"/>
        </w:rPr>
        <w:t>6255(a)</w:t>
      </w:r>
      <w:r w:rsidR="00D1673A">
        <w:rPr>
          <w:szCs w:val="26"/>
        </w:rPr>
        <w:t>, and that is responsible for supporting and defending balancing test disclosure determinations</w:t>
      </w:r>
      <w:r w:rsidRPr="00EF58C0" w:rsidR="00D1673A">
        <w:rPr>
          <w:szCs w:val="26"/>
        </w:rPr>
        <w:t>.</w:t>
      </w:r>
      <w:r w:rsidRPr="00F005FC" w:rsidR="00D1673A">
        <w:rPr>
          <w:szCs w:val="26"/>
        </w:rPr>
        <w:t xml:space="preserve"> </w:t>
      </w:r>
      <w:r w:rsidR="00D1673A">
        <w:rPr>
          <w:szCs w:val="26"/>
        </w:rPr>
        <w:t xml:space="preserve">The CPRA bars agencies from delegating to others the responsibility for CPRA disclosure decisions.  Cal. Gov’t Code </w:t>
      </w:r>
      <w:r w:rsidRPr="00152281" w:rsidR="00D1673A">
        <w:rPr>
          <w:color w:val="202124"/>
          <w:szCs w:val="26"/>
          <w:shd w:val="clear" w:color="auto" w:fill="FFFFFF"/>
        </w:rPr>
        <w:t>§</w:t>
      </w:r>
      <w:r w:rsidR="00D1673A">
        <w:rPr>
          <w:color w:val="202124"/>
          <w:szCs w:val="26"/>
          <w:shd w:val="clear" w:color="auto" w:fill="FFFFFF"/>
        </w:rPr>
        <w:t xml:space="preserve"> </w:t>
      </w:r>
      <w:r w:rsidR="00D1673A">
        <w:rPr>
          <w:szCs w:val="26"/>
        </w:rPr>
        <w:t>6253.3 provides that: “</w:t>
      </w:r>
      <w:r w:rsidR="00D1673A">
        <w:t>A state or local agency may not allow another party to control the disclosure of information that is otherwise subject to disclosure pursuant to this chapter.”</w:t>
      </w:r>
      <w:r w:rsidRPr="00A676AB" w:rsidR="00D1673A">
        <w:rPr>
          <w:rStyle w:val="FootnoteReference"/>
          <w:b/>
          <w:bCs/>
          <w:szCs w:val="26"/>
          <w:u w:val="single"/>
        </w:rPr>
        <w:footnoteReference w:id="18"/>
      </w:r>
      <w:r w:rsidRPr="00295EE4" w:rsidR="00D1673A">
        <w:rPr>
          <w:szCs w:val="26"/>
        </w:rPr>
        <w:t xml:space="preserve"> </w:t>
      </w:r>
      <w:r w:rsidR="00D1673A">
        <w:rPr>
          <w:szCs w:val="26"/>
        </w:rPr>
        <w:t xml:space="preserve"> </w:t>
      </w:r>
    </w:p>
    <w:p w:rsidR="00D1673A" w:rsidP="00D1673A" w:rsidRDefault="00D1673A" w14:paraId="01F5A300" w14:textId="77777777">
      <w:pPr>
        <w:pStyle w:val="BodyText"/>
        <w:spacing w:after="0"/>
        <w:rPr>
          <w:szCs w:val="26"/>
        </w:rPr>
      </w:pPr>
    </w:p>
    <w:p w:rsidR="00D1673A" w:rsidP="00D1673A" w:rsidRDefault="00D1673A" w14:paraId="477AF531" w14:textId="4C9224B6">
      <w:pPr>
        <w:pStyle w:val="BodyText"/>
        <w:spacing w:after="0"/>
        <w:rPr>
          <w:szCs w:val="26"/>
        </w:rPr>
      </w:pPr>
      <w:r w:rsidRPr="00EF58C0">
        <w:rPr>
          <w:szCs w:val="26"/>
        </w:rPr>
        <w:t xml:space="preserve">When the Commission engages in an independent balancing of public interests for and against disclosure, we </w:t>
      </w:r>
      <w:r>
        <w:rPr>
          <w:szCs w:val="26"/>
        </w:rPr>
        <w:t>balance the public benefit that the</w:t>
      </w:r>
      <w:r w:rsidRPr="00EF58C0">
        <w:rPr>
          <w:szCs w:val="26"/>
        </w:rPr>
        <w:t xml:space="preserve"> information may give the public an opportunity to evaluate the performance of the Commission as a regulatory agency by permitting a ready comparison between the information submitted by the </w:t>
      </w:r>
      <w:r>
        <w:rPr>
          <w:szCs w:val="26"/>
        </w:rPr>
        <w:t xml:space="preserve">carriers against information provided by the Commission or the carrier in other contexts. </w:t>
      </w:r>
      <w:r w:rsidR="00BA28C1">
        <w:rPr>
          <w:szCs w:val="26"/>
        </w:rPr>
        <w:t xml:space="preserve"> </w:t>
      </w:r>
      <w:r>
        <w:rPr>
          <w:szCs w:val="26"/>
        </w:rPr>
        <w:t xml:space="preserve">Balancing this against, as Cruise and Waymo both point out, the privacy interests of individual employees in their personal telephone numbers, and addresses being published in a public forum, </w:t>
      </w:r>
      <w:r w:rsidRPr="00EF58C0">
        <w:rPr>
          <w:szCs w:val="26"/>
        </w:rPr>
        <w:t>we find a strong balance in favor of public disclosure</w:t>
      </w:r>
      <w:r>
        <w:rPr>
          <w:szCs w:val="26"/>
        </w:rPr>
        <w:t xml:space="preserve">, with the exception of portions of records that include individual employee’s full names, personal telephone numbers, and home addresses. </w:t>
      </w:r>
      <w:r w:rsidR="00A676AB">
        <w:rPr>
          <w:szCs w:val="26"/>
        </w:rPr>
        <w:t xml:space="preserve"> </w:t>
      </w:r>
      <w:r>
        <w:rPr>
          <w:szCs w:val="26"/>
        </w:rPr>
        <w:t>Moreover, the case law supports using 6255(a) to withhold individuals’ full names, personal telephone numbers, and home addresses from public documents.</w:t>
      </w:r>
      <w:r w:rsidRPr="00A676AB">
        <w:rPr>
          <w:rStyle w:val="FootnoteReference"/>
          <w:b/>
          <w:bCs/>
          <w:szCs w:val="26"/>
          <w:u w:val="single"/>
        </w:rPr>
        <w:footnoteReference w:id="19"/>
      </w:r>
    </w:p>
    <w:p w:rsidRPr="00D44E0C" w:rsidR="00D1673A" w:rsidP="00D1673A" w:rsidRDefault="00D1673A" w14:paraId="20CDF608" w14:textId="25C5E85B">
      <w:pPr>
        <w:rPr>
          <w:sz w:val="26"/>
          <w:szCs w:val="26"/>
        </w:rPr>
      </w:pPr>
      <w:r w:rsidRPr="00D44E0C">
        <w:rPr>
          <w:sz w:val="26"/>
          <w:szCs w:val="26"/>
        </w:rPr>
        <w:lastRenderedPageBreak/>
        <w:t xml:space="preserve">Cal. Gov’t. </w:t>
      </w:r>
      <w:r w:rsidRPr="00152281">
        <w:rPr>
          <w:color w:val="202124"/>
          <w:sz w:val="26"/>
          <w:szCs w:val="26"/>
          <w:shd w:val="clear" w:color="auto" w:fill="FFFFFF"/>
        </w:rPr>
        <w:t>§</w:t>
      </w:r>
      <w:r>
        <w:rPr>
          <w:color w:val="202124"/>
          <w:szCs w:val="26"/>
          <w:shd w:val="clear" w:color="auto" w:fill="FFFFFF"/>
        </w:rPr>
        <w:t xml:space="preserve"> </w:t>
      </w:r>
      <w:r w:rsidRPr="00D44E0C">
        <w:rPr>
          <w:sz w:val="26"/>
          <w:szCs w:val="26"/>
        </w:rPr>
        <w:t>6254(c)</w:t>
      </w:r>
      <w:r w:rsidRPr="00A676AB">
        <w:rPr>
          <w:rStyle w:val="FootnoteReference"/>
          <w:b/>
          <w:bCs/>
          <w:sz w:val="26"/>
          <w:szCs w:val="26"/>
          <w:u w:val="single"/>
        </w:rPr>
        <w:footnoteReference w:id="20"/>
      </w:r>
      <w:r w:rsidRPr="00D44E0C">
        <w:rPr>
          <w:sz w:val="26"/>
          <w:szCs w:val="26"/>
        </w:rPr>
        <w:t xml:space="preserve"> was not </w:t>
      </w:r>
      <w:r>
        <w:rPr>
          <w:sz w:val="26"/>
          <w:szCs w:val="26"/>
        </w:rPr>
        <w:t>asserted</w:t>
      </w:r>
      <w:r w:rsidRPr="00D44E0C">
        <w:rPr>
          <w:sz w:val="26"/>
          <w:szCs w:val="26"/>
        </w:rPr>
        <w:t xml:space="preserve">, but this is an apt exemption. Cal. Gov. Code </w:t>
      </w:r>
      <w:r w:rsidRPr="00152281">
        <w:rPr>
          <w:color w:val="202124"/>
          <w:sz w:val="26"/>
          <w:szCs w:val="26"/>
          <w:shd w:val="clear" w:color="auto" w:fill="FFFFFF"/>
        </w:rPr>
        <w:t>§</w:t>
      </w:r>
      <w:r w:rsidR="00940D44">
        <w:rPr>
          <w:color w:val="202124"/>
          <w:sz w:val="26"/>
          <w:szCs w:val="26"/>
          <w:shd w:val="clear" w:color="auto" w:fill="FFFFFF"/>
        </w:rPr>
        <w:t> </w:t>
      </w:r>
      <w:r w:rsidRPr="00D44E0C">
        <w:rPr>
          <w:sz w:val="26"/>
          <w:szCs w:val="26"/>
        </w:rPr>
        <w:t xml:space="preserve">6254(c) exempts from </w:t>
      </w:r>
      <w:r>
        <w:rPr>
          <w:sz w:val="26"/>
          <w:szCs w:val="26"/>
        </w:rPr>
        <w:t xml:space="preserve">mandatory </w:t>
      </w:r>
      <w:r w:rsidRPr="00D44E0C">
        <w:rPr>
          <w:sz w:val="26"/>
          <w:szCs w:val="26"/>
        </w:rPr>
        <w:t>disclosure</w:t>
      </w:r>
      <w:r w:rsidR="00C646F2">
        <w:rPr>
          <w:sz w:val="26"/>
          <w:szCs w:val="26"/>
        </w:rPr>
        <w:t>.</w:t>
      </w:r>
      <w:r>
        <w:rPr>
          <w:sz w:val="26"/>
          <w:szCs w:val="26"/>
        </w:rPr>
        <w:t>”</w:t>
      </w:r>
      <w:r w:rsidR="00C646F2">
        <w:rPr>
          <w:sz w:val="26"/>
          <w:szCs w:val="26"/>
        </w:rPr>
        <w:t xml:space="preserve"> </w:t>
      </w:r>
      <w:r>
        <w:rPr>
          <w:sz w:val="26"/>
          <w:szCs w:val="26"/>
        </w:rPr>
        <w:t xml:space="preserve"> </w:t>
      </w:r>
      <w:r w:rsidRPr="00A2273B">
        <w:rPr>
          <w:sz w:val="26"/>
          <w:szCs w:val="26"/>
        </w:rPr>
        <w:t>Personnel, medical, or similar files, the disclosure of which would constitute an unwarranted invasion of personal privacy</w:t>
      </w:r>
      <w:r>
        <w:rPr>
          <w:sz w:val="26"/>
          <w:szCs w:val="26"/>
        </w:rPr>
        <w:t xml:space="preserve">.” </w:t>
      </w:r>
    </w:p>
    <w:p w:rsidRPr="00D44E0C" w:rsidR="00D1673A" w:rsidP="00D1673A" w:rsidRDefault="00D1673A" w14:paraId="18646547" w14:textId="77777777">
      <w:pPr>
        <w:rPr>
          <w:sz w:val="26"/>
          <w:szCs w:val="26"/>
        </w:rPr>
      </w:pPr>
    </w:p>
    <w:p w:rsidRPr="00D44E0C" w:rsidR="00D1673A" w:rsidP="004B6C38" w:rsidRDefault="00D1673A" w14:paraId="5E8E1C7F" w14:textId="77777777">
      <w:pPr>
        <w:spacing w:after="240"/>
        <w:rPr>
          <w:color w:val="000000"/>
          <w:sz w:val="26"/>
          <w:szCs w:val="26"/>
        </w:rPr>
      </w:pPr>
      <w:r w:rsidRPr="00D44E0C">
        <w:rPr>
          <w:sz w:val="26"/>
          <w:szCs w:val="26"/>
        </w:rPr>
        <w:t>This Resolution finds that on all autonomous vehicle applications’ form PL-769-AV DMV AV Manufacturer’s Testing Permits</w:t>
      </w:r>
      <w:r>
        <w:rPr>
          <w:sz w:val="26"/>
          <w:szCs w:val="26"/>
        </w:rPr>
        <w:t xml:space="preserve"> may be released, though withholding</w:t>
      </w:r>
      <w:r w:rsidRPr="00D44E0C">
        <w:rPr>
          <w:sz w:val="26"/>
          <w:szCs w:val="26"/>
        </w:rPr>
        <w:t xml:space="preserve"> the </w:t>
      </w:r>
      <w:r w:rsidRPr="00D44E0C">
        <w:rPr>
          <w:color w:val="000000"/>
          <w:sz w:val="26"/>
          <w:szCs w:val="26"/>
        </w:rPr>
        <w:t xml:space="preserve">drivers’ license numbers, birth dates, and full names of the individual employees </w:t>
      </w:r>
      <w:r w:rsidRPr="00D44E0C">
        <w:rPr>
          <w:sz w:val="26"/>
          <w:szCs w:val="26"/>
        </w:rPr>
        <w:t xml:space="preserve">pursuant to Cal Gov’t </w:t>
      </w:r>
      <w:r w:rsidRPr="00152281">
        <w:rPr>
          <w:color w:val="202124"/>
          <w:sz w:val="26"/>
          <w:szCs w:val="26"/>
          <w:shd w:val="clear" w:color="auto" w:fill="FFFFFF"/>
        </w:rPr>
        <w:t>§§</w:t>
      </w:r>
      <w:r>
        <w:rPr>
          <w:color w:val="202124"/>
          <w:szCs w:val="26"/>
          <w:shd w:val="clear" w:color="auto" w:fill="FFFFFF"/>
        </w:rPr>
        <w:t xml:space="preserve"> </w:t>
      </w:r>
      <w:r w:rsidRPr="00D44E0C">
        <w:rPr>
          <w:color w:val="000000"/>
          <w:sz w:val="26"/>
          <w:szCs w:val="26"/>
        </w:rPr>
        <w:t xml:space="preserve">6255(a) and 6254(c). </w:t>
      </w:r>
    </w:p>
    <w:p w:rsidRPr="00810033" w:rsidR="00D1673A" w:rsidP="00A45D1C" w:rsidRDefault="00D1673A" w14:paraId="531AD179" w14:textId="1675DCD7">
      <w:pPr>
        <w:pStyle w:val="Heading3"/>
      </w:pPr>
      <w:r w:rsidRPr="00D44E0C">
        <w:t>Form TL706-F3 Profit/Loss Statement</w:t>
      </w:r>
    </w:p>
    <w:p w:rsidR="00D1673A" w:rsidP="00D1673A" w:rsidRDefault="00D1673A" w14:paraId="46E2E978" w14:textId="3D1ABD9C">
      <w:pPr>
        <w:pStyle w:val="BodyText"/>
        <w:spacing w:after="0"/>
        <w:rPr>
          <w:szCs w:val="26"/>
        </w:rPr>
      </w:pPr>
      <w:r w:rsidRPr="00EF58C0">
        <w:rPr>
          <w:szCs w:val="26"/>
        </w:rPr>
        <w:t>When the Commission engages in an independent balancing of public interests for and against disclosure</w:t>
      </w:r>
      <w:r w:rsidR="00D20CF6">
        <w:rPr>
          <w:szCs w:val="26"/>
        </w:rPr>
        <w:t xml:space="preserve"> under </w:t>
      </w:r>
      <w:r w:rsidRPr="00D44E0C" w:rsidR="00D20CF6">
        <w:rPr>
          <w:szCs w:val="26"/>
        </w:rPr>
        <w:t xml:space="preserve">Gov. Code </w:t>
      </w:r>
      <w:r w:rsidRPr="00152281" w:rsidR="00D20CF6">
        <w:rPr>
          <w:color w:val="202124"/>
          <w:szCs w:val="26"/>
          <w:shd w:val="clear" w:color="auto" w:fill="FFFFFF"/>
        </w:rPr>
        <w:t>§</w:t>
      </w:r>
      <w:r w:rsidR="00D20CF6">
        <w:rPr>
          <w:color w:val="202124"/>
          <w:szCs w:val="26"/>
          <w:shd w:val="clear" w:color="auto" w:fill="FFFFFF"/>
        </w:rPr>
        <w:t xml:space="preserve"> </w:t>
      </w:r>
      <w:r w:rsidRPr="00D44E0C" w:rsidR="00D20CF6">
        <w:rPr>
          <w:szCs w:val="26"/>
        </w:rPr>
        <w:t>6255(a)</w:t>
      </w:r>
      <w:r w:rsidRPr="00EF58C0">
        <w:rPr>
          <w:szCs w:val="26"/>
        </w:rPr>
        <w:t xml:space="preserve">, we </w:t>
      </w:r>
      <w:r>
        <w:rPr>
          <w:szCs w:val="26"/>
        </w:rPr>
        <w:t>balance the public benefit that the</w:t>
      </w:r>
      <w:r w:rsidRPr="00EF58C0">
        <w:rPr>
          <w:szCs w:val="26"/>
        </w:rPr>
        <w:t xml:space="preserve"> information may give the public an opportunity to evaluate the performance of the Commission as a regulatory agency by permitting a ready comparison between the information submitted by the </w:t>
      </w:r>
      <w:r>
        <w:rPr>
          <w:szCs w:val="26"/>
        </w:rPr>
        <w:t xml:space="preserve">carriers against information provided by the Commission or the carrier in other contexts. </w:t>
      </w:r>
      <w:r w:rsidR="004726F7">
        <w:rPr>
          <w:szCs w:val="26"/>
        </w:rPr>
        <w:t xml:space="preserve"> </w:t>
      </w:r>
      <w:r>
        <w:rPr>
          <w:szCs w:val="26"/>
        </w:rPr>
        <w:t xml:space="preserve">Balancing this against </w:t>
      </w:r>
      <w:r w:rsidR="00715ED6">
        <w:rPr>
          <w:szCs w:val="26"/>
        </w:rPr>
        <w:t xml:space="preserve">the potential harm in disclosing financial information that is unknow to other companies’ and could cause competitive harm, we decide in favor of withholding the Profit/Loss Statements. </w:t>
      </w:r>
    </w:p>
    <w:p w:rsidRPr="00307DC4" w:rsidR="00D1673A" w:rsidP="00D1673A" w:rsidRDefault="00D1673A" w14:paraId="0A238A9F" w14:textId="77777777">
      <w:pPr>
        <w:pStyle w:val="BodyText"/>
        <w:spacing w:after="0"/>
        <w:rPr>
          <w:szCs w:val="26"/>
        </w:rPr>
      </w:pPr>
    </w:p>
    <w:p w:rsidRPr="00D44E0C" w:rsidR="00D1673A" w:rsidP="004B6C38" w:rsidRDefault="00D1673A" w14:paraId="1089AA11" w14:textId="784FD378">
      <w:pPr>
        <w:spacing w:after="120"/>
        <w:rPr>
          <w:sz w:val="26"/>
          <w:szCs w:val="26"/>
        </w:rPr>
      </w:pPr>
      <w:r w:rsidRPr="00D44E0C">
        <w:rPr>
          <w:sz w:val="26"/>
          <w:szCs w:val="26"/>
        </w:rPr>
        <w:t xml:space="preserve">In sum, </w:t>
      </w:r>
      <w:r>
        <w:rPr>
          <w:sz w:val="26"/>
          <w:szCs w:val="26"/>
        </w:rPr>
        <w:t xml:space="preserve">this Resolution finds </w:t>
      </w:r>
      <w:r w:rsidRPr="00D44E0C">
        <w:rPr>
          <w:sz w:val="26"/>
          <w:szCs w:val="26"/>
        </w:rPr>
        <w:t xml:space="preserve">the disclosure of the </w:t>
      </w:r>
      <w:r w:rsidR="00715ED6">
        <w:rPr>
          <w:sz w:val="26"/>
          <w:szCs w:val="26"/>
        </w:rPr>
        <w:t xml:space="preserve">entirety of the </w:t>
      </w:r>
      <w:r w:rsidRPr="00D44E0C">
        <w:rPr>
          <w:sz w:val="26"/>
          <w:szCs w:val="26"/>
        </w:rPr>
        <w:t xml:space="preserve">TL706-F3 Profit/Loss Statement </w:t>
      </w:r>
      <w:r>
        <w:rPr>
          <w:sz w:val="26"/>
          <w:szCs w:val="26"/>
        </w:rPr>
        <w:t>is</w:t>
      </w:r>
      <w:r w:rsidRPr="00D44E0C">
        <w:rPr>
          <w:sz w:val="26"/>
          <w:szCs w:val="26"/>
        </w:rPr>
        <w:t xml:space="preserve"> </w:t>
      </w:r>
      <w:r w:rsidRPr="00884461">
        <w:rPr>
          <w:sz w:val="26"/>
          <w:szCs w:val="26"/>
        </w:rPr>
        <w:t>precluded</w:t>
      </w:r>
      <w:r w:rsidRPr="00D44E0C">
        <w:rPr>
          <w:sz w:val="26"/>
          <w:szCs w:val="26"/>
        </w:rPr>
        <w:t xml:space="preserve"> by </w:t>
      </w:r>
      <w:r>
        <w:rPr>
          <w:sz w:val="26"/>
          <w:szCs w:val="26"/>
        </w:rPr>
        <w:t xml:space="preserve">Cal Gov’t Code </w:t>
      </w:r>
      <w:r w:rsidRPr="00152281">
        <w:rPr>
          <w:color w:val="202124"/>
          <w:sz w:val="26"/>
          <w:szCs w:val="26"/>
          <w:shd w:val="clear" w:color="auto" w:fill="FFFFFF"/>
        </w:rPr>
        <w:t>§</w:t>
      </w:r>
      <w:r>
        <w:rPr>
          <w:color w:val="202124"/>
          <w:szCs w:val="26"/>
          <w:shd w:val="clear" w:color="auto" w:fill="FFFFFF"/>
        </w:rPr>
        <w:t xml:space="preserve"> </w:t>
      </w:r>
      <w:r>
        <w:rPr>
          <w:sz w:val="26"/>
          <w:szCs w:val="26"/>
        </w:rPr>
        <w:t>6255(a)</w:t>
      </w:r>
      <w:r w:rsidRPr="00D44E0C">
        <w:rPr>
          <w:sz w:val="26"/>
          <w:szCs w:val="26"/>
        </w:rPr>
        <w:t xml:space="preserve">. </w:t>
      </w:r>
    </w:p>
    <w:p w:rsidRPr="00D44E0C" w:rsidR="00D1673A" w:rsidP="00A45D1C" w:rsidRDefault="00D1673A" w14:paraId="16A27EA5" w14:textId="18E49456">
      <w:pPr>
        <w:pStyle w:val="Heading3"/>
      </w:pPr>
      <w:r w:rsidRPr="00D44E0C">
        <w:t xml:space="preserve">Form INF 1105 DMV Pull Notice Agreement </w:t>
      </w:r>
    </w:p>
    <w:p w:rsidR="00D1673A" w:rsidP="004B6C38" w:rsidRDefault="00715ED6" w14:paraId="72E143AC" w14:textId="0731AD27">
      <w:pPr>
        <w:pStyle w:val="BodyText"/>
        <w:spacing w:after="0"/>
        <w:rPr>
          <w:color w:val="202124"/>
          <w:szCs w:val="26"/>
          <w:shd w:val="clear" w:color="auto" w:fill="FFFFFF"/>
        </w:rPr>
      </w:pPr>
      <w:r>
        <w:rPr>
          <w:szCs w:val="26"/>
        </w:rPr>
        <w:t xml:space="preserve">The </w:t>
      </w:r>
      <w:r w:rsidRPr="00D44E0C" w:rsidR="00D1673A">
        <w:rPr>
          <w:szCs w:val="26"/>
        </w:rPr>
        <w:t xml:space="preserve">Commission finds the DMV </w:t>
      </w:r>
      <w:r w:rsidR="00D1673A">
        <w:rPr>
          <w:szCs w:val="26"/>
        </w:rPr>
        <w:t>E</w:t>
      </w:r>
      <w:r w:rsidRPr="00D44E0C" w:rsidR="00D1673A">
        <w:rPr>
          <w:szCs w:val="26"/>
        </w:rPr>
        <w:t>PN</w:t>
      </w:r>
      <w:r w:rsidR="00D1673A">
        <w:rPr>
          <w:szCs w:val="26"/>
        </w:rPr>
        <w:t xml:space="preserve"> requester code</w:t>
      </w:r>
      <w:r w:rsidRPr="00D44E0C" w:rsidR="00D1673A">
        <w:rPr>
          <w:szCs w:val="26"/>
        </w:rPr>
        <w:t xml:space="preserve"> number included on Form INF 1105 DMV Pull Notice Agreement is confidential pursuant to </w:t>
      </w:r>
      <w:r w:rsidR="00D1673A">
        <w:rPr>
          <w:szCs w:val="26"/>
        </w:rPr>
        <w:t xml:space="preserve">its own exercise of </w:t>
      </w:r>
      <w:r w:rsidRPr="00D44E0C" w:rsidR="00D1673A">
        <w:rPr>
          <w:szCs w:val="26"/>
        </w:rPr>
        <w:t>Gov.</w:t>
      </w:r>
      <w:r w:rsidR="00023994">
        <w:rPr>
          <w:szCs w:val="26"/>
        </w:rPr>
        <w:t> </w:t>
      </w:r>
      <w:r w:rsidRPr="00D44E0C" w:rsidR="00D1673A">
        <w:rPr>
          <w:szCs w:val="26"/>
        </w:rPr>
        <w:t xml:space="preserve">Code </w:t>
      </w:r>
      <w:r w:rsidRPr="00152281" w:rsidR="00D1673A">
        <w:rPr>
          <w:color w:val="202124"/>
          <w:szCs w:val="26"/>
          <w:shd w:val="clear" w:color="auto" w:fill="FFFFFF"/>
        </w:rPr>
        <w:t>§</w:t>
      </w:r>
      <w:r w:rsidR="00D1673A">
        <w:rPr>
          <w:color w:val="202124"/>
          <w:szCs w:val="26"/>
          <w:shd w:val="clear" w:color="auto" w:fill="FFFFFF"/>
        </w:rPr>
        <w:t xml:space="preserve"> </w:t>
      </w:r>
      <w:r w:rsidRPr="00D44E0C" w:rsidR="00D1673A">
        <w:rPr>
          <w:szCs w:val="26"/>
        </w:rPr>
        <w:t>6255(a)</w:t>
      </w:r>
      <w:r w:rsidR="00D1673A">
        <w:rPr>
          <w:szCs w:val="26"/>
        </w:rPr>
        <w:t xml:space="preserve">. </w:t>
      </w:r>
      <w:r w:rsidR="004B6C38">
        <w:rPr>
          <w:szCs w:val="26"/>
        </w:rPr>
        <w:t xml:space="preserve"> </w:t>
      </w:r>
      <w:r w:rsidR="00D1673A">
        <w:rPr>
          <w:szCs w:val="26"/>
        </w:rPr>
        <w:t xml:space="preserve">The Commission finds the public benefit in releasing the requester account number on the DMV Employer Pull Notice is not outweighed by the public benefit in maintaining the confidence of that information because it is an identifying number that could be used to identify other DMV records that correspond to this information, which is invasive and has no benefit. Cal. Gov’t Code </w:t>
      </w:r>
      <w:r w:rsidRPr="00152281" w:rsidR="00D1673A">
        <w:rPr>
          <w:color w:val="202124"/>
          <w:szCs w:val="26"/>
          <w:shd w:val="clear" w:color="auto" w:fill="FFFFFF"/>
        </w:rPr>
        <w:t>§</w:t>
      </w:r>
      <w:r w:rsidR="00D1673A">
        <w:rPr>
          <w:color w:val="202124"/>
          <w:szCs w:val="26"/>
          <w:shd w:val="clear" w:color="auto" w:fill="FFFFFF"/>
        </w:rPr>
        <w:t xml:space="preserve"> 6254(c) would also be applicable here.</w:t>
      </w:r>
    </w:p>
    <w:p w:rsidR="004B6C38" w:rsidP="004B6C38" w:rsidRDefault="004B6C38" w14:paraId="03CF51C9" w14:textId="77777777">
      <w:pPr>
        <w:pStyle w:val="BodyText"/>
        <w:spacing w:after="0"/>
        <w:rPr>
          <w:color w:val="202124"/>
          <w:szCs w:val="26"/>
          <w:shd w:val="clear" w:color="auto" w:fill="FFFFFF"/>
        </w:rPr>
      </w:pPr>
    </w:p>
    <w:p w:rsidR="00715ED6" w:rsidP="004B6C38" w:rsidRDefault="00715ED6" w14:paraId="61CEB618" w14:textId="313FA9F8">
      <w:pPr>
        <w:pStyle w:val="BodyText"/>
        <w:spacing w:after="0"/>
        <w:rPr>
          <w:color w:val="202124"/>
          <w:szCs w:val="26"/>
          <w:shd w:val="clear" w:color="auto" w:fill="FFFFFF"/>
        </w:rPr>
      </w:pPr>
      <w:r>
        <w:rPr>
          <w:color w:val="202124"/>
          <w:szCs w:val="26"/>
          <w:shd w:val="clear" w:color="auto" w:fill="FFFFFF"/>
        </w:rPr>
        <w:t xml:space="preserve">In sum, this Resolution finds the disclosure of DMV EPN requester code numbers on Form INF 1105 DMV Pull Notice Agreement is precluded by </w:t>
      </w:r>
      <w:r w:rsidRPr="00D44E0C">
        <w:rPr>
          <w:szCs w:val="26"/>
        </w:rPr>
        <w:t xml:space="preserve">Gov. Code </w:t>
      </w:r>
      <w:r w:rsidRPr="00152281">
        <w:rPr>
          <w:color w:val="202124"/>
          <w:szCs w:val="26"/>
          <w:shd w:val="clear" w:color="auto" w:fill="FFFFFF"/>
        </w:rPr>
        <w:t>§</w:t>
      </w:r>
      <w:r>
        <w:rPr>
          <w:color w:val="202124"/>
          <w:szCs w:val="26"/>
          <w:shd w:val="clear" w:color="auto" w:fill="FFFFFF"/>
        </w:rPr>
        <w:t xml:space="preserve"> </w:t>
      </w:r>
      <w:r w:rsidRPr="00D44E0C">
        <w:rPr>
          <w:szCs w:val="26"/>
        </w:rPr>
        <w:t>6255(a)</w:t>
      </w:r>
      <w:r>
        <w:rPr>
          <w:szCs w:val="26"/>
        </w:rPr>
        <w:t>.</w:t>
      </w:r>
    </w:p>
    <w:p w:rsidR="001A3C2A" w:rsidP="00A45D1C" w:rsidRDefault="001A3C2A" w14:paraId="74977F77" w14:textId="0BA7F997">
      <w:pPr>
        <w:pStyle w:val="Heading3"/>
        <w:rPr>
          <w:shd w:val="clear" w:color="auto" w:fill="FFFFFF"/>
        </w:rPr>
      </w:pPr>
      <w:r>
        <w:rPr>
          <w:shd w:val="clear" w:color="auto" w:fill="FFFFFF"/>
        </w:rPr>
        <w:lastRenderedPageBreak/>
        <w:t>Third Party Contracts</w:t>
      </w:r>
    </w:p>
    <w:p w:rsidR="00D20CF6" w:rsidP="00D20CF6" w:rsidRDefault="00D20CF6" w14:paraId="618D789D" w14:textId="5E622C40">
      <w:pPr>
        <w:pStyle w:val="BodyText"/>
        <w:spacing w:after="0"/>
        <w:rPr>
          <w:szCs w:val="26"/>
        </w:rPr>
      </w:pPr>
      <w:r w:rsidRPr="00EF58C0">
        <w:rPr>
          <w:szCs w:val="26"/>
        </w:rPr>
        <w:t>When the Commission engages in an independent balancing of public interests for and against disclosure</w:t>
      </w:r>
      <w:r>
        <w:rPr>
          <w:szCs w:val="26"/>
        </w:rPr>
        <w:t xml:space="preserve"> under </w:t>
      </w:r>
      <w:r w:rsidRPr="00D44E0C">
        <w:rPr>
          <w:szCs w:val="26"/>
        </w:rPr>
        <w:t xml:space="preserve">Gov. Code </w:t>
      </w:r>
      <w:r w:rsidRPr="00152281">
        <w:rPr>
          <w:color w:val="202124"/>
          <w:szCs w:val="26"/>
          <w:shd w:val="clear" w:color="auto" w:fill="FFFFFF"/>
        </w:rPr>
        <w:t>§</w:t>
      </w:r>
      <w:r>
        <w:rPr>
          <w:color w:val="202124"/>
          <w:szCs w:val="26"/>
          <w:shd w:val="clear" w:color="auto" w:fill="FFFFFF"/>
        </w:rPr>
        <w:t xml:space="preserve"> </w:t>
      </w:r>
      <w:r w:rsidRPr="00D44E0C">
        <w:rPr>
          <w:szCs w:val="26"/>
        </w:rPr>
        <w:t>6255(a)</w:t>
      </w:r>
      <w:r w:rsidRPr="00EF58C0">
        <w:rPr>
          <w:szCs w:val="26"/>
        </w:rPr>
        <w:t xml:space="preserve">, we </w:t>
      </w:r>
      <w:r>
        <w:rPr>
          <w:szCs w:val="26"/>
        </w:rPr>
        <w:t>balance the public benefit that the</w:t>
      </w:r>
      <w:r w:rsidRPr="00EF58C0">
        <w:rPr>
          <w:szCs w:val="26"/>
        </w:rPr>
        <w:t xml:space="preserve"> information may give the public an opportunity to evaluate the performance of the Commission as a regulatory agency by permitting a ready comparison between the information submitted by the </w:t>
      </w:r>
      <w:r>
        <w:rPr>
          <w:szCs w:val="26"/>
        </w:rPr>
        <w:t xml:space="preserve">carriers against information provided by the Commission or the carrier in other contexts. </w:t>
      </w:r>
      <w:r w:rsidR="004726F7">
        <w:rPr>
          <w:szCs w:val="26"/>
        </w:rPr>
        <w:t xml:space="preserve"> </w:t>
      </w:r>
      <w:r>
        <w:rPr>
          <w:szCs w:val="26"/>
        </w:rPr>
        <w:t xml:space="preserve">Balancing this against the potential harm in disclosing financial information that is unknown to other companies’ and could cause competitive harm, we decide in favor of withholding the contract price from any </w:t>
      </w:r>
      <w:r w:rsidR="004726F7">
        <w:rPr>
          <w:szCs w:val="26"/>
        </w:rPr>
        <w:t>third-party</w:t>
      </w:r>
      <w:r>
        <w:rPr>
          <w:szCs w:val="26"/>
        </w:rPr>
        <w:t xml:space="preserve"> contracts. </w:t>
      </w:r>
    </w:p>
    <w:p w:rsidRPr="00307DC4" w:rsidR="00D20CF6" w:rsidP="00D20CF6" w:rsidRDefault="00D20CF6" w14:paraId="0B591AE5" w14:textId="77777777">
      <w:pPr>
        <w:pStyle w:val="BodyText"/>
        <w:spacing w:after="0"/>
        <w:ind w:left="1080"/>
        <w:rPr>
          <w:szCs w:val="26"/>
        </w:rPr>
      </w:pPr>
    </w:p>
    <w:p w:rsidRPr="00D20CF6" w:rsidR="001A3C2A" w:rsidP="004726F7" w:rsidRDefault="00D20CF6" w14:paraId="6A348E39" w14:textId="32BB83F0">
      <w:pPr>
        <w:spacing w:after="240"/>
        <w:rPr>
          <w:sz w:val="26"/>
          <w:szCs w:val="26"/>
        </w:rPr>
      </w:pPr>
      <w:r w:rsidRPr="00D20CF6">
        <w:rPr>
          <w:sz w:val="26"/>
          <w:szCs w:val="26"/>
        </w:rPr>
        <w:t xml:space="preserve">In sum, this Resolution finds the disclosure of the </w:t>
      </w:r>
      <w:r>
        <w:rPr>
          <w:sz w:val="26"/>
          <w:szCs w:val="26"/>
        </w:rPr>
        <w:t xml:space="preserve">contract price in any </w:t>
      </w:r>
      <w:r w:rsidR="004726F7">
        <w:rPr>
          <w:sz w:val="26"/>
          <w:szCs w:val="26"/>
        </w:rPr>
        <w:t>third-party</w:t>
      </w:r>
      <w:r>
        <w:rPr>
          <w:sz w:val="26"/>
          <w:szCs w:val="26"/>
        </w:rPr>
        <w:t xml:space="preserve"> contracts</w:t>
      </w:r>
      <w:r w:rsidRPr="00D20CF6">
        <w:rPr>
          <w:sz w:val="26"/>
          <w:szCs w:val="26"/>
        </w:rPr>
        <w:t xml:space="preserve"> is precluded by Cal Gov’t Code </w:t>
      </w:r>
      <w:r w:rsidRPr="00D20CF6">
        <w:rPr>
          <w:color w:val="202124"/>
          <w:sz w:val="26"/>
          <w:szCs w:val="26"/>
          <w:shd w:val="clear" w:color="auto" w:fill="FFFFFF"/>
        </w:rPr>
        <w:t>§</w:t>
      </w:r>
      <w:r w:rsidRPr="00D20CF6">
        <w:rPr>
          <w:color w:val="202124"/>
          <w:szCs w:val="26"/>
          <w:shd w:val="clear" w:color="auto" w:fill="FFFFFF"/>
        </w:rPr>
        <w:t xml:space="preserve"> </w:t>
      </w:r>
      <w:r w:rsidRPr="00D20CF6">
        <w:rPr>
          <w:sz w:val="26"/>
          <w:szCs w:val="26"/>
        </w:rPr>
        <w:t xml:space="preserve">6255(a). </w:t>
      </w:r>
    </w:p>
    <w:p w:rsidRPr="00D44E0C" w:rsidR="00D1673A" w:rsidP="00A45D1C" w:rsidRDefault="00D1673A" w14:paraId="46EE257B" w14:textId="42A53FEE">
      <w:pPr>
        <w:pStyle w:val="Heading1"/>
      </w:pPr>
      <w:r w:rsidRPr="00D44E0C">
        <w:t>Conclusion</w:t>
      </w:r>
    </w:p>
    <w:p w:rsidRPr="00D44E0C" w:rsidR="00D1673A" w:rsidP="004726F7" w:rsidRDefault="00D1673A" w14:paraId="3920AD3C" w14:textId="77777777">
      <w:pPr>
        <w:pStyle w:val="BodyText"/>
        <w:spacing w:before="120" w:after="240"/>
        <w:rPr>
          <w:szCs w:val="26"/>
        </w:rPr>
      </w:pPr>
      <w:r w:rsidRPr="00D44E0C">
        <w:rPr>
          <w:szCs w:val="26"/>
        </w:rPr>
        <w:t xml:space="preserve">All AV </w:t>
      </w:r>
      <w:r>
        <w:rPr>
          <w:szCs w:val="26"/>
        </w:rPr>
        <w:t>P</w:t>
      </w:r>
      <w:r w:rsidRPr="00D44E0C">
        <w:rPr>
          <w:szCs w:val="26"/>
        </w:rPr>
        <w:t xml:space="preserve">ilot and </w:t>
      </w:r>
      <w:r>
        <w:rPr>
          <w:szCs w:val="26"/>
        </w:rPr>
        <w:t>P</w:t>
      </w:r>
      <w:r w:rsidRPr="00D44E0C">
        <w:rPr>
          <w:szCs w:val="26"/>
        </w:rPr>
        <w:t>hase I</w:t>
      </w:r>
      <w:r>
        <w:rPr>
          <w:szCs w:val="26"/>
        </w:rPr>
        <w:t xml:space="preserve"> AV</w:t>
      </w:r>
      <w:r w:rsidRPr="00D44E0C">
        <w:rPr>
          <w:szCs w:val="26"/>
        </w:rPr>
        <w:t xml:space="preserve"> </w:t>
      </w:r>
      <w:r>
        <w:rPr>
          <w:szCs w:val="26"/>
        </w:rPr>
        <w:t>D</w:t>
      </w:r>
      <w:r w:rsidRPr="00D44E0C">
        <w:rPr>
          <w:szCs w:val="26"/>
        </w:rPr>
        <w:t xml:space="preserve">eployment permit applications shall be open to the public, though with the confidential portions as determined above redacted. </w:t>
      </w:r>
    </w:p>
    <w:p w:rsidRPr="00D44E0C" w:rsidR="00D1673A" w:rsidP="00D1673A" w:rsidRDefault="00D1673A" w14:paraId="35A2B090" w14:textId="2BAA1522">
      <w:pPr>
        <w:pStyle w:val="BodyText"/>
        <w:spacing w:before="120" w:after="240"/>
        <w:rPr>
          <w:b/>
          <w:szCs w:val="26"/>
          <w:u w:val="single"/>
        </w:rPr>
      </w:pPr>
      <w:r w:rsidRPr="00D44E0C">
        <w:rPr>
          <w:b/>
          <w:szCs w:val="26"/>
          <w:u w:val="single"/>
        </w:rPr>
        <w:t>COMMENTS</w:t>
      </w:r>
    </w:p>
    <w:p w:rsidRPr="004726F7" w:rsidR="00A73A86" w:rsidP="004726F7" w:rsidRDefault="00A73A86" w14:paraId="6234399A" w14:textId="0B744536">
      <w:pPr>
        <w:pStyle w:val="BodyText1Noindent"/>
        <w:widowControl w:val="0"/>
        <w:spacing w:after="240"/>
      </w:pPr>
      <w:r>
        <w:t xml:space="preserve">In accordance with </w:t>
      </w:r>
      <w:r w:rsidR="005B593B">
        <w:t xml:space="preserve">Public Utilities </w:t>
      </w:r>
      <w:r>
        <w:t>Code §</w:t>
      </w:r>
      <w:r w:rsidR="005B593B">
        <w:t xml:space="preserve"> </w:t>
      </w:r>
      <w:r>
        <w:t>311(g), the Draft Resolution was mailed to the parties on December 9, 2022</w:t>
      </w:r>
      <w:r>
        <w:rPr>
          <w:szCs w:val="24"/>
        </w:rPr>
        <w:t xml:space="preserve">. </w:t>
      </w:r>
      <w:r>
        <w:t xml:space="preserve"> Comments were filed on ______________.  Reply comments were filed on ______________.</w:t>
      </w:r>
    </w:p>
    <w:p w:rsidRPr="00D44E0C" w:rsidR="00D1673A" w:rsidP="00D1673A" w:rsidRDefault="00D1673A" w14:paraId="195029F7" w14:textId="008647BC">
      <w:pPr>
        <w:pStyle w:val="TOC1"/>
        <w:spacing w:after="240"/>
        <w:ind w:left="0" w:firstLine="0"/>
        <w:rPr>
          <w:szCs w:val="26"/>
        </w:rPr>
      </w:pPr>
      <w:r w:rsidRPr="00D44E0C">
        <w:rPr>
          <w:szCs w:val="26"/>
        </w:rPr>
        <w:t xml:space="preserve">FINDINGS </w:t>
      </w:r>
    </w:p>
    <w:p w:rsidRPr="00D44E0C" w:rsidR="00D1673A" w:rsidP="00D1673A" w:rsidRDefault="00D1673A" w14:paraId="3366B695" w14:textId="77777777">
      <w:pPr>
        <w:pStyle w:val="BodyText3"/>
        <w:numPr>
          <w:ilvl w:val="0"/>
          <w:numId w:val="1"/>
        </w:numPr>
        <w:tabs>
          <w:tab w:val="clear" w:pos="1095"/>
        </w:tabs>
        <w:spacing w:before="120" w:after="240"/>
        <w:ind w:left="360"/>
        <w:rPr>
          <w:sz w:val="26"/>
          <w:szCs w:val="26"/>
        </w:rPr>
      </w:pPr>
      <w:r w:rsidRPr="00D44E0C">
        <w:rPr>
          <w:sz w:val="26"/>
          <w:szCs w:val="26"/>
        </w:rPr>
        <w:t xml:space="preserve">The Commission received multiple requests that seek disclosure of records of autonomous vehicle applications. </w:t>
      </w:r>
    </w:p>
    <w:p w:rsidRPr="00D44E0C" w:rsidR="00D1673A" w:rsidP="00D1673A" w:rsidRDefault="00D1673A" w14:paraId="06774168" w14:textId="77777777">
      <w:pPr>
        <w:pStyle w:val="BodyText3"/>
        <w:numPr>
          <w:ilvl w:val="0"/>
          <w:numId w:val="1"/>
        </w:numPr>
        <w:tabs>
          <w:tab w:val="clear" w:pos="1095"/>
        </w:tabs>
        <w:spacing w:before="120" w:after="240"/>
        <w:ind w:left="360"/>
        <w:rPr>
          <w:sz w:val="26"/>
          <w:szCs w:val="26"/>
        </w:rPr>
      </w:pPr>
      <w:r w:rsidRPr="00D44E0C">
        <w:rPr>
          <w:sz w:val="26"/>
          <w:szCs w:val="26"/>
        </w:rPr>
        <w:t>Commission review finds</w:t>
      </w:r>
      <w:r>
        <w:rPr>
          <w:sz w:val="26"/>
          <w:szCs w:val="26"/>
        </w:rPr>
        <w:t xml:space="preserve"> that the autonomous vehicle applications’ confidentiality claims are partially justifiable.</w:t>
      </w:r>
    </w:p>
    <w:p w:rsidRPr="005A0D4D" w:rsidR="00D1673A" w:rsidP="004726F7" w:rsidRDefault="00D1673A" w14:paraId="2814ED01" w14:textId="77777777">
      <w:pPr>
        <w:pStyle w:val="BodyText3"/>
        <w:numPr>
          <w:ilvl w:val="0"/>
          <w:numId w:val="1"/>
        </w:numPr>
        <w:tabs>
          <w:tab w:val="clear" w:pos="1095"/>
        </w:tabs>
        <w:spacing w:before="120" w:after="240"/>
        <w:ind w:left="360"/>
        <w:rPr>
          <w:sz w:val="26"/>
          <w:szCs w:val="26"/>
        </w:rPr>
      </w:pPr>
      <w:r w:rsidRPr="00D44E0C">
        <w:rPr>
          <w:sz w:val="26"/>
          <w:szCs w:val="26"/>
        </w:rPr>
        <w:t xml:space="preserve">The public interest favors </w:t>
      </w:r>
      <w:r>
        <w:rPr>
          <w:sz w:val="26"/>
          <w:szCs w:val="26"/>
        </w:rPr>
        <w:t xml:space="preserve">withholding any portion that could reveal personal information under </w:t>
      </w:r>
      <w:r w:rsidRPr="00D44E0C">
        <w:rPr>
          <w:rStyle w:val="LineNumber"/>
          <w:szCs w:val="26"/>
        </w:rPr>
        <w:t>Cal. Gov’t Code § 6254(c)</w:t>
      </w:r>
      <w:r>
        <w:rPr>
          <w:rStyle w:val="LineNumber"/>
          <w:szCs w:val="26"/>
        </w:rPr>
        <w:t>.</w:t>
      </w:r>
    </w:p>
    <w:p w:rsidRPr="00D44E0C" w:rsidR="00D1673A" w:rsidP="00D1673A" w:rsidRDefault="00D1673A" w14:paraId="45D4F802" w14:textId="245E4169">
      <w:pPr>
        <w:pStyle w:val="TOC1"/>
        <w:spacing w:after="240"/>
        <w:ind w:left="0" w:firstLine="0"/>
        <w:rPr>
          <w:szCs w:val="26"/>
        </w:rPr>
      </w:pPr>
      <w:r w:rsidRPr="00D44E0C">
        <w:rPr>
          <w:szCs w:val="26"/>
        </w:rPr>
        <w:t xml:space="preserve">CONCLUSION </w:t>
      </w:r>
    </w:p>
    <w:p w:rsidRPr="00D44E0C" w:rsidR="00D1673A" w:rsidP="00D1673A" w:rsidRDefault="00D1673A" w14:paraId="163B4ADB" w14:textId="77777777">
      <w:pPr>
        <w:numPr>
          <w:ilvl w:val="0"/>
          <w:numId w:val="2"/>
        </w:numPr>
        <w:tabs>
          <w:tab w:val="clear" w:pos="720"/>
        </w:tabs>
        <w:spacing w:before="120" w:after="240"/>
        <w:ind w:left="360"/>
        <w:rPr>
          <w:rStyle w:val="LineNumber"/>
          <w:szCs w:val="26"/>
        </w:rPr>
      </w:pPr>
      <w:r w:rsidRPr="00D44E0C">
        <w:rPr>
          <w:rStyle w:val="LineNumber"/>
          <w:szCs w:val="26"/>
        </w:rPr>
        <w:t xml:space="preserve">The documents in the requested Commission’s investigation file and report are public records as defined by Cal. Gov’t. Code § 6250, </w:t>
      </w:r>
      <w:r w:rsidRPr="00D44E0C">
        <w:rPr>
          <w:rStyle w:val="LineNumber"/>
          <w:i/>
          <w:szCs w:val="26"/>
        </w:rPr>
        <w:t>et seq</w:t>
      </w:r>
      <w:r w:rsidRPr="00D44E0C">
        <w:rPr>
          <w:rStyle w:val="LineNumber"/>
          <w:szCs w:val="26"/>
        </w:rPr>
        <w:t xml:space="preserve">.  </w:t>
      </w:r>
    </w:p>
    <w:p w:rsidRPr="00D44E0C" w:rsidR="00D1673A" w:rsidP="00D1673A" w:rsidRDefault="00D1673A" w14:paraId="7BB37D23" w14:textId="77777777">
      <w:pPr>
        <w:numPr>
          <w:ilvl w:val="0"/>
          <w:numId w:val="2"/>
        </w:numPr>
        <w:tabs>
          <w:tab w:val="clear" w:pos="720"/>
        </w:tabs>
        <w:spacing w:before="120" w:after="240"/>
        <w:ind w:left="360"/>
        <w:rPr>
          <w:rStyle w:val="LineNumber"/>
          <w:szCs w:val="26"/>
        </w:rPr>
      </w:pPr>
      <w:r w:rsidRPr="00D44E0C">
        <w:rPr>
          <w:rStyle w:val="LineNumber"/>
          <w:szCs w:val="26"/>
        </w:rPr>
        <w:t xml:space="preserve">The California Constitution favors disclosure of governmental records by, among other things, stating that the people have the right of access to information concerning the conduct of the peoples’ business, and therefore, the meetings of public bodies and the writings of public officials and agencies shall be open to public scrutiny.  Furthermore, the California Constitution also requires that statutes, court rules, and </w:t>
      </w:r>
      <w:r w:rsidRPr="00D44E0C">
        <w:rPr>
          <w:rStyle w:val="LineNumber"/>
          <w:szCs w:val="26"/>
        </w:rPr>
        <w:lastRenderedPageBreak/>
        <w:t xml:space="preserve">other authority favoring disclosure be broadly construed, and that statutes, court rules, and other authority limiting disclosure be construed narrowly; and that any new statutes, court rules, or other authority limiting disclosure be supported by findings determining the interest served by keeping information from the public and the need to protect that interest.  Cal. Const. Article I, </w:t>
      </w:r>
      <w:r w:rsidRPr="00D44E0C">
        <w:rPr>
          <w:sz w:val="26"/>
          <w:szCs w:val="26"/>
        </w:rPr>
        <w:t>§§</w:t>
      </w:r>
      <w:r w:rsidRPr="00D44E0C">
        <w:rPr>
          <w:rStyle w:val="LineNumber"/>
          <w:szCs w:val="26"/>
        </w:rPr>
        <w:t xml:space="preserve"> 3(b)(1) and (2). </w:t>
      </w:r>
    </w:p>
    <w:p w:rsidRPr="00D44E0C" w:rsidR="00D1673A" w:rsidP="00D1673A" w:rsidRDefault="00D1673A" w14:paraId="2FD48FCB" w14:textId="77777777">
      <w:pPr>
        <w:numPr>
          <w:ilvl w:val="0"/>
          <w:numId w:val="2"/>
        </w:numPr>
        <w:tabs>
          <w:tab w:val="clear" w:pos="720"/>
        </w:tabs>
        <w:spacing w:before="120" w:after="240"/>
        <w:ind w:left="360"/>
        <w:rPr>
          <w:rStyle w:val="LineNumber"/>
          <w:szCs w:val="26"/>
        </w:rPr>
      </w:pPr>
      <w:r w:rsidRPr="00D44E0C">
        <w:rPr>
          <w:rStyle w:val="LineNumber"/>
          <w:szCs w:val="26"/>
        </w:rPr>
        <w:t xml:space="preserve">The general policy of the CPRA favors disclosure of records.  </w:t>
      </w:r>
    </w:p>
    <w:p w:rsidRPr="00D44E0C" w:rsidR="00D1673A" w:rsidP="00D1673A" w:rsidRDefault="00D1673A" w14:paraId="089D1DC4" w14:textId="77777777">
      <w:pPr>
        <w:numPr>
          <w:ilvl w:val="0"/>
          <w:numId w:val="2"/>
        </w:numPr>
        <w:tabs>
          <w:tab w:val="clear" w:pos="720"/>
        </w:tabs>
        <w:spacing w:before="120" w:after="240"/>
        <w:ind w:left="360"/>
        <w:rPr>
          <w:rStyle w:val="LineNumber"/>
          <w:szCs w:val="26"/>
        </w:rPr>
      </w:pPr>
      <w:r w:rsidRPr="00D44E0C">
        <w:rPr>
          <w:rStyle w:val="LineNumber"/>
          <w:szCs w:val="26"/>
        </w:rPr>
        <w:t>Justification for withholding a public record in response to a CPRA request must be based on specific exemptions in the CPRA or upon a showing that, on the facts of a particular case, the public interest in nondisclosure clearly outweighs the public interest in disclosure.  Cal. Gov’t. Code § 6255.</w:t>
      </w:r>
    </w:p>
    <w:p w:rsidRPr="00D44E0C" w:rsidR="00D1673A" w:rsidP="00D1673A" w:rsidRDefault="00D1673A" w14:paraId="0E8B9277" w14:textId="77777777">
      <w:pPr>
        <w:numPr>
          <w:ilvl w:val="0"/>
          <w:numId w:val="2"/>
        </w:numPr>
        <w:tabs>
          <w:tab w:val="clear" w:pos="720"/>
        </w:tabs>
        <w:spacing w:before="120" w:after="240"/>
        <w:ind w:left="360"/>
        <w:rPr>
          <w:rStyle w:val="LineNumber"/>
          <w:szCs w:val="26"/>
        </w:rPr>
      </w:pPr>
      <w:r w:rsidRPr="00D44E0C">
        <w:rPr>
          <w:rStyle w:val="LineNumber"/>
          <w:szCs w:val="26"/>
        </w:rPr>
        <w:t>Cal. Gov’t Code § 6254(c) exempts from mandatory disclosure personal information, the disclosure of which would constitute an unwarranted invasion of personal privacy.</w:t>
      </w:r>
    </w:p>
    <w:p w:rsidRPr="00F7751B" w:rsidR="00D1673A" w:rsidP="00D1673A" w:rsidRDefault="00D1673A" w14:paraId="1010B79A" w14:textId="77777777">
      <w:pPr>
        <w:numPr>
          <w:ilvl w:val="0"/>
          <w:numId w:val="2"/>
        </w:numPr>
        <w:tabs>
          <w:tab w:val="clear" w:pos="720"/>
        </w:tabs>
        <w:spacing w:before="120" w:after="240"/>
        <w:ind w:left="360"/>
        <w:rPr>
          <w:rStyle w:val="LineNumber"/>
          <w:szCs w:val="26"/>
        </w:rPr>
      </w:pPr>
      <w:r w:rsidRPr="00F7751B">
        <w:rPr>
          <w:sz w:val="26"/>
          <w:szCs w:val="26"/>
        </w:rPr>
        <w:t xml:space="preserve">Cal. Gov’t Code Section 6255(a), commonly known as the public interest balancing test, </w:t>
      </w:r>
      <w:proofErr w:type="gramStart"/>
      <w:r w:rsidRPr="00F7751B">
        <w:rPr>
          <w:sz w:val="26"/>
          <w:szCs w:val="26"/>
        </w:rPr>
        <w:t>exempts from</w:t>
      </w:r>
      <w:proofErr w:type="gramEnd"/>
      <w:r w:rsidRPr="00F7751B">
        <w:rPr>
          <w:sz w:val="26"/>
          <w:szCs w:val="26"/>
        </w:rPr>
        <w:t xml:space="preserve"> disclosure records for which the public interest in maintaining their confidentiality clearly outweighs the public interest in disclosure.</w:t>
      </w:r>
    </w:p>
    <w:p w:rsidRPr="00C578D2" w:rsidR="00695704" w:rsidP="00695704" w:rsidRDefault="00695704" w14:paraId="11627B9A" w14:textId="4F002AAA">
      <w:pPr>
        <w:rPr>
          <w:rStyle w:val="LineNumber"/>
        </w:rPr>
      </w:pPr>
      <w:r w:rsidRPr="00C578D2">
        <w:rPr>
          <w:b/>
          <w:bCs/>
          <w:sz w:val="26"/>
          <w:szCs w:val="26"/>
          <w:u w:val="single"/>
        </w:rPr>
        <w:t>THEREFORE, IT IS ORDERED THAT</w:t>
      </w:r>
      <w:r w:rsidR="00C578D2">
        <w:rPr>
          <w:rStyle w:val="LineNumber"/>
        </w:rPr>
        <w:t>:</w:t>
      </w:r>
      <w:r w:rsidRPr="00C578D2">
        <w:rPr>
          <w:rStyle w:val="LineNumber"/>
        </w:rPr>
        <w:t xml:space="preserve"> </w:t>
      </w:r>
    </w:p>
    <w:p w:rsidRPr="00E41861" w:rsidR="00D1673A" w:rsidP="00D1673A" w:rsidRDefault="00D1673A" w14:paraId="44E68F23" w14:textId="09AB72DF">
      <w:pPr>
        <w:pStyle w:val="BodyText3"/>
        <w:keepNext/>
        <w:keepLines/>
        <w:numPr>
          <w:ilvl w:val="0"/>
          <w:numId w:val="3"/>
        </w:numPr>
        <w:tabs>
          <w:tab w:val="clear" w:pos="720"/>
        </w:tabs>
        <w:spacing w:before="120" w:after="240"/>
        <w:ind w:left="360"/>
        <w:rPr>
          <w:rStyle w:val="LineNumber"/>
          <w:szCs w:val="26"/>
        </w:rPr>
      </w:pPr>
      <w:r w:rsidRPr="00D44E0C">
        <w:rPr>
          <w:rStyle w:val="LineNumber"/>
          <w:szCs w:val="26"/>
        </w:rPr>
        <w:t xml:space="preserve">The request for disclosure of the Commission records concerning autonomous vehicle pilot and deployment permit applications </w:t>
      </w:r>
      <w:r w:rsidRPr="00D44E0C">
        <w:rPr>
          <w:sz w:val="26"/>
          <w:szCs w:val="26"/>
        </w:rPr>
        <w:t>is granted, with the exception of any personal information, the disclosure of which would constitute an unwarranted invasion of personal privacy</w:t>
      </w:r>
      <w:r>
        <w:rPr>
          <w:sz w:val="26"/>
          <w:szCs w:val="26"/>
        </w:rPr>
        <w:t>.</w:t>
      </w:r>
    </w:p>
    <w:p w:rsidRPr="00671AE9" w:rsidR="00695704" w:rsidP="00925309" w:rsidRDefault="00695704" w14:paraId="06153FAB" w14:textId="77777777">
      <w:pPr>
        <w:pStyle w:val="Standard"/>
        <w:spacing w:after="0"/>
        <w:rPr>
          <w:rFonts w:ascii="Times New Roman" w:hAnsi="Times New Roman" w:cs="Times New Roman"/>
          <w:szCs w:val="26"/>
        </w:rPr>
      </w:pPr>
      <w:r w:rsidRPr="00411D39">
        <w:rPr>
          <w:rFonts w:ascii="Times New Roman" w:hAnsi="Times New Roman" w:cs="Times New Roman"/>
          <w:szCs w:val="26"/>
        </w:rPr>
        <w:t>This Resolution is effective today.</w:t>
      </w:r>
    </w:p>
    <w:p w:rsidRPr="00D44E0C" w:rsidR="00D1673A" w:rsidP="00D1673A" w:rsidRDefault="00D1673A" w14:paraId="231A4A09" w14:textId="5A370B28">
      <w:pPr>
        <w:pStyle w:val="BodyText1Noindent"/>
        <w:spacing w:before="240" w:after="120"/>
        <w:rPr>
          <w:szCs w:val="26"/>
        </w:rPr>
      </w:pPr>
      <w:r w:rsidRPr="00D44E0C">
        <w:rPr>
          <w:szCs w:val="26"/>
        </w:rPr>
        <w:t>I certify that this Resolution was adopted by the California Public Utilities Commission at its regular meeting of</w:t>
      </w:r>
      <w:r w:rsidR="008E32A2">
        <w:rPr>
          <w:szCs w:val="26"/>
        </w:rPr>
        <w:t xml:space="preserve"> February 2</w:t>
      </w:r>
      <w:r w:rsidR="003D6B88">
        <w:rPr>
          <w:szCs w:val="26"/>
        </w:rPr>
        <w:t>3</w:t>
      </w:r>
      <w:r w:rsidR="000F3435">
        <w:rPr>
          <w:szCs w:val="26"/>
        </w:rPr>
        <w:t>, 2023</w:t>
      </w:r>
      <w:r w:rsidRPr="00D44E0C">
        <w:rPr>
          <w:szCs w:val="26"/>
        </w:rPr>
        <w:t>, and that the following Commissioners approved it:</w:t>
      </w:r>
    </w:p>
    <w:p w:rsidRPr="00D44E0C" w:rsidR="00D1673A" w:rsidP="00D1673A" w:rsidRDefault="00D1673A" w14:paraId="4296F557" w14:textId="77777777">
      <w:pPr>
        <w:rPr>
          <w:sz w:val="26"/>
          <w:szCs w:val="26"/>
        </w:rPr>
      </w:pPr>
    </w:p>
    <w:p w:rsidRPr="00D44E0C" w:rsidR="00D1673A" w:rsidP="00D1673A" w:rsidRDefault="00D1673A" w14:paraId="344EDBAE" w14:textId="77777777">
      <w:pPr>
        <w:rPr>
          <w:sz w:val="26"/>
          <w:szCs w:val="26"/>
        </w:rPr>
      </w:pPr>
      <w:r w:rsidRPr="00D44E0C">
        <w:rPr>
          <w:sz w:val="26"/>
          <w:szCs w:val="26"/>
        </w:rPr>
        <w:tab/>
      </w:r>
      <w:r w:rsidRPr="00D44E0C">
        <w:rPr>
          <w:sz w:val="26"/>
          <w:szCs w:val="26"/>
        </w:rPr>
        <w:tab/>
      </w:r>
      <w:r w:rsidRPr="00D44E0C">
        <w:rPr>
          <w:sz w:val="26"/>
          <w:szCs w:val="26"/>
        </w:rPr>
        <w:tab/>
      </w:r>
      <w:r w:rsidRPr="00D44E0C">
        <w:rPr>
          <w:sz w:val="26"/>
          <w:szCs w:val="26"/>
        </w:rPr>
        <w:tab/>
      </w:r>
      <w:r w:rsidRPr="00D44E0C">
        <w:rPr>
          <w:sz w:val="26"/>
          <w:szCs w:val="26"/>
        </w:rPr>
        <w:tab/>
      </w:r>
      <w:r w:rsidRPr="00D44E0C">
        <w:rPr>
          <w:sz w:val="26"/>
          <w:szCs w:val="26"/>
        </w:rPr>
        <w:tab/>
      </w:r>
    </w:p>
    <w:p w:rsidRPr="00D44E0C" w:rsidR="00D1673A" w:rsidP="00D1673A" w:rsidRDefault="00D1673A" w14:paraId="504E6A37" w14:textId="77777777">
      <w:pPr>
        <w:rPr>
          <w:sz w:val="26"/>
          <w:szCs w:val="26"/>
        </w:rPr>
      </w:pPr>
    </w:p>
    <w:tbl>
      <w:tblPr>
        <w:tblW w:w="3780"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80"/>
      </w:tblGrid>
      <w:tr w:rsidRPr="00D44E0C" w:rsidR="00D1673A" w:rsidTr="00F90D0B" w14:paraId="1E461A1B" w14:textId="77777777">
        <w:tc>
          <w:tcPr>
            <w:tcW w:w="3780" w:type="dxa"/>
            <w:tcBorders>
              <w:top w:val="single" w:color="auto" w:sz="4" w:space="0"/>
              <w:left w:val="nil"/>
              <w:bottom w:val="nil"/>
              <w:right w:val="nil"/>
            </w:tcBorders>
            <w:shd w:val="clear" w:color="auto" w:fill="auto"/>
          </w:tcPr>
          <w:p w:rsidRPr="00D44E0C" w:rsidR="00D1673A" w:rsidP="00F90D0B" w:rsidRDefault="00D1673A" w14:paraId="6B4DAF2C" w14:textId="77777777">
            <w:pPr>
              <w:jc w:val="center"/>
              <w:rPr>
                <w:sz w:val="26"/>
                <w:szCs w:val="26"/>
              </w:rPr>
            </w:pPr>
            <w:r w:rsidRPr="00D44E0C">
              <w:rPr>
                <w:sz w:val="26"/>
                <w:szCs w:val="26"/>
              </w:rPr>
              <w:t>RACHEL PETERSON</w:t>
            </w:r>
            <w:r w:rsidRPr="00D44E0C">
              <w:rPr>
                <w:sz w:val="26"/>
                <w:szCs w:val="26"/>
              </w:rPr>
              <w:br/>
              <w:t>Executive Director</w:t>
            </w:r>
          </w:p>
        </w:tc>
      </w:tr>
    </w:tbl>
    <w:p w:rsidRPr="00D44E0C" w:rsidR="00D1673A" w:rsidP="00D1673A" w:rsidRDefault="00D1673A" w14:paraId="02643FAD" w14:textId="77777777">
      <w:pPr>
        <w:rPr>
          <w:sz w:val="26"/>
          <w:szCs w:val="26"/>
        </w:rPr>
      </w:pPr>
    </w:p>
    <w:p w:rsidRPr="00D44E0C" w:rsidR="00D1673A" w:rsidP="00D1673A" w:rsidRDefault="00D1673A" w14:paraId="5AEB765C" w14:textId="77777777">
      <w:pPr>
        <w:rPr>
          <w:sz w:val="26"/>
          <w:szCs w:val="26"/>
        </w:rPr>
      </w:pPr>
    </w:p>
    <w:p w:rsidR="005653A0" w:rsidP="00D1673A" w:rsidRDefault="005653A0" w14:paraId="4DCFD94F" w14:textId="77777777">
      <w:pPr>
        <w:rPr>
          <w:sz w:val="26"/>
          <w:szCs w:val="26"/>
        </w:rPr>
        <w:sectPr w:rsidR="005653A0" w:rsidSect="00A676AB">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Pr="00D44E0C" w:rsidR="00D1673A" w:rsidP="00D1673A" w:rsidRDefault="00D1673A" w14:paraId="1F72789E" w14:textId="77777777">
      <w:pPr>
        <w:rPr>
          <w:sz w:val="26"/>
          <w:szCs w:val="26"/>
        </w:rPr>
      </w:pPr>
    </w:p>
    <w:p w:rsidRPr="00D44E0C" w:rsidR="00D1673A" w:rsidP="00A45D1C" w:rsidRDefault="00D1673A" w14:paraId="2D0A77F6" w14:textId="77777777">
      <w:pPr>
        <w:pStyle w:val="BodyText"/>
        <w:spacing w:before="120" w:after="240"/>
        <w:jc w:val="center"/>
        <w:rPr>
          <w:b/>
          <w:szCs w:val="26"/>
          <w:u w:val="single"/>
        </w:rPr>
      </w:pPr>
      <w:r w:rsidRPr="00D44E0C">
        <w:rPr>
          <w:b/>
          <w:szCs w:val="26"/>
          <w:u w:val="single"/>
        </w:rPr>
        <w:t>APPENDIX A</w:t>
      </w:r>
    </w:p>
    <w:p w:rsidRPr="00D44E0C" w:rsidR="00D1673A" w:rsidP="00D1673A" w:rsidRDefault="00D1673A" w14:paraId="05A8E972" w14:textId="77777777">
      <w:pPr>
        <w:pStyle w:val="BodyText"/>
        <w:spacing w:before="120" w:after="240"/>
        <w:rPr>
          <w:b/>
          <w:szCs w:val="26"/>
          <w:u w:val="single"/>
        </w:rPr>
      </w:pPr>
      <w:r w:rsidRPr="00D44E0C">
        <w:rPr>
          <w:szCs w:val="26"/>
        </w:rPr>
        <w:t>TCP Application Documents</w:t>
      </w:r>
    </w:p>
    <w:tbl>
      <w:tblPr>
        <w:tblStyle w:val="TableGrid"/>
        <w:tblW w:w="9535" w:type="dxa"/>
        <w:tblLook w:val="04A0" w:firstRow="1" w:lastRow="0" w:firstColumn="1" w:lastColumn="0" w:noHBand="0" w:noVBand="1"/>
      </w:tblPr>
      <w:tblGrid>
        <w:gridCol w:w="6917"/>
        <w:gridCol w:w="2618"/>
      </w:tblGrid>
      <w:tr w:rsidRPr="00D44E0C" w:rsidR="00D1673A" w:rsidTr="00A45D1C" w14:paraId="0B81B6EA" w14:textId="77777777">
        <w:trPr>
          <w:trHeight w:val="543"/>
        </w:trPr>
        <w:tc>
          <w:tcPr>
            <w:tcW w:w="6917" w:type="dxa"/>
          </w:tcPr>
          <w:p w:rsidRPr="00D44E0C" w:rsidR="00D1673A" w:rsidP="00A45D1C" w:rsidRDefault="00D1673A" w14:paraId="3C105C0F" w14:textId="5427026E">
            <w:pPr>
              <w:pStyle w:val="BodyText"/>
              <w:spacing w:after="120"/>
              <w:rPr>
                <w:bCs/>
                <w:szCs w:val="26"/>
              </w:rPr>
            </w:pPr>
            <w:r w:rsidRPr="00D44E0C">
              <w:rPr>
                <w:szCs w:val="26"/>
              </w:rPr>
              <w:t xml:space="preserve">DMV EPN </w:t>
            </w:r>
          </w:p>
        </w:tc>
        <w:tc>
          <w:tcPr>
            <w:tcW w:w="2618" w:type="dxa"/>
          </w:tcPr>
          <w:p w:rsidRPr="00D44E0C" w:rsidR="00D1673A" w:rsidP="00A45D1C" w:rsidRDefault="00D1673A" w14:paraId="5AA87447" w14:textId="6408BBF3">
            <w:pPr>
              <w:pStyle w:val="BodyText"/>
              <w:spacing w:after="120"/>
              <w:rPr>
                <w:szCs w:val="26"/>
              </w:rPr>
            </w:pPr>
            <w:r w:rsidRPr="00D44E0C">
              <w:rPr>
                <w:szCs w:val="26"/>
              </w:rPr>
              <w:t xml:space="preserve">Requester </w:t>
            </w:r>
            <w:r w:rsidR="000F3435">
              <w:rPr>
                <w:szCs w:val="26"/>
              </w:rPr>
              <w:t>C</w:t>
            </w:r>
            <w:r w:rsidRPr="00D44E0C">
              <w:rPr>
                <w:szCs w:val="26"/>
              </w:rPr>
              <w:t xml:space="preserve">ode </w:t>
            </w:r>
            <w:r>
              <w:rPr>
                <w:szCs w:val="26"/>
              </w:rPr>
              <w:t>is confidential</w:t>
            </w:r>
          </w:p>
        </w:tc>
      </w:tr>
      <w:tr w:rsidRPr="00D44E0C" w:rsidR="00D1673A" w:rsidTr="00A45D1C" w14:paraId="4F2AED59" w14:textId="77777777">
        <w:trPr>
          <w:trHeight w:val="654"/>
        </w:trPr>
        <w:tc>
          <w:tcPr>
            <w:tcW w:w="6917" w:type="dxa"/>
          </w:tcPr>
          <w:p w:rsidRPr="00D44E0C" w:rsidR="00D1673A" w:rsidP="00A45D1C" w:rsidRDefault="00D1673A" w14:paraId="0A52F0CC" w14:textId="77777777">
            <w:pPr>
              <w:pStyle w:val="BodyText"/>
              <w:spacing w:after="120"/>
              <w:rPr>
                <w:bCs/>
                <w:szCs w:val="26"/>
              </w:rPr>
            </w:pPr>
            <w:r w:rsidRPr="00D44E0C">
              <w:rPr>
                <w:szCs w:val="26"/>
              </w:rPr>
              <w:t>Driver/remote operator list</w:t>
            </w:r>
            <w:r>
              <w:rPr>
                <w:szCs w:val="26"/>
              </w:rPr>
              <w:t xml:space="preserve"> </w:t>
            </w:r>
          </w:p>
        </w:tc>
        <w:tc>
          <w:tcPr>
            <w:tcW w:w="2618" w:type="dxa"/>
          </w:tcPr>
          <w:p w:rsidRPr="00D44E0C" w:rsidR="00D1673A" w:rsidP="00A45D1C" w:rsidRDefault="00D1673A" w14:paraId="2AEC8805" w14:textId="77777777">
            <w:pPr>
              <w:pStyle w:val="BodyText"/>
              <w:spacing w:after="120"/>
              <w:rPr>
                <w:bCs/>
                <w:szCs w:val="26"/>
              </w:rPr>
            </w:pPr>
            <w:r w:rsidRPr="00D44E0C">
              <w:rPr>
                <w:bCs/>
                <w:szCs w:val="26"/>
              </w:rPr>
              <w:t>Public</w:t>
            </w:r>
          </w:p>
        </w:tc>
      </w:tr>
      <w:tr w:rsidRPr="00D44E0C" w:rsidR="00D1673A" w:rsidTr="00A45D1C" w14:paraId="3AFE9CEF" w14:textId="77777777">
        <w:trPr>
          <w:trHeight w:val="654"/>
        </w:trPr>
        <w:tc>
          <w:tcPr>
            <w:tcW w:w="6917" w:type="dxa"/>
          </w:tcPr>
          <w:p w:rsidRPr="00D44E0C" w:rsidR="00D1673A" w:rsidP="00A45D1C" w:rsidRDefault="00D1673A" w14:paraId="3CE05EC0" w14:textId="77777777">
            <w:pPr>
              <w:pStyle w:val="BodyText"/>
              <w:spacing w:after="120"/>
              <w:rPr>
                <w:bCs/>
                <w:szCs w:val="26"/>
              </w:rPr>
            </w:pPr>
            <w:r w:rsidRPr="00D44E0C">
              <w:rPr>
                <w:szCs w:val="26"/>
              </w:rPr>
              <w:t>Terminal address</w:t>
            </w:r>
          </w:p>
        </w:tc>
        <w:tc>
          <w:tcPr>
            <w:tcW w:w="2618" w:type="dxa"/>
          </w:tcPr>
          <w:p w:rsidRPr="00D44E0C" w:rsidR="00D1673A" w:rsidP="00A45D1C" w:rsidRDefault="00D1673A" w14:paraId="069FC96A" w14:textId="77777777">
            <w:pPr>
              <w:pStyle w:val="BodyText"/>
              <w:spacing w:after="120"/>
              <w:rPr>
                <w:b/>
                <w:szCs w:val="26"/>
                <w:u w:val="single"/>
              </w:rPr>
            </w:pPr>
            <w:r w:rsidRPr="00D44E0C">
              <w:rPr>
                <w:bCs/>
                <w:szCs w:val="26"/>
              </w:rPr>
              <w:t>Public</w:t>
            </w:r>
          </w:p>
        </w:tc>
      </w:tr>
      <w:tr w:rsidRPr="00D44E0C" w:rsidR="00D1673A" w:rsidTr="00A45D1C" w14:paraId="49AF47CB" w14:textId="77777777">
        <w:trPr>
          <w:trHeight w:val="654"/>
        </w:trPr>
        <w:tc>
          <w:tcPr>
            <w:tcW w:w="6917" w:type="dxa"/>
          </w:tcPr>
          <w:p w:rsidRPr="00D44E0C" w:rsidR="00D1673A" w:rsidP="00A45D1C" w:rsidRDefault="00D1673A" w14:paraId="54D743DB" w14:textId="77777777">
            <w:pPr>
              <w:pStyle w:val="BodyText"/>
              <w:spacing w:after="120"/>
              <w:rPr>
                <w:b/>
                <w:szCs w:val="26"/>
                <w:u w:val="single"/>
              </w:rPr>
            </w:pPr>
            <w:r w:rsidRPr="00D44E0C">
              <w:rPr>
                <w:szCs w:val="26"/>
              </w:rPr>
              <w:t>Vehicle list</w:t>
            </w:r>
          </w:p>
        </w:tc>
        <w:tc>
          <w:tcPr>
            <w:tcW w:w="2618" w:type="dxa"/>
          </w:tcPr>
          <w:p w:rsidRPr="00D44E0C" w:rsidR="00D1673A" w:rsidP="00A45D1C" w:rsidRDefault="00D1673A" w14:paraId="615309E4" w14:textId="77777777">
            <w:pPr>
              <w:pStyle w:val="BodyText"/>
              <w:spacing w:after="120"/>
              <w:rPr>
                <w:b/>
                <w:szCs w:val="26"/>
                <w:u w:val="single"/>
              </w:rPr>
            </w:pPr>
            <w:r w:rsidRPr="00D44E0C">
              <w:rPr>
                <w:bCs/>
                <w:szCs w:val="26"/>
              </w:rPr>
              <w:t>Public</w:t>
            </w:r>
          </w:p>
        </w:tc>
      </w:tr>
      <w:tr w:rsidRPr="00D44E0C" w:rsidR="00D1673A" w:rsidTr="00A45D1C" w14:paraId="21A46EDF" w14:textId="77777777">
        <w:trPr>
          <w:trHeight w:val="946"/>
        </w:trPr>
        <w:tc>
          <w:tcPr>
            <w:tcW w:w="6917" w:type="dxa"/>
          </w:tcPr>
          <w:p w:rsidRPr="00D44E0C" w:rsidR="00D1673A" w:rsidP="00A45D1C" w:rsidRDefault="00D1673A" w14:paraId="64621A06" w14:textId="77777777">
            <w:pPr>
              <w:pStyle w:val="BodyText"/>
              <w:spacing w:after="120"/>
              <w:rPr>
                <w:b/>
                <w:szCs w:val="26"/>
                <w:u w:val="single"/>
              </w:rPr>
            </w:pPr>
            <w:r w:rsidRPr="00D44E0C">
              <w:rPr>
                <w:szCs w:val="26"/>
              </w:rPr>
              <w:t>Applicant/carrier declarations, including Vehicle Safety Inspection Declaration, others</w:t>
            </w:r>
          </w:p>
        </w:tc>
        <w:tc>
          <w:tcPr>
            <w:tcW w:w="2618" w:type="dxa"/>
          </w:tcPr>
          <w:p w:rsidRPr="00D44E0C" w:rsidR="00D1673A" w:rsidP="00A45D1C" w:rsidRDefault="00D1673A" w14:paraId="228D4BDF" w14:textId="77777777">
            <w:pPr>
              <w:pStyle w:val="BodyText"/>
              <w:spacing w:after="120"/>
              <w:rPr>
                <w:b/>
                <w:szCs w:val="26"/>
                <w:u w:val="single"/>
              </w:rPr>
            </w:pPr>
            <w:r w:rsidRPr="00D44E0C">
              <w:rPr>
                <w:bCs/>
                <w:szCs w:val="26"/>
              </w:rPr>
              <w:t>Public</w:t>
            </w:r>
          </w:p>
        </w:tc>
      </w:tr>
      <w:tr w:rsidRPr="00D44E0C" w:rsidR="00D1673A" w:rsidTr="00A45D1C" w14:paraId="4E9C6615" w14:textId="77777777">
        <w:trPr>
          <w:trHeight w:val="654"/>
        </w:trPr>
        <w:tc>
          <w:tcPr>
            <w:tcW w:w="6917" w:type="dxa"/>
          </w:tcPr>
          <w:p w:rsidRPr="00D44E0C" w:rsidR="00D1673A" w:rsidP="00A45D1C" w:rsidRDefault="00D1673A" w14:paraId="3C3E3814" w14:textId="77777777">
            <w:pPr>
              <w:pStyle w:val="BodyText"/>
              <w:spacing w:after="120"/>
              <w:rPr>
                <w:bCs/>
                <w:szCs w:val="26"/>
              </w:rPr>
            </w:pPr>
            <w:r w:rsidRPr="00D44E0C">
              <w:rPr>
                <w:bCs/>
                <w:szCs w:val="26"/>
              </w:rPr>
              <w:t xml:space="preserve">Controlled </w:t>
            </w:r>
            <w:r w:rsidRPr="00D44E0C">
              <w:rPr>
                <w:szCs w:val="26"/>
              </w:rPr>
              <w:t>substances and alcohol testing certification program</w:t>
            </w:r>
          </w:p>
        </w:tc>
        <w:tc>
          <w:tcPr>
            <w:tcW w:w="2618" w:type="dxa"/>
          </w:tcPr>
          <w:p w:rsidRPr="00D44E0C" w:rsidR="00D1673A" w:rsidP="00A45D1C" w:rsidRDefault="00D1673A" w14:paraId="39FA33A7" w14:textId="77777777">
            <w:pPr>
              <w:pStyle w:val="BodyText"/>
              <w:spacing w:after="120"/>
              <w:rPr>
                <w:b/>
                <w:szCs w:val="26"/>
                <w:u w:val="single"/>
              </w:rPr>
            </w:pPr>
            <w:r w:rsidRPr="00D44E0C">
              <w:rPr>
                <w:bCs/>
                <w:szCs w:val="26"/>
              </w:rPr>
              <w:t>Public</w:t>
            </w:r>
          </w:p>
        </w:tc>
      </w:tr>
      <w:tr w:rsidRPr="00D44E0C" w:rsidR="00D1673A" w:rsidTr="00A45D1C" w14:paraId="3994DD4A" w14:textId="77777777">
        <w:trPr>
          <w:trHeight w:val="953"/>
        </w:trPr>
        <w:tc>
          <w:tcPr>
            <w:tcW w:w="6917" w:type="dxa"/>
          </w:tcPr>
          <w:p w:rsidRPr="00D44E0C" w:rsidR="00D1673A" w:rsidP="00A45D1C" w:rsidRDefault="00D1673A" w14:paraId="61051A5B" w14:textId="779506F5">
            <w:pPr>
              <w:pStyle w:val="BodyText"/>
              <w:spacing w:after="120"/>
              <w:rPr>
                <w:bCs/>
                <w:szCs w:val="26"/>
              </w:rPr>
            </w:pPr>
            <w:r w:rsidRPr="00D44E0C">
              <w:rPr>
                <w:bCs/>
                <w:szCs w:val="26"/>
              </w:rPr>
              <w:t>Profit and loss statement</w:t>
            </w:r>
          </w:p>
        </w:tc>
        <w:tc>
          <w:tcPr>
            <w:tcW w:w="2618" w:type="dxa"/>
          </w:tcPr>
          <w:p w:rsidRPr="00D44E0C" w:rsidR="00D1673A" w:rsidP="00A45D1C" w:rsidRDefault="00D1673A" w14:paraId="1BD0F006" w14:textId="77777777">
            <w:pPr>
              <w:pStyle w:val="BodyText"/>
              <w:spacing w:after="120"/>
              <w:rPr>
                <w:bCs/>
                <w:szCs w:val="26"/>
              </w:rPr>
            </w:pPr>
            <w:r>
              <w:rPr>
                <w:bCs/>
                <w:szCs w:val="26"/>
              </w:rPr>
              <w:t>Entire document is c</w:t>
            </w:r>
            <w:r w:rsidRPr="00D44E0C">
              <w:rPr>
                <w:bCs/>
                <w:szCs w:val="26"/>
              </w:rPr>
              <w:t>onfidential</w:t>
            </w:r>
          </w:p>
        </w:tc>
      </w:tr>
      <w:tr w:rsidRPr="00D44E0C" w:rsidR="00D1673A" w:rsidTr="00A45D1C" w14:paraId="29328102" w14:textId="77777777">
        <w:trPr>
          <w:trHeight w:val="645"/>
        </w:trPr>
        <w:tc>
          <w:tcPr>
            <w:tcW w:w="6917" w:type="dxa"/>
          </w:tcPr>
          <w:p w:rsidRPr="00D44E0C" w:rsidR="00D1673A" w:rsidP="00A45D1C" w:rsidRDefault="00D1673A" w14:paraId="1EFA21D2" w14:textId="77777777">
            <w:pPr>
              <w:pStyle w:val="BodyText"/>
              <w:spacing w:after="120"/>
              <w:rPr>
                <w:bCs/>
                <w:szCs w:val="26"/>
              </w:rPr>
            </w:pPr>
            <w:r w:rsidRPr="00D44E0C">
              <w:rPr>
                <w:bCs/>
                <w:szCs w:val="26"/>
              </w:rPr>
              <w:t>Insurance</w:t>
            </w:r>
          </w:p>
        </w:tc>
        <w:tc>
          <w:tcPr>
            <w:tcW w:w="2618" w:type="dxa"/>
          </w:tcPr>
          <w:p w:rsidRPr="00D44E0C" w:rsidR="00D1673A" w:rsidP="00A45D1C" w:rsidRDefault="00D1673A" w14:paraId="7CF04921" w14:textId="77777777">
            <w:pPr>
              <w:pStyle w:val="BodyText"/>
              <w:spacing w:after="120"/>
              <w:rPr>
                <w:b/>
                <w:szCs w:val="26"/>
                <w:u w:val="single"/>
              </w:rPr>
            </w:pPr>
            <w:r w:rsidRPr="00D44E0C">
              <w:rPr>
                <w:bCs/>
                <w:szCs w:val="26"/>
              </w:rPr>
              <w:t>Public</w:t>
            </w:r>
          </w:p>
        </w:tc>
      </w:tr>
      <w:tr w:rsidRPr="00D44E0C" w:rsidR="00D1673A" w:rsidTr="00A45D1C" w14:paraId="2744B5E7" w14:textId="77777777">
        <w:trPr>
          <w:trHeight w:val="954"/>
        </w:trPr>
        <w:tc>
          <w:tcPr>
            <w:tcW w:w="6917" w:type="dxa"/>
          </w:tcPr>
          <w:p w:rsidRPr="00D44E0C" w:rsidR="00D1673A" w:rsidP="00A45D1C" w:rsidRDefault="00D1673A" w14:paraId="118BF3AF" w14:textId="77777777">
            <w:pPr>
              <w:pStyle w:val="BodyText"/>
              <w:spacing w:after="120"/>
              <w:rPr>
                <w:bCs/>
                <w:szCs w:val="26"/>
              </w:rPr>
            </w:pPr>
            <w:r>
              <w:rPr>
                <w:bCs/>
                <w:szCs w:val="26"/>
              </w:rPr>
              <w:t>3</w:t>
            </w:r>
            <w:r w:rsidRPr="00F72C32">
              <w:rPr>
                <w:bCs/>
                <w:szCs w:val="26"/>
                <w:vertAlign w:val="superscript"/>
              </w:rPr>
              <w:t>rd</w:t>
            </w:r>
            <w:r>
              <w:rPr>
                <w:bCs/>
                <w:szCs w:val="26"/>
              </w:rPr>
              <w:t xml:space="preserve"> Party Contracts</w:t>
            </w:r>
          </w:p>
        </w:tc>
        <w:tc>
          <w:tcPr>
            <w:tcW w:w="2618" w:type="dxa"/>
          </w:tcPr>
          <w:p w:rsidRPr="00D44E0C" w:rsidR="00D1673A" w:rsidP="00A45D1C" w:rsidRDefault="00D1673A" w14:paraId="41103EC4" w14:textId="77777777">
            <w:pPr>
              <w:pStyle w:val="BodyText"/>
              <w:spacing w:after="120"/>
              <w:rPr>
                <w:bCs/>
                <w:szCs w:val="26"/>
              </w:rPr>
            </w:pPr>
            <w:r>
              <w:rPr>
                <w:bCs/>
                <w:szCs w:val="26"/>
              </w:rPr>
              <w:t>Contract price is confidential</w:t>
            </w:r>
          </w:p>
        </w:tc>
      </w:tr>
    </w:tbl>
    <w:p w:rsidR="000F3435" w:rsidP="00D1673A" w:rsidRDefault="000F3435" w14:paraId="12032A73" w14:textId="7255AD2A">
      <w:pPr>
        <w:pStyle w:val="BodyText"/>
        <w:spacing w:before="120" w:after="240"/>
        <w:rPr>
          <w:szCs w:val="26"/>
        </w:rPr>
      </w:pPr>
    </w:p>
    <w:p w:rsidR="000F3435" w:rsidRDefault="000F3435" w14:paraId="5BE12056" w14:textId="77777777">
      <w:pPr>
        <w:spacing w:after="160" w:line="259" w:lineRule="auto"/>
        <w:rPr>
          <w:sz w:val="26"/>
          <w:szCs w:val="26"/>
        </w:rPr>
      </w:pPr>
      <w:r>
        <w:rPr>
          <w:szCs w:val="26"/>
        </w:rPr>
        <w:br w:type="page"/>
      </w:r>
    </w:p>
    <w:p w:rsidRPr="00D44E0C" w:rsidR="00D1673A" w:rsidP="00D1673A" w:rsidRDefault="00D1673A" w14:paraId="1E8034DA" w14:textId="77777777">
      <w:pPr>
        <w:pStyle w:val="BodyText"/>
        <w:spacing w:before="120" w:after="240"/>
        <w:rPr>
          <w:b/>
          <w:szCs w:val="26"/>
          <w:u w:val="single"/>
        </w:rPr>
      </w:pPr>
      <w:proofErr w:type="spellStart"/>
      <w:r w:rsidRPr="00D44E0C">
        <w:rPr>
          <w:szCs w:val="26"/>
        </w:rPr>
        <w:lastRenderedPageBreak/>
        <w:t>Drivered</w:t>
      </w:r>
      <w:proofErr w:type="spellEnd"/>
      <w:r w:rsidRPr="00D44E0C">
        <w:rPr>
          <w:szCs w:val="26"/>
        </w:rPr>
        <w:t xml:space="preserve"> AV Pilot Program Documents</w:t>
      </w:r>
    </w:p>
    <w:tbl>
      <w:tblPr>
        <w:tblStyle w:val="TableGrid"/>
        <w:tblW w:w="9445" w:type="dxa"/>
        <w:tblLook w:val="04A0" w:firstRow="1" w:lastRow="0" w:firstColumn="1" w:lastColumn="0" w:noHBand="0" w:noVBand="1"/>
      </w:tblPr>
      <w:tblGrid>
        <w:gridCol w:w="6925"/>
        <w:gridCol w:w="2520"/>
      </w:tblGrid>
      <w:tr w:rsidRPr="00D44E0C" w:rsidR="00D1673A" w:rsidTr="00A45D1C" w14:paraId="580B039A" w14:textId="77777777">
        <w:trPr>
          <w:trHeight w:val="845"/>
        </w:trPr>
        <w:tc>
          <w:tcPr>
            <w:tcW w:w="6925" w:type="dxa"/>
          </w:tcPr>
          <w:p w:rsidRPr="00D44E0C" w:rsidR="00D1673A" w:rsidP="00A45D1C" w:rsidRDefault="00D1673A" w14:paraId="37785614" w14:textId="0E59EEBF">
            <w:pPr>
              <w:pStyle w:val="BodyText"/>
              <w:spacing w:after="120"/>
              <w:rPr>
                <w:bCs/>
                <w:szCs w:val="26"/>
              </w:rPr>
            </w:pPr>
            <w:r w:rsidRPr="00D44E0C">
              <w:rPr>
                <w:szCs w:val="26"/>
              </w:rPr>
              <w:t>DMV AV Manufacturer’s Testing Permit</w:t>
            </w:r>
          </w:p>
        </w:tc>
        <w:tc>
          <w:tcPr>
            <w:tcW w:w="2520" w:type="dxa"/>
          </w:tcPr>
          <w:p w:rsidRPr="00D44E0C" w:rsidR="00D1673A" w:rsidP="00A45D1C" w:rsidRDefault="00D1673A" w14:paraId="1E8B10AA" w14:textId="77777777">
            <w:pPr>
              <w:pStyle w:val="BodyText"/>
              <w:spacing w:after="120"/>
              <w:rPr>
                <w:bCs/>
                <w:szCs w:val="26"/>
              </w:rPr>
            </w:pPr>
            <w:r>
              <w:rPr>
                <w:bCs/>
                <w:szCs w:val="26"/>
              </w:rPr>
              <w:t>Operators’ full names, addresses, and phone numbers</w:t>
            </w:r>
            <w:r w:rsidRPr="00D44E0C">
              <w:rPr>
                <w:bCs/>
                <w:szCs w:val="26"/>
              </w:rPr>
              <w:t xml:space="preserve"> </w:t>
            </w:r>
            <w:r>
              <w:rPr>
                <w:bCs/>
                <w:szCs w:val="26"/>
              </w:rPr>
              <w:t>are c</w:t>
            </w:r>
            <w:r w:rsidRPr="00D44E0C">
              <w:rPr>
                <w:bCs/>
                <w:szCs w:val="26"/>
              </w:rPr>
              <w:t>onfidential</w:t>
            </w:r>
          </w:p>
        </w:tc>
      </w:tr>
      <w:tr w:rsidRPr="00D44E0C" w:rsidR="00D1673A" w:rsidTr="00A45D1C" w14:paraId="4505AF02" w14:textId="77777777">
        <w:tc>
          <w:tcPr>
            <w:tcW w:w="6925" w:type="dxa"/>
          </w:tcPr>
          <w:p w:rsidRPr="00D44E0C" w:rsidR="00D1673A" w:rsidP="00A45D1C" w:rsidRDefault="00D1673A" w14:paraId="39960D7A" w14:textId="5538E8C5">
            <w:pPr>
              <w:pStyle w:val="BodyText"/>
              <w:spacing w:after="120"/>
              <w:rPr>
                <w:bCs/>
                <w:szCs w:val="26"/>
              </w:rPr>
            </w:pPr>
            <w:r w:rsidRPr="00D44E0C">
              <w:rPr>
                <w:szCs w:val="26"/>
              </w:rPr>
              <w:t>DMV AV Operator Permit</w:t>
            </w:r>
          </w:p>
        </w:tc>
        <w:tc>
          <w:tcPr>
            <w:tcW w:w="2520" w:type="dxa"/>
          </w:tcPr>
          <w:p w:rsidRPr="00D44E0C" w:rsidR="00D1673A" w:rsidP="00A45D1C" w:rsidRDefault="00D1673A" w14:paraId="4C8FD5B0" w14:textId="77777777">
            <w:pPr>
              <w:pStyle w:val="BodyText"/>
              <w:spacing w:after="120"/>
              <w:rPr>
                <w:bCs/>
                <w:szCs w:val="26"/>
              </w:rPr>
            </w:pPr>
            <w:r>
              <w:rPr>
                <w:bCs/>
                <w:szCs w:val="26"/>
              </w:rPr>
              <w:t>Operators’ full names, addresses, and phone numbers</w:t>
            </w:r>
            <w:r w:rsidRPr="00D44E0C">
              <w:rPr>
                <w:bCs/>
                <w:szCs w:val="26"/>
              </w:rPr>
              <w:t xml:space="preserve"> </w:t>
            </w:r>
            <w:r>
              <w:rPr>
                <w:bCs/>
                <w:szCs w:val="26"/>
              </w:rPr>
              <w:t>are c</w:t>
            </w:r>
            <w:r w:rsidRPr="00D44E0C">
              <w:rPr>
                <w:bCs/>
                <w:szCs w:val="26"/>
              </w:rPr>
              <w:t>onfidential</w:t>
            </w:r>
          </w:p>
        </w:tc>
      </w:tr>
      <w:tr w:rsidRPr="00D44E0C" w:rsidR="00D1673A" w:rsidTr="00A45D1C" w14:paraId="70B6503B" w14:textId="77777777">
        <w:tc>
          <w:tcPr>
            <w:tcW w:w="6925" w:type="dxa"/>
          </w:tcPr>
          <w:p w:rsidRPr="00D44E0C" w:rsidR="00D1673A" w:rsidP="00A45D1C" w:rsidRDefault="00D1673A" w14:paraId="0617B30D" w14:textId="77777777">
            <w:pPr>
              <w:pStyle w:val="BodyText"/>
              <w:spacing w:after="120"/>
              <w:rPr>
                <w:bCs/>
                <w:szCs w:val="26"/>
              </w:rPr>
            </w:pPr>
            <w:r w:rsidRPr="00D44E0C">
              <w:rPr>
                <w:szCs w:val="26"/>
              </w:rPr>
              <w:t>AV Test Driver training course outline and description</w:t>
            </w:r>
          </w:p>
        </w:tc>
        <w:tc>
          <w:tcPr>
            <w:tcW w:w="2520" w:type="dxa"/>
          </w:tcPr>
          <w:p w:rsidRPr="00D44E0C" w:rsidR="00D1673A" w:rsidP="00A45D1C" w:rsidRDefault="00D1673A" w14:paraId="563CAC99" w14:textId="77777777">
            <w:pPr>
              <w:pStyle w:val="BodyText"/>
              <w:spacing w:after="120"/>
              <w:rPr>
                <w:b/>
                <w:szCs w:val="26"/>
                <w:u w:val="single"/>
              </w:rPr>
            </w:pPr>
            <w:r w:rsidRPr="00D44E0C">
              <w:rPr>
                <w:bCs/>
                <w:szCs w:val="26"/>
              </w:rPr>
              <w:t>Public</w:t>
            </w:r>
          </w:p>
        </w:tc>
      </w:tr>
      <w:tr w:rsidRPr="00D44E0C" w:rsidR="00D1673A" w:rsidTr="00A45D1C" w14:paraId="44695F41" w14:textId="77777777">
        <w:tc>
          <w:tcPr>
            <w:tcW w:w="6925" w:type="dxa"/>
          </w:tcPr>
          <w:p w:rsidRPr="00D44E0C" w:rsidR="00D1673A" w:rsidP="00A45D1C" w:rsidRDefault="00D1673A" w14:paraId="1D30E1CB" w14:textId="77777777">
            <w:pPr>
              <w:pStyle w:val="BodyText"/>
              <w:spacing w:after="120"/>
              <w:rPr>
                <w:b/>
                <w:szCs w:val="26"/>
                <w:u w:val="single"/>
              </w:rPr>
            </w:pPr>
            <w:r w:rsidRPr="00D44E0C">
              <w:rPr>
                <w:szCs w:val="26"/>
              </w:rPr>
              <w:t>Attestation of compliance with DMV regulations</w:t>
            </w:r>
          </w:p>
        </w:tc>
        <w:tc>
          <w:tcPr>
            <w:tcW w:w="2520" w:type="dxa"/>
          </w:tcPr>
          <w:p w:rsidRPr="00D44E0C" w:rsidR="00D1673A" w:rsidP="00A45D1C" w:rsidRDefault="00D1673A" w14:paraId="7752F40C" w14:textId="77777777">
            <w:pPr>
              <w:pStyle w:val="BodyText"/>
              <w:spacing w:after="120"/>
              <w:rPr>
                <w:b/>
                <w:szCs w:val="26"/>
                <w:u w:val="single"/>
              </w:rPr>
            </w:pPr>
            <w:r w:rsidRPr="00D44E0C">
              <w:rPr>
                <w:bCs/>
                <w:szCs w:val="26"/>
              </w:rPr>
              <w:t>Public</w:t>
            </w:r>
          </w:p>
        </w:tc>
      </w:tr>
      <w:tr w:rsidRPr="00D44E0C" w:rsidR="00D1673A" w:rsidTr="00A45D1C" w14:paraId="19008F94" w14:textId="77777777">
        <w:tc>
          <w:tcPr>
            <w:tcW w:w="6925" w:type="dxa"/>
          </w:tcPr>
          <w:p w:rsidRPr="00D44E0C" w:rsidR="00D1673A" w:rsidP="00A45D1C" w:rsidRDefault="00D1673A" w14:paraId="197813DC" w14:textId="77777777">
            <w:pPr>
              <w:pStyle w:val="BodyText"/>
              <w:spacing w:after="120"/>
              <w:rPr>
                <w:b/>
                <w:szCs w:val="26"/>
                <w:u w:val="single"/>
              </w:rPr>
            </w:pPr>
            <w:r w:rsidRPr="00D44E0C">
              <w:rPr>
                <w:szCs w:val="26"/>
              </w:rPr>
              <w:t>Attestation of 30 days of California operations under DMV permit</w:t>
            </w:r>
          </w:p>
        </w:tc>
        <w:tc>
          <w:tcPr>
            <w:tcW w:w="2520" w:type="dxa"/>
          </w:tcPr>
          <w:p w:rsidRPr="00D44E0C" w:rsidR="00D1673A" w:rsidP="00A45D1C" w:rsidRDefault="00D1673A" w14:paraId="2E9EB132" w14:textId="77777777">
            <w:pPr>
              <w:pStyle w:val="BodyText"/>
              <w:spacing w:after="120"/>
              <w:rPr>
                <w:b/>
                <w:szCs w:val="26"/>
                <w:u w:val="single"/>
              </w:rPr>
            </w:pPr>
            <w:r w:rsidRPr="00D44E0C">
              <w:rPr>
                <w:bCs/>
                <w:szCs w:val="26"/>
              </w:rPr>
              <w:t>Public</w:t>
            </w:r>
          </w:p>
        </w:tc>
      </w:tr>
      <w:tr w:rsidRPr="00D44E0C" w:rsidR="00D1673A" w:rsidTr="00A45D1C" w14:paraId="30AAA2A1" w14:textId="77777777">
        <w:tc>
          <w:tcPr>
            <w:tcW w:w="6925" w:type="dxa"/>
          </w:tcPr>
          <w:p w:rsidRPr="00D44E0C" w:rsidR="00D1673A" w:rsidP="00A45D1C" w:rsidRDefault="00D1673A" w14:paraId="4590CE06" w14:textId="77777777">
            <w:pPr>
              <w:pStyle w:val="BodyText"/>
              <w:spacing w:after="120"/>
              <w:rPr>
                <w:bCs/>
                <w:szCs w:val="26"/>
              </w:rPr>
            </w:pPr>
            <w:r w:rsidRPr="00D44E0C">
              <w:rPr>
                <w:bCs/>
                <w:szCs w:val="26"/>
              </w:rPr>
              <w:t>Statement and Map of Operational Design Domain</w:t>
            </w:r>
          </w:p>
        </w:tc>
        <w:tc>
          <w:tcPr>
            <w:tcW w:w="2520" w:type="dxa"/>
          </w:tcPr>
          <w:p w:rsidRPr="00D44E0C" w:rsidR="00D1673A" w:rsidP="00A45D1C" w:rsidRDefault="00D1673A" w14:paraId="5F3C8AEE" w14:textId="77777777">
            <w:pPr>
              <w:pStyle w:val="BodyText"/>
              <w:spacing w:after="120"/>
              <w:rPr>
                <w:b/>
                <w:szCs w:val="26"/>
                <w:u w:val="single"/>
              </w:rPr>
            </w:pPr>
            <w:r w:rsidRPr="00D44E0C">
              <w:rPr>
                <w:bCs/>
                <w:szCs w:val="26"/>
              </w:rPr>
              <w:t>Public</w:t>
            </w:r>
          </w:p>
        </w:tc>
      </w:tr>
      <w:tr w:rsidRPr="00D44E0C" w:rsidR="00D1673A" w:rsidTr="00A45D1C" w14:paraId="274A492C" w14:textId="77777777">
        <w:tc>
          <w:tcPr>
            <w:tcW w:w="6925" w:type="dxa"/>
          </w:tcPr>
          <w:p w:rsidRPr="00D44E0C" w:rsidR="00D1673A" w:rsidP="00A45D1C" w:rsidRDefault="00D1673A" w14:paraId="1D2DCFFC" w14:textId="77777777">
            <w:pPr>
              <w:pStyle w:val="BodyText"/>
              <w:spacing w:after="120"/>
              <w:rPr>
                <w:bCs/>
                <w:szCs w:val="26"/>
              </w:rPr>
            </w:pPr>
            <w:r w:rsidRPr="00D44E0C">
              <w:rPr>
                <w:bCs/>
                <w:szCs w:val="26"/>
              </w:rPr>
              <w:t>Passenger Notice and Consent Plan</w:t>
            </w:r>
          </w:p>
        </w:tc>
        <w:tc>
          <w:tcPr>
            <w:tcW w:w="2520" w:type="dxa"/>
          </w:tcPr>
          <w:p w:rsidRPr="00D44E0C" w:rsidR="00D1673A" w:rsidP="00A45D1C" w:rsidRDefault="00D1673A" w14:paraId="0190B3B1" w14:textId="77777777">
            <w:pPr>
              <w:pStyle w:val="BodyText"/>
              <w:spacing w:after="120"/>
              <w:rPr>
                <w:b/>
                <w:szCs w:val="26"/>
                <w:u w:val="single"/>
              </w:rPr>
            </w:pPr>
            <w:r w:rsidRPr="00D44E0C">
              <w:rPr>
                <w:bCs/>
                <w:szCs w:val="26"/>
              </w:rPr>
              <w:t>Public</w:t>
            </w:r>
          </w:p>
        </w:tc>
      </w:tr>
      <w:tr w:rsidRPr="00D44E0C" w:rsidR="00D1673A" w:rsidTr="00A45D1C" w14:paraId="485D4A62" w14:textId="77777777">
        <w:tc>
          <w:tcPr>
            <w:tcW w:w="6925" w:type="dxa"/>
          </w:tcPr>
          <w:p w:rsidRPr="00D44E0C" w:rsidR="00D1673A" w:rsidP="00A45D1C" w:rsidRDefault="00D1673A" w14:paraId="67E5D57B" w14:textId="0346A59C">
            <w:pPr>
              <w:pStyle w:val="BodyText"/>
              <w:spacing w:after="120"/>
              <w:rPr>
                <w:bCs/>
                <w:szCs w:val="26"/>
              </w:rPr>
            </w:pPr>
            <w:r w:rsidRPr="00D44E0C">
              <w:rPr>
                <w:bCs/>
                <w:szCs w:val="26"/>
              </w:rPr>
              <w:t>(</w:t>
            </w:r>
            <w:r w:rsidR="000F3435">
              <w:rPr>
                <w:bCs/>
                <w:szCs w:val="26"/>
              </w:rPr>
              <w:t>O</w:t>
            </w:r>
            <w:r w:rsidRPr="00D44E0C">
              <w:rPr>
                <w:bCs/>
                <w:szCs w:val="26"/>
              </w:rPr>
              <w:t>ptional) Supplement to Projected Profit or Loss Statement</w:t>
            </w:r>
          </w:p>
        </w:tc>
        <w:tc>
          <w:tcPr>
            <w:tcW w:w="2520" w:type="dxa"/>
          </w:tcPr>
          <w:p w:rsidRPr="00D44E0C" w:rsidR="00D1673A" w:rsidP="00A45D1C" w:rsidRDefault="00D1673A" w14:paraId="773BB35F" w14:textId="77777777">
            <w:pPr>
              <w:pStyle w:val="BodyText"/>
              <w:spacing w:after="120"/>
              <w:rPr>
                <w:bCs/>
                <w:szCs w:val="26"/>
              </w:rPr>
            </w:pPr>
            <w:r w:rsidRPr="005C6C84">
              <w:rPr>
                <w:bCs/>
                <w:szCs w:val="26"/>
              </w:rPr>
              <w:t>Entire document is confidential</w:t>
            </w:r>
          </w:p>
        </w:tc>
      </w:tr>
      <w:tr w:rsidRPr="00D44E0C" w:rsidR="00D1673A" w:rsidTr="00A45D1C" w14:paraId="26436839" w14:textId="77777777">
        <w:tc>
          <w:tcPr>
            <w:tcW w:w="6925" w:type="dxa"/>
          </w:tcPr>
          <w:p w:rsidRPr="00D44E0C" w:rsidR="00D1673A" w:rsidP="00A45D1C" w:rsidRDefault="00D1673A" w14:paraId="3DFB69A5" w14:textId="5CFDF1E0">
            <w:pPr>
              <w:pStyle w:val="BodyText"/>
              <w:spacing w:after="120"/>
              <w:rPr>
                <w:bCs/>
                <w:szCs w:val="26"/>
              </w:rPr>
            </w:pPr>
            <w:r w:rsidRPr="00D44E0C">
              <w:rPr>
                <w:bCs/>
                <w:szCs w:val="26"/>
              </w:rPr>
              <w:t>(</w:t>
            </w:r>
            <w:r w:rsidR="000F3435">
              <w:rPr>
                <w:bCs/>
                <w:szCs w:val="26"/>
              </w:rPr>
              <w:t>O</w:t>
            </w:r>
            <w:r w:rsidRPr="00D44E0C">
              <w:rPr>
                <w:bCs/>
                <w:szCs w:val="26"/>
              </w:rPr>
              <w:t>ptional) Request(s) for exemption(s) to General Order 157-E</w:t>
            </w:r>
          </w:p>
        </w:tc>
        <w:tc>
          <w:tcPr>
            <w:tcW w:w="2520" w:type="dxa"/>
          </w:tcPr>
          <w:p w:rsidRPr="00D44E0C" w:rsidR="00D1673A" w:rsidP="00A45D1C" w:rsidRDefault="00D1673A" w14:paraId="7110A2D3" w14:textId="77777777">
            <w:pPr>
              <w:pStyle w:val="BodyText"/>
              <w:spacing w:after="120"/>
              <w:rPr>
                <w:b/>
                <w:szCs w:val="26"/>
                <w:u w:val="single"/>
              </w:rPr>
            </w:pPr>
            <w:r w:rsidRPr="00D44E0C">
              <w:rPr>
                <w:bCs/>
                <w:szCs w:val="26"/>
              </w:rPr>
              <w:t>Public</w:t>
            </w:r>
          </w:p>
        </w:tc>
      </w:tr>
      <w:tr w:rsidRPr="00D44E0C" w:rsidR="00D1673A" w:rsidTr="00A45D1C" w14:paraId="3E838CC2" w14:textId="77777777">
        <w:tc>
          <w:tcPr>
            <w:tcW w:w="6925" w:type="dxa"/>
          </w:tcPr>
          <w:p w:rsidRPr="00D44E0C" w:rsidR="00D1673A" w:rsidP="00A45D1C" w:rsidRDefault="00D1673A" w14:paraId="03021805" w14:textId="77777777">
            <w:pPr>
              <w:pStyle w:val="BodyText"/>
              <w:spacing w:after="120"/>
              <w:rPr>
                <w:bCs/>
                <w:szCs w:val="26"/>
              </w:rPr>
            </w:pPr>
            <w:r>
              <w:rPr>
                <w:bCs/>
                <w:szCs w:val="26"/>
              </w:rPr>
              <w:t>3</w:t>
            </w:r>
            <w:r w:rsidRPr="00F72C32">
              <w:rPr>
                <w:bCs/>
                <w:szCs w:val="26"/>
                <w:vertAlign w:val="superscript"/>
              </w:rPr>
              <w:t>rd</w:t>
            </w:r>
            <w:r>
              <w:rPr>
                <w:bCs/>
                <w:szCs w:val="26"/>
              </w:rPr>
              <w:t xml:space="preserve"> Party Contracts</w:t>
            </w:r>
          </w:p>
        </w:tc>
        <w:tc>
          <w:tcPr>
            <w:tcW w:w="2520" w:type="dxa"/>
          </w:tcPr>
          <w:p w:rsidRPr="00D44E0C" w:rsidR="00D1673A" w:rsidP="00A45D1C" w:rsidRDefault="00D1673A" w14:paraId="02602BF8" w14:textId="77777777">
            <w:pPr>
              <w:pStyle w:val="BodyText"/>
              <w:spacing w:after="120"/>
              <w:rPr>
                <w:bCs/>
                <w:szCs w:val="26"/>
              </w:rPr>
            </w:pPr>
            <w:r>
              <w:rPr>
                <w:bCs/>
                <w:szCs w:val="26"/>
              </w:rPr>
              <w:t>Contract price is confidential</w:t>
            </w:r>
          </w:p>
        </w:tc>
      </w:tr>
    </w:tbl>
    <w:p w:rsidRPr="00D44E0C" w:rsidR="00D1673A" w:rsidP="00D1673A" w:rsidRDefault="00D1673A" w14:paraId="57BBB9C6" w14:textId="77777777">
      <w:pPr>
        <w:pStyle w:val="BodyText"/>
        <w:spacing w:before="120" w:after="240"/>
        <w:rPr>
          <w:szCs w:val="26"/>
        </w:rPr>
      </w:pPr>
    </w:p>
    <w:p w:rsidR="000F3435" w:rsidRDefault="000F3435" w14:paraId="6C59018A" w14:textId="77777777">
      <w:pPr>
        <w:spacing w:after="160" w:line="259" w:lineRule="auto"/>
        <w:rPr>
          <w:sz w:val="26"/>
          <w:szCs w:val="26"/>
        </w:rPr>
      </w:pPr>
      <w:r>
        <w:rPr>
          <w:szCs w:val="26"/>
        </w:rPr>
        <w:br w:type="page"/>
      </w:r>
    </w:p>
    <w:p w:rsidRPr="00D44E0C" w:rsidR="00D1673A" w:rsidP="00D1673A" w:rsidRDefault="00D1673A" w14:paraId="57D2C82E" w14:textId="519C1831">
      <w:pPr>
        <w:pStyle w:val="BodyText"/>
        <w:spacing w:before="120" w:after="240"/>
        <w:rPr>
          <w:b/>
          <w:szCs w:val="26"/>
          <w:u w:val="single"/>
        </w:rPr>
      </w:pPr>
      <w:r w:rsidRPr="00D44E0C">
        <w:rPr>
          <w:szCs w:val="26"/>
        </w:rPr>
        <w:lastRenderedPageBreak/>
        <w:t>Driverless AV Pilot Program Documents</w:t>
      </w:r>
    </w:p>
    <w:tbl>
      <w:tblPr>
        <w:tblStyle w:val="TableGrid"/>
        <w:tblW w:w="9535" w:type="dxa"/>
        <w:tblLook w:val="04A0" w:firstRow="1" w:lastRow="0" w:firstColumn="1" w:lastColumn="0" w:noHBand="0" w:noVBand="1"/>
      </w:tblPr>
      <w:tblGrid>
        <w:gridCol w:w="6925"/>
        <w:gridCol w:w="2610"/>
      </w:tblGrid>
      <w:tr w:rsidRPr="00D44E0C" w:rsidR="00D1673A" w:rsidTr="00A45D1C" w14:paraId="29EFDDBF" w14:textId="77777777">
        <w:tc>
          <w:tcPr>
            <w:tcW w:w="6925" w:type="dxa"/>
          </w:tcPr>
          <w:p w:rsidRPr="00D44E0C" w:rsidR="00D1673A" w:rsidP="00A45D1C" w:rsidRDefault="00D1673A" w14:paraId="4C567217" w14:textId="29E3D828">
            <w:pPr>
              <w:pStyle w:val="BodyText"/>
              <w:spacing w:after="120"/>
              <w:rPr>
                <w:bCs/>
                <w:szCs w:val="26"/>
              </w:rPr>
            </w:pPr>
            <w:r w:rsidRPr="00D44E0C">
              <w:rPr>
                <w:bCs/>
                <w:szCs w:val="26"/>
              </w:rPr>
              <w:t>DMV Driverless AV Testing Permit</w:t>
            </w:r>
          </w:p>
        </w:tc>
        <w:tc>
          <w:tcPr>
            <w:tcW w:w="2610" w:type="dxa"/>
          </w:tcPr>
          <w:p w:rsidRPr="00D44E0C" w:rsidR="00D1673A" w:rsidP="00A45D1C" w:rsidRDefault="00D1673A" w14:paraId="2B63ACFB" w14:textId="77777777">
            <w:pPr>
              <w:pStyle w:val="BodyText"/>
              <w:spacing w:after="120"/>
              <w:rPr>
                <w:bCs/>
                <w:szCs w:val="26"/>
              </w:rPr>
            </w:pPr>
            <w:r>
              <w:rPr>
                <w:bCs/>
                <w:szCs w:val="26"/>
              </w:rPr>
              <w:t>Operators’ full names, addresses, and phone numbers are c</w:t>
            </w:r>
            <w:r w:rsidRPr="00D44E0C">
              <w:rPr>
                <w:bCs/>
                <w:szCs w:val="26"/>
              </w:rPr>
              <w:t>onfidential</w:t>
            </w:r>
          </w:p>
        </w:tc>
      </w:tr>
      <w:tr w:rsidRPr="00D44E0C" w:rsidR="00D1673A" w:rsidTr="00A45D1C" w14:paraId="0B02B136" w14:textId="77777777">
        <w:tc>
          <w:tcPr>
            <w:tcW w:w="6925" w:type="dxa"/>
          </w:tcPr>
          <w:p w:rsidRPr="00D44E0C" w:rsidR="00D1673A" w:rsidP="00A45D1C" w:rsidRDefault="00D1673A" w14:paraId="721AA394" w14:textId="77777777">
            <w:pPr>
              <w:pStyle w:val="BodyText"/>
              <w:spacing w:after="120"/>
              <w:rPr>
                <w:bCs/>
                <w:szCs w:val="26"/>
              </w:rPr>
            </w:pPr>
            <w:r w:rsidRPr="00D44E0C">
              <w:rPr>
                <w:bCs/>
                <w:szCs w:val="26"/>
              </w:rPr>
              <w:t>DMV Process in the Event of a Collision</w:t>
            </w:r>
          </w:p>
        </w:tc>
        <w:tc>
          <w:tcPr>
            <w:tcW w:w="2610" w:type="dxa"/>
          </w:tcPr>
          <w:p w:rsidRPr="00D44E0C" w:rsidR="00D1673A" w:rsidP="00A45D1C" w:rsidRDefault="00D1673A" w14:paraId="030251A4" w14:textId="77777777">
            <w:pPr>
              <w:pStyle w:val="BodyText"/>
              <w:spacing w:after="120"/>
              <w:rPr>
                <w:b/>
                <w:szCs w:val="26"/>
                <w:u w:val="single"/>
              </w:rPr>
            </w:pPr>
            <w:r w:rsidRPr="00D44E0C">
              <w:rPr>
                <w:bCs/>
                <w:szCs w:val="26"/>
              </w:rPr>
              <w:t>Public</w:t>
            </w:r>
          </w:p>
        </w:tc>
      </w:tr>
      <w:tr w:rsidRPr="00D44E0C" w:rsidR="00D1673A" w:rsidTr="00A45D1C" w14:paraId="3F8DE47C" w14:textId="77777777">
        <w:tc>
          <w:tcPr>
            <w:tcW w:w="6925" w:type="dxa"/>
          </w:tcPr>
          <w:p w:rsidRPr="00D44E0C" w:rsidR="00D1673A" w:rsidP="00A45D1C" w:rsidRDefault="00D1673A" w14:paraId="015513AE" w14:textId="77777777">
            <w:pPr>
              <w:pStyle w:val="BodyText"/>
              <w:spacing w:after="120"/>
              <w:rPr>
                <w:bCs/>
                <w:szCs w:val="26"/>
              </w:rPr>
            </w:pPr>
            <w:r w:rsidRPr="00D44E0C">
              <w:rPr>
                <w:bCs/>
                <w:szCs w:val="26"/>
              </w:rPr>
              <w:t>DMV Law Enforcement Interaction Plan</w:t>
            </w:r>
          </w:p>
        </w:tc>
        <w:tc>
          <w:tcPr>
            <w:tcW w:w="2610" w:type="dxa"/>
          </w:tcPr>
          <w:p w:rsidRPr="00D44E0C" w:rsidR="00D1673A" w:rsidP="00A45D1C" w:rsidRDefault="00D1673A" w14:paraId="37E0A104" w14:textId="77777777">
            <w:pPr>
              <w:pStyle w:val="BodyText"/>
              <w:spacing w:after="120"/>
              <w:rPr>
                <w:b/>
                <w:szCs w:val="26"/>
                <w:u w:val="single"/>
              </w:rPr>
            </w:pPr>
            <w:r w:rsidRPr="00D44E0C">
              <w:rPr>
                <w:bCs/>
                <w:szCs w:val="26"/>
              </w:rPr>
              <w:t>Public</w:t>
            </w:r>
          </w:p>
        </w:tc>
      </w:tr>
      <w:tr w:rsidRPr="00D44E0C" w:rsidR="00D1673A" w:rsidTr="00A45D1C" w14:paraId="677FB99C" w14:textId="77777777">
        <w:tc>
          <w:tcPr>
            <w:tcW w:w="6925" w:type="dxa"/>
          </w:tcPr>
          <w:p w:rsidRPr="00D44E0C" w:rsidR="00D1673A" w:rsidP="00A45D1C" w:rsidRDefault="00D1673A" w14:paraId="418332C7" w14:textId="77777777">
            <w:pPr>
              <w:pStyle w:val="BodyText"/>
              <w:spacing w:after="120"/>
              <w:rPr>
                <w:bCs/>
                <w:szCs w:val="26"/>
              </w:rPr>
            </w:pPr>
            <w:r w:rsidRPr="00D44E0C">
              <w:rPr>
                <w:bCs/>
                <w:szCs w:val="26"/>
              </w:rPr>
              <w:t>DMV Disclosure to Passengers Regarding Collection and Use of Personal Information</w:t>
            </w:r>
          </w:p>
        </w:tc>
        <w:tc>
          <w:tcPr>
            <w:tcW w:w="2610" w:type="dxa"/>
          </w:tcPr>
          <w:p w:rsidRPr="00D44E0C" w:rsidR="00D1673A" w:rsidP="00A45D1C" w:rsidRDefault="00D1673A" w14:paraId="613FCBF1" w14:textId="77777777">
            <w:pPr>
              <w:pStyle w:val="BodyText"/>
              <w:spacing w:after="120"/>
              <w:rPr>
                <w:b/>
                <w:szCs w:val="26"/>
                <w:u w:val="single"/>
              </w:rPr>
            </w:pPr>
            <w:r w:rsidRPr="00D44E0C">
              <w:rPr>
                <w:bCs/>
                <w:szCs w:val="26"/>
              </w:rPr>
              <w:t>Public</w:t>
            </w:r>
          </w:p>
        </w:tc>
      </w:tr>
      <w:tr w:rsidRPr="00D44E0C" w:rsidR="00D1673A" w:rsidTr="00A45D1C" w14:paraId="34676446" w14:textId="77777777">
        <w:tc>
          <w:tcPr>
            <w:tcW w:w="6925" w:type="dxa"/>
          </w:tcPr>
          <w:p w:rsidRPr="00D44E0C" w:rsidR="00D1673A" w:rsidP="00A45D1C" w:rsidRDefault="00D1673A" w14:paraId="2A008671" w14:textId="77777777">
            <w:pPr>
              <w:pStyle w:val="BodyText"/>
              <w:spacing w:after="120"/>
              <w:rPr>
                <w:bCs/>
                <w:szCs w:val="26"/>
              </w:rPr>
            </w:pPr>
            <w:r w:rsidRPr="00D44E0C">
              <w:rPr>
                <w:szCs w:val="26"/>
              </w:rPr>
              <w:t>AV Remote Operator training course outline and description</w:t>
            </w:r>
          </w:p>
        </w:tc>
        <w:tc>
          <w:tcPr>
            <w:tcW w:w="2610" w:type="dxa"/>
          </w:tcPr>
          <w:p w:rsidRPr="00D44E0C" w:rsidR="00D1673A" w:rsidP="00A45D1C" w:rsidRDefault="00D1673A" w14:paraId="71325EAF" w14:textId="77777777">
            <w:pPr>
              <w:pStyle w:val="BodyText"/>
              <w:spacing w:after="120"/>
              <w:rPr>
                <w:b/>
                <w:szCs w:val="26"/>
                <w:u w:val="single"/>
              </w:rPr>
            </w:pPr>
            <w:r w:rsidRPr="00D44E0C">
              <w:rPr>
                <w:bCs/>
                <w:szCs w:val="26"/>
              </w:rPr>
              <w:t>Public</w:t>
            </w:r>
          </w:p>
        </w:tc>
      </w:tr>
      <w:tr w:rsidRPr="00D44E0C" w:rsidR="00D1673A" w:rsidTr="00A45D1C" w14:paraId="1833C8B2" w14:textId="77777777">
        <w:tc>
          <w:tcPr>
            <w:tcW w:w="6925" w:type="dxa"/>
          </w:tcPr>
          <w:p w:rsidRPr="00D44E0C" w:rsidR="00D1673A" w:rsidP="00A45D1C" w:rsidRDefault="00D1673A" w14:paraId="7D7E9F47" w14:textId="77777777">
            <w:pPr>
              <w:pStyle w:val="BodyText"/>
              <w:spacing w:after="120"/>
              <w:rPr>
                <w:b/>
                <w:szCs w:val="26"/>
                <w:u w:val="single"/>
              </w:rPr>
            </w:pPr>
            <w:r w:rsidRPr="00D44E0C">
              <w:rPr>
                <w:szCs w:val="26"/>
              </w:rPr>
              <w:t>Attestation of compliance with DMV regulations</w:t>
            </w:r>
          </w:p>
        </w:tc>
        <w:tc>
          <w:tcPr>
            <w:tcW w:w="2610" w:type="dxa"/>
          </w:tcPr>
          <w:p w:rsidRPr="00D44E0C" w:rsidR="00D1673A" w:rsidP="00A45D1C" w:rsidRDefault="00D1673A" w14:paraId="7DB15C6D" w14:textId="77777777">
            <w:pPr>
              <w:pStyle w:val="BodyText"/>
              <w:spacing w:after="120"/>
              <w:rPr>
                <w:b/>
                <w:szCs w:val="26"/>
                <w:u w:val="single"/>
              </w:rPr>
            </w:pPr>
            <w:r w:rsidRPr="00D44E0C">
              <w:rPr>
                <w:bCs/>
                <w:szCs w:val="26"/>
              </w:rPr>
              <w:t>Public</w:t>
            </w:r>
          </w:p>
        </w:tc>
      </w:tr>
      <w:tr w:rsidRPr="00D44E0C" w:rsidR="00D1673A" w:rsidTr="00A45D1C" w14:paraId="34426926" w14:textId="77777777">
        <w:tc>
          <w:tcPr>
            <w:tcW w:w="6925" w:type="dxa"/>
          </w:tcPr>
          <w:p w:rsidRPr="00D44E0C" w:rsidR="00D1673A" w:rsidP="00A45D1C" w:rsidRDefault="00D1673A" w14:paraId="15A71B53" w14:textId="77777777">
            <w:pPr>
              <w:pStyle w:val="BodyText"/>
              <w:spacing w:after="120"/>
              <w:rPr>
                <w:b/>
                <w:szCs w:val="26"/>
                <w:u w:val="single"/>
              </w:rPr>
            </w:pPr>
            <w:r w:rsidRPr="00D44E0C">
              <w:rPr>
                <w:szCs w:val="26"/>
              </w:rPr>
              <w:t>Attestation of 30 days of California operations under DMV permit</w:t>
            </w:r>
          </w:p>
        </w:tc>
        <w:tc>
          <w:tcPr>
            <w:tcW w:w="2610" w:type="dxa"/>
          </w:tcPr>
          <w:p w:rsidRPr="00D44E0C" w:rsidR="00D1673A" w:rsidP="00A45D1C" w:rsidRDefault="00D1673A" w14:paraId="46CFFDA4" w14:textId="77777777">
            <w:pPr>
              <w:pStyle w:val="BodyText"/>
              <w:spacing w:after="120"/>
              <w:rPr>
                <w:b/>
                <w:szCs w:val="26"/>
                <w:u w:val="single"/>
              </w:rPr>
            </w:pPr>
            <w:r w:rsidRPr="00D44E0C">
              <w:rPr>
                <w:bCs/>
                <w:szCs w:val="26"/>
              </w:rPr>
              <w:t>Public</w:t>
            </w:r>
          </w:p>
        </w:tc>
      </w:tr>
      <w:tr w:rsidRPr="00D44E0C" w:rsidR="00D1673A" w:rsidTr="00A45D1C" w14:paraId="25B3D675" w14:textId="77777777">
        <w:tc>
          <w:tcPr>
            <w:tcW w:w="6925" w:type="dxa"/>
          </w:tcPr>
          <w:p w:rsidRPr="00D44E0C" w:rsidR="00D1673A" w:rsidP="00A45D1C" w:rsidRDefault="00D1673A" w14:paraId="72C8B835" w14:textId="77777777">
            <w:pPr>
              <w:pStyle w:val="BodyText"/>
              <w:spacing w:after="120"/>
              <w:rPr>
                <w:bCs/>
                <w:szCs w:val="26"/>
              </w:rPr>
            </w:pPr>
            <w:r w:rsidRPr="00D44E0C">
              <w:rPr>
                <w:bCs/>
                <w:szCs w:val="26"/>
              </w:rPr>
              <w:t>Statement and Map of Operational Design Domain</w:t>
            </w:r>
          </w:p>
        </w:tc>
        <w:tc>
          <w:tcPr>
            <w:tcW w:w="2610" w:type="dxa"/>
          </w:tcPr>
          <w:p w:rsidRPr="00D44E0C" w:rsidR="00D1673A" w:rsidP="00A45D1C" w:rsidRDefault="00D1673A" w14:paraId="194FCE8E" w14:textId="77777777">
            <w:pPr>
              <w:pStyle w:val="BodyText"/>
              <w:spacing w:after="120"/>
              <w:rPr>
                <w:b/>
                <w:szCs w:val="26"/>
                <w:u w:val="single"/>
              </w:rPr>
            </w:pPr>
            <w:r w:rsidRPr="00D44E0C">
              <w:rPr>
                <w:bCs/>
                <w:szCs w:val="26"/>
              </w:rPr>
              <w:t>Public</w:t>
            </w:r>
          </w:p>
        </w:tc>
      </w:tr>
      <w:tr w:rsidRPr="00D44E0C" w:rsidR="00D1673A" w:rsidTr="00A45D1C" w14:paraId="0BAB5F97" w14:textId="77777777">
        <w:tc>
          <w:tcPr>
            <w:tcW w:w="6925" w:type="dxa"/>
          </w:tcPr>
          <w:p w:rsidRPr="00D44E0C" w:rsidR="00D1673A" w:rsidP="00A45D1C" w:rsidRDefault="00D1673A" w14:paraId="7F371B2B" w14:textId="77777777">
            <w:pPr>
              <w:pStyle w:val="BodyText"/>
              <w:spacing w:after="120"/>
              <w:rPr>
                <w:bCs/>
                <w:szCs w:val="26"/>
              </w:rPr>
            </w:pPr>
            <w:r w:rsidRPr="00D44E0C">
              <w:rPr>
                <w:bCs/>
                <w:szCs w:val="26"/>
              </w:rPr>
              <w:t>Passenger Notice and Consent Plan</w:t>
            </w:r>
          </w:p>
        </w:tc>
        <w:tc>
          <w:tcPr>
            <w:tcW w:w="2610" w:type="dxa"/>
          </w:tcPr>
          <w:p w:rsidRPr="00D44E0C" w:rsidR="00D1673A" w:rsidP="00A45D1C" w:rsidRDefault="00D1673A" w14:paraId="001A4A91" w14:textId="77777777">
            <w:pPr>
              <w:pStyle w:val="BodyText"/>
              <w:spacing w:after="120"/>
              <w:rPr>
                <w:b/>
                <w:szCs w:val="26"/>
                <w:u w:val="single"/>
              </w:rPr>
            </w:pPr>
            <w:r w:rsidRPr="00D44E0C">
              <w:rPr>
                <w:bCs/>
                <w:szCs w:val="26"/>
              </w:rPr>
              <w:t>Public</w:t>
            </w:r>
          </w:p>
        </w:tc>
      </w:tr>
      <w:tr w:rsidRPr="00D44E0C" w:rsidR="00D1673A" w:rsidTr="00A45D1C" w14:paraId="74D95949" w14:textId="77777777">
        <w:tc>
          <w:tcPr>
            <w:tcW w:w="6925" w:type="dxa"/>
          </w:tcPr>
          <w:p w:rsidRPr="00D44E0C" w:rsidR="00D1673A" w:rsidP="00A45D1C" w:rsidRDefault="00D1673A" w14:paraId="487EDF33" w14:textId="77777777">
            <w:pPr>
              <w:pStyle w:val="BodyText"/>
              <w:spacing w:after="120"/>
              <w:rPr>
                <w:bCs/>
                <w:szCs w:val="26"/>
              </w:rPr>
            </w:pPr>
            <w:r w:rsidRPr="00D44E0C">
              <w:rPr>
                <w:bCs/>
                <w:szCs w:val="26"/>
              </w:rPr>
              <w:t>Passenger Safety Plan</w:t>
            </w:r>
          </w:p>
        </w:tc>
        <w:tc>
          <w:tcPr>
            <w:tcW w:w="2610" w:type="dxa"/>
          </w:tcPr>
          <w:p w:rsidRPr="00D44E0C" w:rsidR="00D1673A" w:rsidP="00A45D1C" w:rsidRDefault="00D1673A" w14:paraId="46458A59" w14:textId="77777777">
            <w:pPr>
              <w:pStyle w:val="BodyText"/>
              <w:spacing w:after="120"/>
              <w:rPr>
                <w:b/>
                <w:szCs w:val="26"/>
                <w:u w:val="single"/>
              </w:rPr>
            </w:pPr>
            <w:r w:rsidRPr="00D44E0C">
              <w:rPr>
                <w:bCs/>
                <w:szCs w:val="26"/>
              </w:rPr>
              <w:t>Public</w:t>
            </w:r>
          </w:p>
        </w:tc>
      </w:tr>
      <w:tr w:rsidRPr="00D44E0C" w:rsidR="00D1673A" w:rsidTr="00A45D1C" w14:paraId="6A36D997" w14:textId="77777777">
        <w:tc>
          <w:tcPr>
            <w:tcW w:w="6925" w:type="dxa"/>
          </w:tcPr>
          <w:p w:rsidRPr="00D44E0C" w:rsidR="00D1673A" w:rsidP="00A45D1C" w:rsidRDefault="00D1673A" w14:paraId="5143475F" w14:textId="77777777">
            <w:pPr>
              <w:pStyle w:val="BodyText"/>
              <w:spacing w:after="120"/>
              <w:rPr>
                <w:bCs/>
                <w:szCs w:val="26"/>
              </w:rPr>
            </w:pPr>
            <w:r>
              <w:rPr>
                <w:bCs/>
                <w:szCs w:val="26"/>
              </w:rPr>
              <w:t>3</w:t>
            </w:r>
            <w:r w:rsidRPr="00F72C32">
              <w:rPr>
                <w:bCs/>
                <w:szCs w:val="26"/>
                <w:vertAlign w:val="superscript"/>
              </w:rPr>
              <w:t>rd</w:t>
            </w:r>
            <w:r>
              <w:rPr>
                <w:bCs/>
                <w:szCs w:val="26"/>
              </w:rPr>
              <w:t xml:space="preserve"> Party Contracts</w:t>
            </w:r>
          </w:p>
        </w:tc>
        <w:tc>
          <w:tcPr>
            <w:tcW w:w="2610" w:type="dxa"/>
          </w:tcPr>
          <w:p w:rsidRPr="00D44E0C" w:rsidR="00D1673A" w:rsidP="00A45D1C" w:rsidRDefault="00D1673A" w14:paraId="1D15D91C" w14:textId="77777777">
            <w:pPr>
              <w:pStyle w:val="BodyText"/>
              <w:spacing w:after="120"/>
              <w:rPr>
                <w:bCs/>
                <w:szCs w:val="26"/>
              </w:rPr>
            </w:pPr>
            <w:r>
              <w:rPr>
                <w:bCs/>
                <w:szCs w:val="26"/>
              </w:rPr>
              <w:t>Contract price is confidential</w:t>
            </w:r>
          </w:p>
        </w:tc>
      </w:tr>
      <w:tr w:rsidRPr="00D44E0C" w:rsidR="00D1673A" w:rsidTr="00A45D1C" w14:paraId="1BFFF496" w14:textId="77777777">
        <w:tc>
          <w:tcPr>
            <w:tcW w:w="6925" w:type="dxa"/>
          </w:tcPr>
          <w:p w:rsidRPr="00D44E0C" w:rsidR="00D1673A" w:rsidP="00A45D1C" w:rsidRDefault="00D1673A" w14:paraId="55466E90" w14:textId="639328E2">
            <w:pPr>
              <w:pStyle w:val="BodyText"/>
              <w:spacing w:after="120"/>
              <w:rPr>
                <w:bCs/>
                <w:szCs w:val="26"/>
              </w:rPr>
            </w:pPr>
            <w:r w:rsidRPr="00D44E0C">
              <w:rPr>
                <w:bCs/>
                <w:szCs w:val="26"/>
              </w:rPr>
              <w:t>(</w:t>
            </w:r>
            <w:r w:rsidR="000F3435">
              <w:rPr>
                <w:bCs/>
                <w:szCs w:val="26"/>
              </w:rPr>
              <w:t>O</w:t>
            </w:r>
            <w:r w:rsidRPr="00D44E0C">
              <w:rPr>
                <w:bCs/>
                <w:szCs w:val="26"/>
              </w:rPr>
              <w:t>ptional) Supplement to Projected Profit or Loss Statement</w:t>
            </w:r>
          </w:p>
        </w:tc>
        <w:tc>
          <w:tcPr>
            <w:tcW w:w="2610" w:type="dxa"/>
          </w:tcPr>
          <w:p w:rsidRPr="00D44E0C" w:rsidR="00D1673A" w:rsidP="00A45D1C" w:rsidRDefault="00D1673A" w14:paraId="0A0C7C0F" w14:textId="77777777">
            <w:pPr>
              <w:pStyle w:val="BodyText"/>
              <w:spacing w:after="120"/>
              <w:rPr>
                <w:bCs/>
                <w:szCs w:val="26"/>
              </w:rPr>
            </w:pPr>
            <w:r>
              <w:rPr>
                <w:bCs/>
                <w:szCs w:val="26"/>
              </w:rPr>
              <w:t>Entire document is c</w:t>
            </w:r>
            <w:r w:rsidRPr="00D44E0C">
              <w:rPr>
                <w:bCs/>
                <w:szCs w:val="26"/>
              </w:rPr>
              <w:t>onfidential</w:t>
            </w:r>
          </w:p>
        </w:tc>
      </w:tr>
      <w:tr w:rsidRPr="00D44E0C" w:rsidR="00D1673A" w:rsidTr="00A45D1C" w14:paraId="538A223F" w14:textId="77777777">
        <w:tc>
          <w:tcPr>
            <w:tcW w:w="6925" w:type="dxa"/>
          </w:tcPr>
          <w:p w:rsidRPr="00D44E0C" w:rsidR="00D1673A" w:rsidP="00A45D1C" w:rsidRDefault="00D1673A" w14:paraId="4556ED9E" w14:textId="7D85322E">
            <w:pPr>
              <w:pStyle w:val="BodyText"/>
              <w:spacing w:after="120"/>
              <w:rPr>
                <w:bCs/>
                <w:szCs w:val="26"/>
              </w:rPr>
            </w:pPr>
            <w:r w:rsidRPr="00D44E0C">
              <w:rPr>
                <w:bCs/>
                <w:szCs w:val="26"/>
              </w:rPr>
              <w:t>(</w:t>
            </w:r>
            <w:r w:rsidR="000F3435">
              <w:rPr>
                <w:bCs/>
                <w:szCs w:val="26"/>
              </w:rPr>
              <w:t>O</w:t>
            </w:r>
            <w:r w:rsidRPr="00D44E0C">
              <w:rPr>
                <w:bCs/>
                <w:szCs w:val="26"/>
              </w:rPr>
              <w:t>ptional) Request(s) for exemption(s) to General Order 157-E</w:t>
            </w:r>
          </w:p>
        </w:tc>
        <w:tc>
          <w:tcPr>
            <w:tcW w:w="2610" w:type="dxa"/>
          </w:tcPr>
          <w:p w:rsidRPr="00D44E0C" w:rsidR="00D1673A" w:rsidP="00A45D1C" w:rsidRDefault="00D1673A" w14:paraId="32E6990C" w14:textId="77777777">
            <w:pPr>
              <w:pStyle w:val="BodyText"/>
              <w:spacing w:after="120"/>
              <w:rPr>
                <w:bCs/>
                <w:szCs w:val="26"/>
              </w:rPr>
            </w:pPr>
            <w:r w:rsidRPr="00D44E0C">
              <w:rPr>
                <w:bCs/>
                <w:szCs w:val="26"/>
              </w:rPr>
              <w:t>Public</w:t>
            </w:r>
          </w:p>
        </w:tc>
      </w:tr>
    </w:tbl>
    <w:p w:rsidR="00A45D1C" w:rsidP="00D1673A" w:rsidRDefault="00A45D1C" w14:paraId="7550B043" w14:textId="49AB18DE">
      <w:pPr>
        <w:pStyle w:val="BodyText"/>
        <w:spacing w:before="120" w:after="240"/>
        <w:rPr>
          <w:szCs w:val="26"/>
        </w:rPr>
      </w:pPr>
    </w:p>
    <w:p w:rsidR="00A45D1C" w:rsidRDefault="00A45D1C" w14:paraId="43E5D7C3" w14:textId="77777777">
      <w:pPr>
        <w:spacing w:after="160" w:line="259" w:lineRule="auto"/>
        <w:rPr>
          <w:sz w:val="26"/>
          <w:szCs w:val="26"/>
        </w:rPr>
      </w:pPr>
      <w:r>
        <w:rPr>
          <w:szCs w:val="26"/>
        </w:rPr>
        <w:br w:type="page"/>
      </w:r>
    </w:p>
    <w:p w:rsidRPr="00D44E0C" w:rsidR="00D1673A" w:rsidP="00D1673A" w:rsidRDefault="00D1673A" w14:paraId="3386F154" w14:textId="77777777">
      <w:pPr>
        <w:pStyle w:val="BodyText"/>
        <w:spacing w:before="120" w:after="240"/>
        <w:rPr>
          <w:b/>
          <w:szCs w:val="26"/>
          <w:u w:val="single"/>
        </w:rPr>
      </w:pPr>
      <w:proofErr w:type="spellStart"/>
      <w:r w:rsidRPr="00D44E0C">
        <w:rPr>
          <w:szCs w:val="26"/>
        </w:rPr>
        <w:lastRenderedPageBreak/>
        <w:t>Drivered</w:t>
      </w:r>
      <w:proofErr w:type="spellEnd"/>
      <w:r w:rsidRPr="00D44E0C">
        <w:rPr>
          <w:szCs w:val="26"/>
        </w:rPr>
        <w:t xml:space="preserve"> AV Deployment Program Documents</w:t>
      </w:r>
    </w:p>
    <w:tbl>
      <w:tblPr>
        <w:tblStyle w:val="TableGrid"/>
        <w:tblW w:w="9445" w:type="dxa"/>
        <w:tblLook w:val="04A0" w:firstRow="1" w:lastRow="0" w:firstColumn="1" w:lastColumn="0" w:noHBand="0" w:noVBand="1"/>
      </w:tblPr>
      <w:tblGrid>
        <w:gridCol w:w="6925"/>
        <w:gridCol w:w="2520"/>
      </w:tblGrid>
      <w:tr w:rsidRPr="00D44E0C" w:rsidR="00D1673A" w:rsidTr="00A45D1C" w14:paraId="3A732F60" w14:textId="77777777">
        <w:trPr>
          <w:trHeight w:val="845"/>
        </w:trPr>
        <w:tc>
          <w:tcPr>
            <w:tcW w:w="6925" w:type="dxa"/>
          </w:tcPr>
          <w:p w:rsidRPr="00D44E0C" w:rsidR="00D1673A" w:rsidP="00A45D1C" w:rsidRDefault="00D1673A" w14:paraId="5AE4E813" w14:textId="4F2694C0">
            <w:pPr>
              <w:pStyle w:val="BodyText"/>
              <w:spacing w:after="120"/>
              <w:rPr>
                <w:bCs/>
                <w:szCs w:val="26"/>
              </w:rPr>
            </w:pPr>
            <w:r w:rsidRPr="00D44E0C">
              <w:rPr>
                <w:szCs w:val="26"/>
              </w:rPr>
              <w:t>DMV AV Manufacturer’s Deployment Permit</w:t>
            </w:r>
          </w:p>
        </w:tc>
        <w:tc>
          <w:tcPr>
            <w:tcW w:w="2520" w:type="dxa"/>
          </w:tcPr>
          <w:p w:rsidRPr="00D44E0C" w:rsidR="00D1673A" w:rsidP="00A45D1C" w:rsidRDefault="00D1673A" w14:paraId="1AA80276" w14:textId="77777777">
            <w:pPr>
              <w:pStyle w:val="BodyText"/>
              <w:spacing w:after="120"/>
              <w:rPr>
                <w:bCs/>
                <w:szCs w:val="26"/>
              </w:rPr>
            </w:pPr>
            <w:r>
              <w:rPr>
                <w:bCs/>
                <w:szCs w:val="26"/>
              </w:rPr>
              <w:t>Operators’ full names, addresses, and phone numbers</w:t>
            </w:r>
            <w:r w:rsidRPr="00D44E0C">
              <w:rPr>
                <w:bCs/>
                <w:szCs w:val="26"/>
              </w:rPr>
              <w:t xml:space="preserve"> </w:t>
            </w:r>
            <w:r>
              <w:rPr>
                <w:bCs/>
                <w:szCs w:val="26"/>
              </w:rPr>
              <w:t>are c</w:t>
            </w:r>
            <w:r w:rsidRPr="00D44E0C">
              <w:rPr>
                <w:bCs/>
                <w:szCs w:val="26"/>
              </w:rPr>
              <w:t>onfidentia</w:t>
            </w:r>
            <w:r>
              <w:rPr>
                <w:bCs/>
                <w:szCs w:val="26"/>
              </w:rPr>
              <w:t>l</w:t>
            </w:r>
          </w:p>
        </w:tc>
      </w:tr>
      <w:tr w:rsidRPr="00D44E0C" w:rsidR="00D1673A" w:rsidTr="00A45D1C" w14:paraId="2AD11CE6" w14:textId="77777777">
        <w:tc>
          <w:tcPr>
            <w:tcW w:w="6925" w:type="dxa"/>
          </w:tcPr>
          <w:p w:rsidRPr="00D44E0C" w:rsidR="00D1673A" w:rsidP="00A45D1C" w:rsidRDefault="00D1673A" w14:paraId="6FED4CCA" w14:textId="77777777">
            <w:pPr>
              <w:pStyle w:val="BodyText"/>
              <w:spacing w:after="120"/>
              <w:rPr>
                <w:bCs/>
                <w:szCs w:val="26"/>
              </w:rPr>
            </w:pPr>
            <w:r w:rsidRPr="00D44E0C">
              <w:rPr>
                <w:bCs/>
                <w:szCs w:val="26"/>
              </w:rPr>
              <w:t>DMV Law Enforcement Interaction Plan</w:t>
            </w:r>
          </w:p>
        </w:tc>
        <w:tc>
          <w:tcPr>
            <w:tcW w:w="2520" w:type="dxa"/>
          </w:tcPr>
          <w:p w:rsidRPr="00D44E0C" w:rsidR="00D1673A" w:rsidP="00A45D1C" w:rsidRDefault="00D1673A" w14:paraId="7DA7D631" w14:textId="77777777">
            <w:pPr>
              <w:pStyle w:val="BodyText"/>
              <w:spacing w:after="120"/>
              <w:rPr>
                <w:bCs/>
                <w:szCs w:val="26"/>
              </w:rPr>
            </w:pPr>
            <w:r w:rsidRPr="00D44E0C">
              <w:rPr>
                <w:bCs/>
                <w:szCs w:val="26"/>
              </w:rPr>
              <w:t>Public</w:t>
            </w:r>
          </w:p>
        </w:tc>
      </w:tr>
      <w:tr w:rsidRPr="00D44E0C" w:rsidR="00D1673A" w:rsidTr="00A45D1C" w14:paraId="51F9AE2A" w14:textId="77777777">
        <w:tc>
          <w:tcPr>
            <w:tcW w:w="6925" w:type="dxa"/>
          </w:tcPr>
          <w:p w:rsidRPr="00D44E0C" w:rsidR="00D1673A" w:rsidP="00A45D1C" w:rsidRDefault="00D1673A" w14:paraId="334E6A37" w14:textId="77777777">
            <w:pPr>
              <w:pStyle w:val="BodyText"/>
              <w:spacing w:after="120"/>
              <w:rPr>
                <w:bCs/>
                <w:szCs w:val="26"/>
              </w:rPr>
            </w:pPr>
            <w:r w:rsidRPr="00D44E0C">
              <w:rPr>
                <w:bCs/>
                <w:szCs w:val="26"/>
              </w:rPr>
              <w:t>DMV Disclosure to Passengers Regarding Collection and Use of Personal Information</w:t>
            </w:r>
          </w:p>
        </w:tc>
        <w:tc>
          <w:tcPr>
            <w:tcW w:w="2520" w:type="dxa"/>
          </w:tcPr>
          <w:p w:rsidRPr="00D44E0C" w:rsidR="00D1673A" w:rsidP="00A45D1C" w:rsidRDefault="00D1673A" w14:paraId="624D7E78" w14:textId="77777777">
            <w:pPr>
              <w:pStyle w:val="BodyText"/>
              <w:spacing w:after="120"/>
              <w:rPr>
                <w:bCs/>
                <w:szCs w:val="26"/>
              </w:rPr>
            </w:pPr>
            <w:r w:rsidRPr="00D44E0C">
              <w:rPr>
                <w:bCs/>
                <w:szCs w:val="26"/>
              </w:rPr>
              <w:t>Public</w:t>
            </w:r>
          </w:p>
        </w:tc>
      </w:tr>
      <w:tr w:rsidRPr="00D44E0C" w:rsidR="00D1673A" w:rsidTr="00A45D1C" w14:paraId="7A7F4F88" w14:textId="77777777">
        <w:tc>
          <w:tcPr>
            <w:tcW w:w="6925" w:type="dxa"/>
          </w:tcPr>
          <w:p w:rsidRPr="00D44E0C" w:rsidR="00D1673A" w:rsidP="00A45D1C" w:rsidRDefault="00D1673A" w14:paraId="729B62A9" w14:textId="77777777">
            <w:pPr>
              <w:pStyle w:val="BodyText"/>
              <w:spacing w:after="120"/>
              <w:rPr>
                <w:bCs/>
                <w:szCs w:val="26"/>
              </w:rPr>
            </w:pPr>
            <w:r w:rsidRPr="00D44E0C">
              <w:rPr>
                <w:szCs w:val="26"/>
              </w:rPr>
              <w:t>AV Test Driver training course outline and description</w:t>
            </w:r>
          </w:p>
        </w:tc>
        <w:tc>
          <w:tcPr>
            <w:tcW w:w="2520" w:type="dxa"/>
          </w:tcPr>
          <w:p w:rsidRPr="00D44E0C" w:rsidR="00D1673A" w:rsidP="00A45D1C" w:rsidRDefault="00D1673A" w14:paraId="4E24F2B1" w14:textId="77777777">
            <w:pPr>
              <w:pStyle w:val="BodyText"/>
              <w:spacing w:after="120"/>
              <w:rPr>
                <w:b/>
                <w:szCs w:val="26"/>
                <w:u w:val="single"/>
              </w:rPr>
            </w:pPr>
            <w:r w:rsidRPr="00D44E0C">
              <w:rPr>
                <w:bCs/>
                <w:szCs w:val="26"/>
              </w:rPr>
              <w:t>Public</w:t>
            </w:r>
          </w:p>
        </w:tc>
      </w:tr>
      <w:tr w:rsidRPr="00D44E0C" w:rsidR="00D1673A" w:rsidTr="00A45D1C" w14:paraId="65BE1CA5" w14:textId="77777777">
        <w:tc>
          <w:tcPr>
            <w:tcW w:w="6925" w:type="dxa"/>
          </w:tcPr>
          <w:p w:rsidRPr="00D44E0C" w:rsidR="00D1673A" w:rsidP="00A45D1C" w:rsidRDefault="00D1673A" w14:paraId="011B0F71" w14:textId="77777777">
            <w:pPr>
              <w:pStyle w:val="BodyText"/>
              <w:spacing w:after="120"/>
              <w:rPr>
                <w:b/>
                <w:szCs w:val="26"/>
                <w:u w:val="single"/>
              </w:rPr>
            </w:pPr>
            <w:r w:rsidRPr="00D44E0C">
              <w:rPr>
                <w:szCs w:val="26"/>
              </w:rPr>
              <w:t>Attestation of compliance with DMV regulations</w:t>
            </w:r>
          </w:p>
        </w:tc>
        <w:tc>
          <w:tcPr>
            <w:tcW w:w="2520" w:type="dxa"/>
          </w:tcPr>
          <w:p w:rsidRPr="00D44E0C" w:rsidR="00D1673A" w:rsidP="00A45D1C" w:rsidRDefault="00D1673A" w14:paraId="062C1F6C" w14:textId="77777777">
            <w:pPr>
              <w:pStyle w:val="BodyText"/>
              <w:spacing w:after="120"/>
              <w:rPr>
                <w:b/>
                <w:szCs w:val="26"/>
                <w:u w:val="single"/>
              </w:rPr>
            </w:pPr>
            <w:r w:rsidRPr="00D44E0C">
              <w:rPr>
                <w:bCs/>
                <w:szCs w:val="26"/>
              </w:rPr>
              <w:t>Public</w:t>
            </w:r>
          </w:p>
        </w:tc>
      </w:tr>
      <w:tr w:rsidRPr="00D44E0C" w:rsidR="00D1673A" w:rsidTr="00A45D1C" w14:paraId="069F3D2F" w14:textId="77777777">
        <w:tc>
          <w:tcPr>
            <w:tcW w:w="6925" w:type="dxa"/>
          </w:tcPr>
          <w:p w:rsidRPr="00D44E0C" w:rsidR="00D1673A" w:rsidP="00A45D1C" w:rsidRDefault="00D1673A" w14:paraId="495DC3EF" w14:textId="77777777">
            <w:pPr>
              <w:pStyle w:val="BodyText"/>
              <w:spacing w:after="120"/>
              <w:rPr>
                <w:b/>
                <w:szCs w:val="26"/>
                <w:u w:val="single"/>
              </w:rPr>
            </w:pPr>
            <w:r w:rsidRPr="00D44E0C">
              <w:rPr>
                <w:szCs w:val="26"/>
              </w:rPr>
              <w:t>Attestation of 30 days of California operations under DMV permit</w:t>
            </w:r>
          </w:p>
        </w:tc>
        <w:tc>
          <w:tcPr>
            <w:tcW w:w="2520" w:type="dxa"/>
          </w:tcPr>
          <w:p w:rsidRPr="00D44E0C" w:rsidR="00D1673A" w:rsidP="00A45D1C" w:rsidRDefault="00D1673A" w14:paraId="2D32882F" w14:textId="77777777">
            <w:pPr>
              <w:pStyle w:val="BodyText"/>
              <w:spacing w:after="120"/>
              <w:rPr>
                <w:b/>
                <w:szCs w:val="26"/>
                <w:u w:val="single"/>
              </w:rPr>
            </w:pPr>
            <w:r w:rsidRPr="00D44E0C">
              <w:rPr>
                <w:bCs/>
                <w:szCs w:val="26"/>
              </w:rPr>
              <w:t>Public</w:t>
            </w:r>
          </w:p>
        </w:tc>
      </w:tr>
      <w:tr w:rsidRPr="00D44E0C" w:rsidR="00D1673A" w:rsidTr="00A45D1C" w14:paraId="13A4C198" w14:textId="77777777">
        <w:tc>
          <w:tcPr>
            <w:tcW w:w="6925" w:type="dxa"/>
          </w:tcPr>
          <w:p w:rsidRPr="00D44E0C" w:rsidR="00D1673A" w:rsidP="00A45D1C" w:rsidRDefault="00D1673A" w14:paraId="25FAD9D7" w14:textId="77777777">
            <w:pPr>
              <w:pStyle w:val="BodyText"/>
              <w:spacing w:after="120"/>
              <w:rPr>
                <w:bCs/>
                <w:szCs w:val="26"/>
              </w:rPr>
            </w:pPr>
            <w:r w:rsidRPr="00D44E0C">
              <w:rPr>
                <w:bCs/>
                <w:szCs w:val="26"/>
              </w:rPr>
              <w:t>Statement and Map of Operational Design Domain</w:t>
            </w:r>
          </w:p>
        </w:tc>
        <w:tc>
          <w:tcPr>
            <w:tcW w:w="2520" w:type="dxa"/>
          </w:tcPr>
          <w:p w:rsidRPr="00D44E0C" w:rsidR="00D1673A" w:rsidP="00A45D1C" w:rsidRDefault="00D1673A" w14:paraId="2383D590" w14:textId="77777777">
            <w:pPr>
              <w:pStyle w:val="BodyText"/>
              <w:spacing w:after="120"/>
              <w:rPr>
                <w:b/>
                <w:szCs w:val="26"/>
                <w:u w:val="single"/>
              </w:rPr>
            </w:pPr>
            <w:r w:rsidRPr="00D44E0C">
              <w:rPr>
                <w:bCs/>
                <w:szCs w:val="26"/>
              </w:rPr>
              <w:t>Public</w:t>
            </w:r>
          </w:p>
        </w:tc>
      </w:tr>
      <w:tr w:rsidRPr="00D44E0C" w:rsidR="00D1673A" w:rsidTr="00A45D1C" w14:paraId="366C0AA9" w14:textId="77777777">
        <w:tc>
          <w:tcPr>
            <w:tcW w:w="6925" w:type="dxa"/>
          </w:tcPr>
          <w:p w:rsidRPr="00D44E0C" w:rsidR="00D1673A" w:rsidP="00A45D1C" w:rsidRDefault="00D1673A" w14:paraId="32A39440" w14:textId="77777777">
            <w:pPr>
              <w:pStyle w:val="BodyText"/>
              <w:spacing w:after="120"/>
              <w:rPr>
                <w:bCs/>
                <w:szCs w:val="26"/>
              </w:rPr>
            </w:pPr>
            <w:r w:rsidRPr="00D44E0C">
              <w:rPr>
                <w:bCs/>
                <w:szCs w:val="26"/>
              </w:rPr>
              <w:t>Passenger Notice and Consent Plan</w:t>
            </w:r>
          </w:p>
        </w:tc>
        <w:tc>
          <w:tcPr>
            <w:tcW w:w="2520" w:type="dxa"/>
          </w:tcPr>
          <w:p w:rsidRPr="00D44E0C" w:rsidR="00D1673A" w:rsidP="00A45D1C" w:rsidRDefault="00D1673A" w14:paraId="487B1F49" w14:textId="77777777">
            <w:pPr>
              <w:pStyle w:val="BodyText"/>
              <w:spacing w:after="120"/>
              <w:rPr>
                <w:b/>
                <w:szCs w:val="26"/>
                <w:u w:val="single"/>
              </w:rPr>
            </w:pPr>
            <w:r w:rsidRPr="00D44E0C">
              <w:rPr>
                <w:bCs/>
                <w:szCs w:val="26"/>
              </w:rPr>
              <w:t>Public</w:t>
            </w:r>
          </w:p>
        </w:tc>
      </w:tr>
      <w:tr w:rsidRPr="00D44E0C" w:rsidR="00D1673A" w:rsidTr="00A45D1C" w14:paraId="2CD21719" w14:textId="77777777">
        <w:trPr>
          <w:trHeight w:val="638"/>
        </w:trPr>
        <w:tc>
          <w:tcPr>
            <w:tcW w:w="6925" w:type="dxa"/>
          </w:tcPr>
          <w:p w:rsidRPr="00D44E0C" w:rsidR="00D1673A" w:rsidP="00A45D1C" w:rsidRDefault="00D1673A" w14:paraId="69E1D8BF" w14:textId="77777777">
            <w:pPr>
              <w:pStyle w:val="BodyText"/>
              <w:spacing w:after="120"/>
              <w:rPr>
                <w:bCs/>
                <w:szCs w:val="26"/>
              </w:rPr>
            </w:pPr>
            <w:r>
              <w:rPr>
                <w:bCs/>
                <w:szCs w:val="26"/>
              </w:rPr>
              <w:t>3</w:t>
            </w:r>
            <w:r w:rsidRPr="00F72C32">
              <w:rPr>
                <w:bCs/>
                <w:szCs w:val="26"/>
                <w:vertAlign w:val="superscript"/>
              </w:rPr>
              <w:t>rd</w:t>
            </w:r>
            <w:r>
              <w:rPr>
                <w:bCs/>
                <w:szCs w:val="26"/>
              </w:rPr>
              <w:t xml:space="preserve"> Party Contracts</w:t>
            </w:r>
          </w:p>
        </w:tc>
        <w:tc>
          <w:tcPr>
            <w:tcW w:w="2520" w:type="dxa"/>
          </w:tcPr>
          <w:p w:rsidRPr="00D44E0C" w:rsidR="00D1673A" w:rsidP="00A45D1C" w:rsidRDefault="00D1673A" w14:paraId="1845120C" w14:textId="77777777">
            <w:pPr>
              <w:pStyle w:val="BodyText"/>
              <w:spacing w:after="120"/>
              <w:rPr>
                <w:bCs/>
                <w:szCs w:val="26"/>
              </w:rPr>
            </w:pPr>
            <w:r>
              <w:rPr>
                <w:bCs/>
                <w:szCs w:val="26"/>
              </w:rPr>
              <w:t>Contract price is confidential</w:t>
            </w:r>
          </w:p>
        </w:tc>
      </w:tr>
      <w:tr w:rsidRPr="00D44E0C" w:rsidR="00D1673A" w:rsidTr="00A45D1C" w14:paraId="391C10AC" w14:textId="77777777">
        <w:tc>
          <w:tcPr>
            <w:tcW w:w="6925" w:type="dxa"/>
          </w:tcPr>
          <w:p w:rsidRPr="00D44E0C" w:rsidR="00D1673A" w:rsidP="00A45D1C" w:rsidRDefault="00D1673A" w14:paraId="12CCF187" w14:textId="41F508BC">
            <w:pPr>
              <w:pStyle w:val="BodyText"/>
              <w:spacing w:after="120"/>
              <w:rPr>
                <w:bCs/>
                <w:szCs w:val="26"/>
              </w:rPr>
            </w:pPr>
            <w:r w:rsidRPr="00D44E0C">
              <w:rPr>
                <w:bCs/>
                <w:szCs w:val="26"/>
              </w:rPr>
              <w:t>(</w:t>
            </w:r>
            <w:r w:rsidR="00606E3D">
              <w:rPr>
                <w:bCs/>
                <w:szCs w:val="26"/>
              </w:rPr>
              <w:t>O</w:t>
            </w:r>
            <w:r w:rsidRPr="00D44E0C">
              <w:rPr>
                <w:bCs/>
                <w:szCs w:val="26"/>
              </w:rPr>
              <w:t>ptional) Supplement to Projected Profit or Loss Statement</w:t>
            </w:r>
          </w:p>
        </w:tc>
        <w:tc>
          <w:tcPr>
            <w:tcW w:w="2520" w:type="dxa"/>
          </w:tcPr>
          <w:p w:rsidRPr="00D44E0C" w:rsidR="00D1673A" w:rsidP="00A45D1C" w:rsidRDefault="00D1673A" w14:paraId="5B5A7A8B" w14:textId="77777777">
            <w:pPr>
              <w:pStyle w:val="BodyText"/>
              <w:spacing w:after="120"/>
              <w:rPr>
                <w:bCs/>
                <w:szCs w:val="26"/>
              </w:rPr>
            </w:pPr>
            <w:r>
              <w:rPr>
                <w:bCs/>
                <w:szCs w:val="26"/>
              </w:rPr>
              <w:t>Entire document is c</w:t>
            </w:r>
            <w:r w:rsidRPr="00D44E0C">
              <w:rPr>
                <w:bCs/>
                <w:szCs w:val="26"/>
              </w:rPr>
              <w:t>onfidential</w:t>
            </w:r>
          </w:p>
        </w:tc>
      </w:tr>
      <w:tr w:rsidRPr="00D44E0C" w:rsidR="00D1673A" w:rsidTr="00A45D1C" w14:paraId="71DAB97B" w14:textId="77777777">
        <w:tc>
          <w:tcPr>
            <w:tcW w:w="6925" w:type="dxa"/>
          </w:tcPr>
          <w:p w:rsidRPr="00D44E0C" w:rsidR="00D1673A" w:rsidP="00A45D1C" w:rsidRDefault="00D1673A" w14:paraId="04B858BA" w14:textId="64AC4DDE">
            <w:pPr>
              <w:pStyle w:val="BodyText"/>
              <w:spacing w:after="120"/>
              <w:rPr>
                <w:bCs/>
                <w:szCs w:val="26"/>
              </w:rPr>
            </w:pPr>
            <w:r w:rsidRPr="00D44E0C">
              <w:rPr>
                <w:bCs/>
                <w:szCs w:val="26"/>
              </w:rPr>
              <w:t>(</w:t>
            </w:r>
            <w:r w:rsidR="00606E3D">
              <w:rPr>
                <w:bCs/>
                <w:szCs w:val="26"/>
              </w:rPr>
              <w:t>O</w:t>
            </w:r>
            <w:r w:rsidRPr="00D44E0C">
              <w:rPr>
                <w:bCs/>
                <w:szCs w:val="26"/>
              </w:rPr>
              <w:t>ptional) Request(s) for exemption(s) to General Order 157-E</w:t>
            </w:r>
          </w:p>
        </w:tc>
        <w:tc>
          <w:tcPr>
            <w:tcW w:w="2520" w:type="dxa"/>
          </w:tcPr>
          <w:p w:rsidRPr="00D44E0C" w:rsidR="00D1673A" w:rsidP="00A45D1C" w:rsidRDefault="00D1673A" w14:paraId="2F307A90" w14:textId="77777777">
            <w:pPr>
              <w:pStyle w:val="BodyText"/>
              <w:spacing w:after="120"/>
              <w:rPr>
                <w:b/>
                <w:szCs w:val="26"/>
                <w:u w:val="single"/>
              </w:rPr>
            </w:pPr>
            <w:r w:rsidRPr="00D44E0C">
              <w:rPr>
                <w:bCs/>
                <w:szCs w:val="26"/>
              </w:rPr>
              <w:t>Public</w:t>
            </w:r>
          </w:p>
        </w:tc>
      </w:tr>
    </w:tbl>
    <w:p w:rsidRPr="00D44E0C" w:rsidR="00D1673A" w:rsidP="00D1673A" w:rsidRDefault="00D1673A" w14:paraId="6F0A9559" w14:textId="77777777">
      <w:pPr>
        <w:pStyle w:val="BodyText"/>
        <w:spacing w:before="120" w:after="240"/>
        <w:rPr>
          <w:szCs w:val="26"/>
        </w:rPr>
      </w:pPr>
    </w:p>
    <w:p w:rsidR="00606E3D" w:rsidRDefault="00606E3D" w14:paraId="71D2D16B" w14:textId="77777777">
      <w:pPr>
        <w:spacing w:after="160" w:line="259" w:lineRule="auto"/>
        <w:rPr>
          <w:sz w:val="26"/>
          <w:szCs w:val="26"/>
        </w:rPr>
      </w:pPr>
      <w:r>
        <w:rPr>
          <w:szCs w:val="26"/>
        </w:rPr>
        <w:br w:type="page"/>
      </w:r>
    </w:p>
    <w:p w:rsidRPr="00D44E0C" w:rsidR="00D1673A" w:rsidP="00D1673A" w:rsidRDefault="00D1673A" w14:paraId="0410664E" w14:textId="09B4A2B6">
      <w:pPr>
        <w:pStyle w:val="BodyText"/>
        <w:spacing w:before="120" w:after="240"/>
        <w:rPr>
          <w:b/>
          <w:szCs w:val="26"/>
          <w:u w:val="single"/>
        </w:rPr>
      </w:pPr>
      <w:r w:rsidRPr="00D44E0C">
        <w:rPr>
          <w:szCs w:val="26"/>
        </w:rPr>
        <w:lastRenderedPageBreak/>
        <w:t>Driverless AV Deployment Program Documents</w:t>
      </w:r>
    </w:p>
    <w:tbl>
      <w:tblPr>
        <w:tblStyle w:val="TableGrid"/>
        <w:tblW w:w="9445" w:type="dxa"/>
        <w:tblLook w:val="04A0" w:firstRow="1" w:lastRow="0" w:firstColumn="1" w:lastColumn="0" w:noHBand="0" w:noVBand="1"/>
      </w:tblPr>
      <w:tblGrid>
        <w:gridCol w:w="6925"/>
        <w:gridCol w:w="2520"/>
      </w:tblGrid>
      <w:tr w:rsidRPr="00D44E0C" w:rsidR="00D1673A" w:rsidTr="00A45D1C" w14:paraId="3183F488" w14:textId="77777777">
        <w:tc>
          <w:tcPr>
            <w:tcW w:w="6925" w:type="dxa"/>
          </w:tcPr>
          <w:p w:rsidRPr="00D44E0C" w:rsidR="00D1673A" w:rsidP="00F90D0B" w:rsidRDefault="00D1673A" w14:paraId="04317244" w14:textId="3611DE71">
            <w:pPr>
              <w:pStyle w:val="BodyText"/>
              <w:spacing w:before="120" w:after="240"/>
              <w:rPr>
                <w:bCs/>
                <w:szCs w:val="26"/>
              </w:rPr>
            </w:pPr>
            <w:r w:rsidRPr="00D44E0C">
              <w:rPr>
                <w:bCs/>
                <w:szCs w:val="26"/>
              </w:rPr>
              <w:t>DMV AV Manufacturer’s Deployment Permit</w:t>
            </w:r>
          </w:p>
        </w:tc>
        <w:tc>
          <w:tcPr>
            <w:tcW w:w="2520" w:type="dxa"/>
          </w:tcPr>
          <w:p w:rsidRPr="00D44E0C" w:rsidR="00D1673A" w:rsidP="00F90D0B" w:rsidRDefault="00D1673A" w14:paraId="77F94975" w14:textId="77777777">
            <w:pPr>
              <w:pStyle w:val="BodyText"/>
              <w:spacing w:before="120" w:after="240"/>
              <w:rPr>
                <w:bCs/>
                <w:szCs w:val="26"/>
              </w:rPr>
            </w:pPr>
            <w:r>
              <w:rPr>
                <w:bCs/>
                <w:szCs w:val="26"/>
              </w:rPr>
              <w:t>Operators’ full names, addresses, and phone numbers</w:t>
            </w:r>
            <w:r w:rsidRPr="00D44E0C">
              <w:rPr>
                <w:bCs/>
                <w:szCs w:val="26"/>
              </w:rPr>
              <w:t xml:space="preserve"> </w:t>
            </w:r>
            <w:r>
              <w:rPr>
                <w:bCs/>
                <w:szCs w:val="26"/>
              </w:rPr>
              <w:t>are c</w:t>
            </w:r>
            <w:r w:rsidRPr="00D44E0C">
              <w:rPr>
                <w:bCs/>
                <w:szCs w:val="26"/>
              </w:rPr>
              <w:t>onfidential</w:t>
            </w:r>
          </w:p>
        </w:tc>
      </w:tr>
      <w:tr w:rsidRPr="00D44E0C" w:rsidR="00D1673A" w:rsidTr="00A45D1C" w14:paraId="5AC30DE5" w14:textId="77777777">
        <w:tc>
          <w:tcPr>
            <w:tcW w:w="6925" w:type="dxa"/>
          </w:tcPr>
          <w:p w:rsidRPr="00D44E0C" w:rsidR="00D1673A" w:rsidP="00F90D0B" w:rsidRDefault="00D1673A" w14:paraId="2E48D5F5" w14:textId="77777777">
            <w:pPr>
              <w:pStyle w:val="BodyText"/>
              <w:spacing w:before="120" w:after="240"/>
              <w:rPr>
                <w:bCs/>
                <w:szCs w:val="26"/>
              </w:rPr>
            </w:pPr>
            <w:r w:rsidRPr="00D44E0C">
              <w:rPr>
                <w:bCs/>
                <w:szCs w:val="26"/>
              </w:rPr>
              <w:t>DMV Process in the Event of a Collision</w:t>
            </w:r>
          </w:p>
        </w:tc>
        <w:tc>
          <w:tcPr>
            <w:tcW w:w="2520" w:type="dxa"/>
          </w:tcPr>
          <w:p w:rsidRPr="00D44E0C" w:rsidR="00D1673A" w:rsidP="00F90D0B" w:rsidRDefault="00D1673A" w14:paraId="3B44D598" w14:textId="77777777">
            <w:pPr>
              <w:pStyle w:val="BodyText"/>
              <w:spacing w:before="120" w:after="240"/>
              <w:rPr>
                <w:b/>
                <w:szCs w:val="26"/>
                <w:u w:val="single"/>
              </w:rPr>
            </w:pPr>
            <w:r w:rsidRPr="00D44E0C">
              <w:rPr>
                <w:bCs/>
                <w:szCs w:val="26"/>
              </w:rPr>
              <w:t>Public</w:t>
            </w:r>
          </w:p>
        </w:tc>
      </w:tr>
      <w:tr w:rsidRPr="00D44E0C" w:rsidR="00D1673A" w:rsidTr="00A45D1C" w14:paraId="650E7DEE" w14:textId="77777777">
        <w:tc>
          <w:tcPr>
            <w:tcW w:w="6925" w:type="dxa"/>
          </w:tcPr>
          <w:p w:rsidRPr="00D44E0C" w:rsidR="00D1673A" w:rsidP="00F90D0B" w:rsidRDefault="00D1673A" w14:paraId="07F8F6B1" w14:textId="77777777">
            <w:pPr>
              <w:pStyle w:val="BodyText"/>
              <w:spacing w:before="120" w:after="240"/>
              <w:rPr>
                <w:bCs/>
                <w:szCs w:val="26"/>
              </w:rPr>
            </w:pPr>
            <w:r w:rsidRPr="00D44E0C">
              <w:rPr>
                <w:bCs/>
                <w:szCs w:val="26"/>
              </w:rPr>
              <w:t>DMV Law Enforcement Interaction Plan</w:t>
            </w:r>
          </w:p>
        </w:tc>
        <w:tc>
          <w:tcPr>
            <w:tcW w:w="2520" w:type="dxa"/>
          </w:tcPr>
          <w:p w:rsidRPr="00D44E0C" w:rsidR="00D1673A" w:rsidP="00F90D0B" w:rsidRDefault="00D1673A" w14:paraId="751C985F" w14:textId="77777777">
            <w:pPr>
              <w:pStyle w:val="BodyText"/>
              <w:spacing w:before="120" w:after="240"/>
              <w:rPr>
                <w:b/>
                <w:szCs w:val="26"/>
                <w:u w:val="single"/>
              </w:rPr>
            </w:pPr>
            <w:r w:rsidRPr="00D44E0C">
              <w:rPr>
                <w:bCs/>
                <w:szCs w:val="26"/>
              </w:rPr>
              <w:t>Public</w:t>
            </w:r>
          </w:p>
        </w:tc>
      </w:tr>
      <w:tr w:rsidRPr="00D44E0C" w:rsidR="00D1673A" w:rsidTr="00A45D1C" w14:paraId="53B0D80C" w14:textId="77777777">
        <w:tc>
          <w:tcPr>
            <w:tcW w:w="6925" w:type="dxa"/>
          </w:tcPr>
          <w:p w:rsidRPr="00D44E0C" w:rsidR="00D1673A" w:rsidP="00F90D0B" w:rsidRDefault="00D1673A" w14:paraId="7801F264" w14:textId="77777777">
            <w:pPr>
              <w:pStyle w:val="BodyText"/>
              <w:spacing w:before="120" w:after="240"/>
              <w:rPr>
                <w:bCs/>
                <w:szCs w:val="26"/>
              </w:rPr>
            </w:pPr>
            <w:r w:rsidRPr="00D44E0C">
              <w:rPr>
                <w:bCs/>
                <w:szCs w:val="26"/>
              </w:rPr>
              <w:t>DMV Disclosure to Passengers Regarding Collection and Use of Personal Information</w:t>
            </w:r>
          </w:p>
        </w:tc>
        <w:tc>
          <w:tcPr>
            <w:tcW w:w="2520" w:type="dxa"/>
          </w:tcPr>
          <w:p w:rsidRPr="00D44E0C" w:rsidR="00D1673A" w:rsidP="00F90D0B" w:rsidRDefault="00D1673A" w14:paraId="7DBCEBD9" w14:textId="77777777">
            <w:pPr>
              <w:pStyle w:val="BodyText"/>
              <w:spacing w:before="120" w:after="240"/>
              <w:rPr>
                <w:b/>
                <w:szCs w:val="26"/>
                <w:u w:val="single"/>
              </w:rPr>
            </w:pPr>
            <w:r w:rsidRPr="00D44E0C">
              <w:rPr>
                <w:bCs/>
                <w:szCs w:val="26"/>
              </w:rPr>
              <w:t>Public</w:t>
            </w:r>
          </w:p>
        </w:tc>
      </w:tr>
      <w:tr w:rsidRPr="00D44E0C" w:rsidR="00D1673A" w:rsidTr="00A45D1C" w14:paraId="68C80139" w14:textId="77777777">
        <w:tc>
          <w:tcPr>
            <w:tcW w:w="6925" w:type="dxa"/>
          </w:tcPr>
          <w:p w:rsidRPr="00D44E0C" w:rsidR="00D1673A" w:rsidP="00F90D0B" w:rsidRDefault="00D1673A" w14:paraId="425D13B5" w14:textId="77777777">
            <w:pPr>
              <w:pStyle w:val="BodyText"/>
              <w:spacing w:before="120" w:after="240"/>
              <w:rPr>
                <w:bCs/>
                <w:szCs w:val="26"/>
              </w:rPr>
            </w:pPr>
            <w:r w:rsidRPr="00D44E0C">
              <w:rPr>
                <w:szCs w:val="26"/>
              </w:rPr>
              <w:t>AV Remote Operator training course outline and description</w:t>
            </w:r>
          </w:p>
        </w:tc>
        <w:tc>
          <w:tcPr>
            <w:tcW w:w="2520" w:type="dxa"/>
          </w:tcPr>
          <w:p w:rsidRPr="00D44E0C" w:rsidR="00D1673A" w:rsidP="00F90D0B" w:rsidRDefault="00D1673A" w14:paraId="07C9EE4F" w14:textId="77777777">
            <w:pPr>
              <w:pStyle w:val="BodyText"/>
              <w:spacing w:before="120" w:after="240"/>
              <w:rPr>
                <w:b/>
                <w:szCs w:val="26"/>
                <w:u w:val="single"/>
              </w:rPr>
            </w:pPr>
            <w:r w:rsidRPr="00D44E0C">
              <w:rPr>
                <w:bCs/>
                <w:szCs w:val="26"/>
              </w:rPr>
              <w:t>Public</w:t>
            </w:r>
          </w:p>
        </w:tc>
      </w:tr>
      <w:tr w:rsidRPr="00D44E0C" w:rsidR="00D1673A" w:rsidTr="00A45D1C" w14:paraId="117BC752" w14:textId="77777777">
        <w:tc>
          <w:tcPr>
            <w:tcW w:w="6925" w:type="dxa"/>
          </w:tcPr>
          <w:p w:rsidRPr="00D44E0C" w:rsidR="00D1673A" w:rsidP="00F90D0B" w:rsidRDefault="00D1673A" w14:paraId="5BE3CE35" w14:textId="77777777">
            <w:pPr>
              <w:pStyle w:val="BodyText"/>
              <w:spacing w:before="120" w:after="240"/>
              <w:rPr>
                <w:b/>
                <w:szCs w:val="26"/>
                <w:u w:val="single"/>
              </w:rPr>
            </w:pPr>
            <w:r w:rsidRPr="00D44E0C">
              <w:rPr>
                <w:szCs w:val="26"/>
              </w:rPr>
              <w:t>Attestation of compliance with DMV regulations</w:t>
            </w:r>
          </w:p>
        </w:tc>
        <w:tc>
          <w:tcPr>
            <w:tcW w:w="2520" w:type="dxa"/>
          </w:tcPr>
          <w:p w:rsidRPr="00D44E0C" w:rsidR="00D1673A" w:rsidP="00F90D0B" w:rsidRDefault="00D1673A" w14:paraId="4D6AB3AD" w14:textId="77777777">
            <w:pPr>
              <w:pStyle w:val="BodyText"/>
              <w:spacing w:before="120" w:after="240"/>
              <w:rPr>
                <w:b/>
                <w:szCs w:val="26"/>
                <w:u w:val="single"/>
              </w:rPr>
            </w:pPr>
            <w:r w:rsidRPr="00D44E0C">
              <w:rPr>
                <w:bCs/>
                <w:szCs w:val="26"/>
              </w:rPr>
              <w:t>Public</w:t>
            </w:r>
          </w:p>
        </w:tc>
      </w:tr>
      <w:tr w:rsidRPr="00D44E0C" w:rsidR="00D1673A" w:rsidTr="00A45D1C" w14:paraId="16031ECE" w14:textId="77777777">
        <w:tc>
          <w:tcPr>
            <w:tcW w:w="6925" w:type="dxa"/>
          </w:tcPr>
          <w:p w:rsidRPr="00D44E0C" w:rsidR="00D1673A" w:rsidP="00F90D0B" w:rsidRDefault="00D1673A" w14:paraId="549A559A" w14:textId="77777777">
            <w:pPr>
              <w:pStyle w:val="BodyText"/>
              <w:spacing w:before="120" w:after="240"/>
              <w:rPr>
                <w:b/>
                <w:szCs w:val="26"/>
                <w:u w:val="single"/>
              </w:rPr>
            </w:pPr>
            <w:r w:rsidRPr="00D44E0C">
              <w:rPr>
                <w:szCs w:val="26"/>
              </w:rPr>
              <w:t>Attestation of 30 days of California operations under DMV permit</w:t>
            </w:r>
          </w:p>
        </w:tc>
        <w:tc>
          <w:tcPr>
            <w:tcW w:w="2520" w:type="dxa"/>
          </w:tcPr>
          <w:p w:rsidRPr="00D44E0C" w:rsidR="00D1673A" w:rsidP="00F90D0B" w:rsidRDefault="00D1673A" w14:paraId="3FD2D35B" w14:textId="77777777">
            <w:pPr>
              <w:pStyle w:val="BodyText"/>
              <w:spacing w:before="120" w:after="240"/>
              <w:rPr>
                <w:b/>
                <w:szCs w:val="26"/>
                <w:u w:val="single"/>
              </w:rPr>
            </w:pPr>
            <w:r w:rsidRPr="00D44E0C">
              <w:rPr>
                <w:bCs/>
                <w:szCs w:val="26"/>
              </w:rPr>
              <w:t>Public</w:t>
            </w:r>
          </w:p>
        </w:tc>
      </w:tr>
      <w:tr w:rsidRPr="00D44E0C" w:rsidR="00D1673A" w:rsidTr="00A45D1C" w14:paraId="3695514E" w14:textId="77777777">
        <w:tc>
          <w:tcPr>
            <w:tcW w:w="6925" w:type="dxa"/>
          </w:tcPr>
          <w:p w:rsidRPr="00D44E0C" w:rsidR="00D1673A" w:rsidP="00F90D0B" w:rsidRDefault="00D1673A" w14:paraId="10C18906" w14:textId="77777777">
            <w:pPr>
              <w:pStyle w:val="BodyText"/>
              <w:spacing w:before="120" w:after="240"/>
              <w:rPr>
                <w:bCs/>
                <w:szCs w:val="26"/>
              </w:rPr>
            </w:pPr>
            <w:r w:rsidRPr="00D44E0C">
              <w:rPr>
                <w:bCs/>
                <w:szCs w:val="26"/>
              </w:rPr>
              <w:t>Statement and Map of Operational Design Domain</w:t>
            </w:r>
          </w:p>
        </w:tc>
        <w:tc>
          <w:tcPr>
            <w:tcW w:w="2520" w:type="dxa"/>
          </w:tcPr>
          <w:p w:rsidRPr="00D44E0C" w:rsidR="00D1673A" w:rsidP="00F90D0B" w:rsidRDefault="00D1673A" w14:paraId="6BB269E4" w14:textId="77777777">
            <w:pPr>
              <w:pStyle w:val="BodyText"/>
              <w:spacing w:before="120" w:after="240"/>
              <w:rPr>
                <w:b/>
                <w:szCs w:val="26"/>
                <w:u w:val="single"/>
              </w:rPr>
            </w:pPr>
            <w:r w:rsidRPr="00D44E0C">
              <w:rPr>
                <w:bCs/>
                <w:szCs w:val="26"/>
              </w:rPr>
              <w:t>Public</w:t>
            </w:r>
          </w:p>
        </w:tc>
      </w:tr>
      <w:tr w:rsidRPr="00D44E0C" w:rsidR="00D1673A" w:rsidTr="00A45D1C" w14:paraId="1C475F35" w14:textId="77777777">
        <w:tc>
          <w:tcPr>
            <w:tcW w:w="6925" w:type="dxa"/>
          </w:tcPr>
          <w:p w:rsidRPr="00D44E0C" w:rsidR="00D1673A" w:rsidP="00F90D0B" w:rsidRDefault="00D1673A" w14:paraId="195CF262" w14:textId="77777777">
            <w:pPr>
              <w:pStyle w:val="BodyText"/>
              <w:spacing w:before="120" w:after="240"/>
              <w:rPr>
                <w:bCs/>
                <w:szCs w:val="26"/>
              </w:rPr>
            </w:pPr>
            <w:r w:rsidRPr="00D44E0C">
              <w:rPr>
                <w:bCs/>
                <w:szCs w:val="26"/>
              </w:rPr>
              <w:t>Passenger Notice and Consent Plan</w:t>
            </w:r>
          </w:p>
        </w:tc>
        <w:tc>
          <w:tcPr>
            <w:tcW w:w="2520" w:type="dxa"/>
          </w:tcPr>
          <w:p w:rsidRPr="00D44E0C" w:rsidR="00D1673A" w:rsidP="00F90D0B" w:rsidRDefault="00D1673A" w14:paraId="1DCB534C" w14:textId="77777777">
            <w:pPr>
              <w:pStyle w:val="BodyText"/>
              <w:spacing w:before="120" w:after="240"/>
              <w:rPr>
                <w:b/>
                <w:szCs w:val="26"/>
                <w:u w:val="single"/>
              </w:rPr>
            </w:pPr>
            <w:r w:rsidRPr="00D44E0C">
              <w:rPr>
                <w:bCs/>
                <w:szCs w:val="26"/>
              </w:rPr>
              <w:t>Public</w:t>
            </w:r>
          </w:p>
        </w:tc>
      </w:tr>
      <w:tr w:rsidRPr="00D44E0C" w:rsidR="00D1673A" w:rsidTr="00A45D1C" w14:paraId="71F71BBA" w14:textId="77777777">
        <w:tc>
          <w:tcPr>
            <w:tcW w:w="6925" w:type="dxa"/>
          </w:tcPr>
          <w:p w:rsidRPr="00D44E0C" w:rsidR="00D1673A" w:rsidP="00F90D0B" w:rsidRDefault="00D1673A" w14:paraId="791C2A80" w14:textId="77777777">
            <w:pPr>
              <w:pStyle w:val="BodyText"/>
              <w:spacing w:before="120" w:after="240"/>
              <w:rPr>
                <w:bCs/>
                <w:szCs w:val="26"/>
              </w:rPr>
            </w:pPr>
            <w:r w:rsidRPr="00D44E0C">
              <w:rPr>
                <w:bCs/>
                <w:szCs w:val="26"/>
              </w:rPr>
              <w:t>Passenger Safety Plan</w:t>
            </w:r>
          </w:p>
        </w:tc>
        <w:tc>
          <w:tcPr>
            <w:tcW w:w="2520" w:type="dxa"/>
          </w:tcPr>
          <w:p w:rsidRPr="00D44E0C" w:rsidR="00D1673A" w:rsidP="00F90D0B" w:rsidRDefault="00D1673A" w14:paraId="48975DD2" w14:textId="77777777">
            <w:pPr>
              <w:pStyle w:val="BodyText"/>
              <w:spacing w:before="120" w:after="240"/>
              <w:rPr>
                <w:b/>
                <w:szCs w:val="26"/>
                <w:u w:val="single"/>
              </w:rPr>
            </w:pPr>
            <w:r w:rsidRPr="00D44E0C">
              <w:rPr>
                <w:bCs/>
                <w:szCs w:val="26"/>
              </w:rPr>
              <w:t>Public</w:t>
            </w:r>
          </w:p>
        </w:tc>
      </w:tr>
      <w:tr w:rsidRPr="00D44E0C" w:rsidR="00D1673A" w:rsidTr="00A45D1C" w14:paraId="1FCDCC9C" w14:textId="77777777">
        <w:tc>
          <w:tcPr>
            <w:tcW w:w="6925" w:type="dxa"/>
          </w:tcPr>
          <w:p w:rsidRPr="00D44E0C" w:rsidR="00D1673A" w:rsidP="00F90D0B" w:rsidRDefault="00D1673A" w14:paraId="2FEF91A0" w14:textId="77777777">
            <w:pPr>
              <w:pStyle w:val="BodyText"/>
              <w:spacing w:before="120" w:after="240"/>
              <w:rPr>
                <w:bCs/>
                <w:szCs w:val="26"/>
              </w:rPr>
            </w:pPr>
            <w:r w:rsidRPr="00D44E0C">
              <w:rPr>
                <w:bCs/>
                <w:szCs w:val="26"/>
              </w:rPr>
              <w:t>Tier 3 Advice Letter</w:t>
            </w:r>
          </w:p>
        </w:tc>
        <w:tc>
          <w:tcPr>
            <w:tcW w:w="2520" w:type="dxa"/>
          </w:tcPr>
          <w:p w:rsidRPr="00D44E0C" w:rsidR="00D1673A" w:rsidP="00F90D0B" w:rsidRDefault="00D1673A" w14:paraId="14B28610" w14:textId="77777777">
            <w:pPr>
              <w:pStyle w:val="BodyText"/>
              <w:spacing w:before="120" w:after="240"/>
              <w:rPr>
                <w:bCs/>
                <w:szCs w:val="26"/>
              </w:rPr>
            </w:pPr>
            <w:r w:rsidRPr="00D44E0C">
              <w:rPr>
                <w:bCs/>
                <w:szCs w:val="26"/>
              </w:rPr>
              <w:t>Public</w:t>
            </w:r>
          </w:p>
        </w:tc>
      </w:tr>
      <w:tr w:rsidRPr="00D44E0C" w:rsidR="00D1673A" w:rsidTr="00A45D1C" w14:paraId="5D0C2E71" w14:textId="77777777">
        <w:tc>
          <w:tcPr>
            <w:tcW w:w="6925" w:type="dxa"/>
          </w:tcPr>
          <w:p w:rsidRPr="00D44E0C" w:rsidR="00D1673A" w:rsidP="00F90D0B" w:rsidRDefault="00606E3D" w14:paraId="352F4A60" w14:textId="28676003">
            <w:pPr>
              <w:pStyle w:val="BodyText"/>
              <w:spacing w:before="120" w:after="240"/>
              <w:rPr>
                <w:bCs/>
                <w:szCs w:val="26"/>
              </w:rPr>
            </w:pPr>
            <w:r>
              <w:rPr>
                <w:bCs/>
                <w:szCs w:val="26"/>
              </w:rPr>
              <w:t>Third-</w:t>
            </w:r>
            <w:r w:rsidR="00D1673A">
              <w:rPr>
                <w:bCs/>
                <w:szCs w:val="26"/>
              </w:rPr>
              <w:t>Party Contracts</w:t>
            </w:r>
          </w:p>
        </w:tc>
        <w:tc>
          <w:tcPr>
            <w:tcW w:w="2520" w:type="dxa"/>
          </w:tcPr>
          <w:p w:rsidRPr="00D44E0C" w:rsidR="00D1673A" w:rsidP="00F90D0B" w:rsidRDefault="00D1673A" w14:paraId="72450636" w14:textId="77777777">
            <w:pPr>
              <w:pStyle w:val="BodyText"/>
              <w:spacing w:before="120" w:after="240"/>
              <w:rPr>
                <w:bCs/>
                <w:szCs w:val="26"/>
              </w:rPr>
            </w:pPr>
            <w:r>
              <w:rPr>
                <w:bCs/>
                <w:szCs w:val="26"/>
              </w:rPr>
              <w:t>Contract price is confidential</w:t>
            </w:r>
          </w:p>
        </w:tc>
      </w:tr>
      <w:tr w:rsidRPr="00D44E0C" w:rsidR="00D1673A" w:rsidTr="00A45D1C" w14:paraId="0B515355" w14:textId="77777777">
        <w:tc>
          <w:tcPr>
            <w:tcW w:w="6925" w:type="dxa"/>
          </w:tcPr>
          <w:p w:rsidRPr="00D44E0C" w:rsidR="00D1673A" w:rsidP="00A45D1C" w:rsidRDefault="00D1673A" w14:paraId="375E8363" w14:textId="668F6DB0">
            <w:pPr>
              <w:pStyle w:val="BodyText"/>
              <w:spacing w:after="120"/>
              <w:rPr>
                <w:bCs/>
                <w:szCs w:val="26"/>
              </w:rPr>
            </w:pPr>
            <w:r w:rsidRPr="00D44E0C">
              <w:rPr>
                <w:bCs/>
                <w:szCs w:val="26"/>
              </w:rPr>
              <w:t>(</w:t>
            </w:r>
            <w:r w:rsidR="00023025">
              <w:rPr>
                <w:bCs/>
                <w:szCs w:val="26"/>
              </w:rPr>
              <w:t>O</w:t>
            </w:r>
            <w:r w:rsidRPr="00D44E0C">
              <w:rPr>
                <w:bCs/>
                <w:szCs w:val="26"/>
              </w:rPr>
              <w:t>ptional) Supplement to Projected Profit or Loss Statement</w:t>
            </w:r>
          </w:p>
        </w:tc>
        <w:tc>
          <w:tcPr>
            <w:tcW w:w="2520" w:type="dxa"/>
          </w:tcPr>
          <w:p w:rsidRPr="00D44E0C" w:rsidR="00D1673A" w:rsidP="00A45D1C" w:rsidRDefault="00D1673A" w14:paraId="3FE33ABE" w14:textId="77777777">
            <w:pPr>
              <w:pStyle w:val="BodyText"/>
              <w:spacing w:after="120"/>
              <w:rPr>
                <w:bCs/>
                <w:szCs w:val="26"/>
              </w:rPr>
            </w:pPr>
            <w:r>
              <w:rPr>
                <w:bCs/>
                <w:szCs w:val="26"/>
              </w:rPr>
              <w:t>Entire document is c</w:t>
            </w:r>
            <w:r w:rsidRPr="00D44E0C">
              <w:rPr>
                <w:bCs/>
                <w:szCs w:val="26"/>
              </w:rPr>
              <w:t>onfidential</w:t>
            </w:r>
          </w:p>
        </w:tc>
      </w:tr>
      <w:tr w:rsidRPr="00D44E0C" w:rsidR="00D1673A" w:rsidTr="00A45D1C" w14:paraId="1FF68C79" w14:textId="77777777">
        <w:trPr>
          <w:trHeight w:val="458"/>
        </w:trPr>
        <w:tc>
          <w:tcPr>
            <w:tcW w:w="6925" w:type="dxa"/>
          </w:tcPr>
          <w:p w:rsidRPr="00D44E0C" w:rsidR="00D1673A" w:rsidP="00A45D1C" w:rsidRDefault="00D1673A" w14:paraId="49F6A238" w14:textId="3C08F6EA">
            <w:pPr>
              <w:pStyle w:val="BodyText"/>
              <w:spacing w:after="120"/>
              <w:rPr>
                <w:bCs/>
                <w:szCs w:val="26"/>
              </w:rPr>
            </w:pPr>
            <w:r w:rsidRPr="00D44E0C">
              <w:rPr>
                <w:bCs/>
                <w:szCs w:val="26"/>
              </w:rPr>
              <w:t>(</w:t>
            </w:r>
            <w:r w:rsidR="00023025">
              <w:rPr>
                <w:bCs/>
                <w:szCs w:val="26"/>
              </w:rPr>
              <w:t>O</w:t>
            </w:r>
            <w:r w:rsidRPr="00D44E0C">
              <w:rPr>
                <w:bCs/>
                <w:szCs w:val="26"/>
              </w:rPr>
              <w:t>ptional) Request(s) for exemption(s) to General Order 157-E</w:t>
            </w:r>
          </w:p>
        </w:tc>
        <w:tc>
          <w:tcPr>
            <w:tcW w:w="2520" w:type="dxa"/>
          </w:tcPr>
          <w:p w:rsidRPr="00D44E0C" w:rsidR="00D1673A" w:rsidP="00A45D1C" w:rsidRDefault="00D1673A" w14:paraId="15BA1CFB" w14:textId="77777777">
            <w:pPr>
              <w:pStyle w:val="BodyText"/>
              <w:spacing w:after="120"/>
              <w:rPr>
                <w:bCs/>
                <w:szCs w:val="26"/>
              </w:rPr>
            </w:pPr>
            <w:r w:rsidRPr="00D44E0C">
              <w:rPr>
                <w:bCs/>
                <w:szCs w:val="26"/>
              </w:rPr>
              <w:t>Public</w:t>
            </w:r>
          </w:p>
        </w:tc>
      </w:tr>
    </w:tbl>
    <w:p w:rsidR="0002350A" w:rsidP="00023025" w:rsidRDefault="0002350A" w14:paraId="64499B5D" w14:textId="77777777"/>
    <w:sectPr w:rsidR="0002350A" w:rsidSect="005653A0">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847F" w14:textId="77777777" w:rsidR="005A210D" w:rsidRDefault="005A210D" w:rsidP="00D1673A">
      <w:r>
        <w:separator/>
      </w:r>
    </w:p>
  </w:endnote>
  <w:endnote w:type="continuationSeparator" w:id="0">
    <w:p w14:paraId="30EF07B3" w14:textId="77777777" w:rsidR="005A210D" w:rsidRDefault="005A210D" w:rsidP="00D1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9DAB" w14:textId="77777777" w:rsidR="00895123" w:rsidRDefault="007C28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AE7B77" w14:textId="77777777" w:rsidR="00895123"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A11C" w14:textId="77777777" w:rsidR="00895123" w:rsidRDefault="007C2822">
    <w:pPr>
      <w:pStyle w:val="Footer"/>
      <w:framePr w:wrap="around" w:vAnchor="text" w:hAnchor="margin" w:xAlign="center" w:y="1"/>
      <w:rPr>
        <w:rStyle w:val="PageNumber"/>
        <w:sz w:val="26"/>
        <w:szCs w:val="22"/>
      </w:rPr>
    </w:pPr>
    <w:r>
      <w:rPr>
        <w:rStyle w:val="PageNumber"/>
        <w:sz w:val="26"/>
        <w:szCs w:val="22"/>
      </w:rPr>
      <w:fldChar w:fldCharType="begin"/>
    </w:r>
    <w:r>
      <w:rPr>
        <w:rStyle w:val="PageNumber"/>
        <w:sz w:val="26"/>
        <w:szCs w:val="22"/>
      </w:rPr>
      <w:instrText xml:space="preserve">PAGE  </w:instrText>
    </w:r>
    <w:r>
      <w:rPr>
        <w:rStyle w:val="PageNumber"/>
        <w:sz w:val="26"/>
        <w:szCs w:val="22"/>
      </w:rPr>
      <w:fldChar w:fldCharType="separate"/>
    </w:r>
    <w:r>
      <w:rPr>
        <w:rStyle w:val="PageNumber"/>
        <w:noProof/>
        <w:sz w:val="26"/>
        <w:szCs w:val="22"/>
      </w:rPr>
      <w:t>3</w:t>
    </w:r>
    <w:r>
      <w:rPr>
        <w:rStyle w:val="PageNumber"/>
        <w:sz w:val="26"/>
        <w:szCs w:val="22"/>
      </w:rPr>
      <w:fldChar w:fldCharType="end"/>
    </w:r>
  </w:p>
  <w:p w14:paraId="0EDE65F3" w14:textId="4BCBAACD" w:rsidR="00895123" w:rsidRPr="00112183" w:rsidRDefault="00D35D15" w:rsidP="008E32A2">
    <w:pPr>
      <w:pStyle w:val="Footer"/>
      <w:rPr>
        <w:sz w:val="18"/>
        <w:szCs w:val="18"/>
      </w:rPr>
    </w:pPr>
    <w:r w:rsidRPr="00D35D15">
      <w:rPr>
        <w:sz w:val="18"/>
        <w:szCs w:val="18"/>
      </w:rPr>
      <w:t>500815125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8FB6" w14:textId="6CB601F1" w:rsidR="00112183" w:rsidRPr="00A45D1C" w:rsidRDefault="00F64222">
    <w:pPr>
      <w:pStyle w:val="Footer"/>
      <w:rPr>
        <w:sz w:val="24"/>
        <w:szCs w:val="24"/>
      </w:rPr>
    </w:pPr>
    <w:r w:rsidRPr="00F64222">
      <w:rPr>
        <w:sz w:val="18"/>
        <w:szCs w:val="18"/>
      </w:rPr>
      <w:t>501959556</w:t>
    </w:r>
    <w:r w:rsidR="00A45D1C">
      <w:rPr>
        <w:sz w:val="18"/>
        <w:szCs w:val="18"/>
      </w:rPr>
      <w:tab/>
    </w:r>
    <w:r w:rsidR="00A45D1C" w:rsidRPr="00A45D1C">
      <w:rPr>
        <w:sz w:val="24"/>
        <w:szCs w:val="24"/>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57286039"/>
      <w:docPartObj>
        <w:docPartGallery w:val="Page Numbers (Bottom of Page)"/>
        <w:docPartUnique/>
      </w:docPartObj>
    </w:sdtPr>
    <w:sdtEndPr>
      <w:rPr>
        <w:noProof/>
      </w:rPr>
    </w:sdtEndPr>
    <w:sdtContent>
      <w:p w14:paraId="7E770568" w14:textId="74F45654" w:rsidR="005653A0" w:rsidRPr="00CA35D0" w:rsidRDefault="00D35D15" w:rsidP="00D35D15">
        <w:pPr>
          <w:pStyle w:val="Footer"/>
          <w:rPr>
            <w:sz w:val="24"/>
            <w:szCs w:val="24"/>
          </w:rPr>
        </w:pPr>
        <w:r>
          <w:rPr>
            <w:sz w:val="24"/>
            <w:szCs w:val="24"/>
          </w:rPr>
          <w:tab/>
        </w:r>
        <w:r w:rsidR="00CA35D0" w:rsidRPr="00CA35D0">
          <w:rPr>
            <w:sz w:val="24"/>
            <w:szCs w:val="24"/>
          </w:rPr>
          <w:t>A-</w:t>
        </w:r>
        <w:r w:rsidR="005653A0" w:rsidRPr="00CA35D0">
          <w:rPr>
            <w:sz w:val="24"/>
            <w:szCs w:val="24"/>
          </w:rPr>
          <w:fldChar w:fldCharType="begin"/>
        </w:r>
        <w:r w:rsidR="005653A0" w:rsidRPr="00CA35D0">
          <w:rPr>
            <w:sz w:val="24"/>
            <w:szCs w:val="24"/>
          </w:rPr>
          <w:instrText xml:space="preserve"> PAGE   \* MERGEFORMAT </w:instrText>
        </w:r>
        <w:r w:rsidR="005653A0" w:rsidRPr="00CA35D0">
          <w:rPr>
            <w:sz w:val="24"/>
            <w:szCs w:val="24"/>
          </w:rPr>
          <w:fldChar w:fldCharType="separate"/>
        </w:r>
        <w:r w:rsidR="005653A0" w:rsidRPr="00CA35D0">
          <w:rPr>
            <w:noProof/>
            <w:sz w:val="24"/>
            <w:szCs w:val="24"/>
          </w:rPr>
          <w:t>2</w:t>
        </w:r>
        <w:r w:rsidR="005653A0" w:rsidRPr="00CA35D0">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EB4A" w14:textId="399B42BE" w:rsidR="005653A0" w:rsidRPr="00CA35D0" w:rsidRDefault="005653A0">
    <w:pPr>
      <w:pStyle w:val="Footer"/>
      <w:rPr>
        <w:sz w:val="24"/>
        <w:szCs w:val="24"/>
      </w:rPr>
    </w:pPr>
    <w:r>
      <w:rPr>
        <w:sz w:val="18"/>
        <w:szCs w:val="18"/>
      </w:rPr>
      <w:tab/>
    </w:r>
    <w:r w:rsidR="00CA35D0" w:rsidRPr="00CA35D0">
      <w:rPr>
        <w:sz w:val="24"/>
        <w:szCs w:val="24"/>
      </w:rPr>
      <w:t>A-</w:t>
    </w:r>
    <w:r w:rsidRPr="00CA35D0">
      <w:rPr>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ED1C" w14:textId="77777777" w:rsidR="005A210D" w:rsidRDefault="005A210D" w:rsidP="00D1673A">
      <w:r>
        <w:separator/>
      </w:r>
    </w:p>
  </w:footnote>
  <w:footnote w:type="continuationSeparator" w:id="0">
    <w:p w14:paraId="0A2B7997" w14:textId="77777777" w:rsidR="005A210D" w:rsidRDefault="005A210D" w:rsidP="00D1673A">
      <w:r>
        <w:continuationSeparator/>
      </w:r>
    </w:p>
  </w:footnote>
  <w:footnote w:id="1">
    <w:p w14:paraId="1B85797F" w14:textId="705FD0DF"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18 were received by </w:t>
      </w:r>
      <w:r w:rsidR="00EF7D08">
        <w:rPr>
          <w:sz w:val="24"/>
          <w:szCs w:val="24"/>
        </w:rPr>
        <w:t>November 23, 2022.</w:t>
      </w:r>
      <w:r w:rsidRPr="001B35CD">
        <w:rPr>
          <w:sz w:val="24"/>
          <w:szCs w:val="24"/>
        </w:rPr>
        <w:t xml:space="preserve">  Public Records Act Requests #19-505, #20-14, #21-231, #21-252, #21-253, #21-254, #21-255, #21-256, #21-257, #21-258, #21-363, # 21-382, #21-390, #21-481, #21-684, #21-703, #22-101, and #22-120.</w:t>
      </w:r>
    </w:p>
  </w:footnote>
  <w:footnote w:id="2">
    <w:p w14:paraId="6A92CDAF" w14:textId="77777777"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General Order (“G.O.”) 66-D Sections 5.5(a), (c), and 6.1.</w:t>
      </w:r>
    </w:p>
  </w:footnote>
  <w:footnote w:id="3">
    <w:p w14:paraId="1CE99688" w14:textId="77777777"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Government Code § 6250.</w:t>
      </w:r>
    </w:p>
  </w:footnote>
  <w:footnote w:id="4">
    <w:p w14:paraId="48409EB8" w14:textId="577C5EDB" w:rsidR="00D1673A" w:rsidRPr="001B35CD" w:rsidRDefault="00D1673A" w:rsidP="001B35CD">
      <w:pPr>
        <w:pStyle w:val="FootnoteText"/>
        <w:spacing w:after="120" w:line="240" w:lineRule="exact"/>
        <w:rPr>
          <w:sz w:val="24"/>
          <w:szCs w:val="24"/>
        </w:rPr>
      </w:pPr>
      <w:r w:rsidRPr="001B35CD">
        <w:rPr>
          <w:rStyle w:val="FootnoteReference"/>
          <w:b/>
          <w:sz w:val="24"/>
          <w:szCs w:val="24"/>
          <w:u w:val="single"/>
        </w:rPr>
        <w:footnoteRef/>
      </w:r>
      <w:r w:rsidRPr="001B35CD">
        <w:rPr>
          <w:rStyle w:val="FootnoteReference"/>
          <w:bCs/>
          <w:sz w:val="24"/>
          <w:szCs w:val="24"/>
        </w:rPr>
        <w:t xml:space="preserve"> </w:t>
      </w:r>
      <w:r w:rsidRPr="001B35CD">
        <w:rPr>
          <w:bCs/>
          <w:color w:val="000000" w:themeColor="text1"/>
          <w:sz w:val="24"/>
          <w:szCs w:val="24"/>
        </w:rPr>
        <w:t xml:space="preserve"> </w:t>
      </w:r>
      <w:r w:rsidRPr="001B35CD">
        <w:rPr>
          <w:bCs/>
          <w:i/>
          <w:iCs/>
          <w:color w:val="000000" w:themeColor="text1"/>
          <w:sz w:val="24"/>
          <w:szCs w:val="24"/>
        </w:rPr>
        <w:t>See, e.g.,</w:t>
      </w:r>
      <w:r w:rsidRPr="001B35CD">
        <w:rPr>
          <w:b/>
          <w:color w:val="000000" w:themeColor="text1"/>
          <w:sz w:val="24"/>
          <w:szCs w:val="24"/>
        </w:rPr>
        <w:t xml:space="preserve"> </w:t>
      </w:r>
      <w:r w:rsidRPr="001B35CD">
        <w:rPr>
          <w:bCs/>
          <w:i/>
          <w:iCs/>
          <w:color w:val="000000" w:themeColor="text1"/>
          <w:sz w:val="24"/>
          <w:szCs w:val="24"/>
        </w:rPr>
        <w:t>National Lawyers Guild, San Francisco Bay Area Chapter v. City of Hayward</w:t>
      </w:r>
      <w:r w:rsidRPr="001B35CD">
        <w:rPr>
          <w:bCs/>
          <w:color w:val="000000" w:themeColor="text1"/>
          <w:sz w:val="24"/>
          <w:szCs w:val="24"/>
        </w:rPr>
        <w:t xml:space="preserve"> (2020) 9</w:t>
      </w:r>
      <w:r w:rsidR="00023994">
        <w:rPr>
          <w:bCs/>
          <w:color w:val="000000" w:themeColor="text1"/>
          <w:sz w:val="24"/>
          <w:szCs w:val="24"/>
        </w:rPr>
        <w:t> </w:t>
      </w:r>
      <w:r w:rsidRPr="001B35CD">
        <w:rPr>
          <w:bCs/>
          <w:color w:val="000000" w:themeColor="text1"/>
          <w:sz w:val="24"/>
          <w:szCs w:val="24"/>
        </w:rPr>
        <w:t>Cal.5</w:t>
      </w:r>
      <w:r w:rsidRPr="001B35CD">
        <w:rPr>
          <w:bCs/>
          <w:color w:val="000000" w:themeColor="text1"/>
          <w:sz w:val="24"/>
          <w:szCs w:val="24"/>
          <w:vertAlign w:val="superscript"/>
        </w:rPr>
        <w:t>th</w:t>
      </w:r>
      <w:r w:rsidRPr="001B35CD">
        <w:rPr>
          <w:bCs/>
          <w:color w:val="000000" w:themeColor="text1"/>
          <w:sz w:val="24"/>
          <w:szCs w:val="24"/>
        </w:rPr>
        <w:t xml:space="preserve"> 488, 492: “</w:t>
      </w:r>
      <w:r w:rsidRPr="001B35CD">
        <w:rPr>
          <w:color w:val="000000" w:themeColor="text1"/>
          <w:sz w:val="24"/>
          <w:szCs w:val="24"/>
        </w:rPr>
        <w:t>The California Public Records Act (PRA) establishes a right of public access to government records. “…the PRA was enacted for the purpose of increasing freedom of information by giving members of the public access to records in the possession of state and local agencies.” (</w:t>
      </w:r>
      <w:hyperlink r:id="rId1" w:anchor="co_pp_sp_7052_290" w:history="1">
        <w:r w:rsidRPr="001B35CD">
          <w:rPr>
            <w:rStyle w:val="Hyperlink"/>
            <w:i/>
            <w:iCs/>
            <w:color w:val="000000" w:themeColor="text1"/>
            <w:sz w:val="24"/>
            <w:szCs w:val="24"/>
          </w:rPr>
          <w:t>Los</w:t>
        </w:r>
        <w:r w:rsidR="00023994">
          <w:rPr>
            <w:rStyle w:val="Hyperlink"/>
            <w:i/>
            <w:iCs/>
            <w:color w:val="000000" w:themeColor="text1"/>
            <w:sz w:val="24"/>
            <w:szCs w:val="24"/>
          </w:rPr>
          <w:t> </w:t>
        </w:r>
        <w:r w:rsidRPr="001B35CD">
          <w:rPr>
            <w:rStyle w:val="Hyperlink"/>
            <w:i/>
            <w:iCs/>
            <w:color w:val="000000" w:themeColor="text1"/>
            <w:sz w:val="24"/>
            <w:szCs w:val="24"/>
          </w:rPr>
          <w:t>Angeles County Bd. of Supervisors v. Superior Court</w:t>
        </w:r>
        <w:r w:rsidRPr="001B35CD">
          <w:rPr>
            <w:rStyle w:val="Hyperlink"/>
            <w:color w:val="000000" w:themeColor="text1"/>
            <w:sz w:val="24"/>
            <w:szCs w:val="24"/>
          </w:rPr>
          <w:t xml:space="preserve"> (2016) 2 Cal.5th 282, 290</w:t>
        </w:r>
      </w:hyperlink>
      <w:r w:rsidRPr="001B35CD">
        <w:rPr>
          <w:color w:val="000000" w:themeColor="text1"/>
          <w:sz w:val="24"/>
          <w:szCs w:val="24"/>
        </w:rPr>
        <w:t>)</w:t>
      </w:r>
      <w:r w:rsidR="00772C0D">
        <w:rPr>
          <w:color w:val="000000" w:themeColor="text1"/>
          <w:sz w:val="24"/>
          <w:szCs w:val="24"/>
        </w:rPr>
        <w:t xml:space="preserve">. </w:t>
      </w:r>
      <w:r w:rsidRPr="001B35CD">
        <w:rPr>
          <w:color w:val="000000" w:themeColor="text1"/>
          <w:sz w:val="24"/>
          <w:szCs w:val="24"/>
        </w:rPr>
        <w:t xml:space="preserve"> In enacting the statute in 1968, the Legislature declared this right of access to be “a fundamental and necessary right of every person in this state” (</w:t>
      </w:r>
      <w:hyperlink r:id="rId2" w:history="1">
        <w:r w:rsidRPr="001B35CD">
          <w:rPr>
            <w:rStyle w:val="Hyperlink"/>
            <w:color w:val="000000" w:themeColor="text1"/>
            <w:sz w:val="24"/>
            <w:szCs w:val="24"/>
          </w:rPr>
          <w:t>Gov. Code, § 6250</w:t>
        </w:r>
      </w:hyperlink>
      <w:r w:rsidRPr="001B35CD">
        <w:rPr>
          <w:color w:val="000000" w:themeColor="text1"/>
          <w:sz w:val="24"/>
          <w:szCs w:val="24"/>
        </w:rPr>
        <w:t>)—a declaration ratified by voters who amended the California Constitution in 2004 to secure a “right of access to information concerning the conduct of the people's business” (</w:t>
      </w:r>
      <w:hyperlink r:id="rId3" w:history="1">
        <w:r w:rsidRPr="001B35CD">
          <w:rPr>
            <w:rStyle w:val="Hyperlink"/>
            <w:color w:val="000000" w:themeColor="text1"/>
            <w:sz w:val="24"/>
            <w:szCs w:val="24"/>
          </w:rPr>
          <w:t>Cal. Const., art. I, § 3</w:t>
        </w:r>
      </w:hyperlink>
      <w:r w:rsidRPr="001B35CD">
        <w:rPr>
          <w:color w:val="000000" w:themeColor="text1"/>
          <w:sz w:val="24"/>
          <w:szCs w:val="24"/>
        </w:rPr>
        <w:t>, subd. (b)(1). (</w:t>
      </w:r>
      <w:r w:rsidRPr="00772C0D">
        <w:rPr>
          <w:i/>
          <w:iCs/>
          <w:color w:val="000000" w:themeColor="text1"/>
          <w:sz w:val="24"/>
          <w:szCs w:val="24"/>
        </w:rPr>
        <w:t>See</w:t>
      </w:r>
      <w:r w:rsidRPr="001B35CD">
        <w:rPr>
          <w:color w:val="000000" w:themeColor="text1"/>
          <w:sz w:val="24"/>
          <w:szCs w:val="24"/>
        </w:rPr>
        <w:t xml:space="preserve"> </w:t>
      </w:r>
      <w:hyperlink r:id="rId4" w:anchor="co_pp_sp_4645_290" w:history="1">
        <w:r w:rsidRPr="001B35CD">
          <w:rPr>
            <w:rStyle w:val="Hyperlink"/>
            <w:i/>
            <w:iCs/>
            <w:color w:val="000000" w:themeColor="text1"/>
            <w:sz w:val="24"/>
            <w:szCs w:val="24"/>
          </w:rPr>
          <w:t>Los Angeles County Bd. of Supervisors</w:t>
        </w:r>
        <w:r w:rsidRPr="001B35CD">
          <w:rPr>
            <w:rStyle w:val="Hyperlink"/>
            <w:color w:val="000000" w:themeColor="text1"/>
            <w:sz w:val="24"/>
            <w:szCs w:val="24"/>
          </w:rPr>
          <w:t>, at p. 290.</w:t>
        </w:r>
      </w:hyperlink>
      <w:r w:rsidRPr="001B35CD">
        <w:rPr>
          <w:color w:val="000000" w:themeColor="text1"/>
          <w:sz w:val="24"/>
          <w:szCs w:val="24"/>
        </w:rPr>
        <w:t>)”; Sierra Club v. Superior Court (2013) 57 Cal.4</w:t>
      </w:r>
      <w:r w:rsidRPr="001B35CD">
        <w:rPr>
          <w:color w:val="000000" w:themeColor="text1"/>
          <w:sz w:val="24"/>
          <w:szCs w:val="24"/>
          <w:vertAlign w:val="superscript"/>
        </w:rPr>
        <w:t>th</w:t>
      </w:r>
      <w:r w:rsidRPr="001B35CD">
        <w:rPr>
          <w:color w:val="000000" w:themeColor="text1"/>
          <w:sz w:val="24"/>
          <w:szCs w:val="24"/>
        </w:rPr>
        <w:t xml:space="preserve"> 157, 166-167: “’Given the strong public policy of the people's right to information concerning the people's business (Gov. Code § 6250), and the constitutional mandate to construe statutes limiting the right of access narrowly (Cal. Const., art. I, § 3, subd. (b)(2)), ‘all public records are subject to disclosure unless the Legislature has </w:t>
      </w:r>
      <w:r w:rsidRPr="001B35CD">
        <w:rPr>
          <w:i/>
          <w:iCs/>
          <w:color w:val="000000" w:themeColor="text1"/>
          <w:sz w:val="24"/>
          <w:szCs w:val="24"/>
        </w:rPr>
        <w:t>expressly</w:t>
      </w:r>
      <w:r w:rsidRPr="001B35CD">
        <w:rPr>
          <w:color w:val="000000" w:themeColor="text1"/>
          <w:sz w:val="24"/>
          <w:szCs w:val="24"/>
        </w:rPr>
        <w:t> provided to the contrary.’” (</w:t>
      </w:r>
      <w:r w:rsidRPr="001B35CD">
        <w:rPr>
          <w:i/>
          <w:iCs/>
          <w:color w:val="000000" w:themeColor="text1"/>
          <w:sz w:val="24"/>
          <w:szCs w:val="24"/>
        </w:rPr>
        <w:t>Office of Inspector General v. Superior Court</w:t>
      </w:r>
      <w:r w:rsidRPr="001B35CD">
        <w:rPr>
          <w:color w:val="000000" w:themeColor="text1"/>
          <w:sz w:val="24"/>
          <w:szCs w:val="24"/>
        </w:rPr>
        <w:t xml:space="preserve"> (2010) 189. Cal.Ap.4</w:t>
      </w:r>
      <w:r w:rsidRPr="001B35CD">
        <w:rPr>
          <w:color w:val="000000" w:themeColor="text1"/>
          <w:sz w:val="24"/>
          <w:szCs w:val="24"/>
          <w:vertAlign w:val="superscript"/>
        </w:rPr>
        <w:t>th</w:t>
      </w:r>
      <w:r w:rsidRPr="001B35CD">
        <w:rPr>
          <w:color w:val="000000" w:themeColor="text1"/>
          <w:sz w:val="24"/>
          <w:szCs w:val="24"/>
        </w:rPr>
        <w:t xml:space="preserve"> 695, 709, quoting </w:t>
      </w:r>
      <w:r w:rsidRPr="001B35CD">
        <w:rPr>
          <w:i/>
          <w:iCs/>
          <w:color w:val="000000" w:themeColor="text1"/>
          <w:sz w:val="24"/>
          <w:szCs w:val="24"/>
        </w:rPr>
        <w:t>Williams v. Superior Court</w:t>
      </w:r>
      <w:r w:rsidRPr="001B35CD">
        <w:rPr>
          <w:color w:val="000000" w:themeColor="text1"/>
          <w:sz w:val="24"/>
          <w:szCs w:val="24"/>
        </w:rPr>
        <w:t xml:space="preserve"> (1993) 5 Cal.4</w:t>
      </w:r>
      <w:r w:rsidRPr="001B35CD">
        <w:rPr>
          <w:color w:val="000000" w:themeColor="text1"/>
          <w:sz w:val="24"/>
          <w:szCs w:val="24"/>
          <w:vertAlign w:val="superscript"/>
        </w:rPr>
        <w:t>th</w:t>
      </w:r>
      <w:r w:rsidRPr="001B35CD">
        <w:rPr>
          <w:color w:val="000000" w:themeColor="text1"/>
          <w:sz w:val="24"/>
          <w:szCs w:val="24"/>
        </w:rPr>
        <w:t xml:space="preserve"> 337, 346, italics added </w:t>
      </w:r>
      <w:r w:rsidRPr="001B35CD">
        <w:rPr>
          <w:sz w:val="24"/>
          <w:szCs w:val="24"/>
        </w:rPr>
        <w:t xml:space="preserve">by the Court of Appeal”; </w:t>
      </w:r>
      <w:r w:rsidRPr="001B35CD">
        <w:rPr>
          <w:i/>
          <w:iCs/>
          <w:sz w:val="24"/>
          <w:szCs w:val="24"/>
        </w:rPr>
        <w:t>City of San Jose v. Superior Court</w:t>
      </w:r>
      <w:r w:rsidRPr="001B35CD">
        <w:rPr>
          <w:sz w:val="24"/>
          <w:szCs w:val="24"/>
        </w:rPr>
        <w:t xml:space="preserve"> (2017) 2 Cal.5</w:t>
      </w:r>
      <w:r w:rsidRPr="001B35CD">
        <w:rPr>
          <w:sz w:val="24"/>
          <w:szCs w:val="24"/>
          <w:vertAlign w:val="superscript"/>
        </w:rPr>
        <w:t>th</w:t>
      </w:r>
      <w:r w:rsidRPr="001B35CD">
        <w:rPr>
          <w:sz w:val="24"/>
          <w:szCs w:val="24"/>
        </w:rPr>
        <w:t xml:space="preserve"> 608, 617.</w:t>
      </w:r>
    </w:p>
  </w:footnote>
  <w:footnote w:id="5">
    <w:p w14:paraId="7215E556" w14:textId="77777777"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w:t>
      </w:r>
      <w:r w:rsidRPr="00772C0D">
        <w:rPr>
          <w:i/>
          <w:iCs/>
          <w:sz w:val="24"/>
          <w:szCs w:val="24"/>
        </w:rPr>
        <w:t>See</w:t>
      </w:r>
      <w:r w:rsidRPr="001B35CD">
        <w:rPr>
          <w:sz w:val="24"/>
          <w:szCs w:val="24"/>
        </w:rPr>
        <w:t xml:space="preserve"> e.g., International Federation of Professional &amp; Technical Engineers, Local 21, AFL-CIO v. Superior Court (2007) 42 Cal.4th 319, 328-329.</w:t>
      </w:r>
    </w:p>
  </w:footnote>
  <w:footnote w:id="6">
    <w:p w14:paraId="4D0C150B" w14:textId="66E66486"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w:t>
      </w:r>
      <w:r w:rsidRPr="00772C0D">
        <w:rPr>
          <w:i/>
          <w:iCs/>
          <w:sz w:val="24"/>
          <w:szCs w:val="24"/>
        </w:rPr>
        <w:t>See</w:t>
      </w:r>
      <w:r w:rsidRPr="001B35CD">
        <w:rPr>
          <w:sz w:val="24"/>
          <w:szCs w:val="24"/>
        </w:rPr>
        <w:t xml:space="preserve"> Roberts v. City of Palmdale (1993) 5 Cal.4th 363, 370. (“The Public Records Act, Section 6250 et</w:t>
      </w:r>
      <w:r w:rsidR="00023994">
        <w:rPr>
          <w:sz w:val="24"/>
          <w:szCs w:val="24"/>
        </w:rPr>
        <w:t> </w:t>
      </w:r>
      <w:r w:rsidRPr="001B35CD">
        <w:rPr>
          <w:sz w:val="24"/>
          <w:szCs w:val="24"/>
        </w:rPr>
        <w:t>seq., was enacted in 1968 and provides that “every person has a right to inspect any public record, except as hereafter provided.” (§ 6253, subd. (a).)</w:t>
      </w:r>
    </w:p>
  </w:footnote>
  <w:footnote w:id="7">
    <w:p w14:paraId="63902A20" w14:textId="667E1C40" w:rsidR="00D1673A" w:rsidRPr="001B35CD" w:rsidRDefault="00D1673A" w:rsidP="001B35CD">
      <w:pPr>
        <w:pStyle w:val="BodyText"/>
        <w:spacing w:after="120" w:line="240" w:lineRule="exact"/>
        <w:rPr>
          <w:sz w:val="24"/>
          <w:szCs w:val="24"/>
        </w:rPr>
      </w:pPr>
      <w:r w:rsidRPr="001B35CD">
        <w:rPr>
          <w:rStyle w:val="FootnoteReference"/>
          <w:b/>
          <w:sz w:val="24"/>
          <w:szCs w:val="24"/>
          <w:u w:val="single"/>
        </w:rPr>
        <w:footnoteRef/>
      </w:r>
      <w:r w:rsidRPr="001B35CD">
        <w:rPr>
          <w:bCs/>
          <w:sz w:val="24"/>
          <w:szCs w:val="24"/>
        </w:rPr>
        <w:t xml:space="preserve"> Cal. Gov’t. Code § 6255(a).</w:t>
      </w:r>
      <w:r w:rsidR="00772C0D">
        <w:rPr>
          <w:bCs/>
          <w:sz w:val="24"/>
          <w:szCs w:val="24"/>
        </w:rPr>
        <w:t xml:space="preserve"> </w:t>
      </w:r>
      <w:r w:rsidRPr="001B35CD">
        <w:rPr>
          <w:bCs/>
          <w:sz w:val="24"/>
          <w:szCs w:val="24"/>
        </w:rPr>
        <w:t xml:space="preserve"> The fact that a record may fall within a CPRA exemption does not preclude its disclosure. </w:t>
      </w:r>
      <w:r w:rsidR="00772C0D">
        <w:rPr>
          <w:bCs/>
          <w:sz w:val="24"/>
          <w:szCs w:val="24"/>
        </w:rPr>
        <w:t xml:space="preserve"> </w:t>
      </w:r>
      <w:r w:rsidRPr="001B35CD">
        <w:rPr>
          <w:bCs/>
          <w:i/>
          <w:iCs/>
          <w:sz w:val="24"/>
          <w:szCs w:val="24"/>
        </w:rPr>
        <w:t xml:space="preserve">Modified Presiding Officer’s Decision Finding the San Francisco Municipal Transportation Agency in Contempt, in violation of Rule 1.1 of the Commission’s Rules of Practice and Procedures </w:t>
      </w:r>
      <w:r w:rsidRPr="001B35CD">
        <w:rPr>
          <w:bCs/>
          <w:sz w:val="24"/>
          <w:szCs w:val="24"/>
        </w:rPr>
        <w:t>(“SFMTA”) (2015) Decision (“D.”) 15-08-032, at 18: “CPRA exemptions are permissive rather than mandatory; they allow nondisclosure but do not prohibit disclosure. (</w:t>
      </w:r>
      <w:r w:rsidRPr="001B35CD">
        <w:rPr>
          <w:bCs/>
          <w:i/>
          <w:iCs/>
          <w:sz w:val="24"/>
          <w:szCs w:val="24"/>
        </w:rPr>
        <w:t xml:space="preserve">CBS, Inc. v. Block </w:t>
      </w:r>
      <w:r w:rsidRPr="001B35CD">
        <w:rPr>
          <w:bCs/>
          <w:sz w:val="24"/>
          <w:szCs w:val="24"/>
        </w:rPr>
        <w:t xml:space="preserve">(1986) 42 Cal.3d 646, 652; </w:t>
      </w:r>
      <w:r w:rsidRPr="001B35CD">
        <w:rPr>
          <w:bCs/>
          <w:i/>
          <w:iCs/>
          <w:sz w:val="24"/>
          <w:szCs w:val="24"/>
        </w:rPr>
        <w:t xml:space="preserve">Re San Diego Gas and Electric Company </w:t>
      </w:r>
      <w:r w:rsidRPr="001B35CD">
        <w:rPr>
          <w:bCs/>
          <w:sz w:val="24"/>
          <w:szCs w:val="24"/>
        </w:rPr>
        <w:t xml:space="preserve">(1993) D.93-05-020). [Footnote: 49 CPUC2d 241, at 242.]” </w:t>
      </w:r>
      <w:r w:rsidRPr="001B35CD">
        <w:rPr>
          <w:bCs/>
          <w:i/>
          <w:iCs/>
          <w:sz w:val="24"/>
          <w:szCs w:val="24"/>
        </w:rPr>
        <w:t>See also</w:t>
      </w:r>
      <w:r w:rsidRPr="001B35CD">
        <w:rPr>
          <w:bCs/>
          <w:sz w:val="24"/>
          <w:szCs w:val="24"/>
        </w:rPr>
        <w:t xml:space="preserve">, </w:t>
      </w:r>
      <w:r w:rsidRPr="001B35CD">
        <w:rPr>
          <w:bCs/>
          <w:i/>
          <w:iCs/>
          <w:sz w:val="24"/>
          <w:szCs w:val="24"/>
        </w:rPr>
        <w:t xml:space="preserve">Marken v. Santa Monica-Malibu Unified School District </w:t>
      </w:r>
      <w:r w:rsidRPr="001B35CD">
        <w:rPr>
          <w:bCs/>
          <w:sz w:val="24"/>
          <w:szCs w:val="24"/>
        </w:rPr>
        <w:t xml:space="preserve">(2012) 202 Cal.App.4th 1250, 1261-1262; </w:t>
      </w:r>
      <w:r w:rsidRPr="001B35CD">
        <w:rPr>
          <w:bCs/>
          <w:i/>
          <w:iCs/>
          <w:sz w:val="24"/>
          <w:szCs w:val="24"/>
        </w:rPr>
        <w:t xml:space="preserve">Register Div. of Freedom Newspapers, Inc. v. County of Orange </w:t>
      </w:r>
      <w:r w:rsidRPr="001B35CD">
        <w:rPr>
          <w:bCs/>
          <w:sz w:val="24"/>
          <w:szCs w:val="24"/>
        </w:rPr>
        <w:t xml:space="preserve">(1984) 158 Cal.App.3d 893, 905; </w:t>
      </w:r>
      <w:r w:rsidRPr="001B35CD">
        <w:rPr>
          <w:bCs/>
          <w:i/>
          <w:iCs/>
          <w:sz w:val="24"/>
          <w:szCs w:val="24"/>
        </w:rPr>
        <w:t xml:space="preserve">Black Panthers v. Kehoe </w:t>
      </w:r>
      <w:r w:rsidRPr="001B35CD">
        <w:rPr>
          <w:bCs/>
          <w:sz w:val="24"/>
          <w:szCs w:val="24"/>
        </w:rPr>
        <w:t xml:space="preserve">(1974) 42 Cal.App.3d 645, 656; Cal. Gov’t. Code § 6253(e): “Except as otherwise prohibited by law, a state or local agency may adopt requirements for itself that allow for faster, more efficient, or greater access to records than prescribed by the minimum standards set forth in this chapter.”; and the penultimate sentence in Cal. Gov’t. Code § 6254: “This section does not prevent any agency from opening its records concerning </w:t>
      </w:r>
      <w:r w:rsidRPr="001B35CD">
        <w:rPr>
          <w:sz w:val="24"/>
          <w:szCs w:val="24"/>
        </w:rPr>
        <w:t>the administration of the agency to public inspection, unless disclosure is otherwise prohibited by law.”</w:t>
      </w:r>
    </w:p>
  </w:footnote>
  <w:footnote w:id="8">
    <w:p w14:paraId="2CACF361" w14:textId="2DC99B86"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00BA28C1">
        <w:rPr>
          <w:sz w:val="24"/>
          <w:szCs w:val="24"/>
        </w:rPr>
        <w:t xml:space="preserve"> </w:t>
      </w:r>
      <w:r w:rsidRPr="001B35CD">
        <w:rPr>
          <w:sz w:val="24"/>
          <w:szCs w:val="24"/>
        </w:rPr>
        <w:t>Government Code § 6253.4(a), (b).</w:t>
      </w:r>
    </w:p>
  </w:footnote>
  <w:footnote w:id="9">
    <w:p w14:paraId="02019D58" w14:textId="77777777" w:rsidR="00D1673A" w:rsidRPr="001B35CD" w:rsidRDefault="00D1673A" w:rsidP="001B35CD">
      <w:pPr>
        <w:pStyle w:val="FootnoteText"/>
        <w:spacing w:after="120" w:line="240" w:lineRule="exact"/>
        <w:rPr>
          <w:sz w:val="24"/>
          <w:szCs w:val="24"/>
        </w:rPr>
      </w:pPr>
      <w:r w:rsidRPr="00A676AB">
        <w:rPr>
          <w:rStyle w:val="FootnoteReference"/>
          <w:b/>
          <w:bCs/>
          <w:sz w:val="24"/>
          <w:szCs w:val="24"/>
          <w:u w:val="single"/>
        </w:rPr>
        <w:footnoteRef/>
      </w:r>
      <w:r w:rsidRPr="001B35CD">
        <w:rPr>
          <w:sz w:val="24"/>
          <w:szCs w:val="24"/>
        </w:rPr>
        <w:t xml:space="preserve"> </w:t>
      </w:r>
      <w:r w:rsidRPr="00772C0D">
        <w:rPr>
          <w:i/>
          <w:iCs/>
          <w:sz w:val="24"/>
          <w:szCs w:val="24"/>
        </w:rPr>
        <w:t>See</w:t>
      </w:r>
      <w:r w:rsidRPr="001B35CD">
        <w:rPr>
          <w:sz w:val="24"/>
          <w:szCs w:val="24"/>
        </w:rPr>
        <w:t xml:space="preserve"> D.17-09-023, at 11-12, 14.</w:t>
      </w:r>
    </w:p>
  </w:footnote>
  <w:footnote w:id="10">
    <w:p w14:paraId="12FDE8ED" w14:textId="26C73D7A"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Aurora </w:t>
      </w:r>
      <w:proofErr w:type="spellStart"/>
      <w:r w:rsidRPr="001B35CD">
        <w:rPr>
          <w:sz w:val="24"/>
          <w:szCs w:val="24"/>
        </w:rPr>
        <w:t>Drivered</w:t>
      </w:r>
      <w:proofErr w:type="spellEnd"/>
      <w:r w:rsidRPr="001B35CD">
        <w:rPr>
          <w:sz w:val="24"/>
          <w:szCs w:val="24"/>
        </w:rPr>
        <w:t xml:space="preserve"> Pilot AV Application at p</w:t>
      </w:r>
      <w:r w:rsidR="000270C8">
        <w:rPr>
          <w:sz w:val="24"/>
          <w:szCs w:val="24"/>
        </w:rPr>
        <w:t>p</w:t>
      </w:r>
      <w:r w:rsidRPr="001B35CD">
        <w:rPr>
          <w:sz w:val="24"/>
          <w:szCs w:val="24"/>
        </w:rPr>
        <w:t xml:space="preserve"> 1-2, Cruise </w:t>
      </w:r>
      <w:proofErr w:type="spellStart"/>
      <w:r w:rsidRPr="001B35CD">
        <w:rPr>
          <w:sz w:val="24"/>
          <w:szCs w:val="24"/>
        </w:rPr>
        <w:t>Drivered</w:t>
      </w:r>
      <w:proofErr w:type="spellEnd"/>
      <w:r w:rsidRPr="001B35CD">
        <w:rPr>
          <w:sz w:val="24"/>
          <w:szCs w:val="24"/>
        </w:rPr>
        <w:t xml:space="preserve"> Pilot AV Application at p 106, Cruise Driverless Pilot AV Application at p 52, Cruise </w:t>
      </w:r>
      <w:proofErr w:type="spellStart"/>
      <w:r w:rsidRPr="001B35CD">
        <w:rPr>
          <w:sz w:val="24"/>
          <w:szCs w:val="24"/>
        </w:rPr>
        <w:t>Drivered</w:t>
      </w:r>
      <w:proofErr w:type="spellEnd"/>
      <w:r w:rsidRPr="001B35CD">
        <w:rPr>
          <w:sz w:val="24"/>
          <w:szCs w:val="24"/>
        </w:rPr>
        <w:t xml:space="preserve"> Deployment AV Application at </w:t>
      </w:r>
      <w:r w:rsidR="000270C8">
        <w:rPr>
          <w:sz w:val="24"/>
          <w:szCs w:val="24"/>
        </w:rPr>
        <w:t>p</w:t>
      </w:r>
      <w:r w:rsidR="00940D44">
        <w:rPr>
          <w:sz w:val="24"/>
          <w:szCs w:val="24"/>
        </w:rPr>
        <w:t>.</w:t>
      </w:r>
      <w:r w:rsidRPr="001B35CD">
        <w:rPr>
          <w:sz w:val="24"/>
          <w:szCs w:val="24"/>
        </w:rPr>
        <w:t xml:space="preserve"> 97, Cruise Driverless Deployment AV Application at p</w:t>
      </w:r>
      <w:r w:rsidR="00940D44">
        <w:rPr>
          <w:sz w:val="24"/>
          <w:szCs w:val="24"/>
        </w:rPr>
        <w:t>.</w:t>
      </w:r>
      <w:r w:rsidRPr="001B35CD">
        <w:rPr>
          <w:sz w:val="24"/>
          <w:szCs w:val="24"/>
        </w:rPr>
        <w:t xml:space="preserve"> 139, Waymo </w:t>
      </w:r>
      <w:proofErr w:type="spellStart"/>
      <w:r w:rsidRPr="001B35CD">
        <w:rPr>
          <w:sz w:val="24"/>
          <w:szCs w:val="24"/>
        </w:rPr>
        <w:t>Drivered</w:t>
      </w:r>
      <w:proofErr w:type="spellEnd"/>
      <w:r w:rsidRPr="001B35CD">
        <w:rPr>
          <w:sz w:val="24"/>
          <w:szCs w:val="24"/>
        </w:rPr>
        <w:t xml:space="preserve"> Pilot AV Application at </w:t>
      </w:r>
      <w:r w:rsidR="000270C8">
        <w:rPr>
          <w:sz w:val="24"/>
          <w:szCs w:val="24"/>
        </w:rPr>
        <w:t>p</w:t>
      </w:r>
      <w:r w:rsidR="00940D44">
        <w:rPr>
          <w:sz w:val="24"/>
          <w:szCs w:val="24"/>
        </w:rPr>
        <w:t>.</w:t>
      </w:r>
      <w:r w:rsidR="00023994">
        <w:rPr>
          <w:sz w:val="24"/>
          <w:szCs w:val="24"/>
        </w:rPr>
        <w:t> </w:t>
      </w:r>
      <w:r w:rsidRPr="001B35CD">
        <w:rPr>
          <w:sz w:val="24"/>
          <w:szCs w:val="24"/>
        </w:rPr>
        <w:t xml:space="preserve">295, Waymo </w:t>
      </w:r>
      <w:proofErr w:type="spellStart"/>
      <w:r w:rsidRPr="001B35CD">
        <w:rPr>
          <w:sz w:val="24"/>
          <w:szCs w:val="24"/>
        </w:rPr>
        <w:t>Drivered</w:t>
      </w:r>
      <w:proofErr w:type="spellEnd"/>
      <w:r w:rsidRPr="001B35CD">
        <w:rPr>
          <w:sz w:val="24"/>
          <w:szCs w:val="24"/>
        </w:rPr>
        <w:t xml:space="preserve"> Pilot AV Application Reapplication at p</w:t>
      </w:r>
      <w:r w:rsidR="00940D44">
        <w:rPr>
          <w:sz w:val="24"/>
          <w:szCs w:val="24"/>
        </w:rPr>
        <w:t>.</w:t>
      </w:r>
      <w:r w:rsidRPr="001B35CD">
        <w:rPr>
          <w:sz w:val="24"/>
          <w:szCs w:val="24"/>
        </w:rPr>
        <w:t xml:space="preserve"> 149, and </w:t>
      </w:r>
      <w:proofErr w:type="spellStart"/>
      <w:r w:rsidRPr="001B35CD">
        <w:rPr>
          <w:sz w:val="24"/>
          <w:szCs w:val="24"/>
        </w:rPr>
        <w:t>Zoox</w:t>
      </w:r>
      <w:proofErr w:type="spellEnd"/>
      <w:r w:rsidRPr="001B35CD">
        <w:rPr>
          <w:sz w:val="24"/>
          <w:szCs w:val="24"/>
        </w:rPr>
        <w:t xml:space="preserve"> at p</w:t>
      </w:r>
      <w:r w:rsidR="00940D44">
        <w:rPr>
          <w:sz w:val="24"/>
          <w:szCs w:val="24"/>
        </w:rPr>
        <w:t>.</w:t>
      </w:r>
      <w:r w:rsidRPr="001B35CD">
        <w:rPr>
          <w:sz w:val="24"/>
          <w:szCs w:val="24"/>
        </w:rPr>
        <w:t xml:space="preserve"> 126.</w:t>
      </w:r>
    </w:p>
  </w:footnote>
  <w:footnote w:id="11">
    <w:p w14:paraId="31DD892B" w14:textId="6DCA1C62"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w:t>
      </w:r>
      <w:r w:rsidRPr="001B35CD">
        <w:rPr>
          <w:color w:val="000000" w:themeColor="text1"/>
          <w:sz w:val="24"/>
          <w:szCs w:val="24"/>
        </w:rPr>
        <w:t>General Order 66-D § 3.2.</w:t>
      </w:r>
    </w:p>
  </w:footnote>
  <w:footnote w:id="12">
    <w:p w14:paraId="1AE40287" w14:textId="77777777"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w:t>
      </w:r>
      <w:r w:rsidRPr="001B35CD">
        <w:rPr>
          <w:i/>
          <w:iCs/>
          <w:sz w:val="24"/>
          <w:szCs w:val="24"/>
        </w:rPr>
        <w:t>Id.</w:t>
      </w:r>
    </w:p>
  </w:footnote>
  <w:footnote w:id="13">
    <w:p w14:paraId="49EDA7DC" w14:textId="448E39B3"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w:t>
      </w:r>
      <w:proofErr w:type="spellStart"/>
      <w:r w:rsidRPr="001B35CD">
        <w:rPr>
          <w:sz w:val="24"/>
          <w:szCs w:val="24"/>
        </w:rPr>
        <w:t>Zoox</w:t>
      </w:r>
      <w:proofErr w:type="spellEnd"/>
      <w:r w:rsidRPr="001B35CD">
        <w:rPr>
          <w:sz w:val="24"/>
          <w:szCs w:val="24"/>
        </w:rPr>
        <w:t xml:space="preserve"> </w:t>
      </w:r>
      <w:proofErr w:type="spellStart"/>
      <w:r w:rsidRPr="001B35CD">
        <w:rPr>
          <w:sz w:val="24"/>
          <w:szCs w:val="24"/>
        </w:rPr>
        <w:t>Drivered</w:t>
      </w:r>
      <w:proofErr w:type="spellEnd"/>
      <w:r w:rsidRPr="001B35CD">
        <w:rPr>
          <w:sz w:val="24"/>
          <w:szCs w:val="24"/>
        </w:rPr>
        <w:t xml:space="preserve"> Pilot AV Application at p</w:t>
      </w:r>
      <w:r w:rsidR="00940D44">
        <w:rPr>
          <w:sz w:val="24"/>
          <w:szCs w:val="24"/>
        </w:rPr>
        <w:t>.</w:t>
      </w:r>
      <w:r w:rsidRPr="001B35CD">
        <w:rPr>
          <w:sz w:val="24"/>
          <w:szCs w:val="24"/>
        </w:rPr>
        <w:t xml:space="preserve"> 126.</w:t>
      </w:r>
    </w:p>
  </w:footnote>
  <w:footnote w:id="14">
    <w:p w14:paraId="3D4D7831" w14:textId="1BDFDF94"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G.O. 66-D § 3.2(b): “A citation or general marking of confidentiality, such as “GO</w:t>
      </w:r>
      <w:r w:rsidR="00484768">
        <w:rPr>
          <w:sz w:val="24"/>
          <w:szCs w:val="24"/>
        </w:rPr>
        <w:t xml:space="preserve"> </w:t>
      </w:r>
      <w:r w:rsidRPr="001B35CD">
        <w:rPr>
          <w:sz w:val="24"/>
          <w:szCs w:val="24"/>
        </w:rPr>
        <w:t>66</w:t>
      </w:r>
      <w:r w:rsidR="00484768">
        <w:rPr>
          <w:sz w:val="24"/>
          <w:szCs w:val="24"/>
        </w:rPr>
        <w:t>-D</w:t>
      </w:r>
      <w:r w:rsidRPr="001B35CD">
        <w:rPr>
          <w:sz w:val="24"/>
          <w:szCs w:val="24"/>
        </w:rPr>
        <w:t>” and/or “Public Utilities Code Section 583” without additional justification of confidentiality does not satisfy the information submitter’s burden to establish a basis for confidential treatment.”</w:t>
      </w:r>
    </w:p>
  </w:footnote>
  <w:footnote w:id="15">
    <w:p w14:paraId="6008BE66" w14:textId="77777777"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G.O. 66-D § 3.2(c)&amp;(d).</w:t>
      </w:r>
    </w:p>
  </w:footnote>
  <w:footnote w:id="16">
    <w:p w14:paraId="4A7D3DA6" w14:textId="21F92532"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Waymo </w:t>
      </w:r>
      <w:proofErr w:type="spellStart"/>
      <w:r w:rsidRPr="001B35CD">
        <w:rPr>
          <w:sz w:val="24"/>
          <w:szCs w:val="24"/>
        </w:rPr>
        <w:t>Drivered</w:t>
      </w:r>
      <w:proofErr w:type="spellEnd"/>
      <w:r w:rsidRPr="001B35CD">
        <w:rPr>
          <w:sz w:val="24"/>
          <w:szCs w:val="24"/>
        </w:rPr>
        <w:t xml:space="preserve"> Pilot AV Reapplication at p</w:t>
      </w:r>
      <w:r w:rsidR="000270C8">
        <w:rPr>
          <w:sz w:val="24"/>
          <w:szCs w:val="24"/>
        </w:rPr>
        <w:t>p</w:t>
      </w:r>
      <w:r w:rsidRPr="001B35CD">
        <w:rPr>
          <w:sz w:val="24"/>
          <w:szCs w:val="24"/>
        </w:rPr>
        <w:t xml:space="preserve"> 149-151; Cruise </w:t>
      </w:r>
      <w:proofErr w:type="spellStart"/>
      <w:r w:rsidRPr="001B35CD">
        <w:rPr>
          <w:sz w:val="24"/>
          <w:szCs w:val="24"/>
        </w:rPr>
        <w:t>Drivered</w:t>
      </w:r>
      <w:proofErr w:type="spellEnd"/>
      <w:r w:rsidRPr="001B35CD">
        <w:rPr>
          <w:sz w:val="24"/>
          <w:szCs w:val="24"/>
        </w:rPr>
        <w:t xml:space="preserve"> Pilot AV Application at p</w:t>
      </w:r>
      <w:r w:rsidR="00940D44">
        <w:rPr>
          <w:sz w:val="24"/>
          <w:szCs w:val="24"/>
        </w:rPr>
        <w:t>.</w:t>
      </w:r>
      <w:r w:rsidR="00023994">
        <w:rPr>
          <w:sz w:val="24"/>
          <w:szCs w:val="24"/>
        </w:rPr>
        <w:t> </w:t>
      </w:r>
      <w:r w:rsidRPr="001B35CD">
        <w:rPr>
          <w:sz w:val="24"/>
          <w:szCs w:val="24"/>
        </w:rPr>
        <w:t>107; Cruise Driverless Pilot AV Application at p</w:t>
      </w:r>
      <w:r w:rsidR="00940D44">
        <w:rPr>
          <w:sz w:val="24"/>
          <w:szCs w:val="24"/>
        </w:rPr>
        <w:t>.</w:t>
      </w:r>
      <w:r w:rsidRPr="001B35CD">
        <w:rPr>
          <w:sz w:val="24"/>
          <w:szCs w:val="24"/>
        </w:rPr>
        <w:t xml:space="preserve"> 57; Cruise </w:t>
      </w:r>
      <w:proofErr w:type="spellStart"/>
      <w:r w:rsidRPr="001B35CD">
        <w:rPr>
          <w:sz w:val="24"/>
          <w:szCs w:val="24"/>
        </w:rPr>
        <w:t>Drivered</w:t>
      </w:r>
      <w:proofErr w:type="spellEnd"/>
      <w:r w:rsidRPr="001B35CD">
        <w:rPr>
          <w:sz w:val="24"/>
          <w:szCs w:val="24"/>
        </w:rPr>
        <w:t xml:space="preserve"> Deployment AV Application at p</w:t>
      </w:r>
      <w:r w:rsidR="000270C8">
        <w:rPr>
          <w:sz w:val="24"/>
          <w:szCs w:val="24"/>
        </w:rPr>
        <w:t>p</w:t>
      </w:r>
      <w:r w:rsidR="00940D44">
        <w:rPr>
          <w:sz w:val="24"/>
          <w:szCs w:val="24"/>
        </w:rPr>
        <w:t>.</w:t>
      </w:r>
      <w:r w:rsidRPr="001B35CD">
        <w:rPr>
          <w:sz w:val="24"/>
          <w:szCs w:val="24"/>
        </w:rPr>
        <w:t xml:space="preserve"> 38, 97-98; Cruise Driverless Deployment AV Application at </w:t>
      </w:r>
      <w:r w:rsidR="000270C8">
        <w:rPr>
          <w:sz w:val="24"/>
          <w:szCs w:val="24"/>
        </w:rPr>
        <w:t>pp</w:t>
      </w:r>
      <w:r w:rsidR="00940D44">
        <w:rPr>
          <w:sz w:val="24"/>
          <w:szCs w:val="24"/>
        </w:rPr>
        <w:t>.</w:t>
      </w:r>
      <w:r w:rsidRPr="001B35CD">
        <w:rPr>
          <w:sz w:val="24"/>
          <w:szCs w:val="24"/>
        </w:rPr>
        <w:t xml:space="preserve"> 139-140.</w:t>
      </w:r>
    </w:p>
  </w:footnote>
  <w:footnote w:id="17">
    <w:p w14:paraId="41B2E70A" w14:textId="0CDA53BD"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001B35CD">
        <w:rPr>
          <w:sz w:val="24"/>
          <w:szCs w:val="24"/>
        </w:rPr>
        <w:t xml:space="preserve"> </w:t>
      </w:r>
      <w:r w:rsidRPr="001B35CD">
        <w:rPr>
          <w:sz w:val="24"/>
          <w:szCs w:val="24"/>
        </w:rPr>
        <w:t>G.O. 66-D § 3.2.</w:t>
      </w:r>
    </w:p>
  </w:footnote>
  <w:footnote w:id="18">
    <w:p w14:paraId="708D318C" w14:textId="77777777" w:rsidR="00D1673A" w:rsidRPr="001B35CD" w:rsidRDefault="00D1673A" w:rsidP="001B35CD">
      <w:pPr>
        <w:pStyle w:val="FootnoteText"/>
        <w:spacing w:after="120" w:line="240" w:lineRule="exact"/>
        <w:ind w:right="0"/>
        <w:rPr>
          <w:sz w:val="24"/>
          <w:szCs w:val="24"/>
        </w:rPr>
      </w:pPr>
      <w:r w:rsidRPr="001B35CD">
        <w:rPr>
          <w:rStyle w:val="FootnoteReference"/>
          <w:b/>
          <w:bCs/>
          <w:sz w:val="24"/>
          <w:szCs w:val="24"/>
          <w:u w:val="single"/>
        </w:rPr>
        <w:footnoteRef/>
      </w:r>
      <w:r w:rsidRPr="001B35CD">
        <w:rPr>
          <w:sz w:val="24"/>
          <w:szCs w:val="24"/>
        </w:rPr>
        <w:t xml:space="preserve"> D.20-12-021 at p. 35.</w:t>
      </w:r>
    </w:p>
  </w:footnote>
  <w:footnote w:id="19">
    <w:p w14:paraId="73B2AD02" w14:textId="77777777" w:rsidR="00D1673A" w:rsidRPr="001B35CD" w:rsidRDefault="00D1673A" w:rsidP="001B35CD">
      <w:pPr>
        <w:spacing w:after="120" w:line="240" w:lineRule="exact"/>
        <w:rPr>
          <w:sz w:val="24"/>
          <w:szCs w:val="24"/>
        </w:rPr>
      </w:pPr>
      <w:r w:rsidRPr="001B35CD">
        <w:rPr>
          <w:rStyle w:val="FootnoteReference"/>
          <w:b/>
          <w:bCs/>
          <w:sz w:val="24"/>
          <w:szCs w:val="24"/>
          <w:u w:val="single"/>
        </w:rPr>
        <w:footnoteRef/>
      </w:r>
      <w:r w:rsidRPr="001B35CD">
        <w:rPr>
          <w:sz w:val="24"/>
          <w:szCs w:val="24"/>
        </w:rPr>
        <w:t xml:space="preserve"> </w:t>
      </w:r>
      <w:r w:rsidRPr="00BA28C1">
        <w:rPr>
          <w:i/>
          <w:iCs/>
          <w:sz w:val="24"/>
          <w:szCs w:val="24"/>
        </w:rPr>
        <w:t>City of San Jose v. Superior Court</w:t>
      </w:r>
      <w:r w:rsidRPr="001B35CD">
        <w:rPr>
          <w:sz w:val="24"/>
          <w:szCs w:val="24"/>
        </w:rPr>
        <w:t xml:space="preserve"> (1999) 74 Cal.App.4th 1008 [Court upholds withholding names, addresses, and phone numbers of airport noise complainants]; </w:t>
      </w:r>
      <w:r w:rsidRPr="00BA28C1">
        <w:rPr>
          <w:i/>
          <w:iCs/>
          <w:sz w:val="24"/>
          <w:szCs w:val="24"/>
        </w:rPr>
        <w:t>Coronado Police Officers Assn. v. Carroll</w:t>
      </w:r>
      <w:r w:rsidRPr="001B35CD">
        <w:rPr>
          <w:sz w:val="24"/>
          <w:szCs w:val="24"/>
        </w:rPr>
        <w:t xml:space="preserve"> (2003) 106 Cal.App.4th 1001 [Court upholds withholding information in a public defender’s database about police officers]; </w:t>
      </w:r>
      <w:r w:rsidRPr="00BA28C1">
        <w:rPr>
          <w:i/>
          <w:iCs/>
          <w:sz w:val="24"/>
          <w:szCs w:val="24"/>
        </w:rPr>
        <w:t>Los Angeles Unified School District v. Superior Court</w:t>
      </w:r>
      <w:r w:rsidRPr="001B35CD">
        <w:rPr>
          <w:sz w:val="24"/>
          <w:szCs w:val="24"/>
        </w:rPr>
        <w:t xml:space="preserve"> (2014) 228 Cal.App.4th 222 [Court upholds withholding individual teacher test scores, identified by name].</w:t>
      </w:r>
    </w:p>
  </w:footnote>
  <w:footnote w:id="20">
    <w:p w14:paraId="28A42E53" w14:textId="77777777" w:rsidR="00D1673A" w:rsidRPr="001B35CD" w:rsidRDefault="00D1673A" w:rsidP="001B35CD">
      <w:pPr>
        <w:pStyle w:val="FootnoteText"/>
        <w:spacing w:after="120" w:line="240" w:lineRule="exact"/>
        <w:rPr>
          <w:sz w:val="24"/>
          <w:szCs w:val="24"/>
        </w:rPr>
      </w:pPr>
      <w:r w:rsidRPr="001B35CD">
        <w:rPr>
          <w:rStyle w:val="FootnoteReference"/>
          <w:b/>
          <w:bCs/>
          <w:sz w:val="24"/>
          <w:szCs w:val="24"/>
          <w:u w:val="single"/>
        </w:rPr>
        <w:footnoteRef/>
      </w:r>
      <w:r w:rsidRPr="001B35CD">
        <w:rPr>
          <w:sz w:val="24"/>
          <w:szCs w:val="24"/>
        </w:rPr>
        <w:t xml:space="preserve"> Cal. Gov’t. </w:t>
      </w:r>
      <w:r w:rsidRPr="001B35CD">
        <w:rPr>
          <w:color w:val="202124"/>
          <w:sz w:val="24"/>
          <w:szCs w:val="24"/>
          <w:shd w:val="clear" w:color="auto" w:fill="FFFFFF"/>
        </w:rPr>
        <w:t xml:space="preserve">§ </w:t>
      </w:r>
      <w:r w:rsidRPr="001B35CD">
        <w:rPr>
          <w:sz w:val="24"/>
          <w:szCs w:val="24"/>
        </w:rPr>
        <w:t>6254(c): “</w:t>
      </w:r>
      <w:r w:rsidRPr="001B35CD">
        <w:rPr>
          <w:color w:val="333333"/>
          <w:sz w:val="24"/>
          <w:szCs w:val="24"/>
          <w:shd w:val="clear" w:color="auto" w:fill="FFFFFF"/>
        </w:rPr>
        <w:t>Personnel, medical, or similar files, the disclosure of which would constitute an unwarranted invasion of personal 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785A" w14:textId="095D4157" w:rsidR="00895123" w:rsidRDefault="007C2822">
    <w:pPr>
      <w:pStyle w:val="Header"/>
      <w:rPr>
        <w:sz w:val="28"/>
        <w:szCs w:val="28"/>
      </w:rPr>
    </w:pPr>
    <w:r>
      <w:rPr>
        <w:sz w:val="28"/>
        <w:szCs w:val="28"/>
      </w:rPr>
      <w:t>Resolution L</w:t>
    </w:r>
    <w:r w:rsidR="00A676AB">
      <w:rPr>
        <w:sz w:val="28"/>
        <w:szCs w:val="28"/>
      </w:rPr>
      <w:t>-619</w:t>
    </w:r>
    <w:r>
      <w:rPr>
        <w:sz w:val="28"/>
        <w:szCs w:val="28"/>
      </w:rPr>
      <w:tab/>
    </w:r>
    <w:r>
      <w:rPr>
        <w:b/>
        <w:sz w:val="28"/>
        <w:szCs w:val="28"/>
      </w:rPr>
      <w:t>DRAFT</w:t>
    </w:r>
    <w:r>
      <w:rPr>
        <w:sz w:val="28"/>
        <w:szCs w:val="28"/>
      </w:rPr>
      <w:tab/>
    </w:r>
    <w:r w:rsidR="008E32A2">
      <w:rPr>
        <w:sz w:val="28"/>
        <w:szCs w:val="28"/>
      </w:rPr>
      <w:t>February 2</w:t>
    </w:r>
    <w:r w:rsidR="003D6B88">
      <w:rPr>
        <w:sz w:val="28"/>
        <w:szCs w:val="28"/>
      </w:rPr>
      <w:t>3</w:t>
    </w:r>
    <w:r w:rsidR="00A676AB">
      <w:rPr>
        <w:sz w:val="28"/>
        <w:szCs w:val="28"/>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C265" w14:textId="5CFF42A5" w:rsidR="00895123" w:rsidRDefault="007C2822">
    <w:pPr>
      <w:pStyle w:val="Header"/>
      <w:tabs>
        <w:tab w:val="clear" w:pos="4320"/>
      </w:tabs>
      <w:jc w:val="center"/>
      <w:rPr>
        <w:b/>
        <w:sz w:val="26"/>
        <w:szCs w:val="26"/>
      </w:rPr>
    </w:pPr>
    <w:r>
      <w:rPr>
        <w:sz w:val="28"/>
        <w:szCs w:val="28"/>
      </w:rPr>
      <w:t xml:space="preserve">                                                     </w:t>
    </w:r>
    <w:r>
      <w:rPr>
        <w:b/>
        <w:sz w:val="28"/>
        <w:szCs w:val="28"/>
      </w:rPr>
      <w:t>DRAFT</w:t>
    </w:r>
    <w:r>
      <w:rPr>
        <w:sz w:val="28"/>
        <w:szCs w:val="28"/>
      </w:rPr>
      <w:tab/>
    </w:r>
    <w:r>
      <w:rPr>
        <w:sz w:val="26"/>
        <w:szCs w:val="26"/>
      </w:rPr>
      <w:t>Item ____ (Agenda #</w:t>
    </w:r>
    <w:r w:rsidR="00F43F90">
      <w:rPr>
        <w:sz w:val="26"/>
        <w:szCs w:val="26"/>
      </w:rPr>
      <w:t xml:space="preserve"> 21194</w:t>
    </w:r>
    <w:r>
      <w:rPr>
        <w:sz w:val="26"/>
        <w:szCs w:val="2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060E" w14:textId="08B31B9D" w:rsidR="005653A0" w:rsidRDefault="005653A0">
    <w:pPr>
      <w:pStyle w:val="Header"/>
      <w:rPr>
        <w:sz w:val="28"/>
        <w:szCs w:val="28"/>
      </w:rPr>
    </w:pPr>
    <w:r>
      <w:rPr>
        <w:sz w:val="28"/>
        <w:szCs w:val="28"/>
      </w:rPr>
      <w:t>Resolution L-619</w:t>
    </w:r>
    <w:r>
      <w:rPr>
        <w:sz w:val="28"/>
        <w:szCs w:val="28"/>
      </w:rPr>
      <w:tab/>
    </w:r>
    <w:r>
      <w:rPr>
        <w:b/>
        <w:sz w:val="28"/>
        <w:szCs w:val="28"/>
      </w:rPr>
      <w:t>DRAFT</w:t>
    </w:r>
    <w:r>
      <w:rPr>
        <w:sz w:val="28"/>
        <w:szCs w:val="28"/>
      </w:rPr>
      <w:tab/>
    </w:r>
    <w:r w:rsidR="00175C0B">
      <w:rPr>
        <w:sz w:val="28"/>
        <w:szCs w:val="28"/>
      </w:rPr>
      <w:t>February 2</w:t>
    </w:r>
    <w:r w:rsidR="003D6B88">
      <w:rPr>
        <w:sz w:val="28"/>
        <w:szCs w:val="28"/>
      </w:rPr>
      <w:t>3</w:t>
    </w:r>
    <w:r>
      <w:rPr>
        <w:sz w:val="28"/>
        <w:szCs w:val="28"/>
      </w:rPr>
      <w: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EBE5" w14:textId="00A44943" w:rsidR="005653A0" w:rsidRDefault="005653A0" w:rsidP="005653A0">
    <w:pPr>
      <w:pStyle w:val="Header"/>
      <w:rPr>
        <w:sz w:val="28"/>
        <w:szCs w:val="28"/>
      </w:rPr>
    </w:pPr>
    <w:r>
      <w:rPr>
        <w:sz w:val="28"/>
        <w:szCs w:val="28"/>
      </w:rPr>
      <w:t>Resolution L-619</w:t>
    </w:r>
    <w:r>
      <w:rPr>
        <w:sz w:val="28"/>
        <w:szCs w:val="28"/>
      </w:rPr>
      <w:tab/>
    </w:r>
    <w:r>
      <w:rPr>
        <w:b/>
        <w:sz w:val="28"/>
        <w:szCs w:val="28"/>
      </w:rPr>
      <w:t>DRAFT</w:t>
    </w:r>
    <w:r>
      <w:rPr>
        <w:sz w:val="28"/>
        <w:szCs w:val="28"/>
      </w:rPr>
      <w:tab/>
    </w:r>
    <w:r w:rsidR="008E32A2">
      <w:rPr>
        <w:sz w:val="28"/>
        <w:szCs w:val="28"/>
      </w:rPr>
      <w:t xml:space="preserve">February </w:t>
    </w:r>
    <w:r w:rsidR="003C7144">
      <w:rPr>
        <w:sz w:val="28"/>
        <w:szCs w:val="28"/>
      </w:rPr>
      <w:t>2</w:t>
    </w:r>
    <w:r>
      <w:rPr>
        <w:sz w:val="28"/>
        <w:szCs w:val="28"/>
      </w:rPr>
      <w:t>, 2023</w:t>
    </w:r>
  </w:p>
  <w:p w14:paraId="7971B661" w14:textId="361EC5F4" w:rsidR="005653A0" w:rsidRPr="005653A0" w:rsidRDefault="005653A0" w:rsidP="00565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AD0"/>
    <w:multiLevelType w:val="hybridMultilevel"/>
    <w:tmpl w:val="0ED8F692"/>
    <w:lvl w:ilvl="0" w:tplc="38A461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EB312F"/>
    <w:multiLevelType w:val="hybridMultilevel"/>
    <w:tmpl w:val="D20CBA5A"/>
    <w:lvl w:ilvl="0" w:tplc="43DE0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907B3"/>
    <w:multiLevelType w:val="hybridMultilevel"/>
    <w:tmpl w:val="50AC4CB0"/>
    <w:lvl w:ilvl="0" w:tplc="A226F5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395927"/>
    <w:multiLevelType w:val="hybridMultilevel"/>
    <w:tmpl w:val="DD0805D4"/>
    <w:lvl w:ilvl="0" w:tplc="EDDA68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E15CE4"/>
    <w:multiLevelType w:val="hybridMultilevel"/>
    <w:tmpl w:val="CB1EEB7C"/>
    <w:lvl w:ilvl="0" w:tplc="EB9084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DD683F"/>
    <w:multiLevelType w:val="hybridMultilevel"/>
    <w:tmpl w:val="11D0B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B0EC5"/>
    <w:multiLevelType w:val="hybridMultilevel"/>
    <w:tmpl w:val="C1626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B6D8A"/>
    <w:multiLevelType w:val="hybridMultilevel"/>
    <w:tmpl w:val="BFDA9B72"/>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8A7FEB"/>
    <w:multiLevelType w:val="hybridMultilevel"/>
    <w:tmpl w:val="F04C5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84697B"/>
    <w:multiLevelType w:val="hybridMultilevel"/>
    <w:tmpl w:val="F04C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60EB2"/>
    <w:multiLevelType w:val="hybridMultilevel"/>
    <w:tmpl w:val="916C5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66A76"/>
    <w:multiLevelType w:val="hybridMultilevel"/>
    <w:tmpl w:val="F04C5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3C6F58"/>
    <w:multiLevelType w:val="hybridMultilevel"/>
    <w:tmpl w:val="9ABA5408"/>
    <w:lvl w:ilvl="0" w:tplc="6116E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63548F"/>
    <w:multiLevelType w:val="hybridMultilevel"/>
    <w:tmpl w:val="7C041F52"/>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554511A"/>
    <w:multiLevelType w:val="multilevel"/>
    <w:tmpl w:val="F8569A9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bCs/>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25723B6B"/>
    <w:multiLevelType w:val="hybridMultilevel"/>
    <w:tmpl w:val="86724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C410EF"/>
    <w:multiLevelType w:val="hybridMultilevel"/>
    <w:tmpl w:val="DACA020A"/>
    <w:lvl w:ilvl="0" w:tplc="93C0AE18">
      <w:start w:val="2"/>
      <w:numFmt w:val="lowerRoman"/>
      <w:lvlText w:val="%1."/>
      <w:lvlJc w:val="left"/>
      <w:pPr>
        <w:ind w:left="2160" w:hanging="72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5D74AF"/>
    <w:multiLevelType w:val="hybridMultilevel"/>
    <w:tmpl w:val="6C7A0392"/>
    <w:lvl w:ilvl="0" w:tplc="6A387B0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2E082A5D"/>
    <w:multiLevelType w:val="hybridMultilevel"/>
    <w:tmpl w:val="491C105C"/>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2E4BFE"/>
    <w:multiLevelType w:val="hybridMultilevel"/>
    <w:tmpl w:val="366C2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A33594"/>
    <w:multiLevelType w:val="hybridMultilevel"/>
    <w:tmpl w:val="C88E90A6"/>
    <w:lvl w:ilvl="0" w:tplc="3FC84A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404BA"/>
    <w:multiLevelType w:val="hybridMultilevel"/>
    <w:tmpl w:val="18DAC39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9286A1C"/>
    <w:multiLevelType w:val="hybridMultilevel"/>
    <w:tmpl w:val="18DAC39C"/>
    <w:lvl w:ilvl="0" w:tplc="EDDA68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DA22C59"/>
    <w:multiLevelType w:val="hybridMultilevel"/>
    <w:tmpl w:val="EF80C5C8"/>
    <w:lvl w:ilvl="0" w:tplc="0409000F">
      <w:start w:val="1"/>
      <w:numFmt w:val="decimal"/>
      <w:lvlText w:val="%1."/>
      <w:lvlJc w:val="left"/>
      <w:pPr>
        <w:tabs>
          <w:tab w:val="num" w:pos="1095"/>
        </w:tabs>
        <w:ind w:left="1095" w:hanging="360"/>
      </w:p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4" w15:restartNumberingAfterBreak="0">
    <w:nsid w:val="427259AD"/>
    <w:multiLevelType w:val="hybridMultilevel"/>
    <w:tmpl w:val="C018D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E1108"/>
    <w:multiLevelType w:val="hybridMultilevel"/>
    <w:tmpl w:val="F042DAB4"/>
    <w:lvl w:ilvl="0" w:tplc="DAE635B0">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F9042D"/>
    <w:multiLevelType w:val="hybridMultilevel"/>
    <w:tmpl w:val="FAC8808A"/>
    <w:lvl w:ilvl="0" w:tplc="544088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9DE1B5E"/>
    <w:multiLevelType w:val="hybridMultilevel"/>
    <w:tmpl w:val="C1D470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60B28"/>
    <w:multiLevelType w:val="hybridMultilevel"/>
    <w:tmpl w:val="A2A63C30"/>
    <w:lvl w:ilvl="0" w:tplc="D2C6B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231852"/>
    <w:multiLevelType w:val="hybridMultilevel"/>
    <w:tmpl w:val="8618F0E0"/>
    <w:lvl w:ilvl="0" w:tplc="A76EC4C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B2696"/>
    <w:multiLevelType w:val="hybridMultilevel"/>
    <w:tmpl w:val="61EA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B7FA1"/>
    <w:multiLevelType w:val="hybridMultilevel"/>
    <w:tmpl w:val="7A628B12"/>
    <w:lvl w:ilvl="0" w:tplc="EDDA687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4D423B6"/>
    <w:multiLevelType w:val="hybridMultilevel"/>
    <w:tmpl w:val="5C0003E4"/>
    <w:lvl w:ilvl="0" w:tplc="C98CAC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0545DF"/>
    <w:multiLevelType w:val="hybridMultilevel"/>
    <w:tmpl w:val="9B06A9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3F5885"/>
    <w:multiLevelType w:val="hybridMultilevel"/>
    <w:tmpl w:val="09707786"/>
    <w:lvl w:ilvl="0" w:tplc="5AB411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B4C42FE"/>
    <w:multiLevelType w:val="hybridMultilevel"/>
    <w:tmpl w:val="91A4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F1999"/>
    <w:multiLevelType w:val="hybridMultilevel"/>
    <w:tmpl w:val="018E20F6"/>
    <w:lvl w:ilvl="0" w:tplc="015457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AE2AA5"/>
    <w:multiLevelType w:val="hybridMultilevel"/>
    <w:tmpl w:val="01D0F3EA"/>
    <w:lvl w:ilvl="0" w:tplc="246455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E7365F"/>
    <w:multiLevelType w:val="hybridMultilevel"/>
    <w:tmpl w:val="F89E4BB8"/>
    <w:lvl w:ilvl="0" w:tplc="B904766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4F0CB2"/>
    <w:multiLevelType w:val="hybridMultilevel"/>
    <w:tmpl w:val="18DAC39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B31962"/>
    <w:multiLevelType w:val="hybridMultilevel"/>
    <w:tmpl w:val="3976F012"/>
    <w:lvl w:ilvl="0" w:tplc="87F098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7C364A2"/>
    <w:multiLevelType w:val="multilevel"/>
    <w:tmpl w:val="0409001D"/>
    <w:lvl w:ilvl="0">
      <w:start w:val="1"/>
      <w:numFmt w:val="decimal"/>
      <w:lvlText w:val="%1)"/>
      <w:lvlJc w:val="left"/>
      <w:pPr>
        <w:ind w:left="2520" w:hanging="360"/>
      </w:pPr>
      <w:rPr>
        <w:rFonts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2" w15:restartNumberingAfterBreak="0">
    <w:nsid w:val="6AA92A4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777E60E8"/>
    <w:multiLevelType w:val="hybridMultilevel"/>
    <w:tmpl w:val="B568D372"/>
    <w:lvl w:ilvl="0" w:tplc="CD945FB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79963E07"/>
    <w:multiLevelType w:val="hybridMultilevel"/>
    <w:tmpl w:val="9684AEB4"/>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7626373">
    <w:abstractNumId w:val="23"/>
  </w:num>
  <w:num w:numId="2" w16cid:durableId="1391803160">
    <w:abstractNumId w:val="6"/>
  </w:num>
  <w:num w:numId="3" w16cid:durableId="439645614">
    <w:abstractNumId w:val="19"/>
  </w:num>
  <w:num w:numId="4" w16cid:durableId="53890324">
    <w:abstractNumId w:val="10"/>
  </w:num>
  <w:num w:numId="5" w16cid:durableId="1003506943">
    <w:abstractNumId w:val="9"/>
  </w:num>
  <w:num w:numId="6" w16cid:durableId="2058624179">
    <w:abstractNumId w:val="12"/>
  </w:num>
  <w:num w:numId="7" w16cid:durableId="1261377709">
    <w:abstractNumId w:val="24"/>
  </w:num>
  <w:num w:numId="8" w16cid:durableId="1646550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4533808">
    <w:abstractNumId w:val="35"/>
  </w:num>
  <w:num w:numId="10" w16cid:durableId="986009057">
    <w:abstractNumId w:val="37"/>
  </w:num>
  <w:num w:numId="11" w16cid:durableId="1092507378">
    <w:abstractNumId w:val="1"/>
  </w:num>
  <w:num w:numId="12" w16cid:durableId="723990101">
    <w:abstractNumId w:val="5"/>
  </w:num>
  <w:num w:numId="13" w16cid:durableId="873663747">
    <w:abstractNumId w:val="8"/>
  </w:num>
  <w:num w:numId="14" w16cid:durableId="422410753">
    <w:abstractNumId w:val="33"/>
  </w:num>
  <w:num w:numId="15" w16cid:durableId="426582089">
    <w:abstractNumId w:val="30"/>
  </w:num>
  <w:num w:numId="16" w16cid:durableId="1338072441">
    <w:abstractNumId w:val="22"/>
  </w:num>
  <w:num w:numId="17" w16cid:durableId="243927517">
    <w:abstractNumId w:val="39"/>
  </w:num>
  <w:num w:numId="18" w16cid:durableId="1836845709">
    <w:abstractNumId w:val="25"/>
  </w:num>
  <w:num w:numId="19" w16cid:durableId="186871398">
    <w:abstractNumId w:val="3"/>
  </w:num>
  <w:num w:numId="20" w16cid:durableId="579143960">
    <w:abstractNumId w:val="21"/>
  </w:num>
  <w:num w:numId="21" w16cid:durableId="571281785">
    <w:abstractNumId w:val="31"/>
  </w:num>
  <w:num w:numId="22" w16cid:durableId="42482222">
    <w:abstractNumId w:val="28"/>
  </w:num>
  <w:num w:numId="23" w16cid:durableId="1897159153">
    <w:abstractNumId w:val="36"/>
  </w:num>
  <w:num w:numId="24" w16cid:durableId="1839883322">
    <w:abstractNumId w:val="4"/>
  </w:num>
  <w:num w:numId="25" w16cid:durableId="402993987">
    <w:abstractNumId w:val="2"/>
  </w:num>
  <w:num w:numId="26" w16cid:durableId="2065330250">
    <w:abstractNumId w:val="18"/>
  </w:num>
  <w:num w:numId="27" w16cid:durableId="2095545403">
    <w:abstractNumId w:val="16"/>
  </w:num>
  <w:num w:numId="28" w16cid:durableId="4939231">
    <w:abstractNumId w:val="27"/>
  </w:num>
  <w:num w:numId="29" w16cid:durableId="113716807">
    <w:abstractNumId w:val="38"/>
  </w:num>
  <w:num w:numId="30" w16cid:durableId="1403257044">
    <w:abstractNumId w:val="44"/>
  </w:num>
  <w:num w:numId="31" w16cid:durableId="860437989">
    <w:abstractNumId w:val="32"/>
  </w:num>
  <w:num w:numId="32" w16cid:durableId="140512287">
    <w:abstractNumId w:val="7"/>
  </w:num>
  <w:num w:numId="33" w16cid:durableId="1969823080">
    <w:abstractNumId w:val="41"/>
  </w:num>
  <w:num w:numId="34" w16cid:durableId="1478720984">
    <w:abstractNumId w:val="20"/>
  </w:num>
  <w:num w:numId="35" w16cid:durableId="2082631474">
    <w:abstractNumId w:val="17"/>
  </w:num>
  <w:num w:numId="36" w16cid:durableId="220135911">
    <w:abstractNumId w:val="43"/>
  </w:num>
  <w:num w:numId="37" w16cid:durableId="735593311">
    <w:abstractNumId w:val="40"/>
  </w:num>
  <w:num w:numId="38" w16cid:durableId="86925069">
    <w:abstractNumId w:val="26"/>
  </w:num>
  <w:num w:numId="39" w16cid:durableId="1771776445">
    <w:abstractNumId w:val="0"/>
  </w:num>
  <w:num w:numId="40" w16cid:durableId="356152965">
    <w:abstractNumId w:val="34"/>
  </w:num>
  <w:num w:numId="41" w16cid:durableId="1902206242">
    <w:abstractNumId w:val="11"/>
  </w:num>
  <w:num w:numId="42" w16cid:durableId="2034531858">
    <w:abstractNumId w:val="29"/>
  </w:num>
  <w:num w:numId="43" w16cid:durableId="589432198">
    <w:abstractNumId w:val="13"/>
  </w:num>
  <w:num w:numId="44" w16cid:durableId="1699235929">
    <w:abstractNumId w:val="15"/>
  </w:num>
  <w:num w:numId="45" w16cid:durableId="1726446714">
    <w:abstractNumId w:val="14"/>
  </w:num>
  <w:num w:numId="46" w16cid:durableId="93968075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3A"/>
    <w:rsid w:val="00023025"/>
    <w:rsid w:val="0002350A"/>
    <w:rsid w:val="00023994"/>
    <w:rsid w:val="000270C8"/>
    <w:rsid w:val="000F3435"/>
    <w:rsid w:val="00112183"/>
    <w:rsid w:val="00175C0B"/>
    <w:rsid w:val="001A3C2A"/>
    <w:rsid w:val="001B35CD"/>
    <w:rsid w:val="001D24F3"/>
    <w:rsid w:val="001E0D2C"/>
    <w:rsid w:val="002F1DA9"/>
    <w:rsid w:val="003224A5"/>
    <w:rsid w:val="0035407A"/>
    <w:rsid w:val="003C7144"/>
    <w:rsid w:val="003D6B88"/>
    <w:rsid w:val="00416B27"/>
    <w:rsid w:val="004371B0"/>
    <w:rsid w:val="004726F7"/>
    <w:rsid w:val="00484768"/>
    <w:rsid w:val="004B6C38"/>
    <w:rsid w:val="005653A0"/>
    <w:rsid w:val="00570D1D"/>
    <w:rsid w:val="00584247"/>
    <w:rsid w:val="005A210D"/>
    <w:rsid w:val="005B593B"/>
    <w:rsid w:val="00606E3D"/>
    <w:rsid w:val="00645881"/>
    <w:rsid w:val="0066280A"/>
    <w:rsid w:val="00695704"/>
    <w:rsid w:val="006C2432"/>
    <w:rsid w:val="006D51AE"/>
    <w:rsid w:val="00715ED6"/>
    <w:rsid w:val="00731137"/>
    <w:rsid w:val="0073629D"/>
    <w:rsid w:val="00760930"/>
    <w:rsid w:val="00772C0D"/>
    <w:rsid w:val="007A71F3"/>
    <w:rsid w:val="007C2822"/>
    <w:rsid w:val="007E6BF2"/>
    <w:rsid w:val="007F3104"/>
    <w:rsid w:val="00810033"/>
    <w:rsid w:val="00892DE6"/>
    <w:rsid w:val="008E32A2"/>
    <w:rsid w:val="00911D5A"/>
    <w:rsid w:val="00925309"/>
    <w:rsid w:val="00940D44"/>
    <w:rsid w:val="00A26E85"/>
    <w:rsid w:val="00A37A27"/>
    <w:rsid w:val="00A45D1C"/>
    <w:rsid w:val="00A676AB"/>
    <w:rsid w:val="00A73A86"/>
    <w:rsid w:val="00A77F5E"/>
    <w:rsid w:val="00AA099F"/>
    <w:rsid w:val="00AB6931"/>
    <w:rsid w:val="00BA28C1"/>
    <w:rsid w:val="00C578D2"/>
    <w:rsid w:val="00C646F2"/>
    <w:rsid w:val="00C91D36"/>
    <w:rsid w:val="00CA1EC4"/>
    <w:rsid w:val="00CA35D0"/>
    <w:rsid w:val="00D1673A"/>
    <w:rsid w:val="00D20CF6"/>
    <w:rsid w:val="00D35D15"/>
    <w:rsid w:val="00D668CA"/>
    <w:rsid w:val="00EF5335"/>
    <w:rsid w:val="00EF7D08"/>
    <w:rsid w:val="00F07CEC"/>
    <w:rsid w:val="00F34C19"/>
    <w:rsid w:val="00F37D62"/>
    <w:rsid w:val="00F43F90"/>
    <w:rsid w:val="00F64222"/>
    <w:rsid w:val="00FE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F9EC1"/>
  <w15:chartTrackingRefBased/>
  <w15:docId w15:val="{71420C36-7367-41E0-BC8B-1449C00AA5F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7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A45D1C"/>
    <w:pPr>
      <w:keepNext/>
      <w:keepLines/>
      <w:numPr>
        <w:numId w:val="45"/>
      </w:numPr>
      <w:spacing w:before="120" w:after="120"/>
      <w:outlineLvl w:val="0"/>
    </w:pPr>
    <w:rPr>
      <w:rFonts w:eastAsiaTheme="majorEastAsia" w:cstheme="majorBidi"/>
      <w:b/>
      <w:sz w:val="26"/>
      <w:szCs w:val="26"/>
    </w:rPr>
  </w:style>
  <w:style w:type="paragraph" w:styleId="Heading2">
    <w:name w:val="heading 2"/>
    <w:basedOn w:val="Normal"/>
    <w:link w:val="Heading2Char"/>
    <w:autoRedefine/>
    <w:uiPriority w:val="9"/>
    <w:qFormat/>
    <w:rsid w:val="00A45D1C"/>
    <w:pPr>
      <w:numPr>
        <w:ilvl w:val="1"/>
        <w:numId w:val="45"/>
      </w:numPr>
      <w:spacing w:before="120" w:after="120"/>
      <w:outlineLvl w:val="1"/>
    </w:pPr>
    <w:rPr>
      <w:b/>
      <w:bCs/>
      <w:sz w:val="26"/>
      <w:szCs w:val="36"/>
    </w:rPr>
  </w:style>
  <w:style w:type="paragraph" w:styleId="Heading3">
    <w:name w:val="heading 3"/>
    <w:basedOn w:val="Normal"/>
    <w:next w:val="Normal"/>
    <w:link w:val="Heading3Char"/>
    <w:autoRedefine/>
    <w:uiPriority w:val="9"/>
    <w:unhideWhenUsed/>
    <w:qFormat/>
    <w:rsid w:val="00A45D1C"/>
    <w:pPr>
      <w:keepNext/>
      <w:keepLines/>
      <w:numPr>
        <w:ilvl w:val="2"/>
        <w:numId w:val="45"/>
      </w:numPr>
      <w:spacing w:before="120" w:after="120"/>
      <w:outlineLvl w:val="2"/>
    </w:pPr>
    <w:rPr>
      <w:rFonts w:eastAsiaTheme="majorEastAsia" w:cstheme="majorBidi"/>
      <w:b/>
      <w:sz w:val="26"/>
      <w:szCs w:val="26"/>
    </w:rPr>
  </w:style>
  <w:style w:type="paragraph" w:styleId="Heading4">
    <w:name w:val="heading 4"/>
    <w:basedOn w:val="Normal"/>
    <w:next w:val="Normal"/>
    <w:link w:val="Heading4Char"/>
    <w:uiPriority w:val="9"/>
    <w:semiHidden/>
    <w:unhideWhenUsed/>
    <w:qFormat/>
    <w:rsid w:val="00A45D1C"/>
    <w:pPr>
      <w:keepNext/>
      <w:keepLines/>
      <w:numPr>
        <w:ilvl w:val="3"/>
        <w:numId w:val="4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5D1C"/>
    <w:pPr>
      <w:keepNext/>
      <w:keepLines/>
      <w:numPr>
        <w:ilvl w:val="4"/>
        <w:numId w:val="4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5D1C"/>
    <w:pPr>
      <w:keepNext/>
      <w:keepLines/>
      <w:numPr>
        <w:ilvl w:val="5"/>
        <w:numId w:val="4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5D1C"/>
    <w:pPr>
      <w:keepNext/>
      <w:keepLines/>
      <w:numPr>
        <w:ilvl w:val="6"/>
        <w:numId w:val="4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45D1C"/>
    <w:pPr>
      <w:keepNext/>
      <w:keepLines/>
      <w:numPr>
        <w:ilvl w:val="7"/>
        <w:numId w:val="4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D1C"/>
    <w:pPr>
      <w:keepNext/>
      <w:keepLines/>
      <w:numPr>
        <w:ilvl w:val="8"/>
        <w:numId w:val="4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D1C"/>
    <w:rPr>
      <w:rFonts w:ascii="Times New Roman" w:eastAsia="Times New Roman" w:hAnsi="Times New Roman" w:cs="Times New Roman"/>
      <w:b/>
      <w:bCs/>
      <w:sz w:val="26"/>
      <w:szCs w:val="36"/>
    </w:rPr>
  </w:style>
  <w:style w:type="paragraph" w:styleId="FootnoteText">
    <w:name w:val="footnote text"/>
    <w:basedOn w:val="Normal"/>
    <w:link w:val="FootnoteTextChar"/>
    <w:semiHidden/>
    <w:rsid w:val="00D1673A"/>
    <w:pPr>
      <w:widowControl w:val="0"/>
      <w:ind w:right="-720"/>
    </w:pPr>
  </w:style>
  <w:style w:type="character" w:customStyle="1" w:styleId="FootnoteTextChar">
    <w:name w:val="Footnote Text Char"/>
    <w:basedOn w:val="DefaultParagraphFont"/>
    <w:link w:val="FootnoteText"/>
    <w:semiHidden/>
    <w:rsid w:val="00D1673A"/>
    <w:rPr>
      <w:rFonts w:ascii="Times New Roman" w:eastAsia="Times New Roman" w:hAnsi="Times New Roman" w:cs="Times New Roman"/>
      <w:sz w:val="20"/>
      <w:szCs w:val="20"/>
    </w:rPr>
  </w:style>
  <w:style w:type="character" w:styleId="FootnoteReference">
    <w:name w:val="footnote reference"/>
    <w:aliases w:val="o"/>
    <w:rsid w:val="00D1673A"/>
    <w:rPr>
      <w:vertAlign w:val="superscript"/>
    </w:rPr>
  </w:style>
  <w:style w:type="paragraph" w:styleId="TOC1">
    <w:name w:val="toc 1"/>
    <w:basedOn w:val="Normal"/>
    <w:next w:val="Normal"/>
    <w:semiHidden/>
    <w:rsid w:val="00D1673A"/>
    <w:pPr>
      <w:keepNext/>
      <w:tabs>
        <w:tab w:val="right" w:leader="dot" w:pos="8640"/>
      </w:tabs>
      <w:suppressAutoHyphens/>
      <w:spacing w:before="120" w:after="120"/>
      <w:ind w:left="245" w:right="1440" w:hanging="245"/>
    </w:pPr>
    <w:rPr>
      <w:b/>
      <w:caps/>
      <w:noProof/>
      <w:sz w:val="26"/>
      <w:u w:val="single"/>
    </w:rPr>
  </w:style>
  <w:style w:type="character" w:styleId="LineNumber">
    <w:name w:val="line number"/>
    <w:rsid w:val="00D1673A"/>
    <w:rPr>
      <w:sz w:val="26"/>
    </w:rPr>
  </w:style>
  <w:style w:type="paragraph" w:customStyle="1" w:styleId="Quotation">
    <w:name w:val="Quotation"/>
    <w:basedOn w:val="Normal"/>
    <w:next w:val="Normal"/>
    <w:rsid w:val="00D1673A"/>
    <w:pPr>
      <w:spacing w:after="120"/>
      <w:ind w:left="1440" w:right="1440"/>
    </w:pPr>
    <w:rPr>
      <w:sz w:val="26"/>
    </w:rPr>
  </w:style>
  <w:style w:type="paragraph" w:styleId="BodyText">
    <w:name w:val="Body Text"/>
    <w:basedOn w:val="Normal"/>
    <w:link w:val="BodyTextChar"/>
    <w:rsid w:val="00D1673A"/>
    <w:pPr>
      <w:spacing w:after="480"/>
    </w:pPr>
    <w:rPr>
      <w:sz w:val="26"/>
    </w:rPr>
  </w:style>
  <w:style w:type="character" w:customStyle="1" w:styleId="BodyTextChar">
    <w:name w:val="Body Text Char"/>
    <w:basedOn w:val="DefaultParagraphFont"/>
    <w:link w:val="BodyText"/>
    <w:rsid w:val="00D1673A"/>
    <w:rPr>
      <w:rFonts w:ascii="Times New Roman" w:eastAsia="Times New Roman" w:hAnsi="Times New Roman" w:cs="Times New Roman"/>
      <w:sz w:val="26"/>
      <w:szCs w:val="20"/>
    </w:rPr>
  </w:style>
  <w:style w:type="paragraph" w:styleId="Title">
    <w:name w:val="Title"/>
    <w:basedOn w:val="Normal"/>
    <w:link w:val="TitleChar"/>
    <w:qFormat/>
    <w:rsid w:val="00D1673A"/>
    <w:pPr>
      <w:spacing w:before="240" w:after="60"/>
      <w:jc w:val="center"/>
    </w:pPr>
    <w:rPr>
      <w:b/>
      <w:kern w:val="28"/>
      <w:sz w:val="28"/>
    </w:rPr>
  </w:style>
  <w:style w:type="character" w:customStyle="1" w:styleId="TitleChar">
    <w:name w:val="Title Char"/>
    <w:basedOn w:val="DefaultParagraphFont"/>
    <w:link w:val="Title"/>
    <w:rsid w:val="00D1673A"/>
    <w:rPr>
      <w:rFonts w:ascii="Times New Roman" w:eastAsia="Times New Roman" w:hAnsi="Times New Roman" w:cs="Times New Roman"/>
      <w:b/>
      <w:kern w:val="28"/>
      <w:sz w:val="28"/>
      <w:szCs w:val="20"/>
    </w:rPr>
  </w:style>
  <w:style w:type="paragraph" w:styleId="Date">
    <w:name w:val="Date"/>
    <w:basedOn w:val="Normal"/>
    <w:link w:val="DateChar"/>
    <w:rsid w:val="00D1673A"/>
    <w:pPr>
      <w:jc w:val="right"/>
    </w:pPr>
    <w:rPr>
      <w:sz w:val="26"/>
    </w:rPr>
  </w:style>
  <w:style w:type="character" w:customStyle="1" w:styleId="DateChar">
    <w:name w:val="Date Char"/>
    <w:basedOn w:val="DefaultParagraphFont"/>
    <w:link w:val="Date"/>
    <w:rsid w:val="00D1673A"/>
    <w:rPr>
      <w:rFonts w:ascii="Times New Roman" w:eastAsia="Times New Roman" w:hAnsi="Times New Roman" w:cs="Times New Roman"/>
      <w:sz w:val="26"/>
      <w:szCs w:val="20"/>
    </w:rPr>
  </w:style>
  <w:style w:type="paragraph" w:customStyle="1" w:styleId="BodyText1Noindent">
    <w:name w:val="Body Text 1 (No indent)"/>
    <w:basedOn w:val="Normal"/>
    <w:rsid w:val="00D1673A"/>
    <w:rPr>
      <w:sz w:val="26"/>
    </w:rPr>
  </w:style>
  <w:style w:type="paragraph" w:styleId="BodyText3">
    <w:name w:val="Body Text 3"/>
    <w:basedOn w:val="Normal"/>
    <w:link w:val="BodyText3Char"/>
    <w:rsid w:val="00D1673A"/>
    <w:pPr>
      <w:spacing w:after="120"/>
    </w:pPr>
    <w:rPr>
      <w:sz w:val="16"/>
      <w:szCs w:val="16"/>
    </w:rPr>
  </w:style>
  <w:style w:type="character" w:customStyle="1" w:styleId="BodyText3Char">
    <w:name w:val="Body Text 3 Char"/>
    <w:basedOn w:val="DefaultParagraphFont"/>
    <w:link w:val="BodyText3"/>
    <w:rsid w:val="00D1673A"/>
    <w:rPr>
      <w:rFonts w:ascii="Times New Roman" w:eastAsia="Times New Roman" w:hAnsi="Times New Roman" w:cs="Times New Roman"/>
      <w:sz w:val="16"/>
      <w:szCs w:val="16"/>
    </w:rPr>
  </w:style>
  <w:style w:type="paragraph" w:styleId="Header">
    <w:name w:val="header"/>
    <w:basedOn w:val="Normal"/>
    <w:link w:val="HeaderChar"/>
    <w:rsid w:val="00D1673A"/>
    <w:pPr>
      <w:tabs>
        <w:tab w:val="center" w:pos="4320"/>
        <w:tab w:val="right" w:pos="8640"/>
      </w:tabs>
    </w:pPr>
  </w:style>
  <w:style w:type="character" w:customStyle="1" w:styleId="HeaderChar">
    <w:name w:val="Header Char"/>
    <w:basedOn w:val="DefaultParagraphFont"/>
    <w:link w:val="Header"/>
    <w:rsid w:val="00D1673A"/>
    <w:rPr>
      <w:rFonts w:ascii="Times New Roman" w:eastAsia="Times New Roman" w:hAnsi="Times New Roman" w:cs="Times New Roman"/>
      <w:sz w:val="20"/>
      <w:szCs w:val="20"/>
    </w:rPr>
  </w:style>
  <w:style w:type="paragraph" w:styleId="Footer">
    <w:name w:val="footer"/>
    <w:basedOn w:val="Normal"/>
    <w:link w:val="FooterChar"/>
    <w:uiPriority w:val="99"/>
    <w:rsid w:val="00D1673A"/>
    <w:pPr>
      <w:tabs>
        <w:tab w:val="center" w:pos="4320"/>
        <w:tab w:val="right" w:pos="8640"/>
      </w:tabs>
    </w:pPr>
  </w:style>
  <w:style w:type="character" w:customStyle="1" w:styleId="FooterChar">
    <w:name w:val="Footer Char"/>
    <w:basedOn w:val="DefaultParagraphFont"/>
    <w:link w:val="Footer"/>
    <w:uiPriority w:val="99"/>
    <w:rsid w:val="00D1673A"/>
    <w:rPr>
      <w:rFonts w:ascii="Times New Roman" w:eastAsia="Times New Roman" w:hAnsi="Times New Roman" w:cs="Times New Roman"/>
      <w:sz w:val="20"/>
      <w:szCs w:val="20"/>
    </w:rPr>
  </w:style>
  <w:style w:type="character" w:styleId="PageNumber">
    <w:name w:val="page number"/>
    <w:basedOn w:val="DefaultParagraphFont"/>
    <w:rsid w:val="00D1673A"/>
  </w:style>
  <w:style w:type="table" w:styleId="TableGrid">
    <w:name w:val="Table Grid"/>
    <w:basedOn w:val="TableNormal"/>
    <w:uiPriority w:val="59"/>
    <w:rsid w:val="00D16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73A"/>
    <w:rPr>
      <w:color w:val="0563C1" w:themeColor="hyperlink"/>
      <w:u w:val="single"/>
    </w:rPr>
  </w:style>
  <w:style w:type="paragraph" w:styleId="ListParagraph">
    <w:name w:val="List Paragraph"/>
    <w:basedOn w:val="Normal"/>
    <w:uiPriority w:val="34"/>
    <w:qFormat/>
    <w:rsid w:val="00D1673A"/>
    <w:pPr>
      <w:ind w:left="720"/>
      <w:contextualSpacing/>
    </w:pPr>
  </w:style>
  <w:style w:type="paragraph" w:styleId="NormalWeb">
    <w:name w:val="Normal (Web)"/>
    <w:basedOn w:val="Normal"/>
    <w:uiPriority w:val="99"/>
    <w:unhideWhenUsed/>
    <w:rsid w:val="00D1673A"/>
    <w:pPr>
      <w:spacing w:before="100" w:beforeAutospacing="1" w:after="100" w:afterAutospacing="1"/>
    </w:pPr>
    <w:rPr>
      <w:sz w:val="24"/>
      <w:szCs w:val="24"/>
    </w:rPr>
  </w:style>
  <w:style w:type="paragraph" w:styleId="Revision">
    <w:name w:val="Revision"/>
    <w:hidden/>
    <w:uiPriority w:val="99"/>
    <w:semiHidden/>
    <w:rsid w:val="00D1673A"/>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1673A"/>
    <w:rPr>
      <w:sz w:val="16"/>
      <w:szCs w:val="16"/>
    </w:rPr>
  </w:style>
  <w:style w:type="paragraph" w:styleId="CommentText">
    <w:name w:val="annotation text"/>
    <w:basedOn w:val="Normal"/>
    <w:link w:val="CommentTextChar"/>
    <w:uiPriority w:val="99"/>
    <w:unhideWhenUsed/>
    <w:rsid w:val="00D1673A"/>
  </w:style>
  <w:style w:type="character" w:customStyle="1" w:styleId="CommentTextChar">
    <w:name w:val="Comment Text Char"/>
    <w:basedOn w:val="DefaultParagraphFont"/>
    <w:link w:val="CommentText"/>
    <w:uiPriority w:val="99"/>
    <w:rsid w:val="00D167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673A"/>
    <w:rPr>
      <w:b/>
      <w:bCs/>
    </w:rPr>
  </w:style>
  <w:style w:type="character" w:customStyle="1" w:styleId="CommentSubjectChar">
    <w:name w:val="Comment Subject Char"/>
    <w:basedOn w:val="CommentTextChar"/>
    <w:link w:val="CommentSubject"/>
    <w:uiPriority w:val="99"/>
    <w:semiHidden/>
    <w:rsid w:val="00D1673A"/>
    <w:rPr>
      <w:rFonts w:ascii="Times New Roman" w:eastAsia="Times New Roman" w:hAnsi="Times New Roman" w:cs="Times New Roman"/>
      <w:b/>
      <w:bCs/>
      <w:sz w:val="20"/>
      <w:szCs w:val="20"/>
    </w:rPr>
  </w:style>
  <w:style w:type="paragraph" w:customStyle="1" w:styleId="Default">
    <w:name w:val="Default"/>
    <w:rsid w:val="00D1673A"/>
    <w:pPr>
      <w:autoSpaceDE w:val="0"/>
      <w:autoSpaceDN w:val="0"/>
      <w:adjustRightInd w:val="0"/>
      <w:spacing w:after="0" w:line="240" w:lineRule="auto"/>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D1673A"/>
    <w:rPr>
      <w:color w:val="605E5C"/>
      <w:shd w:val="clear" w:color="auto" w:fill="E1DFDD"/>
    </w:rPr>
  </w:style>
  <w:style w:type="character" w:styleId="Strong">
    <w:name w:val="Strong"/>
    <w:basedOn w:val="DefaultParagraphFont"/>
    <w:uiPriority w:val="22"/>
    <w:qFormat/>
    <w:rsid w:val="00D1673A"/>
    <w:rPr>
      <w:b/>
      <w:bCs/>
    </w:rPr>
  </w:style>
  <w:style w:type="paragraph" w:styleId="HTMLPreformatted">
    <w:name w:val="HTML Preformatted"/>
    <w:basedOn w:val="Normal"/>
    <w:link w:val="HTMLPreformattedChar"/>
    <w:uiPriority w:val="99"/>
    <w:unhideWhenUsed/>
    <w:rsid w:val="00D1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1673A"/>
    <w:rPr>
      <w:rFonts w:ascii="Courier New" w:eastAsia="Times New Roman" w:hAnsi="Courier New" w:cs="Courier New"/>
      <w:sz w:val="20"/>
      <w:szCs w:val="20"/>
    </w:rPr>
  </w:style>
  <w:style w:type="character" w:customStyle="1" w:styleId="cite">
    <w:name w:val="cite"/>
    <w:basedOn w:val="DefaultParagraphFont"/>
    <w:rsid w:val="00D1673A"/>
  </w:style>
  <w:style w:type="character" w:customStyle="1" w:styleId="mw-headline">
    <w:name w:val="mw-headline"/>
    <w:basedOn w:val="DefaultParagraphFont"/>
    <w:rsid w:val="00D1673A"/>
  </w:style>
  <w:style w:type="character" w:customStyle="1" w:styleId="Heading1Char">
    <w:name w:val="Heading 1 Char"/>
    <w:basedOn w:val="DefaultParagraphFont"/>
    <w:link w:val="Heading1"/>
    <w:uiPriority w:val="9"/>
    <w:rsid w:val="00A45D1C"/>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45D1C"/>
    <w:rPr>
      <w:rFonts w:ascii="Times New Roman" w:eastAsiaTheme="majorEastAsia" w:hAnsi="Times New Roman" w:cstheme="majorBidi"/>
      <w:b/>
      <w:sz w:val="26"/>
      <w:szCs w:val="26"/>
    </w:rPr>
  </w:style>
  <w:style w:type="character" w:customStyle="1" w:styleId="Heading4Char">
    <w:name w:val="Heading 4 Char"/>
    <w:basedOn w:val="DefaultParagraphFont"/>
    <w:link w:val="Heading4"/>
    <w:uiPriority w:val="9"/>
    <w:semiHidden/>
    <w:rsid w:val="00A45D1C"/>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A45D1C"/>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A45D1C"/>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A45D1C"/>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A45D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D1C"/>
    <w:rPr>
      <w:rFonts w:asciiTheme="majorHAnsi" w:eastAsiaTheme="majorEastAsia" w:hAnsiTheme="majorHAnsi" w:cstheme="majorBidi"/>
      <w:i/>
      <w:iCs/>
      <w:color w:val="272727" w:themeColor="text1" w:themeTint="D8"/>
      <w:sz w:val="21"/>
      <w:szCs w:val="21"/>
    </w:rPr>
  </w:style>
  <w:style w:type="paragraph" w:customStyle="1" w:styleId="Standard">
    <w:name w:val="Standard"/>
    <w:basedOn w:val="Normal"/>
    <w:link w:val="StandardChar"/>
    <w:qFormat/>
    <w:rsid w:val="00695704"/>
    <w:pPr>
      <w:spacing w:after="240"/>
    </w:pPr>
    <w:rPr>
      <w:rFonts w:ascii="Book Antiqua" w:eastAsiaTheme="minorHAnsi" w:hAnsi="Book Antiqua" w:cstheme="minorBidi"/>
      <w:sz w:val="26"/>
      <w:szCs w:val="22"/>
    </w:rPr>
  </w:style>
  <w:style w:type="character" w:customStyle="1" w:styleId="StandardChar">
    <w:name w:val="Standard Char"/>
    <w:basedOn w:val="DefaultParagraphFont"/>
    <w:link w:val="Standard"/>
    <w:rsid w:val="00695704"/>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1.next.westlaw.com/Link/Document/FullText?findType=L&amp;pubNum=1000203&amp;cite=CACNART1S3&amp;originatingDoc=I401aa0d0a11a11eabb91c2e2bc8b49a5&amp;refType=LQ&amp;originationContext=document&amp;transitionType=DocumentItem&amp;ppcid=317ee9bed8064aad8b0042eb8c190410&amp;contextData=(sc.Search)" TargetMode="External"/><Relationship Id="rId2" Type="http://schemas.openxmlformats.org/officeDocument/2006/relationships/hyperlink" Target="https://1.next.westlaw.com/Link/Document/FullText?findType=L&amp;pubNum=1000211&amp;cite=CAGTS6250&amp;originatingDoc=I401aa0d0a11a11eabb91c2e2bc8b49a5&amp;refType=LQ&amp;originationContext=document&amp;transitionType=DocumentItem&amp;ppcid=317ee9bed8064aad8b0042eb8c190410&amp;contextData=(sc.Search)" TargetMode="External"/><Relationship Id="rId1" Type="http://schemas.openxmlformats.org/officeDocument/2006/relationships/hyperlink" Target="https://1.next.westlaw.com/Link/Document/FullText?findType=Y&amp;serNum=2040679491&amp;pubNum=0007052&amp;originatingDoc=I401aa0d0a11a11eabb91c2e2bc8b49a5&amp;refType=RP&amp;fi=co_pp_sp_7052_290&amp;originationContext=document&amp;transitionType=DocumentItem&amp;ppcid=317ee9bed8064aad8b0042eb8c190410&amp;contextData=(sc.Search)" TargetMode="External"/><Relationship Id="rId4" Type="http://schemas.openxmlformats.org/officeDocument/2006/relationships/hyperlink" Target="https://1.next.westlaw.com/Link/Document/FullText?findType=Y&amp;serNum=2040679491&amp;pubNum=0004645&amp;originatingDoc=I401aa0d0a11a11eabb91c2e2bc8b49a5&amp;refType=RP&amp;fi=co_pp_sp_4645_290&amp;originationContext=document&amp;transitionType=DocumentItem&amp;ppcid=317ee9bed8064aad8b0042eb8c190410&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0550-4CAB-455F-A6EF-1E986E093D3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3456</ap:Words>
  <ap:Characters>19705</ap:Characters>
  <ap:Application>Microsoft Office Word</ap:Application>
  <ap:DocSecurity>0</ap:DocSecurity>
  <ap:Lines>164</ap:Lines>
  <ap:Paragraphs>46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23115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2023-02-03T09:58:17Z</dcterms:created>
  <dcterms:modified xsi:type="dcterms:W3CDTF">2023-02-03T09:58:17Z</dcterms:modified>
</cp:coreProperties>
</file>