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4C25" w:rsidR="00B24AD7" w:rsidP="00AB4C25" w:rsidRDefault="007D6520" w14:paraId="7EC64AF9" w14:textId="22FAEBD0">
      <w:pPr>
        <w:tabs>
          <w:tab w:val="center" w:pos="4680"/>
          <w:tab w:val="right" w:pos="9360"/>
        </w:tabs>
        <w:spacing w:line="240" w:lineRule="auto"/>
        <w:ind w:firstLine="0"/>
      </w:pPr>
      <w:bookmarkStart w:name="_Toc65585448" w:id="0"/>
      <w:bookmarkStart w:name="_Toc82791117" w:id="1"/>
      <w:bookmarkStart w:name="_Toc122624418" w:id="2"/>
      <w:r>
        <w:t>COM/GSH/mef</w:t>
      </w:r>
      <w:r w:rsidR="00AB4C25">
        <w:tab/>
      </w:r>
      <w:r w:rsidR="00AB4C25">
        <w:tab/>
      </w:r>
      <w:r w:rsidRPr="00AB4C25" w:rsidR="00AB4C25">
        <w:rPr>
          <w:b/>
          <w:bCs/>
        </w:rPr>
        <w:t>Date of Issuance:  2/27/2023</w:t>
      </w:r>
    </w:p>
    <w:p w:rsidR="007D6520" w:rsidP="00AB4C25" w:rsidRDefault="007D6520" w14:paraId="35AE354B" w14:textId="0F35508D">
      <w:pPr>
        <w:spacing w:line="240" w:lineRule="auto"/>
        <w:ind w:firstLine="0"/>
      </w:pPr>
    </w:p>
    <w:p w:rsidR="00AB4C25" w:rsidP="00AB4C25" w:rsidRDefault="00AB4C25" w14:paraId="0B5FD75D" w14:textId="77777777">
      <w:pPr>
        <w:spacing w:line="240" w:lineRule="auto"/>
        <w:ind w:firstLine="0"/>
      </w:pPr>
    </w:p>
    <w:p w:rsidR="007D6520" w:rsidP="007D6520" w:rsidRDefault="007D6520" w14:paraId="773F3B89" w14:textId="188B74A3">
      <w:pPr>
        <w:spacing w:line="240" w:lineRule="auto"/>
        <w:ind w:left="1080" w:hanging="1080"/>
      </w:pPr>
      <w:r>
        <w:t xml:space="preserve">Decision </w:t>
      </w:r>
      <w:r w:rsidRPr="00AB4C25" w:rsidR="00AB4C25">
        <w:t>23-02-</w:t>
      </w:r>
      <w:proofErr w:type="gramStart"/>
      <w:r w:rsidRPr="00AB4C25" w:rsidR="00AB4C25">
        <w:t>024</w:t>
      </w:r>
      <w:r w:rsidR="00AB4C25">
        <w:t xml:space="preserve">  February</w:t>
      </w:r>
      <w:proofErr w:type="gramEnd"/>
      <w:r w:rsidR="00AB4C25">
        <w:t xml:space="preserve"> 23, 2023</w:t>
      </w:r>
    </w:p>
    <w:p w:rsidRPr="004924E2" w:rsidR="007D6520" w:rsidP="007D6520" w:rsidRDefault="007D6520" w14:paraId="4FDBE6F0" w14:textId="77777777">
      <w:pPr>
        <w:spacing w:line="240" w:lineRule="auto"/>
        <w:jc w:val="center"/>
      </w:pPr>
    </w:p>
    <w:p w:rsidR="007D6520" w:rsidP="007D6520" w:rsidRDefault="007D6520" w14:paraId="42375BE1"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Pr="004924E2" w:rsidR="007D6520" w:rsidP="007D6520" w:rsidRDefault="007D6520" w14:paraId="60CCA6A5" w14:textId="77777777">
      <w:pPr>
        <w:spacing w:line="240" w:lineRule="auto"/>
        <w:ind w:firstLine="0"/>
        <w:rPr>
          <w:rFonts w:cs="Arial"/>
          <w:szCs w:val="26"/>
        </w:rPr>
      </w:pPr>
    </w:p>
    <w:tbl>
      <w:tblPr>
        <w:tblStyle w:val="TableGrid"/>
        <w:tblW w:w="0" w:type="auto"/>
        <w:tblLook w:val="04A0" w:firstRow="1" w:lastRow="0" w:firstColumn="1" w:lastColumn="0" w:noHBand="0" w:noVBand="1"/>
      </w:tblPr>
      <w:tblGrid>
        <w:gridCol w:w="4675"/>
        <w:gridCol w:w="4675"/>
      </w:tblGrid>
      <w:tr w:rsidR="007D6520" w:rsidTr="00E87C2D" w14:paraId="6CC15EEA" w14:textId="77777777">
        <w:tc>
          <w:tcPr>
            <w:tcW w:w="4675" w:type="dxa"/>
            <w:tcBorders>
              <w:top w:val="nil"/>
              <w:left w:val="nil"/>
              <w:bottom w:val="single" w:color="auto" w:sz="4" w:space="0"/>
              <w:right w:val="single" w:color="auto" w:sz="4" w:space="0"/>
            </w:tcBorders>
          </w:tcPr>
          <w:p w:rsidRPr="00CC44A5" w:rsidR="007D6520" w:rsidP="00E87C2D" w:rsidRDefault="007D6520" w14:paraId="2621F4F7" w14:textId="77777777">
            <w:pPr>
              <w:pStyle w:val="Body"/>
              <w:tabs>
                <w:tab w:val="left" w:pos="1440"/>
                <w:tab w:val="left" w:pos="3600"/>
              </w:tabs>
              <w:rPr>
                <w:rFonts w:ascii="Book Antiqua" w:hAnsi="Book Antiqua"/>
              </w:rPr>
            </w:pPr>
            <w:r w:rsidRPr="004924E2">
              <w:rPr>
                <w:rStyle w:val="displayonly"/>
                <w:rFonts w:ascii="Book Antiqua" w:hAnsi="Book Antiqua"/>
              </w:rPr>
              <w:t>Order Instituting Rulemaking to Implement Senate</w:t>
            </w:r>
            <w:r>
              <w:rPr>
                <w:rStyle w:val="displayonly"/>
                <w:rFonts w:ascii="Book Antiqua" w:hAnsi="Book Antiqua"/>
              </w:rPr>
              <w:t> </w:t>
            </w:r>
            <w:r w:rsidRPr="004924E2">
              <w:rPr>
                <w:rStyle w:val="displayonly"/>
                <w:rFonts w:ascii="Book Antiqua" w:hAnsi="Book Antiqua"/>
              </w:rPr>
              <w:t>Bill</w:t>
            </w:r>
            <w:r>
              <w:rPr>
                <w:rStyle w:val="displayonly"/>
                <w:rFonts w:ascii="Book Antiqua" w:hAnsi="Book Antiqua"/>
              </w:rPr>
              <w:t> </w:t>
            </w:r>
            <w:r w:rsidRPr="004924E2">
              <w:rPr>
                <w:rStyle w:val="displayonly"/>
                <w:rFonts w:ascii="Book Antiqua" w:hAnsi="Book Antiqua"/>
              </w:rPr>
              <w:t>1376 Requiring Transportation Network Companies to Provide Access for Persons with Disabilities, Including Wheelchair Users who need a Wheelchair Accessible Vehicle.</w:t>
            </w:r>
            <w:r>
              <w:rPr>
                <w:rStyle w:val="displayonly"/>
                <w:rFonts w:ascii="Book Antiqua" w:hAnsi="Book Antiqua"/>
              </w:rPr>
              <w:br/>
            </w:r>
          </w:p>
        </w:tc>
        <w:tc>
          <w:tcPr>
            <w:tcW w:w="4675" w:type="dxa"/>
            <w:tcBorders>
              <w:top w:val="nil"/>
              <w:left w:val="single" w:color="auto" w:sz="4" w:space="0"/>
              <w:bottom w:val="nil"/>
              <w:right w:val="nil"/>
            </w:tcBorders>
            <w:vAlign w:val="center"/>
          </w:tcPr>
          <w:p w:rsidRPr="00DA7B5D" w:rsidR="007D6520" w:rsidP="00E87C2D" w:rsidRDefault="007D6520" w14:paraId="7FBF6638" w14:textId="77777777">
            <w:pPr>
              <w:spacing w:line="240" w:lineRule="auto"/>
              <w:ind w:firstLine="0"/>
              <w:jc w:val="center"/>
              <w:rPr>
                <w:rFonts w:cs="Arial"/>
                <w:szCs w:val="26"/>
              </w:rPr>
            </w:pPr>
            <w:r w:rsidRPr="00C4517C">
              <w:t>Rulemaking 19-02-012</w:t>
            </w:r>
          </w:p>
        </w:tc>
      </w:tr>
    </w:tbl>
    <w:p w:rsidR="007D6520" w:rsidP="007D6520" w:rsidRDefault="007D6520" w14:paraId="5163187D" w14:textId="77777777">
      <w:pPr>
        <w:spacing w:line="240" w:lineRule="auto"/>
        <w:ind w:firstLine="0"/>
        <w:rPr>
          <w:rFonts w:ascii="Arial" w:hAnsi="Arial" w:cs="Arial"/>
          <w:sz w:val="24"/>
          <w:szCs w:val="24"/>
        </w:rPr>
      </w:pPr>
    </w:p>
    <w:p w:rsidR="0031210E" w:rsidP="007D6520" w:rsidRDefault="0031210E" w14:paraId="14FECDD4" w14:textId="77777777">
      <w:pPr>
        <w:pStyle w:val="Dummy"/>
        <w:jc w:val="center"/>
      </w:pPr>
      <w:bookmarkStart w:name="_Toc125016586" w:id="3"/>
    </w:p>
    <w:p w:rsidR="007D6520" w:rsidP="007D6520" w:rsidRDefault="007D6520" w14:paraId="50C7635D" w14:textId="6B4A1B1B">
      <w:pPr>
        <w:pStyle w:val="Dummy"/>
        <w:jc w:val="center"/>
        <w:rPr>
          <w:rFonts w:ascii="Helvetica" w:hAnsi="Helvetica" w:cs="Helvetica"/>
        </w:rPr>
      </w:pPr>
      <w:r w:rsidRPr="00FD2F13">
        <w:t>DECISION</w:t>
      </w:r>
      <w:r w:rsidRPr="003C6093">
        <w:rPr>
          <w:rFonts w:ascii="Helvetica" w:hAnsi="Helvetica" w:cs="Helvetica"/>
        </w:rPr>
        <w:t xml:space="preserve"> ON TRACK </w:t>
      </w:r>
      <w:r>
        <w:rPr>
          <w:rFonts w:ascii="Helvetica" w:hAnsi="Helvetica" w:cs="Helvetica"/>
        </w:rPr>
        <w:t>5</w:t>
      </w:r>
      <w:r w:rsidRPr="003C6093">
        <w:rPr>
          <w:rFonts w:ascii="Helvetica" w:hAnsi="Helvetica" w:cs="Helvetica"/>
        </w:rPr>
        <w:t xml:space="preserve"> ISSUES</w:t>
      </w:r>
      <w:bookmarkEnd w:id="0"/>
      <w:bookmarkEnd w:id="1"/>
      <w:bookmarkEnd w:id="2"/>
      <w:bookmarkEnd w:id="3"/>
    </w:p>
    <w:p w:rsidR="00F92385" w:rsidP="00B3087D" w:rsidRDefault="00F92385" w14:paraId="53987E60" w14:textId="77777777">
      <w:pPr>
        <w:pStyle w:val="Dummy"/>
        <w:jc w:val="center"/>
      </w:pPr>
    </w:p>
    <w:p w:rsidR="007D6520" w:rsidP="007D6520" w:rsidRDefault="007D6520" w14:paraId="3AE09130" w14:textId="77777777"/>
    <w:p w:rsidRPr="007D6520" w:rsidR="007D6520" w:rsidP="007D6520" w:rsidRDefault="007D6520" w14:paraId="3CEFD7D6" w14:textId="1C35112C">
      <w:pPr>
        <w:sectPr w:rsidRPr="007D6520" w:rsidR="007D6520" w:rsidSect="007D6520">
          <w:headerReference w:type="first" r:id="rId11"/>
          <w:footerReference w:type="first" r:id="rId12"/>
          <w:pgSz w:w="12240" w:h="15840" w:code="1"/>
          <w:pgMar w:top="1728" w:right="1440" w:bottom="1440" w:left="1440" w:header="720" w:footer="720" w:gutter="0"/>
          <w:pgNumType w:start="1"/>
          <w:cols w:space="720"/>
          <w:titlePg/>
          <w:docGrid w:linePitch="360"/>
        </w:sectPr>
      </w:pPr>
    </w:p>
    <w:p w:rsidRPr="001E2A62" w:rsidR="00D50119" w:rsidP="007D6520" w:rsidRDefault="007D6520" w14:paraId="58380049" w14:textId="20D88479">
      <w:pPr>
        <w:pStyle w:val="Main"/>
        <w:tabs>
          <w:tab w:val="center" w:pos="4680"/>
          <w:tab w:val="left" w:pos="7845"/>
        </w:tabs>
        <w:jc w:val="left"/>
        <w:rPr>
          <w:rFonts w:ascii="Book Antiqua" w:hAnsi="Book Antiqua"/>
        </w:rPr>
      </w:pPr>
      <w:r>
        <w:rPr>
          <w:rFonts w:ascii="Book Antiqua" w:hAnsi="Book Antiqua"/>
        </w:rPr>
        <w:lastRenderedPageBreak/>
        <w:tab/>
      </w:r>
      <w:r w:rsidRPr="001E2A62" w:rsidR="00D50119">
        <w:rPr>
          <w:rFonts w:ascii="Book Antiqua" w:hAnsi="Book Antiqua"/>
        </w:rPr>
        <w:t>TABLE OF CONTENTS</w:t>
      </w:r>
    </w:p>
    <w:p w:rsidRPr="00D50119" w:rsidR="00D50119" w:rsidP="007E0FEE" w:rsidRDefault="00D50119" w14:paraId="776FDEA9" w14:textId="77777777">
      <w:pPr>
        <w:tabs>
          <w:tab w:val="right" w:pos="9360"/>
        </w:tabs>
        <w:ind w:firstLine="0"/>
      </w:pPr>
      <w:r w:rsidRPr="00D50119">
        <w:rPr>
          <w:b/>
        </w:rPr>
        <w:t>Title</w:t>
      </w:r>
      <w:r>
        <w:tab/>
      </w:r>
      <w:r w:rsidRPr="00D50119">
        <w:rPr>
          <w:b/>
        </w:rPr>
        <w:t>Page</w:t>
      </w:r>
    </w:p>
    <w:sdt>
      <w:sdtPr>
        <w:rPr>
          <w:szCs w:val="26"/>
        </w:rPr>
        <w:id w:val="-1224440197"/>
        <w:docPartObj>
          <w:docPartGallery w:val="Table of Contents"/>
          <w:docPartUnique/>
        </w:docPartObj>
      </w:sdtPr>
      <w:sdtEndPr>
        <w:rPr>
          <w:b/>
          <w:bCs/>
          <w:noProof/>
        </w:rPr>
      </w:sdtEndPr>
      <w:sdtContent>
        <w:p w:rsidR="000F69C1" w:rsidRDefault="00EE6C8C" w14:paraId="44415F34" w14:textId="3714F8B9">
          <w:pPr>
            <w:pStyle w:val="TOC1"/>
            <w:tabs>
              <w:tab w:val="right" w:leader="dot" w:pos="9350"/>
            </w:tabs>
            <w:rPr>
              <w:rFonts w:asciiTheme="minorHAnsi" w:hAnsiTheme="minorHAnsi" w:cstheme="minorBidi"/>
              <w:noProof/>
              <w:sz w:val="22"/>
            </w:rPr>
          </w:pPr>
          <w:r w:rsidRPr="00EE6C8C">
            <w:rPr>
              <w:szCs w:val="26"/>
            </w:rPr>
            <w:fldChar w:fldCharType="begin"/>
          </w:r>
          <w:r w:rsidRPr="00EE6C8C">
            <w:rPr>
              <w:szCs w:val="26"/>
            </w:rPr>
            <w:instrText xml:space="preserve"> TOC \o "1-6" \h \z \u </w:instrText>
          </w:r>
          <w:r w:rsidRPr="00EE6C8C">
            <w:rPr>
              <w:szCs w:val="26"/>
            </w:rPr>
            <w:fldChar w:fldCharType="separate"/>
          </w:r>
          <w:hyperlink w:history="1" w:anchor="_Toc125016586">
            <w:r w:rsidRPr="000F69C1" w:rsidR="000F69C1">
              <w:rPr>
                <w:rStyle w:val="Hyperlink"/>
                <w:noProof/>
              </w:rPr>
              <w:t>DECISION</w:t>
            </w:r>
            <w:r w:rsidRPr="000F69C1" w:rsidR="000F69C1">
              <w:rPr>
                <w:rStyle w:val="Hyperlink"/>
                <w:rFonts w:cs="Helvetica"/>
                <w:noProof/>
              </w:rPr>
              <w:t xml:space="preserve"> ON TRACK 5 ISSUES</w:t>
            </w:r>
            <w:r w:rsidR="000F69C1">
              <w:rPr>
                <w:noProof/>
                <w:webHidden/>
              </w:rPr>
              <w:tab/>
            </w:r>
            <w:r w:rsidR="000F69C1">
              <w:rPr>
                <w:noProof/>
                <w:webHidden/>
              </w:rPr>
              <w:fldChar w:fldCharType="begin"/>
            </w:r>
            <w:r w:rsidR="000F69C1">
              <w:rPr>
                <w:noProof/>
                <w:webHidden/>
              </w:rPr>
              <w:instrText xml:space="preserve"> PAGEREF _Toc125016586 \h </w:instrText>
            </w:r>
            <w:r w:rsidR="000F69C1">
              <w:rPr>
                <w:noProof/>
                <w:webHidden/>
              </w:rPr>
            </w:r>
            <w:r w:rsidR="000F69C1">
              <w:rPr>
                <w:noProof/>
                <w:webHidden/>
              </w:rPr>
              <w:fldChar w:fldCharType="separate"/>
            </w:r>
            <w:r w:rsidR="00D2514E">
              <w:rPr>
                <w:noProof/>
                <w:webHidden/>
              </w:rPr>
              <w:t>1</w:t>
            </w:r>
            <w:r w:rsidR="000F69C1">
              <w:rPr>
                <w:noProof/>
                <w:webHidden/>
              </w:rPr>
              <w:fldChar w:fldCharType="end"/>
            </w:r>
          </w:hyperlink>
        </w:p>
        <w:p w:rsidR="000F69C1" w:rsidRDefault="00542E0C" w14:paraId="1AEE2D80" w14:textId="46545404">
          <w:pPr>
            <w:pStyle w:val="TOC1"/>
            <w:tabs>
              <w:tab w:val="right" w:leader="dot" w:pos="9350"/>
            </w:tabs>
            <w:rPr>
              <w:rFonts w:asciiTheme="minorHAnsi" w:hAnsiTheme="minorHAnsi" w:cstheme="minorBidi"/>
              <w:noProof/>
              <w:sz w:val="22"/>
            </w:rPr>
          </w:pPr>
          <w:hyperlink w:history="1" w:anchor="_Toc125016587">
            <w:r w:rsidRPr="00F32EBD" w:rsidR="000F69C1">
              <w:rPr>
                <w:rStyle w:val="Hyperlink"/>
                <w:noProof/>
              </w:rPr>
              <w:t>Summary</w:t>
            </w:r>
            <w:r w:rsidR="000F69C1">
              <w:rPr>
                <w:noProof/>
                <w:webHidden/>
              </w:rPr>
              <w:tab/>
            </w:r>
            <w:r w:rsidR="000F69C1">
              <w:rPr>
                <w:noProof/>
                <w:webHidden/>
              </w:rPr>
              <w:fldChar w:fldCharType="begin"/>
            </w:r>
            <w:r w:rsidR="000F69C1">
              <w:rPr>
                <w:noProof/>
                <w:webHidden/>
              </w:rPr>
              <w:instrText xml:space="preserve"> PAGEREF _Toc125016587 \h </w:instrText>
            </w:r>
            <w:r w:rsidR="000F69C1">
              <w:rPr>
                <w:noProof/>
                <w:webHidden/>
              </w:rPr>
            </w:r>
            <w:r w:rsidR="000F69C1">
              <w:rPr>
                <w:noProof/>
                <w:webHidden/>
              </w:rPr>
              <w:fldChar w:fldCharType="separate"/>
            </w:r>
            <w:r w:rsidR="00D2514E">
              <w:rPr>
                <w:noProof/>
                <w:webHidden/>
              </w:rPr>
              <w:t>2</w:t>
            </w:r>
            <w:r w:rsidR="000F69C1">
              <w:rPr>
                <w:noProof/>
                <w:webHidden/>
              </w:rPr>
              <w:fldChar w:fldCharType="end"/>
            </w:r>
          </w:hyperlink>
        </w:p>
        <w:p w:rsidR="000F69C1" w:rsidRDefault="00542E0C" w14:paraId="3E5458A6" w14:textId="07C63D15">
          <w:pPr>
            <w:pStyle w:val="TOC1"/>
            <w:tabs>
              <w:tab w:val="right" w:leader="dot" w:pos="9350"/>
            </w:tabs>
            <w:rPr>
              <w:rFonts w:asciiTheme="minorHAnsi" w:hAnsiTheme="minorHAnsi" w:cstheme="minorBidi"/>
              <w:noProof/>
              <w:sz w:val="22"/>
            </w:rPr>
          </w:pPr>
          <w:hyperlink w:history="1" w:anchor="_Toc125016588">
            <w:r w:rsidRPr="00F32EBD" w:rsidR="000F69C1">
              <w:rPr>
                <w:rStyle w:val="Hyperlink"/>
                <w:noProof/>
              </w:rPr>
              <w:t>1.</w:t>
            </w:r>
            <w:r w:rsidR="000F69C1">
              <w:rPr>
                <w:rFonts w:asciiTheme="minorHAnsi" w:hAnsiTheme="minorHAnsi" w:cstheme="minorBidi"/>
                <w:noProof/>
                <w:sz w:val="22"/>
              </w:rPr>
              <w:tab/>
            </w:r>
            <w:r w:rsidRPr="00F32EBD" w:rsidR="000F69C1">
              <w:rPr>
                <w:rStyle w:val="Hyperlink"/>
                <w:noProof/>
              </w:rPr>
              <w:t>Background</w:t>
            </w:r>
            <w:r w:rsidR="000F69C1">
              <w:rPr>
                <w:noProof/>
                <w:webHidden/>
              </w:rPr>
              <w:tab/>
            </w:r>
            <w:r w:rsidR="000F69C1">
              <w:rPr>
                <w:noProof/>
                <w:webHidden/>
              </w:rPr>
              <w:fldChar w:fldCharType="begin"/>
            </w:r>
            <w:r w:rsidR="000F69C1">
              <w:rPr>
                <w:noProof/>
                <w:webHidden/>
              </w:rPr>
              <w:instrText xml:space="preserve"> PAGEREF _Toc125016588 \h </w:instrText>
            </w:r>
            <w:r w:rsidR="000F69C1">
              <w:rPr>
                <w:noProof/>
                <w:webHidden/>
              </w:rPr>
            </w:r>
            <w:r w:rsidR="000F69C1">
              <w:rPr>
                <w:noProof/>
                <w:webHidden/>
              </w:rPr>
              <w:fldChar w:fldCharType="separate"/>
            </w:r>
            <w:r w:rsidR="00D2514E">
              <w:rPr>
                <w:noProof/>
                <w:webHidden/>
              </w:rPr>
              <w:t>2</w:t>
            </w:r>
            <w:r w:rsidR="000F69C1">
              <w:rPr>
                <w:noProof/>
                <w:webHidden/>
              </w:rPr>
              <w:fldChar w:fldCharType="end"/>
            </w:r>
          </w:hyperlink>
        </w:p>
        <w:p w:rsidR="000F69C1" w:rsidRDefault="00542E0C" w14:paraId="44D9A747" w14:textId="4E0C67DC">
          <w:pPr>
            <w:pStyle w:val="TOC2"/>
            <w:tabs>
              <w:tab w:val="right" w:leader="dot" w:pos="9350"/>
            </w:tabs>
            <w:rPr>
              <w:rFonts w:asciiTheme="minorHAnsi" w:hAnsiTheme="minorHAnsi" w:cstheme="minorBidi"/>
              <w:noProof/>
              <w:sz w:val="22"/>
            </w:rPr>
          </w:pPr>
          <w:hyperlink w:history="1" w:anchor="_Toc125016589">
            <w:r w:rsidRPr="00F32EBD" w:rsidR="000F69C1">
              <w:rPr>
                <w:rStyle w:val="Hyperlink"/>
                <w:noProof/>
              </w:rPr>
              <w:t>1.1.</w:t>
            </w:r>
            <w:r w:rsidR="000F69C1">
              <w:rPr>
                <w:rFonts w:asciiTheme="minorHAnsi" w:hAnsiTheme="minorHAnsi" w:cstheme="minorBidi"/>
                <w:noProof/>
                <w:sz w:val="22"/>
              </w:rPr>
              <w:tab/>
            </w:r>
            <w:r w:rsidRPr="00F32EBD" w:rsidR="000F69C1">
              <w:rPr>
                <w:rStyle w:val="Hyperlink"/>
                <w:noProof/>
              </w:rPr>
              <w:t>Background on Track 5A Issues</w:t>
            </w:r>
            <w:r w:rsidR="000F69C1">
              <w:rPr>
                <w:noProof/>
                <w:webHidden/>
              </w:rPr>
              <w:tab/>
            </w:r>
            <w:r w:rsidR="000F69C1">
              <w:rPr>
                <w:noProof/>
                <w:webHidden/>
              </w:rPr>
              <w:fldChar w:fldCharType="begin"/>
            </w:r>
            <w:r w:rsidR="000F69C1">
              <w:rPr>
                <w:noProof/>
                <w:webHidden/>
              </w:rPr>
              <w:instrText xml:space="preserve"> PAGEREF _Toc125016589 \h </w:instrText>
            </w:r>
            <w:r w:rsidR="000F69C1">
              <w:rPr>
                <w:noProof/>
                <w:webHidden/>
              </w:rPr>
            </w:r>
            <w:r w:rsidR="000F69C1">
              <w:rPr>
                <w:noProof/>
                <w:webHidden/>
              </w:rPr>
              <w:fldChar w:fldCharType="separate"/>
            </w:r>
            <w:r w:rsidR="00D2514E">
              <w:rPr>
                <w:noProof/>
                <w:webHidden/>
              </w:rPr>
              <w:t>3</w:t>
            </w:r>
            <w:r w:rsidR="000F69C1">
              <w:rPr>
                <w:noProof/>
                <w:webHidden/>
              </w:rPr>
              <w:fldChar w:fldCharType="end"/>
            </w:r>
          </w:hyperlink>
        </w:p>
        <w:p w:rsidR="000F69C1" w:rsidRDefault="00542E0C" w14:paraId="6CF339DD" w14:textId="45D11AEE">
          <w:pPr>
            <w:pStyle w:val="TOC2"/>
            <w:tabs>
              <w:tab w:val="right" w:leader="dot" w:pos="9350"/>
            </w:tabs>
            <w:rPr>
              <w:rFonts w:asciiTheme="minorHAnsi" w:hAnsiTheme="minorHAnsi" w:cstheme="minorBidi"/>
              <w:noProof/>
              <w:sz w:val="22"/>
            </w:rPr>
          </w:pPr>
          <w:hyperlink w:history="1" w:anchor="_Toc125016590">
            <w:r w:rsidRPr="00F32EBD" w:rsidR="000F69C1">
              <w:rPr>
                <w:rStyle w:val="Hyperlink"/>
                <w:noProof/>
              </w:rPr>
              <w:t>1.2.</w:t>
            </w:r>
            <w:r w:rsidR="000F69C1">
              <w:rPr>
                <w:rFonts w:asciiTheme="minorHAnsi" w:hAnsiTheme="minorHAnsi" w:cstheme="minorBidi"/>
                <w:noProof/>
                <w:sz w:val="22"/>
              </w:rPr>
              <w:tab/>
            </w:r>
            <w:r w:rsidRPr="00F32EBD" w:rsidR="000F69C1">
              <w:rPr>
                <w:rStyle w:val="Hyperlink"/>
                <w:noProof/>
              </w:rPr>
              <w:t>Background on Track 5B Issues</w:t>
            </w:r>
            <w:r w:rsidR="000F69C1">
              <w:rPr>
                <w:noProof/>
                <w:webHidden/>
              </w:rPr>
              <w:tab/>
            </w:r>
            <w:r w:rsidR="000F69C1">
              <w:rPr>
                <w:noProof/>
                <w:webHidden/>
              </w:rPr>
              <w:fldChar w:fldCharType="begin"/>
            </w:r>
            <w:r w:rsidR="000F69C1">
              <w:rPr>
                <w:noProof/>
                <w:webHidden/>
              </w:rPr>
              <w:instrText xml:space="preserve"> PAGEREF _Toc125016590 \h </w:instrText>
            </w:r>
            <w:r w:rsidR="000F69C1">
              <w:rPr>
                <w:noProof/>
                <w:webHidden/>
              </w:rPr>
            </w:r>
            <w:r w:rsidR="000F69C1">
              <w:rPr>
                <w:noProof/>
                <w:webHidden/>
              </w:rPr>
              <w:fldChar w:fldCharType="separate"/>
            </w:r>
            <w:r w:rsidR="00D2514E">
              <w:rPr>
                <w:noProof/>
                <w:webHidden/>
              </w:rPr>
              <w:t>4</w:t>
            </w:r>
            <w:r w:rsidR="000F69C1">
              <w:rPr>
                <w:noProof/>
                <w:webHidden/>
              </w:rPr>
              <w:fldChar w:fldCharType="end"/>
            </w:r>
          </w:hyperlink>
        </w:p>
        <w:p w:rsidR="000F69C1" w:rsidRDefault="00542E0C" w14:paraId="49FFC2C7" w14:textId="33BCC87C">
          <w:pPr>
            <w:pStyle w:val="TOC1"/>
            <w:tabs>
              <w:tab w:val="right" w:leader="dot" w:pos="9350"/>
            </w:tabs>
            <w:rPr>
              <w:rFonts w:asciiTheme="minorHAnsi" w:hAnsiTheme="minorHAnsi" w:cstheme="minorBidi"/>
              <w:noProof/>
              <w:sz w:val="22"/>
            </w:rPr>
          </w:pPr>
          <w:hyperlink w:history="1" w:anchor="_Toc125016591">
            <w:r w:rsidRPr="00F32EBD" w:rsidR="000F69C1">
              <w:rPr>
                <w:rStyle w:val="Hyperlink"/>
                <w:noProof/>
              </w:rPr>
              <w:t>2.</w:t>
            </w:r>
            <w:r w:rsidR="000F69C1">
              <w:rPr>
                <w:rFonts w:asciiTheme="minorHAnsi" w:hAnsiTheme="minorHAnsi" w:cstheme="minorBidi"/>
                <w:noProof/>
                <w:sz w:val="22"/>
              </w:rPr>
              <w:tab/>
            </w:r>
            <w:r w:rsidRPr="00F32EBD" w:rsidR="000F69C1">
              <w:rPr>
                <w:rStyle w:val="Hyperlink"/>
                <w:noProof/>
              </w:rPr>
              <w:t>Issues Before the Commission</w:t>
            </w:r>
            <w:r w:rsidR="000F69C1">
              <w:rPr>
                <w:noProof/>
                <w:webHidden/>
              </w:rPr>
              <w:tab/>
            </w:r>
            <w:r w:rsidR="000F69C1">
              <w:rPr>
                <w:noProof/>
                <w:webHidden/>
              </w:rPr>
              <w:fldChar w:fldCharType="begin"/>
            </w:r>
            <w:r w:rsidR="000F69C1">
              <w:rPr>
                <w:noProof/>
                <w:webHidden/>
              </w:rPr>
              <w:instrText xml:space="preserve"> PAGEREF _Toc125016591 \h </w:instrText>
            </w:r>
            <w:r w:rsidR="000F69C1">
              <w:rPr>
                <w:noProof/>
                <w:webHidden/>
              </w:rPr>
            </w:r>
            <w:r w:rsidR="000F69C1">
              <w:rPr>
                <w:noProof/>
                <w:webHidden/>
              </w:rPr>
              <w:fldChar w:fldCharType="separate"/>
            </w:r>
            <w:r w:rsidR="00D2514E">
              <w:rPr>
                <w:noProof/>
                <w:webHidden/>
              </w:rPr>
              <w:t>5</w:t>
            </w:r>
            <w:r w:rsidR="000F69C1">
              <w:rPr>
                <w:noProof/>
                <w:webHidden/>
              </w:rPr>
              <w:fldChar w:fldCharType="end"/>
            </w:r>
          </w:hyperlink>
        </w:p>
        <w:p w:rsidR="000F69C1" w:rsidRDefault="00542E0C" w14:paraId="73E030EB" w14:textId="07671391">
          <w:pPr>
            <w:pStyle w:val="TOC2"/>
            <w:tabs>
              <w:tab w:val="right" w:leader="dot" w:pos="9350"/>
            </w:tabs>
            <w:rPr>
              <w:rFonts w:asciiTheme="minorHAnsi" w:hAnsiTheme="minorHAnsi" w:cstheme="minorBidi"/>
              <w:noProof/>
              <w:sz w:val="22"/>
            </w:rPr>
          </w:pPr>
          <w:hyperlink w:history="1" w:anchor="_Toc125016592">
            <w:r w:rsidRPr="00F32EBD" w:rsidR="000F69C1">
              <w:rPr>
                <w:rStyle w:val="Hyperlink"/>
                <w:noProof/>
              </w:rPr>
              <w:t>2.1.</w:t>
            </w:r>
            <w:r w:rsidR="000F69C1">
              <w:rPr>
                <w:rFonts w:asciiTheme="minorHAnsi" w:hAnsiTheme="minorHAnsi" w:cstheme="minorBidi"/>
                <w:noProof/>
                <w:sz w:val="22"/>
              </w:rPr>
              <w:tab/>
            </w:r>
            <w:r w:rsidRPr="00F32EBD" w:rsidR="000F69C1">
              <w:rPr>
                <w:rStyle w:val="Hyperlink"/>
                <w:noProof/>
              </w:rPr>
              <w:t>Track 5A Issues</w:t>
            </w:r>
            <w:r w:rsidR="000F69C1">
              <w:rPr>
                <w:noProof/>
                <w:webHidden/>
              </w:rPr>
              <w:tab/>
            </w:r>
            <w:r w:rsidR="000F69C1">
              <w:rPr>
                <w:noProof/>
                <w:webHidden/>
              </w:rPr>
              <w:fldChar w:fldCharType="begin"/>
            </w:r>
            <w:r w:rsidR="000F69C1">
              <w:rPr>
                <w:noProof/>
                <w:webHidden/>
              </w:rPr>
              <w:instrText xml:space="preserve"> PAGEREF _Toc125016592 \h </w:instrText>
            </w:r>
            <w:r w:rsidR="000F69C1">
              <w:rPr>
                <w:noProof/>
                <w:webHidden/>
              </w:rPr>
            </w:r>
            <w:r w:rsidR="000F69C1">
              <w:rPr>
                <w:noProof/>
                <w:webHidden/>
              </w:rPr>
              <w:fldChar w:fldCharType="separate"/>
            </w:r>
            <w:r w:rsidR="00D2514E">
              <w:rPr>
                <w:noProof/>
                <w:webHidden/>
              </w:rPr>
              <w:t>5</w:t>
            </w:r>
            <w:r w:rsidR="000F69C1">
              <w:rPr>
                <w:noProof/>
                <w:webHidden/>
              </w:rPr>
              <w:fldChar w:fldCharType="end"/>
            </w:r>
          </w:hyperlink>
        </w:p>
        <w:p w:rsidR="000F69C1" w:rsidRDefault="00542E0C" w14:paraId="7AC1A566" w14:textId="6EAC8F9C">
          <w:pPr>
            <w:pStyle w:val="TOC2"/>
            <w:tabs>
              <w:tab w:val="right" w:leader="dot" w:pos="9350"/>
            </w:tabs>
            <w:rPr>
              <w:rFonts w:asciiTheme="minorHAnsi" w:hAnsiTheme="minorHAnsi" w:cstheme="minorBidi"/>
              <w:noProof/>
              <w:sz w:val="22"/>
            </w:rPr>
          </w:pPr>
          <w:hyperlink w:history="1" w:anchor="_Toc125016593">
            <w:r w:rsidRPr="00F32EBD" w:rsidR="000F69C1">
              <w:rPr>
                <w:rStyle w:val="Hyperlink"/>
                <w:noProof/>
              </w:rPr>
              <w:t>2.2.</w:t>
            </w:r>
            <w:r w:rsidR="000F69C1">
              <w:rPr>
                <w:rFonts w:asciiTheme="minorHAnsi" w:hAnsiTheme="minorHAnsi" w:cstheme="minorBidi"/>
                <w:noProof/>
                <w:sz w:val="22"/>
              </w:rPr>
              <w:tab/>
            </w:r>
            <w:r w:rsidRPr="00F32EBD" w:rsidR="000F69C1">
              <w:rPr>
                <w:rStyle w:val="Hyperlink"/>
                <w:noProof/>
              </w:rPr>
              <w:t>Track 5B Issues</w:t>
            </w:r>
            <w:r w:rsidR="000F69C1">
              <w:rPr>
                <w:noProof/>
                <w:webHidden/>
              </w:rPr>
              <w:tab/>
            </w:r>
            <w:r w:rsidR="000F69C1">
              <w:rPr>
                <w:noProof/>
                <w:webHidden/>
              </w:rPr>
              <w:fldChar w:fldCharType="begin"/>
            </w:r>
            <w:r w:rsidR="000F69C1">
              <w:rPr>
                <w:noProof/>
                <w:webHidden/>
              </w:rPr>
              <w:instrText xml:space="preserve"> PAGEREF _Toc125016593 \h </w:instrText>
            </w:r>
            <w:r w:rsidR="000F69C1">
              <w:rPr>
                <w:noProof/>
                <w:webHidden/>
              </w:rPr>
            </w:r>
            <w:r w:rsidR="000F69C1">
              <w:rPr>
                <w:noProof/>
                <w:webHidden/>
              </w:rPr>
              <w:fldChar w:fldCharType="separate"/>
            </w:r>
            <w:r w:rsidR="00D2514E">
              <w:rPr>
                <w:noProof/>
                <w:webHidden/>
              </w:rPr>
              <w:t>6</w:t>
            </w:r>
            <w:r w:rsidR="000F69C1">
              <w:rPr>
                <w:noProof/>
                <w:webHidden/>
              </w:rPr>
              <w:fldChar w:fldCharType="end"/>
            </w:r>
          </w:hyperlink>
        </w:p>
        <w:p w:rsidR="000F69C1" w:rsidRDefault="00542E0C" w14:paraId="71F327F9" w14:textId="12E84773">
          <w:pPr>
            <w:pStyle w:val="TOC1"/>
            <w:tabs>
              <w:tab w:val="right" w:leader="dot" w:pos="9350"/>
            </w:tabs>
            <w:rPr>
              <w:rFonts w:asciiTheme="minorHAnsi" w:hAnsiTheme="minorHAnsi" w:cstheme="minorBidi"/>
              <w:noProof/>
              <w:sz w:val="22"/>
            </w:rPr>
          </w:pPr>
          <w:hyperlink w:history="1" w:anchor="_Toc125016594">
            <w:r w:rsidRPr="00F32EBD" w:rsidR="000F69C1">
              <w:rPr>
                <w:rStyle w:val="Hyperlink"/>
                <w:noProof/>
              </w:rPr>
              <w:t>3.</w:t>
            </w:r>
            <w:r w:rsidR="000F69C1">
              <w:rPr>
                <w:rFonts w:asciiTheme="minorHAnsi" w:hAnsiTheme="minorHAnsi" w:cstheme="minorBidi"/>
                <w:noProof/>
                <w:sz w:val="22"/>
              </w:rPr>
              <w:tab/>
            </w:r>
            <w:r w:rsidRPr="00F32EBD" w:rsidR="000F69C1">
              <w:rPr>
                <w:rStyle w:val="Hyperlink"/>
                <w:noProof/>
              </w:rPr>
              <w:t>Discussion</w:t>
            </w:r>
            <w:r w:rsidR="000F69C1">
              <w:rPr>
                <w:noProof/>
                <w:webHidden/>
              </w:rPr>
              <w:tab/>
            </w:r>
            <w:r w:rsidR="000F69C1">
              <w:rPr>
                <w:noProof/>
                <w:webHidden/>
              </w:rPr>
              <w:fldChar w:fldCharType="begin"/>
            </w:r>
            <w:r w:rsidR="000F69C1">
              <w:rPr>
                <w:noProof/>
                <w:webHidden/>
              </w:rPr>
              <w:instrText xml:space="preserve"> PAGEREF _Toc125016594 \h </w:instrText>
            </w:r>
            <w:r w:rsidR="000F69C1">
              <w:rPr>
                <w:noProof/>
                <w:webHidden/>
              </w:rPr>
            </w:r>
            <w:r w:rsidR="000F69C1">
              <w:rPr>
                <w:noProof/>
                <w:webHidden/>
              </w:rPr>
              <w:fldChar w:fldCharType="separate"/>
            </w:r>
            <w:r w:rsidR="00D2514E">
              <w:rPr>
                <w:noProof/>
                <w:webHidden/>
              </w:rPr>
              <w:t>7</w:t>
            </w:r>
            <w:r w:rsidR="000F69C1">
              <w:rPr>
                <w:noProof/>
                <w:webHidden/>
              </w:rPr>
              <w:fldChar w:fldCharType="end"/>
            </w:r>
          </w:hyperlink>
        </w:p>
        <w:p w:rsidR="000F69C1" w:rsidRDefault="00542E0C" w14:paraId="18516748" w14:textId="61C87058">
          <w:pPr>
            <w:pStyle w:val="TOC2"/>
            <w:tabs>
              <w:tab w:val="right" w:leader="dot" w:pos="9350"/>
            </w:tabs>
            <w:rPr>
              <w:rFonts w:asciiTheme="minorHAnsi" w:hAnsiTheme="minorHAnsi" w:cstheme="minorBidi"/>
              <w:noProof/>
              <w:sz w:val="22"/>
            </w:rPr>
          </w:pPr>
          <w:hyperlink w:history="1" w:anchor="_Toc125016595">
            <w:r w:rsidRPr="00F32EBD" w:rsidR="000F69C1">
              <w:rPr>
                <w:rStyle w:val="Hyperlink"/>
                <w:noProof/>
              </w:rPr>
              <w:t>3.1.</w:t>
            </w:r>
            <w:r w:rsidR="000F69C1">
              <w:rPr>
                <w:rFonts w:asciiTheme="minorHAnsi" w:hAnsiTheme="minorHAnsi" w:cstheme="minorBidi"/>
                <w:noProof/>
                <w:sz w:val="22"/>
              </w:rPr>
              <w:tab/>
            </w:r>
            <w:r w:rsidRPr="00F32EBD" w:rsidR="000F69C1">
              <w:rPr>
                <w:rStyle w:val="Hyperlink"/>
                <w:noProof/>
              </w:rPr>
              <w:t>Definition of Pre-Scheduled WAV Trips</w:t>
            </w:r>
            <w:r w:rsidR="000F69C1">
              <w:rPr>
                <w:noProof/>
                <w:webHidden/>
              </w:rPr>
              <w:tab/>
            </w:r>
            <w:r w:rsidR="000F69C1">
              <w:rPr>
                <w:noProof/>
                <w:webHidden/>
              </w:rPr>
              <w:fldChar w:fldCharType="begin"/>
            </w:r>
            <w:r w:rsidR="000F69C1">
              <w:rPr>
                <w:noProof/>
                <w:webHidden/>
              </w:rPr>
              <w:instrText xml:space="preserve"> PAGEREF _Toc125016595 \h </w:instrText>
            </w:r>
            <w:r w:rsidR="000F69C1">
              <w:rPr>
                <w:noProof/>
                <w:webHidden/>
              </w:rPr>
            </w:r>
            <w:r w:rsidR="000F69C1">
              <w:rPr>
                <w:noProof/>
                <w:webHidden/>
              </w:rPr>
              <w:fldChar w:fldCharType="separate"/>
            </w:r>
            <w:r w:rsidR="00D2514E">
              <w:rPr>
                <w:noProof/>
                <w:webHidden/>
              </w:rPr>
              <w:t>7</w:t>
            </w:r>
            <w:r w:rsidR="000F69C1">
              <w:rPr>
                <w:noProof/>
                <w:webHidden/>
              </w:rPr>
              <w:fldChar w:fldCharType="end"/>
            </w:r>
          </w:hyperlink>
        </w:p>
        <w:p w:rsidR="000F69C1" w:rsidRDefault="00542E0C" w14:paraId="05F3F752" w14:textId="0C7375DD">
          <w:pPr>
            <w:pStyle w:val="TOC2"/>
            <w:tabs>
              <w:tab w:val="right" w:leader="dot" w:pos="9350"/>
            </w:tabs>
            <w:rPr>
              <w:rFonts w:asciiTheme="minorHAnsi" w:hAnsiTheme="minorHAnsi" w:cstheme="minorBidi"/>
              <w:noProof/>
              <w:sz w:val="22"/>
            </w:rPr>
          </w:pPr>
          <w:hyperlink w:history="1" w:anchor="_Toc125016596">
            <w:r w:rsidRPr="00F32EBD" w:rsidR="000F69C1">
              <w:rPr>
                <w:rStyle w:val="Hyperlink"/>
                <w:noProof/>
              </w:rPr>
              <w:t>3.2.</w:t>
            </w:r>
            <w:r w:rsidR="000F69C1">
              <w:rPr>
                <w:rFonts w:asciiTheme="minorHAnsi" w:hAnsiTheme="minorHAnsi" w:cstheme="minorBidi"/>
                <w:noProof/>
                <w:sz w:val="22"/>
              </w:rPr>
              <w:tab/>
            </w:r>
            <w:r w:rsidRPr="00F32EBD" w:rsidR="000F69C1">
              <w:rPr>
                <w:rStyle w:val="Hyperlink"/>
                <w:noProof/>
              </w:rPr>
              <w:t>Definition of Response Time for  Pre-Scheduled Trips</w:t>
            </w:r>
            <w:r w:rsidR="000F69C1">
              <w:rPr>
                <w:noProof/>
                <w:webHidden/>
              </w:rPr>
              <w:tab/>
            </w:r>
            <w:r w:rsidR="000F69C1">
              <w:rPr>
                <w:noProof/>
                <w:webHidden/>
              </w:rPr>
              <w:fldChar w:fldCharType="begin"/>
            </w:r>
            <w:r w:rsidR="000F69C1">
              <w:rPr>
                <w:noProof/>
                <w:webHidden/>
              </w:rPr>
              <w:instrText xml:space="preserve"> PAGEREF _Toc125016596 \h </w:instrText>
            </w:r>
            <w:r w:rsidR="000F69C1">
              <w:rPr>
                <w:noProof/>
                <w:webHidden/>
              </w:rPr>
            </w:r>
            <w:r w:rsidR="000F69C1">
              <w:rPr>
                <w:noProof/>
                <w:webHidden/>
              </w:rPr>
              <w:fldChar w:fldCharType="separate"/>
            </w:r>
            <w:r w:rsidR="00D2514E">
              <w:rPr>
                <w:noProof/>
                <w:webHidden/>
              </w:rPr>
              <w:t>7</w:t>
            </w:r>
            <w:r w:rsidR="000F69C1">
              <w:rPr>
                <w:noProof/>
                <w:webHidden/>
              </w:rPr>
              <w:fldChar w:fldCharType="end"/>
            </w:r>
          </w:hyperlink>
        </w:p>
        <w:p w:rsidR="000F69C1" w:rsidRDefault="00542E0C" w14:paraId="7B63C72C" w14:textId="7A8659EC">
          <w:pPr>
            <w:pStyle w:val="TOC2"/>
            <w:tabs>
              <w:tab w:val="right" w:leader="dot" w:pos="9350"/>
            </w:tabs>
            <w:rPr>
              <w:rFonts w:asciiTheme="minorHAnsi" w:hAnsiTheme="minorHAnsi" w:cstheme="minorBidi"/>
              <w:noProof/>
              <w:sz w:val="22"/>
            </w:rPr>
          </w:pPr>
          <w:hyperlink w:history="1" w:anchor="_Toc125016597">
            <w:r w:rsidRPr="00F32EBD" w:rsidR="000F69C1">
              <w:rPr>
                <w:rStyle w:val="Hyperlink"/>
                <w:noProof/>
              </w:rPr>
              <w:t>3.3.</w:t>
            </w:r>
            <w:r w:rsidR="000F69C1">
              <w:rPr>
                <w:rFonts w:asciiTheme="minorHAnsi" w:hAnsiTheme="minorHAnsi" w:cstheme="minorBidi"/>
                <w:noProof/>
                <w:sz w:val="22"/>
              </w:rPr>
              <w:tab/>
            </w:r>
            <w:r w:rsidRPr="00F32EBD" w:rsidR="000F69C1">
              <w:rPr>
                <w:rStyle w:val="Hyperlink"/>
                <w:noProof/>
              </w:rPr>
              <w:t>Modifications to the Offset Standard for Pre-Scheduled WAV Trips</w:t>
            </w:r>
            <w:r w:rsidR="000F69C1">
              <w:rPr>
                <w:noProof/>
                <w:webHidden/>
              </w:rPr>
              <w:tab/>
            </w:r>
            <w:r w:rsidR="000F69C1">
              <w:rPr>
                <w:noProof/>
                <w:webHidden/>
              </w:rPr>
              <w:fldChar w:fldCharType="begin"/>
            </w:r>
            <w:r w:rsidR="000F69C1">
              <w:rPr>
                <w:noProof/>
                <w:webHidden/>
              </w:rPr>
              <w:instrText xml:space="preserve"> PAGEREF _Toc125016597 \h </w:instrText>
            </w:r>
            <w:r w:rsidR="000F69C1">
              <w:rPr>
                <w:noProof/>
                <w:webHidden/>
              </w:rPr>
            </w:r>
            <w:r w:rsidR="000F69C1">
              <w:rPr>
                <w:noProof/>
                <w:webHidden/>
              </w:rPr>
              <w:fldChar w:fldCharType="separate"/>
            </w:r>
            <w:r w:rsidR="00D2514E">
              <w:rPr>
                <w:noProof/>
                <w:webHidden/>
              </w:rPr>
              <w:t>9</w:t>
            </w:r>
            <w:r w:rsidR="000F69C1">
              <w:rPr>
                <w:noProof/>
                <w:webHidden/>
              </w:rPr>
              <w:fldChar w:fldCharType="end"/>
            </w:r>
          </w:hyperlink>
        </w:p>
        <w:p w:rsidR="000F69C1" w:rsidRDefault="00542E0C" w14:paraId="3DDCE0A4" w14:textId="001AED11">
          <w:pPr>
            <w:pStyle w:val="TOC3"/>
            <w:tabs>
              <w:tab w:val="left" w:pos="1296"/>
              <w:tab w:val="right" w:leader="dot" w:pos="9350"/>
            </w:tabs>
            <w:rPr>
              <w:rFonts w:asciiTheme="minorHAnsi" w:hAnsiTheme="minorHAnsi" w:cstheme="minorBidi"/>
              <w:noProof/>
              <w:sz w:val="22"/>
            </w:rPr>
          </w:pPr>
          <w:hyperlink w:history="1" w:anchor="_Toc125016598">
            <w:r w:rsidRPr="00F32EBD" w:rsidR="000F69C1">
              <w:rPr>
                <w:rStyle w:val="Hyperlink"/>
                <w:noProof/>
              </w:rPr>
              <w:t>3.3.1.</w:t>
            </w:r>
            <w:r w:rsidR="000F69C1">
              <w:rPr>
                <w:rFonts w:asciiTheme="minorHAnsi" w:hAnsiTheme="minorHAnsi" w:cstheme="minorBidi"/>
                <w:noProof/>
                <w:sz w:val="22"/>
              </w:rPr>
              <w:tab/>
            </w:r>
            <w:r w:rsidRPr="00F32EBD" w:rsidR="000F69C1">
              <w:rPr>
                <w:rStyle w:val="Hyperlink"/>
                <w:noProof/>
              </w:rPr>
              <w:t>CPED’s Proposal</w:t>
            </w:r>
            <w:r w:rsidR="000F69C1">
              <w:rPr>
                <w:noProof/>
                <w:webHidden/>
              </w:rPr>
              <w:tab/>
            </w:r>
            <w:r w:rsidR="000F69C1">
              <w:rPr>
                <w:noProof/>
                <w:webHidden/>
              </w:rPr>
              <w:fldChar w:fldCharType="begin"/>
            </w:r>
            <w:r w:rsidR="000F69C1">
              <w:rPr>
                <w:noProof/>
                <w:webHidden/>
              </w:rPr>
              <w:instrText xml:space="preserve"> PAGEREF _Toc125016598 \h </w:instrText>
            </w:r>
            <w:r w:rsidR="000F69C1">
              <w:rPr>
                <w:noProof/>
                <w:webHidden/>
              </w:rPr>
            </w:r>
            <w:r w:rsidR="000F69C1">
              <w:rPr>
                <w:noProof/>
                <w:webHidden/>
              </w:rPr>
              <w:fldChar w:fldCharType="separate"/>
            </w:r>
            <w:r w:rsidR="00D2514E">
              <w:rPr>
                <w:noProof/>
                <w:webHidden/>
              </w:rPr>
              <w:t>10</w:t>
            </w:r>
            <w:r w:rsidR="000F69C1">
              <w:rPr>
                <w:noProof/>
                <w:webHidden/>
              </w:rPr>
              <w:fldChar w:fldCharType="end"/>
            </w:r>
          </w:hyperlink>
        </w:p>
        <w:p w:rsidR="000F69C1" w:rsidRDefault="00542E0C" w14:paraId="5DA2BE94" w14:textId="54BC912F">
          <w:pPr>
            <w:pStyle w:val="TOC4"/>
            <w:tabs>
              <w:tab w:val="left" w:pos="1728"/>
              <w:tab w:val="right" w:leader="dot" w:pos="9350"/>
            </w:tabs>
            <w:rPr>
              <w:rFonts w:asciiTheme="minorHAnsi" w:hAnsiTheme="minorHAnsi" w:eastAsiaTheme="minorEastAsia"/>
              <w:noProof/>
              <w:sz w:val="22"/>
            </w:rPr>
          </w:pPr>
          <w:hyperlink w:history="1" w:anchor="_Toc125016599">
            <w:r w:rsidRPr="00F32EBD" w:rsidR="000F69C1">
              <w:rPr>
                <w:rStyle w:val="Hyperlink"/>
                <w:noProof/>
              </w:rPr>
              <w:t>3.3.1.1.</w:t>
            </w:r>
            <w:r w:rsidR="000F69C1">
              <w:rPr>
                <w:rFonts w:asciiTheme="minorHAnsi" w:hAnsiTheme="minorHAnsi" w:eastAsiaTheme="minorEastAsia"/>
                <w:noProof/>
                <w:sz w:val="22"/>
              </w:rPr>
              <w:tab/>
            </w:r>
            <w:r w:rsidRPr="00F32EBD" w:rsidR="000F69C1">
              <w:rPr>
                <w:rStyle w:val="Hyperlink"/>
                <w:noProof/>
              </w:rPr>
              <w:t>Comments on CPED’s Proposal</w:t>
            </w:r>
            <w:r w:rsidR="000F69C1">
              <w:rPr>
                <w:noProof/>
                <w:webHidden/>
              </w:rPr>
              <w:tab/>
            </w:r>
            <w:r w:rsidR="000F69C1">
              <w:rPr>
                <w:noProof/>
                <w:webHidden/>
              </w:rPr>
              <w:fldChar w:fldCharType="begin"/>
            </w:r>
            <w:r w:rsidR="000F69C1">
              <w:rPr>
                <w:noProof/>
                <w:webHidden/>
              </w:rPr>
              <w:instrText xml:space="preserve"> PAGEREF _Toc125016599 \h </w:instrText>
            </w:r>
            <w:r w:rsidR="000F69C1">
              <w:rPr>
                <w:noProof/>
                <w:webHidden/>
              </w:rPr>
            </w:r>
            <w:r w:rsidR="000F69C1">
              <w:rPr>
                <w:noProof/>
                <w:webHidden/>
              </w:rPr>
              <w:fldChar w:fldCharType="separate"/>
            </w:r>
            <w:r w:rsidR="00D2514E">
              <w:rPr>
                <w:noProof/>
                <w:webHidden/>
              </w:rPr>
              <w:t>13</w:t>
            </w:r>
            <w:r w:rsidR="000F69C1">
              <w:rPr>
                <w:noProof/>
                <w:webHidden/>
              </w:rPr>
              <w:fldChar w:fldCharType="end"/>
            </w:r>
          </w:hyperlink>
        </w:p>
        <w:p w:rsidR="000F69C1" w:rsidRDefault="00542E0C" w14:paraId="47762D26" w14:textId="744C50E9">
          <w:pPr>
            <w:pStyle w:val="TOC3"/>
            <w:tabs>
              <w:tab w:val="left" w:pos="1296"/>
              <w:tab w:val="right" w:leader="dot" w:pos="9350"/>
            </w:tabs>
            <w:rPr>
              <w:rFonts w:asciiTheme="minorHAnsi" w:hAnsiTheme="minorHAnsi" w:cstheme="minorBidi"/>
              <w:noProof/>
              <w:sz w:val="22"/>
            </w:rPr>
          </w:pPr>
          <w:hyperlink w:history="1" w:anchor="_Toc125016600">
            <w:r w:rsidRPr="00F32EBD" w:rsidR="000F69C1">
              <w:rPr>
                <w:rStyle w:val="Hyperlink"/>
                <w:noProof/>
              </w:rPr>
              <w:t>3.3.2.</w:t>
            </w:r>
            <w:r w:rsidR="000F69C1">
              <w:rPr>
                <w:rFonts w:asciiTheme="minorHAnsi" w:hAnsiTheme="minorHAnsi" w:cstheme="minorBidi"/>
                <w:noProof/>
                <w:sz w:val="22"/>
              </w:rPr>
              <w:tab/>
            </w:r>
            <w:r w:rsidRPr="00F32EBD" w:rsidR="000F69C1">
              <w:rPr>
                <w:rStyle w:val="Hyperlink"/>
                <w:noProof/>
              </w:rPr>
              <w:t>San Francisco’s Proposal</w:t>
            </w:r>
            <w:r w:rsidR="000F69C1">
              <w:rPr>
                <w:noProof/>
                <w:webHidden/>
              </w:rPr>
              <w:tab/>
            </w:r>
            <w:r w:rsidR="000F69C1">
              <w:rPr>
                <w:noProof/>
                <w:webHidden/>
              </w:rPr>
              <w:fldChar w:fldCharType="begin"/>
            </w:r>
            <w:r w:rsidR="000F69C1">
              <w:rPr>
                <w:noProof/>
                <w:webHidden/>
              </w:rPr>
              <w:instrText xml:space="preserve"> PAGEREF _Toc125016600 \h </w:instrText>
            </w:r>
            <w:r w:rsidR="000F69C1">
              <w:rPr>
                <w:noProof/>
                <w:webHidden/>
              </w:rPr>
            </w:r>
            <w:r w:rsidR="000F69C1">
              <w:rPr>
                <w:noProof/>
                <w:webHidden/>
              </w:rPr>
              <w:fldChar w:fldCharType="separate"/>
            </w:r>
            <w:r w:rsidR="00D2514E">
              <w:rPr>
                <w:noProof/>
                <w:webHidden/>
              </w:rPr>
              <w:t>15</w:t>
            </w:r>
            <w:r w:rsidR="000F69C1">
              <w:rPr>
                <w:noProof/>
                <w:webHidden/>
              </w:rPr>
              <w:fldChar w:fldCharType="end"/>
            </w:r>
          </w:hyperlink>
        </w:p>
        <w:p w:rsidR="000F69C1" w:rsidRDefault="00542E0C" w14:paraId="1BAEEE89" w14:textId="27690026">
          <w:pPr>
            <w:pStyle w:val="TOC4"/>
            <w:tabs>
              <w:tab w:val="left" w:pos="1728"/>
              <w:tab w:val="right" w:leader="dot" w:pos="9350"/>
            </w:tabs>
            <w:rPr>
              <w:rFonts w:asciiTheme="minorHAnsi" w:hAnsiTheme="minorHAnsi" w:eastAsiaTheme="minorEastAsia"/>
              <w:noProof/>
              <w:sz w:val="22"/>
            </w:rPr>
          </w:pPr>
          <w:hyperlink w:history="1" w:anchor="_Toc125016601">
            <w:r w:rsidRPr="00F32EBD" w:rsidR="000F69C1">
              <w:rPr>
                <w:rStyle w:val="Hyperlink"/>
                <w:noProof/>
              </w:rPr>
              <w:t>3.3.2.1.</w:t>
            </w:r>
            <w:r w:rsidR="000F69C1">
              <w:rPr>
                <w:rFonts w:asciiTheme="minorHAnsi" w:hAnsiTheme="minorHAnsi" w:eastAsiaTheme="minorEastAsia"/>
                <w:noProof/>
                <w:sz w:val="22"/>
              </w:rPr>
              <w:tab/>
            </w:r>
            <w:r w:rsidRPr="00F32EBD" w:rsidR="000F69C1">
              <w:rPr>
                <w:rStyle w:val="Hyperlink"/>
                <w:noProof/>
              </w:rPr>
              <w:t>Comments on  San Francisco’s Proposal</w:t>
            </w:r>
            <w:r w:rsidR="000F69C1">
              <w:rPr>
                <w:noProof/>
                <w:webHidden/>
              </w:rPr>
              <w:tab/>
            </w:r>
            <w:r w:rsidR="000F69C1">
              <w:rPr>
                <w:noProof/>
                <w:webHidden/>
              </w:rPr>
              <w:fldChar w:fldCharType="begin"/>
            </w:r>
            <w:r w:rsidR="000F69C1">
              <w:rPr>
                <w:noProof/>
                <w:webHidden/>
              </w:rPr>
              <w:instrText xml:space="preserve"> PAGEREF _Toc125016601 \h </w:instrText>
            </w:r>
            <w:r w:rsidR="000F69C1">
              <w:rPr>
                <w:noProof/>
                <w:webHidden/>
              </w:rPr>
            </w:r>
            <w:r w:rsidR="000F69C1">
              <w:rPr>
                <w:noProof/>
                <w:webHidden/>
              </w:rPr>
              <w:fldChar w:fldCharType="separate"/>
            </w:r>
            <w:r w:rsidR="00D2514E">
              <w:rPr>
                <w:noProof/>
                <w:webHidden/>
              </w:rPr>
              <w:t>17</w:t>
            </w:r>
            <w:r w:rsidR="000F69C1">
              <w:rPr>
                <w:noProof/>
                <w:webHidden/>
              </w:rPr>
              <w:fldChar w:fldCharType="end"/>
            </w:r>
          </w:hyperlink>
        </w:p>
        <w:p w:rsidR="000F69C1" w:rsidRDefault="00542E0C" w14:paraId="2101CE8B" w14:textId="714652C2">
          <w:pPr>
            <w:pStyle w:val="TOC3"/>
            <w:tabs>
              <w:tab w:val="left" w:pos="1296"/>
              <w:tab w:val="right" w:leader="dot" w:pos="9350"/>
            </w:tabs>
            <w:rPr>
              <w:rFonts w:asciiTheme="minorHAnsi" w:hAnsiTheme="minorHAnsi" w:cstheme="minorBidi"/>
              <w:noProof/>
              <w:sz w:val="22"/>
            </w:rPr>
          </w:pPr>
          <w:hyperlink w:history="1" w:anchor="_Toc125016602">
            <w:r w:rsidRPr="00F32EBD" w:rsidR="000F69C1">
              <w:rPr>
                <w:rStyle w:val="Hyperlink"/>
                <w:noProof/>
              </w:rPr>
              <w:t>3.3.3.</w:t>
            </w:r>
            <w:r w:rsidR="000F69C1">
              <w:rPr>
                <w:rFonts w:asciiTheme="minorHAnsi" w:hAnsiTheme="minorHAnsi" w:cstheme="minorBidi"/>
                <w:noProof/>
                <w:sz w:val="22"/>
              </w:rPr>
              <w:tab/>
            </w:r>
            <w:r w:rsidRPr="00F32EBD" w:rsidR="000F69C1">
              <w:rPr>
                <w:rStyle w:val="Hyperlink"/>
                <w:noProof/>
              </w:rPr>
              <w:t>Lyft’s Proposal</w:t>
            </w:r>
            <w:r w:rsidR="000F69C1">
              <w:rPr>
                <w:noProof/>
                <w:webHidden/>
              </w:rPr>
              <w:tab/>
            </w:r>
            <w:r w:rsidR="000F69C1">
              <w:rPr>
                <w:noProof/>
                <w:webHidden/>
              </w:rPr>
              <w:fldChar w:fldCharType="begin"/>
            </w:r>
            <w:r w:rsidR="000F69C1">
              <w:rPr>
                <w:noProof/>
                <w:webHidden/>
              </w:rPr>
              <w:instrText xml:space="preserve"> PAGEREF _Toc125016602 \h </w:instrText>
            </w:r>
            <w:r w:rsidR="000F69C1">
              <w:rPr>
                <w:noProof/>
                <w:webHidden/>
              </w:rPr>
            </w:r>
            <w:r w:rsidR="000F69C1">
              <w:rPr>
                <w:noProof/>
                <w:webHidden/>
              </w:rPr>
              <w:fldChar w:fldCharType="separate"/>
            </w:r>
            <w:r w:rsidR="00D2514E">
              <w:rPr>
                <w:noProof/>
                <w:webHidden/>
              </w:rPr>
              <w:t>18</w:t>
            </w:r>
            <w:r w:rsidR="000F69C1">
              <w:rPr>
                <w:noProof/>
                <w:webHidden/>
              </w:rPr>
              <w:fldChar w:fldCharType="end"/>
            </w:r>
          </w:hyperlink>
        </w:p>
        <w:p w:rsidR="000F69C1" w:rsidRDefault="00542E0C" w14:paraId="5D5D7CFE" w14:textId="793C2BEB">
          <w:pPr>
            <w:pStyle w:val="TOC4"/>
            <w:tabs>
              <w:tab w:val="left" w:pos="1728"/>
              <w:tab w:val="right" w:leader="dot" w:pos="9350"/>
            </w:tabs>
            <w:rPr>
              <w:rFonts w:asciiTheme="minorHAnsi" w:hAnsiTheme="minorHAnsi" w:eastAsiaTheme="minorEastAsia"/>
              <w:noProof/>
              <w:sz w:val="22"/>
            </w:rPr>
          </w:pPr>
          <w:hyperlink w:history="1" w:anchor="_Toc125016603">
            <w:r w:rsidRPr="00F32EBD" w:rsidR="000F69C1">
              <w:rPr>
                <w:rStyle w:val="Hyperlink"/>
                <w:noProof/>
              </w:rPr>
              <w:t>3.3.3.1.</w:t>
            </w:r>
            <w:r w:rsidR="000F69C1">
              <w:rPr>
                <w:rFonts w:asciiTheme="minorHAnsi" w:hAnsiTheme="minorHAnsi" w:eastAsiaTheme="minorEastAsia"/>
                <w:noProof/>
                <w:sz w:val="22"/>
              </w:rPr>
              <w:tab/>
            </w:r>
            <w:r w:rsidRPr="00F32EBD" w:rsidR="000F69C1">
              <w:rPr>
                <w:rStyle w:val="Hyperlink"/>
                <w:noProof/>
              </w:rPr>
              <w:t>Comments on Lyft’s Proposal</w:t>
            </w:r>
            <w:r w:rsidR="000F69C1">
              <w:rPr>
                <w:noProof/>
                <w:webHidden/>
              </w:rPr>
              <w:tab/>
            </w:r>
            <w:r w:rsidR="000F69C1">
              <w:rPr>
                <w:noProof/>
                <w:webHidden/>
              </w:rPr>
              <w:fldChar w:fldCharType="begin"/>
            </w:r>
            <w:r w:rsidR="000F69C1">
              <w:rPr>
                <w:noProof/>
                <w:webHidden/>
              </w:rPr>
              <w:instrText xml:space="preserve"> PAGEREF _Toc125016603 \h </w:instrText>
            </w:r>
            <w:r w:rsidR="000F69C1">
              <w:rPr>
                <w:noProof/>
                <w:webHidden/>
              </w:rPr>
            </w:r>
            <w:r w:rsidR="000F69C1">
              <w:rPr>
                <w:noProof/>
                <w:webHidden/>
              </w:rPr>
              <w:fldChar w:fldCharType="separate"/>
            </w:r>
            <w:r w:rsidR="00D2514E">
              <w:rPr>
                <w:noProof/>
                <w:webHidden/>
              </w:rPr>
              <w:t>19</w:t>
            </w:r>
            <w:r w:rsidR="000F69C1">
              <w:rPr>
                <w:noProof/>
                <w:webHidden/>
              </w:rPr>
              <w:fldChar w:fldCharType="end"/>
            </w:r>
          </w:hyperlink>
        </w:p>
        <w:p w:rsidR="000F69C1" w:rsidRDefault="00542E0C" w14:paraId="6690F596" w14:textId="0B08A825">
          <w:pPr>
            <w:pStyle w:val="TOC3"/>
            <w:tabs>
              <w:tab w:val="left" w:pos="1296"/>
              <w:tab w:val="right" w:leader="dot" w:pos="9350"/>
            </w:tabs>
            <w:rPr>
              <w:rFonts w:asciiTheme="minorHAnsi" w:hAnsiTheme="minorHAnsi" w:cstheme="minorBidi"/>
              <w:noProof/>
              <w:sz w:val="22"/>
            </w:rPr>
          </w:pPr>
          <w:hyperlink w:history="1" w:anchor="_Toc125016604">
            <w:r w:rsidRPr="00F32EBD" w:rsidR="000F69C1">
              <w:rPr>
                <w:rStyle w:val="Hyperlink"/>
                <w:noProof/>
              </w:rPr>
              <w:t>3.3.4.</w:t>
            </w:r>
            <w:r w:rsidR="000F69C1">
              <w:rPr>
                <w:rFonts w:asciiTheme="minorHAnsi" w:hAnsiTheme="minorHAnsi" w:cstheme="minorBidi"/>
                <w:noProof/>
                <w:sz w:val="22"/>
              </w:rPr>
              <w:tab/>
            </w:r>
            <w:r w:rsidRPr="00F32EBD" w:rsidR="000F69C1">
              <w:rPr>
                <w:rStyle w:val="Hyperlink"/>
                <w:noProof/>
              </w:rPr>
              <w:t>Discussion</w:t>
            </w:r>
            <w:r w:rsidR="000F69C1">
              <w:rPr>
                <w:noProof/>
                <w:webHidden/>
              </w:rPr>
              <w:tab/>
            </w:r>
            <w:r w:rsidR="000F69C1">
              <w:rPr>
                <w:noProof/>
                <w:webHidden/>
              </w:rPr>
              <w:fldChar w:fldCharType="begin"/>
            </w:r>
            <w:r w:rsidR="000F69C1">
              <w:rPr>
                <w:noProof/>
                <w:webHidden/>
              </w:rPr>
              <w:instrText xml:space="preserve"> PAGEREF _Toc125016604 \h </w:instrText>
            </w:r>
            <w:r w:rsidR="000F69C1">
              <w:rPr>
                <w:noProof/>
                <w:webHidden/>
              </w:rPr>
            </w:r>
            <w:r w:rsidR="000F69C1">
              <w:rPr>
                <w:noProof/>
                <w:webHidden/>
              </w:rPr>
              <w:fldChar w:fldCharType="separate"/>
            </w:r>
            <w:r w:rsidR="00D2514E">
              <w:rPr>
                <w:noProof/>
                <w:webHidden/>
              </w:rPr>
              <w:t>20</w:t>
            </w:r>
            <w:r w:rsidR="000F69C1">
              <w:rPr>
                <w:noProof/>
                <w:webHidden/>
              </w:rPr>
              <w:fldChar w:fldCharType="end"/>
            </w:r>
          </w:hyperlink>
        </w:p>
        <w:p w:rsidR="000F69C1" w:rsidRDefault="00542E0C" w14:paraId="622A691C" w14:textId="319AAA02">
          <w:pPr>
            <w:pStyle w:val="TOC2"/>
            <w:tabs>
              <w:tab w:val="right" w:leader="dot" w:pos="9350"/>
            </w:tabs>
            <w:rPr>
              <w:rFonts w:asciiTheme="minorHAnsi" w:hAnsiTheme="minorHAnsi" w:cstheme="minorBidi"/>
              <w:noProof/>
              <w:sz w:val="22"/>
            </w:rPr>
          </w:pPr>
          <w:hyperlink w:history="1" w:anchor="_Toc125016605">
            <w:r w:rsidRPr="00F32EBD" w:rsidR="000F69C1">
              <w:rPr>
                <w:rStyle w:val="Hyperlink"/>
                <w:noProof/>
              </w:rPr>
              <w:t>3.4.</w:t>
            </w:r>
            <w:r w:rsidR="000F69C1">
              <w:rPr>
                <w:rFonts w:asciiTheme="minorHAnsi" w:hAnsiTheme="minorHAnsi" w:cstheme="minorBidi"/>
                <w:noProof/>
                <w:sz w:val="22"/>
              </w:rPr>
              <w:tab/>
            </w:r>
            <w:r w:rsidRPr="00F32EBD" w:rsidR="000F69C1">
              <w:rPr>
                <w:rStyle w:val="Hyperlink"/>
                <w:noProof/>
              </w:rPr>
              <w:t>Modifications to the Exemption Standard for Pre</w:t>
            </w:r>
            <w:r w:rsidRPr="00F32EBD" w:rsidR="000F69C1">
              <w:rPr>
                <w:rStyle w:val="Hyperlink"/>
                <w:noProof/>
              </w:rPr>
              <w:noBreakHyphen/>
              <w:t>Scheduled Trips</w:t>
            </w:r>
            <w:r w:rsidR="000F69C1">
              <w:rPr>
                <w:noProof/>
                <w:webHidden/>
              </w:rPr>
              <w:tab/>
            </w:r>
            <w:r w:rsidR="000F69C1">
              <w:rPr>
                <w:noProof/>
                <w:webHidden/>
              </w:rPr>
              <w:fldChar w:fldCharType="begin"/>
            </w:r>
            <w:r w:rsidR="000F69C1">
              <w:rPr>
                <w:noProof/>
                <w:webHidden/>
              </w:rPr>
              <w:instrText xml:space="preserve"> PAGEREF _Toc125016605 \h </w:instrText>
            </w:r>
            <w:r w:rsidR="000F69C1">
              <w:rPr>
                <w:noProof/>
                <w:webHidden/>
              </w:rPr>
            </w:r>
            <w:r w:rsidR="000F69C1">
              <w:rPr>
                <w:noProof/>
                <w:webHidden/>
              </w:rPr>
              <w:fldChar w:fldCharType="separate"/>
            </w:r>
            <w:r w:rsidR="00D2514E">
              <w:rPr>
                <w:noProof/>
                <w:webHidden/>
              </w:rPr>
              <w:t>26</w:t>
            </w:r>
            <w:r w:rsidR="000F69C1">
              <w:rPr>
                <w:noProof/>
                <w:webHidden/>
              </w:rPr>
              <w:fldChar w:fldCharType="end"/>
            </w:r>
          </w:hyperlink>
        </w:p>
        <w:p w:rsidR="000F69C1" w:rsidRDefault="00542E0C" w14:paraId="100F4D69" w14:textId="31089F60">
          <w:pPr>
            <w:pStyle w:val="TOC3"/>
            <w:tabs>
              <w:tab w:val="left" w:pos="1296"/>
              <w:tab w:val="right" w:leader="dot" w:pos="9350"/>
            </w:tabs>
            <w:rPr>
              <w:rFonts w:asciiTheme="minorHAnsi" w:hAnsiTheme="minorHAnsi" w:cstheme="minorBidi"/>
              <w:noProof/>
              <w:sz w:val="22"/>
            </w:rPr>
          </w:pPr>
          <w:hyperlink w:history="1" w:anchor="_Toc125016606">
            <w:r w:rsidRPr="00F32EBD" w:rsidR="000F69C1">
              <w:rPr>
                <w:rStyle w:val="Hyperlink"/>
                <w:noProof/>
              </w:rPr>
              <w:t>3.4.1.</w:t>
            </w:r>
            <w:r w:rsidR="000F69C1">
              <w:rPr>
                <w:rFonts w:asciiTheme="minorHAnsi" w:hAnsiTheme="minorHAnsi" w:cstheme="minorBidi"/>
                <w:noProof/>
                <w:sz w:val="22"/>
              </w:rPr>
              <w:tab/>
            </w:r>
            <w:r w:rsidRPr="00F32EBD" w:rsidR="000F69C1">
              <w:rPr>
                <w:rStyle w:val="Hyperlink"/>
                <w:noProof/>
              </w:rPr>
              <w:t>Discussion</w:t>
            </w:r>
            <w:r w:rsidR="000F69C1">
              <w:rPr>
                <w:noProof/>
                <w:webHidden/>
              </w:rPr>
              <w:tab/>
            </w:r>
            <w:r w:rsidR="000F69C1">
              <w:rPr>
                <w:noProof/>
                <w:webHidden/>
              </w:rPr>
              <w:fldChar w:fldCharType="begin"/>
            </w:r>
            <w:r w:rsidR="000F69C1">
              <w:rPr>
                <w:noProof/>
                <w:webHidden/>
              </w:rPr>
              <w:instrText xml:space="preserve"> PAGEREF _Toc125016606 \h </w:instrText>
            </w:r>
            <w:r w:rsidR="000F69C1">
              <w:rPr>
                <w:noProof/>
                <w:webHidden/>
              </w:rPr>
            </w:r>
            <w:r w:rsidR="000F69C1">
              <w:rPr>
                <w:noProof/>
                <w:webHidden/>
              </w:rPr>
              <w:fldChar w:fldCharType="separate"/>
            </w:r>
            <w:r w:rsidR="00D2514E">
              <w:rPr>
                <w:noProof/>
                <w:webHidden/>
              </w:rPr>
              <w:t>28</w:t>
            </w:r>
            <w:r w:rsidR="000F69C1">
              <w:rPr>
                <w:noProof/>
                <w:webHidden/>
              </w:rPr>
              <w:fldChar w:fldCharType="end"/>
            </w:r>
          </w:hyperlink>
        </w:p>
        <w:p w:rsidR="000F69C1" w:rsidRDefault="00542E0C" w14:paraId="361980C0" w14:textId="3E14ED5E">
          <w:pPr>
            <w:pStyle w:val="TOC2"/>
            <w:tabs>
              <w:tab w:val="right" w:leader="dot" w:pos="9350"/>
            </w:tabs>
            <w:rPr>
              <w:rFonts w:asciiTheme="minorHAnsi" w:hAnsiTheme="minorHAnsi" w:cstheme="minorBidi"/>
              <w:noProof/>
              <w:sz w:val="22"/>
            </w:rPr>
          </w:pPr>
          <w:hyperlink w:history="1" w:anchor="_Toc125016607">
            <w:r w:rsidRPr="00F32EBD" w:rsidR="000F69C1">
              <w:rPr>
                <w:rStyle w:val="Hyperlink"/>
                <w:noProof/>
              </w:rPr>
              <w:t>3.5.</w:t>
            </w:r>
            <w:r w:rsidR="000F69C1">
              <w:rPr>
                <w:rFonts w:asciiTheme="minorHAnsi" w:hAnsiTheme="minorHAnsi" w:cstheme="minorBidi"/>
                <w:noProof/>
                <w:sz w:val="22"/>
              </w:rPr>
              <w:tab/>
            </w:r>
            <w:r w:rsidRPr="00F32EBD" w:rsidR="000F69C1">
              <w:rPr>
                <w:rStyle w:val="Hyperlink"/>
                <w:noProof/>
              </w:rPr>
              <w:t>Lyft’s Wait &amp; Save Feature</w:t>
            </w:r>
            <w:r w:rsidR="000F69C1">
              <w:rPr>
                <w:noProof/>
                <w:webHidden/>
              </w:rPr>
              <w:tab/>
            </w:r>
            <w:r w:rsidR="000F69C1">
              <w:rPr>
                <w:noProof/>
                <w:webHidden/>
              </w:rPr>
              <w:fldChar w:fldCharType="begin"/>
            </w:r>
            <w:r w:rsidR="000F69C1">
              <w:rPr>
                <w:noProof/>
                <w:webHidden/>
              </w:rPr>
              <w:instrText xml:space="preserve"> PAGEREF _Toc125016607 \h </w:instrText>
            </w:r>
            <w:r w:rsidR="000F69C1">
              <w:rPr>
                <w:noProof/>
                <w:webHidden/>
              </w:rPr>
            </w:r>
            <w:r w:rsidR="000F69C1">
              <w:rPr>
                <w:noProof/>
                <w:webHidden/>
              </w:rPr>
              <w:fldChar w:fldCharType="separate"/>
            </w:r>
            <w:r w:rsidR="00D2514E">
              <w:rPr>
                <w:noProof/>
                <w:webHidden/>
              </w:rPr>
              <w:t>30</w:t>
            </w:r>
            <w:r w:rsidR="000F69C1">
              <w:rPr>
                <w:noProof/>
                <w:webHidden/>
              </w:rPr>
              <w:fldChar w:fldCharType="end"/>
            </w:r>
          </w:hyperlink>
        </w:p>
        <w:p w:rsidR="000F69C1" w:rsidRDefault="00542E0C" w14:paraId="0B6D03CB" w14:textId="3B964860">
          <w:pPr>
            <w:pStyle w:val="TOC3"/>
            <w:tabs>
              <w:tab w:val="left" w:pos="1296"/>
              <w:tab w:val="right" w:leader="dot" w:pos="9350"/>
            </w:tabs>
            <w:rPr>
              <w:rFonts w:asciiTheme="minorHAnsi" w:hAnsiTheme="minorHAnsi" w:cstheme="minorBidi"/>
              <w:noProof/>
              <w:sz w:val="22"/>
            </w:rPr>
          </w:pPr>
          <w:hyperlink w:history="1" w:anchor="_Toc125016608">
            <w:r w:rsidRPr="00F32EBD" w:rsidR="000F69C1">
              <w:rPr>
                <w:rStyle w:val="Hyperlink"/>
                <w:noProof/>
              </w:rPr>
              <w:t>3.5.1.</w:t>
            </w:r>
            <w:r w:rsidR="000F69C1">
              <w:rPr>
                <w:rFonts w:asciiTheme="minorHAnsi" w:hAnsiTheme="minorHAnsi" w:cstheme="minorBidi"/>
                <w:noProof/>
                <w:sz w:val="22"/>
              </w:rPr>
              <w:tab/>
            </w:r>
            <w:r w:rsidRPr="00F32EBD" w:rsidR="000F69C1">
              <w:rPr>
                <w:rStyle w:val="Hyperlink"/>
                <w:noProof/>
              </w:rPr>
              <w:t>Discussion</w:t>
            </w:r>
            <w:r w:rsidR="000F69C1">
              <w:rPr>
                <w:noProof/>
                <w:webHidden/>
              </w:rPr>
              <w:tab/>
            </w:r>
            <w:r w:rsidR="000F69C1">
              <w:rPr>
                <w:noProof/>
                <w:webHidden/>
              </w:rPr>
              <w:fldChar w:fldCharType="begin"/>
            </w:r>
            <w:r w:rsidR="000F69C1">
              <w:rPr>
                <w:noProof/>
                <w:webHidden/>
              </w:rPr>
              <w:instrText xml:space="preserve"> PAGEREF _Toc125016608 \h </w:instrText>
            </w:r>
            <w:r w:rsidR="000F69C1">
              <w:rPr>
                <w:noProof/>
                <w:webHidden/>
              </w:rPr>
            </w:r>
            <w:r w:rsidR="000F69C1">
              <w:rPr>
                <w:noProof/>
                <w:webHidden/>
              </w:rPr>
              <w:fldChar w:fldCharType="separate"/>
            </w:r>
            <w:r w:rsidR="00D2514E">
              <w:rPr>
                <w:noProof/>
                <w:webHidden/>
              </w:rPr>
              <w:t>32</w:t>
            </w:r>
            <w:r w:rsidR="000F69C1">
              <w:rPr>
                <w:noProof/>
                <w:webHidden/>
              </w:rPr>
              <w:fldChar w:fldCharType="end"/>
            </w:r>
          </w:hyperlink>
        </w:p>
        <w:p w:rsidR="000F69C1" w:rsidRDefault="00542E0C" w14:paraId="70374581" w14:textId="46DFE176">
          <w:pPr>
            <w:pStyle w:val="TOC2"/>
            <w:tabs>
              <w:tab w:val="right" w:leader="dot" w:pos="9350"/>
            </w:tabs>
            <w:rPr>
              <w:rFonts w:asciiTheme="minorHAnsi" w:hAnsiTheme="minorHAnsi" w:cstheme="minorBidi"/>
              <w:noProof/>
              <w:sz w:val="22"/>
            </w:rPr>
          </w:pPr>
          <w:hyperlink w:history="1" w:anchor="_Toc125016609">
            <w:r w:rsidRPr="00F32EBD" w:rsidR="000F69C1">
              <w:rPr>
                <w:rStyle w:val="Hyperlink"/>
                <w:noProof/>
              </w:rPr>
              <w:t>3.6.</w:t>
            </w:r>
            <w:r w:rsidR="000F69C1">
              <w:rPr>
                <w:rFonts w:asciiTheme="minorHAnsi" w:hAnsiTheme="minorHAnsi" w:cstheme="minorBidi"/>
                <w:noProof/>
                <w:sz w:val="22"/>
              </w:rPr>
              <w:tab/>
            </w:r>
            <w:r w:rsidRPr="00F32EBD" w:rsidR="000F69C1">
              <w:rPr>
                <w:rStyle w:val="Hyperlink"/>
                <w:noProof/>
              </w:rPr>
              <w:t>Data Reporting</w:t>
            </w:r>
            <w:r w:rsidR="000F69C1">
              <w:rPr>
                <w:noProof/>
                <w:webHidden/>
              </w:rPr>
              <w:tab/>
            </w:r>
            <w:r w:rsidR="000F69C1">
              <w:rPr>
                <w:noProof/>
                <w:webHidden/>
              </w:rPr>
              <w:fldChar w:fldCharType="begin"/>
            </w:r>
            <w:r w:rsidR="000F69C1">
              <w:rPr>
                <w:noProof/>
                <w:webHidden/>
              </w:rPr>
              <w:instrText xml:space="preserve"> PAGEREF _Toc125016609 \h </w:instrText>
            </w:r>
            <w:r w:rsidR="000F69C1">
              <w:rPr>
                <w:noProof/>
                <w:webHidden/>
              </w:rPr>
            </w:r>
            <w:r w:rsidR="000F69C1">
              <w:rPr>
                <w:noProof/>
                <w:webHidden/>
              </w:rPr>
              <w:fldChar w:fldCharType="separate"/>
            </w:r>
            <w:r w:rsidR="00D2514E">
              <w:rPr>
                <w:noProof/>
                <w:webHidden/>
              </w:rPr>
              <w:t>35</w:t>
            </w:r>
            <w:r w:rsidR="000F69C1">
              <w:rPr>
                <w:noProof/>
                <w:webHidden/>
              </w:rPr>
              <w:fldChar w:fldCharType="end"/>
            </w:r>
          </w:hyperlink>
        </w:p>
        <w:p w:rsidR="000F69C1" w:rsidRDefault="00542E0C" w14:paraId="13726000" w14:textId="0A91DA0A">
          <w:pPr>
            <w:pStyle w:val="TOC3"/>
            <w:tabs>
              <w:tab w:val="left" w:pos="1296"/>
              <w:tab w:val="right" w:leader="dot" w:pos="9350"/>
            </w:tabs>
            <w:rPr>
              <w:rFonts w:asciiTheme="minorHAnsi" w:hAnsiTheme="minorHAnsi" w:cstheme="minorBidi"/>
              <w:noProof/>
              <w:sz w:val="22"/>
            </w:rPr>
          </w:pPr>
          <w:hyperlink w:history="1" w:anchor="_Toc125016610">
            <w:r w:rsidRPr="00F32EBD" w:rsidR="000F69C1">
              <w:rPr>
                <w:rStyle w:val="Hyperlink"/>
                <w:noProof/>
              </w:rPr>
              <w:t>3.6.1.</w:t>
            </w:r>
            <w:r w:rsidR="000F69C1">
              <w:rPr>
                <w:rFonts w:asciiTheme="minorHAnsi" w:hAnsiTheme="minorHAnsi" w:cstheme="minorBidi"/>
                <w:noProof/>
                <w:sz w:val="22"/>
              </w:rPr>
              <w:tab/>
            </w:r>
            <w:r w:rsidRPr="00F32EBD" w:rsidR="000F69C1">
              <w:rPr>
                <w:rStyle w:val="Hyperlink"/>
                <w:noProof/>
              </w:rPr>
              <w:t>Discussion</w:t>
            </w:r>
            <w:r w:rsidR="000F69C1">
              <w:rPr>
                <w:noProof/>
                <w:webHidden/>
              </w:rPr>
              <w:tab/>
            </w:r>
            <w:r w:rsidR="000F69C1">
              <w:rPr>
                <w:noProof/>
                <w:webHidden/>
              </w:rPr>
              <w:fldChar w:fldCharType="begin"/>
            </w:r>
            <w:r w:rsidR="000F69C1">
              <w:rPr>
                <w:noProof/>
                <w:webHidden/>
              </w:rPr>
              <w:instrText xml:space="preserve"> PAGEREF _Toc125016610 \h </w:instrText>
            </w:r>
            <w:r w:rsidR="000F69C1">
              <w:rPr>
                <w:noProof/>
                <w:webHidden/>
              </w:rPr>
            </w:r>
            <w:r w:rsidR="000F69C1">
              <w:rPr>
                <w:noProof/>
                <w:webHidden/>
              </w:rPr>
              <w:fldChar w:fldCharType="separate"/>
            </w:r>
            <w:r w:rsidR="00D2514E">
              <w:rPr>
                <w:noProof/>
                <w:webHidden/>
              </w:rPr>
              <w:t>39</w:t>
            </w:r>
            <w:r w:rsidR="000F69C1">
              <w:rPr>
                <w:noProof/>
                <w:webHidden/>
              </w:rPr>
              <w:fldChar w:fldCharType="end"/>
            </w:r>
          </w:hyperlink>
        </w:p>
        <w:p w:rsidR="000F69C1" w:rsidRDefault="00542E0C" w14:paraId="25D9967A" w14:textId="16656FD7">
          <w:pPr>
            <w:pStyle w:val="TOC2"/>
            <w:tabs>
              <w:tab w:val="right" w:leader="dot" w:pos="9350"/>
            </w:tabs>
            <w:rPr>
              <w:rFonts w:asciiTheme="minorHAnsi" w:hAnsiTheme="minorHAnsi" w:cstheme="minorBidi"/>
              <w:noProof/>
              <w:sz w:val="22"/>
            </w:rPr>
          </w:pPr>
          <w:hyperlink w:history="1" w:anchor="_Toc125016611">
            <w:r w:rsidRPr="00F32EBD" w:rsidR="000F69C1">
              <w:rPr>
                <w:rStyle w:val="Hyperlink"/>
                <w:noProof/>
              </w:rPr>
              <w:t>3.7.</w:t>
            </w:r>
            <w:r w:rsidR="000F69C1">
              <w:rPr>
                <w:rFonts w:asciiTheme="minorHAnsi" w:hAnsiTheme="minorHAnsi" w:cstheme="minorBidi"/>
                <w:noProof/>
                <w:sz w:val="22"/>
              </w:rPr>
              <w:tab/>
            </w:r>
            <w:r w:rsidRPr="00F32EBD" w:rsidR="000F69C1">
              <w:rPr>
                <w:rStyle w:val="Hyperlink"/>
                <w:noProof/>
              </w:rPr>
              <w:t>Community Outreach Requirements</w:t>
            </w:r>
            <w:r w:rsidR="000F69C1">
              <w:rPr>
                <w:noProof/>
                <w:webHidden/>
              </w:rPr>
              <w:tab/>
            </w:r>
            <w:r w:rsidR="000F69C1">
              <w:rPr>
                <w:noProof/>
                <w:webHidden/>
              </w:rPr>
              <w:fldChar w:fldCharType="begin"/>
            </w:r>
            <w:r w:rsidR="000F69C1">
              <w:rPr>
                <w:noProof/>
                <w:webHidden/>
              </w:rPr>
              <w:instrText xml:space="preserve"> PAGEREF _Toc125016611 \h </w:instrText>
            </w:r>
            <w:r w:rsidR="000F69C1">
              <w:rPr>
                <w:noProof/>
                <w:webHidden/>
              </w:rPr>
            </w:r>
            <w:r w:rsidR="000F69C1">
              <w:rPr>
                <w:noProof/>
                <w:webHidden/>
              </w:rPr>
              <w:fldChar w:fldCharType="separate"/>
            </w:r>
            <w:r w:rsidR="00D2514E">
              <w:rPr>
                <w:noProof/>
                <w:webHidden/>
              </w:rPr>
              <w:t>42</w:t>
            </w:r>
            <w:r w:rsidR="000F69C1">
              <w:rPr>
                <w:noProof/>
                <w:webHidden/>
              </w:rPr>
              <w:fldChar w:fldCharType="end"/>
            </w:r>
          </w:hyperlink>
        </w:p>
        <w:p w:rsidR="000F69C1" w:rsidRDefault="00542E0C" w14:paraId="276E7BD2" w14:textId="0A45D2EE">
          <w:pPr>
            <w:pStyle w:val="TOC3"/>
            <w:tabs>
              <w:tab w:val="left" w:pos="1296"/>
              <w:tab w:val="right" w:leader="dot" w:pos="9350"/>
            </w:tabs>
            <w:rPr>
              <w:rFonts w:asciiTheme="minorHAnsi" w:hAnsiTheme="minorHAnsi" w:cstheme="minorBidi"/>
              <w:noProof/>
              <w:sz w:val="22"/>
            </w:rPr>
          </w:pPr>
          <w:hyperlink w:history="1" w:anchor="_Toc125016612">
            <w:r w:rsidRPr="00F32EBD" w:rsidR="000F69C1">
              <w:rPr>
                <w:rStyle w:val="Hyperlink"/>
                <w:noProof/>
              </w:rPr>
              <w:t>3.7.1.</w:t>
            </w:r>
            <w:r w:rsidR="000F69C1">
              <w:rPr>
                <w:rFonts w:asciiTheme="minorHAnsi" w:hAnsiTheme="minorHAnsi" w:cstheme="minorBidi"/>
                <w:noProof/>
                <w:sz w:val="22"/>
              </w:rPr>
              <w:tab/>
            </w:r>
            <w:r w:rsidRPr="00F32EBD" w:rsidR="000F69C1">
              <w:rPr>
                <w:rStyle w:val="Hyperlink"/>
                <w:noProof/>
              </w:rPr>
              <w:t>Discussion</w:t>
            </w:r>
            <w:r w:rsidR="000F69C1">
              <w:rPr>
                <w:noProof/>
                <w:webHidden/>
              </w:rPr>
              <w:tab/>
            </w:r>
            <w:r w:rsidR="000F69C1">
              <w:rPr>
                <w:noProof/>
                <w:webHidden/>
              </w:rPr>
              <w:fldChar w:fldCharType="begin"/>
            </w:r>
            <w:r w:rsidR="000F69C1">
              <w:rPr>
                <w:noProof/>
                <w:webHidden/>
              </w:rPr>
              <w:instrText xml:space="preserve"> PAGEREF _Toc125016612 \h </w:instrText>
            </w:r>
            <w:r w:rsidR="000F69C1">
              <w:rPr>
                <w:noProof/>
                <w:webHidden/>
              </w:rPr>
            </w:r>
            <w:r w:rsidR="000F69C1">
              <w:rPr>
                <w:noProof/>
                <w:webHidden/>
              </w:rPr>
              <w:fldChar w:fldCharType="separate"/>
            </w:r>
            <w:r w:rsidR="00D2514E">
              <w:rPr>
                <w:noProof/>
                <w:webHidden/>
              </w:rPr>
              <w:t>45</w:t>
            </w:r>
            <w:r w:rsidR="000F69C1">
              <w:rPr>
                <w:noProof/>
                <w:webHidden/>
              </w:rPr>
              <w:fldChar w:fldCharType="end"/>
            </w:r>
          </w:hyperlink>
        </w:p>
        <w:p w:rsidR="000F69C1" w:rsidRDefault="00542E0C" w14:paraId="5490F54A" w14:textId="764F2989">
          <w:pPr>
            <w:pStyle w:val="TOC2"/>
            <w:tabs>
              <w:tab w:val="right" w:leader="dot" w:pos="9350"/>
            </w:tabs>
            <w:rPr>
              <w:rFonts w:asciiTheme="minorHAnsi" w:hAnsiTheme="minorHAnsi" w:cstheme="minorBidi"/>
              <w:noProof/>
              <w:sz w:val="22"/>
            </w:rPr>
          </w:pPr>
          <w:hyperlink w:history="1" w:anchor="_Toc125016613">
            <w:r w:rsidRPr="00F32EBD" w:rsidR="000F69C1">
              <w:rPr>
                <w:rStyle w:val="Hyperlink"/>
                <w:noProof/>
              </w:rPr>
              <w:t>3.8.</w:t>
            </w:r>
            <w:r w:rsidR="000F69C1">
              <w:rPr>
                <w:rFonts w:asciiTheme="minorHAnsi" w:hAnsiTheme="minorHAnsi" w:cstheme="minorBidi"/>
                <w:noProof/>
                <w:sz w:val="22"/>
              </w:rPr>
              <w:tab/>
            </w:r>
            <w:r w:rsidRPr="00F32EBD" w:rsidR="000F69C1">
              <w:rPr>
                <w:rStyle w:val="Hyperlink"/>
                <w:noProof/>
              </w:rPr>
              <w:t>Multi-County Pooling Funds</w:t>
            </w:r>
            <w:r w:rsidR="000F69C1">
              <w:rPr>
                <w:noProof/>
                <w:webHidden/>
              </w:rPr>
              <w:tab/>
            </w:r>
            <w:r w:rsidR="000F69C1">
              <w:rPr>
                <w:noProof/>
                <w:webHidden/>
              </w:rPr>
              <w:fldChar w:fldCharType="begin"/>
            </w:r>
            <w:r w:rsidR="000F69C1">
              <w:rPr>
                <w:noProof/>
                <w:webHidden/>
              </w:rPr>
              <w:instrText xml:space="preserve"> PAGEREF _Toc125016613 \h </w:instrText>
            </w:r>
            <w:r w:rsidR="000F69C1">
              <w:rPr>
                <w:noProof/>
                <w:webHidden/>
              </w:rPr>
            </w:r>
            <w:r w:rsidR="000F69C1">
              <w:rPr>
                <w:noProof/>
                <w:webHidden/>
              </w:rPr>
              <w:fldChar w:fldCharType="separate"/>
            </w:r>
            <w:r w:rsidR="00D2514E">
              <w:rPr>
                <w:noProof/>
                <w:webHidden/>
              </w:rPr>
              <w:t>48</w:t>
            </w:r>
            <w:r w:rsidR="000F69C1">
              <w:rPr>
                <w:noProof/>
                <w:webHidden/>
              </w:rPr>
              <w:fldChar w:fldCharType="end"/>
            </w:r>
          </w:hyperlink>
        </w:p>
        <w:p w:rsidR="000F69C1" w:rsidRDefault="00542E0C" w14:paraId="581EF518" w14:textId="3F7F0D8B">
          <w:pPr>
            <w:pStyle w:val="TOC2"/>
            <w:tabs>
              <w:tab w:val="right" w:leader="dot" w:pos="9350"/>
            </w:tabs>
            <w:rPr>
              <w:rFonts w:asciiTheme="minorHAnsi" w:hAnsiTheme="minorHAnsi" w:cstheme="minorBidi"/>
              <w:noProof/>
              <w:sz w:val="22"/>
            </w:rPr>
          </w:pPr>
          <w:hyperlink w:history="1" w:anchor="_Toc125016614">
            <w:r w:rsidRPr="00F32EBD" w:rsidR="000F69C1">
              <w:rPr>
                <w:rStyle w:val="Hyperlink"/>
                <w:noProof/>
              </w:rPr>
              <w:t>3.9.</w:t>
            </w:r>
            <w:r w:rsidR="000F69C1">
              <w:rPr>
                <w:rFonts w:asciiTheme="minorHAnsi" w:hAnsiTheme="minorHAnsi" w:cstheme="minorBidi"/>
                <w:noProof/>
                <w:sz w:val="22"/>
              </w:rPr>
              <w:tab/>
            </w:r>
            <w:r w:rsidRPr="00F32EBD" w:rsidR="000F69C1">
              <w:rPr>
                <w:rStyle w:val="Hyperlink"/>
                <w:noProof/>
              </w:rPr>
              <w:t>Staff Delegation of Authority</w:t>
            </w:r>
            <w:r w:rsidR="000F69C1">
              <w:rPr>
                <w:noProof/>
                <w:webHidden/>
              </w:rPr>
              <w:tab/>
            </w:r>
            <w:r w:rsidR="000F69C1">
              <w:rPr>
                <w:noProof/>
                <w:webHidden/>
              </w:rPr>
              <w:fldChar w:fldCharType="begin"/>
            </w:r>
            <w:r w:rsidR="000F69C1">
              <w:rPr>
                <w:noProof/>
                <w:webHidden/>
              </w:rPr>
              <w:instrText xml:space="preserve"> PAGEREF _Toc125016614 \h </w:instrText>
            </w:r>
            <w:r w:rsidR="000F69C1">
              <w:rPr>
                <w:noProof/>
                <w:webHidden/>
              </w:rPr>
            </w:r>
            <w:r w:rsidR="000F69C1">
              <w:rPr>
                <w:noProof/>
                <w:webHidden/>
              </w:rPr>
              <w:fldChar w:fldCharType="separate"/>
            </w:r>
            <w:r w:rsidR="00D2514E">
              <w:rPr>
                <w:noProof/>
                <w:webHidden/>
              </w:rPr>
              <w:t>50</w:t>
            </w:r>
            <w:r w:rsidR="000F69C1">
              <w:rPr>
                <w:noProof/>
                <w:webHidden/>
              </w:rPr>
              <w:fldChar w:fldCharType="end"/>
            </w:r>
          </w:hyperlink>
        </w:p>
        <w:p w:rsidR="000F69C1" w:rsidRDefault="00542E0C" w14:paraId="36AD720F" w14:textId="0FA95180">
          <w:pPr>
            <w:pStyle w:val="TOC1"/>
            <w:tabs>
              <w:tab w:val="right" w:leader="dot" w:pos="9350"/>
            </w:tabs>
            <w:rPr>
              <w:rFonts w:asciiTheme="minorHAnsi" w:hAnsiTheme="minorHAnsi" w:cstheme="minorBidi"/>
              <w:noProof/>
              <w:sz w:val="22"/>
            </w:rPr>
          </w:pPr>
          <w:hyperlink w:history="1" w:anchor="_Toc125016615">
            <w:r w:rsidRPr="00F32EBD" w:rsidR="000F69C1">
              <w:rPr>
                <w:rStyle w:val="Hyperlink"/>
                <w:noProof/>
              </w:rPr>
              <w:t>4.</w:t>
            </w:r>
            <w:r w:rsidR="000F69C1">
              <w:rPr>
                <w:rFonts w:asciiTheme="minorHAnsi" w:hAnsiTheme="minorHAnsi" w:cstheme="minorBidi"/>
                <w:noProof/>
                <w:sz w:val="22"/>
              </w:rPr>
              <w:tab/>
            </w:r>
            <w:r w:rsidRPr="00F32EBD" w:rsidR="000F69C1">
              <w:rPr>
                <w:rStyle w:val="Hyperlink"/>
                <w:noProof/>
              </w:rPr>
              <w:t>Comments on Proposed Decision</w:t>
            </w:r>
            <w:r w:rsidR="000F69C1">
              <w:rPr>
                <w:noProof/>
                <w:webHidden/>
              </w:rPr>
              <w:tab/>
            </w:r>
            <w:r w:rsidR="000F69C1">
              <w:rPr>
                <w:noProof/>
                <w:webHidden/>
              </w:rPr>
              <w:fldChar w:fldCharType="begin"/>
            </w:r>
            <w:r w:rsidR="000F69C1">
              <w:rPr>
                <w:noProof/>
                <w:webHidden/>
              </w:rPr>
              <w:instrText xml:space="preserve"> PAGEREF _Toc125016615 \h </w:instrText>
            </w:r>
            <w:r w:rsidR="000F69C1">
              <w:rPr>
                <w:noProof/>
                <w:webHidden/>
              </w:rPr>
            </w:r>
            <w:r w:rsidR="000F69C1">
              <w:rPr>
                <w:noProof/>
                <w:webHidden/>
              </w:rPr>
              <w:fldChar w:fldCharType="separate"/>
            </w:r>
            <w:r w:rsidR="00D2514E">
              <w:rPr>
                <w:noProof/>
                <w:webHidden/>
              </w:rPr>
              <w:t>50</w:t>
            </w:r>
            <w:r w:rsidR="000F69C1">
              <w:rPr>
                <w:noProof/>
                <w:webHidden/>
              </w:rPr>
              <w:fldChar w:fldCharType="end"/>
            </w:r>
          </w:hyperlink>
        </w:p>
        <w:p w:rsidR="000F69C1" w:rsidRDefault="00542E0C" w14:paraId="36FD8935" w14:textId="52BD3F13">
          <w:pPr>
            <w:pStyle w:val="TOC1"/>
            <w:tabs>
              <w:tab w:val="right" w:leader="dot" w:pos="9350"/>
            </w:tabs>
            <w:rPr>
              <w:rFonts w:asciiTheme="minorHAnsi" w:hAnsiTheme="minorHAnsi" w:cstheme="minorBidi"/>
              <w:noProof/>
              <w:sz w:val="22"/>
            </w:rPr>
          </w:pPr>
          <w:hyperlink w:history="1" w:anchor="_Toc125016616">
            <w:r w:rsidRPr="00F32EBD" w:rsidR="000F69C1">
              <w:rPr>
                <w:rStyle w:val="Hyperlink"/>
                <w:noProof/>
              </w:rPr>
              <w:t>5.</w:t>
            </w:r>
            <w:r w:rsidR="000F69C1">
              <w:rPr>
                <w:rFonts w:asciiTheme="minorHAnsi" w:hAnsiTheme="minorHAnsi" w:cstheme="minorBidi"/>
                <w:noProof/>
                <w:sz w:val="22"/>
              </w:rPr>
              <w:tab/>
            </w:r>
            <w:r w:rsidRPr="00F32EBD" w:rsidR="000F69C1">
              <w:rPr>
                <w:rStyle w:val="Hyperlink"/>
                <w:noProof/>
              </w:rPr>
              <w:t>Assignment of Proceeding</w:t>
            </w:r>
            <w:r w:rsidR="000F69C1">
              <w:rPr>
                <w:noProof/>
                <w:webHidden/>
              </w:rPr>
              <w:tab/>
            </w:r>
            <w:r w:rsidR="000F69C1">
              <w:rPr>
                <w:noProof/>
                <w:webHidden/>
              </w:rPr>
              <w:fldChar w:fldCharType="begin"/>
            </w:r>
            <w:r w:rsidR="000F69C1">
              <w:rPr>
                <w:noProof/>
                <w:webHidden/>
              </w:rPr>
              <w:instrText xml:space="preserve"> PAGEREF _Toc125016616 \h </w:instrText>
            </w:r>
            <w:r w:rsidR="000F69C1">
              <w:rPr>
                <w:noProof/>
                <w:webHidden/>
              </w:rPr>
            </w:r>
            <w:r w:rsidR="000F69C1">
              <w:rPr>
                <w:noProof/>
                <w:webHidden/>
              </w:rPr>
              <w:fldChar w:fldCharType="separate"/>
            </w:r>
            <w:r w:rsidR="00D2514E">
              <w:rPr>
                <w:noProof/>
                <w:webHidden/>
              </w:rPr>
              <w:t>57</w:t>
            </w:r>
            <w:r w:rsidR="000F69C1">
              <w:rPr>
                <w:noProof/>
                <w:webHidden/>
              </w:rPr>
              <w:fldChar w:fldCharType="end"/>
            </w:r>
          </w:hyperlink>
        </w:p>
        <w:p w:rsidR="000F69C1" w:rsidRDefault="00542E0C" w14:paraId="37859557" w14:textId="2751040E">
          <w:pPr>
            <w:pStyle w:val="TOC1"/>
            <w:tabs>
              <w:tab w:val="right" w:leader="dot" w:pos="9350"/>
            </w:tabs>
            <w:rPr>
              <w:rFonts w:asciiTheme="minorHAnsi" w:hAnsiTheme="minorHAnsi" w:cstheme="minorBidi"/>
              <w:noProof/>
              <w:sz w:val="22"/>
            </w:rPr>
          </w:pPr>
          <w:hyperlink w:history="1" w:anchor="_Toc125016617">
            <w:r w:rsidRPr="00F32EBD" w:rsidR="000F69C1">
              <w:rPr>
                <w:rStyle w:val="Hyperlink"/>
                <w:noProof/>
              </w:rPr>
              <w:t>Findings of Fact</w:t>
            </w:r>
            <w:r w:rsidR="000F69C1">
              <w:rPr>
                <w:noProof/>
                <w:webHidden/>
              </w:rPr>
              <w:tab/>
            </w:r>
            <w:r w:rsidR="000F69C1">
              <w:rPr>
                <w:noProof/>
                <w:webHidden/>
              </w:rPr>
              <w:fldChar w:fldCharType="begin"/>
            </w:r>
            <w:r w:rsidR="000F69C1">
              <w:rPr>
                <w:noProof/>
                <w:webHidden/>
              </w:rPr>
              <w:instrText xml:space="preserve"> PAGEREF _Toc125016617 \h </w:instrText>
            </w:r>
            <w:r w:rsidR="000F69C1">
              <w:rPr>
                <w:noProof/>
                <w:webHidden/>
              </w:rPr>
            </w:r>
            <w:r w:rsidR="000F69C1">
              <w:rPr>
                <w:noProof/>
                <w:webHidden/>
              </w:rPr>
              <w:fldChar w:fldCharType="separate"/>
            </w:r>
            <w:r w:rsidR="00D2514E">
              <w:rPr>
                <w:noProof/>
                <w:webHidden/>
              </w:rPr>
              <w:t>58</w:t>
            </w:r>
            <w:r w:rsidR="000F69C1">
              <w:rPr>
                <w:noProof/>
                <w:webHidden/>
              </w:rPr>
              <w:fldChar w:fldCharType="end"/>
            </w:r>
          </w:hyperlink>
        </w:p>
        <w:p w:rsidR="000F69C1" w:rsidRDefault="00542E0C" w14:paraId="1ABEF157" w14:textId="2C45E89C">
          <w:pPr>
            <w:pStyle w:val="TOC1"/>
            <w:tabs>
              <w:tab w:val="right" w:leader="dot" w:pos="9350"/>
            </w:tabs>
            <w:rPr>
              <w:rFonts w:asciiTheme="minorHAnsi" w:hAnsiTheme="minorHAnsi" w:cstheme="minorBidi"/>
              <w:noProof/>
              <w:sz w:val="22"/>
            </w:rPr>
          </w:pPr>
          <w:hyperlink w:history="1" w:anchor="_Toc125016618">
            <w:r w:rsidRPr="00F32EBD" w:rsidR="000F69C1">
              <w:rPr>
                <w:rStyle w:val="Hyperlink"/>
                <w:noProof/>
              </w:rPr>
              <w:t>Conclusions of Law</w:t>
            </w:r>
            <w:r w:rsidR="000F69C1">
              <w:rPr>
                <w:noProof/>
                <w:webHidden/>
              </w:rPr>
              <w:tab/>
            </w:r>
            <w:r w:rsidR="000F69C1">
              <w:rPr>
                <w:noProof/>
                <w:webHidden/>
              </w:rPr>
              <w:fldChar w:fldCharType="begin"/>
            </w:r>
            <w:r w:rsidR="000F69C1">
              <w:rPr>
                <w:noProof/>
                <w:webHidden/>
              </w:rPr>
              <w:instrText xml:space="preserve"> PAGEREF _Toc125016618 \h </w:instrText>
            </w:r>
            <w:r w:rsidR="000F69C1">
              <w:rPr>
                <w:noProof/>
                <w:webHidden/>
              </w:rPr>
            </w:r>
            <w:r w:rsidR="000F69C1">
              <w:rPr>
                <w:noProof/>
                <w:webHidden/>
              </w:rPr>
              <w:fldChar w:fldCharType="separate"/>
            </w:r>
            <w:r w:rsidR="00D2514E">
              <w:rPr>
                <w:noProof/>
                <w:webHidden/>
              </w:rPr>
              <w:t>59</w:t>
            </w:r>
            <w:r w:rsidR="000F69C1">
              <w:rPr>
                <w:noProof/>
                <w:webHidden/>
              </w:rPr>
              <w:fldChar w:fldCharType="end"/>
            </w:r>
          </w:hyperlink>
        </w:p>
        <w:p w:rsidR="000F69C1" w:rsidRDefault="00542E0C" w14:paraId="2A3D5C11" w14:textId="1E7A165B">
          <w:pPr>
            <w:pStyle w:val="TOC1"/>
            <w:tabs>
              <w:tab w:val="right" w:leader="dot" w:pos="9350"/>
            </w:tabs>
            <w:rPr>
              <w:rFonts w:asciiTheme="minorHAnsi" w:hAnsiTheme="minorHAnsi" w:cstheme="minorBidi"/>
              <w:noProof/>
              <w:sz w:val="22"/>
            </w:rPr>
          </w:pPr>
          <w:hyperlink w:history="1" w:anchor="_Toc125016619">
            <w:r w:rsidRPr="00F32EBD" w:rsidR="000F69C1">
              <w:rPr>
                <w:rStyle w:val="Hyperlink"/>
                <w:noProof/>
              </w:rPr>
              <w:t>ORDER</w:t>
            </w:r>
            <w:r w:rsidR="000F69C1">
              <w:rPr>
                <w:noProof/>
                <w:webHidden/>
              </w:rPr>
              <w:tab/>
            </w:r>
            <w:r w:rsidR="000F69C1">
              <w:rPr>
                <w:noProof/>
                <w:webHidden/>
              </w:rPr>
              <w:fldChar w:fldCharType="begin"/>
            </w:r>
            <w:r w:rsidR="000F69C1">
              <w:rPr>
                <w:noProof/>
                <w:webHidden/>
              </w:rPr>
              <w:instrText xml:space="preserve"> PAGEREF _Toc125016619 \h </w:instrText>
            </w:r>
            <w:r w:rsidR="000F69C1">
              <w:rPr>
                <w:noProof/>
                <w:webHidden/>
              </w:rPr>
            </w:r>
            <w:r w:rsidR="000F69C1">
              <w:rPr>
                <w:noProof/>
                <w:webHidden/>
              </w:rPr>
              <w:fldChar w:fldCharType="separate"/>
            </w:r>
            <w:r w:rsidR="00D2514E">
              <w:rPr>
                <w:noProof/>
                <w:webHidden/>
              </w:rPr>
              <w:t>60</w:t>
            </w:r>
            <w:r w:rsidR="000F69C1">
              <w:rPr>
                <w:noProof/>
                <w:webHidden/>
              </w:rPr>
              <w:fldChar w:fldCharType="end"/>
            </w:r>
          </w:hyperlink>
        </w:p>
        <w:p w:rsidR="00EE6C8C" w:rsidP="00EE6C8C" w:rsidRDefault="00EE6C8C" w14:paraId="01CD6E60" w14:textId="0F01BA44">
          <w:pPr>
            <w:pStyle w:val="TOC1"/>
            <w:tabs>
              <w:tab w:val="right" w:leader="dot" w:pos="9350"/>
            </w:tabs>
            <w:rPr>
              <w:b/>
              <w:bCs/>
              <w:noProof/>
            </w:rPr>
          </w:pPr>
          <w:r w:rsidRPr="00EE6C8C">
            <w:rPr>
              <w:szCs w:val="26"/>
            </w:rPr>
            <w:fldChar w:fldCharType="end"/>
          </w:r>
        </w:p>
      </w:sdtContent>
    </w:sdt>
    <w:p w:rsidRPr="00EE6C8C" w:rsidR="00D44DB6" w:rsidP="00EE6C8C" w:rsidRDefault="00D44DB6" w14:paraId="6E6F08BF" w14:textId="7F3E0A09">
      <w:pPr>
        <w:pStyle w:val="TOC1"/>
        <w:tabs>
          <w:tab w:val="right" w:leader="dot" w:pos="9350"/>
        </w:tabs>
        <w:sectPr w:rsidRPr="00EE6C8C" w:rsidR="00D44DB6"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p>
    <w:p w:rsidR="005A148C" w:rsidP="005A148C" w:rsidRDefault="005A148C" w14:paraId="49C6E212" w14:textId="77777777">
      <w:pPr>
        <w:pStyle w:val="Dummy"/>
      </w:pPr>
      <w:bookmarkStart w:name="_Toc8123714" w:id="4"/>
      <w:bookmarkStart w:name="_Toc125016587" w:id="5"/>
      <w:r>
        <w:lastRenderedPageBreak/>
        <w:t>Summary</w:t>
      </w:r>
      <w:bookmarkEnd w:id="4"/>
      <w:bookmarkEnd w:id="5"/>
    </w:p>
    <w:p w:rsidR="007D6520" w:rsidP="007D6520" w:rsidRDefault="007D6520" w14:paraId="647DC56C" w14:textId="0AC5521F">
      <w:pPr>
        <w:pStyle w:val="Standard"/>
      </w:pPr>
      <w:bookmarkStart w:name="_Toc8123715" w:id="6"/>
      <w:r>
        <w:t xml:space="preserve">This decision adopts and modifies rules for the implementation of </w:t>
      </w:r>
      <w:r w:rsidRPr="005173E7">
        <w:t>Senate Bill 1376</w:t>
      </w:r>
      <w:r>
        <w:t>, the “TNC Access for All Act.”  The Commission addresses issues scoped as Track</w:t>
      </w:r>
      <w:r w:rsidR="00872193">
        <w:t> </w:t>
      </w:r>
      <w:r>
        <w:t>5 of this proceeding, including requirements for pre</w:t>
      </w:r>
      <w:r w:rsidR="00872193">
        <w:noBreakHyphen/>
      </w:r>
      <w:r>
        <w:t>scheduled wheelchair accessible vehicle (WAV) trips, requirements for Wait &amp; Save WAV trips, and other modifications.</w:t>
      </w:r>
    </w:p>
    <w:p w:rsidR="007D6520" w:rsidP="007D6520" w:rsidRDefault="007D6520" w14:paraId="480BBEB7" w14:textId="77777777">
      <w:pPr>
        <w:pStyle w:val="Standard"/>
      </w:pPr>
      <w:r>
        <w:t>This proceeding remains open.</w:t>
      </w:r>
    </w:p>
    <w:p w:rsidRPr="00121089" w:rsidR="005A148C" w:rsidP="00A55ACD" w:rsidRDefault="002C7FE9" w14:paraId="510F636C" w14:textId="77777777">
      <w:pPr>
        <w:pStyle w:val="Heading1"/>
        <w:numPr>
          <w:ilvl w:val="0"/>
          <w:numId w:val="1"/>
        </w:numPr>
      </w:pPr>
      <w:bookmarkStart w:name="_Toc125016588" w:id="7"/>
      <w:r w:rsidRPr="00121089">
        <w:t>Background</w:t>
      </w:r>
      <w:bookmarkEnd w:id="6"/>
      <w:bookmarkEnd w:id="7"/>
    </w:p>
    <w:p w:rsidR="007D6520" w:rsidP="007D6520" w:rsidRDefault="007D6520" w14:paraId="2EABE743" w14:textId="1FCFEB3A">
      <w:pPr>
        <w:pStyle w:val="Standard"/>
      </w:pPr>
      <w:bookmarkStart w:name="_Toc8123716" w:id="8"/>
      <w:r>
        <w:t>Senate</w:t>
      </w:r>
      <w:r w:rsidR="00872193">
        <w:t> </w:t>
      </w:r>
      <w:r>
        <w:t>Bill</w:t>
      </w:r>
      <w:r w:rsidR="00872193">
        <w:t> </w:t>
      </w:r>
      <w:r>
        <w:t>(SB) 1376,</w:t>
      </w:r>
      <w:r>
        <w:rPr>
          <w:rStyle w:val="FootnoteReference"/>
          <w:szCs w:val="26"/>
        </w:rPr>
        <w:footnoteReference w:id="2"/>
      </w:r>
      <w:r>
        <w:rPr>
          <w:sz w:val="17"/>
          <w:szCs w:val="17"/>
        </w:rPr>
        <w:t xml:space="preserve"> </w:t>
      </w:r>
      <w:r>
        <w:t>the “TNC Access for All Act” (Act), requires Transportation Network Companies (TNCs) to provide services accessible to persons with disabilities through online</w:t>
      </w:r>
      <w:r w:rsidR="00872193">
        <w:noBreakHyphen/>
      </w:r>
      <w:r>
        <w:t>enabled applications or platforms, with a focus on wheelchair users who require a wheelchair accessible vehicle.  Public</w:t>
      </w:r>
      <w:r w:rsidR="00872193">
        <w:t> </w:t>
      </w:r>
      <w:r>
        <w:t>Utilities (Pub.</w:t>
      </w:r>
      <w:r w:rsidR="00872193">
        <w:t> </w:t>
      </w:r>
      <w:r>
        <w:t>Util.) Code</w:t>
      </w:r>
      <w:r w:rsidR="00872193">
        <w:t> </w:t>
      </w:r>
      <w:r>
        <w:t>§</w:t>
      </w:r>
      <w:r w:rsidR="00872193">
        <w:t> </w:t>
      </w:r>
      <w:r>
        <w:t>5431.5(b)</w:t>
      </w:r>
      <w:r>
        <w:rPr>
          <w:rStyle w:val="FootnoteReference"/>
          <w:szCs w:val="26"/>
        </w:rPr>
        <w:footnoteReference w:id="3"/>
      </w:r>
      <w:r>
        <w:rPr>
          <w:sz w:val="17"/>
          <w:szCs w:val="17"/>
        </w:rPr>
        <w:t xml:space="preserve"> </w:t>
      </w:r>
      <w:r>
        <w:t xml:space="preserve">defines a wheelchair accessible vehicle (WAV) as “a vehicle equipped with a ramp or lift capable of transporting </w:t>
      </w:r>
      <w:proofErr w:type="spellStart"/>
      <w:r>
        <w:t>nonfolding</w:t>
      </w:r>
      <w:proofErr w:type="spellEnd"/>
      <w:r>
        <w:t xml:space="preserve"> motorized wheelchairs, mobility scooters, or other mobility devices.”  Additional information on SB</w:t>
      </w:r>
      <w:r w:rsidR="00872193">
        <w:t> </w:t>
      </w:r>
      <w:r>
        <w:t>1376 can be found in the Order Instituting Rulemaking (OIR) for this proceeding, Decision</w:t>
      </w:r>
      <w:r w:rsidR="00872193">
        <w:t> </w:t>
      </w:r>
      <w:r>
        <w:t>(D.) 19</w:t>
      </w:r>
      <w:r w:rsidR="00872193">
        <w:noBreakHyphen/>
      </w:r>
      <w:r>
        <w:t>06</w:t>
      </w:r>
      <w:r w:rsidR="00872193">
        <w:noBreakHyphen/>
      </w:r>
      <w:r>
        <w:t>033, D.20</w:t>
      </w:r>
      <w:r w:rsidR="00872193">
        <w:noBreakHyphen/>
      </w:r>
      <w:r>
        <w:t>03</w:t>
      </w:r>
      <w:r w:rsidR="00872193">
        <w:noBreakHyphen/>
      </w:r>
      <w:r>
        <w:t>007, D.21</w:t>
      </w:r>
      <w:r w:rsidR="00872193">
        <w:noBreakHyphen/>
      </w:r>
      <w:r>
        <w:t>03</w:t>
      </w:r>
      <w:r w:rsidR="00872193">
        <w:noBreakHyphen/>
      </w:r>
      <w:r>
        <w:t>005, and D.21</w:t>
      </w:r>
      <w:r w:rsidR="00872193">
        <w:noBreakHyphen/>
      </w:r>
      <w:r>
        <w:t>11</w:t>
      </w:r>
      <w:r w:rsidR="00872193">
        <w:noBreakHyphen/>
      </w:r>
      <w:r>
        <w:t>004.</w:t>
      </w:r>
    </w:p>
    <w:p w:rsidR="007D6520" w:rsidP="007D6520" w:rsidRDefault="007D6520" w14:paraId="13D3D0AE" w14:textId="5DA2108A">
      <w:pPr>
        <w:pStyle w:val="Standard"/>
      </w:pPr>
      <w:r w:rsidRPr="000F70BF">
        <w:t>On March</w:t>
      </w:r>
      <w:r w:rsidR="00872193">
        <w:t> </w:t>
      </w:r>
      <w:r w:rsidRPr="000F70BF">
        <w:t>4,</w:t>
      </w:r>
      <w:r w:rsidR="00872193">
        <w:t> </w:t>
      </w:r>
      <w:r w:rsidRPr="000F70BF">
        <w:t xml:space="preserve">2019, the Commission opened </w:t>
      </w:r>
      <w:r w:rsidR="003935B7">
        <w:t>the instant</w:t>
      </w:r>
      <w:r w:rsidRPr="000F70BF" w:rsidR="003935B7">
        <w:t xml:space="preserve"> </w:t>
      </w:r>
      <w:r w:rsidRPr="000F70BF">
        <w:t>OIR to implement SB</w:t>
      </w:r>
      <w:r w:rsidR="00872193">
        <w:t> </w:t>
      </w:r>
      <w:r w:rsidRPr="000F70BF">
        <w:t>1376.  On May</w:t>
      </w:r>
      <w:r w:rsidR="00872193">
        <w:t> </w:t>
      </w:r>
      <w:r w:rsidRPr="000F70BF">
        <w:t>7,</w:t>
      </w:r>
      <w:r w:rsidR="00872193">
        <w:t> </w:t>
      </w:r>
      <w:r w:rsidRPr="000F70BF">
        <w:t>2019, a Scoping</w:t>
      </w:r>
      <w:r w:rsidR="00872193">
        <w:t> </w:t>
      </w:r>
      <w:r w:rsidRPr="000F70BF">
        <w:t>Memo and Ruling (Scoping</w:t>
      </w:r>
      <w:r w:rsidR="00872193">
        <w:t> </w:t>
      </w:r>
      <w:r w:rsidRPr="000F70BF">
        <w:t xml:space="preserve">Memo) was issued by the </w:t>
      </w:r>
      <w:r w:rsidR="00872193">
        <w:t>a</w:t>
      </w:r>
      <w:r w:rsidRPr="000F70BF">
        <w:t>ssigned Commissioner that identified the issues to be addressed in this</w:t>
      </w:r>
      <w:r>
        <w:t xml:space="preserve"> proceeding and established three</w:t>
      </w:r>
      <w:r w:rsidR="00872193">
        <w:t> </w:t>
      </w:r>
      <w:r>
        <w:t xml:space="preserve">tracks for this proceeding (Tracks 1, 2, and 3).  </w:t>
      </w:r>
      <w:r w:rsidRPr="000F70BF">
        <w:t xml:space="preserve">On </w:t>
      </w:r>
      <w:r>
        <w:t>March</w:t>
      </w:r>
      <w:r w:rsidR="00872193">
        <w:t> </w:t>
      </w:r>
      <w:r>
        <w:t>19,</w:t>
      </w:r>
      <w:r w:rsidR="00872193">
        <w:t> </w:t>
      </w:r>
      <w:r>
        <w:t>2021</w:t>
      </w:r>
      <w:r w:rsidRPr="000F70BF">
        <w:t xml:space="preserve">, the </w:t>
      </w:r>
      <w:r w:rsidR="00872193">
        <w:t>a</w:t>
      </w:r>
      <w:r w:rsidRPr="000F70BF">
        <w:t xml:space="preserve">ssigned Commissioner issued </w:t>
      </w:r>
      <w:r>
        <w:t>the Track</w:t>
      </w:r>
      <w:r w:rsidR="00872193">
        <w:t> </w:t>
      </w:r>
      <w:r>
        <w:t>4</w:t>
      </w:r>
      <w:r w:rsidRPr="000F70BF">
        <w:t xml:space="preserve"> Amended</w:t>
      </w:r>
      <w:r w:rsidR="00872193">
        <w:t> </w:t>
      </w:r>
      <w:r w:rsidRPr="000F70BF">
        <w:t>Scoping</w:t>
      </w:r>
      <w:r w:rsidR="00872193">
        <w:t> </w:t>
      </w:r>
      <w:r w:rsidRPr="000F70BF">
        <w:t>Memo and Ruling (Amended Scoping</w:t>
      </w:r>
      <w:r w:rsidR="00872193">
        <w:t> </w:t>
      </w:r>
      <w:r w:rsidRPr="000F70BF">
        <w:t xml:space="preserve">Memo) that set forth </w:t>
      </w:r>
      <w:r w:rsidRPr="000F70BF">
        <w:lastRenderedPageBreak/>
        <w:t>the Track</w:t>
      </w:r>
      <w:r w:rsidR="00872193">
        <w:t> </w:t>
      </w:r>
      <w:r>
        <w:t>4</w:t>
      </w:r>
      <w:r w:rsidRPr="000F70BF">
        <w:t xml:space="preserve"> schedule and scope.  D.19</w:t>
      </w:r>
      <w:r w:rsidR="00872193">
        <w:noBreakHyphen/>
      </w:r>
      <w:r w:rsidRPr="000F70BF">
        <w:t>06</w:t>
      </w:r>
      <w:r w:rsidR="00872193">
        <w:noBreakHyphen/>
      </w:r>
      <w:r w:rsidRPr="000F70BF">
        <w:t xml:space="preserve">033 </w:t>
      </w:r>
      <w:r>
        <w:t>addressed</w:t>
      </w:r>
      <w:r w:rsidRPr="000F70BF">
        <w:t xml:space="preserve"> Track</w:t>
      </w:r>
      <w:r w:rsidR="00872193">
        <w:t> </w:t>
      </w:r>
      <w:r w:rsidRPr="000F70BF">
        <w:t>1 issues</w:t>
      </w:r>
      <w:r>
        <w:t xml:space="preserve">, </w:t>
      </w:r>
      <w:r w:rsidRPr="000F70BF">
        <w:t>D.20</w:t>
      </w:r>
      <w:r w:rsidR="00872193">
        <w:noBreakHyphen/>
      </w:r>
      <w:r w:rsidRPr="000F70BF">
        <w:t>03</w:t>
      </w:r>
      <w:r w:rsidR="00872193">
        <w:noBreakHyphen/>
      </w:r>
      <w:r w:rsidRPr="000F70BF">
        <w:t>007</w:t>
      </w:r>
      <w:r>
        <w:t xml:space="preserve"> </w:t>
      </w:r>
      <w:r w:rsidRPr="000F70BF">
        <w:t>addressed Track</w:t>
      </w:r>
      <w:r w:rsidR="00872193">
        <w:t> </w:t>
      </w:r>
      <w:r w:rsidRPr="000F70BF">
        <w:t>2 issues</w:t>
      </w:r>
      <w:r>
        <w:t>, D.21</w:t>
      </w:r>
      <w:r w:rsidR="00872193">
        <w:noBreakHyphen/>
      </w:r>
      <w:r>
        <w:t>03</w:t>
      </w:r>
      <w:r w:rsidR="00872193">
        <w:noBreakHyphen/>
      </w:r>
      <w:r>
        <w:t>005 addressed Track</w:t>
      </w:r>
      <w:r w:rsidR="00872193">
        <w:t> </w:t>
      </w:r>
      <w:r>
        <w:t>3 issues, and D.21</w:t>
      </w:r>
      <w:r w:rsidR="00872193">
        <w:noBreakHyphen/>
      </w:r>
      <w:r>
        <w:t>11</w:t>
      </w:r>
      <w:r w:rsidR="00872193">
        <w:noBreakHyphen/>
      </w:r>
      <w:r>
        <w:t>004 addressed Track</w:t>
      </w:r>
      <w:r w:rsidR="00872193">
        <w:t> </w:t>
      </w:r>
      <w:r>
        <w:t xml:space="preserve">4 issues. </w:t>
      </w:r>
    </w:p>
    <w:p w:rsidR="007D6520" w:rsidP="007D6520" w:rsidRDefault="007D6520" w14:paraId="3FF966CC" w14:textId="183772C5">
      <w:pPr>
        <w:pStyle w:val="Standard"/>
      </w:pPr>
      <w:r>
        <w:t>On January</w:t>
      </w:r>
      <w:r w:rsidR="00872193">
        <w:t> </w:t>
      </w:r>
      <w:r>
        <w:t>14,</w:t>
      </w:r>
      <w:r w:rsidR="00872193">
        <w:t> </w:t>
      </w:r>
      <w:r>
        <w:t xml:space="preserve">2022, the </w:t>
      </w:r>
      <w:r w:rsidR="00872193">
        <w:t>a</w:t>
      </w:r>
      <w:r>
        <w:t>ssigned Commissioner issued an amended Track</w:t>
      </w:r>
      <w:r w:rsidR="00872193">
        <w:t> </w:t>
      </w:r>
      <w:r>
        <w:t>5 Scoping</w:t>
      </w:r>
      <w:r w:rsidR="00872193">
        <w:t> </w:t>
      </w:r>
      <w:r>
        <w:t>Memo that set forth the Track</w:t>
      </w:r>
      <w:r w:rsidR="00872193">
        <w:t> </w:t>
      </w:r>
      <w:r>
        <w:t>5 schedule and scope and sub</w:t>
      </w:r>
      <w:r w:rsidR="00872193">
        <w:noBreakHyphen/>
      </w:r>
      <w:r>
        <w:t>divided Track</w:t>
      </w:r>
      <w:r w:rsidR="00872193">
        <w:t> </w:t>
      </w:r>
      <w:r>
        <w:t>5 into Track</w:t>
      </w:r>
      <w:r w:rsidR="00872193">
        <w:t> </w:t>
      </w:r>
      <w:r>
        <w:t>5A and Track</w:t>
      </w:r>
      <w:r w:rsidR="00872193">
        <w:t> </w:t>
      </w:r>
      <w:r>
        <w:t>5B.</w:t>
      </w:r>
    </w:p>
    <w:p w:rsidRPr="007D6520" w:rsidR="0063491C" w:rsidP="00611236" w:rsidRDefault="007D6520" w14:paraId="20CA79D6" w14:textId="4E8558BF">
      <w:pPr>
        <w:pStyle w:val="Heading2"/>
      </w:pPr>
      <w:bookmarkStart w:name="_Toc125016589" w:id="9"/>
      <w:bookmarkEnd w:id="8"/>
      <w:r w:rsidRPr="00FA066A">
        <w:t>Background on Track 5A Issues</w:t>
      </w:r>
      <w:bookmarkEnd w:id="9"/>
    </w:p>
    <w:p w:rsidR="007D6520" w:rsidP="007D6520" w:rsidRDefault="007D6520" w14:paraId="744978C8" w14:textId="703A5CCE">
      <w:pPr>
        <w:autoSpaceDE w:val="0"/>
        <w:autoSpaceDN w:val="0"/>
        <w:adjustRightInd w:val="0"/>
        <w:rPr>
          <w:rFonts w:cs="Book Antiqua"/>
          <w:color w:val="000000"/>
          <w:szCs w:val="26"/>
        </w:rPr>
      </w:pPr>
      <w:bookmarkStart w:name="_Toc8123717" w:id="10"/>
      <w:r w:rsidRPr="00524218">
        <w:rPr>
          <w:rFonts w:cs="Book Antiqua"/>
          <w:color w:val="000000"/>
          <w:szCs w:val="26"/>
        </w:rPr>
        <w:t>On January</w:t>
      </w:r>
      <w:r w:rsidR="00872193">
        <w:rPr>
          <w:rFonts w:cs="Book Antiqua"/>
          <w:color w:val="000000"/>
          <w:szCs w:val="26"/>
        </w:rPr>
        <w:t> </w:t>
      </w:r>
      <w:r w:rsidRPr="00524218">
        <w:rPr>
          <w:rFonts w:cs="Book Antiqua"/>
          <w:color w:val="000000"/>
          <w:szCs w:val="26"/>
        </w:rPr>
        <w:t>28,</w:t>
      </w:r>
      <w:r w:rsidR="00872193">
        <w:rPr>
          <w:rFonts w:cs="Book Antiqua"/>
          <w:color w:val="000000"/>
          <w:szCs w:val="26"/>
        </w:rPr>
        <w:t> </w:t>
      </w:r>
      <w:r w:rsidRPr="00524218">
        <w:rPr>
          <w:rFonts w:cs="Book Antiqua"/>
          <w:color w:val="000000"/>
          <w:szCs w:val="26"/>
        </w:rPr>
        <w:t xml:space="preserve">2022, responses to the </w:t>
      </w:r>
      <w:r>
        <w:rPr>
          <w:rFonts w:cs="Book Antiqua"/>
          <w:color w:val="000000"/>
          <w:szCs w:val="26"/>
        </w:rPr>
        <w:t>Track</w:t>
      </w:r>
      <w:r w:rsidR="00872193">
        <w:rPr>
          <w:rFonts w:cs="Book Antiqua"/>
          <w:color w:val="000000"/>
          <w:szCs w:val="26"/>
        </w:rPr>
        <w:t> </w:t>
      </w:r>
      <w:r>
        <w:rPr>
          <w:rFonts w:cs="Book Antiqua"/>
          <w:color w:val="000000"/>
          <w:szCs w:val="26"/>
        </w:rPr>
        <w:t xml:space="preserve">5A </w:t>
      </w:r>
      <w:r w:rsidRPr="00524218">
        <w:rPr>
          <w:rFonts w:cs="Book Antiqua"/>
          <w:color w:val="000000"/>
          <w:szCs w:val="26"/>
        </w:rPr>
        <w:t>Scoping</w:t>
      </w:r>
      <w:r w:rsidR="00872193">
        <w:rPr>
          <w:rFonts w:cs="Book Antiqua"/>
          <w:color w:val="000000"/>
          <w:szCs w:val="26"/>
        </w:rPr>
        <w:t> </w:t>
      </w:r>
      <w:r w:rsidRPr="00524218">
        <w:rPr>
          <w:rFonts w:cs="Book Antiqua"/>
          <w:color w:val="000000"/>
          <w:szCs w:val="26"/>
        </w:rPr>
        <w:t>Memo Questions</w:t>
      </w:r>
      <w:r>
        <w:rPr>
          <w:rFonts w:cs="Book Antiqua"/>
          <w:color w:val="000000"/>
          <w:szCs w:val="26"/>
        </w:rPr>
        <w:t xml:space="preserve"> for TNCs</w:t>
      </w:r>
      <w:r w:rsidRPr="00524218">
        <w:rPr>
          <w:rFonts w:cs="Book Antiqua"/>
          <w:color w:val="000000"/>
          <w:szCs w:val="26"/>
        </w:rPr>
        <w:t xml:space="preserve"> were submitted by </w:t>
      </w:r>
      <w:proofErr w:type="spellStart"/>
      <w:r w:rsidRPr="00524218">
        <w:rPr>
          <w:rFonts w:cs="Book Antiqua"/>
          <w:color w:val="000000"/>
          <w:szCs w:val="26"/>
        </w:rPr>
        <w:t>HopSkipDrive</w:t>
      </w:r>
      <w:proofErr w:type="spellEnd"/>
      <w:r w:rsidRPr="00524218">
        <w:rPr>
          <w:rFonts w:cs="Book Antiqua"/>
          <w:color w:val="000000"/>
          <w:szCs w:val="26"/>
        </w:rPr>
        <w:t>, Inc. (</w:t>
      </w:r>
      <w:proofErr w:type="spellStart"/>
      <w:r w:rsidRPr="00524218">
        <w:rPr>
          <w:rFonts w:cs="Book Antiqua"/>
          <w:color w:val="000000"/>
          <w:szCs w:val="26"/>
        </w:rPr>
        <w:t>HopSkipDrive</w:t>
      </w:r>
      <w:proofErr w:type="spellEnd"/>
      <w:r w:rsidRPr="00524218">
        <w:rPr>
          <w:rFonts w:cs="Book Antiqua"/>
          <w:color w:val="000000"/>
          <w:szCs w:val="26"/>
        </w:rPr>
        <w:t>), Lyft</w:t>
      </w:r>
      <w:r>
        <w:rPr>
          <w:rFonts w:cs="Book Antiqua"/>
          <w:color w:val="000000"/>
          <w:szCs w:val="26"/>
        </w:rPr>
        <w:t>, Inc. (Lyft)</w:t>
      </w:r>
      <w:r w:rsidRPr="00524218">
        <w:rPr>
          <w:rFonts w:cs="Book Antiqua"/>
          <w:color w:val="000000"/>
          <w:szCs w:val="26"/>
        </w:rPr>
        <w:t>, and</w:t>
      </w:r>
      <w:r>
        <w:rPr>
          <w:rFonts w:cs="Book Antiqua"/>
          <w:color w:val="000000"/>
          <w:szCs w:val="26"/>
        </w:rPr>
        <w:t xml:space="preserve"> </w:t>
      </w:r>
      <w:r w:rsidRPr="00524218">
        <w:rPr>
          <w:rFonts w:cs="Book Antiqua"/>
          <w:color w:val="000000"/>
          <w:szCs w:val="26"/>
        </w:rPr>
        <w:t>Uber</w:t>
      </w:r>
      <w:r>
        <w:rPr>
          <w:rFonts w:cs="Book Antiqua"/>
          <w:color w:val="000000"/>
          <w:szCs w:val="26"/>
        </w:rPr>
        <w:t xml:space="preserve"> Technologies, Inc. (Uber)</w:t>
      </w:r>
      <w:r w:rsidRPr="00524218">
        <w:rPr>
          <w:rFonts w:cs="Book Antiqua"/>
          <w:color w:val="000000"/>
          <w:szCs w:val="26"/>
        </w:rPr>
        <w:t xml:space="preserve">. </w:t>
      </w:r>
      <w:r>
        <w:rPr>
          <w:rFonts w:cs="Book Antiqua"/>
          <w:color w:val="000000"/>
          <w:szCs w:val="26"/>
        </w:rPr>
        <w:t xml:space="preserve"> </w:t>
      </w:r>
      <w:r w:rsidRPr="00524218">
        <w:rPr>
          <w:rFonts w:cs="Book Antiqua"/>
          <w:color w:val="000000"/>
          <w:szCs w:val="26"/>
        </w:rPr>
        <w:t>Track</w:t>
      </w:r>
      <w:r w:rsidR="00872193">
        <w:rPr>
          <w:rFonts w:cs="Book Antiqua"/>
          <w:color w:val="000000"/>
          <w:szCs w:val="26"/>
        </w:rPr>
        <w:t> </w:t>
      </w:r>
      <w:r w:rsidRPr="00524218">
        <w:rPr>
          <w:rFonts w:cs="Book Antiqua"/>
          <w:color w:val="000000"/>
          <w:szCs w:val="26"/>
        </w:rPr>
        <w:t>5A proposals were submitted on February</w:t>
      </w:r>
      <w:r w:rsidR="00872193">
        <w:rPr>
          <w:rFonts w:cs="Book Antiqua"/>
          <w:color w:val="000000"/>
          <w:szCs w:val="26"/>
        </w:rPr>
        <w:t> </w:t>
      </w:r>
      <w:r w:rsidRPr="00524218">
        <w:rPr>
          <w:rFonts w:cs="Book Antiqua"/>
          <w:color w:val="000000"/>
          <w:szCs w:val="26"/>
        </w:rPr>
        <w:t>14,</w:t>
      </w:r>
      <w:r w:rsidR="00872193">
        <w:rPr>
          <w:rFonts w:cs="Book Antiqua"/>
          <w:color w:val="000000"/>
          <w:szCs w:val="26"/>
        </w:rPr>
        <w:t> </w:t>
      </w:r>
      <w:r w:rsidRPr="00524218">
        <w:rPr>
          <w:rFonts w:cs="Book Antiqua"/>
          <w:color w:val="000000"/>
          <w:szCs w:val="26"/>
        </w:rPr>
        <w:t xml:space="preserve">2022 by: </w:t>
      </w:r>
      <w:r w:rsidR="00872193">
        <w:rPr>
          <w:rFonts w:cs="Book Antiqua"/>
          <w:color w:val="000000"/>
          <w:szCs w:val="26"/>
        </w:rPr>
        <w:t xml:space="preserve"> </w:t>
      </w:r>
      <w:r>
        <w:rPr>
          <w:rFonts w:cs="Book Antiqua"/>
          <w:color w:val="000000"/>
          <w:szCs w:val="26"/>
        </w:rPr>
        <w:t xml:space="preserve">the Disability Rights Education &amp; Defense Fund, Disability Rights California, and the Center for Accessible Technology (collectively, </w:t>
      </w:r>
      <w:r w:rsidRPr="00524218">
        <w:rPr>
          <w:rFonts w:cs="Book Antiqua"/>
          <w:color w:val="000000"/>
          <w:szCs w:val="26"/>
        </w:rPr>
        <w:t>Disability Advocates</w:t>
      </w:r>
      <w:r>
        <w:rPr>
          <w:rFonts w:cs="Book Antiqua"/>
          <w:color w:val="000000"/>
          <w:szCs w:val="26"/>
        </w:rPr>
        <w:t>);</w:t>
      </w:r>
      <w:r w:rsidRPr="00524218">
        <w:rPr>
          <w:rFonts w:cs="Book Antiqua"/>
          <w:color w:val="000000"/>
          <w:szCs w:val="26"/>
        </w:rPr>
        <w:t xml:space="preserve"> Lyft</w:t>
      </w:r>
      <w:r>
        <w:rPr>
          <w:rFonts w:cs="Book Antiqua"/>
          <w:color w:val="000000"/>
          <w:szCs w:val="26"/>
        </w:rPr>
        <w:t xml:space="preserve">; </w:t>
      </w:r>
      <w:r>
        <w:rPr>
          <w:szCs w:val="26"/>
        </w:rPr>
        <w:t>San</w:t>
      </w:r>
      <w:r w:rsidR="00872193">
        <w:rPr>
          <w:szCs w:val="26"/>
        </w:rPr>
        <w:t> </w:t>
      </w:r>
      <w:r>
        <w:rPr>
          <w:szCs w:val="26"/>
        </w:rPr>
        <w:t>Francisco Municipal Transportation Agency, San</w:t>
      </w:r>
      <w:r w:rsidR="00872193">
        <w:rPr>
          <w:szCs w:val="26"/>
        </w:rPr>
        <w:t> </w:t>
      </w:r>
      <w:r>
        <w:rPr>
          <w:szCs w:val="26"/>
        </w:rPr>
        <w:t>Francisco County Transportation Authority, and San</w:t>
      </w:r>
      <w:r w:rsidR="00872193">
        <w:rPr>
          <w:szCs w:val="26"/>
        </w:rPr>
        <w:t> </w:t>
      </w:r>
      <w:r>
        <w:rPr>
          <w:szCs w:val="26"/>
        </w:rPr>
        <w:t>Francisco Mayor’s</w:t>
      </w:r>
      <w:r w:rsidR="00872193">
        <w:rPr>
          <w:szCs w:val="26"/>
        </w:rPr>
        <w:t> </w:t>
      </w:r>
      <w:r>
        <w:rPr>
          <w:szCs w:val="26"/>
        </w:rPr>
        <w:t>Office (collectively, San</w:t>
      </w:r>
      <w:r w:rsidR="00872193">
        <w:rPr>
          <w:szCs w:val="26"/>
        </w:rPr>
        <w:t> </w:t>
      </w:r>
      <w:r>
        <w:rPr>
          <w:szCs w:val="26"/>
        </w:rPr>
        <w:t xml:space="preserve">Francisco); </w:t>
      </w:r>
      <w:r w:rsidRPr="00524218">
        <w:rPr>
          <w:rFonts w:cs="Book Antiqua"/>
          <w:color w:val="000000"/>
          <w:szCs w:val="26"/>
        </w:rPr>
        <w:t>S</w:t>
      </w:r>
      <w:r>
        <w:rPr>
          <w:rFonts w:cs="Book Antiqua"/>
          <w:color w:val="000000"/>
          <w:szCs w:val="26"/>
        </w:rPr>
        <w:t>an</w:t>
      </w:r>
      <w:r w:rsidR="00872193">
        <w:rPr>
          <w:rFonts w:cs="Book Antiqua"/>
          <w:color w:val="000000"/>
          <w:szCs w:val="26"/>
        </w:rPr>
        <w:t> </w:t>
      </w:r>
      <w:r w:rsidRPr="00524218">
        <w:rPr>
          <w:rFonts w:cs="Book Antiqua"/>
          <w:color w:val="000000"/>
          <w:szCs w:val="26"/>
        </w:rPr>
        <w:t>F</w:t>
      </w:r>
      <w:r>
        <w:rPr>
          <w:rFonts w:cs="Book Antiqua"/>
          <w:color w:val="000000"/>
          <w:szCs w:val="26"/>
        </w:rPr>
        <w:t xml:space="preserve">rancisco </w:t>
      </w:r>
      <w:r w:rsidRPr="00524218">
        <w:rPr>
          <w:rFonts w:cs="Book Antiqua"/>
          <w:color w:val="000000"/>
          <w:szCs w:val="26"/>
        </w:rPr>
        <w:t>T</w:t>
      </w:r>
      <w:r>
        <w:rPr>
          <w:rFonts w:cs="Book Antiqua"/>
          <w:color w:val="000000"/>
          <w:szCs w:val="26"/>
        </w:rPr>
        <w:t xml:space="preserve">axi </w:t>
      </w:r>
      <w:r w:rsidRPr="00524218">
        <w:rPr>
          <w:rFonts w:cs="Book Antiqua"/>
          <w:color w:val="000000"/>
          <w:szCs w:val="26"/>
        </w:rPr>
        <w:t>W</w:t>
      </w:r>
      <w:r>
        <w:rPr>
          <w:rFonts w:cs="Book Antiqua"/>
          <w:color w:val="000000"/>
          <w:szCs w:val="26"/>
        </w:rPr>
        <w:t xml:space="preserve">orkers </w:t>
      </w:r>
      <w:r w:rsidRPr="00524218">
        <w:rPr>
          <w:rFonts w:cs="Book Antiqua"/>
          <w:color w:val="000000"/>
          <w:szCs w:val="26"/>
        </w:rPr>
        <w:t>A</w:t>
      </w:r>
      <w:r>
        <w:rPr>
          <w:rFonts w:cs="Book Antiqua"/>
          <w:color w:val="000000"/>
          <w:szCs w:val="26"/>
        </w:rPr>
        <w:t>lliance (SFTWA);</w:t>
      </w:r>
      <w:r w:rsidRPr="00524218">
        <w:rPr>
          <w:rFonts w:cs="Book Antiqua"/>
          <w:color w:val="000000"/>
          <w:szCs w:val="26"/>
        </w:rPr>
        <w:t xml:space="preserve"> and Uber. </w:t>
      </w:r>
      <w:r>
        <w:rPr>
          <w:rFonts w:cs="Book Antiqua"/>
          <w:color w:val="000000"/>
          <w:szCs w:val="26"/>
        </w:rPr>
        <w:t xml:space="preserve"> The Commission’s Consumer Protection and Enforcement Division’s (</w:t>
      </w:r>
      <w:r w:rsidRPr="00524218">
        <w:rPr>
          <w:rFonts w:cs="Book Antiqua"/>
          <w:color w:val="000000"/>
          <w:szCs w:val="26"/>
        </w:rPr>
        <w:t>CPED</w:t>
      </w:r>
      <w:r>
        <w:rPr>
          <w:rFonts w:cs="Book Antiqua"/>
          <w:color w:val="000000"/>
          <w:szCs w:val="26"/>
        </w:rPr>
        <w:t>)</w:t>
      </w:r>
      <w:r w:rsidRPr="00524218">
        <w:rPr>
          <w:rFonts w:cs="Book Antiqua"/>
          <w:color w:val="000000"/>
          <w:szCs w:val="26"/>
        </w:rPr>
        <w:t xml:space="preserve"> proposal was filed via an </w:t>
      </w:r>
      <w:r>
        <w:rPr>
          <w:rFonts w:cs="Book Antiqua"/>
          <w:color w:val="000000"/>
          <w:szCs w:val="26"/>
        </w:rPr>
        <w:t>Administrative Law Judge’s (</w:t>
      </w:r>
      <w:r w:rsidRPr="00524218">
        <w:rPr>
          <w:rFonts w:cs="Book Antiqua"/>
          <w:color w:val="000000"/>
          <w:szCs w:val="26"/>
        </w:rPr>
        <w:t>ALJ</w:t>
      </w:r>
      <w:r>
        <w:rPr>
          <w:rFonts w:cs="Book Antiqua"/>
          <w:color w:val="000000"/>
          <w:szCs w:val="26"/>
        </w:rPr>
        <w:t>)</w:t>
      </w:r>
      <w:r w:rsidRPr="00524218">
        <w:rPr>
          <w:rFonts w:cs="Book Antiqua"/>
          <w:color w:val="000000"/>
          <w:szCs w:val="26"/>
        </w:rPr>
        <w:t xml:space="preserve"> ruling. </w:t>
      </w:r>
      <w:r>
        <w:rPr>
          <w:rFonts w:cs="Book Antiqua"/>
          <w:color w:val="000000"/>
          <w:szCs w:val="26"/>
        </w:rPr>
        <w:t xml:space="preserve"> </w:t>
      </w:r>
      <w:r w:rsidRPr="00524218">
        <w:rPr>
          <w:rFonts w:cs="Book Antiqua"/>
          <w:color w:val="000000"/>
          <w:szCs w:val="26"/>
        </w:rPr>
        <w:t>A workshop on Track</w:t>
      </w:r>
      <w:r w:rsidR="00872193">
        <w:rPr>
          <w:rFonts w:cs="Book Antiqua"/>
          <w:color w:val="000000"/>
          <w:szCs w:val="26"/>
        </w:rPr>
        <w:t> </w:t>
      </w:r>
      <w:r w:rsidRPr="00524218">
        <w:rPr>
          <w:rFonts w:cs="Book Antiqua"/>
          <w:color w:val="000000"/>
          <w:szCs w:val="26"/>
        </w:rPr>
        <w:t>5A proposals was held on February</w:t>
      </w:r>
      <w:r w:rsidR="00872193">
        <w:rPr>
          <w:rFonts w:cs="Book Antiqua"/>
          <w:color w:val="000000"/>
          <w:szCs w:val="26"/>
        </w:rPr>
        <w:t> </w:t>
      </w:r>
      <w:r w:rsidRPr="00524218">
        <w:rPr>
          <w:rFonts w:cs="Book Antiqua"/>
          <w:color w:val="000000"/>
          <w:szCs w:val="26"/>
        </w:rPr>
        <w:t>17,</w:t>
      </w:r>
      <w:r w:rsidR="00872193">
        <w:rPr>
          <w:rFonts w:cs="Book Antiqua"/>
          <w:color w:val="000000"/>
          <w:szCs w:val="26"/>
        </w:rPr>
        <w:t> </w:t>
      </w:r>
      <w:r w:rsidRPr="00524218">
        <w:rPr>
          <w:rFonts w:cs="Book Antiqua"/>
          <w:color w:val="000000"/>
          <w:szCs w:val="26"/>
        </w:rPr>
        <w:t>2022.</w:t>
      </w:r>
    </w:p>
    <w:p w:rsidR="007D6520" w:rsidP="007D6520" w:rsidRDefault="007D6520" w14:paraId="41AB7F40" w14:textId="10FB97AA">
      <w:pPr>
        <w:autoSpaceDE w:val="0"/>
        <w:autoSpaceDN w:val="0"/>
        <w:adjustRightInd w:val="0"/>
        <w:rPr>
          <w:rFonts w:cs="Book Antiqua"/>
          <w:color w:val="000000"/>
          <w:szCs w:val="26"/>
        </w:rPr>
      </w:pPr>
      <w:r w:rsidRPr="00524218">
        <w:rPr>
          <w:rFonts w:cs="Book Antiqua"/>
          <w:color w:val="000000"/>
          <w:szCs w:val="26"/>
        </w:rPr>
        <w:t>Opening</w:t>
      </w:r>
      <w:r w:rsidR="00872193">
        <w:rPr>
          <w:rFonts w:cs="Book Antiqua"/>
          <w:color w:val="000000"/>
          <w:szCs w:val="26"/>
        </w:rPr>
        <w:t> </w:t>
      </w:r>
      <w:r w:rsidRPr="00524218">
        <w:rPr>
          <w:rFonts w:cs="Book Antiqua"/>
          <w:color w:val="000000"/>
          <w:szCs w:val="26"/>
        </w:rPr>
        <w:t>comments on proposals and the workshop were filed on March</w:t>
      </w:r>
      <w:r w:rsidR="00872193">
        <w:rPr>
          <w:rFonts w:cs="Book Antiqua"/>
          <w:color w:val="000000"/>
          <w:szCs w:val="26"/>
        </w:rPr>
        <w:t> </w:t>
      </w:r>
      <w:r w:rsidRPr="00524218">
        <w:rPr>
          <w:rFonts w:cs="Book Antiqua"/>
          <w:color w:val="000000"/>
          <w:szCs w:val="26"/>
        </w:rPr>
        <w:t>1,</w:t>
      </w:r>
      <w:r w:rsidR="00872193">
        <w:rPr>
          <w:rFonts w:cs="Book Antiqua"/>
          <w:color w:val="000000"/>
          <w:szCs w:val="26"/>
        </w:rPr>
        <w:t> </w:t>
      </w:r>
      <w:r w:rsidRPr="00524218">
        <w:rPr>
          <w:rFonts w:cs="Book Antiqua"/>
          <w:color w:val="000000"/>
          <w:szCs w:val="26"/>
        </w:rPr>
        <w:t xml:space="preserve">2022 by: </w:t>
      </w:r>
      <w:r w:rsidR="00872193">
        <w:rPr>
          <w:rFonts w:cs="Book Antiqua"/>
          <w:color w:val="000000"/>
          <w:szCs w:val="26"/>
        </w:rPr>
        <w:t xml:space="preserve"> </w:t>
      </w:r>
      <w:r w:rsidRPr="00524218">
        <w:rPr>
          <w:rFonts w:cs="Book Antiqua"/>
          <w:color w:val="000000"/>
          <w:szCs w:val="26"/>
        </w:rPr>
        <w:t>Disability Advocates, Lyft, San</w:t>
      </w:r>
      <w:r w:rsidR="00872193">
        <w:rPr>
          <w:rFonts w:cs="Book Antiqua"/>
          <w:color w:val="000000"/>
          <w:szCs w:val="26"/>
        </w:rPr>
        <w:t> </w:t>
      </w:r>
      <w:r w:rsidRPr="00524218">
        <w:rPr>
          <w:rFonts w:cs="Book Antiqua"/>
          <w:color w:val="000000"/>
          <w:szCs w:val="26"/>
        </w:rPr>
        <w:t xml:space="preserve">Francisco, SFTWA, and Uber. </w:t>
      </w:r>
      <w:r>
        <w:rPr>
          <w:rFonts w:cs="Book Antiqua"/>
          <w:color w:val="000000"/>
          <w:szCs w:val="26"/>
        </w:rPr>
        <w:t xml:space="preserve"> </w:t>
      </w:r>
      <w:r w:rsidRPr="00524218">
        <w:rPr>
          <w:rFonts w:cs="Book Antiqua"/>
          <w:color w:val="000000"/>
          <w:szCs w:val="26"/>
        </w:rPr>
        <w:t>Reply</w:t>
      </w:r>
      <w:r w:rsidR="00872193">
        <w:rPr>
          <w:rFonts w:cs="Book Antiqua"/>
          <w:color w:val="000000"/>
          <w:szCs w:val="26"/>
        </w:rPr>
        <w:t> </w:t>
      </w:r>
      <w:r w:rsidRPr="00524218">
        <w:rPr>
          <w:rFonts w:cs="Book Antiqua"/>
          <w:color w:val="000000"/>
          <w:szCs w:val="26"/>
        </w:rPr>
        <w:t>comments were filed on March</w:t>
      </w:r>
      <w:r w:rsidR="00872193">
        <w:rPr>
          <w:rFonts w:cs="Book Antiqua"/>
          <w:color w:val="000000"/>
          <w:szCs w:val="26"/>
        </w:rPr>
        <w:t> </w:t>
      </w:r>
      <w:r w:rsidRPr="00524218">
        <w:rPr>
          <w:rFonts w:cs="Book Antiqua"/>
          <w:color w:val="000000"/>
          <w:szCs w:val="26"/>
        </w:rPr>
        <w:t>11,</w:t>
      </w:r>
      <w:r w:rsidR="00872193">
        <w:rPr>
          <w:rFonts w:cs="Book Antiqua"/>
          <w:color w:val="000000"/>
          <w:szCs w:val="26"/>
        </w:rPr>
        <w:t> </w:t>
      </w:r>
      <w:r w:rsidRPr="00524218">
        <w:rPr>
          <w:rFonts w:cs="Book Antiqua"/>
          <w:color w:val="000000"/>
          <w:szCs w:val="26"/>
        </w:rPr>
        <w:t xml:space="preserve">2022 by: </w:t>
      </w:r>
      <w:r w:rsidR="00872193">
        <w:rPr>
          <w:rFonts w:cs="Book Antiqua"/>
          <w:color w:val="000000"/>
          <w:szCs w:val="26"/>
        </w:rPr>
        <w:t xml:space="preserve"> </w:t>
      </w:r>
      <w:r w:rsidRPr="00524218">
        <w:rPr>
          <w:rFonts w:cs="Book Antiqua"/>
          <w:color w:val="000000"/>
          <w:szCs w:val="26"/>
        </w:rPr>
        <w:t>Disability Advocates, Lyft, San</w:t>
      </w:r>
      <w:r w:rsidR="00872193">
        <w:rPr>
          <w:rFonts w:cs="Book Antiqua"/>
          <w:color w:val="000000"/>
          <w:szCs w:val="26"/>
        </w:rPr>
        <w:t> </w:t>
      </w:r>
      <w:r w:rsidRPr="00524218">
        <w:rPr>
          <w:rFonts w:cs="Book Antiqua"/>
          <w:color w:val="000000"/>
          <w:szCs w:val="26"/>
        </w:rPr>
        <w:t>Francisco, SFTWA, and Uber.</w:t>
      </w:r>
    </w:p>
    <w:p w:rsidR="007D6520" w:rsidP="007D6520" w:rsidRDefault="007D6520" w14:paraId="6B3D97FC" w14:textId="752CDC86">
      <w:pPr>
        <w:autoSpaceDE w:val="0"/>
        <w:autoSpaceDN w:val="0"/>
        <w:adjustRightInd w:val="0"/>
        <w:rPr>
          <w:rFonts w:cs="Book Antiqua"/>
          <w:color w:val="000000"/>
          <w:szCs w:val="26"/>
        </w:rPr>
      </w:pPr>
      <w:r>
        <w:rPr>
          <w:rFonts w:cs="Book Antiqua"/>
          <w:color w:val="000000"/>
          <w:szCs w:val="26"/>
        </w:rPr>
        <w:t>On April</w:t>
      </w:r>
      <w:r w:rsidR="00872193">
        <w:rPr>
          <w:rFonts w:cs="Book Antiqua"/>
          <w:color w:val="000000"/>
          <w:szCs w:val="26"/>
        </w:rPr>
        <w:t> </w:t>
      </w:r>
      <w:r>
        <w:rPr>
          <w:rFonts w:cs="Book Antiqua"/>
          <w:color w:val="000000"/>
          <w:szCs w:val="26"/>
        </w:rPr>
        <w:t>11,</w:t>
      </w:r>
      <w:r w:rsidR="00872193">
        <w:rPr>
          <w:rFonts w:cs="Book Antiqua"/>
          <w:color w:val="000000"/>
          <w:szCs w:val="26"/>
        </w:rPr>
        <w:t> </w:t>
      </w:r>
      <w:r>
        <w:rPr>
          <w:rFonts w:cs="Book Antiqua"/>
          <w:color w:val="000000"/>
          <w:szCs w:val="26"/>
        </w:rPr>
        <w:t xml:space="preserve">2022, an </w:t>
      </w:r>
      <w:r w:rsidRPr="0004018A">
        <w:rPr>
          <w:rFonts w:cs="Book Antiqua"/>
          <w:i/>
          <w:iCs/>
          <w:color w:val="000000"/>
          <w:szCs w:val="26"/>
        </w:rPr>
        <w:t>Assigned Commissioner’s Ruling on Track</w:t>
      </w:r>
      <w:r w:rsidR="00872193">
        <w:rPr>
          <w:rFonts w:cs="Book Antiqua"/>
          <w:i/>
          <w:iCs/>
          <w:color w:val="000000"/>
          <w:szCs w:val="26"/>
        </w:rPr>
        <w:t> </w:t>
      </w:r>
      <w:r w:rsidRPr="0004018A">
        <w:rPr>
          <w:rFonts w:cs="Book Antiqua"/>
          <w:i/>
          <w:iCs/>
          <w:color w:val="000000"/>
          <w:szCs w:val="26"/>
        </w:rPr>
        <w:t>5A Issues and Data Submission for Pre</w:t>
      </w:r>
      <w:r w:rsidR="00872193">
        <w:rPr>
          <w:rFonts w:cs="Book Antiqua"/>
          <w:i/>
          <w:iCs/>
          <w:color w:val="000000"/>
          <w:szCs w:val="26"/>
        </w:rPr>
        <w:noBreakHyphen/>
      </w:r>
      <w:r w:rsidRPr="0004018A">
        <w:rPr>
          <w:rFonts w:cs="Book Antiqua"/>
          <w:i/>
          <w:iCs/>
          <w:color w:val="000000"/>
          <w:szCs w:val="26"/>
        </w:rPr>
        <w:t>Scheduled Trips</w:t>
      </w:r>
      <w:r>
        <w:rPr>
          <w:rFonts w:cs="Book Antiqua"/>
          <w:color w:val="000000"/>
          <w:szCs w:val="26"/>
        </w:rPr>
        <w:t xml:space="preserve"> was issued, which addressed certain of the Track</w:t>
      </w:r>
      <w:r w:rsidR="00872193">
        <w:rPr>
          <w:rFonts w:cs="Book Antiqua"/>
          <w:color w:val="000000"/>
          <w:szCs w:val="26"/>
        </w:rPr>
        <w:t> </w:t>
      </w:r>
      <w:r>
        <w:rPr>
          <w:rFonts w:cs="Book Antiqua"/>
          <w:color w:val="000000"/>
          <w:szCs w:val="26"/>
        </w:rPr>
        <w:t>5A issues and directed further record development on other issues.  Opening</w:t>
      </w:r>
      <w:r w:rsidR="00872193">
        <w:rPr>
          <w:rFonts w:cs="Book Antiqua"/>
          <w:color w:val="000000"/>
          <w:szCs w:val="26"/>
        </w:rPr>
        <w:t> </w:t>
      </w:r>
      <w:r>
        <w:rPr>
          <w:rFonts w:cs="Book Antiqua"/>
          <w:color w:val="000000"/>
          <w:szCs w:val="26"/>
        </w:rPr>
        <w:t>comments on the April</w:t>
      </w:r>
      <w:r w:rsidR="00872193">
        <w:rPr>
          <w:rFonts w:cs="Book Antiqua"/>
          <w:color w:val="000000"/>
          <w:szCs w:val="26"/>
        </w:rPr>
        <w:t> </w:t>
      </w:r>
      <w:r>
        <w:rPr>
          <w:rFonts w:cs="Book Antiqua"/>
          <w:color w:val="000000"/>
          <w:szCs w:val="26"/>
        </w:rPr>
        <w:t>11 ruling were filed on April</w:t>
      </w:r>
      <w:r w:rsidR="00872193">
        <w:rPr>
          <w:rFonts w:cs="Book Antiqua"/>
          <w:color w:val="000000"/>
          <w:szCs w:val="26"/>
        </w:rPr>
        <w:t> </w:t>
      </w:r>
      <w:r>
        <w:rPr>
          <w:rFonts w:cs="Book Antiqua"/>
          <w:color w:val="000000"/>
          <w:szCs w:val="26"/>
        </w:rPr>
        <w:t>22,</w:t>
      </w:r>
      <w:r w:rsidR="00872193">
        <w:rPr>
          <w:rFonts w:cs="Book Antiqua"/>
          <w:color w:val="000000"/>
          <w:szCs w:val="26"/>
        </w:rPr>
        <w:t> </w:t>
      </w:r>
      <w:r>
        <w:rPr>
          <w:rFonts w:cs="Book Antiqua"/>
          <w:color w:val="000000"/>
          <w:szCs w:val="26"/>
        </w:rPr>
        <w:t>2022 by:</w:t>
      </w:r>
      <w:r w:rsidR="00872193">
        <w:rPr>
          <w:rFonts w:cs="Book Antiqua"/>
          <w:color w:val="000000"/>
          <w:szCs w:val="26"/>
        </w:rPr>
        <w:t xml:space="preserve">  </w:t>
      </w:r>
      <w:r>
        <w:rPr>
          <w:rFonts w:cs="Book Antiqua"/>
          <w:color w:val="000000"/>
          <w:szCs w:val="26"/>
        </w:rPr>
        <w:lastRenderedPageBreak/>
        <w:t>Disability Advocates, Lyft, San</w:t>
      </w:r>
      <w:r w:rsidR="00872193">
        <w:rPr>
          <w:rFonts w:cs="Book Antiqua"/>
          <w:color w:val="000000"/>
          <w:szCs w:val="26"/>
        </w:rPr>
        <w:t> </w:t>
      </w:r>
      <w:r>
        <w:rPr>
          <w:rFonts w:cs="Book Antiqua"/>
          <w:color w:val="000000"/>
          <w:szCs w:val="26"/>
        </w:rPr>
        <w:t>Francisco, SFTWA, and Uber.  Reply</w:t>
      </w:r>
      <w:r w:rsidR="00872193">
        <w:rPr>
          <w:rFonts w:cs="Book Antiqua"/>
          <w:color w:val="000000"/>
          <w:szCs w:val="26"/>
        </w:rPr>
        <w:t> </w:t>
      </w:r>
      <w:r>
        <w:rPr>
          <w:rFonts w:cs="Book Antiqua"/>
          <w:color w:val="000000"/>
          <w:szCs w:val="26"/>
        </w:rPr>
        <w:t>comments were filed on May</w:t>
      </w:r>
      <w:r w:rsidR="00872193">
        <w:rPr>
          <w:rFonts w:cs="Book Antiqua"/>
          <w:color w:val="000000"/>
          <w:szCs w:val="26"/>
        </w:rPr>
        <w:t> </w:t>
      </w:r>
      <w:r>
        <w:rPr>
          <w:rFonts w:cs="Book Antiqua"/>
          <w:color w:val="000000"/>
          <w:szCs w:val="26"/>
        </w:rPr>
        <w:t>4,</w:t>
      </w:r>
      <w:r w:rsidR="00872193">
        <w:rPr>
          <w:rFonts w:cs="Book Antiqua"/>
          <w:color w:val="000000"/>
          <w:szCs w:val="26"/>
        </w:rPr>
        <w:t> </w:t>
      </w:r>
      <w:proofErr w:type="gramStart"/>
      <w:r>
        <w:rPr>
          <w:rFonts w:cs="Book Antiqua"/>
          <w:color w:val="000000"/>
          <w:szCs w:val="26"/>
        </w:rPr>
        <w:t>2022</w:t>
      </w:r>
      <w:proofErr w:type="gramEnd"/>
      <w:r>
        <w:rPr>
          <w:rFonts w:cs="Book Antiqua"/>
          <w:color w:val="000000"/>
          <w:szCs w:val="26"/>
        </w:rPr>
        <w:t xml:space="preserve"> by San</w:t>
      </w:r>
      <w:r w:rsidR="00872193">
        <w:rPr>
          <w:rFonts w:cs="Book Antiqua"/>
          <w:color w:val="000000"/>
          <w:szCs w:val="26"/>
        </w:rPr>
        <w:t> </w:t>
      </w:r>
      <w:r>
        <w:rPr>
          <w:rFonts w:cs="Book Antiqua"/>
          <w:color w:val="000000"/>
          <w:szCs w:val="26"/>
        </w:rPr>
        <w:t>Francisco.  On May</w:t>
      </w:r>
      <w:r w:rsidR="00872193">
        <w:rPr>
          <w:rFonts w:cs="Book Antiqua"/>
          <w:color w:val="000000"/>
          <w:szCs w:val="26"/>
        </w:rPr>
        <w:t> </w:t>
      </w:r>
      <w:r>
        <w:rPr>
          <w:rFonts w:cs="Book Antiqua"/>
          <w:color w:val="000000"/>
          <w:szCs w:val="26"/>
        </w:rPr>
        <w:t>9,</w:t>
      </w:r>
      <w:r w:rsidR="00872193">
        <w:rPr>
          <w:rFonts w:cs="Book Antiqua"/>
          <w:color w:val="000000"/>
          <w:szCs w:val="26"/>
        </w:rPr>
        <w:t> </w:t>
      </w:r>
      <w:r>
        <w:rPr>
          <w:rFonts w:cs="Book Antiqua"/>
          <w:color w:val="000000"/>
          <w:szCs w:val="26"/>
        </w:rPr>
        <w:t>2022, additional data on pre</w:t>
      </w:r>
      <w:r w:rsidR="00872193">
        <w:rPr>
          <w:rFonts w:cs="Book Antiqua"/>
          <w:color w:val="000000"/>
          <w:szCs w:val="26"/>
        </w:rPr>
        <w:noBreakHyphen/>
      </w:r>
      <w:r>
        <w:rPr>
          <w:rFonts w:cs="Book Antiqua"/>
          <w:color w:val="000000"/>
          <w:szCs w:val="26"/>
        </w:rPr>
        <w:t>scheduled WAV trips was submitted by:</w:t>
      </w:r>
      <w:r w:rsidR="00872193">
        <w:rPr>
          <w:rFonts w:cs="Book Antiqua"/>
          <w:color w:val="000000"/>
          <w:szCs w:val="26"/>
        </w:rPr>
        <w:t xml:space="preserve"> </w:t>
      </w:r>
      <w:r>
        <w:rPr>
          <w:rFonts w:cs="Book Antiqua"/>
          <w:color w:val="000000"/>
          <w:szCs w:val="26"/>
        </w:rPr>
        <w:t xml:space="preserve"> </w:t>
      </w:r>
      <w:proofErr w:type="spellStart"/>
      <w:r>
        <w:rPr>
          <w:rFonts w:cs="Book Antiqua"/>
          <w:color w:val="000000"/>
          <w:szCs w:val="26"/>
        </w:rPr>
        <w:t>HopSkipDrive</w:t>
      </w:r>
      <w:proofErr w:type="spellEnd"/>
      <w:r>
        <w:rPr>
          <w:rFonts w:cs="Book Antiqua"/>
          <w:color w:val="000000"/>
          <w:szCs w:val="26"/>
        </w:rPr>
        <w:t>, Lyft, Nomad Transit, LLC (Nomad), and Uber.</w:t>
      </w:r>
    </w:p>
    <w:p w:rsidR="007D6520" w:rsidP="007D6520" w:rsidRDefault="007D6520" w14:paraId="34FC814E" w14:textId="432E7A41">
      <w:pPr>
        <w:autoSpaceDE w:val="0"/>
        <w:autoSpaceDN w:val="0"/>
        <w:adjustRightInd w:val="0"/>
        <w:rPr>
          <w:rFonts w:cs="Book Antiqua"/>
          <w:color w:val="000000"/>
          <w:szCs w:val="26"/>
        </w:rPr>
      </w:pPr>
      <w:r>
        <w:rPr>
          <w:rFonts w:cs="Book Antiqua"/>
          <w:color w:val="000000"/>
          <w:szCs w:val="26"/>
        </w:rPr>
        <w:t>On May</w:t>
      </w:r>
      <w:r w:rsidR="00872193">
        <w:rPr>
          <w:rFonts w:cs="Book Antiqua"/>
          <w:color w:val="000000"/>
          <w:szCs w:val="26"/>
        </w:rPr>
        <w:t> </w:t>
      </w:r>
      <w:r>
        <w:rPr>
          <w:rFonts w:cs="Book Antiqua"/>
          <w:color w:val="000000"/>
          <w:szCs w:val="26"/>
        </w:rPr>
        <w:t>17,</w:t>
      </w:r>
      <w:r w:rsidR="00872193">
        <w:rPr>
          <w:rFonts w:cs="Book Antiqua"/>
          <w:color w:val="000000"/>
          <w:szCs w:val="26"/>
        </w:rPr>
        <w:t> </w:t>
      </w:r>
      <w:r>
        <w:rPr>
          <w:rFonts w:cs="Book Antiqua"/>
          <w:color w:val="000000"/>
          <w:szCs w:val="26"/>
        </w:rPr>
        <w:t xml:space="preserve">2022, an </w:t>
      </w:r>
      <w:r w:rsidR="003935B7">
        <w:rPr>
          <w:rFonts w:cs="Book Antiqua"/>
          <w:color w:val="000000"/>
          <w:szCs w:val="26"/>
        </w:rPr>
        <w:t xml:space="preserve">assigned </w:t>
      </w:r>
      <w:r>
        <w:rPr>
          <w:rFonts w:cs="Book Antiqua"/>
          <w:color w:val="000000"/>
          <w:szCs w:val="26"/>
        </w:rPr>
        <w:t>ALJ ruling was issued that permitted additional Track</w:t>
      </w:r>
      <w:r w:rsidR="00872193">
        <w:rPr>
          <w:rFonts w:cs="Book Antiqua"/>
          <w:color w:val="000000"/>
          <w:szCs w:val="26"/>
        </w:rPr>
        <w:t> </w:t>
      </w:r>
      <w:r>
        <w:rPr>
          <w:rFonts w:cs="Book Antiqua"/>
          <w:color w:val="000000"/>
          <w:szCs w:val="26"/>
        </w:rPr>
        <w:t>5A proposals.  On June</w:t>
      </w:r>
      <w:r w:rsidR="00872193">
        <w:rPr>
          <w:rFonts w:cs="Book Antiqua"/>
          <w:color w:val="000000"/>
          <w:szCs w:val="26"/>
        </w:rPr>
        <w:t> </w:t>
      </w:r>
      <w:r>
        <w:rPr>
          <w:rFonts w:cs="Book Antiqua"/>
          <w:color w:val="000000"/>
          <w:szCs w:val="26"/>
        </w:rPr>
        <w:t>17,</w:t>
      </w:r>
      <w:r w:rsidR="00872193">
        <w:rPr>
          <w:rFonts w:cs="Book Antiqua"/>
          <w:color w:val="000000"/>
          <w:szCs w:val="26"/>
        </w:rPr>
        <w:t> </w:t>
      </w:r>
      <w:r>
        <w:rPr>
          <w:rFonts w:cs="Book Antiqua"/>
          <w:color w:val="000000"/>
          <w:szCs w:val="26"/>
        </w:rPr>
        <w:t>2022, responses to an ALJ ruling regarding trip cancellations for pre</w:t>
      </w:r>
      <w:r w:rsidR="00872193">
        <w:rPr>
          <w:rFonts w:cs="Book Antiqua"/>
          <w:color w:val="000000"/>
          <w:szCs w:val="26"/>
        </w:rPr>
        <w:noBreakHyphen/>
      </w:r>
      <w:r>
        <w:rPr>
          <w:rFonts w:cs="Book Antiqua"/>
          <w:color w:val="000000"/>
          <w:szCs w:val="26"/>
        </w:rPr>
        <w:t>scheduled trips were submitted by Lyft and Uber.  On June</w:t>
      </w:r>
      <w:r w:rsidR="00872193">
        <w:rPr>
          <w:rFonts w:cs="Book Antiqua"/>
          <w:color w:val="000000"/>
          <w:szCs w:val="26"/>
        </w:rPr>
        <w:t> </w:t>
      </w:r>
      <w:r>
        <w:rPr>
          <w:rFonts w:cs="Book Antiqua"/>
          <w:color w:val="000000"/>
          <w:szCs w:val="26"/>
        </w:rPr>
        <w:t>30,</w:t>
      </w:r>
      <w:r w:rsidR="00872193">
        <w:rPr>
          <w:rFonts w:cs="Book Antiqua"/>
          <w:color w:val="000000"/>
          <w:szCs w:val="26"/>
        </w:rPr>
        <w:t> </w:t>
      </w:r>
      <w:r>
        <w:rPr>
          <w:rFonts w:cs="Book Antiqua"/>
          <w:color w:val="000000"/>
          <w:szCs w:val="26"/>
        </w:rPr>
        <w:t>2022, additional Track</w:t>
      </w:r>
      <w:r w:rsidR="00872193">
        <w:rPr>
          <w:rFonts w:cs="Book Antiqua"/>
          <w:color w:val="000000"/>
          <w:szCs w:val="26"/>
        </w:rPr>
        <w:t> </w:t>
      </w:r>
      <w:r>
        <w:rPr>
          <w:rFonts w:cs="Book Antiqua"/>
          <w:color w:val="000000"/>
          <w:szCs w:val="26"/>
        </w:rPr>
        <w:t xml:space="preserve">5A proposals were submitted by: </w:t>
      </w:r>
      <w:r w:rsidR="00872193">
        <w:rPr>
          <w:rFonts w:cs="Book Antiqua"/>
          <w:color w:val="000000"/>
          <w:szCs w:val="26"/>
        </w:rPr>
        <w:t xml:space="preserve"> </w:t>
      </w:r>
      <w:r>
        <w:rPr>
          <w:rFonts w:cs="Book Antiqua"/>
          <w:color w:val="000000"/>
          <w:szCs w:val="26"/>
        </w:rPr>
        <w:t>CPED, Lyft, San</w:t>
      </w:r>
      <w:r w:rsidR="00872193">
        <w:rPr>
          <w:rFonts w:cs="Book Antiqua"/>
          <w:color w:val="000000"/>
          <w:szCs w:val="26"/>
        </w:rPr>
        <w:t> </w:t>
      </w:r>
      <w:r>
        <w:rPr>
          <w:rFonts w:cs="Book Antiqua"/>
          <w:color w:val="000000"/>
          <w:szCs w:val="26"/>
        </w:rPr>
        <w:t>Francisco, and Uber.  On July</w:t>
      </w:r>
      <w:r w:rsidR="00872193">
        <w:rPr>
          <w:rFonts w:cs="Book Antiqua"/>
          <w:color w:val="000000"/>
          <w:szCs w:val="26"/>
        </w:rPr>
        <w:t> </w:t>
      </w:r>
      <w:r>
        <w:rPr>
          <w:rFonts w:cs="Book Antiqua"/>
          <w:color w:val="000000"/>
          <w:szCs w:val="26"/>
        </w:rPr>
        <w:t>14,</w:t>
      </w:r>
      <w:r w:rsidR="00872193">
        <w:rPr>
          <w:rFonts w:cs="Book Antiqua"/>
          <w:color w:val="000000"/>
          <w:szCs w:val="26"/>
        </w:rPr>
        <w:t> </w:t>
      </w:r>
      <w:r>
        <w:rPr>
          <w:rFonts w:cs="Book Antiqua"/>
          <w:color w:val="000000"/>
          <w:szCs w:val="26"/>
        </w:rPr>
        <w:t>2022, opening</w:t>
      </w:r>
      <w:r w:rsidR="00872193">
        <w:rPr>
          <w:rFonts w:cs="Book Antiqua"/>
          <w:color w:val="000000"/>
          <w:szCs w:val="26"/>
        </w:rPr>
        <w:t> </w:t>
      </w:r>
      <w:r>
        <w:rPr>
          <w:rFonts w:cs="Book Antiqua"/>
          <w:color w:val="000000"/>
          <w:szCs w:val="26"/>
        </w:rPr>
        <w:t xml:space="preserve">comments on additional proposals were submitted by: </w:t>
      </w:r>
      <w:r w:rsidR="00872193">
        <w:rPr>
          <w:rFonts w:cs="Book Antiqua"/>
          <w:color w:val="000000"/>
          <w:szCs w:val="26"/>
        </w:rPr>
        <w:t xml:space="preserve"> </w:t>
      </w:r>
      <w:r>
        <w:rPr>
          <w:rFonts w:cs="Book Antiqua"/>
          <w:color w:val="000000"/>
          <w:szCs w:val="26"/>
        </w:rPr>
        <w:t>Disability Advocates, Lyft, San</w:t>
      </w:r>
      <w:r w:rsidR="00872193">
        <w:rPr>
          <w:rFonts w:cs="Book Antiqua"/>
          <w:color w:val="000000"/>
          <w:szCs w:val="26"/>
        </w:rPr>
        <w:t> </w:t>
      </w:r>
      <w:r>
        <w:rPr>
          <w:rFonts w:cs="Book Antiqua"/>
          <w:color w:val="000000"/>
          <w:szCs w:val="26"/>
        </w:rPr>
        <w:t>Francisco, SFWTA, and Uber.  Reply</w:t>
      </w:r>
      <w:r w:rsidR="00872193">
        <w:rPr>
          <w:rFonts w:cs="Book Antiqua"/>
          <w:color w:val="000000"/>
          <w:szCs w:val="26"/>
        </w:rPr>
        <w:t> </w:t>
      </w:r>
      <w:r>
        <w:rPr>
          <w:rFonts w:cs="Book Antiqua"/>
          <w:color w:val="000000"/>
          <w:szCs w:val="26"/>
        </w:rPr>
        <w:t>comments on additional proposals were submitted on July</w:t>
      </w:r>
      <w:r w:rsidR="00872193">
        <w:rPr>
          <w:rFonts w:cs="Book Antiqua"/>
          <w:color w:val="000000"/>
          <w:szCs w:val="26"/>
        </w:rPr>
        <w:t> </w:t>
      </w:r>
      <w:r>
        <w:rPr>
          <w:rFonts w:cs="Book Antiqua"/>
          <w:color w:val="000000"/>
          <w:szCs w:val="26"/>
        </w:rPr>
        <w:t>26,</w:t>
      </w:r>
      <w:r w:rsidR="00872193">
        <w:rPr>
          <w:rFonts w:cs="Book Antiqua"/>
          <w:color w:val="000000"/>
          <w:szCs w:val="26"/>
        </w:rPr>
        <w:t> </w:t>
      </w:r>
      <w:proofErr w:type="gramStart"/>
      <w:r>
        <w:rPr>
          <w:rFonts w:cs="Book Antiqua"/>
          <w:color w:val="000000"/>
          <w:szCs w:val="26"/>
        </w:rPr>
        <w:t>2022</w:t>
      </w:r>
      <w:proofErr w:type="gramEnd"/>
      <w:r>
        <w:rPr>
          <w:rFonts w:cs="Book Antiqua"/>
          <w:color w:val="000000"/>
          <w:szCs w:val="26"/>
        </w:rPr>
        <w:t xml:space="preserve"> by: </w:t>
      </w:r>
      <w:r w:rsidR="00872193">
        <w:rPr>
          <w:rFonts w:cs="Book Antiqua"/>
          <w:color w:val="000000"/>
          <w:szCs w:val="26"/>
        </w:rPr>
        <w:t xml:space="preserve"> </w:t>
      </w:r>
      <w:r>
        <w:rPr>
          <w:rFonts w:cs="Book Antiqua"/>
          <w:color w:val="000000"/>
          <w:szCs w:val="26"/>
        </w:rPr>
        <w:t>Disability Advocates, Lyft, San</w:t>
      </w:r>
      <w:r w:rsidR="00872193">
        <w:rPr>
          <w:rFonts w:cs="Book Antiqua"/>
          <w:color w:val="000000"/>
          <w:szCs w:val="26"/>
        </w:rPr>
        <w:t> </w:t>
      </w:r>
      <w:r>
        <w:rPr>
          <w:rFonts w:cs="Book Antiqua"/>
          <w:color w:val="000000"/>
          <w:szCs w:val="26"/>
        </w:rPr>
        <w:t>Francisco, SFTWA, and Uber.</w:t>
      </w:r>
    </w:p>
    <w:p w:rsidRPr="0004018A" w:rsidR="007D6520" w:rsidP="007D6520" w:rsidRDefault="007D6520" w14:paraId="55F95065" w14:textId="19049BB4">
      <w:pPr>
        <w:autoSpaceDE w:val="0"/>
        <w:autoSpaceDN w:val="0"/>
        <w:adjustRightInd w:val="0"/>
        <w:rPr>
          <w:rFonts w:cs="Book Antiqua"/>
          <w:color w:val="000000"/>
          <w:szCs w:val="26"/>
        </w:rPr>
      </w:pPr>
      <w:r w:rsidRPr="007D5DEA">
        <w:rPr>
          <w:rFonts w:cs="Book Antiqua"/>
          <w:color w:val="000000"/>
          <w:szCs w:val="26"/>
        </w:rPr>
        <w:t>On September</w:t>
      </w:r>
      <w:r w:rsidR="00872193">
        <w:rPr>
          <w:rFonts w:cs="Book Antiqua"/>
          <w:color w:val="000000"/>
          <w:szCs w:val="26"/>
        </w:rPr>
        <w:t> </w:t>
      </w:r>
      <w:r w:rsidRPr="007D5DEA">
        <w:rPr>
          <w:rFonts w:cs="Book Antiqua"/>
          <w:color w:val="000000"/>
          <w:szCs w:val="26"/>
        </w:rPr>
        <w:t>13,</w:t>
      </w:r>
      <w:r w:rsidR="00872193">
        <w:rPr>
          <w:rFonts w:cs="Book Antiqua"/>
          <w:color w:val="000000"/>
          <w:szCs w:val="26"/>
        </w:rPr>
        <w:t> </w:t>
      </w:r>
      <w:r w:rsidRPr="007D5DEA">
        <w:rPr>
          <w:rFonts w:cs="Book Antiqua"/>
          <w:color w:val="000000"/>
          <w:szCs w:val="26"/>
        </w:rPr>
        <w:t xml:space="preserve">2022, an </w:t>
      </w:r>
      <w:r w:rsidR="003935B7">
        <w:rPr>
          <w:rFonts w:cs="Book Antiqua"/>
          <w:color w:val="000000"/>
          <w:szCs w:val="26"/>
        </w:rPr>
        <w:t xml:space="preserve">assigned </w:t>
      </w:r>
      <w:r w:rsidRPr="007D5DEA">
        <w:rPr>
          <w:rFonts w:cs="Book Antiqua"/>
          <w:color w:val="000000"/>
          <w:szCs w:val="26"/>
        </w:rPr>
        <w:t xml:space="preserve">ALJ ruling was issued requesting additional proposals and comments on Lyft’s Wait &amp; Save WAV trips.  Comments and proposals were submitted on </w:t>
      </w:r>
      <w:r>
        <w:rPr>
          <w:rFonts w:cs="Book Antiqua"/>
          <w:color w:val="000000"/>
          <w:szCs w:val="26"/>
        </w:rPr>
        <w:t>September</w:t>
      </w:r>
      <w:r w:rsidR="00872193">
        <w:rPr>
          <w:rFonts w:cs="Book Antiqua"/>
          <w:color w:val="000000"/>
          <w:szCs w:val="26"/>
        </w:rPr>
        <w:t> </w:t>
      </w:r>
      <w:r>
        <w:rPr>
          <w:rFonts w:cs="Book Antiqua"/>
          <w:color w:val="000000"/>
          <w:szCs w:val="26"/>
        </w:rPr>
        <w:t>30,</w:t>
      </w:r>
      <w:r w:rsidR="00872193">
        <w:rPr>
          <w:rFonts w:cs="Book Antiqua"/>
          <w:color w:val="000000"/>
          <w:szCs w:val="26"/>
        </w:rPr>
        <w:t> </w:t>
      </w:r>
      <w:proofErr w:type="gramStart"/>
      <w:r>
        <w:rPr>
          <w:rFonts w:cs="Book Antiqua"/>
          <w:color w:val="000000"/>
          <w:szCs w:val="26"/>
        </w:rPr>
        <w:t>2022</w:t>
      </w:r>
      <w:proofErr w:type="gramEnd"/>
      <w:r w:rsidRPr="007D5DEA">
        <w:rPr>
          <w:rFonts w:cs="Book Antiqua"/>
          <w:color w:val="000000"/>
          <w:szCs w:val="26"/>
        </w:rPr>
        <w:t xml:space="preserve"> by: </w:t>
      </w:r>
      <w:r w:rsidR="00872193">
        <w:rPr>
          <w:rFonts w:cs="Book Antiqua"/>
          <w:color w:val="000000"/>
          <w:szCs w:val="26"/>
        </w:rPr>
        <w:t xml:space="preserve"> </w:t>
      </w:r>
      <w:r>
        <w:rPr>
          <w:rFonts w:cs="Book Antiqua"/>
          <w:color w:val="000000"/>
          <w:szCs w:val="26"/>
        </w:rPr>
        <w:t>Disability Advocates, Lyft, San</w:t>
      </w:r>
      <w:r w:rsidR="00872193">
        <w:rPr>
          <w:rFonts w:cs="Book Antiqua"/>
          <w:color w:val="000000"/>
          <w:szCs w:val="26"/>
        </w:rPr>
        <w:t> </w:t>
      </w:r>
      <w:r>
        <w:rPr>
          <w:rFonts w:cs="Book Antiqua"/>
          <w:color w:val="000000"/>
          <w:szCs w:val="26"/>
        </w:rPr>
        <w:t>Francisco, SFTWA, and Uber</w:t>
      </w:r>
      <w:r w:rsidRPr="007D5DEA">
        <w:rPr>
          <w:rFonts w:cs="Book Antiqua"/>
          <w:color w:val="000000"/>
          <w:szCs w:val="26"/>
        </w:rPr>
        <w:t>.  Reply</w:t>
      </w:r>
      <w:r w:rsidR="00872193">
        <w:rPr>
          <w:rFonts w:cs="Book Antiqua"/>
          <w:color w:val="000000"/>
          <w:szCs w:val="26"/>
        </w:rPr>
        <w:t> </w:t>
      </w:r>
      <w:r w:rsidRPr="007D5DEA">
        <w:rPr>
          <w:rFonts w:cs="Book Antiqua"/>
          <w:color w:val="000000"/>
          <w:szCs w:val="26"/>
        </w:rPr>
        <w:t xml:space="preserve">comments were submitted on </w:t>
      </w:r>
      <w:r>
        <w:rPr>
          <w:rFonts w:cs="Book Antiqua"/>
          <w:color w:val="000000"/>
          <w:szCs w:val="26"/>
        </w:rPr>
        <w:t>October</w:t>
      </w:r>
      <w:r w:rsidR="00872193">
        <w:rPr>
          <w:rFonts w:cs="Book Antiqua"/>
          <w:color w:val="000000"/>
          <w:szCs w:val="26"/>
        </w:rPr>
        <w:t> </w:t>
      </w:r>
      <w:r>
        <w:rPr>
          <w:rFonts w:cs="Book Antiqua"/>
          <w:color w:val="000000"/>
          <w:szCs w:val="26"/>
        </w:rPr>
        <w:t>10,</w:t>
      </w:r>
      <w:r w:rsidR="00872193">
        <w:rPr>
          <w:rFonts w:cs="Book Antiqua"/>
          <w:color w:val="000000"/>
          <w:szCs w:val="26"/>
        </w:rPr>
        <w:t> </w:t>
      </w:r>
      <w:r>
        <w:rPr>
          <w:rFonts w:cs="Book Antiqua"/>
          <w:color w:val="000000"/>
          <w:szCs w:val="26"/>
        </w:rPr>
        <w:t xml:space="preserve">2022 </w:t>
      </w:r>
      <w:r w:rsidRPr="007D5DEA">
        <w:rPr>
          <w:rFonts w:cs="Book Antiqua"/>
          <w:color w:val="000000"/>
          <w:szCs w:val="26"/>
        </w:rPr>
        <w:t xml:space="preserve">by: </w:t>
      </w:r>
      <w:r w:rsidR="00872193">
        <w:rPr>
          <w:rFonts w:cs="Book Antiqua"/>
          <w:color w:val="000000"/>
          <w:szCs w:val="26"/>
        </w:rPr>
        <w:t xml:space="preserve"> </w:t>
      </w:r>
      <w:r>
        <w:rPr>
          <w:rFonts w:cs="Book Antiqua"/>
          <w:color w:val="000000"/>
          <w:szCs w:val="26"/>
        </w:rPr>
        <w:t>Disability Advocates, Lyft, San</w:t>
      </w:r>
      <w:r w:rsidR="00872193">
        <w:rPr>
          <w:rFonts w:cs="Book Antiqua"/>
          <w:color w:val="000000"/>
          <w:szCs w:val="26"/>
        </w:rPr>
        <w:t> </w:t>
      </w:r>
      <w:r>
        <w:rPr>
          <w:rFonts w:cs="Book Antiqua"/>
          <w:color w:val="000000"/>
          <w:szCs w:val="26"/>
        </w:rPr>
        <w:t>Francisco, SFTWA, and Uber</w:t>
      </w:r>
      <w:r w:rsidRPr="007D5DEA">
        <w:rPr>
          <w:rFonts w:cs="Book Antiqua"/>
          <w:color w:val="000000"/>
          <w:szCs w:val="26"/>
        </w:rPr>
        <w:t>.</w:t>
      </w:r>
    </w:p>
    <w:p w:rsidR="0063491C" w:rsidP="00611236" w:rsidRDefault="00611236" w14:paraId="24B61C0C" w14:textId="1144BA23">
      <w:pPr>
        <w:pStyle w:val="Heading2"/>
      </w:pPr>
      <w:bookmarkStart w:name="_Toc125016590" w:id="11"/>
      <w:bookmarkEnd w:id="10"/>
      <w:r w:rsidRPr="00FA066A">
        <w:t>Background on Track 5B Issues</w:t>
      </w:r>
      <w:bookmarkEnd w:id="11"/>
    </w:p>
    <w:p w:rsidR="007D6520" w:rsidP="007D6520" w:rsidRDefault="007D6520" w14:paraId="56961AD0" w14:textId="34612AB6">
      <w:pPr>
        <w:pStyle w:val="Standard"/>
      </w:pPr>
      <w:bookmarkStart w:name="_Toc8123718" w:id="12"/>
      <w:r>
        <w:t>Proposals on Track</w:t>
      </w:r>
      <w:r w:rsidR="00872193">
        <w:t> </w:t>
      </w:r>
      <w:r>
        <w:t>5B issues were submitted on April</w:t>
      </w:r>
      <w:r w:rsidR="00872193">
        <w:t> </w:t>
      </w:r>
      <w:r>
        <w:t>15,</w:t>
      </w:r>
      <w:r w:rsidR="00872193">
        <w:t> </w:t>
      </w:r>
      <w:r>
        <w:t xml:space="preserve">2022 by: </w:t>
      </w:r>
      <w:r w:rsidR="00872193">
        <w:t xml:space="preserve"> </w:t>
      </w:r>
      <w:r>
        <w:t>CPED, Disability Advocates, Lyft, San</w:t>
      </w:r>
      <w:r w:rsidR="00872193">
        <w:t> </w:t>
      </w:r>
      <w:r>
        <w:t>Francisco, and Uber.  Opening</w:t>
      </w:r>
      <w:r w:rsidR="00872193">
        <w:t> </w:t>
      </w:r>
      <w:r>
        <w:t>comments were submitted on May</w:t>
      </w:r>
      <w:r w:rsidR="00872193">
        <w:t> </w:t>
      </w:r>
      <w:r>
        <w:t>16,</w:t>
      </w:r>
      <w:r w:rsidR="00872193">
        <w:t> </w:t>
      </w:r>
      <w:r>
        <w:t>2022 by Disability Advocates, Lyft, San</w:t>
      </w:r>
      <w:r w:rsidR="00872193">
        <w:t> </w:t>
      </w:r>
      <w:r>
        <w:t>Francisco, and Uber.  Reply</w:t>
      </w:r>
      <w:r w:rsidR="00872193">
        <w:t> </w:t>
      </w:r>
      <w:r>
        <w:t>comments were submitted on May</w:t>
      </w:r>
      <w:r w:rsidR="00872193">
        <w:t> </w:t>
      </w:r>
      <w:r>
        <w:t>27,</w:t>
      </w:r>
      <w:r w:rsidR="00872193">
        <w:t> </w:t>
      </w:r>
      <w:r>
        <w:t>2022 by Disability Advocates, Lyft, San</w:t>
      </w:r>
      <w:r w:rsidR="00872193">
        <w:t> </w:t>
      </w:r>
      <w:r>
        <w:t>Francisco, and Uber.</w:t>
      </w:r>
    </w:p>
    <w:p w:rsidR="00611236" w:rsidP="00611236" w:rsidRDefault="00611236" w14:paraId="4F75132F" w14:textId="22E1E451">
      <w:pPr>
        <w:pStyle w:val="Heading1"/>
      </w:pPr>
      <w:bookmarkStart w:name="_Toc82791120" w:id="13"/>
      <w:bookmarkStart w:name="_Toc125016591" w:id="14"/>
      <w:bookmarkEnd w:id="12"/>
      <w:r>
        <w:lastRenderedPageBreak/>
        <w:t>Issues Before the Commission</w:t>
      </w:r>
      <w:bookmarkEnd w:id="13"/>
      <w:bookmarkEnd w:id="14"/>
    </w:p>
    <w:p w:rsidRPr="00611236" w:rsidR="00611236" w:rsidP="00611236" w:rsidRDefault="00611236" w14:paraId="4F00C055" w14:textId="126872F2">
      <w:pPr>
        <w:pStyle w:val="Heading2"/>
      </w:pPr>
      <w:bookmarkStart w:name="_Toc125016592" w:id="15"/>
      <w:r>
        <w:t>Track 5A Issues</w:t>
      </w:r>
      <w:bookmarkEnd w:id="15"/>
    </w:p>
    <w:p w:rsidRPr="00CC12EB" w:rsidR="00611236" w:rsidP="00611236" w:rsidRDefault="00611236" w14:paraId="559F7151" w14:textId="5964FE29">
      <w:pPr>
        <w:autoSpaceDE w:val="0"/>
        <w:autoSpaceDN w:val="0"/>
        <w:adjustRightInd w:val="0"/>
        <w:rPr>
          <w:rFonts w:cs="Book Antiqua"/>
          <w:color w:val="000000"/>
          <w:szCs w:val="26"/>
        </w:rPr>
      </w:pPr>
      <w:bookmarkStart w:name="_Toc8123719" w:id="16"/>
      <w:r>
        <w:rPr>
          <w:rFonts w:cs="Book Antiqua"/>
          <w:color w:val="000000"/>
          <w:szCs w:val="26"/>
        </w:rPr>
        <w:t>In the</w:t>
      </w:r>
      <w:r w:rsidRPr="002E43AA">
        <w:rPr>
          <w:rFonts w:cs="Book Antiqua"/>
          <w:color w:val="000000"/>
          <w:szCs w:val="26"/>
        </w:rPr>
        <w:t xml:space="preserve"> </w:t>
      </w:r>
      <w:r w:rsidR="00DF3AEE">
        <w:rPr>
          <w:rFonts w:cs="Book Antiqua"/>
          <w:color w:val="000000"/>
          <w:szCs w:val="26"/>
        </w:rPr>
        <w:t>a</w:t>
      </w:r>
      <w:r w:rsidRPr="002E43AA">
        <w:rPr>
          <w:rFonts w:cs="Book Antiqua"/>
          <w:color w:val="000000"/>
          <w:szCs w:val="26"/>
        </w:rPr>
        <w:t>ssigned Commissioner’s Amended Track</w:t>
      </w:r>
      <w:r w:rsidR="00DF3AEE">
        <w:rPr>
          <w:rFonts w:cs="Book Antiqua"/>
          <w:color w:val="000000"/>
          <w:szCs w:val="26"/>
        </w:rPr>
        <w:t> </w:t>
      </w:r>
      <w:r w:rsidRPr="002E43AA">
        <w:rPr>
          <w:rFonts w:cs="Book Antiqua"/>
          <w:color w:val="000000"/>
          <w:szCs w:val="26"/>
        </w:rPr>
        <w:t>5 Scoping</w:t>
      </w:r>
      <w:r w:rsidR="00DF3AEE">
        <w:rPr>
          <w:rFonts w:cs="Book Antiqua"/>
          <w:color w:val="000000"/>
          <w:szCs w:val="26"/>
        </w:rPr>
        <w:t> </w:t>
      </w:r>
      <w:r w:rsidRPr="002E43AA">
        <w:rPr>
          <w:rFonts w:cs="Book Antiqua"/>
          <w:color w:val="000000"/>
          <w:szCs w:val="26"/>
        </w:rPr>
        <w:t>Memo, issued on January</w:t>
      </w:r>
      <w:r w:rsidR="00DF3AEE">
        <w:rPr>
          <w:rFonts w:cs="Book Antiqua"/>
          <w:color w:val="000000"/>
          <w:szCs w:val="26"/>
        </w:rPr>
        <w:t> </w:t>
      </w:r>
      <w:r w:rsidRPr="002E43AA">
        <w:rPr>
          <w:rFonts w:cs="Book Antiqua"/>
          <w:color w:val="000000"/>
          <w:szCs w:val="26"/>
        </w:rPr>
        <w:t>14,</w:t>
      </w:r>
      <w:r w:rsidR="00DF3AEE">
        <w:rPr>
          <w:rFonts w:cs="Book Antiqua"/>
          <w:color w:val="000000"/>
          <w:szCs w:val="26"/>
        </w:rPr>
        <w:t> </w:t>
      </w:r>
      <w:r w:rsidRPr="002E43AA">
        <w:rPr>
          <w:rFonts w:cs="Book Antiqua"/>
          <w:color w:val="000000"/>
          <w:szCs w:val="26"/>
        </w:rPr>
        <w:t>2022, Track</w:t>
      </w:r>
      <w:r w:rsidR="00DF3AEE">
        <w:rPr>
          <w:rFonts w:cs="Book Antiqua"/>
          <w:color w:val="000000"/>
          <w:szCs w:val="26"/>
        </w:rPr>
        <w:t> </w:t>
      </w:r>
      <w:r w:rsidRPr="002E43AA">
        <w:rPr>
          <w:rFonts w:cs="Book Antiqua"/>
          <w:color w:val="000000"/>
          <w:szCs w:val="26"/>
        </w:rPr>
        <w:t xml:space="preserve">5A was scoped to </w:t>
      </w:r>
      <w:r>
        <w:rPr>
          <w:rFonts w:cs="Book Antiqua"/>
          <w:color w:val="000000"/>
          <w:szCs w:val="26"/>
        </w:rPr>
        <w:t>“</w:t>
      </w:r>
      <w:r w:rsidRPr="002E43AA">
        <w:rPr>
          <w:rFonts w:cs="Book Antiqua"/>
          <w:color w:val="000000"/>
          <w:szCs w:val="26"/>
        </w:rPr>
        <w:t>consider whether pre</w:t>
      </w:r>
      <w:r w:rsidR="00DF3AEE">
        <w:rPr>
          <w:rFonts w:cs="Book Antiqua"/>
          <w:color w:val="000000"/>
          <w:szCs w:val="26"/>
        </w:rPr>
        <w:noBreakHyphen/>
      </w:r>
      <w:r w:rsidRPr="002E43AA">
        <w:rPr>
          <w:rFonts w:cs="Book Antiqua"/>
          <w:color w:val="000000"/>
          <w:szCs w:val="26"/>
        </w:rPr>
        <w:t>scheduled WAV trips should be pe</w:t>
      </w:r>
      <w:r>
        <w:rPr>
          <w:rFonts w:cs="Book Antiqua"/>
          <w:color w:val="000000"/>
          <w:szCs w:val="26"/>
        </w:rPr>
        <w:t>rmitted to qualify in the Access for All Program and if permitted, how such trips should be calculated for purposes of Offset Requests, Exemption Requests, and other requirements.”</w:t>
      </w:r>
      <w:r>
        <w:rPr>
          <w:rStyle w:val="FootnoteReference"/>
          <w:rFonts w:cs="Book Antiqua"/>
          <w:color w:val="000000"/>
          <w:szCs w:val="26"/>
        </w:rPr>
        <w:footnoteReference w:id="4"/>
      </w:r>
    </w:p>
    <w:p w:rsidR="00611236" w:rsidP="00611236" w:rsidRDefault="00611236" w14:paraId="60CB059E" w14:textId="358A20C6">
      <w:pPr>
        <w:pStyle w:val="Standard"/>
      </w:pPr>
      <w:r>
        <w:t>The Amended</w:t>
      </w:r>
      <w:r w:rsidR="00DF3AEE">
        <w:t> </w:t>
      </w:r>
      <w:r>
        <w:t>Scoping</w:t>
      </w:r>
      <w:r w:rsidR="00DF3AEE">
        <w:t> </w:t>
      </w:r>
      <w:r>
        <w:t>Memo identified the following issues for Track</w:t>
      </w:r>
      <w:r w:rsidR="00DF3AEE">
        <w:t> </w:t>
      </w:r>
      <w:r>
        <w:t>5A:</w:t>
      </w:r>
    </w:p>
    <w:p w:rsidRPr="00DF3AEE" w:rsidR="00611236" w:rsidP="00630776" w:rsidRDefault="00630776" w14:paraId="67A36C64" w14:textId="6252C826">
      <w:pPr>
        <w:pStyle w:val="ListParagraph"/>
      </w:pPr>
      <w:r>
        <w:t>1.</w:t>
      </w:r>
      <w:r>
        <w:tab/>
      </w:r>
      <w:r w:rsidRPr="00DF3AEE" w:rsidR="00611236">
        <w:t>How should the Commission define a “pre</w:t>
      </w:r>
      <w:r w:rsidRPr="00DF3AEE" w:rsidR="00DF3AEE">
        <w:noBreakHyphen/>
      </w:r>
      <w:r w:rsidRPr="00DF3AEE" w:rsidR="00611236">
        <w:t>scheduled” WAV trip (as compared to an “on</w:t>
      </w:r>
      <w:r w:rsidRPr="00DF3AEE" w:rsidR="00DF3AEE">
        <w:noBreakHyphen/>
      </w:r>
      <w:r w:rsidRPr="00DF3AEE" w:rsidR="00611236">
        <w:t>demand” WAV trip)?</w:t>
      </w:r>
    </w:p>
    <w:p w:rsidRPr="00DF3AEE" w:rsidR="00611236" w:rsidP="00630776" w:rsidRDefault="00630776" w14:paraId="03822B0C" w14:textId="2118931B">
      <w:pPr>
        <w:pStyle w:val="ListParagraph"/>
      </w:pPr>
      <w:r>
        <w:t>2.</w:t>
      </w:r>
      <w:r>
        <w:tab/>
      </w:r>
      <w:r w:rsidRPr="00DF3AEE" w:rsidR="00611236">
        <w:t>Should “pre</w:t>
      </w:r>
      <w:r w:rsidRPr="00DF3AEE" w:rsidR="00DF3AEE">
        <w:noBreakHyphen/>
      </w:r>
      <w:r w:rsidRPr="00DF3AEE" w:rsidR="00611236">
        <w:t>scheduled” WAV trips be included in the Access for All Program for purposes of qualification for offsets, exemptions, access providers, and other requirements?</w:t>
      </w:r>
    </w:p>
    <w:p w:rsidRPr="00DF3AEE" w:rsidR="00611236" w:rsidP="00630776" w:rsidRDefault="00630776" w14:paraId="33BA225C" w14:textId="45B4E784">
      <w:pPr>
        <w:pStyle w:val="ListParagraph"/>
      </w:pPr>
      <w:r>
        <w:t>3.</w:t>
      </w:r>
      <w:r>
        <w:tab/>
      </w:r>
      <w:r w:rsidRPr="00DF3AEE" w:rsidR="00611236">
        <w:t>If “pre</w:t>
      </w:r>
      <w:r w:rsidRPr="00DF3AEE" w:rsidR="00DF3AEE">
        <w:noBreakHyphen/>
      </w:r>
      <w:r w:rsidRPr="00DF3AEE" w:rsidR="00611236">
        <w:t>scheduled” WAV trips are included in the Access for All Program, should such trips be subject to different performance requirements than “on-demand” WAV trips?  If so, what performance framework or requirements should be applied?</w:t>
      </w:r>
    </w:p>
    <w:p w:rsidRPr="00DF3AEE" w:rsidR="00611236" w:rsidP="00630776" w:rsidRDefault="00630776" w14:paraId="06C4E357" w14:textId="71D381C5">
      <w:pPr>
        <w:pStyle w:val="ListParagraph"/>
      </w:pPr>
      <w:r>
        <w:t>4.</w:t>
      </w:r>
      <w:r>
        <w:tab/>
      </w:r>
      <w:r w:rsidRPr="00DF3AEE" w:rsidR="00611236">
        <w:t>Should the adopted “response time” definition, adopted in D.20</w:t>
      </w:r>
      <w:r w:rsidRPr="00DF3AEE" w:rsidR="00DF3AEE">
        <w:noBreakHyphen/>
      </w:r>
      <w:r w:rsidRPr="00DF3AEE" w:rsidR="00611236">
        <w:t>03</w:t>
      </w:r>
      <w:r w:rsidRPr="00DF3AEE" w:rsidR="00DF3AEE">
        <w:noBreakHyphen/>
      </w:r>
      <w:r w:rsidRPr="00DF3AEE" w:rsidR="00611236">
        <w:t>007, be applied to pre-scheduled WAV trips?  If yes, how should the definitions of Periods A and B be applied?  If no, how should “response time” be defined for pre-scheduled WAV trips?</w:t>
      </w:r>
    </w:p>
    <w:p w:rsidRPr="00DF3AEE" w:rsidR="00611236" w:rsidP="00630776" w:rsidRDefault="00630776" w14:paraId="4A5231C2" w14:textId="6DE83A67">
      <w:pPr>
        <w:pStyle w:val="ListParagraph"/>
      </w:pPr>
      <w:r>
        <w:t>5.</w:t>
      </w:r>
      <w:r w:rsidR="00B4587B">
        <w:tab/>
      </w:r>
      <w:r w:rsidRPr="00DF3AEE" w:rsidR="00611236">
        <w:t>How should previously approved Advice Letters that included pre</w:t>
      </w:r>
      <w:r w:rsidRPr="00DF3AEE" w:rsidR="00DF3AEE">
        <w:noBreakHyphen/>
      </w:r>
      <w:r w:rsidRPr="00DF3AEE" w:rsidR="00611236">
        <w:t>scheduled WAV trips be treated?  How should pending Advice</w:t>
      </w:r>
      <w:r w:rsidRPr="00DF3AEE" w:rsidR="00DF3AEE">
        <w:t> </w:t>
      </w:r>
      <w:r w:rsidRPr="00DF3AEE" w:rsidR="00611236">
        <w:t>Letters that include pre</w:t>
      </w:r>
      <w:r w:rsidRPr="00DF3AEE" w:rsidR="00DF3AEE">
        <w:noBreakHyphen/>
      </w:r>
      <w:r w:rsidRPr="00DF3AEE" w:rsidR="00611236">
        <w:t>scheduled WAV trips be treated?</w:t>
      </w:r>
    </w:p>
    <w:p w:rsidRPr="00DF3AEE" w:rsidR="00611236" w:rsidP="00630776" w:rsidRDefault="00630776" w14:paraId="4E4BBF4F" w14:textId="21075E9D">
      <w:pPr>
        <w:pStyle w:val="ListParagraph"/>
      </w:pPr>
      <w:r>
        <w:t>6.</w:t>
      </w:r>
      <w:r>
        <w:tab/>
      </w:r>
      <w:r w:rsidRPr="00DF3AEE" w:rsidR="00611236">
        <w:t>How should data on the use of pre-scheduled WAV trips be reported to the Commission?</w:t>
      </w:r>
    </w:p>
    <w:p w:rsidR="00611236" w:rsidP="00611236" w:rsidRDefault="00611236" w14:paraId="72431683" w14:textId="0105F51D">
      <w:pPr>
        <w:pStyle w:val="Heading2"/>
      </w:pPr>
      <w:bookmarkStart w:name="_Toc125016593" w:id="17"/>
      <w:r>
        <w:lastRenderedPageBreak/>
        <w:t>Track 5B Issues</w:t>
      </w:r>
      <w:bookmarkEnd w:id="17"/>
    </w:p>
    <w:p w:rsidR="00611236" w:rsidP="00611236" w:rsidRDefault="00611236" w14:paraId="0A8AF2E4" w14:textId="703A9C3A">
      <w:pPr>
        <w:pStyle w:val="Standard"/>
      </w:pPr>
      <w:bookmarkStart w:name="_Toc29041825" w:id="18"/>
      <w:bookmarkStart w:name="_Toc29213634" w:id="19"/>
      <w:r>
        <w:t>The Amended</w:t>
      </w:r>
      <w:r w:rsidR="00DF3AEE">
        <w:t> </w:t>
      </w:r>
      <w:r>
        <w:t>Scoping</w:t>
      </w:r>
      <w:r w:rsidR="00DF3AEE">
        <w:t> </w:t>
      </w:r>
      <w:r>
        <w:t>Memo identified the following issues for Track</w:t>
      </w:r>
      <w:r w:rsidR="00DF3AEE">
        <w:t> </w:t>
      </w:r>
      <w:r>
        <w:t>5B:</w:t>
      </w:r>
      <w:bookmarkEnd w:id="18"/>
      <w:bookmarkEnd w:id="19"/>
    </w:p>
    <w:p w:rsidR="00DF3AEE" w:rsidP="00DF3AEE" w:rsidRDefault="00611236" w14:paraId="1E01D38A" w14:textId="77777777">
      <w:pPr>
        <w:pStyle w:val="ListParagraph"/>
      </w:pPr>
      <w:r>
        <w:t>1.</w:t>
      </w:r>
      <w:r>
        <w:tab/>
      </w:r>
      <w:r w:rsidRPr="00611236">
        <w:t>TNC Data Collection.</w:t>
      </w:r>
    </w:p>
    <w:p w:rsidR="00DF3AEE" w:rsidP="00DF3AEE" w:rsidRDefault="00DF3AEE" w14:paraId="2BAE2CBA" w14:textId="77777777">
      <w:pPr>
        <w:pStyle w:val="ListParagraph"/>
        <w:ind w:left="1440"/>
        <w:rPr>
          <w:rFonts w:cs="BookAntiqua"/>
          <w:szCs w:val="26"/>
        </w:rPr>
      </w:pPr>
      <w:r>
        <w:t>a.</w:t>
      </w:r>
      <w:r>
        <w:tab/>
      </w:r>
      <w:r w:rsidRPr="00DF3AEE" w:rsidR="00611236">
        <w:rPr>
          <w:rFonts w:cs="BookAntiqua"/>
          <w:szCs w:val="26"/>
        </w:rPr>
        <w:t>What additional data should be collected from TNCs and Access Providers to inform the 2024 Legislative Report and potential modifications to the WAV response time benchmarks?</w:t>
      </w:r>
      <w:r>
        <w:rPr>
          <w:rFonts w:cs="BookAntiqua"/>
          <w:szCs w:val="26"/>
        </w:rPr>
        <w:t xml:space="preserve"> </w:t>
      </w:r>
    </w:p>
    <w:p w:rsidRPr="00DF3AEE" w:rsidR="00611236" w:rsidP="00DF3AEE" w:rsidRDefault="00DF3AEE" w14:paraId="61F7A254" w14:textId="50BB668D">
      <w:pPr>
        <w:pStyle w:val="ListParagraph"/>
        <w:ind w:left="1440"/>
        <w:rPr>
          <w:rFonts w:cs="BookAntiqua"/>
          <w:szCs w:val="26"/>
        </w:rPr>
      </w:pPr>
      <w:r>
        <w:rPr>
          <w:rFonts w:cs="BookAntiqua"/>
          <w:szCs w:val="26"/>
        </w:rPr>
        <w:t>b.</w:t>
      </w:r>
      <w:r>
        <w:rPr>
          <w:rFonts w:cs="BookAntiqua"/>
          <w:szCs w:val="26"/>
        </w:rPr>
        <w:tab/>
      </w:r>
      <w:r w:rsidRPr="00DF3AEE" w:rsidR="00611236">
        <w:rPr>
          <w:rFonts w:cs="BookAntiqua"/>
          <w:szCs w:val="26"/>
        </w:rPr>
        <w:t>How can this data collection advance the goals of the Commission’s Environmental and Social Justice Action Plan?</w:t>
      </w:r>
    </w:p>
    <w:p w:rsidR="00DF3AEE" w:rsidP="00DF3AEE" w:rsidRDefault="00DF3AEE" w14:paraId="2217E56D" w14:textId="77777777">
      <w:pPr>
        <w:pStyle w:val="ListParagraph"/>
      </w:pPr>
      <w:r>
        <w:t>2.</w:t>
      </w:r>
      <w:r>
        <w:tab/>
      </w:r>
      <w:r w:rsidRPr="00C45566" w:rsidR="00611236">
        <w:t>TNC Community Outreach</w:t>
      </w:r>
      <w:r w:rsidRPr="0057462A" w:rsidR="00611236">
        <w:t>.</w:t>
      </w:r>
      <w:r w:rsidR="00611236">
        <w:t xml:space="preserve">  </w:t>
      </w:r>
      <w:r w:rsidRPr="00DB11AC" w:rsidR="00611236">
        <w:t>How should the Commission ensure that TNCs undertake effective engagement with the disability communities to further acceptance and expansion of on-demand WAV service?</w:t>
      </w:r>
    </w:p>
    <w:p w:rsidRPr="00DF3AEE" w:rsidR="00611236" w:rsidP="00DF3AEE" w:rsidRDefault="00DF3AEE" w14:paraId="5875DA68" w14:textId="0C8875EB">
      <w:pPr>
        <w:pStyle w:val="ListParagraph"/>
      </w:pPr>
      <w:r>
        <w:t>3.</w:t>
      </w:r>
      <w:r>
        <w:tab/>
      </w:r>
      <w:r w:rsidRPr="00DF3AEE" w:rsidR="00611236">
        <w:rPr>
          <w:rFonts w:cs="BookAntiqua"/>
          <w:szCs w:val="26"/>
        </w:rPr>
        <w:t>Multi</w:t>
      </w:r>
      <w:r>
        <w:rPr>
          <w:rFonts w:cs="BookAntiqua"/>
          <w:szCs w:val="26"/>
        </w:rPr>
        <w:noBreakHyphen/>
      </w:r>
      <w:r w:rsidRPr="00DF3AEE" w:rsidR="00611236">
        <w:rPr>
          <w:rFonts w:cs="BookAntiqua"/>
          <w:szCs w:val="26"/>
        </w:rPr>
        <w:t xml:space="preserve">County Pooling of Funds. In certain California counties, the amount of Access Fund moneys available may be relatively small due </w:t>
      </w:r>
      <w:proofErr w:type="gramStart"/>
      <w:r w:rsidRPr="00DF3AEE" w:rsidR="00611236">
        <w:rPr>
          <w:rFonts w:cs="BookAntiqua"/>
          <w:szCs w:val="26"/>
        </w:rPr>
        <w:t>to:</w:t>
      </w:r>
      <w:proofErr w:type="gramEnd"/>
      <w:r w:rsidRPr="00DF3AEE" w:rsidR="00611236">
        <w:rPr>
          <w:rFonts w:cs="BookAntiqua"/>
          <w:szCs w:val="26"/>
        </w:rPr>
        <w:t xml:space="preserve"> </w:t>
      </w:r>
      <w:r w:rsidR="00822A5D">
        <w:rPr>
          <w:rFonts w:cs="BookAntiqua"/>
          <w:szCs w:val="26"/>
        </w:rPr>
        <w:t xml:space="preserve"> </w:t>
      </w:r>
      <w:r w:rsidRPr="00DF3AEE" w:rsidR="00611236">
        <w:rPr>
          <w:rFonts w:cs="BookAntiqua"/>
          <w:szCs w:val="26"/>
        </w:rPr>
        <w:t>the reduced presence of TNC service, TNCs’ qualification for offsets, or TNCs’ qualification for exemptions in those counties. Therefore, the amount of Access Fund moneys in those individual counties may be unlikely to be sufficient to build a WAV program by Access Providers.</w:t>
      </w:r>
    </w:p>
    <w:p w:rsidRPr="00A5603C" w:rsidR="00611236" w:rsidP="00DF3AEE" w:rsidRDefault="00611236" w14:paraId="3C48B374" w14:textId="4677757B">
      <w:pPr>
        <w:pStyle w:val="ListParagraph"/>
        <w:numPr>
          <w:ilvl w:val="7"/>
          <w:numId w:val="1"/>
        </w:numPr>
        <w:autoSpaceDE w:val="0"/>
        <w:autoSpaceDN w:val="0"/>
        <w:adjustRightInd w:val="0"/>
        <w:ind w:left="1440"/>
        <w:rPr>
          <w:rFonts w:cs="BookAntiqua"/>
          <w:szCs w:val="26"/>
        </w:rPr>
      </w:pPr>
      <w:r>
        <w:rPr>
          <w:rFonts w:cs="BookAntiqua"/>
          <w:szCs w:val="26"/>
        </w:rPr>
        <w:t>F</w:t>
      </w:r>
      <w:r w:rsidRPr="00C26099">
        <w:rPr>
          <w:rFonts w:cs="BookAntiqua"/>
          <w:szCs w:val="26"/>
        </w:rPr>
        <w:t>or counties where the amount of Access Fund moneys</w:t>
      </w:r>
      <w:r>
        <w:rPr>
          <w:rFonts w:cs="BookAntiqua"/>
          <w:szCs w:val="26"/>
        </w:rPr>
        <w:t xml:space="preserve"> </w:t>
      </w:r>
      <w:r w:rsidRPr="00A5603C">
        <w:rPr>
          <w:rFonts w:cs="BookAntiqua"/>
          <w:szCs w:val="26"/>
        </w:rPr>
        <w:t>available is relatively small, should Access Fund</w:t>
      </w:r>
      <w:r>
        <w:rPr>
          <w:rFonts w:cs="BookAntiqua"/>
          <w:szCs w:val="26"/>
        </w:rPr>
        <w:t xml:space="preserve"> </w:t>
      </w:r>
      <w:r w:rsidRPr="00A5603C">
        <w:rPr>
          <w:rFonts w:cs="BookAntiqua"/>
          <w:szCs w:val="26"/>
        </w:rPr>
        <w:t>moneys be permitted to be “pooled” across multiple</w:t>
      </w:r>
      <w:r>
        <w:rPr>
          <w:rFonts w:cs="BookAntiqua"/>
          <w:szCs w:val="26"/>
        </w:rPr>
        <w:t xml:space="preserve"> </w:t>
      </w:r>
      <w:r w:rsidRPr="00A5603C">
        <w:rPr>
          <w:rFonts w:cs="BookAntiqua"/>
          <w:szCs w:val="26"/>
        </w:rPr>
        <w:t xml:space="preserve">counties? </w:t>
      </w:r>
      <w:r w:rsidR="00DF3AEE">
        <w:rPr>
          <w:rFonts w:cs="BookAntiqua"/>
          <w:szCs w:val="26"/>
        </w:rPr>
        <w:t xml:space="preserve"> </w:t>
      </w:r>
      <w:r w:rsidRPr="00A5603C">
        <w:rPr>
          <w:rFonts w:cs="BookAntiqua"/>
          <w:szCs w:val="26"/>
        </w:rPr>
        <w:t>If so, what criteria should be used to</w:t>
      </w:r>
      <w:r>
        <w:rPr>
          <w:rFonts w:cs="BookAntiqua"/>
          <w:szCs w:val="26"/>
        </w:rPr>
        <w:t xml:space="preserve"> </w:t>
      </w:r>
      <w:r w:rsidRPr="00A5603C">
        <w:rPr>
          <w:rFonts w:cs="BookAntiqua"/>
          <w:szCs w:val="26"/>
        </w:rPr>
        <w:t>determine multi</w:t>
      </w:r>
      <w:r w:rsidR="00DF3AEE">
        <w:rPr>
          <w:rFonts w:cs="BookAntiqua"/>
          <w:szCs w:val="26"/>
        </w:rPr>
        <w:noBreakHyphen/>
      </w:r>
      <w:r w:rsidRPr="00A5603C">
        <w:rPr>
          <w:rFonts w:cs="BookAntiqua"/>
          <w:szCs w:val="26"/>
        </w:rPr>
        <w:t xml:space="preserve">county pooling? </w:t>
      </w:r>
      <w:r w:rsidR="00DF3AEE">
        <w:rPr>
          <w:rFonts w:cs="BookAntiqua"/>
          <w:szCs w:val="26"/>
        </w:rPr>
        <w:t xml:space="preserve"> </w:t>
      </w:r>
      <w:r w:rsidRPr="00A5603C">
        <w:rPr>
          <w:rFonts w:cs="BookAntiqua"/>
          <w:szCs w:val="26"/>
        </w:rPr>
        <w:t>What other</w:t>
      </w:r>
      <w:r>
        <w:rPr>
          <w:rFonts w:cs="BookAntiqua"/>
          <w:szCs w:val="26"/>
        </w:rPr>
        <w:t xml:space="preserve"> </w:t>
      </w:r>
      <w:r w:rsidRPr="00A5603C">
        <w:rPr>
          <w:rFonts w:cs="BookAntiqua"/>
          <w:szCs w:val="26"/>
        </w:rPr>
        <w:t>requirements should be considered?</w:t>
      </w:r>
    </w:p>
    <w:p w:rsidRPr="00A5603C" w:rsidR="00611236" w:rsidP="00DF3AEE" w:rsidRDefault="00611236" w14:paraId="4C1943A7" w14:textId="06EE732C">
      <w:pPr>
        <w:pStyle w:val="ListParagraph"/>
        <w:numPr>
          <w:ilvl w:val="7"/>
          <w:numId w:val="1"/>
        </w:numPr>
        <w:autoSpaceDE w:val="0"/>
        <w:autoSpaceDN w:val="0"/>
        <w:adjustRightInd w:val="0"/>
        <w:ind w:left="1440"/>
        <w:rPr>
          <w:rFonts w:cs="BookAntiqua"/>
          <w:szCs w:val="26"/>
        </w:rPr>
      </w:pPr>
      <w:r w:rsidRPr="00C26099">
        <w:rPr>
          <w:rFonts w:cs="BookAntiqua"/>
          <w:szCs w:val="26"/>
        </w:rPr>
        <w:t>Should the Commission allow fund pooling only in</w:t>
      </w:r>
      <w:r>
        <w:rPr>
          <w:rFonts w:cs="BookAntiqua"/>
          <w:szCs w:val="26"/>
        </w:rPr>
        <w:t xml:space="preserve"> </w:t>
      </w:r>
      <w:r w:rsidRPr="00A5603C">
        <w:rPr>
          <w:rFonts w:cs="BookAntiqua"/>
          <w:szCs w:val="26"/>
        </w:rPr>
        <w:t>counties served by the Statewide Fund Administrator,</w:t>
      </w:r>
      <w:r>
        <w:rPr>
          <w:rFonts w:cs="BookAntiqua"/>
          <w:szCs w:val="26"/>
        </w:rPr>
        <w:t xml:space="preserve"> </w:t>
      </w:r>
      <w:r w:rsidRPr="00A5603C">
        <w:rPr>
          <w:rFonts w:cs="BookAntiqua"/>
          <w:szCs w:val="26"/>
        </w:rPr>
        <w:t>only in counties served by individual Local</w:t>
      </w:r>
      <w:r w:rsidR="00DF3AEE">
        <w:rPr>
          <w:rFonts w:cs="BookAntiqua"/>
          <w:szCs w:val="26"/>
        </w:rPr>
        <w:t> </w:t>
      </w:r>
      <w:r w:rsidRPr="00A5603C">
        <w:rPr>
          <w:rFonts w:cs="BookAntiqua"/>
          <w:szCs w:val="26"/>
        </w:rPr>
        <w:t>Access</w:t>
      </w:r>
      <w:r w:rsidR="00DF3AEE">
        <w:rPr>
          <w:rFonts w:cs="BookAntiqua"/>
          <w:szCs w:val="26"/>
        </w:rPr>
        <w:t> </w:t>
      </w:r>
      <w:r w:rsidRPr="00A5603C">
        <w:rPr>
          <w:rFonts w:cs="BookAntiqua"/>
          <w:szCs w:val="26"/>
        </w:rPr>
        <w:t>Fund Administrators, or both?</w:t>
      </w:r>
    </w:p>
    <w:p w:rsidRPr="00F81A8A" w:rsidR="00611236" w:rsidP="00822A5D" w:rsidRDefault="00822A5D" w14:paraId="004547B2" w14:textId="79DBC9BB">
      <w:pPr>
        <w:pStyle w:val="ListParagraph"/>
        <w:autoSpaceDE w:val="0"/>
        <w:autoSpaceDN w:val="0"/>
        <w:adjustRightInd w:val="0"/>
        <w:rPr>
          <w:rFonts w:cs="BookAntiqua"/>
          <w:szCs w:val="26"/>
        </w:rPr>
      </w:pPr>
      <w:r>
        <w:rPr>
          <w:rFonts w:cs="BookAntiqua"/>
          <w:szCs w:val="26"/>
        </w:rPr>
        <w:t>4.</w:t>
      </w:r>
      <w:r>
        <w:rPr>
          <w:rFonts w:cs="BookAntiqua"/>
          <w:szCs w:val="26"/>
        </w:rPr>
        <w:tab/>
      </w:r>
      <w:r w:rsidRPr="00A5603C" w:rsidR="00611236">
        <w:rPr>
          <w:rFonts w:cs="BookAntiqua"/>
          <w:szCs w:val="26"/>
        </w:rPr>
        <w:t>This</w:t>
      </w:r>
      <w:r w:rsidRPr="00C26099" w:rsidR="00611236">
        <w:rPr>
          <w:rFonts w:cs="BookAntiqua"/>
          <w:szCs w:val="26"/>
        </w:rPr>
        <w:t xml:space="preserve"> proceeding is set to close in February</w:t>
      </w:r>
      <w:r>
        <w:rPr>
          <w:rFonts w:cs="BookAntiqua"/>
          <w:szCs w:val="26"/>
        </w:rPr>
        <w:t> </w:t>
      </w:r>
      <w:r w:rsidRPr="00C26099" w:rsidR="00611236">
        <w:rPr>
          <w:rFonts w:cs="BookAntiqua"/>
          <w:szCs w:val="26"/>
        </w:rPr>
        <w:t>2023, while the</w:t>
      </w:r>
      <w:r w:rsidR="00611236">
        <w:rPr>
          <w:rFonts w:cs="BookAntiqua"/>
          <w:szCs w:val="26"/>
        </w:rPr>
        <w:t xml:space="preserve"> </w:t>
      </w:r>
      <w:r w:rsidRPr="00A5603C" w:rsidR="00611236">
        <w:rPr>
          <w:rFonts w:cs="BookAntiqua"/>
          <w:szCs w:val="26"/>
        </w:rPr>
        <w:t xml:space="preserve">Access for All Act Program </w:t>
      </w:r>
      <w:r w:rsidR="00611236">
        <w:rPr>
          <w:rFonts w:cs="BookAntiqua"/>
          <w:szCs w:val="26"/>
        </w:rPr>
        <w:t>is anticipated to</w:t>
      </w:r>
      <w:r w:rsidRPr="00A5603C" w:rsidR="00611236">
        <w:rPr>
          <w:rFonts w:cs="BookAntiqua"/>
          <w:szCs w:val="26"/>
        </w:rPr>
        <w:t xml:space="preserve"> sunset on January</w:t>
      </w:r>
      <w:r>
        <w:rPr>
          <w:rFonts w:cs="BookAntiqua"/>
          <w:szCs w:val="26"/>
        </w:rPr>
        <w:t> </w:t>
      </w:r>
      <w:r w:rsidRPr="00A5603C" w:rsidR="00611236">
        <w:rPr>
          <w:rFonts w:cs="BookAntiqua"/>
          <w:szCs w:val="26"/>
        </w:rPr>
        <w:t>1,</w:t>
      </w:r>
      <w:r>
        <w:rPr>
          <w:rFonts w:cs="BookAntiqua"/>
          <w:szCs w:val="26"/>
        </w:rPr>
        <w:t> </w:t>
      </w:r>
      <w:r w:rsidRPr="00A5603C" w:rsidR="00611236">
        <w:rPr>
          <w:rFonts w:cs="BookAntiqua"/>
          <w:szCs w:val="26"/>
        </w:rPr>
        <w:t>2026</w:t>
      </w:r>
      <w:r w:rsidR="00611236">
        <w:rPr>
          <w:rFonts w:cs="BookAntiqua"/>
          <w:szCs w:val="26"/>
        </w:rPr>
        <w:t>, per Pub.</w:t>
      </w:r>
      <w:r>
        <w:rPr>
          <w:rFonts w:cs="BookAntiqua"/>
          <w:szCs w:val="26"/>
        </w:rPr>
        <w:t> </w:t>
      </w:r>
      <w:r w:rsidR="00611236">
        <w:rPr>
          <w:rFonts w:cs="BookAntiqua"/>
          <w:szCs w:val="26"/>
        </w:rPr>
        <w:t>Util. Code</w:t>
      </w:r>
      <w:r>
        <w:rPr>
          <w:rFonts w:cs="BookAntiqua"/>
          <w:szCs w:val="26"/>
        </w:rPr>
        <w:t> </w:t>
      </w:r>
      <w:r w:rsidRPr="00532705" w:rsidR="00611236">
        <w:rPr>
          <w:rFonts w:cs="BookAntiqua"/>
          <w:szCs w:val="26"/>
        </w:rPr>
        <w:t>§</w:t>
      </w:r>
      <w:r>
        <w:rPr>
          <w:rFonts w:cs="BookAntiqua"/>
          <w:szCs w:val="26"/>
        </w:rPr>
        <w:t> </w:t>
      </w:r>
      <w:r w:rsidR="00611236">
        <w:rPr>
          <w:rFonts w:cs="BookAntiqua"/>
          <w:szCs w:val="26"/>
        </w:rPr>
        <w:t>5440.5(e)</w:t>
      </w:r>
      <w:r w:rsidRPr="00A5603C" w:rsidR="00611236">
        <w:rPr>
          <w:rFonts w:cs="BookAntiqua"/>
          <w:szCs w:val="26"/>
        </w:rPr>
        <w:t xml:space="preserve">. </w:t>
      </w:r>
      <w:r>
        <w:rPr>
          <w:rFonts w:cs="BookAntiqua"/>
          <w:szCs w:val="26"/>
        </w:rPr>
        <w:t xml:space="preserve"> </w:t>
      </w:r>
      <w:r w:rsidRPr="00A5603C" w:rsidR="00611236">
        <w:rPr>
          <w:rFonts w:cs="BookAntiqua"/>
          <w:szCs w:val="26"/>
        </w:rPr>
        <w:t xml:space="preserve">Should </w:t>
      </w:r>
      <w:r w:rsidRPr="00A5603C" w:rsidR="00611236">
        <w:rPr>
          <w:rFonts w:cs="BookAntiqua"/>
          <w:szCs w:val="26"/>
        </w:rPr>
        <w:lastRenderedPageBreak/>
        <w:t>Commission Staff be</w:t>
      </w:r>
      <w:r w:rsidR="00611236">
        <w:rPr>
          <w:rFonts w:cs="BookAntiqua"/>
          <w:szCs w:val="26"/>
        </w:rPr>
        <w:t xml:space="preserve"> </w:t>
      </w:r>
      <w:r w:rsidRPr="00A5603C" w:rsidR="00611236">
        <w:rPr>
          <w:rFonts w:cs="BookAntiqua"/>
          <w:szCs w:val="26"/>
        </w:rPr>
        <w:t>delegated authority to make decisions on certain aspects of</w:t>
      </w:r>
      <w:r w:rsidR="00611236">
        <w:rPr>
          <w:rFonts w:cs="BookAntiqua"/>
          <w:szCs w:val="26"/>
        </w:rPr>
        <w:t xml:space="preserve"> </w:t>
      </w:r>
      <w:r w:rsidRPr="00A5603C" w:rsidR="00611236">
        <w:rPr>
          <w:rFonts w:cs="BookAntiqua"/>
          <w:szCs w:val="26"/>
        </w:rPr>
        <w:t>the Access for All Program once the proceeding has</w:t>
      </w:r>
      <w:r w:rsidR="00611236">
        <w:rPr>
          <w:rFonts w:cs="BookAntiqua"/>
          <w:szCs w:val="26"/>
        </w:rPr>
        <w:t xml:space="preserve"> </w:t>
      </w:r>
      <w:r w:rsidRPr="00F81A8A" w:rsidR="00611236">
        <w:rPr>
          <w:rFonts w:cs="BookAntiqua"/>
          <w:szCs w:val="26"/>
        </w:rPr>
        <w:t>closed?</w:t>
      </w:r>
      <w:r>
        <w:rPr>
          <w:rFonts w:cs="BookAntiqua"/>
          <w:szCs w:val="26"/>
        </w:rPr>
        <w:t xml:space="preserve"> </w:t>
      </w:r>
      <w:r w:rsidRPr="00F81A8A" w:rsidR="00611236">
        <w:rPr>
          <w:rFonts w:cs="BookAntiqua"/>
          <w:szCs w:val="26"/>
        </w:rPr>
        <w:t xml:space="preserve"> If so, which issues?</w:t>
      </w:r>
    </w:p>
    <w:p w:rsidR="00611236" w:rsidP="00611236" w:rsidRDefault="00611236" w14:paraId="258F7455" w14:textId="790C6149">
      <w:pPr>
        <w:pStyle w:val="ALJBodyText"/>
      </w:pPr>
      <w:bookmarkStart w:name="_Hlk7176765" w:id="20"/>
      <w:r>
        <w:t>All proposals and comments were considered; however, given the number of issues in this proceeding, some proposals or comments may receive little or no</w:t>
      </w:r>
      <w:r w:rsidR="00822A5D">
        <w:t> </w:t>
      </w:r>
      <w:r>
        <w:t xml:space="preserve">discussion in this decision.  </w:t>
      </w:r>
      <w:bookmarkEnd w:id="20"/>
    </w:p>
    <w:p w:rsidR="005A148C" w:rsidP="005939A5" w:rsidRDefault="00611236" w14:paraId="659A5709" w14:textId="19661586">
      <w:pPr>
        <w:pStyle w:val="Heading1"/>
      </w:pPr>
      <w:bookmarkStart w:name="_Toc125016594" w:id="21"/>
      <w:bookmarkEnd w:id="16"/>
      <w:r>
        <w:t>Discussion</w:t>
      </w:r>
      <w:bookmarkEnd w:id="21"/>
    </w:p>
    <w:p w:rsidRPr="00611236" w:rsidR="00611236" w:rsidP="00611236" w:rsidRDefault="00611236" w14:paraId="02C8C1E5" w14:textId="731BC1BF">
      <w:pPr>
        <w:pStyle w:val="Heading2"/>
      </w:pPr>
      <w:bookmarkStart w:name="_Toc125016595" w:id="22"/>
      <w:r>
        <w:t>Definition of Pre-Scheduled WAV Trips</w:t>
      </w:r>
      <w:bookmarkEnd w:id="22"/>
    </w:p>
    <w:p w:rsidR="00611236" w:rsidP="00611236" w:rsidRDefault="00611236" w14:paraId="7004A6D2" w14:textId="4B732526">
      <w:pPr>
        <w:pStyle w:val="Standard"/>
      </w:pPr>
      <w:bookmarkStart w:name="_Toc8123720" w:id="23"/>
      <w:r>
        <w:t>We first consider what the definition of a “pre</w:t>
      </w:r>
      <w:r w:rsidR="00822A5D">
        <w:noBreakHyphen/>
      </w:r>
      <w:r>
        <w:t xml:space="preserve">scheduled” WAV trip should be, as compared to an “on-demand” WAV trip.  The </w:t>
      </w:r>
      <w:r w:rsidR="00822A5D">
        <w:rPr>
          <w:rFonts w:cs="Book Antiqua"/>
          <w:color w:val="000000"/>
          <w:szCs w:val="26"/>
        </w:rPr>
        <w:t>a</w:t>
      </w:r>
      <w:r w:rsidRPr="00384116">
        <w:rPr>
          <w:rFonts w:cs="Book Antiqua"/>
          <w:color w:val="000000"/>
          <w:szCs w:val="26"/>
        </w:rPr>
        <w:t>ssigned Commissioner’s Ruling on Track</w:t>
      </w:r>
      <w:r w:rsidR="00822A5D">
        <w:rPr>
          <w:rFonts w:cs="Book Antiqua"/>
          <w:color w:val="000000"/>
          <w:szCs w:val="26"/>
        </w:rPr>
        <w:t> </w:t>
      </w:r>
      <w:r w:rsidRPr="00384116">
        <w:rPr>
          <w:rFonts w:cs="Book Antiqua"/>
          <w:color w:val="000000"/>
          <w:szCs w:val="26"/>
        </w:rPr>
        <w:t>5A Issues and Data Submission for Pre</w:t>
      </w:r>
      <w:r w:rsidR="00822A5D">
        <w:rPr>
          <w:rFonts w:cs="Book Antiqua"/>
          <w:color w:val="000000"/>
          <w:szCs w:val="26"/>
        </w:rPr>
        <w:noBreakHyphen/>
      </w:r>
      <w:r w:rsidRPr="00384116">
        <w:rPr>
          <w:rFonts w:cs="Book Antiqua"/>
          <w:color w:val="000000"/>
          <w:szCs w:val="26"/>
        </w:rPr>
        <w:t>Scheduled Trips</w:t>
      </w:r>
      <w:r>
        <w:rPr>
          <w:rFonts w:cs="Book Antiqua"/>
          <w:color w:val="000000"/>
          <w:szCs w:val="26"/>
        </w:rPr>
        <w:t xml:space="preserve"> </w:t>
      </w:r>
      <w:r>
        <w:t>(April</w:t>
      </w:r>
      <w:r w:rsidR="00822A5D">
        <w:t> </w:t>
      </w:r>
      <w:r>
        <w:t>11 ACO</w:t>
      </w:r>
      <w:r w:rsidR="00822A5D">
        <w:t> </w:t>
      </w:r>
      <w:r>
        <w:t>Ruling) considered several proposed</w:t>
      </w:r>
      <w:r w:rsidR="00822A5D">
        <w:t> </w:t>
      </w:r>
      <w:r>
        <w:t>definitions and stated that:</w:t>
      </w:r>
    </w:p>
    <w:p w:rsidR="00611236" w:rsidP="00822A5D" w:rsidRDefault="00611236" w14:paraId="7D80C5E3" w14:textId="26AD0978">
      <w:pPr>
        <w:pStyle w:val="Standard"/>
        <w:spacing w:after="120" w:line="240" w:lineRule="auto"/>
        <w:ind w:left="720" w:right="1440" w:firstLine="0"/>
      </w:pPr>
      <w:r>
        <w:t>We observe that a majority of parties agree on a similar definition for ‘pre-scheduled’ service and we find that definition to be reasonable.  Accordingly, a “pre</w:t>
      </w:r>
      <w:r w:rsidR="00822A5D">
        <w:noBreakHyphen/>
      </w:r>
      <w:r>
        <w:t>scheduled” trip shall be defined as “any service that allows a passenger to schedule a trip with a specified pickup time.”</w:t>
      </w:r>
      <w:r>
        <w:rPr>
          <w:rStyle w:val="FootnoteReference"/>
        </w:rPr>
        <w:footnoteReference w:id="5"/>
      </w:r>
    </w:p>
    <w:p w:rsidRPr="00822A5D" w:rsidR="00611236" w:rsidP="00822A5D" w:rsidRDefault="00611236" w14:paraId="5034A28E" w14:textId="58680755">
      <w:pPr>
        <w:pStyle w:val="Standard"/>
      </w:pPr>
      <w:r w:rsidRPr="00822A5D">
        <w:t>The April</w:t>
      </w:r>
      <w:r w:rsidR="00822A5D">
        <w:t> </w:t>
      </w:r>
      <w:r w:rsidRPr="00822A5D">
        <w:t>11 ACO</w:t>
      </w:r>
      <w:r w:rsidR="00822A5D">
        <w:t> </w:t>
      </w:r>
      <w:r w:rsidRPr="00822A5D">
        <w:t>Ruling adopted the definition of “pre</w:t>
      </w:r>
      <w:r w:rsidR="00822A5D">
        <w:noBreakHyphen/>
      </w:r>
      <w:r w:rsidRPr="00822A5D">
        <w:t>scheduled” WAV service for purposes of the ACO</w:t>
      </w:r>
      <w:r w:rsidR="00822A5D">
        <w:t> </w:t>
      </w:r>
      <w:r w:rsidRPr="00822A5D">
        <w:t>Ruling.  The Commission finds it appropriate to apply the definition of “pre</w:t>
      </w:r>
      <w:r w:rsidR="00822A5D">
        <w:noBreakHyphen/>
      </w:r>
      <w:r w:rsidRPr="00822A5D">
        <w:t xml:space="preserve">scheduled” WAV trip to the Access for All </w:t>
      </w:r>
      <w:r w:rsidR="001B6DBF">
        <w:t>P</w:t>
      </w:r>
      <w:r w:rsidRPr="00822A5D">
        <w:t>rogram as well.  Accordingly, a “pre</w:t>
      </w:r>
      <w:r w:rsidR="00822A5D">
        <w:noBreakHyphen/>
      </w:r>
      <w:r w:rsidRPr="00822A5D">
        <w:t>scheduled” trip shall be defined as “any service that allows a passenger to schedule a trip with a specified pickup time.”</w:t>
      </w:r>
    </w:p>
    <w:p w:rsidR="00611236" w:rsidP="00611236" w:rsidRDefault="00611236" w14:paraId="70A649F9" w14:textId="7ECF39D6">
      <w:pPr>
        <w:pStyle w:val="Heading2"/>
      </w:pPr>
      <w:bookmarkStart w:name="_Toc125016596" w:id="24"/>
      <w:r w:rsidRPr="00ED24C7">
        <w:t>Definition of Response Time</w:t>
      </w:r>
      <w:r>
        <w:t xml:space="preserve"> for </w:t>
      </w:r>
      <w:r w:rsidR="00822A5D">
        <w:br/>
      </w:r>
      <w:r>
        <w:t>Pre-Scheduled Trips</w:t>
      </w:r>
      <w:bookmarkEnd w:id="24"/>
    </w:p>
    <w:p w:rsidR="00611236" w:rsidP="00611236" w:rsidRDefault="00611236" w14:paraId="5FC8C48F" w14:textId="31DA15EA">
      <w:pPr>
        <w:pStyle w:val="Standard"/>
      </w:pPr>
      <w:r>
        <w:t>We next consider whether the “response</w:t>
      </w:r>
      <w:r w:rsidR="00822A5D">
        <w:t> </w:t>
      </w:r>
      <w:r>
        <w:t>time” definition, adopted in D.20</w:t>
      </w:r>
      <w:r w:rsidR="00822A5D">
        <w:noBreakHyphen/>
      </w:r>
      <w:r>
        <w:t>03</w:t>
      </w:r>
      <w:r w:rsidR="00822A5D">
        <w:noBreakHyphen/>
      </w:r>
      <w:r>
        <w:t>007, should be applied to pre-scheduled WAV</w:t>
      </w:r>
      <w:r w:rsidR="00822A5D">
        <w:t> </w:t>
      </w:r>
      <w:r>
        <w:t>trips.  The April</w:t>
      </w:r>
      <w:r w:rsidR="00822A5D">
        <w:t> </w:t>
      </w:r>
      <w:r>
        <w:t xml:space="preserve">11 ACO </w:t>
      </w:r>
      <w:r>
        <w:lastRenderedPageBreak/>
        <w:t>Ruling considered several modifications to the “response</w:t>
      </w:r>
      <w:r w:rsidR="00822A5D">
        <w:t> </w:t>
      </w:r>
      <w:r>
        <w:t>time” definition and determined that:</w:t>
      </w:r>
    </w:p>
    <w:p w:rsidR="00611236" w:rsidP="00822A5D" w:rsidRDefault="00611236" w14:paraId="34298B86" w14:textId="3A6E3A83">
      <w:pPr>
        <w:pStyle w:val="Standard"/>
        <w:spacing w:after="120" w:line="240" w:lineRule="auto"/>
        <w:ind w:left="720" w:right="1440" w:firstLine="0"/>
      </w:pPr>
      <w:r>
        <w:t>A majority of parties agree on a similar modification to the “response</w:t>
      </w:r>
      <w:r w:rsidR="00822A5D">
        <w:t> </w:t>
      </w:r>
      <w:r>
        <w:t>time” definition as applied to pre-scheduled trips and we find the definition to be reasonable.  Accordingly, for a pre</w:t>
      </w:r>
      <w:r w:rsidR="00822A5D">
        <w:noBreakHyphen/>
      </w:r>
      <w:r>
        <w:t>scheduled trip, “response</w:t>
      </w:r>
      <w:r w:rsidR="00822A5D">
        <w:t> </w:t>
      </w:r>
      <w:r>
        <w:t>time” shall be defined for purposes of this Ruling as:</w:t>
      </w:r>
      <w:r w:rsidR="00822A5D">
        <w:t xml:space="preserve"> </w:t>
      </w:r>
      <w:r>
        <w:t xml:space="preserve"> the time elapsed between the passenger’s scheduled pickup time and when the vehicle arrived.  If the vehicle arrives before the passenger's scheduled pickup time, the response time shall be “0.”</w:t>
      </w:r>
      <w:r>
        <w:rPr>
          <w:rStyle w:val="FootnoteReference"/>
        </w:rPr>
        <w:footnoteReference w:id="6"/>
      </w:r>
    </w:p>
    <w:p w:rsidR="00611236" w:rsidP="00611236" w:rsidRDefault="00611236" w14:paraId="2E43BD84" w14:textId="4891B2CD">
      <w:pPr>
        <w:pStyle w:val="Standard"/>
      </w:pPr>
      <w:r>
        <w:t>While Lyft supported the ACO</w:t>
      </w:r>
      <w:r w:rsidR="00822A5D">
        <w:t> </w:t>
      </w:r>
      <w:r>
        <w:t>Ruling’s definition of “response</w:t>
      </w:r>
      <w:r w:rsidR="00822A5D">
        <w:t> </w:t>
      </w:r>
      <w:r>
        <w:t>time,” Lyft now recommends modifying the definition for pre-scheduled trips such that “a driver is ‘on</w:t>
      </w:r>
      <w:r w:rsidR="00822A5D">
        <w:noBreakHyphen/>
      </w:r>
      <w:r>
        <w:t>time’ if they arrive during the desired pick up time.”</w:t>
      </w:r>
      <w:r>
        <w:rPr>
          <w:rStyle w:val="FootnoteReference"/>
        </w:rPr>
        <w:footnoteReference w:id="7"/>
      </w:r>
      <w:r>
        <w:t xml:space="preserve">  San</w:t>
      </w:r>
      <w:r w:rsidR="00822A5D">
        <w:t> </w:t>
      </w:r>
      <w:r>
        <w:t>Francisco recommends adopting the term “pickup</w:t>
      </w:r>
      <w:r w:rsidR="00822A5D">
        <w:t> </w:t>
      </w:r>
      <w:r>
        <w:t>delay” to replace “response</w:t>
      </w:r>
      <w:r w:rsidR="00822A5D">
        <w:t> </w:t>
      </w:r>
      <w:r>
        <w:t>time” for pre</w:t>
      </w:r>
      <w:r w:rsidR="00822A5D">
        <w:noBreakHyphen/>
      </w:r>
      <w:r>
        <w:t>scheduled service, in order to differentiate this definition from the response time for on-demand trips.</w:t>
      </w:r>
      <w:r>
        <w:rPr>
          <w:rStyle w:val="FootnoteReference"/>
        </w:rPr>
        <w:footnoteReference w:id="8"/>
      </w:r>
      <w:r>
        <w:t xml:space="preserve">  Disability Advocates supports adopting the term “pickup</w:t>
      </w:r>
      <w:r w:rsidR="00822A5D">
        <w:t> </w:t>
      </w:r>
      <w:r>
        <w:t>delay.”</w:t>
      </w:r>
      <w:r>
        <w:rPr>
          <w:rStyle w:val="FootnoteReference"/>
        </w:rPr>
        <w:footnoteReference w:id="9"/>
      </w:r>
      <w:r>
        <w:t xml:space="preserve">  SFTWA recommends instead adopting the term “grace</w:t>
      </w:r>
      <w:r w:rsidR="00822A5D">
        <w:t> </w:t>
      </w:r>
      <w:r>
        <w:t>period.”</w:t>
      </w:r>
      <w:r>
        <w:rPr>
          <w:rStyle w:val="FootnoteReference"/>
        </w:rPr>
        <w:footnoteReference w:id="10"/>
      </w:r>
      <w:r>
        <w:t xml:space="preserve"> </w:t>
      </w:r>
    </w:p>
    <w:p w:rsidR="00611236" w:rsidP="00611236" w:rsidRDefault="00611236" w14:paraId="77CA4120" w14:textId="4CAF438E">
      <w:pPr>
        <w:pStyle w:val="Standard"/>
      </w:pPr>
      <w:r>
        <w:t>The Commission finds that the definition of “response</w:t>
      </w:r>
      <w:r w:rsidR="00822A5D">
        <w:t> </w:t>
      </w:r>
      <w:r>
        <w:t>time” adopted in the April</w:t>
      </w:r>
      <w:r w:rsidR="00822A5D">
        <w:t> </w:t>
      </w:r>
      <w:r>
        <w:t>11 ACO</w:t>
      </w:r>
      <w:r w:rsidR="00822A5D">
        <w:t> </w:t>
      </w:r>
      <w:r>
        <w:t>Ruling is appropriate to apply to the Access for All Program and finds insufficient basis to modify the definition here.  The Commission agrees that differentiating the response time terminology for “on</w:t>
      </w:r>
      <w:r w:rsidR="00822A5D">
        <w:noBreakHyphen/>
      </w:r>
      <w:r>
        <w:t>demand” trips versus “pre</w:t>
      </w:r>
      <w:r w:rsidR="00822A5D">
        <w:noBreakHyphen/>
      </w:r>
      <w:r>
        <w:t xml:space="preserve">scheduled” trips would be useful to avoid confusion.  We determine </w:t>
      </w:r>
      <w:r>
        <w:lastRenderedPageBreak/>
        <w:t>that “pickup</w:t>
      </w:r>
      <w:r w:rsidR="00822A5D">
        <w:t> </w:t>
      </w:r>
      <w:r>
        <w:t>delay” is an appropriate term to refer to “response</w:t>
      </w:r>
      <w:r w:rsidR="00822A5D">
        <w:t> </w:t>
      </w:r>
      <w:r>
        <w:t>times” for pre</w:t>
      </w:r>
      <w:r w:rsidR="00822A5D">
        <w:noBreakHyphen/>
      </w:r>
      <w:r>
        <w:t xml:space="preserve">scheduled trips and therefore, the term is adopted here.  </w:t>
      </w:r>
    </w:p>
    <w:p w:rsidR="00611236" w:rsidP="00611236" w:rsidRDefault="00611236" w14:paraId="2531501A" w14:textId="1541DAF0">
      <w:pPr>
        <w:pStyle w:val="Standard"/>
      </w:pPr>
      <w:r>
        <w:t>Accordingly, for a pre</w:t>
      </w:r>
      <w:r w:rsidR="00822A5D">
        <w:noBreakHyphen/>
      </w:r>
      <w:r>
        <w:t>scheduled WAV trip, the “pickup</w:t>
      </w:r>
      <w:r w:rsidR="00822A5D">
        <w:t> </w:t>
      </w:r>
      <w:r>
        <w:t xml:space="preserve">delay” shall be defined as: </w:t>
      </w:r>
      <w:r w:rsidR="00822A5D">
        <w:t xml:space="preserve"> </w:t>
      </w:r>
      <w:r>
        <w:t>the time elapsed between the passenger’s scheduled pickup time and when the vehicle arrived.  If the vehicle arrives before the passenger's scheduled pickup time, the “pickup</w:t>
      </w:r>
      <w:r w:rsidR="00822A5D">
        <w:t> </w:t>
      </w:r>
      <w:r>
        <w:t>delay” shall be “0.”</w:t>
      </w:r>
    </w:p>
    <w:p w:rsidR="00611236" w:rsidP="00611236" w:rsidRDefault="00611236" w14:paraId="5B8B4E7E" w14:textId="320867D8">
      <w:pPr>
        <w:pStyle w:val="Heading2"/>
      </w:pPr>
      <w:bookmarkStart w:name="_Toc125016597" w:id="25"/>
      <w:r>
        <w:t>Modifications to the Offset Standard</w:t>
      </w:r>
      <w:r w:rsidR="00822A5D">
        <w:br/>
      </w:r>
      <w:r>
        <w:t>for Pre</w:t>
      </w:r>
      <w:r w:rsidR="00822A5D">
        <w:t>-</w:t>
      </w:r>
      <w:r>
        <w:t>Scheduled WAV Trips</w:t>
      </w:r>
      <w:bookmarkEnd w:id="25"/>
    </w:p>
    <w:p w:rsidR="00611236" w:rsidP="00611236" w:rsidRDefault="00611236" w14:paraId="50DBA69C" w14:textId="35758629">
      <w:pPr>
        <w:pStyle w:val="Standard"/>
      </w:pPr>
      <w:r>
        <w:t>In the April</w:t>
      </w:r>
      <w:r w:rsidR="00822A5D">
        <w:t> </w:t>
      </w:r>
      <w:r>
        <w:t>11 ACO</w:t>
      </w:r>
      <w:r w:rsidR="00822A5D">
        <w:t> </w:t>
      </w:r>
      <w:r>
        <w:t>Ruling, we considered whether pre</w:t>
      </w:r>
      <w:r w:rsidR="00822A5D">
        <w:noBreakHyphen/>
      </w:r>
      <w:r>
        <w:t>scheduled WAV trips should be included in the Access for All Program for purposes of qualification for offsets, exemptions, or other requirements.  We noted that:</w:t>
      </w:r>
    </w:p>
    <w:p w:rsidR="00611236" w:rsidP="00AE54CE" w:rsidRDefault="00611236" w14:paraId="15939434" w14:textId="65F04F30">
      <w:pPr>
        <w:pStyle w:val="Standard"/>
        <w:spacing w:after="120" w:line="240" w:lineRule="auto"/>
        <w:ind w:left="720" w:right="1440" w:firstLine="0"/>
        <w:rPr>
          <w:szCs w:val="26"/>
        </w:rPr>
      </w:pPr>
      <w:r>
        <w:t xml:space="preserve">There is general consensus </w:t>
      </w:r>
      <w:r>
        <w:rPr>
          <w:szCs w:val="26"/>
        </w:rPr>
        <w:t>that pre</w:t>
      </w:r>
      <w:r w:rsidR="00AE54CE">
        <w:rPr>
          <w:szCs w:val="26"/>
        </w:rPr>
        <w:noBreakHyphen/>
      </w:r>
      <w:r>
        <w:rPr>
          <w:szCs w:val="26"/>
        </w:rPr>
        <w:t>scheduled WAV trips should be included in the Access for All Program for purposes of offsets and exemption eligibility; however, parties differ as to</w:t>
      </w:r>
      <w:r w:rsidRPr="00655492">
        <w:rPr>
          <w:szCs w:val="26"/>
        </w:rPr>
        <w:t xml:space="preserve"> </w:t>
      </w:r>
      <w:r>
        <w:rPr>
          <w:szCs w:val="26"/>
        </w:rPr>
        <w:t>whether separate qualifications should be applied to pre</w:t>
      </w:r>
      <w:r w:rsidR="00AE54CE">
        <w:rPr>
          <w:szCs w:val="26"/>
        </w:rPr>
        <w:noBreakHyphen/>
      </w:r>
      <w:r>
        <w:rPr>
          <w:szCs w:val="26"/>
        </w:rPr>
        <w:t>scheduled WAV trips as compared to real-time WAV trips.</w:t>
      </w:r>
      <w:r>
        <w:rPr>
          <w:rStyle w:val="FootnoteReference"/>
          <w:szCs w:val="26"/>
        </w:rPr>
        <w:footnoteReference w:id="11"/>
      </w:r>
    </w:p>
    <w:p w:rsidR="00611236" w:rsidP="00611236" w:rsidRDefault="00611236" w14:paraId="4E18F9AC" w14:textId="77777777">
      <w:pPr>
        <w:pStyle w:val="Standard"/>
      </w:pPr>
      <w:r>
        <w:t>The April 11 ACO Ruling concluded that:</w:t>
      </w:r>
    </w:p>
    <w:p w:rsidR="00611236" w:rsidP="00AE54CE" w:rsidRDefault="00611236" w14:paraId="2F2F1DCB" w14:textId="3739D268">
      <w:pPr>
        <w:pStyle w:val="Standard"/>
        <w:spacing w:after="120" w:line="240" w:lineRule="auto"/>
        <w:ind w:left="720" w:right="1440" w:firstLine="0"/>
      </w:pPr>
      <w:r>
        <w:t>We agree with parties that recommend that pre</w:t>
      </w:r>
      <w:r w:rsidR="00AE54CE">
        <w:noBreakHyphen/>
      </w:r>
      <w:r>
        <w:t>scheduled WAV trips should be eligible for offsets and exemptions only after separate performance metrics are considered and adopted.  We concur that the current offset and exemption benchmarks did not contemplate pre-scheduled WAV trips when they were established in D.20</w:t>
      </w:r>
      <w:r w:rsidR="00AE54CE">
        <w:noBreakHyphen/>
      </w:r>
      <w:r>
        <w:t>03</w:t>
      </w:r>
      <w:r w:rsidR="00AE54CE">
        <w:noBreakHyphen/>
      </w:r>
      <w:r>
        <w:t>007, and modified in D.21</w:t>
      </w:r>
      <w:r w:rsidR="00AE54CE">
        <w:noBreakHyphen/>
      </w:r>
      <w:r>
        <w:t>11</w:t>
      </w:r>
      <w:r w:rsidR="00AE54CE">
        <w:noBreakHyphen/>
      </w:r>
      <w:r>
        <w:t>004.</w:t>
      </w:r>
      <w:r>
        <w:rPr>
          <w:rStyle w:val="FootnoteReference"/>
        </w:rPr>
        <w:footnoteReference w:id="12"/>
      </w:r>
      <w:r>
        <w:t xml:space="preserve">  </w:t>
      </w:r>
    </w:p>
    <w:p w:rsidR="00611236" w:rsidP="00611236" w:rsidRDefault="00611236" w14:paraId="2EF63740" w14:textId="0DD26E3B">
      <w:pPr>
        <w:pStyle w:val="Standard"/>
      </w:pPr>
      <w:r>
        <w:t>The ACO</w:t>
      </w:r>
      <w:r w:rsidR="00AE54CE">
        <w:t> </w:t>
      </w:r>
      <w:r>
        <w:t>Ruling stated that “it is reasonable to consider different performance metrics for pre-scheduled WAV trips” and that once pre</w:t>
      </w:r>
      <w:r w:rsidR="00AE54CE">
        <w:noBreakHyphen/>
      </w:r>
      <w:r>
        <w:t>scheduled non</w:t>
      </w:r>
      <w:r w:rsidR="00AE54CE">
        <w:noBreakHyphen/>
      </w:r>
      <w:r>
        <w:t xml:space="preserve">WAV and WAV data was submitted into the record by TNCs, parties could </w:t>
      </w:r>
      <w:r>
        <w:lastRenderedPageBreak/>
        <w:t>submit additional proposals on pre-scheduled WAV trip performance metrics.</w:t>
      </w:r>
      <w:r>
        <w:rPr>
          <w:rStyle w:val="FootnoteReference"/>
        </w:rPr>
        <w:footnoteReference w:id="13"/>
      </w:r>
      <w:r>
        <w:t xml:space="preserve">  We next consider proposals on performance metrics for pre-scheduled WAV trips.</w:t>
      </w:r>
    </w:p>
    <w:p w:rsidR="00611236" w:rsidP="00611236" w:rsidRDefault="00611236" w14:paraId="20CC5E62" w14:textId="20164BE4">
      <w:pPr>
        <w:pStyle w:val="Heading3"/>
      </w:pPr>
      <w:bookmarkStart w:name="_Toc125016598" w:id="26"/>
      <w:r>
        <w:t>CPED’s Proposal</w:t>
      </w:r>
      <w:bookmarkEnd w:id="26"/>
    </w:p>
    <w:p w:rsidR="00611236" w:rsidP="00611236" w:rsidRDefault="00611236" w14:paraId="6E094D06" w14:textId="750DBCB0">
      <w:pPr>
        <w:pStyle w:val="Standard"/>
      </w:pPr>
      <w:r>
        <w:t>CPED analyzed pre</w:t>
      </w:r>
      <w:r w:rsidR="00AE54CE">
        <w:noBreakHyphen/>
      </w:r>
      <w:r>
        <w:t>scheduled non</w:t>
      </w:r>
      <w:r w:rsidR="00AE54CE">
        <w:noBreakHyphen/>
      </w:r>
      <w:r>
        <w:t>WAV and WAV trip data, where available, to determine the response times by county over a ten</w:t>
      </w:r>
      <w:r w:rsidR="00AE54CE">
        <w:noBreakHyphen/>
      </w:r>
      <w:r>
        <w:t>quarter period.</w:t>
      </w:r>
      <w:r>
        <w:rPr>
          <w:rStyle w:val="FootnoteReference"/>
        </w:rPr>
        <w:footnoteReference w:id="14"/>
      </w:r>
      <w:r>
        <w:t xml:space="preserve">  CPED recommends that TNCs demonstrate faster response times for pre</w:t>
      </w:r>
      <w:r w:rsidR="00AE54CE">
        <w:noBreakHyphen/>
      </w:r>
      <w:r>
        <w:t>scheduled WAV trips, as compared to on</w:t>
      </w:r>
      <w:r w:rsidR="00AE54CE">
        <w:noBreakHyphen/>
      </w:r>
      <w:r>
        <w:t>demand WAV response times, because pre</w:t>
      </w:r>
      <w:r w:rsidR="00AE54CE">
        <w:noBreakHyphen/>
      </w:r>
      <w:r>
        <w:t>scheduled trips are known further in advance and thus should be easier to fulfill.</w:t>
      </w:r>
      <w:r>
        <w:rPr>
          <w:rStyle w:val="FootnoteReference"/>
        </w:rPr>
        <w:footnoteReference w:id="15"/>
      </w:r>
      <w:r>
        <w:t xml:space="preserve">  Based on its analysis, CPED proposes that to qualify for an offset, the TNC meet two requirements: </w:t>
      </w:r>
      <w:r w:rsidR="00AE54CE">
        <w:t xml:space="preserve"> </w:t>
      </w:r>
      <w:r>
        <w:t>(1)</w:t>
      </w:r>
      <w:r w:rsidR="00AE54CE">
        <w:t> </w:t>
      </w:r>
      <w:r>
        <w:t>a pre</w:t>
      </w:r>
      <w:r w:rsidR="00AE54CE">
        <w:noBreakHyphen/>
      </w:r>
      <w:r>
        <w:t>scheduled Trip Completion Standard, and (2)</w:t>
      </w:r>
      <w:r w:rsidR="00AE54CE">
        <w:t> </w:t>
      </w:r>
      <w:r>
        <w:t>an Offset Time Standard (OTS) within a pre</w:t>
      </w:r>
      <w:r w:rsidR="00AE54CE">
        <w:noBreakHyphen/>
      </w:r>
      <w:r>
        <w:t xml:space="preserve">scheduled Offset Response Time Benchmark (PORTB).  </w:t>
      </w:r>
    </w:p>
    <w:p w:rsidR="00611236" w:rsidP="00611236" w:rsidRDefault="00611236" w14:paraId="75DCCC6C" w14:textId="35750FC0">
      <w:pPr>
        <w:pStyle w:val="Standard"/>
      </w:pPr>
      <w:r>
        <w:t>For the PORTB, CPED recommends maintaining the existing ramp-up percentage of completed trips by meeting both Level 1 and Level</w:t>
      </w:r>
      <w:r w:rsidR="00AE54CE">
        <w:t> </w:t>
      </w:r>
      <w:r>
        <w:t>2, as adopted for on</w:t>
      </w:r>
      <w:r w:rsidR="00AE54CE">
        <w:noBreakHyphen/>
      </w:r>
      <w:r>
        <w:t>demand WAV trips in D.21</w:t>
      </w:r>
      <w:r w:rsidR="00AE54CE">
        <w:noBreakHyphen/>
      </w:r>
      <w:r>
        <w:t>11</w:t>
      </w:r>
      <w:r w:rsidR="00AE54CE">
        <w:noBreakHyphen/>
      </w:r>
      <w:r>
        <w:t>004.  The existing OTS ramp</w:t>
      </w:r>
      <w:r w:rsidR="00AE54CE">
        <w:noBreakHyphen/>
      </w:r>
      <w:r>
        <w:t>up percentages are as follows:</w:t>
      </w:r>
    </w:p>
    <w:tbl>
      <w:tblPr>
        <w:tblStyle w:val="TableGrid"/>
        <w:tblW w:w="9175" w:type="dxa"/>
        <w:jc w:val="center"/>
        <w:tblLook w:val="04A0" w:firstRow="1" w:lastRow="0" w:firstColumn="1" w:lastColumn="0" w:noHBand="0" w:noVBand="1"/>
      </w:tblPr>
      <w:tblGrid>
        <w:gridCol w:w="6295"/>
        <w:gridCol w:w="2880"/>
      </w:tblGrid>
      <w:tr w:rsidRPr="000E26C3" w:rsidR="00611236" w:rsidTr="00E87C2D" w14:paraId="09B8644D" w14:textId="77777777">
        <w:trPr>
          <w:jc w:val="center"/>
        </w:trPr>
        <w:tc>
          <w:tcPr>
            <w:tcW w:w="9175" w:type="dxa"/>
            <w:gridSpan w:val="2"/>
            <w:shd w:val="clear" w:color="auto" w:fill="auto"/>
          </w:tcPr>
          <w:p w:rsidRPr="000E26C3" w:rsidR="00611236" w:rsidP="00E87C2D" w:rsidRDefault="00611236" w14:paraId="329B4525" w14:textId="77777777">
            <w:pPr>
              <w:autoSpaceDE w:val="0"/>
              <w:autoSpaceDN w:val="0"/>
              <w:adjustRightInd w:val="0"/>
              <w:spacing w:line="240" w:lineRule="auto"/>
              <w:ind w:firstLine="0"/>
              <w:jc w:val="center"/>
              <w:rPr>
                <w:rFonts w:cs="BookAntiqua"/>
                <w:b/>
                <w:bCs/>
                <w:sz w:val="24"/>
                <w:szCs w:val="24"/>
              </w:rPr>
            </w:pPr>
            <w:r w:rsidRPr="000E26C3">
              <w:rPr>
                <w:rFonts w:cs="BookAntiqua"/>
                <w:b/>
                <w:bCs/>
                <w:sz w:val="24"/>
                <w:szCs w:val="24"/>
              </w:rPr>
              <w:t>Offset Time Standard (OTS)</w:t>
            </w:r>
          </w:p>
        </w:tc>
      </w:tr>
      <w:tr w:rsidRPr="000E26C3" w:rsidR="00611236" w:rsidTr="00E87C2D" w14:paraId="6CB14DA5" w14:textId="77777777">
        <w:trPr>
          <w:jc w:val="center"/>
        </w:trPr>
        <w:tc>
          <w:tcPr>
            <w:tcW w:w="9175" w:type="dxa"/>
            <w:gridSpan w:val="2"/>
            <w:shd w:val="clear" w:color="auto" w:fill="auto"/>
          </w:tcPr>
          <w:p w:rsidRPr="000E26C3" w:rsidR="00611236" w:rsidP="00E87C2D" w:rsidRDefault="00611236" w14:paraId="01EC98DF" w14:textId="77777777">
            <w:pPr>
              <w:autoSpaceDE w:val="0"/>
              <w:autoSpaceDN w:val="0"/>
              <w:adjustRightInd w:val="0"/>
              <w:spacing w:line="240" w:lineRule="auto"/>
              <w:ind w:firstLine="0"/>
              <w:jc w:val="center"/>
              <w:rPr>
                <w:rFonts w:cs="BookAntiqua"/>
                <w:b/>
                <w:bCs/>
                <w:sz w:val="24"/>
                <w:szCs w:val="24"/>
              </w:rPr>
            </w:pPr>
            <w:r w:rsidRPr="000E26C3">
              <w:rPr>
                <w:rFonts w:cs="BookAntiqua"/>
                <w:b/>
                <w:bCs/>
                <w:sz w:val="24"/>
                <w:szCs w:val="24"/>
              </w:rPr>
              <w:t>Percentage of Completed Trips under Level 1 Response Times</w:t>
            </w:r>
          </w:p>
        </w:tc>
      </w:tr>
      <w:tr w:rsidRPr="000E26C3" w:rsidR="00611236" w:rsidTr="00E87C2D" w14:paraId="2484F449" w14:textId="77777777">
        <w:trPr>
          <w:jc w:val="center"/>
        </w:trPr>
        <w:tc>
          <w:tcPr>
            <w:tcW w:w="6295" w:type="dxa"/>
          </w:tcPr>
          <w:p w:rsidRPr="000E26C3" w:rsidR="00611236" w:rsidP="00E87C2D" w:rsidRDefault="00611236" w14:paraId="68FC9A58"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1</w:t>
            </w:r>
            <w:r w:rsidRPr="000E26C3">
              <w:rPr>
                <w:rFonts w:cs="BookAntiqua"/>
                <w:sz w:val="24"/>
                <w:szCs w:val="24"/>
                <w:vertAlign w:val="superscript"/>
              </w:rPr>
              <w:t>st</w:t>
            </w:r>
            <w:r w:rsidRPr="000E26C3">
              <w:rPr>
                <w:rFonts w:cs="BookAntiqua"/>
                <w:sz w:val="24"/>
                <w:szCs w:val="24"/>
              </w:rPr>
              <w:t xml:space="preserve"> Quarter Submission</w:t>
            </w:r>
          </w:p>
        </w:tc>
        <w:tc>
          <w:tcPr>
            <w:tcW w:w="2880" w:type="dxa"/>
          </w:tcPr>
          <w:p w:rsidRPr="000E26C3" w:rsidR="00611236" w:rsidP="00E87C2D" w:rsidRDefault="00611236" w14:paraId="3DBA0600"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50%</w:t>
            </w:r>
          </w:p>
        </w:tc>
      </w:tr>
      <w:tr w:rsidRPr="000E26C3" w:rsidR="00611236" w:rsidTr="00E87C2D" w14:paraId="284D95E1" w14:textId="77777777">
        <w:trPr>
          <w:jc w:val="center"/>
        </w:trPr>
        <w:tc>
          <w:tcPr>
            <w:tcW w:w="6295" w:type="dxa"/>
          </w:tcPr>
          <w:p w:rsidRPr="000E26C3" w:rsidR="00611236" w:rsidP="00E87C2D" w:rsidRDefault="00611236" w14:paraId="1B9C5689"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2</w:t>
            </w:r>
            <w:r w:rsidRPr="000E26C3">
              <w:rPr>
                <w:rFonts w:cs="BookAntiqua"/>
                <w:sz w:val="24"/>
                <w:szCs w:val="24"/>
                <w:vertAlign w:val="superscript"/>
              </w:rPr>
              <w:t>nd</w:t>
            </w:r>
            <w:r w:rsidRPr="000E26C3">
              <w:rPr>
                <w:rFonts w:cs="BookAntiqua"/>
                <w:sz w:val="24"/>
                <w:szCs w:val="24"/>
              </w:rPr>
              <w:t xml:space="preserve"> Quarter</w:t>
            </w:r>
          </w:p>
        </w:tc>
        <w:tc>
          <w:tcPr>
            <w:tcW w:w="2880" w:type="dxa"/>
          </w:tcPr>
          <w:p w:rsidRPr="000E26C3" w:rsidR="00611236" w:rsidP="00E87C2D" w:rsidRDefault="00611236" w14:paraId="57B07A38"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54%</w:t>
            </w:r>
          </w:p>
        </w:tc>
      </w:tr>
      <w:tr w:rsidRPr="000E26C3" w:rsidR="00611236" w:rsidTr="00E87C2D" w14:paraId="3DBA93EE" w14:textId="77777777">
        <w:trPr>
          <w:trHeight w:val="188"/>
          <w:jc w:val="center"/>
        </w:trPr>
        <w:tc>
          <w:tcPr>
            <w:tcW w:w="6295" w:type="dxa"/>
          </w:tcPr>
          <w:p w:rsidRPr="000E26C3" w:rsidR="00611236" w:rsidP="00E87C2D" w:rsidRDefault="00611236" w14:paraId="437BA2EB" w14:textId="77777777">
            <w:pPr>
              <w:pStyle w:val="standard0"/>
              <w:spacing w:line="240" w:lineRule="auto"/>
              <w:ind w:firstLine="0"/>
              <w:rPr>
                <w:rFonts w:ascii="Book Antiqua" w:hAnsi="Book Antiqua"/>
                <w:sz w:val="24"/>
                <w:szCs w:val="24"/>
              </w:rPr>
            </w:pPr>
            <w:r w:rsidRPr="000E26C3">
              <w:rPr>
                <w:rFonts w:ascii="Book Antiqua" w:hAnsi="Book Antiqua"/>
                <w:sz w:val="24"/>
                <w:szCs w:val="24"/>
              </w:rPr>
              <w:t>3</w:t>
            </w:r>
            <w:r w:rsidRPr="000E26C3">
              <w:rPr>
                <w:rFonts w:ascii="Book Antiqua" w:hAnsi="Book Antiqua"/>
                <w:sz w:val="24"/>
                <w:szCs w:val="24"/>
                <w:vertAlign w:val="superscript"/>
              </w:rPr>
              <w:t>rd</w:t>
            </w:r>
            <w:r w:rsidRPr="000E26C3">
              <w:rPr>
                <w:rFonts w:ascii="Book Antiqua" w:hAnsi="Book Antiqua"/>
                <w:sz w:val="24"/>
                <w:szCs w:val="24"/>
              </w:rPr>
              <w:t xml:space="preserve"> Quarter</w:t>
            </w:r>
          </w:p>
        </w:tc>
        <w:tc>
          <w:tcPr>
            <w:tcW w:w="2880" w:type="dxa"/>
          </w:tcPr>
          <w:p w:rsidRPr="000E26C3" w:rsidR="00611236" w:rsidP="00E87C2D" w:rsidRDefault="00611236" w14:paraId="7925E477" w14:textId="77777777">
            <w:pPr>
              <w:pStyle w:val="standard0"/>
              <w:spacing w:line="240" w:lineRule="auto"/>
              <w:ind w:firstLine="0"/>
              <w:jc w:val="center"/>
              <w:rPr>
                <w:rFonts w:ascii="Book Antiqua" w:hAnsi="Book Antiqua"/>
                <w:sz w:val="24"/>
                <w:szCs w:val="24"/>
              </w:rPr>
            </w:pPr>
            <w:r w:rsidRPr="000E26C3">
              <w:rPr>
                <w:rFonts w:ascii="Book Antiqua" w:hAnsi="Book Antiqua"/>
                <w:sz w:val="24"/>
                <w:szCs w:val="24"/>
              </w:rPr>
              <w:t>57%</w:t>
            </w:r>
          </w:p>
        </w:tc>
      </w:tr>
      <w:tr w:rsidRPr="000E26C3" w:rsidR="00611236" w:rsidTr="00E87C2D" w14:paraId="07205894" w14:textId="77777777">
        <w:tblPrEx>
          <w:jc w:val="left"/>
        </w:tblPrEx>
        <w:tc>
          <w:tcPr>
            <w:tcW w:w="6295" w:type="dxa"/>
          </w:tcPr>
          <w:p w:rsidRPr="000E26C3" w:rsidR="00611236" w:rsidP="00E87C2D" w:rsidRDefault="00611236" w14:paraId="39C9DE1D"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4</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611236" w:rsidP="00E87C2D" w:rsidRDefault="00611236" w14:paraId="105AD169"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61%</w:t>
            </w:r>
          </w:p>
        </w:tc>
      </w:tr>
      <w:tr w:rsidRPr="000E26C3" w:rsidR="00611236" w:rsidTr="00E87C2D" w14:paraId="5B1F57D4" w14:textId="77777777">
        <w:tblPrEx>
          <w:jc w:val="left"/>
        </w:tblPrEx>
        <w:tc>
          <w:tcPr>
            <w:tcW w:w="6295" w:type="dxa"/>
          </w:tcPr>
          <w:p w:rsidRPr="000E26C3" w:rsidR="00611236" w:rsidP="00E87C2D" w:rsidRDefault="00611236" w14:paraId="7EF2D86A"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5</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611236" w:rsidP="00E87C2D" w:rsidRDefault="00611236" w14:paraId="4565529E"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64%</w:t>
            </w:r>
          </w:p>
        </w:tc>
      </w:tr>
      <w:tr w:rsidRPr="000E26C3" w:rsidR="00611236" w:rsidTr="00E87C2D" w14:paraId="08C40BA4" w14:textId="77777777">
        <w:tblPrEx>
          <w:jc w:val="left"/>
        </w:tblPrEx>
        <w:trPr>
          <w:trHeight w:val="296"/>
        </w:trPr>
        <w:tc>
          <w:tcPr>
            <w:tcW w:w="6295" w:type="dxa"/>
          </w:tcPr>
          <w:p w:rsidRPr="000E26C3" w:rsidR="00611236" w:rsidP="00E87C2D" w:rsidRDefault="00611236" w14:paraId="5C795773" w14:textId="77777777">
            <w:pPr>
              <w:pStyle w:val="standard0"/>
              <w:spacing w:line="240" w:lineRule="auto"/>
              <w:ind w:firstLine="0"/>
              <w:rPr>
                <w:rFonts w:ascii="Book Antiqua" w:hAnsi="Book Antiqua"/>
                <w:sz w:val="24"/>
                <w:szCs w:val="24"/>
              </w:rPr>
            </w:pPr>
            <w:r w:rsidRPr="000E26C3">
              <w:rPr>
                <w:rFonts w:ascii="Book Antiqua" w:hAnsi="Book Antiqua"/>
                <w:sz w:val="24"/>
                <w:szCs w:val="24"/>
              </w:rPr>
              <w:t>6</w:t>
            </w:r>
            <w:r w:rsidRPr="000E26C3">
              <w:rPr>
                <w:rFonts w:ascii="Book Antiqua" w:hAnsi="Book Antiqua"/>
                <w:sz w:val="24"/>
                <w:szCs w:val="24"/>
                <w:vertAlign w:val="superscript"/>
              </w:rPr>
              <w:t>th</w:t>
            </w:r>
            <w:r w:rsidRPr="000E26C3">
              <w:rPr>
                <w:rFonts w:ascii="Book Antiqua" w:hAnsi="Book Antiqua"/>
                <w:sz w:val="24"/>
                <w:szCs w:val="24"/>
              </w:rPr>
              <w:t xml:space="preserve"> Quarter</w:t>
            </w:r>
          </w:p>
        </w:tc>
        <w:tc>
          <w:tcPr>
            <w:tcW w:w="2880" w:type="dxa"/>
          </w:tcPr>
          <w:p w:rsidRPr="000E26C3" w:rsidR="00611236" w:rsidP="00E87C2D" w:rsidRDefault="00611236" w14:paraId="361CC526" w14:textId="77777777">
            <w:pPr>
              <w:pStyle w:val="standard0"/>
              <w:spacing w:line="240" w:lineRule="auto"/>
              <w:ind w:firstLine="0"/>
              <w:jc w:val="center"/>
              <w:rPr>
                <w:rFonts w:ascii="Book Antiqua" w:hAnsi="Book Antiqua"/>
                <w:sz w:val="24"/>
                <w:szCs w:val="24"/>
              </w:rPr>
            </w:pPr>
            <w:r w:rsidRPr="000E26C3">
              <w:rPr>
                <w:rFonts w:ascii="Book Antiqua" w:hAnsi="Book Antiqua"/>
                <w:sz w:val="24"/>
                <w:szCs w:val="24"/>
              </w:rPr>
              <w:t>68%</w:t>
            </w:r>
          </w:p>
        </w:tc>
      </w:tr>
      <w:tr w:rsidRPr="000E26C3" w:rsidR="00611236" w:rsidTr="00E87C2D" w14:paraId="23B694CC" w14:textId="77777777">
        <w:tblPrEx>
          <w:jc w:val="left"/>
        </w:tblPrEx>
        <w:tc>
          <w:tcPr>
            <w:tcW w:w="6295" w:type="dxa"/>
          </w:tcPr>
          <w:p w:rsidRPr="000E26C3" w:rsidR="00611236" w:rsidP="00E87C2D" w:rsidRDefault="00611236" w14:paraId="63FF34F8"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lastRenderedPageBreak/>
              <w:t>7</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611236" w:rsidP="00E87C2D" w:rsidRDefault="00611236" w14:paraId="509FF63E"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71%</w:t>
            </w:r>
          </w:p>
        </w:tc>
      </w:tr>
      <w:tr w:rsidRPr="000E26C3" w:rsidR="00611236" w:rsidTr="00E87C2D" w14:paraId="1892814D" w14:textId="77777777">
        <w:tblPrEx>
          <w:jc w:val="left"/>
        </w:tblPrEx>
        <w:tc>
          <w:tcPr>
            <w:tcW w:w="6295" w:type="dxa"/>
          </w:tcPr>
          <w:p w:rsidRPr="000E26C3" w:rsidR="00611236" w:rsidP="00E87C2D" w:rsidRDefault="00611236" w14:paraId="2E771BA5"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8</w:t>
            </w:r>
            <w:r w:rsidRPr="000E26C3">
              <w:rPr>
                <w:rFonts w:cs="BookAntiqua"/>
                <w:sz w:val="24"/>
                <w:szCs w:val="24"/>
                <w:vertAlign w:val="superscript"/>
              </w:rPr>
              <w:t>th</w:t>
            </w:r>
            <w:r w:rsidRPr="000E26C3">
              <w:rPr>
                <w:rFonts w:cs="BookAntiqua"/>
                <w:sz w:val="24"/>
                <w:szCs w:val="24"/>
              </w:rPr>
              <w:t xml:space="preserve"> (and subsequent) Quarter</w:t>
            </w:r>
          </w:p>
        </w:tc>
        <w:tc>
          <w:tcPr>
            <w:tcW w:w="2880" w:type="dxa"/>
          </w:tcPr>
          <w:p w:rsidRPr="000E26C3" w:rsidR="00611236" w:rsidP="00E87C2D" w:rsidRDefault="00611236" w14:paraId="2A6C5200"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75%</w:t>
            </w:r>
          </w:p>
        </w:tc>
      </w:tr>
    </w:tbl>
    <w:p w:rsidRPr="002E2715" w:rsidR="00611236" w:rsidP="00611236" w:rsidRDefault="00611236" w14:paraId="47771C65" w14:textId="77777777">
      <w:pPr>
        <w:pStyle w:val="Standard"/>
        <w:ind w:firstLine="0"/>
        <w:rPr>
          <w:sz w:val="12"/>
          <w:szCs w:val="12"/>
        </w:rPr>
      </w:pPr>
    </w:p>
    <w:tbl>
      <w:tblPr>
        <w:tblStyle w:val="TableGrid"/>
        <w:tblW w:w="9175" w:type="dxa"/>
        <w:jc w:val="center"/>
        <w:tblLook w:val="04A0" w:firstRow="1" w:lastRow="0" w:firstColumn="1" w:lastColumn="0" w:noHBand="0" w:noVBand="1"/>
      </w:tblPr>
      <w:tblGrid>
        <w:gridCol w:w="6295"/>
        <w:gridCol w:w="2880"/>
      </w:tblGrid>
      <w:tr w:rsidRPr="000E26C3" w:rsidR="00611236" w:rsidTr="00E87C2D" w14:paraId="0ED2F954" w14:textId="77777777">
        <w:trPr>
          <w:jc w:val="center"/>
        </w:trPr>
        <w:tc>
          <w:tcPr>
            <w:tcW w:w="9175" w:type="dxa"/>
            <w:gridSpan w:val="2"/>
            <w:shd w:val="clear" w:color="auto" w:fill="auto"/>
          </w:tcPr>
          <w:p w:rsidRPr="000E26C3" w:rsidR="00611236" w:rsidP="00E87C2D" w:rsidRDefault="00611236" w14:paraId="3F893C16" w14:textId="77777777">
            <w:pPr>
              <w:autoSpaceDE w:val="0"/>
              <w:autoSpaceDN w:val="0"/>
              <w:adjustRightInd w:val="0"/>
              <w:spacing w:line="240" w:lineRule="auto"/>
              <w:ind w:firstLine="0"/>
              <w:jc w:val="center"/>
              <w:rPr>
                <w:rFonts w:cs="BookAntiqua"/>
                <w:b/>
                <w:bCs/>
                <w:sz w:val="24"/>
                <w:szCs w:val="24"/>
              </w:rPr>
            </w:pPr>
            <w:bookmarkStart w:name="_Hlk112923762" w:id="27"/>
            <w:r w:rsidRPr="000E26C3">
              <w:rPr>
                <w:rFonts w:cs="BookAntiqua"/>
                <w:b/>
                <w:bCs/>
                <w:sz w:val="24"/>
                <w:szCs w:val="24"/>
              </w:rPr>
              <w:t>Percentage of Completed Trips under Level 2 Response Times</w:t>
            </w:r>
          </w:p>
        </w:tc>
      </w:tr>
      <w:tr w:rsidRPr="000E26C3" w:rsidR="00611236" w:rsidTr="00E87C2D" w14:paraId="0598B10A" w14:textId="77777777">
        <w:trPr>
          <w:jc w:val="center"/>
        </w:trPr>
        <w:tc>
          <w:tcPr>
            <w:tcW w:w="6295" w:type="dxa"/>
          </w:tcPr>
          <w:p w:rsidRPr="000E26C3" w:rsidR="00611236" w:rsidP="00E87C2D" w:rsidRDefault="00611236" w14:paraId="4EB3BD1E"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1</w:t>
            </w:r>
            <w:r w:rsidRPr="000E26C3">
              <w:rPr>
                <w:rFonts w:cs="BookAntiqua"/>
                <w:sz w:val="24"/>
                <w:szCs w:val="24"/>
                <w:vertAlign w:val="superscript"/>
              </w:rPr>
              <w:t>st</w:t>
            </w:r>
            <w:r w:rsidRPr="000E26C3">
              <w:rPr>
                <w:rFonts w:cs="BookAntiqua"/>
                <w:sz w:val="24"/>
                <w:szCs w:val="24"/>
              </w:rPr>
              <w:t xml:space="preserve"> Quarter Submission</w:t>
            </w:r>
          </w:p>
        </w:tc>
        <w:tc>
          <w:tcPr>
            <w:tcW w:w="2880" w:type="dxa"/>
          </w:tcPr>
          <w:p w:rsidRPr="000E26C3" w:rsidR="00611236" w:rsidP="00E87C2D" w:rsidRDefault="00611236" w14:paraId="606B0B2D"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80%</w:t>
            </w:r>
          </w:p>
        </w:tc>
      </w:tr>
      <w:tr w:rsidRPr="000E26C3" w:rsidR="00611236" w:rsidTr="00E87C2D" w14:paraId="76ADC57D" w14:textId="77777777">
        <w:trPr>
          <w:jc w:val="center"/>
        </w:trPr>
        <w:tc>
          <w:tcPr>
            <w:tcW w:w="6295" w:type="dxa"/>
          </w:tcPr>
          <w:p w:rsidRPr="000E26C3" w:rsidR="00611236" w:rsidP="00E87C2D" w:rsidRDefault="00611236" w14:paraId="4DCC917E"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2</w:t>
            </w:r>
            <w:r w:rsidRPr="000E26C3">
              <w:rPr>
                <w:rFonts w:cs="BookAntiqua"/>
                <w:sz w:val="24"/>
                <w:szCs w:val="24"/>
                <w:vertAlign w:val="superscript"/>
              </w:rPr>
              <w:t>nd</w:t>
            </w:r>
            <w:r w:rsidRPr="000E26C3">
              <w:rPr>
                <w:rFonts w:cs="BookAntiqua"/>
                <w:sz w:val="24"/>
                <w:szCs w:val="24"/>
              </w:rPr>
              <w:t xml:space="preserve"> Quarter</w:t>
            </w:r>
          </w:p>
        </w:tc>
        <w:tc>
          <w:tcPr>
            <w:tcW w:w="2880" w:type="dxa"/>
          </w:tcPr>
          <w:p w:rsidRPr="000E26C3" w:rsidR="00611236" w:rsidP="00E87C2D" w:rsidRDefault="00611236" w14:paraId="3BF665D7"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81%</w:t>
            </w:r>
          </w:p>
        </w:tc>
      </w:tr>
      <w:tr w:rsidRPr="000E26C3" w:rsidR="00611236" w:rsidTr="00E87C2D" w14:paraId="5D77C138" w14:textId="77777777">
        <w:trPr>
          <w:trHeight w:val="188"/>
          <w:jc w:val="center"/>
        </w:trPr>
        <w:tc>
          <w:tcPr>
            <w:tcW w:w="6295" w:type="dxa"/>
          </w:tcPr>
          <w:p w:rsidRPr="000E26C3" w:rsidR="00611236" w:rsidP="00E87C2D" w:rsidRDefault="00611236" w14:paraId="037E4B31" w14:textId="77777777">
            <w:pPr>
              <w:pStyle w:val="standard0"/>
              <w:spacing w:line="240" w:lineRule="auto"/>
              <w:ind w:firstLine="0"/>
              <w:rPr>
                <w:rFonts w:ascii="Book Antiqua" w:hAnsi="Book Antiqua"/>
                <w:sz w:val="24"/>
                <w:szCs w:val="24"/>
              </w:rPr>
            </w:pPr>
            <w:r w:rsidRPr="000E26C3">
              <w:rPr>
                <w:rFonts w:ascii="Book Antiqua" w:hAnsi="Book Antiqua"/>
                <w:sz w:val="24"/>
                <w:szCs w:val="24"/>
              </w:rPr>
              <w:t>3</w:t>
            </w:r>
            <w:r w:rsidRPr="000E26C3">
              <w:rPr>
                <w:rFonts w:ascii="Book Antiqua" w:hAnsi="Book Antiqua"/>
                <w:sz w:val="24"/>
                <w:szCs w:val="24"/>
                <w:vertAlign w:val="superscript"/>
              </w:rPr>
              <w:t>rd</w:t>
            </w:r>
            <w:r w:rsidRPr="000E26C3">
              <w:rPr>
                <w:rFonts w:ascii="Book Antiqua" w:hAnsi="Book Antiqua"/>
                <w:sz w:val="24"/>
                <w:szCs w:val="24"/>
              </w:rPr>
              <w:t xml:space="preserve"> Quarter</w:t>
            </w:r>
          </w:p>
        </w:tc>
        <w:tc>
          <w:tcPr>
            <w:tcW w:w="2880" w:type="dxa"/>
          </w:tcPr>
          <w:p w:rsidRPr="000E26C3" w:rsidR="00611236" w:rsidP="00E87C2D" w:rsidRDefault="00611236" w14:paraId="1F17572B" w14:textId="77777777">
            <w:pPr>
              <w:pStyle w:val="standard0"/>
              <w:spacing w:line="240" w:lineRule="auto"/>
              <w:ind w:firstLine="0"/>
              <w:jc w:val="center"/>
              <w:rPr>
                <w:rFonts w:ascii="Book Antiqua" w:hAnsi="Book Antiqua"/>
                <w:sz w:val="24"/>
                <w:szCs w:val="24"/>
              </w:rPr>
            </w:pPr>
            <w:r w:rsidRPr="000E26C3">
              <w:rPr>
                <w:rFonts w:ascii="Book Antiqua" w:hAnsi="Book Antiqua"/>
                <w:sz w:val="24"/>
                <w:szCs w:val="24"/>
              </w:rPr>
              <w:t>83%</w:t>
            </w:r>
          </w:p>
        </w:tc>
      </w:tr>
      <w:tr w:rsidRPr="000E26C3" w:rsidR="00611236" w:rsidTr="00E87C2D" w14:paraId="69AB3721" w14:textId="77777777">
        <w:tblPrEx>
          <w:jc w:val="left"/>
        </w:tblPrEx>
        <w:tc>
          <w:tcPr>
            <w:tcW w:w="6295" w:type="dxa"/>
          </w:tcPr>
          <w:p w:rsidRPr="000E26C3" w:rsidR="00611236" w:rsidP="00E87C2D" w:rsidRDefault="00611236" w14:paraId="563C6ED0"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4</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611236" w:rsidP="00E87C2D" w:rsidRDefault="00611236" w14:paraId="677409DC"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84%</w:t>
            </w:r>
          </w:p>
        </w:tc>
      </w:tr>
      <w:tr w:rsidRPr="000E26C3" w:rsidR="00611236" w:rsidTr="00E87C2D" w14:paraId="07CD5D02" w14:textId="77777777">
        <w:tblPrEx>
          <w:jc w:val="left"/>
        </w:tblPrEx>
        <w:tc>
          <w:tcPr>
            <w:tcW w:w="6295" w:type="dxa"/>
          </w:tcPr>
          <w:p w:rsidRPr="000E26C3" w:rsidR="00611236" w:rsidP="00E87C2D" w:rsidRDefault="00611236" w14:paraId="686ED0A4"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5</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611236" w:rsidP="00E87C2D" w:rsidRDefault="00611236" w14:paraId="7E4713BE"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86%</w:t>
            </w:r>
          </w:p>
        </w:tc>
      </w:tr>
      <w:tr w:rsidRPr="000E26C3" w:rsidR="00611236" w:rsidTr="00E87C2D" w14:paraId="6A59F429" w14:textId="77777777">
        <w:tblPrEx>
          <w:jc w:val="left"/>
        </w:tblPrEx>
        <w:trPr>
          <w:trHeight w:val="296"/>
        </w:trPr>
        <w:tc>
          <w:tcPr>
            <w:tcW w:w="6295" w:type="dxa"/>
          </w:tcPr>
          <w:p w:rsidRPr="000E26C3" w:rsidR="00611236" w:rsidP="00E87C2D" w:rsidRDefault="00611236" w14:paraId="6C75C84D" w14:textId="77777777">
            <w:pPr>
              <w:pStyle w:val="standard0"/>
              <w:spacing w:line="240" w:lineRule="auto"/>
              <w:ind w:firstLine="0"/>
              <w:rPr>
                <w:rFonts w:ascii="Book Antiqua" w:hAnsi="Book Antiqua"/>
                <w:sz w:val="24"/>
                <w:szCs w:val="24"/>
              </w:rPr>
            </w:pPr>
            <w:r w:rsidRPr="000E26C3">
              <w:rPr>
                <w:rFonts w:ascii="Book Antiqua" w:hAnsi="Book Antiqua"/>
                <w:sz w:val="24"/>
                <w:szCs w:val="24"/>
              </w:rPr>
              <w:t>6</w:t>
            </w:r>
            <w:r w:rsidRPr="000E26C3">
              <w:rPr>
                <w:rFonts w:ascii="Book Antiqua" w:hAnsi="Book Antiqua"/>
                <w:sz w:val="24"/>
                <w:szCs w:val="24"/>
                <w:vertAlign w:val="superscript"/>
              </w:rPr>
              <w:t>th</w:t>
            </w:r>
            <w:r w:rsidRPr="000E26C3">
              <w:rPr>
                <w:rFonts w:ascii="Book Antiqua" w:hAnsi="Book Antiqua"/>
                <w:sz w:val="24"/>
                <w:szCs w:val="24"/>
              </w:rPr>
              <w:t xml:space="preserve"> Quarter</w:t>
            </w:r>
          </w:p>
        </w:tc>
        <w:tc>
          <w:tcPr>
            <w:tcW w:w="2880" w:type="dxa"/>
          </w:tcPr>
          <w:p w:rsidRPr="000E26C3" w:rsidR="00611236" w:rsidP="00E87C2D" w:rsidRDefault="00611236" w14:paraId="7D92231C" w14:textId="77777777">
            <w:pPr>
              <w:pStyle w:val="standard0"/>
              <w:spacing w:line="240" w:lineRule="auto"/>
              <w:ind w:firstLine="0"/>
              <w:jc w:val="center"/>
              <w:rPr>
                <w:rFonts w:ascii="Book Antiqua" w:hAnsi="Book Antiqua"/>
                <w:sz w:val="24"/>
                <w:szCs w:val="24"/>
              </w:rPr>
            </w:pPr>
            <w:r w:rsidRPr="000E26C3">
              <w:rPr>
                <w:rFonts w:ascii="Book Antiqua" w:hAnsi="Book Antiqua"/>
                <w:sz w:val="24"/>
                <w:szCs w:val="24"/>
              </w:rPr>
              <w:t>87%</w:t>
            </w:r>
          </w:p>
        </w:tc>
      </w:tr>
      <w:tr w:rsidRPr="000E26C3" w:rsidR="00611236" w:rsidTr="00E87C2D" w14:paraId="4B955190" w14:textId="77777777">
        <w:tblPrEx>
          <w:jc w:val="left"/>
        </w:tblPrEx>
        <w:tc>
          <w:tcPr>
            <w:tcW w:w="6295" w:type="dxa"/>
          </w:tcPr>
          <w:p w:rsidRPr="000E26C3" w:rsidR="00611236" w:rsidP="00E87C2D" w:rsidRDefault="00611236" w14:paraId="17F8C700"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7</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611236" w:rsidP="00E87C2D" w:rsidRDefault="00611236" w14:paraId="3DF71960"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89%</w:t>
            </w:r>
          </w:p>
        </w:tc>
      </w:tr>
      <w:tr w:rsidRPr="000E26C3" w:rsidR="00611236" w:rsidTr="00E87C2D" w14:paraId="5F2B2BC4" w14:textId="77777777">
        <w:tblPrEx>
          <w:jc w:val="left"/>
        </w:tblPrEx>
        <w:tc>
          <w:tcPr>
            <w:tcW w:w="6295" w:type="dxa"/>
          </w:tcPr>
          <w:p w:rsidRPr="000E26C3" w:rsidR="00611236" w:rsidP="00E87C2D" w:rsidRDefault="00611236" w14:paraId="3A66EB69"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8</w:t>
            </w:r>
            <w:r w:rsidRPr="000E26C3">
              <w:rPr>
                <w:rFonts w:cs="BookAntiqua"/>
                <w:sz w:val="24"/>
                <w:szCs w:val="24"/>
                <w:vertAlign w:val="superscript"/>
              </w:rPr>
              <w:t>th</w:t>
            </w:r>
            <w:r w:rsidRPr="000E26C3">
              <w:rPr>
                <w:rFonts w:cs="BookAntiqua"/>
                <w:sz w:val="24"/>
                <w:szCs w:val="24"/>
              </w:rPr>
              <w:t xml:space="preserve"> (and subsequent) Quarter</w:t>
            </w:r>
          </w:p>
        </w:tc>
        <w:tc>
          <w:tcPr>
            <w:tcW w:w="2880" w:type="dxa"/>
          </w:tcPr>
          <w:p w:rsidRPr="000E26C3" w:rsidR="00611236" w:rsidP="00E87C2D" w:rsidRDefault="00611236" w14:paraId="1961FCC7"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90%</w:t>
            </w:r>
          </w:p>
        </w:tc>
      </w:tr>
    </w:tbl>
    <w:bookmarkEnd w:id="27"/>
    <w:p w:rsidR="00611236" w:rsidP="00AE54CE" w:rsidRDefault="00611236" w14:paraId="6F30799B" w14:textId="6F90FE67">
      <w:pPr>
        <w:pStyle w:val="Standard"/>
        <w:spacing w:before="360"/>
      </w:pPr>
      <w:r>
        <w:t>To determine the PORTB, CPED recommends applying a Level</w:t>
      </w:r>
      <w:r w:rsidR="00AE54CE">
        <w:t> </w:t>
      </w:r>
      <w:r>
        <w:t>2 PORTB, which would be half of the Level 1 on-demand ORTB, and a Level</w:t>
      </w:r>
      <w:r w:rsidR="00AE54CE">
        <w:t> </w:t>
      </w:r>
      <w:r>
        <w:t>1 PORTB, which would be half of the Level 2 PORTB.  CPED believes these response times provide an incentive for TNCs to bring pre-scheduled WAV service response times more in line with pre-scheduled non</w:t>
      </w:r>
      <w:r w:rsidR="00AE54CE">
        <w:noBreakHyphen/>
      </w:r>
      <w:r>
        <w:t>WAV service.  CPED also states that the proposed response time benchmarks fall between current pre</w:t>
      </w:r>
      <w:r w:rsidR="00AE54CE">
        <w:noBreakHyphen/>
      </w:r>
      <w:r>
        <w:t>scheduled WAV and pre-scheduled non-WAV response times, where data is available.  CPED recommends maintaining the county groupings adopted in D.21</w:t>
      </w:r>
      <w:r w:rsidR="00AE54CE">
        <w:noBreakHyphen/>
      </w:r>
      <w:r>
        <w:t>11</w:t>
      </w:r>
      <w:r w:rsidR="00AE54CE">
        <w:noBreakHyphen/>
      </w:r>
      <w:r>
        <w:t xml:space="preserve">004.  </w:t>
      </w:r>
    </w:p>
    <w:p w:rsidR="00611236" w:rsidP="00611236" w:rsidRDefault="00611236" w14:paraId="31B632CF" w14:textId="74CED4B3">
      <w:pPr>
        <w:pStyle w:val="Standard"/>
      </w:pPr>
      <w:r>
        <w:t>CPED’s proposed PORTB are as follows (with the ORTB adopted in D.21</w:t>
      </w:r>
      <w:r w:rsidR="00AE54CE">
        <w:noBreakHyphen/>
      </w:r>
      <w:r>
        <w:t>11</w:t>
      </w:r>
      <w:r w:rsidR="00AE54CE">
        <w:noBreakHyphen/>
      </w:r>
      <w:r>
        <w:t>004 included for reference):</w:t>
      </w:r>
    </w:p>
    <w:tbl>
      <w:tblPr>
        <w:tblStyle w:val="TableGrid"/>
        <w:tblpPr w:leftFromText="180" w:rightFromText="180" w:vertAnchor="text" w:tblpXSpec="center" w:tblpY="1"/>
        <w:tblOverlap w:val="never"/>
        <w:tblW w:w="9320" w:type="dxa"/>
        <w:tblLook w:val="04A0" w:firstRow="1" w:lastRow="0" w:firstColumn="1" w:lastColumn="0" w:noHBand="0" w:noVBand="1"/>
      </w:tblPr>
      <w:tblGrid>
        <w:gridCol w:w="3701"/>
        <w:gridCol w:w="1270"/>
        <w:gridCol w:w="1435"/>
        <w:gridCol w:w="1644"/>
        <w:gridCol w:w="1270"/>
      </w:tblGrid>
      <w:tr w:rsidRPr="00066424" w:rsidR="00611236" w:rsidTr="00462FF9" w14:paraId="54CDA4CA" w14:textId="77777777">
        <w:trPr>
          <w:tblHeader/>
        </w:trPr>
        <w:tc>
          <w:tcPr>
            <w:tcW w:w="9320" w:type="dxa"/>
            <w:gridSpan w:val="5"/>
            <w:vAlign w:val="center"/>
          </w:tcPr>
          <w:p w:rsidRPr="000E26C3" w:rsidR="00611236" w:rsidP="000E1D8D" w:rsidRDefault="000E1D8D" w14:paraId="35C800A6" w14:textId="2207573C">
            <w:pPr>
              <w:pStyle w:val="ListParagraph"/>
              <w:spacing w:after="0"/>
              <w:ind w:left="0" w:right="0" w:firstLine="0"/>
              <w:jc w:val="center"/>
              <w:rPr>
                <w:b/>
                <w:bCs/>
                <w:sz w:val="24"/>
                <w:szCs w:val="24"/>
              </w:rPr>
            </w:pPr>
            <w:r>
              <w:rPr>
                <w:b/>
                <w:bCs/>
                <w:sz w:val="24"/>
                <w:szCs w:val="24"/>
              </w:rPr>
              <w:t>P</w:t>
            </w:r>
            <w:r w:rsidRPr="000E26C3" w:rsidR="00611236">
              <w:rPr>
                <w:b/>
                <w:bCs/>
                <w:sz w:val="24"/>
                <w:szCs w:val="24"/>
              </w:rPr>
              <w:t>re-scheduled Offset Response Time Benchmarks</w:t>
            </w:r>
          </w:p>
        </w:tc>
      </w:tr>
      <w:tr w:rsidRPr="00066424" w:rsidR="00FA11A1" w:rsidTr="00462FF9" w14:paraId="2D8F2954" w14:textId="77777777">
        <w:trPr>
          <w:tblHeader/>
        </w:trPr>
        <w:tc>
          <w:tcPr>
            <w:tcW w:w="3701" w:type="dxa"/>
            <w:vAlign w:val="center"/>
          </w:tcPr>
          <w:p w:rsidRPr="000E26C3" w:rsidR="00611236" w:rsidP="00AE54CE" w:rsidRDefault="00611236" w14:paraId="7037B3F8" w14:textId="77777777">
            <w:pPr>
              <w:spacing w:line="240" w:lineRule="auto"/>
              <w:ind w:firstLine="0"/>
              <w:jc w:val="center"/>
              <w:rPr>
                <w:b/>
                <w:bCs/>
                <w:sz w:val="24"/>
                <w:szCs w:val="24"/>
              </w:rPr>
            </w:pPr>
            <w:r w:rsidRPr="000E26C3">
              <w:rPr>
                <w:b/>
                <w:bCs/>
                <w:sz w:val="24"/>
                <w:szCs w:val="24"/>
              </w:rPr>
              <w:t>Geographic Area/County</w:t>
            </w:r>
          </w:p>
        </w:tc>
        <w:tc>
          <w:tcPr>
            <w:tcW w:w="1270" w:type="dxa"/>
            <w:shd w:val="clear" w:color="auto" w:fill="FFFFFF" w:themeFill="background1"/>
            <w:vAlign w:val="center"/>
          </w:tcPr>
          <w:p w:rsidR="00611236" w:rsidP="00AE54CE" w:rsidRDefault="00611236" w14:paraId="24002216" w14:textId="77777777">
            <w:pPr>
              <w:spacing w:line="240" w:lineRule="auto"/>
              <w:ind w:firstLine="0"/>
              <w:jc w:val="center"/>
              <w:rPr>
                <w:b/>
                <w:bCs/>
                <w:sz w:val="24"/>
                <w:szCs w:val="24"/>
              </w:rPr>
            </w:pPr>
            <w:r>
              <w:rPr>
                <w:b/>
                <w:bCs/>
                <w:sz w:val="24"/>
                <w:szCs w:val="24"/>
              </w:rPr>
              <w:t>PORTB</w:t>
            </w:r>
          </w:p>
          <w:p w:rsidRPr="000E26C3" w:rsidR="00611236" w:rsidP="00AE54CE" w:rsidRDefault="00611236" w14:paraId="34287C89" w14:textId="77777777">
            <w:pPr>
              <w:spacing w:line="240" w:lineRule="auto"/>
              <w:ind w:firstLine="0"/>
              <w:jc w:val="center"/>
              <w:rPr>
                <w:b/>
                <w:bCs/>
                <w:sz w:val="24"/>
                <w:szCs w:val="24"/>
              </w:rPr>
            </w:pPr>
            <w:r w:rsidRPr="000E26C3">
              <w:rPr>
                <w:b/>
                <w:bCs/>
                <w:sz w:val="24"/>
                <w:szCs w:val="24"/>
              </w:rPr>
              <w:t>Level 1 Response Time</w:t>
            </w:r>
          </w:p>
          <w:p w:rsidRPr="000E26C3" w:rsidR="00611236" w:rsidP="00AE54CE" w:rsidRDefault="00611236" w14:paraId="103E65BF" w14:textId="77777777">
            <w:pPr>
              <w:spacing w:line="240" w:lineRule="auto"/>
              <w:ind w:firstLine="0"/>
              <w:jc w:val="center"/>
              <w:rPr>
                <w:b/>
                <w:bCs/>
                <w:sz w:val="24"/>
                <w:szCs w:val="24"/>
              </w:rPr>
            </w:pPr>
            <w:r w:rsidRPr="000E26C3">
              <w:rPr>
                <w:b/>
                <w:bCs/>
                <w:sz w:val="24"/>
                <w:szCs w:val="24"/>
              </w:rPr>
              <w:t>(mins)</w:t>
            </w:r>
          </w:p>
        </w:tc>
        <w:tc>
          <w:tcPr>
            <w:tcW w:w="1435" w:type="dxa"/>
            <w:shd w:val="clear" w:color="auto" w:fill="FFFFFF" w:themeFill="background1"/>
            <w:vAlign w:val="center"/>
          </w:tcPr>
          <w:p w:rsidR="00611236" w:rsidP="00AE54CE" w:rsidRDefault="00611236" w14:paraId="44D1F8EC" w14:textId="77777777">
            <w:pPr>
              <w:spacing w:line="240" w:lineRule="auto"/>
              <w:ind w:firstLine="0"/>
              <w:jc w:val="center"/>
              <w:rPr>
                <w:b/>
                <w:bCs/>
                <w:sz w:val="24"/>
                <w:szCs w:val="24"/>
              </w:rPr>
            </w:pPr>
            <w:r>
              <w:rPr>
                <w:b/>
                <w:bCs/>
                <w:sz w:val="24"/>
                <w:szCs w:val="24"/>
              </w:rPr>
              <w:t>PORTB</w:t>
            </w:r>
          </w:p>
          <w:p w:rsidRPr="000E26C3" w:rsidR="00611236" w:rsidP="00AE54CE" w:rsidRDefault="00611236" w14:paraId="464759D7" w14:textId="77777777">
            <w:pPr>
              <w:spacing w:line="240" w:lineRule="auto"/>
              <w:ind w:firstLine="0"/>
              <w:jc w:val="center"/>
              <w:rPr>
                <w:b/>
                <w:bCs/>
                <w:sz w:val="24"/>
                <w:szCs w:val="24"/>
              </w:rPr>
            </w:pPr>
            <w:r w:rsidRPr="000E26C3">
              <w:rPr>
                <w:b/>
                <w:bCs/>
                <w:sz w:val="24"/>
                <w:szCs w:val="24"/>
              </w:rPr>
              <w:t>Level 2</w:t>
            </w:r>
          </w:p>
          <w:p w:rsidRPr="000E26C3" w:rsidR="00611236" w:rsidP="00462FF9" w:rsidRDefault="00611236" w14:paraId="3A4E5A5B" w14:textId="77777777">
            <w:pPr>
              <w:pStyle w:val="ListParagraph"/>
              <w:spacing w:after="0"/>
              <w:ind w:left="0" w:right="0" w:firstLine="0"/>
              <w:jc w:val="center"/>
              <w:rPr>
                <w:b/>
                <w:bCs/>
                <w:sz w:val="24"/>
                <w:szCs w:val="24"/>
              </w:rPr>
            </w:pPr>
            <w:r w:rsidRPr="000E26C3">
              <w:rPr>
                <w:b/>
                <w:bCs/>
                <w:sz w:val="24"/>
                <w:szCs w:val="24"/>
              </w:rPr>
              <w:t>Response Time</w:t>
            </w:r>
          </w:p>
          <w:p w:rsidRPr="000E26C3" w:rsidR="00611236" w:rsidP="00FA11A1" w:rsidRDefault="00611236" w14:paraId="6AED394F" w14:textId="77777777">
            <w:pPr>
              <w:spacing w:line="240" w:lineRule="auto"/>
              <w:ind w:firstLine="0"/>
              <w:jc w:val="center"/>
              <w:rPr>
                <w:b/>
                <w:bCs/>
                <w:sz w:val="24"/>
                <w:szCs w:val="24"/>
              </w:rPr>
            </w:pPr>
            <w:r w:rsidRPr="000E26C3">
              <w:rPr>
                <w:b/>
                <w:bCs/>
                <w:sz w:val="24"/>
                <w:szCs w:val="24"/>
              </w:rPr>
              <w:t>(mins)</w:t>
            </w:r>
          </w:p>
        </w:tc>
        <w:tc>
          <w:tcPr>
            <w:tcW w:w="1644" w:type="dxa"/>
            <w:shd w:val="clear" w:color="auto" w:fill="D9D9D9" w:themeFill="background1" w:themeFillShade="D9"/>
            <w:vAlign w:val="center"/>
          </w:tcPr>
          <w:p w:rsidR="00611236" w:rsidP="00AE54CE" w:rsidRDefault="00611236" w14:paraId="29BC8D40" w14:textId="77777777">
            <w:pPr>
              <w:spacing w:line="240" w:lineRule="auto"/>
              <w:ind w:firstLine="0"/>
              <w:jc w:val="center"/>
              <w:rPr>
                <w:b/>
                <w:bCs/>
                <w:sz w:val="24"/>
                <w:szCs w:val="24"/>
              </w:rPr>
            </w:pPr>
            <w:r>
              <w:rPr>
                <w:b/>
                <w:bCs/>
                <w:sz w:val="24"/>
                <w:szCs w:val="24"/>
              </w:rPr>
              <w:t>ORTB</w:t>
            </w:r>
          </w:p>
          <w:p w:rsidRPr="000E26C3" w:rsidR="00611236" w:rsidP="00AE54CE" w:rsidRDefault="00611236" w14:paraId="4183AC56" w14:textId="77777777">
            <w:pPr>
              <w:spacing w:line="240" w:lineRule="auto"/>
              <w:ind w:firstLine="0"/>
              <w:jc w:val="center"/>
              <w:rPr>
                <w:b/>
                <w:bCs/>
                <w:sz w:val="24"/>
                <w:szCs w:val="24"/>
              </w:rPr>
            </w:pPr>
            <w:r w:rsidRPr="000E26C3">
              <w:rPr>
                <w:b/>
                <w:bCs/>
                <w:sz w:val="24"/>
                <w:szCs w:val="24"/>
              </w:rPr>
              <w:t>Level 1 Response Time</w:t>
            </w:r>
          </w:p>
          <w:p w:rsidRPr="000E26C3" w:rsidR="00611236" w:rsidP="00AE54CE" w:rsidRDefault="00611236" w14:paraId="73774225" w14:textId="77777777">
            <w:pPr>
              <w:spacing w:line="240" w:lineRule="auto"/>
              <w:ind w:firstLine="0"/>
              <w:jc w:val="center"/>
              <w:rPr>
                <w:b/>
                <w:bCs/>
                <w:sz w:val="24"/>
                <w:szCs w:val="24"/>
              </w:rPr>
            </w:pPr>
            <w:r w:rsidRPr="000E26C3">
              <w:rPr>
                <w:b/>
                <w:bCs/>
                <w:sz w:val="24"/>
                <w:szCs w:val="24"/>
              </w:rPr>
              <w:t>(mins)</w:t>
            </w:r>
          </w:p>
        </w:tc>
        <w:tc>
          <w:tcPr>
            <w:tcW w:w="1270" w:type="dxa"/>
            <w:shd w:val="clear" w:color="auto" w:fill="D9D9D9" w:themeFill="background1" w:themeFillShade="D9"/>
            <w:vAlign w:val="center"/>
          </w:tcPr>
          <w:p w:rsidR="00611236" w:rsidP="00AE54CE" w:rsidRDefault="00611236" w14:paraId="41317CA7" w14:textId="77777777">
            <w:pPr>
              <w:spacing w:line="240" w:lineRule="auto"/>
              <w:ind w:firstLine="0"/>
              <w:jc w:val="center"/>
              <w:rPr>
                <w:b/>
                <w:bCs/>
                <w:sz w:val="24"/>
                <w:szCs w:val="24"/>
              </w:rPr>
            </w:pPr>
            <w:r>
              <w:rPr>
                <w:b/>
                <w:bCs/>
                <w:sz w:val="24"/>
                <w:szCs w:val="24"/>
              </w:rPr>
              <w:t>ORTB</w:t>
            </w:r>
          </w:p>
          <w:p w:rsidRPr="000E26C3" w:rsidR="00611236" w:rsidP="00AE54CE" w:rsidRDefault="00611236" w14:paraId="2287EC36" w14:textId="77777777">
            <w:pPr>
              <w:spacing w:line="240" w:lineRule="auto"/>
              <w:ind w:firstLine="0"/>
              <w:jc w:val="center"/>
              <w:rPr>
                <w:b/>
                <w:bCs/>
                <w:sz w:val="24"/>
                <w:szCs w:val="24"/>
              </w:rPr>
            </w:pPr>
            <w:r w:rsidRPr="000E26C3">
              <w:rPr>
                <w:b/>
                <w:bCs/>
                <w:sz w:val="24"/>
                <w:szCs w:val="24"/>
              </w:rPr>
              <w:t>Level 2</w:t>
            </w:r>
          </w:p>
          <w:p w:rsidRPr="000E26C3" w:rsidR="00611236" w:rsidP="00462FF9" w:rsidRDefault="00611236" w14:paraId="537D896A" w14:textId="77777777">
            <w:pPr>
              <w:pStyle w:val="ListParagraph"/>
              <w:spacing w:after="0"/>
              <w:ind w:left="0" w:right="0" w:firstLine="0"/>
              <w:jc w:val="center"/>
              <w:rPr>
                <w:b/>
                <w:bCs/>
                <w:sz w:val="24"/>
                <w:szCs w:val="24"/>
              </w:rPr>
            </w:pPr>
            <w:r w:rsidRPr="000E26C3">
              <w:rPr>
                <w:b/>
                <w:bCs/>
                <w:sz w:val="24"/>
                <w:szCs w:val="24"/>
              </w:rPr>
              <w:t>Response Time</w:t>
            </w:r>
          </w:p>
          <w:p w:rsidRPr="000E26C3" w:rsidR="00611236" w:rsidP="00FA11A1" w:rsidRDefault="00611236" w14:paraId="120D9162" w14:textId="77777777">
            <w:pPr>
              <w:spacing w:line="240" w:lineRule="auto"/>
              <w:ind w:firstLine="0"/>
              <w:jc w:val="center"/>
              <w:rPr>
                <w:b/>
                <w:bCs/>
                <w:sz w:val="24"/>
                <w:szCs w:val="24"/>
              </w:rPr>
            </w:pPr>
            <w:r w:rsidRPr="000E26C3">
              <w:rPr>
                <w:b/>
                <w:bCs/>
                <w:sz w:val="24"/>
                <w:szCs w:val="24"/>
              </w:rPr>
              <w:t>(mins)</w:t>
            </w:r>
          </w:p>
        </w:tc>
      </w:tr>
      <w:tr w:rsidRPr="00066424" w:rsidR="00FA11A1" w:rsidTr="00462FF9" w14:paraId="2C90CE41" w14:textId="77777777">
        <w:tc>
          <w:tcPr>
            <w:tcW w:w="3701" w:type="dxa"/>
            <w:vAlign w:val="center"/>
          </w:tcPr>
          <w:p w:rsidRPr="000E26C3" w:rsidR="00611236" w:rsidP="00AE54CE" w:rsidRDefault="00611236" w14:paraId="6831555A" w14:textId="77777777">
            <w:pPr>
              <w:spacing w:line="240" w:lineRule="auto"/>
              <w:ind w:firstLine="0"/>
              <w:rPr>
                <w:sz w:val="24"/>
                <w:szCs w:val="24"/>
              </w:rPr>
            </w:pPr>
            <w:r w:rsidRPr="000E26C3">
              <w:rPr>
                <w:sz w:val="24"/>
                <w:szCs w:val="24"/>
              </w:rPr>
              <w:t>San Francisco</w:t>
            </w:r>
          </w:p>
        </w:tc>
        <w:tc>
          <w:tcPr>
            <w:tcW w:w="1270" w:type="dxa"/>
            <w:shd w:val="clear" w:color="auto" w:fill="FFFFFF" w:themeFill="background1"/>
            <w:vAlign w:val="center"/>
          </w:tcPr>
          <w:p w:rsidRPr="000E26C3" w:rsidR="00611236" w:rsidP="00AE54CE" w:rsidRDefault="00611236" w14:paraId="47A455BB" w14:textId="77777777">
            <w:pPr>
              <w:spacing w:line="240" w:lineRule="auto"/>
              <w:ind w:firstLine="0"/>
              <w:jc w:val="center"/>
              <w:rPr>
                <w:sz w:val="24"/>
                <w:szCs w:val="24"/>
              </w:rPr>
            </w:pPr>
            <w:r w:rsidRPr="000E26C3">
              <w:rPr>
                <w:sz w:val="24"/>
                <w:szCs w:val="24"/>
              </w:rPr>
              <w:t>4</w:t>
            </w:r>
          </w:p>
        </w:tc>
        <w:tc>
          <w:tcPr>
            <w:tcW w:w="1435" w:type="dxa"/>
            <w:shd w:val="clear" w:color="auto" w:fill="FFFFFF" w:themeFill="background1"/>
            <w:vAlign w:val="center"/>
          </w:tcPr>
          <w:p w:rsidRPr="000E26C3" w:rsidR="00611236" w:rsidP="00AE54CE" w:rsidRDefault="00611236" w14:paraId="0679C054" w14:textId="77777777">
            <w:pPr>
              <w:spacing w:line="240" w:lineRule="auto"/>
              <w:ind w:firstLine="0"/>
              <w:jc w:val="center"/>
              <w:rPr>
                <w:sz w:val="24"/>
                <w:szCs w:val="24"/>
              </w:rPr>
            </w:pPr>
            <w:r w:rsidRPr="000E26C3">
              <w:rPr>
                <w:sz w:val="24"/>
                <w:szCs w:val="24"/>
              </w:rPr>
              <w:t>8</w:t>
            </w:r>
          </w:p>
        </w:tc>
        <w:tc>
          <w:tcPr>
            <w:tcW w:w="1644" w:type="dxa"/>
            <w:shd w:val="clear" w:color="auto" w:fill="D9D9D9" w:themeFill="background1" w:themeFillShade="D9"/>
          </w:tcPr>
          <w:p w:rsidRPr="000E26C3" w:rsidR="00611236" w:rsidP="00AE54CE" w:rsidRDefault="00611236" w14:paraId="07D3FE62" w14:textId="77777777">
            <w:pPr>
              <w:spacing w:line="240" w:lineRule="auto"/>
              <w:ind w:firstLine="0"/>
              <w:jc w:val="center"/>
              <w:rPr>
                <w:sz w:val="24"/>
                <w:szCs w:val="24"/>
              </w:rPr>
            </w:pPr>
            <w:r>
              <w:rPr>
                <w:sz w:val="24"/>
                <w:szCs w:val="24"/>
              </w:rPr>
              <w:t>15</w:t>
            </w:r>
          </w:p>
        </w:tc>
        <w:tc>
          <w:tcPr>
            <w:tcW w:w="1270" w:type="dxa"/>
            <w:shd w:val="clear" w:color="auto" w:fill="D9D9D9" w:themeFill="background1" w:themeFillShade="D9"/>
          </w:tcPr>
          <w:p w:rsidRPr="000E26C3" w:rsidR="00611236" w:rsidP="00AE54CE" w:rsidRDefault="00611236" w14:paraId="6AD29AFD" w14:textId="77777777">
            <w:pPr>
              <w:spacing w:line="240" w:lineRule="auto"/>
              <w:ind w:firstLine="0"/>
              <w:jc w:val="center"/>
              <w:rPr>
                <w:sz w:val="24"/>
                <w:szCs w:val="24"/>
              </w:rPr>
            </w:pPr>
            <w:r>
              <w:rPr>
                <w:sz w:val="24"/>
                <w:szCs w:val="24"/>
              </w:rPr>
              <w:t>30</w:t>
            </w:r>
          </w:p>
        </w:tc>
      </w:tr>
      <w:tr w:rsidRPr="00066424" w:rsidR="00FA11A1" w:rsidTr="00462FF9" w14:paraId="4EAEC051" w14:textId="77777777">
        <w:tc>
          <w:tcPr>
            <w:tcW w:w="3701" w:type="dxa"/>
            <w:vAlign w:val="center"/>
          </w:tcPr>
          <w:p w:rsidRPr="000E26C3" w:rsidR="00611236" w:rsidP="00AE54CE" w:rsidRDefault="00611236" w14:paraId="4A454E48" w14:textId="5484596A">
            <w:pPr>
              <w:pStyle w:val="ListParagraph"/>
              <w:spacing w:after="0"/>
              <w:ind w:left="0" w:right="0" w:firstLine="0"/>
              <w:rPr>
                <w:sz w:val="24"/>
                <w:szCs w:val="24"/>
              </w:rPr>
            </w:pPr>
            <w:r w:rsidRPr="000E26C3">
              <w:rPr>
                <w:sz w:val="24"/>
                <w:szCs w:val="24"/>
              </w:rPr>
              <w:t xml:space="preserve">Alameda, </w:t>
            </w:r>
            <w:r w:rsidRPr="000E26C3" w:rsidR="00FA11A1">
              <w:rPr>
                <w:sz w:val="24"/>
                <w:szCs w:val="24"/>
              </w:rPr>
              <w:t>Contra Costa</w:t>
            </w:r>
            <w:r w:rsidR="00FA11A1">
              <w:rPr>
                <w:sz w:val="24"/>
                <w:szCs w:val="24"/>
              </w:rPr>
              <w:t>,</w:t>
            </w:r>
            <w:r w:rsidRPr="000E26C3" w:rsidR="00FA11A1">
              <w:rPr>
                <w:sz w:val="24"/>
                <w:szCs w:val="24"/>
              </w:rPr>
              <w:t xml:space="preserve"> Imperial</w:t>
            </w:r>
            <w:r w:rsidR="00FA11A1">
              <w:rPr>
                <w:sz w:val="24"/>
                <w:szCs w:val="24"/>
              </w:rPr>
              <w:t xml:space="preserve">, </w:t>
            </w:r>
            <w:r w:rsidRPr="000E26C3" w:rsidR="00FA11A1">
              <w:rPr>
                <w:sz w:val="24"/>
                <w:szCs w:val="24"/>
              </w:rPr>
              <w:t>Los</w:t>
            </w:r>
            <w:r w:rsidR="00FA11A1">
              <w:rPr>
                <w:sz w:val="24"/>
                <w:szCs w:val="24"/>
              </w:rPr>
              <w:t> </w:t>
            </w:r>
            <w:r w:rsidRPr="000E26C3" w:rsidR="00FA11A1">
              <w:rPr>
                <w:sz w:val="24"/>
                <w:szCs w:val="24"/>
              </w:rPr>
              <w:t>Angeles</w:t>
            </w:r>
            <w:r w:rsidR="00FA11A1">
              <w:rPr>
                <w:sz w:val="24"/>
                <w:szCs w:val="24"/>
              </w:rPr>
              <w:t>,</w:t>
            </w:r>
            <w:r w:rsidRPr="000E26C3" w:rsidR="00FA11A1">
              <w:rPr>
                <w:sz w:val="24"/>
                <w:szCs w:val="24"/>
              </w:rPr>
              <w:t xml:space="preserve"> Madera, Orange, Sacramento, San</w:t>
            </w:r>
            <w:r w:rsidR="00FA11A1">
              <w:rPr>
                <w:sz w:val="24"/>
                <w:szCs w:val="24"/>
              </w:rPr>
              <w:t> </w:t>
            </w:r>
            <w:r w:rsidRPr="000E26C3" w:rsidR="00FA11A1">
              <w:rPr>
                <w:sz w:val="24"/>
                <w:szCs w:val="24"/>
              </w:rPr>
              <w:t>Joaquin, San</w:t>
            </w:r>
            <w:r w:rsidR="00FA11A1">
              <w:rPr>
                <w:sz w:val="24"/>
                <w:szCs w:val="24"/>
              </w:rPr>
              <w:t> </w:t>
            </w:r>
            <w:r w:rsidRPr="000E26C3" w:rsidR="00FA11A1">
              <w:rPr>
                <w:sz w:val="24"/>
                <w:szCs w:val="24"/>
              </w:rPr>
              <w:t>Luis</w:t>
            </w:r>
            <w:r w:rsidR="00FA11A1">
              <w:rPr>
                <w:sz w:val="24"/>
                <w:szCs w:val="24"/>
              </w:rPr>
              <w:t> </w:t>
            </w:r>
            <w:r w:rsidRPr="000E26C3" w:rsidR="00FA11A1">
              <w:rPr>
                <w:sz w:val="24"/>
                <w:szCs w:val="24"/>
              </w:rPr>
              <w:t>Obispo, San</w:t>
            </w:r>
            <w:r w:rsidR="00FA11A1">
              <w:rPr>
                <w:sz w:val="24"/>
                <w:szCs w:val="24"/>
              </w:rPr>
              <w:t> </w:t>
            </w:r>
            <w:r w:rsidRPr="000E26C3" w:rsidR="00FA11A1">
              <w:rPr>
                <w:sz w:val="24"/>
                <w:szCs w:val="24"/>
              </w:rPr>
              <w:t>Diego, San</w:t>
            </w:r>
            <w:r w:rsidR="00FA11A1">
              <w:rPr>
                <w:sz w:val="24"/>
                <w:szCs w:val="24"/>
              </w:rPr>
              <w:t> </w:t>
            </w:r>
            <w:r w:rsidRPr="000E26C3" w:rsidR="00FA11A1">
              <w:rPr>
                <w:sz w:val="24"/>
                <w:szCs w:val="24"/>
              </w:rPr>
              <w:t xml:space="preserve">Mateo, </w:t>
            </w:r>
            <w:r w:rsidRPr="000E26C3" w:rsidR="00FA11A1">
              <w:rPr>
                <w:sz w:val="24"/>
                <w:szCs w:val="24"/>
              </w:rPr>
              <w:lastRenderedPageBreak/>
              <w:t>Santa</w:t>
            </w:r>
            <w:r w:rsidR="00FA11A1">
              <w:rPr>
                <w:sz w:val="24"/>
                <w:szCs w:val="24"/>
              </w:rPr>
              <w:t> </w:t>
            </w:r>
            <w:r w:rsidRPr="000E26C3" w:rsidR="00FA11A1">
              <w:rPr>
                <w:sz w:val="24"/>
                <w:szCs w:val="24"/>
              </w:rPr>
              <w:t>Barbara, Santa</w:t>
            </w:r>
            <w:r w:rsidR="00FA11A1">
              <w:rPr>
                <w:sz w:val="24"/>
                <w:szCs w:val="24"/>
              </w:rPr>
              <w:t> </w:t>
            </w:r>
            <w:r w:rsidRPr="000E26C3" w:rsidR="00FA11A1">
              <w:rPr>
                <w:sz w:val="24"/>
                <w:szCs w:val="24"/>
              </w:rPr>
              <w:t>Clara, Santa</w:t>
            </w:r>
            <w:r w:rsidR="00FA11A1">
              <w:rPr>
                <w:sz w:val="24"/>
                <w:szCs w:val="24"/>
              </w:rPr>
              <w:t> </w:t>
            </w:r>
            <w:r w:rsidRPr="000E26C3" w:rsidR="00FA11A1">
              <w:rPr>
                <w:sz w:val="24"/>
                <w:szCs w:val="24"/>
              </w:rPr>
              <w:t>Cruz, Shasta, Solano, Stanislaus, Ventura</w:t>
            </w:r>
          </w:p>
        </w:tc>
        <w:tc>
          <w:tcPr>
            <w:tcW w:w="1270" w:type="dxa"/>
            <w:shd w:val="clear" w:color="auto" w:fill="FFFFFF" w:themeFill="background1"/>
            <w:vAlign w:val="center"/>
          </w:tcPr>
          <w:p w:rsidRPr="000E26C3" w:rsidR="00611236" w:rsidP="00AE54CE" w:rsidRDefault="00611236" w14:paraId="5FD9029C" w14:textId="77777777">
            <w:pPr>
              <w:spacing w:line="240" w:lineRule="auto"/>
              <w:ind w:firstLine="0"/>
              <w:jc w:val="center"/>
              <w:rPr>
                <w:sz w:val="24"/>
                <w:szCs w:val="24"/>
              </w:rPr>
            </w:pPr>
            <w:r w:rsidRPr="000E26C3">
              <w:rPr>
                <w:sz w:val="24"/>
                <w:szCs w:val="24"/>
              </w:rPr>
              <w:lastRenderedPageBreak/>
              <w:t>7</w:t>
            </w:r>
          </w:p>
        </w:tc>
        <w:tc>
          <w:tcPr>
            <w:tcW w:w="1435" w:type="dxa"/>
            <w:shd w:val="clear" w:color="auto" w:fill="FFFFFF" w:themeFill="background1"/>
            <w:vAlign w:val="center"/>
          </w:tcPr>
          <w:p w:rsidRPr="000E26C3" w:rsidR="00611236" w:rsidP="00AE54CE" w:rsidRDefault="00611236" w14:paraId="23460E70" w14:textId="77777777">
            <w:pPr>
              <w:spacing w:line="240" w:lineRule="auto"/>
              <w:ind w:firstLine="0"/>
              <w:jc w:val="center"/>
              <w:rPr>
                <w:sz w:val="24"/>
                <w:szCs w:val="24"/>
              </w:rPr>
            </w:pPr>
            <w:r w:rsidRPr="000E26C3">
              <w:rPr>
                <w:sz w:val="24"/>
                <w:szCs w:val="24"/>
              </w:rPr>
              <w:t>13</w:t>
            </w:r>
          </w:p>
        </w:tc>
        <w:tc>
          <w:tcPr>
            <w:tcW w:w="1644" w:type="dxa"/>
            <w:shd w:val="clear" w:color="auto" w:fill="D9D9D9" w:themeFill="background1" w:themeFillShade="D9"/>
            <w:vAlign w:val="center"/>
          </w:tcPr>
          <w:p w:rsidRPr="000E26C3" w:rsidR="00611236" w:rsidP="00AE54CE" w:rsidRDefault="00611236" w14:paraId="51A4AA84" w14:textId="77777777">
            <w:pPr>
              <w:spacing w:line="240" w:lineRule="auto"/>
              <w:ind w:firstLine="0"/>
              <w:jc w:val="center"/>
              <w:rPr>
                <w:sz w:val="24"/>
                <w:szCs w:val="24"/>
              </w:rPr>
            </w:pPr>
            <w:r>
              <w:rPr>
                <w:sz w:val="24"/>
                <w:szCs w:val="24"/>
              </w:rPr>
              <w:t>25</w:t>
            </w:r>
          </w:p>
        </w:tc>
        <w:tc>
          <w:tcPr>
            <w:tcW w:w="1270" w:type="dxa"/>
            <w:shd w:val="clear" w:color="auto" w:fill="D9D9D9" w:themeFill="background1" w:themeFillShade="D9"/>
            <w:vAlign w:val="center"/>
          </w:tcPr>
          <w:p w:rsidRPr="000E26C3" w:rsidR="00611236" w:rsidP="00AE54CE" w:rsidRDefault="00611236" w14:paraId="352E5CE6" w14:textId="77777777">
            <w:pPr>
              <w:spacing w:line="240" w:lineRule="auto"/>
              <w:ind w:firstLine="0"/>
              <w:jc w:val="center"/>
              <w:rPr>
                <w:sz w:val="24"/>
                <w:szCs w:val="24"/>
              </w:rPr>
            </w:pPr>
            <w:r>
              <w:rPr>
                <w:sz w:val="24"/>
                <w:szCs w:val="24"/>
              </w:rPr>
              <w:t>50</w:t>
            </w:r>
          </w:p>
        </w:tc>
      </w:tr>
      <w:tr w:rsidRPr="00066424" w:rsidR="00FA11A1" w:rsidTr="00462FF9" w14:paraId="7667DD21" w14:textId="77777777">
        <w:tc>
          <w:tcPr>
            <w:tcW w:w="3701" w:type="dxa"/>
            <w:vAlign w:val="center"/>
          </w:tcPr>
          <w:p w:rsidRPr="000E26C3" w:rsidR="00611236" w:rsidP="000E1D8D" w:rsidRDefault="00611236" w14:paraId="2114B852" w14:textId="0134E5BA">
            <w:pPr>
              <w:pStyle w:val="ListParagraph"/>
              <w:spacing w:after="0"/>
              <w:ind w:left="0" w:right="0" w:firstLine="0"/>
              <w:rPr>
                <w:sz w:val="24"/>
                <w:szCs w:val="24"/>
              </w:rPr>
            </w:pPr>
            <w:r w:rsidRPr="000E26C3">
              <w:rPr>
                <w:sz w:val="24"/>
                <w:szCs w:val="24"/>
              </w:rPr>
              <w:t xml:space="preserve">Alpine, </w:t>
            </w:r>
            <w:r w:rsidRPr="000E26C3" w:rsidR="00FA11A1">
              <w:rPr>
                <w:sz w:val="24"/>
                <w:szCs w:val="24"/>
              </w:rPr>
              <w:t>Amador, Butte, Calaveras, Colusa, Del Norte, El Dorado, Fresno, Glenn, Humboldt, Inyo, Kern, Kings, Lake, Lassen, Marin, Mariposa, Mendocino, Merced, Modoc, Mono, Monterey, Napa, Nevada, Placer, Plumas, Riverside, San</w:t>
            </w:r>
            <w:r w:rsidR="00FA11A1">
              <w:rPr>
                <w:sz w:val="24"/>
                <w:szCs w:val="24"/>
              </w:rPr>
              <w:t> </w:t>
            </w:r>
            <w:r w:rsidRPr="000E26C3" w:rsidR="00FA11A1">
              <w:rPr>
                <w:sz w:val="24"/>
                <w:szCs w:val="24"/>
              </w:rPr>
              <w:t>Benito, San</w:t>
            </w:r>
            <w:r w:rsidR="00FA11A1">
              <w:rPr>
                <w:sz w:val="24"/>
                <w:szCs w:val="24"/>
              </w:rPr>
              <w:t> </w:t>
            </w:r>
            <w:r w:rsidRPr="000E26C3" w:rsidR="00FA11A1">
              <w:rPr>
                <w:sz w:val="24"/>
                <w:szCs w:val="24"/>
              </w:rPr>
              <w:t>Bernardino, Sierra,</w:t>
            </w:r>
            <w:r w:rsidR="00FA11A1">
              <w:rPr>
                <w:sz w:val="24"/>
                <w:szCs w:val="24"/>
              </w:rPr>
              <w:t xml:space="preserve"> Siskiyou,</w:t>
            </w:r>
            <w:r w:rsidRPr="000E26C3" w:rsidR="00FA11A1">
              <w:rPr>
                <w:sz w:val="24"/>
                <w:szCs w:val="24"/>
              </w:rPr>
              <w:t xml:space="preserve"> Sonoma, Sutter, Tehama, Trinity, Tulare,</w:t>
            </w:r>
            <w:r w:rsidR="00FA11A1">
              <w:rPr>
                <w:sz w:val="24"/>
                <w:szCs w:val="24"/>
              </w:rPr>
              <w:t xml:space="preserve"> </w:t>
            </w:r>
            <w:r w:rsidRPr="000E26C3" w:rsidR="00FA11A1">
              <w:rPr>
                <w:sz w:val="24"/>
                <w:szCs w:val="24"/>
              </w:rPr>
              <w:t>Tuolumne, Yolo, Yuba</w:t>
            </w:r>
          </w:p>
        </w:tc>
        <w:tc>
          <w:tcPr>
            <w:tcW w:w="1270" w:type="dxa"/>
            <w:shd w:val="clear" w:color="auto" w:fill="FFFFFF" w:themeFill="background1"/>
            <w:vAlign w:val="center"/>
          </w:tcPr>
          <w:p w:rsidRPr="000E26C3" w:rsidR="00611236" w:rsidP="00AE54CE" w:rsidRDefault="00611236" w14:paraId="32EFF3E9" w14:textId="77777777">
            <w:pPr>
              <w:spacing w:line="240" w:lineRule="auto"/>
              <w:ind w:firstLine="0"/>
              <w:jc w:val="center"/>
              <w:rPr>
                <w:sz w:val="24"/>
                <w:szCs w:val="24"/>
              </w:rPr>
            </w:pPr>
            <w:r w:rsidRPr="000E26C3">
              <w:rPr>
                <w:sz w:val="24"/>
                <w:szCs w:val="24"/>
              </w:rPr>
              <w:t>8</w:t>
            </w:r>
          </w:p>
        </w:tc>
        <w:tc>
          <w:tcPr>
            <w:tcW w:w="1435" w:type="dxa"/>
            <w:shd w:val="clear" w:color="auto" w:fill="FFFFFF" w:themeFill="background1"/>
            <w:vAlign w:val="center"/>
          </w:tcPr>
          <w:p w:rsidRPr="000E26C3" w:rsidR="00611236" w:rsidP="00AE54CE" w:rsidRDefault="00611236" w14:paraId="3A6D0E7B" w14:textId="77777777">
            <w:pPr>
              <w:spacing w:line="240" w:lineRule="auto"/>
              <w:ind w:firstLine="0"/>
              <w:jc w:val="center"/>
              <w:rPr>
                <w:sz w:val="24"/>
                <w:szCs w:val="24"/>
              </w:rPr>
            </w:pPr>
            <w:r w:rsidRPr="000E26C3">
              <w:rPr>
                <w:sz w:val="24"/>
                <w:szCs w:val="24"/>
              </w:rPr>
              <w:t>15</w:t>
            </w:r>
          </w:p>
        </w:tc>
        <w:tc>
          <w:tcPr>
            <w:tcW w:w="1644" w:type="dxa"/>
            <w:shd w:val="clear" w:color="auto" w:fill="D9D9D9" w:themeFill="background1" w:themeFillShade="D9"/>
            <w:vAlign w:val="center"/>
          </w:tcPr>
          <w:p w:rsidRPr="000E26C3" w:rsidR="00611236" w:rsidP="00AE54CE" w:rsidRDefault="00611236" w14:paraId="04D1608D" w14:textId="77777777">
            <w:pPr>
              <w:spacing w:line="240" w:lineRule="auto"/>
              <w:ind w:firstLine="0"/>
              <w:jc w:val="center"/>
              <w:rPr>
                <w:sz w:val="24"/>
                <w:szCs w:val="24"/>
              </w:rPr>
            </w:pPr>
            <w:r>
              <w:rPr>
                <w:sz w:val="24"/>
                <w:szCs w:val="24"/>
              </w:rPr>
              <w:t>30</w:t>
            </w:r>
          </w:p>
        </w:tc>
        <w:tc>
          <w:tcPr>
            <w:tcW w:w="1270" w:type="dxa"/>
            <w:shd w:val="clear" w:color="auto" w:fill="D9D9D9" w:themeFill="background1" w:themeFillShade="D9"/>
            <w:vAlign w:val="center"/>
          </w:tcPr>
          <w:p w:rsidRPr="000E26C3" w:rsidR="00611236" w:rsidP="00AE54CE" w:rsidRDefault="00611236" w14:paraId="6F71A8DB" w14:textId="77777777">
            <w:pPr>
              <w:spacing w:line="240" w:lineRule="auto"/>
              <w:ind w:firstLine="0"/>
              <w:jc w:val="center"/>
              <w:rPr>
                <w:sz w:val="24"/>
                <w:szCs w:val="24"/>
              </w:rPr>
            </w:pPr>
            <w:r>
              <w:rPr>
                <w:sz w:val="24"/>
                <w:szCs w:val="24"/>
              </w:rPr>
              <w:t>60</w:t>
            </w:r>
          </w:p>
        </w:tc>
      </w:tr>
    </w:tbl>
    <w:p w:rsidR="00611236" w:rsidP="00AE54CE" w:rsidRDefault="00611236" w14:paraId="23011B23" w14:textId="3ECC00B1">
      <w:pPr>
        <w:pStyle w:val="Standard"/>
        <w:spacing w:before="360"/>
      </w:pPr>
      <w:r>
        <w:t>To demonstrate offset eligibility for pre-scheduled WAV trips, CPED recommends that a TNC demonstrate it has met both the relevant Level</w:t>
      </w:r>
      <w:r w:rsidR="00AE54CE">
        <w:t> </w:t>
      </w:r>
      <w:r>
        <w:t>1 and Level</w:t>
      </w:r>
      <w:r w:rsidR="00AE54CE">
        <w:t> </w:t>
      </w:r>
      <w:r>
        <w:t>2 OTS within the pre-scheduled response time benchmarks for a given quarter in a geographic area.</w:t>
      </w:r>
    </w:p>
    <w:p w:rsidR="00611236" w:rsidP="000E1D8D" w:rsidRDefault="00611236" w14:paraId="7C7ACD67" w14:textId="19026551">
      <w:pPr>
        <w:pStyle w:val="Standard"/>
        <w:spacing w:after="240"/>
      </w:pPr>
      <w:r>
        <w:t>CPED’s second proposed requirement is that a TNC meet a pre</w:t>
      </w:r>
      <w:r w:rsidR="000E1D8D">
        <w:noBreakHyphen/>
      </w:r>
      <w:r>
        <w:t>scheduled Trip Completion Standard (PTCS), similar to that required for on</w:t>
      </w:r>
      <w:r w:rsidR="000E1D8D">
        <w:noBreakHyphen/>
      </w:r>
      <w:r>
        <w:t>demand WAVs.  CPED proposes a higher TCS than is required of on-demand WAV trips because the data reflects that pre</w:t>
      </w:r>
      <w:r w:rsidR="00AE54CE">
        <w:noBreakHyphen/>
      </w:r>
      <w:r>
        <w:t>scheduled WAV trips have higher completion rates than on</w:t>
      </w:r>
      <w:r w:rsidR="00AE54CE">
        <w:noBreakHyphen/>
      </w:r>
      <w:r>
        <w:t>demand WAV trips.  CPED proposes maintaining the TCS ramp</w:t>
      </w:r>
      <w:r w:rsidR="00AE54CE">
        <w:noBreakHyphen/>
      </w:r>
      <w:r>
        <w:t>up method adopted in D.21</w:t>
      </w:r>
      <w:r w:rsidR="000E1D8D">
        <w:noBreakHyphen/>
      </w:r>
      <w:r>
        <w:t>11</w:t>
      </w:r>
      <w:r w:rsidR="000E1D8D">
        <w:noBreakHyphen/>
      </w:r>
      <w:r>
        <w:t xml:space="preserve">004 and adopting the following PTCS: </w:t>
      </w:r>
    </w:p>
    <w:tbl>
      <w:tblPr>
        <w:tblStyle w:val="TableGrid"/>
        <w:tblW w:w="0" w:type="auto"/>
        <w:jc w:val="center"/>
        <w:tblLook w:val="04A0" w:firstRow="1" w:lastRow="0" w:firstColumn="1" w:lastColumn="0" w:noHBand="0" w:noVBand="1"/>
      </w:tblPr>
      <w:tblGrid>
        <w:gridCol w:w="3684"/>
        <w:gridCol w:w="1682"/>
        <w:gridCol w:w="1682"/>
        <w:gridCol w:w="1682"/>
      </w:tblGrid>
      <w:tr w:rsidRPr="00883D85" w:rsidR="00611236" w:rsidTr="00462FF9" w14:paraId="023BD59B" w14:textId="77777777">
        <w:trPr>
          <w:tblHeader/>
          <w:jc w:val="center"/>
        </w:trPr>
        <w:tc>
          <w:tcPr>
            <w:tcW w:w="8730" w:type="dxa"/>
            <w:gridSpan w:val="4"/>
            <w:shd w:val="clear" w:color="auto" w:fill="FFFFFF" w:themeFill="background1"/>
            <w:vAlign w:val="center"/>
          </w:tcPr>
          <w:p w:rsidRPr="0093467A" w:rsidR="00611236" w:rsidP="000E1D8D" w:rsidRDefault="00611236" w14:paraId="0E26D165" w14:textId="77777777">
            <w:pPr>
              <w:pStyle w:val="ListParagraph"/>
              <w:spacing w:after="0"/>
              <w:ind w:left="0" w:right="0"/>
              <w:jc w:val="center"/>
              <w:rPr>
                <w:b/>
                <w:bCs/>
                <w:sz w:val="24"/>
                <w:szCs w:val="24"/>
              </w:rPr>
            </w:pPr>
            <w:bookmarkStart w:name="_Hlk112923789" w:id="28"/>
            <w:r w:rsidRPr="0093467A">
              <w:rPr>
                <w:b/>
                <w:bCs/>
                <w:sz w:val="24"/>
                <w:szCs w:val="24"/>
              </w:rPr>
              <w:lastRenderedPageBreak/>
              <w:t>Pre-scheduled Trip Completion Standard (PTCS) Percentages</w:t>
            </w:r>
          </w:p>
        </w:tc>
      </w:tr>
      <w:tr w:rsidRPr="00883D85" w:rsidR="00611236" w:rsidTr="00462FF9" w14:paraId="34F27F3B" w14:textId="77777777">
        <w:trPr>
          <w:tblHeader/>
          <w:jc w:val="center"/>
        </w:trPr>
        <w:tc>
          <w:tcPr>
            <w:tcW w:w="3684" w:type="dxa"/>
            <w:shd w:val="clear" w:color="auto" w:fill="FFFFFF" w:themeFill="background1"/>
            <w:vAlign w:val="center"/>
          </w:tcPr>
          <w:p w:rsidRPr="0093467A" w:rsidR="00611236" w:rsidP="000E1D8D" w:rsidRDefault="00611236" w14:paraId="4C7E3A7A" w14:textId="33EA73FE">
            <w:pPr>
              <w:pStyle w:val="ListParagraph"/>
              <w:spacing w:after="0"/>
              <w:ind w:left="0" w:right="0" w:firstLine="0"/>
              <w:jc w:val="center"/>
              <w:rPr>
                <w:b/>
                <w:bCs/>
                <w:sz w:val="24"/>
                <w:szCs w:val="24"/>
              </w:rPr>
            </w:pPr>
            <w:r w:rsidRPr="0093467A">
              <w:rPr>
                <w:b/>
                <w:bCs/>
                <w:sz w:val="24"/>
                <w:szCs w:val="24"/>
              </w:rPr>
              <w:t xml:space="preserve">Minimum Completion </w:t>
            </w:r>
            <w:r w:rsidR="000E1D8D">
              <w:rPr>
                <w:b/>
                <w:bCs/>
                <w:sz w:val="24"/>
                <w:szCs w:val="24"/>
              </w:rPr>
              <w:br/>
            </w:r>
            <w:r w:rsidRPr="0093467A">
              <w:rPr>
                <w:b/>
                <w:bCs/>
                <w:sz w:val="24"/>
                <w:szCs w:val="24"/>
              </w:rPr>
              <w:t>Rate Percentage</w:t>
            </w:r>
          </w:p>
        </w:tc>
        <w:tc>
          <w:tcPr>
            <w:tcW w:w="1682" w:type="dxa"/>
            <w:shd w:val="clear" w:color="auto" w:fill="FFFFFF" w:themeFill="background1"/>
            <w:vAlign w:val="center"/>
          </w:tcPr>
          <w:p w:rsidRPr="0093467A" w:rsidR="00611236" w:rsidP="000E1D8D" w:rsidRDefault="00611236" w14:paraId="219649BE" w14:textId="77777777">
            <w:pPr>
              <w:pStyle w:val="ListParagraph"/>
              <w:spacing w:after="0"/>
              <w:ind w:left="0" w:right="0" w:firstLine="0"/>
              <w:jc w:val="center"/>
              <w:rPr>
                <w:b/>
                <w:bCs/>
                <w:sz w:val="24"/>
                <w:szCs w:val="24"/>
              </w:rPr>
            </w:pPr>
            <w:r w:rsidRPr="0093467A">
              <w:rPr>
                <w:b/>
                <w:bCs/>
                <w:sz w:val="24"/>
                <w:szCs w:val="24"/>
              </w:rPr>
              <w:t>County Group A</w:t>
            </w:r>
          </w:p>
        </w:tc>
        <w:tc>
          <w:tcPr>
            <w:tcW w:w="1682" w:type="dxa"/>
            <w:shd w:val="clear" w:color="auto" w:fill="FFFFFF" w:themeFill="background1"/>
            <w:vAlign w:val="center"/>
          </w:tcPr>
          <w:p w:rsidRPr="0093467A" w:rsidR="00611236" w:rsidP="000E1D8D" w:rsidRDefault="00611236" w14:paraId="1D97CC53" w14:textId="77777777">
            <w:pPr>
              <w:pStyle w:val="ListParagraph"/>
              <w:spacing w:after="0"/>
              <w:ind w:left="0" w:right="0" w:firstLine="0"/>
              <w:jc w:val="center"/>
              <w:rPr>
                <w:b/>
                <w:bCs/>
                <w:sz w:val="24"/>
                <w:szCs w:val="24"/>
              </w:rPr>
            </w:pPr>
            <w:r w:rsidRPr="0093467A">
              <w:rPr>
                <w:b/>
                <w:bCs/>
                <w:sz w:val="24"/>
                <w:szCs w:val="24"/>
              </w:rPr>
              <w:t>County Group B</w:t>
            </w:r>
          </w:p>
        </w:tc>
        <w:tc>
          <w:tcPr>
            <w:tcW w:w="1682" w:type="dxa"/>
            <w:shd w:val="clear" w:color="auto" w:fill="FFFFFF" w:themeFill="background1"/>
            <w:vAlign w:val="center"/>
          </w:tcPr>
          <w:p w:rsidRPr="0093467A" w:rsidR="00611236" w:rsidP="000E1D8D" w:rsidRDefault="00611236" w14:paraId="63865EDF" w14:textId="77777777">
            <w:pPr>
              <w:pStyle w:val="ListParagraph"/>
              <w:spacing w:after="0"/>
              <w:ind w:left="0" w:right="0" w:firstLine="0"/>
              <w:jc w:val="center"/>
              <w:rPr>
                <w:b/>
                <w:bCs/>
                <w:sz w:val="24"/>
                <w:szCs w:val="24"/>
              </w:rPr>
            </w:pPr>
            <w:r w:rsidRPr="0093467A">
              <w:rPr>
                <w:b/>
                <w:bCs/>
                <w:sz w:val="24"/>
                <w:szCs w:val="24"/>
              </w:rPr>
              <w:t>County Group C</w:t>
            </w:r>
          </w:p>
        </w:tc>
      </w:tr>
      <w:tr w:rsidRPr="00883D85" w:rsidR="00611236" w:rsidTr="00462FF9" w14:paraId="4F140F60" w14:textId="77777777">
        <w:trPr>
          <w:tblHeader/>
          <w:jc w:val="center"/>
        </w:trPr>
        <w:tc>
          <w:tcPr>
            <w:tcW w:w="3684" w:type="dxa"/>
            <w:vAlign w:val="center"/>
          </w:tcPr>
          <w:p w:rsidRPr="0093467A" w:rsidR="00611236" w:rsidP="000E1D8D" w:rsidRDefault="00611236" w14:paraId="5607DBB1" w14:textId="77777777">
            <w:pPr>
              <w:spacing w:line="240" w:lineRule="auto"/>
              <w:ind w:firstLine="0"/>
              <w:jc w:val="center"/>
              <w:rPr>
                <w:sz w:val="24"/>
                <w:szCs w:val="24"/>
              </w:rPr>
            </w:pPr>
            <w:r w:rsidRPr="0093467A">
              <w:rPr>
                <w:sz w:val="24"/>
                <w:szCs w:val="24"/>
              </w:rPr>
              <w:t>1</w:t>
            </w:r>
            <w:r w:rsidRPr="0093467A">
              <w:rPr>
                <w:sz w:val="24"/>
                <w:szCs w:val="24"/>
                <w:vertAlign w:val="superscript"/>
              </w:rPr>
              <w:t>st</w:t>
            </w:r>
            <w:r w:rsidRPr="0093467A">
              <w:rPr>
                <w:sz w:val="24"/>
                <w:szCs w:val="24"/>
              </w:rPr>
              <w:t xml:space="preserve"> Quarter Submission</w:t>
            </w:r>
          </w:p>
        </w:tc>
        <w:tc>
          <w:tcPr>
            <w:tcW w:w="1682" w:type="dxa"/>
            <w:vAlign w:val="center"/>
          </w:tcPr>
          <w:p w:rsidRPr="0093467A" w:rsidR="00611236" w:rsidP="00E87C2D" w:rsidRDefault="00611236" w14:paraId="0683E64D" w14:textId="77777777">
            <w:pPr>
              <w:spacing w:line="240" w:lineRule="auto"/>
              <w:ind w:firstLine="0"/>
              <w:jc w:val="center"/>
              <w:rPr>
                <w:sz w:val="24"/>
                <w:szCs w:val="24"/>
              </w:rPr>
            </w:pPr>
            <w:r w:rsidRPr="0093467A">
              <w:rPr>
                <w:sz w:val="24"/>
                <w:szCs w:val="24"/>
              </w:rPr>
              <w:t>90%</w:t>
            </w:r>
          </w:p>
        </w:tc>
        <w:tc>
          <w:tcPr>
            <w:tcW w:w="1682" w:type="dxa"/>
            <w:vAlign w:val="center"/>
          </w:tcPr>
          <w:p w:rsidRPr="0093467A" w:rsidR="00611236" w:rsidP="00E87C2D" w:rsidRDefault="00611236" w14:paraId="0D26D904" w14:textId="77777777">
            <w:pPr>
              <w:spacing w:line="240" w:lineRule="auto"/>
              <w:ind w:firstLine="0"/>
              <w:jc w:val="center"/>
              <w:rPr>
                <w:sz w:val="24"/>
                <w:szCs w:val="24"/>
              </w:rPr>
            </w:pPr>
            <w:r w:rsidRPr="0093467A">
              <w:rPr>
                <w:sz w:val="24"/>
                <w:szCs w:val="24"/>
              </w:rPr>
              <w:t>80%</w:t>
            </w:r>
          </w:p>
        </w:tc>
        <w:tc>
          <w:tcPr>
            <w:tcW w:w="1682" w:type="dxa"/>
            <w:vAlign w:val="center"/>
          </w:tcPr>
          <w:p w:rsidRPr="0093467A" w:rsidR="00611236" w:rsidP="00E87C2D" w:rsidRDefault="00611236" w14:paraId="2660150B" w14:textId="77777777">
            <w:pPr>
              <w:spacing w:line="240" w:lineRule="auto"/>
              <w:ind w:firstLine="0"/>
              <w:jc w:val="center"/>
              <w:rPr>
                <w:sz w:val="24"/>
                <w:szCs w:val="24"/>
              </w:rPr>
            </w:pPr>
            <w:r w:rsidRPr="0093467A">
              <w:rPr>
                <w:sz w:val="24"/>
                <w:szCs w:val="24"/>
              </w:rPr>
              <w:t>65%</w:t>
            </w:r>
          </w:p>
        </w:tc>
      </w:tr>
      <w:tr w:rsidRPr="00883D85" w:rsidR="00611236" w:rsidTr="00462FF9" w14:paraId="1D7C9DEC" w14:textId="77777777">
        <w:trPr>
          <w:tblHeader/>
          <w:jc w:val="center"/>
        </w:trPr>
        <w:tc>
          <w:tcPr>
            <w:tcW w:w="3684" w:type="dxa"/>
            <w:vAlign w:val="center"/>
          </w:tcPr>
          <w:p w:rsidRPr="0093467A" w:rsidR="00611236" w:rsidP="000E1D8D" w:rsidRDefault="00611236" w14:paraId="4F9EC18C" w14:textId="77777777">
            <w:pPr>
              <w:spacing w:line="240" w:lineRule="auto"/>
              <w:ind w:firstLine="0"/>
              <w:jc w:val="center"/>
              <w:rPr>
                <w:sz w:val="24"/>
                <w:szCs w:val="24"/>
              </w:rPr>
            </w:pPr>
            <w:r w:rsidRPr="0093467A">
              <w:rPr>
                <w:sz w:val="24"/>
                <w:szCs w:val="24"/>
              </w:rPr>
              <w:t>2</w:t>
            </w:r>
            <w:r w:rsidRPr="0093467A">
              <w:rPr>
                <w:sz w:val="24"/>
                <w:szCs w:val="24"/>
                <w:vertAlign w:val="superscript"/>
              </w:rPr>
              <w:t>nd</w:t>
            </w:r>
            <w:r w:rsidRPr="0093467A">
              <w:rPr>
                <w:sz w:val="24"/>
                <w:szCs w:val="24"/>
              </w:rPr>
              <w:t xml:space="preserve"> Quarter</w:t>
            </w:r>
          </w:p>
        </w:tc>
        <w:tc>
          <w:tcPr>
            <w:tcW w:w="1682" w:type="dxa"/>
            <w:vAlign w:val="center"/>
          </w:tcPr>
          <w:p w:rsidRPr="0093467A" w:rsidR="00611236" w:rsidP="00E87C2D" w:rsidRDefault="00611236" w14:paraId="1873F260" w14:textId="77777777">
            <w:pPr>
              <w:spacing w:line="240" w:lineRule="auto"/>
              <w:ind w:firstLine="0"/>
              <w:jc w:val="center"/>
              <w:rPr>
                <w:sz w:val="24"/>
                <w:szCs w:val="24"/>
              </w:rPr>
            </w:pPr>
            <w:r w:rsidRPr="0093467A">
              <w:rPr>
                <w:sz w:val="24"/>
                <w:szCs w:val="24"/>
              </w:rPr>
              <w:t>90%</w:t>
            </w:r>
          </w:p>
        </w:tc>
        <w:tc>
          <w:tcPr>
            <w:tcW w:w="1682" w:type="dxa"/>
            <w:vAlign w:val="center"/>
          </w:tcPr>
          <w:p w:rsidRPr="0093467A" w:rsidR="00611236" w:rsidP="00E87C2D" w:rsidRDefault="00611236" w14:paraId="33261089" w14:textId="77777777">
            <w:pPr>
              <w:spacing w:line="240" w:lineRule="auto"/>
              <w:ind w:firstLine="0"/>
              <w:jc w:val="center"/>
              <w:rPr>
                <w:sz w:val="24"/>
                <w:szCs w:val="24"/>
              </w:rPr>
            </w:pPr>
            <w:r w:rsidRPr="0093467A">
              <w:rPr>
                <w:sz w:val="24"/>
                <w:szCs w:val="24"/>
              </w:rPr>
              <w:t>81%</w:t>
            </w:r>
          </w:p>
        </w:tc>
        <w:tc>
          <w:tcPr>
            <w:tcW w:w="1682" w:type="dxa"/>
            <w:vAlign w:val="center"/>
          </w:tcPr>
          <w:p w:rsidRPr="0093467A" w:rsidR="00611236" w:rsidP="00E87C2D" w:rsidRDefault="00611236" w14:paraId="5655326F" w14:textId="77777777">
            <w:pPr>
              <w:spacing w:line="240" w:lineRule="auto"/>
              <w:ind w:firstLine="0"/>
              <w:jc w:val="center"/>
              <w:rPr>
                <w:sz w:val="24"/>
                <w:szCs w:val="24"/>
              </w:rPr>
            </w:pPr>
            <w:r w:rsidRPr="0093467A">
              <w:rPr>
                <w:sz w:val="24"/>
                <w:szCs w:val="24"/>
              </w:rPr>
              <w:t>66%</w:t>
            </w:r>
          </w:p>
        </w:tc>
      </w:tr>
      <w:tr w:rsidRPr="00883D85" w:rsidR="00611236" w:rsidTr="00462FF9" w14:paraId="3269A1EC" w14:textId="77777777">
        <w:trPr>
          <w:tblHeader/>
          <w:jc w:val="center"/>
        </w:trPr>
        <w:tc>
          <w:tcPr>
            <w:tcW w:w="3684" w:type="dxa"/>
            <w:vAlign w:val="center"/>
          </w:tcPr>
          <w:p w:rsidRPr="0093467A" w:rsidR="00611236" w:rsidP="000E1D8D" w:rsidRDefault="00611236" w14:paraId="50C33928" w14:textId="77777777">
            <w:pPr>
              <w:spacing w:line="240" w:lineRule="auto"/>
              <w:ind w:firstLine="0"/>
              <w:jc w:val="center"/>
              <w:rPr>
                <w:sz w:val="24"/>
                <w:szCs w:val="24"/>
              </w:rPr>
            </w:pPr>
            <w:r w:rsidRPr="0093467A">
              <w:rPr>
                <w:sz w:val="24"/>
                <w:szCs w:val="24"/>
              </w:rPr>
              <w:t>3</w:t>
            </w:r>
            <w:r w:rsidRPr="0093467A">
              <w:rPr>
                <w:sz w:val="24"/>
                <w:szCs w:val="24"/>
                <w:vertAlign w:val="superscript"/>
              </w:rPr>
              <w:t>rd</w:t>
            </w:r>
            <w:r w:rsidRPr="0093467A">
              <w:rPr>
                <w:sz w:val="24"/>
                <w:szCs w:val="24"/>
              </w:rPr>
              <w:t xml:space="preserve"> Quarter</w:t>
            </w:r>
          </w:p>
        </w:tc>
        <w:tc>
          <w:tcPr>
            <w:tcW w:w="1682" w:type="dxa"/>
            <w:vAlign w:val="center"/>
          </w:tcPr>
          <w:p w:rsidRPr="0093467A" w:rsidR="00611236" w:rsidP="00E87C2D" w:rsidRDefault="00611236" w14:paraId="6C7485E0" w14:textId="77777777">
            <w:pPr>
              <w:spacing w:line="240" w:lineRule="auto"/>
              <w:ind w:firstLine="0"/>
              <w:jc w:val="center"/>
              <w:rPr>
                <w:sz w:val="24"/>
                <w:szCs w:val="24"/>
              </w:rPr>
            </w:pPr>
            <w:r w:rsidRPr="0093467A">
              <w:rPr>
                <w:sz w:val="24"/>
                <w:szCs w:val="24"/>
              </w:rPr>
              <w:t>90%</w:t>
            </w:r>
          </w:p>
        </w:tc>
        <w:tc>
          <w:tcPr>
            <w:tcW w:w="1682" w:type="dxa"/>
            <w:vAlign w:val="center"/>
          </w:tcPr>
          <w:p w:rsidRPr="0093467A" w:rsidR="00611236" w:rsidP="00E87C2D" w:rsidRDefault="00611236" w14:paraId="4D40D41E" w14:textId="77777777">
            <w:pPr>
              <w:spacing w:line="240" w:lineRule="auto"/>
              <w:ind w:firstLine="0"/>
              <w:jc w:val="center"/>
              <w:rPr>
                <w:sz w:val="24"/>
                <w:szCs w:val="24"/>
              </w:rPr>
            </w:pPr>
            <w:r w:rsidRPr="0093467A">
              <w:rPr>
                <w:sz w:val="24"/>
                <w:szCs w:val="24"/>
              </w:rPr>
              <w:t>82%</w:t>
            </w:r>
          </w:p>
        </w:tc>
        <w:tc>
          <w:tcPr>
            <w:tcW w:w="1682" w:type="dxa"/>
            <w:vAlign w:val="center"/>
          </w:tcPr>
          <w:p w:rsidRPr="0093467A" w:rsidR="00611236" w:rsidP="00E87C2D" w:rsidRDefault="00611236" w14:paraId="4B16528C" w14:textId="77777777">
            <w:pPr>
              <w:spacing w:line="240" w:lineRule="auto"/>
              <w:ind w:firstLine="0"/>
              <w:jc w:val="center"/>
              <w:rPr>
                <w:sz w:val="24"/>
                <w:szCs w:val="24"/>
              </w:rPr>
            </w:pPr>
            <w:r w:rsidRPr="0093467A">
              <w:rPr>
                <w:sz w:val="24"/>
                <w:szCs w:val="24"/>
              </w:rPr>
              <w:t>67%</w:t>
            </w:r>
          </w:p>
        </w:tc>
      </w:tr>
      <w:tr w:rsidRPr="00883D85" w:rsidR="00611236" w:rsidTr="00462FF9" w14:paraId="138691B3" w14:textId="77777777">
        <w:trPr>
          <w:tblHeader/>
          <w:jc w:val="center"/>
        </w:trPr>
        <w:tc>
          <w:tcPr>
            <w:tcW w:w="3684" w:type="dxa"/>
            <w:vAlign w:val="center"/>
          </w:tcPr>
          <w:p w:rsidRPr="0093467A" w:rsidR="00611236" w:rsidP="000E1D8D" w:rsidRDefault="00611236" w14:paraId="1975A524" w14:textId="77777777">
            <w:pPr>
              <w:spacing w:line="240" w:lineRule="auto"/>
              <w:ind w:firstLine="0"/>
              <w:jc w:val="center"/>
              <w:rPr>
                <w:sz w:val="24"/>
                <w:szCs w:val="24"/>
              </w:rPr>
            </w:pPr>
            <w:r w:rsidRPr="0093467A">
              <w:rPr>
                <w:sz w:val="24"/>
                <w:szCs w:val="24"/>
              </w:rPr>
              <w:t>4</w:t>
            </w:r>
            <w:r w:rsidRPr="0093467A">
              <w:rPr>
                <w:sz w:val="24"/>
                <w:szCs w:val="24"/>
                <w:vertAlign w:val="superscript"/>
              </w:rPr>
              <w:t>th</w:t>
            </w:r>
            <w:r w:rsidRPr="0093467A">
              <w:rPr>
                <w:sz w:val="24"/>
                <w:szCs w:val="24"/>
              </w:rPr>
              <w:t xml:space="preserve"> Quarter</w:t>
            </w:r>
          </w:p>
        </w:tc>
        <w:tc>
          <w:tcPr>
            <w:tcW w:w="1682" w:type="dxa"/>
            <w:vAlign w:val="center"/>
          </w:tcPr>
          <w:p w:rsidRPr="0093467A" w:rsidR="00611236" w:rsidP="00E87C2D" w:rsidRDefault="00611236" w14:paraId="514D17B7" w14:textId="77777777">
            <w:pPr>
              <w:spacing w:line="240" w:lineRule="auto"/>
              <w:ind w:firstLine="0"/>
              <w:jc w:val="center"/>
              <w:rPr>
                <w:sz w:val="24"/>
                <w:szCs w:val="24"/>
              </w:rPr>
            </w:pPr>
            <w:r w:rsidRPr="0093467A">
              <w:rPr>
                <w:sz w:val="24"/>
                <w:szCs w:val="24"/>
              </w:rPr>
              <w:t>90%</w:t>
            </w:r>
          </w:p>
        </w:tc>
        <w:tc>
          <w:tcPr>
            <w:tcW w:w="1682" w:type="dxa"/>
            <w:vAlign w:val="center"/>
          </w:tcPr>
          <w:p w:rsidRPr="0093467A" w:rsidR="00611236" w:rsidP="00E87C2D" w:rsidRDefault="00611236" w14:paraId="1593A5D1" w14:textId="77777777">
            <w:pPr>
              <w:spacing w:line="240" w:lineRule="auto"/>
              <w:ind w:firstLine="0"/>
              <w:jc w:val="center"/>
              <w:rPr>
                <w:sz w:val="24"/>
                <w:szCs w:val="24"/>
              </w:rPr>
            </w:pPr>
            <w:r w:rsidRPr="0093467A">
              <w:rPr>
                <w:sz w:val="24"/>
                <w:szCs w:val="24"/>
              </w:rPr>
              <w:t>83%</w:t>
            </w:r>
          </w:p>
        </w:tc>
        <w:tc>
          <w:tcPr>
            <w:tcW w:w="1682" w:type="dxa"/>
            <w:vAlign w:val="center"/>
          </w:tcPr>
          <w:p w:rsidRPr="0093467A" w:rsidR="00611236" w:rsidP="00E87C2D" w:rsidRDefault="00611236" w14:paraId="5C4D10B3" w14:textId="77777777">
            <w:pPr>
              <w:spacing w:line="240" w:lineRule="auto"/>
              <w:ind w:firstLine="0"/>
              <w:jc w:val="center"/>
              <w:rPr>
                <w:sz w:val="24"/>
                <w:szCs w:val="24"/>
              </w:rPr>
            </w:pPr>
            <w:r w:rsidRPr="0093467A">
              <w:rPr>
                <w:sz w:val="24"/>
                <w:szCs w:val="24"/>
              </w:rPr>
              <w:t>69%</w:t>
            </w:r>
          </w:p>
        </w:tc>
      </w:tr>
      <w:tr w:rsidRPr="00883D85" w:rsidR="00611236" w:rsidTr="00462FF9" w14:paraId="10813E86" w14:textId="77777777">
        <w:trPr>
          <w:tblHeader/>
          <w:jc w:val="center"/>
        </w:trPr>
        <w:tc>
          <w:tcPr>
            <w:tcW w:w="3684" w:type="dxa"/>
            <w:vAlign w:val="center"/>
          </w:tcPr>
          <w:p w:rsidRPr="0093467A" w:rsidR="00611236" w:rsidP="000E1D8D" w:rsidRDefault="00611236" w14:paraId="2C903E5F" w14:textId="77777777">
            <w:pPr>
              <w:spacing w:line="240" w:lineRule="auto"/>
              <w:ind w:firstLine="0"/>
              <w:jc w:val="center"/>
              <w:rPr>
                <w:sz w:val="24"/>
                <w:szCs w:val="24"/>
              </w:rPr>
            </w:pPr>
            <w:r w:rsidRPr="0093467A">
              <w:rPr>
                <w:sz w:val="24"/>
                <w:szCs w:val="24"/>
              </w:rPr>
              <w:t>5</w:t>
            </w:r>
            <w:r w:rsidRPr="0093467A">
              <w:rPr>
                <w:sz w:val="24"/>
                <w:szCs w:val="24"/>
                <w:vertAlign w:val="superscript"/>
              </w:rPr>
              <w:t>th</w:t>
            </w:r>
            <w:r w:rsidRPr="0093467A">
              <w:rPr>
                <w:sz w:val="24"/>
                <w:szCs w:val="24"/>
              </w:rPr>
              <w:t xml:space="preserve"> Quarter</w:t>
            </w:r>
          </w:p>
        </w:tc>
        <w:tc>
          <w:tcPr>
            <w:tcW w:w="1682" w:type="dxa"/>
            <w:vAlign w:val="center"/>
          </w:tcPr>
          <w:p w:rsidRPr="0093467A" w:rsidR="00611236" w:rsidP="00E87C2D" w:rsidRDefault="00611236" w14:paraId="34B57AC9" w14:textId="77777777">
            <w:pPr>
              <w:spacing w:line="240" w:lineRule="auto"/>
              <w:ind w:firstLine="0"/>
              <w:jc w:val="center"/>
              <w:rPr>
                <w:sz w:val="24"/>
                <w:szCs w:val="24"/>
              </w:rPr>
            </w:pPr>
            <w:r w:rsidRPr="0093467A">
              <w:rPr>
                <w:sz w:val="24"/>
                <w:szCs w:val="24"/>
              </w:rPr>
              <w:t>90%</w:t>
            </w:r>
          </w:p>
        </w:tc>
        <w:tc>
          <w:tcPr>
            <w:tcW w:w="1682" w:type="dxa"/>
            <w:vAlign w:val="center"/>
          </w:tcPr>
          <w:p w:rsidRPr="0093467A" w:rsidR="00611236" w:rsidP="00E87C2D" w:rsidRDefault="00611236" w14:paraId="3134344E" w14:textId="77777777">
            <w:pPr>
              <w:spacing w:line="240" w:lineRule="auto"/>
              <w:ind w:firstLine="0"/>
              <w:jc w:val="center"/>
              <w:rPr>
                <w:sz w:val="24"/>
                <w:szCs w:val="24"/>
              </w:rPr>
            </w:pPr>
            <w:r w:rsidRPr="0093467A">
              <w:rPr>
                <w:sz w:val="24"/>
                <w:szCs w:val="24"/>
              </w:rPr>
              <w:t>84%</w:t>
            </w:r>
          </w:p>
        </w:tc>
        <w:tc>
          <w:tcPr>
            <w:tcW w:w="1682" w:type="dxa"/>
            <w:vAlign w:val="center"/>
          </w:tcPr>
          <w:p w:rsidRPr="0093467A" w:rsidR="00611236" w:rsidP="00E87C2D" w:rsidRDefault="00611236" w14:paraId="3AC77285" w14:textId="77777777">
            <w:pPr>
              <w:spacing w:line="240" w:lineRule="auto"/>
              <w:ind w:firstLine="0"/>
              <w:jc w:val="center"/>
              <w:rPr>
                <w:sz w:val="24"/>
                <w:szCs w:val="24"/>
              </w:rPr>
            </w:pPr>
            <w:r w:rsidRPr="0093467A">
              <w:rPr>
                <w:sz w:val="24"/>
                <w:szCs w:val="24"/>
              </w:rPr>
              <w:t>71%</w:t>
            </w:r>
          </w:p>
        </w:tc>
      </w:tr>
      <w:tr w:rsidRPr="00883D85" w:rsidR="00611236" w:rsidTr="00462FF9" w14:paraId="6EE8C38B" w14:textId="77777777">
        <w:trPr>
          <w:tblHeader/>
          <w:jc w:val="center"/>
        </w:trPr>
        <w:tc>
          <w:tcPr>
            <w:tcW w:w="3684" w:type="dxa"/>
            <w:vAlign w:val="center"/>
          </w:tcPr>
          <w:p w:rsidRPr="0093467A" w:rsidR="00611236" w:rsidP="000E1D8D" w:rsidRDefault="00611236" w14:paraId="494844DD" w14:textId="77777777">
            <w:pPr>
              <w:spacing w:line="240" w:lineRule="auto"/>
              <w:ind w:firstLine="0"/>
              <w:jc w:val="center"/>
              <w:rPr>
                <w:sz w:val="24"/>
                <w:szCs w:val="24"/>
              </w:rPr>
            </w:pPr>
            <w:r w:rsidRPr="0093467A">
              <w:rPr>
                <w:sz w:val="24"/>
                <w:szCs w:val="24"/>
              </w:rPr>
              <w:t>6</w:t>
            </w:r>
            <w:r w:rsidRPr="0093467A">
              <w:rPr>
                <w:sz w:val="24"/>
                <w:szCs w:val="24"/>
                <w:vertAlign w:val="superscript"/>
              </w:rPr>
              <w:t>th</w:t>
            </w:r>
            <w:r w:rsidRPr="0093467A">
              <w:rPr>
                <w:sz w:val="24"/>
                <w:szCs w:val="24"/>
              </w:rPr>
              <w:t xml:space="preserve"> Quarter</w:t>
            </w:r>
          </w:p>
        </w:tc>
        <w:tc>
          <w:tcPr>
            <w:tcW w:w="1682" w:type="dxa"/>
            <w:vAlign w:val="center"/>
          </w:tcPr>
          <w:p w:rsidRPr="0093467A" w:rsidR="00611236" w:rsidP="00E87C2D" w:rsidRDefault="00611236" w14:paraId="7486B63D" w14:textId="77777777">
            <w:pPr>
              <w:spacing w:line="240" w:lineRule="auto"/>
              <w:ind w:firstLine="0"/>
              <w:jc w:val="center"/>
              <w:rPr>
                <w:sz w:val="24"/>
                <w:szCs w:val="24"/>
              </w:rPr>
            </w:pPr>
            <w:r w:rsidRPr="0093467A">
              <w:rPr>
                <w:sz w:val="24"/>
                <w:szCs w:val="24"/>
              </w:rPr>
              <w:t>90%</w:t>
            </w:r>
          </w:p>
        </w:tc>
        <w:tc>
          <w:tcPr>
            <w:tcW w:w="1682" w:type="dxa"/>
            <w:vAlign w:val="center"/>
          </w:tcPr>
          <w:p w:rsidRPr="0093467A" w:rsidR="00611236" w:rsidP="00E87C2D" w:rsidRDefault="00611236" w14:paraId="6F0A27D6" w14:textId="77777777">
            <w:pPr>
              <w:spacing w:line="240" w:lineRule="auto"/>
              <w:ind w:firstLine="0"/>
              <w:jc w:val="center"/>
              <w:rPr>
                <w:sz w:val="24"/>
                <w:szCs w:val="24"/>
              </w:rPr>
            </w:pPr>
            <w:r w:rsidRPr="0093467A">
              <w:rPr>
                <w:sz w:val="24"/>
                <w:szCs w:val="24"/>
              </w:rPr>
              <w:t>85%</w:t>
            </w:r>
          </w:p>
        </w:tc>
        <w:tc>
          <w:tcPr>
            <w:tcW w:w="1682" w:type="dxa"/>
            <w:vAlign w:val="center"/>
          </w:tcPr>
          <w:p w:rsidRPr="0093467A" w:rsidR="00611236" w:rsidP="00E87C2D" w:rsidRDefault="00611236" w14:paraId="73A7294F" w14:textId="77777777">
            <w:pPr>
              <w:spacing w:line="240" w:lineRule="auto"/>
              <w:ind w:firstLine="0"/>
              <w:jc w:val="center"/>
              <w:rPr>
                <w:sz w:val="24"/>
                <w:szCs w:val="24"/>
              </w:rPr>
            </w:pPr>
            <w:r w:rsidRPr="0093467A">
              <w:rPr>
                <w:sz w:val="24"/>
                <w:szCs w:val="24"/>
              </w:rPr>
              <w:t>74%</w:t>
            </w:r>
          </w:p>
        </w:tc>
      </w:tr>
      <w:tr w:rsidRPr="00883D85" w:rsidR="00611236" w:rsidTr="00462FF9" w14:paraId="23C3C7C8" w14:textId="77777777">
        <w:trPr>
          <w:tblHeader/>
          <w:jc w:val="center"/>
        </w:trPr>
        <w:tc>
          <w:tcPr>
            <w:tcW w:w="3684" w:type="dxa"/>
            <w:vAlign w:val="center"/>
          </w:tcPr>
          <w:p w:rsidRPr="0093467A" w:rsidR="00611236" w:rsidP="000E1D8D" w:rsidRDefault="00611236" w14:paraId="72A29179" w14:textId="77777777">
            <w:pPr>
              <w:spacing w:line="240" w:lineRule="auto"/>
              <w:ind w:firstLine="0"/>
              <w:jc w:val="center"/>
              <w:rPr>
                <w:sz w:val="24"/>
                <w:szCs w:val="24"/>
              </w:rPr>
            </w:pPr>
            <w:r w:rsidRPr="0093467A">
              <w:rPr>
                <w:sz w:val="24"/>
                <w:szCs w:val="24"/>
              </w:rPr>
              <w:t>7</w:t>
            </w:r>
            <w:r w:rsidRPr="0093467A">
              <w:rPr>
                <w:sz w:val="24"/>
                <w:szCs w:val="24"/>
                <w:vertAlign w:val="superscript"/>
              </w:rPr>
              <w:t>th</w:t>
            </w:r>
            <w:r w:rsidRPr="0093467A">
              <w:rPr>
                <w:sz w:val="24"/>
                <w:szCs w:val="24"/>
              </w:rPr>
              <w:t xml:space="preserve"> Quarter</w:t>
            </w:r>
          </w:p>
        </w:tc>
        <w:tc>
          <w:tcPr>
            <w:tcW w:w="1682" w:type="dxa"/>
            <w:vAlign w:val="center"/>
          </w:tcPr>
          <w:p w:rsidRPr="0093467A" w:rsidR="00611236" w:rsidP="00E87C2D" w:rsidRDefault="00611236" w14:paraId="61B3B109" w14:textId="77777777">
            <w:pPr>
              <w:spacing w:line="240" w:lineRule="auto"/>
              <w:ind w:firstLine="0"/>
              <w:jc w:val="center"/>
              <w:rPr>
                <w:sz w:val="24"/>
                <w:szCs w:val="24"/>
              </w:rPr>
            </w:pPr>
            <w:r w:rsidRPr="0093467A">
              <w:rPr>
                <w:sz w:val="24"/>
                <w:szCs w:val="24"/>
              </w:rPr>
              <w:t>90%</w:t>
            </w:r>
          </w:p>
        </w:tc>
        <w:tc>
          <w:tcPr>
            <w:tcW w:w="1682" w:type="dxa"/>
            <w:vAlign w:val="center"/>
          </w:tcPr>
          <w:p w:rsidRPr="0093467A" w:rsidR="00611236" w:rsidP="00E87C2D" w:rsidRDefault="00611236" w14:paraId="459B9DA1" w14:textId="77777777">
            <w:pPr>
              <w:spacing w:line="240" w:lineRule="auto"/>
              <w:ind w:firstLine="0"/>
              <w:jc w:val="center"/>
              <w:rPr>
                <w:sz w:val="24"/>
                <w:szCs w:val="24"/>
              </w:rPr>
            </w:pPr>
            <w:r w:rsidRPr="0093467A">
              <w:rPr>
                <w:sz w:val="24"/>
                <w:szCs w:val="24"/>
              </w:rPr>
              <w:t>85%</w:t>
            </w:r>
          </w:p>
        </w:tc>
        <w:tc>
          <w:tcPr>
            <w:tcW w:w="1682" w:type="dxa"/>
            <w:vAlign w:val="center"/>
          </w:tcPr>
          <w:p w:rsidRPr="0093467A" w:rsidR="00611236" w:rsidP="00E87C2D" w:rsidRDefault="00611236" w14:paraId="7DFB10E3" w14:textId="77777777">
            <w:pPr>
              <w:spacing w:line="240" w:lineRule="auto"/>
              <w:ind w:firstLine="0"/>
              <w:jc w:val="center"/>
              <w:rPr>
                <w:sz w:val="24"/>
                <w:szCs w:val="24"/>
              </w:rPr>
            </w:pPr>
            <w:r w:rsidRPr="0093467A">
              <w:rPr>
                <w:sz w:val="24"/>
                <w:szCs w:val="24"/>
              </w:rPr>
              <w:t>77%</w:t>
            </w:r>
          </w:p>
        </w:tc>
      </w:tr>
      <w:tr w:rsidRPr="00883D85" w:rsidR="00611236" w:rsidTr="00462FF9" w14:paraId="22FB4EC7" w14:textId="77777777">
        <w:trPr>
          <w:tblHeader/>
          <w:jc w:val="center"/>
        </w:trPr>
        <w:tc>
          <w:tcPr>
            <w:tcW w:w="3684" w:type="dxa"/>
            <w:vAlign w:val="center"/>
          </w:tcPr>
          <w:p w:rsidRPr="0093467A" w:rsidR="00611236" w:rsidP="000E1D8D" w:rsidRDefault="00611236" w14:paraId="28D40C1D" w14:textId="77777777">
            <w:pPr>
              <w:spacing w:line="240" w:lineRule="auto"/>
              <w:ind w:firstLine="0"/>
              <w:jc w:val="center"/>
              <w:rPr>
                <w:sz w:val="24"/>
                <w:szCs w:val="24"/>
              </w:rPr>
            </w:pPr>
            <w:r w:rsidRPr="0093467A">
              <w:rPr>
                <w:sz w:val="24"/>
                <w:szCs w:val="24"/>
              </w:rPr>
              <w:t>8</w:t>
            </w:r>
            <w:r w:rsidRPr="0093467A">
              <w:rPr>
                <w:sz w:val="24"/>
                <w:szCs w:val="24"/>
                <w:vertAlign w:val="superscript"/>
              </w:rPr>
              <w:t xml:space="preserve">th </w:t>
            </w:r>
            <w:r w:rsidRPr="0093467A">
              <w:rPr>
                <w:sz w:val="24"/>
                <w:szCs w:val="24"/>
              </w:rPr>
              <w:t>(and subsequent) Quarter</w:t>
            </w:r>
          </w:p>
        </w:tc>
        <w:tc>
          <w:tcPr>
            <w:tcW w:w="1682" w:type="dxa"/>
            <w:vAlign w:val="center"/>
          </w:tcPr>
          <w:p w:rsidRPr="0093467A" w:rsidR="00611236" w:rsidP="00E87C2D" w:rsidRDefault="00611236" w14:paraId="69E180CF" w14:textId="77777777">
            <w:pPr>
              <w:spacing w:line="240" w:lineRule="auto"/>
              <w:ind w:firstLine="0"/>
              <w:jc w:val="center"/>
              <w:rPr>
                <w:sz w:val="24"/>
                <w:szCs w:val="24"/>
              </w:rPr>
            </w:pPr>
            <w:r w:rsidRPr="0093467A">
              <w:rPr>
                <w:sz w:val="24"/>
                <w:szCs w:val="24"/>
              </w:rPr>
              <w:t>90%</w:t>
            </w:r>
          </w:p>
        </w:tc>
        <w:tc>
          <w:tcPr>
            <w:tcW w:w="1682" w:type="dxa"/>
            <w:vAlign w:val="center"/>
          </w:tcPr>
          <w:p w:rsidRPr="0093467A" w:rsidR="00611236" w:rsidP="00E87C2D" w:rsidRDefault="00611236" w14:paraId="0B1781F5" w14:textId="77777777">
            <w:pPr>
              <w:spacing w:line="240" w:lineRule="auto"/>
              <w:ind w:firstLine="0"/>
              <w:jc w:val="center"/>
              <w:rPr>
                <w:sz w:val="24"/>
                <w:szCs w:val="24"/>
              </w:rPr>
            </w:pPr>
            <w:r w:rsidRPr="0093467A">
              <w:rPr>
                <w:sz w:val="24"/>
                <w:szCs w:val="24"/>
              </w:rPr>
              <w:t>85%</w:t>
            </w:r>
          </w:p>
        </w:tc>
        <w:tc>
          <w:tcPr>
            <w:tcW w:w="1682" w:type="dxa"/>
            <w:vAlign w:val="center"/>
          </w:tcPr>
          <w:p w:rsidRPr="0093467A" w:rsidR="00611236" w:rsidP="00E87C2D" w:rsidRDefault="00611236" w14:paraId="1FE1580B" w14:textId="77777777">
            <w:pPr>
              <w:spacing w:line="240" w:lineRule="auto"/>
              <w:ind w:firstLine="0"/>
              <w:jc w:val="center"/>
              <w:rPr>
                <w:sz w:val="24"/>
                <w:szCs w:val="24"/>
              </w:rPr>
            </w:pPr>
            <w:r w:rsidRPr="0093467A">
              <w:rPr>
                <w:sz w:val="24"/>
                <w:szCs w:val="24"/>
              </w:rPr>
              <w:t>80%</w:t>
            </w:r>
          </w:p>
        </w:tc>
      </w:tr>
    </w:tbl>
    <w:bookmarkEnd w:id="28"/>
    <w:p w:rsidR="00611236" w:rsidP="000E1D8D" w:rsidRDefault="00611236" w14:paraId="7CADF5CF" w14:textId="01A4E8F1">
      <w:pPr>
        <w:pStyle w:val="Standard"/>
        <w:spacing w:before="360"/>
      </w:pPr>
      <w:r>
        <w:t xml:space="preserve">To demonstrate offset eligibility under PTCS, CPED recommends that a TNC meet: </w:t>
      </w:r>
      <w:r w:rsidR="000E1D8D">
        <w:t xml:space="preserve"> </w:t>
      </w:r>
      <w:r>
        <w:t>(a)</w:t>
      </w:r>
      <w:r w:rsidR="000E1D8D">
        <w:t> </w:t>
      </w:r>
      <w:r>
        <w:t>the applicable minimum percentage of trip requests completed, and (b)</w:t>
      </w:r>
      <w:r w:rsidR="000E1D8D">
        <w:t> </w:t>
      </w:r>
      <w:r>
        <w:t>either:</w:t>
      </w:r>
      <w:r w:rsidR="000E1D8D">
        <w:t xml:space="preserve"> </w:t>
      </w:r>
      <w:r>
        <w:t xml:space="preserve"> (1)</w:t>
      </w:r>
      <w:r w:rsidR="000E1D8D">
        <w:t> </w:t>
      </w:r>
      <w:r>
        <w:t>a greater number of completed trips than the immediately prior quarter, or (2)</w:t>
      </w:r>
      <w:r w:rsidR="000E1D8D">
        <w:t> </w:t>
      </w:r>
      <w:r>
        <w:t xml:space="preserve">a greater number of completed trips than the immediately prior year’s same quarter, if sufficient data is available.  </w:t>
      </w:r>
    </w:p>
    <w:p w:rsidR="00611236" w:rsidP="00611236" w:rsidRDefault="00611236" w14:paraId="38BC13AA" w14:textId="66DE35D6">
      <w:pPr>
        <w:pStyle w:val="Standard"/>
      </w:pPr>
      <w:r>
        <w:t>Lastly, CPED recommends that if approved, Access Fund monies should be awarded proportionate to the TNC’s pre-scheduled versus on</w:t>
      </w:r>
      <w:r w:rsidR="000E1D8D">
        <w:noBreakHyphen/>
      </w:r>
      <w:r>
        <w:t>demand service mix for that county and quarter.  In other words, if a TNC meets the on</w:t>
      </w:r>
      <w:r w:rsidR="000E1D8D">
        <w:noBreakHyphen/>
      </w:r>
      <w:r>
        <w:t>demand criteria but not the pre</w:t>
      </w:r>
      <w:r w:rsidR="000E1D8D">
        <w:noBreakHyphen/>
      </w:r>
      <w:r>
        <w:t>scheduled service criteria, the TNC will be awarded a percentage of funds proportional to its on-demand WAV volume.</w:t>
      </w:r>
    </w:p>
    <w:p w:rsidR="00611236" w:rsidP="007F7D10" w:rsidRDefault="00611236" w14:paraId="224B3834" w14:textId="77777777">
      <w:pPr>
        <w:pStyle w:val="Heading4"/>
      </w:pPr>
      <w:bookmarkStart w:name="_Toc125016599" w:id="29"/>
      <w:r w:rsidRPr="00BC7B0A">
        <w:t>Comments</w:t>
      </w:r>
      <w:r w:rsidRPr="0015304D">
        <w:t xml:space="preserve"> on CPED’s Proposal</w:t>
      </w:r>
      <w:bookmarkEnd w:id="29"/>
      <w:r w:rsidRPr="0015304D">
        <w:t xml:space="preserve"> </w:t>
      </w:r>
    </w:p>
    <w:p w:rsidR="00611236" w:rsidP="00611236" w:rsidRDefault="00611236" w14:paraId="3AB7D565" w14:textId="655DBB34">
      <w:pPr>
        <w:pStyle w:val="Standard"/>
      </w:pPr>
      <w:r>
        <w:t>San</w:t>
      </w:r>
      <w:r w:rsidR="000E1D8D">
        <w:t> </w:t>
      </w:r>
      <w:r>
        <w:t>Francisco supports some aspects of CPED’s proposal but expresses concern that a TNC is not required to provide the same types of service for its WAV and non</w:t>
      </w:r>
      <w:r w:rsidR="000E1D8D">
        <w:noBreakHyphen/>
      </w:r>
      <w:r>
        <w:t>WAV offerings.</w:t>
      </w:r>
      <w:r>
        <w:rPr>
          <w:rStyle w:val="FootnoteReference"/>
        </w:rPr>
        <w:footnoteReference w:id="16"/>
      </w:r>
      <w:r>
        <w:t xml:space="preserve">  </w:t>
      </w:r>
      <w:r w:rsidR="003935B7">
        <w:t xml:space="preserve">Specifically, </w:t>
      </w:r>
      <w:r>
        <w:t>San</w:t>
      </w:r>
      <w:r w:rsidR="000E1D8D">
        <w:t> </w:t>
      </w:r>
      <w:r>
        <w:t>Francisco is concerned that a TNC could reduce its on</w:t>
      </w:r>
      <w:r w:rsidR="000E1D8D">
        <w:noBreakHyphen/>
      </w:r>
      <w:r>
        <w:t>demand WAV service to qualify for the pre</w:t>
      </w:r>
      <w:r w:rsidR="000E1D8D">
        <w:noBreakHyphen/>
      </w:r>
      <w:r>
        <w:t>scheduled WAV service metrics.  San</w:t>
      </w:r>
      <w:r w:rsidR="000E1D8D">
        <w:t> </w:t>
      </w:r>
      <w:r>
        <w:t>Francisco states that CPED’s proposal relies on a two</w:t>
      </w:r>
      <w:r w:rsidR="000E1D8D">
        <w:noBreakHyphen/>
      </w:r>
      <w:r>
        <w:t>tier structure that is not as simple as San</w:t>
      </w:r>
      <w:r w:rsidR="000E1D8D">
        <w:t> </w:t>
      </w:r>
      <w:r>
        <w:t xml:space="preserve">Francisco’s proposal.  If separate </w:t>
      </w:r>
      <w:r>
        <w:lastRenderedPageBreak/>
        <w:t>pre</w:t>
      </w:r>
      <w:r w:rsidR="000E1D8D">
        <w:noBreakHyphen/>
      </w:r>
      <w:r>
        <w:t>scheduled and on-demand requirements are adopted, San</w:t>
      </w:r>
      <w:r w:rsidR="000E1D8D">
        <w:t> </w:t>
      </w:r>
      <w:r>
        <w:t>Francisco recommends that on</w:t>
      </w:r>
      <w:r w:rsidR="000E1D8D">
        <w:noBreakHyphen/>
      </w:r>
      <w:r>
        <w:t>demand and pre</w:t>
      </w:r>
      <w:r w:rsidR="000E1D8D">
        <w:noBreakHyphen/>
      </w:r>
      <w:r>
        <w:t xml:space="preserve">scheduled funds </w:t>
      </w:r>
      <w:r w:rsidR="003935B7">
        <w:t xml:space="preserve">be </w:t>
      </w:r>
      <w:r>
        <w:t>collected and distributed separately.  San</w:t>
      </w:r>
      <w:r w:rsidR="000E1D8D">
        <w:t> </w:t>
      </w:r>
      <w:r>
        <w:t>Francisco states that this would avoid a scenario where a TNC could deplete the Access Fund while failing to provide adequate on</w:t>
      </w:r>
      <w:r w:rsidR="000E1D8D">
        <w:noBreakHyphen/>
      </w:r>
      <w:r>
        <w:t>demand service.</w:t>
      </w:r>
    </w:p>
    <w:p w:rsidR="00611236" w:rsidP="00611236" w:rsidRDefault="00611236" w14:paraId="39824781" w14:textId="44D6B634">
      <w:pPr>
        <w:pStyle w:val="Standard"/>
      </w:pPr>
      <w:r>
        <w:t>Disability Advocates agrees with CPED that offset standards should be higher for pre</w:t>
      </w:r>
      <w:r w:rsidR="000E1D8D">
        <w:noBreakHyphen/>
      </w:r>
      <w:r>
        <w:t>scheduled service than on-demand service.</w:t>
      </w:r>
      <w:r>
        <w:rPr>
          <w:rStyle w:val="FootnoteReference"/>
        </w:rPr>
        <w:footnoteReference w:id="17"/>
      </w:r>
      <w:r>
        <w:t xml:space="preserve">  SFTWA objects to allowing TNCs to obtain offsets on a proportional basis and believes that these options can be manipulated by a TNC to its favored service.</w:t>
      </w:r>
      <w:r>
        <w:rPr>
          <w:rStyle w:val="FootnoteReference"/>
        </w:rPr>
        <w:footnoteReference w:id="18"/>
      </w:r>
    </w:p>
    <w:p w:rsidR="00611236" w:rsidP="00611236" w:rsidRDefault="00611236" w14:paraId="55FDE219" w14:textId="0A18D2A1">
      <w:pPr>
        <w:pStyle w:val="Standard"/>
      </w:pPr>
      <w:r>
        <w:t>Lyft opposes CPED’s proposal because the trip completion percentages for San</w:t>
      </w:r>
      <w:r w:rsidR="000E1D8D">
        <w:t> </w:t>
      </w:r>
      <w:r>
        <w:t>Francisco and Los</w:t>
      </w:r>
      <w:r w:rsidR="000E1D8D">
        <w:t> </w:t>
      </w:r>
      <w:r>
        <w:t>Angeles counties exceed the actual completion rates for non</w:t>
      </w:r>
      <w:r w:rsidR="00243B0B">
        <w:noBreakHyphen/>
      </w:r>
      <w:r>
        <w:t>WAV pre</w:t>
      </w:r>
      <w:r w:rsidR="00243B0B">
        <w:noBreakHyphen/>
      </w:r>
      <w:r>
        <w:t>scheduled trips.</w:t>
      </w:r>
      <w:r>
        <w:rPr>
          <w:rStyle w:val="FootnoteReference"/>
        </w:rPr>
        <w:footnoteReference w:id="19"/>
      </w:r>
      <w:r>
        <w:t xml:space="preserve">  Lyft asserts that pre</w:t>
      </w:r>
      <w:r w:rsidR="00243B0B">
        <w:noBreakHyphen/>
      </w:r>
      <w:r>
        <w:t>scheduled WAV trips are dispatched similarly to on</w:t>
      </w:r>
      <w:r w:rsidR="00243B0B">
        <w:noBreakHyphen/>
      </w:r>
      <w:r>
        <w:t>demand trips</w:t>
      </w:r>
      <w:r w:rsidR="002E3EB6">
        <w:t>,</w:t>
      </w:r>
      <w:r>
        <w:t xml:space="preserve"> and it is unlikely that completion rates for pre</w:t>
      </w:r>
      <w:r w:rsidR="00243B0B">
        <w:noBreakHyphen/>
      </w:r>
      <w:r>
        <w:t>scheduled WAV trips will be materially different for pre</w:t>
      </w:r>
      <w:r w:rsidR="00243B0B">
        <w:noBreakHyphen/>
      </w:r>
      <w:r>
        <w:t>scheduled non</w:t>
      </w:r>
      <w:r w:rsidR="00243B0B">
        <w:noBreakHyphen/>
      </w:r>
      <w:r>
        <w:t>WAV trips.  Rather, if a different standard is adopted for pre</w:t>
      </w:r>
      <w:r w:rsidR="00243B0B">
        <w:noBreakHyphen/>
      </w:r>
      <w:r>
        <w:t>scheduled trips, Lyft recommends applying the current completion standards for on</w:t>
      </w:r>
      <w:r w:rsidR="00243B0B">
        <w:noBreakHyphen/>
      </w:r>
      <w:r>
        <w:t>demand trips established in D.21</w:t>
      </w:r>
      <w:r w:rsidR="00243B0B">
        <w:noBreakHyphen/>
      </w:r>
      <w:r>
        <w:t>11</w:t>
      </w:r>
      <w:r w:rsidR="00243B0B">
        <w:noBreakHyphen/>
      </w:r>
      <w:r>
        <w:t>004.  Lyft supports CPED’s PORTB for Level</w:t>
      </w:r>
      <w:r w:rsidR="00243B0B">
        <w:t> </w:t>
      </w:r>
      <w:r>
        <w:t>1 and Level</w:t>
      </w:r>
      <w:r w:rsidR="00243B0B">
        <w:t> </w:t>
      </w:r>
      <w:r>
        <w:t>2 but recommends modifying the response time definition to reflect the time range a passenger agrees to when booking the pre</w:t>
      </w:r>
      <w:r w:rsidR="00243B0B">
        <w:noBreakHyphen/>
      </w:r>
      <w:r>
        <w:t>scheduled trip.</w:t>
      </w:r>
    </w:p>
    <w:p w:rsidR="00611236" w:rsidP="00611236" w:rsidRDefault="00611236" w14:paraId="07D7C8CE" w14:textId="3899A978">
      <w:pPr>
        <w:pStyle w:val="Standard"/>
      </w:pPr>
      <w:r>
        <w:t>Uber states that CPED’s proposed PORTB is currently unachievable for Lyft’s pre</w:t>
      </w:r>
      <w:r w:rsidR="00243B0B">
        <w:noBreakHyphen/>
      </w:r>
      <w:r>
        <w:t>scheduled service.</w:t>
      </w:r>
      <w:r>
        <w:rPr>
          <w:rStyle w:val="FootnoteReference"/>
        </w:rPr>
        <w:footnoteReference w:id="20"/>
      </w:r>
      <w:r>
        <w:t xml:space="preserve">  Uber argues that CPED’s proposal does not account for differences between WAV and non</w:t>
      </w:r>
      <w:r w:rsidR="00243B0B">
        <w:noBreakHyphen/>
      </w:r>
      <w:r>
        <w:t xml:space="preserve">WAV pre-scheduled service, </w:t>
      </w:r>
      <w:r>
        <w:lastRenderedPageBreak/>
        <w:t>including costs and operational challenges, limited number of WAV operators, and that demand can be scattered across a county.  Uber believes the proposed PTCS is overly ambitious and should be set lower to start, considering the lack of pre</w:t>
      </w:r>
      <w:r w:rsidR="00243B0B">
        <w:noBreakHyphen/>
      </w:r>
      <w:r>
        <w:t>scheduled WAV trip data to inform the standard.  Uber remarks that this is especially the case for County Groups</w:t>
      </w:r>
      <w:r w:rsidR="00243B0B">
        <w:t> </w:t>
      </w:r>
      <w:r>
        <w:t>B and C, where there are currently no pre</w:t>
      </w:r>
      <w:r w:rsidR="00243B0B">
        <w:noBreakHyphen/>
      </w:r>
      <w:r>
        <w:t>scheduled WAV trips.  Uber notes that ambitious benchmarks may have unintended consequences, such as TNCs dispatching a limited pool of WAV drivers earlier to complete pre</w:t>
      </w:r>
      <w:r w:rsidR="00243B0B">
        <w:noBreakHyphen/>
      </w:r>
      <w:r>
        <w:t xml:space="preserve">scheduled trips, which may result in fewer WAV trips or higher fares. </w:t>
      </w:r>
    </w:p>
    <w:p w:rsidR="00611236" w:rsidP="00611236" w:rsidRDefault="00611236" w14:paraId="7C3F33A4" w14:textId="7527A63F">
      <w:pPr>
        <w:pStyle w:val="Standard"/>
      </w:pPr>
      <w:r>
        <w:t>Uber states that if separate benchmarks are adopted for pre</w:t>
      </w:r>
      <w:r w:rsidR="00243B0B">
        <w:noBreakHyphen/>
      </w:r>
      <w:r>
        <w:t>scheduled trips, the standards should initially be set closer to the current levels for on</w:t>
      </w:r>
      <w:r w:rsidR="00243B0B">
        <w:noBreakHyphen/>
      </w:r>
      <w:r>
        <w:t>demand WAV trips.</w:t>
      </w:r>
      <w:r>
        <w:rPr>
          <w:rStyle w:val="FootnoteReference"/>
        </w:rPr>
        <w:footnoteReference w:id="21"/>
      </w:r>
      <w:r>
        <w:t xml:space="preserve">  Uber agrees that on</w:t>
      </w:r>
      <w:r w:rsidR="00243B0B">
        <w:noBreakHyphen/>
      </w:r>
      <w:r>
        <w:t>demand and pre</w:t>
      </w:r>
      <w:r w:rsidR="00243B0B">
        <w:noBreakHyphen/>
      </w:r>
      <w:r>
        <w:t>scheduled trips should be assessed independently and that Access Funds should be awarded on a pro</w:t>
      </w:r>
      <w:r w:rsidR="00243B0B">
        <w:noBreakHyphen/>
      </w:r>
      <w:r>
        <w:t>rated, proportionate basis according to the pre</w:t>
      </w:r>
      <w:r w:rsidR="00243B0B">
        <w:noBreakHyphen/>
      </w:r>
      <w:r>
        <w:t>scheduled/on</w:t>
      </w:r>
      <w:r w:rsidR="00243B0B">
        <w:noBreakHyphen/>
      </w:r>
      <w:r>
        <w:t>demand service mix.  Uber disagrees with San</w:t>
      </w:r>
      <w:r w:rsidR="00243B0B">
        <w:t> </w:t>
      </w:r>
      <w:r>
        <w:t>Francisco’s comments to hold the per</w:t>
      </w:r>
      <w:r w:rsidR="00243B0B">
        <w:noBreakHyphen/>
      </w:r>
      <w:r>
        <w:t>trip fee as separate on</w:t>
      </w:r>
      <w:r w:rsidR="00243B0B">
        <w:noBreakHyphen/>
      </w:r>
      <w:r>
        <w:t>demand and pre</w:t>
      </w:r>
      <w:r w:rsidR="00243B0B">
        <w:noBreakHyphen/>
      </w:r>
      <w:r>
        <w:t>scheduled funds, as this would duplicate administrative burden without a material benefit.</w:t>
      </w:r>
      <w:r>
        <w:rPr>
          <w:rStyle w:val="FootnoteReference"/>
        </w:rPr>
        <w:footnoteReference w:id="22"/>
      </w:r>
    </w:p>
    <w:p w:rsidR="00611236" w:rsidP="00611236" w:rsidRDefault="00611236" w14:paraId="6A2A0347" w14:textId="56846B6F">
      <w:pPr>
        <w:pStyle w:val="Heading3"/>
      </w:pPr>
      <w:bookmarkStart w:name="_Toc125016600" w:id="30"/>
      <w:r>
        <w:t>San Francisco’s Proposal</w:t>
      </w:r>
      <w:bookmarkEnd w:id="30"/>
    </w:p>
    <w:p w:rsidR="00611236" w:rsidP="00611236" w:rsidRDefault="00611236" w14:paraId="0F13F264" w14:textId="349A441F">
      <w:pPr>
        <w:pStyle w:val="Standard"/>
      </w:pPr>
      <w:r>
        <w:t>San</w:t>
      </w:r>
      <w:r w:rsidR="00F76964">
        <w:t> </w:t>
      </w:r>
      <w:r>
        <w:t xml:space="preserve">Francisco recommends that a TNC seeking an offset in any county or quarter must: </w:t>
      </w:r>
      <w:r w:rsidR="00F76964">
        <w:t xml:space="preserve"> </w:t>
      </w:r>
      <w:r>
        <w:t>(1)</w:t>
      </w:r>
      <w:r w:rsidR="00F76964">
        <w:t> </w:t>
      </w:r>
      <w:r>
        <w:t>provide the same types of WAV service as it provides for non</w:t>
      </w:r>
      <w:r w:rsidR="00F76964">
        <w:noBreakHyphen/>
      </w:r>
      <w:r>
        <w:t>WAV service, and (2)</w:t>
      </w:r>
      <w:r w:rsidR="00F76964">
        <w:t> </w:t>
      </w:r>
      <w:r>
        <w:t>meet the offset requirements.</w:t>
      </w:r>
      <w:r>
        <w:rPr>
          <w:rStyle w:val="FootnoteReference"/>
        </w:rPr>
        <w:footnoteReference w:id="23"/>
      </w:r>
      <w:r>
        <w:t xml:space="preserve">  That is, if a TNC provides pre-scheduled non</w:t>
      </w:r>
      <w:r w:rsidR="00477B26">
        <w:noBreakHyphen/>
      </w:r>
      <w:r>
        <w:t>WAV service in a county, it must provide pre</w:t>
      </w:r>
      <w:r w:rsidR="00477B26">
        <w:noBreakHyphen/>
      </w:r>
      <w:r>
        <w:t>scheduled WAV service as well.  San</w:t>
      </w:r>
      <w:r w:rsidR="00477B26">
        <w:t> </w:t>
      </w:r>
      <w:r>
        <w:t xml:space="preserve">Francisco’s proposed offset </w:t>
      </w:r>
      <w:r>
        <w:lastRenderedPageBreak/>
        <w:t>requirements for pre</w:t>
      </w:r>
      <w:r w:rsidR="00477B26">
        <w:noBreakHyphen/>
      </w:r>
      <w:r>
        <w:t>scheduled WAV service mirror those applied to on</w:t>
      </w:r>
      <w:r w:rsidR="00477B26">
        <w:noBreakHyphen/>
      </w:r>
      <w:r>
        <w:t xml:space="preserve">demand WAV service: </w:t>
      </w:r>
      <w:r w:rsidR="00477B26">
        <w:t xml:space="preserve"> </w:t>
      </w:r>
      <w:r>
        <w:t>(1)</w:t>
      </w:r>
      <w:r w:rsidR="00477B26">
        <w:t> </w:t>
      </w:r>
      <w:r>
        <w:t>a Trip Completion Standard, and (2)</w:t>
      </w:r>
      <w:r w:rsidR="00477B26">
        <w:t> </w:t>
      </w:r>
      <w:r>
        <w:t>a Pickup</w:t>
      </w:r>
      <w:r w:rsidR="00477B26">
        <w:t> </w:t>
      </w:r>
      <w:r>
        <w:t>Delay Benchmark</w:t>
      </w:r>
      <w:r w:rsidR="00773049">
        <w:t xml:space="preserve"> </w:t>
      </w:r>
      <w:r>
        <w:t>that must be met within the Pickup Delay Standard.</w:t>
      </w:r>
      <w:r>
        <w:rPr>
          <w:rStyle w:val="FootnoteReference"/>
        </w:rPr>
        <w:footnoteReference w:id="24"/>
      </w:r>
    </w:p>
    <w:p w:rsidR="00611236" w:rsidP="00630776" w:rsidRDefault="00611236" w14:paraId="0B469E74" w14:textId="5D6E2FC8">
      <w:pPr>
        <w:pStyle w:val="Standard"/>
        <w:spacing w:after="120"/>
      </w:pPr>
      <w:r>
        <w:t>To develop the Trip Completion Standard, San</w:t>
      </w:r>
      <w:r w:rsidR="00477B26">
        <w:t> </w:t>
      </w:r>
      <w:r>
        <w:t>Francisco analyzed pre</w:t>
      </w:r>
      <w:r w:rsidR="00477B26">
        <w:noBreakHyphen/>
      </w:r>
      <w:r>
        <w:t>scheduled non</w:t>
      </w:r>
      <w:r w:rsidR="00477B26">
        <w:noBreakHyphen/>
      </w:r>
      <w:r>
        <w:t>WAV and WAV data, where available, and developed standards based on current non</w:t>
      </w:r>
      <w:r w:rsidR="00477B26">
        <w:noBreakHyphen/>
      </w:r>
      <w:r>
        <w:t>WAV service levels.  San</w:t>
      </w:r>
      <w:r w:rsidR="00477B26">
        <w:t> </w:t>
      </w:r>
      <w:r>
        <w:t>Francisco asserts that its proposal balances attainability with service standards that increase over time, as is done with the current on</w:t>
      </w:r>
      <w:r w:rsidR="00477B26">
        <w:noBreakHyphen/>
      </w:r>
      <w:r>
        <w:t>demand TCS.  However, San</w:t>
      </w:r>
      <w:r w:rsidR="00477B26">
        <w:t> </w:t>
      </w:r>
      <w:r>
        <w:t>Francisco proposes fewer steps due to the relatively higher pre</w:t>
      </w:r>
      <w:r w:rsidR="00477B26">
        <w:noBreakHyphen/>
      </w:r>
      <w:r>
        <w:t>scheduled non</w:t>
      </w:r>
      <w:r w:rsidR="00477B26">
        <w:noBreakHyphen/>
      </w:r>
      <w:r>
        <w:t>WAV completion rates.  For the proposed TCS, a TNC must demonstrate that it has met the following minimum percentages of WAV trips completed:</w:t>
      </w:r>
    </w:p>
    <w:tbl>
      <w:tblPr>
        <w:tblStyle w:val="TableGrid"/>
        <w:tblW w:w="0" w:type="auto"/>
        <w:jc w:val="center"/>
        <w:tblLook w:val="04A0" w:firstRow="1" w:lastRow="0" w:firstColumn="1" w:lastColumn="0" w:noHBand="0" w:noVBand="1"/>
      </w:tblPr>
      <w:tblGrid>
        <w:gridCol w:w="3604"/>
        <w:gridCol w:w="1682"/>
        <w:gridCol w:w="1682"/>
        <w:gridCol w:w="1682"/>
      </w:tblGrid>
      <w:tr w:rsidRPr="00883D85" w:rsidR="00611236" w:rsidTr="00462FF9" w14:paraId="4B900AD6" w14:textId="77777777">
        <w:trPr>
          <w:tblHeader/>
          <w:jc w:val="center"/>
        </w:trPr>
        <w:tc>
          <w:tcPr>
            <w:tcW w:w="8650" w:type="dxa"/>
            <w:gridSpan w:val="4"/>
            <w:shd w:val="clear" w:color="auto" w:fill="FFFFFF" w:themeFill="background1"/>
            <w:vAlign w:val="center"/>
          </w:tcPr>
          <w:p w:rsidRPr="00D7485C" w:rsidR="00611236" w:rsidP="00477B26" w:rsidRDefault="00611236" w14:paraId="2F397D7E" w14:textId="77777777">
            <w:pPr>
              <w:pStyle w:val="ListParagraph"/>
              <w:spacing w:after="0"/>
              <w:ind w:left="0" w:right="0"/>
              <w:jc w:val="center"/>
              <w:rPr>
                <w:b/>
                <w:bCs/>
                <w:sz w:val="24"/>
                <w:szCs w:val="24"/>
              </w:rPr>
            </w:pPr>
            <w:bookmarkStart w:name="_Hlk112923810" w:id="31"/>
            <w:r w:rsidRPr="00D7485C">
              <w:rPr>
                <w:b/>
                <w:bCs/>
                <w:sz w:val="24"/>
                <w:szCs w:val="24"/>
              </w:rPr>
              <w:t>Pre-scheduled Trip Completion Standard</w:t>
            </w:r>
          </w:p>
        </w:tc>
      </w:tr>
      <w:tr w:rsidRPr="00883D85" w:rsidR="00611236" w:rsidTr="00462FF9" w14:paraId="1143A86E" w14:textId="77777777">
        <w:trPr>
          <w:tblHeader/>
          <w:jc w:val="center"/>
        </w:trPr>
        <w:tc>
          <w:tcPr>
            <w:tcW w:w="3604" w:type="dxa"/>
            <w:shd w:val="clear" w:color="auto" w:fill="FFFFFF" w:themeFill="background1"/>
            <w:vAlign w:val="center"/>
          </w:tcPr>
          <w:p w:rsidRPr="00D7485C" w:rsidR="00611236" w:rsidP="00477B26" w:rsidRDefault="00611236" w14:paraId="6FFC9931" w14:textId="57AB9714">
            <w:pPr>
              <w:pStyle w:val="ListParagraph"/>
              <w:spacing w:after="0"/>
              <w:ind w:left="0" w:right="0" w:firstLine="0"/>
              <w:jc w:val="center"/>
              <w:rPr>
                <w:b/>
                <w:bCs/>
                <w:sz w:val="24"/>
                <w:szCs w:val="24"/>
              </w:rPr>
            </w:pPr>
            <w:r w:rsidRPr="00D7485C">
              <w:rPr>
                <w:b/>
                <w:bCs/>
                <w:sz w:val="24"/>
                <w:szCs w:val="24"/>
              </w:rPr>
              <w:t xml:space="preserve">Minimum Completion </w:t>
            </w:r>
            <w:r w:rsidR="00477B26">
              <w:rPr>
                <w:b/>
                <w:bCs/>
                <w:sz w:val="24"/>
                <w:szCs w:val="24"/>
              </w:rPr>
              <w:br/>
            </w:r>
            <w:r w:rsidRPr="00D7485C">
              <w:rPr>
                <w:b/>
                <w:bCs/>
                <w:sz w:val="24"/>
                <w:szCs w:val="24"/>
              </w:rPr>
              <w:t>Rate Percentage</w:t>
            </w:r>
          </w:p>
        </w:tc>
        <w:tc>
          <w:tcPr>
            <w:tcW w:w="1682" w:type="dxa"/>
            <w:shd w:val="clear" w:color="auto" w:fill="FFFFFF" w:themeFill="background1"/>
            <w:vAlign w:val="center"/>
          </w:tcPr>
          <w:p w:rsidRPr="00D7485C" w:rsidR="00611236" w:rsidP="00477B26" w:rsidRDefault="00611236" w14:paraId="488DEAC1" w14:textId="77777777">
            <w:pPr>
              <w:pStyle w:val="ListParagraph"/>
              <w:spacing w:after="0"/>
              <w:ind w:left="0" w:right="0" w:firstLine="0"/>
              <w:jc w:val="center"/>
              <w:rPr>
                <w:b/>
                <w:bCs/>
                <w:sz w:val="24"/>
                <w:szCs w:val="24"/>
              </w:rPr>
            </w:pPr>
            <w:r w:rsidRPr="00D7485C">
              <w:rPr>
                <w:b/>
                <w:bCs/>
                <w:sz w:val="24"/>
                <w:szCs w:val="24"/>
              </w:rPr>
              <w:t>County Group A</w:t>
            </w:r>
          </w:p>
        </w:tc>
        <w:tc>
          <w:tcPr>
            <w:tcW w:w="1682" w:type="dxa"/>
            <w:shd w:val="clear" w:color="auto" w:fill="FFFFFF" w:themeFill="background1"/>
            <w:vAlign w:val="center"/>
          </w:tcPr>
          <w:p w:rsidRPr="00D7485C" w:rsidR="00611236" w:rsidP="00477B26" w:rsidRDefault="00611236" w14:paraId="0773D4FE" w14:textId="77777777">
            <w:pPr>
              <w:pStyle w:val="ListParagraph"/>
              <w:spacing w:after="0"/>
              <w:ind w:left="0" w:right="0" w:firstLine="0"/>
              <w:jc w:val="center"/>
              <w:rPr>
                <w:b/>
                <w:bCs/>
                <w:sz w:val="24"/>
                <w:szCs w:val="24"/>
              </w:rPr>
            </w:pPr>
            <w:r w:rsidRPr="00D7485C">
              <w:rPr>
                <w:b/>
                <w:bCs/>
                <w:sz w:val="24"/>
                <w:szCs w:val="24"/>
              </w:rPr>
              <w:t>County Group B</w:t>
            </w:r>
          </w:p>
        </w:tc>
        <w:tc>
          <w:tcPr>
            <w:tcW w:w="1682" w:type="dxa"/>
            <w:shd w:val="clear" w:color="auto" w:fill="FFFFFF" w:themeFill="background1"/>
            <w:vAlign w:val="center"/>
          </w:tcPr>
          <w:p w:rsidRPr="00D7485C" w:rsidR="00611236" w:rsidP="00477B26" w:rsidRDefault="00611236" w14:paraId="01BED6D0" w14:textId="77777777">
            <w:pPr>
              <w:pStyle w:val="ListParagraph"/>
              <w:spacing w:after="0"/>
              <w:ind w:left="0" w:right="0" w:firstLine="0"/>
              <w:jc w:val="center"/>
              <w:rPr>
                <w:b/>
                <w:bCs/>
                <w:sz w:val="24"/>
                <w:szCs w:val="24"/>
              </w:rPr>
            </w:pPr>
            <w:r w:rsidRPr="00D7485C">
              <w:rPr>
                <w:b/>
                <w:bCs/>
                <w:sz w:val="24"/>
                <w:szCs w:val="24"/>
              </w:rPr>
              <w:t>County Group C</w:t>
            </w:r>
          </w:p>
        </w:tc>
      </w:tr>
      <w:tr w:rsidRPr="00883D85" w:rsidR="00611236" w:rsidTr="00462FF9" w14:paraId="384F974B" w14:textId="77777777">
        <w:trPr>
          <w:tblHeader/>
          <w:jc w:val="center"/>
        </w:trPr>
        <w:tc>
          <w:tcPr>
            <w:tcW w:w="3604" w:type="dxa"/>
            <w:vAlign w:val="center"/>
          </w:tcPr>
          <w:p w:rsidRPr="00D7485C" w:rsidR="00611236" w:rsidP="00477B26" w:rsidRDefault="00611236" w14:paraId="6BA146A6" w14:textId="77777777">
            <w:pPr>
              <w:spacing w:line="240" w:lineRule="auto"/>
              <w:ind w:firstLine="0"/>
              <w:jc w:val="center"/>
              <w:rPr>
                <w:sz w:val="24"/>
                <w:szCs w:val="24"/>
              </w:rPr>
            </w:pPr>
            <w:r w:rsidRPr="00D7485C">
              <w:rPr>
                <w:sz w:val="24"/>
                <w:szCs w:val="24"/>
              </w:rPr>
              <w:t>Quarters 1 to 3</w:t>
            </w:r>
          </w:p>
        </w:tc>
        <w:tc>
          <w:tcPr>
            <w:tcW w:w="1682" w:type="dxa"/>
            <w:vAlign w:val="center"/>
          </w:tcPr>
          <w:p w:rsidRPr="00D7485C" w:rsidR="00611236" w:rsidP="00477B26" w:rsidRDefault="00611236" w14:paraId="2520321C" w14:textId="77777777">
            <w:pPr>
              <w:spacing w:line="240" w:lineRule="auto"/>
              <w:ind w:firstLine="0"/>
              <w:jc w:val="center"/>
              <w:rPr>
                <w:sz w:val="24"/>
                <w:szCs w:val="24"/>
              </w:rPr>
            </w:pPr>
            <w:r w:rsidRPr="00D7485C">
              <w:rPr>
                <w:sz w:val="24"/>
                <w:szCs w:val="24"/>
              </w:rPr>
              <w:t>85%</w:t>
            </w:r>
          </w:p>
        </w:tc>
        <w:tc>
          <w:tcPr>
            <w:tcW w:w="1682" w:type="dxa"/>
            <w:vAlign w:val="center"/>
          </w:tcPr>
          <w:p w:rsidRPr="00D7485C" w:rsidR="00611236" w:rsidP="00477B26" w:rsidRDefault="00611236" w14:paraId="5F2F33E9" w14:textId="77777777">
            <w:pPr>
              <w:spacing w:line="240" w:lineRule="auto"/>
              <w:ind w:firstLine="0"/>
              <w:jc w:val="center"/>
              <w:rPr>
                <w:sz w:val="24"/>
                <w:szCs w:val="24"/>
              </w:rPr>
            </w:pPr>
            <w:r w:rsidRPr="00D7485C">
              <w:rPr>
                <w:sz w:val="24"/>
                <w:szCs w:val="24"/>
              </w:rPr>
              <w:t>80%</w:t>
            </w:r>
          </w:p>
        </w:tc>
        <w:tc>
          <w:tcPr>
            <w:tcW w:w="1682" w:type="dxa"/>
            <w:vAlign w:val="center"/>
          </w:tcPr>
          <w:p w:rsidRPr="00D7485C" w:rsidR="00611236" w:rsidP="00477B26" w:rsidRDefault="00611236" w14:paraId="30E76662" w14:textId="77777777">
            <w:pPr>
              <w:spacing w:line="240" w:lineRule="auto"/>
              <w:ind w:firstLine="0"/>
              <w:jc w:val="center"/>
              <w:rPr>
                <w:sz w:val="24"/>
                <w:szCs w:val="24"/>
              </w:rPr>
            </w:pPr>
            <w:r w:rsidRPr="00D7485C">
              <w:rPr>
                <w:sz w:val="24"/>
                <w:szCs w:val="24"/>
              </w:rPr>
              <w:t>75%</w:t>
            </w:r>
          </w:p>
        </w:tc>
      </w:tr>
      <w:tr w:rsidRPr="00883D85" w:rsidR="00611236" w:rsidTr="00462FF9" w14:paraId="01439ECF" w14:textId="77777777">
        <w:trPr>
          <w:tblHeader/>
          <w:jc w:val="center"/>
        </w:trPr>
        <w:tc>
          <w:tcPr>
            <w:tcW w:w="3604" w:type="dxa"/>
            <w:vAlign w:val="center"/>
          </w:tcPr>
          <w:p w:rsidRPr="00D7485C" w:rsidR="00611236" w:rsidP="00477B26" w:rsidRDefault="00611236" w14:paraId="606BDBFB" w14:textId="77777777">
            <w:pPr>
              <w:spacing w:line="240" w:lineRule="auto"/>
              <w:ind w:firstLine="0"/>
              <w:jc w:val="center"/>
              <w:rPr>
                <w:sz w:val="24"/>
                <w:szCs w:val="24"/>
              </w:rPr>
            </w:pPr>
            <w:r w:rsidRPr="00D7485C">
              <w:rPr>
                <w:sz w:val="24"/>
                <w:szCs w:val="24"/>
              </w:rPr>
              <w:t>Quarters 4 to 7</w:t>
            </w:r>
          </w:p>
        </w:tc>
        <w:tc>
          <w:tcPr>
            <w:tcW w:w="1682" w:type="dxa"/>
            <w:vAlign w:val="center"/>
          </w:tcPr>
          <w:p w:rsidRPr="00D7485C" w:rsidR="00611236" w:rsidP="00477B26" w:rsidRDefault="00611236" w14:paraId="24E30DD1" w14:textId="77777777">
            <w:pPr>
              <w:spacing w:line="240" w:lineRule="auto"/>
              <w:ind w:firstLine="0"/>
              <w:jc w:val="center"/>
              <w:rPr>
                <w:sz w:val="24"/>
                <w:szCs w:val="24"/>
              </w:rPr>
            </w:pPr>
            <w:r w:rsidRPr="00D7485C">
              <w:rPr>
                <w:sz w:val="24"/>
                <w:szCs w:val="24"/>
              </w:rPr>
              <w:t>90%</w:t>
            </w:r>
          </w:p>
        </w:tc>
        <w:tc>
          <w:tcPr>
            <w:tcW w:w="1682" w:type="dxa"/>
            <w:vAlign w:val="center"/>
          </w:tcPr>
          <w:p w:rsidRPr="00D7485C" w:rsidR="00611236" w:rsidP="00477B26" w:rsidRDefault="00611236" w14:paraId="3595D867" w14:textId="77777777">
            <w:pPr>
              <w:spacing w:line="240" w:lineRule="auto"/>
              <w:ind w:firstLine="0"/>
              <w:jc w:val="center"/>
              <w:rPr>
                <w:sz w:val="24"/>
                <w:szCs w:val="24"/>
              </w:rPr>
            </w:pPr>
            <w:r w:rsidRPr="00D7485C">
              <w:rPr>
                <w:sz w:val="24"/>
                <w:szCs w:val="24"/>
              </w:rPr>
              <w:t>90%</w:t>
            </w:r>
          </w:p>
        </w:tc>
        <w:tc>
          <w:tcPr>
            <w:tcW w:w="1682" w:type="dxa"/>
            <w:vAlign w:val="center"/>
          </w:tcPr>
          <w:p w:rsidRPr="00D7485C" w:rsidR="00611236" w:rsidP="00477B26" w:rsidRDefault="00611236" w14:paraId="509BBA37" w14:textId="77777777">
            <w:pPr>
              <w:spacing w:line="240" w:lineRule="auto"/>
              <w:ind w:firstLine="0"/>
              <w:jc w:val="center"/>
              <w:rPr>
                <w:sz w:val="24"/>
                <w:szCs w:val="24"/>
              </w:rPr>
            </w:pPr>
            <w:r w:rsidRPr="00D7485C">
              <w:rPr>
                <w:sz w:val="24"/>
                <w:szCs w:val="24"/>
              </w:rPr>
              <w:t>85%</w:t>
            </w:r>
          </w:p>
        </w:tc>
      </w:tr>
      <w:tr w:rsidRPr="00883D85" w:rsidR="00611236" w:rsidTr="00462FF9" w14:paraId="04F3E754" w14:textId="77777777">
        <w:trPr>
          <w:tblHeader/>
          <w:jc w:val="center"/>
        </w:trPr>
        <w:tc>
          <w:tcPr>
            <w:tcW w:w="3604" w:type="dxa"/>
            <w:vAlign w:val="center"/>
          </w:tcPr>
          <w:p w:rsidRPr="00D7485C" w:rsidR="00611236" w:rsidP="00477B26" w:rsidRDefault="00611236" w14:paraId="1A3021F9" w14:textId="77777777">
            <w:pPr>
              <w:spacing w:line="240" w:lineRule="auto"/>
              <w:ind w:firstLine="0"/>
              <w:jc w:val="center"/>
              <w:rPr>
                <w:sz w:val="24"/>
                <w:szCs w:val="24"/>
              </w:rPr>
            </w:pPr>
            <w:r w:rsidRPr="00D7485C">
              <w:rPr>
                <w:sz w:val="24"/>
                <w:szCs w:val="24"/>
              </w:rPr>
              <w:t>Quarters 8 and after</w:t>
            </w:r>
          </w:p>
        </w:tc>
        <w:tc>
          <w:tcPr>
            <w:tcW w:w="1682" w:type="dxa"/>
            <w:vAlign w:val="center"/>
          </w:tcPr>
          <w:p w:rsidRPr="00D7485C" w:rsidR="00611236" w:rsidP="00477B26" w:rsidRDefault="00611236" w14:paraId="43941ED5" w14:textId="77777777">
            <w:pPr>
              <w:spacing w:line="240" w:lineRule="auto"/>
              <w:ind w:firstLine="0"/>
              <w:jc w:val="center"/>
              <w:rPr>
                <w:sz w:val="24"/>
                <w:szCs w:val="24"/>
              </w:rPr>
            </w:pPr>
            <w:r w:rsidRPr="00D7485C">
              <w:rPr>
                <w:sz w:val="24"/>
                <w:szCs w:val="24"/>
              </w:rPr>
              <w:t>95%</w:t>
            </w:r>
          </w:p>
        </w:tc>
        <w:tc>
          <w:tcPr>
            <w:tcW w:w="1682" w:type="dxa"/>
            <w:vAlign w:val="center"/>
          </w:tcPr>
          <w:p w:rsidRPr="00D7485C" w:rsidR="00611236" w:rsidP="00477B26" w:rsidRDefault="00611236" w14:paraId="246F9A66" w14:textId="77777777">
            <w:pPr>
              <w:spacing w:line="240" w:lineRule="auto"/>
              <w:ind w:firstLine="0"/>
              <w:jc w:val="center"/>
              <w:rPr>
                <w:sz w:val="24"/>
                <w:szCs w:val="24"/>
              </w:rPr>
            </w:pPr>
            <w:r w:rsidRPr="00D7485C">
              <w:rPr>
                <w:sz w:val="24"/>
                <w:szCs w:val="24"/>
              </w:rPr>
              <w:t>95%</w:t>
            </w:r>
          </w:p>
        </w:tc>
        <w:tc>
          <w:tcPr>
            <w:tcW w:w="1682" w:type="dxa"/>
            <w:vAlign w:val="center"/>
          </w:tcPr>
          <w:p w:rsidRPr="00D7485C" w:rsidR="00611236" w:rsidP="00477B26" w:rsidRDefault="00611236" w14:paraId="68830216" w14:textId="77777777">
            <w:pPr>
              <w:spacing w:line="240" w:lineRule="auto"/>
              <w:ind w:firstLine="0"/>
              <w:jc w:val="center"/>
              <w:rPr>
                <w:sz w:val="24"/>
                <w:szCs w:val="24"/>
              </w:rPr>
            </w:pPr>
            <w:r w:rsidRPr="00D7485C">
              <w:rPr>
                <w:sz w:val="24"/>
                <w:szCs w:val="24"/>
              </w:rPr>
              <w:t>90%</w:t>
            </w:r>
          </w:p>
        </w:tc>
      </w:tr>
    </w:tbl>
    <w:bookmarkEnd w:id="31"/>
    <w:p w:rsidR="00611236" w:rsidP="00630776" w:rsidRDefault="00611236" w14:paraId="01FBE92F" w14:textId="76C45C2D">
      <w:pPr>
        <w:pStyle w:val="Standard"/>
        <w:spacing w:before="240"/>
      </w:pPr>
      <w:r>
        <w:t xml:space="preserve">To develop the </w:t>
      </w:r>
      <w:r w:rsidR="006B6CBD">
        <w:t>Pickup Delay Benchmark</w:t>
      </w:r>
      <w:r>
        <w:t>, San</w:t>
      </w:r>
      <w:r w:rsidR="00477B26">
        <w:t> </w:t>
      </w:r>
      <w:r>
        <w:t>Francisco analyzed pre</w:t>
      </w:r>
      <w:r w:rsidR="00477B26">
        <w:noBreakHyphen/>
      </w:r>
      <w:r>
        <w:t>scheduled WAV and non</w:t>
      </w:r>
      <w:r w:rsidR="00477B26">
        <w:noBreakHyphen/>
      </w:r>
      <w:r>
        <w:t>WAV data and used a 90</w:t>
      </w:r>
      <w:r w:rsidRPr="001150DF">
        <w:rPr>
          <w:vertAlign w:val="superscript"/>
        </w:rPr>
        <w:t>th</w:t>
      </w:r>
      <w:r w:rsidR="00477B26">
        <w:t> </w:t>
      </w:r>
      <w:r>
        <w:t>percentile standard to account for worst</w:t>
      </w:r>
      <w:r w:rsidR="00477B26">
        <w:noBreakHyphen/>
      </w:r>
      <w:r>
        <w:t>case pickup scenarios.  For simplicity, San Francisco proposes combining the Level</w:t>
      </w:r>
      <w:r w:rsidR="00630776">
        <w:t> </w:t>
      </w:r>
      <w:r>
        <w:t>1 and Level</w:t>
      </w:r>
      <w:r w:rsidR="00477B26">
        <w:t> </w:t>
      </w:r>
      <w:r>
        <w:t>2 benchmarks that are used in the on</w:t>
      </w:r>
      <w:r w:rsidR="00477B26">
        <w:noBreakHyphen/>
      </w:r>
      <w:r>
        <w:t>demand ORTB.  San</w:t>
      </w:r>
      <w:r w:rsidR="00477B26">
        <w:t> </w:t>
      </w:r>
      <w:r>
        <w:t xml:space="preserve">Francisco recommends that a TNC must demonstrate it met the </w:t>
      </w:r>
      <w:r w:rsidR="006B6CBD">
        <w:t xml:space="preserve">Pickup Delay Benchmark </w:t>
      </w:r>
      <w:r>
        <w:t>or completed trips, as follows:</w:t>
      </w:r>
    </w:p>
    <w:tbl>
      <w:tblPr>
        <w:tblStyle w:val="TableGrid"/>
        <w:tblW w:w="6570" w:type="dxa"/>
        <w:jc w:val="center"/>
        <w:tblLook w:val="04A0" w:firstRow="1" w:lastRow="0" w:firstColumn="1" w:lastColumn="0" w:noHBand="0" w:noVBand="1"/>
      </w:tblPr>
      <w:tblGrid>
        <w:gridCol w:w="2470"/>
        <w:gridCol w:w="4100"/>
      </w:tblGrid>
      <w:tr w:rsidRPr="00883D85" w:rsidR="00611236" w:rsidTr="00477B26" w14:paraId="0B3AD2D9" w14:textId="77777777">
        <w:trPr>
          <w:tblHeader/>
          <w:jc w:val="center"/>
        </w:trPr>
        <w:tc>
          <w:tcPr>
            <w:tcW w:w="2470" w:type="dxa"/>
            <w:shd w:val="clear" w:color="auto" w:fill="FFFFFF" w:themeFill="background1"/>
            <w:vAlign w:val="center"/>
          </w:tcPr>
          <w:p w:rsidRPr="006B3942" w:rsidR="00611236" w:rsidP="00477B26" w:rsidRDefault="00611236" w14:paraId="382D570A" w14:textId="77777777">
            <w:pPr>
              <w:pStyle w:val="ListParagraph"/>
              <w:spacing w:after="0"/>
              <w:ind w:left="0" w:right="0" w:firstLine="0"/>
              <w:jc w:val="center"/>
              <w:rPr>
                <w:b/>
                <w:bCs/>
                <w:sz w:val="24"/>
                <w:szCs w:val="24"/>
              </w:rPr>
            </w:pPr>
            <w:r w:rsidRPr="006B3942">
              <w:rPr>
                <w:b/>
                <w:bCs/>
                <w:sz w:val="24"/>
                <w:szCs w:val="24"/>
              </w:rPr>
              <w:t>County Group</w:t>
            </w:r>
          </w:p>
        </w:tc>
        <w:tc>
          <w:tcPr>
            <w:tcW w:w="4100" w:type="dxa"/>
            <w:shd w:val="clear" w:color="auto" w:fill="FFFFFF" w:themeFill="background1"/>
            <w:vAlign w:val="center"/>
          </w:tcPr>
          <w:p w:rsidRPr="006B3942" w:rsidR="00611236" w:rsidP="00477B26" w:rsidRDefault="00611236" w14:paraId="3E70DF7F" w14:textId="661112A5">
            <w:pPr>
              <w:pStyle w:val="ListParagraph"/>
              <w:spacing w:after="0"/>
              <w:ind w:left="0" w:right="0" w:firstLine="0"/>
              <w:jc w:val="center"/>
              <w:rPr>
                <w:b/>
                <w:bCs/>
                <w:sz w:val="24"/>
                <w:szCs w:val="24"/>
              </w:rPr>
            </w:pPr>
            <w:r w:rsidRPr="006B3942">
              <w:rPr>
                <w:b/>
                <w:bCs/>
                <w:sz w:val="24"/>
                <w:szCs w:val="24"/>
              </w:rPr>
              <w:t xml:space="preserve">Pre-scheduled </w:t>
            </w:r>
            <w:r w:rsidR="00773049">
              <w:rPr>
                <w:b/>
                <w:bCs/>
                <w:sz w:val="24"/>
                <w:szCs w:val="24"/>
              </w:rPr>
              <w:br/>
            </w:r>
            <w:r w:rsidR="006B6CBD">
              <w:rPr>
                <w:b/>
                <w:bCs/>
                <w:sz w:val="24"/>
                <w:szCs w:val="24"/>
              </w:rPr>
              <w:t>Pickup Delay Benchmark</w:t>
            </w:r>
          </w:p>
        </w:tc>
      </w:tr>
      <w:tr w:rsidRPr="00883D85" w:rsidR="00611236" w:rsidTr="00477B26" w14:paraId="65213369" w14:textId="77777777">
        <w:trPr>
          <w:tblHeader/>
          <w:jc w:val="center"/>
        </w:trPr>
        <w:tc>
          <w:tcPr>
            <w:tcW w:w="2470" w:type="dxa"/>
            <w:vAlign w:val="center"/>
          </w:tcPr>
          <w:p w:rsidRPr="006B3942" w:rsidR="00611236" w:rsidP="00477B26" w:rsidRDefault="00611236" w14:paraId="6AB77BC9" w14:textId="77777777">
            <w:pPr>
              <w:spacing w:line="240" w:lineRule="auto"/>
              <w:ind w:firstLine="0"/>
              <w:jc w:val="center"/>
              <w:rPr>
                <w:sz w:val="24"/>
                <w:szCs w:val="24"/>
              </w:rPr>
            </w:pPr>
            <w:r w:rsidRPr="006B3942">
              <w:rPr>
                <w:sz w:val="24"/>
                <w:szCs w:val="24"/>
              </w:rPr>
              <w:t>A</w:t>
            </w:r>
          </w:p>
        </w:tc>
        <w:tc>
          <w:tcPr>
            <w:tcW w:w="4100" w:type="dxa"/>
            <w:vAlign w:val="center"/>
          </w:tcPr>
          <w:p w:rsidRPr="006B3942" w:rsidR="00611236" w:rsidP="00477B26" w:rsidRDefault="00611236" w14:paraId="1C14CDA0" w14:textId="77777777">
            <w:pPr>
              <w:spacing w:line="240" w:lineRule="auto"/>
              <w:ind w:firstLine="0"/>
              <w:jc w:val="center"/>
              <w:rPr>
                <w:sz w:val="24"/>
                <w:szCs w:val="24"/>
              </w:rPr>
            </w:pPr>
            <w:r w:rsidRPr="006B3942">
              <w:rPr>
                <w:sz w:val="24"/>
                <w:szCs w:val="24"/>
              </w:rPr>
              <w:t>6 minutes</w:t>
            </w:r>
          </w:p>
        </w:tc>
      </w:tr>
      <w:tr w:rsidRPr="00883D85" w:rsidR="00611236" w:rsidTr="00477B26" w14:paraId="72E2DF47" w14:textId="77777777">
        <w:trPr>
          <w:tblHeader/>
          <w:jc w:val="center"/>
        </w:trPr>
        <w:tc>
          <w:tcPr>
            <w:tcW w:w="2470" w:type="dxa"/>
            <w:vAlign w:val="center"/>
          </w:tcPr>
          <w:p w:rsidRPr="006B3942" w:rsidR="00611236" w:rsidP="00477B26" w:rsidRDefault="00611236" w14:paraId="45BE3D81" w14:textId="77777777">
            <w:pPr>
              <w:spacing w:line="240" w:lineRule="auto"/>
              <w:ind w:firstLine="0"/>
              <w:jc w:val="center"/>
              <w:rPr>
                <w:sz w:val="24"/>
                <w:szCs w:val="24"/>
              </w:rPr>
            </w:pPr>
            <w:r w:rsidRPr="006B3942">
              <w:rPr>
                <w:sz w:val="24"/>
                <w:szCs w:val="24"/>
              </w:rPr>
              <w:t>B</w:t>
            </w:r>
          </w:p>
        </w:tc>
        <w:tc>
          <w:tcPr>
            <w:tcW w:w="4100" w:type="dxa"/>
            <w:vAlign w:val="center"/>
          </w:tcPr>
          <w:p w:rsidRPr="006B3942" w:rsidR="00611236" w:rsidP="00477B26" w:rsidRDefault="00611236" w14:paraId="2E4A4918" w14:textId="77777777">
            <w:pPr>
              <w:spacing w:line="240" w:lineRule="auto"/>
              <w:ind w:firstLine="0"/>
              <w:jc w:val="center"/>
              <w:rPr>
                <w:sz w:val="24"/>
                <w:szCs w:val="24"/>
              </w:rPr>
            </w:pPr>
            <w:r w:rsidRPr="006B3942">
              <w:rPr>
                <w:sz w:val="24"/>
                <w:szCs w:val="24"/>
              </w:rPr>
              <w:t>8 minutes</w:t>
            </w:r>
          </w:p>
        </w:tc>
      </w:tr>
      <w:tr w:rsidRPr="00883D85" w:rsidR="00611236" w:rsidTr="00477B26" w14:paraId="7851076F" w14:textId="77777777">
        <w:trPr>
          <w:trHeight w:val="179"/>
          <w:tblHeader/>
          <w:jc w:val="center"/>
        </w:trPr>
        <w:tc>
          <w:tcPr>
            <w:tcW w:w="2470" w:type="dxa"/>
            <w:vAlign w:val="center"/>
          </w:tcPr>
          <w:p w:rsidRPr="006B3942" w:rsidR="00611236" w:rsidP="00477B26" w:rsidRDefault="00611236" w14:paraId="049CA487" w14:textId="77777777">
            <w:pPr>
              <w:spacing w:line="240" w:lineRule="auto"/>
              <w:ind w:firstLine="0"/>
              <w:jc w:val="center"/>
              <w:rPr>
                <w:sz w:val="24"/>
                <w:szCs w:val="24"/>
              </w:rPr>
            </w:pPr>
            <w:r w:rsidRPr="006B3942">
              <w:rPr>
                <w:sz w:val="24"/>
                <w:szCs w:val="24"/>
              </w:rPr>
              <w:t>C</w:t>
            </w:r>
          </w:p>
        </w:tc>
        <w:tc>
          <w:tcPr>
            <w:tcW w:w="4100" w:type="dxa"/>
            <w:vAlign w:val="center"/>
          </w:tcPr>
          <w:p w:rsidRPr="006B3942" w:rsidR="00611236" w:rsidP="00477B26" w:rsidRDefault="00611236" w14:paraId="08607ABB" w14:textId="77777777">
            <w:pPr>
              <w:spacing w:line="240" w:lineRule="auto"/>
              <w:ind w:firstLine="0"/>
              <w:jc w:val="center"/>
              <w:rPr>
                <w:sz w:val="24"/>
                <w:szCs w:val="24"/>
              </w:rPr>
            </w:pPr>
            <w:r w:rsidRPr="006B3942">
              <w:rPr>
                <w:sz w:val="24"/>
                <w:szCs w:val="24"/>
              </w:rPr>
              <w:t>22 minutes</w:t>
            </w:r>
          </w:p>
        </w:tc>
      </w:tr>
    </w:tbl>
    <w:p w:rsidR="00611236" w:rsidP="00630776" w:rsidRDefault="00611236" w14:paraId="579733AB" w14:textId="3C2E1B76">
      <w:pPr>
        <w:pStyle w:val="Standard"/>
        <w:spacing w:before="240" w:after="240"/>
      </w:pPr>
      <w:r>
        <w:lastRenderedPageBreak/>
        <w:t xml:space="preserve">For its </w:t>
      </w:r>
      <w:r w:rsidR="006B6CBD">
        <w:t>Pickup Delay Standard</w:t>
      </w:r>
      <w:r>
        <w:t>, San Francisco recommends escalating percentages each quarter, as with on-demand OTS, but</w:t>
      </w:r>
      <w:r w:rsidR="008D50D4">
        <w:t xml:space="preserve"> with</w:t>
      </w:r>
      <w:r>
        <w:t xml:space="preserve"> fewer steps given what San</w:t>
      </w:r>
      <w:r w:rsidR="00477B26">
        <w:t> </w:t>
      </w:r>
      <w:r>
        <w:t xml:space="preserve">Francisco observes is an already high level of service.  The proposed </w:t>
      </w:r>
      <w:r w:rsidR="006B6CBD">
        <w:t xml:space="preserve">Pickup Delay Standard </w:t>
      </w:r>
      <w:r>
        <w:t>is as follows:</w:t>
      </w:r>
    </w:p>
    <w:tbl>
      <w:tblPr>
        <w:tblStyle w:val="TableGrid"/>
        <w:tblW w:w="6480" w:type="dxa"/>
        <w:jc w:val="center"/>
        <w:tblLook w:val="04A0" w:firstRow="1" w:lastRow="0" w:firstColumn="1" w:lastColumn="0" w:noHBand="0" w:noVBand="1"/>
      </w:tblPr>
      <w:tblGrid>
        <w:gridCol w:w="1535"/>
        <w:gridCol w:w="4945"/>
      </w:tblGrid>
      <w:tr w:rsidRPr="00883D85" w:rsidR="00611236" w:rsidTr="00630776" w14:paraId="7EAFB1C0" w14:textId="77777777">
        <w:trPr>
          <w:tblHeader/>
          <w:jc w:val="center"/>
        </w:trPr>
        <w:tc>
          <w:tcPr>
            <w:tcW w:w="1535" w:type="dxa"/>
            <w:shd w:val="clear" w:color="auto" w:fill="FFFFFF" w:themeFill="background1"/>
            <w:vAlign w:val="center"/>
          </w:tcPr>
          <w:p w:rsidRPr="006B3942" w:rsidR="00611236" w:rsidP="00477B26" w:rsidRDefault="00611236" w14:paraId="5EA61B2F" w14:textId="77777777">
            <w:pPr>
              <w:pStyle w:val="ListParagraph"/>
              <w:spacing w:after="0"/>
              <w:ind w:left="0" w:right="0" w:firstLine="0"/>
              <w:jc w:val="center"/>
              <w:rPr>
                <w:b/>
                <w:bCs/>
                <w:sz w:val="24"/>
                <w:szCs w:val="24"/>
              </w:rPr>
            </w:pPr>
            <w:r w:rsidRPr="006B3942">
              <w:rPr>
                <w:b/>
                <w:bCs/>
                <w:sz w:val="24"/>
                <w:szCs w:val="24"/>
              </w:rPr>
              <w:t>Quarter</w:t>
            </w:r>
          </w:p>
        </w:tc>
        <w:tc>
          <w:tcPr>
            <w:tcW w:w="4945" w:type="dxa"/>
            <w:shd w:val="clear" w:color="auto" w:fill="FFFFFF" w:themeFill="background1"/>
            <w:vAlign w:val="center"/>
          </w:tcPr>
          <w:p w:rsidRPr="006B3942" w:rsidR="00611236" w:rsidP="00477B26" w:rsidRDefault="00611236" w14:paraId="256DC1C7" w14:textId="4FE047AC">
            <w:pPr>
              <w:pStyle w:val="ListParagraph"/>
              <w:spacing w:after="0"/>
              <w:ind w:left="0" w:right="0" w:firstLine="0"/>
              <w:jc w:val="center"/>
              <w:rPr>
                <w:b/>
                <w:bCs/>
                <w:sz w:val="24"/>
                <w:szCs w:val="24"/>
              </w:rPr>
            </w:pPr>
            <w:r w:rsidRPr="006B3942">
              <w:rPr>
                <w:b/>
                <w:bCs/>
                <w:sz w:val="24"/>
                <w:szCs w:val="24"/>
              </w:rPr>
              <w:t>Percentage of</w:t>
            </w:r>
            <w:r w:rsidR="00630776">
              <w:rPr>
                <w:b/>
                <w:bCs/>
                <w:sz w:val="24"/>
                <w:szCs w:val="24"/>
              </w:rPr>
              <w:t xml:space="preserve"> </w:t>
            </w:r>
            <w:r w:rsidRPr="006B3942">
              <w:rPr>
                <w:b/>
                <w:bCs/>
                <w:sz w:val="24"/>
                <w:szCs w:val="24"/>
              </w:rPr>
              <w:t xml:space="preserve">Completed Trips under </w:t>
            </w:r>
            <w:r w:rsidR="006B6CBD">
              <w:rPr>
                <w:b/>
                <w:bCs/>
                <w:sz w:val="24"/>
                <w:szCs w:val="24"/>
              </w:rPr>
              <w:t>Pickup Delay Benchmark</w:t>
            </w:r>
          </w:p>
        </w:tc>
      </w:tr>
      <w:tr w:rsidR="00611236" w:rsidTr="00630776" w14:paraId="7EC8B9BD" w14:textId="77777777">
        <w:trPr>
          <w:tblHeader/>
          <w:jc w:val="center"/>
        </w:trPr>
        <w:tc>
          <w:tcPr>
            <w:tcW w:w="1535" w:type="dxa"/>
            <w:vAlign w:val="center"/>
          </w:tcPr>
          <w:p w:rsidRPr="006B3942" w:rsidR="00611236" w:rsidP="00477B26" w:rsidRDefault="00611236" w14:paraId="35431760" w14:textId="7B913BDE">
            <w:pPr>
              <w:spacing w:line="240" w:lineRule="auto"/>
              <w:ind w:firstLine="0"/>
              <w:jc w:val="center"/>
              <w:rPr>
                <w:sz w:val="24"/>
                <w:szCs w:val="24"/>
              </w:rPr>
            </w:pPr>
            <w:r w:rsidRPr="006B3942">
              <w:rPr>
                <w:sz w:val="24"/>
                <w:szCs w:val="24"/>
              </w:rPr>
              <w:t>1</w:t>
            </w:r>
            <w:r w:rsidRPr="006B3942">
              <w:rPr>
                <w:sz w:val="24"/>
                <w:szCs w:val="24"/>
                <w:vertAlign w:val="superscript"/>
              </w:rPr>
              <w:t>st</w:t>
            </w:r>
          </w:p>
        </w:tc>
        <w:tc>
          <w:tcPr>
            <w:tcW w:w="4945" w:type="dxa"/>
            <w:vAlign w:val="center"/>
          </w:tcPr>
          <w:p w:rsidRPr="006B3942" w:rsidR="00611236" w:rsidP="00477B26" w:rsidRDefault="00611236" w14:paraId="69E484D4" w14:textId="77777777">
            <w:pPr>
              <w:spacing w:line="240" w:lineRule="auto"/>
              <w:ind w:firstLine="0"/>
              <w:jc w:val="center"/>
              <w:rPr>
                <w:sz w:val="24"/>
                <w:szCs w:val="24"/>
              </w:rPr>
            </w:pPr>
            <w:r w:rsidRPr="006B3942">
              <w:rPr>
                <w:sz w:val="24"/>
                <w:szCs w:val="24"/>
              </w:rPr>
              <w:t>80%</w:t>
            </w:r>
          </w:p>
        </w:tc>
      </w:tr>
      <w:tr w:rsidR="00611236" w:rsidTr="00630776" w14:paraId="010DAB10" w14:textId="77777777">
        <w:trPr>
          <w:tblHeader/>
          <w:jc w:val="center"/>
        </w:trPr>
        <w:tc>
          <w:tcPr>
            <w:tcW w:w="1535" w:type="dxa"/>
            <w:vAlign w:val="center"/>
          </w:tcPr>
          <w:p w:rsidRPr="006B3942" w:rsidR="00611236" w:rsidP="00477B26" w:rsidRDefault="00611236" w14:paraId="758A8A1B" w14:textId="77777777">
            <w:pPr>
              <w:spacing w:line="240" w:lineRule="auto"/>
              <w:ind w:firstLine="0"/>
              <w:jc w:val="center"/>
              <w:rPr>
                <w:sz w:val="24"/>
                <w:szCs w:val="24"/>
              </w:rPr>
            </w:pPr>
            <w:r w:rsidRPr="006B3942">
              <w:rPr>
                <w:sz w:val="24"/>
                <w:szCs w:val="24"/>
              </w:rPr>
              <w:t>2</w:t>
            </w:r>
            <w:r w:rsidRPr="006B3942">
              <w:rPr>
                <w:sz w:val="24"/>
                <w:szCs w:val="24"/>
                <w:vertAlign w:val="superscript"/>
              </w:rPr>
              <w:t>nd</w:t>
            </w:r>
          </w:p>
        </w:tc>
        <w:tc>
          <w:tcPr>
            <w:tcW w:w="4945" w:type="dxa"/>
            <w:vAlign w:val="center"/>
          </w:tcPr>
          <w:p w:rsidRPr="006B3942" w:rsidR="00611236" w:rsidP="00477B26" w:rsidRDefault="00611236" w14:paraId="5EE13727" w14:textId="77777777">
            <w:pPr>
              <w:spacing w:line="240" w:lineRule="auto"/>
              <w:ind w:firstLine="0"/>
              <w:jc w:val="center"/>
              <w:rPr>
                <w:sz w:val="24"/>
                <w:szCs w:val="24"/>
              </w:rPr>
            </w:pPr>
            <w:r w:rsidRPr="006B3942">
              <w:rPr>
                <w:sz w:val="24"/>
                <w:szCs w:val="24"/>
              </w:rPr>
              <w:t>80%</w:t>
            </w:r>
          </w:p>
        </w:tc>
      </w:tr>
      <w:tr w:rsidR="00611236" w:rsidTr="00630776" w14:paraId="658112DD" w14:textId="77777777">
        <w:trPr>
          <w:tblHeader/>
          <w:jc w:val="center"/>
        </w:trPr>
        <w:tc>
          <w:tcPr>
            <w:tcW w:w="1535" w:type="dxa"/>
            <w:vAlign w:val="center"/>
          </w:tcPr>
          <w:p w:rsidRPr="006B3942" w:rsidR="00611236" w:rsidP="00477B26" w:rsidRDefault="00611236" w14:paraId="04683AC4" w14:textId="77777777">
            <w:pPr>
              <w:spacing w:line="240" w:lineRule="auto"/>
              <w:ind w:firstLine="0"/>
              <w:jc w:val="center"/>
              <w:rPr>
                <w:sz w:val="24"/>
                <w:szCs w:val="24"/>
              </w:rPr>
            </w:pPr>
            <w:r w:rsidRPr="006B3942">
              <w:rPr>
                <w:sz w:val="24"/>
                <w:szCs w:val="24"/>
              </w:rPr>
              <w:t>3</w:t>
            </w:r>
            <w:r w:rsidRPr="006B3942">
              <w:rPr>
                <w:sz w:val="24"/>
                <w:szCs w:val="24"/>
                <w:vertAlign w:val="superscript"/>
              </w:rPr>
              <w:t>rd</w:t>
            </w:r>
          </w:p>
        </w:tc>
        <w:tc>
          <w:tcPr>
            <w:tcW w:w="4945" w:type="dxa"/>
            <w:vAlign w:val="center"/>
          </w:tcPr>
          <w:p w:rsidRPr="006B3942" w:rsidR="00611236" w:rsidP="00477B26" w:rsidRDefault="00611236" w14:paraId="2DA31C4A" w14:textId="77777777">
            <w:pPr>
              <w:spacing w:line="240" w:lineRule="auto"/>
              <w:ind w:firstLine="0"/>
              <w:jc w:val="center"/>
              <w:rPr>
                <w:sz w:val="24"/>
                <w:szCs w:val="24"/>
              </w:rPr>
            </w:pPr>
            <w:r w:rsidRPr="006B3942">
              <w:rPr>
                <w:sz w:val="24"/>
                <w:szCs w:val="24"/>
              </w:rPr>
              <w:t>85%</w:t>
            </w:r>
          </w:p>
        </w:tc>
      </w:tr>
      <w:tr w:rsidR="00611236" w:rsidTr="00630776" w14:paraId="1A0A979F" w14:textId="77777777">
        <w:trPr>
          <w:tblHeader/>
          <w:jc w:val="center"/>
        </w:trPr>
        <w:tc>
          <w:tcPr>
            <w:tcW w:w="1535" w:type="dxa"/>
            <w:vAlign w:val="center"/>
          </w:tcPr>
          <w:p w:rsidRPr="006B3942" w:rsidR="00611236" w:rsidP="00477B26" w:rsidRDefault="00611236" w14:paraId="23BD89E2" w14:textId="77777777">
            <w:pPr>
              <w:spacing w:line="240" w:lineRule="auto"/>
              <w:ind w:firstLine="0"/>
              <w:jc w:val="center"/>
              <w:rPr>
                <w:sz w:val="24"/>
                <w:szCs w:val="24"/>
              </w:rPr>
            </w:pPr>
            <w:r w:rsidRPr="006B3942">
              <w:rPr>
                <w:sz w:val="24"/>
                <w:szCs w:val="24"/>
              </w:rPr>
              <w:t>4</w:t>
            </w:r>
            <w:r w:rsidRPr="006B3942">
              <w:rPr>
                <w:sz w:val="24"/>
                <w:szCs w:val="24"/>
                <w:vertAlign w:val="superscript"/>
              </w:rPr>
              <w:t>th</w:t>
            </w:r>
          </w:p>
        </w:tc>
        <w:tc>
          <w:tcPr>
            <w:tcW w:w="4945" w:type="dxa"/>
            <w:vAlign w:val="center"/>
          </w:tcPr>
          <w:p w:rsidRPr="006B3942" w:rsidR="00611236" w:rsidP="00477B26" w:rsidRDefault="00611236" w14:paraId="395F59F3" w14:textId="77777777">
            <w:pPr>
              <w:spacing w:line="240" w:lineRule="auto"/>
              <w:ind w:firstLine="0"/>
              <w:jc w:val="center"/>
              <w:rPr>
                <w:sz w:val="24"/>
                <w:szCs w:val="24"/>
              </w:rPr>
            </w:pPr>
            <w:r w:rsidRPr="006B3942">
              <w:rPr>
                <w:sz w:val="24"/>
                <w:szCs w:val="24"/>
              </w:rPr>
              <w:t>85%</w:t>
            </w:r>
          </w:p>
        </w:tc>
      </w:tr>
      <w:tr w:rsidR="00611236" w:rsidTr="00630776" w14:paraId="79C56521" w14:textId="77777777">
        <w:trPr>
          <w:tblHeader/>
          <w:jc w:val="center"/>
        </w:trPr>
        <w:tc>
          <w:tcPr>
            <w:tcW w:w="1535" w:type="dxa"/>
            <w:vAlign w:val="center"/>
          </w:tcPr>
          <w:p w:rsidRPr="006B3942" w:rsidR="00611236" w:rsidP="00477B26" w:rsidRDefault="00611236" w14:paraId="23676829" w14:textId="77777777">
            <w:pPr>
              <w:spacing w:line="240" w:lineRule="auto"/>
              <w:ind w:firstLine="0"/>
              <w:jc w:val="center"/>
              <w:rPr>
                <w:sz w:val="24"/>
                <w:szCs w:val="24"/>
              </w:rPr>
            </w:pPr>
            <w:r w:rsidRPr="006B3942">
              <w:rPr>
                <w:sz w:val="24"/>
                <w:szCs w:val="24"/>
              </w:rPr>
              <w:t>5</w:t>
            </w:r>
            <w:r w:rsidRPr="006B3942">
              <w:rPr>
                <w:sz w:val="24"/>
                <w:szCs w:val="24"/>
                <w:vertAlign w:val="superscript"/>
              </w:rPr>
              <w:t>th</w:t>
            </w:r>
          </w:p>
        </w:tc>
        <w:tc>
          <w:tcPr>
            <w:tcW w:w="4945" w:type="dxa"/>
            <w:vAlign w:val="center"/>
          </w:tcPr>
          <w:p w:rsidRPr="006B3942" w:rsidR="00611236" w:rsidP="00477B26" w:rsidRDefault="00611236" w14:paraId="5113A59D" w14:textId="77777777">
            <w:pPr>
              <w:spacing w:line="240" w:lineRule="auto"/>
              <w:ind w:firstLine="0"/>
              <w:jc w:val="center"/>
              <w:rPr>
                <w:sz w:val="24"/>
                <w:szCs w:val="24"/>
              </w:rPr>
            </w:pPr>
            <w:r w:rsidRPr="006B3942">
              <w:rPr>
                <w:sz w:val="24"/>
                <w:szCs w:val="24"/>
              </w:rPr>
              <w:t>90%</w:t>
            </w:r>
          </w:p>
        </w:tc>
      </w:tr>
      <w:tr w:rsidR="00611236" w:rsidTr="00630776" w14:paraId="2A3E38F5" w14:textId="77777777">
        <w:trPr>
          <w:tblHeader/>
          <w:jc w:val="center"/>
        </w:trPr>
        <w:tc>
          <w:tcPr>
            <w:tcW w:w="1535" w:type="dxa"/>
            <w:vAlign w:val="center"/>
          </w:tcPr>
          <w:p w:rsidRPr="006B3942" w:rsidR="00611236" w:rsidP="00477B26" w:rsidRDefault="00611236" w14:paraId="24C58ED0" w14:textId="77777777">
            <w:pPr>
              <w:spacing w:line="240" w:lineRule="auto"/>
              <w:ind w:firstLine="0"/>
              <w:jc w:val="center"/>
              <w:rPr>
                <w:sz w:val="24"/>
                <w:szCs w:val="24"/>
              </w:rPr>
            </w:pPr>
            <w:r w:rsidRPr="006B3942">
              <w:rPr>
                <w:sz w:val="24"/>
                <w:szCs w:val="24"/>
              </w:rPr>
              <w:t>6</w:t>
            </w:r>
            <w:r w:rsidRPr="006B3942">
              <w:rPr>
                <w:sz w:val="24"/>
                <w:szCs w:val="24"/>
                <w:vertAlign w:val="superscript"/>
              </w:rPr>
              <w:t>th</w:t>
            </w:r>
          </w:p>
        </w:tc>
        <w:tc>
          <w:tcPr>
            <w:tcW w:w="4945" w:type="dxa"/>
            <w:vAlign w:val="center"/>
          </w:tcPr>
          <w:p w:rsidRPr="006B3942" w:rsidR="00611236" w:rsidP="00477B26" w:rsidRDefault="00611236" w14:paraId="4A0483B9" w14:textId="77777777">
            <w:pPr>
              <w:spacing w:line="240" w:lineRule="auto"/>
              <w:ind w:firstLine="0"/>
              <w:jc w:val="center"/>
              <w:rPr>
                <w:sz w:val="24"/>
                <w:szCs w:val="24"/>
              </w:rPr>
            </w:pPr>
            <w:r w:rsidRPr="006B3942">
              <w:rPr>
                <w:sz w:val="24"/>
                <w:szCs w:val="24"/>
              </w:rPr>
              <w:t>90%</w:t>
            </w:r>
          </w:p>
        </w:tc>
      </w:tr>
      <w:tr w:rsidR="00611236" w:rsidTr="00630776" w14:paraId="0273C630" w14:textId="77777777">
        <w:trPr>
          <w:tblHeader/>
          <w:jc w:val="center"/>
        </w:trPr>
        <w:tc>
          <w:tcPr>
            <w:tcW w:w="1535" w:type="dxa"/>
            <w:vAlign w:val="center"/>
          </w:tcPr>
          <w:p w:rsidRPr="006B3942" w:rsidR="00611236" w:rsidP="00477B26" w:rsidRDefault="00611236" w14:paraId="301BE64C" w14:textId="77777777">
            <w:pPr>
              <w:spacing w:line="240" w:lineRule="auto"/>
              <w:ind w:firstLine="0"/>
              <w:jc w:val="center"/>
              <w:rPr>
                <w:sz w:val="24"/>
                <w:szCs w:val="24"/>
              </w:rPr>
            </w:pPr>
            <w:r w:rsidRPr="006B3942">
              <w:rPr>
                <w:sz w:val="24"/>
                <w:szCs w:val="24"/>
              </w:rPr>
              <w:t>7</w:t>
            </w:r>
            <w:r w:rsidRPr="006B3942">
              <w:rPr>
                <w:sz w:val="24"/>
                <w:szCs w:val="24"/>
                <w:vertAlign w:val="superscript"/>
              </w:rPr>
              <w:t>th</w:t>
            </w:r>
          </w:p>
        </w:tc>
        <w:tc>
          <w:tcPr>
            <w:tcW w:w="4945" w:type="dxa"/>
            <w:vAlign w:val="center"/>
          </w:tcPr>
          <w:p w:rsidRPr="006B3942" w:rsidR="00611236" w:rsidP="00477B26" w:rsidRDefault="00611236" w14:paraId="395EBC8A" w14:textId="77777777">
            <w:pPr>
              <w:spacing w:line="240" w:lineRule="auto"/>
              <w:ind w:firstLine="0"/>
              <w:jc w:val="center"/>
              <w:rPr>
                <w:sz w:val="24"/>
                <w:szCs w:val="24"/>
              </w:rPr>
            </w:pPr>
            <w:r w:rsidRPr="006B3942">
              <w:rPr>
                <w:sz w:val="24"/>
                <w:szCs w:val="24"/>
              </w:rPr>
              <w:t>95%</w:t>
            </w:r>
          </w:p>
        </w:tc>
      </w:tr>
      <w:tr w:rsidR="00611236" w:rsidTr="00630776" w14:paraId="636C5928" w14:textId="77777777">
        <w:trPr>
          <w:tblHeader/>
          <w:jc w:val="center"/>
        </w:trPr>
        <w:tc>
          <w:tcPr>
            <w:tcW w:w="1535" w:type="dxa"/>
            <w:vAlign w:val="center"/>
          </w:tcPr>
          <w:p w:rsidRPr="006B3942" w:rsidR="00611236" w:rsidP="00477B26" w:rsidRDefault="00611236" w14:paraId="2E86E0ED" w14:textId="0DB2B221">
            <w:pPr>
              <w:spacing w:line="240" w:lineRule="auto"/>
              <w:ind w:firstLine="0"/>
              <w:jc w:val="center"/>
              <w:rPr>
                <w:sz w:val="24"/>
                <w:szCs w:val="24"/>
              </w:rPr>
            </w:pPr>
            <w:r w:rsidRPr="006B3942">
              <w:rPr>
                <w:sz w:val="24"/>
                <w:szCs w:val="24"/>
              </w:rPr>
              <w:t>8</w:t>
            </w:r>
            <w:r w:rsidRPr="006B3942">
              <w:rPr>
                <w:sz w:val="24"/>
                <w:szCs w:val="24"/>
                <w:vertAlign w:val="superscript"/>
              </w:rPr>
              <w:t xml:space="preserve">th </w:t>
            </w:r>
            <w:r w:rsidRPr="006B3942">
              <w:rPr>
                <w:sz w:val="24"/>
                <w:szCs w:val="24"/>
              </w:rPr>
              <w:t>and after</w:t>
            </w:r>
          </w:p>
        </w:tc>
        <w:tc>
          <w:tcPr>
            <w:tcW w:w="4945" w:type="dxa"/>
            <w:vAlign w:val="center"/>
          </w:tcPr>
          <w:p w:rsidRPr="006B3942" w:rsidR="00611236" w:rsidP="00477B26" w:rsidRDefault="00611236" w14:paraId="076FB480" w14:textId="77777777">
            <w:pPr>
              <w:spacing w:line="240" w:lineRule="auto"/>
              <w:ind w:firstLine="0"/>
              <w:jc w:val="center"/>
              <w:rPr>
                <w:sz w:val="24"/>
                <w:szCs w:val="24"/>
              </w:rPr>
            </w:pPr>
            <w:r w:rsidRPr="006B3942">
              <w:rPr>
                <w:sz w:val="24"/>
                <w:szCs w:val="24"/>
              </w:rPr>
              <w:t>95%</w:t>
            </w:r>
          </w:p>
        </w:tc>
      </w:tr>
    </w:tbl>
    <w:p w:rsidR="00611236" w:rsidP="00477B26" w:rsidRDefault="00611236" w14:paraId="3370F42C" w14:textId="6A2A6819">
      <w:pPr>
        <w:pStyle w:val="Standard"/>
        <w:spacing w:before="360"/>
      </w:pPr>
      <w:r>
        <w:t>For offset eligibility, San</w:t>
      </w:r>
      <w:r w:rsidR="00477B26">
        <w:t> </w:t>
      </w:r>
      <w:r>
        <w:t xml:space="preserve">Francisco proposes that a TNC demonstrate it met the </w:t>
      </w:r>
      <w:r w:rsidR="006B6CBD">
        <w:t xml:space="preserve">Pickup Delay Benchmark </w:t>
      </w:r>
      <w:r>
        <w:t>for a given quarter in a geographic area.</w:t>
      </w:r>
    </w:p>
    <w:p w:rsidR="00045C7C" w:rsidP="00045C7C" w:rsidRDefault="00045C7C" w14:paraId="3AEAA41F" w14:textId="2627BCFE">
      <w:pPr>
        <w:pStyle w:val="Heading4"/>
      </w:pPr>
      <w:bookmarkStart w:name="_Toc125016601" w:id="32"/>
      <w:r>
        <w:t xml:space="preserve">Comments on </w:t>
      </w:r>
      <w:r w:rsidR="00477B26">
        <w:br/>
      </w:r>
      <w:r>
        <w:t>San Francisco’s Proposal</w:t>
      </w:r>
      <w:bookmarkEnd w:id="32"/>
    </w:p>
    <w:p w:rsidR="00045C7C" w:rsidP="00477B26" w:rsidRDefault="00045C7C" w14:paraId="04961696" w14:textId="6372D8CA">
      <w:pPr>
        <w:pStyle w:val="Standard"/>
      </w:pPr>
      <w:r>
        <w:t>Disability Advocates and SFTWA support San</w:t>
      </w:r>
      <w:r w:rsidR="00477B26">
        <w:t> </w:t>
      </w:r>
      <w:r>
        <w:t>Francisco’s proposal.</w:t>
      </w:r>
      <w:r>
        <w:rPr>
          <w:rStyle w:val="FootnoteReference"/>
        </w:rPr>
        <w:footnoteReference w:id="25"/>
      </w:r>
      <w:r>
        <w:t xml:space="preserve">  Disability Advocates supports San</w:t>
      </w:r>
      <w:r w:rsidR="00477B26">
        <w:t> </w:t>
      </w:r>
      <w:r>
        <w:t>Francisco’s proposal over CPED’s proposal because it contends that the proposal is based on data for non</w:t>
      </w:r>
      <w:r w:rsidR="00477B26">
        <w:noBreakHyphen/>
      </w:r>
      <w:r>
        <w:t>WAV pre</w:t>
      </w:r>
      <w:r w:rsidR="00477B26">
        <w:noBreakHyphen/>
      </w:r>
      <w:r>
        <w:t>scheduled trips, is more straightforward, and is designed to achieve comparability with non</w:t>
      </w:r>
      <w:r w:rsidR="00477B26">
        <w:noBreakHyphen/>
      </w:r>
      <w:r>
        <w:t>WAV service over time.</w:t>
      </w:r>
    </w:p>
    <w:p w:rsidR="00045C7C" w:rsidP="00045C7C" w:rsidRDefault="00045C7C" w14:paraId="0CED277A" w14:textId="2E784EBF">
      <w:pPr>
        <w:pStyle w:val="Standard"/>
      </w:pPr>
      <w:r>
        <w:t>Uber largely reiterates the same concerns with San</w:t>
      </w:r>
      <w:r w:rsidR="00A23BF7">
        <w:t> </w:t>
      </w:r>
      <w:r>
        <w:t>Francisco’s proposal as with CPED’s proposal, discussed above.</w:t>
      </w:r>
      <w:r>
        <w:rPr>
          <w:rStyle w:val="FootnoteReference"/>
        </w:rPr>
        <w:footnoteReference w:id="26"/>
      </w:r>
      <w:r>
        <w:t xml:space="preserve">  Uber and Lyft argue that the </w:t>
      </w:r>
      <w:r w:rsidR="006B6CBD">
        <w:t xml:space="preserve">Pickup Delay Benchmarks </w:t>
      </w:r>
      <w:r>
        <w:t xml:space="preserve">are unachievable when applied to Lyft’s existing </w:t>
      </w:r>
      <w:r>
        <w:lastRenderedPageBreak/>
        <w:t>pre</w:t>
      </w:r>
      <w:r w:rsidR="00A23BF7">
        <w:noBreakHyphen/>
      </w:r>
      <w:r>
        <w:t>scheduled WAV data, and Lyft states that the trip completion percentages for San</w:t>
      </w:r>
      <w:r w:rsidR="00A23BF7">
        <w:t> </w:t>
      </w:r>
      <w:r>
        <w:t>Francisco and Los Angeles counties exceed actual completion rates for non</w:t>
      </w:r>
      <w:r w:rsidR="00A23BF7">
        <w:noBreakHyphen/>
      </w:r>
      <w:r>
        <w:t>WAV pre</w:t>
      </w:r>
      <w:r w:rsidR="00A23BF7">
        <w:noBreakHyphen/>
      </w:r>
      <w:r>
        <w:t>scheduled trips.</w:t>
      </w:r>
      <w:r>
        <w:rPr>
          <w:rStyle w:val="FootnoteReference"/>
        </w:rPr>
        <w:footnoteReference w:id="27"/>
      </w:r>
      <w:r>
        <w:t xml:space="preserve">  Uber opposes San</w:t>
      </w:r>
      <w:r w:rsidR="00A23BF7">
        <w:t> </w:t>
      </w:r>
      <w:r>
        <w:t xml:space="preserve">Francisco’s </w:t>
      </w:r>
      <w:r w:rsidR="007F6F2B">
        <w:t>P</w:t>
      </w:r>
      <w:r>
        <w:t>TCS percentages for not considering existing county</w:t>
      </w:r>
      <w:r w:rsidR="00A23BF7">
        <w:noBreakHyphen/>
      </w:r>
      <w:r>
        <w:t>level data and due to the lack of pre</w:t>
      </w:r>
      <w:r w:rsidR="00A23BF7">
        <w:noBreakHyphen/>
      </w:r>
      <w:r>
        <w:t>scheduled WAV data in many counties.  Uber states that San</w:t>
      </w:r>
      <w:r w:rsidR="00A23BF7">
        <w:t> </w:t>
      </w:r>
      <w:r>
        <w:t xml:space="preserve">Francisco has not demonstrated why this standard is workable or accurately reflects the realities of WAV service.  </w:t>
      </w:r>
    </w:p>
    <w:p w:rsidR="00045C7C" w:rsidP="00045C7C" w:rsidRDefault="00045C7C" w14:paraId="01102288" w14:textId="394282EA">
      <w:pPr>
        <w:pStyle w:val="Standard"/>
      </w:pPr>
      <w:r>
        <w:t xml:space="preserve">Uber and Lyft further object to the proposal that a TNC seeking an offset must offer both pre-scheduled and on-demand WAV </w:t>
      </w:r>
      <w:proofErr w:type="gramStart"/>
      <w:r>
        <w:t>services, if</w:t>
      </w:r>
      <w:proofErr w:type="gramEnd"/>
      <w:r>
        <w:t xml:space="preserve"> it offers such non</w:t>
      </w:r>
      <w:r w:rsidR="00A23BF7">
        <w:noBreakHyphen/>
      </w:r>
      <w:r>
        <w:t>WAV services.  Uber states that this is outside of the scope of Track</w:t>
      </w:r>
      <w:r w:rsidR="00A23BF7">
        <w:t> </w:t>
      </w:r>
      <w:r>
        <w:t>5A and retroactively adopts a new requirement that a TNC develop additional WAV services, despite the offset standards for on-demand WAV trips being in place for over two years.  Lyft argues that there are barriers to a TNC offering the same range of service for WAV and non</w:t>
      </w:r>
      <w:r w:rsidR="00A23BF7">
        <w:noBreakHyphen/>
      </w:r>
      <w:r>
        <w:t>WAV, including the lack of privately owned WAVs and the higher cost associated with WAVs.</w:t>
      </w:r>
      <w:r>
        <w:rPr>
          <w:rStyle w:val="FootnoteReference"/>
        </w:rPr>
        <w:footnoteReference w:id="28"/>
      </w:r>
      <w:r>
        <w:t xml:space="preserve">  </w:t>
      </w:r>
    </w:p>
    <w:p w:rsidR="00045C7C" w:rsidP="00045C7C" w:rsidRDefault="00045C7C" w14:paraId="47F803BE" w14:textId="00155FE9">
      <w:pPr>
        <w:pStyle w:val="Heading3"/>
      </w:pPr>
      <w:bookmarkStart w:name="_Toc125016602" w:id="34"/>
      <w:r>
        <w:t>Lyft’s Proposal</w:t>
      </w:r>
      <w:bookmarkEnd w:id="34"/>
    </w:p>
    <w:p w:rsidR="00045C7C" w:rsidP="00045C7C" w:rsidRDefault="00045C7C" w14:paraId="21FA0718" w14:textId="5871B3A7">
      <w:pPr>
        <w:pStyle w:val="Standard"/>
      </w:pPr>
      <w:r>
        <w:t>Due to the low</w:t>
      </w:r>
      <w:r w:rsidR="00A23BF7">
        <w:t> </w:t>
      </w:r>
      <w:r>
        <w:t>volume of pre</w:t>
      </w:r>
      <w:r w:rsidR="00A23BF7">
        <w:noBreakHyphen/>
      </w:r>
      <w:r>
        <w:t>scheduled WAV trip data, Lyft recommends that new standards should not be developed specifically for pre</w:t>
      </w:r>
      <w:r w:rsidR="00A23BF7">
        <w:noBreakHyphen/>
      </w:r>
      <w:r>
        <w:t>scheduled trips.</w:t>
      </w:r>
      <w:r>
        <w:rPr>
          <w:rStyle w:val="FootnoteReference"/>
        </w:rPr>
        <w:footnoteReference w:id="29"/>
      </w:r>
      <w:r>
        <w:t xml:space="preserve">  Lyft points out that since the 3rd quarter of 2019, there </w:t>
      </w:r>
      <w:r w:rsidR="003935B7">
        <w:t xml:space="preserve">were </w:t>
      </w:r>
      <w:r>
        <w:t>only two quarters in which more than 10</w:t>
      </w:r>
      <w:r w:rsidR="00A23BF7">
        <w:t> </w:t>
      </w:r>
      <w:r>
        <w:t>percent of Lyft’s completed WAV trips were pre</w:t>
      </w:r>
      <w:r w:rsidR="00A23BF7">
        <w:noBreakHyphen/>
      </w:r>
      <w:r>
        <w:t xml:space="preserve">scheduled, and those quarters are outliers due to the overall decrease in total WAV trips due to the pandemic.  </w:t>
      </w:r>
    </w:p>
    <w:p w:rsidR="00045C7C" w:rsidP="00045C7C" w:rsidRDefault="00045C7C" w14:paraId="0FEEF5C5" w14:textId="02220E5A">
      <w:pPr>
        <w:pStyle w:val="Standard"/>
      </w:pPr>
      <w:r>
        <w:lastRenderedPageBreak/>
        <w:t>Lyft observes that TNCs currently must show quarter</w:t>
      </w:r>
      <w:r w:rsidR="00A23BF7">
        <w:noBreakHyphen/>
      </w:r>
      <w:r>
        <w:t>over</w:t>
      </w:r>
      <w:r w:rsidR="00A23BF7">
        <w:noBreakHyphen/>
      </w:r>
      <w:r>
        <w:t>quarter improvements in both Level</w:t>
      </w:r>
      <w:r w:rsidR="00A23BF7">
        <w:t> </w:t>
      </w:r>
      <w:r>
        <w:t>1 and Level</w:t>
      </w:r>
      <w:r w:rsidR="00A23BF7">
        <w:t> </w:t>
      </w:r>
      <w:r>
        <w:t>2 response times using a formula that divides the number of on-demand rides under 15</w:t>
      </w:r>
      <w:r w:rsidR="00A23BF7">
        <w:t> </w:t>
      </w:r>
      <w:r>
        <w:t>minutes by the total number of on</w:t>
      </w:r>
      <w:r w:rsidR="00A23BF7">
        <w:noBreakHyphen/>
      </w:r>
      <w:r>
        <w:t>demand rides.  Lyft recognizes parties’ concerns with using this formula for pre</w:t>
      </w:r>
      <w:r w:rsidR="00A23BF7">
        <w:noBreakHyphen/>
      </w:r>
      <w:r>
        <w:t>scheduled trips, as it may give TNCs an advantage to favor pre</w:t>
      </w:r>
      <w:r w:rsidR="00A23BF7">
        <w:noBreakHyphen/>
      </w:r>
      <w:r>
        <w:t>scheduled trips over on</w:t>
      </w:r>
      <w:r w:rsidR="00A23BF7">
        <w:noBreakHyphen/>
      </w:r>
      <w:r>
        <w:t>demand trips.  To address this, Lyft recommends a binary approach that considers whether the ride was “on</w:t>
      </w:r>
      <w:r w:rsidR="00A23BF7">
        <w:noBreakHyphen/>
      </w:r>
      <w:r>
        <w:t>time” or not “on</w:t>
      </w:r>
      <w:r w:rsidR="00A23BF7">
        <w:noBreakHyphen/>
      </w:r>
      <w:r>
        <w:t>time,” as measured by the expectation of the passenger.  Lyft recommends the following formula to determine the Level 1 percentile:</w:t>
      </w:r>
    </w:p>
    <w:p w:rsidRPr="002B77AA" w:rsidR="00045C7C" w:rsidP="00A23BF7" w:rsidRDefault="00045C7C" w14:paraId="5D573612" w14:textId="69FAA94B">
      <w:pPr>
        <w:pStyle w:val="Standard"/>
        <w:spacing w:line="240" w:lineRule="auto"/>
        <w:ind w:left="720" w:firstLine="0"/>
        <w:rPr>
          <w:szCs w:val="26"/>
        </w:rPr>
      </w:pPr>
      <w:r w:rsidRPr="00E63C73">
        <w:rPr>
          <w:szCs w:val="26"/>
        </w:rPr>
        <w:t>Percentile = (# on</w:t>
      </w:r>
      <w:r w:rsidR="00A23BF7">
        <w:rPr>
          <w:szCs w:val="26"/>
        </w:rPr>
        <w:noBreakHyphen/>
      </w:r>
      <w:r w:rsidRPr="00E63C73">
        <w:rPr>
          <w:szCs w:val="26"/>
        </w:rPr>
        <w:t>demand rides under</w:t>
      </w:r>
      <w:r w:rsidR="00A23BF7">
        <w:rPr>
          <w:szCs w:val="26"/>
        </w:rPr>
        <w:t> </w:t>
      </w:r>
      <w:r w:rsidRPr="00E63C73">
        <w:rPr>
          <w:szCs w:val="26"/>
        </w:rPr>
        <w:t>15</w:t>
      </w:r>
      <w:r w:rsidR="00A23BF7">
        <w:rPr>
          <w:szCs w:val="26"/>
        </w:rPr>
        <w:t> </w:t>
      </w:r>
      <w:r w:rsidRPr="00E63C73">
        <w:rPr>
          <w:szCs w:val="26"/>
        </w:rPr>
        <w:t xml:space="preserve">mins + </w:t>
      </w:r>
      <w:r w:rsidRPr="002B77AA">
        <w:rPr>
          <w:szCs w:val="26"/>
        </w:rPr>
        <w:t># scheduled rides “on</w:t>
      </w:r>
      <w:r w:rsidR="00A23BF7">
        <w:rPr>
          <w:szCs w:val="26"/>
        </w:rPr>
        <w:t> </w:t>
      </w:r>
      <w:r w:rsidRPr="002B77AA">
        <w:rPr>
          <w:szCs w:val="26"/>
        </w:rPr>
        <w:t>time”) / (# on</w:t>
      </w:r>
      <w:r w:rsidR="00A23BF7">
        <w:rPr>
          <w:szCs w:val="26"/>
        </w:rPr>
        <w:noBreakHyphen/>
      </w:r>
      <w:r w:rsidRPr="002B77AA">
        <w:rPr>
          <w:szCs w:val="26"/>
        </w:rPr>
        <w:t>demand rides + # scheduled rides)</w:t>
      </w:r>
    </w:p>
    <w:p w:rsidR="00045C7C" w:rsidP="00A23BF7" w:rsidRDefault="00045C7C" w14:paraId="35CC524E" w14:textId="05529E78">
      <w:pPr>
        <w:pStyle w:val="Standard"/>
        <w:spacing w:before="240"/>
      </w:pPr>
      <w:r>
        <w:t>Lyft states that this formula allows performance to be measured for both on</w:t>
      </w:r>
      <w:r w:rsidR="00A23BF7">
        <w:noBreakHyphen/>
      </w:r>
      <w:r>
        <w:t>demand and pre-scheduled rides.  For the Level</w:t>
      </w:r>
      <w:r w:rsidR="00A23BF7">
        <w:t> </w:t>
      </w:r>
      <w:r>
        <w:t>2 benchmark, Lyft proposes the following formula:</w:t>
      </w:r>
    </w:p>
    <w:p w:rsidR="00045C7C" w:rsidP="00A23BF7" w:rsidRDefault="00045C7C" w14:paraId="7A7E5B11" w14:textId="5153BBE5">
      <w:pPr>
        <w:pStyle w:val="Standard"/>
        <w:spacing w:line="240" w:lineRule="auto"/>
        <w:ind w:left="720" w:firstLine="0"/>
        <w:rPr>
          <w:szCs w:val="26"/>
        </w:rPr>
      </w:pPr>
      <w:r w:rsidRPr="00E63C73">
        <w:rPr>
          <w:szCs w:val="26"/>
        </w:rPr>
        <w:t>Percentile = (# on</w:t>
      </w:r>
      <w:r w:rsidR="00A23BF7">
        <w:rPr>
          <w:szCs w:val="26"/>
        </w:rPr>
        <w:noBreakHyphen/>
      </w:r>
      <w:r w:rsidRPr="00E63C73">
        <w:rPr>
          <w:szCs w:val="26"/>
        </w:rPr>
        <w:t>demand rides under</w:t>
      </w:r>
      <w:r w:rsidR="00A23BF7">
        <w:rPr>
          <w:szCs w:val="26"/>
        </w:rPr>
        <w:t> </w:t>
      </w:r>
      <w:r>
        <w:rPr>
          <w:szCs w:val="26"/>
        </w:rPr>
        <w:t>30</w:t>
      </w:r>
      <w:r w:rsidR="00A23BF7">
        <w:rPr>
          <w:szCs w:val="26"/>
        </w:rPr>
        <w:t> </w:t>
      </w:r>
      <w:r w:rsidRPr="00E63C73">
        <w:rPr>
          <w:szCs w:val="26"/>
        </w:rPr>
        <w:t xml:space="preserve">mins + </w:t>
      </w:r>
      <w:r w:rsidRPr="0023462E">
        <w:rPr>
          <w:szCs w:val="26"/>
        </w:rPr>
        <w:t># scheduled rides “on</w:t>
      </w:r>
      <w:r w:rsidR="00A23BF7">
        <w:rPr>
          <w:szCs w:val="26"/>
        </w:rPr>
        <w:t> </w:t>
      </w:r>
      <w:r w:rsidRPr="0023462E">
        <w:rPr>
          <w:szCs w:val="26"/>
        </w:rPr>
        <w:t>time”) / (# on</w:t>
      </w:r>
      <w:r w:rsidR="00A23BF7">
        <w:rPr>
          <w:szCs w:val="26"/>
        </w:rPr>
        <w:noBreakHyphen/>
      </w:r>
      <w:r w:rsidRPr="0023462E">
        <w:rPr>
          <w:szCs w:val="26"/>
        </w:rPr>
        <w:t>demand rides + # scheduled rides)</w:t>
      </w:r>
    </w:p>
    <w:p w:rsidR="00045C7C" w:rsidP="00A23BF7" w:rsidRDefault="00045C7C" w14:paraId="170AEB4D" w14:textId="5B9E42C7">
      <w:pPr>
        <w:pStyle w:val="Standard"/>
        <w:spacing w:before="240"/>
      </w:pPr>
      <w:r>
        <w:t>Under these formulas, “on</w:t>
      </w:r>
      <w:r w:rsidR="00A23BF7">
        <w:t> </w:t>
      </w:r>
      <w:r>
        <w:t>time” would be determined by whether the pre</w:t>
      </w:r>
      <w:r w:rsidR="00A23BF7">
        <w:noBreakHyphen/>
      </w:r>
      <w:r>
        <w:t>scheduled WAV trip arrived according to the range of time offered to the requesting passenger.  For</w:t>
      </w:r>
      <w:r w:rsidR="00A23BF7">
        <w:t> </w:t>
      </w:r>
      <w:r>
        <w:t>example, a passenger may be given a range of time between 4:10 and 4:25</w:t>
      </w:r>
      <w:r w:rsidR="00A23BF7">
        <w:t> </w:t>
      </w:r>
      <w:r>
        <w:t>pm for pickup, and the ride would be deemed “on</w:t>
      </w:r>
      <w:r w:rsidR="00A23BF7">
        <w:t> </w:t>
      </w:r>
      <w:r>
        <w:t>time” if the ride arrived by 4:25</w:t>
      </w:r>
      <w:r w:rsidR="00A23BF7">
        <w:t> </w:t>
      </w:r>
      <w:r>
        <w:t>pm.</w:t>
      </w:r>
    </w:p>
    <w:p w:rsidR="00045C7C" w:rsidP="00045C7C" w:rsidRDefault="00045C7C" w14:paraId="40CCE809" w14:textId="4F5190BD">
      <w:pPr>
        <w:pStyle w:val="Heading4"/>
      </w:pPr>
      <w:bookmarkStart w:name="_Toc125016603" w:id="35"/>
      <w:r>
        <w:t>Comments on Lyft’s Proposal</w:t>
      </w:r>
      <w:bookmarkEnd w:id="35"/>
    </w:p>
    <w:p w:rsidR="00045C7C" w:rsidP="00045C7C" w:rsidRDefault="00045C7C" w14:paraId="1988191F" w14:textId="063BDBA7">
      <w:pPr>
        <w:pStyle w:val="Standard"/>
      </w:pPr>
      <w:r>
        <w:t>Disability Advocates, SFTWA, and San</w:t>
      </w:r>
      <w:r w:rsidR="00A23BF7">
        <w:t> </w:t>
      </w:r>
      <w:r>
        <w:t>Francisco oppose Lyft’s proposal because it relies on Lyft’s discretion to determine whether a ride is “on time.”</w:t>
      </w:r>
      <w:r>
        <w:rPr>
          <w:rStyle w:val="FootnoteReference"/>
        </w:rPr>
        <w:footnoteReference w:id="30"/>
      </w:r>
      <w:r>
        <w:t xml:space="preserve">  </w:t>
      </w:r>
      <w:r>
        <w:lastRenderedPageBreak/>
        <w:t>Disability Advocates and San</w:t>
      </w:r>
      <w:r w:rsidR="00A23BF7">
        <w:t> </w:t>
      </w:r>
      <w:r>
        <w:t>Francisco object to the proposal because it is based on an assumption that pre</w:t>
      </w:r>
      <w:r w:rsidR="00A23BF7">
        <w:noBreakHyphen/>
      </w:r>
      <w:r>
        <w:t xml:space="preserve">scheduled trips will be a small percentage of total WAV trips, and these parties state that low volume should not be a </w:t>
      </w:r>
      <w:r w:rsidR="007F6F2B">
        <w:t>proxy for</w:t>
      </w:r>
      <w:r>
        <w:t xml:space="preserve"> demand.  Disability Advocates states that if Lyft’s proposal is adopted, the Commission should set parameters to ensure appropriate arrival windows.  Uber supports Lyft’s proposal but comments that the proposal uses a 15</w:t>
      </w:r>
      <w:r w:rsidR="00A23BF7">
        <w:noBreakHyphen/>
      </w:r>
      <w:r>
        <w:t>minute “on</w:t>
      </w:r>
      <w:r w:rsidR="00A23BF7">
        <w:t> </w:t>
      </w:r>
      <w:r>
        <w:t>time” window, which may not be reasonable for some counties.</w:t>
      </w:r>
      <w:r>
        <w:rPr>
          <w:rStyle w:val="FootnoteReference"/>
        </w:rPr>
        <w:footnoteReference w:id="31"/>
      </w:r>
      <w:r>
        <w:t xml:space="preserve">  Uber adds that an estimated pickup range may not be feasible for all TNCs if they do not offer such a range.</w:t>
      </w:r>
    </w:p>
    <w:p w:rsidR="00045C7C" w:rsidP="00045C7C" w:rsidRDefault="00045C7C" w14:paraId="072A8BCA" w14:textId="1A002A83">
      <w:pPr>
        <w:pStyle w:val="Heading3"/>
      </w:pPr>
      <w:bookmarkStart w:name="_Toc125016604" w:id="36"/>
      <w:r>
        <w:t>Discussion</w:t>
      </w:r>
      <w:bookmarkEnd w:id="36"/>
    </w:p>
    <w:p w:rsidR="00045C7C" w:rsidP="00045C7C" w:rsidRDefault="00045C7C" w14:paraId="07A6D725" w14:textId="5696132E">
      <w:pPr>
        <w:pStyle w:val="Standard"/>
      </w:pPr>
      <w:r>
        <w:t>The Commission disagrees with adopting performance criteria for pre</w:t>
      </w:r>
      <w:r w:rsidR="00773049">
        <w:noBreakHyphen/>
      </w:r>
      <w:r>
        <w:t>scheduled WAV trips by using the same standards adopted for on</w:t>
      </w:r>
      <w:r w:rsidR="00773049">
        <w:noBreakHyphen/>
      </w:r>
      <w:r>
        <w:t>demand WAV trips, as proposed by Lyft.  As was stated in the April</w:t>
      </w:r>
      <w:r w:rsidR="00773049">
        <w:t> </w:t>
      </w:r>
      <w:r>
        <w:t>11 ACO</w:t>
      </w:r>
      <w:r w:rsidR="00773049">
        <w:t> </w:t>
      </w:r>
      <w:r>
        <w:t>Ruling, “[w]e agree with parties that recommend that pre</w:t>
      </w:r>
      <w:r w:rsidR="00773049">
        <w:noBreakHyphen/>
      </w:r>
      <w:r>
        <w:t>scheduled WAV trips should be eligible for offsets and exemptions only after separate performance metrics are considered and adopted.”</w:t>
      </w:r>
      <w:r>
        <w:rPr>
          <w:rStyle w:val="FootnoteReference"/>
        </w:rPr>
        <w:footnoteReference w:id="32"/>
      </w:r>
      <w:r>
        <w:t xml:space="preserve">  As such, we decline to adopt Lyft’s proposed formula.</w:t>
      </w:r>
    </w:p>
    <w:p w:rsidR="00045C7C" w:rsidP="00045C7C" w:rsidRDefault="00045C7C" w14:paraId="26985BA4" w14:textId="53533821">
      <w:pPr>
        <w:pStyle w:val="Standard"/>
      </w:pPr>
      <w:r>
        <w:t>Both CPED and San</w:t>
      </w:r>
      <w:r w:rsidR="00773049">
        <w:t> </w:t>
      </w:r>
      <w:r>
        <w:t>Francisco propose variations of the current on</w:t>
      </w:r>
      <w:r w:rsidR="00773049">
        <w:noBreakHyphen/>
      </w:r>
      <w:r>
        <w:t xml:space="preserve">demand offset performance metrics to include: </w:t>
      </w:r>
      <w:r w:rsidR="00773049">
        <w:t xml:space="preserve"> </w:t>
      </w:r>
      <w:r>
        <w:t>(a)</w:t>
      </w:r>
      <w:r w:rsidR="00773049">
        <w:t> </w:t>
      </w:r>
      <w:r>
        <w:t>a Trip Completion Standard and (b)</w:t>
      </w:r>
      <w:r w:rsidR="00773049">
        <w:t> </w:t>
      </w:r>
      <w:r>
        <w:t>a response time standard within a response time benchmark.  Both CPED and San</w:t>
      </w:r>
      <w:r w:rsidR="00773049">
        <w:t> </w:t>
      </w:r>
      <w:r>
        <w:t>Francisco developed their proposals after analyzing pre</w:t>
      </w:r>
      <w:r w:rsidR="00773049">
        <w:noBreakHyphen/>
      </w:r>
      <w:r>
        <w:t>scheduled WAV and non</w:t>
      </w:r>
      <w:r w:rsidR="00773049">
        <w:noBreakHyphen/>
      </w:r>
      <w:r>
        <w:t xml:space="preserve">WAV data submitted by TNCs.  The proposals differ, however, in how stringent the standard should be and whether a TNC </w:t>
      </w:r>
      <w:r>
        <w:lastRenderedPageBreak/>
        <w:t>must offer both pre</w:t>
      </w:r>
      <w:r w:rsidR="00773049">
        <w:noBreakHyphen/>
      </w:r>
      <w:r>
        <w:t>scheduled and on</w:t>
      </w:r>
      <w:r w:rsidR="00773049">
        <w:noBreakHyphen/>
      </w:r>
      <w:r>
        <w:t>demand WAV services to qualify for offsets.  San</w:t>
      </w:r>
      <w:r w:rsidR="00773049">
        <w:t> </w:t>
      </w:r>
      <w:r>
        <w:t xml:space="preserve">Francisco proposes a completion rate and </w:t>
      </w:r>
      <w:r w:rsidR="006B6CBD">
        <w:t xml:space="preserve">Pickup Delay </w:t>
      </w:r>
      <w:r w:rsidR="00B54166">
        <w:t>Benchmarks</w:t>
      </w:r>
      <w:r>
        <w:t xml:space="preserve"> that are more stringent than CPED’s proposal.  </w:t>
      </w:r>
    </w:p>
    <w:p w:rsidR="00045C7C" w:rsidP="00045C7C" w:rsidRDefault="00045C7C" w14:paraId="3E007B12" w14:textId="3A9D2C12">
      <w:pPr>
        <w:pStyle w:val="Standard"/>
      </w:pPr>
      <w:r>
        <w:t>The Commission recognizes the challenges in establishing performance metrics for a relatively new pre-scheduled WAV service, which is currently offered only by Lyft in San</w:t>
      </w:r>
      <w:r w:rsidR="00773049">
        <w:t> </w:t>
      </w:r>
      <w:r>
        <w:t>Francisco and Los</w:t>
      </w:r>
      <w:r w:rsidR="00773049">
        <w:t> </w:t>
      </w:r>
      <w:r>
        <w:t>Angeles counties.  We also observe that pre</w:t>
      </w:r>
      <w:r w:rsidR="00773049">
        <w:noBreakHyphen/>
      </w:r>
      <w:r>
        <w:t xml:space="preserve">scheduled service can be a valuable option for WAV passengers that may prefer more flexibility or certainty in booking a WAV trip in advance.  </w:t>
      </w:r>
      <w:r w:rsidRPr="00EF3E2F">
        <w:t>In developing performance metrics</w:t>
      </w:r>
      <w:r>
        <w:t xml:space="preserve">, it is therefore critical to balance the </w:t>
      </w:r>
      <w:r w:rsidR="00B54166">
        <w:t xml:space="preserve">need </w:t>
      </w:r>
      <w:r>
        <w:t xml:space="preserve">to incentivize future development and expansion of pre-scheduled WAV service across California counties, with the need to incentivize rigorous performance standards for offset and exemption eligibility.  </w:t>
      </w:r>
    </w:p>
    <w:p w:rsidR="00045C7C" w:rsidP="00045C7C" w:rsidRDefault="00045C7C" w14:paraId="337E28DF" w14:textId="7E8746FB">
      <w:pPr>
        <w:pStyle w:val="Standard"/>
      </w:pPr>
      <w:r>
        <w:t>We recognize the concern that both San</w:t>
      </w:r>
      <w:r w:rsidR="00773049">
        <w:t> </w:t>
      </w:r>
      <w:r>
        <w:t>Francisco’s and CPED’s proposed response time benchmarks are not currently achievable when applied to Lyft’s existing pre</w:t>
      </w:r>
      <w:r w:rsidR="00773049">
        <w:noBreakHyphen/>
      </w:r>
      <w:r>
        <w:t>scheduled WAV data.  However, we find that CPED’s proposed response time benchmarks offer a middle ground solution that still applies stringent standards for pre-scheduled WAV service and incentivizes increasingly higher performance metrics over time.</w:t>
      </w:r>
    </w:p>
    <w:p w:rsidR="00045C7C" w:rsidP="00045C7C" w:rsidRDefault="00045C7C" w14:paraId="09F2C9DB" w14:textId="2016B24D">
      <w:pPr>
        <w:pStyle w:val="Standard"/>
      </w:pPr>
      <w:r>
        <w:t>Parties raise concerns that CPED’s framework is more complex because it uses both Level</w:t>
      </w:r>
      <w:r w:rsidR="00773049">
        <w:t> </w:t>
      </w:r>
      <w:r>
        <w:t>1 and Level</w:t>
      </w:r>
      <w:r w:rsidR="00773049">
        <w:t> </w:t>
      </w:r>
      <w:r>
        <w:t>2 benchmarks, as opposed to San</w:t>
      </w:r>
      <w:r w:rsidR="00773049">
        <w:t> </w:t>
      </w:r>
      <w:r>
        <w:t xml:space="preserve">Francisco’s proposal that collapses a </w:t>
      </w:r>
      <w:r w:rsidR="006B6CBD">
        <w:t xml:space="preserve">Pickup Delay Standard </w:t>
      </w:r>
      <w:r>
        <w:t xml:space="preserve">and </w:t>
      </w:r>
      <w:r w:rsidR="006B6CBD">
        <w:t xml:space="preserve">Pickup Delay Benchmark </w:t>
      </w:r>
      <w:r>
        <w:t>into one level.  We agree that applying either the Level</w:t>
      </w:r>
      <w:r w:rsidR="00773049">
        <w:t> </w:t>
      </w:r>
      <w:r>
        <w:t>1 or Level</w:t>
      </w:r>
      <w:r w:rsidR="00773049">
        <w:t> </w:t>
      </w:r>
      <w:r>
        <w:t>2 benchmark, mirroring San</w:t>
      </w:r>
      <w:r w:rsidR="00773049">
        <w:t> </w:t>
      </w:r>
      <w:r>
        <w:t>Francisco’s proposal, would minimize complexity and administrative burden.  We find that applying only CPED’s Level</w:t>
      </w:r>
      <w:r w:rsidR="00773049">
        <w:t> </w:t>
      </w:r>
      <w:r>
        <w:t>2 Offset Response Time and Level</w:t>
      </w:r>
      <w:r w:rsidR="00773049">
        <w:t> </w:t>
      </w:r>
      <w:r>
        <w:t xml:space="preserve">2 Percentage of Completed Trips would still impose a sufficiently high standard that incentivizes increased performance over time.  </w:t>
      </w:r>
      <w:r>
        <w:lastRenderedPageBreak/>
        <w:t>This approach would also address TNCs’ concerns that both CPED</w:t>
      </w:r>
      <w:r w:rsidR="00B54166">
        <w:t>’s</w:t>
      </w:r>
      <w:r>
        <w:t xml:space="preserve"> and San</w:t>
      </w:r>
      <w:r w:rsidR="00773049">
        <w:t> </w:t>
      </w:r>
      <w:r>
        <w:t>Francisco’s proposed metrics are not currently achievable.  Therefore, we deem it reasonable to modify CPED’s proposal to apply only the Level</w:t>
      </w:r>
      <w:r w:rsidR="00773049">
        <w:t> </w:t>
      </w:r>
      <w:r>
        <w:t>2 Offset Response Time and Level</w:t>
      </w:r>
      <w:r w:rsidR="00773049">
        <w:t> </w:t>
      </w:r>
      <w:r>
        <w:t xml:space="preserve">2 Percentage of Completed Trips.  </w:t>
      </w:r>
    </w:p>
    <w:p w:rsidR="00045C7C" w:rsidP="00795D62" w:rsidRDefault="00045C7C" w14:paraId="42369E0A" w14:textId="670182B0">
      <w:pPr>
        <w:pStyle w:val="Standard"/>
        <w:spacing w:after="240"/>
      </w:pPr>
      <w:r>
        <w:t>Accordingly, CPED’s proposed offset metrics are adopted, with a modification that only the Level</w:t>
      </w:r>
      <w:r w:rsidR="00773049">
        <w:t> </w:t>
      </w:r>
      <w:r>
        <w:t>2 Offset Response Time and Level</w:t>
      </w:r>
      <w:r w:rsidR="00773049">
        <w:t> </w:t>
      </w:r>
      <w:r>
        <w:t>2 Percentage of Completed Trips shall apply.  To demonstrate improved level of service for pre</w:t>
      </w:r>
      <w:r w:rsidR="00773049">
        <w:noBreakHyphen/>
      </w:r>
      <w:r>
        <w:t xml:space="preserve">scheduled WAV trips, a TNC shall demonstrate it met the relevant </w:t>
      </w:r>
      <w:r w:rsidR="006B6CBD">
        <w:t>Pickup Delay Standard (</w:t>
      </w:r>
      <w:r>
        <w:t>PDS</w:t>
      </w:r>
      <w:r w:rsidR="006B6CBD">
        <w:t>)</w:t>
      </w:r>
      <w:r>
        <w:t xml:space="preserve"> within the </w:t>
      </w:r>
      <w:r w:rsidR="006B6CBD">
        <w:t>Pickup Delay Benchmark (</w:t>
      </w:r>
      <w:r>
        <w:t>PDB</w:t>
      </w:r>
      <w:r w:rsidR="006B6CBD">
        <w:t>)</w:t>
      </w:r>
      <w:r>
        <w:t xml:space="preserve"> for a given quarter in a given geographic area.  The 1</w:t>
      </w:r>
      <w:r w:rsidRPr="001A4DDD">
        <w:rPr>
          <w:vertAlign w:val="superscript"/>
        </w:rPr>
        <w:t>st</w:t>
      </w:r>
      <w:r w:rsidR="00795D62">
        <w:t> </w:t>
      </w:r>
      <w:r>
        <w:t>Quarter benchmarks shall apply in the first quarter that a TNC applies for offsets for pre</w:t>
      </w:r>
      <w:r w:rsidR="00795D62">
        <w:noBreakHyphen/>
      </w:r>
      <w:r>
        <w:t>scheduled WAV service.  We have replaced the terminology “Offset</w:t>
      </w:r>
      <w:r w:rsidR="00795D62">
        <w:t> </w:t>
      </w:r>
      <w:r>
        <w:t>Response Time” with “Pickup Delay” to align with the terminology adopted in Section</w:t>
      </w:r>
      <w:r w:rsidR="00795D62">
        <w:t> </w:t>
      </w:r>
      <w:r>
        <w:t>3.2.</w:t>
      </w:r>
    </w:p>
    <w:tbl>
      <w:tblPr>
        <w:tblStyle w:val="TableGrid"/>
        <w:tblW w:w="9175" w:type="dxa"/>
        <w:jc w:val="center"/>
        <w:tblLook w:val="04A0" w:firstRow="1" w:lastRow="0" w:firstColumn="1" w:lastColumn="0" w:noHBand="0" w:noVBand="1"/>
      </w:tblPr>
      <w:tblGrid>
        <w:gridCol w:w="6295"/>
        <w:gridCol w:w="2880"/>
      </w:tblGrid>
      <w:tr w:rsidRPr="000E26C3" w:rsidR="00045C7C" w:rsidTr="00E87C2D" w14:paraId="43B703BF" w14:textId="77777777">
        <w:trPr>
          <w:jc w:val="center"/>
        </w:trPr>
        <w:tc>
          <w:tcPr>
            <w:tcW w:w="9175" w:type="dxa"/>
            <w:gridSpan w:val="2"/>
            <w:shd w:val="clear" w:color="auto" w:fill="F2F2F2" w:themeFill="background1" w:themeFillShade="F2"/>
          </w:tcPr>
          <w:p w:rsidRPr="000E26C3" w:rsidR="00045C7C" w:rsidP="00E87C2D" w:rsidRDefault="00045C7C" w14:paraId="4459CA69" w14:textId="61309EFB">
            <w:pPr>
              <w:autoSpaceDE w:val="0"/>
              <w:autoSpaceDN w:val="0"/>
              <w:adjustRightInd w:val="0"/>
              <w:spacing w:line="240" w:lineRule="auto"/>
              <w:ind w:firstLine="0"/>
              <w:jc w:val="center"/>
              <w:rPr>
                <w:rFonts w:cs="BookAntiqua"/>
                <w:b/>
                <w:bCs/>
                <w:sz w:val="24"/>
                <w:szCs w:val="24"/>
              </w:rPr>
            </w:pPr>
            <w:r>
              <w:rPr>
                <w:rFonts w:cs="BookAntiqua"/>
                <w:b/>
                <w:bCs/>
                <w:sz w:val="24"/>
                <w:szCs w:val="24"/>
              </w:rPr>
              <w:t>Pre-scheduled PDS</w:t>
            </w:r>
          </w:p>
        </w:tc>
      </w:tr>
      <w:tr w:rsidRPr="000E26C3" w:rsidR="00045C7C" w:rsidTr="00E87C2D" w14:paraId="27C53E92" w14:textId="77777777">
        <w:trPr>
          <w:jc w:val="center"/>
        </w:trPr>
        <w:tc>
          <w:tcPr>
            <w:tcW w:w="9175" w:type="dxa"/>
            <w:gridSpan w:val="2"/>
            <w:shd w:val="clear" w:color="auto" w:fill="F2F2F2" w:themeFill="background1" w:themeFillShade="F2"/>
          </w:tcPr>
          <w:p w:rsidRPr="000E26C3" w:rsidR="00045C7C" w:rsidP="00E87C2D" w:rsidRDefault="00045C7C" w14:paraId="5F179BEA" w14:textId="57F3522E">
            <w:pPr>
              <w:autoSpaceDE w:val="0"/>
              <w:autoSpaceDN w:val="0"/>
              <w:adjustRightInd w:val="0"/>
              <w:spacing w:line="240" w:lineRule="auto"/>
              <w:ind w:firstLine="0"/>
              <w:jc w:val="center"/>
              <w:rPr>
                <w:rFonts w:cs="BookAntiqua"/>
                <w:b/>
                <w:bCs/>
                <w:sz w:val="24"/>
                <w:szCs w:val="24"/>
              </w:rPr>
            </w:pPr>
            <w:r w:rsidRPr="000E26C3">
              <w:rPr>
                <w:rFonts w:cs="BookAntiqua"/>
                <w:b/>
                <w:bCs/>
                <w:sz w:val="24"/>
                <w:szCs w:val="24"/>
              </w:rPr>
              <w:t xml:space="preserve">Percentage of Completed Trips under </w:t>
            </w:r>
            <w:r>
              <w:rPr>
                <w:rFonts w:cs="BookAntiqua"/>
                <w:b/>
                <w:bCs/>
                <w:sz w:val="24"/>
                <w:szCs w:val="24"/>
              </w:rPr>
              <w:t>PDBs</w:t>
            </w:r>
          </w:p>
        </w:tc>
      </w:tr>
      <w:tr w:rsidRPr="000E26C3" w:rsidR="00045C7C" w:rsidTr="00E87C2D" w14:paraId="5BDBA19D" w14:textId="77777777">
        <w:trPr>
          <w:jc w:val="center"/>
        </w:trPr>
        <w:tc>
          <w:tcPr>
            <w:tcW w:w="6295" w:type="dxa"/>
          </w:tcPr>
          <w:p w:rsidRPr="000E26C3" w:rsidR="00045C7C" w:rsidP="00E87C2D" w:rsidRDefault="00045C7C" w14:paraId="54FE235B"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1</w:t>
            </w:r>
            <w:r w:rsidRPr="000E26C3">
              <w:rPr>
                <w:rFonts w:cs="BookAntiqua"/>
                <w:sz w:val="24"/>
                <w:szCs w:val="24"/>
                <w:vertAlign w:val="superscript"/>
              </w:rPr>
              <w:t>st</w:t>
            </w:r>
            <w:r w:rsidRPr="000E26C3">
              <w:rPr>
                <w:rFonts w:cs="BookAntiqua"/>
                <w:sz w:val="24"/>
                <w:szCs w:val="24"/>
              </w:rPr>
              <w:t xml:space="preserve"> Quarter Submission</w:t>
            </w:r>
          </w:p>
        </w:tc>
        <w:tc>
          <w:tcPr>
            <w:tcW w:w="2880" w:type="dxa"/>
          </w:tcPr>
          <w:p w:rsidRPr="000E26C3" w:rsidR="00045C7C" w:rsidP="00E87C2D" w:rsidRDefault="00045C7C" w14:paraId="349F3C5E"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80%</w:t>
            </w:r>
          </w:p>
        </w:tc>
      </w:tr>
      <w:tr w:rsidRPr="000E26C3" w:rsidR="00045C7C" w:rsidTr="00E87C2D" w14:paraId="10EE482C" w14:textId="77777777">
        <w:trPr>
          <w:jc w:val="center"/>
        </w:trPr>
        <w:tc>
          <w:tcPr>
            <w:tcW w:w="6295" w:type="dxa"/>
          </w:tcPr>
          <w:p w:rsidRPr="000E26C3" w:rsidR="00045C7C" w:rsidP="00E87C2D" w:rsidRDefault="00045C7C" w14:paraId="13D3D81C"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2</w:t>
            </w:r>
            <w:r w:rsidRPr="000E26C3">
              <w:rPr>
                <w:rFonts w:cs="BookAntiqua"/>
                <w:sz w:val="24"/>
                <w:szCs w:val="24"/>
                <w:vertAlign w:val="superscript"/>
              </w:rPr>
              <w:t>nd</w:t>
            </w:r>
            <w:r w:rsidRPr="000E26C3">
              <w:rPr>
                <w:rFonts w:cs="BookAntiqua"/>
                <w:sz w:val="24"/>
                <w:szCs w:val="24"/>
              </w:rPr>
              <w:t xml:space="preserve"> Quarter</w:t>
            </w:r>
          </w:p>
        </w:tc>
        <w:tc>
          <w:tcPr>
            <w:tcW w:w="2880" w:type="dxa"/>
          </w:tcPr>
          <w:p w:rsidRPr="000E26C3" w:rsidR="00045C7C" w:rsidP="00E87C2D" w:rsidRDefault="00045C7C" w14:paraId="41165601"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81%</w:t>
            </w:r>
          </w:p>
        </w:tc>
      </w:tr>
      <w:tr w:rsidRPr="000E26C3" w:rsidR="00045C7C" w:rsidTr="00E87C2D" w14:paraId="36EEBD96" w14:textId="77777777">
        <w:trPr>
          <w:trHeight w:val="188"/>
          <w:jc w:val="center"/>
        </w:trPr>
        <w:tc>
          <w:tcPr>
            <w:tcW w:w="6295" w:type="dxa"/>
          </w:tcPr>
          <w:p w:rsidRPr="000E26C3" w:rsidR="00045C7C" w:rsidP="00E87C2D" w:rsidRDefault="00045C7C" w14:paraId="2053715D" w14:textId="77777777">
            <w:pPr>
              <w:pStyle w:val="standard0"/>
              <w:spacing w:line="240" w:lineRule="auto"/>
              <w:ind w:firstLine="0"/>
              <w:rPr>
                <w:rFonts w:ascii="Book Antiqua" w:hAnsi="Book Antiqua"/>
                <w:sz w:val="24"/>
                <w:szCs w:val="24"/>
              </w:rPr>
            </w:pPr>
            <w:r w:rsidRPr="000E26C3">
              <w:rPr>
                <w:rFonts w:ascii="Book Antiqua" w:hAnsi="Book Antiqua"/>
                <w:sz w:val="24"/>
                <w:szCs w:val="24"/>
              </w:rPr>
              <w:t>3</w:t>
            </w:r>
            <w:r w:rsidRPr="000E26C3">
              <w:rPr>
                <w:rFonts w:ascii="Book Antiqua" w:hAnsi="Book Antiqua"/>
                <w:sz w:val="24"/>
                <w:szCs w:val="24"/>
                <w:vertAlign w:val="superscript"/>
              </w:rPr>
              <w:t>rd</w:t>
            </w:r>
            <w:r w:rsidRPr="000E26C3">
              <w:rPr>
                <w:rFonts w:ascii="Book Antiqua" w:hAnsi="Book Antiqua"/>
                <w:sz w:val="24"/>
                <w:szCs w:val="24"/>
              </w:rPr>
              <w:t xml:space="preserve"> Quarter</w:t>
            </w:r>
          </w:p>
        </w:tc>
        <w:tc>
          <w:tcPr>
            <w:tcW w:w="2880" w:type="dxa"/>
          </w:tcPr>
          <w:p w:rsidRPr="000E26C3" w:rsidR="00045C7C" w:rsidP="00E87C2D" w:rsidRDefault="00045C7C" w14:paraId="3C30CB29" w14:textId="77777777">
            <w:pPr>
              <w:pStyle w:val="standard0"/>
              <w:spacing w:line="240" w:lineRule="auto"/>
              <w:ind w:firstLine="0"/>
              <w:jc w:val="center"/>
              <w:rPr>
                <w:rFonts w:ascii="Book Antiqua" w:hAnsi="Book Antiqua"/>
                <w:sz w:val="24"/>
                <w:szCs w:val="24"/>
              </w:rPr>
            </w:pPr>
            <w:r w:rsidRPr="000E26C3">
              <w:rPr>
                <w:rFonts w:ascii="Book Antiqua" w:hAnsi="Book Antiqua"/>
                <w:sz w:val="24"/>
                <w:szCs w:val="24"/>
              </w:rPr>
              <w:t>83%</w:t>
            </w:r>
          </w:p>
        </w:tc>
      </w:tr>
      <w:tr w:rsidRPr="000E26C3" w:rsidR="00045C7C" w:rsidTr="00E87C2D" w14:paraId="186D2FF2" w14:textId="77777777">
        <w:tblPrEx>
          <w:jc w:val="left"/>
        </w:tblPrEx>
        <w:tc>
          <w:tcPr>
            <w:tcW w:w="6295" w:type="dxa"/>
          </w:tcPr>
          <w:p w:rsidRPr="000E26C3" w:rsidR="00045C7C" w:rsidP="00E87C2D" w:rsidRDefault="00045C7C" w14:paraId="7FEBE739"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4</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045C7C" w:rsidP="00E87C2D" w:rsidRDefault="00045C7C" w14:paraId="18127DB4"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84%</w:t>
            </w:r>
          </w:p>
        </w:tc>
      </w:tr>
      <w:tr w:rsidRPr="000E26C3" w:rsidR="00045C7C" w:rsidTr="00E87C2D" w14:paraId="731B1F7F" w14:textId="77777777">
        <w:tblPrEx>
          <w:jc w:val="left"/>
        </w:tblPrEx>
        <w:tc>
          <w:tcPr>
            <w:tcW w:w="6295" w:type="dxa"/>
          </w:tcPr>
          <w:p w:rsidRPr="000E26C3" w:rsidR="00045C7C" w:rsidP="00E87C2D" w:rsidRDefault="00045C7C" w14:paraId="2FD50A51"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5</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045C7C" w:rsidP="00E87C2D" w:rsidRDefault="00045C7C" w14:paraId="1AF99022"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86%</w:t>
            </w:r>
          </w:p>
        </w:tc>
      </w:tr>
      <w:tr w:rsidRPr="000E26C3" w:rsidR="00045C7C" w:rsidTr="00E87C2D" w14:paraId="44CCA09F" w14:textId="77777777">
        <w:tblPrEx>
          <w:jc w:val="left"/>
        </w:tblPrEx>
        <w:trPr>
          <w:trHeight w:val="296"/>
        </w:trPr>
        <w:tc>
          <w:tcPr>
            <w:tcW w:w="6295" w:type="dxa"/>
          </w:tcPr>
          <w:p w:rsidRPr="000E26C3" w:rsidR="00045C7C" w:rsidP="00E87C2D" w:rsidRDefault="00045C7C" w14:paraId="72943F59" w14:textId="77777777">
            <w:pPr>
              <w:pStyle w:val="standard0"/>
              <w:spacing w:line="240" w:lineRule="auto"/>
              <w:ind w:firstLine="0"/>
              <w:rPr>
                <w:rFonts w:ascii="Book Antiqua" w:hAnsi="Book Antiqua"/>
                <w:sz w:val="24"/>
                <w:szCs w:val="24"/>
              </w:rPr>
            </w:pPr>
            <w:r w:rsidRPr="000E26C3">
              <w:rPr>
                <w:rFonts w:ascii="Book Antiqua" w:hAnsi="Book Antiqua"/>
                <w:sz w:val="24"/>
                <w:szCs w:val="24"/>
              </w:rPr>
              <w:t>6</w:t>
            </w:r>
            <w:r w:rsidRPr="000E26C3">
              <w:rPr>
                <w:rFonts w:ascii="Book Antiqua" w:hAnsi="Book Antiqua"/>
                <w:sz w:val="24"/>
                <w:szCs w:val="24"/>
                <w:vertAlign w:val="superscript"/>
              </w:rPr>
              <w:t>th</w:t>
            </w:r>
            <w:r w:rsidRPr="000E26C3">
              <w:rPr>
                <w:rFonts w:ascii="Book Antiqua" w:hAnsi="Book Antiqua"/>
                <w:sz w:val="24"/>
                <w:szCs w:val="24"/>
              </w:rPr>
              <w:t xml:space="preserve"> Quarter</w:t>
            </w:r>
          </w:p>
        </w:tc>
        <w:tc>
          <w:tcPr>
            <w:tcW w:w="2880" w:type="dxa"/>
          </w:tcPr>
          <w:p w:rsidRPr="000E26C3" w:rsidR="00045C7C" w:rsidP="00E87C2D" w:rsidRDefault="00045C7C" w14:paraId="3C4F2F0C" w14:textId="77777777">
            <w:pPr>
              <w:pStyle w:val="standard0"/>
              <w:spacing w:line="240" w:lineRule="auto"/>
              <w:ind w:firstLine="0"/>
              <w:jc w:val="center"/>
              <w:rPr>
                <w:rFonts w:ascii="Book Antiqua" w:hAnsi="Book Antiqua"/>
                <w:sz w:val="24"/>
                <w:szCs w:val="24"/>
              </w:rPr>
            </w:pPr>
            <w:r w:rsidRPr="000E26C3">
              <w:rPr>
                <w:rFonts w:ascii="Book Antiqua" w:hAnsi="Book Antiqua"/>
                <w:sz w:val="24"/>
                <w:szCs w:val="24"/>
              </w:rPr>
              <w:t>87%</w:t>
            </w:r>
          </w:p>
        </w:tc>
      </w:tr>
      <w:tr w:rsidRPr="000E26C3" w:rsidR="00045C7C" w:rsidTr="00E87C2D" w14:paraId="6E1EEF29" w14:textId="77777777">
        <w:tblPrEx>
          <w:jc w:val="left"/>
        </w:tblPrEx>
        <w:tc>
          <w:tcPr>
            <w:tcW w:w="6295" w:type="dxa"/>
          </w:tcPr>
          <w:p w:rsidRPr="000E26C3" w:rsidR="00045C7C" w:rsidP="00E87C2D" w:rsidRDefault="00045C7C" w14:paraId="793AD59D"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7</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045C7C" w:rsidP="00E87C2D" w:rsidRDefault="00045C7C" w14:paraId="6121F0C7"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89%</w:t>
            </w:r>
          </w:p>
        </w:tc>
      </w:tr>
      <w:tr w:rsidRPr="000E26C3" w:rsidR="00045C7C" w:rsidTr="00E87C2D" w14:paraId="667FABC4" w14:textId="77777777">
        <w:tblPrEx>
          <w:jc w:val="left"/>
        </w:tblPrEx>
        <w:tc>
          <w:tcPr>
            <w:tcW w:w="6295" w:type="dxa"/>
          </w:tcPr>
          <w:p w:rsidRPr="000E26C3" w:rsidR="00045C7C" w:rsidP="00E87C2D" w:rsidRDefault="00045C7C" w14:paraId="33C9F52D"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8</w:t>
            </w:r>
            <w:r w:rsidRPr="000E26C3">
              <w:rPr>
                <w:rFonts w:cs="BookAntiqua"/>
                <w:sz w:val="24"/>
                <w:szCs w:val="24"/>
                <w:vertAlign w:val="superscript"/>
              </w:rPr>
              <w:t>th</w:t>
            </w:r>
            <w:r w:rsidRPr="000E26C3">
              <w:rPr>
                <w:rFonts w:cs="BookAntiqua"/>
                <w:sz w:val="24"/>
                <w:szCs w:val="24"/>
              </w:rPr>
              <w:t xml:space="preserve"> (and subsequent) Quarter</w:t>
            </w:r>
          </w:p>
        </w:tc>
        <w:tc>
          <w:tcPr>
            <w:tcW w:w="2880" w:type="dxa"/>
          </w:tcPr>
          <w:p w:rsidRPr="000E26C3" w:rsidR="00045C7C" w:rsidP="00E87C2D" w:rsidRDefault="00045C7C" w14:paraId="65CF8DCC"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90%</w:t>
            </w:r>
          </w:p>
        </w:tc>
      </w:tr>
    </w:tbl>
    <w:p w:rsidR="00630776" w:rsidP="00045C7C" w:rsidRDefault="00630776" w14:paraId="7C0F7908" w14:textId="77777777">
      <w:pPr>
        <w:pStyle w:val="Standard"/>
        <w:ind w:firstLine="0"/>
      </w:pPr>
    </w:p>
    <w:tbl>
      <w:tblPr>
        <w:tblStyle w:val="TableGrid"/>
        <w:tblW w:w="9265" w:type="dxa"/>
        <w:jc w:val="center"/>
        <w:tblLook w:val="04A0" w:firstRow="1" w:lastRow="0" w:firstColumn="1" w:lastColumn="0" w:noHBand="0" w:noVBand="1"/>
      </w:tblPr>
      <w:tblGrid>
        <w:gridCol w:w="7825"/>
        <w:gridCol w:w="1440"/>
      </w:tblGrid>
      <w:tr w:rsidRPr="00066424" w:rsidR="00045C7C" w:rsidTr="00E87C2D" w14:paraId="13F2CECD" w14:textId="77777777">
        <w:trPr>
          <w:tblHeader/>
          <w:jc w:val="center"/>
        </w:trPr>
        <w:tc>
          <w:tcPr>
            <w:tcW w:w="9265" w:type="dxa"/>
            <w:gridSpan w:val="2"/>
            <w:shd w:val="clear" w:color="auto" w:fill="F2F2F2" w:themeFill="background1" w:themeFillShade="F2"/>
            <w:vAlign w:val="center"/>
          </w:tcPr>
          <w:p w:rsidRPr="000E26C3" w:rsidR="00045C7C" w:rsidP="00630776" w:rsidRDefault="00045C7C" w14:paraId="10291AB8" w14:textId="37E49D07">
            <w:pPr>
              <w:pStyle w:val="ListParagraph"/>
              <w:keepNext/>
              <w:keepLines/>
              <w:spacing w:after="0"/>
              <w:ind w:left="0" w:right="0"/>
              <w:jc w:val="center"/>
              <w:rPr>
                <w:b/>
                <w:bCs/>
                <w:sz w:val="24"/>
                <w:szCs w:val="24"/>
              </w:rPr>
            </w:pPr>
            <w:r w:rsidRPr="000E26C3">
              <w:rPr>
                <w:b/>
                <w:bCs/>
                <w:sz w:val="24"/>
                <w:szCs w:val="24"/>
              </w:rPr>
              <w:lastRenderedPageBreak/>
              <w:t xml:space="preserve">Pre-scheduled </w:t>
            </w:r>
            <w:r>
              <w:rPr>
                <w:b/>
                <w:bCs/>
                <w:sz w:val="24"/>
                <w:szCs w:val="24"/>
              </w:rPr>
              <w:t>PDB</w:t>
            </w:r>
          </w:p>
        </w:tc>
      </w:tr>
      <w:tr w:rsidRPr="00066424" w:rsidR="00045C7C" w:rsidTr="00E87C2D" w14:paraId="39622A58" w14:textId="77777777">
        <w:trPr>
          <w:tblHeader/>
          <w:jc w:val="center"/>
        </w:trPr>
        <w:tc>
          <w:tcPr>
            <w:tcW w:w="7825" w:type="dxa"/>
            <w:shd w:val="clear" w:color="auto" w:fill="F2F2F2" w:themeFill="background1" w:themeFillShade="F2"/>
            <w:vAlign w:val="center"/>
          </w:tcPr>
          <w:p w:rsidRPr="000E26C3" w:rsidR="00045C7C" w:rsidP="00630776" w:rsidRDefault="00045C7C" w14:paraId="64F44CA9" w14:textId="77777777">
            <w:pPr>
              <w:keepNext/>
              <w:keepLines/>
              <w:spacing w:line="240" w:lineRule="auto"/>
              <w:ind w:firstLine="0"/>
              <w:jc w:val="center"/>
              <w:rPr>
                <w:b/>
                <w:bCs/>
                <w:sz w:val="24"/>
                <w:szCs w:val="24"/>
              </w:rPr>
            </w:pPr>
            <w:r w:rsidRPr="000E26C3">
              <w:rPr>
                <w:b/>
                <w:bCs/>
                <w:sz w:val="24"/>
                <w:szCs w:val="24"/>
              </w:rPr>
              <w:t>Geographic Area/County</w:t>
            </w:r>
          </w:p>
        </w:tc>
        <w:tc>
          <w:tcPr>
            <w:tcW w:w="1440" w:type="dxa"/>
            <w:shd w:val="clear" w:color="auto" w:fill="F2F2F2" w:themeFill="background1" w:themeFillShade="F2"/>
            <w:vAlign w:val="center"/>
          </w:tcPr>
          <w:p w:rsidRPr="000E26C3" w:rsidR="00045C7C" w:rsidP="00630776" w:rsidRDefault="00045C7C" w14:paraId="0B2DE676" w14:textId="77777777">
            <w:pPr>
              <w:pStyle w:val="ListParagraph"/>
              <w:keepNext/>
              <w:keepLines/>
              <w:spacing w:after="0"/>
              <w:ind w:left="0" w:right="0" w:firstLine="0"/>
              <w:jc w:val="center"/>
              <w:rPr>
                <w:b/>
                <w:bCs/>
                <w:sz w:val="24"/>
                <w:szCs w:val="24"/>
              </w:rPr>
            </w:pPr>
            <w:r w:rsidRPr="000E26C3">
              <w:rPr>
                <w:b/>
                <w:bCs/>
                <w:sz w:val="24"/>
                <w:szCs w:val="24"/>
              </w:rPr>
              <w:t>Response Time</w:t>
            </w:r>
          </w:p>
          <w:p w:rsidRPr="000E26C3" w:rsidR="00045C7C" w:rsidP="00630776" w:rsidRDefault="00045C7C" w14:paraId="7AEEE207" w14:textId="77777777">
            <w:pPr>
              <w:keepNext/>
              <w:keepLines/>
              <w:spacing w:line="240" w:lineRule="auto"/>
              <w:ind w:firstLine="0"/>
              <w:jc w:val="center"/>
              <w:rPr>
                <w:b/>
                <w:bCs/>
                <w:sz w:val="24"/>
                <w:szCs w:val="24"/>
              </w:rPr>
            </w:pPr>
            <w:r w:rsidRPr="000E26C3">
              <w:rPr>
                <w:b/>
                <w:bCs/>
                <w:sz w:val="24"/>
                <w:szCs w:val="24"/>
              </w:rPr>
              <w:t>(mins)</w:t>
            </w:r>
          </w:p>
        </w:tc>
      </w:tr>
      <w:tr w:rsidRPr="00066424" w:rsidR="00045C7C" w:rsidTr="00E87C2D" w14:paraId="135FA8F5" w14:textId="77777777">
        <w:trPr>
          <w:jc w:val="center"/>
        </w:trPr>
        <w:tc>
          <w:tcPr>
            <w:tcW w:w="7825" w:type="dxa"/>
            <w:vAlign w:val="center"/>
          </w:tcPr>
          <w:p w:rsidRPr="000E26C3" w:rsidR="00045C7C" w:rsidP="00630776" w:rsidRDefault="00045C7C" w14:paraId="05FF38EE" w14:textId="77777777">
            <w:pPr>
              <w:keepNext/>
              <w:keepLines/>
              <w:spacing w:line="240" w:lineRule="auto"/>
              <w:ind w:firstLine="0"/>
              <w:rPr>
                <w:sz w:val="24"/>
                <w:szCs w:val="24"/>
              </w:rPr>
            </w:pPr>
            <w:r w:rsidRPr="000E26C3">
              <w:rPr>
                <w:sz w:val="24"/>
                <w:szCs w:val="24"/>
              </w:rPr>
              <w:t>San Francisco</w:t>
            </w:r>
          </w:p>
        </w:tc>
        <w:tc>
          <w:tcPr>
            <w:tcW w:w="1440" w:type="dxa"/>
            <w:shd w:val="clear" w:color="auto" w:fill="FFFFFF" w:themeFill="background1"/>
            <w:vAlign w:val="center"/>
          </w:tcPr>
          <w:p w:rsidRPr="000E26C3" w:rsidR="00045C7C" w:rsidP="00630776" w:rsidRDefault="00045C7C" w14:paraId="2B37B676" w14:textId="77777777">
            <w:pPr>
              <w:keepNext/>
              <w:keepLines/>
              <w:spacing w:line="240" w:lineRule="auto"/>
              <w:ind w:firstLine="0"/>
              <w:jc w:val="center"/>
              <w:rPr>
                <w:sz w:val="24"/>
                <w:szCs w:val="24"/>
              </w:rPr>
            </w:pPr>
            <w:r w:rsidRPr="000E26C3">
              <w:rPr>
                <w:sz w:val="24"/>
                <w:szCs w:val="24"/>
              </w:rPr>
              <w:t>8</w:t>
            </w:r>
          </w:p>
        </w:tc>
      </w:tr>
      <w:tr w:rsidRPr="00066424" w:rsidR="00045C7C" w:rsidTr="00E87C2D" w14:paraId="37694B38" w14:textId="77777777">
        <w:trPr>
          <w:jc w:val="center"/>
        </w:trPr>
        <w:tc>
          <w:tcPr>
            <w:tcW w:w="7825" w:type="dxa"/>
            <w:vAlign w:val="center"/>
          </w:tcPr>
          <w:p w:rsidRPr="000E26C3" w:rsidR="00045C7C" w:rsidP="00630776" w:rsidRDefault="00045C7C" w14:paraId="57E17B8B" w14:textId="77777777">
            <w:pPr>
              <w:pStyle w:val="ListParagraph"/>
              <w:keepNext/>
              <w:keepLines/>
              <w:spacing w:after="0"/>
              <w:ind w:left="0" w:right="0" w:firstLine="0"/>
              <w:rPr>
                <w:sz w:val="24"/>
                <w:szCs w:val="24"/>
              </w:rPr>
            </w:pPr>
            <w:r w:rsidRPr="000E26C3">
              <w:rPr>
                <w:sz w:val="24"/>
                <w:szCs w:val="24"/>
              </w:rPr>
              <w:t>Alameda, Contra Costa, Imperial, Los Angeles, Madera, Orange, Sacramento, San Joaquin, San Luis Obispo, San Diego, San Mateo, Santa Barbara, Santa Clara, Santa Cruz, Shasta, Solano, Stanislaus, Ventura</w:t>
            </w:r>
          </w:p>
        </w:tc>
        <w:tc>
          <w:tcPr>
            <w:tcW w:w="1440" w:type="dxa"/>
            <w:shd w:val="clear" w:color="auto" w:fill="FFFFFF" w:themeFill="background1"/>
            <w:vAlign w:val="center"/>
          </w:tcPr>
          <w:p w:rsidRPr="000E26C3" w:rsidR="00045C7C" w:rsidP="00630776" w:rsidRDefault="00045C7C" w14:paraId="004D7AB6" w14:textId="77777777">
            <w:pPr>
              <w:keepNext/>
              <w:keepLines/>
              <w:spacing w:line="240" w:lineRule="auto"/>
              <w:ind w:firstLine="0"/>
              <w:jc w:val="center"/>
              <w:rPr>
                <w:sz w:val="24"/>
                <w:szCs w:val="24"/>
              </w:rPr>
            </w:pPr>
            <w:r w:rsidRPr="000E26C3">
              <w:rPr>
                <w:sz w:val="24"/>
                <w:szCs w:val="24"/>
              </w:rPr>
              <w:t>13</w:t>
            </w:r>
          </w:p>
        </w:tc>
      </w:tr>
      <w:tr w:rsidRPr="00066424" w:rsidR="00045C7C" w:rsidTr="00E87C2D" w14:paraId="0E3CCBBA" w14:textId="77777777">
        <w:trPr>
          <w:jc w:val="center"/>
        </w:trPr>
        <w:tc>
          <w:tcPr>
            <w:tcW w:w="7825" w:type="dxa"/>
            <w:vAlign w:val="center"/>
          </w:tcPr>
          <w:p w:rsidRPr="000E26C3" w:rsidR="00045C7C" w:rsidP="00630776" w:rsidRDefault="00045C7C" w14:paraId="5D77788A" w14:textId="77777777">
            <w:pPr>
              <w:pStyle w:val="ListParagraph"/>
              <w:keepNext/>
              <w:keepLines/>
              <w:spacing w:after="0"/>
              <w:ind w:left="0" w:right="0" w:firstLine="0"/>
              <w:rPr>
                <w:sz w:val="24"/>
                <w:szCs w:val="24"/>
              </w:rPr>
            </w:pPr>
            <w:r w:rsidRPr="000E26C3">
              <w:rPr>
                <w:sz w:val="24"/>
                <w:szCs w:val="24"/>
              </w:rPr>
              <w:t>Alpine, Amador, Butte, Calaveras, Colusa, Del Norte, El Dorado, Fresno, Glenn, Humboldt, Inyo, Kern, Kings, Lake, Lassen, Marin, Mariposa, Mendocino, Merced, Modoc, Mono, Monterey, Napa, Nevada, Placer, Plumas, Riverside, San Benito, San Bernardino, Sierra, Siskiyou, Sonoma, Sutter, Tehama, Trinity, Tulare, Tuolumne, Yolo, Yuba</w:t>
            </w:r>
          </w:p>
        </w:tc>
        <w:tc>
          <w:tcPr>
            <w:tcW w:w="1440" w:type="dxa"/>
            <w:shd w:val="clear" w:color="auto" w:fill="FFFFFF" w:themeFill="background1"/>
            <w:vAlign w:val="center"/>
          </w:tcPr>
          <w:p w:rsidRPr="000E26C3" w:rsidR="00045C7C" w:rsidP="00630776" w:rsidRDefault="00045C7C" w14:paraId="4B581C26" w14:textId="77777777">
            <w:pPr>
              <w:keepNext/>
              <w:keepLines/>
              <w:spacing w:line="240" w:lineRule="auto"/>
              <w:ind w:firstLine="0"/>
              <w:jc w:val="center"/>
              <w:rPr>
                <w:sz w:val="24"/>
                <w:szCs w:val="24"/>
              </w:rPr>
            </w:pPr>
            <w:r w:rsidRPr="000E26C3">
              <w:rPr>
                <w:sz w:val="24"/>
                <w:szCs w:val="24"/>
              </w:rPr>
              <w:t>15</w:t>
            </w:r>
          </w:p>
        </w:tc>
      </w:tr>
    </w:tbl>
    <w:p w:rsidR="00045C7C" w:rsidP="00795D62" w:rsidRDefault="00045C7C" w14:paraId="05E76920" w14:textId="28A46C9E">
      <w:pPr>
        <w:pStyle w:val="Standard"/>
        <w:spacing w:before="360"/>
      </w:pPr>
      <w:r>
        <w:t>With respect to the Trip Completion Standard, CPED and San</w:t>
      </w:r>
      <w:r w:rsidR="00795D62">
        <w:t> </w:t>
      </w:r>
      <w:r>
        <w:t>Francisco put forth similarly high percentages for trip completion that increase each quarter.  San</w:t>
      </w:r>
      <w:r w:rsidR="00795D62">
        <w:t> </w:t>
      </w:r>
      <w:r>
        <w:t>Francisco recommends a higher percentage of trip completions by Quarters</w:t>
      </w:r>
      <w:r w:rsidR="00795D62">
        <w:t> </w:t>
      </w:r>
      <w:r>
        <w:t>8 and after, with 95</w:t>
      </w:r>
      <w:r w:rsidR="00795D62">
        <w:t> </w:t>
      </w:r>
      <w:r>
        <w:t>percent trip completion in County Groups</w:t>
      </w:r>
      <w:r w:rsidR="00795D62">
        <w:t> </w:t>
      </w:r>
      <w:r>
        <w:t>A and B and 90</w:t>
      </w:r>
      <w:r w:rsidR="00795D62">
        <w:t> </w:t>
      </w:r>
      <w:r>
        <w:t>percent for County</w:t>
      </w:r>
      <w:r w:rsidR="00795D62">
        <w:t> </w:t>
      </w:r>
      <w:r>
        <w:t>Group</w:t>
      </w:r>
      <w:r w:rsidR="00795D62">
        <w:t> </w:t>
      </w:r>
      <w:r>
        <w:t>C.  CPED, by contrast, recommends that percentages by Quarter</w:t>
      </w:r>
      <w:r w:rsidR="00795D62">
        <w:t> </w:t>
      </w:r>
      <w:r>
        <w:t>8 reach 90</w:t>
      </w:r>
      <w:r w:rsidR="00795D62">
        <w:t> </w:t>
      </w:r>
      <w:r>
        <w:t>percent for County</w:t>
      </w:r>
      <w:r w:rsidR="00795D62">
        <w:t> </w:t>
      </w:r>
      <w:r>
        <w:t>A, 85</w:t>
      </w:r>
      <w:r w:rsidR="00795D62">
        <w:t> </w:t>
      </w:r>
      <w:r>
        <w:t>percent for County</w:t>
      </w:r>
      <w:r w:rsidR="00795D62">
        <w:t> </w:t>
      </w:r>
      <w:r>
        <w:t>B, and 80</w:t>
      </w:r>
      <w:r w:rsidR="00795D62">
        <w:t> </w:t>
      </w:r>
      <w:r>
        <w:t>percent for County</w:t>
      </w:r>
      <w:r w:rsidR="00795D62">
        <w:t> </w:t>
      </w:r>
      <w:r>
        <w:t>C.  The Commission agrees that the Trip Completion Standard should be set at a higher level than for on</w:t>
      </w:r>
      <w:r w:rsidR="00795D62">
        <w:noBreakHyphen/>
      </w:r>
      <w:r>
        <w:t>demand WAV service because a pre</w:t>
      </w:r>
      <w:r w:rsidR="00795D62">
        <w:noBreakHyphen/>
      </w:r>
      <w:r>
        <w:t>scheduled WAV trip is scheduled and known to the TNC in advance and therefore, should be easier to complete than an on-demand WAV</w:t>
      </w:r>
      <w:r w:rsidR="00AB4C25">
        <w:t> </w:t>
      </w:r>
      <w:r>
        <w:t xml:space="preserve">trip.  </w:t>
      </w:r>
    </w:p>
    <w:p w:rsidR="00045C7C" w:rsidP="00045C7C" w:rsidRDefault="00045C7C" w14:paraId="19B8B02B" w14:textId="19489356">
      <w:pPr>
        <w:pStyle w:val="Standard"/>
      </w:pPr>
      <w:r>
        <w:t>CPED’s proposal for County Group</w:t>
      </w:r>
      <w:r w:rsidR="00795D62">
        <w:t> </w:t>
      </w:r>
      <w:r>
        <w:t>A sets an appropriately rigorous standard of 90</w:t>
      </w:r>
      <w:r w:rsidR="00795D62">
        <w:t> </w:t>
      </w:r>
      <w:r>
        <w:t>percent trip completion.  However, for County Groups</w:t>
      </w:r>
      <w:r w:rsidR="00795D62">
        <w:t> </w:t>
      </w:r>
      <w:r>
        <w:t>B and C, we find that CPED’s trip completion percentage by the 8</w:t>
      </w:r>
      <w:r w:rsidRPr="0041650B">
        <w:rPr>
          <w:vertAlign w:val="superscript"/>
        </w:rPr>
        <w:t>th</w:t>
      </w:r>
      <w:r w:rsidR="00795D62">
        <w:t> </w:t>
      </w:r>
      <w:r>
        <w:t>Quarter should be set higher and more in line with San</w:t>
      </w:r>
      <w:r w:rsidR="00795D62">
        <w:t> </w:t>
      </w:r>
      <w:r>
        <w:t>Francisco’s proposal, to incentivize TNCs to achieve a similarly rigorous trip completion standard by the 8</w:t>
      </w:r>
      <w:r w:rsidRPr="0041650B">
        <w:rPr>
          <w:vertAlign w:val="superscript"/>
        </w:rPr>
        <w:t>th</w:t>
      </w:r>
      <w:r w:rsidR="00795D62">
        <w:t> </w:t>
      </w:r>
      <w:r>
        <w:t xml:space="preserve">Quarter as in </w:t>
      </w:r>
      <w:r>
        <w:lastRenderedPageBreak/>
        <w:t>County</w:t>
      </w:r>
      <w:r w:rsidR="00795D62">
        <w:t> </w:t>
      </w:r>
      <w:r>
        <w:t>A.  Therefore, we find it appropriate to adopt CPED’s proposal with the modification that the PTCS for County Groups B and C should reach 90 and 85</w:t>
      </w:r>
      <w:r w:rsidR="00795D62">
        <w:t> </w:t>
      </w:r>
      <w:r>
        <w:t>percent, respectively, by the 8</w:t>
      </w:r>
      <w:r w:rsidRPr="0041650B">
        <w:rPr>
          <w:vertAlign w:val="superscript"/>
        </w:rPr>
        <w:t>th</w:t>
      </w:r>
      <w:r w:rsidR="00795D62">
        <w:t> </w:t>
      </w:r>
      <w:r>
        <w:t xml:space="preserve">Quarter. </w:t>
      </w:r>
    </w:p>
    <w:p w:rsidR="00045C7C" w:rsidP="00045C7C" w:rsidRDefault="00045C7C" w14:paraId="5D4B164B" w14:textId="6326CB5A">
      <w:pPr>
        <w:pStyle w:val="Standard"/>
      </w:pPr>
      <w:r>
        <w:t>Accordingly, to demonstrate improved level of service for pre</w:t>
      </w:r>
      <w:r w:rsidR="00795D62">
        <w:noBreakHyphen/>
      </w:r>
      <w:r>
        <w:t>scheduled WAV trips, a TNC shall meet:</w:t>
      </w:r>
      <w:r w:rsidR="00795D62">
        <w:t xml:space="preserve"> </w:t>
      </w:r>
      <w:r>
        <w:t xml:space="preserve"> (a)</w:t>
      </w:r>
      <w:r w:rsidR="00795D62">
        <w:t> </w:t>
      </w:r>
      <w:r>
        <w:t>the applicable minimum percentage of trip requests completed, and (b)</w:t>
      </w:r>
      <w:r w:rsidR="00795D62">
        <w:t> </w:t>
      </w:r>
      <w:r>
        <w:t>either:</w:t>
      </w:r>
      <w:r w:rsidR="00795D62">
        <w:t xml:space="preserve"> </w:t>
      </w:r>
      <w:r>
        <w:t xml:space="preserve"> (1)</w:t>
      </w:r>
      <w:r w:rsidR="00795D62">
        <w:t> </w:t>
      </w:r>
      <w:r>
        <w:t>a greater number of completed trips than the immediately prior quarter, or (2)</w:t>
      </w:r>
      <w:r w:rsidR="00795D62">
        <w:t> </w:t>
      </w:r>
      <w:r>
        <w:t>a greater number of completed trips than the immediately prior year’s same quarter, if sufficient data is available.  The County Groupings adopted in D.21</w:t>
      </w:r>
      <w:r w:rsidR="00795D62">
        <w:noBreakHyphen/>
      </w:r>
      <w:r>
        <w:t>11</w:t>
      </w:r>
      <w:r w:rsidR="00795D62">
        <w:noBreakHyphen/>
      </w:r>
      <w:r>
        <w:t>004 shall apply to the Trip Completion Standards.</w:t>
      </w:r>
      <w:r>
        <w:rPr>
          <w:rStyle w:val="FootnoteReference"/>
        </w:rPr>
        <w:footnoteReference w:id="33"/>
      </w:r>
      <w:r>
        <w:t xml:space="preserve">  The minimum completion rate percentages are as follows:</w:t>
      </w:r>
    </w:p>
    <w:tbl>
      <w:tblPr>
        <w:tblStyle w:val="TableGrid"/>
        <w:tblW w:w="9190" w:type="dxa"/>
        <w:jc w:val="center"/>
        <w:tblLook w:val="04A0" w:firstRow="1" w:lastRow="0" w:firstColumn="1" w:lastColumn="0" w:noHBand="0" w:noVBand="1"/>
      </w:tblPr>
      <w:tblGrid>
        <w:gridCol w:w="3959"/>
        <w:gridCol w:w="1682"/>
        <w:gridCol w:w="1682"/>
        <w:gridCol w:w="1867"/>
      </w:tblGrid>
      <w:tr w:rsidRPr="00883D85" w:rsidR="00045C7C" w:rsidTr="00462FF9" w14:paraId="15803056" w14:textId="77777777">
        <w:trPr>
          <w:tblHeader/>
          <w:jc w:val="center"/>
        </w:trPr>
        <w:tc>
          <w:tcPr>
            <w:tcW w:w="9190" w:type="dxa"/>
            <w:gridSpan w:val="4"/>
            <w:shd w:val="clear" w:color="auto" w:fill="F2F2F2" w:themeFill="background1" w:themeFillShade="F2"/>
            <w:vAlign w:val="center"/>
          </w:tcPr>
          <w:p w:rsidRPr="0093467A" w:rsidR="00045C7C" w:rsidP="002E3EB6" w:rsidRDefault="00045C7C" w14:paraId="236930C1" w14:textId="77777777">
            <w:pPr>
              <w:pStyle w:val="ListParagraph"/>
              <w:spacing w:after="0"/>
              <w:ind w:left="360" w:right="0"/>
              <w:jc w:val="center"/>
              <w:rPr>
                <w:b/>
                <w:bCs/>
                <w:sz w:val="24"/>
                <w:szCs w:val="24"/>
              </w:rPr>
            </w:pPr>
            <w:r>
              <w:rPr>
                <w:b/>
                <w:bCs/>
                <w:sz w:val="24"/>
                <w:szCs w:val="24"/>
              </w:rPr>
              <w:t xml:space="preserve">Pre-scheduled </w:t>
            </w:r>
            <w:r w:rsidRPr="0093467A">
              <w:rPr>
                <w:b/>
                <w:bCs/>
                <w:sz w:val="24"/>
                <w:szCs w:val="24"/>
              </w:rPr>
              <w:t>Trip Completion Standard (</w:t>
            </w:r>
            <w:r>
              <w:rPr>
                <w:b/>
                <w:bCs/>
                <w:sz w:val="24"/>
                <w:szCs w:val="24"/>
              </w:rPr>
              <w:t>P</w:t>
            </w:r>
            <w:r w:rsidRPr="0093467A">
              <w:rPr>
                <w:b/>
                <w:bCs/>
                <w:sz w:val="24"/>
                <w:szCs w:val="24"/>
              </w:rPr>
              <w:t>TCS) Percentages</w:t>
            </w:r>
          </w:p>
        </w:tc>
      </w:tr>
      <w:tr w:rsidRPr="00883D85" w:rsidR="00045C7C" w:rsidTr="00462FF9" w14:paraId="331C51B2" w14:textId="77777777">
        <w:trPr>
          <w:tblHeader/>
          <w:jc w:val="center"/>
        </w:trPr>
        <w:tc>
          <w:tcPr>
            <w:tcW w:w="3959" w:type="dxa"/>
            <w:shd w:val="clear" w:color="auto" w:fill="FFFFFF" w:themeFill="background1"/>
            <w:vAlign w:val="center"/>
          </w:tcPr>
          <w:p w:rsidRPr="0093467A" w:rsidR="00045C7C" w:rsidP="00795D62" w:rsidRDefault="00045C7C" w14:paraId="71CB0D02" w14:textId="77777777">
            <w:pPr>
              <w:pStyle w:val="ListParagraph"/>
              <w:spacing w:after="0"/>
              <w:ind w:left="0" w:right="0" w:firstLine="0"/>
              <w:jc w:val="center"/>
              <w:rPr>
                <w:b/>
                <w:bCs/>
                <w:sz w:val="24"/>
                <w:szCs w:val="24"/>
              </w:rPr>
            </w:pPr>
            <w:r w:rsidRPr="0093467A">
              <w:rPr>
                <w:b/>
                <w:bCs/>
                <w:sz w:val="24"/>
                <w:szCs w:val="24"/>
              </w:rPr>
              <w:t>Minimum Completion Rate Percentage</w:t>
            </w:r>
          </w:p>
        </w:tc>
        <w:tc>
          <w:tcPr>
            <w:tcW w:w="1682" w:type="dxa"/>
            <w:shd w:val="clear" w:color="auto" w:fill="FFFFFF" w:themeFill="background1"/>
            <w:vAlign w:val="center"/>
          </w:tcPr>
          <w:p w:rsidRPr="0093467A" w:rsidR="00045C7C" w:rsidP="00795D62" w:rsidRDefault="00045C7C" w14:paraId="15BF07A8" w14:textId="77777777">
            <w:pPr>
              <w:pStyle w:val="ListParagraph"/>
              <w:spacing w:after="0"/>
              <w:ind w:left="0" w:right="0" w:firstLine="0"/>
              <w:jc w:val="center"/>
              <w:rPr>
                <w:b/>
                <w:bCs/>
                <w:sz w:val="24"/>
                <w:szCs w:val="24"/>
              </w:rPr>
            </w:pPr>
            <w:r w:rsidRPr="0093467A">
              <w:rPr>
                <w:b/>
                <w:bCs/>
                <w:sz w:val="24"/>
                <w:szCs w:val="24"/>
              </w:rPr>
              <w:t>County Group A</w:t>
            </w:r>
          </w:p>
        </w:tc>
        <w:tc>
          <w:tcPr>
            <w:tcW w:w="1682" w:type="dxa"/>
            <w:shd w:val="clear" w:color="auto" w:fill="FFFFFF" w:themeFill="background1"/>
            <w:vAlign w:val="center"/>
          </w:tcPr>
          <w:p w:rsidRPr="0093467A" w:rsidR="00045C7C" w:rsidP="00795D62" w:rsidRDefault="00045C7C" w14:paraId="5C956A4F" w14:textId="77777777">
            <w:pPr>
              <w:pStyle w:val="ListParagraph"/>
              <w:spacing w:after="0"/>
              <w:ind w:left="0" w:right="0" w:firstLine="0"/>
              <w:jc w:val="center"/>
              <w:rPr>
                <w:b/>
                <w:bCs/>
                <w:sz w:val="24"/>
                <w:szCs w:val="24"/>
              </w:rPr>
            </w:pPr>
            <w:r w:rsidRPr="0093467A">
              <w:rPr>
                <w:b/>
                <w:bCs/>
                <w:sz w:val="24"/>
                <w:szCs w:val="24"/>
              </w:rPr>
              <w:t>County Group B</w:t>
            </w:r>
          </w:p>
        </w:tc>
        <w:tc>
          <w:tcPr>
            <w:tcW w:w="1867" w:type="dxa"/>
            <w:shd w:val="clear" w:color="auto" w:fill="FFFFFF" w:themeFill="background1"/>
            <w:vAlign w:val="center"/>
          </w:tcPr>
          <w:p w:rsidRPr="0093467A" w:rsidR="00045C7C" w:rsidP="00795D62" w:rsidRDefault="00045C7C" w14:paraId="6B1C2DF7" w14:textId="77777777">
            <w:pPr>
              <w:pStyle w:val="ListParagraph"/>
              <w:spacing w:after="0"/>
              <w:ind w:left="0" w:right="0" w:firstLine="0"/>
              <w:jc w:val="center"/>
              <w:rPr>
                <w:b/>
                <w:bCs/>
                <w:sz w:val="24"/>
                <w:szCs w:val="24"/>
              </w:rPr>
            </w:pPr>
            <w:r w:rsidRPr="0093467A">
              <w:rPr>
                <w:b/>
                <w:bCs/>
                <w:sz w:val="24"/>
                <w:szCs w:val="24"/>
              </w:rPr>
              <w:t>County Group C</w:t>
            </w:r>
          </w:p>
        </w:tc>
      </w:tr>
      <w:tr w:rsidRPr="00883D85" w:rsidR="00045C7C" w:rsidTr="00462FF9" w14:paraId="770525AB" w14:textId="77777777">
        <w:trPr>
          <w:tblHeader/>
          <w:jc w:val="center"/>
        </w:trPr>
        <w:tc>
          <w:tcPr>
            <w:tcW w:w="3959" w:type="dxa"/>
            <w:vAlign w:val="center"/>
          </w:tcPr>
          <w:p w:rsidRPr="0093467A" w:rsidR="00045C7C" w:rsidP="00795D62" w:rsidRDefault="00045C7C" w14:paraId="6076E1F8" w14:textId="77777777">
            <w:pPr>
              <w:spacing w:line="240" w:lineRule="auto"/>
              <w:ind w:firstLine="0"/>
              <w:jc w:val="center"/>
              <w:rPr>
                <w:sz w:val="24"/>
                <w:szCs w:val="24"/>
              </w:rPr>
            </w:pPr>
            <w:r w:rsidRPr="0093467A">
              <w:rPr>
                <w:sz w:val="24"/>
                <w:szCs w:val="24"/>
              </w:rPr>
              <w:t>1</w:t>
            </w:r>
            <w:r w:rsidRPr="0093467A">
              <w:rPr>
                <w:sz w:val="24"/>
                <w:szCs w:val="24"/>
                <w:vertAlign w:val="superscript"/>
              </w:rPr>
              <w:t>st</w:t>
            </w:r>
            <w:r w:rsidRPr="0093467A">
              <w:rPr>
                <w:sz w:val="24"/>
                <w:szCs w:val="24"/>
              </w:rPr>
              <w:t xml:space="preserve"> Quarter Submission</w:t>
            </w:r>
          </w:p>
        </w:tc>
        <w:tc>
          <w:tcPr>
            <w:tcW w:w="1682" w:type="dxa"/>
            <w:vAlign w:val="center"/>
          </w:tcPr>
          <w:p w:rsidRPr="0041650B" w:rsidR="00045C7C" w:rsidP="00795D62" w:rsidRDefault="00045C7C" w14:paraId="4BC7CBCC" w14:textId="77777777">
            <w:pPr>
              <w:spacing w:line="240" w:lineRule="auto"/>
              <w:ind w:firstLine="0"/>
              <w:jc w:val="center"/>
              <w:rPr>
                <w:sz w:val="24"/>
                <w:szCs w:val="24"/>
              </w:rPr>
            </w:pPr>
            <w:r w:rsidRPr="0041650B">
              <w:rPr>
                <w:sz w:val="24"/>
                <w:szCs w:val="24"/>
              </w:rPr>
              <w:t>90%</w:t>
            </w:r>
          </w:p>
        </w:tc>
        <w:tc>
          <w:tcPr>
            <w:tcW w:w="1682" w:type="dxa"/>
            <w:vAlign w:val="center"/>
          </w:tcPr>
          <w:p w:rsidRPr="0041650B" w:rsidR="00045C7C" w:rsidP="00795D62" w:rsidRDefault="00045C7C" w14:paraId="4AE22FBE" w14:textId="77777777">
            <w:pPr>
              <w:spacing w:line="240" w:lineRule="auto"/>
              <w:ind w:firstLine="0"/>
              <w:jc w:val="center"/>
              <w:rPr>
                <w:sz w:val="24"/>
                <w:szCs w:val="24"/>
              </w:rPr>
            </w:pPr>
            <w:r w:rsidRPr="0041650B">
              <w:rPr>
                <w:sz w:val="24"/>
                <w:szCs w:val="24"/>
              </w:rPr>
              <w:t>80%</w:t>
            </w:r>
          </w:p>
        </w:tc>
        <w:tc>
          <w:tcPr>
            <w:tcW w:w="1867" w:type="dxa"/>
            <w:vAlign w:val="center"/>
          </w:tcPr>
          <w:p w:rsidRPr="0041650B" w:rsidR="00045C7C" w:rsidP="00795D62" w:rsidRDefault="00045C7C" w14:paraId="624E75AC" w14:textId="77777777">
            <w:pPr>
              <w:spacing w:line="240" w:lineRule="auto"/>
              <w:ind w:firstLine="0"/>
              <w:jc w:val="center"/>
              <w:rPr>
                <w:sz w:val="24"/>
                <w:szCs w:val="24"/>
              </w:rPr>
            </w:pPr>
            <w:r w:rsidRPr="0041650B">
              <w:rPr>
                <w:sz w:val="24"/>
                <w:szCs w:val="24"/>
              </w:rPr>
              <w:t>65%</w:t>
            </w:r>
          </w:p>
        </w:tc>
      </w:tr>
      <w:tr w:rsidRPr="00883D85" w:rsidR="00045C7C" w:rsidTr="00462FF9" w14:paraId="7229EB6A" w14:textId="77777777">
        <w:trPr>
          <w:tblHeader/>
          <w:jc w:val="center"/>
        </w:trPr>
        <w:tc>
          <w:tcPr>
            <w:tcW w:w="3959" w:type="dxa"/>
            <w:vAlign w:val="center"/>
          </w:tcPr>
          <w:p w:rsidRPr="0093467A" w:rsidR="00045C7C" w:rsidP="00795D62" w:rsidRDefault="00045C7C" w14:paraId="1B82F753" w14:textId="77777777">
            <w:pPr>
              <w:spacing w:line="240" w:lineRule="auto"/>
              <w:ind w:firstLine="0"/>
              <w:jc w:val="center"/>
              <w:rPr>
                <w:sz w:val="24"/>
                <w:szCs w:val="24"/>
              </w:rPr>
            </w:pPr>
            <w:r w:rsidRPr="0093467A">
              <w:rPr>
                <w:sz w:val="24"/>
                <w:szCs w:val="24"/>
              </w:rPr>
              <w:t>2</w:t>
            </w:r>
            <w:r w:rsidRPr="0093467A">
              <w:rPr>
                <w:sz w:val="24"/>
                <w:szCs w:val="24"/>
                <w:vertAlign w:val="superscript"/>
              </w:rPr>
              <w:t>nd</w:t>
            </w:r>
            <w:r w:rsidRPr="0093467A">
              <w:rPr>
                <w:sz w:val="24"/>
                <w:szCs w:val="24"/>
              </w:rPr>
              <w:t xml:space="preserve"> Quarter</w:t>
            </w:r>
          </w:p>
        </w:tc>
        <w:tc>
          <w:tcPr>
            <w:tcW w:w="1682" w:type="dxa"/>
            <w:vAlign w:val="center"/>
          </w:tcPr>
          <w:p w:rsidRPr="0041650B" w:rsidR="00045C7C" w:rsidP="00795D62" w:rsidRDefault="00045C7C" w14:paraId="0A56FBB4" w14:textId="77777777">
            <w:pPr>
              <w:spacing w:line="240" w:lineRule="auto"/>
              <w:ind w:firstLine="0"/>
              <w:jc w:val="center"/>
              <w:rPr>
                <w:sz w:val="24"/>
                <w:szCs w:val="24"/>
              </w:rPr>
            </w:pPr>
            <w:r w:rsidRPr="0041650B">
              <w:rPr>
                <w:sz w:val="24"/>
                <w:szCs w:val="24"/>
              </w:rPr>
              <w:t>90%</w:t>
            </w:r>
          </w:p>
        </w:tc>
        <w:tc>
          <w:tcPr>
            <w:tcW w:w="1682" w:type="dxa"/>
            <w:vAlign w:val="center"/>
          </w:tcPr>
          <w:p w:rsidRPr="0041650B" w:rsidR="00045C7C" w:rsidP="00795D62" w:rsidRDefault="00045C7C" w14:paraId="4602E5FB" w14:textId="77777777">
            <w:pPr>
              <w:spacing w:line="240" w:lineRule="auto"/>
              <w:ind w:firstLine="0"/>
              <w:jc w:val="center"/>
              <w:rPr>
                <w:sz w:val="24"/>
                <w:szCs w:val="24"/>
              </w:rPr>
            </w:pPr>
            <w:r w:rsidRPr="0041650B">
              <w:rPr>
                <w:sz w:val="24"/>
                <w:szCs w:val="24"/>
              </w:rPr>
              <w:t>81%</w:t>
            </w:r>
          </w:p>
        </w:tc>
        <w:tc>
          <w:tcPr>
            <w:tcW w:w="1867" w:type="dxa"/>
            <w:vAlign w:val="center"/>
          </w:tcPr>
          <w:p w:rsidRPr="0041650B" w:rsidR="00045C7C" w:rsidP="00795D62" w:rsidRDefault="00045C7C" w14:paraId="783DB3DC" w14:textId="77777777">
            <w:pPr>
              <w:spacing w:line="240" w:lineRule="auto"/>
              <w:ind w:firstLine="0"/>
              <w:jc w:val="center"/>
              <w:rPr>
                <w:sz w:val="24"/>
                <w:szCs w:val="24"/>
              </w:rPr>
            </w:pPr>
            <w:r w:rsidRPr="0041650B">
              <w:rPr>
                <w:sz w:val="24"/>
                <w:szCs w:val="24"/>
              </w:rPr>
              <w:t>6</w:t>
            </w:r>
            <w:r>
              <w:rPr>
                <w:sz w:val="24"/>
                <w:szCs w:val="24"/>
              </w:rPr>
              <w:t>7</w:t>
            </w:r>
            <w:r w:rsidRPr="0041650B">
              <w:rPr>
                <w:sz w:val="24"/>
                <w:szCs w:val="24"/>
              </w:rPr>
              <w:t>%</w:t>
            </w:r>
          </w:p>
        </w:tc>
      </w:tr>
      <w:tr w:rsidRPr="00883D85" w:rsidR="00045C7C" w:rsidTr="00462FF9" w14:paraId="0F963971" w14:textId="77777777">
        <w:trPr>
          <w:tblHeader/>
          <w:jc w:val="center"/>
        </w:trPr>
        <w:tc>
          <w:tcPr>
            <w:tcW w:w="3959" w:type="dxa"/>
            <w:vAlign w:val="center"/>
          </w:tcPr>
          <w:p w:rsidRPr="0093467A" w:rsidR="00045C7C" w:rsidP="00795D62" w:rsidRDefault="00045C7C" w14:paraId="4D39424F" w14:textId="77777777">
            <w:pPr>
              <w:spacing w:line="240" w:lineRule="auto"/>
              <w:ind w:firstLine="0"/>
              <w:jc w:val="center"/>
              <w:rPr>
                <w:sz w:val="24"/>
                <w:szCs w:val="24"/>
              </w:rPr>
            </w:pPr>
            <w:r w:rsidRPr="0093467A">
              <w:rPr>
                <w:sz w:val="24"/>
                <w:szCs w:val="24"/>
              </w:rPr>
              <w:t>3</w:t>
            </w:r>
            <w:r w:rsidRPr="0093467A">
              <w:rPr>
                <w:sz w:val="24"/>
                <w:szCs w:val="24"/>
                <w:vertAlign w:val="superscript"/>
              </w:rPr>
              <w:t>rd</w:t>
            </w:r>
            <w:r w:rsidRPr="0093467A">
              <w:rPr>
                <w:sz w:val="24"/>
                <w:szCs w:val="24"/>
              </w:rPr>
              <w:t xml:space="preserve"> Quarter</w:t>
            </w:r>
          </w:p>
        </w:tc>
        <w:tc>
          <w:tcPr>
            <w:tcW w:w="1682" w:type="dxa"/>
            <w:vAlign w:val="center"/>
          </w:tcPr>
          <w:p w:rsidRPr="0041650B" w:rsidR="00045C7C" w:rsidP="00795D62" w:rsidRDefault="00045C7C" w14:paraId="28B1B3D5" w14:textId="77777777">
            <w:pPr>
              <w:spacing w:line="240" w:lineRule="auto"/>
              <w:ind w:firstLine="0"/>
              <w:jc w:val="center"/>
              <w:rPr>
                <w:sz w:val="24"/>
                <w:szCs w:val="24"/>
              </w:rPr>
            </w:pPr>
            <w:r w:rsidRPr="0041650B">
              <w:rPr>
                <w:sz w:val="24"/>
                <w:szCs w:val="24"/>
              </w:rPr>
              <w:t>90%</w:t>
            </w:r>
          </w:p>
        </w:tc>
        <w:tc>
          <w:tcPr>
            <w:tcW w:w="1682" w:type="dxa"/>
            <w:vAlign w:val="center"/>
          </w:tcPr>
          <w:p w:rsidRPr="0041650B" w:rsidR="00045C7C" w:rsidP="00795D62" w:rsidRDefault="00045C7C" w14:paraId="444CB1C5" w14:textId="77777777">
            <w:pPr>
              <w:spacing w:line="240" w:lineRule="auto"/>
              <w:ind w:firstLine="0"/>
              <w:jc w:val="center"/>
              <w:rPr>
                <w:sz w:val="24"/>
                <w:szCs w:val="24"/>
              </w:rPr>
            </w:pPr>
            <w:r w:rsidRPr="0041650B">
              <w:rPr>
                <w:sz w:val="24"/>
                <w:szCs w:val="24"/>
              </w:rPr>
              <w:t>82%</w:t>
            </w:r>
          </w:p>
        </w:tc>
        <w:tc>
          <w:tcPr>
            <w:tcW w:w="1867" w:type="dxa"/>
            <w:vAlign w:val="center"/>
          </w:tcPr>
          <w:p w:rsidRPr="0041650B" w:rsidR="00045C7C" w:rsidP="00795D62" w:rsidRDefault="00045C7C" w14:paraId="4D4C9FAB" w14:textId="77777777">
            <w:pPr>
              <w:spacing w:line="240" w:lineRule="auto"/>
              <w:ind w:firstLine="0"/>
              <w:jc w:val="center"/>
              <w:rPr>
                <w:sz w:val="24"/>
                <w:szCs w:val="24"/>
              </w:rPr>
            </w:pPr>
            <w:r>
              <w:rPr>
                <w:sz w:val="24"/>
                <w:szCs w:val="24"/>
              </w:rPr>
              <w:t>70</w:t>
            </w:r>
            <w:r w:rsidRPr="0041650B">
              <w:rPr>
                <w:sz w:val="24"/>
                <w:szCs w:val="24"/>
              </w:rPr>
              <w:t>%</w:t>
            </w:r>
          </w:p>
        </w:tc>
      </w:tr>
      <w:tr w:rsidRPr="00883D85" w:rsidR="00045C7C" w:rsidTr="00462FF9" w14:paraId="3AA4C425" w14:textId="77777777">
        <w:trPr>
          <w:tblHeader/>
          <w:jc w:val="center"/>
        </w:trPr>
        <w:tc>
          <w:tcPr>
            <w:tcW w:w="3959" w:type="dxa"/>
            <w:vAlign w:val="center"/>
          </w:tcPr>
          <w:p w:rsidRPr="0093467A" w:rsidR="00045C7C" w:rsidP="00795D62" w:rsidRDefault="00045C7C" w14:paraId="1126611F" w14:textId="77777777">
            <w:pPr>
              <w:spacing w:line="240" w:lineRule="auto"/>
              <w:ind w:firstLine="0"/>
              <w:jc w:val="center"/>
              <w:rPr>
                <w:sz w:val="24"/>
                <w:szCs w:val="24"/>
              </w:rPr>
            </w:pPr>
            <w:r w:rsidRPr="0093467A">
              <w:rPr>
                <w:sz w:val="24"/>
                <w:szCs w:val="24"/>
              </w:rPr>
              <w:t>4</w:t>
            </w:r>
            <w:r w:rsidRPr="0093467A">
              <w:rPr>
                <w:sz w:val="24"/>
                <w:szCs w:val="24"/>
                <w:vertAlign w:val="superscript"/>
              </w:rPr>
              <w:t>th</w:t>
            </w:r>
            <w:r w:rsidRPr="0093467A">
              <w:rPr>
                <w:sz w:val="24"/>
                <w:szCs w:val="24"/>
              </w:rPr>
              <w:t xml:space="preserve"> Quarter</w:t>
            </w:r>
          </w:p>
        </w:tc>
        <w:tc>
          <w:tcPr>
            <w:tcW w:w="1682" w:type="dxa"/>
            <w:vAlign w:val="center"/>
          </w:tcPr>
          <w:p w:rsidRPr="0041650B" w:rsidR="00045C7C" w:rsidP="00795D62" w:rsidRDefault="00045C7C" w14:paraId="0868972A" w14:textId="77777777">
            <w:pPr>
              <w:spacing w:line="240" w:lineRule="auto"/>
              <w:ind w:firstLine="0"/>
              <w:jc w:val="center"/>
              <w:rPr>
                <w:sz w:val="24"/>
                <w:szCs w:val="24"/>
              </w:rPr>
            </w:pPr>
            <w:r w:rsidRPr="0041650B">
              <w:rPr>
                <w:sz w:val="24"/>
                <w:szCs w:val="24"/>
              </w:rPr>
              <w:t>90%</w:t>
            </w:r>
          </w:p>
        </w:tc>
        <w:tc>
          <w:tcPr>
            <w:tcW w:w="1682" w:type="dxa"/>
            <w:vAlign w:val="center"/>
          </w:tcPr>
          <w:p w:rsidRPr="0041650B" w:rsidR="00045C7C" w:rsidP="00795D62" w:rsidRDefault="00045C7C" w14:paraId="2F7BE2E0" w14:textId="77777777">
            <w:pPr>
              <w:spacing w:line="240" w:lineRule="auto"/>
              <w:ind w:firstLine="0"/>
              <w:jc w:val="center"/>
              <w:rPr>
                <w:sz w:val="24"/>
                <w:szCs w:val="24"/>
              </w:rPr>
            </w:pPr>
            <w:r w:rsidRPr="0041650B">
              <w:rPr>
                <w:sz w:val="24"/>
                <w:szCs w:val="24"/>
              </w:rPr>
              <w:t>83%</w:t>
            </w:r>
          </w:p>
        </w:tc>
        <w:tc>
          <w:tcPr>
            <w:tcW w:w="1867" w:type="dxa"/>
            <w:vAlign w:val="center"/>
          </w:tcPr>
          <w:p w:rsidRPr="0041650B" w:rsidR="00045C7C" w:rsidP="00795D62" w:rsidRDefault="00045C7C" w14:paraId="3EBB8331" w14:textId="77777777">
            <w:pPr>
              <w:spacing w:line="240" w:lineRule="auto"/>
              <w:ind w:firstLine="0"/>
              <w:jc w:val="center"/>
              <w:rPr>
                <w:sz w:val="24"/>
                <w:szCs w:val="24"/>
              </w:rPr>
            </w:pPr>
            <w:r>
              <w:rPr>
                <w:sz w:val="24"/>
                <w:szCs w:val="24"/>
              </w:rPr>
              <w:t>73</w:t>
            </w:r>
            <w:r w:rsidRPr="0041650B">
              <w:rPr>
                <w:sz w:val="24"/>
                <w:szCs w:val="24"/>
              </w:rPr>
              <w:t>%</w:t>
            </w:r>
          </w:p>
        </w:tc>
      </w:tr>
      <w:tr w:rsidRPr="00883D85" w:rsidR="00045C7C" w:rsidTr="00462FF9" w14:paraId="36C27673" w14:textId="77777777">
        <w:trPr>
          <w:tblHeader/>
          <w:jc w:val="center"/>
        </w:trPr>
        <w:tc>
          <w:tcPr>
            <w:tcW w:w="3959" w:type="dxa"/>
            <w:vAlign w:val="center"/>
          </w:tcPr>
          <w:p w:rsidRPr="0093467A" w:rsidR="00045C7C" w:rsidP="00795D62" w:rsidRDefault="00045C7C" w14:paraId="5E059502" w14:textId="77777777">
            <w:pPr>
              <w:spacing w:line="240" w:lineRule="auto"/>
              <w:ind w:firstLine="0"/>
              <w:jc w:val="center"/>
              <w:rPr>
                <w:sz w:val="24"/>
                <w:szCs w:val="24"/>
              </w:rPr>
            </w:pPr>
            <w:r w:rsidRPr="0093467A">
              <w:rPr>
                <w:sz w:val="24"/>
                <w:szCs w:val="24"/>
              </w:rPr>
              <w:t>5</w:t>
            </w:r>
            <w:r w:rsidRPr="0093467A">
              <w:rPr>
                <w:sz w:val="24"/>
                <w:szCs w:val="24"/>
                <w:vertAlign w:val="superscript"/>
              </w:rPr>
              <w:t>th</w:t>
            </w:r>
            <w:r w:rsidRPr="0093467A">
              <w:rPr>
                <w:sz w:val="24"/>
                <w:szCs w:val="24"/>
              </w:rPr>
              <w:t xml:space="preserve"> Quarter</w:t>
            </w:r>
          </w:p>
        </w:tc>
        <w:tc>
          <w:tcPr>
            <w:tcW w:w="1682" w:type="dxa"/>
            <w:vAlign w:val="center"/>
          </w:tcPr>
          <w:p w:rsidRPr="0041650B" w:rsidR="00045C7C" w:rsidP="00795D62" w:rsidRDefault="00045C7C" w14:paraId="17325834" w14:textId="77777777">
            <w:pPr>
              <w:spacing w:line="240" w:lineRule="auto"/>
              <w:ind w:firstLine="0"/>
              <w:jc w:val="center"/>
              <w:rPr>
                <w:sz w:val="24"/>
                <w:szCs w:val="24"/>
              </w:rPr>
            </w:pPr>
            <w:r w:rsidRPr="0041650B">
              <w:rPr>
                <w:sz w:val="24"/>
                <w:szCs w:val="24"/>
              </w:rPr>
              <w:t>90%</w:t>
            </w:r>
          </w:p>
        </w:tc>
        <w:tc>
          <w:tcPr>
            <w:tcW w:w="1682" w:type="dxa"/>
            <w:vAlign w:val="center"/>
          </w:tcPr>
          <w:p w:rsidRPr="0041650B" w:rsidR="00045C7C" w:rsidP="00795D62" w:rsidRDefault="00045C7C" w14:paraId="016E7AA4" w14:textId="77777777">
            <w:pPr>
              <w:spacing w:line="240" w:lineRule="auto"/>
              <w:ind w:firstLine="0"/>
              <w:jc w:val="center"/>
              <w:rPr>
                <w:sz w:val="24"/>
                <w:szCs w:val="24"/>
              </w:rPr>
            </w:pPr>
            <w:r w:rsidRPr="0041650B">
              <w:rPr>
                <w:sz w:val="24"/>
                <w:szCs w:val="24"/>
              </w:rPr>
              <w:t>84%</w:t>
            </w:r>
          </w:p>
        </w:tc>
        <w:tc>
          <w:tcPr>
            <w:tcW w:w="1867" w:type="dxa"/>
            <w:vAlign w:val="center"/>
          </w:tcPr>
          <w:p w:rsidRPr="0041650B" w:rsidR="00045C7C" w:rsidP="00795D62" w:rsidRDefault="00045C7C" w14:paraId="06639E74" w14:textId="77777777">
            <w:pPr>
              <w:spacing w:line="240" w:lineRule="auto"/>
              <w:ind w:firstLine="0"/>
              <w:jc w:val="center"/>
              <w:rPr>
                <w:sz w:val="24"/>
                <w:szCs w:val="24"/>
              </w:rPr>
            </w:pPr>
            <w:r>
              <w:rPr>
                <w:sz w:val="24"/>
                <w:szCs w:val="24"/>
              </w:rPr>
              <w:t>76</w:t>
            </w:r>
            <w:r w:rsidRPr="0041650B">
              <w:rPr>
                <w:sz w:val="24"/>
                <w:szCs w:val="24"/>
              </w:rPr>
              <w:t>%</w:t>
            </w:r>
          </w:p>
        </w:tc>
      </w:tr>
      <w:tr w:rsidRPr="00883D85" w:rsidR="00045C7C" w:rsidTr="00462FF9" w14:paraId="5413547A" w14:textId="77777777">
        <w:trPr>
          <w:tblHeader/>
          <w:jc w:val="center"/>
        </w:trPr>
        <w:tc>
          <w:tcPr>
            <w:tcW w:w="3959" w:type="dxa"/>
            <w:vAlign w:val="center"/>
          </w:tcPr>
          <w:p w:rsidRPr="0093467A" w:rsidR="00045C7C" w:rsidP="00795D62" w:rsidRDefault="00045C7C" w14:paraId="5D46E27D" w14:textId="77777777">
            <w:pPr>
              <w:spacing w:line="240" w:lineRule="auto"/>
              <w:ind w:firstLine="0"/>
              <w:jc w:val="center"/>
              <w:rPr>
                <w:sz w:val="24"/>
                <w:szCs w:val="24"/>
              </w:rPr>
            </w:pPr>
            <w:r w:rsidRPr="0093467A">
              <w:rPr>
                <w:sz w:val="24"/>
                <w:szCs w:val="24"/>
              </w:rPr>
              <w:t>6</w:t>
            </w:r>
            <w:r w:rsidRPr="0093467A">
              <w:rPr>
                <w:sz w:val="24"/>
                <w:szCs w:val="24"/>
                <w:vertAlign w:val="superscript"/>
              </w:rPr>
              <w:t>th</w:t>
            </w:r>
            <w:r w:rsidRPr="0093467A">
              <w:rPr>
                <w:sz w:val="24"/>
                <w:szCs w:val="24"/>
              </w:rPr>
              <w:t xml:space="preserve"> Quarter</w:t>
            </w:r>
          </w:p>
        </w:tc>
        <w:tc>
          <w:tcPr>
            <w:tcW w:w="1682" w:type="dxa"/>
            <w:vAlign w:val="center"/>
          </w:tcPr>
          <w:p w:rsidRPr="0041650B" w:rsidR="00045C7C" w:rsidP="00795D62" w:rsidRDefault="00045C7C" w14:paraId="036BC5A8" w14:textId="77777777">
            <w:pPr>
              <w:spacing w:line="240" w:lineRule="auto"/>
              <w:ind w:firstLine="0"/>
              <w:jc w:val="center"/>
              <w:rPr>
                <w:sz w:val="24"/>
                <w:szCs w:val="24"/>
              </w:rPr>
            </w:pPr>
            <w:r w:rsidRPr="0041650B">
              <w:rPr>
                <w:sz w:val="24"/>
                <w:szCs w:val="24"/>
              </w:rPr>
              <w:t>90%</w:t>
            </w:r>
          </w:p>
        </w:tc>
        <w:tc>
          <w:tcPr>
            <w:tcW w:w="1682" w:type="dxa"/>
            <w:vAlign w:val="center"/>
          </w:tcPr>
          <w:p w:rsidRPr="0041650B" w:rsidR="00045C7C" w:rsidP="00795D62" w:rsidRDefault="00045C7C" w14:paraId="588A7541" w14:textId="77777777">
            <w:pPr>
              <w:spacing w:line="240" w:lineRule="auto"/>
              <w:ind w:firstLine="0"/>
              <w:jc w:val="center"/>
              <w:rPr>
                <w:sz w:val="24"/>
                <w:szCs w:val="24"/>
              </w:rPr>
            </w:pPr>
            <w:r w:rsidRPr="0041650B">
              <w:rPr>
                <w:sz w:val="24"/>
                <w:szCs w:val="24"/>
              </w:rPr>
              <w:t>8</w:t>
            </w:r>
            <w:r>
              <w:rPr>
                <w:sz w:val="24"/>
                <w:szCs w:val="24"/>
              </w:rPr>
              <w:t>6</w:t>
            </w:r>
            <w:r w:rsidRPr="0041650B">
              <w:rPr>
                <w:sz w:val="24"/>
                <w:szCs w:val="24"/>
              </w:rPr>
              <w:t>%</w:t>
            </w:r>
          </w:p>
        </w:tc>
        <w:tc>
          <w:tcPr>
            <w:tcW w:w="1867" w:type="dxa"/>
            <w:vAlign w:val="center"/>
          </w:tcPr>
          <w:p w:rsidRPr="0041650B" w:rsidR="00045C7C" w:rsidP="00795D62" w:rsidRDefault="00045C7C" w14:paraId="52C1136E" w14:textId="77777777">
            <w:pPr>
              <w:spacing w:line="240" w:lineRule="auto"/>
              <w:ind w:firstLine="0"/>
              <w:jc w:val="center"/>
              <w:rPr>
                <w:sz w:val="24"/>
                <w:szCs w:val="24"/>
              </w:rPr>
            </w:pPr>
            <w:r w:rsidRPr="0041650B">
              <w:rPr>
                <w:sz w:val="24"/>
                <w:szCs w:val="24"/>
              </w:rPr>
              <w:t>7</w:t>
            </w:r>
            <w:r>
              <w:rPr>
                <w:sz w:val="24"/>
                <w:szCs w:val="24"/>
              </w:rPr>
              <w:t>9</w:t>
            </w:r>
            <w:r w:rsidRPr="0041650B">
              <w:rPr>
                <w:sz w:val="24"/>
                <w:szCs w:val="24"/>
              </w:rPr>
              <w:t>%</w:t>
            </w:r>
          </w:p>
        </w:tc>
      </w:tr>
      <w:tr w:rsidRPr="00883D85" w:rsidR="00045C7C" w:rsidTr="00462FF9" w14:paraId="1262613A" w14:textId="77777777">
        <w:trPr>
          <w:tblHeader/>
          <w:jc w:val="center"/>
        </w:trPr>
        <w:tc>
          <w:tcPr>
            <w:tcW w:w="3959" w:type="dxa"/>
            <w:vAlign w:val="center"/>
          </w:tcPr>
          <w:p w:rsidRPr="0093467A" w:rsidR="00045C7C" w:rsidP="00795D62" w:rsidRDefault="00045C7C" w14:paraId="049CAD48" w14:textId="77777777">
            <w:pPr>
              <w:spacing w:line="240" w:lineRule="auto"/>
              <w:ind w:firstLine="0"/>
              <w:jc w:val="center"/>
              <w:rPr>
                <w:sz w:val="24"/>
                <w:szCs w:val="24"/>
              </w:rPr>
            </w:pPr>
            <w:r w:rsidRPr="0093467A">
              <w:rPr>
                <w:sz w:val="24"/>
                <w:szCs w:val="24"/>
              </w:rPr>
              <w:t>7</w:t>
            </w:r>
            <w:r w:rsidRPr="0093467A">
              <w:rPr>
                <w:sz w:val="24"/>
                <w:szCs w:val="24"/>
                <w:vertAlign w:val="superscript"/>
              </w:rPr>
              <w:t>th</w:t>
            </w:r>
            <w:r w:rsidRPr="0093467A">
              <w:rPr>
                <w:sz w:val="24"/>
                <w:szCs w:val="24"/>
              </w:rPr>
              <w:t xml:space="preserve"> Quarter</w:t>
            </w:r>
          </w:p>
        </w:tc>
        <w:tc>
          <w:tcPr>
            <w:tcW w:w="1682" w:type="dxa"/>
            <w:vAlign w:val="center"/>
          </w:tcPr>
          <w:p w:rsidRPr="0041650B" w:rsidR="00045C7C" w:rsidP="00795D62" w:rsidRDefault="00045C7C" w14:paraId="09B05849" w14:textId="77777777">
            <w:pPr>
              <w:spacing w:line="240" w:lineRule="auto"/>
              <w:ind w:firstLine="0"/>
              <w:jc w:val="center"/>
              <w:rPr>
                <w:sz w:val="24"/>
                <w:szCs w:val="24"/>
              </w:rPr>
            </w:pPr>
            <w:r w:rsidRPr="0041650B">
              <w:rPr>
                <w:sz w:val="24"/>
                <w:szCs w:val="24"/>
              </w:rPr>
              <w:t>90%</w:t>
            </w:r>
          </w:p>
        </w:tc>
        <w:tc>
          <w:tcPr>
            <w:tcW w:w="1682" w:type="dxa"/>
            <w:vAlign w:val="center"/>
          </w:tcPr>
          <w:p w:rsidRPr="0041650B" w:rsidR="00045C7C" w:rsidP="00795D62" w:rsidRDefault="00045C7C" w14:paraId="4D3793AE" w14:textId="77777777">
            <w:pPr>
              <w:spacing w:line="240" w:lineRule="auto"/>
              <w:ind w:firstLine="0"/>
              <w:jc w:val="center"/>
              <w:rPr>
                <w:sz w:val="24"/>
                <w:szCs w:val="24"/>
              </w:rPr>
            </w:pPr>
            <w:r w:rsidRPr="0041650B">
              <w:rPr>
                <w:sz w:val="24"/>
                <w:szCs w:val="24"/>
              </w:rPr>
              <w:t>8</w:t>
            </w:r>
            <w:r>
              <w:rPr>
                <w:sz w:val="24"/>
                <w:szCs w:val="24"/>
              </w:rPr>
              <w:t>8</w:t>
            </w:r>
            <w:r w:rsidRPr="0041650B">
              <w:rPr>
                <w:sz w:val="24"/>
                <w:szCs w:val="24"/>
              </w:rPr>
              <w:t>%</w:t>
            </w:r>
          </w:p>
        </w:tc>
        <w:tc>
          <w:tcPr>
            <w:tcW w:w="1867" w:type="dxa"/>
            <w:vAlign w:val="center"/>
          </w:tcPr>
          <w:p w:rsidRPr="0041650B" w:rsidR="00045C7C" w:rsidP="00795D62" w:rsidRDefault="00045C7C" w14:paraId="682945A9" w14:textId="77777777">
            <w:pPr>
              <w:spacing w:line="240" w:lineRule="auto"/>
              <w:ind w:firstLine="0"/>
              <w:jc w:val="center"/>
              <w:rPr>
                <w:sz w:val="24"/>
                <w:szCs w:val="24"/>
              </w:rPr>
            </w:pPr>
            <w:r>
              <w:rPr>
                <w:sz w:val="24"/>
                <w:szCs w:val="24"/>
              </w:rPr>
              <w:t>82</w:t>
            </w:r>
            <w:r w:rsidRPr="0041650B">
              <w:rPr>
                <w:sz w:val="24"/>
                <w:szCs w:val="24"/>
              </w:rPr>
              <w:t>%</w:t>
            </w:r>
          </w:p>
        </w:tc>
      </w:tr>
      <w:tr w:rsidRPr="00883D85" w:rsidR="00045C7C" w:rsidTr="00462FF9" w14:paraId="2357AFDD" w14:textId="77777777">
        <w:trPr>
          <w:tblHeader/>
          <w:jc w:val="center"/>
        </w:trPr>
        <w:tc>
          <w:tcPr>
            <w:tcW w:w="3959" w:type="dxa"/>
            <w:vAlign w:val="center"/>
          </w:tcPr>
          <w:p w:rsidRPr="0093467A" w:rsidR="00045C7C" w:rsidP="00795D62" w:rsidRDefault="00045C7C" w14:paraId="6338B912" w14:textId="77777777">
            <w:pPr>
              <w:spacing w:line="240" w:lineRule="auto"/>
              <w:ind w:firstLine="0"/>
              <w:jc w:val="center"/>
              <w:rPr>
                <w:sz w:val="24"/>
                <w:szCs w:val="24"/>
              </w:rPr>
            </w:pPr>
            <w:r w:rsidRPr="0093467A">
              <w:rPr>
                <w:sz w:val="24"/>
                <w:szCs w:val="24"/>
              </w:rPr>
              <w:t>8</w:t>
            </w:r>
            <w:r w:rsidRPr="0093467A">
              <w:rPr>
                <w:sz w:val="24"/>
                <w:szCs w:val="24"/>
                <w:vertAlign w:val="superscript"/>
              </w:rPr>
              <w:t xml:space="preserve">th </w:t>
            </w:r>
            <w:r w:rsidRPr="0093467A">
              <w:rPr>
                <w:sz w:val="24"/>
                <w:szCs w:val="24"/>
              </w:rPr>
              <w:t>(and subsequent) Quarter</w:t>
            </w:r>
          </w:p>
        </w:tc>
        <w:tc>
          <w:tcPr>
            <w:tcW w:w="1682" w:type="dxa"/>
            <w:vAlign w:val="center"/>
          </w:tcPr>
          <w:p w:rsidRPr="0041650B" w:rsidR="00045C7C" w:rsidP="00795D62" w:rsidRDefault="00045C7C" w14:paraId="1220E0ED" w14:textId="77777777">
            <w:pPr>
              <w:spacing w:line="240" w:lineRule="auto"/>
              <w:ind w:firstLine="0"/>
              <w:jc w:val="center"/>
              <w:rPr>
                <w:sz w:val="24"/>
                <w:szCs w:val="24"/>
              </w:rPr>
            </w:pPr>
            <w:r w:rsidRPr="0041650B">
              <w:rPr>
                <w:sz w:val="24"/>
                <w:szCs w:val="24"/>
              </w:rPr>
              <w:t>90%</w:t>
            </w:r>
          </w:p>
        </w:tc>
        <w:tc>
          <w:tcPr>
            <w:tcW w:w="1682" w:type="dxa"/>
            <w:vAlign w:val="center"/>
          </w:tcPr>
          <w:p w:rsidRPr="0041650B" w:rsidR="00045C7C" w:rsidP="00795D62" w:rsidRDefault="00045C7C" w14:paraId="1261A178" w14:textId="77777777">
            <w:pPr>
              <w:spacing w:line="240" w:lineRule="auto"/>
              <w:ind w:firstLine="0"/>
              <w:jc w:val="center"/>
              <w:rPr>
                <w:sz w:val="24"/>
                <w:szCs w:val="24"/>
              </w:rPr>
            </w:pPr>
            <w:r>
              <w:rPr>
                <w:sz w:val="24"/>
                <w:szCs w:val="24"/>
              </w:rPr>
              <w:t>90</w:t>
            </w:r>
            <w:r w:rsidRPr="0041650B">
              <w:rPr>
                <w:sz w:val="24"/>
                <w:szCs w:val="24"/>
              </w:rPr>
              <w:t>%</w:t>
            </w:r>
          </w:p>
        </w:tc>
        <w:tc>
          <w:tcPr>
            <w:tcW w:w="1867" w:type="dxa"/>
            <w:vAlign w:val="center"/>
          </w:tcPr>
          <w:p w:rsidRPr="0041650B" w:rsidR="00045C7C" w:rsidP="00795D62" w:rsidRDefault="00045C7C" w14:paraId="467C2301" w14:textId="77777777">
            <w:pPr>
              <w:spacing w:line="240" w:lineRule="auto"/>
              <w:ind w:firstLine="0"/>
              <w:jc w:val="center"/>
              <w:rPr>
                <w:sz w:val="24"/>
                <w:szCs w:val="24"/>
              </w:rPr>
            </w:pPr>
            <w:r w:rsidRPr="0041650B">
              <w:rPr>
                <w:sz w:val="24"/>
                <w:szCs w:val="24"/>
              </w:rPr>
              <w:t>8</w:t>
            </w:r>
            <w:r>
              <w:rPr>
                <w:sz w:val="24"/>
                <w:szCs w:val="24"/>
              </w:rPr>
              <w:t>5</w:t>
            </w:r>
            <w:r w:rsidRPr="0041650B">
              <w:rPr>
                <w:sz w:val="24"/>
                <w:szCs w:val="24"/>
              </w:rPr>
              <w:t>%</w:t>
            </w:r>
          </w:p>
        </w:tc>
      </w:tr>
    </w:tbl>
    <w:p w:rsidR="00045C7C" w:rsidP="00795D62" w:rsidRDefault="00045C7C" w14:paraId="54CC3F6B" w14:textId="680869D3">
      <w:pPr>
        <w:spacing w:before="360"/>
      </w:pPr>
      <w:r>
        <w:lastRenderedPageBreak/>
        <w:t>The above</w:t>
      </w:r>
      <w:r w:rsidR="00795D62">
        <w:noBreakHyphen/>
      </w:r>
      <w:r>
        <w:t>adopted requirements represent the requirements for a TNC to demonstrate improved level of service for offset eligibility for pre</w:t>
      </w:r>
      <w:r w:rsidR="00795D62">
        <w:noBreakHyphen/>
      </w:r>
      <w:r>
        <w:t>scheduled WAV trips.  In addition to improved level of service, a TNC must still meet the additional offset eligibility requirements adopted in D.21</w:t>
      </w:r>
      <w:r w:rsidR="00795D62">
        <w:noBreakHyphen/>
      </w:r>
      <w:r>
        <w:t>03</w:t>
      </w:r>
      <w:r w:rsidR="00795D62">
        <w:noBreakHyphen/>
      </w:r>
      <w:r>
        <w:t>005 and D.20</w:t>
      </w:r>
      <w:r w:rsidR="00795D62">
        <w:noBreakHyphen/>
      </w:r>
      <w:r>
        <w:t>03</w:t>
      </w:r>
      <w:r w:rsidR="00795D62">
        <w:noBreakHyphen/>
      </w:r>
      <w:r>
        <w:t>007 for pre-scheduled WAV trips.</w:t>
      </w:r>
    </w:p>
    <w:p w:rsidR="00045C7C" w:rsidP="00045C7C" w:rsidRDefault="00045C7C" w14:paraId="3AA9BBD2" w14:textId="24F3C59C">
      <w:pPr>
        <w:pStyle w:val="Standard"/>
      </w:pPr>
      <w:r w:rsidRPr="009F6722">
        <w:t xml:space="preserve">Lastly, </w:t>
      </w:r>
      <w:r>
        <w:t>we agree that modifying the offset requirements to require a TNC to offer on</w:t>
      </w:r>
      <w:r w:rsidR="00795D62">
        <w:noBreakHyphen/>
      </w:r>
      <w:r>
        <w:t>demand or pre</w:t>
      </w:r>
      <w:r w:rsidR="00795D62">
        <w:noBreakHyphen/>
      </w:r>
      <w:r>
        <w:t>scheduled WAV, if it offers the same non</w:t>
      </w:r>
      <w:r w:rsidR="00795D62">
        <w:noBreakHyphen/>
      </w:r>
      <w:r>
        <w:t>WAV service, is outside of the scope of this track.  Further, there is insufficient record support to adopt such a material change to the offset requirements that TNCs have relied on since D.20</w:t>
      </w:r>
      <w:r w:rsidR="00795D62">
        <w:noBreakHyphen/>
      </w:r>
      <w:r>
        <w:t>03</w:t>
      </w:r>
      <w:r w:rsidR="00795D62">
        <w:noBreakHyphen/>
      </w:r>
      <w:r>
        <w:t>007 and D.21</w:t>
      </w:r>
      <w:r w:rsidR="00795D62">
        <w:noBreakHyphen/>
      </w:r>
      <w:r>
        <w:t>03</w:t>
      </w:r>
      <w:r w:rsidR="00795D62">
        <w:noBreakHyphen/>
      </w:r>
      <w:r>
        <w:t>005.  However, we find it reasonable that Access Funds monies should be awarded proportional to the percentage of a TNC’s on</w:t>
      </w:r>
      <w:r w:rsidR="00795D62">
        <w:noBreakHyphen/>
      </w:r>
      <w:r>
        <w:t>demand versus pre</w:t>
      </w:r>
      <w:r w:rsidR="00795D62">
        <w:noBreakHyphen/>
      </w:r>
      <w:r>
        <w:t xml:space="preserve">scheduled WAV service mix.  </w:t>
      </w:r>
      <w:r w:rsidR="00EB3FC4">
        <w:t>To ensure that pre-scheduled WAV service does not overtake a TNC’s WAV offerings, the Commission will monitor a TNC’s WAV service mix through the Offset Request submissions and may modify the requirements in the future, as warranted.</w:t>
      </w:r>
      <w:r w:rsidR="00D03669">
        <w:t xml:space="preserve">  To that end, a TNC should provide a breakdown of its on-demand and pre</w:t>
      </w:r>
      <w:r w:rsidR="00D03669">
        <w:noBreakHyphen/>
        <w:t xml:space="preserve">scheduled WAV service mix for a given county and quarter for which a TNC seeks an offset.  To further monitor a TNC’s non-WAV service mix </w:t>
      </w:r>
      <w:r w:rsidR="00C93FD4">
        <w:t>(</w:t>
      </w:r>
      <w:r w:rsidR="00D03669">
        <w:t>as compared to its WAV service mix</w:t>
      </w:r>
      <w:r w:rsidR="00C93FD4">
        <w:t>)</w:t>
      </w:r>
      <w:r w:rsidR="00D03669">
        <w:t xml:space="preserve">, </w:t>
      </w:r>
      <w:r w:rsidR="00C93FD4">
        <w:t xml:space="preserve">in the TNC’s quarterly Access Fee Statement, </w:t>
      </w:r>
      <w:r w:rsidR="00D03669">
        <w:t>a TNC should provide a breakdown of the total Access Fund fees collected from on-demand and pre-scheduled trips for the given county and quarter</w:t>
      </w:r>
      <w:r w:rsidRPr="00620984" w:rsidR="00D03669">
        <w:t>.</w:t>
      </w:r>
      <w:r w:rsidR="00D03669">
        <w:t xml:space="preserve">  </w:t>
      </w:r>
    </w:p>
    <w:p w:rsidR="00045C7C" w:rsidP="00045C7C" w:rsidRDefault="00045C7C" w14:paraId="1C9739DD" w14:textId="6193B4FD">
      <w:pPr>
        <w:pStyle w:val="Standard"/>
      </w:pPr>
      <w:r>
        <w:t>Accordingly, a TNC may submit an Offset Request for either its pre</w:t>
      </w:r>
      <w:r w:rsidR="00795D62">
        <w:noBreakHyphen/>
      </w:r>
      <w:r>
        <w:t xml:space="preserve">scheduled WAV service or its on-demand WAV service, or both.  Upon approval of an Offset Request, the TNC shall be awarded Access Fund monies proportionate to that county and quarter’s pre-scheduled or on-demand WAV service mix, as applicable.  In its Offset Request, the TNC shall submit its total </w:t>
      </w:r>
      <w:r>
        <w:lastRenderedPageBreak/>
        <w:t>eligible WAV offset expenses, as required in D.20</w:t>
      </w:r>
      <w:r w:rsidR="00795D62">
        <w:noBreakHyphen/>
      </w:r>
      <w:r>
        <w:t>03</w:t>
      </w:r>
      <w:r w:rsidR="00795D62">
        <w:noBreakHyphen/>
      </w:r>
      <w:r>
        <w:t>007, and the breakdown of its on-demand and pre</w:t>
      </w:r>
      <w:r w:rsidR="00795D62">
        <w:noBreakHyphen/>
      </w:r>
      <w:r>
        <w:t>scheduled WAV service mix for that county and quarter.  In its quarterly Access Fee Statement, the TNC shall provide</w:t>
      </w:r>
      <w:r w:rsidRPr="00620984">
        <w:t xml:space="preserve"> a breakdown of the total Access Fund fees collected from on-demand and pre-scheduled trips for that county and quarter.</w:t>
      </w:r>
      <w:r>
        <w:t xml:space="preserve">  </w:t>
      </w:r>
    </w:p>
    <w:p w:rsidR="00045C7C" w:rsidP="00045C7C" w:rsidRDefault="00045C7C" w14:paraId="70938D34" w14:textId="51A5655D">
      <w:pPr>
        <w:pStyle w:val="Standard"/>
      </w:pPr>
      <w:r>
        <w:t xml:space="preserve">The </w:t>
      </w:r>
      <w:r w:rsidR="007F6F2B">
        <w:t xml:space="preserve">offset </w:t>
      </w:r>
      <w:r>
        <w:t>eligibility requirements adopted here for pre</w:t>
      </w:r>
      <w:r w:rsidR="00795D62">
        <w:noBreakHyphen/>
      </w:r>
      <w:r>
        <w:t>scheduled WAV trips shall be effective beginning the 3</w:t>
      </w:r>
      <w:r w:rsidRPr="00620984">
        <w:rPr>
          <w:vertAlign w:val="superscript"/>
        </w:rPr>
        <w:t>rd</w:t>
      </w:r>
      <w:r w:rsidR="00795D62">
        <w:t> </w:t>
      </w:r>
      <w:r>
        <w:t>quarter of 2023.</w:t>
      </w:r>
      <w:r w:rsidRPr="00620984">
        <w:t xml:space="preserve"> </w:t>
      </w:r>
    </w:p>
    <w:p w:rsidR="00045C7C" w:rsidP="00045C7C" w:rsidRDefault="00045C7C" w14:paraId="136BB377" w14:textId="512E8FFA">
      <w:pPr>
        <w:pStyle w:val="Heading2"/>
      </w:pPr>
      <w:bookmarkStart w:name="_Toc125016605" w:id="37"/>
      <w:r>
        <w:t>Modifications to the Exemption Standard</w:t>
      </w:r>
      <w:r>
        <w:br/>
        <w:t>for Pre</w:t>
      </w:r>
      <w:r>
        <w:noBreakHyphen/>
        <w:t>Scheduled Trips</w:t>
      </w:r>
      <w:bookmarkEnd w:id="37"/>
    </w:p>
    <w:p w:rsidRPr="00574017" w:rsidR="00045C7C" w:rsidP="00045C7C" w:rsidRDefault="00045C7C" w14:paraId="41C22D65" w14:textId="43C891AB">
      <w:pPr>
        <w:autoSpaceDE w:val="0"/>
        <w:autoSpaceDN w:val="0"/>
        <w:adjustRightInd w:val="0"/>
        <w:rPr>
          <w:rFonts w:cs="Arial"/>
          <w:szCs w:val="26"/>
        </w:rPr>
      </w:pPr>
      <w:r>
        <w:rPr>
          <w:rFonts w:cs="Arial"/>
          <w:szCs w:val="26"/>
        </w:rPr>
        <w:t>We next consider whether there should be any modifications to the exemption standard for pre-scheduled WAV trips.  CPED recommends a similar exemption standard as was adopted for on-demand WAV service in D.21</w:t>
      </w:r>
      <w:r w:rsidR="00795D62">
        <w:rPr>
          <w:rFonts w:cs="Arial"/>
          <w:szCs w:val="26"/>
        </w:rPr>
        <w:noBreakHyphen/>
      </w:r>
      <w:r>
        <w:rPr>
          <w:rFonts w:cs="Arial"/>
          <w:szCs w:val="26"/>
        </w:rPr>
        <w:t>11</w:t>
      </w:r>
      <w:r w:rsidR="00795D62">
        <w:rPr>
          <w:rFonts w:cs="Arial"/>
          <w:szCs w:val="26"/>
        </w:rPr>
        <w:noBreakHyphen/>
      </w:r>
      <w:r>
        <w:rPr>
          <w:rFonts w:cs="Arial"/>
          <w:szCs w:val="26"/>
        </w:rPr>
        <w:t>004.</w:t>
      </w:r>
      <w:r>
        <w:rPr>
          <w:rStyle w:val="FootnoteReference"/>
          <w:rFonts w:cs="Arial"/>
          <w:szCs w:val="26"/>
        </w:rPr>
        <w:footnoteReference w:id="34"/>
      </w:r>
      <w:r>
        <w:rPr>
          <w:rFonts w:cs="Arial"/>
          <w:szCs w:val="26"/>
        </w:rPr>
        <w:t xml:space="preserve">  To qualify for an exemption for pre-scheduled trips, a TNC must demonstrate that:</w:t>
      </w:r>
    </w:p>
    <w:p w:rsidR="00045C7C" w:rsidP="00FF5AB0" w:rsidRDefault="00FF5AB0" w14:paraId="515461D1" w14:textId="44995FF4">
      <w:pPr>
        <w:pStyle w:val="ListParagraph"/>
        <w:autoSpaceDE w:val="0"/>
        <w:autoSpaceDN w:val="0"/>
        <w:adjustRightInd w:val="0"/>
        <w:ind w:left="1440"/>
        <w:rPr>
          <w:rFonts w:cs="Garamond"/>
          <w:color w:val="000000"/>
          <w:szCs w:val="26"/>
        </w:rPr>
      </w:pPr>
      <w:r>
        <w:rPr>
          <w:rFonts w:cs="Garamond"/>
          <w:color w:val="000000"/>
          <w:szCs w:val="26"/>
        </w:rPr>
        <w:t>a.</w:t>
      </w:r>
      <w:r>
        <w:rPr>
          <w:rFonts w:cs="Garamond"/>
          <w:color w:val="000000"/>
          <w:szCs w:val="26"/>
        </w:rPr>
        <w:tab/>
      </w:r>
      <w:r w:rsidRPr="00574017" w:rsidR="00045C7C">
        <w:rPr>
          <w:rFonts w:cs="Garamond"/>
          <w:color w:val="000000"/>
          <w:szCs w:val="26"/>
        </w:rPr>
        <w:t>80</w:t>
      </w:r>
      <w:r w:rsidR="00795D62">
        <w:rPr>
          <w:rFonts w:cs="Garamond"/>
          <w:color w:val="000000"/>
          <w:szCs w:val="26"/>
        </w:rPr>
        <w:t> </w:t>
      </w:r>
      <w:r w:rsidRPr="00574017" w:rsidR="00045C7C">
        <w:rPr>
          <w:rFonts w:cs="Garamond"/>
          <w:color w:val="000000"/>
          <w:szCs w:val="26"/>
        </w:rPr>
        <w:t xml:space="preserve">percent of its pre-scheduled completed </w:t>
      </w:r>
      <w:r w:rsidR="00045C7C">
        <w:rPr>
          <w:rFonts w:cs="Garamond"/>
          <w:color w:val="000000"/>
          <w:szCs w:val="26"/>
        </w:rPr>
        <w:t xml:space="preserve">WAV </w:t>
      </w:r>
      <w:r w:rsidRPr="00574017" w:rsidR="00045C7C">
        <w:rPr>
          <w:rFonts w:cs="Garamond"/>
          <w:color w:val="000000"/>
          <w:szCs w:val="26"/>
        </w:rPr>
        <w:t>trips met or exceeded the corresponding Level 1 Pre</w:t>
      </w:r>
      <w:r w:rsidR="00795D62">
        <w:rPr>
          <w:rFonts w:cs="Garamond"/>
          <w:color w:val="000000"/>
          <w:szCs w:val="26"/>
        </w:rPr>
        <w:noBreakHyphen/>
      </w:r>
      <w:r w:rsidRPr="00574017" w:rsidR="00045C7C">
        <w:rPr>
          <w:rFonts w:cs="Garamond"/>
          <w:color w:val="000000"/>
          <w:szCs w:val="26"/>
        </w:rPr>
        <w:t xml:space="preserve">scheduled Offset Response Time Benchmarks for a given geographic area for four consecutive quarters, and </w:t>
      </w:r>
    </w:p>
    <w:p w:rsidRPr="00F77AF1" w:rsidR="00045C7C" w:rsidP="00FF5AB0" w:rsidRDefault="00FF5AB0" w14:paraId="11C4F2BA" w14:textId="04A0EFC1">
      <w:pPr>
        <w:pStyle w:val="ListParagraph"/>
        <w:autoSpaceDE w:val="0"/>
        <w:autoSpaceDN w:val="0"/>
        <w:adjustRightInd w:val="0"/>
        <w:ind w:left="1440"/>
        <w:rPr>
          <w:rFonts w:cs="Garamond"/>
          <w:color w:val="000000"/>
          <w:szCs w:val="26"/>
        </w:rPr>
      </w:pPr>
      <w:r>
        <w:rPr>
          <w:rFonts w:cs="Garamond"/>
          <w:color w:val="000000"/>
          <w:szCs w:val="26"/>
        </w:rPr>
        <w:t>b.</w:t>
      </w:r>
      <w:r>
        <w:rPr>
          <w:rFonts w:cs="Garamond"/>
          <w:color w:val="000000"/>
          <w:szCs w:val="26"/>
        </w:rPr>
        <w:tab/>
      </w:r>
      <w:r w:rsidR="00045C7C">
        <w:rPr>
          <w:rFonts w:cs="Garamond"/>
          <w:color w:val="000000"/>
          <w:szCs w:val="26"/>
        </w:rPr>
        <w:t>t</w:t>
      </w:r>
      <w:r w:rsidRPr="00574017" w:rsidR="00045C7C">
        <w:rPr>
          <w:rFonts w:cs="Garamond"/>
          <w:color w:val="000000"/>
          <w:szCs w:val="26"/>
        </w:rPr>
        <w:t xml:space="preserve">he TNC qualified for an offset in the given geographic area for the same four consecutive quarters. </w:t>
      </w:r>
    </w:p>
    <w:p w:rsidR="00045C7C" w:rsidP="00045C7C" w:rsidRDefault="00045C7C" w14:paraId="68A1D33E" w14:textId="482CC9B6">
      <w:pPr>
        <w:autoSpaceDE w:val="0"/>
        <w:autoSpaceDN w:val="0"/>
        <w:adjustRightInd w:val="0"/>
        <w:rPr>
          <w:rFonts w:cs="Garamond"/>
          <w:color w:val="000000"/>
          <w:szCs w:val="26"/>
        </w:rPr>
      </w:pPr>
      <w:r>
        <w:rPr>
          <w:rFonts w:cs="Garamond"/>
          <w:color w:val="000000"/>
          <w:szCs w:val="26"/>
        </w:rPr>
        <w:t>CPED similarly recommends applying proportionate funding for exemptions, as was proposed for offset awards, based on a TNC’s pre</w:t>
      </w:r>
      <w:r w:rsidR="00795D62">
        <w:rPr>
          <w:rFonts w:cs="Garamond"/>
          <w:color w:val="000000"/>
          <w:szCs w:val="26"/>
        </w:rPr>
        <w:noBreakHyphen/>
      </w:r>
      <w:r>
        <w:rPr>
          <w:rFonts w:cs="Garamond"/>
          <w:color w:val="000000"/>
          <w:szCs w:val="26"/>
        </w:rPr>
        <w:t>scheduled/on-demand service mix.  For example, if a TNC meets the on</w:t>
      </w:r>
      <w:r w:rsidR="00795D62">
        <w:rPr>
          <w:rFonts w:cs="Garamond"/>
          <w:color w:val="000000"/>
          <w:szCs w:val="26"/>
        </w:rPr>
        <w:noBreakHyphen/>
      </w:r>
      <w:r>
        <w:rPr>
          <w:rFonts w:cs="Garamond"/>
          <w:color w:val="000000"/>
          <w:szCs w:val="26"/>
        </w:rPr>
        <w:t>demand WAV exemption criteria but not the pre</w:t>
      </w:r>
      <w:r w:rsidR="00795D62">
        <w:rPr>
          <w:rFonts w:cs="Garamond"/>
          <w:color w:val="000000"/>
          <w:szCs w:val="26"/>
        </w:rPr>
        <w:noBreakHyphen/>
      </w:r>
      <w:r>
        <w:rPr>
          <w:rFonts w:cs="Garamond"/>
          <w:color w:val="000000"/>
          <w:szCs w:val="26"/>
        </w:rPr>
        <w:t>scheduled WAV exemption criteria, the TNC would retain the percentage of funds available proportionate to its on</w:t>
      </w:r>
      <w:r w:rsidR="00795D62">
        <w:rPr>
          <w:rFonts w:cs="Garamond"/>
          <w:color w:val="000000"/>
          <w:szCs w:val="26"/>
        </w:rPr>
        <w:noBreakHyphen/>
      </w:r>
      <w:r>
        <w:rPr>
          <w:rFonts w:cs="Garamond"/>
          <w:color w:val="000000"/>
          <w:szCs w:val="26"/>
        </w:rPr>
        <w:t>demand WAV trip volume for the upcoming year.</w:t>
      </w:r>
    </w:p>
    <w:p w:rsidR="00045C7C" w:rsidP="00045C7C" w:rsidRDefault="00045C7C" w14:paraId="2331E092" w14:textId="77777777">
      <w:pPr>
        <w:autoSpaceDE w:val="0"/>
        <w:autoSpaceDN w:val="0"/>
        <w:adjustRightInd w:val="0"/>
        <w:rPr>
          <w:rFonts w:cs="Garamond"/>
          <w:color w:val="000000"/>
          <w:szCs w:val="26"/>
        </w:rPr>
      </w:pPr>
      <w:r>
        <w:rPr>
          <w:rFonts w:cs="Garamond"/>
          <w:color w:val="000000"/>
          <w:szCs w:val="26"/>
        </w:rPr>
        <w:lastRenderedPageBreak/>
        <w:t>San Francisco proposes a new exemption standard for pre-scheduled trips, with a TNC being required to meet the following:</w:t>
      </w:r>
      <w:r>
        <w:rPr>
          <w:rStyle w:val="FootnoteReference"/>
          <w:rFonts w:cs="Garamond"/>
          <w:color w:val="000000"/>
          <w:szCs w:val="26"/>
        </w:rPr>
        <w:footnoteReference w:id="35"/>
      </w:r>
      <w:r>
        <w:rPr>
          <w:rFonts w:cs="Garamond"/>
          <w:color w:val="000000"/>
          <w:szCs w:val="26"/>
        </w:rPr>
        <w:t xml:space="preserve">  </w:t>
      </w:r>
    </w:p>
    <w:p w:rsidRPr="00795D62" w:rsidR="00045C7C" w:rsidP="00795D62" w:rsidRDefault="00795D62" w14:paraId="4B80FBDB" w14:textId="08E65061">
      <w:pPr>
        <w:autoSpaceDE w:val="0"/>
        <w:autoSpaceDN w:val="0"/>
        <w:adjustRightInd w:val="0"/>
        <w:spacing w:after="120" w:line="240" w:lineRule="auto"/>
        <w:ind w:left="1440" w:right="1440" w:hanging="360"/>
        <w:rPr>
          <w:rFonts w:cs="Times New Roman"/>
          <w:color w:val="000000"/>
          <w:szCs w:val="26"/>
        </w:rPr>
      </w:pPr>
      <w:r>
        <w:rPr>
          <w:rFonts w:cs="Times New Roman"/>
          <w:color w:val="000000"/>
          <w:szCs w:val="26"/>
        </w:rPr>
        <w:t>a.</w:t>
      </w:r>
      <w:r>
        <w:rPr>
          <w:rFonts w:cs="Times New Roman"/>
          <w:color w:val="000000"/>
          <w:szCs w:val="26"/>
        </w:rPr>
        <w:tab/>
      </w:r>
      <w:r w:rsidRPr="00795D62" w:rsidR="00045C7C">
        <w:rPr>
          <w:rFonts w:cs="Times New Roman"/>
          <w:color w:val="000000"/>
          <w:szCs w:val="26"/>
        </w:rPr>
        <w:t>at</w:t>
      </w:r>
      <w:r>
        <w:rPr>
          <w:rFonts w:cs="Times New Roman"/>
          <w:color w:val="000000"/>
          <w:szCs w:val="26"/>
        </w:rPr>
        <w:t> </w:t>
      </w:r>
      <w:r w:rsidRPr="00795D62" w:rsidR="00045C7C">
        <w:rPr>
          <w:rFonts w:cs="Times New Roman"/>
          <w:color w:val="000000"/>
          <w:szCs w:val="26"/>
        </w:rPr>
        <w:t>least 95</w:t>
      </w:r>
      <w:r>
        <w:rPr>
          <w:rFonts w:cs="Times New Roman"/>
          <w:color w:val="000000"/>
          <w:szCs w:val="26"/>
        </w:rPr>
        <w:t> </w:t>
      </w:r>
      <w:r w:rsidRPr="00795D62" w:rsidR="00045C7C">
        <w:rPr>
          <w:rFonts w:cs="Times New Roman"/>
          <w:color w:val="000000"/>
          <w:szCs w:val="26"/>
        </w:rPr>
        <w:t>percent of its completed pre</w:t>
      </w:r>
      <w:r w:rsidR="00BE06C7">
        <w:rPr>
          <w:rFonts w:cs="Times New Roman"/>
          <w:color w:val="000000"/>
          <w:szCs w:val="26"/>
        </w:rPr>
        <w:t>-</w:t>
      </w:r>
      <w:r w:rsidRPr="00795D62" w:rsidR="00045C7C">
        <w:rPr>
          <w:rFonts w:cs="Times New Roman"/>
          <w:color w:val="000000"/>
          <w:szCs w:val="26"/>
        </w:rPr>
        <w:t>scheduled WAV trips met or exceed</w:t>
      </w:r>
      <w:r w:rsidR="00695127">
        <w:rPr>
          <w:rFonts w:cs="Times New Roman"/>
          <w:color w:val="000000"/>
          <w:szCs w:val="26"/>
        </w:rPr>
        <w:t>ed</w:t>
      </w:r>
      <w:r w:rsidRPr="00795D62" w:rsidR="00045C7C">
        <w:rPr>
          <w:rFonts w:cs="Times New Roman"/>
          <w:color w:val="000000"/>
          <w:szCs w:val="26"/>
        </w:rPr>
        <w:t xml:space="preserve"> the </w:t>
      </w:r>
      <w:r w:rsidR="002900F8">
        <w:rPr>
          <w:rFonts w:cs="Times New Roman"/>
          <w:color w:val="000000"/>
          <w:szCs w:val="26"/>
        </w:rPr>
        <w:t>Pickup Delay Benchmark</w:t>
      </w:r>
      <w:r w:rsidRPr="00795D62" w:rsidR="002900F8">
        <w:rPr>
          <w:rFonts w:cs="Times New Roman"/>
          <w:color w:val="000000"/>
          <w:szCs w:val="26"/>
        </w:rPr>
        <w:t xml:space="preserve"> </w:t>
      </w:r>
      <w:r w:rsidRPr="00795D62" w:rsidR="00045C7C">
        <w:rPr>
          <w:rFonts w:cs="Times New Roman"/>
          <w:color w:val="000000"/>
          <w:szCs w:val="26"/>
        </w:rPr>
        <w:t>for a given geographic area for four consecutive quarters</w:t>
      </w:r>
      <w:r w:rsidR="002D4C5D">
        <w:rPr>
          <w:rFonts w:cs="Times New Roman"/>
          <w:color w:val="000000"/>
          <w:szCs w:val="26"/>
        </w:rPr>
        <w:t>;</w:t>
      </w:r>
      <w:r w:rsidRPr="00795D62" w:rsidR="00045C7C">
        <w:rPr>
          <w:rFonts w:cs="Times New Roman"/>
          <w:color w:val="000000"/>
          <w:szCs w:val="26"/>
        </w:rPr>
        <w:t xml:space="preserve"> and </w:t>
      </w:r>
    </w:p>
    <w:p w:rsidRPr="00795D62" w:rsidR="00045C7C" w:rsidP="00795D62" w:rsidRDefault="00795D62" w14:paraId="0C0A85CE" w14:textId="2D3E1795">
      <w:pPr>
        <w:autoSpaceDE w:val="0"/>
        <w:autoSpaceDN w:val="0"/>
        <w:adjustRightInd w:val="0"/>
        <w:spacing w:after="120" w:line="240" w:lineRule="auto"/>
        <w:ind w:left="1440" w:right="1440" w:hanging="360"/>
        <w:rPr>
          <w:rFonts w:cs="Times New Roman"/>
          <w:color w:val="000000"/>
          <w:szCs w:val="26"/>
        </w:rPr>
      </w:pPr>
      <w:r>
        <w:rPr>
          <w:rFonts w:cs="Times New Roman"/>
          <w:color w:val="000000"/>
          <w:szCs w:val="26"/>
        </w:rPr>
        <w:t>b.</w:t>
      </w:r>
      <w:r>
        <w:rPr>
          <w:rFonts w:cs="Times New Roman"/>
          <w:color w:val="000000"/>
          <w:szCs w:val="26"/>
        </w:rPr>
        <w:tab/>
      </w:r>
      <w:r w:rsidRPr="00795D62" w:rsidR="00045C7C">
        <w:rPr>
          <w:rFonts w:cs="Times New Roman"/>
          <w:color w:val="000000"/>
          <w:szCs w:val="26"/>
        </w:rPr>
        <w:t>the TNC qualified for an offset in the given geographic area for the same four consecutive quarters.</w:t>
      </w:r>
    </w:p>
    <w:p w:rsidR="00045C7C" w:rsidP="00045C7C" w:rsidRDefault="00045C7C" w14:paraId="630F7CA0" w14:textId="3EC3813A">
      <w:pPr>
        <w:autoSpaceDE w:val="0"/>
        <w:autoSpaceDN w:val="0"/>
        <w:adjustRightInd w:val="0"/>
        <w:rPr>
          <w:rFonts w:cs="Times New Roman"/>
          <w:color w:val="000000"/>
          <w:szCs w:val="26"/>
        </w:rPr>
      </w:pPr>
      <w:r>
        <w:rPr>
          <w:rFonts w:cs="Times New Roman"/>
          <w:color w:val="000000"/>
          <w:szCs w:val="26"/>
        </w:rPr>
        <w:t>Uber supports CPED’s proposal for exemption eligibility, as it mirrors the framework adopted in D.21</w:t>
      </w:r>
      <w:r w:rsidR="002D4C5D">
        <w:rPr>
          <w:rFonts w:cs="Times New Roman"/>
          <w:color w:val="000000"/>
          <w:szCs w:val="26"/>
        </w:rPr>
        <w:noBreakHyphen/>
      </w:r>
      <w:r>
        <w:rPr>
          <w:rFonts w:cs="Times New Roman"/>
          <w:color w:val="000000"/>
          <w:szCs w:val="26"/>
        </w:rPr>
        <w:t>11</w:t>
      </w:r>
      <w:r w:rsidR="002D4C5D">
        <w:rPr>
          <w:rFonts w:cs="Times New Roman"/>
          <w:color w:val="000000"/>
          <w:szCs w:val="26"/>
        </w:rPr>
        <w:noBreakHyphen/>
      </w:r>
      <w:r>
        <w:rPr>
          <w:rFonts w:cs="Times New Roman"/>
          <w:color w:val="000000"/>
          <w:szCs w:val="26"/>
        </w:rPr>
        <w:t>004.</w:t>
      </w:r>
      <w:r>
        <w:rPr>
          <w:rStyle w:val="FootnoteReference"/>
          <w:rFonts w:cs="Times New Roman"/>
          <w:color w:val="000000"/>
          <w:szCs w:val="26"/>
        </w:rPr>
        <w:footnoteReference w:id="36"/>
      </w:r>
      <w:r>
        <w:rPr>
          <w:rFonts w:cs="Times New Roman"/>
          <w:color w:val="000000"/>
          <w:szCs w:val="26"/>
        </w:rPr>
        <w:t xml:space="preserve">  While Uber supports prorating exemptions based on a TNC’s pre</w:t>
      </w:r>
      <w:r w:rsidR="002D4C5D">
        <w:rPr>
          <w:rFonts w:cs="Times New Roman"/>
          <w:color w:val="000000"/>
          <w:szCs w:val="26"/>
        </w:rPr>
        <w:noBreakHyphen/>
      </w:r>
      <w:r>
        <w:rPr>
          <w:rFonts w:cs="Times New Roman"/>
          <w:color w:val="000000"/>
          <w:szCs w:val="26"/>
        </w:rPr>
        <w:t>scheduled/on-demand service mix, Uber does not support limiting award funds based on the service mix in place at the time the exemption was determined.  Uber recommends that the exemption should be adjusted by quarter, if there is a future shift in the service mix.  San</w:t>
      </w:r>
      <w:r w:rsidR="002D4C5D">
        <w:rPr>
          <w:rFonts w:cs="Times New Roman"/>
          <w:color w:val="000000"/>
          <w:szCs w:val="26"/>
        </w:rPr>
        <w:t> </w:t>
      </w:r>
      <w:r>
        <w:rPr>
          <w:rFonts w:cs="Times New Roman"/>
          <w:color w:val="000000"/>
          <w:szCs w:val="26"/>
        </w:rPr>
        <w:t>Francisco objects to adjusting exemptions based on a future service mix.</w:t>
      </w:r>
      <w:r>
        <w:rPr>
          <w:rStyle w:val="FootnoteReference"/>
          <w:rFonts w:cs="Times New Roman"/>
          <w:color w:val="000000"/>
          <w:szCs w:val="26"/>
        </w:rPr>
        <w:footnoteReference w:id="37"/>
      </w:r>
    </w:p>
    <w:p w:rsidRPr="00DB4373" w:rsidR="00045C7C" w:rsidP="00045C7C" w:rsidRDefault="00045C7C" w14:paraId="642CE009" w14:textId="20CBF23D">
      <w:pPr>
        <w:autoSpaceDE w:val="0"/>
        <w:autoSpaceDN w:val="0"/>
        <w:adjustRightInd w:val="0"/>
        <w:rPr>
          <w:rFonts w:cs="Times New Roman"/>
          <w:color w:val="000000"/>
          <w:szCs w:val="26"/>
        </w:rPr>
      </w:pPr>
      <w:r>
        <w:rPr>
          <w:rFonts w:cs="Times New Roman"/>
          <w:color w:val="000000"/>
          <w:szCs w:val="26"/>
        </w:rPr>
        <w:t>Disability Advocates argues that there is no authority to grant TNCs a partial exemption for partial accessibility</w:t>
      </w:r>
      <w:r w:rsidRPr="006E7107">
        <w:rPr>
          <w:rFonts w:cs="Times New Roman"/>
          <w:color w:val="000000"/>
          <w:szCs w:val="26"/>
        </w:rPr>
        <w:t xml:space="preserve"> </w:t>
      </w:r>
      <w:r>
        <w:rPr>
          <w:rFonts w:cs="Times New Roman"/>
          <w:color w:val="000000"/>
          <w:szCs w:val="26"/>
        </w:rPr>
        <w:t>and that a TNC must be “fully</w:t>
      </w:r>
      <w:r w:rsidR="002D4C5D">
        <w:rPr>
          <w:rFonts w:cs="Times New Roman"/>
          <w:color w:val="000000"/>
          <w:szCs w:val="26"/>
        </w:rPr>
        <w:t> </w:t>
      </w:r>
      <w:r>
        <w:rPr>
          <w:rFonts w:cs="Times New Roman"/>
          <w:color w:val="000000"/>
          <w:szCs w:val="26"/>
        </w:rPr>
        <w:t>accessible” to qualify for exemptions, which means both on</w:t>
      </w:r>
      <w:r w:rsidR="002D4C5D">
        <w:rPr>
          <w:rFonts w:cs="Times New Roman"/>
          <w:color w:val="000000"/>
          <w:szCs w:val="26"/>
        </w:rPr>
        <w:noBreakHyphen/>
      </w:r>
      <w:r>
        <w:rPr>
          <w:rFonts w:cs="Times New Roman"/>
          <w:color w:val="000000"/>
          <w:szCs w:val="26"/>
        </w:rPr>
        <w:t>demand and pre</w:t>
      </w:r>
      <w:r w:rsidR="002D4C5D">
        <w:rPr>
          <w:rFonts w:cs="Times New Roman"/>
          <w:color w:val="000000"/>
          <w:szCs w:val="26"/>
        </w:rPr>
        <w:noBreakHyphen/>
      </w:r>
      <w:r>
        <w:rPr>
          <w:rFonts w:cs="Times New Roman"/>
          <w:color w:val="000000"/>
          <w:szCs w:val="26"/>
        </w:rPr>
        <w:t>scheduled services must meet the Commission’s standards.</w:t>
      </w:r>
      <w:r>
        <w:rPr>
          <w:rStyle w:val="FootnoteReference"/>
          <w:rFonts w:cs="Times New Roman"/>
          <w:color w:val="000000"/>
          <w:szCs w:val="26"/>
        </w:rPr>
        <w:footnoteReference w:id="38"/>
      </w:r>
      <w:r>
        <w:rPr>
          <w:rFonts w:cs="Times New Roman"/>
          <w:color w:val="000000"/>
          <w:szCs w:val="26"/>
        </w:rPr>
        <w:t xml:space="preserve"> </w:t>
      </w:r>
      <w:r w:rsidRPr="00180B7A">
        <w:rPr>
          <w:rFonts w:cs="Times New Roman"/>
          <w:color w:val="000000"/>
          <w:szCs w:val="26"/>
        </w:rPr>
        <w:t xml:space="preserve"> </w:t>
      </w:r>
      <w:r>
        <w:rPr>
          <w:rFonts w:cs="Times New Roman"/>
          <w:color w:val="000000"/>
          <w:szCs w:val="26"/>
        </w:rPr>
        <w:t xml:space="preserve">However, Disability Advocates supports allowing a TNC that is “partially accessible, or only on their way toward full accessibility” to qualify for offsets but not </w:t>
      </w:r>
      <w:r>
        <w:rPr>
          <w:rFonts w:cs="Times New Roman"/>
          <w:color w:val="000000"/>
          <w:szCs w:val="26"/>
        </w:rPr>
        <w:lastRenderedPageBreak/>
        <w:t>exemptions.  SFTWA supports San Francisco’s exemption proposal because it is a more stringent standard.</w:t>
      </w:r>
      <w:r>
        <w:rPr>
          <w:rStyle w:val="FootnoteReference"/>
          <w:rFonts w:cs="Times New Roman"/>
          <w:color w:val="000000"/>
          <w:szCs w:val="26"/>
        </w:rPr>
        <w:footnoteReference w:id="39"/>
      </w:r>
    </w:p>
    <w:p w:rsidR="00045C7C" w:rsidP="00045C7C" w:rsidRDefault="00045C7C" w14:paraId="6B088AD0" w14:textId="357172CA">
      <w:pPr>
        <w:pStyle w:val="Heading3"/>
      </w:pPr>
      <w:bookmarkStart w:name="_Toc125016606" w:id="38"/>
      <w:r>
        <w:t>Discussion</w:t>
      </w:r>
      <w:bookmarkEnd w:id="38"/>
    </w:p>
    <w:p w:rsidR="00045C7C" w:rsidP="00045C7C" w:rsidRDefault="00045C7C" w14:paraId="767A2C91" w14:textId="23984D68">
      <w:pPr>
        <w:autoSpaceDE w:val="0"/>
        <w:autoSpaceDN w:val="0"/>
        <w:adjustRightInd w:val="0"/>
        <w:rPr>
          <w:rFonts w:cs="Garamond"/>
          <w:color w:val="000000"/>
          <w:szCs w:val="26"/>
        </w:rPr>
      </w:pPr>
      <w:r>
        <w:rPr>
          <w:rFonts w:cs="Garamond"/>
          <w:color w:val="000000"/>
          <w:szCs w:val="26"/>
        </w:rPr>
        <w:t>CPED’s proposed 80 percent standard for exemption eligibility is the same standard as is currently required for on-demand WAV trips.  San</w:t>
      </w:r>
      <w:r w:rsidR="002D4C5D">
        <w:rPr>
          <w:rFonts w:cs="Garamond"/>
          <w:color w:val="000000"/>
          <w:szCs w:val="26"/>
        </w:rPr>
        <w:t> </w:t>
      </w:r>
      <w:r>
        <w:rPr>
          <w:rFonts w:cs="Garamond"/>
          <w:color w:val="000000"/>
          <w:szCs w:val="26"/>
        </w:rPr>
        <w:t>Francisco’s proposal, by contrast, would require a higher 95 percent trip completion standard.  We agree that the exemption standard for pre-scheduled trips should have a higher completion rate than on-demand trips since pre</w:t>
      </w:r>
      <w:r w:rsidR="002D4C5D">
        <w:rPr>
          <w:rFonts w:cs="Garamond"/>
          <w:color w:val="000000"/>
          <w:szCs w:val="26"/>
        </w:rPr>
        <w:noBreakHyphen/>
      </w:r>
      <w:r>
        <w:rPr>
          <w:rFonts w:cs="Garamond"/>
          <w:color w:val="000000"/>
          <w:szCs w:val="26"/>
        </w:rPr>
        <w:t>scheduled trips are booked and known to the TNC further in advance.  The Commission is persuaded that San</w:t>
      </w:r>
      <w:r w:rsidR="002D4C5D">
        <w:rPr>
          <w:rFonts w:cs="Garamond"/>
          <w:color w:val="000000"/>
          <w:szCs w:val="26"/>
        </w:rPr>
        <w:t> </w:t>
      </w:r>
      <w:r>
        <w:rPr>
          <w:rFonts w:cs="Garamond"/>
          <w:color w:val="000000"/>
          <w:szCs w:val="26"/>
        </w:rPr>
        <w:t>Francisco’s 95</w:t>
      </w:r>
      <w:r w:rsidR="002D4C5D">
        <w:rPr>
          <w:rFonts w:cs="Garamond"/>
          <w:color w:val="000000"/>
          <w:szCs w:val="26"/>
        </w:rPr>
        <w:t> </w:t>
      </w:r>
      <w:r>
        <w:rPr>
          <w:rFonts w:cs="Garamond"/>
          <w:color w:val="000000"/>
          <w:szCs w:val="26"/>
        </w:rPr>
        <w:t xml:space="preserve">percent trip completion standard is an appropriately rigorous requirement for exemption eligibility, given that an exemption approval allows a TNC to retain Access Fees in that county for a full year. </w:t>
      </w:r>
    </w:p>
    <w:p w:rsidR="00045C7C" w:rsidP="00045C7C" w:rsidRDefault="00045C7C" w14:paraId="480CB947" w14:textId="2477237F">
      <w:pPr>
        <w:autoSpaceDE w:val="0"/>
        <w:autoSpaceDN w:val="0"/>
        <w:adjustRightInd w:val="0"/>
        <w:rPr>
          <w:rFonts w:cs="Garamond"/>
          <w:color w:val="000000"/>
          <w:szCs w:val="26"/>
        </w:rPr>
      </w:pPr>
      <w:r>
        <w:rPr>
          <w:rFonts w:cs="Garamond"/>
          <w:color w:val="000000"/>
          <w:szCs w:val="26"/>
        </w:rPr>
        <w:t>As discussed above, the Commission does not agree with San</w:t>
      </w:r>
      <w:r w:rsidR="002D4C5D">
        <w:rPr>
          <w:rFonts w:cs="Garamond"/>
          <w:color w:val="000000"/>
          <w:szCs w:val="26"/>
        </w:rPr>
        <w:t> </w:t>
      </w:r>
      <w:r>
        <w:rPr>
          <w:rFonts w:cs="Garamond"/>
          <w:color w:val="000000"/>
          <w:szCs w:val="26"/>
        </w:rPr>
        <w:t>Francisco’s proposal that a TNC must qualify for offsets for both pre</w:t>
      </w:r>
      <w:r w:rsidR="002D4C5D">
        <w:rPr>
          <w:rFonts w:cs="Garamond"/>
          <w:color w:val="000000"/>
          <w:szCs w:val="26"/>
        </w:rPr>
        <w:noBreakHyphen/>
      </w:r>
      <w:r>
        <w:rPr>
          <w:rFonts w:cs="Garamond"/>
          <w:color w:val="000000"/>
          <w:szCs w:val="26"/>
        </w:rPr>
        <w:t>scheduled trips and on</w:t>
      </w:r>
      <w:r w:rsidR="002D4C5D">
        <w:rPr>
          <w:rFonts w:cs="Garamond"/>
          <w:color w:val="000000"/>
          <w:szCs w:val="26"/>
        </w:rPr>
        <w:noBreakHyphen/>
      </w:r>
      <w:r>
        <w:rPr>
          <w:rFonts w:cs="Garamond"/>
          <w:color w:val="000000"/>
          <w:szCs w:val="26"/>
        </w:rPr>
        <w:t xml:space="preserve">demand trips in order to qualify for an exemption.  Thus, a TNC can submit an Exemption Request for either its pre-scheduled WAV trips or on-demand WAV trips, or both.  </w:t>
      </w:r>
      <w:r w:rsidR="00867E37">
        <w:rPr>
          <w:rFonts w:cs="Garamond"/>
          <w:color w:val="000000"/>
          <w:szCs w:val="26"/>
        </w:rPr>
        <w:t>I</w:t>
      </w:r>
      <w:r w:rsidR="00D30102">
        <w:rPr>
          <w:rFonts w:cs="Garamond"/>
          <w:color w:val="000000"/>
          <w:szCs w:val="26"/>
        </w:rPr>
        <w:t xml:space="preserve">f the Exemption Request is approved, </w:t>
      </w:r>
      <w:r w:rsidR="00CB57C9">
        <w:rPr>
          <w:rFonts w:cs="Garamond"/>
          <w:color w:val="000000"/>
          <w:szCs w:val="26"/>
        </w:rPr>
        <w:t xml:space="preserve">the Commission finds </w:t>
      </w:r>
      <w:r>
        <w:rPr>
          <w:rFonts w:cs="Garamond"/>
          <w:color w:val="000000"/>
          <w:szCs w:val="26"/>
        </w:rPr>
        <w:t>it</w:t>
      </w:r>
      <w:r w:rsidR="00D30102">
        <w:rPr>
          <w:rFonts w:cs="Garamond"/>
          <w:color w:val="000000"/>
          <w:szCs w:val="26"/>
        </w:rPr>
        <w:t xml:space="preserve"> </w:t>
      </w:r>
      <w:r>
        <w:rPr>
          <w:rFonts w:cs="Garamond"/>
          <w:color w:val="000000"/>
          <w:szCs w:val="26"/>
        </w:rPr>
        <w:t xml:space="preserve">reasonable that the Access Fund fees retained </w:t>
      </w:r>
      <w:r w:rsidR="007F6F2B">
        <w:rPr>
          <w:rFonts w:cs="Garamond"/>
          <w:color w:val="000000"/>
          <w:szCs w:val="26"/>
        </w:rPr>
        <w:t xml:space="preserve">by the TNC </w:t>
      </w:r>
      <w:r>
        <w:rPr>
          <w:rFonts w:cs="Garamond"/>
          <w:color w:val="000000"/>
          <w:szCs w:val="26"/>
        </w:rPr>
        <w:t xml:space="preserve">for the future year should be </w:t>
      </w:r>
      <w:r w:rsidR="002E5C54">
        <w:t>proportionate to that county’s pre-scheduled or on</w:t>
      </w:r>
      <w:r w:rsidR="002E5C54">
        <w:noBreakHyphen/>
        <w:t>demand WAV service mix</w:t>
      </w:r>
      <w:r w:rsidR="002E4F6F">
        <w:t xml:space="preserve"> in the prior year’s corresponding quarter</w:t>
      </w:r>
      <w:r w:rsidR="007F6F2B">
        <w:rPr>
          <w:rFonts w:cs="Garamond"/>
          <w:color w:val="000000"/>
          <w:szCs w:val="26"/>
        </w:rPr>
        <w:t>, whichever</w:t>
      </w:r>
      <w:r w:rsidR="00867E37">
        <w:rPr>
          <w:rFonts w:cs="Garamond"/>
          <w:color w:val="000000"/>
          <w:szCs w:val="26"/>
        </w:rPr>
        <w:t xml:space="preserve"> service</w:t>
      </w:r>
      <w:r w:rsidR="007F6F2B">
        <w:rPr>
          <w:rFonts w:cs="Garamond"/>
          <w:color w:val="000000"/>
          <w:szCs w:val="26"/>
        </w:rPr>
        <w:t xml:space="preserve"> the </w:t>
      </w:r>
      <w:r w:rsidR="00D30102">
        <w:rPr>
          <w:rFonts w:cs="Garamond"/>
          <w:color w:val="000000"/>
          <w:szCs w:val="26"/>
        </w:rPr>
        <w:t>E</w:t>
      </w:r>
      <w:r w:rsidR="007F6F2B">
        <w:rPr>
          <w:rFonts w:cs="Garamond"/>
          <w:color w:val="000000"/>
          <w:szCs w:val="26"/>
        </w:rPr>
        <w:t xml:space="preserve">xemption </w:t>
      </w:r>
      <w:r w:rsidR="00D30102">
        <w:rPr>
          <w:rFonts w:cs="Garamond"/>
          <w:color w:val="000000"/>
          <w:szCs w:val="26"/>
        </w:rPr>
        <w:t>R</w:t>
      </w:r>
      <w:r w:rsidR="007F6F2B">
        <w:rPr>
          <w:rFonts w:cs="Garamond"/>
          <w:color w:val="000000"/>
          <w:szCs w:val="26"/>
        </w:rPr>
        <w:t>equest was based upon.</w:t>
      </w:r>
      <w:r w:rsidR="002E4F6F">
        <w:rPr>
          <w:rFonts w:cs="Garamond"/>
          <w:color w:val="000000"/>
          <w:szCs w:val="26"/>
        </w:rPr>
        <w:t xml:space="preserve">  For example, if a TNC qualifies for an exemption for pre-scheduled WAV service and during the exemption eligibility period, the TNC’s service mix for </w:t>
      </w:r>
      <w:r w:rsidR="00D03669">
        <w:rPr>
          <w:rFonts w:cs="Garamond"/>
          <w:color w:val="000000"/>
          <w:szCs w:val="26"/>
        </w:rPr>
        <w:t>Quarter 1</w:t>
      </w:r>
      <w:r w:rsidR="002E4F6F">
        <w:rPr>
          <w:rFonts w:cs="Garamond"/>
          <w:color w:val="000000"/>
          <w:szCs w:val="26"/>
        </w:rPr>
        <w:t xml:space="preserve"> was 80% on-demand WAV and 20% </w:t>
      </w:r>
      <w:r w:rsidR="002E4F6F">
        <w:rPr>
          <w:rFonts w:cs="Garamond"/>
          <w:color w:val="000000"/>
          <w:szCs w:val="26"/>
        </w:rPr>
        <w:lastRenderedPageBreak/>
        <w:t>pre-scheduled WAV, then the TNC would retain 20% of Access Fund fees for the future Q</w:t>
      </w:r>
      <w:r w:rsidR="00D03669">
        <w:rPr>
          <w:rFonts w:cs="Garamond"/>
          <w:color w:val="000000"/>
          <w:szCs w:val="26"/>
        </w:rPr>
        <w:t>uarter 1</w:t>
      </w:r>
      <w:r w:rsidR="002E4F6F">
        <w:rPr>
          <w:rFonts w:cs="Garamond"/>
          <w:color w:val="000000"/>
          <w:szCs w:val="26"/>
        </w:rPr>
        <w:t>.  If the TNC’s service mix for Q</w:t>
      </w:r>
      <w:r w:rsidR="00D232C2">
        <w:rPr>
          <w:rFonts w:cs="Garamond"/>
          <w:color w:val="000000"/>
          <w:szCs w:val="26"/>
        </w:rPr>
        <w:t>uarter 2</w:t>
      </w:r>
      <w:r w:rsidR="002E4F6F">
        <w:rPr>
          <w:rFonts w:cs="Garamond"/>
          <w:color w:val="000000"/>
          <w:szCs w:val="26"/>
        </w:rPr>
        <w:t xml:space="preserve"> of the exemption eligibility period was 70% on-demand WAV and 30% pre-scheduled WAV, the TNC would retain 30% of Access Fund fees for the future Q</w:t>
      </w:r>
      <w:r w:rsidR="00D232C2">
        <w:rPr>
          <w:rFonts w:cs="Garamond"/>
          <w:color w:val="000000"/>
          <w:szCs w:val="26"/>
        </w:rPr>
        <w:t>uarter 2</w:t>
      </w:r>
      <w:r w:rsidR="002E4F6F">
        <w:rPr>
          <w:rFonts w:cs="Garamond"/>
          <w:color w:val="000000"/>
          <w:szCs w:val="26"/>
        </w:rPr>
        <w:t>.</w:t>
      </w:r>
      <w:r w:rsidR="007F6F2B">
        <w:rPr>
          <w:rFonts w:cs="Garamond"/>
          <w:color w:val="000000"/>
          <w:szCs w:val="26"/>
        </w:rPr>
        <w:t xml:space="preserve"> </w:t>
      </w:r>
      <w:r>
        <w:rPr>
          <w:rFonts w:cs="Garamond"/>
          <w:color w:val="000000"/>
          <w:szCs w:val="26"/>
        </w:rPr>
        <w:t xml:space="preserve"> </w:t>
      </w:r>
    </w:p>
    <w:p w:rsidR="00045C7C" w:rsidP="00045C7C" w:rsidRDefault="00045C7C" w14:paraId="2B2CA359" w14:textId="4122A69E">
      <w:pPr>
        <w:pStyle w:val="Standard"/>
        <w:rPr>
          <w:rFonts w:cs="Garamond"/>
          <w:color w:val="000000"/>
          <w:szCs w:val="26"/>
        </w:rPr>
      </w:pPr>
      <w:r>
        <w:rPr>
          <w:rFonts w:cs="Garamond"/>
          <w:color w:val="000000"/>
          <w:szCs w:val="26"/>
        </w:rPr>
        <w:t xml:space="preserve">Accordingly, we adopt San Francisco’s proposal with the modification that a TNC may submit an Exemption Request for either pre-scheduled WAV trips or on-demand WAV trips, or both.  </w:t>
      </w:r>
      <w:r w:rsidR="00CB57C9">
        <w:rPr>
          <w:rFonts w:cs="Garamond"/>
          <w:color w:val="000000"/>
          <w:szCs w:val="26"/>
        </w:rPr>
        <w:t>F</w:t>
      </w:r>
      <w:r>
        <w:rPr>
          <w:rFonts w:cs="Garamond"/>
          <w:color w:val="000000"/>
          <w:szCs w:val="26"/>
        </w:rPr>
        <w:t>or exemption eligibility for pre</w:t>
      </w:r>
      <w:r w:rsidR="002D4C5D">
        <w:rPr>
          <w:rFonts w:cs="Garamond"/>
          <w:color w:val="000000"/>
          <w:szCs w:val="26"/>
        </w:rPr>
        <w:noBreakHyphen/>
      </w:r>
      <w:r>
        <w:rPr>
          <w:rFonts w:cs="Garamond"/>
          <w:color w:val="000000"/>
          <w:szCs w:val="26"/>
        </w:rPr>
        <w:t>scheduled WAV trips, a TNC must demonstrate that:</w:t>
      </w:r>
    </w:p>
    <w:p w:rsidRPr="002D4C5D" w:rsidR="00045C7C" w:rsidP="002D4C5D" w:rsidRDefault="002D4C5D" w14:paraId="6A835CE7" w14:textId="63869C0A">
      <w:pPr>
        <w:autoSpaceDE w:val="0"/>
        <w:autoSpaceDN w:val="0"/>
        <w:adjustRightInd w:val="0"/>
        <w:spacing w:after="120" w:line="240" w:lineRule="auto"/>
        <w:ind w:left="1440" w:right="1440" w:hanging="360"/>
        <w:rPr>
          <w:rFonts w:cs="Times New Roman"/>
          <w:color w:val="000000"/>
          <w:szCs w:val="26"/>
        </w:rPr>
      </w:pPr>
      <w:r>
        <w:rPr>
          <w:rFonts w:cs="Times New Roman"/>
          <w:color w:val="000000"/>
          <w:szCs w:val="26"/>
        </w:rPr>
        <w:t>a.</w:t>
      </w:r>
      <w:r>
        <w:rPr>
          <w:rFonts w:cs="Times New Roman"/>
          <w:color w:val="000000"/>
          <w:szCs w:val="26"/>
        </w:rPr>
        <w:tab/>
      </w:r>
      <w:r w:rsidRPr="002D4C5D" w:rsidR="00045C7C">
        <w:rPr>
          <w:rFonts w:cs="Times New Roman"/>
          <w:color w:val="000000"/>
          <w:szCs w:val="26"/>
        </w:rPr>
        <w:t>at</w:t>
      </w:r>
      <w:r>
        <w:rPr>
          <w:rFonts w:cs="Times New Roman"/>
          <w:color w:val="000000"/>
          <w:szCs w:val="26"/>
        </w:rPr>
        <w:t> </w:t>
      </w:r>
      <w:r w:rsidRPr="002D4C5D" w:rsidR="00045C7C">
        <w:rPr>
          <w:rFonts w:cs="Times New Roman"/>
          <w:color w:val="000000"/>
          <w:szCs w:val="26"/>
        </w:rPr>
        <w:t>least 95</w:t>
      </w:r>
      <w:r>
        <w:rPr>
          <w:rFonts w:cs="Times New Roman"/>
          <w:color w:val="000000"/>
          <w:szCs w:val="26"/>
        </w:rPr>
        <w:t> </w:t>
      </w:r>
      <w:r w:rsidRPr="002D4C5D" w:rsidR="00045C7C">
        <w:rPr>
          <w:rFonts w:cs="Times New Roman"/>
          <w:color w:val="000000"/>
          <w:szCs w:val="26"/>
        </w:rPr>
        <w:t>percent of its completed pre</w:t>
      </w:r>
      <w:r w:rsidR="00FE45FE">
        <w:rPr>
          <w:rFonts w:cs="Times New Roman"/>
          <w:color w:val="000000"/>
          <w:szCs w:val="26"/>
        </w:rPr>
        <w:t>-</w:t>
      </w:r>
      <w:r w:rsidRPr="002D4C5D" w:rsidR="00045C7C">
        <w:rPr>
          <w:rFonts w:cs="Times New Roman"/>
          <w:color w:val="000000"/>
          <w:szCs w:val="26"/>
        </w:rPr>
        <w:t>scheduled WAV trips met or exceed</w:t>
      </w:r>
      <w:r w:rsidR="00695127">
        <w:rPr>
          <w:rFonts w:cs="Times New Roman"/>
          <w:color w:val="000000"/>
          <w:szCs w:val="26"/>
        </w:rPr>
        <w:t>ed</w:t>
      </w:r>
      <w:r w:rsidRPr="002D4C5D" w:rsidR="00045C7C">
        <w:rPr>
          <w:rFonts w:cs="Times New Roman"/>
          <w:color w:val="000000"/>
          <w:szCs w:val="26"/>
        </w:rPr>
        <w:t xml:space="preserve"> the PDB (adopted in Section</w:t>
      </w:r>
      <w:r>
        <w:rPr>
          <w:rFonts w:cs="Times New Roman"/>
          <w:color w:val="000000"/>
          <w:szCs w:val="26"/>
        </w:rPr>
        <w:t> </w:t>
      </w:r>
      <w:r w:rsidRPr="002D4C5D" w:rsidR="00045C7C">
        <w:rPr>
          <w:rFonts w:cs="Times New Roman"/>
          <w:color w:val="000000"/>
          <w:szCs w:val="26"/>
        </w:rPr>
        <w:t xml:space="preserve">3.3) for a given geographic area for four consecutive quarters, and </w:t>
      </w:r>
    </w:p>
    <w:p w:rsidRPr="002D4C5D" w:rsidR="00045C7C" w:rsidP="002D4C5D" w:rsidRDefault="002D4C5D" w14:paraId="4C515F66" w14:textId="775D01A6">
      <w:pPr>
        <w:autoSpaceDE w:val="0"/>
        <w:autoSpaceDN w:val="0"/>
        <w:adjustRightInd w:val="0"/>
        <w:spacing w:after="120" w:line="240" w:lineRule="auto"/>
        <w:ind w:left="1440" w:right="1440" w:hanging="360"/>
        <w:rPr>
          <w:rFonts w:cs="Times New Roman"/>
          <w:color w:val="000000"/>
          <w:szCs w:val="26"/>
        </w:rPr>
      </w:pPr>
      <w:r>
        <w:rPr>
          <w:rFonts w:cs="Times New Roman"/>
          <w:color w:val="000000"/>
          <w:szCs w:val="26"/>
        </w:rPr>
        <w:t>b.</w:t>
      </w:r>
      <w:r>
        <w:rPr>
          <w:rFonts w:cs="Times New Roman"/>
          <w:color w:val="000000"/>
          <w:szCs w:val="26"/>
        </w:rPr>
        <w:tab/>
      </w:r>
      <w:r w:rsidRPr="002D4C5D" w:rsidR="00045C7C">
        <w:rPr>
          <w:rFonts w:cs="Times New Roman"/>
          <w:color w:val="000000"/>
          <w:szCs w:val="26"/>
        </w:rPr>
        <w:t>the TNC qualified for an offset in the given geographic area for the same four consecutive quarters.</w:t>
      </w:r>
    </w:p>
    <w:p w:rsidR="00462FF9" w:rsidP="00462FF9" w:rsidRDefault="00462FF9" w14:paraId="1F99E8A7" w14:textId="47E7FCF7">
      <w:pPr>
        <w:pStyle w:val="Standard"/>
      </w:pPr>
      <w:r>
        <w:t>This will be referred to as the Pre-scheduled Exemption Time Standard.  To verify that a TNC achieved the Pre-scheduled Exemption Time Standard, a TNC shall submit completed WAV response times in deciles, for each qualifying quarter.  A TNC’s pre-scheduled Exemption Request shall mirror the requirements of a pre-scheduled Offset Request for four consecutive quarters.</w:t>
      </w:r>
    </w:p>
    <w:p w:rsidR="00045C7C" w:rsidP="00BE06C7" w:rsidRDefault="00045C7C" w14:paraId="05F4FA8F" w14:textId="77A02B90">
      <w:pPr>
        <w:pStyle w:val="Standard"/>
      </w:pPr>
      <w:r>
        <w:t>Upon approval of an Exemption Request</w:t>
      </w:r>
      <w:r w:rsidR="007F6F2B">
        <w:t xml:space="preserve"> for pre-scheduled or on-demand WAV service</w:t>
      </w:r>
      <w:r>
        <w:t xml:space="preserve">, the TNC shall retain </w:t>
      </w:r>
      <w:r w:rsidR="007F6F2B">
        <w:t>that</w:t>
      </w:r>
      <w:r>
        <w:t xml:space="preserve"> county’s </w:t>
      </w:r>
      <w:r w:rsidR="007F6F2B">
        <w:t>Access Fund fee</w:t>
      </w:r>
      <w:r w:rsidR="00591224">
        <w:t>s</w:t>
      </w:r>
      <w:r w:rsidR="007F6F2B">
        <w:t xml:space="preserve"> </w:t>
      </w:r>
      <w:r w:rsidR="00591224">
        <w:t>for the future year proportionate to that county’s pre-scheduled or on</w:t>
      </w:r>
      <w:r w:rsidR="00591224">
        <w:noBreakHyphen/>
        <w:t>demand WAV service mix</w:t>
      </w:r>
      <w:r w:rsidR="002E4F6F">
        <w:t xml:space="preserve"> in the prior year’s corresponding quarter</w:t>
      </w:r>
      <w:r w:rsidR="007F6F2B">
        <w:t xml:space="preserve">, whichever </w:t>
      </w:r>
      <w:r w:rsidR="00867E37">
        <w:t xml:space="preserve">service </w:t>
      </w:r>
      <w:r w:rsidR="007F6F2B">
        <w:t>the exemption approval was based upon.</w:t>
      </w:r>
      <w:r w:rsidRPr="00620984">
        <w:t xml:space="preserve"> </w:t>
      </w:r>
      <w:r w:rsidR="00BE06C7">
        <w:t xml:space="preserve"> </w:t>
      </w:r>
      <w:r>
        <w:t>The exemption eligibility requirements adopted for pre-scheduled WAV trips shall be effective beginning the 3</w:t>
      </w:r>
      <w:r w:rsidRPr="00620984">
        <w:rPr>
          <w:vertAlign w:val="superscript"/>
        </w:rPr>
        <w:t>rd</w:t>
      </w:r>
      <w:r w:rsidR="002D4C5D">
        <w:t> </w:t>
      </w:r>
      <w:r>
        <w:t>quarter of 2023.</w:t>
      </w:r>
      <w:r w:rsidRPr="00620984">
        <w:t xml:space="preserve"> </w:t>
      </w:r>
    </w:p>
    <w:p w:rsidR="00045C7C" w:rsidP="00045C7C" w:rsidRDefault="00045C7C" w14:paraId="5C4D815A" w14:textId="179330DD">
      <w:pPr>
        <w:pStyle w:val="Heading2"/>
      </w:pPr>
      <w:bookmarkStart w:name="_Toc125016607" w:id="39"/>
      <w:r>
        <w:lastRenderedPageBreak/>
        <w:t>Lyft’s Wait &amp; Save Feature</w:t>
      </w:r>
      <w:bookmarkEnd w:id="39"/>
    </w:p>
    <w:p w:rsidR="00045C7C" w:rsidP="00FF5AB0" w:rsidRDefault="00045C7C" w14:paraId="53AC64ED" w14:textId="164026CB">
      <w:pPr>
        <w:autoSpaceDE w:val="0"/>
        <w:autoSpaceDN w:val="0"/>
        <w:adjustRightInd w:val="0"/>
        <w:rPr>
          <w:rFonts w:cs="Arial"/>
          <w:szCs w:val="26"/>
        </w:rPr>
      </w:pPr>
      <w:r>
        <w:rPr>
          <w:rFonts w:cs="Arial"/>
          <w:szCs w:val="26"/>
        </w:rPr>
        <w:t>In its June</w:t>
      </w:r>
      <w:r w:rsidR="002D4C5D">
        <w:rPr>
          <w:rFonts w:cs="Arial"/>
          <w:szCs w:val="26"/>
        </w:rPr>
        <w:t> </w:t>
      </w:r>
      <w:r>
        <w:rPr>
          <w:rFonts w:cs="Arial"/>
          <w:szCs w:val="26"/>
        </w:rPr>
        <w:t>30 proposal, Lyft states that it recently began offering its Wait &amp; Save program to WAV users.</w:t>
      </w:r>
      <w:r>
        <w:rPr>
          <w:rStyle w:val="FootnoteReference"/>
          <w:rFonts w:cs="Arial"/>
          <w:szCs w:val="26"/>
        </w:rPr>
        <w:footnoteReference w:id="40"/>
      </w:r>
      <w:r>
        <w:rPr>
          <w:rFonts w:cs="Arial"/>
          <w:szCs w:val="26"/>
        </w:rPr>
        <w:t xml:space="preserve">  Lyft describes the program as follows: </w:t>
      </w:r>
    </w:p>
    <w:p w:rsidR="00045C7C" w:rsidP="002D4C5D" w:rsidRDefault="00045C7C" w14:paraId="17A8C413" w14:textId="6493D501">
      <w:pPr>
        <w:autoSpaceDE w:val="0"/>
        <w:autoSpaceDN w:val="0"/>
        <w:adjustRightInd w:val="0"/>
        <w:spacing w:after="120" w:line="240" w:lineRule="auto"/>
        <w:ind w:left="720" w:right="1440" w:firstLine="0"/>
        <w:rPr>
          <w:rFonts w:cs="Arial"/>
          <w:szCs w:val="26"/>
        </w:rPr>
      </w:pPr>
      <w:r>
        <w:rPr>
          <w:rFonts w:cs="Arial"/>
          <w:szCs w:val="26"/>
        </w:rPr>
        <w:t>As with Lyft on-demand, riders may request a same day trip, but have the option of choosing to wait upwards of 30</w:t>
      </w:r>
      <w:r w:rsidR="002D4C5D">
        <w:rPr>
          <w:rFonts w:cs="Arial"/>
          <w:szCs w:val="26"/>
        </w:rPr>
        <w:t> </w:t>
      </w:r>
      <w:r>
        <w:rPr>
          <w:rFonts w:cs="Arial"/>
          <w:szCs w:val="26"/>
        </w:rPr>
        <w:t xml:space="preserve">minutes for a vehicle to arrive in exchange for a discounted trip fee.  When passengers select a Wait &amp; Save </w:t>
      </w:r>
      <w:r w:rsidR="002D4C5D">
        <w:rPr>
          <w:rFonts w:cs="Arial"/>
          <w:szCs w:val="26"/>
        </w:rPr>
        <w:t>trip,</w:t>
      </w:r>
      <w:r>
        <w:rPr>
          <w:rFonts w:cs="Arial"/>
          <w:szCs w:val="26"/>
        </w:rPr>
        <w:t xml:space="preserve"> they are informed that a vehicle will arrive within “X” minutes, for</w:t>
      </w:r>
      <w:r w:rsidR="002D4C5D">
        <w:rPr>
          <w:rFonts w:cs="Arial"/>
          <w:szCs w:val="26"/>
        </w:rPr>
        <w:t> </w:t>
      </w:r>
      <w:r>
        <w:rPr>
          <w:rFonts w:cs="Arial"/>
          <w:szCs w:val="26"/>
        </w:rPr>
        <w:t>example 15</w:t>
      </w:r>
      <w:r w:rsidR="002D4C5D">
        <w:rPr>
          <w:rFonts w:cs="Arial"/>
          <w:szCs w:val="26"/>
        </w:rPr>
        <w:t> </w:t>
      </w:r>
      <w:r>
        <w:rPr>
          <w:rFonts w:cs="Arial"/>
          <w:szCs w:val="26"/>
        </w:rPr>
        <w:t>minutes.  A Wait &amp; Save passenger does not choose a specific pick</w:t>
      </w:r>
      <w:r w:rsidR="002D4C5D">
        <w:rPr>
          <w:rFonts w:cs="Arial"/>
          <w:szCs w:val="26"/>
        </w:rPr>
        <w:noBreakHyphen/>
      </w:r>
      <w:r>
        <w:rPr>
          <w:rFonts w:cs="Arial"/>
          <w:szCs w:val="26"/>
        </w:rPr>
        <w:t>up time but rather, elects to wait longer for an on</w:t>
      </w:r>
      <w:r w:rsidR="002D4C5D">
        <w:rPr>
          <w:rFonts w:cs="Arial"/>
          <w:szCs w:val="26"/>
        </w:rPr>
        <w:noBreakHyphen/>
      </w:r>
      <w:r>
        <w:rPr>
          <w:rFonts w:cs="Arial"/>
          <w:szCs w:val="26"/>
        </w:rPr>
        <w:t>demand trip in exchange for a lower fee.</w:t>
      </w:r>
    </w:p>
    <w:p w:rsidR="00045C7C" w:rsidP="00045C7C" w:rsidRDefault="00045C7C" w14:paraId="4076CD91" w14:textId="200F34C1">
      <w:pPr>
        <w:autoSpaceDE w:val="0"/>
        <w:autoSpaceDN w:val="0"/>
        <w:adjustRightInd w:val="0"/>
        <w:rPr>
          <w:rFonts w:cs="Arial"/>
          <w:szCs w:val="26"/>
        </w:rPr>
      </w:pPr>
      <w:r>
        <w:rPr>
          <w:rFonts w:cs="Arial"/>
          <w:szCs w:val="26"/>
        </w:rPr>
        <w:t>Lyft expresses concern that if response times for Wait &amp; Save trips are calculated in the same manner as for on</w:t>
      </w:r>
      <w:r w:rsidR="002D4C5D">
        <w:rPr>
          <w:rFonts w:cs="Arial"/>
          <w:szCs w:val="26"/>
        </w:rPr>
        <w:noBreakHyphen/>
      </w:r>
      <w:r>
        <w:rPr>
          <w:rFonts w:cs="Arial"/>
          <w:szCs w:val="26"/>
        </w:rPr>
        <w:t>demand trips (that is, measuring the elapsed time between the request time and the vehicle arrival time), Lyft will be penalized in the form of longer response times, which could potentially hinder its offset eligibility.  Instead, Lyft proposes that Wait &amp; Save trips should be considered as on-demand WAV trips but that their response time should be calculated “as the elapsed time between the delayed pick</w:t>
      </w:r>
      <w:r w:rsidR="002D4C5D">
        <w:rPr>
          <w:rFonts w:cs="Arial"/>
          <w:szCs w:val="26"/>
        </w:rPr>
        <w:noBreakHyphen/>
      </w:r>
      <w:r>
        <w:rPr>
          <w:rFonts w:cs="Arial"/>
          <w:szCs w:val="26"/>
        </w:rPr>
        <w:t>up time to which the passenger has agreed at the time of the request and the actual arrival time of the vehicle.”</w:t>
      </w:r>
      <w:r>
        <w:rPr>
          <w:rStyle w:val="FootnoteReference"/>
          <w:rFonts w:cs="Arial"/>
          <w:szCs w:val="26"/>
        </w:rPr>
        <w:footnoteReference w:id="41"/>
      </w:r>
      <w:r>
        <w:rPr>
          <w:rFonts w:cs="Arial"/>
          <w:szCs w:val="26"/>
        </w:rPr>
        <w:t xml:space="preserve">  Lyft believes that this approach accounts for passenger’s expectations and measures performance against those expectations.  </w:t>
      </w:r>
    </w:p>
    <w:p w:rsidR="00045C7C" w:rsidP="00045C7C" w:rsidRDefault="00045C7C" w14:paraId="28B90427" w14:textId="185C2D4E">
      <w:pPr>
        <w:autoSpaceDE w:val="0"/>
        <w:autoSpaceDN w:val="0"/>
        <w:adjustRightInd w:val="0"/>
        <w:rPr>
          <w:rFonts w:cs="Arial"/>
          <w:szCs w:val="26"/>
        </w:rPr>
      </w:pPr>
      <w:r>
        <w:rPr>
          <w:rFonts w:cs="Arial"/>
          <w:szCs w:val="26"/>
        </w:rPr>
        <w:t>Alternatively, Lyft recommends that a Wait &amp; Save trip should be considered “on time” if a driver arrives before the delayed pick-up time that was accepted by the passenger.</w:t>
      </w:r>
      <w:r>
        <w:rPr>
          <w:rStyle w:val="FootnoteReference"/>
          <w:rFonts w:cs="Arial"/>
          <w:szCs w:val="26"/>
        </w:rPr>
        <w:footnoteReference w:id="42"/>
      </w:r>
      <w:r>
        <w:rPr>
          <w:rFonts w:cs="Arial"/>
          <w:szCs w:val="26"/>
        </w:rPr>
        <w:t xml:space="preserve">  In other words, if a passenger opts for a Wait &amp; Save trip with a pickup window of 8:00</w:t>
      </w:r>
      <w:r w:rsidR="002D4C5D">
        <w:rPr>
          <w:rFonts w:cs="Arial"/>
          <w:szCs w:val="26"/>
        </w:rPr>
        <w:t> </w:t>
      </w:r>
      <w:r>
        <w:rPr>
          <w:rFonts w:cs="Arial"/>
          <w:szCs w:val="26"/>
        </w:rPr>
        <w:t>–</w:t>
      </w:r>
      <w:r w:rsidR="002D4C5D">
        <w:rPr>
          <w:rFonts w:cs="Arial"/>
          <w:szCs w:val="26"/>
        </w:rPr>
        <w:t> </w:t>
      </w:r>
      <w:r>
        <w:rPr>
          <w:rFonts w:cs="Arial"/>
          <w:szCs w:val="26"/>
        </w:rPr>
        <w:t>8:20</w:t>
      </w:r>
      <w:r w:rsidR="002D4C5D">
        <w:rPr>
          <w:rFonts w:cs="Arial"/>
          <w:szCs w:val="26"/>
        </w:rPr>
        <w:t> </w:t>
      </w:r>
      <w:r>
        <w:rPr>
          <w:rFonts w:cs="Arial"/>
          <w:szCs w:val="26"/>
        </w:rPr>
        <w:t xml:space="preserve">am, the trip is considered </w:t>
      </w:r>
      <w:r>
        <w:rPr>
          <w:rFonts w:cs="Arial"/>
          <w:szCs w:val="26"/>
        </w:rPr>
        <w:lastRenderedPageBreak/>
        <w:t>“on</w:t>
      </w:r>
      <w:r w:rsidR="002D4C5D">
        <w:rPr>
          <w:rFonts w:cs="Arial"/>
          <w:szCs w:val="26"/>
        </w:rPr>
        <w:t> </w:t>
      </w:r>
      <w:r>
        <w:rPr>
          <w:rFonts w:cs="Arial"/>
          <w:szCs w:val="26"/>
        </w:rPr>
        <w:t>time” if the driver arrives before 8:20</w:t>
      </w:r>
      <w:r w:rsidR="002D4C5D">
        <w:rPr>
          <w:rFonts w:cs="Arial"/>
          <w:szCs w:val="26"/>
        </w:rPr>
        <w:t> </w:t>
      </w:r>
      <w:r>
        <w:rPr>
          <w:rFonts w:cs="Arial"/>
          <w:szCs w:val="26"/>
        </w:rPr>
        <w:t>am.  If the driver is not “on time” (</w:t>
      </w:r>
      <w:r w:rsidRPr="002D4C5D">
        <w:rPr>
          <w:rFonts w:cs="Arial"/>
          <w:i/>
          <w:iCs/>
          <w:szCs w:val="26"/>
        </w:rPr>
        <w:t>i.e.</w:t>
      </w:r>
      <w:r>
        <w:rPr>
          <w:rFonts w:cs="Arial"/>
          <w:szCs w:val="26"/>
        </w:rPr>
        <w:t>,</w:t>
      </w:r>
      <w:r w:rsidR="002D4C5D">
        <w:rPr>
          <w:rFonts w:cs="Arial"/>
          <w:szCs w:val="26"/>
        </w:rPr>
        <w:t> </w:t>
      </w:r>
      <w:r>
        <w:rPr>
          <w:rFonts w:cs="Arial"/>
          <w:szCs w:val="26"/>
        </w:rPr>
        <w:t>arrives past the stated arrival time), the trip would not be included in the number of trips within the Level</w:t>
      </w:r>
      <w:r w:rsidR="002D4C5D">
        <w:rPr>
          <w:rFonts w:cs="Arial"/>
          <w:szCs w:val="26"/>
        </w:rPr>
        <w:t> </w:t>
      </w:r>
      <w:r>
        <w:rPr>
          <w:rFonts w:cs="Arial"/>
          <w:szCs w:val="26"/>
        </w:rPr>
        <w:t>1 and Level</w:t>
      </w:r>
      <w:r w:rsidR="002D4C5D">
        <w:rPr>
          <w:rFonts w:cs="Arial"/>
          <w:szCs w:val="26"/>
        </w:rPr>
        <w:t> </w:t>
      </w:r>
      <w:r>
        <w:rPr>
          <w:rFonts w:cs="Arial"/>
          <w:szCs w:val="26"/>
        </w:rPr>
        <w:t>2 response times.  The trip, however, would be included in the total number of trips completed.  Lyft states that its proposal penalizes a driver for arriving outside the pick</w:t>
      </w:r>
      <w:r w:rsidR="002D4C5D">
        <w:rPr>
          <w:rFonts w:cs="Arial"/>
          <w:szCs w:val="26"/>
        </w:rPr>
        <w:noBreakHyphen/>
      </w:r>
      <w:r>
        <w:rPr>
          <w:rFonts w:cs="Arial"/>
          <w:szCs w:val="26"/>
        </w:rPr>
        <w:t>up window, similar to the penalty for a driver of an on</w:t>
      </w:r>
      <w:r w:rsidR="002D4C5D">
        <w:rPr>
          <w:rFonts w:cs="Arial"/>
          <w:szCs w:val="26"/>
        </w:rPr>
        <w:noBreakHyphen/>
      </w:r>
      <w:r>
        <w:rPr>
          <w:rFonts w:cs="Arial"/>
          <w:szCs w:val="26"/>
        </w:rPr>
        <w:t>demand trip arriving outside of the response time benchmarks.  Uber supports Lyft’s alternative proposal as it measures responsiveness based on a customer’s expectation and reduces administrative delay with creating new performance metrics.</w:t>
      </w:r>
      <w:r>
        <w:rPr>
          <w:rStyle w:val="FootnoteReference"/>
          <w:rFonts w:cs="Arial"/>
          <w:szCs w:val="26"/>
        </w:rPr>
        <w:footnoteReference w:id="43"/>
      </w:r>
      <w:r>
        <w:rPr>
          <w:rFonts w:cs="Arial"/>
          <w:szCs w:val="26"/>
        </w:rPr>
        <w:t xml:space="preserve">  Uber suggests that TNCs provide documentation about Wait &amp; Save service to address parties’ concerns about TNCs skirting performance metrics.</w:t>
      </w:r>
    </w:p>
    <w:p w:rsidR="00045C7C" w:rsidP="00045C7C" w:rsidRDefault="00045C7C" w14:paraId="5CE102CA" w14:textId="116744CF">
      <w:pPr>
        <w:autoSpaceDE w:val="0"/>
        <w:autoSpaceDN w:val="0"/>
        <w:adjustRightInd w:val="0"/>
        <w:rPr>
          <w:rFonts w:cs="Arial"/>
          <w:szCs w:val="26"/>
        </w:rPr>
      </w:pPr>
      <w:r>
        <w:rPr>
          <w:rFonts w:cs="Arial"/>
          <w:szCs w:val="26"/>
        </w:rPr>
        <w:t>Disability Advocates, San</w:t>
      </w:r>
      <w:r w:rsidR="002D4C5D">
        <w:rPr>
          <w:rFonts w:cs="Arial"/>
          <w:szCs w:val="26"/>
        </w:rPr>
        <w:t> </w:t>
      </w:r>
      <w:r>
        <w:rPr>
          <w:rFonts w:cs="Arial"/>
          <w:szCs w:val="26"/>
        </w:rPr>
        <w:t>Francisco, and SFTWA oppose both of Lyft’s proposals, stating that they give Lyft discretion to set the arrival window to determine what is “on time.”</w:t>
      </w:r>
      <w:r>
        <w:rPr>
          <w:rStyle w:val="FootnoteReference"/>
          <w:rFonts w:cs="Arial"/>
          <w:szCs w:val="26"/>
        </w:rPr>
        <w:footnoteReference w:id="44"/>
      </w:r>
      <w:r>
        <w:rPr>
          <w:rFonts w:cs="Arial"/>
          <w:szCs w:val="26"/>
        </w:rPr>
        <w:t xml:space="preserve">  These parties advocate for response times for Wait &amp; Save trips to be measured similarly to other “on</w:t>
      </w:r>
      <w:r w:rsidR="002D4C5D">
        <w:rPr>
          <w:rFonts w:cs="Arial"/>
          <w:szCs w:val="26"/>
        </w:rPr>
        <w:noBreakHyphen/>
      </w:r>
      <w:r>
        <w:rPr>
          <w:rFonts w:cs="Arial"/>
          <w:szCs w:val="26"/>
        </w:rPr>
        <w:t>demand” WAV trips (</w:t>
      </w:r>
      <w:r w:rsidRPr="002D4C5D">
        <w:rPr>
          <w:rFonts w:cs="Arial"/>
          <w:i/>
          <w:iCs/>
          <w:szCs w:val="26"/>
        </w:rPr>
        <w:t>i.e.</w:t>
      </w:r>
      <w:r>
        <w:rPr>
          <w:rFonts w:cs="Arial"/>
          <w:szCs w:val="26"/>
        </w:rPr>
        <w:t>, from the time when the passenger first requests the ride to when the vehicle arrives).</w:t>
      </w:r>
      <w:r>
        <w:rPr>
          <w:rStyle w:val="FootnoteReference"/>
          <w:rFonts w:cs="Arial"/>
          <w:szCs w:val="26"/>
        </w:rPr>
        <w:footnoteReference w:id="45"/>
      </w:r>
      <w:r>
        <w:rPr>
          <w:rFonts w:cs="Arial"/>
          <w:szCs w:val="26"/>
        </w:rPr>
        <w:t xml:space="preserve">  San</w:t>
      </w:r>
      <w:r w:rsidR="002D4C5D">
        <w:rPr>
          <w:rFonts w:cs="Arial"/>
          <w:szCs w:val="26"/>
        </w:rPr>
        <w:t> </w:t>
      </w:r>
      <w:r>
        <w:rPr>
          <w:rFonts w:cs="Arial"/>
          <w:szCs w:val="26"/>
        </w:rPr>
        <w:t>Francisco disagrees that customers voluntarily choose a delayed pickup time and states that they may select the delayed pickup time due to lower</w:t>
      </w:r>
      <w:r w:rsidR="002D4C5D">
        <w:rPr>
          <w:rFonts w:cs="Arial"/>
          <w:szCs w:val="26"/>
        </w:rPr>
        <w:t> </w:t>
      </w:r>
      <w:r>
        <w:rPr>
          <w:rFonts w:cs="Arial"/>
          <w:szCs w:val="26"/>
        </w:rPr>
        <w:t>costs.</w:t>
      </w:r>
      <w:r>
        <w:rPr>
          <w:rStyle w:val="FootnoteReference"/>
          <w:rFonts w:cs="Arial"/>
          <w:szCs w:val="26"/>
        </w:rPr>
        <w:footnoteReference w:id="46"/>
      </w:r>
      <w:r>
        <w:rPr>
          <w:rFonts w:cs="Arial"/>
          <w:szCs w:val="26"/>
        </w:rPr>
        <w:t xml:space="preserve">  San</w:t>
      </w:r>
      <w:r w:rsidR="002D4C5D">
        <w:rPr>
          <w:rFonts w:cs="Arial"/>
          <w:szCs w:val="26"/>
        </w:rPr>
        <w:t> </w:t>
      </w:r>
      <w:r>
        <w:rPr>
          <w:rFonts w:cs="Arial"/>
          <w:szCs w:val="26"/>
        </w:rPr>
        <w:t xml:space="preserve">Francisco states that new standards should not be developed </w:t>
      </w:r>
      <w:r>
        <w:rPr>
          <w:rFonts w:cs="Arial"/>
          <w:szCs w:val="26"/>
        </w:rPr>
        <w:lastRenderedPageBreak/>
        <w:t xml:space="preserve">for every new fare product offered by TNCs and the Commission should use discretion to adapt the Access for All </w:t>
      </w:r>
      <w:r w:rsidR="001B6DBF">
        <w:rPr>
          <w:rFonts w:cs="Arial"/>
          <w:szCs w:val="26"/>
        </w:rPr>
        <w:t>P</w:t>
      </w:r>
      <w:r>
        <w:rPr>
          <w:rFonts w:cs="Arial"/>
          <w:szCs w:val="26"/>
        </w:rPr>
        <w:t xml:space="preserve">rogram to new products.  </w:t>
      </w:r>
    </w:p>
    <w:p w:rsidR="00045C7C" w:rsidP="00045C7C" w:rsidRDefault="00045C7C" w14:paraId="3F34E92F" w14:textId="6EE3B5DE">
      <w:pPr>
        <w:autoSpaceDE w:val="0"/>
        <w:autoSpaceDN w:val="0"/>
        <w:adjustRightInd w:val="0"/>
        <w:rPr>
          <w:rFonts w:cs="Arial"/>
          <w:szCs w:val="26"/>
        </w:rPr>
      </w:pPr>
      <w:r>
        <w:rPr>
          <w:rFonts w:cs="Arial"/>
          <w:szCs w:val="26"/>
        </w:rPr>
        <w:t>Uber and Lyft oppose measuring Wait &amp; Save response times the same as on</w:t>
      </w:r>
      <w:r w:rsidR="002D4C5D">
        <w:rPr>
          <w:rFonts w:cs="Arial"/>
          <w:szCs w:val="26"/>
        </w:rPr>
        <w:noBreakHyphen/>
      </w:r>
      <w:r>
        <w:rPr>
          <w:rFonts w:cs="Arial"/>
          <w:szCs w:val="26"/>
        </w:rPr>
        <w:t>demand trips because it ignores the value of the Wait &amp; Save feature in that a passenger intentionally elects for the delayed arrival time range in exchange for a lower fare.</w:t>
      </w:r>
      <w:r>
        <w:rPr>
          <w:rStyle w:val="FootnoteReference"/>
          <w:rFonts w:cs="Arial"/>
          <w:szCs w:val="26"/>
        </w:rPr>
        <w:footnoteReference w:id="47"/>
      </w:r>
      <w:r>
        <w:rPr>
          <w:rFonts w:cs="Arial"/>
          <w:szCs w:val="26"/>
        </w:rPr>
        <w:t xml:space="preserve">  Uber comments that measuring these as on</w:t>
      </w:r>
      <w:r w:rsidR="002D4C5D">
        <w:rPr>
          <w:rFonts w:cs="Arial"/>
          <w:szCs w:val="26"/>
        </w:rPr>
        <w:noBreakHyphen/>
      </w:r>
      <w:r>
        <w:rPr>
          <w:rFonts w:cs="Arial"/>
          <w:szCs w:val="26"/>
        </w:rPr>
        <w:t>demand response times would penalize TNCs for offering such trips and Lyft states that parties have provided no evidence that TNCs have or would manipulate wait times to their advantage.</w:t>
      </w:r>
    </w:p>
    <w:p w:rsidR="00045C7C" w:rsidP="00045C7C" w:rsidRDefault="00045C7C" w14:paraId="04C65D0A" w14:textId="15C9F71A">
      <w:pPr>
        <w:pStyle w:val="Heading3"/>
      </w:pPr>
      <w:bookmarkStart w:name="_Toc125016608" w:id="40"/>
      <w:r>
        <w:t>Discussion</w:t>
      </w:r>
      <w:bookmarkEnd w:id="40"/>
    </w:p>
    <w:p w:rsidR="00045C7C" w:rsidP="00045C7C" w:rsidRDefault="00045C7C" w14:paraId="2AA6AEC9" w14:textId="060715F1">
      <w:pPr>
        <w:autoSpaceDE w:val="0"/>
        <w:autoSpaceDN w:val="0"/>
        <w:adjustRightInd w:val="0"/>
        <w:spacing w:after="120"/>
        <w:rPr>
          <w:szCs w:val="26"/>
        </w:rPr>
      </w:pPr>
      <w:r>
        <w:rPr>
          <w:szCs w:val="26"/>
        </w:rPr>
        <w:t xml:space="preserve">In the </w:t>
      </w:r>
      <w:r w:rsidR="003935B7">
        <w:rPr>
          <w:szCs w:val="26"/>
        </w:rPr>
        <w:t xml:space="preserve">assigned </w:t>
      </w:r>
      <w:r w:rsidRPr="004B3D55">
        <w:rPr>
          <w:szCs w:val="26"/>
        </w:rPr>
        <w:t xml:space="preserve">ALJ’s Ruling Requesting Proposals and Comments on Wait &amp; Save Service, </w:t>
      </w:r>
      <w:r>
        <w:rPr>
          <w:szCs w:val="26"/>
        </w:rPr>
        <w:t>issued September</w:t>
      </w:r>
      <w:r w:rsidR="002D4C5D">
        <w:rPr>
          <w:szCs w:val="26"/>
        </w:rPr>
        <w:t> </w:t>
      </w:r>
      <w:r>
        <w:rPr>
          <w:szCs w:val="26"/>
        </w:rPr>
        <w:t>13,</w:t>
      </w:r>
      <w:r w:rsidR="002D4C5D">
        <w:rPr>
          <w:szCs w:val="26"/>
        </w:rPr>
        <w:t> </w:t>
      </w:r>
      <w:r>
        <w:rPr>
          <w:szCs w:val="26"/>
        </w:rPr>
        <w:t>2022, we stated that:</w:t>
      </w:r>
    </w:p>
    <w:p w:rsidR="00045C7C" w:rsidP="00E57D28" w:rsidRDefault="00045C7C" w14:paraId="578C1E13" w14:textId="6F02C40C">
      <w:pPr>
        <w:autoSpaceDE w:val="0"/>
        <w:autoSpaceDN w:val="0"/>
        <w:adjustRightInd w:val="0"/>
        <w:spacing w:after="120" w:line="240" w:lineRule="auto"/>
        <w:ind w:left="720" w:right="1440" w:firstLine="0"/>
        <w:rPr>
          <w:rFonts w:cs="Arial"/>
          <w:szCs w:val="26"/>
        </w:rPr>
      </w:pPr>
      <w:r>
        <w:rPr>
          <w:szCs w:val="26"/>
        </w:rPr>
        <w:t>The Commission recognizes a tension between calculating Wait</w:t>
      </w:r>
      <w:r w:rsidR="00E57D28">
        <w:rPr>
          <w:szCs w:val="26"/>
        </w:rPr>
        <w:t> </w:t>
      </w:r>
      <w:r>
        <w:rPr>
          <w:szCs w:val="26"/>
        </w:rPr>
        <w:t>&amp;</w:t>
      </w:r>
      <w:r w:rsidR="00E57D28">
        <w:rPr>
          <w:szCs w:val="26"/>
        </w:rPr>
        <w:t> </w:t>
      </w:r>
      <w:r>
        <w:rPr>
          <w:szCs w:val="26"/>
        </w:rPr>
        <w:t>Save trips based on the “on</w:t>
      </w:r>
      <w:r w:rsidR="00E57D28">
        <w:rPr>
          <w:szCs w:val="26"/>
        </w:rPr>
        <w:noBreakHyphen/>
      </w:r>
      <w:r>
        <w:rPr>
          <w:szCs w:val="26"/>
        </w:rPr>
        <w:t>demand” response time definition, which could result in much longer response times, and calculating Wait</w:t>
      </w:r>
      <w:r w:rsidR="00E57D28">
        <w:rPr>
          <w:szCs w:val="26"/>
        </w:rPr>
        <w:t> </w:t>
      </w:r>
      <w:r>
        <w:rPr>
          <w:szCs w:val="26"/>
        </w:rPr>
        <w:t>&amp;</w:t>
      </w:r>
      <w:r w:rsidR="00E57D28">
        <w:rPr>
          <w:szCs w:val="26"/>
        </w:rPr>
        <w:t> </w:t>
      </w:r>
      <w:r>
        <w:rPr>
          <w:szCs w:val="26"/>
        </w:rPr>
        <w:t>Save trips based on Lyft’s proposal, which could potentially result in much shorter response times.  We also recognize, however, a need to appropriately incentivize transportation network companies (TNCs) to offer features like the Wait &amp; Save option, particularly given the stated popularity of this feature among WAV passengers.</w:t>
      </w:r>
      <w:r>
        <w:rPr>
          <w:rStyle w:val="FootnoteReference"/>
          <w:szCs w:val="26"/>
        </w:rPr>
        <w:footnoteReference w:id="48"/>
      </w:r>
    </w:p>
    <w:p w:rsidR="00045C7C" w:rsidP="00045C7C" w:rsidRDefault="00045C7C" w14:paraId="356A9C90" w14:textId="33BD83C0">
      <w:pPr>
        <w:autoSpaceDE w:val="0"/>
        <w:autoSpaceDN w:val="0"/>
        <w:adjustRightInd w:val="0"/>
        <w:rPr>
          <w:rFonts w:cs="Arial"/>
          <w:szCs w:val="26"/>
        </w:rPr>
      </w:pPr>
      <w:r>
        <w:rPr>
          <w:rFonts w:cs="Arial"/>
          <w:szCs w:val="26"/>
        </w:rPr>
        <w:t>Nearly all parties agree that Wait &amp; Save trips should be considered “on</w:t>
      </w:r>
      <w:r w:rsidR="00E57D28">
        <w:rPr>
          <w:rFonts w:cs="Arial"/>
          <w:szCs w:val="26"/>
        </w:rPr>
        <w:t> </w:t>
      </w:r>
      <w:r>
        <w:rPr>
          <w:rFonts w:cs="Arial"/>
          <w:szCs w:val="26"/>
        </w:rPr>
        <w:t>demand” WAV trips, as opposed to “pre</w:t>
      </w:r>
      <w:r w:rsidR="00E57D28">
        <w:rPr>
          <w:rFonts w:cs="Arial"/>
          <w:szCs w:val="26"/>
        </w:rPr>
        <w:noBreakHyphen/>
      </w:r>
      <w:r>
        <w:rPr>
          <w:rFonts w:cs="Arial"/>
          <w:szCs w:val="26"/>
        </w:rPr>
        <w:t>scheduled” WAV trips.</w:t>
      </w:r>
      <w:r>
        <w:rPr>
          <w:rStyle w:val="FootnoteReference"/>
          <w:rFonts w:cs="Arial"/>
          <w:szCs w:val="26"/>
        </w:rPr>
        <w:footnoteReference w:id="49"/>
      </w:r>
      <w:r>
        <w:rPr>
          <w:rFonts w:cs="Arial"/>
          <w:szCs w:val="26"/>
        </w:rPr>
        <w:t xml:space="preserve">  We agree </w:t>
      </w:r>
      <w:r>
        <w:rPr>
          <w:rFonts w:cs="Arial"/>
          <w:szCs w:val="26"/>
        </w:rPr>
        <w:lastRenderedPageBreak/>
        <w:t>that Wait</w:t>
      </w:r>
      <w:r w:rsidR="00E57D28">
        <w:rPr>
          <w:rFonts w:cs="Arial"/>
          <w:szCs w:val="26"/>
        </w:rPr>
        <w:t> </w:t>
      </w:r>
      <w:r>
        <w:rPr>
          <w:rFonts w:cs="Arial"/>
          <w:szCs w:val="26"/>
        </w:rPr>
        <w:t>&amp;</w:t>
      </w:r>
      <w:r w:rsidR="00E57D28">
        <w:rPr>
          <w:rFonts w:cs="Arial"/>
          <w:szCs w:val="26"/>
        </w:rPr>
        <w:t> </w:t>
      </w:r>
      <w:r>
        <w:rPr>
          <w:rFonts w:cs="Arial"/>
          <w:szCs w:val="26"/>
        </w:rPr>
        <w:t>Save WAV trips should be categorized as “on</w:t>
      </w:r>
      <w:r w:rsidR="00E57D28">
        <w:rPr>
          <w:rFonts w:cs="Arial"/>
          <w:szCs w:val="26"/>
        </w:rPr>
        <w:noBreakHyphen/>
      </w:r>
      <w:r>
        <w:rPr>
          <w:rFonts w:cs="Arial"/>
          <w:szCs w:val="26"/>
        </w:rPr>
        <w:t>demand” trips for purposes of offset and exemption eligibility.  The outstanding issue is how to define the “response</w:t>
      </w:r>
      <w:r w:rsidR="00E57D28">
        <w:rPr>
          <w:rFonts w:cs="Arial"/>
          <w:szCs w:val="26"/>
        </w:rPr>
        <w:t> </w:t>
      </w:r>
      <w:r>
        <w:rPr>
          <w:rFonts w:cs="Arial"/>
          <w:szCs w:val="26"/>
        </w:rPr>
        <w:t>time” for a Wait &amp; Save WAV trip.</w:t>
      </w:r>
    </w:p>
    <w:p w:rsidR="00045C7C" w:rsidP="00045C7C" w:rsidRDefault="00045C7C" w14:paraId="56051C19" w14:textId="7040F422">
      <w:pPr>
        <w:autoSpaceDE w:val="0"/>
        <w:autoSpaceDN w:val="0"/>
        <w:adjustRightInd w:val="0"/>
        <w:rPr>
          <w:rFonts w:cs="Arial"/>
          <w:szCs w:val="26"/>
        </w:rPr>
      </w:pPr>
      <w:r>
        <w:rPr>
          <w:rFonts w:cs="Arial"/>
          <w:szCs w:val="26"/>
        </w:rPr>
        <w:t>To accept the Wait</w:t>
      </w:r>
      <w:r w:rsidR="00E57D28">
        <w:rPr>
          <w:rFonts w:cs="Arial"/>
          <w:szCs w:val="26"/>
        </w:rPr>
        <w:t> </w:t>
      </w:r>
      <w:r>
        <w:rPr>
          <w:rFonts w:cs="Arial"/>
          <w:szCs w:val="26"/>
        </w:rPr>
        <w:t>&amp;</w:t>
      </w:r>
      <w:r w:rsidR="00E57D28">
        <w:rPr>
          <w:rFonts w:cs="Arial"/>
          <w:szCs w:val="26"/>
        </w:rPr>
        <w:t> </w:t>
      </w:r>
      <w:r>
        <w:rPr>
          <w:rFonts w:cs="Arial"/>
          <w:szCs w:val="26"/>
        </w:rPr>
        <w:t>Save option, a WAV customer voluntarily agrees to a delayed pickup time in exchange for a reduced trip fee.  A Wait</w:t>
      </w:r>
      <w:r w:rsidR="00E57D28">
        <w:rPr>
          <w:rFonts w:cs="Arial"/>
          <w:szCs w:val="26"/>
        </w:rPr>
        <w:t> </w:t>
      </w:r>
      <w:r>
        <w:rPr>
          <w:rFonts w:cs="Arial"/>
          <w:szCs w:val="26"/>
        </w:rPr>
        <w:t>&amp;</w:t>
      </w:r>
      <w:r w:rsidR="00E57D28">
        <w:rPr>
          <w:rFonts w:cs="Arial"/>
          <w:szCs w:val="26"/>
        </w:rPr>
        <w:t> </w:t>
      </w:r>
      <w:r>
        <w:rPr>
          <w:rFonts w:cs="Arial"/>
          <w:szCs w:val="26"/>
        </w:rPr>
        <w:t>Save customer thus declines the faster on</w:t>
      </w:r>
      <w:r w:rsidR="00E57D28">
        <w:rPr>
          <w:rFonts w:cs="Arial"/>
          <w:szCs w:val="26"/>
        </w:rPr>
        <w:noBreakHyphen/>
      </w:r>
      <w:r>
        <w:rPr>
          <w:rFonts w:cs="Arial"/>
          <w:szCs w:val="26"/>
        </w:rPr>
        <w:t>demand WAV option for a delayed pickup window.  The Commission agrees with Lyft and Uber that applying the on</w:t>
      </w:r>
      <w:r w:rsidR="00E57D28">
        <w:rPr>
          <w:rFonts w:cs="Arial"/>
          <w:szCs w:val="26"/>
        </w:rPr>
        <w:noBreakHyphen/>
      </w:r>
      <w:r>
        <w:rPr>
          <w:rFonts w:cs="Arial"/>
          <w:szCs w:val="26"/>
        </w:rPr>
        <w:t>demand response time definition to Wait</w:t>
      </w:r>
      <w:r w:rsidR="00E57D28">
        <w:rPr>
          <w:rFonts w:cs="Arial"/>
          <w:szCs w:val="26"/>
        </w:rPr>
        <w:t> </w:t>
      </w:r>
      <w:r>
        <w:rPr>
          <w:rFonts w:cs="Arial"/>
          <w:szCs w:val="26"/>
        </w:rPr>
        <w:t>&amp;</w:t>
      </w:r>
      <w:r w:rsidR="00E57D28">
        <w:rPr>
          <w:rFonts w:cs="Arial"/>
          <w:szCs w:val="26"/>
        </w:rPr>
        <w:t> </w:t>
      </w:r>
      <w:r>
        <w:rPr>
          <w:rFonts w:cs="Arial"/>
          <w:szCs w:val="26"/>
        </w:rPr>
        <w:t>Save trips would penalize a TNC, as it would necessarily result in longer response.  Given the stated popularity of the Wait</w:t>
      </w:r>
      <w:r w:rsidR="00E57D28">
        <w:rPr>
          <w:rFonts w:cs="Arial"/>
          <w:szCs w:val="26"/>
        </w:rPr>
        <w:t> </w:t>
      </w:r>
      <w:r>
        <w:rPr>
          <w:rFonts w:cs="Arial"/>
          <w:szCs w:val="26"/>
        </w:rPr>
        <w:t>&amp;</w:t>
      </w:r>
      <w:r w:rsidR="00E57D28">
        <w:rPr>
          <w:rFonts w:cs="Arial"/>
          <w:szCs w:val="26"/>
        </w:rPr>
        <w:t> </w:t>
      </w:r>
      <w:r>
        <w:rPr>
          <w:rFonts w:cs="Arial"/>
          <w:szCs w:val="26"/>
        </w:rPr>
        <w:t>Save program among WAV passengers, we acknowledge that this is a feature that WAV customers appear to value.</w:t>
      </w:r>
    </w:p>
    <w:p w:rsidR="00045C7C" w:rsidP="00045C7C" w:rsidRDefault="00045C7C" w14:paraId="1D13D87B" w14:textId="2F0980D7">
      <w:pPr>
        <w:autoSpaceDE w:val="0"/>
        <w:autoSpaceDN w:val="0"/>
        <w:adjustRightInd w:val="0"/>
        <w:rPr>
          <w:rFonts w:cs="Arial"/>
          <w:szCs w:val="26"/>
        </w:rPr>
      </w:pPr>
      <w:r>
        <w:rPr>
          <w:rFonts w:cs="Arial"/>
          <w:szCs w:val="26"/>
        </w:rPr>
        <w:t>Lyft’s alternate proposal would consider a Wait</w:t>
      </w:r>
      <w:r w:rsidR="00E57D28">
        <w:rPr>
          <w:rFonts w:cs="Arial"/>
          <w:szCs w:val="26"/>
        </w:rPr>
        <w:t> </w:t>
      </w:r>
      <w:r>
        <w:rPr>
          <w:rFonts w:cs="Arial"/>
          <w:szCs w:val="26"/>
        </w:rPr>
        <w:t>&amp;</w:t>
      </w:r>
      <w:r w:rsidR="00E57D28">
        <w:rPr>
          <w:rFonts w:cs="Arial"/>
          <w:szCs w:val="26"/>
        </w:rPr>
        <w:t> </w:t>
      </w:r>
      <w:r>
        <w:rPr>
          <w:rFonts w:cs="Arial"/>
          <w:szCs w:val="26"/>
        </w:rPr>
        <w:t>Save trip “on</w:t>
      </w:r>
      <w:r w:rsidR="00E57D28">
        <w:rPr>
          <w:rFonts w:cs="Arial"/>
          <w:szCs w:val="26"/>
        </w:rPr>
        <w:t> </w:t>
      </w:r>
      <w:r>
        <w:rPr>
          <w:rFonts w:cs="Arial"/>
          <w:szCs w:val="26"/>
        </w:rPr>
        <w:t>time” if a driver arrives before the stated pickup time.  If the trip is not “on</w:t>
      </w:r>
      <w:r w:rsidR="00E57D28">
        <w:rPr>
          <w:rFonts w:cs="Arial"/>
          <w:szCs w:val="26"/>
        </w:rPr>
        <w:t> </w:t>
      </w:r>
      <w:r>
        <w:rPr>
          <w:rFonts w:cs="Arial"/>
          <w:szCs w:val="26"/>
        </w:rPr>
        <w:t>time,” the trip would not be included in the number of trips within the Level</w:t>
      </w:r>
      <w:r w:rsidR="00E57D28">
        <w:rPr>
          <w:rFonts w:cs="Arial"/>
          <w:szCs w:val="26"/>
        </w:rPr>
        <w:t> </w:t>
      </w:r>
      <w:r>
        <w:rPr>
          <w:rFonts w:cs="Arial"/>
          <w:szCs w:val="26"/>
        </w:rPr>
        <w:t>1 and Level 2 response times but would be included in the total number of trips completed.  The Commission concludes that Lyft’s alternate proposal is a reasonable solution that measures response time based on a passenger’s “on</w:t>
      </w:r>
      <w:r w:rsidR="00E57D28">
        <w:rPr>
          <w:rFonts w:cs="Arial"/>
          <w:szCs w:val="26"/>
        </w:rPr>
        <w:t> </w:t>
      </w:r>
      <w:r>
        <w:rPr>
          <w:rFonts w:cs="Arial"/>
          <w:szCs w:val="26"/>
        </w:rPr>
        <w:t xml:space="preserve">time” expectation, while not penalizing (and potentially disincentivizing) TNCs for offering a feature strongly valued by WAV passengers. </w:t>
      </w:r>
    </w:p>
    <w:p w:rsidR="00045C7C" w:rsidP="00045C7C" w:rsidRDefault="00045C7C" w14:paraId="1D64A1A8" w14:textId="44744D85">
      <w:pPr>
        <w:autoSpaceDE w:val="0"/>
        <w:autoSpaceDN w:val="0"/>
        <w:adjustRightInd w:val="0"/>
        <w:rPr>
          <w:rFonts w:cs="Arial"/>
          <w:szCs w:val="26"/>
        </w:rPr>
      </w:pPr>
      <w:r>
        <w:rPr>
          <w:rFonts w:cs="Arial"/>
          <w:szCs w:val="26"/>
        </w:rPr>
        <w:t>Accordingly, Wait</w:t>
      </w:r>
      <w:r w:rsidR="00E57D28">
        <w:rPr>
          <w:rFonts w:cs="Arial"/>
          <w:szCs w:val="26"/>
        </w:rPr>
        <w:t> </w:t>
      </w:r>
      <w:r>
        <w:rPr>
          <w:rFonts w:cs="Arial"/>
          <w:szCs w:val="26"/>
        </w:rPr>
        <w:t>&amp;</w:t>
      </w:r>
      <w:r w:rsidR="00E57D28">
        <w:rPr>
          <w:rFonts w:cs="Arial"/>
          <w:szCs w:val="26"/>
        </w:rPr>
        <w:t> </w:t>
      </w:r>
      <w:r>
        <w:rPr>
          <w:rFonts w:cs="Arial"/>
          <w:szCs w:val="26"/>
        </w:rPr>
        <w:t>Save WAV trips shall be categorized as “on</w:t>
      </w:r>
      <w:r w:rsidR="00E57D28">
        <w:rPr>
          <w:rFonts w:cs="Arial"/>
          <w:szCs w:val="26"/>
        </w:rPr>
        <w:noBreakHyphen/>
      </w:r>
      <w:r>
        <w:rPr>
          <w:rFonts w:cs="Arial"/>
          <w:szCs w:val="26"/>
        </w:rPr>
        <w:t>demand” WAV trips for purposes of the Access for All Program.  A Wait</w:t>
      </w:r>
      <w:r w:rsidR="00E57D28">
        <w:rPr>
          <w:rFonts w:cs="Arial"/>
          <w:szCs w:val="26"/>
        </w:rPr>
        <w:t> </w:t>
      </w:r>
      <w:r>
        <w:rPr>
          <w:rFonts w:cs="Arial"/>
          <w:szCs w:val="26"/>
        </w:rPr>
        <w:t>&amp;</w:t>
      </w:r>
      <w:r w:rsidR="00E57D28">
        <w:rPr>
          <w:rFonts w:cs="Arial"/>
          <w:szCs w:val="26"/>
        </w:rPr>
        <w:t> </w:t>
      </w:r>
      <w:r>
        <w:rPr>
          <w:rFonts w:cs="Arial"/>
          <w:szCs w:val="26"/>
        </w:rPr>
        <w:t>Save trip shall be considered “on</w:t>
      </w:r>
      <w:r w:rsidR="00E57D28">
        <w:rPr>
          <w:rFonts w:cs="Arial"/>
          <w:szCs w:val="26"/>
        </w:rPr>
        <w:t> </w:t>
      </w:r>
      <w:r>
        <w:rPr>
          <w:rFonts w:cs="Arial"/>
          <w:szCs w:val="26"/>
        </w:rPr>
        <w:t>time” if the driver arrives before the delayed pick</w:t>
      </w:r>
      <w:r w:rsidR="00E57D28">
        <w:rPr>
          <w:rFonts w:cs="Arial"/>
          <w:szCs w:val="26"/>
        </w:rPr>
        <w:noBreakHyphen/>
      </w:r>
      <w:r>
        <w:rPr>
          <w:rFonts w:cs="Arial"/>
          <w:szCs w:val="26"/>
        </w:rPr>
        <w:t xml:space="preserve">up time that was accepted by the passenger.  </w:t>
      </w:r>
      <w:r w:rsidR="00526B8F">
        <w:rPr>
          <w:rFonts w:cs="Arial"/>
          <w:szCs w:val="26"/>
        </w:rPr>
        <w:t xml:space="preserve">For example, if a passenger opts for a Wait &amp; Save trip with a pickup window of 8:00 – 8:20 am, the trip is considered </w:t>
      </w:r>
      <w:r w:rsidR="00526B8F">
        <w:rPr>
          <w:rFonts w:cs="Arial"/>
          <w:szCs w:val="26"/>
        </w:rPr>
        <w:lastRenderedPageBreak/>
        <w:t xml:space="preserve">“on time” if the driver arrives before 8:20 am.  </w:t>
      </w:r>
      <w:r w:rsidR="00033D51">
        <w:rPr>
          <w:rFonts w:cs="Arial"/>
          <w:szCs w:val="26"/>
        </w:rPr>
        <w:t>If the trip is “on time,” that trip will be included in the percentage of completed trips under the Level 1 and Level</w:t>
      </w:r>
      <w:r w:rsidR="005C4816">
        <w:rPr>
          <w:rFonts w:cs="Arial"/>
          <w:szCs w:val="26"/>
        </w:rPr>
        <w:t> </w:t>
      </w:r>
      <w:r w:rsidR="00033D51">
        <w:rPr>
          <w:rFonts w:cs="Arial"/>
          <w:szCs w:val="26"/>
        </w:rPr>
        <w:t>2 Offset Time Standard response times, as adopted in Ordering Paragraph</w:t>
      </w:r>
      <w:r w:rsidR="005C4816">
        <w:rPr>
          <w:rFonts w:cs="Arial"/>
          <w:szCs w:val="26"/>
        </w:rPr>
        <w:t> (OP) </w:t>
      </w:r>
      <w:r w:rsidR="00033D51">
        <w:rPr>
          <w:rFonts w:cs="Arial"/>
          <w:szCs w:val="26"/>
        </w:rPr>
        <w:t xml:space="preserve">1 of D.21-11-004.  </w:t>
      </w:r>
      <w:r>
        <w:rPr>
          <w:rFonts w:cs="Arial"/>
          <w:szCs w:val="26"/>
        </w:rPr>
        <w:t xml:space="preserve">If the </w:t>
      </w:r>
      <w:r w:rsidR="00BA36D6">
        <w:rPr>
          <w:rFonts w:cs="Arial"/>
          <w:szCs w:val="26"/>
        </w:rPr>
        <w:t xml:space="preserve">trip </w:t>
      </w:r>
      <w:r>
        <w:rPr>
          <w:rFonts w:cs="Arial"/>
          <w:szCs w:val="26"/>
        </w:rPr>
        <w:t>is not “on</w:t>
      </w:r>
      <w:r w:rsidR="00E57D28">
        <w:rPr>
          <w:rFonts w:cs="Arial"/>
          <w:szCs w:val="26"/>
        </w:rPr>
        <w:t> </w:t>
      </w:r>
      <w:r>
        <w:rPr>
          <w:rFonts w:cs="Arial"/>
          <w:szCs w:val="26"/>
        </w:rPr>
        <w:t xml:space="preserve">time,” the trip shall not be included in the </w:t>
      </w:r>
      <w:r w:rsidR="00033D51">
        <w:rPr>
          <w:rFonts w:cs="Arial"/>
          <w:szCs w:val="26"/>
        </w:rPr>
        <w:t>percentage of completed</w:t>
      </w:r>
      <w:r>
        <w:rPr>
          <w:rFonts w:cs="Arial"/>
          <w:szCs w:val="26"/>
        </w:rPr>
        <w:t xml:space="preserve"> trips </w:t>
      </w:r>
      <w:r w:rsidR="00033D51">
        <w:rPr>
          <w:rFonts w:cs="Arial"/>
          <w:szCs w:val="26"/>
        </w:rPr>
        <w:t xml:space="preserve">under </w:t>
      </w:r>
      <w:r>
        <w:rPr>
          <w:rFonts w:cs="Arial"/>
          <w:szCs w:val="26"/>
        </w:rPr>
        <w:t>the Level</w:t>
      </w:r>
      <w:r w:rsidR="00E57D28">
        <w:rPr>
          <w:rFonts w:cs="Arial"/>
          <w:szCs w:val="26"/>
        </w:rPr>
        <w:t> </w:t>
      </w:r>
      <w:r>
        <w:rPr>
          <w:rFonts w:cs="Arial"/>
          <w:szCs w:val="26"/>
        </w:rPr>
        <w:t>1 and Level</w:t>
      </w:r>
      <w:r w:rsidR="00E57D28">
        <w:rPr>
          <w:rFonts w:cs="Arial"/>
          <w:szCs w:val="26"/>
        </w:rPr>
        <w:t> </w:t>
      </w:r>
      <w:r>
        <w:rPr>
          <w:rFonts w:cs="Arial"/>
          <w:szCs w:val="26"/>
        </w:rPr>
        <w:t>2 response times.  However, the trip shall be included in the total</w:t>
      </w:r>
      <w:r w:rsidR="00E57D28">
        <w:rPr>
          <w:rFonts w:cs="Arial"/>
          <w:szCs w:val="26"/>
        </w:rPr>
        <w:t> </w:t>
      </w:r>
      <w:r>
        <w:rPr>
          <w:rFonts w:cs="Arial"/>
          <w:szCs w:val="26"/>
        </w:rPr>
        <w:t>number of trips completed, for purposes of reporting under O</w:t>
      </w:r>
      <w:r w:rsidR="00033D51">
        <w:rPr>
          <w:rFonts w:cs="Arial"/>
          <w:szCs w:val="26"/>
        </w:rPr>
        <w:t>P</w:t>
      </w:r>
      <w:r w:rsidR="00E57D28">
        <w:rPr>
          <w:rFonts w:cs="Arial"/>
          <w:szCs w:val="26"/>
        </w:rPr>
        <w:t> </w:t>
      </w:r>
      <w:r>
        <w:rPr>
          <w:rFonts w:cs="Arial"/>
          <w:szCs w:val="26"/>
        </w:rPr>
        <w:t>1 of D.20</w:t>
      </w:r>
      <w:r w:rsidR="00E57D28">
        <w:rPr>
          <w:rFonts w:cs="Arial"/>
          <w:szCs w:val="26"/>
        </w:rPr>
        <w:noBreakHyphen/>
      </w:r>
      <w:r>
        <w:rPr>
          <w:rFonts w:cs="Arial"/>
          <w:szCs w:val="26"/>
        </w:rPr>
        <w:t>03</w:t>
      </w:r>
      <w:r w:rsidR="00E57D28">
        <w:rPr>
          <w:rFonts w:cs="Arial"/>
          <w:szCs w:val="26"/>
        </w:rPr>
        <w:noBreakHyphen/>
      </w:r>
      <w:r>
        <w:rPr>
          <w:rFonts w:cs="Arial"/>
          <w:szCs w:val="26"/>
        </w:rPr>
        <w:t>007.  The adopted requirements for Wait</w:t>
      </w:r>
      <w:r w:rsidR="00E57D28">
        <w:rPr>
          <w:rFonts w:cs="Arial"/>
          <w:szCs w:val="26"/>
        </w:rPr>
        <w:t> </w:t>
      </w:r>
      <w:r>
        <w:rPr>
          <w:rFonts w:cs="Arial"/>
          <w:szCs w:val="26"/>
        </w:rPr>
        <w:t>&amp;</w:t>
      </w:r>
      <w:r w:rsidR="00E57D28">
        <w:rPr>
          <w:rFonts w:cs="Arial"/>
          <w:szCs w:val="26"/>
        </w:rPr>
        <w:t> </w:t>
      </w:r>
      <w:r>
        <w:rPr>
          <w:rFonts w:cs="Arial"/>
          <w:szCs w:val="26"/>
        </w:rPr>
        <w:t>Save trips shall be effective the 3</w:t>
      </w:r>
      <w:r w:rsidRPr="00DD42D5">
        <w:rPr>
          <w:rFonts w:cs="Arial"/>
          <w:szCs w:val="26"/>
          <w:vertAlign w:val="superscript"/>
        </w:rPr>
        <w:t>rd</w:t>
      </w:r>
      <w:r w:rsidR="00E57D28">
        <w:rPr>
          <w:rFonts w:cs="Arial"/>
          <w:szCs w:val="26"/>
        </w:rPr>
        <w:t> </w:t>
      </w:r>
      <w:r>
        <w:rPr>
          <w:rFonts w:cs="Arial"/>
          <w:szCs w:val="26"/>
        </w:rPr>
        <w:t xml:space="preserve">quarter of 2023. </w:t>
      </w:r>
    </w:p>
    <w:p w:rsidR="00045C7C" w:rsidP="00045C7C" w:rsidRDefault="00045C7C" w14:paraId="389A5BA2" w14:textId="328C1E07">
      <w:pPr>
        <w:autoSpaceDE w:val="0"/>
        <w:autoSpaceDN w:val="0"/>
        <w:adjustRightInd w:val="0"/>
        <w:rPr>
          <w:rFonts w:cs="Arial"/>
          <w:szCs w:val="26"/>
        </w:rPr>
      </w:pPr>
      <w:r>
        <w:rPr>
          <w:rFonts w:cs="Arial"/>
          <w:szCs w:val="26"/>
        </w:rPr>
        <w:t>While Wait</w:t>
      </w:r>
      <w:r w:rsidR="00E57D28">
        <w:rPr>
          <w:rFonts w:cs="Arial"/>
          <w:szCs w:val="26"/>
        </w:rPr>
        <w:t> </w:t>
      </w:r>
      <w:r>
        <w:rPr>
          <w:rFonts w:cs="Arial"/>
          <w:szCs w:val="26"/>
        </w:rPr>
        <w:t>&amp;</w:t>
      </w:r>
      <w:r w:rsidR="00E57D28">
        <w:rPr>
          <w:rFonts w:cs="Arial"/>
          <w:szCs w:val="26"/>
        </w:rPr>
        <w:t> </w:t>
      </w:r>
      <w:r>
        <w:rPr>
          <w:rFonts w:cs="Arial"/>
          <w:szCs w:val="26"/>
        </w:rPr>
        <w:t>Save WAV service represents an innovative, valued feature among WAV passengers, the primary purpose and intent of the Act is the deployment and adoption of “on</w:t>
      </w:r>
      <w:r w:rsidR="00E57D28">
        <w:rPr>
          <w:rFonts w:cs="Arial"/>
          <w:szCs w:val="26"/>
        </w:rPr>
        <w:noBreakHyphen/>
      </w:r>
      <w:r>
        <w:rPr>
          <w:rFonts w:cs="Arial"/>
          <w:szCs w:val="26"/>
        </w:rPr>
        <w:t>demand” WAV services.  Because Wait</w:t>
      </w:r>
      <w:r w:rsidR="00E57D28">
        <w:rPr>
          <w:rFonts w:cs="Arial"/>
          <w:szCs w:val="26"/>
        </w:rPr>
        <w:t> </w:t>
      </w:r>
      <w:r>
        <w:rPr>
          <w:rFonts w:cs="Arial"/>
          <w:szCs w:val="26"/>
        </w:rPr>
        <w:t>&amp;</w:t>
      </w:r>
      <w:r w:rsidR="00E57D28">
        <w:rPr>
          <w:rFonts w:cs="Arial"/>
          <w:szCs w:val="26"/>
        </w:rPr>
        <w:t> </w:t>
      </w:r>
      <w:r>
        <w:rPr>
          <w:rFonts w:cs="Arial"/>
          <w:szCs w:val="26"/>
        </w:rPr>
        <w:t>Save WAV service is a relatively new fare offering that was not contemplated when the Act was passed, we would like to ensure that Wait &amp; Save WAV trips do not overtake a TNC’s traditional on</w:t>
      </w:r>
      <w:r w:rsidR="00E57D28">
        <w:rPr>
          <w:rFonts w:cs="Arial"/>
          <w:szCs w:val="26"/>
        </w:rPr>
        <w:noBreakHyphen/>
      </w:r>
      <w:r>
        <w:rPr>
          <w:rFonts w:cs="Arial"/>
          <w:szCs w:val="26"/>
        </w:rPr>
        <w:t xml:space="preserve">demand WAV trip </w:t>
      </w:r>
      <w:proofErr w:type="gramStart"/>
      <w:r>
        <w:rPr>
          <w:rFonts w:cs="Arial"/>
          <w:szCs w:val="26"/>
        </w:rPr>
        <w:t>offerings</w:t>
      </w:r>
      <w:r w:rsidR="000F5C3F">
        <w:rPr>
          <w:rFonts w:cs="Arial"/>
          <w:szCs w:val="26"/>
        </w:rPr>
        <w:t>, or</w:t>
      </w:r>
      <w:proofErr w:type="gramEnd"/>
      <w:r w:rsidR="000F5C3F">
        <w:rPr>
          <w:rFonts w:cs="Arial"/>
          <w:szCs w:val="26"/>
        </w:rPr>
        <w:t xml:space="preserve"> diminish the availability or service quality of traditional on-demand offerings</w:t>
      </w:r>
      <w:r>
        <w:rPr>
          <w:rFonts w:cs="Arial"/>
          <w:szCs w:val="26"/>
        </w:rPr>
        <w:t>.  As such, we intend to monitor TNCs’ implementation and expansion of Wait</w:t>
      </w:r>
      <w:r w:rsidR="00E57D28">
        <w:rPr>
          <w:rFonts w:cs="Arial"/>
          <w:szCs w:val="26"/>
        </w:rPr>
        <w:t> </w:t>
      </w:r>
      <w:r>
        <w:rPr>
          <w:rFonts w:cs="Arial"/>
          <w:szCs w:val="26"/>
        </w:rPr>
        <w:t>&amp;</w:t>
      </w:r>
      <w:r w:rsidR="00E57D28">
        <w:rPr>
          <w:rFonts w:cs="Arial"/>
          <w:szCs w:val="26"/>
        </w:rPr>
        <w:t> </w:t>
      </w:r>
      <w:r>
        <w:rPr>
          <w:rFonts w:cs="Arial"/>
          <w:szCs w:val="26"/>
        </w:rPr>
        <w:t xml:space="preserve">Save trips and may modify the requirements in the future, as warranted.  </w:t>
      </w:r>
      <w:r w:rsidRPr="00620984">
        <w:rPr>
          <w:rFonts w:cs="Arial"/>
          <w:szCs w:val="26"/>
        </w:rPr>
        <w:t>To that end, a TNC that offers Wait</w:t>
      </w:r>
      <w:r w:rsidR="00E57D28">
        <w:rPr>
          <w:rFonts w:cs="Arial"/>
          <w:szCs w:val="26"/>
        </w:rPr>
        <w:t> </w:t>
      </w:r>
      <w:r w:rsidRPr="00620984">
        <w:rPr>
          <w:rFonts w:cs="Arial"/>
          <w:szCs w:val="26"/>
        </w:rPr>
        <w:t>&amp;</w:t>
      </w:r>
      <w:r w:rsidR="00E57D28">
        <w:rPr>
          <w:rFonts w:cs="Arial"/>
          <w:szCs w:val="26"/>
        </w:rPr>
        <w:t> </w:t>
      </w:r>
      <w:r w:rsidRPr="00620984">
        <w:rPr>
          <w:rFonts w:cs="Arial"/>
          <w:szCs w:val="26"/>
        </w:rPr>
        <w:t xml:space="preserve">Save </w:t>
      </w:r>
      <w:r>
        <w:rPr>
          <w:rFonts w:cs="Arial"/>
          <w:szCs w:val="26"/>
        </w:rPr>
        <w:t xml:space="preserve">WAV trip </w:t>
      </w:r>
      <w:r w:rsidRPr="00620984">
        <w:rPr>
          <w:rFonts w:cs="Arial"/>
          <w:szCs w:val="26"/>
        </w:rPr>
        <w:t xml:space="preserve">services shall submit the percentage </w:t>
      </w:r>
      <w:r>
        <w:rPr>
          <w:rFonts w:cs="Arial"/>
          <w:szCs w:val="26"/>
        </w:rPr>
        <w:t xml:space="preserve">and number </w:t>
      </w:r>
      <w:r w:rsidRPr="00620984">
        <w:rPr>
          <w:rFonts w:cs="Arial"/>
          <w:szCs w:val="26"/>
        </w:rPr>
        <w:t>of Wait &amp; Save WAV trips out of the total on-demand WAV trips</w:t>
      </w:r>
      <w:r>
        <w:rPr>
          <w:rFonts w:cs="Arial"/>
          <w:szCs w:val="26"/>
        </w:rPr>
        <w:t xml:space="preserve"> for</w:t>
      </w:r>
      <w:r w:rsidRPr="00620984">
        <w:rPr>
          <w:rFonts w:cs="Arial"/>
          <w:szCs w:val="26"/>
        </w:rPr>
        <w:t xml:space="preserve"> </w:t>
      </w:r>
      <w:r>
        <w:rPr>
          <w:rFonts w:cs="Arial"/>
          <w:szCs w:val="26"/>
        </w:rPr>
        <w:t xml:space="preserve">the applicable </w:t>
      </w:r>
      <w:r w:rsidRPr="00620984">
        <w:rPr>
          <w:rFonts w:cs="Arial"/>
          <w:szCs w:val="26"/>
        </w:rPr>
        <w:t>quarter and county.</w:t>
      </w:r>
      <w:r>
        <w:rPr>
          <w:rFonts w:cs="Arial"/>
          <w:szCs w:val="26"/>
        </w:rPr>
        <w:t xml:space="preserve">  The information shall be submitted via an Advice</w:t>
      </w:r>
      <w:r w:rsidR="00E57D28">
        <w:rPr>
          <w:rFonts w:cs="Arial"/>
          <w:szCs w:val="26"/>
        </w:rPr>
        <w:t> </w:t>
      </w:r>
      <w:r>
        <w:rPr>
          <w:rFonts w:cs="Arial"/>
          <w:szCs w:val="26"/>
        </w:rPr>
        <w:t>Letter</w:t>
      </w:r>
      <w:r w:rsidR="00E57D28">
        <w:rPr>
          <w:rFonts w:cs="Arial"/>
          <w:szCs w:val="26"/>
        </w:rPr>
        <w:t> </w:t>
      </w:r>
      <w:r>
        <w:rPr>
          <w:rFonts w:cs="Arial"/>
          <w:szCs w:val="26"/>
        </w:rPr>
        <w:t xml:space="preserve">15 days after the end of the applicable quarter, regardless of whether the TNC seeks an Offset or Exemption Request.  </w:t>
      </w:r>
      <w:r w:rsidR="009F6756">
        <w:t xml:space="preserve">If a TNC is seeking an offset or exemption </w:t>
      </w:r>
      <w:proofErr w:type="gramStart"/>
      <w:r w:rsidR="009F6756">
        <w:t>in a given</w:t>
      </w:r>
      <w:proofErr w:type="gramEnd"/>
      <w:r w:rsidR="009F6756">
        <w:t xml:space="preserve"> quarter</w:t>
      </w:r>
      <w:r w:rsidR="003278B0">
        <w:t xml:space="preserve"> for any county</w:t>
      </w:r>
      <w:r w:rsidR="009F6756">
        <w:t>, the TNC may include the</w:t>
      </w:r>
      <w:r w:rsidR="00526B8F">
        <w:t xml:space="preserve"> </w:t>
      </w:r>
      <w:r w:rsidR="00D232C2">
        <w:t>requested</w:t>
      </w:r>
      <w:r w:rsidR="009F6756">
        <w:t xml:space="preserve"> information for </w:t>
      </w:r>
      <w:r w:rsidR="00526B8F">
        <w:t>other</w:t>
      </w:r>
      <w:r w:rsidR="009F6756">
        <w:t xml:space="preserve"> counties in the same Advice Letter.  </w:t>
      </w:r>
      <w:r w:rsidR="00C95EFC">
        <w:t xml:space="preserve">If a TNC is not seeking an offset or exemption </w:t>
      </w:r>
      <w:proofErr w:type="gramStart"/>
      <w:r w:rsidR="00C95EFC">
        <w:t>in a given</w:t>
      </w:r>
      <w:proofErr w:type="gramEnd"/>
      <w:r w:rsidR="00C95EFC">
        <w:t xml:space="preserve"> quarter, the TNC </w:t>
      </w:r>
      <w:r w:rsidR="003278B0">
        <w:t>shall</w:t>
      </w:r>
      <w:r w:rsidR="00C95EFC">
        <w:t xml:space="preserve"> include the </w:t>
      </w:r>
      <w:r w:rsidR="00C95EFC">
        <w:lastRenderedPageBreak/>
        <w:t>information in an Information Only Advice Letter</w:t>
      </w:r>
      <w:r w:rsidR="00DD78DB">
        <w:rPr>
          <w:rFonts w:cs="Arial"/>
          <w:szCs w:val="26"/>
        </w:rPr>
        <w:t xml:space="preserve">.  </w:t>
      </w:r>
      <w:r>
        <w:rPr>
          <w:rFonts w:cs="Arial"/>
          <w:szCs w:val="26"/>
        </w:rPr>
        <w:t>The submission requirements for Wait</w:t>
      </w:r>
      <w:r w:rsidR="00E57D28">
        <w:rPr>
          <w:rFonts w:cs="Arial"/>
          <w:szCs w:val="26"/>
        </w:rPr>
        <w:t> </w:t>
      </w:r>
      <w:r>
        <w:rPr>
          <w:rFonts w:cs="Arial"/>
          <w:szCs w:val="26"/>
        </w:rPr>
        <w:t>&amp;</w:t>
      </w:r>
      <w:r w:rsidR="00E57D28">
        <w:rPr>
          <w:rFonts w:cs="Arial"/>
          <w:szCs w:val="26"/>
        </w:rPr>
        <w:t> </w:t>
      </w:r>
      <w:r>
        <w:rPr>
          <w:rFonts w:cs="Arial"/>
          <w:szCs w:val="26"/>
        </w:rPr>
        <w:t>Save trips shall be effective the 2</w:t>
      </w:r>
      <w:r w:rsidRPr="00E57D28">
        <w:rPr>
          <w:rFonts w:cs="Arial"/>
          <w:szCs w:val="26"/>
          <w:vertAlign w:val="superscript"/>
        </w:rPr>
        <w:t>nd</w:t>
      </w:r>
      <w:r w:rsidR="00E57D28">
        <w:rPr>
          <w:rFonts w:cs="Arial"/>
          <w:szCs w:val="26"/>
        </w:rPr>
        <w:t> </w:t>
      </w:r>
      <w:r>
        <w:rPr>
          <w:rFonts w:cs="Arial"/>
          <w:szCs w:val="26"/>
        </w:rPr>
        <w:t>quarter of 2023.</w:t>
      </w:r>
    </w:p>
    <w:p w:rsidR="00045C7C" w:rsidP="00045C7C" w:rsidRDefault="00045C7C" w14:paraId="0019696E" w14:textId="64C7308D">
      <w:pPr>
        <w:pStyle w:val="Heading2"/>
      </w:pPr>
      <w:bookmarkStart w:name="_Toc125016609" w:id="41"/>
      <w:r>
        <w:t>Data Reporting</w:t>
      </w:r>
      <w:bookmarkEnd w:id="41"/>
    </w:p>
    <w:p w:rsidR="00045C7C" w:rsidP="00045C7C" w:rsidRDefault="00045C7C" w14:paraId="0F2F04C1" w14:textId="19F50923">
      <w:pPr>
        <w:autoSpaceDE w:val="0"/>
        <w:autoSpaceDN w:val="0"/>
        <w:adjustRightInd w:val="0"/>
        <w:rPr>
          <w:rFonts w:cs="Arial"/>
          <w:szCs w:val="26"/>
        </w:rPr>
      </w:pPr>
      <w:r>
        <w:rPr>
          <w:rFonts w:cs="Arial"/>
          <w:szCs w:val="26"/>
        </w:rPr>
        <w:t>We next consider whether:</w:t>
      </w:r>
      <w:r w:rsidR="00E57D28">
        <w:rPr>
          <w:rFonts w:cs="Arial"/>
          <w:szCs w:val="26"/>
        </w:rPr>
        <w:t xml:space="preserve"> </w:t>
      </w:r>
      <w:r>
        <w:rPr>
          <w:rFonts w:cs="Arial"/>
          <w:szCs w:val="26"/>
        </w:rPr>
        <w:t xml:space="preserve"> (a)</w:t>
      </w:r>
      <w:r w:rsidR="00E57D28">
        <w:rPr>
          <w:rFonts w:cs="Arial"/>
          <w:szCs w:val="26"/>
        </w:rPr>
        <w:t> </w:t>
      </w:r>
      <w:r>
        <w:rPr>
          <w:rFonts w:cs="Arial"/>
          <w:szCs w:val="26"/>
        </w:rPr>
        <w:t>additional data should be reported to inform the 2024 Legislative Report and potential modifications to the WAV response time benchmarks, as scoped in Track</w:t>
      </w:r>
      <w:r w:rsidR="00E57D28">
        <w:rPr>
          <w:rFonts w:cs="Arial"/>
          <w:szCs w:val="26"/>
        </w:rPr>
        <w:t> </w:t>
      </w:r>
      <w:r>
        <w:rPr>
          <w:rFonts w:cs="Arial"/>
          <w:szCs w:val="26"/>
        </w:rPr>
        <w:t>5B, and (b)</w:t>
      </w:r>
      <w:r w:rsidR="00E57D28">
        <w:rPr>
          <w:rFonts w:cs="Arial"/>
          <w:szCs w:val="26"/>
        </w:rPr>
        <w:t> </w:t>
      </w:r>
      <w:r>
        <w:rPr>
          <w:rFonts w:cs="Arial"/>
          <w:szCs w:val="26"/>
        </w:rPr>
        <w:t>additional data should be reported for pre-scheduled WAV trips, as scoped in Track</w:t>
      </w:r>
      <w:r w:rsidR="00E57D28">
        <w:rPr>
          <w:rFonts w:cs="Arial"/>
          <w:szCs w:val="26"/>
        </w:rPr>
        <w:t> </w:t>
      </w:r>
      <w:r>
        <w:rPr>
          <w:rFonts w:cs="Arial"/>
          <w:szCs w:val="26"/>
        </w:rPr>
        <w:t>5A.  For the former, we also consider whether data collection can advance the goals of the Commission’s Environmental and Social Justice (ESJ) Action Plan.  CPED and San</w:t>
      </w:r>
      <w:r w:rsidR="00E57D28">
        <w:rPr>
          <w:rFonts w:cs="Arial"/>
          <w:szCs w:val="26"/>
        </w:rPr>
        <w:t> </w:t>
      </w:r>
      <w:r>
        <w:rPr>
          <w:rFonts w:cs="Arial"/>
          <w:szCs w:val="26"/>
        </w:rPr>
        <w:t>Francisco put forth a series of data reporting proposals</w:t>
      </w:r>
      <w:r w:rsidR="00BA36D6">
        <w:rPr>
          <w:rFonts w:cs="Arial"/>
          <w:szCs w:val="26"/>
        </w:rPr>
        <w:t>,</w:t>
      </w:r>
      <w:r>
        <w:rPr>
          <w:rFonts w:cs="Arial"/>
          <w:szCs w:val="26"/>
        </w:rPr>
        <w:t xml:space="preserve"> summarized below.  </w:t>
      </w:r>
    </w:p>
    <w:p w:rsidR="00045C7C" w:rsidP="00045C7C" w:rsidRDefault="00045C7C" w14:paraId="19D612B1" w14:textId="4DD4C763">
      <w:pPr>
        <w:autoSpaceDE w:val="0"/>
        <w:autoSpaceDN w:val="0"/>
        <w:adjustRightInd w:val="0"/>
        <w:rPr>
          <w:rFonts w:cs="Arial"/>
          <w:szCs w:val="26"/>
        </w:rPr>
      </w:pPr>
      <w:r w:rsidRPr="005E57F6">
        <w:rPr>
          <w:rFonts w:cs="Arial"/>
          <w:szCs w:val="26"/>
        </w:rPr>
        <w:t xml:space="preserve">CPED states that TNCs currently report the number of WAVs in operation by quarter and aggregated by hour of the day and day of the week, but </w:t>
      </w:r>
      <w:r>
        <w:rPr>
          <w:rFonts w:cs="Arial"/>
          <w:szCs w:val="26"/>
        </w:rPr>
        <w:t xml:space="preserve">that </w:t>
      </w:r>
      <w:r w:rsidRPr="005E57F6">
        <w:rPr>
          <w:rFonts w:cs="Arial"/>
          <w:szCs w:val="26"/>
        </w:rPr>
        <w:t>this data does not provide the number of WAVs available at certain times of the day.</w:t>
      </w:r>
      <w:r>
        <w:rPr>
          <w:rStyle w:val="FootnoteReference"/>
          <w:rFonts w:cs="Arial"/>
          <w:szCs w:val="26"/>
        </w:rPr>
        <w:footnoteReference w:id="50"/>
      </w:r>
      <w:r w:rsidRPr="005E57F6">
        <w:rPr>
          <w:rFonts w:cs="Arial"/>
          <w:szCs w:val="26"/>
        </w:rPr>
        <w:t xml:space="preserve">  CPED recommends </w:t>
      </w:r>
      <w:r>
        <w:rPr>
          <w:rFonts w:cs="Arial"/>
          <w:szCs w:val="26"/>
        </w:rPr>
        <w:t>that TNCs provide the u</w:t>
      </w:r>
      <w:r w:rsidRPr="005E57F6">
        <w:rPr>
          <w:rFonts w:cs="Arial"/>
          <w:szCs w:val="26"/>
        </w:rPr>
        <w:t>nique number of WAVs in operation (</w:t>
      </w:r>
      <w:r>
        <w:rPr>
          <w:rFonts w:cs="Arial"/>
          <w:szCs w:val="26"/>
        </w:rPr>
        <w:t>for</w:t>
      </w:r>
      <w:r w:rsidRPr="005E57F6">
        <w:rPr>
          <w:rFonts w:cs="Arial"/>
          <w:szCs w:val="26"/>
        </w:rPr>
        <w:t xml:space="preserve"> pre</w:t>
      </w:r>
      <w:r w:rsidR="00E57D28">
        <w:rPr>
          <w:rFonts w:cs="Arial"/>
          <w:szCs w:val="26"/>
        </w:rPr>
        <w:noBreakHyphen/>
      </w:r>
      <w:r w:rsidRPr="005E57F6">
        <w:rPr>
          <w:rFonts w:cs="Arial"/>
          <w:szCs w:val="26"/>
        </w:rPr>
        <w:t xml:space="preserve">scheduled and </w:t>
      </w:r>
      <w:r>
        <w:rPr>
          <w:rFonts w:cs="Arial"/>
          <w:szCs w:val="26"/>
        </w:rPr>
        <w:t>on-demand requests</w:t>
      </w:r>
      <w:r w:rsidRPr="005E57F6">
        <w:rPr>
          <w:rFonts w:cs="Arial"/>
          <w:szCs w:val="26"/>
        </w:rPr>
        <w:t xml:space="preserve">) by hour of the day and day of the week, regardless of whether an offset </w:t>
      </w:r>
      <w:r>
        <w:rPr>
          <w:rFonts w:cs="Arial"/>
          <w:szCs w:val="26"/>
        </w:rPr>
        <w:t>wa</w:t>
      </w:r>
      <w:r w:rsidRPr="005E57F6">
        <w:rPr>
          <w:rFonts w:cs="Arial"/>
          <w:szCs w:val="26"/>
        </w:rPr>
        <w:t>s requested for that county</w:t>
      </w:r>
      <w:r>
        <w:rPr>
          <w:rFonts w:cs="Arial"/>
          <w:szCs w:val="26"/>
        </w:rPr>
        <w:t>.</w:t>
      </w:r>
      <w:r w:rsidRPr="0065506C">
        <w:rPr>
          <w:rFonts w:cs="Arial"/>
          <w:szCs w:val="26"/>
        </w:rPr>
        <w:t xml:space="preserve"> </w:t>
      </w:r>
      <w:r>
        <w:rPr>
          <w:rFonts w:cs="Arial"/>
          <w:szCs w:val="26"/>
        </w:rPr>
        <w:t xml:space="preserve"> </w:t>
      </w:r>
      <w:r w:rsidRPr="005E57F6">
        <w:rPr>
          <w:rFonts w:cs="Arial"/>
          <w:szCs w:val="26"/>
        </w:rPr>
        <w:t xml:space="preserve">CPED states that the unique number of WAVs will help evaluate concerns about stranded WAV customers and whether customers lack </w:t>
      </w:r>
      <w:r>
        <w:rPr>
          <w:rFonts w:cs="Arial"/>
          <w:szCs w:val="26"/>
        </w:rPr>
        <w:t xml:space="preserve">WAV </w:t>
      </w:r>
      <w:r w:rsidRPr="005E57F6">
        <w:rPr>
          <w:rFonts w:cs="Arial"/>
          <w:szCs w:val="26"/>
        </w:rPr>
        <w:t xml:space="preserve">access </w:t>
      </w:r>
      <w:r>
        <w:rPr>
          <w:rFonts w:cs="Arial"/>
          <w:szCs w:val="26"/>
        </w:rPr>
        <w:t>at</w:t>
      </w:r>
      <w:r w:rsidRPr="005E57F6">
        <w:rPr>
          <w:rFonts w:cs="Arial"/>
          <w:szCs w:val="26"/>
        </w:rPr>
        <w:t xml:space="preserve"> certain times of the day.  </w:t>
      </w:r>
    </w:p>
    <w:p w:rsidR="00045C7C" w:rsidP="00045C7C" w:rsidRDefault="00045C7C" w14:paraId="4497DB14" w14:textId="0C266949">
      <w:pPr>
        <w:autoSpaceDE w:val="0"/>
        <w:autoSpaceDN w:val="0"/>
        <w:adjustRightInd w:val="0"/>
        <w:rPr>
          <w:rFonts w:cs="Arial"/>
          <w:szCs w:val="26"/>
        </w:rPr>
      </w:pPr>
      <w:r>
        <w:rPr>
          <w:rFonts w:cs="Arial"/>
          <w:szCs w:val="26"/>
        </w:rPr>
        <w:t>CPED also recommends that TNCs provide where within a county (by zip</w:t>
      </w:r>
      <w:r w:rsidR="00E57D28">
        <w:rPr>
          <w:rFonts w:cs="Arial"/>
          <w:szCs w:val="26"/>
        </w:rPr>
        <w:t> </w:t>
      </w:r>
      <w:r>
        <w:rPr>
          <w:rFonts w:cs="Arial"/>
          <w:szCs w:val="26"/>
        </w:rPr>
        <w:t xml:space="preserve">code) WAV service was requested, completed, and available in each quarter, regardless of whether an offset was requested for that county.  Currently, county level data is collected for offset counties and such data does not provide granular data to identify WAV demand and availability within each county.  CPED </w:t>
      </w:r>
      <w:r>
        <w:rPr>
          <w:rFonts w:cs="Arial"/>
          <w:szCs w:val="26"/>
        </w:rPr>
        <w:lastRenderedPageBreak/>
        <w:t>recommends that TNCs report t</w:t>
      </w:r>
      <w:r w:rsidRPr="00805252">
        <w:rPr>
          <w:rFonts w:cs="Arial"/>
          <w:szCs w:val="26"/>
        </w:rPr>
        <w:t>otal WAV trips requested and completed, broken out by county, zip</w:t>
      </w:r>
      <w:r w:rsidR="00E57D28">
        <w:rPr>
          <w:rFonts w:cs="Arial"/>
          <w:szCs w:val="26"/>
        </w:rPr>
        <w:t> </w:t>
      </w:r>
      <w:r w:rsidRPr="00805252">
        <w:rPr>
          <w:rFonts w:cs="Arial"/>
          <w:szCs w:val="26"/>
        </w:rPr>
        <w:t>code, and type of service (pre</w:t>
      </w:r>
      <w:r w:rsidR="00E57D28">
        <w:rPr>
          <w:rFonts w:cs="Arial"/>
          <w:szCs w:val="26"/>
        </w:rPr>
        <w:noBreakHyphen/>
      </w:r>
      <w:r w:rsidRPr="00805252">
        <w:rPr>
          <w:rFonts w:cs="Arial"/>
          <w:szCs w:val="26"/>
        </w:rPr>
        <w:t>scheduled or on</w:t>
      </w:r>
      <w:r w:rsidR="00E57D28">
        <w:rPr>
          <w:rFonts w:cs="Arial"/>
          <w:szCs w:val="26"/>
        </w:rPr>
        <w:noBreakHyphen/>
      </w:r>
      <w:r w:rsidRPr="00805252">
        <w:rPr>
          <w:rFonts w:cs="Arial"/>
          <w:szCs w:val="26"/>
        </w:rPr>
        <w:t>demand)</w:t>
      </w:r>
      <w:r>
        <w:rPr>
          <w:rFonts w:cs="Arial"/>
          <w:szCs w:val="26"/>
        </w:rPr>
        <w:t xml:space="preserve">.  </w:t>
      </w:r>
    </w:p>
    <w:p w:rsidR="00045C7C" w:rsidP="00045C7C" w:rsidRDefault="00045C7C" w14:paraId="10BC72BF" w14:textId="3A725FED">
      <w:pPr>
        <w:autoSpaceDE w:val="0"/>
        <w:autoSpaceDN w:val="0"/>
        <w:adjustRightInd w:val="0"/>
        <w:rPr>
          <w:rFonts w:cs="Arial"/>
          <w:szCs w:val="26"/>
        </w:rPr>
      </w:pPr>
      <w:r>
        <w:rPr>
          <w:rFonts w:cs="Arial"/>
          <w:szCs w:val="26"/>
        </w:rPr>
        <w:t>San</w:t>
      </w:r>
      <w:r w:rsidR="00E57D28">
        <w:rPr>
          <w:rFonts w:cs="Arial"/>
          <w:szCs w:val="26"/>
        </w:rPr>
        <w:t> </w:t>
      </w:r>
      <w:r>
        <w:rPr>
          <w:rFonts w:cs="Arial"/>
          <w:szCs w:val="26"/>
        </w:rPr>
        <w:t>Francisco and Disability Advocates support CPED’s proposal, although San</w:t>
      </w:r>
      <w:r w:rsidR="00E57D28">
        <w:rPr>
          <w:rFonts w:cs="Arial"/>
          <w:szCs w:val="26"/>
        </w:rPr>
        <w:t> </w:t>
      </w:r>
      <w:r>
        <w:rPr>
          <w:rFonts w:cs="Arial"/>
          <w:szCs w:val="26"/>
        </w:rPr>
        <w:t>Francisco comments that it does not go far enough because it seeks only a portion of the data required in Advice</w:t>
      </w:r>
      <w:r w:rsidR="00E57D28">
        <w:rPr>
          <w:rFonts w:cs="Arial"/>
          <w:szCs w:val="26"/>
        </w:rPr>
        <w:t> </w:t>
      </w:r>
      <w:r>
        <w:rPr>
          <w:rFonts w:cs="Arial"/>
          <w:szCs w:val="26"/>
        </w:rPr>
        <w:t>Letter templates.</w:t>
      </w:r>
      <w:r>
        <w:rPr>
          <w:rStyle w:val="FootnoteReference"/>
          <w:rFonts w:cs="Arial"/>
          <w:szCs w:val="26"/>
        </w:rPr>
        <w:footnoteReference w:id="51"/>
      </w:r>
      <w:r>
        <w:rPr>
          <w:rFonts w:cs="Arial"/>
          <w:szCs w:val="26"/>
        </w:rPr>
        <w:t xml:space="preserve">  Rather, San</w:t>
      </w:r>
      <w:r w:rsidR="00E57D28">
        <w:rPr>
          <w:rFonts w:cs="Arial"/>
          <w:szCs w:val="26"/>
        </w:rPr>
        <w:t> </w:t>
      </w:r>
      <w:r>
        <w:rPr>
          <w:rFonts w:cs="Arial"/>
          <w:szCs w:val="26"/>
        </w:rPr>
        <w:t>Francisco recommends that all TNCs providing WAV service submit data on WAV service availability, retroactively and going forward.  San</w:t>
      </w:r>
      <w:r w:rsidR="00E57D28">
        <w:rPr>
          <w:rFonts w:cs="Arial"/>
          <w:szCs w:val="26"/>
        </w:rPr>
        <w:t> </w:t>
      </w:r>
      <w:r>
        <w:rPr>
          <w:rFonts w:cs="Arial"/>
          <w:szCs w:val="26"/>
        </w:rPr>
        <w:t>Francisco states that this information is necessary for the Legislative Report and because TNCs operate WAV programs in counties in which they did not seek an offset and thus do not submit WAV availability data.  Disability Advocates supports San</w:t>
      </w:r>
      <w:r w:rsidR="00E57D28">
        <w:rPr>
          <w:rFonts w:cs="Arial"/>
          <w:szCs w:val="26"/>
        </w:rPr>
        <w:t> </w:t>
      </w:r>
      <w:r>
        <w:rPr>
          <w:rFonts w:cs="Arial"/>
          <w:szCs w:val="26"/>
        </w:rPr>
        <w:t>Francisco’s proposal.</w:t>
      </w:r>
      <w:r>
        <w:rPr>
          <w:rStyle w:val="FootnoteReference"/>
          <w:rFonts w:cs="Arial"/>
          <w:szCs w:val="26"/>
        </w:rPr>
        <w:footnoteReference w:id="52"/>
      </w:r>
    </w:p>
    <w:p w:rsidR="00045C7C" w:rsidP="00045C7C" w:rsidRDefault="00045C7C" w14:paraId="288AD31E" w14:textId="4C1F40F0">
      <w:pPr>
        <w:autoSpaceDE w:val="0"/>
        <w:autoSpaceDN w:val="0"/>
        <w:adjustRightInd w:val="0"/>
        <w:rPr>
          <w:rFonts w:cs="Arial"/>
          <w:szCs w:val="26"/>
        </w:rPr>
      </w:pPr>
      <w:r>
        <w:rPr>
          <w:rFonts w:cs="Arial"/>
          <w:szCs w:val="26"/>
        </w:rPr>
        <w:t>Lyft objects to providing the unique number of WAVs because it would not generate useful data and likely lead to misrepresented data.</w:t>
      </w:r>
      <w:r>
        <w:rPr>
          <w:rStyle w:val="FootnoteReference"/>
          <w:rFonts w:cs="Arial"/>
          <w:szCs w:val="26"/>
        </w:rPr>
        <w:footnoteReference w:id="53"/>
      </w:r>
      <w:r>
        <w:rPr>
          <w:rFonts w:cs="Arial"/>
          <w:szCs w:val="26"/>
        </w:rPr>
        <w:t xml:space="preserve">  Lyft likewise does not support providing data by zip</w:t>
      </w:r>
      <w:r w:rsidR="00E57D28">
        <w:rPr>
          <w:rFonts w:cs="Arial"/>
          <w:szCs w:val="26"/>
        </w:rPr>
        <w:t> </w:t>
      </w:r>
      <w:r>
        <w:rPr>
          <w:rFonts w:cs="Arial"/>
          <w:szCs w:val="26"/>
        </w:rPr>
        <w:t>code because it would be burdensome and unlikely to generate useful data.  San</w:t>
      </w:r>
      <w:r w:rsidR="00E57D28">
        <w:rPr>
          <w:rFonts w:cs="Arial"/>
          <w:szCs w:val="26"/>
        </w:rPr>
        <w:t> </w:t>
      </w:r>
      <w:r>
        <w:rPr>
          <w:rFonts w:cs="Arial"/>
          <w:szCs w:val="26"/>
        </w:rPr>
        <w:t>Francisco disagrees with the reporting of zip</w:t>
      </w:r>
      <w:r w:rsidR="00E57D28">
        <w:rPr>
          <w:rFonts w:cs="Arial"/>
          <w:szCs w:val="26"/>
        </w:rPr>
        <w:t> </w:t>
      </w:r>
      <w:r>
        <w:rPr>
          <w:rFonts w:cs="Arial"/>
          <w:szCs w:val="26"/>
        </w:rPr>
        <w:t>code data because zip</w:t>
      </w:r>
      <w:r w:rsidR="00E57D28">
        <w:rPr>
          <w:rFonts w:cs="Arial"/>
          <w:szCs w:val="26"/>
        </w:rPr>
        <w:t> </w:t>
      </w:r>
      <w:r>
        <w:rPr>
          <w:rFonts w:cs="Arial"/>
          <w:szCs w:val="26"/>
        </w:rPr>
        <w:t>codes are not designations of geographical areas but collections of addresses.</w:t>
      </w:r>
      <w:r>
        <w:rPr>
          <w:rStyle w:val="FootnoteReference"/>
          <w:rFonts w:cs="Arial"/>
          <w:szCs w:val="26"/>
        </w:rPr>
        <w:footnoteReference w:id="54"/>
      </w:r>
      <w:r>
        <w:rPr>
          <w:rFonts w:cs="Arial"/>
          <w:szCs w:val="26"/>
        </w:rPr>
        <w:t xml:space="preserve">  To meet the ESJ Action Plan goals, San</w:t>
      </w:r>
      <w:r w:rsidR="00E57D28">
        <w:rPr>
          <w:rFonts w:cs="Arial"/>
          <w:szCs w:val="26"/>
        </w:rPr>
        <w:t> </w:t>
      </w:r>
      <w:r>
        <w:rPr>
          <w:rFonts w:cs="Arial"/>
          <w:szCs w:val="26"/>
        </w:rPr>
        <w:t>Francisco posits that geographic reporting should reflect identified ESJ communities, including Disadvantaged Communities, tribal lands, and low-income census tracts.  San</w:t>
      </w:r>
      <w:r w:rsidR="00AF3628">
        <w:rPr>
          <w:rFonts w:cs="Arial"/>
          <w:szCs w:val="26"/>
        </w:rPr>
        <w:t> </w:t>
      </w:r>
      <w:r>
        <w:rPr>
          <w:rFonts w:cs="Arial"/>
          <w:szCs w:val="26"/>
        </w:rPr>
        <w:t xml:space="preserve">Francisco proposes that Census Tract be added to the geographic area </w:t>
      </w:r>
      <w:r>
        <w:rPr>
          <w:rFonts w:cs="Arial"/>
          <w:szCs w:val="26"/>
        </w:rPr>
        <w:lastRenderedPageBreak/>
        <w:t>reporting, in addition to county.  Disability Advocates supports San</w:t>
      </w:r>
      <w:r w:rsidR="00AF3628">
        <w:rPr>
          <w:rFonts w:cs="Arial"/>
          <w:szCs w:val="26"/>
        </w:rPr>
        <w:t> </w:t>
      </w:r>
      <w:r>
        <w:rPr>
          <w:rFonts w:cs="Arial"/>
          <w:szCs w:val="26"/>
        </w:rPr>
        <w:t>Francisco’s proposals.</w:t>
      </w:r>
      <w:r>
        <w:rPr>
          <w:rStyle w:val="FootnoteReference"/>
          <w:rFonts w:cs="Arial"/>
          <w:szCs w:val="26"/>
        </w:rPr>
        <w:footnoteReference w:id="55"/>
      </w:r>
      <w:r>
        <w:rPr>
          <w:rFonts w:cs="Arial"/>
          <w:szCs w:val="26"/>
        </w:rPr>
        <w:t xml:space="preserve">  </w:t>
      </w:r>
    </w:p>
    <w:p w:rsidR="00045C7C" w:rsidP="00045C7C" w:rsidRDefault="00045C7C" w14:paraId="70D1F58B" w14:textId="4934C089">
      <w:pPr>
        <w:autoSpaceDE w:val="0"/>
        <w:autoSpaceDN w:val="0"/>
        <w:adjustRightInd w:val="0"/>
        <w:rPr>
          <w:rFonts w:cs="Arial"/>
          <w:szCs w:val="26"/>
        </w:rPr>
      </w:pPr>
      <w:r w:rsidRPr="00F222F2">
        <w:rPr>
          <w:rFonts w:cs="Arial"/>
          <w:szCs w:val="26"/>
        </w:rPr>
        <w:t>Uber opposes</w:t>
      </w:r>
      <w:r>
        <w:rPr>
          <w:rFonts w:cs="Arial"/>
          <w:szCs w:val="26"/>
        </w:rPr>
        <w:t xml:space="preserve"> </w:t>
      </w:r>
      <w:r w:rsidRPr="00F222F2">
        <w:rPr>
          <w:rFonts w:cs="Arial"/>
          <w:szCs w:val="26"/>
        </w:rPr>
        <w:t>collect</w:t>
      </w:r>
      <w:r>
        <w:rPr>
          <w:rFonts w:cs="Arial"/>
          <w:szCs w:val="26"/>
        </w:rPr>
        <w:t>ing</w:t>
      </w:r>
      <w:r w:rsidRPr="00F222F2">
        <w:rPr>
          <w:rFonts w:cs="Arial"/>
          <w:szCs w:val="26"/>
        </w:rPr>
        <w:t xml:space="preserve"> data from TNCs </w:t>
      </w:r>
      <w:r>
        <w:rPr>
          <w:rFonts w:cs="Arial"/>
          <w:szCs w:val="26"/>
        </w:rPr>
        <w:t>that do not apply</w:t>
      </w:r>
      <w:r w:rsidRPr="00F222F2">
        <w:rPr>
          <w:rFonts w:cs="Arial"/>
          <w:szCs w:val="26"/>
        </w:rPr>
        <w:t xml:space="preserve"> for an offset</w:t>
      </w:r>
      <w:r>
        <w:rPr>
          <w:rFonts w:cs="Arial"/>
          <w:szCs w:val="26"/>
        </w:rPr>
        <w:t xml:space="preserve"> or</w:t>
      </w:r>
      <w:r w:rsidRPr="00F222F2">
        <w:rPr>
          <w:rFonts w:cs="Arial"/>
          <w:szCs w:val="26"/>
        </w:rPr>
        <w:t xml:space="preserve"> exemption</w:t>
      </w:r>
      <w:r>
        <w:rPr>
          <w:rFonts w:cs="Arial"/>
          <w:szCs w:val="26"/>
        </w:rPr>
        <w:t xml:space="preserve"> because it argues that the Act does not impose a reporting obligation for areas where a TNC does not seek an offset or exemption.</w:t>
      </w:r>
      <w:r w:rsidRPr="00F222F2">
        <w:rPr>
          <w:rStyle w:val="FootnoteReference"/>
          <w:rFonts w:cs="Arial"/>
          <w:szCs w:val="26"/>
        </w:rPr>
        <w:footnoteReference w:id="56"/>
      </w:r>
      <w:r>
        <w:rPr>
          <w:rFonts w:cs="Arial"/>
          <w:szCs w:val="26"/>
        </w:rPr>
        <w:t xml:space="preserve">  Uber objects to retroactive reporting and states that administrative rules should be forward</w:t>
      </w:r>
      <w:r w:rsidR="00AF3628">
        <w:rPr>
          <w:rFonts w:cs="Arial"/>
          <w:szCs w:val="26"/>
        </w:rPr>
        <w:noBreakHyphen/>
      </w:r>
      <w:r>
        <w:rPr>
          <w:rFonts w:cs="Arial"/>
          <w:szCs w:val="26"/>
        </w:rPr>
        <w:t xml:space="preserve">looking.  Uber asserts that if additional data is collected, the focus should be on analyzing WAV availability across zip codes where reported trips occur.  This data could identify opportunities to incentivize WAV expansion to provide outreach to underserved communities.  </w:t>
      </w:r>
      <w:r w:rsidRPr="0077511C">
        <w:rPr>
          <w:rFonts w:cs="Arial"/>
          <w:szCs w:val="26"/>
        </w:rPr>
        <w:t>Lyft opposes San</w:t>
      </w:r>
      <w:r w:rsidR="00AF3628">
        <w:rPr>
          <w:rFonts w:cs="Arial"/>
          <w:szCs w:val="26"/>
        </w:rPr>
        <w:t> </w:t>
      </w:r>
      <w:r w:rsidRPr="0077511C">
        <w:rPr>
          <w:rFonts w:cs="Arial"/>
          <w:szCs w:val="26"/>
        </w:rPr>
        <w:t xml:space="preserve">Francisco’s data collection proposal and </w:t>
      </w:r>
      <w:r>
        <w:rPr>
          <w:rFonts w:cs="Arial"/>
          <w:szCs w:val="26"/>
        </w:rPr>
        <w:t>notes</w:t>
      </w:r>
      <w:r w:rsidRPr="0077511C">
        <w:rPr>
          <w:rFonts w:cs="Arial"/>
          <w:szCs w:val="26"/>
        </w:rPr>
        <w:t xml:space="preserve"> </w:t>
      </w:r>
      <w:r w:rsidR="00BA36D6">
        <w:rPr>
          <w:rFonts w:cs="Arial"/>
          <w:szCs w:val="26"/>
        </w:rPr>
        <w:t xml:space="preserve">that </w:t>
      </w:r>
      <w:r w:rsidRPr="0077511C">
        <w:rPr>
          <w:rFonts w:cs="Arial"/>
          <w:szCs w:val="26"/>
        </w:rPr>
        <w:t>it was rejected by the Commission in Track</w:t>
      </w:r>
      <w:r w:rsidR="00AF3628">
        <w:rPr>
          <w:rFonts w:cs="Arial"/>
          <w:szCs w:val="26"/>
        </w:rPr>
        <w:t> </w:t>
      </w:r>
      <w:r w:rsidRPr="0077511C">
        <w:rPr>
          <w:rFonts w:cs="Arial"/>
          <w:szCs w:val="26"/>
        </w:rPr>
        <w:t>4.</w:t>
      </w:r>
      <w:r w:rsidRPr="0077511C">
        <w:rPr>
          <w:rStyle w:val="FootnoteReference"/>
          <w:rFonts w:cs="Arial"/>
          <w:szCs w:val="26"/>
        </w:rPr>
        <w:footnoteReference w:id="57"/>
      </w:r>
      <w:r>
        <w:rPr>
          <w:rFonts w:cs="Arial"/>
          <w:szCs w:val="26"/>
        </w:rPr>
        <w:t xml:space="preserve">  </w:t>
      </w:r>
    </w:p>
    <w:p w:rsidR="00045C7C" w:rsidP="00045C7C" w:rsidRDefault="00045C7C" w14:paraId="41C5D8EC" w14:textId="4F132ED9">
      <w:pPr>
        <w:autoSpaceDE w:val="0"/>
        <w:autoSpaceDN w:val="0"/>
        <w:adjustRightInd w:val="0"/>
        <w:rPr>
          <w:rFonts w:cs="Arial"/>
          <w:szCs w:val="26"/>
        </w:rPr>
      </w:pPr>
      <w:r>
        <w:rPr>
          <w:rFonts w:cs="Arial"/>
          <w:szCs w:val="26"/>
        </w:rPr>
        <w:t>San</w:t>
      </w:r>
      <w:r w:rsidR="00AF3628">
        <w:rPr>
          <w:rFonts w:cs="Arial"/>
          <w:szCs w:val="26"/>
        </w:rPr>
        <w:t> </w:t>
      </w:r>
      <w:r>
        <w:rPr>
          <w:rFonts w:cs="Arial"/>
          <w:szCs w:val="26"/>
        </w:rPr>
        <w:t>Francisco recommends revisions to the TNC Annual Reports, collected as part of R</w:t>
      </w:r>
      <w:r w:rsidR="00AF3628">
        <w:rPr>
          <w:rFonts w:cs="Arial"/>
          <w:szCs w:val="26"/>
        </w:rPr>
        <w:t>ulemaking (R.) </w:t>
      </w:r>
      <w:r>
        <w:rPr>
          <w:rFonts w:cs="Arial"/>
          <w:szCs w:val="26"/>
        </w:rPr>
        <w:t>12</w:t>
      </w:r>
      <w:r w:rsidR="00AF3628">
        <w:rPr>
          <w:rFonts w:cs="Arial"/>
          <w:szCs w:val="26"/>
        </w:rPr>
        <w:noBreakHyphen/>
      </w:r>
      <w:r>
        <w:rPr>
          <w:rFonts w:cs="Arial"/>
          <w:szCs w:val="26"/>
        </w:rPr>
        <w:t>12</w:t>
      </w:r>
      <w:r w:rsidR="00AF3628">
        <w:rPr>
          <w:rFonts w:cs="Arial"/>
          <w:szCs w:val="26"/>
        </w:rPr>
        <w:noBreakHyphen/>
      </w:r>
      <w:r>
        <w:rPr>
          <w:rFonts w:cs="Arial"/>
          <w:szCs w:val="26"/>
        </w:rPr>
        <w:t>011, to determine whether WAV services are comparable to non</w:t>
      </w:r>
      <w:r w:rsidR="00AF3628">
        <w:rPr>
          <w:rFonts w:cs="Arial"/>
          <w:szCs w:val="26"/>
        </w:rPr>
        <w:noBreakHyphen/>
      </w:r>
      <w:r>
        <w:rPr>
          <w:rFonts w:cs="Arial"/>
          <w:szCs w:val="26"/>
        </w:rPr>
        <w:t>WAV services.</w:t>
      </w:r>
      <w:r>
        <w:rPr>
          <w:rStyle w:val="FootnoteReference"/>
          <w:rFonts w:cs="Arial"/>
          <w:szCs w:val="26"/>
        </w:rPr>
        <w:footnoteReference w:id="58"/>
      </w:r>
      <w:r>
        <w:rPr>
          <w:rFonts w:cs="Arial"/>
          <w:szCs w:val="26"/>
        </w:rPr>
        <w:t xml:space="preserve">  San</w:t>
      </w:r>
      <w:r w:rsidR="00AF3628">
        <w:rPr>
          <w:rFonts w:cs="Arial"/>
          <w:szCs w:val="26"/>
        </w:rPr>
        <w:t> </w:t>
      </w:r>
      <w:r>
        <w:rPr>
          <w:rFonts w:cs="Arial"/>
          <w:szCs w:val="26"/>
        </w:rPr>
        <w:t>Francisco comments that the Annual Reports do not differentiate between WAV and non-WAV service and recommends adding WAV</w:t>
      </w:r>
      <w:r w:rsidR="00AF3628">
        <w:rPr>
          <w:rFonts w:cs="Arial"/>
          <w:szCs w:val="26"/>
        </w:rPr>
        <w:noBreakHyphen/>
      </w:r>
      <w:r>
        <w:rPr>
          <w:rFonts w:cs="Arial"/>
          <w:szCs w:val="26"/>
        </w:rPr>
        <w:t>specific fields.  Alternatively, San</w:t>
      </w:r>
      <w:r w:rsidR="00AF3628">
        <w:rPr>
          <w:rFonts w:cs="Arial"/>
          <w:szCs w:val="26"/>
        </w:rPr>
        <w:t> </w:t>
      </w:r>
      <w:r>
        <w:rPr>
          <w:rFonts w:cs="Arial"/>
          <w:szCs w:val="26"/>
        </w:rPr>
        <w:t>Francisco recommends that information requested in the Advice Letters be mirrored for non</w:t>
      </w:r>
      <w:r w:rsidR="00AF3628">
        <w:rPr>
          <w:rFonts w:cs="Arial"/>
          <w:szCs w:val="26"/>
        </w:rPr>
        <w:noBreakHyphen/>
      </w:r>
      <w:r>
        <w:rPr>
          <w:rFonts w:cs="Arial"/>
          <w:szCs w:val="26"/>
        </w:rPr>
        <w:t>WAV service.  Disability</w:t>
      </w:r>
      <w:r w:rsidR="00AF3628">
        <w:rPr>
          <w:rFonts w:cs="Arial"/>
          <w:szCs w:val="26"/>
        </w:rPr>
        <w:t> </w:t>
      </w:r>
      <w:r>
        <w:rPr>
          <w:rFonts w:cs="Arial"/>
          <w:szCs w:val="26"/>
        </w:rPr>
        <w:t>Advocates supports San</w:t>
      </w:r>
      <w:r w:rsidR="00AF3628">
        <w:rPr>
          <w:rFonts w:cs="Arial"/>
          <w:szCs w:val="26"/>
        </w:rPr>
        <w:t> </w:t>
      </w:r>
      <w:r>
        <w:rPr>
          <w:rFonts w:cs="Arial"/>
          <w:szCs w:val="26"/>
        </w:rPr>
        <w:t>Francisco’s proposal.</w:t>
      </w:r>
      <w:r>
        <w:rPr>
          <w:rStyle w:val="FootnoteReference"/>
          <w:rFonts w:cs="Arial"/>
          <w:szCs w:val="26"/>
        </w:rPr>
        <w:footnoteReference w:id="59"/>
      </w:r>
      <w:r>
        <w:rPr>
          <w:rFonts w:cs="Arial"/>
          <w:szCs w:val="26"/>
        </w:rPr>
        <w:t xml:space="preserve">  </w:t>
      </w:r>
      <w:r w:rsidRPr="00BF55C4">
        <w:rPr>
          <w:rFonts w:cs="Arial"/>
          <w:szCs w:val="26"/>
        </w:rPr>
        <w:t>Lyft and Uber</w:t>
      </w:r>
      <w:r>
        <w:rPr>
          <w:rFonts w:cs="Arial"/>
          <w:szCs w:val="26"/>
        </w:rPr>
        <w:t xml:space="preserve"> object to modifications to the Annual Reports and contend that </w:t>
      </w:r>
      <w:r>
        <w:rPr>
          <w:rFonts w:cs="Arial"/>
          <w:szCs w:val="26"/>
        </w:rPr>
        <w:lastRenderedPageBreak/>
        <w:t>this issue is outside the scope of this proceeding and should be addressed in R.12</w:t>
      </w:r>
      <w:r w:rsidR="00AF3628">
        <w:rPr>
          <w:rFonts w:cs="Arial"/>
          <w:szCs w:val="26"/>
        </w:rPr>
        <w:noBreakHyphen/>
      </w:r>
      <w:r>
        <w:rPr>
          <w:rFonts w:cs="Arial"/>
          <w:szCs w:val="26"/>
        </w:rPr>
        <w:t>12</w:t>
      </w:r>
      <w:r w:rsidR="00AF3628">
        <w:rPr>
          <w:rFonts w:cs="Arial"/>
          <w:szCs w:val="26"/>
        </w:rPr>
        <w:noBreakHyphen/>
      </w:r>
      <w:r>
        <w:rPr>
          <w:rFonts w:cs="Arial"/>
          <w:szCs w:val="26"/>
        </w:rPr>
        <w:t>011.</w:t>
      </w:r>
      <w:r>
        <w:rPr>
          <w:rStyle w:val="FootnoteReference"/>
          <w:rFonts w:cs="Arial"/>
          <w:szCs w:val="26"/>
        </w:rPr>
        <w:footnoteReference w:id="60"/>
      </w:r>
      <w:r>
        <w:rPr>
          <w:rFonts w:cs="Arial"/>
          <w:szCs w:val="26"/>
        </w:rPr>
        <w:t xml:space="preserve">  </w:t>
      </w:r>
    </w:p>
    <w:p w:rsidR="00045C7C" w:rsidP="00045C7C" w:rsidRDefault="00045C7C" w14:paraId="5E1FA049" w14:textId="52271BFD">
      <w:pPr>
        <w:autoSpaceDE w:val="0"/>
        <w:autoSpaceDN w:val="0"/>
        <w:adjustRightInd w:val="0"/>
        <w:rPr>
          <w:rFonts w:cs="Arial"/>
          <w:szCs w:val="26"/>
        </w:rPr>
      </w:pPr>
      <w:r>
        <w:rPr>
          <w:rFonts w:cs="Arial"/>
          <w:szCs w:val="26"/>
        </w:rPr>
        <w:t>CPED observes that under the “other” complaint category, which TNCs are required to report for offset eligibility, complaints related to “pickup” and “drop</w:t>
      </w:r>
      <w:r w:rsidR="00AF3628">
        <w:rPr>
          <w:rFonts w:cs="Arial"/>
          <w:szCs w:val="26"/>
        </w:rPr>
        <w:t> </w:t>
      </w:r>
      <w:r>
        <w:rPr>
          <w:rFonts w:cs="Arial"/>
          <w:szCs w:val="26"/>
        </w:rPr>
        <w:t>off” are being reported with high frequency.  CPED recommends modifying the categories to add separate categories for</w:t>
      </w:r>
      <w:r w:rsidRPr="00B67E13">
        <w:rPr>
          <w:rFonts w:cs="Arial"/>
          <w:szCs w:val="26"/>
        </w:rPr>
        <w:t xml:space="preserve"> “pickup” or “drop</w:t>
      </w:r>
      <w:r w:rsidR="00AF3628">
        <w:rPr>
          <w:rFonts w:cs="Arial"/>
          <w:szCs w:val="26"/>
        </w:rPr>
        <w:t> </w:t>
      </w:r>
      <w:r w:rsidRPr="00B67E13">
        <w:rPr>
          <w:rFonts w:cs="Arial"/>
          <w:szCs w:val="26"/>
        </w:rPr>
        <w:t>off</w:t>
      </w:r>
      <w:r>
        <w:rPr>
          <w:rFonts w:cs="Arial"/>
          <w:szCs w:val="26"/>
        </w:rPr>
        <w:t>,</w:t>
      </w:r>
      <w:r w:rsidRPr="00B67E13">
        <w:rPr>
          <w:rFonts w:cs="Arial"/>
          <w:szCs w:val="26"/>
        </w:rPr>
        <w:t xml:space="preserve">” </w:t>
      </w:r>
      <w:r>
        <w:rPr>
          <w:rFonts w:cs="Arial"/>
          <w:szCs w:val="26"/>
        </w:rPr>
        <w:t xml:space="preserve">as distinct from </w:t>
      </w:r>
      <w:r w:rsidRPr="00B67E13">
        <w:rPr>
          <w:rFonts w:cs="Arial"/>
          <w:szCs w:val="26"/>
        </w:rPr>
        <w:t>“other.”</w:t>
      </w:r>
      <w:r>
        <w:rPr>
          <w:rFonts w:cs="Arial"/>
          <w:szCs w:val="26"/>
        </w:rPr>
        <w:t xml:space="preserve">  Disability Advocates, Lyft, Uber, and San</w:t>
      </w:r>
      <w:r w:rsidR="00AF3628">
        <w:rPr>
          <w:rFonts w:cs="Arial"/>
          <w:szCs w:val="26"/>
        </w:rPr>
        <w:t> </w:t>
      </w:r>
      <w:r>
        <w:rPr>
          <w:rFonts w:cs="Arial"/>
          <w:szCs w:val="26"/>
        </w:rPr>
        <w:t>Francisco support this recommendation.</w:t>
      </w:r>
      <w:r>
        <w:rPr>
          <w:rStyle w:val="FootnoteReference"/>
          <w:rFonts w:cs="Arial"/>
          <w:szCs w:val="26"/>
        </w:rPr>
        <w:footnoteReference w:id="61"/>
      </w:r>
      <w:r>
        <w:rPr>
          <w:rFonts w:cs="Arial"/>
          <w:szCs w:val="26"/>
        </w:rPr>
        <w:t xml:space="preserve">  Uber states that “pickup and drop off” should be one category as Uber cannot necessarily discern from a complaint which category it would fall into.</w:t>
      </w:r>
    </w:p>
    <w:p w:rsidR="00045C7C" w:rsidP="00045C7C" w:rsidRDefault="00045C7C" w14:paraId="7E550674" w14:textId="1113D46B">
      <w:pPr>
        <w:autoSpaceDE w:val="0"/>
        <w:autoSpaceDN w:val="0"/>
        <w:adjustRightInd w:val="0"/>
        <w:rPr>
          <w:rFonts w:cs="Arial"/>
          <w:szCs w:val="26"/>
        </w:rPr>
      </w:pPr>
      <w:r w:rsidRPr="009567F4">
        <w:rPr>
          <w:rFonts w:cs="Arial"/>
          <w:szCs w:val="26"/>
        </w:rPr>
        <w:t>San</w:t>
      </w:r>
      <w:r w:rsidR="00AF3628">
        <w:rPr>
          <w:rFonts w:cs="Arial"/>
          <w:szCs w:val="26"/>
        </w:rPr>
        <w:t> </w:t>
      </w:r>
      <w:r w:rsidRPr="009567F4">
        <w:rPr>
          <w:rFonts w:cs="Arial"/>
          <w:szCs w:val="26"/>
        </w:rPr>
        <w:t>Francisco recommends seek</w:t>
      </w:r>
      <w:r>
        <w:rPr>
          <w:rFonts w:cs="Arial"/>
          <w:szCs w:val="26"/>
        </w:rPr>
        <w:t>ing</w:t>
      </w:r>
      <w:r w:rsidRPr="009567F4">
        <w:rPr>
          <w:rFonts w:cs="Arial"/>
          <w:szCs w:val="26"/>
        </w:rPr>
        <w:t xml:space="preserve"> qualitative feedback from WAV users about the Access for All Program to inform the Legislative Report.</w:t>
      </w:r>
      <w:r>
        <w:rPr>
          <w:rFonts w:cs="Arial"/>
          <w:szCs w:val="26"/>
        </w:rPr>
        <w:t xml:space="preserve">  Disability Advocates, Lyft, and Uber support this proposal.</w:t>
      </w:r>
      <w:r>
        <w:rPr>
          <w:rStyle w:val="FootnoteReference"/>
          <w:rFonts w:cs="Arial"/>
          <w:szCs w:val="26"/>
        </w:rPr>
        <w:footnoteReference w:id="62"/>
      </w:r>
      <w:r>
        <w:rPr>
          <w:rFonts w:cs="Arial"/>
          <w:szCs w:val="26"/>
        </w:rPr>
        <w:t xml:space="preserve">  San</w:t>
      </w:r>
      <w:r w:rsidR="00AF3628">
        <w:rPr>
          <w:rFonts w:cs="Arial"/>
          <w:szCs w:val="26"/>
        </w:rPr>
        <w:t> </w:t>
      </w:r>
      <w:r>
        <w:rPr>
          <w:rFonts w:cs="Arial"/>
          <w:szCs w:val="26"/>
        </w:rPr>
        <w:t xml:space="preserve">Francisco recommends that the Commission use public dashboards to publish data submitted in the Access for All Program.  </w:t>
      </w:r>
    </w:p>
    <w:p w:rsidR="00045C7C" w:rsidP="00045C7C" w:rsidRDefault="00045C7C" w14:paraId="1EE58C99" w14:textId="052D4E84">
      <w:pPr>
        <w:autoSpaceDE w:val="0"/>
        <w:autoSpaceDN w:val="0"/>
        <w:adjustRightInd w:val="0"/>
        <w:rPr>
          <w:rFonts w:cs="Arial"/>
          <w:szCs w:val="26"/>
        </w:rPr>
      </w:pPr>
      <w:r>
        <w:rPr>
          <w:rFonts w:cs="Arial"/>
          <w:szCs w:val="26"/>
        </w:rPr>
        <w:t>San</w:t>
      </w:r>
      <w:r w:rsidR="00AF3628">
        <w:rPr>
          <w:rFonts w:cs="Arial"/>
          <w:szCs w:val="26"/>
        </w:rPr>
        <w:t> </w:t>
      </w:r>
      <w:r>
        <w:rPr>
          <w:rFonts w:cs="Arial"/>
          <w:szCs w:val="26"/>
        </w:rPr>
        <w:t xml:space="preserve">Francisco, Lyft, and Uber seek consistency in the manner that TNCs report trip cancellations since Lyft stated that it reports all cancellations that occur on a single trip (which led to a higher number of reported cancellations) </w:t>
      </w:r>
      <w:r>
        <w:rPr>
          <w:rFonts w:cs="Arial"/>
          <w:szCs w:val="26"/>
        </w:rPr>
        <w:lastRenderedPageBreak/>
        <w:t>and Uber stated that it reports only the final action of the trip.</w:t>
      </w:r>
      <w:r>
        <w:rPr>
          <w:rStyle w:val="FootnoteReference"/>
          <w:rFonts w:cs="Arial"/>
          <w:szCs w:val="26"/>
        </w:rPr>
        <w:footnoteReference w:id="63"/>
      </w:r>
      <w:r>
        <w:rPr>
          <w:rFonts w:cs="Arial"/>
          <w:szCs w:val="26"/>
        </w:rPr>
        <w:t xml:space="preserve">  San</w:t>
      </w:r>
      <w:r w:rsidR="00AF3628">
        <w:rPr>
          <w:rFonts w:cs="Arial"/>
          <w:szCs w:val="26"/>
        </w:rPr>
        <w:t> </w:t>
      </w:r>
      <w:r>
        <w:rPr>
          <w:rFonts w:cs="Arial"/>
          <w:szCs w:val="26"/>
        </w:rPr>
        <w:t>Francisco recommends that the template for on</w:t>
      </w:r>
      <w:r w:rsidR="00AF3628">
        <w:rPr>
          <w:rFonts w:cs="Arial"/>
          <w:szCs w:val="26"/>
        </w:rPr>
        <w:noBreakHyphen/>
      </w:r>
      <w:r>
        <w:rPr>
          <w:rFonts w:cs="Arial"/>
          <w:szCs w:val="26"/>
        </w:rPr>
        <w:t>demand and pre</w:t>
      </w:r>
      <w:r w:rsidR="00AF3628">
        <w:rPr>
          <w:rFonts w:cs="Arial"/>
          <w:szCs w:val="26"/>
        </w:rPr>
        <w:noBreakHyphen/>
      </w:r>
      <w:r>
        <w:rPr>
          <w:rFonts w:cs="Arial"/>
          <w:szCs w:val="26"/>
        </w:rPr>
        <w:t>scheduled trips add a field to capture the number of drivers who were dispatched for a trip, regardless of how the trip was completed.</w:t>
      </w:r>
      <w:r w:rsidRPr="00695E3D">
        <w:rPr>
          <w:rFonts w:cs="Arial"/>
          <w:szCs w:val="26"/>
        </w:rPr>
        <w:t xml:space="preserve"> </w:t>
      </w:r>
      <w:r>
        <w:rPr>
          <w:rFonts w:cs="Arial"/>
          <w:szCs w:val="26"/>
        </w:rPr>
        <w:t xml:space="preserve"> </w:t>
      </w:r>
    </w:p>
    <w:p w:rsidR="00045C7C" w:rsidP="00045C7C" w:rsidRDefault="00045C7C" w14:paraId="489E7733" w14:textId="7B937C8A">
      <w:pPr>
        <w:pStyle w:val="Heading3"/>
      </w:pPr>
      <w:bookmarkStart w:name="_Toc125016610" w:id="42"/>
      <w:r>
        <w:t>Discussion</w:t>
      </w:r>
      <w:bookmarkEnd w:id="42"/>
    </w:p>
    <w:p w:rsidRPr="00050B45" w:rsidR="00045C7C" w:rsidP="00045C7C" w:rsidRDefault="00045C7C" w14:paraId="4EC0A43D" w14:textId="77777777">
      <w:pPr>
        <w:autoSpaceDE w:val="0"/>
        <w:autoSpaceDN w:val="0"/>
        <w:adjustRightInd w:val="0"/>
        <w:rPr>
          <w:szCs w:val="26"/>
        </w:rPr>
      </w:pPr>
      <w:r>
        <w:rPr>
          <w:szCs w:val="26"/>
        </w:rPr>
        <w:t>In D.21-11-004, the Commission stated:</w:t>
      </w:r>
    </w:p>
    <w:p w:rsidR="00045C7C" w:rsidP="00AF3628" w:rsidRDefault="00045C7C" w14:paraId="4F699D03" w14:textId="77777777">
      <w:pPr>
        <w:pStyle w:val="ListParagraph"/>
        <w:autoSpaceDE w:val="0"/>
        <w:autoSpaceDN w:val="0"/>
        <w:adjustRightInd w:val="0"/>
        <w:ind w:left="720" w:firstLine="0"/>
        <w:rPr>
          <w:szCs w:val="26"/>
        </w:rPr>
      </w:pPr>
      <w:r w:rsidRPr="00050B45">
        <w:rPr>
          <w:szCs w:val="26"/>
        </w:rPr>
        <w:t>Although we do not adopt additional data reporting requirements at this time (beyond the list of counties), the Commission recognizes that the TNC Access For All Program is approaching its third year since implementation. We also recognize that more comprehensive data analysis will be necessary to inform the 2024 Legislative Report, as well as potential modifications to response time benchmarks, as discussed in this decision. For these reasons, following the issuance of this decision, the Commission intends to seek comments from parties on a proposal for more comprehensive data collection from TNCs related to the TNC Access for All Program.</w:t>
      </w:r>
      <w:r>
        <w:rPr>
          <w:rStyle w:val="FootnoteReference"/>
          <w:szCs w:val="26"/>
        </w:rPr>
        <w:footnoteReference w:id="64"/>
      </w:r>
    </w:p>
    <w:p w:rsidR="00045C7C" w:rsidP="00AF3628" w:rsidRDefault="00045C7C" w14:paraId="60F0FCCD" w14:textId="2A3329E8">
      <w:pPr>
        <w:autoSpaceDE w:val="0"/>
        <w:autoSpaceDN w:val="0"/>
        <w:adjustRightInd w:val="0"/>
        <w:rPr>
          <w:rFonts w:cs="Arial"/>
          <w:szCs w:val="26"/>
        </w:rPr>
      </w:pPr>
      <w:r>
        <w:rPr>
          <w:rFonts w:cs="Arial"/>
          <w:szCs w:val="26"/>
        </w:rPr>
        <w:t>The Commission considers what additional data reporting is needed to inform the 2024 Legislative Report and provide a more comprehensive picture of the state of WAV service in California.</w:t>
      </w:r>
    </w:p>
    <w:p w:rsidR="00045C7C" w:rsidP="00AF3628" w:rsidRDefault="00045C7C" w14:paraId="181F2369" w14:textId="6100EAA7">
      <w:pPr>
        <w:autoSpaceDE w:val="0"/>
        <w:autoSpaceDN w:val="0"/>
        <w:adjustRightInd w:val="0"/>
        <w:rPr>
          <w:rFonts w:cs="Arial"/>
          <w:szCs w:val="26"/>
        </w:rPr>
      </w:pPr>
      <w:r>
        <w:rPr>
          <w:rFonts w:cs="Arial"/>
          <w:szCs w:val="26"/>
        </w:rPr>
        <w:t xml:space="preserve">The Commission agrees with CPED that to appropriately account for the number of WAVs in operation, additional information is needed on the number of unique WAVs that are available at certain times of the day.  This information is </w:t>
      </w:r>
      <w:r w:rsidR="002E3EB6">
        <w:rPr>
          <w:rFonts w:cs="Arial"/>
          <w:szCs w:val="26"/>
        </w:rPr>
        <w:t>important</w:t>
      </w:r>
      <w:r>
        <w:rPr>
          <w:rFonts w:cs="Arial"/>
          <w:szCs w:val="26"/>
        </w:rPr>
        <w:t xml:space="preserve"> to understanding whether there are certain times of the day when WAV accessibility is limited and when WAV users may be stranded without an </w:t>
      </w:r>
      <w:r>
        <w:rPr>
          <w:rFonts w:cs="Arial"/>
          <w:szCs w:val="26"/>
        </w:rPr>
        <w:lastRenderedPageBreak/>
        <w:t xml:space="preserve">available return WAV ride.  Further, we agree that a TNC should submit this data for any county in which it previously requested an offset, regardless of whether the TNC continues to seek an offset in that county.  </w:t>
      </w:r>
    </w:p>
    <w:p w:rsidR="00A838DC" w:rsidP="00A838DC" w:rsidRDefault="00045C7C" w14:paraId="717C14B5" w14:textId="03811CC3">
      <w:pPr>
        <w:autoSpaceDE w:val="0"/>
        <w:autoSpaceDN w:val="0"/>
        <w:adjustRightInd w:val="0"/>
        <w:ind w:firstLine="0"/>
        <w:rPr>
          <w:rFonts w:cs="Arial"/>
          <w:szCs w:val="26"/>
        </w:rPr>
      </w:pPr>
      <w:r>
        <w:rPr>
          <w:rFonts w:cs="Arial"/>
          <w:szCs w:val="26"/>
        </w:rPr>
        <w:t xml:space="preserve">Accordingly, a TNC that previously requested an offset </w:t>
      </w:r>
      <w:proofErr w:type="gramStart"/>
      <w:r>
        <w:rPr>
          <w:rFonts w:cs="Arial"/>
          <w:szCs w:val="26"/>
        </w:rPr>
        <w:t>in a given</w:t>
      </w:r>
      <w:proofErr w:type="gramEnd"/>
      <w:r>
        <w:rPr>
          <w:rFonts w:cs="Arial"/>
          <w:szCs w:val="26"/>
        </w:rPr>
        <w:t xml:space="preserve"> county shall report on a going-forward basis for that county:</w:t>
      </w:r>
      <w:r w:rsidRPr="008B065E">
        <w:rPr>
          <w:rFonts w:cs="Arial"/>
          <w:szCs w:val="26"/>
        </w:rPr>
        <w:t xml:space="preserve"> </w:t>
      </w:r>
      <w:r>
        <w:rPr>
          <w:rFonts w:cs="Arial"/>
          <w:szCs w:val="26"/>
        </w:rPr>
        <w:t>the u</w:t>
      </w:r>
      <w:r w:rsidRPr="005E57F6">
        <w:rPr>
          <w:rFonts w:cs="Arial"/>
          <w:szCs w:val="26"/>
        </w:rPr>
        <w:t>nique number of WAVs in operation (</w:t>
      </w:r>
      <w:r>
        <w:rPr>
          <w:rFonts w:cs="Arial"/>
          <w:szCs w:val="26"/>
        </w:rPr>
        <w:t>whether</w:t>
      </w:r>
      <w:r w:rsidRPr="005E57F6">
        <w:rPr>
          <w:rFonts w:cs="Arial"/>
          <w:szCs w:val="26"/>
        </w:rPr>
        <w:t xml:space="preserve"> </w:t>
      </w:r>
      <w:r>
        <w:rPr>
          <w:rFonts w:cs="Arial"/>
          <w:szCs w:val="26"/>
        </w:rPr>
        <w:t xml:space="preserve">to serve </w:t>
      </w:r>
      <w:r w:rsidRPr="005E57F6">
        <w:rPr>
          <w:rFonts w:cs="Arial"/>
          <w:szCs w:val="26"/>
        </w:rPr>
        <w:t>pre-scheduled</w:t>
      </w:r>
      <w:r>
        <w:rPr>
          <w:rFonts w:cs="Arial"/>
          <w:szCs w:val="26"/>
        </w:rPr>
        <w:t xml:space="preserve"> or</w:t>
      </w:r>
      <w:r w:rsidRPr="005E57F6">
        <w:rPr>
          <w:rFonts w:cs="Arial"/>
          <w:szCs w:val="26"/>
        </w:rPr>
        <w:t xml:space="preserve"> </w:t>
      </w:r>
      <w:r>
        <w:rPr>
          <w:rFonts w:cs="Arial"/>
          <w:szCs w:val="26"/>
        </w:rPr>
        <w:t xml:space="preserve">on-demand WAV </w:t>
      </w:r>
      <w:r w:rsidRPr="005E57F6">
        <w:rPr>
          <w:rFonts w:cs="Arial"/>
          <w:szCs w:val="26"/>
        </w:rPr>
        <w:t>requests) by hour of the day and day of the week</w:t>
      </w:r>
      <w:r>
        <w:rPr>
          <w:rFonts w:cs="Arial"/>
          <w:szCs w:val="26"/>
        </w:rPr>
        <w:t>.  This information shall be provided in future Offset Request</w:t>
      </w:r>
      <w:r w:rsidR="009F6756">
        <w:rPr>
          <w:rFonts w:cs="Arial"/>
          <w:szCs w:val="26"/>
        </w:rPr>
        <w:t xml:space="preserve"> Advice Letters</w:t>
      </w:r>
      <w:r>
        <w:rPr>
          <w:rFonts w:cs="Arial"/>
          <w:szCs w:val="26"/>
        </w:rPr>
        <w:t>.  If the TNC is not submitting a future Offset Request for that county</w:t>
      </w:r>
      <w:r w:rsidRPr="00A838DC" w:rsidR="00A838DC">
        <w:t xml:space="preserve"> </w:t>
      </w:r>
      <w:r w:rsidR="00A838DC">
        <w:t>but seeks an offset in another county</w:t>
      </w:r>
      <w:r>
        <w:rPr>
          <w:rFonts w:cs="Arial"/>
          <w:szCs w:val="26"/>
        </w:rPr>
        <w:t xml:space="preserve">, </w:t>
      </w:r>
      <w:r w:rsidR="00A838DC">
        <w:t xml:space="preserve">the TNC shall submit the requested data as part of that Offset Request.  If the TNC is not submitting an Offset Request for the given quarter in any county, </w:t>
      </w:r>
      <w:r>
        <w:rPr>
          <w:rFonts w:cs="Arial"/>
          <w:szCs w:val="26"/>
        </w:rPr>
        <w:t>the TNC shall submit the requested data via an Information Only Advice</w:t>
      </w:r>
      <w:r w:rsidR="005D0B40">
        <w:rPr>
          <w:rFonts w:cs="Arial"/>
          <w:szCs w:val="26"/>
        </w:rPr>
        <w:t> </w:t>
      </w:r>
      <w:r>
        <w:rPr>
          <w:rFonts w:cs="Arial"/>
          <w:szCs w:val="26"/>
        </w:rPr>
        <w:t>Letter</w:t>
      </w:r>
      <w:r w:rsidR="005D0B40">
        <w:rPr>
          <w:rFonts w:cs="Arial"/>
          <w:szCs w:val="26"/>
        </w:rPr>
        <w:t> </w:t>
      </w:r>
      <w:r>
        <w:rPr>
          <w:rFonts w:cs="Arial"/>
          <w:szCs w:val="26"/>
        </w:rPr>
        <w:t>15 days after the end of the applicable quarter.</w:t>
      </w:r>
      <w:r w:rsidR="00A838DC">
        <w:rPr>
          <w:rFonts w:cs="Arial"/>
          <w:szCs w:val="26"/>
        </w:rPr>
        <w:t xml:space="preserve"> </w:t>
      </w:r>
    </w:p>
    <w:p w:rsidR="00045C7C" w:rsidP="00045C7C" w:rsidRDefault="00045C7C" w14:paraId="38088A41" w14:textId="25DD0A54">
      <w:pPr>
        <w:autoSpaceDE w:val="0"/>
        <w:autoSpaceDN w:val="0"/>
        <w:adjustRightInd w:val="0"/>
        <w:rPr>
          <w:rFonts w:cs="Arial"/>
          <w:szCs w:val="26"/>
        </w:rPr>
      </w:pPr>
      <w:r>
        <w:rPr>
          <w:rFonts w:cs="Arial"/>
          <w:szCs w:val="26"/>
        </w:rPr>
        <w:t>The Commission deems it critical for TNCs to provide more granular location information on where WAV service was requested, completed, and available, beyond the current county-level reporting.  More granular location information is necessary for the 2024 Legislative Report to better understand the true range of WAV accessibility across California.  We agree with San</w:t>
      </w:r>
      <w:r w:rsidR="005D0B40">
        <w:rPr>
          <w:rFonts w:cs="Arial"/>
          <w:szCs w:val="26"/>
        </w:rPr>
        <w:t> </w:t>
      </w:r>
      <w:r>
        <w:rPr>
          <w:rFonts w:cs="Arial"/>
          <w:szCs w:val="26"/>
        </w:rPr>
        <w:t>Francisco that WAV availability data should be provided by Census Tract, rather than zip code, which will better reflect identified ESJ communities and further the goals of the ESJ Action</w:t>
      </w:r>
      <w:r w:rsidR="005D0B40">
        <w:rPr>
          <w:rFonts w:cs="Arial"/>
          <w:szCs w:val="26"/>
        </w:rPr>
        <w:t> </w:t>
      </w:r>
      <w:r>
        <w:rPr>
          <w:rFonts w:cs="Arial"/>
          <w:szCs w:val="26"/>
        </w:rPr>
        <w:t xml:space="preserve">Plan.  Accordingly, a TNC that previously requested an offset in a given county shall report on a going-forward basis for that county: </w:t>
      </w:r>
      <w:r w:rsidR="005D0B40">
        <w:rPr>
          <w:rFonts w:cs="Arial"/>
          <w:szCs w:val="26"/>
        </w:rPr>
        <w:t xml:space="preserve"> </w:t>
      </w:r>
      <w:r>
        <w:rPr>
          <w:rFonts w:cs="Arial"/>
          <w:szCs w:val="26"/>
        </w:rPr>
        <w:t>the t</w:t>
      </w:r>
      <w:r w:rsidRPr="00805252">
        <w:rPr>
          <w:rFonts w:cs="Arial"/>
          <w:szCs w:val="26"/>
        </w:rPr>
        <w:t xml:space="preserve">otal WAV trips requested and completed, broken out by </w:t>
      </w:r>
      <w:r>
        <w:rPr>
          <w:rFonts w:cs="Arial"/>
          <w:szCs w:val="26"/>
        </w:rPr>
        <w:t>Census Tract</w:t>
      </w:r>
      <w:r w:rsidRPr="00805252">
        <w:rPr>
          <w:rFonts w:cs="Arial"/>
          <w:szCs w:val="26"/>
        </w:rPr>
        <w:t xml:space="preserve"> and type of service (pre</w:t>
      </w:r>
      <w:r w:rsidR="005D0B40">
        <w:rPr>
          <w:rFonts w:cs="Arial"/>
          <w:szCs w:val="26"/>
        </w:rPr>
        <w:noBreakHyphen/>
      </w:r>
      <w:r w:rsidRPr="00805252">
        <w:rPr>
          <w:rFonts w:cs="Arial"/>
          <w:szCs w:val="26"/>
        </w:rPr>
        <w:t>scheduled or on</w:t>
      </w:r>
      <w:r w:rsidR="005D0B40">
        <w:rPr>
          <w:rFonts w:cs="Arial"/>
          <w:szCs w:val="26"/>
        </w:rPr>
        <w:noBreakHyphen/>
      </w:r>
      <w:r w:rsidRPr="00805252">
        <w:rPr>
          <w:rFonts w:cs="Arial"/>
          <w:szCs w:val="26"/>
        </w:rPr>
        <w:t>demand)</w:t>
      </w:r>
      <w:r>
        <w:rPr>
          <w:rFonts w:cs="Arial"/>
          <w:szCs w:val="26"/>
        </w:rPr>
        <w:t xml:space="preserve">.  This information shall be </w:t>
      </w:r>
      <w:r w:rsidR="00A838DC">
        <w:rPr>
          <w:rFonts w:cs="Arial"/>
          <w:szCs w:val="26"/>
        </w:rPr>
        <w:t xml:space="preserve">submitted </w:t>
      </w:r>
      <w:r>
        <w:rPr>
          <w:rFonts w:cs="Arial"/>
          <w:szCs w:val="26"/>
        </w:rPr>
        <w:t>in future Offset Request</w:t>
      </w:r>
      <w:r w:rsidR="009F6756">
        <w:rPr>
          <w:rFonts w:cs="Arial"/>
          <w:szCs w:val="26"/>
        </w:rPr>
        <w:t xml:space="preserve"> Advice Letters</w:t>
      </w:r>
      <w:r>
        <w:rPr>
          <w:rFonts w:cs="Arial"/>
          <w:szCs w:val="26"/>
        </w:rPr>
        <w:t>.  If the TNC is not submitting a future Offset Request for that county</w:t>
      </w:r>
      <w:r w:rsidRPr="001B7F9C" w:rsidR="001B7F9C">
        <w:t xml:space="preserve"> </w:t>
      </w:r>
      <w:r w:rsidR="001B7F9C">
        <w:t>but seeks an offset in another county</w:t>
      </w:r>
      <w:r>
        <w:rPr>
          <w:rFonts w:cs="Arial"/>
          <w:szCs w:val="26"/>
        </w:rPr>
        <w:t xml:space="preserve">, </w:t>
      </w:r>
      <w:r w:rsidR="00A838DC">
        <w:t xml:space="preserve">the TNC </w:t>
      </w:r>
      <w:r w:rsidR="00A838DC">
        <w:lastRenderedPageBreak/>
        <w:t xml:space="preserve">shall submit the requested data as part of that Offset Request.  If the TNC is not submitting an Offset Request for the given quarter in any county, </w:t>
      </w:r>
      <w:r>
        <w:rPr>
          <w:rFonts w:cs="Arial"/>
          <w:szCs w:val="26"/>
        </w:rPr>
        <w:t>the TNC shall submit the requested data as an Information</w:t>
      </w:r>
      <w:r w:rsidR="005D0B40">
        <w:rPr>
          <w:rFonts w:cs="Arial"/>
          <w:szCs w:val="26"/>
        </w:rPr>
        <w:t> </w:t>
      </w:r>
      <w:r>
        <w:rPr>
          <w:rFonts w:cs="Arial"/>
          <w:szCs w:val="26"/>
        </w:rPr>
        <w:t>Only Advice</w:t>
      </w:r>
      <w:r w:rsidR="005D0B40">
        <w:rPr>
          <w:rFonts w:cs="Arial"/>
          <w:szCs w:val="26"/>
        </w:rPr>
        <w:t> </w:t>
      </w:r>
      <w:r>
        <w:rPr>
          <w:rFonts w:cs="Arial"/>
          <w:szCs w:val="26"/>
        </w:rPr>
        <w:t>Letter</w:t>
      </w:r>
      <w:r w:rsidR="005D0B40">
        <w:rPr>
          <w:rFonts w:cs="Arial"/>
          <w:szCs w:val="26"/>
        </w:rPr>
        <w:t xml:space="preserve"> </w:t>
      </w:r>
      <w:r>
        <w:rPr>
          <w:rFonts w:cs="Arial"/>
          <w:szCs w:val="26"/>
        </w:rPr>
        <w:t>15</w:t>
      </w:r>
      <w:r w:rsidR="005D0B40">
        <w:rPr>
          <w:rFonts w:cs="Arial"/>
          <w:szCs w:val="26"/>
        </w:rPr>
        <w:t> </w:t>
      </w:r>
      <w:r>
        <w:rPr>
          <w:rFonts w:cs="Arial"/>
          <w:szCs w:val="26"/>
        </w:rPr>
        <w:t>days</w:t>
      </w:r>
      <w:r w:rsidR="005D0B40">
        <w:rPr>
          <w:rFonts w:cs="Arial"/>
          <w:szCs w:val="26"/>
        </w:rPr>
        <w:t> </w:t>
      </w:r>
      <w:r>
        <w:rPr>
          <w:rFonts w:cs="Arial"/>
          <w:szCs w:val="26"/>
        </w:rPr>
        <w:t xml:space="preserve">after the end of the applicable quarter. </w:t>
      </w:r>
    </w:p>
    <w:p w:rsidR="00045C7C" w:rsidP="00045C7C" w:rsidRDefault="00045C7C" w14:paraId="3AACA107" w14:textId="7D31D12E">
      <w:pPr>
        <w:autoSpaceDE w:val="0"/>
        <w:autoSpaceDN w:val="0"/>
        <w:adjustRightInd w:val="0"/>
        <w:rPr>
          <w:rFonts w:cs="Arial"/>
          <w:szCs w:val="26"/>
        </w:rPr>
      </w:pPr>
      <w:r>
        <w:rPr>
          <w:rFonts w:cs="Arial"/>
          <w:szCs w:val="26"/>
        </w:rPr>
        <w:t>The Commission agrees that</w:t>
      </w:r>
      <w:r w:rsidRPr="009567F4">
        <w:rPr>
          <w:rFonts w:cs="Arial"/>
          <w:szCs w:val="26"/>
        </w:rPr>
        <w:t xml:space="preserve"> qualitative feedback from WAV users </w:t>
      </w:r>
      <w:r>
        <w:rPr>
          <w:rFonts w:cs="Arial"/>
          <w:szCs w:val="26"/>
        </w:rPr>
        <w:t>about</w:t>
      </w:r>
      <w:r w:rsidRPr="009567F4">
        <w:rPr>
          <w:rFonts w:cs="Arial"/>
          <w:szCs w:val="26"/>
        </w:rPr>
        <w:t xml:space="preserve"> the Access for All Program </w:t>
      </w:r>
      <w:r>
        <w:rPr>
          <w:rFonts w:cs="Arial"/>
          <w:szCs w:val="26"/>
        </w:rPr>
        <w:t>would be useful to</w:t>
      </w:r>
      <w:r w:rsidRPr="009567F4">
        <w:rPr>
          <w:rFonts w:cs="Arial"/>
          <w:szCs w:val="26"/>
        </w:rPr>
        <w:t xml:space="preserve"> inform the Legislative Report.</w:t>
      </w:r>
      <w:r>
        <w:rPr>
          <w:rFonts w:cs="Arial"/>
          <w:szCs w:val="26"/>
        </w:rPr>
        <w:t xml:space="preserve">  In D.21</w:t>
      </w:r>
      <w:r w:rsidR="005D0B40">
        <w:rPr>
          <w:rFonts w:cs="Arial"/>
          <w:szCs w:val="26"/>
        </w:rPr>
        <w:noBreakHyphen/>
      </w:r>
      <w:r>
        <w:rPr>
          <w:rFonts w:cs="Arial"/>
          <w:szCs w:val="26"/>
        </w:rPr>
        <w:t>10</w:t>
      </w:r>
      <w:r w:rsidR="005D0B40">
        <w:rPr>
          <w:rFonts w:cs="Arial"/>
          <w:szCs w:val="26"/>
        </w:rPr>
        <w:noBreakHyphen/>
      </w:r>
      <w:r>
        <w:rPr>
          <w:rFonts w:cs="Arial"/>
          <w:szCs w:val="26"/>
        </w:rPr>
        <w:t>007, we authorized CPED to conduct an analysis of community WAV demand that would include, not be limited to, a survey of WAV users and/or consultation with disability rights organizations.</w:t>
      </w:r>
      <w:r>
        <w:rPr>
          <w:rStyle w:val="FootnoteReference"/>
          <w:rFonts w:cs="Arial"/>
          <w:szCs w:val="26"/>
        </w:rPr>
        <w:footnoteReference w:id="65"/>
      </w:r>
      <w:r>
        <w:rPr>
          <w:rFonts w:cs="Arial"/>
          <w:szCs w:val="26"/>
        </w:rPr>
        <w:t xml:space="preserve">  As such, this survey of WAV users shall include qualitative feedback from WAV users.</w:t>
      </w:r>
    </w:p>
    <w:p w:rsidRPr="00C254C6" w:rsidR="00045C7C" w:rsidP="00045C7C" w:rsidRDefault="00045C7C" w14:paraId="0BAA52FA" w14:textId="16AE2F5C">
      <w:pPr>
        <w:autoSpaceDE w:val="0"/>
        <w:autoSpaceDN w:val="0"/>
        <w:adjustRightInd w:val="0"/>
        <w:spacing w:after="120"/>
        <w:rPr>
          <w:rFonts w:cs="Arial"/>
          <w:szCs w:val="26"/>
        </w:rPr>
      </w:pPr>
      <w:r>
        <w:rPr>
          <w:rFonts w:cs="Arial"/>
          <w:szCs w:val="26"/>
        </w:rPr>
        <w:t>We agree that the complaint categories, adopted in D.20</w:t>
      </w:r>
      <w:r w:rsidR="005D0B40">
        <w:rPr>
          <w:rFonts w:cs="Arial"/>
          <w:szCs w:val="26"/>
        </w:rPr>
        <w:noBreakHyphen/>
      </w:r>
      <w:r>
        <w:rPr>
          <w:rFonts w:cs="Arial"/>
          <w:szCs w:val="26"/>
        </w:rPr>
        <w:t>03</w:t>
      </w:r>
      <w:r w:rsidR="005D0B40">
        <w:rPr>
          <w:rFonts w:cs="Arial"/>
          <w:szCs w:val="26"/>
        </w:rPr>
        <w:noBreakHyphen/>
      </w:r>
      <w:r>
        <w:rPr>
          <w:rFonts w:cs="Arial"/>
          <w:szCs w:val="26"/>
        </w:rPr>
        <w:t>007, should be modified to include “pickup” and “drop</w:t>
      </w:r>
      <w:r w:rsidR="005D0B40">
        <w:rPr>
          <w:rFonts w:cs="Arial"/>
          <w:szCs w:val="26"/>
        </w:rPr>
        <w:t> </w:t>
      </w:r>
      <w:r>
        <w:rPr>
          <w:rFonts w:cs="Arial"/>
          <w:szCs w:val="26"/>
        </w:rPr>
        <w:t>off” complaints as separate categories.  Accordingly, O</w:t>
      </w:r>
      <w:r w:rsidR="00957DCA">
        <w:rPr>
          <w:rFonts w:cs="Arial"/>
          <w:szCs w:val="26"/>
        </w:rPr>
        <w:t>P</w:t>
      </w:r>
      <w:r w:rsidR="005D0B40">
        <w:rPr>
          <w:rFonts w:cs="Arial"/>
          <w:szCs w:val="26"/>
        </w:rPr>
        <w:t> </w:t>
      </w:r>
      <w:r>
        <w:rPr>
          <w:rFonts w:cs="Arial"/>
          <w:szCs w:val="26"/>
        </w:rPr>
        <w:t>14 of D.20</w:t>
      </w:r>
      <w:r w:rsidR="005D0B40">
        <w:rPr>
          <w:rFonts w:cs="Arial"/>
          <w:szCs w:val="26"/>
        </w:rPr>
        <w:noBreakHyphen/>
      </w:r>
      <w:r>
        <w:rPr>
          <w:rFonts w:cs="Arial"/>
          <w:szCs w:val="26"/>
        </w:rPr>
        <w:t>03</w:t>
      </w:r>
      <w:r w:rsidR="005D0B40">
        <w:rPr>
          <w:rFonts w:cs="Arial"/>
          <w:szCs w:val="26"/>
        </w:rPr>
        <w:noBreakHyphen/>
      </w:r>
      <w:r>
        <w:rPr>
          <w:rFonts w:cs="Arial"/>
          <w:szCs w:val="26"/>
        </w:rPr>
        <w:t xml:space="preserve">007 is modified as follows: </w:t>
      </w:r>
      <w:r w:rsidR="005D0B40">
        <w:rPr>
          <w:rFonts w:cs="Arial"/>
          <w:szCs w:val="26"/>
        </w:rPr>
        <w:t xml:space="preserve"> </w:t>
      </w:r>
      <w:r>
        <w:t>A TNC seeking an offset, a TNC seeking an exemption, an access provider submitting an Access Fund application, and an access provider that receives Access Fund moneys shall submit:</w:t>
      </w:r>
    </w:p>
    <w:p w:rsidR="005D0B40" w:rsidP="005D0B40" w:rsidRDefault="005D0B40" w14:paraId="7C4125D0" w14:textId="77777777">
      <w:pPr>
        <w:pStyle w:val="OP"/>
        <w:numPr>
          <w:ilvl w:val="0"/>
          <w:numId w:val="0"/>
        </w:numPr>
        <w:spacing w:after="120" w:line="240" w:lineRule="auto"/>
        <w:ind w:left="1440" w:right="1440" w:hanging="360"/>
      </w:pPr>
      <w:r>
        <w:t>a.</w:t>
      </w:r>
      <w:r>
        <w:tab/>
      </w:r>
      <w:r w:rsidR="00045C7C">
        <w:t xml:space="preserve">The number of complaints received that are related to WAV drivers or WAV services – by quarter and geographic area; and </w:t>
      </w:r>
    </w:p>
    <w:p w:rsidRPr="00C254C6" w:rsidR="00045C7C" w:rsidP="005D0B40" w:rsidRDefault="005D0B40" w14:paraId="03DD58C5" w14:textId="27FECDEB">
      <w:pPr>
        <w:pStyle w:val="OP"/>
        <w:numPr>
          <w:ilvl w:val="0"/>
          <w:numId w:val="0"/>
        </w:numPr>
        <w:spacing w:after="120" w:line="240" w:lineRule="auto"/>
        <w:ind w:left="1440" w:right="1440" w:hanging="360"/>
      </w:pPr>
      <w:r>
        <w:t>b.</w:t>
      </w:r>
      <w:r>
        <w:tab/>
      </w:r>
      <w:r w:rsidR="00045C7C">
        <w:t xml:space="preserve">The number of complaints based on the following categories: securement issue, driving training, vehicle safety and comfort, service animal issue, stranded passenger, pickup, drop off, and other. </w:t>
      </w:r>
    </w:p>
    <w:p w:rsidR="00045C7C" w:rsidP="00045C7C" w:rsidRDefault="00045C7C" w14:paraId="5DA3201B" w14:textId="31FAE3A3">
      <w:pPr>
        <w:autoSpaceDE w:val="0"/>
        <w:autoSpaceDN w:val="0"/>
        <w:adjustRightInd w:val="0"/>
        <w:rPr>
          <w:rFonts w:cs="Arial"/>
          <w:szCs w:val="26"/>
        </w:rPr>
      </w:pPr>
      <w:r w:rsidRPr="00412531">
        <w:rPr>
          <w:rFonts w:cs="Arial"/>
          <w:szCs w:val="26"/>
        </w:rPr>
        <w:t xml:space="preserve">The Commission agrees that it is important to maintain consistency with reporting cancellation requests </w:t>
      </w:r>
      <w:r>
        <w:rPr>
          <w:rFonts w:cs="Arial"/>
          <w:szCs w:val="26"/>
        </w:rPr>
        <w:t>for</w:t>
      </w:r>
      <w:r w:rsidRPr="00412531">
        <w:rPr>
          <w:rFonts w:cs="Arial"/>
          <w:szCs w:val="26"/>
        </w:rPr>
        <w:t xml:space="preserve"> a single </w:t>
      </w:r>
      <w:r>
        <w:rPr>
          <w:rFonts w:cs="Arial"/>
          <w:szCs w:val="26"/>
        </w:rPr>
        <w:t>WAV</w:t>
      </w:r>
      <w:r w:rsidRPr="00412531">
        <w:rPr>
          <w:rFonts w:cs="Arial"/>
          <w:szCs w:val="26"/>
        </w:rPr>
        <w:t xml:space="preserve"> trip.  </w:t>
      </w:r>
      <w:r>
        <w:rPr>
          <w:rFonts w:cs="Arial"/>
          <w:szCs w:val="26"/>
        </w:rPr>
        <w:t>H</w:t>
      </w:r>
      <w:r w:rsidRPr="00412531">
        <w:rPr>
          <w:rFonts w:cs="Arial"/>
          <w:szCs w:val="26"/>
        </w:rPr>
        <w:t xml:space="preserve">owever, </w:t>
      </w:r>
      <w:r>
        <w:rPr>
          <w:rFonts w:cs="Arial"/>
          <w:szCs w:val="26"/>
        </w:rPr>
        <w:t>it is</w:t>
      </w:r>
      <w:r w:rsidRPr="00412531">
        <w:rPr>
          <w:rFonts w:cs="Arial"/>
          <w:szCs w:val="26"/>
        </w:rPr>
        <w:t xml:space="preserve"> unnecessary for a TNC to report multiple cancellations on a single trip so long as </w:t>
      </w:r>
      <w:r w:rsidRPr="00412531">
        <w:rPr>
          <w:rFonts w:cs="Arial"/>
          <w:szCs w:val="26"/>
        </w:rPr>
        <w:lastRenderedPageBreak/>
        <w:t>the ultimate trip status is reported (</w:t>
      </w:r>
      <w:r w:rsidRPr="00E15BC2">
        <w:rPr>
          <w:rFonts w:cs="Arial"/>
          <w:i/>
          <w:iCs/>
          <w:szCs w:val="26"/>
        </w:rPr>
        <w:t>e.g</w:t>
      </w:r>
      <w:r w:rsidRPr="00412531">
        <w:rPr>
          <w:rFonts w:cs="Arial"/>
          <w:szCs w:val="26"/>
        </w:rPr>
        <w:t>.,</w:t>
      </w:r>
      <w:r w:rsidR="005D0B40">
        <w:rPr>
          <w:rFonts w:cs="Arial"/>
          <w:szCs w:val="26"/>
        </w:rPr>
        <w:t> </w:t>
      </w:r>
      <w:r w:rsidRPr="00412531">
        <w:rPr>
          <w:rFonts w:cs="Arial"/>
          <w:szCs w:val="26"/>
        </w:rPr>
        <w:t>completed, cancelled by driver or passenger)</w:t>
      </w:r>
      <w:r>
        <w:rPr>
          <w:rFonts w:cs="Arial"/>
          <w:szCs w:val="26"/>
        </w:rPr>
        <w:t>.  It is also</w:t>
      </w:r>
      <w:r w:rsidRPr="00412531">
        <w:rPr>
          <w:rFonts w:cs="Arial"/>
          <w:szCs w:val="26"/>
        </w:rPr>
        <w:t xml:space="preserve"> unnecessary that a TNC report how many drivers were dispatched for a single trip.  </w:t>
      </w:r>
      <w:r>
        <w:rPr>
          <w:rFonts w:cs="Arial"/>
          <w:szCs w:val="26"/>
        </w:rPr>
        <w:t>Rather, i</w:t>
      </w:r>
      <w:r w:rsidRPr="00412531">
        <w:rPr>
          <w:rFonts w:cs="Arial"/>
          <w:szCs w:val="26"/>
        </w:rPr>
        <w:t xml:space="preserve">t is </w:t>
      </w:r>
      <w:r>
        <w:rPr>
          <w:rFonts w:cs="Arial"/>
          <w:szCs w:val="26"/>
        </w:rPr>
        <w:t>appropriate</w:t>
      </w:r>
      <w:r w:rsidRPr="00412531">
        <w:rPr>
          <w:rFonts w:cs="Arial"/>
          <w:szCs w:val="26"/>
        </w:rPr>
        <w:t xml:space="preserve"> for a TNC to report the ultimate trip status for any WAV trip for purposes of </w:t>
      </w:r>
      <w:r>
        <w:rPr>
          <w:rFonts w:cs="Arial"/>
          <w:szCs w:val="26"/>
        </w:rPr>
        <w:t>offset and exemption eligibility.  This requirement is adopted here</w:t>
      </w:r>
      <w:r w:rsidRPr="00412531">
        <w:rPr>
          <w:rFonts w:cs="Arial"/>
          <w:szCs w:val="26"/>
        </w:rPr>
        <w:t>.</w:t>
      </w:r>
      <w:r>
        <w:rPr>
          <w:rFonts w:cs="Arial"/>
          <w:szCs w:val="26"/>
        </w:rPr>
        <w:t xml:space="preserve"> </w:t>
      </w:r>
    </w:p>
    <w:p w:rsidR="00045C7C" w:rsidP="00045C7C" w:rsidRDefault="00045C7C" w14:paraId="5613A1E5" w14:textId="3E8A5C1C">
      <w:pPr>
        <w:autoSpaceDE w:val="0"/>
        <w:autoSpaceDN w:val="0"/>
        <w:adjustRightInd w:val="0"/>
        <w:rPr>
          <w:rFonts w:cs="Arial"/>
          <w:szCs w:val="26"/>
        </w:rPr>
      </w:pPr>
      <w:r>
        <w:rPr>
          <w:rFonts w:cs="Arial"/>
          <w:szCs w:val="26"/>
        </w:rPr>
        <w:t>Lastly, we decline to address changes to the TNC Annual Reports in this proceeding and agree that such reporting is outside the scope of this proceeding.  Such issues should be addressed in R</w:t>
      </w:r>
      <w:r w:rsidR="00AF3628">
        <w:rPr>
          <w:rFonts w:cs="Arial"/>
          <w:szCs w:val="26"/>
        </w:rPr>
        <w:t>.</w:t>
      </w:r>
      <w:r>
        <w:rPr>
          <w:rFonts w:cs="Arial"/>
          <w:szCs w:val="26"/>
        </w:rPr>
        <w:t>12</w:t>
      </w:r>
      <w:r w:rsidR="005D0B40">
        <w:rPr>
          <w:rFonts w:cs="Arial"/>
          <w:szCs w:val="26"/>
        </w:rPr>
        <w:noBreakHyphen/>
      </w:r>
      <w:r>
        <w:rPr>
          <w:rFonts w:cs="Arial"/>
          <w:szCs w:val="26"/>
        </w:rPr>
        <w:t>12</w:t>
      </w:r>
      <w:r w:rsidR="005D0B40">
        <w:rPr>
          <w:rFonts w:cs="Arial"/>
          <w:szCs w:val="26"/>
        </w:rPr>
        <w:noBreakHyphen/>
      </w:r>
      <w:r>
        <w:rPr>
          <w:rFonts w:cs="Arial"/>
          <w:szCs w:val="26"/>
        </w:rPr>
        <w:t>011.</w:t>
      </w:r>
    </w:p>
    <w:p w:rsidR="00045C7C" w:rsidP="005D0B40" w:rsidRDefault="00045C7C" w14:paraId="4A36B238" w14:textId="73169A23">
      <w:pPr>
        <w:autoSpaceDE w:val="0"/>
        <w:autoSpaceDN w:val="0"/>
        <w:adjustRightInd w:val="0"/>
        <w:rPr>
          <w:rFonts w:cs="Arial"/>
          <w:szCs w:val="26"/>
        </w:rPr>
      </w:pPr>
      <w:r>
        <w:rPr>
          <w:rFonts w:cs="Arial"/>
          <w:szCs w:val="26"/>
        </w:rPr>
        <w:t>Unless otherwise stated, the data reporting requirements adopted here shall be reported on a going</w:t>
      </w:r>
      <w:r w:rsidR="00FE64FC">
        <w:rPr>
          <w:rFonts w:cs="Arial"/>
          <w:szCs w:val="26"/>
        </w:rPr>
        <w:t>-</w:t>
      </w:r>
      <w:r>
        <w:rPr>
          <w:rFonts w:cs="Arial"/>
          <w:szCs w:val="26"/>
        </w:rPr>
        <w:t xml:space="preserve">forward basis, </w:t>
      </w:r>
      <w:r w:rsidRPr="00620984">
        <w:rPr>
          <w:rFonts w:cs="Arial"/>
          <w:szCs w:val="26"/>
        </w:rPr>
        <w:t xml:space="preserve">effective </w:t>
      </w:r>
      <w:r>
        <w:rPr>
          <w:rFonts w:cs="Arial"/>
          <w:szCs w:val="26"/>
        </w:rPr>
        <w:t>beginning the 2</w:t>
      </w:r>
      <w:r w:rsidRPr="005D0B40">
        <w:rPr>
          <w:rFonts w:cs="Arial"/>
          <w:szCs w:val="26"/>
          <w:vertAlign w:val="superscript"/>
        </w:rPr>
        <w:t>nd</w:t>
      </w:r>
      <w:r w:rsidR="005D0B40">
        <w:rPr>
          <w:rFonts w:cs="Arial"/>
          <w:szCs w:val="26"/>
        </w:rPr>
        <w:t> </w:t>
      </w:r>
      <w:r>
        <w:rPr>
          <w:rFonts w:cs="Arial"/>
          <w:szCs w:val="26"/>
        </w:rPr>
        <w:t>q</w:t>
      </w:r>
      <w:r w:rsidRPr="00620984">
        <w:rPr>
          <w:rFonts w:cs="Arial"/>
          <w:szCs w:val="26"/>
        </w:rPr>
        <w:t>uarter of 2023.</w:t>
      </w:r>
    </w:p>
    <w:p w:rsidR="00045C7C" w:rsidP="00045C7C" w:rsidRDefault="00045C7C" w14:paraId="641DB7EF" w14:textId="68B8EC5E">
      <w:pPr>
        <w:pStyle w:val="Heading2"/>
      </w:pPr>
      <w:bookmarkStart w:name="_Toc125016611" w:id="43"/>
      <w:r>
        <w:t>Community Outreach Requirements</w:t>
      </w:r>
      <w:bookmarkEnd w:id="43"/>
    </w:p>
    <w:p w:rsidR="00045C7C" w:rsidP="00045C7C" w:rsidRDefault="00045C7C" w14:paraId="72C9C2AA" w14:textId="359B60A2">
      <w:pPr>
        <w:pStyle w:val="Standard"/>
      </w:pPr>
      <w:r>
        <w:t>In D.21</w:t>
      </w:r>
      <w:r w:rsidR="005D0B40">
        <w:noBreakHyphen/>
      </w:r>
      <w:r>
        <w:t>11</w:t>
      </w:r>
      <w:r w:rsidR="005D0B40">
        <w:noBreakHyphen/>
      </w:r>
      <w:r>
        <w:t>004, the Commission stated that “</w:t>
      </w:r>
      <w:r w:rsidRPr="007942AA">
        <w:t>SB</w:t>
      </w:r>
      <w:r w:rsidR="005D0B40">
        <w:t> </w:t>
      </w:r>
      <w:r w:rsidRPr="007942AA">
        <w:t>1376 highlights the need for effective engagement with the disability community in multiple provisions</w:t>
      </w:r>
      <w:r>
        <w:t>.”</w:t>
      </w:r>
      <w:r>
        <w:rPr>
          <w:rStyle w:val="FootnoteReference"/>
        </w:rPr>
        <w:footnoteReference w:id="66"/>
      </w:r>
      <w:r>
        <w:t xml:space="preserve">  The Commission stated that it “</w:t>
      </w:r>
      <w:r w:rsidRPr="007942AA">
        <w:t xml:space="preserve">concurs that effective engagement with the disability community by TNCs is a critical component to furthering the acceptance and expansion of on-demand WAV service. </w:t>
      </w:r>
      <w:r>
        <w:t xml:space="preserve"> </w:t>
      </w:r>
      <w:r w:rsidRPr="007942AA">
        <w:t>As such, we deem that this proceeding should address the issue of the quality and effectiveness of TNC’s engagement with the disability community.</w:t>
      </w:r>
      <w:r>
        <w:t>”</w:t>
      </w:r>
      <w:r>
        <w:rPr>
          <w:rStyle w:val="FootnoteReference"/>
        </w:rPr>
        <w:footnoteReference w:id="67"/>
      </w:r>
      <w:r w:rsidRPr="007942AA">
        <w:t xml:space="preserve"> </w:t>
      </w:r>
    </w:p>
    <w:p w:rsidR="00045C7C" w:rsidP="00045C7C" w:rsidRDefault="00045C7C" w14:paraId="413DED24" w14:textId="77777777">
      <w:pPr>
        <w:pStyle w:val="Standard"/>
      </w:pPr>
      <w:r>
        <w:t>Disability Advocates puts forth a proposal on improving the quality and effectiveness of engagement, summarized below:</w:t>
      </w:r>
      <w:r>
        <w:rPr>
          <w:rStyle w:val="FootnoteReference"/>
        </w:rPr>
        <w:footnoteReference w:id="68"/>
      </w:r>
    </w:p>
    <w:p w:rsidR="00045C7C" w:rsidP="005D0B40" w:rsidRDefault="005D0B40" w14:paraId="7FBF61CE" w14:textId="2B86FAF0">
      <w:pPr>
        <w:pStyle w:val="Standard"/>
        <w:spacing w:after="120" w:line="240" w:lineRule="auto"/>
        <w:ind w:left="1080" w:right="1440" w:hanging="360"/>
        <w:rPr>
          <w:rFonts w:cs="Times New Roman"/>
          <w:color w:val="000000"/>
          <w:szCs w:val="26"/>
        </w:rPr>
      </w:pPr>
      <w:r>
        <w:rPr>
          <w:rFonts w:cs="Times New Roman"/>
          <w:color w:val="000000"/>
          <w:szCs w:val="26"/>
        </w:rPr>
        <w:t>1.</w:t>
      </w:r>
      <w:r>
        <w:rPr>
          <w:rFonts w:cs="Times New Roman"/>
          <w:color w:val="000000"/>
          <w:szCs w:val="26"/>
        </w:rPr>
        <w:tab/>
      </w:r>
      <w:r w:rsidRPr="00696297" w:rsidR="00045C7C">
        <w:rPr>
          <w:rFonts w:cs="Times New Roman"/>
          <w:color w:val="000000"/>
          <w:szCs w:val="26"/>
        </w:rPr>
        <w:t xml:space="preserve">Development of an annual outreach plan </w:t>
      </w:r>
      <w:r w:rsidR="00045C7C">
        <w:rPr>
          <w:rFonts w:cs="Times New Roman"/>
          <w:color w:val="000000"/>
          <w:szCs w:val="26"/>
        </w:rPr>
        <w:t>with</w:t>
      </w:r>
      <w:r w:rsidRPr="00696297" w:rsidR="00045C7C">
        <w:rPr>
          <w:rFonts w:cs="Times New Roman"/>
          <w:color w:val="000000"/>
          <w:szCs w:val="26"/>
        </w:rPr>
        <w:t xml:space="preserve"> measurable goals, objectives</w:t>
      </w:r>
      <w:r w:rsidR="00045C7C">
        <w:rPr>
          <w:rFonts w:cs="Times New Roman"/>
          <w:color w:val="000000"/>
          <w:szCs w:val="26"/>
        </w:rPr>
        <w:t>,</w:t>
      </w:r>
      <w:r w:rsidRPr="00696297" w:rsidR="00045C7C">
        <w:rPr>
          <w:rFonts w:cs="Times New Roman"/>
          <w:color w:val="000000"/>
          <w:szCs w:val="26"/>
        </w:rPr>
        <w:t xml:space="preserve"> and benchmarks on outreach to disability communities, including to underserved multi</w:t>
      </w:r>
      <w:r>
        <w:rPr>
          <w:rFonts w:cs="Times New Roman"/>
          <w:color w:val="000000"/>
          <w:szCs w:val="26"/>
        </w:rPr>
        <w:noBreakHyphen/>
      </w:r>
      <w:r w:rsidRPr="00696297" w:rsidR="00045C7C">
        <w:rPr>
          <w:rFonts w:cs="Times New Roman"/>
          <w:color w:val="000000"/>
          <w:szCs w:val="26"/>
        </w:rPr>
        <w:t xml:space="preserve">ethnic </w:t>
      </w:r>
      <w:r w:rsidRPr="00696297" w:rsidR="00045C7C">
        <w:rPr>
          <w:rFonts w:cs="Times New Roman"/>
          <w:color w:val="000000"/>
          <w:szCs w:val="26"/>
        </w:rPr>
        <w:lastRenderedPageBreak/>
        <w:t xml:space="preserve">communities </w:t>
      </w:r>
      <w:r w:rsidR="00045C7C">
        <w:rPr>
          <w:rFonts w:cs="Times New Roman"/>
          <w:color w:val="000000"/>
          <w:szCs w:val="26"/>
        </w:rPr>
        <w:t xml:space="preserve">and </w:t>
      </w:r>
      <w:r w:rsidRPr="00696297" w:rsidR="00045C7C">
        <w:rPr>
          <w:rFonts w:cs="Times New Roman"/>
          <w:color w:val="000000"/>
          <w:szCs w:val="26"/>
        </w:rPr>
        <w:t xml:space="preserve">where English is not the predominant language; </w:t>
      </w:r>
    </w:p>
    <w:p w:rsidRPr="007931A6" w:rsidR="00045C7C" w:rsidP="005D0B40" w:rsidRDefault="005D0B40" w14:paraId="729CAD1A" w14:textId="4C64495E">
      <w:pPr>
        <w:pStyle w:val="Standard"/>
        <w:spacing w:after="120" w:line="240" w:lineRule="auto"/>
        <w:ind w:left="1080" w:right="1440" w:hanging="360"/>
        <w:rPr>
          <w:rFonts w:cs="Times New Roman"/>
          <w:color w:val="000000"/>
          <w:szCs w:val="26"/>
        </w:rPr>
      </w:pPr>
      <w:r>
        <w:rPr>
          <w:rFonts w:cs="Times New Roman"/>
          <w:color w:val="000000"/>
          <w:szCs w:val="26"/>
        </w:rPr>
        <w:t>2.</w:t>
      </w:r>
      <w:r>
        <w:rPr>
          <w:rFonts w:cs="Times New Roman"/>
          <w:color w:val="000000"/>
          <w:szCs w:val="26"/>
        </w:rPr>
        <w:tab/>
      </w:r>
      <w:r w:rsidR="00045C7C">
        <w:rPr>
          <w:rFonts w:cs="Times New Roman"/>
          <w:color w:val="000000"/>
          <w:szCs w:val="26"/>
        </w:rPr>
        <w:t xml:space="preserve">Quarterly reporting on progress made on implementing outreach </w:t>
      </w:r>
      <w:proofErr w:type="gramStart"/>
      <w:r w:rsidR="00045C7C">
        <w:rPr>
          <w:rFonts w:cs="Times New Roman"/>
          <w:color w:val="000000"/>
          <w:szCs w:val="26"/>
        </w:rPr>
        <w:t>plan;</w:t>
      </w:r>
      <w:proofErr w:type="gramEnd"/>
    </w:p>
    <w:p w:rsidR="00045C7C" w:rsidP="005D0B40" w:rsidRDefault="005D0B40" w14:paraId="2A4962FD" w14:textId="3C8C64D3">
      <w:pPr>
        <w:pStyle w:val="Standard"/>
        <w:spacing w:after="120" w:line="240" w:lineRule="auto"/>
        <w:ind w:left="1080" w:right="1440" w:hanging="360"/>
        <w:rPr>
          <w:rFonts w:cs="Times New Roman"/>
          <w:color w:val="000000"/>
          <w:szCs w:val="26"/>
        </w:rPr>
      </w:pPr>
      <w:r>
        <w:rPr>
          <w:rFonts w:cs="Times New Roman"/>
          <w:color w:val="000000"/>
          <w:szCs w:val="26"/>
        </w:rPr>
        <w:t>3.</w:t>
      </w:r>
      <w:r>
        <w:rPr>
          <w:rFonts w:cs="Times New Roman"/>
          <w:color w:val="000000"/>
          <w:szCs w:val="26"/>
        </w:rPr>
        <w:tab/>
      </w:r>
      <w:r w:rsidRPr="00696297" w:rsidR="00045C7C">
        <w:rPr>
          <w:rFonts w:cs="Times New Roman"/>
          <w:color w:val="000000"/>
          <w:szCs w:val="26"/>
        </w:rPr>
        <w:t xml:space="preserve">Quarterly reporting </w:t>
      </w:r>
      <w:r w:rsidR="00045C7C">
        <w:rPr>
          <w:rFonts w:cs="Times New Roman"/>
          <w:color w:val="000000"/>
          <w:szCs w:val="26"/>
        </w:rPr>
        <w:t>and tracking specific data, including:</w:t>
      </w:r>
    </w:p>
    <w:p w:rsidRPr="007931A6" w:rsidR="00045C7C" w:rsidP="006B5E4B" w:rsidRDefault="00045C7C" w14:paraId="0392EB4A" w14:textId="77777777">
      <w:pPr>
        <w:pStyle w:val="Standard"/>
        <w:numPr>
          <w:ilvl w:val="1"/>
          <w:numId w:val="24"/>
        </w:numPr>
        <w:spacing w:after="120" w:line="240" w:lineRule="auto"/>
        <w:ind w:left="1440" w:right="1440"/>
      </w:pPr>
      <w:r w:rsidRPr="009C56D5">
        <w:rPr>
          <w:rFonts w:cs="Times New Roman"/>
          <w:color w:val="000000"/>
          <w:szCs w:val="26"/>
        </w:rPr>
        <w:t>The number of entities contacted for purposes of outreach</w:t>
      </w:r>
      <w:r>
        <w:rPr>
          <w:rFonts w:cs="Times New Roman"/>
          <w:color w:val="000000"/>
          <w:szCs w:val="26"/>
        </w:rPr>
        <w:t xml:space="preserve"> and </w:t>
      </w:r>
      <w:r w:rsidRPr="00435332">
        <w:rPr>
          <w:rFonts w:cs="Times New Roman"/>
          <w:color w:val="000000"/>
          <w:szCs w:val="26"/>
        </w:rPr>
        <w:t xml:space="preserve">extent to which contacted </w:t>
      </w:r>
      <w:r>
        <w:rPr>
          <w:rFonts w:cs="Times New Roman"/>
          <w:color w:val="000000"/>
          <w:szCs w:val="26"/>
        </w:rPr>
        <w:t xml:space="preserve">entities </w:t>
      </w:r>
      <w:r w:rsidRPr="00435332">
        <w:rPr>
          <w:rFonts w:cs="Times New Roman"/>
          <w:color w:val="000000"/>
          <w:szCs w:val="26"/>
        </w:rPr>
        <w:t xml:space="preserve">represent disability and cultural diversity of </w:t>
      </w:r>
      <w:proofErr w:type="gramStart"/>
      <w:r w:rsidRPr="00435332">
        <w:rPr>
          <w:rFonts w:cs="Times New Roman"/>
          <w:color w:val="000000"/>
          <w:szCs w:val="26"/>
        </w:rPr>
        <w:t>California;</w:t>
      </w:r>
      <w:proofErr w:type="gramEnd"/>
      <w:r w:rsidRPr="00435332">
        <w:rPr>
          <w:rFonts w:cs="Times New Roman"/>
          <w:color w:val="000000"/>
          <w:szCs w:val="26"/>
        </w:rPr>
        <w:t xml:space="preserve"> </w:t>
      </w:r>
    </w:p>
    <w:p w:rsidRPr="009C56D5" w:rsidR="00045C7C" w:rsidP="006B5E4B" w:rsidRDefault="00045C7C" w14:paraId="15A5BF52" w14:textId="32959605">
      <w:pPr>
        <w:pStyle w:val="Standard"/>
        <w:numPr>
          <w:ilvl w:val="1"/>
          <w:numId w:val="24"/>
        </w:numPr>
        <w:spacing w:after="120" w:line="240" w:lineRule="auto"/>
        <w:ind w:left="1440" w:right="1440"/>
      </w:pPr>
      <w:r w:rsidRPr="009C56D5">
        <w:rPr>
          <w:rFonts w:cs="Times New Roman"/>
          <w:color w:val="000000"/>
          <w:szCs w:val="26"/>
        </w:rPr>
        <w:t>The method of contact (</w:t>
      </w:r>
      <w:r w:rsidRPr="002563FC">
        <w:rPr>
          <w:rFonts w:cs="Times New Roman"/>
          <w:i/>
          <w:iCs/>
          <w:color w:val="000000"/>
          <w:szCs w:val="26"/>
        </w:rPr>
        <w:t>e.g</w:t>
      </w:r>
      <w:r>
        <w:rPr>
          <w:rFonts w:cs="Times New Roman"/>
          <w:color w:val="000000"/>
          <w:szCs w:val="26"/>
        </w:rPr>
        <w:t>.</w:t>
      </w:r>
      <w:r w:rsidRPr="009C56D5">
        <w:rPr>
          <w:rFonts w:cs="Times New Roman"/>
          <w:color w:val="000000"/>
          <w:szCs w:val="26"/>
        </w:rPr>
        <w:t>,</w:t>
      </w:r>
      <w:r w:rsidR="006B5E4B">
        <w:rPr>
          <w:rFonts w:cs="Times New Roman"/>
          <w:color w:val="000000"/>
          <w:szCs w:val="26"/>
        </w:rPr>
        <w:t> </w:t>
      </w:r>
      <w:r w:rsidRPr="009C56D5">
        <w:rPr>
          <w:rFonts w:cs="Times New Roman"/>
          <w:color w:val="000000"/>
          <w:szCs w:val="26"/>
        </w:rPr>
        <w:t>e</w:t>
      </w:r>
      <w:r w:rsidR="006B5E4B">
        <w:rPr>
          <w:rFonts w:cs="Times New Roman"/>
          <w:color w:val="000000"/>
          <w:szCs w:val="26"/>
        </w:rPr>
        <w:noBreakHyphen/>
      </w:r>
      <w:r w:rsidRPr="009C56D5">
        <w:rPr>
          <w:rFonts w:cs="Times New Roman"/>
          <w:color w:val="000000"/>
          <w:szCs w:val="26"/>
        </w:rPr>
        <w:t>mail, phone, newsletter)</w:t>
      </w:r>
      <w:r>
        <w:rPr>
          <w:rFonts w:cs="Times New Roman"/>
          <w:color w:val="000000"/>
          <w:szCs w:val="26"/>
        </w:rPr>
        <w:t xml:space="preserve"> and whether information was distributed or received during </w:t>
      </w:r>
      <w:proofErr w:type="gramStart"/>
      <w:r>
        <w:rPr>
          <w:rFonts w:cs="Times New Roman"/>
          <w:color w:val="000000"/>
          <w:szCs w:val="26"/>
        </w:rPr>
        <w:t>contact</w:t>
      </w:r>
      <w:r w:rsidRPr="009C56D5">
        <w:rPr>
          <w:rFonts w:cs="Times New Roman"/>
          <w:color w:val="000000"/>
          <w:szCs w:val="26"/>
        </w:rPr>
        <w:t>;</w:t>
      </w:r>
      <w:proofErr w:type="gramEnd"/>
      <w:r w:rsidRPr="009C56D5">
        <w:rPr>
          <w:rFonts w:cs="Times New Roman"/>
          <w:color w:val="000000"/>
          <w:szCs w:val="26"/>
        </w:rPr>
        <w:t xml:space="preserve"> </w:t>
      </w:r>
    </w:p>
    <w:p w:rsidR="00045C7C" w:rsidP="006B5E4B" w:rsidRDefault="00045C7C" w14:paraId="08D8CB9E" w14:textId="357FAA82">
      <w:pPr>
        <w:pStyle w:val="Standard"/>
        <w:numPr>
          <w:ilvl w:val="1"/>
          <w:numId w:val="24"/>
        </w:numPr>
        <w:spacing w:after="120" w:line="240" w:lineRule="auto"/>
        <w:ind w:left="1440" w:right="1440"/>
      </w:pPr>
      <w:r w:rsidRPr="009C56D5">
        <w:rPr>
          <w:rFonts w:cs="Times New Roman"/>
          <w:color w:val="000000"/>
          <w:szCs w:val="26"/>
        </w:rPr>
        <w:t>The nature of the contact (</w:t>
      </w:r>
      <w:r w:rsidRPr="002563FC">
        <w:rPr>
          <w:rFonts w:cs="Times New Roman"/>
          <w:i/>
          <w:iCs/>
          <w:color w:val="000000"/>
          <w:szCs w:val="26"/>
        </w:rPr>
        <w:t>e.g.</w:t>
      </w:r>
      <w:r>
        <w:rPr>
          <w:rFonts w:cs="Times New Roman"/>
          <w:color w:val="000000"/>
          <w:szCs w:val="26"/>
        </w:rPr>
        <w:t>,</w:t>
      </w:r>
      <w:r w:rsidR="006B5E4B">
        <w:rPr>
          <w:rFonts w:cs="Times New Roman"/>
          <w:color w:val="000000"/>
          <w:szCs w:val="26"/>
        </w:rPr>
        <w:t> </w:t>
      </w:r>
      <w:proofErr w:type="gramStart"/>
      <w:r w:rsidRPr="009C56D5">
        <w:rPr>
          <w:rFonts w:cs="Times New Roman"/>
          <w:color w:val="000000"/>
          <w:szCs w:val="26"/>
        </w:rPr>
        <w:t>unilateral</w:t>
      </w:r>
      <w:proofErr w:type="gramEnd"/>
      <w:r w:rsidRPr="009C56D5">
        <w:rPr>
          <w:rFonts w:cs="Times New Roman"/>
          <w:color w:val="000000"/>
          <w:szCs w:val="26"/>
        </w:rPr>
        <w:t xml:space="preserve"> or interactive), </w:t>
      </w:r>
      <w:r>
        <w:rPr>
          <w:rFonts w:cs="Times New Roman"/>
          <w:color w:val="000000"/>
          <w:szCs w:val="26"/>
        </w:rPr>
        <w:t>outcome of the contact (</w:t>
      </w:r>
      <w:r w:rsidRPr="002563FC">
        <w:rPr>
          <w:rFonts w:cs="Times New Roman"/>
          <w:i/>
          <w:iCs/>
          <w:color w:val="000000"/>
          <w:szCs w:val="26"/>
        </w:rPr>
        <w:t>e.g.</w:t>
      </w:r>
      <w:r w:rsidRPr="00435332">
        <w:rPr>
          <w:rFonts w:cs="Times New Roman"/>
          <w:color w:val="000000"/>
          <w:szCs w:val="26"/>
        </w:rPr>
        <w:t>,</w:t>
      </w:r>
      <w:r w:rsidR="006B5E4B">
        <w:rPr>
          <w:rFonts w:cs="Times New Roman"/>
          <w:color w:val="000000"/>
          <w:szCs w:val="26"/>
        </w:rPr>
        <w:t> </w:t>
      </w:r>
      <w:r w:rsidRPr="00435332">
        <w:rPr>
          <w:rFonts w:cs="Times New Roman"/>
          <w:color w:val="000000"/>
          <w:szCs w:val="26"/>
        </w:rPr>
        <w:t>training</w:t>
      </w:r>
      <w:r>
        <w:rPr>
          <w:rFonts w:cs="Times New Roman"/>
          <w:color w:val="000000"/>
          <w:szCs w:val="26"/>
        </w:rPr>
        <w:t xml:space="preserve">, </w:t>
      </w:r>
      <w:r w:rsidRPr="00435332">
        <w:rPr>
          <w:rFonts w:cs="Times New Roman"/>
          <w:color w:val="000000"/>
          <w:szCs w:val="26"/>
        </w:rPr>
        <w:t>outreach</w:t>
      </w:r>
      <w:r>
        <w:rPr>
          <w:rFonts w:cs="Times New Roman"/>
          <w:color w:val="000000"/>
          <w:szCs w:val="26"/>
        </w:rPr>
        <w:t>,</w:t>
      </w:r>
      <w:r w:rsidRPr="00435332">
        <w:rPr>
          <w:rFonts w:cs="Times New Roman"/>
          <w:color w:val="000000"/>
          <w:szCs w:val="26"/>
        </w:rPr>
        <w:t xml:space="preserve"> distribution of information)</w:t>
      </w:r>
      <w:r>
        <w:rPr>
          <w:rFonts w:cs="Times New Roman"/>
          <w:color w:val="000000"/>
          <w:szCs w:val="26"/>
        </w:rPr>
        <w:t>, and whether follow up was conducted</w:t>
      </w:r>
      <w:r w:rsidRPr="00435332">
        <w:rPr>
          <w:rFonts w:cs="Times New Roman"/>
          <w:color w:val="000000"/>
          <w:szCs w:val="26"/>
        </w:rPr>
        <w:t>;</w:t>
      </w:r>
      <w:r w:rsidRPr="009C56D5">
        <w:rPr>
          <w:rFonts w:cs="Times New Roman"/>
          <w:color w:val="000000"/>
          <w:szCs w:val="26"/>
        </w:rPr>
        <w:t xml:space="preserve"> </w:t>
      </w:r>
      <w:r>
        <w:rPr>
          <w:rFonts w:cs="Times New Roman"/>
          <w:color w:val="000000"/>
          <w:szCs w:val="26"/>
        </w:rPr>
        <w:t>and</w:t>
      </w:r>
    </w:p>
    <w:p w:rsidRPr="009C56D5" w:rsidR="00045C7C" w:rsidP="005D0B40" w:rsidRDefault="00045C7C" w14:paraId="5334609D" w14:textId="77777777">
      <w:pPr>
        <w:pStyle w:val="Standard"/>
        <w:numPr>
          <w:ilvl w:val="1"/>
          <w:numId w:val="24"/>
        </w:numPr>
        <w:spacing w:after="120" w:line="240" w:lineRule="auto"/>
        <w:ind w:left="1440" w:right="1440"/>
      </w:pPr>
      <w:r w:rsidRPr="009C56D5">
        <w:rPr>
          <w:rFonts w:cs="Times New Roman"/>
          <w:color w:val="000000"/>
          <w:szCs w:val="26"/>
        </w:rPr>
        <w:t xml:space="preserve">The number of partnerships developed and how partnerships resulted in improved outreach efforts, including analysis of how those partnerships were used to publicize and promote available WAV services. </w:t>
      </w:r>
    </w:p>
    <w:p w:rsidR="00045C7C" w:rsidP="006B5E4B" w:rsidRDefault="006B5E4B" w14:paraId="7F621120" w14:textId="0AC83384">
      <w:pPr>
        <w:pStyle w:val="ListParagraph"/>
        <w:autoSpaceDE w:val="0"/>
        <w:autoSpaceDN w:val="0"/>
        <w:adjustRightInd w:val="0"/>
        <w:rPr>
          <w:rFonts w:cs="Times New Roman"/>
          <w:color w:val="000000"/>
          <w:szCs w:val="26"/>
        </w:rPr>
      </w:pPr>
      <w:r>
        <w:rPr>
          <w:rFonts w:cs="Times New Roman"/>
          <w:color w:val="000000"/>
          <w:szCs w:val="26"/>
        </w:rPr>
        <w:t>4.</w:t>
      </w:r>
      <w:r>
        <w:rPr>
          <w:rFonts w:cs="Times New Roman"/>
          <w:color w:val="000000"/>
          <w:szCs w:val="26"/>
        </w:rPr>
        <w:tab/>
      </w:r>
      <w:r w:rsidR="00045C7C">
        <w:rPr>
          <w:rFonts w:cs="Times New Roman"/>
          <w:color w:val="000000"/>
          <w:szCs w:val="26"/>
        </w:rPr>
        <w:t>Q</w:t>
      </w:r>
      <w:r w:rsidRPr="009C56D5" w:rsidR="00045C7C">
        <w:rPr>
          <w:rFonts w:cs="Times New Roman"/>
          <w:color w:val="000000"/>
          <w:szCs w:val="26"/>
        </w:rPr>
        <w:t>uarterly reporting</w:t>
      </w:r>
      <w:r w:rsidR="00045C7C">
        <w:rPr>
          <w:rFonts w:cs="Times New Roman"/>
          <w:color w:val="000000"/>
          <w:szCs w:val="26"/>
        </w:rPr>
        <w:t xml:space="preserve"> and tracking</w:t>
      </w:r>
      <w:r w:rsidRPr="009C56D5" w:rsidR="00045C7C">
        <w:rPr>
          <w:rFonts w:cs="Times New Roman"/>
          <w:color w:val="000000"/>
          <w:szCs w:val="26"/>
        </w:rPr>
        <w:t xml:space="preserve"> of TNC efforts to publicize and promote WAV service in each geographic area (</w:t>
      </w:r>
      <w:r w:rsidRPr="00435332" w:rsidR="00045C7C">
        <w:rPr>
          <w:rFonts w:cs="Times New Roman"/>
          <w:i/>
          <w:iCs/>
          <w:color w:val="000000"/>
          <w:szCs w:val="26"/>
        </w:rPr>
        <w:t>e.g.</w:t>
      </w:r>
      <w:r w:rsidRPr="009C56D5" w:rsidR="00045C7C">
        <w:rPr>
          <w:rFonts w:cs="Times New Roman"/>
          <w:color w:val="000000"/>
          <w:szCs w:val="26"/>
        </w:rPr>
        <w:t>,</w:t>
      </w:r>
      <w:r>
        <w:rPr>
          <w:rFonts w:cs="Times New Roman"/>
          <w:color w:val="000000"/>
          <w:szCs w:val="26"/>
        </w:rPr>
        <w:t> </w:t>
      </w:r>
      <w:r w:rsidRPr="009C56D5" w:rsidR="00045C7C">
        <w:rPr>
          <w:rFonts w:cs="Times New Roman"/>
          <w:color w:val="000000"/>
          <w:szCs w:val="26"/>
        </w:rPr>
        <w:t>web or app content, social media, in</w:t>
      </w:r>
      <w:r>
        <w:rPr>
          <w:rFonts w:cs="Times New Roman"/>
          <w:color w:val="000000"/>
          <w:szCs w:val="26"/>
        </w:rPr>
        <w:noBreakHyphen/>
      </w:r>
      <w:r w:rsidRPr="009C56D5" w:rsidR="00045C7C">
        <w:rPr>
          <w:rFonts w:cs="Times New Roman"/>
          <w:color w:val="000000"/>
          <w:szCs w:val="26"/>
        </w:rPr>
        <w:t xml:space="preserve">person event), and extent to which these efforts were accessible to lay persons, people who are limited English proficient, and people with disabilities. </w:t>
      </w:r>
    </w:p>
    <w:p w:rsidRPr="006B5E4B" w:rsidR="00045C7C" w:rsidP="006B5E4B" w:rsidRDefault="006B5E4B" w14:paraId="2D6039A1" w14:textId="4A048248">
      <w:pPr>
        <w:autoSpaceDE w:val="0"/>
        <w:autoSpaceDN w:val="0"/>
        <w:adjustRightInd w:val="0"/>
        <w:spacing w:after="120" w:line="240" w:lineRule="auto"/>
        <w:ind w:left="1080" w:right="1440" w:hanging="360"/>
        <w:rPr>
          <w:rFonts w:cs="Times New Roman"/>
          <w:color w:val="000000"/>
          <w:szCs w:val="26"/>
        </w:rPr>
      </w:pPr>
      <w:r>
        <w:rPr>
          <w:rFonts w:cs="Times New Roman"/>
          <w:szCs w:val="26"/>
        </w:rPr>
        <w:t>5.</w:t>
      </w:r>
      <w:r>
        <w:rPr>
          <w:rFonts w:cs="Times New Roman"/>
          <w:szCs w:val="26"/>
        </w:rPr>
        <w:tab/>
      </w:r>
      <w:r w:rsidRPr="006B5E4B" w:rsidR="00045C7C">
        <w:rPr>
          <w:rFonts w:cs="Times New Roman"/>
          <w:szCs w:val="26"/>
        </w:rPr>
        <w:t xml:space="preserve">Quarterly reporting and tracking of educational materials developed and distributed by TNCs and extent to which these materials were accessible to lay </w:t>
      </w:r>
      <w:r w:rsidRPr="006B5E4B" w:rsidR="00045C7C">
        <w:rPr>
          <w:rFonts w:cs="Times New Roman"/>
          <w:color w:val="000000"/>
          <w:szCs w:val="26"/>
        </w:rPr>
        <w:t>persons, people who are limited English proficient, and people with disabilities.</w:t>
      </w:r>
    </w:p>
    <w:p w:rsidRPr="006B5E4B" w:rsidR="00045C7C" w:rsidP="006B5E4B" w:rsidRDefault="006B5E4B" w14:paraId="21A5B079" w14:textId="0028EB22">
      <w:pPr>
        <w:autoSpaceDE w:val="0"/>
        <w:autoSpaceDN w:val="0"/>
        <w:adjustRightInd w:val="0"/>
        <w:spacing w:after="120" w:line="240" w:lineRule="auto"/>
        <w:ind w:left="1080" w:right="1440" w:hanging="360"/>
        <w:rPr>
          <w:rFonts w:cs="Times New Roman"/>
          <w:color w:val="000000"/>
          <w:szCs w:val="26"/>
        </w:rPr>
      </w:pPr>
      <w:r>
        <w:rPr>
          <w:rFonts w:cs="Times New Roman"/>
          <w:color w:val="000000"/>
          <w:szCs w:val="26"/>
        </w:rPr>
        <w:t>6.</w:t>
      </w:r>
      <w:r>
        <w:rPr>
          <w:rFonts w:cs="Times New Roman"/>
          <w:color w:val="000000"/>
          <w:szCs w:val="26"/>
        </w:rPr>
        <w:tab/>
      </w:r>
      <w:r w:rsidRPr="006B5E4B" w:rsidR="00045C7C">
        <w:rPr>
          <w:rFonts w:cs="Times New Roman"/>
          <w:color w:val="000000"/>
          <w:szCs w:val="26"/>
        </w:rPr>
        <w:t>Quarterly reporting on outcome of TNC efforts to outreach and engage wheelchair users, including assessment of actual reach of each effort to reach targeted populations (</w:t>
      </w:r>
      <w:r w:rsidRPr="006B5E4B" w:rsidR="00045C7C">
        <w:rPr>
          <w:rFonts w:cs="Times New Roman"/>
          <w:i/>
          <w:iCs/>
          <w:color w:val="000000"/>
          <w:szCs w:val="26"/>
        </w:rPr>
        <w:t>e.g.</w:t>
      </w:r>
      <w:r w:rsidRPr="006B5E4B" w:rsidR="00045C7C">
        <w:rPr>
          <w:rFonts w:cs="Times New Roman"/>
          <w:color w:val="000000"/>
          <w:szCs w:val="26"/>
        </w:rPr>
        <w:t>,</w:t>
      </w:r>
      <w:r>
        <w:rPr>
          <w:rFonts w:cs="Times New Roman"/>
          <w:color w:val="000000"/>
          <w:szCs w:val="26"/>
        </w:rPr>
        <w:t> </w:t>
      </w:r>
      <w:r w:rsidRPr="006B5E4B" w:rsidR="00045C7C">
        <w:rPr>
          <w:rFonts w:cs="Times New Roman"/>
          <w:color w:val="000000"/>
          <w:szCs w:val="26"/>
        </w:rPr>
        <w:t>number of webpage views, number of trainings or in</w:t>
      </w:r>
      <w:r>
        <w:rPr>
          <w:rFonts w:cs="Times New Roman"/>
          <w:color w:val="000000"/>
          <w:szCs w:val="26"/>
        </w:rPr>
        <w:noBreakHyphen/>
      </w:r>
      <w:r w:rsidRPr="006B5E4B" w:rsidR="00045C7C">
        <w:rPr>
          <w:rFonts w:cs="Times New Roman"/>
          <w:color w:val="000000"/>
          <w:szCs w:val="26"/>
        </w:rPr>
        <w:t>person interactions, usage of promotional</w:t>
      </w:r>
      <w:r>
        <w:rPr>
          <w:rFonts w:cs="Times New Roman"/>
          <w:color w:val="000000"/>
          <w:szCs w:val="26"/>
        </w:rPr>
        <w:t> </w:t>
      </w:r>
      <w:r w:rsidRPr="006B5E4B" w:rsidR="00045C7C">
        <w:rPr>
          <w:rFonts w:cs="Times New Roman"/>
          <w:color w:val="000000"/>
          <w:szCs w:val="26"/>
        </w:rPr>
        <w:t xml:space="preserve">codes). </w:t>
      </w:r>
    </w:p>
    <w:p w:rsidRPr="007942AA" w:rsidR="00045C7C" w:rsidP="00045C7C" w:rsidRDefault="00045C7C" w14:paraId="186034B4" w14:textId="77777777">
      <w:pPr>
        <w:autoSpaceDE w:val="0"/>
        <w:autoSpaceDN w:val="0"/>
        <w:adjustRightInd w:val="0"/>
        <w:rPr>
          <w:rFonts w:cs="Times New Roman"/>
          <w:color w:val="000000"/>
          <w:szCs w:val="26"/>
        </w:rPr>
      </w:pPr>
      <w:r w:rsidRPr="009C56D5">
        <w:rPr>
          <w:szCs w:val="26"/>
        </w:rPr>
        <w:lastRenderedPageBreak/>
        <w:t xml:space="preserve">Disability Advocates </w:t>
      </w:r>
      <w:r>
        <w:rPr>
          <w:szCs w:val="26"/>
        </w:rPr>
        <w:t>recommends</w:t>
      </w:r>
      <w:r w:rsidRPr="009C56D5">
        <w:rPr>
          <w:szCs w:val="26"/>
        </w:rPr>
        <w:t xml:space="preserve"> that the outreach plan and data be analyzed by the Commission</w:t>
      </w:r>
      <w:r>
        <w:rPr>
          <w:szCs w:val="26"/>
        </w:rPr>
        <w:t xml:space="preserve"> </w:t>
      </w:r>
      <w:r w:rsidRPr="009C56D5">
        <w:rPr>
          <w:szCs w:val="26"/>
        </w:rPr>
        <w:t>to determine whether outreach and engagement ha</w:t>
      </w:r>
      <w:r>
        <w:rPr>
          <w:szCs w:val="26"/>
        </w:rPr>
        <w:t>s</w:t>
      </w:r>
      <w:r w:rsidRPr="009C56D5">
        <w:rPr>
          <w:szCs w:val="26"/>
        </w:rPr>
        <w:t xml:space="preserve"> been effectiv</w:t>
      </w:r>
      <w:r>
        <w:rPr>
          <w:szCs w:val="26"/>
        </w:rPr>
        <w:t>e.  I</w:t>
      </w:r>
      <w:r w:rsidRPr="009C56D5">
        <w:rPr>
          <w:szCs w:val="26"/>
        </w:rPr>
        <w:t>f efforts have not been effective, offsets and/or exemptions should be denied.</w:t>
      </w:r>
    </w:p>
    <w:p w:rsidR="00045C7C" w:rsidP="00045C7C" w:rsidRDefault="00045C7C" w14:paraId="3DD2A240" w14:textId="77777777">
      <w:pPr>
        <w:pStyle w:val="Standard"/>
      </w:pPr>
      <w:r>
        <w:t>San Francisco proposes the following outreach recommendations:</w:t>
      </w:r>
      <w:r>
        <w:rPr>
          <w:rStyle w:val="FootnoteReference"/>
        </w:rPr>
        <w:footnoteReference w:id="69"/>
      </w:r>
    </w:p>
    <w:p w:rsidR="00045C7C" w:rsidP="006B5E4B" w:rsidRDefault="006B5E4B" w14:paraId="54A74851" w14:textId="34E994B8">
      <w:pPr>
        <w:pStyle w:val="ListParagraph"/>
        <w:autoSpaceDE w:val="0"/>
        <w:autoSpaceDN w:val="0"/>
        <w:adjustRightInd w:val="0"/>
      </w:pPr>
      <w:r>
        <w:rPr>
          <w:rFonts w:cs="Times New Roman"/>
          <w:color w:val="000000"/>
          <w:szCs w:val="26"/>
        </w:rPr>
        <w:t>1.</w:t>
      </w:r>
      <w:r>
        <w:rPr>
          <w:rFonts w:cs="Times New Roman"/>
          <w:color w:val="000000"/>
          <w:szCs w:val="26"/>
        </w:rPr>
        <w:tab/>
      </w:r>
      <w:r w:rsidRPr="00E45C81" w:rsidR="00045C7C">
        <w:rPr>
          <w:rFonts w:cs="Times New Roman"/>
          <w:color w:val="000000"/>
          <w:szCs w:val="26"/>
        </w:rPr>
        <w:t>Commission</w:t>
      </w:r>
      <w:r w:rsidR="00045C7C">
        <w:t xml:space="preserve"> Staff should conduct a survey to determine general awareness of WAV </w:t>
      </w:r>
      <w:proofErr w:type="gramStart"/>
      <w:r w:rsidR="00045C7C">
        <w:t>options;</w:t>
      </w:r>
      <w:proofErr w:type="gramEnd"/>
      <w:r w:rsidR="00045C7C">
        <w:t xml:space="preserve"> </w:t>
      </w:r>
    </w:p>
    <w:p w:rsidR="00045C7C" w:rsidP="006B5E4B" w:rsidRDefault="006B5E4B" w14:paraId="589A2EFA" w14:textId="551DE44F">
      <w:pPr>
        <w:pStyle w:val="ListParagraph"/>
        <w:autoSpaceDE w:val="0"/>
        <w:autoSpaceDN w:val="0"/>
        <w:adjustRightInd w:val="0"/>
      </w:pPr>
      <w:r>
        <w:t>2.</w:t>
      </w:r>
      <w:r>
        <w:tab/>
      </w:r>
      <w:r w:rsidR="00045C7C">
        <w:t xml:space="preserve">Commission Staff should re-form a Working Group and hold a workshop to provide opportunity for feedback on TNC </w:t>
      </w:r>
      <w:proofErr w:type="gramStart"/>
      <w:r w:rsidR="00045C7C">
        <w:t>outreach;</w:t>
      </w:r>
      <w:proofErr w:type="gramEnd"/>
    </w:p>
    <w:p w:rsidR="00045C7C" w:rsidP="006B5E4B" w:rsidRDefault="006B5E4B" w14:paraId="2D3FBCD3" w14:textId="075BF96C">
      <w:pPr>
        <w:pStyle w:val="ListParagraph"/>
        <w:autoSpaceDE w:val="0"/>
        <w:autoSpaceDN w:val="0"/>
        <w:adjustRightInd w:val="0"/>
      </w:pPr>
      <w:r>
        <w:t>3.</w:t>
      </w:r>
      <w:r>
        <w:tab/>
      </w:r>
      <w:r w:rsidR="00045C7C">
        <w:t>Commission Staff should analyze outreach efforts and submit a report on findings; and</w:t>
      </w:r>
    </w:p>
    <w:p w:rsidR="00045C7C" w:rsidP="006B5E4B" w:rsidRDefault="006B5E4B" w14:paraId="6A1F47C6" w14:textId="4AFCF62F">
      <w:pPr>
        <w:pStyle w:val="ListParagraph"/>
        <w:autoSpaceDE w:val="0"/>
        <w:autoSpaceDN w:val="0"/>
        <w:adjustRightInd w:val="0"/>
      </w:pPr>
      <w:r>
        <w:t>4.</w:t>
      </w:r>
      <w:r>
        <w:tab/>
      </w:r>
      <w:r w:rsidR="00045C7C">
        <w:t>TNCs should include information about disability access and WAVs in general marketing campaigns.</w:t>
      </w:r>
    </w:p>
    <w:p w:rsidR="00045C7C" w:rsidP="00045C7C" w:rsidRDefault="00045C7C" w14:paraId="312E3AD6" w14:textId="76401AF0">
      <w:pPr>
        <w:pStyle w:val="Standard"/>
      </w:pPr>
      <w:r>
        <w:t>San</w:t>
      </w:r>
      <w:r w:rsidR="006B5E4B">
        <w:t> </w:t>
      </w:r>
      <w:r>
        <w:t>Francisco supports Disability Advocates’ proposal.</w:t>
      </w:r>
      <w:r>
        <w:rPr>
          <w:rStyle w:val="FootnoteReference"/>
        </w:rPr>
        <w:footnoteReference w:id="70"/>
      </w:r>
      <w:r>
        <w:t xml:space="preserve">  Lyft and Uber generally support Disability Advocates’ and San</w:t>
      </w:r>
      <w:r w:rsidR="006B5E4B">
        <w:t> </w:t>
      </w:r>
      <w:r>
        <w:t xml:space="preserve">Francisco’s </w:t>
      </w:r>
      <w:proofErr w:type="gramStart"/>
      <w:r>
        <w:t>proposals, but</w:t>
      </w:r>
      <w:proofErr w:type="gramEnd"/>
      <w:r>
        <w:t xml:space="preserve"> recommend that TNCs have flexibility in administering and revising the plan and that quarterly reporting and tracking be limited to counties in which a TNC seeks an offset.</w:t>
      </w:r>
      <w:r>
        <w:rPr>
          <w:rStyle w:val="FootnoteReference"/>
        </w:rPr>
        <w:footnoteReference w:id="71"/>
      </w:r>
      <w:r>
        <w:t xml:space="preserve">  Lyft and Uber oppose reporting on the actual reach of each effort to targeted populations as overly burdensome.  Lyft and Uber also oppose incorporating WAV services into general marketing campaigns, stating that deliberate marketing is more effective for specific programs, such as WAV.</w:t>
      </w:r>
    </w:p>
    <w:p w:rsidR="00045C7C" w:rsidP="00045C7C" w:rsidRDefault="00045C7C" w14:paraId="5593E587" w14:textId="77777777">
      <w:pPr>
        <w:pStyle w:val="Standard"/>
      </w:pPr>
      <w:r>
        <w:t xml:space="preserve">Lyft and Uber seek additional guidance on the criteria TNCs should consider as to what entities to conduct outreach with and the definition of </w:t>
      </w:r>
      <w:r>
        <w:lastRenderedPageBreak/>
        <w:t>“partnership” and relationship maintenance.  Disability Advocates responds with proposed criteria to determine entities to contact, including an entity’s reputation and longevity with the disability community, geographic area coverage, demonstrated commitment, and the groups served.</w:t>
      </w:r>
      <w:r>
        <w:rPr>
          <w:rStyle w:val="FootnoteReference"/>
        </w:rPr>
        <w:footnoteReference w:id="72"/>
      </w:r>
      <w:r>
        <w:t xml:space="preserve">  Uber recommends the Commission compile a list of disability organizations and ensure those organizations have visibility into the WAV program. </w:t>
      </w:r>
    </w:p>
    <w:p w:rsidR="00045C7C" w:rsidP="00045C7C" w:rsidRDefault="00045C7C" w14:paraId="25D95851" w14:textId="77777777">
      <w:pPr>
        <w:pStyle w:val="Standard"/>
      </w:pPr>
      <w:r>
        <w:t xml:space="preserve">Uber recommends that costs associated with additional outreach efforts be subject to separate fee offset rules, such that if a TNC meets these requirements, they should be eligible for fee offset costs </w:t>
      </w:r>
      <w:proofErr w:type="gramStart"/>
      <w:r>
        <w:t>whether or not</w:t>
      </w:r>
      <w:proofErr w:type="gramEnd"/>
      <w:r>
        <w:t xml:space="preserve"> the TNC meets the performance benchmarks.</w:t>
      </w:r>
      <w:r>
        <w:rPr>
          <w:rStyle w:val="FootnoteReference"/>
        </w:rPr>
        <w:footnoteReference w:id="73"/>
      </w:r>
      <w:r>
        <w:t xml:space="preserve">  This allows a TNC to generate initial demand for a product in counties where the WAV program is in early stages.</w:t>
      </w:r>
    </w:p>
    <w:p w:rsidR="00045C7C" w:rsidP="00045C7C" w:rsidRDefault="00045C7C" w14:paraId="1950CCF5" w14:textId="6E1DE6CC">
      <w:pPr>
        <w:pStyle w:val="Heading3"/>
      </w:pPr>
      <w:bookmarkStart w:name="_Toc125016612" w:id="44"/>
      <w:r>
        <w:t>Discussion</w:t>
      </w:r>
      <w:bookmarkEnd w:id="44"/>
    </w:p>
    <w:p w:rsidR="00045C7C" w:rsidP="00045C7C" w:rsidRDefault="00045C7C" w14:paraId="59332EB0" w14:textId="1DB26E14">
      <w:r>
        <w:t>Disability Advocates’ and San</w:t>
      </w:r>
      <w:r w:rsidR="006B5E4B">
        <w:t> </w:t>
      </w:r>
      <w:r>
        <w:t>Francisco’s proposals offer a thorough, attainable framework to encourage and measure community outreach and engagement.  We do not find that quarterly reporting on the outcomes of TNCs’ efforts, such as number of trainings or in-person interactions, should be overly burdensome to TNCs.  The Commission also agrees that TNCs should have flexibility in administering and revising the annual outreach plan</w:t>
      </w:r>
      <w:r w:rsidR="00D1601C">
        <w:t xml:space="preserve">, as well as flexibility in </w:t>
      </w:r>
      <w:r w:rsidR="00526B8F">
        <w:t>determining how</w:t>
      </w:r>
      <w:r w:rsidR="00D1601C">
        <w:t xml:space="preserve"> to include information about disability access and WAVs in general marketing campaigns</w:t>
      </w:r>
      <w:r>
        <w:t>.  For</w:t>
      </w:r>
      <w:r w:rsidR="006B5E4B">
        <w:t> </w:t>
      </w:r>
      <w:r>
        <w:t>example, TNCs should have discretion to determine whether to create a broad annual outreach plan applicable to all counties, or to create county</w:t>
      </w:r>
      <w:r w:rsidR="006B5E4B">
        <w:noBreakHyphen/>
      </w:r>
      <w:r>
        <w:t>specific outreach</w:t>
      </w:r>
      <w:r w:rsidR="006B5E4B">
        <w:t> </w:t>
      </w:r>
      <w:r>
        <w:t>plans.</w:t>
      </w:r>
    </w:p>
    <w:p w:rsidR="00045C7C" w:rsidP="00045C7C" w:rsidRDefault="00045C7C" w14:paraId="1B92F506" w14:textId="77777777">
      <w:r>
        <w:lastRenderedPageBreak/>
        <w:t xml:space="preserve">Accordingly, to address the quality and effectiveness of a TNC’s community outreach and engagement, a TNC that seeks an offset or exemption </w:t>
      </w:r>
      <w:proofErr w:type="gramStart"/>
      <w:r>
        <w:t>in a given</w:t>
      </w:r>
      <w:proofErr w:type="gramEnd"/>
      <w:r>
        <w:t xml:space="preserve"> county and quarter shall meet the following requirements:  </w:t>
      </w:r>
    </w:p>
    <w:p w:rsidR="00045C7C" w:rsidP="006B5E4B" w:rsidRDefault="006B5E4B" w14:paraId="6FCEADE9" w14:textId="4ECD78B2">
      <w:pPr>
        <w:pStyle w:val="Standard"/>
        <w:spacing w:after="120" w:line="240" w:lineRule="auto"/>
        <w:ind w:left="1080" w:right="1440" w:hanging="360"/>
        <w:rPr>
          <w:rFonts w:cs="Times New Roman"/>
          <w:color w:val="000000"/>
          <w:szCs w:val="26"/>
        </w:rPr>
      </w:pPr>
      <w:r>
        <w:rPr>
          <w:rFonts w:cs="Times New Roman"/>
          <w:color w:val="000000"/>
          <w:szCs w:val="26"/>
        </w:rPr>
        <w:t>1.</w:t>
      </w:r>
      <w:r>
        <w:rPr>
          <w:rFonts w:cs="Times New Roman"/>
          <w:color w:val="000000"/>
          <w:szCs w:val="26"/>
        </w:rPr>
        <w:tab/>
      </w:r>
      <w:r w:rsidRPr="00696297" w:rsidR="00045C7C">
        <w:rPr>
          <w:rFonts w:cs="Times New Roman"/>
          <w:color w:val="000000"/>
          <w:szCs w:val="26"/>
        </w:rPr>
        <w:t xml:space="preserve">Develop an annual outreach plan </w:t>
      </w:r>
      <w:r w:rsidR="00045C7C">
        <w:rPr>
          <w:rFonts w:cs="Times New Roman"/>
          <w:color w:val="000000"/>
          <w:szCs w:val="26"/>
        </w:rPr>
        <w:t>with</w:t>
      </w:r>
      <w:r w:rsidRPr="00696297" w:rsidR="00045C7C">
        <w:rPr>
          <w:rFonts w:cs="Times New Roman"/>
          <w:color w:val="000000"/>
          <w:szCs w:val="26"/>
        </w:rPr>
        <w:t xml:space="preserve"> measurable goals, objectives</w:t>
      </w:r>
      <w:r w:rsidR="00045C7C">
        <w:rPr>
          <w:rFonts w:cs="Times New Roman"/>
          <w:color w:val="000000"/>
          <w:szCs w:val="26"/>
        </w:rPr>
        <w:t>,</w:t>
      </w:r>
      <w:r w:rsidRPr="00696297" w:rsidR="00045C7C">
        <w:rPr>
          <w:rFonts w:cs="Times New Roman"/>
          <w:color w:val="000000"/>
          <w:szCs w:val="26"/>
        </w:rPr>
        <w:t xml:space="preserve"> and benchmarks on outreach to disability communities, including to underserved multi</w:t>
      </w:r>
      <w:r>
        <w:rPr>
          <w:rFonts w:cs="Times New Roman"/>
          <w:color w:val="000000"/>
          <w:szCs w:val="26"/>
        </w:rPr>
        <w:noBreakHyphen/>
      </w:r>
      <w:r w:rsidRPr="00696297" w:rsidR="00045C7C">
        <w:rPr>
          <w:rFonts w:cs="Times New Roman"/>
          <w:color w:val="000000"/>
          <w:szCs w:val="26"/>
        </w:rPr>
        <w:t xml:space="preserve">ethnic communities </w:t>
      </w:r>
      <w:r w:rsidR="00045C7C">
        <w:rPr>
          <w:rFonts w:cs="Times New Roman"/>
          <w:color w:val="000000"/>
          <w:szCs w:val="26"/>
        </w:rPr>
        <w:t xml:space="preserve">and </w:t>
      </w:r>
      <w:r w:rsidRPr="00696297" w:rsidR="00045C7C">
        <w:rPr>
          <w:rFonts w:cs="Times New Roman"/>
          <w:color w:val="000000"/>
          <w:szCs w:val="26"/>
        </w:rPr>
        <w:t xml:space="preserve">where English is not the predominant </w:t>
      </w:r>
      <w:r w:rsidRPr="00620984" w:rsidR="00045C7C">
        <w:rPr>
          <w:rFonts w:cs="Times New Roman"/>
          <w:color w:val="000000"/>
          <w:szCs w:val="26"/>
        </w:rPr>
        <w:t xml:space="preserve">language.  The outreach plan can apply broadly to all counties or be </w:t>
      </w:r>
      <w:proofErr w:type="gramStart"/>
      <w:r w:rsidRPr="00620984" w:rsidR="00045C7C">
        <w:rPr>
          <w:rFonts w:cs="Times New Roman"/>
          <w:color w:val="000000"/>
          <w:szCs w:val="26"/>
        </w:rPr>
        <w:t>county-specific</w:t>
      </w:r>
      <w:proofErr w:type="gramEnd"/>
      <w:r w:rsidRPr="00620984" w:rsidR="00045C7C">
        <w:rPr>
          <w:rFonts w:cs="Times New Roman"/>
          <w:color w:val="000000"/>
          <w:szCs w:val="26"/>
        </w:rPr>
        <w:t>.</w:t>
      </w:r>
    </w:p>
    <w:p w:rsidRPr="008E42E1" w:rsidR="00045C7C" w:rsidP="006B5E4B" w:rsidRDefault="006B5E4B" w14:paraId="074250C2" w14:textId="2555AD0F">
      <w:pPr>
        <w:pStyle w:val="Standard"/>
        <w:spacing w:after="120" w:line="240" w:lineRule="auto"/>
        <w:ind w:left="1080" w:right="1440" w:hanging="360"/>
        <w:rPr>
          <w:rFonts w:cs="Times New Roman"/>
          <w:color w:val="000000"/>
          <w:szCs w:val="26"/>
        </w:rPr>
      </w:pPr>
      <w:r>
        <w:t>2.</w:t>
      </w:r>
      <w:r>
        <w:tab/>
      </w:r>
      <w:r w:rsidR="00045C7C">
        <w:t>Include information about disability access and WAVs in general marketing campaigns.</w:t>
      </w:r>
    </w:p>
    <w:p w:rsidR="00045C7C" w:rsidP="006B5E4B" w:rsidRDefault="006B5E4B" w14:paraId="06F8C995" w14:textId="10DF70F4">
      <w:pPr>
        <w:pStyle w:val="Standard"/>
        <w:spacing w:after="120" w:line="240" w:lineRule="auto"/>
        <w:ind w:left="1080" w:right="1440" w:hanging="360"/>
        <w:rPr>
          <w:rFonts w:cs="Times New Roman"/>
          <w:color w:val="000000"/>
          <w:szCs w:val="26"/>
        </w:rPr>
      </w:pPr>
      <w:r>
        <w:rPr>
          <w:rFonts w:cs="Times New Roman"/>
          <w:color w:val="000000"/>
          <w:szCs w:val="26"/>
        </w:rPr>
        <w:t>3.</w:t>
      </w:r>
      <w:r>
        <w:rPr>
          <w:rFonts w:cs="Times New Roman"/>
          <w:color w:val="000000"/>
          <w:szCs w:val="26"/>
        </w:rPr>
        <w:tab/>
      </w:r>
      <w:r w:rsidR="00045C7C">
        <w:rPr>
          <w:rFonts w:cs="Times New Roman"/>
          <w:color w:val="000000"/>
          <w:szCs w:val="26"/>
        </w:rPr>
        <w:t xml:space="preserve">Submit a quarterly report </w:t>
      </w:r>
      <w:r w:rsidRPr="00620984" w:rsidR="00045C7C">
        <w:rPr>
          <w:rFonts w:cs="Times New Roman"/>
          <w:color w:val="000000"/>
          <w:szCs w:val="26"/>
        </w:rPr>
        <w:t>for each offset county on</w:t>
      </w:r>
      <w:r w:rsidR="00045C7C">
        <w:rPr>
          <w:rFonts w:cs="Times New Roman"/>
          <w:color w:val="000000"/>
          <w:szCs w:val="26"/>
        </w:rPr>
        <w:t>:</w:t>
      </w:r>
    </w:p>
    <w:p w:rsidRPr="007931A6" w:rsidR="00045C7C" w:rsidP="006B5E4B" w:rsidRDefault="00045C7C" w14:paraId="446661B7" w14:textId="77777777">
      <w:pPr>
        <w:pStyle w:val="Standard"/>
        <w:numPr>
          <w:ilvl w:val="1"/>
          <w:numId w:val="27"/>
        </w:numPr>
        <w:spacing w:after="120" w:line="240" w:lineRule="auto"/>
        <w:ind w:left="1440" w:right="1440"/>
        <w:rPr>
          <w:rFonts w:cs="Times New Roman"/>
          <w:color w:val="000000"/>
          <w:szCs w:val="26"/>
        </w:rPr>
      </w:pPr>
      <w:r>
        <w:rPr>
          <w:rFonts w:cs="Times New Roman"/>
          <w:color w:val="000000"/>
          <w:szCs w:val="26"/>
        </w:rPr>
        <w:t>Progress made towards implementing the outreach plan.</w:t>
      </w:r>
    </w:p>
    <w:p w:rsidRPr="00857A34" w:rsidR="00045C7C" w:rsidP="006B5E4B" w:rsidRDefault="00045C7C" w14:paraId="1E373A48" w14:textId="07354CC5">
      <w:pPr>
        <w:pStyle w:val="Standard"/>
        <w:numPr>
          <w:ilvl w:val="1"/>
          <w:numId w:val="27"/>
        </w:numPr>
        <w:spacing w:after="120" w:line="240" w:lineRule="auto"/>
        <w:ind w:left="1440" w:right="1440"/>
      </w:pPr>
      <w:r w:rsidRPr="009C56D5">
        <w:rPr>
          <w:rFonts w:cs="Times New Roman"/>
          <w:color w:val="000000"/>
          <w:szCs w:val="26"/>
        </w:rPr>
        <w:t>The number of entities contacted for purposes of outreach</w:t>
      </w:r>
      <w:r>
        <w:rPr>
          <w:rFonts w:cs="Times New Roman"/>
          <w:color w:val="000000"/>
          <w:szCs w:val="26"/>
        </w:rPr>
        <w:t xml:space="preserve"> and whether</w:t>
      </w:r>
      <w:r w:rsidRPr="00435332">
        <w:rPr>
          <w:rFonts w:cs="Times New Roman"/>
          <w:color w:val="000000"/>
          <w:szCs w:val="26"/>
        </w:rPr>
        <w:t xml:space="preserve"> </w:t>
      </w:r>
      <w:r>
        <w:rPr>
          <w:rFonts w:cs="Times New Roman"/>
          <w:color w:val="000000"/>
          <w:szCs w:val="26"/>
        </w:rPr>
        <w:t xml:space="preserve">entities </w:t>
      </w:r>
      <w:r w:rsidRPr="00435332">
        <w:rPr>
          <w:rFonts w:cs="Times New Roman"/>
          <w:color w:val="000000"/>
          <w:szCs w:val="26"/>
        </w:rPr>
        <w:t>represent disability and cultural diversity of California</w:t>
      </w:r>
      <w:r>
        <w:rPr>
          <w:rFonts w:cs="Times New Roman"/>
          <w:color w:val="000000"/>
          <w:szCs w:val="26"/>
        </w:rPr>
        <w:t xml:space="preserve">, including: </w:t>
      </w:r>
      <w:r w:rsidR="001055B8">
        <w:rPr>
          <w:rFonts w:cs="Times New Roman"/>
          <w:color w:val="000000"/>
          <w:szCs w:val="26"/>
        </w:rPr>
        <w:t xml:space="preserve"> </w:t>
      </w:r>
      <w:r>
        <w:rPr>
          <w:rFonts w:cs="Times New Roman"/>
          <w:color w:val="000000"/>
          <w:szCs w:val="26"/>
        </w:rPr>
        <w:t>(1)</w:t>
      </w:r>
      <w:r w:rsidR="001055B8">
        <w:rPr>
          <w:rFonts w:cs="Times New Roman"/>
          <w:color w:val="000000"/>
          <w:szCs w:val="26"/>
        </w:rPr>
        <w:t> </w:t>
      </w:r>
      <w:r>
        <w:rPr>
          <w:rFonts w:cs="Times New Roman"/>
          <w:color w:val="000000"/>
          <w:szCs w:val="26"/>
        </w:rPr>
        <w:t>t</w:t>
      </w:r>
      <w:r w:rsidRPr="00857A34">
        <w:rPr>
          <w:rFonts w:cs="Times New Roman"/>
          <w:color w:val="000000"/>
          <w:szCs w:val="26"/>
        </w:rPr>
        <w:t>he method of contact (</w:t>
      </w:r>
      <w:r w:rsidRPr="001055B8">
        <w:rPr>
          <w:rFonts w:cs="Times New Roman"/>
          <w:i/>
          <w:iCs/>
          <w:color w:val="000000"/>
          <w:szCs w:val="26"/>
        </w:rPr>
        <w:t>e.g.,</w:t>
      </w:r>
      <w:r w:rsidRPr="00857A34">
        <w:rPr>
          <w:rFonts w:cs="Times New Roman"/>
          <w:color w:val="000000"/>
          <w:szCs w:val="26"/>
        </w:rPr>
        <w:t xml:space="preserve"> e</w:t>
      </w:r>
      <w:r w:rsidR="001055B8">
        <w:rPr>
          <w:rFonts w:cs="Times New Roman"/>
          <w:color w:val="000000"/>
          <w:szCs w:val="26"/>
        </w:rPr>
        <w:noBreakHyphen/>
      </w:r>
      <w:r w:rsidRPr="00857A34">
        <w:rPr>
          <w:rFonts w:cs="Times New Roman"/>
          <w:color w:val="000000"/>
          <w:szCs w:val="26"/>
        </w:rPr>
        <w:t xml:space="preserve">mail, newsletter) and whether information was </w:t>
      </w:r>
      <w:r>
        <w:rPr>
          <w:rFonts w:cs="Times New Roman"/>
          <w:color w:val="000000"/>
          <w:szCs w:val="26"/>
        </w:rPr>
        <w:t>exchanged</w:t>
      </w:r>
      <w:r w:rsidRPr="00857A34">
        <w:rPr>
          <w:rFonts w:cs="Times New Roman"/>
          <w:color w:val="000000"/>
          <w:szCs w:val="26"/>
        </w:rPr>
        <w:t xml:space="preserve">; </w:t>
      </w:r>
      <w:r>
        <w:t>(2)</w:t>
      </w:r>
      <w:r w:rsidR="001055B8">
        <w:t> </w:t>
      </w:r>
      <w:r>
        <w:rPr>
          <w:rFonts w:cs="Times New Roman"/>
          <w:color w:val="000000"/>
          <w:szCs w:val="26"/>
        </w:rPr>
        <w:t>t</w:t>
      </w:r>
      <w:r w:rsidRPr="00857A34">
        <w:rPr>
          <w:rFonts w:cs="Times New Roman"/>
          <w:color w:val="000000"/>
          <w:szCs w:val="26"/>
        </w:rPr>
        <w:t>he nature of the contact (</w:t>
      </w:r>
      <w:r w:rsidRPr="00857A34">
        <w:rPr>
          <w:rFonts w:cs="Times New Roman"/>
          <w:i/>
          <w:iCs/>
          <w:color w:val="000000"/>
          <w:szCs w:val="26"/>
        </w:rPr>
        <w:t>e.g</w:t>
      </w:r>
      <w:r w:rsidRPr="00857A34">
        <w:rPr>
          <w:rFonts w:cs="Times New Roman"/>
          <w:color w:val="000000"/>
          <w:szCs w:val="26"/>
        </w:rPr>
        <w:t>.,</w:t>
      </w:r>
      <w:r w:rsidR="001055B8">
        <w:rPr>
          <w:rFonts w:cs="Times New Roman"/>
          <w:color w:val="000000"/>
          <w:szCs w:val="26"/>
        </w:rPr>
        <w:t> </w:t>
      </w:r>
      <w:r w:rsidRPr="00857A34">
        <w:rPr>
          <w:rFonts w:cs="Times New Roman"/>
          <w:color w:val="000000"/>
          <w:szCs w:val="26"/>
        </w:rPr>
        <w:t>unilateral, interactive)</w:t>
      </w:r>
      <w:r>
        <w:rPr>
          <w:rFonts w:cs="Times New Roman"/>
          <w:color w:val="000000"/>
          <w:szCs w:val="26"/>
        </w:rPr>
        <w:t>; (3)</w:t>
      </w:r>
      <w:r w:rsidR="001055B8">
        <w:rPr>
          <w:rFonts w:cs="Times New Roman"/>
          <w:color w:val="000000"/>
          <w:szCs w:val="26"/>
        </w:rPr>
        <w:t> </w:t>
      </w:r>
      <w:r w:rsidRPr="00857A34">
        <w:rPr>
          <w:rFonts w:cs="Times New Roman"/>
          <w:color w:val="000000"/>
          <w:szCs w:val="26"/>
        </w:rPr>
        <w:t>outcome of the contact (</w:t>
      </w:r>
      <w:r w:rsidRPr="00857A34">
        <w:rPr>
          <w:rFonts w:cs="Times New Roman"/>
          <w:i/>
          <w:iCs/>
          <w:color w:val="000000"/>
          <w:szCs w:val="26"/>
        </w:rPr>
        <w:t>e.g.</w:t>
      </w:r>
      <w:r w:rsidRPr="00857A34">
        <w:rPr>
          <w:rFonts w:cs="Times New Roman"/>
          <w:color w:val="000000"/>
          <w:szCs w:val="26"/>
        </w:rPr>
        <w:t>,</w:t>
      </w:r>
      <w:r w:rsidR="001055B8">
        <w:rPr>
          <w:rFonts w:cs="Times New Roman"/>
          <w:color w:val="000000"/>
          <w:szCs w:val="26"/>
        </w:rPr>
        <w:t> </w:t>
      </w:r>
      <w:r w:rsidRPr="00857A34">
        <w:rPr>
          <w:rFonts w:cs="Times New Roman"/>
          <w:color w:val="000000"/>
          <w:szCs w:val="26"/>
        </w:rPr>
        <w:t xml:space="preserve">training, distribution of information) and whether follow up was conducted; </w:t>
      </w:r>
      <w:r>
        <w:t>(4)</w:t>
      </w:r>
      <w:r w:rsidR="001055B8">
        <w:t> </w:t>
      </w:r>
      <w:r>
        <w:rPr>
          <w:rFonts w:cs="Times New Roman"/>
          <w:color w:val="000000"/>
          <w:szCs w:val="26"/>
        </w:rPr>
        <w:t>t</w:t>
      </w:r>
      <w:r w:rsidRPr="00857A34">
        <w:rPr>
          <w:rFonts w:cs="Times New Roman"/>
          <w:color w:val="000000"/>
          <w:szCs w:val="26"/>
        </w:rPr>
        <w:t>he number of partnerships developed and how partnerships resulted in improved outreach efforts</w:t>
      </w:r>
      <w:r>
        <w:rPr>
          <w:rFonts w:cs="Times New Roman"/>
          <w:color w:val="000000"/>
          <w:szCs w:val="26"/>
        </w:rPr>
        <w:t xml:space="preserve"> for WAV services</w:t>
      </w:r>
      <w:r w:rsidRPr="00857A34">
        <w:rPr>
          <w:rFonts w:cs="Times New Roman"/>
          <w:color w:val="000000"/>
          <w:szCs w:val="26"/>
        </w:rPr>
        <w:t xml:space="preserve">. </w:t>
      </w:r>
    </w:p>
    <w:p w:rsidRPr="004A46ED" w:rsidR="00045C7C" w:rsidP="006B5E4B" w:rsidRDefault="00045C7C" w14:paraId="33D7721F" w14:textId="5713E6EF">
      <w:pPr>
        <w:pStyle w:val="Standard"/>
        <w:numPr>
          <w:ilvl w:val="1"/>
          <w:numId w:val="27"/>
        </w:numPr>
        <w:spacing w:after="120" w:line="240" w:lineRule="auto"/>
        <w:ind w:left="1440" w:right="1440"/>
      </w:pPr>
      <w:r>
        <w:rPr>
          <w:rFonts w:cs="Times New Roman"/>
          <w:color w:val="000000"/>
          <w:szCs w:val="26"/>
        </w:rPr>
        <w:t>E</w:t>
      </w:r>
      <w:r w:rsidRPr="00857A34">
        <w:rPr>
          <w:rFonts w:cs="Times New Roman"/>
          <w:color w:val="000000"/>
          <w:szCs w:val="26"/>
        </w:rPr>
        <w:t xml:space="preserve">fforts to publicize and promote WAV service in each </w:t>
      </w:r>
      <w:r>
        <w:rPr>
          <w:rFonts w:cs="Times New Roman"/>
          <w:color w:val="000000"/>
          <w:szCs w:val="26"/>
        </w:rPr>
        <w:t>offset county</w:t>
      </w:r>
      <w:r w:rsidRPr="00857A34">
        <w:rPr>
          <w:rFonts w:cs="Times New Roman"/>
          <w:color w:val="000000"/>
          <w:szCs w:val="26"/>
        </w:rPr>
        <w:t xml:space="preserve"> (</w:t>
      </w:r>
      <w:r w:rsidRPr="00857A34">
        <w:rPr>
          <w:rFonts w:cs="Times New Roman"/>
          <w:i/>
          <w:iCs/>
          <w:color w:val="000000"/>
          <w:szCs w:val="26"/>
        </w:rPr>
        <w:t>e.g.</w:t>
      </w:r>
      <w:r w:rsidRPr="00857A34">
        <w:rPr>
          <w:rFonts w:cs="Times New Roman"/>
          <w:color w:val="000000"/>
          <w:szCs w:val="26"/>
        </w:rPr>
        <w:t>,</w:t>
      </w:r>
      <w:r w:rsidR="001055B8">
        <w:rPr>
          <w:rFonts w:cs="Times New Roman"/>
          <w:color w:val="000000"/>
          <w:szCs w:val="26"/>
        </w:rPr>
        <w:t> </w:t>
      </w:r>
      <w:r w:rsidRPr="00857A34">
        <w:rPr>
          <w:rFonts w:cs="Times New Roman"/>
          <w:color w:val="000000"/>
          <w:szCs w:val="26"/>
        </w:rPr>
        <w:t>web or app content, social media, in</w:t>
      </w:r>
      <w:r w:rsidR="001055B8">
        <w:rPr>
          <w:rFonts w:cs="Times New Roman"/>
          <w:color w:val="000000"/>
          <w:szCs w:val="26"/>
        </w:rPr>
        <w:noBreakHyphen/>
      </w:r>
      <w:r w:rsidRPr="00857A34">
        <w:rPr>
          <w:rFonts w:cs="Times New Roman"/>
          <w:color w:val="000000"/>
          <w:szCs w:val="26"/>
        </w:rPr>
        <w:t xml:space="preserve">person event), and </w:t>
      </w:r>
      <w:r>
        <w:rPr>
          <w:rFonts w:cs="Times New Roman"/>
          <w:color w:val="000000"/>
          <w:szCs w:val="26"/>
        </w:rPr>
        <w:t>whether</w:t>
      </w:r>
      <w:r w:rsidRPr="00857A34">
        <w:rPr>
          <w:rFonts w:cs="Times New Roman"/>
          <w:color w:val="000000"/>
          <w:szCs w:val="26"/>
        </w:rPr>
        <w:t xml:space="preserve"> efforts were accessible to people </w:t>
      </w:r>
      <w:r>
        <w:rPr>
          <w:rFonts w:cs="Times New Roman"/>
          <w:color w:val="000000"/>
          <w:szCs w:val="26"/>
        </w:rPr>
        <w:t>with</w:t>
      </w:r>
      <w:r w:rsidRPr="00857A34">
        <w:rPr>
          <w:rFonts w:cs="Times New Roman"/>
          <w:color w:val="000000"/>
          <w:szCs w:val="26"/>
        </w:rPr>
        <w:t xml:space="preserve"> </w:t>
      </w:r>
      <w:r>
        <w:rPr>
          <w:rFonts w:cs="Times New Roman"/>
          <w:color w:val="000000"/>
          <w:szCs w:val="26"/>
        </w:rPr>
        <w:t xml:space="preserve">disabilities and </w:t>
      </w:r>
      <w:r w:rsidRPr="00857A34">
        <w:rPr>
          <w:rFonts w:cs="Times New Roman"/>
          <w:color w:val="000000"/>
          <w:szCs w:val="26"/>
        </w:rPr>
        <w:t>limited English proficien</w:t>
      </w:r>
      <w:r>
        <w:rPr>
          <w:rFonts w:cs="Times New Roman"/>
          <w:color w:val="000000"/>
          <w:szCs w:val="26"/>
        </w:rPr>
        <w:t>cy</w:t>
      </w:r>
      <w:r w:rsidRPr="00857A34">
        <w:rPr>
          <w:rFonts w:cs="Times New Roman"/>
          <w:color w:val="000000"/>
          <w:szCs w:val="26"/>
        </w:rPr>
        <w:t xml:space="preserve">. </w:t>
      </w:r>
    </w:p>
    <w:p w:rsidRPr="004A46ED" w:rsidR="00045C7C" w:rsidP="006B5E4B" w:rsidRDefault="00045C7C" w14:paraId="57879F6C" w14:textId="77777777">
      <w:pPr>
        <w:pStyle w:val="Standard"/>
        <w:numPr>
          <w:ilvl w:val="1"/>
          <w:numId w:val="27"/>
        </w:numPr>
        <w:spacing w:after="120" w:line="240" w:lineRule="auto"/>
        <w:ind w:left="1440" w:right="1440"/>
      </w:pPr>
      <w:r>
        <w:rPr>
          <w:rFonts w:cs="Times New Roman"/>
          <w:szCs w:val="26"/>
        </w:rPr>
        <w:t>E</w:t>
      </w:r>
      <w:r w:rsidRPr="00857A34">
        <w:rPr>
          <w:rFonts w:cs="Times New Roman"/>
          <w:szCs w:val="26"/>
        </w:rPr>
        <w:t xml:space="preserve">ducational materials developed and distributed by TNCs and </w:t>
      </w:r>
      <w:r>
        <w:rPr>
          <w:rFonts w:cs="Times New Roman"/>
          <w:szCs w:val="26"/>
        </w:rPr>
        <w:t>whether</w:t>
      </w:r>
      <w:r w:rsidRPr="00857A34">
        <w:rPr>
          <w:rFonts w:cs="Times New Roman"/>
          <w:szCs w:val="26"/>
        </w:rPr>
        <w:t xml:space="preserve"> materials were accessible to </w:t>
      </w:r>
      <w:r w:rsidRPr="00857A34">
        <w:rPr>
          <w:rFonts w:cs="Times New Roman"/>
          <w:color w:val="000000"/>
          <w:szCs w:val="26"/>
        </w:rPr>
        <w:t xml:space="preserve">people </w:t>
      </w:r>
      <w:r>
        <w:rPr>
          <w:rFonts w:cs="Times New Roman"/>
          <w:color w:val="000000"/>
          <w:szCs w:val="26"/>
        </w:rPr>
        <w:t>with</w:t>
      </w:r>
      <w:r w:rsidRPr="00857A34">
        <w:rPr>
          <w:rFonts w:cs="Times New Roman"/>
          <w:color w:val="000000"/>
          <w:szCs w:val="26"/>
        </w:rPr>
        <w:t xml:space="preserve"> </w:t>
      </w:r>
      <w:r>
        <w:rPr>
          <w:rFonts w:cs="Times New Roman"/>
          <w:color w:val="000000"/>
          <w:szCs w:val="26"/>
        </w:rPr>
        <w:t xml:space="preserve">disabilities and </w:t>
      </w:r>
      <w:r w:rsidRPr="00857A34">
        <w:rPr>
          <w:rFonts w:cs="Times New Roman"/>
          <w:color w:val="000000"/>
          <w:szCs w:val="26"/>
        </w:rPr>
        <w:t>limited English proficien</w:t>
      </w:r>
      <w:r>
        <w:rPr>
          <w:rFonts w:cs="Times New Roman"/>
          <w:color w:val="000000"/>
          <w:szCs w:val="26"/>
        </w:rPr>
        <w:t>cy</w:t>
      </w:r>
      <w:r w:rsidRPr="00857A34">
        <w:rPr>
          <w:rFonts w:cs="Times New Roman"/>
          <w:color w:val="000000"/>
          <w:szCs w:val="26"/>
        </w:rPr>
        <w:t>.</w:t>
      </w:r>
    </w:p>
    <w:p w:rsidRPr="00857A34" w:rsidR="00045C7C" w:rsidP="006B5E4B" w:rsidRDefault="00045C7C" w14:paraId="40A271A0" w14:textId="505F758A">
      <w:pPr>
        <w:pStyle w:val="Standard"/>
        <w:numPr>
          <w:ilvl w:val="1"/>
          <w:numId w:val="27"/>
        </w:numPr>
        <w:spacing w:after="120" w:line="240" w:lineRule="auto"/>
        <w:ind w:left="1440" w:right="1440"/>
      </w:pPr>
      <w:r>
        <w:rPr>
          <w:rFonts w:cs="Times New Roman"/>
          <w:color w:val="000000"/>
          <w:szCs w:val="26"/>
        </w:rPr>
        <w:t>O</w:t>
      </w:r>
      <w:r w:rsidRPr="00857A34">
        <w:rPr>
          <w:rFonts w:cs="Times New Roman"/>
          <w:color w:val="000000"/>
          <w:szCs w:val="26"/>
        </w:rPr>
        <w:t xml:space="preserve">utcome of TNC efforts to outreach and engage wheelchair users, including assessment of actual reach of each effort to reach targeted populations </w:t>
      </w:r>
      <w:r w:rsidRPr="00857A34">
        <w:rPr>
          <w:rFonts w:cs="Times New Roman"/>
          <w:color w:val="000000"/>
          <w:szCs w:val="26"/>
        </w:rPr>
        <w:lastRenderedPageBreak/>
        <w:t>(</w:t>
      </w:r>
      <w:r w:rsidRPr="00857A34">
        <w:rPr>
          <w:rFonts w:cs="Times New Roman"/>
          <w:i/>
          <w:iCs/>
          <w:color w:val="000000"/>
          <w:szCs w:val="26"/>
        </w:rPr>
        <w:t>e.g.</w:t>
      </w:r>
      <w:r w:rsidRPr="00857A34">
        <w:rPr>
          <w:rFonts w:cs="Times New Roman"/>
          <w:color w:val="000000"/>
          <w:szCs w:val="26"/>
        </w:rPr>
        <w:t>,</w:t>
      </w:r>
      <w:r w:rsidR="001055B8">
        <w:rPr>
          <w:rFonts w:cs="Times New Roman"/>
          <w:color w:val="000000"/>
          <w:szCs w:val="26"/>
        </w:rPr>
        <w:t> </w:t>
      </w:r>
      <w:r w:rsidRPr="00857A34">
        <w:rPr>
          <w:rFonts w:cs="Times New Roman"/>
          <w:color w:val="000000"/>
          <w:szCs w:val="26"/>
        </w:rPr>
        <w:t>number of webpage views, number of</w:t>
      </w:r>
      <w:r>
        <w:rPr>
          <w:rFonts w:cs="Times New Roman"/>
          <w:color w:val="000000"/>
          <w:szCs w:val="26"/>
        </w:rPr>
        <w:t xml:space="preserve"> </w:t>
      </w:r>
      <w:r w:rsidRPr="00857A34">
        <w:rPr>
          <w:rFonts w:cs="Times New Roman"/>
          <w:color w:val="000000"/>
          <w:szCs w:val="26"/>
        </w:rPr>
        <w:t>in</w:t>
      </w:r>
      <w:r w:rsidR="001055B8">
        <w:rPr>
          <w:rFonts w:cs="Times New Roman"/>
          <w:color w:val="000000"/>
          <w:szCs w:val="26"/>
        </w:rPr>
        <w:noBreakHyphen/>
      </w:r>
      <w:r w:rsidRPr="00857A34">
        <w:rPr>
          <w:rFonts w:cs="Times New Roman"/>
          <w:color w:val="000000"/>
          <w:szCs w:val="26"/>
        </w:rPr>
        <w:t xml:space="preserve">person interactions, usage of promotional codes). </w:t>
      </w:r>
    </w:p>
    <w:p w:rsidR="00045C7C" w:rsidP="00045C7C" w:rsidRDefault="00045C7C" w14:paraId="4AA9D8FD" w14:textId="4E6DB942">
      <w:r>
        <w:t>In addition to the TNC reporting requirements, it would be useful for TNCs to conduct a self</w:t>
      </w:r>
      <w:r w:rsidR="001055B8">
        <w:noBreakHyphen/>
      </w:r>
      <w:r>
        <w:t>assessment of their outreach effectiveness each quarter when filing its quarterly report.  TNCs shall address the following questions:</w:t>
      </w:r>
    </w:p>
    <w:p w:rsidR="001055B8" w:rsidP="001055B8" w:rsidRDefault="001055B8" w14:paraId="09AF4E11" w14:textId="77777777">
      <w:pPr>
        <w:spacing w:after="120" w:line="240" w:lineRule="auto"/>
        <w:ind w:left="1080" w:right="1440" w:hanging="360"/>
      </w:pPr>
      <w:r>
        <w:t>1.</w:t>
      </w:r>
      <w:r>
        <w:tab/>
      </w:r>
      <w:r w:rsidRPr="007931A6" w:rsidR="00045C7C">
        <w:t xml:space="preserve">What methods of engagement did </w:t>
      </w:r>
      <w:r w:rsidR="00045C7C">
        <w:t>the TNC</w:t>
      </w:r>
      <w:r w:rsidRPr="007931A6" w:rsidR="00045C7C">
        <w:t xml:space="preserve"> find most effective and why?</w:t>
      </w:r>
    </w:p>
    <w:p w:rsidR="00045C7C" w:rsidP="001055B8" w:rsidRDefault="001055B8" w14:paraId="5EFD3595" w14:textId="3DD4FE63">
      <w:pPr>
        <w:spacing w:after="120" w:line="240" w:lineRule="auto"/>
        <w:ind w:left="1080" w:right="1440" w:hanging="360"/>
      </w:pPr>
      <w:r>
        <w:t>2.</w:t>
      </w:r>
      <w:r>
        <w:tab/>
      </w:r>
      <w:r w:rsidRPr="007931A6" w:rsidR="00045C7C">
        <w:t>What common concerns/questions came up during the engagement process?</w:t>
      </w:r>
    </w:p>
    <w:p w:rsidR="00045C7C" w:rsidP="001055B8" w:rsidRDefault="001055B8" w14:paraId="3FAB10DC" w14:textId="541A5038">
      <w:pPr>
        <w:spacing w:after="120" w:line="240" w:lineRule="auto"/>
        <w:ind w:left="1080" w:right="1440" w:hanging="360"/>
      </w:pPr>
      <w:r>
        <w:t>3.</w:t>
      </w:r>
      <w:r>
        <w:tab/>
      </w:r>
      <w:r w:rsidRPr="007931A6" w:rsidR="00045C7C">
        <w:t xml:space="preserve">What challenges have you encountered? </w:t>
      </w:r>
      <w:r>
        <w:t xml:space="preserve"> </w:t>
      </w:r>
      <w:r w:rsidRPr="007931A6" w:rsidR="00045C7C">
        <w:t>How do you plan to overcome them?</w:t>
      </w:r>
    </w:p>
    <w:p w:rsidR="00045C7C" w:rsidP="00045C7C" w:rsidRDefault="00045C7C" w14:paraId="015057DE" w14:textId="151834D0">
      <w:r>
        <w:t>A TNC that seeks an offset or exemption in a given county and quarter shall submit its annual outreach plan to the Commission via an Information</w:t>
      </w:r>
      <w:r w:rsidR="001055B8">
        <w:t> </w:t>
      </w:r>
      <w:r>
        <w:t>Only Advice Letter beginning July</w:t>
      </w:r>
      <w:r w:rsidR="001055B8">
        <w:t> </w:t>
      </w:r>
      <w:r>
        <w:t>1 of each</w:t>
      </w:r>
      <w:r w:rsidR="001055B8">
        <w:t> </w:t>
      </w:r>
      <w:r>
        <w:t xml:space="preserve">year.  Quarterly reporting shall be submitted with a TNC’s Offset or Exemption Request and shall be effective beginning the </w:t>
      </w:r>
      <w:r w:rsidRPr="0004367A">
        <w:t>3</w:t>
      </w:r>
      <w:r w:rsidRPr="0004367A">
        <w:rPr>
          <w:vertAlign w:val="superscript"/>
        </w:rPr>
        <w:t>rd</w:t>
      </w:r>
      <w:r w:rsidR="001055B8">
        <w:t> </w:t>
      </w:r>
      <w:r>
        <w:t>q</w:t>
      </w:r>
      <w:r w:rsidRPr="0004367A">
        <w:t>uarter of 2023.</w:t>
      </w:r>
    </w:p>
    <w:p w:rsidR="00045C7C" w:rsidP="00045C7C" w:rsidRDefault="00045C7C" w14:paraId="024792C1" w14:textId="77777777">
      <w:r>
        <w:t>In addition, Commission Staff is authorized to do the following:</w:t>
      </w:r>
    </w:p>
    <w:p w:rsidR="00045C7C" w:rsidP="001055B8" w:rsidRDefault="001055B8" w14:paraId="0ED5A4F3" w14:textId="66B7323C">
      <w:pPr>
        <w:pStyle w:val="ListParagraph"/>
        <w:autoSpaceDE w:val="0"/>
        <w:autoSpaceDN w:val="0"/>
        <w:adjustRightInd w:val="0"/>
      </w:pPr>
      <w:r>
        <w:t>1.</w:t>
      </w:r>
      <w:r>
        <w:tab/>
      </w:r>
      <w:r w:rsidR="00045C7C">
        <w:t xml:space="preserve">Conduct a survey to determine general awareness of WAV </w:t>
      </w:r>
      <w:proofErr w:type="gramStart"/>
      <w:r w:rsidR="00045C7C">
        <w:t>options;</w:t>
      </w:r>
      <w:proofErr w:type="gramEnd"/>
    </w:p>
    <w:p w:rsidR="00045C7C" w:rsidP="001055B8" w:rsidRDefault="001055B8" w14:paraId="011FAF5C" w14:textId="10392252">
      <w:pPr>
        <w:pStyle w:val="ListParagraph"/>
        <w:autoSpaceDE w:val="0"/>
        <w:autoSpaceDN w:val="0"/>
        <w:adjustRightInd w:val="0"/>
      </w:pPr>
      <w:r>
        <w:t>2.</w:t>
      </w:r>
      <w:r>
        <w:tab/>
      </w:r>
      <w:r w:rsidR="00045C7C">
        <w:t xml:space="preserve">Re-facilitate a Working Group and hold a workshop to solicit feedback on TNC </w:t>
      </w:r>
      <w:proofErr w:type="gramStart"/>
      <w:r w:rsidR="00045C7C">
        <w:t>outreach;</w:t>
      </w:r>
      <w:proofErr w:type="gramEnd"/>
    </w:p>
    <w:p w:rsidR="00045C7C" w:rsidP="001055B8" w:rsidRDefault="001055B8" w14:paraId="3B3C75CA" w14:textId="5CD9E323">
      <w:pPr>
        <w:pStyle w:val="ListParagraph"/>
        <w:autoSpaceDE w:val="0"/>
        <w:autoSpaceDN w:val="0"/>
        <w:adjustRightInd w:val="0"/>
      </w:pPr>
      <w:r>
        <w:t>3.</w:t>
      </w:r>
      <w:r>
        <w:tab/>
      </w:r>
      <w:r w:rsidR="00045C7C">
        <w:t xml:space="preserve">Analyze TNCs’ quarterly reports and prepare a summary of findings in the Annual Benchmark Report, as directed in </w:t>
      </w:r>
      <w:r w:rsidR="001673DA">
        <w:t>OP </w:t>
      </w:r>
      <w:r w:rsidR="00045C7C">
        <w:t>17 of D.21</w:t>
      </w:r>
      <w:r>
        <w:noBreakHyphen/>
      </w:r>
      <w:r w:rsidR="00045C7C">
        <w:t>03</w:t>
      </w:r>
      <w:r>
        <w:noBreakHyphen/>
      </w:r>
      <w:r w:rsidR="00045C7C">
        <w:t>005.</w:t>
      </w:r>
    </w:p>
    <w:p w:rsidRPr="007931A6" w:rsidR="00045C7C" w:rsidP="00045C7C" w:rsidRDefault="00045C7C" w14:paraId="510FD26C" w14:textId="77777777">
      <w:r>
        <w:t>Lastly, parties seek guidance on how to determine what entities to conduct outreach with and other guidance on the outreach plan.  We encourage parties to collaborate on these issues in the Working Group and workshop processes, including developing a list of organizations to conduct outreach with.</w:t>
      </w:r>
    </w:p>
    <w:p w:rsidR="00045C7C" w:rsidP="00045C7C" w:rsidRDefault="00045C7C" w14:paraId="0C2C12DE" w14:textId="0A36F88F">
      <w:pPr>
        <w:pStyle w:val="Heading2"/>
      </w:pPr>
      <w:bookmarkStart w:name="_Toc125016613" w:id="45"/>
      <w:r>
        <w:lastRenderedPageBreak/>
        <w:t>Multi-County Pooling Funds</w:t>
      </w:r>
      <w:bookmarkEnd w:id="45"/>
    </w:p>
    <w:p w:rsidR="00045C7C" w:rsidP="00045C7C" w:rsidRDefault="00045C7C" w14:paraId="41D7F7DE" w14:textId="10394C3B">
      <w:pPr>
        <w:pStyle w:val="Standard"/>
      </w:pPr>
      <w:r>
        <w:t>In the Amended Track</w:t>
      </w:r>
      <w:r w:rsidR="001055B8">
        <w:t> </w:t>
      </w:r>
      <w:r>
        <w:t>5 Scoping</w:t>
      </w:r>
      <w:r w:rsidR="001055B8">
        <w:t> </w:t>
      </w:r>
      <w:r>
        <w:t>Memo, we stated that:</w:t>
      </w:r>
      <w:r>
        <w:rPr>
          <w:rStyle w:val="FootnoteReference"/>
        </w:rPr>
        <w:footnoteReference w:id="74"/>
      </w:r>
      <w:r>
        <w:t xml:space="preserve"> </w:t>
      </w:r>
    </w:p>
    <w:p w:rsidR="00045C7C" w:rsidP="001055B8" w:rsidRDefault="00045C7C" w14:paraId="154CC99B" w14:textId="2B60E014">
      <w:pPr>
        <w:pStyle w:val="Standard"/>
        <w:spacing w:after="120" w:line="240" w:lineRule="auto"/>
        <w:ind w:left="720" w:right="1440" w:firstLine="0"/>
      </w:pPr>
      <w:r>
        <w:t>I</w:t>
      </w:r>
      <w:r w:rsidRPr="00331F68">
        <w:t xml:space="preserve">n certain California counties, the amount of Access Fund moneys available may be relatively small due </w:t>
      </w:r>
      <w:proofErr w:type="gramStart"/>
      <w:r w:rsidRPr="00331F68">
        <w:t>to:</w:t>
      </w:r>
      <w:proofErr w:type="gramEnd"/>
      <w:r w:rsidRPr="00331F68">
        <w:t xml:space="preserve"> </w:t>
      </w:r>
      <w:r w:rsidR="00451706">
        <w:t xml:space="preserve"> </w:t>
      </w:r>
      <w:r w:rsidRPr="00331F68">
        <w:t xml:space="preserve">the reduced presence of TNC service, TNCs’ qualification for offsets, or TNCs’ qualification for exemptions in those counties. </w:t>
      </w:r>
      <w:r>
        <w:t xml:space="preserve"> </w:t>
      </w:r>
      <w:r w:rsidRPr="00331F68">
        <w:t>Therefore, the amount of Access Fund moneys in those individual counties may be unlikely to be sufficient to build a WAV program by Access Providers.</w:t>
      </w:r>
    </w:p>
    <w:p w:rsidRPr="00792251" w:rsidR="00045C7C" w:rsidP="00045C7C" w:rsidRDefault="00045C7C" w14:paraId="2EAFE833" w14:textId="64214480">
      <w:pPr>
        <w:pStyle w:val="Standard"/>
        <w:rPr>
          <w:rFonts w:cs="BookAntiqua"/>
          <w:szCs w:val="26"/>
        </w:rPr>
      </w:pPr>
      <w:r>
        <w:t>The Scoping</w:t>
      </w:r>
      <w:r w:rsidR="001055B8">
        <w:t> </w:t>
      </w:r>
      <w:r>
        <w:t>Memo asks whether f</w:t>
      </w:r>
      <w:r w:rsidRPr="007274ED">
        <w:t xml:space="preserve">or </w:t>
      </w:r>
      <w:r w:rsidRPr="00331F68">
        <w:t>counties where the amount of Access</w:t>
      </w:r>
      <w:r w:rsidR="001055B8">
        <w:t> </w:t>
      </w:r>
      <w:r w:rsidRPr="00331F68">
        <w:t xml:space="preserve">Fund moneys available is relatively small, Access Fund moneys </w:t>
      </w:r>
      <w:r>
        <w:t>should be</w:t>
      </w:r>
      <w:r w:rsidRPr="00331F68">
        <w:t xml:space="preserve"> pooled across multiple counties</w:t>
      </w:r>
      <w:r>
        <w:t xml:space="preserve"> and what</w:t>
      </w:r>
      <w:r w:rsidRPr="00331F68">
        <w:t xml:space="preserve"> criteria should be use</w:t>
      </w:r>
      <w:r w:rsidRPr="007274ED">
        <w:t>d</w:t>
      </w:r>
      <w:r w:rsidRPr="00331F68">
        <w:t xml:space="preserve"> to determine pooling</w:t>
      </w:r>
      <w:r>
        <w:t>.</w:t>
      </w:r>
      <w:r>
        <w:rPr>
          <w:rStyle w:val="FootnoteReference"/>
        </w:rPr>
        <w:footnoteReference w:id="75"/>
      </w:r>
      <w:r w:rsidRPr="00331F68">
        <w:t xml:space="preserve"> </w:t>
      </w:r>
      <w:r w:rsidRPr="007274ED">
        <w:t xml:space="preserve"> </w:t>
      </w:r>
      <w:r>
        <w:t>The Scoping</w:t>
      </w:r>
      <w:r w:rsidR="001055B8">
        <w:t> </w:t>
      </w:r>
      <w:r>
        <w:t>Memo also asks</w:t>
      </w:r>
      <w:r w:rsidRPr="007274ED">
        <w:t xml:space="preserve"> whether</w:t>
      </w:r>
      <w:r>
        <w:t xml:space="preserve"> </w:t>
      </w:r>
      <w:r w:rsidRPr="007274ED">
        <w:t xml:space="preserve">pooling </w:t>
      </w:r>
      <w:r>
        <w:t>should be allowed in</w:t>
      </w:r>
      <w:r w:rsidRPr="007274ED">
        <w:t xml:space="preserve"> counties served by the Statewide Fund Administrator</w:t>
      </w:r>
      <w:r>
        <w:t xml:space="preserve"> or </w:t>
      </w:r>
      <w:r>
        <w:rPr>
          <w:rFonts w:cs="BookAntiqua"/>
          <w:szCs w:val="26"/>
        </w:rPr>
        <w:t>LAFA</w:t>
      </w:r>
      <w:r w:rsidRPr="007274ED">
        <w:rPr>
          <w:rFonts w:cs="BookAntiqua"/>
          <w:szCs w:val="26"/>
        </w:rPr>
        <w:t>, or both</w:t>
      </w:r>
      <w:r>
        <w:rPr>
          <w:rFonts w:cs="BookAntiqua"/>
          <w:szCs w:val="26"/>
        </w:rPr>
        <w:t>.</w:t>
      </w:r>
    </w:p>
    <w:p w:rsidRPr="00E33D2B" w:rsidR="00045C7C" w:rsidP="00045C7C" w:rsidRDefault="00045C7C" w14:paraId="2D6BB80E" w14:textId="0D4B1C7A">
      <w:pPr>
        <w:pStyle w:val="Standard"/>
        <w:rPr>
          <w:rFonts w:cs="BookAntiqua"/>
          <w:szCs w:val="26"/>
        </w:rPr>
      </w:pPr>
      <w:r>
        <w:rPr>
          <w:rFonts w:cs="BookAntiqua"/>
          <w:szCs w:val="26"/>
        </w:rPr>
        <w:t>CPED asserts that in certain counties, fee collection by TNCs does not represent demand for WAV services, as some communities rely more heavily on personal cars, over TNCs.</w:t>
      </w:r>
      <w:r>
        <w:rPr>
          <w:rStyle w:val="FootnoteReference"/>
          <w:rFonts w:cs="BookAntiqua"/>
          <w:szCs w:val="26"/>
        </w:rPr>
        <w:footnoteReference w:id="76"/>
      </w:r>
      <w:r>
        <w:rPr>
          <w:rFonts w:cs="BookAntiqua"/>
          <w:szCs w:val="26"/>
        </w:rPr>
        <w:t xml:space="preserve">  Therefore, the Access Fund fees collected may be limited despite a potential high need for WAV accessibility.  To address this, CPED recommends that Metropolitan Planning Organizations (MPO), Regional Transportation Planning Agencies (RTPA), or County Transportation Commission (CTC) that cover multiple counties should be allowed to pool Access Fund moneys across multiple counties and determine how Access Funds should be allocated between counties.  CPED also proposes that </w:t>
      </w:r>
      <w:proofErr w:type="gramStart"/>
      <w:r>
        <w:rPr>
          <w:rFonts w:cs="BookAntiqua"/>
          <w:szCs w:val="26"/>
        </w:rPr>
        <w:t>in order to</w:t>
      </w:r>
      <w:proofErr w:type="gramEnd"/>
      <w:r>
        <w:rPr>
          <w:rFonts w:cs="BookAntiqua"/>
          <w:szCs w:val="26"/>
        </w:rPr>
        <w:t xml:space="preserve"> maximize use of Access Funds, public transit agencies servicing should be </w:t>
      </w:r>
      <w:r>
        <w:rPr>
          <w:rFonts w:cs="BookAntiqua"/>
          <w:szCs w:val="26"/>
        </w:rPr>
        <w:lastRenderedPageBreak/>
        <w:t xml:space="preserve">eligible to apply as a LAFA.  CPED recommends that preference </w:t>
      </w:r>
      <w:r w:rsidR="008D4B7C">
        <w:rPr>
          <w:rFonts w:cs="BookAntiqua"/>
          <w:szCs w:val="26"/>
        </w:rPr>
        <w:t xml:space="preserve">for the LAFA </w:t>
      </w:r>
      <w:r>
        <w:rPr>
          <w:rFonts w:cs="BookAntiqua"/>
          <w:szCs w:val="26"/>
        </w:rPr>
        <w:t xml:space="preserve">should be given to eligible MPOs, RTPAs, and CTCs.  </w:t>
      </w:r>
    </w:p>
    <w:p w:rsidR="00045C7C" w:rsidP="00045C7C" w:rsidRDefault="00045C7C" w14:paraId="1880CE86" w14:textId="6A57435C">
      <w:pPr>
        <w:pStyle w:val="Standard"/>
      </w:pPr>
      <w:r>
        <w:t>Lyft supports CPED’s objective but argues that the Act does not allow for pooling of funds from different counties.</w:t>
      </w:r>
      <w:r>
        <w:rPr>
          <w:rStyle w:val="FootnoteReference"/>
        </w:rPr>
        <w:footnoteReference w:id="77"/>
      </w:r>
      <w:r>
        <w:t xml:space="preserve">  Lyft states that the geographic areas would have to be drawn differently to distribute funds in this manner.  San</w:t>
      </w:r>
      <w:r w:rsidR="001055B8">
        <w:t> </w:t>
      </w:r>
      <w:r>
        <w:t>Francisco supports CPED’s proposal but states there is no guidance as to what constitutes counties with “limited available funding.”</w:t>
      </w:r>
      <w:r>
        <w:rPr>
          <w:rStyle w:val="FootnoteReference"/>
        </w:rPr>
        <w:footnoteReference w:id="78"/>
      </w:r>
      <w:r>
        <w:t xml:space="preserve">  San</w:t>
      </w:r>
      <w:r w:rsidR="001055B8">
        <w:t> </w:t>
      </w:r>
      <w:r>
        <w:t xml:space="preserve">Francisco states that AFAs should be permitted to pool funds with other AFAs regardless of the total amount of available Access Fund monies.  </w:t>
      </w:r>
    </w:p>
    <w:p w:rsidR="00045C7C" w:rsidP="00045C7C" w:rsidRDefault="00045C7C" w14:paraId="207FB190" w14:textId="79E4F813">
      <w:pPr>
        <w:pStyle w:val="Standard"/>
      </w:pPr>
      <w:r>
        <w:t>The Commission recognizes that there are numerous California counties in which the amount of Access Fund fees collected is unlikely to be sufficient to build a viable WAV program by Access Providers,</w:t>
      </w:r>
      <w:r w:rsidRPr="005A76F8">
        <w:t xml:space="preserve"> </w:t>
      </w:r>
      <w:r>
        <w:t>despite accumulating Access Fund fees over the past several years.  That said, there is insufficient record support at this time to adopt a multi</w:t>
      </w:r>
      <w:r w:rsidR="001055B8">
        <w:noBreakHyphen/>
      </w:r>
      <w:r>
        <w:t xml:space="preserve">county pooling proposal.  </w:t>
      </w:r>
      <w:r w:rsidR="00F747D8">
        <w:t xml:space="preserve">We encourage parties to discuss this topic and potential solutions through the outreach working group and workshop.  </w:t>
      </w:r>
      <w:r>
        <w:t xml:space="preserve">We </w:t>
      </w:r>
      <w:r w:rsidR="00F747D8">
        <w:t xml:space="preserve">also </w:t>
      </w:r>
      <w:r>
        <w:t>note that SB</w:t>
      </w:r>
      <w:r w:rsidR="001055B8">
        <w:t> </w:t>
      </w:r>
      <w:r>
        <w:t>1376 requires that the 2024 Legislative Report include, among other things, “[t]he availability of unallocated funds in the Access Fund, including the need to reassess Access Fund allocations.”</w:t>
      </w:r>
      <w:r>
        <w:rPr>
          <w:rStyle w:val="FootnoteReference"/>
        </w:rPr>
        <w:footnoteReference w:id="79"/>
      </w:r>
      <w:r>
        <w:t xml:space="preserve">    </w:t>
      </w:r>
    </w:p>
    <w:p w:rsidR="00045C7C" w:rsidP="00045C7C" w:rsidRDefault="00045C7C" w14:paraId="5DCBB4B5" w14:textId="41C9826E">
      <w:pPr>
        <w:pStyle w:val="Standard"/>
        <w:rPr>
          <w:rFonts w:cs="BookAntiqua"/>
          <w:szCs w:val="26"/>
        </w:rPr>
      </w:pPr>
      <w:r>
        <w:t xml:space="preserve">We agree, however, with CPED’s proposal that </w:t>
      </w:r>
      <w:r>
        <w:rPr>
          <w:rFonts w:cs="BookAntiqua"/>
          <w:szCs w:val="26"/>
        </w:rPr>
        <w:t xml:space="preserve">public transit agencies should be eligible to apply as a LAFA, as such agencies have the appropriate knowledge of accessibility needs for their counties.  We agree that when selecting </w:t>
      </w:r>
      <w:r>
        <w:rPr>
          <w:rFonts w:cs="BookAntiqua"/>
          <w:szCs w:val="26"/>
        </w:rPr>
        <w:lastRenderedPageBreak/>
        <w:t>an appropriate LAFA, preference should be given to eligible MPOs, RTPA, or CTCs.  Accordingly, O</w:t>
      </w:r>
      <w:r w:rsidR="00957DCA">
        <w:rPr>
          <w:rFonts w:cs="BookAntiqua"/>
          <w:szCs w:val="26"/>
        </w:rPr>
        <w:t>P</w:t>
      </w:r>
      <w:r w:rsidR="001055B8">
        <w:rPr>
          <w:rFonts w:cs="BookAntiqua"/>
          <w:szCs w:val="26"/>
        </w:rPr>
        <w:t> </w:t>
      </w:r>
      <w:r>
        <w:rPr>
          <w:rFonts w:cs="BookAntiqua"/>
          <w:szCs w:val="26"/>
        </w:rPr>
        <w:t>29 of D.20</w:t>
      </w:r>
      <w:r w:rsidR="001055B8">
        <w:rPr>
          <w:rFonts w:cs="BookAntiqua"/>
          <w:szCs w:val="26"/>
        </w:rPr>
        <w:noBreakHyphen/>
      </w:r>
      <w:r>
        <w:rPr>
          <w:rFonts w:cs="BookAntiqua"/>
          <w:szCs w:val="26"/>
        </w:rPr>
        <w:t>03</w:t>
      </w:r>
      <w:r w:rsidR="001055B8">
        <w:rPr>
          <w:rFonts w:cs="BookAntiqua"/>
          <w:szCs w:val="26"/>
        </w:rPr>
        <w:noBreakHyphen/>
      </w:r>
      <w:r>
        <w:rPr>
          <w:rFonts w:cs="BookAntiqua"/>
          <w:szCs w:val="26"/>
        </w:rPr>
        <w:t>007 is modified to state as follows:</w:t>
      </w:r>
    </w:p>
    <w:p w:rsidRPr="00A3761B" w:rsidR="00045C7C" w:rsidP="001055B8" w:rsidRDefault="00045C7C" w14:paraId="6AE063F6" w14:textId="7F159CA6">
      <w:pPr>
        <w:pStyle w:val="Standard"/>
        <w:spacing w:after="120" w:line="240" w:lineRule="auto"/>
        <w:ind w:left="720" w:right="1440" w:firstLine="0"/>
        <w:rPr>
          <w:rFonts w:cs="BookAntiqua"/>
          <w:szCs w:val="26"/>
        </w:rPr>
      </w:pPr>
      <w:r>
        <w:t xml:space="preserve">A metropolitan planning organization (MPO), regional transportation planning agency (RTPA), </w:t>
      </w:r>
      <w:r w:rsidR="00ED7218">
        <w:t xml:space="preserve">county </w:t>
      </w:r>
      <w:r>
        <w:t>transportation commission (</w:t>
      </w:r>
      <w:r w:rsidR="00ED7218">
        <w:t>C</w:t>
      </w:r>
      <w:r>
        <w:t xml:space="preserve">TC), or public transit agency may apply to be an Access Fund administrator in its geographic area.  When selecting the Access Fund administrator, preference shall be given to an eligible MPO, RTPA, or </w:t>
      </w:r>
      <w:r w:rsidR="00ED7218">
        <w:t>C</w:t>
      </w:r>
      <w:r>
        <w:t>TC.</w:t>
      </w:r>
    </w:p>
    <w:p w:rsidR="00045C7C" w:rsidP="00045C7C" w:rsidRDefault="00045C7C" w14:paraId="79EA3CCB" w14:textId="1A20FBFE">
      <w:pPr>
        <w:pStyle w:val="Heading2"/>
      </w:pPr>
      <w:bookmarkStart w:name="_Toc125016614" w:id="46"/>
      <w:r>
        <w:t>Staff Delegation of Authority</w:t>
      </w:r>
      <w:bookmarkEnd w:id="46"/>
    </w:p>
    <w:p w:rsidR="00045C7C" w:rsidP="00045C7C" w:rsidRDefault="00045C7C" w14:paraId="5255F516" w14:textId="6C71286B">
      <w:pPr>
        <w:pStyle w:val="Standard"/>
      </w:pPr>
      <w:r>
        <w:t>In the Amended Track</w:t>
      </w:r>
      <w:r w:rsidR="001055B8">
        <w:t> </w:t>
      </w:r>
      <w:r>
        <w:t>5 Scoping</w:t>
      </w:r>
      <w:r w:rsidR="001055B8">
        <w:t> </w:t>
      </w:r>
      <w:r>
        <w:t>Memo, we stated that:</w:t>
      </w:r>
      <w:r>
        <w:rPr>
          <w:rStyle w:val="FootnoteReference"/>
        </w:rPr>
        <w:footnoteReference w:id="80"/>
      </w:r>
      <w:r>
        <w:t xml:space="preserve"> </w:t>
      </w:r>
    </w:p>
    <w:p w:rsidR="00045C7C" w:rsidP="001055B8" w:rsidRDefault="00045C7C" w14:paraId="46A821A9" w14:textId="561D0D84">
      <w:pPr>
        <w:pStyle w:val="Standard"/>
        <w:spacing w:after="120" w:line="240" w:lineRule="auto"/>
        <w:ind w:left="720" w:right="1440" w:firstLine="0"/>
        <w:rPr>
          <w:rFonts w:cs="Arial"/>
        </w:rPr>
      </w:pPr>
      <w:r w:rsidRPr="002779DD">
        <w:rPr>
          <w:rFonts w:cs="Arial"/>
        </w:rPr>
        <w:t>This proceeding is set to close in February</w:t>
      </w:r>
      <w:r w:rsidR="001055B8">
        <w:rPr>
          <w:rFonts w:cs="Arial"/>
        </w:rPr>
        <w:t> </w:t>
      </w:r>
      <w:r w:rsidRPr="002779DD">
        <w:rPr>
          <w:rFonts w:cs="Arial"/>
        </w:rPr>
        <w:t>2023, while the Access for All Act Program will sunset on January</w:t>
      </w:r>
      <w:r w:rsidR="001055B8">
        <w:rPr>
          <w:rFonts w:cs="Arial"/>
        </w:rPr>
        <w:t> </w:t>
      </w:r>
      <w:r w:rsidRPr="002779DD">
        <w:rPr>
          <w:rFonts w:cs="Arial"/>
        </w:rPr>
        <w:t>1,</w:t>
      </w:r>
      <w:r w:rsidR="001055B8">
        <w:rPr>
          <w:rFonts w:cs="Arial"/>
        </w:rPr>
        <w:t> </w:t>
      </w:r>
      <w:r w:rsidRPr="002779DD">
        <w:rPr>
          <w:rFonts w:cs="Arial"/>
        </w:rPr>
        <w:t>2026, pursuant to SB</w:t>
      </w:r>
      <w:r w:rsidR="001055B8">
        <w:rPr>
          <w:rFonts w:cs="Arial"/>
        </w:rPr>
        <w:t> </w:t>
      </w:r>
      <w:r w:rsidRPr="002779DD">
        <w:rPr>
          <w:rFonts w:cs="Arial"/>
        </w:rPr>
        <w:t xml:space="preserve">1376. </w:t>
      </w:r>
      <w:r>
        <w:rPr>
          <w:rFonts w:cs="Arial"/>
        </w:rPr>
        <w:t xml:space="preserve"> </w:t>
      </w:r>
      <w:r w:rsidRPr="002779DD">
        <w:rPr>
          <w:rFonts w:cs="Arial"/>
        </w:rPr>
        <w:t>Should Commission Staff be delegated authority to make decisions on certain aspects of the Access for All Program once the proceeding has closed?</w:t>
      </w:r>
      <w:r w:rsidR="001055B8">
        <w:rPr>
          <w:rFonts w:cs="Arial"/>
        </w:rPr>
        <w:t xml:space="preserve"> </w:t>
      </w:r>
      <w:r w:rsidRPr="002779DD">
        <w:rPr>
          <w:rFonts w:cs="Arial"/>
        </w:rPr>
        <w:t xml:space="preserve"> If so, which issues?</w:t>
      </w:r>
    </w:p>
    <w:p w:rsidR="00045C7C" w:rsidP="00045C7C" w:rsidRDefault="00045C7C" w14:paraId="3B2033FA" w14:textId="14F61EBC">
      <w:pPr>
        <w:pStyle w:val="Standard"/>
      </w:pPr>
      <w:r>
        <w:rPr>
          <w:rFonts w:cs="Arial"/>
        </w:rPr>
        <w:t>At this time, the Commission intends to extend the proceeding</w:t>
      </w:r>
      <w:r w:rsidR="003935B7">
        <w:rPr>
          <w:rFonts w:cs="Arial"/>
        </w:rPr>
        <w:t>’s</w:t>
      </w:r>
      <w:r>
        <w:rPr>
          <w:rFonts w:cs="Arial"/>
        </w:rPr>
        <w:t xml:space="preserve"> close date past February</w:t>
      </w:r>
      <w:r w:rsidR="001055B8">
        <w:rPr>
          <w:rFonts w:cs="Arial"/>
        </w:rPr>
        <w:t> </w:t>
      </w:r>
      <w:r>
        <w:rPr>
          <w:rFonts w:cs="Arial"/>
        </w:rPr>
        <w:t>2023.  Therefore, this issue need not be addressed at this time.</w:t>
      </w:r>
    </w:p>
    <w:p w:rsidR="005939A5" w:rsidP="005939A5" w:rsidRDefault="00045C7C" w14:paraId="30BE2599" w14:textId="0331C70F">
      <w:pPr>
        <w:pStyle w:val="Heading1"/>
      </w:pPr>
      <w:bookmarkStart w:name="_Toc125016615" w:id="47"/>
      <w:bookmarkEnd w:id="23"/>
      <w:r>
        <w:t>Comments on Proposed Decision</w:t>
      </w:r>
      <w:bookmarkEnd w:id="47"/>
    </w:p>
    <w:p w:rsidR="00EE6C8C" w:rsidP="00EE6C8C" w:rsidRDefault="00EE6C8C" w14:paraId="305EBE60" w14:textId="23357D52">
      <w:pPr>
        <w:pStyle w:val="Standard"/>
      </w:pPr>
      <w:r w:rsidRPr="00AE4BAB">
        <w:t xml:space="preserve">The proposed decision of Commissioner </w:t>
      </w:r>
      <w:r>
        <w:t>Genevieve</w:t>
      </w:r>
      <w:r w:rsidR="001055B8">
        <w:t> </w:t>
      </w:r>
      <w:r>
        <w:t>Shiroma in this matter was mailed to the parties in accordance with Section</w:t>
      </w:r>
      <w:r w:rsidR="001055B8">
        <w:t> </w:t>
      </w:r>
      <w:r>
        <w:t>311 of the Public</w:t>
      </w:r>
      <w:r w:rsidR="001055B8">
        <w:t> </w:t>
      </w:r>
      <w:r>
        <w:t>Utilities Code and comments were allowed under Rule</w:t>
      </w:r>
      <w:r w:rsidR="001055B8">
        <w:t> </w:t>
      </w:r>
      <w:r>
        <w:t xml:space="preserve">14.3 of the Commission’s Rules of Practice and Procedure.  Comments were filed on </w:t>
      </w:r>
      <w:r w:rsidR="0073316C">
        <w:t>February</w:t>
      </w:r>
      <w:r w:rsidR="005C4816">
        <w:t> </w:t>
      </w:r>
      <w:r w:rsidR="0073316C">
        <w:t>9,</w:t>
      </w:r>
      <w:r w:rsidR="005C4816">
        <w:t> </w:t>
      </w:r>
      <w:proofErr w:type="gramStart"/>
      <w:r w:rsidR="0073316C">
        <w:t>2023</w:t>
      </w:r>
      <w:proofErr w:type="gramEnd"/>
      <w:r w:rsidR="0073316C">
        <w:t xml:space="preserve"> by: </w:t>
      </w:r>
      <w:r w:rsidR="005C4816">
        <w:t xml:space="preserve"> </w:t>
      </w:r>
      <w:r w:rsidR="0073316C">
        <w:t>Disability Advocates, Lyft, San Francisco, and Uber.  R</w:t>
      </w:r>
      <w:r>
        <w:t xml:space="preserve">eply comments were filed on </w:t>
      </w:r>
      <w:r w:rsidR="00130216">
        <w:t>February</w:t>
      </w:r>
      <w:r w:rsidR="005C4816">
        <w:t> </w:t>
      </w:r>
      <w:r w:rsidR="00130216">
        <w:t>14,</w:t>
      </w:r>
      <w:r w:rsidR="005C4816">
        <w:t> </w:t>
      </w:r>
      <w:proofErr w:type="gramStart"/>
      <w:r w:rsidR="00130216">
        <w:t>2023</w:t>
      </w:r>
      <w:proofErr w:type="gramEnd"/>
      <w:r>
        <w:t xml:space="preserve"> by </w:t>
      </w:r>
      <w:r w:rsidR="00130216">
        <w:t>Disability Advocates, Lyft, San Francisco, SFTWA, and Uber</w:t>
      </w:r>
      <w:r w:rsidRPr="006E6574">
        <w:t>.</w:t>
      </w:r>
    </w:p>
    <w:p w:rsidRPr="00C2528A" w:rsidR="00C2528A" w:rsidP="00D41D53" w:rsidRDefault="00C2528A" w14:paraId="3438662F" w14:textId="476F2CA4">
      <w:pPr>
        <w:pStyle w:val="ALJBodyText"/>
        <w:rPr>
          <w:szCs w:val="26"/>
        </w:rPr>
      </w:pPr>
      <w:r>
        <w:rPr>
          <w:szCs w:val="26"/>
        </w:rPr>
        <w:t xml:space="preserve">All comments have been considered.  Significant aspects of the proposed decision that have been revised in response to comments are mentioned in this </w:t>
      </w:r>
      <w:r>
        <w:rPr>
          <w:szCs w:val="26"/>
        </w:rPr>
        <w:lastRenderedPageBreak/>
        <w:t xml:space="preserve">section.  We do not summarize every comment but rather, focus on major arguments made in which the Commission did or did not make revisions.  </w:t>
      </w:r>
    </w:p>
    <w:p w:rsidR="00C2528A" w:rsidP="00C2528A" w:rsidRDefault="0073316C" w14:paraId="5C986EA2" w14:textId="0E011061">
      <w:pPr>
        <w:pStyle w:val="Standard"/>
      </w:pPr>
      <w:r>
        <w:t xml:space="preserve">Uber </w:t>
      </w:r>
      <w:r w:rsidR="000C6EE8">
        <w:t>comments</w:t>
      </w:r>
      <w:r w:rsidR="004829D8">
        <w:t xml:space="preserve"> that SB</w:t>
      </w:r>
      <w:r w:rsidR="005C4816">
        <w:t> </w:t>
      </w:r>
      <w:r w:rsidR="004829D8">
        <w:t xml:space="preserve">1376 </w:t>
      </w:r>
      <w:r w:rsidR="0005621D">
        <w:t>does not</w:t>
      </w:r>
      <w:r w:rsidR="004829D8">
        <w:t xml:space="preserve"> authorize earmarking </w:t>
      </w:r>
      <w:r w:rsidR="0005621D">
        <w:t>Access Fund fees collected by product type (pre-scheduled or on-demand), arguing that the Act provides that Access Fund fees are available for qualifying on-demand WAV expenses.</w:t>
      </w:r>
      <w:r w:rsidR="0005621D">
        <w:rPr>
          <w:rStyle w:val="FootnoteReference"/>
        </w:rPr>
        <w:footnoteReference w:id="81"/>
      </w:r>
      <w:r w:rsidR="0005621D">
        <w:t xml:space="preserve">  Uber states </w:t>
      </w:r>
      <w:r>
        <w:t xml:space="preserve">that because the proposed decision caps Access Fund fees </w:t>
      </w:r>
      <w:r w:rsidR="00D232C2">
        <w:t>based</w:t>
      </w:r>
      <w:r>
        <w:t xml:space="preserve"> on </w:t>
      </w:r>
      <w:r w:rsidR="004829D8">
        <w:t xml:space="preserve">whether </w:t>
      </w:r>
      <w:r>
        <w:t xml:space="preserve">a TNC is approved for </w:t>
      </w:r>
      <w:r w:rsidR="004829D8">
        <w:t xml:space="preserve">an </w:t>
      </w:r>
      <w:r>
        <w:t xml:space="preserve">on-demand or pre-scheduled </w:t>
      </w:r>
      <w:r w:rsidR="004829D8">
        <w:t xml:space="preserve">WAV </w:t>
      </w:r>
      <w:r w:rsidR="0005621D">
        <w:t>offset</w:t>
      </w:r>
      <w:r>
        <w:t>,</w:t>
      </w:r>
      <w:r w:rsidR="00B570C9">
        <w:t xml:space="preserve"> if a TNC does not offer pre-scheduled WAV service, </w:t>
      </w:r>
      <w:r w:rsidR="00C2528A">
        <w:t xml:space="preserve">funds </w:t>
      </w:r>
      <w:r w:rsidR="00B570C9">
        <w:t>that would have gone to</w:t>
      </w:r>
      <w:r w:rsidR="00C2528A">
        <w:t>wards</w:t>
      </w:r>
      <w:r w:rsidR="00B570C9">
        <w:t xml:space="preserve"> improving on-demand WAV service </w:t>
      </w:r>
      <w:r w:rsidR="00D232C2">
        <w:t>are</w:t>
      </w:r>
      <w:r w:rsidR="00B570C9">
        <w:t xml:space="preserve"> unavailable to that TNC.</w:t>
      </w:r>
      <w:r>
        <w:t xml:space="preserve"> </w:t>
      </w:r>
      <w:r w:rsidR="004829D8">
        <w:t xml:space="preserve"> </w:t>
      </w:r>
      <w:r w:rsidR="004D4A6F">
        <w:t xml:space="preserve">Uber </w:t>
      </w:r>
      <w:r w:rsidR="000C6EE8">
        <w:t>contends</w:t>
      </w:r>
      <w:r w:rsidR="004D4A6F">
        <w:t xml:space="preserve"> that the </w:t>
      </w:r>
      <w:r w:rsidR="000C6EE8">
        <w:t>cap</w:t>
      </w:r>
      <w:r w:rsidR="004D4A6F">
        <w:t xml:space="preserve"> is </w:t>
      </w:r>
      <w:r w:rsidR="004829D8">
        <w:t>un</w:t>
      </w:r>
      <w:r w:rsidR="004D4A6F">
        <w:t xml:space="preserve">necessary as Access Fund fees will be awarded based on the proportion of </w:t>
      </w:r>
      <w:r w:rsidR="001245C6">
        <w:t>qualifying</w:t>
      </w:r>
      <w:r w:rsidR="004D4A6F">
        <w:t xml:space="preserve"> WAV trips in a county.  </w:t>
      </w:r>
      <w:r>
        <w:t xml:space="preserve">Uber </w:t>
      </w:r>
      <w:r w:rsidR="00C2528A">
        <w:t>also</w:t>
      </w:r>
      <w:r w:rsidR="00B570C9">
        <w:t xml:space="preserve"> </w:t>
      </w:r>
      <w:r w:rsidR="004829D8">
        <w:t>asserts that</w:t>
      </w:r>
      <w:r>
        <w:t xml:space="preserve"> </w:t>
      </w:r>
      <w:r w:rsidR="004829D8">
        <w:t>earmarking</w:t>
      </w:r>
      <w:r>
        <w:t xml:space="preserve"> fees </w:t>
      </w:r>
      <w:r w:rsidR="004829D8">
        <w:t xml:space="preserve">based on a particular type of service </w:t>
      </w:r>
      <w:r w:rsidR="00B570C9">
        <w:t>is beyond the scope of Track</w:t>
      </w:r>
      <w:r w:rsidR="005C4816">
        <w:t> </w:t>
      </w:r>
      <w:r w:rsidR="00B570C9">
        <w:t>5</w:t>
      </w:r>
      <w:r>
        <w:t xml:space="preserve">.  </w:t>
      </w:r>
    </w:p>
    <w:p w:rsidR="00C2528A" w:rsidP="0005621D" w:rsidRDefault="00285870" w14:paraId="7BDE9F05" w14:textId="44ACCD35">
      <w:pPr>
        <w:pStyle w:val="Standard"/>
      </w:pPr>
      <w:r>
        <w:t>Lyft agrees with Uber and states that the cap is an arbitrary amount dictated by standard TNC rides and is unrelated to the WAV service mix or costs in the WAV program.</w:t>
      </w:r>
      <w:r>
        <w:rPr>
          <w:rStyle w:val="FootnoteReference"/>
        </w:rPr>
        <w:footnoteReference w:id="82"/>
      </w:r>
      <w:r>
        <w:t xml:space="preserve">  Lyft </w:t>
      </w:r>
      <w:r w:rsidR="000C6EE8">
        <w:t>raises the</w:t>
      </w:r>
      <w:r>
        <w:t xml:space="preserve"> example </w:t>
      </w:r>
      <w:r w:rsidR="000C6EE8">
        <w:t xml:space="preserve">where </w:t>
      </w:r>
      <w:r>
        <w:t xml:space="preserve">a TNC’s standard service mix </w:t>
      </w:r>
      <w:r w:rsidR="0005621D">
        <w:t>is</w:t>
      </w:r>
      <w:r>
        <w:t xml:space="preserve"> 75% for on-demand trips</w:t>
      </w:r>
      <w:r w:rsidR="0005621D">
        <w:t xml:space="preserve"> and</w:t>
      </w:r>
      <w:r>
        <w:t xml:space="preserve"> 25% for pre-scheduled trips.  Lyft </w:t>
      </w:r>
      <w:r w:rsidR="000C6EE8">
        <w:t>states</w:t>
      </w:r>
      <w:r w:rsidR="0005621D">
        <w:t xml:space="preserve"> </w:t>
      </w:r>
      <w:r>
        <w:t xml:space="preserve">that if </w:t>
      </w:r>
      <w:r w:rsidR="0005621D">
        <w:t>that</w:t>
      </w:r>
      <w:r>
        <w:t xml:space="preserve"> WAV program’s service mix is 60% for on-demand and 40% for pre-scheduled, and the TN</w:t>
      </w:r>
      <w:r w:rsidR="000C6EE8">
        <w:t xml:space="preserve">C is approved for </w:t>
      </w:r>
      <w:r w:rsidR="00D232C2">
        <w:t xml:space="preserve">a </w:t>
      </w:r>
      <w:r>
        <w:t xml:space="preserve">pre-scheduled </w:t>
      </w:r>
      <w:r w:rsidR="0005621D">
        <w:t xml:space="preserve">WAV </w:t>
      </w:r>
      <w:r>
        <w:t xml:space="preserve">offset, </w:t>
      </w:r>
      <w:r w:rsidR="0005621D">
        <w:t xml:space="preserve">the TNC </w:t>
      </w:r>
      <w:r w:rsidR="000C6EE8">
        <w:t>would</w:t>
      </w:r>
      <w:r>
        <w:t xml:space="preserve"> be eligible for </w:t>
      </w:r>
      <w:r w:rsidR="0005621D">
        <w:t xml:space="preserve">reimbursement of 40% of its </w:t>
      </w:r>
      <w:r w:rsidR="000C6EE8">
        <w:t xml:space="preserve">WAV </w:t>
      </w:r>
      <w:r w:rsidR="0005621D">
        <w:t>expenses</w:t>
      </w:r>
      <w:r>
        <w:t xml:space="preserve">.  However, </w:t>
      </w:r>
      <w:r w:rsidR="000C6EE8">
        <w:t>due</w:t>
      </w:r>
      <w:r>
        <w:t xml:space="preserve"> </w:t>
      </w:r>
      <w:r w:rsidR="000C6EE8">
        <w:t>to</w:t>
      </w:r>
      <w:r>
        <w:t xml:space="preserve"> the cap, </w:t>
      </w:r>
      <w:r w:rsidR="0005621D">
        <w:t>the TN</w:t>
      </w:r>
      <w:r w:rsidR="00D232C2">
        <w:t>C is only</w:t>
      </w:r>
      <w:r>
        <w:t xml:space="preserve"> eligible for 25% of its fees</w:t>
      </w:r>
      <w:r w:rsidR="000C6EE8">
        <w:t xml:space="preserve">, the proportion collected </w:t>
      </w:r>
      <w:r w:rsidR="00D232C2">
        <w:t>based on a TNC’s</w:t>
      </w:r>
      <w:r w:rsidR="000C6EE8">
        <w:t xml:space="preserve"> standard pre-scheduled trips</w:t>
      </w:r>
      <w:r>
        <w:t>.  Lyft</w:t>
      </w:r>
      <w:r w:rsidR="00D232C2">
        <w:t xml:space="preserve"> and Uber</w:t>
      </w:r>
      <w:r>
        <w:t xml:space="preserve"> recommend removing the cap </w:t>
      </w:r>
      <w:r w:rsidR="00CF4436">
        <w:t>requirement</w:t>
      </w:r>
      <w:r>
        <w:t>.</w:t>
      </w:r>
      <w:r w:rsidR="0005621D">
        <w:t xml:space="preserve">  </w:t>
      </w:r>
    </w:p>
    <w:p w:rsidR="00783A1B" w:rsidP="00232EF5" w:rsidRDefault="00783A1B" w14:paraId="7FDEB942" w14:textId="59DE0C43">
      <w:pPr>
        <w:pStyle w:val="Standard"/>
      </w:pPr>
      <w:r>
        <w:lastRenderedPageBreak/>
        <w:t xml:space="preserve">Disability Advocates </w:t>
      </w:r>
      <w:r w:rsidR="00AE3522">
        <w:t>and San</w:t>
      </w:r>
      <w:r w:rsidR="00451706">
        <w:t> </w:t>
      </w:r>
      <w:r w:rsidR="00AE3522">
        <w:t xml:space="preserve">Francisco </w:t>
      </w:r>
      <w:r>
        <w:t xml:space="preserve">disagree </w:t>
      </w:r>
      <w:r w:rsidR="00AE3522">
        <w:t xml:space="preserve">with the assertion </w:t>
      </w:r>
      <w:r>
        <w:t>that the Act does not permit the Commission from disallowing fees collected from pre-scheduled trips to be used for on-demand trip expenses.</w:t>
      </w:r>
      <w:r>
        <w:rPr>
          <w:rStyle w:val="FootnoteReference"/>
        </w:rPr>
        <w:footnoteReference w:id="83"/>
      </w:r>
      <w:r>
        <w:t xml:space="preserve">  </w:t>
      </w:r>
      <w:r w:rsidR="00D2240E">
        <w:t>Disability Advocates</w:t>
      </w:r>
      <w:r>
        <w:t xml:space="preserve"> states that the Act prescribes only “minimum” requirements for offsets, giving the Commission the authority to add additional offset requirements.</w:t>
      </w:r>
    </w:p>
    <w:p w:rsidR="002E4F6F" w:rsidP="00896A7D" w:rsidRDefault="00FD05EB" w14:paraId="138434B9" w14:textId="61EAD206">
      <w:pPr>
        <w:pStyle w:val="Standard"/>
      </w:pPr>
      <w:r>
        <w:t xml:space="preserve">The intent of imposing a cap on Access Fund fees was to ensure that one type of WAV service </w:t>
      </w:r>
      <w:r w:rsidR="000C6EE8">
        <w:t>did</w:t>
      </w:r>
      <w:r>
        <w:t xml:space="preserve"> not overtake a TNC’s WAV program.  </w:t>
      </w:r>
      <w:r w:rsidR="000C6EE8">
        <w:t>The</w:t>
      </w:r>
      <w:r>
        <w:t xml:space="preserve"> Commission</w:t>
      </w:r>
      <w:r w:rsidR="000C6EE8">
        <w:t>, however,</w:t>
      </w:r>
      <w:r>
        <w:t xml:space="preserve"> did not intend to limit the amount of Access Funds available to a TNC that d</w:t>
      </w:r>
      <w:r w:rsidR="00D232C2">
        <w:t>oes</w:t>
      </w:r>
      <w:r>
        <w:t xml:space="preserve"> not offer pre-scheduled WAV service.  We also recognize that a TNC’s service mix for standard TNC rides may not correlate with a TNC’s service mix</w:t>
      </w:r>
      <w:r w:rsidR="000C6EE8">
        <w:t xml:space="preserve"> for WAV trips</w:t>
      </w:r>
      <w:r>
        <w:t xml:space="preserve">, </w:t>
      </w:r>
      <w:r w:rsidR="000C6EE8">
        <w:t>introducing</w:t>
      </w:r>
      <w:r>
        <w:t xml:space="preserve"> a disconnect when applying </w:t>
      </w:r>
      <w:r w:rsidR="000C6EE8">
        <w:t>the proposed</w:t>
      </w:r>
      <w:r>
        <w:t xml:space="preserve"> cap on Access Fund fees.  </w:t>
      </w:r>
      <w:r w:rsidR="00D232C2">
        <w:t>A</w:t>
      </w:r>
      <w:r>
        <w:t>cknowledg</w:t>
      </w:r>
      <w:r w:rsidR="00D232C2">
        <w:t>ing</w:t>
      </w:r>
      <w:r>
        <w:t xml:space="preserve"> </w:t>
      </w:r>
      <w:r w:rsidR="000C6EE8">
        <w:t>that there are</w:t>
      </w:r>
      <w:r>
        <w:t xml:space="preserve"> unintended consequences of imposing a cap on </w:t>
      </w:r>
      <w:r w:rsidR="000C6EE8">
        <w:t>offset</w:t>
      </w:r>
      <w:r>
        <w:t xml:space="preserve"> fees, </w:t>
      </w:r>
      <w:r w:rsidR="000C6EE8">
        <w:t>we are</w:t>
      </w:r>
      <w:r>
        <w:t xml:space="preserve"> persuaded that the cap on Access Fund fees should be removed.  </w:t>
      </w:r>
      <w:r w:rsidR="00896A7D">
        <w:t>The requirement that a TNC’s offset award will be based on a TNC’s proportion of pre-scheduled v</w:t>
      </w:r>
      <w:r w:rsidR="000C6EE8">
        <w:t>ersus</w:t>
      </w:r>
      <w:r w:rsidR="00896A7D">
        <w:t xml:space="preserve"> on-demand WAV service mix will remain in place.  </w:t>
      </w:r>
    </w:p>
    <w:p w:rsidR="002E4F6F" w:rsidP="002E4F6F" w:rsidRDefault="005B2C24" w14:paraId="66BD824D" w14:textId="0C7D91F6">
      <w:pPr>
        <w:pStyle w:val="Standard"/>
      </w:pPr>
      <w:r>
        <w:t>For</w:t>
      </w:r>
      <w:r w:rsidR="001C79F4">
        <w:t xml:space="preserve"> an exemption request approval, </w:t>
      </w:r>
      <w:r w:rsidR="00561C67">
        <w:t xml:space="preserve">we </w:t>
      </w:r>
      <w:r>
        <w:t>likewise agree that the fees retained for the future year should not be capped based on a TNC’s standard pre-scheduled versus on-demand service mix.</w:t>
      </w:r>
      <w:r w:rsidR="00561C67">
        <w:t xml:space="preserve"> </w:t>
      </w:r>
      <w:r>
        <w:t xml:space="preserve"> We find </w:t>
      </w:r>
      <w:r w:rsidR="00561C67">
        <w:t>it</w:t>
      </w:r>
      <w:r w:rsidR="001C79F4">
        <w:t xml:space="preserve"> reasonable that </w:t>
      </w:r>
      <w:r>
        <w:t>a TNC’s</w:t>
      </w:r>
      <w:r w:rsidR="001C79F4">
        <w:t xml:space="preserve"> </w:t>
      </w:r>
      <w:r w:rsidR="00622E51">
        <w:t>fees retained for the future year</w:t>
      </w:r>
      <w:r w:rsidR="001C79F4">
        <w:t xml:space="preserve"> should be based on </w:t>
      </w:r>
      <w:r w:rsidR="00622E51">
        <w:t>the</w:t>
      </w:r>
      <w:r w:rsidR="001C79F4">
        <w:t xml:space="preserve"> proportion of </w:t>
      </w:r>
      <w:r w:rsidR="00622E51">
        <w:t xml:space="preserve">the TNC’s </w:t>
      </w:r>
      <w:r w:rsidR="001C79F4">
        <w:t xml:space="preserve">pre-scheduled versus on-demand WAV service mix </w:t>
      </w:r>
      <w:r w:rsidR="002E4F6F">
        <w:t>for the prior year’s corresponding quarter.</w:t>
      </w:r>
      <w:r w:rsidR="001C79F4">
        <w:t xml:space="preserve"> </w:t>
      </w:r>
      <w:r w:rsidR="002E4F6F">
        <w:t xml:space="preserve"> </w:t>
      </w:r>
      <w:r w:rsidR="002E4F6F">
        <w:rPr>
          <w:rFonts w:cs="Garamond"/>
          <w:color w:val="000000"/>
          <w:szCs w:val="26"/>
        </w:rPr>
        <w:t>For</w:t>
      </w:r>
      <w:r w:rsidR="005C4816">
        <w:rPr>
          <w:rFonts w:cs="Garamond"/>
          <w:color w:val="000000"/>
          <w:szCs w:val="26"/>
        </w:rPr>
        <w:t> </w:t>
      </w:r>
      <w:r w:rsidR="002E4F6F">
        <w:rPr>
          <w:rFonts w:cs="Garamond"/>
          <w:color w:val="000000"/>
          <w:szCs w:val="26"/>
        </w:rPr>
        <w:t xml:space="preserve">example, if a TNC qualifies for an exemption for pre-scheduled WAV service and during the exemption eligibility period, the TNC’s service mix for </w:t>
      </w:r>
      <w:r w:rsidR="00561C67">
        <w:rPr>
          <w:rFonts w:cs="Garamond"/>
          <w:color w:val="000000"/>
          <w:szCs w:val="26"/>
        </w:rPr>
        <w:t>Quarter 1</w:t>
      </w:r>
      <w:r w:rsidR="002E4F6F">
        <w:rPr>
          <w:rFonts w:cs="Garamond"/>
          <w:color w:val="000000"/>
          <w:szCs w:val="26"/>
        </w:rPr>
        <w:t xml:space="preserve"> was 80% on-demand WAV and 20% pre-scheduled </w:t>
      </w:r>
      <w:r w:rsidR="002E4F6F">
        <w:rPr>
          <w:rFonts w:cs="Garamond"/>
          <w:color w:val="000000"/>
          <w:szCs w:val="26"/>
        </w:rPr>
        <w:lastRenderedPageBreak/>
        <w:t>WAV, then the TNC would retain 20% of Access Fund fees for the future Q</w:t>
      </w:r>
      <w:r w:rsidR="00561C67">
        <w:rPr>
          <w:rFonts w:cs="Garamond"/>
          <w:color w:val="000000"/>
          <w:szCs w:val="26"/>
        </w:rPr>
        <w:t>uarter</w:t>
      </w:r>
      <w:r w:rsidR="005C4816">
        <w:rPr>
          <w:rFonts w:cs="Garamond"/>
          <w:color w:val="000000"/>
          <w:szCs w:val="26"/>
        </w:rPr>
        <w:t> </w:t>
      </w:r>
      <w:r w:rsidR="00561C67">
        <w:rPr>
          <w:rFonts w:cs="Garamond"/>
          <w:color w:val="000000"/>
          <w:szCs w:val="26"/>
        </w:rPr>
        <w:t>1</w:t>
      </w:r>
      <w:r w:rsidR="002E4F6F">
        <w:rPr>
          <w:rFonts w:cs="Garamond"/>
          <w:color w:val="000000"/>
          <w:szCs w:val="26"/>
        </w:rPr>
        <w:t xml:space="preserve">.  </w:t>
      </w:r>
      <w:r w:rsidR="00760782">
        <w:rPr>
          <w:rFonts w:cs="Garamond"/>
          <w:color w:val="000000"/>
          <w:szCs w:val="26"/>
        </w:rPr>
        <w:t>If the TNC’s service mix for Q</w:t>
      </w:r>
      <w:r w:rsidR="00561C67">
        <w:rPr>
          <w:rFonts w:cs="Garamond"/>
          <w:color w:val="000000"/>
          <w:szCs w:val="26"/>
        </w:rPr>
        <w:t>uarter</w:t>
      </w:r>
      <w:r w:rsidR="005C4816">
        <w:rPr>
          <w:rFonts w:cs="Garamond"/>
          <w:color w:val="000000"/>
          <w:szCs w:val="26"/>
        </w:rPr>
        <w:t> </w:t>
      </w:r>
      <w:r w:rsidR="00561C67">
        <w:rPr>
          <w:rFonts w:cs="Garamond"/>
          <w:color w:val="000000"/>
          <w:szCs w:val="26"/>
        </w:rPr>
        <w:t>2</w:t>
      </w:r>
      <w:r w:rsidR="00760782">
        <w:rPr>
          <w:rFonts w:cs="Garamond"/>
          <w:color w:val="000000"/>
          <w:szCs w:val="26"/>
        </w:rPr>
        <w:t xml:space="preserve"> of the exemption eligibility period was 70% on-demand WAV and 30% pre-scheduled WAV, the TNC would retain 30% of Access Fund fees for the future Q</w:t>
      </w:r>
      <w:r w:rsidR="00561C67">
        <w:rPr>
          <w:rFonts w:cs="Garamond"/>
          <w:color w:val="000000"/>
          <w:szCs w:val="26"/>
        </w:rPr>
        <w:t>uarter 2.</w:t>
      </w:r>
      <w:r>
        <w:rPr>
          <w:rFonts w:cs="Garamond"/>
          <w:color w:val="000000"/>
          <w:szCs w:val="26"/>
        </w:rPr>
        <w:t xml:space="preserve">  </w:t>
      </w:r>
      <w:r>
        <w:t>The decision has been modified with these changes.</w:t>
      </w:r>
    </w:p>
    <w:p w:rsidR="003278B0" w:rsidP="003278B0" w:rsidRDefault="00FD05EB" w14:paraId="02F28205" w14:textId="6D067C76">
      <w:pPr>
        <w:pStyle w:val="Standard"/>
      </w:pPr>
      <w:r>
        <w:t xml:space="preserve">To </w:t>
      </w:r>
      <w:r w:rsidR="00896A7D">
        <w:t>ensur</w:t>
      </w:r>
      <w:r w:rsidR="005B2C24">
        <w:t>e</w:t>
      </w:r>
      <w:r w:rsidR="00896A7D">
        <w:t xml:space="preserve"> that </w:t>
      </w:r>
      <w:r w:rsidR="00FC6733">
        <w:t xml:space="preserve">pre-scheduled </w:t>
      </w:r>
      <w:r w:rsidR="00896A7D">
        <w:t xml:space="preserve">WAV service does not overtake a TNC’s WAV program, the Commission will instead monitor a TNC’s WAV service mix through the Offset Request </w:t>
      </w:r>
      <w:r w:rsidR="000C6EE8">
        <w:t xml:space="preserve">submissions.  Should the Commission observe that pre-scheduled WAV service is overtaking a TNC’s WAV offerings, the Commission </w:t>
      </w:r>
      <w:r w:rsidR="00896A7D">
        <w:t xml:space="preserve">may </w:t>
      </w:r>
      <w:r w:rsidR="000C6EE8">
        <w:t>consider</w:t>
      </w:r>
      <w:r w:rsidR="00896A7D">
        <w:t xml:space="preserve"> </w:t>
      </w:r>
      <w:r w:rsidR="000C6EE8">
        <w:t>modifying these requirements</w:t>
      </w:r>
      <w:r w:rsidR="008A5312">
        <w:t xml:space="preserve"> in the future</w:t>
      </w:r>
      <w:r w:rsidR="000C6EE8">
        <w:t xml:space="preserve">, </w:t>
      </w:r>
      <w:r w:rsidR="00896A7D">
        <w:t xml:space="preserve">as warranted.  </w:t>
      </w:r>
    </w:p>
    <w:p w:rsidR="00896A7D" w:rsidP="000639F6" w:rsidRDefault="00896A7D" w14:paraId="720741CE" w14:textId="0A408CFD">
      <w:pPr>
        <w:pStyle w:val="Standard"/>
      </w:pPr>
      <w:r>
        <w:t xml:space="preserve">Lyft reiterates comments that the pre-scheduled WAV trip response times </w:t>
      </w:r>
      <w:r w:rsidR="005B2C24">
        <w:t xml:space="preserve">in the proposed decision </w:t>
      </w:r>
      <w:r>
        <w:t>are “unattainable” and should not be adopted.</w:t>
      </w:r>
      <w:r>
        <w:rPr>
          <w:rStyle w:val="FootnoteReference"/>
        </w:rPr>
        <w:footnoteReference w:id="84"/>
      </w:r>
      <w:r>
        <w:t xml:space="preserve">  Lyft states that it will likely abandon its pre-scheduled WAV service unless there is </w:t>
      </w:r>
      <w:r w:rsidR="005B2C24">
        <w:t xml:space="preserve">a </w:t>
      </w:r>
      <w:r>
        <w:t>reasonable assurance of reimbursement for pre-scheduled WAV service</w:t>
      </w:r>
      <w:r w:rsidR="005B2C24">
        <w:t>.</w:t>
      </w:r>
      <w:r>
        <w:t xml:space="preserve">  San</w:t>
      </w:r>
      <w:r w:rsidR="005C4816">
        <w:t> </w:t>
      </w:r>
      <w:r>
        <w:t xml:space="preserve">Francisco and Disability Advocates </w:t>
      </w:r>
      <w:r w:rsidR="000639F6">
        <w:t>object to</w:t>
      </w:r>
      <w:r>
        <w:t xml:space="preserve"> Lyft’s comments, with San</w:t>
      </w:r>
      <w:r w:rsidR="005C4816">
        <w:t> </w:t>
      </w:r>
      <w:r>
        <w:t>Francisco stating that Lyft presents an alternative proposal that has not been developed in the record.</w:t>
      </w:r>
      <w:r>
        <w:rPr>
          <w:rStyle w:val="FootnoteReference"/>
        </w:rPr>
        <w:footnoteReference w:id="85"/>
      </w:r>
      <w:r w:rsidR="000639F6">
        <w:t xml:space="preserve">  </w:t>
      </w:r>
      <w:r>
        <w:t xml:space="preserve">While the Commission </w:t>
      </w:r>
      <w:r w:rsidR="000639F6">
        <w:t>stated</w:t>
      </w:r>
      <w:r>
        <w:t xml:space="preserve"> in this decision that the proposed response time benchmarks are not currently achievable when applied to existing WAV data, the Commission selected the</w:t>
      </w:r>
      <w:r w:rsidR="000639F6">
        <w:t>se</w:t>
      </w:r>
      <w:r>
        <w:t xml:space="preserve"> standards because they are stringent</w:t>
      </w:r>
      <w:r w:rsidR="000639F6">
        <w:t xml:space="preserve"> standards</w:t>
      </w:r>
      <w:r>
        <w:t xml:space="preserve"> </w:t>
      </w:r>
      <w:r w:rsidR="000639F6">
        <w:t>that</w:t>
      </w:r>
      <w:r>
        <w:t xml:space="preserve"> “</w:t>
      </w:r>
      <w:proofErr w:type="gramStart"/>
      <w:r>
        <w:t>incentivize</w:t>
      </w:r>
      <w:r w:rsidR="000639F6">
        <w:t>[</w:t>
      </w:r>
      <w:proofErr w:type="gramEnd"/>
      <w:r w:rsidR="000639F6">
        <w:t>]</w:t>
      </w:r>
      <w:r>
        <w:t xml:space="preserve"> increasingly higher performance metrics over time.”  The Commission </w:t>
      </w:r>
      <w:r w:rsidR="000639F6">
        <w:t>maintains</w:t>
      </w:r>
      <w:r>
        <w:t xml:space="preserve"> </w:t>
      </w:r>
      <w:r w:rsidR="000639F6">
        <w:t xml:space="preserve">that </w:t>
      </w:r>
      <w:r>
        <w:t>the</w:t>
      </w:r>
      <w:r w:rsidR="000639F6">
        <w:t xml:space="preserve"> adopted</w:t>
      </w:r>
      <w:r>
        <w:t xml:space="preserve"> standards are </w:t>
      </w:r>
      <w:r w:rsidR="000639F6">
        <w:t>appropriate</w:t>
      </w:r>
      <w:r>
        <w:t xml:space="preserve"> to incentivize higher performance metrics</w:t>
      </w:r>
      <w:r w:rsidR="000639F6">
        <w:t xml:space="preserve"> and we encourage Lyft to </w:t>
      </w:r>
      <w:r w:rsidR="000639F6">
        <w:lastRenderedPageBreak/>
        <w:t xml:space="preserve">attempt to meet higher performance standards, rather than simply abandoning a </w:t>
      </w:r>
      <w:r w:rsidR="008A5312">
        <w:t>valued</w:t>
      </w:r>
      <w:r w:rsidR="000639F6">
        <w:t xml:space="preserve"> WAV program.  We </w:t>
      </w:r>
      <w:r>
        <w:t>decline to modify the decision.</w:t>
      </w:r>
    </w:p>
    <w:p w:rsidR="00896A7D" w:rsidP="00896A7D" w:rsidRDefault="00896A7D" w14:paraId="27EEF8E3" w14:textId="640D672D">
      <w:pPr>
        <w:pStyle w:val="Standard"/>
      </w:pPr>
      <w:r>
        <w:t>Disability Advocates and San</w:t>
      </w:r>
      <w:r w:rsidR="005C4816">
        <w:t> </w:t>
      </w:r>
      <w:r>
        <w:t>Francisco seek clarification on how a TNC must “report the ultimate trip status for any WAV trip.”</w:t>
      </w:r>
      <w:r>
        <w:rPr>
          <w:rStyle w:val="FootnoteReference"/>
        </w:rPr>
        <w:footnoteReference w:id="86"/>
      </w:r>
      <w:r>
        <w:t xml:space="preserve">  Disability Advocates cite the example of a rider whose ride request </w:t>
      </w:r>
      <w:r w:rsidR="000639F6">
        <w:t>is</w:t>
      </w:r>
      <w:r>
        <w:t xml:space="preserve"> accepted, then cancelled by the driver.  The rider </w:t>
      </w:r>
      <w:r w:rsidR="000639F6">
        <w:t xml:space="preserve">then </w:t>
      </w:r>
      <w:r>
        <w:t xml:space="preserve">makes a second ride request that </w:t>
      </w:r>
      <w:r w:rsidR="000639F6">
        <w:t>is</w:t>
      </w:r>
      <w:r>
        <w:t xml:space="preserve"> accepted and completed by a different driver.  San</w:t>
      </w:r>
      <w:r w:rsidR="005C4816">
        <w:t> </w:t>
      </w:r>
      <w:r>
        <w:t xml:space="preserve">Francisco cites the example of a rider that requests a ride that is accepted, then cancelled by the driver.  A second driver then accepts the trip request and completes the trip.  </w:t>
      </w:r>
      <w:r w:rsidR="000639F6">
        <w:t>Disability Advocates and San</w:t>
      </w:r>
      <w:r w:rsidR="005C4816">
        <w:t> </w:t>
      </w:r>
      <w:r w:rsidR="000639F6">
        <w:t>Francisco</w:t>
      </w:r>
      <w:r>
        <w:t xml:space="preserve"> state that it is unclear whether these would be reported as a single</w:t>
      </w:r>
      <w:r w:rsidR="005C4816">
        <w:t> </w:t>
      </w:r>
      <w:r>
        <w:t xml:space="preserve">trip, or two separate trips.  </w:t>
      </w:r>
    </w:p>
    <w:p w:rsidR="00686B6D" w:rsidP="00896A7D" w:rsidRDefault="00896A7D" w14:paraId="171CEB06" w14:textId="3F7E863C">
      <w:pPr>
        <w:pStyle w:val="Standard"/>
      </w:pPr>
      <w:r>
        <w:t xml:space="preserve">Uber </w:t>
      </w:r>
      <w:r w:rsidR="000639F6">
        <w:t>responds</w:t>
      </w:r>
      <w:r>
        <w:t xml:space="preserve"> that in San Francisco’s example, because the request was cancelled by a driver and redirected to a new driver without a new request, the trip would be reported as a single trip.</w:t>
      </w:r>
      <w:r w:rsidR="000639F6">
        <w:rPr>
          <w:rStyle w:val="FootnoteReference"/>
        </w:rPr>
        <w:footnoteReference w:id="87"/>
      </w:r>
      <w:r>
        <w:t xml:space="preserve">  Under Disability Advocates’ example, because the first trip request was not redirected to a new driver and the passenger initiated a second request, the trips would be reflected as one uncompleted trip request and one completed trip request.  The Commission finds that Uber’s </w:t>
      </w:r>
      <w:r w:rsidR="008A5312">
        <w:t>comments</w:t>
      </w:r>
      <w:r>
        <w:t xml:space="preserve"> </w:t>
      </w:r>
      <w:r w:rsidR="008A5312">
        <w:t>are</w:t>
      </w:r>
      <w:r>
        <w:t xml:space="preserve"> </w:t>
      </w:r>
      <w:r w:rsidR="00A37FB2">
        <w:t>a helpful</w:t>
      </w:r>
      <w:r>
        <w:t xml:space="preserve"> </w:t>
      </w:r>
      <w:r w:rsidR="00E0742C">
        <w:t>explanation</w:t>
      </w:r>
      <w:r>
        <w:t xml:space="preserve"> </w:t>
      </w:r>
      <w:r w:rsidR="00A37FB2">
        <w:t>of</w:t>
      </w:r>
      <w:r w:rsidR="00E0742C">
        <w:t xml:space="preserve"> the “ultimate trip status</w:t>
      </w:r>
      <w:r w:rsidR="00A37FB2">
        <w:t xml:space="preserve"> for any WAV trip” and that modification of the decision is </w:t>
      </w:r>
      <w:r w:rsidR="008A5312">
        <w:t>not necessary</w:t>
      </w:r>
      <w:r w:rsidR="00A37FB2">
        <w:t xml:space="preserve">. </w:t>
      </w:r>
    </w:p>
    <w:p w:rsidR="0044268E" w:rsidP="00FE39AC" w:rsidRDefault="00B9746C" w14:paraId="79F5BAA8" w14:textId="704C8F08">
      <w:pPr>
        <w:pStyle w:val="Standard"/>
      </w:pPr>
      <w:r>
        <w:t>Lyft seeks clarification on the “pickup delay” definition for Wait &amp; Save trips and states that OP</w:t>
      </w:r>
      <w:r w:rsidR="00451706">
        <w:t> </w:t>
      </w:r>
      <w:r w:rsidR="00A37FB2">
        <w:t xml:space="preserve">9 </w:t>
      </w:r>
      <w:r>
        <w:t>seems to omit part of the intended requirement.</w:t>
      </w:r>
      <w:r>
        <w:rPr>
          <w:rStyle w:val="FootnoteReference"/>
        </w:rPr>
        <w:footnoteReference w:id="88"/>
      </w:r>
      <w:r>
        <w:t xml:space="preserve">  Lyft </w:t>
      </w:r>
      <w:r w:rsidR="008A5312">
        <w:t xml:space="preserve">also </w:t>
      </w:r>
      <w:r w:rsidR="00A37FB2">
        <w:t>asserts</w:t>
      </w:r>
      <w:r>
        <w:t xml:space="preserve"> that </w:t>
      </w:r>
      <w:r w:rsidR="00A37FB2">
        <w:t>OP</w:t>
      </w:r>
      <w:r w:rsidR="00451706">
        <w:t> </w:t>
      </w:r>
      <w:r w:rsidR="00A37FB2">
        <w:t>9</w:t>
      </w:r>
      <w:r>
        <w:t xml:space="preserve"> omits the example in the body of the decision that clarifies </w:t>
      </w:r>
      <w:r>
        <w:lastRenderedPageBreak/>
        <w:t>that the delayed pick-up time refers to the upper bound of the time range to which the passenger agreed.  Disability Advocates and San</w:t>
      </w:r>
      <w:r w:rsidR="00451706">
        <w:t> </w:t>
      </w:r>
      <w:r>
        <w:t xml:space="preserve">Francisco disagree that the upper bound of the range should be applied, as it would give Lyft discretion to determine the time range for </w:t>
      </w:r>
      <w:r w:rsidR="00A37FB2">
        <w:t>trips</w:t>
      </w:r>
      <w:r>
        <w:t>.</w:t>
      </w:r>
      <w:r>
        <w:rPr>
          <w:rStyle w:val="FootnoteReference"/>
        </w:rPr>
        <w:footnoteReference w:id="89"/>
      </w:r>
      <w:r w:rsidR="00FE39AC">
        <w:t xml:space="preserve">  </w:t>
      </w:r>
      <w:r w:rsidR="00D8709B">
        <w:t xml:space="preserve">Regarding the first omission, </w:t>
      </w:r>
      <w:r w:rsidR="00A37FB2">
        <w:t>OP</w:t>
      </w:r>
      <w:r w:rsidR="00451706">
        <w:t> </w:t>
      </w:r>
      <w:r w:rsidR="00D8709B">
        <w:t xml:space="preserve">9 </w:t>
      </w:r>
      <w:r w:rsidR="00A37FB2">
        <w:t xml:space="preserve">of the proposed decision </w:t>
      </w:r>
      <w:r w:rsidR="00D8709B">
        <w:t xml:space="preserve">includes the language Lyft </w:t>
      </w:r>
      <w:r w:rsidR="005B2C24">
        <w:t>states</w:t>
      </w:r>
      <w:r w:rsidR="00D8709B">
        <w:t xml:space="preserve"> </w:t>
      </w:r>
      <w:r w:rsidR="00A37FB2">
        <w:t>has been</w:t>
      </w:r>
      <w:r w:rsidR="00D8709B">
        <w:t xml:space="preserve"> omitted so it is unclear what Lyft is referring to.  For the second omission, t</w:t>
      </w:r>
      <w:r w:rsidR="00010EC6">
        <w:t xml:space="preserve">he Commission </w:t>
      </w:r>
      <w:r>
        <w:t xml:space="preserve">agrees that the upper bound of the time range was intended to be applied when referring to the pick-up </w:t>
      </w:r>
      <w:r w:rsidR="00A37FB2">
        <w:t xml:space="preserve">delay </w:t>
      </w:r>
      <w:r>
        <w:t xml:space="preserve">time, as is stated in the body of the proposed decision.  </w:t>
      </w:r>
      <w:r w:rsidR="00D8709B">
        <w:t xml:space="preserve">The decision has been modified to </w:t>
      </w:r>
      <w:r w:rsidR="00A37FB2">
        <w:t>correct</w:t>
      </w:r>
      <w:r w:rsidR="00D8709B">
        <w:t xml:space="preserve"> this.</w:t>
      </w:r>
    </w:p>
    <w:p w:rsidR="0044268E" w:rsidP="00752713" w:rsidRDefault="00084233" w14:paraId="5059399A" w14:textId="7F91040A">
      <w:pPr>
        <w:pStyle w:val="Standard"/>
      </w:pPr>
      <w:r>
        <w:t>Uber recommends that</w:t>
      </w:r>
      <w:r w:rsidR="007C595F">
        <w:t xml:space="preserve"> a</w:t>
      </w:r>
      <w:r>
        <w:t xml:space="preserve"> TNC </w:t>
      </w:r>
      <w:r w:rsidR="00B9746C">
        <w:t>be allowed to include</w:t>
      </w:r>
      <w:r>
        <w:t xml:space="preserve"> new data reporting requirements </w:t>
      </w:r>
      <w:r w:rsidR="007C595F">
        <w:t xml:space="preserve">in </w:t>
      </w:r>
      <w:r>
        <w:t>an Offset Request</w:t>
      </w:r>
      <w:r w:rsidR="007C595F">
        <w:t xml:space="preserve"> if it is already submitting one for that quarter,</w:t>
      </w:r>
      <w:r>
        <w:t xml:space="preserve"> </w:t>
      </w:r>
      <w:r w:rsidR="00D5692C">
        <w:t>rather than a</w:t>
      </w:r>
      <w:r w:rsidR="007C595F">
        <w:t xml:space="preserve">n </w:t>
      </w:r>
      <w:r w:rsidR="00D5692C">
        <w:t>Information Only Advice Letter, to reduce the administrative burden on TNCs and Commission Staff.</w:t>
      </w:r>
      <w:r w:rsidR="00D5692C">
        <w:rPr>
          <w:rStyle w:val="FootnoteReference"/>
        </w:rPr>
        <w:footnoteReference w:id="90"/>
      </w:r>
      <w:r w:rsidR="00D97231">
        <w:t xml:space="preserve">  Uber suggests that if a TNC is applying for an offset in a quarter, it should include new reporting for non-offset counties in that same Advice Letter.</w:t>
      </w:r>
      <w:r w:rsidR="0044268E">
        <w:t xml:space="preserve"> </w:t>
      </w:r>
      <w:r w:rsidR="00DD78DB">
        <w:t xml:space="preserve"> </w:t>
      </w:r>
      <w:r w:rsidR="00866ADC">
        <w:t xml:space="preserve">Lyft </w:t>
      </w:r>
      <w:r w:rsidR="00F26348">
        <w:t xml:space="preserve">and San Francisco </w:t>
      </w:r>
      <w:r w:rsidR="00866ADC">
        <w:t>agree with this</w:t>
      </w:r>
      <w:r w:rsidR="00B9746C">
        <w:t xml:space="preserve"> recommendation</w:t>
      </w:r>
      <w:r w:rsidR="00866ADC">
        <w:t>.</w:t>
      </w:r>
      <w:r w:rsidR="004D741B">
        <w:rPr>
          <w:rStyle w:val="FootnoteReference"/>
        </w:rPr>
        <w:footnoteReference w:id="91"/>
      </w:r>
      <w:r w:rsidR="00B9746C">
        <w:t xml:space="preserve">  </w:t>
      </w:r>
      <w:r w:rsidR="00DD78DB">
        <w:t xml:space="preserve">The Commission agrees that a TNC that is seeking an offset or exemption in a given quarter may submit additional data reporting requirements in the same Advice Letter for non-offset or non-exemption counties as well.  If a TNC is not seeking an offset or exemption in a given quarter, the TNC </w:t>
      </w:r>
      <w:r w:rsidR="005B2C24">
        <w:t>shall</w:t>
      </w:r>
      <w:r w:rsidR="00DD78DB">
        <w:t xml:space="preserve"> use the Information Only Advice Letter process.  The decision has been modified to reflect this. </w:t>
      </w:r>
    </w:p>
    <w:p w:rsidR="001A3717" w:rsidP="00454C3A" w:rsidRDefault="00F91D3C" w14:paraId="50047F43" w14:textId="4FE78C69">
      <w:pPr>
        <w:pStyle w:val="Standard"/>
      </w:pPr>
      <w:r>
        <w:lastRenderedPageBreak/>
        <w:t xml:space="preserve">Lyft and Uber recommend removing the requirement that </w:t>
      </w:r>
      <w:r w:rsidR="00D97231">
        <w:t>TNCs include information about disability access and WAVs in general marketing campaigns</w:t>
      </w:r>
      <w:r>
        <w:t>.</w:t>
      </w:r>
      <w:r>
        <w:rPr>
          <w:rStyle w:val="FootnoteReference"/>
        </w:rPr>
        <w:footnoteReference w:id="92"/>
      </w:r>
      <w:r w:rsidR="00D97231">
        <w:t xml:space="preserve"> </w:t>
      </w:r>
      <w:r>
        <w:t xml:space="preserve">Lyft and Uber </w:t>
      </w:r>
      <w:r w:rsidR="00752713">
        <w:t>argue</w:t>
      </w:r>
      <w:r>
        <w:t xml:space="preserve"> that it </w:t>
      </w:r>
      <w:r w:rsidR="00D97231">
        <w:t>is too vague to provide TNCs with meaningful instruction on how to comply</w:t>
      </w:r>
      <w:r>
        <w:t xml:space="preserve">.  Uber states that </w:t>
      </w:r>
      <w:r w:rsidR="001734BA">
        <w:t xml:space="preserve">due to the relatively low demand for WAV services, targeted outreach to disability communities </w:t>
      </w:r>
      <w:r w:rsidR="00752713">
        <w:t>will</w:t>
      </w:r>
      <w:r w:rsidR="001734BA">
        <w:t xml:space="preserve"> yield better results for increasing </w:t>
      </w:r>
      <w:r w:rsidR="00752713">
        <w:t xml:space="preserve">WAV user </w:t>
      </w:r>
      <w:r w:rsidR="001734BA">
        <w:t>engagement.</w:t>
      </w:r>
      <w:r>
        <w:t xml:space="preserve">  Lyft states that the Commission should await the result</w:t>
      </w:r>
      <w:r w:rsidR="00752713">
        <w:t>s</w:t>
      </w:r>
      <w:r>
        <w:t xml:space="preserve"> of additional reporting, TNC self-evaluation</w:t>
      </w:r>
      <w:r w:rsidR="00752713">
        <w:t>,</w:t>
      </w:r>
      <w:r>
        <w:t xml:space="preserve"> and staff analysis to better understand what marketing methods would be effective. </w:t>
      </w:r>
    </w:p>
    <w:p w:rsidR="008304F1" w:rsidP="008304F1" w:rsidRDefault="003C19D1" w14:paraId="46F2A3FA" w14:textId="5BCAA32E">
      <w:pPr>
        <w:pStyle w:val="Standard"/>
      </w:pPr>
      <w:r>
        <w:t xml:space="preserve">Disability Advocates </w:t>
      </w:r>
      <w:r w:rsidR="008304F1">
        <w:t>respond</w:t>
      </w:r>
      <w:r w:rsidR="005B2C24">
        <w:t>s</w:t>
      </w:r>
      <w:r>
        <w:t xml:space="preserve"> </w:t>
      </w:r>
      <w:r w:rsidR="008304F1">
        <w:t xml:space="preserve">that there are </w:t>
      </w:r>
      <w:r w:rsidR="00CF4436">
        <w:t>several</w:t>
      </w:r>
      <w:r w:rsidR="008304F1">
        <w:t xml:space="preserve"> </w:t>
      </w:r>
      <w:r w:rsidR="008A5312">
        <w:t>ways</w:t>
      </w:r>
      <w:r w:rsidR="008304F1">
        <w:t xml:space="preserve"> that </w:t>
      </w:r>
      <w:r w:rsidR="008030FF">
        <w:t>a TNC may</w:t>
      </w:r>
      <w:r w:rsidR="008304F1">
        <w:t xml:space="preserve"> </w:t>
      </w:r>
      <w:r w:rsidR="008030FF">
        <w:t>meet this requirement</w:t>
      </w:r>
      <w:r w:rsidR="008304F1">
        <w:t>, including providing a message or banner in a TNC’s app to explain that WAV services are available</w:t>
      </w:r>
      <w:r>
        <w:t>.</w:t>
      </w:r>
      <w:r>
        <w:rPr>
          <w:rStyle w:val="FootnoteReference"/>
        </w:rPr>
        <w:footnoteReference w:id="93"/>
      </w:r>
      <w:r>
        <w:t xml:space="preserve">  </w:t>
      </w:r>
      <w:r w:rsidR="00257575">
        <w:t xml:space="preserve">San Francisco </w:t>
      </w:r>
      <w:r w:rsidR="008030FF">
        <w:t>similarly comments</w:t>
      </w:r>
      <w:r w:rsidR="00257575">
        <w:t xml:space="preserve"> that there are many strategies for incorporating WAV and accessibility information in</w:t>
      </w:r>
      <w:r w:rsidR="00DE55D4">
        <w:t>to</w:t>
      </w:r>
      <w:r w:rsidR="00257575">
        <w:t xml:space="preserve"> general marketing campaigns and that TNCs have flexibility to determine which is most effective.</w:t>
      </w:r>
      <w:r w:rsidR="00085438">
        <w:rPr>
          <w:rStyle w:val="FootnoteReference"/>
        </w:rPr>
        <w:footnoteReference w:id="94"/>
      </w:r>
    </w:p>
    <w:p w:rsidR="00CA3B29" w:rsidP="009733EB" w:rsidRDefault="008304F1" w14:paraId="3EE0D14C" w14:textId="441823DC">
      <w:pPr>
        <w:pStyle w:val="Standard"/>
      </w:pPr>
      <w:r>
        <w:t>The Commission agrees with Disability Advocates and San</w:t>
      </w:r>
      <w:r w:rsidR="00451706">
        <w:t> </w:t>
      </w:r>
      <w:r>
        <w:t xml:space="preserve">Francisco that there are </w:t>
      </w:r>
      <w:r w:rsidR="00CB75AC">
        <w:t>numerous</w:t>
      </w:r>
      <w:r>
        <w:t xml:space="preserve"> </w:t>
      </w:r>
      <w:r w:rsidR="008A5312">
        <w:t>approaches</w:t>
      </w:r>
      <w:r>
        <w:t xml:space="preserve"> </w:t>
      </w:r>
      <w:r w:rsidR="003278B0">
        <w:t>a</w:t>
      </w:r>
      <w:r>
        <w:t xml:space="preserve"> TNC c</w:t>
      </w:r>
      <w:r w:rsidR="008A5312">
        <w:t xml:space="preserve">an take to </w:t>
      </w:r>
      <w:r w:rsidR="00DE55D4">
        <w:t>include</w:t>
      </w:r>
      <w:r w:rsidR="00CA3B29">
        <w:t xml:space="preserve"> information about WAVs and disability access in</w:t>
      </w:r>
      <w:r w:rsidR="00CB75AC">
        <w:t>to</w:t>
      </w:r>
      <w:r w:rsidR="00CA3B29">
        <w:t xml:space="preserve"> general marketing campaigns.  We also agree that</w:t>
      </w:r>
      <w:r w:rsidR="00CB75AC">
        <w:t>,</w:t>
      </w:r>
      <w:r w:rsidR="00CA3B29">
        <w:t xml:space="preserve"> as with </w:t>
      </w:r>
      <w:r w:rsidR="008A5312">
        <w:t xml:space="preserve">the </w:t>
      </w:r>
      <w:r w:rsidR="00DE55D4">
        <w:t>administration of</w:t>
      </w:r>
      <w:r w:rsidR="00CA3B29">
        <w:t xml:space="preserve"> the annual outreach plan</w:t>
      </w:r>
      <w:r w:rsidR="00DE55D4">
        <w:t>s</w:t>
      </w:r>
      <w:r w:rsidR="00CA3B29">
        <w:t>, TNCs</w:t>
      </w:r>
      <w:r>
        <w:t xml:space="preserve"> </w:t>
      </w:r>
      <w:r w:rsidR="00DE55D4">
        <w:t xml:space="preserve">should </w:t>
      </w:r>
      <w:r>
        <w:t xml:space="preserve">have flexibility </w:t>
      </w:r>
      <w:r w:rsidR="00CA3B29">
        <w:t xml:space="preserve">to determine what the best approach </w:t>
      </w:r>
      <w:r w:rsidR="00DE55D4">
        <w:t xml:space="preserve">is </w:t>
      </w:r>
      <w:r w:rsidR="00CA3B29">
        <w:t xml:space="preserve">to </w:t>
      </w:r>
      <w:r w:rsidR="00DE55D4">
        <w:t>satisfy</w:t>
      </w:r>
      <w:r w:rsidR="00CA3B29">
        <w:t xml:space="preserve"> this requirement.</w:t>
      </w:r>
      <w:r>
        <w:t xml:space="preserve"> </w:t>
      </w:r>
      <w:r w:rsidR="00CA3B29">
        <w:t xml:space="preserve"> The Commission declines to modify this requirement but clarifies in the decision that TNCs have flexibility to determine how best to meet this requirement.</w:t>
      </w:r>
    </w:p>
    <w:p w:rsidR="00CA3B29" w:rsidP="008B02D4" w:rsidRDefault="00CA3B29" w14:paraId="600D28B0" w14:textId="2F939C03">
      <w:pPr>
        <w:pStyle w:val="Standard"/>
      </w:pPr>
      <w:r>
        <w:t>San</w:t>
      </w:r>
      <w:r w:rsidR="00451706">
        <w:t> </w:t>
      </w:r>
      <w:r>
        <w:t>Francisco comments t</w:t>
      </w:r>
      <w:r w:rsidR="005402C1">
        <w:t>hat</w:t>
      </w:r>
      <w:r>
        <w:t xml:space="preserve"> </w:t>
      </w:r>
      <w:r w:rsidR="009733EB">
        <w:t>the</w:t>
      </w:r>
      <w:r>
        <w:t xml:space="preserve"> binary approach </w:t>
      </w:r>
      <w:r w:rsidR="005402C1">
        <w:t xml:space="preserve">for Wait &amp; Save trips </w:t>
      </w:r>
      <w:r>
        <w:t xml:space="preserve">creates confusion </w:t>
      </w:r>
      <w:r w:rsidR="009733EB">
        <w:t>with</w:t>
      </w:r>
      <w:r>
        <w:t xml:space="preserve"> non-binary standards</w:t>
      </w:r>
      <w:r w:rsidR="009733EB">
        <w:t>, making it difficult</w:t>
      </w:r>
      <w:r>
        <w:t xml:space="preserve"> to understand </w:t>
      </w:r>
      <w:r>
        <w:lastRenderedPageBreak/>
        <w:t>the true number and share of trips meeting the response time standards.</w:t>
      </w:r>
      <w:r>
        <w:rPr>
          <w:rStyle w:val="FootnoteReference"/>
        </w:rPr>
        <w:footnoteReference w:id="95"/>
      </w:r>
      <w:r>
        <w:t xml:space="preserve">  SFTWA and Disability Advocates agree with San</w:t>
      </w:r>
      <w:r w:rsidR="00451706">
        <w:t> </w:t>
      </w:r>
      <w:r>
        <w:t>Francisco.</w:t>
      </w:r>
      <w:r>
        <w:rPr>
          <w:rStyle w:val="FootnoteReference"/>
        </w:rPr>
        <w:footnoteReference w:id="96"/>
      </w:r>
      <w:r>
        <w:t xml:space="preserve">  </w:t>
      </w:r>
      <w:r w:rsidR="008B02D4">
        <w:t>Disability Advocates</w:t>
      </w:r>
      <w:r w:rsidR="00135F78">
        <w:t xml:space="preserve"> </w:t>
      </w:r>
      <w:r w:rsidR="008B02D4">
        <w:t>state</w:t>
      </w:r>
      <w:r w:rsidR="00135F78">
        <w:t>s that</w:t>
      </w:r>
      <w:r w:rsidR="008B02D4">
        <w:t xml:space="preserve"> Wait &amp; Save trips should be categorized as pre-scheduled trips, not on-demand trips.</w:t>
      </w:r>
      <w:r w:rsidR="008B02D4">
        <w:rPr>
          <w:rStyle w:val="FootnoteReference"/>
        </w:rPr>
        <w:footnoteReference w:id="97"/>
      </w:r>
      <w:r w:rsidR="008B02D4">
        <w:t xml:space="preserve">  </w:t>
      </w:r>
      <w:r>
        <w:t xml:space="preserve">Lyft </w:t>
      </w:r>
      <w:r w:rsidR="008B02D4">
        <w:t>responds</w:t>
      </w:r>
      <w:r>
        <w:t xml:space="preserve"> that the treatment of “on time” for Wait &amp; Save trips is the same as for on-demand trips, and that </w:t>
      </w:r>
      <w:r w:rsidR="00BF259A">
        <w:t>a</w:t>
      </w:r>
      <w:r>
        <w:t xml:space="preserve"> TNC in both instances is being measured as to whether </w:t>
      </w:r>
      <w:r w:rsidR="00594D95">
        <w:t>it</w:t>
      </w:r>
      <w:r>
        <w:t xml:space="preserve"> ha</w:t>
      </w:r>
      <w:r w:rsidR="00594D95">
        <w:t>s</w:t>
      </w:r>
      <w:r>
        <w:t xml:space="preserve"> met the user’s expectations.</w:t>
      </w:r>
      <w:r>
        <w:rPr>
          <w:rStyle w:val="FootnoteReference"/>
        </w:rPr>
        <w:footnoteReference w:id="98"/>
      </w:r>
      <w:r w:rsidRPr="00594D95" w:rsidR="00594D95">
        <w:t xml:space="preserve"> </w:t>
      </w:r>
      <w:r w:rsidR="00594D95">
        <w:t xml:space="preserve"> </w:t>
      </w:r>
    </w:p>
    <w:p w:rsidRPr="005402C1" w:rsidR="00072184" w:rsidP="00D41D53" w:rsidRDefault="005402C1" w14:paraId="6BBE315C" w14:textId="4E9E41CE">
      <w:pPr>
        <w:autoSpaceDE w:val="0"/>
        <w:autoSpaceDN w:val="0"/>
        <w:adjustRightInd w:val="0"/>
        <w:rPr>
          <w:rFonts w:cs="Arial"/>
          <w:szCs w:val="26"/>
        </w:rPr>
      </w:pPr>
      <w:r>
        <w:rPr>
          <w:rFonts w:cs="Arial"/>
          <w:szCs w:val="26"/>
        </w:rPr>
        <w:t xml:space="preserve">As discussed in this decision, the Commission finds that Lyft’s approach is a reasonable solution that measures response time based on a passenger’s “on time” expectation, while not penalizing TNCs for offering a feature strongly valued by WAV passengers.  We maintain this position.  </w:t>
      </w:r>
      <w:r w:rsidR="00135F78">
        <w:rPr>
          <w:rFonts w:cs="Arial"/>
          <w:szCs w:val="26"/>
        </w:rPr>
        <w:t>As</w:t>
      </w:r>
      <w:r>
        <w:t xml:space="preserve"> stated in this decision</w:t>
      </w:r>
      <w:r w:rsidR="00CA3B29">
        <w:t xml:space="preserve">, </w:t>
      </w:r>
      <w:r w:rsidR="00CA3B29">
        <w:rPr>
          <w:rFonts w:cs="Arial"/>
          <w:szCs w:val="26"/>
        </w:rPr>
        <w:t>nearly all parties, including Disability Advocates</w:t>
      </w:r>
      <w:r>
        <w:rPr>
          <w:rFonts w:cs="Arial"/>
          <w:szCs w:val="26"/>
        </w:rPr>
        <w:t xml:space="preserve">, </w:t>
      </w:r>
      <w:r w:rsidR="00CA3B29">
        <w:rPr>
          <w:rFonts w:cs="Arial"/>
          <w:szCs w:val="26"/>
        </w:rPr>
        <w:t xml:space="preserve">supported </w:t>
      </w:r>
      <w:r>
        <w:rPr>
          <w:rFonts w:cs="Arial"/>
          <w:szCs w:val="26"/>
        </w:rPr>
        <w:t>categorizing</w:t>
      </w:r>
      <w:r w:rsidR="00CA3B29">
        <w:rPr>
          <w:rFonts w:cs="Arial"/>
          <w:szCs w:val="26"/>
        </w:rPr>
        <w:t xml:space="preserve"> Wait &amp; Save trips </w:t>
      </w:r>
      <w:r>
        <w:rPr>
          <w:rFonts w:cs="Arial"/>
          <w:szCs w:val="26"/>
        </w:rPr>
        <w:t>as</w:t>
      </w:r>
      <w:r w:rsidR="00CA3B29">
        <w:rPr>
          <w:rFonts w:cs="Arial"/>
          <w:szCs w:val="26"/>
        </w:rPr>
        <w:t xml:space="preserve"> “on demand” WAV trips, as opposed to “pre</w:t>
      </w:r>
      <w:r w:rsidR="00CA3B29">
        <w:rPr>
          <w:rFonts w:cs="Arial"/>
          <w:szCs w:val="26"/>
        </w:rPr>
        <w:noBreakHyphen/>
        <w:t xml:space="preserve">scheduled” WAV trips.  </w:t>
      </w:r>
      <w:r>
        <w:rPr>
          <w:rFonts w:cs="Arial"/>
          <w:szCs w:val="26"/>
        </w:rPr>
        <w:t>The Commission finds no basis to modify the decision.</w:t>
      </w:r>
      <w:r w:rsidR="00CA3B29">
        <w:rPr>
          <w:rFonts w:cs="Arial"/>
          <w:szCs w:val="26"/>
        </w:rPr>
        <w:t xml:space="preserve"> </w:t>
      </w:r>
    </w:p>
    <w:p w:rsidR="00603238" w:rsidP="00FA1B4F" w:rsidRDefault="00EE6C8C" w14:paraId="58F46103" w14:textId="36FE59C0">
      <w:pPr>
        <w:pStyle w:val="Heading1"/>
      </w:pPr>
      <w:bookmarkStart w:name="_Toc125016616" w:id="48"/>
      <w:bookmarkStart w:name="_Toc8123721" w:id="49"/>
      <w:r>
        <w:t>Assignment of Proceeding</w:t>
      </w:r>
      <w:bookmarkEnd w:id="48"/>
    </w:p>
    <w:p w:rsidR="005939A5" w:rsidP="00EE6C8C" w:rsidRDefault="00EE6C8C" w14:paraId="6A18D4BF" w14:textId="58CA7D9D">
      <w:pPr>
        <w:pStyle w:val="Standard"/>
      </w:pPr>
      <w:r>
        <w:t>Genevieve</w:t>
      </w:r>
      <w:r w:rsidR="001055B8">
        <w:t> </w:t>
      </w:r>
      <w:r>
        <w:t>Shiroma is the assigned</w:t>
      </w:r>
      <w:r w:rsidR="001055B8">
        <w:t> </w:t>
      </w:r>
      <w:r>
        <w:t>Commissioner and Debbie</w:t>
      </w:r>
      <w:r w:rsidR="001055B8">
        <w:t> </w:t>
      </w:r>
      <w:r>
        <w:t>Chiv and Robert</w:t>
      </w:r>
      <w:r w:rsidR="001055B8">
        <w:t> </w:t>
      </w:r>
      <w:r>
        <w:t>M.</w:t>
      </w:r>
      <w:r w:rsidR="001055B8">
        <w:t> </w:t>
      </w:r>
      <w:r>
        <w:t>Mason</w:t>
      </w:r>
      <w:r w:rsidR="001055B8">
        <w:t> </w:t>
      </w:r>
      <w:r>
        <w:t>III are the assigned Administrative Law Judges in this proceeding.</w:t>
      </w:r>
      <w:bookmarkEnd w:id="49"/>
    </w:p>
    <w:p w:rsidR="005939A5" w:rsidP="005939A5" w:rsidRDefault="005939A5" w14:paraId="2F1249C2" w14:textId="3BE455D8">
      <w:pPr>
        <w:pStyle w:val="Dummy"/>
      </w:pPr>
      <w:bookmarkStart w:name="_Toc8123725" w:id="50"/>
      <w:bookmarkStart w:name="_Toc125016617" w:id="51"/>
      <w:r>
        <w:lastRenderedPageBreak/>
        <w:t>Findings of Fact</w:t>
      </w:r>
      <w:bookmarkEnd w:id="50"/>
      <w:bookmarkEnd w:id="51"/>
    </w:p>
    <w:p w:rsidR="00EE6C8C" w:rsidP="00EE6C8C" w:rsidRDefault="00EE6C8C" w14:paraId="14C5CB77" w14:textId="4ACD0799">
      <w:pPr>
        <w:pStyle w:val="FoF"/>
      </w:pPr>
      <w:r>
        <w:t>The definition of “pre</w:t>
      </w:r>
      <w:r w:rsidR="001055B8">
        <w:noBreakHyphen/>
      </w:r>
      <w:r>
        <w:t>scheduled” trip adopted in the April</w:t>
      </w:r>
      <w:r w:rsidR="001055B8">
        <w:t> </w:t>
      </w:r>
      <w:r>
        <w:t>11,</w:t>
      </w:r>
      <w:r w:rsidR="001055B8">
        <w:t> </w:t>
      </w:r>
      <w:r>
        <w:t xml:space="preserve">2022 </w:t>
      </w:r>
      <w:r w:rsidR="001055B8">
        <w:t>a</w:t>
      </w:r>
      <w:r>
        <w:t>ssigned Commissioner’s Ruling is appropriate to apply to the TNC Access for All Program.</w:t>
      </w:r>
    </w:p>
    <w:p w:rsidR="00EE6C8C" w:rsidP="00EE6C8C" w:rsidRDefault="00EE6C8C" w14:paraId="031B4503" w14:textId="7B4DF9E1">
      <w:pPr>
        <w:pStyle w:val="FoF"/>
      </w:pPr>
      <w:r>
        <w:t>The definition of “response</w:t>
      </w:r>
      <w:r w:rsidR="001055B8">
        <w:t> </w:t>
      </w:r>
      <w:r>
        <w:t>time” for pre-scheduled trips adopted in the April</w:t>
      </w:r>
      <w:r w:rsidR="001055B8">
        <w:t> </w:t>
      </w:r>
      <w:r>
        <w:t>11,</w:t>
      </w:r>
      <w:r w:rsidR="001055B8">
        <w:t> </w:t>
      </w:r>
      <w:r>
        <w:t xml:space="preserve">2022 </w:t>
      </w:r>
      <w:r w:rsidR="001055B8">
        <w:t>a</w:t>
      </w:r>
      <w:r>
        <w:t>ssigned Commissioner’s Ruling is appropriate to apply to the TNC Access for All Program.  It is appropriate to refer to “response</w:t>
      </w:r>
      <w:r w:rsidR="001055B8">
        <w:t> </w:t>
      </w:r>
      <w:r>
        <w:t>time” for pre</w:t>
      </w:r>
      <w:r w:rsidR="001055B8">
        <w:noBreakHyphen/>
      </w:r>
      <w:r>
        <w:t>scheduled trips as “pickup</w:t>
      </w:r>
      <w:r w:rsidR="001055B8">
        <w:t> </w:t>
      </w:r>
      <w:r>
        <w:t xml:space="preserve">delay.” </w:t>
      </w:r>
    </w:p>
    <w:p w:rsidR="00EE6C8C" w:rsidP="00EE6C8C" w:rsidRDefault="00EE6C8C" w14:paraId="48334115" w14:textId="77777777">
      <w:pPr>
        <w:pStyle w:val="FoF"/>
      </w:pPr>
      <w:r>
        <w:t>CPED’s proposed response time benchmarks for pre-scheduled WAV trips, with modifications, represent a middle ground solution that applies a sufficiently high standard that incentivizes increasingly higher performance metrics over time.</w:t>
      </w:r>
    </w:p>
    <w:p w:rsidR="00EE6C8C" w:rsidP="00EE6C8C" w:rsidRDefault="00EE6C8C" w14:paraId="715496EC" w14:textId="1207CF3C">
      <w:pPr>
        <w:pStyle w:val="FoF"/>
      </w:pPr>
      <w:r>
        <w:t>CPED’s proposed trip completion percentages, with modifications, sets an appropriately rigorous standard to incentivize a high level of trip completion by the 8</w:t>
      </w:r>
      <w:r w:rsidRPr="00690AA9">
        <w:rPr>
          <w:vertAlign w:val="superscript"/>
        </w:rPr>
        <w:t>th</w:t>
      </w:r>
      <w:r w:rsidR="001055B8">
        <w:t> </w:t>
      </w:r>
      <w:r>
        <w:t xml:space="preserve">quarter.  </w:t>
      </w:r>
    </w:p>
    <w:p w:rsidR="00EE6C8C" w:rsidP="00EE6C8C" w:rsidRDefault="00EE6C8C" w14:paraId="552ED9D6" w14:textId="10B5C32E">
      <w:pPr>
        <w:pStyle w:val="FoF"/>
      </w:pPr>
      <w:r>
        <w:t>Upon approval of an offset, it is reasonable that Access Fund monies be awarded proportional to the percentage of a TNC’s on-demand versus pre</w:t>
      </w:r>
      <w:r w:rsidR="001055B8">
        <w:noBreakHyphen/>
      </w:r>
      <w:r>
        <w:t xml:space="preserve">scheduled WAV service mix.  </w:t>
      </w:r>
    </w:p>
    <w:p w:rsidR="00EE6C8C" w:rsidP="00EE6C8C" w:rsidRDefault="00EE6C8C" w14:paraId="0167DB8F" w14:textId="29AA8E78">
      <w:pPr>
        <w:pStyle w:val="FoF"/>
      </w:pPr>
      <w:r>
        <w:t>San</w:t>
      </w:r>
      <w:r w:rsidR="001055B8">
        <w:t> </w:t>
      </w:r>
      <w:r>
        <w:t>Francisco’s 95</w:t>
      </w:r>
      <w:r w:rsidR="001055B8">
        <w:t> </w:t>
      </w:r>
      <w:r>
        <w:t xml:space="preserve">percent trip completion standard is an appropriately rigorous requirement for exemption eligibility, given that an exemption approval allows a TNC to retain Access Fees in that county for a full year. </w:t>
      </w:r>
    </w:p>
    <w:p w:rsidR="001673DA" w:rsidP="00EE6C8C" w:rsidRDefault="00EE6C8C" w14:paraId="71FDAA83" w14:textId="72ED3947">
      <w:pPr>
        <w:pStyle w:val="FoF"/>
      </w:pPr>
      <w:r>
        <w:t xml:space="preserve">It is reasonable that if an exemption is granted, the retention of Access Fund fees </w:t>
      </w:r>
      <w:r w:rsidR="001673DA">
        <w:t xml:space="preserve">by the TNC for the future year should be based on the </w:t>
      </w:r>
      <w:r w:rsidR="00760782">
        <w:t xml:space="preserve">proportionate </w:t>
      </w:r>
      <w:r w:rsidR="00CB75AC">
        <w:t>of</w:t>
      </w:r>
      <w:r w:rsidR="00760782">
        <w:t xml:space="preserve"> that county’s pre-scheduled or on</w:t>
      </w:r>
      <w:r w:rsidR="00760782">
        <w:noBreakHyphen/>
        <w:t>demand WAV service mix in the prior year’s corresponding quarter</w:t>
      </w:r>
      <w:r w:rsidR="006E0562">
        <w:t>, whichever service the exemption was based upon</w:t>
      </w:r>
      <w:r>
        <w:t xml:space="preserve">. </w:t>
      </w:r>
    </w:p>
    <w:p w:rsidRPr="00340259" w:rsidR="00EE6C8C" w:rsidP="00EE6C8C" w:rsidRDefault="00EE6C8C" w14:paraId="34A8AB81" w14:textId="77777777">
      <w:pPr>
        <w:pStyle w:val="FoF"/>
      </w:pPr>
      <w:r>
        <w:rPr>
          <w:rFonts w:cs="Arial"/>
          <w:szCs w:val="26"/>
        </w:rPr>
        <w:lastRenderedPageBreak/>
        <w:t>Lyft’s Wait &amp; Save trip alternate proposal is a reasonable solution that measures response time based on a passenger’s “on time” expectation, while not penalizing TNCs for offering a feature strongly valued by WAV passengers.</w:t>
      </w:r>
    </w:p>
    <w:p w:rsidR="00EE6C8C" w:rsidP="00EE6C8C" w:rsidRDefault="00EE6C8C" w14:paraId="45C83B02" w14:textId="77777777">
      <w:pPr>
        <w:pStyle w:val="FoF"/>
      </w:pPr>
      <w:r>
        <w:t xml:space="preserve">Information on the number of unique WAVs that are available at certain times of the day is critical to understanding whether there are certain times of the day when WAV accessibility is limited and when WAV users may be stranded without an available return WAV ride.  </w:t>
      </w:r>
    </w:p>
    <w:p w:rsidR="00EE6C8C" w:rsidP="00EE6C8C" w:rsidRDefault="00EE6C8C" w14:paraId="2D8C9455" w14:textId="77777777">
      <w:pPr>
        <w:pStyle w:val="FoF"/>
      </w:pPr>
      <w:r>
        <w:t xml:space="preserve">More granular location information is necessary for the 2024 Legislative Report to better understand the true range of WAV accessibility across California.  Reporting WAV availability data by Census Tract will better reflect identified ESJ communities and further the goals of the ESJ Action Plan.  </w:t>
      </w:r>
    </w:p>
    <w:p w:rsidR="00EE6C8C" w:rsidP="00EE6C8C" w:rsidRDefault="00EE6C8C" w14:paraId="05233F86" w14:textId="33BEBB80">
      <w:pPr>
        <w:pStyle w:val="FoF"/>
      </w:pPr>
      <w:r>
        <w:t>It is reasonable to modify the complaint categories, adopted in D.20</w:t>
      </w:r>
      <w:r w:rsidR="001055B8">
        <w:noBreakHyphen/>
      </w:r>
      <w:r>
        <w:t>03</w:t>
      </w:r>
      <w:r w:rsidR="001055B8">
        <w:noBreakHyphen/>
      </w:r>
      <w:r>
        <w:t>007, to include “pickup” and “drop off” complaints as separate categories.</w:t>
      </w:r>
    </w:p>
    <w:p w:rsidR="00EE6C8C" w:rsidP="00EE6C8C" w:rsidRDefault="00EE6C8C" w14:paraId="3448A576" w14:textId="2C8E9859">
      <w:pPr>
        <w:pStyle w:val="FoF"/>
      </w:pPr>
      <w:r>
        <w:t>Disability Advocates’ and San</w:t>
      </w:r>
      <w:r w:rsidR="001055B8">
        <w:t> </w:t>
      </w:r>
      <w:r>
        <w:t xml:space="preserve">Francisco’s proposals offer a thorough, attainable framework to encourage and measure community outreach and engagement.  </w:t>
      </w:r>
    </w:p>
    <w:p w:rsidR="00EE6C8C" w:rsidP="00EE6C8C" w:rsidRDefault="00EE6C8C" w14:paraId="62007908" w14:textId="77777777">
      <w:pPr>
        <w:pStyle w:val="FoF"/>
      </w:pPr>
      <w:r>
        <w:rPr>
          <w:rFonts w:cs="BookAntiqua"/>
          <w:szCs w:val="26"/>
        </w:rPr>
        <w:t xml:space="preserve">Public transit agencies have the appropriate knowledge of accessibility needs for their counties.  </w:t>
      </w:r>
    </w:p>
    <w:p w:rsidR="005939A5" w:rsidP="005939A5" w:rsidRDefault="005939A5" w14:paraId="4A76BDE8" w14:textId="77777777">
      <w:pPr>
        <w:pStyle w:val="Dummy"/>
      </w:pPr>
      <w:bookmarkStart w:name="_Toc8123726" w:id="52"/>
      <w:bookmarkStart w:name="_Toc125016618" w:id="53"/>
      <w:r>
        <w:t>Conclusions of Law</w:t>
      </w:r>
      <w:bookmarkEnd w:id="52"/>
      <w:bookmarkEnd w:id="53"/>
    </w:p>
    <w:p w:rsidR="00EE6C8C" w:rsidP="00EE6C8C" w:rsidRDefault="00EE6C8C" w14:paraId="2283455C" w14:textId="6871A61E">
      <w:pPr>
        <w:pStyle w:val="CoL"/>
      </w:pPr>
      <w:r>
        <w:t>The definition of “pre-scheduled” trip adopted in the April</w:t>
      </w:r>
      <w:r w:rsidR="001055B8">
        <w:t> </w:t>
      </w:r>
      <w:r>
        <w:t>11,</w:t>
      </w:r>
      <w:r w:rsidR="001055B8">
        <w:t> </w:t>
      </w:r>
      <w:proofErr w:type="gramStart"/>
      <w:r>
        <w:t>2022</w:t>
      </w:r>
      <w:proofErr w:type="gramEnd"/>
      <w:r>
        <w:t xml:space="preserve"> Ruling should be adopted.</w:t>
      </w:r>
    </w:p>
    <w:p w:rsidR="00EE6C8C" w:rsidP="00EE6C8C" w:rsidRDefault="00EE6C8C" w14:paraId="2108A7AD" w14:textId="1129D748">
      <w:pPr>
        <w:pStyle w:val="CoL"/>
      </w:pPr>
      <w:r>
        <w:t>The definition of “response time” for pre-scheduled trips adopted in the April</w:t>
      </w:r>
      <w:r w:rsidR="001055B8">
        <w:t> </w:t>
      </w:r>
      <w:r>
        <w:t>11,</w:t>
      </w:r>
      <w:r w:rsidR="001055B8">
        <w:t> </w:t>
      </w:r>
      <w:proofErr w:type="gramStart"/>
      <w:r>
        <w:t>2022</w:t>
      </w:r>
      <w:proofErr w:type="gramEnd"/>
      <w:r>
        <w:t xml:space="preserve"> Ruling should be adopted.  The term “response</w:t>
      </w:r>
      <w:r w:rsidR="001055B8">
        <w:t> </w:t>
      </w:r>
      <w:r>
        <w:t>time” for pre</w:t>
      </w:r>
      <w:r w:rsidR="001055B8">
        <w:noBreakHyphen/>
      </w:r>
      <w:r>
        <w:t>scheduled trips should be referred to as “pickup</w:t>
      </w:r>
      <w:r w:rsidR="00C56769">
        <w:t> </w:t>
      </w:r>
      <w:r>
        <w:t>delay.”</w:t>
      </w:r>
    </w:p>
    <w:p w:rsidR="00EE6C8C" w:rsidP="00EE6C8C" w:rsidRDefault="00EE6C8C" w14:paraId="641555BD" w14:textId="3945A8B1">
      <w:pPr>
        <w:pStyle w:val="CoL"/>
      </w:pPr>
      <w:r>
        <w:lastRenderedPageBreak/>
        <w:t>CPED’s proposed response time benchmarks for pre</w:t>
      </w:r>
      <w:r w:rsidR="00C56769">
        <w:noBreakHyphen/>
      </w:r>
      <w:r>
        <w:t>scheduled WAV trips, with modifications, should be adopted.</w:t>
      </w:r>
    </w:p>
    <w:p w:rsidR="00EE6C8C" w:rsidP="00EE6C8C" w:rsidRDefault="00EE6C8C" w14:paraId="21870EDA" w14:textId="77777777">
      <w:pPr>
        <w:pStyle w:val="CoL"/>
      </w:pPr>
      <w:r>
        <w:t>CPED’s proposed trip completion standard for pre-scheduled WAV trips, with modifications, should be adopted.</w:t>
      </w:r>
    </w:p>
    <w:p w:rsidR="00EE6C8C" w:rsidP="00EE6C8C" w:rsidRDefault="00EE6C8C" w14:paraId="555176D8" w14:textId="23D473D4">
      <w:pPr>
        <w:pStyle w:val="CoL"/>
      </w:pPr>
      <w:r>
        <w:t>Upon offset approval, a TNC should be awarded the amount proportional to the percentage of a TNC’s on</w:t>
      </w:r>
      <w:r w:rsidR="00C56769">
        <w:noBreakHyphen/>
      </w:r>
      <w:r>
        <w:t>demand versus pre</w:t>
      </w:r>
      <w:r w:rsidR="00C56769">
        <w:noBreakHyphen/>
      </w:r>
      <w:r>
        <w:t>scheduled WAV service mix</w:t>
      </w:r>
      <w:r w:rsidRPr="000B2EB6">
        <w:t>.</w:t>
      </w:r>
      <w:r>
        <w:t xml:space="preserve">  </w:t>
      </w:r>
    </w:p>
    <w:p w:rsidR="00EE6C8C" w:rsidP="00EE6C8C" w:rsidRDefault="00EE6C8C" w14:paraId="31491868" w14:textId="754B5FF7">
      <w:pPr>
        <w:pStyle w:val="CoL"/>
      </w:pPr>
      <w:r>
        <w:t>San</w:t>
      </w:r>
      <w:r w:rsidR="00C56769">
        <w:t> </w:t>
      </w:r>
      <w:r>
        <w:t>Francisco’s 95</w:t>
      </w:r>
      <w:r w:rsidR="00C56769">
        <w:t> </w:t>
      </w:r>
      <w:r>
        <w:t xml:space="preserve">percent trip completion standard for exemption eligibility should be adopted.  </w:t>
      </w:r>
    </w:p>
    <w:p w:rsidR="00EE6C8C" w:rsidP="00EE6C8C" w:rsidRDefault="00EE6C8C" w14:paraId="5C3A22C0" w14:textId="3EDDEBD7">
      <w:pPr>
        <w:pStyle w:val="CoL"/>
      </w:pPr>
      <w:r>
        <w:t>Lyft’s Wait</w:t>
      </w:r>
      <w:r w:rsidR="00C56769">
        <w:t> </w:t>
      </w:r>
      <w:r>
        <w:t>&amp;</w:t>
      </w:r>
      <w:r w:rsidR="00C56769">
        <w:t> </w:t>
      </w:r>
      <w:r>
        <w:t>Save trip alternate proposal should be adopted.</w:t>
      </w:r>
    </w:p>
    <w:p w:rsidR="00EE6C8C" w:rsidP="00EE6C8C" w:rsidRDefault="00EE6C8C" w14:paraId="3D53F8D7" w14:textId="77777777">
      <w:pPr>
        <w:pStyle w:val="CoL"/>
      </w:pPr>
      <w:r>
        <w:t xml:space="preserve">Additional information on the number of unique WAVs available at certain times of the day should be collected by in any county in which a TNC seeks, or previously sought, an offset.  </w:t>
      </w:r>
    </w:p>
    <w:p w:rsidR="00EE6C8C" w:rsidP="00EE6C8C" w:rsidRDefault="00EE6C8C" w14:paraId="597E28D2" w14:textId="14C93DEF">
      <w:pPr>
        <w:pStyle w:val="CoL"/>
      </w:pPr>
      <w:r>
        <w:t xml:space="preserve">Granular location information by Census Tract should be collected in any county in which a TNC seeks, or previously sought, an offset. </w:t>
      </w:r>
      <w:r w:rsidR="00C56769">
        <w:t xml:space="preserve"> </w:t>
      </w:r>
    </w:p>
    <w:p w:rsidR="00EE6C8C" w:rsidP="00EE6C8C" w:rsidRDefault="00EE6C8C" w14:paraId="57F0DC86" w14:textId="3D2487FE">
      <w:pPr>
        <w:pStyle w:val="CoL"/>
      </w:pPr>
      <w:r>
        <w:t>The complaint categories, adopted in D.20</w:t>
      </w:r>
      <w:r w:rsidR="00C56769">
        <w:noBreakHyphen/>
      </w:r>
      <w:r>
        <w:t>03</w:t>
      </w:r>
      <w:r w:rsidR="00C56769">
        <w:noBreakHyphen/>
      </w:r>
      <w:r>
        <w:t>007, should be modified to include “pickup” and “drop</w:t>
      </w:r>
      <w:r w:rsidR="00C56769">
        <w:t> </w:t>
      </w:r>
      <w:r>
        <w:t xml:space="preserve">off” complaints as separate categories.  </w:t>
      </w:r>
    </w:p>
    <w:p w:rsidR="00EE6C8C" w:rsidP="00EE6C8C" w:rsidRDefault="00EE6C8C" w14:paraId="4E48F185" w14:textId="3F8AF55A">
      <w:pPr>
        <w:pStyle w:val="CoL"/>
      </w:pPr>
      <w:r>
        <w:t>Disability Advocates’ and San</w:t>
      </w:r>
      <w:r w:rsidR="00C56769">
        <w:t> </w:t>
      </w:r>
      <w:r>
        <w:t>Francisco’s proposals for community outreach and engagement should be adopted.</w:t>
      </w:r>
    </w:p>
    <w:p w:rsidR="00EE6C8C" w:rsidP="00EE6C8C" w:rsidRDefault="00EE6C8C" w14:paraId="5F666A49" w14:textId="77777777">
      <w:pPr>
        <w:pStyle w:val="CoL"/>
      </w:pPr>
      <w:r>
        <w:rPr>
          <w:rFonts w:cs="BookAntiqua"/>
          <w:szCs w:val="26"/>
        </w:rPr>
        <w:t>Public transit agencies should be permitted to apply to be a LAFA, with preference given to an eligible MPOs, RTPA, or CTCs.</w:t>
      </w:r>
    </w:p>
    <w:p w:rsidR="00BB0243" w:rsidP="00C56769" w:rsidRDefault="005939A5" w14:paraId="5EFB2CAA" w14:textId="1C3D6FBA">
      <w:pPr>
        <w:pStyle w:val="Mainex"/>
        <w:spacing w:before="240" w:after="240"/>
      </w:pPr>
      <w:bookmarkStart w:name="_Toc125016619" w:id="54"/>
      <w:r>
        <w:t>O</w:t>
      </w:r>
      <w:r w:rsidR="00722850">
        <w:t>RDER</w:t>
      </w:r>
      <w:bookmarkEnd w:id="54"/>
    </w:p>
    <w:p w:rsidRPr="00ED24C7" w:rsidR="00EE6C8C" w:rsidP="00EE6C8C" w:rsidRDefault="00EE6C8C" w14:paraId="1184D386" w14:textId="77777777">
      <w:pPr>
        <w:keepNext/>
      </w:pPr>
      <w:r w:rsidRPr="00BB0243">
        <w:rPr>
          <w:b/>
        </w:rPr>
        <w:t>IT IS ORDERED</w:t>
      </w:r>
      <w:r>
        <w:t xml:space="preserve"> that:</w:t>
      </w:r>
    </w:p>
    <w:p w:rsidR="00C56769" w:rsidP="00C56769" w:rsidRDefault="00C56769" w14:paraId="56828F06" w14:textId="3CDE3F77">
      <w:pPr>
        <w:pStyle w:val="FoF"/>
        <w:numPr>
          <w:ilvl w:val="0"/>
          <w:numId w:val="0"/>
        </w:numPr>
        <w:ind w:firstLine="360"/>
      </w:pPr>
      <w:r>
        <w:t>1.</w:t>
      </w:r>
      <w:r>
        <w:tab/>
      </w:r>
      <w:r w:rsidR="00EE6C8C">
        <w:t xml:space="preserve">A </w:t>
      </w:r>
      <w:r w:rsidRPr="00ED24C7" w:rsidR="00EE6C8C">
        <w:t>“pre-scheduled” trip shall be defined as: any service that allows a passenger to schedule a trip with a specified pickup</w:t>
      </w:r>
      <w:r>
        <w:t> </w:t>
      </w:r>
      <w:r w:rsidRPr="00ED24C7" w:rsidR="00EE6C8C">
        <w:t xml:space="preserve">time. </w:t>
      </w:r>
    </w:p>
    <w:p w:rsidR="00C56769" w:rsidP="00C56769" w:rsidRDefault="00C56769" w14:paraId="27D2C4C6" w14:textId="632A2E14">
      <w:pPr>
        <w:pStyle w:val="FoF"/>
        <w:numPr>
          <w:ilvl w:val="0"/>
          <w:numId w:val="0"/>
        </w:numPr>
        <w:ind w:firstLine="360"/>
      </w:pPr>
      <w:r>
        <w:lastRenderedPageBreak/>
        <w:t>2.</w:t>
      </w:r>
      <w:r>
        <w:tab/>
      </w:r>
      <w:r w:rsidR="00EE6C8C">
        <w:t>For a</w:t>
      </w:r>
      <w:r w:rsidRPr="00ED24C7" w:rsidR="00EE6C8C">
        <w:t xml:space="preserve"> pre</w:t>
      </w:r>
      <w:r>
        <w:noBreakHyphen/>
      </w:r>
      <w:r w:rsidRPr="00ED24C7" w:rsidR="00EE6C8C">
        <w:t>scheduled trip, “</w:t>
      </w:r>
      <w:r w:rsidR="00EE6C8C">
        <w:t>pickup</w:t>
      </w:r>
      <w:r>
        <w:t> </w:t>
      </w:r>
      <w:r w:rsidR="00EE6C8C">
        <w:t>delay</w:t>
      </w:r>
      <w:r w:rsidRPr="00ED24C7" w:rsidR="00EE6C8C">
        <w:t xml:space="preserve">” shall be defined as: </w:t>
      </w:r>
      <w:r>
        <w:t xml:space="preserve"> </w:t>
      </w:r>
      <w:r w:rsidRPr="00ED24C7" w:rsidR="00EE6C8C">
        <w:t xml:space="preserve">the time elapsed between the passenger’s scheduled pickup time and when the vehicle arrived. </w:t>
      </w:r>
      <w:r>
        <w:t xml:space="preserve"> </w:t>
      </w:r>
      <w:r w:rsidRPr="00ED24C7" w:rsidR="00EE6C8C">
        <w:t xml:space="preserve">If the vehicle arrives before the passenger’s scheduled pickup time, the response time shall be “0.” </w:t>
      </w:r>
    </w:p>
    <w:p w:rsidR="00C56769" w:rsidP="00C56769" w:rsidRDefault="00C56769" w14:paraId="44EAA250" w14:textId="71149007">
      <w:pPr>
        <w:pStyle w:val="FoF"/>
        <w:numPr>
          <w:ilvl w:val="0"/>
          <w:numId w:val="0"/>
        </w:numPr>
        <w:ind w:firstLine="360"/>
      </w:pPr>
      <w:r>
        <w:t>3.</w:t>
      </w:r>
      <w:r>
        <w:tab/>
      </w:r>
      <w:r w:rsidR="00EE6C8C">
        <w:t>For purposes of offset eligibility for pre-scheduled wheelchair accessible vehicle (WAV) service, to demonstrate improved level of service, a transportation network company (TNC) must demonstrate it has met the following requirements in a given county and quarter</w:t>
      </w:r>
      <w:proofErr w:type="gramStart"/>
      <w:r w:rsidR="00EE6C8C">
        <w:t xml:space="preserve">: </w:t>
      </w:r>
      <w:r>
        <w:t xml:space="preserve"> </w:t>
      </w:r>
      <w:r w:rsidR="00EE6C8C">
        <w:t>(</w:t>
      </w:r>
      <w:proofErr w:type="gramEnd"/>
      <w:r w:rsidR="00EE6C8C">
        <w:t>1)</w:t>
      </w:r>
      <w:r>
        <w:t> </w:t>
      </w:r>
      <w:r w:rsidR="00EE6C8C">
        <w:t>the relevant Pickup</w:t>
      </w:r>
      <w:r>
        <w:t> </w:t>
      </w:r>
      <w:r w:rsidR="00EE6C8C">
        <w:t>Delay Standard within the Pickup Delay Benchmark, as outlined in OP</w:t>
      </w:r>
      <w:r>
        <w:t> </w:t>
      </w:r>
      <w:r w:rsidR="00ED7218">
        <w:t>4</w:t>
      </w:r>
      <w:r w:rsidR="00EE6C8C">
        <w:t>, and (2)</w:t>
      </w:r>
      <w:r>
        <w:t> </w:t>
      </w:r>
      <w:r w:rsidR="00EE6C8C">
        <w:t xml:space="preserve">the relevant Pre-scheduled Trip Completion Standard, as outlined in </w:t>
      </w:r>
      <w:r>
        <w:t>OP </w:t>
      </w:r>
      <w:r w:rsidR="00ED7218">
        <w:t>5</w:t>
      </w:r>
      <w:r w:rsidR="00EE6C8C">
        <w:t>.  In addition to the improved level of service requirements, a TNC must meet the offset eligibility requirements adopted in Decision (D.)</w:t>
      </w:r>
      <w:r>
        <w:t> </w:t>
      </w:r>
      <w:r w:rsidR="00EE6C8C">
        <w:t>21</w:t>
      </w:r>
      <w:r>
        <w:noBreakHyphen/>
      </w:r>
      <w:r w:rsidR="00EE6C8C">
        <w:t>03</w:t>
      </w:r>
      <w:r>
        <w:noBreakHyphen/>
      </w:r>
      <w:r w:rsidR="00EE6C8C">
        <w:t>005 and D.20</w:t>
      </w:r>
      <w:r>
        <w:noBreakHyphen/>
      </w:r>
      <w:r w:rsidR="00EE6C8C">
        <w:t>03</w:t>
      </w:r>
      <w:r>
        <w:noBreakHyphen/>
      </w:r>
      <w:r w:rsidR="00EE6C8C">
        <w:t>007 as applied to pre</w:t>
      </w:r>
      <w:r>
        <w:noBreakHyphen/>
      </w:r>
      <w:r w:rsidR="00EE6C8C">
        <w:t>scheduled WAV trips.</w:t>
      </w:r>
    </w:p>
    <w:p w:rsidR="00EE6C8C" w:rsidP="00C56769" w:rsidRDefault="00C56769" w14:paraId="3DCDDB4A" w14:textId="7DF60D46">
      <w:pPr>
        <w:pStyle w:val="FoF"/>
        <w:numPr>
          <w:ilvl w:val="0"/>
          <w:numId w:val="0"/>
        </w:numPr>
        <w:ind w:firstLine="360"/>
      </w:pPr>
      <w:r>
        <w:t>4.</w:t>
      </w:r>
      <w:r>
        <w:tab/>
      </w:r>
      <w:r w:rsidR="00EE6C8C">
        <w:t>To demonstrate improved level of service for pre-scheduled wheelchair accessible vehicle (WAV) trips, a transportation network company (TNC) shall demonstrate it met the relevant Pickup Delay Standard (PDS) within the Pickup Delay Benchmark (PDB) for a given quarter and geographic area, as follows:</w:t>
      </w:r>
    </w:p>
    <w:p w:rsidR="009B1ED8" w:rsidP="00C56769" w:rsidRDefault="009B1ED8" w14:paraId="63683788" w14:textId="77777777">
      <w:pPr>
        <w:pStyle w:val="FoF"/>
        <w:numPr>
          <w:ilvl w:val="0"/>
          <w:numId w:val="0"/>
        </w:numPr>
        <w:ind w:firstLine="360"/>
      </w:pPr>
    </w:p>
    <w:tbl>
      <w:tblPr>
        <w:tblStyle w:val="TableGrid"/>
        <w:tblW w:w="9175" w:type="dxa"/>
        <w:jc w:val="center"/>
        <w:tblLook w:val="04A0" w:firstRow="1" w:lastRow="0" w:firstColumn="1" w:lastColumn="0" w:noHBand="0" w:noVBand="1"/>
      </w:tblPr>
      <w:tblGrid>
        <w:gridCol w:w="6295"/>
        <w:gridCol w:w="2880"/>
      </w:tblGrid>
      <w:tr w:rsidRPr="000E26C3" w:rsidR="00EE6C8C" w:rsidTr="00E87C2D" w14:paraId="678E2515" w14:textId="77777777">
        <w:trPr>
          <w:jc w:val="center"/>
        </w:trPr>
        <w:tc>
          <w:tcPr>
            <w:tcW w:w="9175" w:type="dxa"/>
            <w:gridSpan w:val="2"/>
            <w:shd w:val="clear" w:color="auto" w:fill="F2F2F2" w:themeFill="background1" w:themeFillShade="F2"/>
          </w:tcPr>
          <w:p w:rsidRPr="000E26C3" w:rsidR="00EE6C8C" w:rsidP="000F69C1" w:rsidRDefault="00EE6C8C" w14:paraId="1D6284D2" w14:textId="77777777">
            <w:pPr>
              <w:keepNext/>
              <w:keepLines/>
              <w:autoSpaceDE w:val="0"/>
              <w:autoSpaceDN w:val="0"/>
              <w:adjustRightInd w:val="0"/>
              <w:spacing w:before="60" w:after="60" w:line="240" w:lineRule="auto"/>
              <w:ind w:firstLine="0"/>
              <w:jc w:val="center"/>
              <w:rPr>
                <w:rFonts w:cs="BookAntiqua"/>
                <w:b/>
                <w:bCs/>
                <w:sz w:val="24"/>
                <w:szCs w:val="24"/>
              </w:rPr>
            </w:pPr>
            <w:r>
              <w:rPr>
                <w:rFonts w:cs="BookAntiqua"/>
                <w:b/>
                <w:bCs/>
                <w:sz w:val="24"/>
                <w:szCs w:val="24"/>
              </w:rPr>
              <w:t>Pre-scheduled Pickup Delay Standard (PDS)</w:t>
            </w:r>
          </w:p>
        </w:tc>
      </w:tr>
      <w:tr w:rsidRPr="000E26C3" w:rsidR="00EE6C8C" w:rsidTr="00E87C2D" w14:paraId="2EA29001" w14:textId="77777777">
        <w:trPr>
          <w:jc w:val="center"/>
        </w:trPr>
        <w:tc>
          <w:tcPr>
            <w:tcW w:w="9175" w:type="dxa"/>
            <w:gridSpan w:val="2"/>
            <w:shd w:val="clear" w:color="auto" w:fill="F2F2F2" w:themeFill="background1" w:themeFillShade="F2"/>
          </w:tcPr>
          <w:p w:rsidRPr="000E26C3" w:rsidR="00EE6C8C" w:rsidP="000F69C1" w:rsidRDefault="00EE6C8C" w14:paraId="53318AB1" w14:textId="77777777">
            <w:pPr>
              <w:keepNext/>
              <w:keepLines/>
              <w:autoSpaceDE w:val="0"/>
              <w:autoSpaceDN w:val="0"/>
              <w:adjustRightInd w:val="0"/>
              <w:spacing w:before="60" w:after="60" w:line="240" w:lineRule="auto"/>
              <w:ind w:firstLine="0"/>
              <w:jc w:val="center"/>
              <w:rPr>
                <w:rFonts w:cs="BookAntiqua"/>
                <w:b/>
                <w:bCs/>
                <w:sz w:val="24"/>
                <w:szCs w:val="24"/>
              </w:rPr>
            </w:pPr>
            <w:r w:rsidRPr="000E26C3">
              <w:rPr>
                <w:rFonts w:cs="BookAntiqua"/>
                <w:b/>
                <w:bCs/>
                <w:sz w:val="24"/>
                <w:szCs w:val="24"/>
              </w:rPr>
              <w:t xml:space="preserve">Percentage of Completed Trips under </w:t>
            </w:r>
            <w:r>
              <w:rPr>
                <w:rFonts w:cs="BookAntiqua"/>
                <w:b/>
                <w:bCs/>
                <w:sz w:val="24"/>
                <w:szCs w:val="24"/>
              </w:rPr>
              <w:t>Pickup Delay Benchmarks</w:t>
            </w:r>
          </w:p>
        </w:tc>
      </w:tr>
      <w:tr w:rsidRPr="000E26C3" w:rsidR="00EE6C8C" w:rsidTr="00E87C2D" w14:paraId="0AD7DBD2" w14:textId="77777777">
        <w:trPr>
          <w:jc w:val="center"/>
        </w:trPr>
        <w:tc>
          <w:tcPr>
            <w:tcW w:w="6295" w:type="dxa"/>
          </w:tcPr>
          <w:p w:rsidRPr="000E26C3" w:rsidR="00EE6C8C" w:rsidP="000F69C1" w:rsidRDefault="00EE6C8C" w14:paraId="2D7B38D3"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1</w:t>
            </w:r>
            <w:r w:rsidRPr="000E26C3">
              <w:rPr>
                <w:rFonts w:cs="BookAntiqua"/>
                <w:sz w:val="24"/>
                <w:szCs w:val="24"/>
                <w:vertAlign w:val="superscript"/>
              </w:rPr>
              <w:t>st</w:t>
            </w:r>
            <w:r w:rsidRPr="000E26C3">
              <w:rPr>
                <w:rFonts w:cs="BookAntiqua"/>
                <w:sz w:val="24"/>
                <w:szCs w:val="24"/>
              </w:rPr>
              <w:t xml:space="preserve"> Quarter Submission</w:t>
            </w:r>
          </w:p>
        </w:tc>
        <w:tc>
          <w:tcPr>
            <w:tcW w:w="2880" w:type="dxa"/>
          </w:tcPr>
          <w:p w:rsidRPr="000E26C3" w:rsidR="00EE6C8C" w:rsidP="000F69C1" w:rsidRDefault="00EE6C8C" w14:paraId="6B3FD4E9"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80%</w:t>
            </w:r>
          </w:p>
        </w:tc>
      </w:tr>
      <w:tr w:rsidRPr="000E26C3" w:rsidR="00EE6C8C" w:rsidTr="00E87C2D" w14:paraId="70684439" w14:textId="77777777">
        <w:trPr>
          <w:jc w:val="center"/>
        </w:trPr>
        <w:tc>
          <w:tcPr>
            <w:tcW w:w="6295" w:type="dxa"/>
          </w:tcPr>
          <w:p w:rsidRPr="000E26C3" w:rsidR="00EE6C8C" w:rsidP="00E87C2D" w:rsidRDefault="00EE6C8C" w14:paraId="1618AD6E"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2</w:t>
            </w:r>
            <w:r w:rsidRPr="000E26C3">
              <w:rPr>
                <w:rFonts w:cs="BookAntiqua"/>
                <w:sz w:val="24"/>
                <w:szCs w:val="24"/>
                <w:vertAlign w:val="superscript"/>
              </w:rPr>
              <w:t>nd</w:t>
            </w:r>
            <w:r w:rsidRPr="000E26C3">
              <w:rPr>
                <w:rFonts w:cs="BookAntiqua"/>
                <w:sz w:val="24"/>
                <w:szCs w:val="24"/>
              </w:rPr>
              <w:t xml:space="preserve"> Quarter</w:t>
            </w:r>
          </w:p>
        </w:tc>
        <w:tc>
          <w:tcPr>
            <w:tcW w:w="2880" w:type="dxa"/>
          </w:tcPr>
          <w:p w:rsidRPr="000E26C3" w:rsidR="00EE6C8C" w:rsidP="00E87C2D" w:rsidRDefault="00EE6C8C" w14:paraId="4BC219E5"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81%</w:t>
            </w:r>
          </w:p>
        </w:tc>
      </w:tr>
      <w:tr w:rsidRPr="000E26C3" w:rsidR="00EE6C8C" w:rsidTr="00E87C2D" w14:paraId="598C06ED" w14:textId="77777777">
        <w:trPr>
          <w:trHeight w:val="188"/>
          <w:jc w:val="center"/>
        </w:trPr>
        <w:tc>
          <w:tcPr>
            <w:tcW w:w="6295" w:type="dxa"/>
          </w:tcPr>
          <w:p w:rsidRPr="000E26C3" w:rsidR="00EE6C8C" w:rsidP="00E87C2D" w:rsidRDefault="00EE6C8C" w14:paraId="6B0E3D55" w14:textId="77777777">
            <w:pPr>
              <w:pStyle w:val="standard0"/>
              <w:spacing w:line="240" w:lineRule="auto"/>
              <w:ind w:firstLine="0"/>
              <w:rPr>
                <w:rFonts w:ascii="Book Antiqua" w:hAnsi="Book Antiqua"/>
                <w:sz w:val="24"/>
                <w:szCs w:val="24"/>
              </w:rPr>
            </w:pPr>
            <w:r w:rsidRPr="000E26C3">
              <w:rPr>
                <w:rFonts w:ascii="Book Antiqua" w:hAnsi="Book Antiqua"/>
                <w:sz w:val="24"/>
                <w:szCs w:val="24"/>
              </w:rPr>
              <w:t>3</w:t>
            </w:r>
            <w:r w:rsidRPr="000E26C3">
              <w:rPr>
                <w:rFonts w:ascii="Book Antiqua" w:hAnsi="Book Antiqua"/>
                <w:sz w:val="24"/>
                <w:szCs w:val="24"/>
                <w:vertAlign w:val="superscript"/>
              </w:rPr>
              <w:t>rd</w:t>
            </w:r>
            <w:r w:rsidRPr="000E26C3">
              <w:rPr>
                <w:rFonts w:ascii="Book Antiqua" w:hAnsi="Book Antiqua"/>
                <w:sz w:val="24"/>
                <w:szCs w:val="24"/>
              </w:rPr>
              <w:t xml:space="preserve"> Quarter</w:t>
            </w:r>
          </w:p>
        </w:tc>
        <w:tc>
          <w:tcPr>
            <w:tcW w:w="2880" w:type="dxa"/>
          </w:tcPr>
          <w:p w:rsidRPr="000E26C3" w:rsidR="00EE6C8C" w:rsidP="00E87C2D" w:rsidRDefault="00EE6C8C" w14:paraId="1C53E52F" w14:textId="77777777">
            <w:pPr>
              <w:pStyle w:val="standard0"/>
              <w:spacing w:line="240" w:lineRule="auto"/>
              <w:ind w:firstLine="0"/>
              <w:jc w:val="center"/>
              <w:rPr>
                <w:rFonts w:ascii="Book Antiqua" w:hAnsi="Book Antiqua"/>
                <w:sz w:val="24"/>
                <w:szCs w:val="24"/>
              </w:rPr>
            </w:pPr>
            <w:r w:rsidRPr="000E26C3">
              <w:rPr>
                <w:rFonts w:ascii="Book Antiqua" w:hAnsi="Book Antiqua"/>
                <w:sz w:val="24"/>
                <w:szCs w:val="24"/>
              </w:rPr>
              <w:t>83%</w:t>
            </w:r>
          </w:p>
        </w:tc>
      </w:tr>
      <w:tr w:rsidRPr="000E26C3" w:rsidR="00EE6C8C" w:rsidTr="00E87C2D" w14:paraId="7B47D0B0" w14:textId="77777777">
        <w:tblPrEx>
          <w:jc w:val="left"/>
        </w:tblPrEx>
        <w:tc>
          <w:tcPr>
            <w:tcW w:w="6295" w:type="dxa"/>
          </w:tcPr>
          <w:p w:rsidRPr="000E26C3" w:rsidR="00EE6C8C" w:rsidP="00E87C2D" w:rsidRDefault="00EE6C8C" w14:paraId="6BF29D8B"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4</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EE6C8C" w:rsidP="00E87C2D" w:rsidRDefault="00EE6C8C" w14:paraId="5592C977"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84%</w:t>
            </w:r>
          </w:p>
        </w:tc>
      </w:tr>
      <w:tr w:rsidRPr="000E26C3" w:rsidR="00EE6C8C" w:rsidTr="00E87C2D" w14:paraId="71F77D68" w14:textId="77777777">
        <w:tblPrEx>
          <w:jc w:val="left"/>
        </w:tblPrEx>
        <w:tc>
          <w:tcPr>
            <w:tcW w:w="6295" w:type="dxa"/>
          </w:tcPr>
          <w:p w:rsidRPr="000E26C3" w:rsidR="00EE6C8C" w:rsidP="00E87C2D" w:rsidRDefault="00EE6C8C" w14:paraId="0D1DF6D0"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5</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EE6C8C" w:rsidP="00E87C2D" w:rsidRDefault="00EE6C8C" w14:paraId="51923B3D"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86%</w:t>
            </w:r>
          </w:p>
        </w:tc>
      </w:tr>
      <w:tr w:rsidRPr="000E26C3" w:rsidR="00EE6C8C" w:rsidTr="00E87C2D" w14:paraId="0675D8E1" w14:textId="77777777">
        <w:tblPrEx>
          <w:jc w:val="left"/>
        </w:tblPrEx>
        <w:trPr>
          <w:trHeight w:val="296"/>
        </w:trPr>
        <w:tc>
          <w:tcPr>
            <w:tcW w:w="6295" w:type="dxa"/>
          </w:tcPr>
          <w:p w:rsidRPr="000E26C3" w:rsidR="00EE6C8C" w:rsidP="00E87C2D" w:rsidRDefault="00EE6C8C" w14:paraId="3E92EE5A" w14:textId="77777777">
            <w:pPr>
              <w:pStyle w:val="standard0"/>
              <w:spacing w:line="240" w:lineRule="auto"/>
              <w:ind w:firstLine="0"/>
              <w:rPr>
                <w:rFonts w:ascii="Book Antiqua" w:hAnsi="Book Antiqua"/>
                <w:sz w:val="24"/>
                <w:szCs w:val="24"/>
              </w:rPr>
            </w:pPr>
            <w:r w:rsidRPr="000E26C3">
              <w:rPr>
                <w:rFonts w:ascii="Book Antiqua" w:hAnsi="Book Antiqua"/>
                <w:sz w:val="24"/>
                <w:szCs w:val="24"/>
              </w:rPr>
              <w:t>6</w:t>
            </w:r>
            <w:r w:rsidRPr="000E26C3">
              <w:rPr>
                <w:rFonts w:ascii="Book Antiqua" w:hAnsi="Book Antiqua"/>
                <w:sz w:val="24"/>
                <w:szCs w:val="24"/>
                <w:vertAlign w:val="superscript"/>
              </w:rPr>
              <w:t>th</w:t>
            </w:r>
            <w:r w:rsidRPr="000E26C3">
              <w:rPr>
                <w:rFonts w:ascii="Book Antiqua" w:hAnsi="Book Antiqua"/>
                <w:sz w:val="24"/>
                <w:szCs w:val="24"/>
              </w:rPr>
              <w:t xml:space="preserve"> Quarter</w:t>
            </w:r>
          </w:p>
        </w:tc>
        <w:tc>
          <w:tcPr>
            <w:tcW w:w="2880" w:type="dxa"/>
          </w:tcPr>
          <w:p w:rsidRPr="000E26C3" w:rsidR="00EE6C8C" w:rsidP="00E87C2D" w:rsidRDefault="00EE6C8C" w14:paraId="25CEB802" w14:textId="77777777">
            <w:pPr>
              <w:pStyle w:val="standard0"/>
              <w:spacing w:line="240" w:lineRule="auto"/>
              <w:ind w:firstLine="0"/>
              <w:jc w:val="center"/>
              <w:rPr>
                <w:rFonts w:ascii="Book Antiqua" w:hAnsi="Book Antiqua"/>
                <w:sz w:val="24"/>
                <w:szCs w:val="24"/>
              </w:rPr>
            </w:pPr>
            <w:r w:rsidRPr="000E26C3">
              <w:rPr>
                <w:rFonts w:ascii="Book Antiqua" w:hAnsi="Book Antiqua"/>
                <w:sz w:val="24"/>
                <w:szCs w:val="24"/>
              </w:rPr>
              <w:t>87%</w:t>
            </w:r>
          </w:p>
        </w:tc>
      </w:tr>
      <w:tr w:rsidRPr="000E26C3" w:rsidR="00EE6C8C" w:rsidTr="00E87C2D" w14:paraId="47EDE697" w14:textId="77777777">
        <w:tblPrEx>
          <w:jc w:val="left"/>
        </w:tblPrEx>
        <w:tc>
          <w:tcPr>
            <w:tcW w:w="6295" w:type="dxa"/>
          </w:tcPr>
          <w:p w:rsidRPr="000E26C3" w:rsidR="00EE6C8C" w:rsidP="00E87C2D" w:rsidRDefault="00EE6C8C" w14:paraId="720DF365"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7</w:t>
            </w:r>
            <w:r w:rsidRPr="000E26C3">
              <w:rPr>
                <w:rFonts w:cs="BookAntiqua"/>
                <w:sz w:val="24"/>
                <w:szCs w:val="24"/>
                <w:vertAlign w:val="superscript"/>
              </w:rPr>
              <w:t>th</w:t>
            </w:r>
            <w:r w:rsidRPr="000E26C3">
              <w:rPr>
                <w:rFonts w:cs="BookAntiqua"/>
                <w:sz w:val="24"/>
                <w:szCs w:val="24"/>
              </w:rPr>
              <w:t xml:space="preserve"> Quarter</w:t>
            </w:r>
          </w:p>
        </w:tc>
        <w:tc>
          <w:tcPr>
            <w:tcW w:w="2880" w:type="dxa"/>
          </w:tcPr>
          <w:p w:rsidRPr="000E26C3" w:rsidR="00EE6C8C" w:rsidP="00E87C2D" w:rsidRDefault="00EE6C8C" w14:paraId="1C3F6AB8"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89%</w:t>
            </w:r>
          </w:p>
        </w:tc>
      </w:tr>
      <w:tr w:rsidRPr="000E26C3" w:rsidR="00EE6C8C" w:rsidTr="00E87C2D" w14:paraId="2A56C71F" w14:textId="77777777">
        <w:tblPrEx>
          <w:jc w:val="left"/>
        </w:tblPrEx>
        <w:tc>
          <w:tcPr>
            <w:tcW w:w="6295" w:type="dxa"/>
          </w:tcPr>
          <w:p w:rsidRPr="000E26C3" w:rsidR="00EE6C8C" w:rsidP="00E87C2D" w:rsidRDefault="00EE6C8C" w14:paraId="0CB40F37" w14:textId="77777777">
            <w:pPr>
              <w:keepNext/>
              <w:keepLines/>
              <w:autoSpaceDE w:val="0"/>
              <w:autoSpaceDN w:val="0"/>
              <w:adjustRightInd w:val="0"/>
              <w:spacing w:line="240" w:lineRule="auto"/>
              <w:ind w:firstLine="0"/>
              <w:rPr>
                <w:rFonts w:cs="BookAntiqua"/>
                <w:sz w:val="24"/>
                <w:szCs w:val="24"/>
              </w:rPr>
            </w:pPr>
            <w:r w:rsidRPr="000E26C3">
              <w:rPr>
                <w:rFonts w:cs="BookAntiqua"/>
                <w:sz w:val="24"/>
                <w:szCs w:val="24"/>
              </w:rPr>
              <w:t>8</w:t>
            </w:r>
            <w:r w:rsidRPr="000E26C3">
              <w:rPr>
                <w:rFonts w:cs="BookAntiqua"/>
                <w:sz w:val="24"/>
                <w:szCs w:val="24"/>
                <w:vertAlign w:val="superscript"/>
              </w:rPr>
              <w:t>th</w:t>
            </w:r>
            <w:r w:rsidRPr="000E26C3">
              <w:rPr>
                <w:rFonts w:cs="BookAntiqua"/>
                <w:sz w:val="24"/>
                <w:szCs w:val="24"/>
              </w:rPr>
              <w:t xml:space="preserve"> (and subsequent) Quarter</w:t>
            </w:r>
          </w:p>
        </w:tc>
        <w:tc>
          <w:tcPr>
            <w:tcW w:w="2880" w:type="dxa"/>
          </w:tcPr>
          <w:p w:rsidRPr="000E26C3" w:rsidR="00EE6C8C" w:rsidP="00E87C2D" w:rsidRDefault="00EE6C8C" w14:paraId="72B87B15" w14:textId="77777777">
            <w:pPr>
              <w:keepNext/>
              <w:keepLines/>
              <w:autoSpaceDE w:val="0"/>
              <w:autoSpaceDN w:val="0"/>
              <w:adjustRightInd w:val="0"/>
              <w:spacing w:line="240" w:lineRule="auto"/>
              <w:ind w:firstLine="0"/>
              <w:jc w:val="center"/>
              <w:rPr>
                <w:rFonts w:cs="BookAntiqua"/>
                <w:sz w:val="24"/>
                <w:szCs w:val="24"/>
              </w:rPr>
            </w:pPr>
            <w:r w:rsidRPr="000E26C3">
              <w:rPr>
                <w:rFonts w:cs="BookAntiqua"/>
                <w:sz w:val="24"/>
                <w:szCs w:val="24"/>
              </w:rPr>
              <w:t>90%</w:t>
            </w:r>
          </w:p>
        </w:tc>
      </w:tr>
    </w:tbl>
    <w:p w:rsidR="00EE6C8C" w:rsidP="00EE6C8C" w:rsidRDefault="00EE6C8C" w14:paraId="5E21B8B7" w14:textId="77777777">
      <w:pPr>
        <w:pStyle w:val="OP"/>
        <w:numPr>
          <w:ilvl w:val="0"/>
          <w:numId w:val="0"/>
        </w:numPr>
        <w:ind w:left="540"/>
      </w:pPr>
    </w:p>
    <w:tbl>
      <w:tblPr>
        <w:tblStyle w:val="TableGrid"/>
        <w:tblW w:w="9265" w:type="dxa"/>
        <w:jc w:val="center"/>
        <w:tblLook w:val="04A0" w:firstRow="1" w:lastRow="0" w:firstColumn="1" w:lastColumn="0" w:noHBand="0" w:noVBand="1"/>
      </w:tblPr>
      <w:tblGrid>
        <w:gridCol w:w="7825"/>
        <w:gridCol w:w="1440"/>
      </w:tblGrid>
      <w:tr w:rsidRPr="00066424" w:rsidR="00EE6C8C" w:rsidTr="00E87C2D" w14:paraId="0C2776A8" w14:textId="77777777">
        <w:trPr>
          <w:tblHeader/>
          <w:jc w:val="center"/>
        </w:trPr>
        <w:tc>
          <w:tcPr>
            <w:tcW w:w="9265" w:type="dxa"/>
            <w:gridSpan w:val="2"/>
            <w:shd w:val="clear" w:color="auto" w:fill="F2F2F2" w:themeFill="background1" w:themeFillShade="F2"/>
            <w:vAlign w:val="center"/>
          </w:tcPr>
          <w:p w:rsidRPr="000E26C3" w:rsidR="00EE6C8C" w:rsidP="00462FF9" w:rsidRDefault="00EE6C8C" w14:paraId="4EB8371F" w14:textId="77777777">
            <w:pPr>
              <w:pStyle w:val="ListParagraph"/>
              <w:spacing w:before="60" w:after="60"/>
              <w:ind w:left="360" w:right="0"/>
              <w:jc w:val="center"/>
              <w:rPr>
                <w:b/>
                <w:bCs/>
                <w:sz w:val="24"/>
                <w:szCs w:val="24"/>
              </w:rPr>
            </w:pPr>
            <w:r w:rsidRPr="000E26C3">
              <w:rPr>
                <w:b/>
                <w:bCs/>
                <w:sz w:val="24"/>
                <w:szCs w:val="24"/>
              </w:rPr>
              <w:lastRenderedPageBreak/>
              <w:t xml:space="preserve">Pre-scheduled </w:t>
            </w:r>
            <w:r>
              <w:rPr>
                <w:b/>
                <w:bCs/>
                <w:sz w:val="24"/>
                <w:szCs w:val="24"/>
              </w:rPr>
              <w:t>Pickup Delay</w:t>
            </w:r>
            <w:r w:rsidRPr="000E26C3">
              <w:rPr>
                <w:b/>
                <w:bCs/>
                <w:sz w:val="24"/>
                <w:szCs w:val="24"/>
              </w:rPr>
              <w:t xml:space="preserve"> Benchmarks</w:t>
            </w:r>
            <w:r>
              <w:rPr>
                <w:b/>
                <w:bCs/>
                <w:sz w:val="24"/>
                <w:szCs w:val="24"/>
              </w:rPr>
              <w:t xml:space="preserve"> (PDB)</w:t>
            </w:r>
          </w:p>
        </w:tc>
      </w:tr>
      <w:tr w:rsidRPr="00066424" w:rsidR="00EE6C8C" w:rsidTr="00E87C2D" w14:paraId="7E08C0F2" w14:textId="77777777">
        <w:trPr>
          <w:tblHeader/>
          <w:jc w:val="center"/>
        </w:trPr>
        <w:tc>
          <w:tcPr>
            <w:tcW w:w="7825" w:type="dxa"/>
            <w:shd w:val="clear" w:color="auto" w:fill="F2F2F2" w:themeFill="background1" w:themeFillShade="F2"/>
            <w:vAlign w:val="center"/>
          </w:tcPr>
          <w:p w:rsidRPr="000E26C3" w:rsidR="00EE6C8C" w:rsidP="00E87C2D" w:rsidRDefault="00EE6C8C" w14:paraId="60FFCF11" w14:textId="77777777">
            <w:pPr>
              <w:spacing w:line="240" w:lineRule="auto"/>
              <w:ind w:firstLine="0"/>
              <w:jc w:val="center"/>
              <w:rPr>
                <w:b/>
                <w:bCs/>
                <w:sz w:val="24"/>
                <w:szCs w:val="24"/>
              </w:rPr>
            </w:pPr>
            <w:r w:rsidRPr="000E26C3">
              <w:rPr>
                <w:b/>
                <w:bCs/>
                <w:sz w:val="24"/>
                <w:szCs w:val="24"/>
              </w:rPr>
              <w:t>Geographic Area/County</w:t>
            </w:r>
          </w:p>
        </w:tc>
        <w:tc>
          <w:tcPr>
            <w:tcW w:w="1440" w:type="dxa"/>
            <w:shd w:val="clear" w:color="auto" w:fill="F2F2F2" w:themeFill="background1" w:themeFillShade="F2"/>
            <w:vAlign w:val="center"/>
          </w:tcPr>
          <w:p w:rsidRPr="000E26C3" w:rsidR="00EE6C8C" w:rsidP="00462FF9" w:rsidRDefault="00EE6C8C" w14:paraId="50B79651" w14:textId="77777777">
            <w:pPr>
              <w:pStyle w:val="ListParagraph"/>
              <w:spacing w:after="0"/>
              <w:ind w:left="0" w:right="0" w:firstLine="0"/>
              <w:jc w:val="center"/>
              <w:rPr>
                <w:b/>
                <w:bCs/>
                <w:sz w:val="24"/>
                <w:szCs w:val="24"/>
              </w:rPr>
            </w:pPr>
            <w:r w:rsidRPr="000E26C3">
              <w:rPr>
                <w:b/>
                <w:bCs/>
                <w:sz w:val="24"/>
                <w:szCs w:val="24"/>
              </w:rPr>
              <w:t>Response Time</w:t>
            </w:r>
          </w:p>
          <w:p w:rsidRPr="000E26C3" w:rsidR="00EE6C8C" w:rsidP="009B1ED8" w:rsidRDefault="00EE6C8C" w14:paraId="2E0E84C8" w14:textId="77777777">
            <w:pPr>
              <w:spacing w:line="240" w:lineRule="auto"/>
              <w:ind w:firstLine="0"/>
              <w:jc w:val="center"/>
              <w:rPr>
                <w:b/>
                <w:bCs/>
                <w:sz w:val="24"/>
                <w:szCs w:val="24"/>
              </w:rPr>
            </w:pPr>
            <w:r w:rsidRPr="000E26C3">
              <w:rPr>
                <w:b/>
                <w:bCs/>
                <w:sz w:val="24"/>
                <w:szCs w:val="24"/>
              </w:rPr>
              <w:t>(mins)</w:t>
            </w:r>
          </w:p>
        </w:tc>
      </w:tr>
      <w:tr w:rsidRPr="00066424" w:rsidR="00EE6C8C" w:rsidTr="00E87C2D" w14:paraId="420A2513" w14:textId="77777777">
        <w:trPr>
          <w:jc w:val="center"/>
        </w:trPr>
        <w:tc>
          <w:tcPr>
            <w:tcW w:w="7825" w:type="dxa"/>
            <w:vAlign w:val="center"/>
          </w:tcPr>
          <w:p w:rsidRPr="000E26C3" w:rsidR="00EE6C8C" w:rsidP="00E87C2D" w:rsidRDefault="00EE6C8C" w14:paraId="30DF1161" w14:textId="77777777">
            <w:pPr>
              <w:spacing w:line="240" w:lineRule="auto"/>
              <w:ind w:firstLine="0"/>
              <w:rPr>
                <w:sz w:val="24"/>
                <w:szCs w:val="24"/>
              </w:rPr>
            </w:pPr>
            <w:r w:rsidRPr="000E26C3">
              <w:rPr>
                <w:sz w:val="24"/>
                <w:szCs w:val="24"/>
              </w:rPr>
              <w:t>San Francisco</w:t>
            </w:r>
          </w:p>
        </w:tc>
        <w:tc>
          <w:tcPr>
            <w:tcW w:w="1440" w:type="dxa"/>
            <w:shd w:val="clear" w:color="auto" w:fill="FFFFFF" w:themeFill="background1"/>
            <w:vAlign w:val="center"/>
          </w:tcPr>
          <w:p w:rsidRPr="000E26C3" w:rsidR="00EE6C8C" w:rsidP="00E87C2D" w:rsidRDefault="00EE6C8C" w14:paraId="78AA8DAD" w14:textId="77777777">
            <w:pPr>
              <w:spacing w:line="240" w:lineRule="auto"/>
              <w:ind w:firstLine="0"/>
              <w:jc w:val="center"/>
              <w:rPr>
                <w:sz w:val="24"/>
                <w:szCs w:val="24"/>
              </w:rPr>
            </w:pPr>
            <w:r w:rsidRPr="000E26C3">
              <w:rPr>
                <w:sz w:val="24"/>
                <w:szCs w:val="24"/>
              </w:rPr>
              <w:t>8</w:t>
            </w:r>
          </w:p>
        </w:tc>
      </w:tr>
      <w:tr w:rsidRPr="00066424" w:rsidR="00EE6C8C" w:rsidTr="00E87C2D" w14:paraId="387DE300" w14:textId="77777777">
        <w:trPr>
          <w:jc w:val="center"/>
        </w:trPr>
        <w:tc>
          <w:tcPr>
            <w:tcW w:w="7825" w:type="dxa"/>
            <w:vAlign w:val="center"/>
          </w:tcPr>
          <w:p w:rsidRPr="000E26C3" w:rsidR="00EE6C8C" w:rsidP="00E87C2D" w:rsidRDefault="00EE6C8C" w14:paraId="1A3D343A" w14:textId="77777777">
            <w:pPr>
              <w:pStyle w:val="ListParagraph"/>
              <w:ind w:left="0" w:firstLine="0"/>
              <w:rPr>
                <w:sz w:val="24"/>
                <w:szCs w:val="24"/>
              </w:rPr>
            </w:pPr>
            <w:r w:rsidRPr="000E26C3">
              <w:rPr>
                <w:sz w:val="24"/>
                <w:szCs w:val="24"/>
              </w:rPr>
              <w:t>Alameda, Contra Costa, Imperial, Los Angeles, Madera, Orange, Sacramento, San Joaquin, San Luis Obispo, San Diego, San Mateo, Santa Barbara, Santa Clara, Santa Cruz, Shasta, Solano, Stanislaus, Ventura</w:t>
            </w:r>
          </w:p>
        </w:tc>
        <w:tc>
          <w:tcPr>
            <w:tcW w:w="1440" w:type="dxa"/>
            <w:shd w:val="clear" w:color="auto" w:fill="FFFFFF" w:themeFill="background1"/>
            <w:vAlign w:val="center"/>
          </w:tcPr>
          <w:p w:rsidRPr="000E26C3" w:rsidR="00EE6C8C" w:rsidP="00E87C2D" w:rsidRDefault="00EE6C8C" w14:paraId="3909653F" w14:textId="77777777">
            <w:pPr>
              <w:spacing w:line="240" w:lineRule="auto"/>
              <w:ind w:firstLine="0"/>
              <w:jc w:val="center"/>
              <w:rPr>
                <w:sz w:val="24"/>
                <w:szCs w:val="24"/>
              </w:rPr>
            </w:pPr>
            <w:r w:rsidRPr="000E26C3">
              <w:rPr>
                <w:sz w:val="24"/>
                <w:szCs w:val="24"/>
              </w:rPr>
              <w:t>13</w:t>
            </w:r>
          </w:p>
        </w:tc>
      </w:tr>
      <w:tr w:rsidRPr="00066424" w:rsidR="00EE6C8C" w:rsidTr="00E87C2D" w14:paraId="4F3B1352" w14:textId="77777777">
        <w:trPr>
          <w:jc w:val="center"/>
        </w:trPr>
        <w:tc>
          <w:tcPr>
            <w:tcW w:w="7825" w:type="dxa"/>
            <w:vAlign w:val="center"/>
          </w:tcPr>
          <w:p w:rsidRPr="000E26C3" w:rsidR="00EE6C8C" w:rsidP="00E87C2D" w:rsidRDefault="00EE6C8C" w14:paraId="507A4AEB" w14:textId="77777777">
            <w:pPr>
              <w:pStyle w:val="ListParagraph"/>
              <w:ind w:left="0" w:firstLine="0"/>
              <w:rPr>
                <w:sz w:val="24"/>
                <w:szCs w:val="24"/>
              </w:rPr>
            </w:pPr>
            <w:r w:rsidRPr="000E26C3">
              <w:rPr>
                <w:sz w:val="24"/>
                <w:szCs w:val="24"/>
              </w:rPr>
              <w:t>Alpine, Amador, Butte, Calaveras, Colusa, Del Norte, El Dorado, Fresno, Glenn, Humboldt, Inyo, Kern, Kings, Lake, Lassen, Marin, Mariposa, Mendocino, Merced, Modoc, Mono, Monterey, Napa, Nevada, Placer, Plumas, Riverside, San Benito, San Bernardino, Sierra, Siskiyou, Sonoma, Sutter, Tehama, Trinity, Tulare, Tuolumne, Yolo, Yuba</w:t>
            </w:r>
          </w:p>
        </w:tc>
        <w:tc>
          <w:tcPr>
            <w:tcW w:w="1440" w:type="dxa"/>
            <w:shd w:val="clear" w:color="auto" w:fill="FFFFFF" w:themeFill="background1"/>
            <w:vAlign w:val="center"/>
          </w:tcPr>
          <w:p w:rsidRPr="000E26C3" w:rsidR="00EE6C8C" w:rsidP="00E87C2D" w:rsidRDefault="00EE6C8C" w14:paraId="7E9903FE" w14:textId="77777777">
            <w:pPr>
              <w:spacing w:line="240" w:lineRule="auto"/>
              <w:ind w:firstLine="0"/>
              <w:jc w:val="center"/>
              <w:rPr>
                <w:sz w:val="24"/>
                <w:szCs w:val="24"/>
              </w:rPr>
            </w:pPr>
            <w:r w:rsidRPr="000E26C3">
              <w:rPr>
                <w:sz w:val="24"/>
                <w:szCs w:val="24"/>
              </w:rPr>
              <w:t>15</w:t>
            </w:r>
          </w:p>
        </w:tc>
      </w:tr>
    </w:tbl>
    <w:p w:rsidR="00EE6C8C" w:rsidP="00C56769" w:rsidRDefault="00EE6C8C" w14:paraId="2D7A18D1" w14:textId="77777777">
      <w:pPr>
        <w:pStyle w:val="OP"/>
        <w:numPr>
          <w:ilvl w:val="0"/>
          <w:numId w:val="0"/>
        </w:numPr>
        <w:spacing w:before="360"/>
        <w:ind w:firstLine="720"/>
      </w:pPr>
      <w:r>
        <w:t>The 1</w:t>
      </w:r>
      <w:r w:rsidRPr="001A4DDD">
        <w:rPr>
          <w:vertAlign w:val="superscript"/>
        </w:rPr>
        <w:t>st</w:t>
      </w:r>
      <w:r>
        <w:t xml:space="preserve"> Quarter Submission benchmark shall apply in the first quarter that a TNC applies for offsets for pre-scheduled WAV service.  </w:t>
      </w:r>
    </w:p>
    <w:p w:rsidR="00EE6C8C" w:rsidP="00C56769" w:rsidRDefault="00C56769" w14:paraId="4016DE38" w14:textId="3CC87421">
      <w:pPr>
        <w:pStyle w:val="FoF"/>
        <w:numPr>
          <w:ilvl w:val="0"/>
          <w:numId w:val="0"/>
        </w:numPr>
        <w:ind w:firstLine="360"/>
      </w:pPr>
      <w:r>
        <w:t>5.</w:t>
      </w:r>
      <w:r>
        <w:tab/>
      </w:r>
      <w:r w:rsidR="00EE6C8C">
        <w:t xml:space="preserve">To demonstrate improved level of service for pre-scheduled wheelchair accessible vehicle (WAV) trips, a transportation network company (TNC) shall demonstrate it has met the Pre-scheduled Trip Completion Standard (PTCS) for a given quarter and geographic area, as follows: </w:t>
      </w:r>
    </w:p>
    <w:p w:rsidR="00EE6C8C" w:rsidP="00C56769" w:rsidRDefault="00C56769" w14:paraId="4857F172" w14:textId="3D4B4835">
      <w:pPr>
        <w:pStyle w:val="OP"/>
        <w:numPr>
          <w:ilvl w:val="0"/>
          <w:numId w:val="0"/>
        </w:numPr>
        <w:spacing w:after="120" w:line="240" w:lineRule="auto"/>
        <w:ind w:left="1080" w:right="1440" w:hanging="360"/>
      </w:pPr>
      <w:r>
        <w:t>a.</w:t>
      </w:r>
      <w:r>
        <w:tab/>
      </w:r>
      <w:r w:rsidR="00EE6C8C">
        <w:t xml:space="preserve">The applicable minimum percentage of trip requests completed, and </w:t>
      </w:r>
    </w:p>
    <w:p w:rsidR="00EE6C8C" w:rsidP="00FF46E9" w:rsidRDefault="00C56769" w14:paraId="70D679DA" w14:textId="2FB23421">
      <w:pPr>
        <w:pStyle w:val="OP"/>
        <w:numPr>
          <w:ilvl w:val="0"/>
          <w:numId w:val="0"/>
        </w:numPr>
        <w:spacing w:after="240" w:line="240" w:lineRule="auto"/>
        <w:ind w:left="1080" w:right="1440" w:hanging="360"/>
      </w:pPr>
      <w:r>
        <w:t>b.</w:t>
      </w:r>
      <w:r>
        <w:tab/>
      </w:r>
      <w:r w:rsidR="00EE6C8C">
        <w:t>Either</w:t>
      </w:r>
      <w:proofErr w:type="gramStart"/>
      <w:r w:rsidR="00EE6C8C">
        <w:t xml:space="preserve">: </w:t>
      </w:r>
      <w:r>
        <w:t xml:space="preserve"> </w:t>
      </w:r>
      <w:r w:rsidR="00EE6C8C">
        <w:t>(</w:t>
      </w:r>
      <w:proofErr w:type="gramEnd"/>
      <w:r w:rsidR="00EE6C8C">
        <w:t>1)</w:t>
      </w:r>
      <w:r>
        <w:t> </w:t>
      </w:r>
      <w:r w:rsidR="00EE6C8C">
        <w:t>a greater number of completed trips than the immediately prior quarter, or (2)</w:t>
      </w:r>
      <w:r>
        <w:t> </w:t>
      </w:r>
      <w:r w:rsidR="00EE6C8C">
        <w:t xml:space="preserve">a greater number of completed trips than the immediately prior year’s same quarter, if sufficient data is available.  </w:t>
      </w:r>
    </w:p>
    <w:tbl>
      <w:tblPr>
        <w:tblStyle w:val="TableGrid"/>
        <w:tblW w:w="9085" w:type="dxa"/>
        <w:jc w:val="center"/>
        <w:tblLook w:val="04A0" w:firstRow="1" w:lastRow="0" w:firstColumn="1" w:lastColumn="0" w:noHBand="0" w:noVBand="1"/>
      </w:tblPr>
      <w:tblGrid>
        <w:gridCol w:w="4680"/>
        <w:gridCol w:w="1345"/>
        <w:gridCol w:w="1440"/>
        <w:gridCol w:w="1620"/>
      </w:tblGrid>
      <w:tr w:rsidRPr="00883D85" w:rsidR="00EE6C8C" w:rsidTr="00462FF9" w14:paraId="78A9DC8E" w14:textId="77777777">
        <w:trPr>
          <w:tblHeader/>
          <w:jc w:val="center"/>
        </w:trPr>
        <w:tc>
          <w:tcPr>
            <w:tcW w:w="9085" w:type="dxa"/>
            <w:gridSpan w:val="4"/>
            <w:shd w:val="clear" w:color="auto" w:fill="F2F2F2" w:themeFill="background1" w:themeFillShade="F2"/>
            <w:vAlign w:val="center"/>
          </w:tcPr>
          <w:p w:rsidRPr="0093467A" w:rsidR="00EE6C8C" w:rsidP="00462FF9" w:rsidRDefault="00EE6C8C" w14:paraId="6F0D9F6C" w14:textId="77777777">
            <w:pPr>
              <w:pStyle w:val="ListParagraph"/>
              <w:spacing w:before="60" w:after="60"/>
              <w:ind w:left="0" w:right="0" w:firstLine="0"/>
              <w:jc w:val="center"/>
              <w:rPr>
                <w:b/>
                <w:bCs/>
                <w:sz w:val="24"/>
                <w:szCs w:val="24"/>
              </w:rPr>
            </w:pPr>
            <w:r>
              <w:rPr>
                <w:b/>
                <w:bCs/>
                <w:sz w:val="24"/>
                <w:szCs w:val="24"/>
              </w:rPr>
              <w:lastRenderedPageBreak/>
              <w:t xml:space="preserve">Pre-scheduled </w:t>
            </w:r>
            <w:r w:rsidRPr="0093467A">
              <w:rPr>
                <w:b/>
                <w:bCs/>
                <w:sz w:val="24"/>
                <w:szCs w:val="24"/>
              </w:rPr>
              <w:t>Trip Completion Standard (</w:t>
            </w:r>
            <w:r>
              <w:rPr>
                <w:b/>
                <w:bCs/>
                <w:sz w:val="24"/>
                <w:szCs w:val="24"/>
              </w:rPr>
              <w:t>P</w:t>
            </w:r>
            <w:r w:rsidRPr="0093467A">
              <w:rPr>
                <w:b/>
                <w:bCs/>
                <w:sz w:val="24"/>
                <w:szCs w:val="24"/>
              </w:rPr>
              <w:t>TCS) Percentages</w:t>
            </w:r>
          </w:p>
        </w:tc>
      </w:tr>
      <w:tr w:rsidRPr="00883D85" w:rsidR="00EE6C8C" w:rsidTr="00462FF9" w14:paraId="0E247D96" w14:textId="77777777">
        <w:trPr>
          <w:tblHeader/>
          <w:jc w:val="center"/>
        </w:trPr>
        <w:tc>
          <w:tcPr>
            <w:tcW w:w="4680" w:type="dxa"/>
            <w:shd w:val="clear" w:color="auto" w:fill="FFFFFF" w:themeFill="background1"/>
            <w:vAlign w:val="center"/>
          </w:tcPr>
          <w:p w:rsidRPr="0093467A" w:rsidR="00EE6C8C" w:rsidP="00FF46E9" w:rsidRDefault="00EE6C8C" w14:paraId="277F2A33" w14:textId="77777777">
            <w:pPr>
              <w:pStyle w:val="ListParagraph"/>
              <w:spacing w:after="0"/>
              <w:ind w:left="0" w:right="0" w:firstLine="0"/>
              <w:jc w:val="center"/>
              <w:rPr>
                <w:b/>
                <w:bCs/>
                <w:sz w:val="24"/>
                <w:szCs w:val="24"/>
              </w:rPr>
            </w:pPr>
            <w:r w:rsidRPr="0093467A">
              <w:rPr>
                <w:b/>
                <w:bCs/>
                <w:sz w:val="24"/>
                <w:szCs w:val="24"/>
              </w:rPr>
              <w:t>Minimum Completion Rate Percentage</w:t>
            </w:r>
          </w:p>
        </w:tc>
        <w:tc>
          <w:tcPr>
            <w:tcW w:w="1345" w:type="dxa"/>
            <w:shd w:val="clear" w:color="auto" w:fill="FFFFFF" w:themeFill="background1"/>
            <w:vAlign w:val="center"/>
          </w:tcPr>
          <w:p w:rsidRPr="0093467A" w:rsidR="00EE6C8C" w:rsidP="00FF46E9" w:rsidRDefault="00EE6C8C" w14:paraId="5482AEAF" w14:textId="77777777">
            <w:pPr>
              <w:pStyle w:val="ListParagraph"/>
              <w:spacing w:after="0"/>
              <w:ind w:left="0" w:right="0" w:firstLine="0"/>
              <w:jc w:val="center"/>
              <w:rPr>
                <w:b/>
                <w:bCs/>
                <w:sz w:val="24"/>
                <w:szCs w:val="24"/>
              </w:rPr>
            </w:pPr>
            <w:r w:rsidRPr="0093467A">
              <w:rPr>
                <w:b/>
                <w:bCs/>
                <w:sz w:val="24"/>
                <w:szCs w:val="24"/>
              </w:rPr>
              <w:t>County Group A</w:t>
            </w:r>
          </w:p>
        </w:tc>
        <w:tc>
          <w:tcPr>
            <w:tcW w:w="1440" w:type="dxa"/>
            <w:shd w:val="clear" w:color="auto" w:fill="FFFFFF" w:themeFill="background1"/>
            <w:vAlign w:val="center"/>
          </w:tcPr>
          <w:p w:rsidRPr="0093467A" w:rsidR="00EE6C8C" w:rsidP="00FF46E9" w:rsidRDefault="00EE6C8C" w14:paraId="34744658" w14:textId="77777777">
            <w:pPr>
              <w:pStyle w:val="ListParagraph"/>
              <w:spacing w:after="0"/>
              <w:ind w:left="0" w:right="0" w:firstLine="0"/>
              <w:jc w:val="center"/>
              <w:rPr>
                <w:b/>
                <w:bCs/>
                <w:sz w:val="24"/>
                <w:szCs w:val="24"/>
              </w:rPr>
            </w:pPr>
            <w:r w:rsidRPr="0093467A">
              <w:rPr>
                <w:b/>
                <w:bCs/>
                <w:sz w:val="24"/>
                <w:szCs w:val="24"/>
              </w:rPr>
              <w:t>County Group B</w:t>
            </w:r>
          </w:p>
        </w:tc>
        <w:tc>
          <w:tcPr>
            <w:tcW w:w="1620" w:type="dxa"/>
            <w:shd w:val="clear" w:color="auto" w:fill="FFFFFF" w:themeFill="background1"/>
            <w:vAlign w:val="center"/>
          </w:tcPr>
          <w:p w:rsidRPr="0093467A" w:rsidR="00EE6C8C" w:rsidP="00FF46E9" w:rsidRDefault="00EE6C8C" w14:paraId="6BBB5E7B" w14:textId="77777777">
            <w:pPr>
              <w:pStyle w:val="ListParagraph"/>
              <w:spacing w:after="0"/>
              <w:ind w:left="0" w:right="0" w:firstLine="0"/>
              <w:jc w:val="center"/>
              <w:rPr>
                <w:b/>
                <w:bCs/>
                <w:sz w:val="24"/>
                <w:szCs w:val="24"/>
              </w:rPr>
            </w:pPr>
            <w:r w:rsidRPr="0093467A">
              <w:rPr>
                <w:b/>
                <w:bCs/>
                <w:sz w:val="24"/>
                <w:szCs w:val="24"/>
              </w:rPr>
              <w:t>County Group C</w:t>
            </w:r>
          </w:p>
        </w:tc>
      </w:tr>
      <w:tr w:rsidRPr="00883D85" w:rsidR="00EE6C8C" w:rsidTr="00462FF9" w14:paraId="33A21720" w14:textId="77777777">
        <w:trPr>
          <w:tblHeader/>
          <w:jc w:val="center"/>
        </w:trPr>
        <w:tc>
          <w:tcPr>
            <w:tcW w:w="4680" w:type="dxa"/>
            <w:vAlign w:val="center"/>
          </w:tcPr>
          <w:p w:rsidRPr="0093467A" w:rsidR="00EE6C8C" w:rsidP="00FF46E9" w:rsidRDefault="00EE6C8C" w14:paraId="28F2A25C" w14:textId="77777777">
            <w:pPr>
              <w:spacing w:line="240" w:lineRule="auto"/>
              <w:ind w:firstLine="0"/>
              <w:jc w:val="center"/>
              <w:rPr>
                <w:sz w:val="24"/>
                <w:szCs w:val="24"/>
              </w:rPr>
            </w:pPr>
            <w:r w:rsidRPr="0093467A">
              <w:rPr>
                <w:sz w:val="24"/>
                <w:szCs w:val="24"/>
              </w:rPr>
              <w:t>1</w:t>
            </w:r>
            <w:r w:rsidRPr="0093467A">
              <w:rPr>
                <w:sz w:val="24"/>
                <w:szCs w:val="24"/>
                <w:vertAlign w:val="superscript"/>
              </w:rPr>
              <w:t>st</w:t>
            </w:r>
            <w:r w:rsidRPr="0093467A">
              <w:rPr>
                <w:sz w:val="24"/>
                <w:szCs w:val="24"/>
              </w:rPr>
              <w:t xml:space="preserve"> Quarter Submission</w:t>
            </w:r>
          </w:p>
        </w:tc>
        <w:tc>
          <w:tcPr>
            <w:tcW w:w="1345" w:type="dxa"/>
            <w:vAlign w:val="center"/>
          </w:tcPr>
          <w:p w:rsidRPr="0041650B" w:rsidR="00EE6C8C" w:rsidP="00FF46E9" w:rsidRDefault="00EE6C8C" w14:paraId="7F4B661B" w14:textId="77777777">
            <w:pPr>
              <w:spacing w:line="240" w:lineRule="auto"/>
              <w:ind w:firstLine="0"/>
              <w:jc w:val="center"/>
              <w:rPr>
                <w:sz w:val="24"/>
                <w:szCs w:val="24"/>
              </w:rPr>
            </w:pPr>
            <w:r w:rsidRPr="0041650B">
              <w:rPr>
                <w:sz w:val="24"/>
                <w:szCs w:val="24"/>
              </w:rPr>
              <w:t>90%</w:t>
            </w:r>
          </w:p>
        </w:tc>
        <w:tc>
          <w:tcPr>
            <w:tcW w:w="1440" w:type="dxa"/>
            <w:vAlign w:val="center"/>
          </w:tcPr>
          <w:p w:rsidRPr="0041650B" w:rsidR="00EE6C8C" w:rsidP="00FF46E9" w:rsidRDefault="00EE6C8C" w14:paraId="0A990CFA" w14:textId="77777777">
            <w:pPr>
              <w:spacing w:line="240" w:lineRule="auto"/>
              <w:ind w:firstLine="0"/>
              <w:jc w:val="center"/>
              <w:rPr>
                <w:sz w:val="24"/>
                <w:szCs w:val="24"/>
              </w:rPr>
            </w:pPr>
            <w:r w:rsidRPr="0041650B">
              <w:rPr>
                <w:sz w:val="24"/>
                <w:szCs w:val="24"/>
              </w:rPr>
              <w:t>80%</w:t>
            </w:r>
          </w:p>
        </w:tc>
        <w:tc>
          <w:tcPr>
            <w:tcW w:w="1620" w:type="dxa"/>
            <w:vAlign w:val="center"/>
          </w:tcPr>
          <w:p w:rsidRPr="0041650B" w:rsidR="00EE6C8C" w:rsidP="00FF46E9" w:rsidRDefault="00EE6C8C" w14:paraId="2C938D57" w14:textId="77777777">
            <w:pPr>
              <w:spacing w:line="240" w:lineRule="auto"/>
              <w:ind w:firstLine="0"/>
              <w:jc w:val="center"/>
              <w:rPr>
                <w:sz w:val="24"/>
                <w:szCs w:val="24"/>
              </w:rPr>
            </w:pPr>
            <w:r w:rsidRPr="0041650B">
              <w:rPr>
                <w:sz w:val="24"/>
                <w:szCs w:val="24"/>
              </w:rPr>
              <w:t>65%</w:t>
            </w:r>
          </w:p>
        </w:tc>
      </w:tr>
      <w:tr w:rsidRPr="00883D85" w:rsidR="00EE6C8C" w:rsidTr="00462FF9" w14:paraId="470327D7" w14:textId="77777777">
        <w:trPr>
          <w:tblHeader/>
          <w:jc w:val="center"/>
        </w:trPr>
        <w:tc>
          <w:tcPr>
            <w:tcW w:w="4680" w:type="dxa"/>
            <w:vAlign w:val="center"/>
          </w:tcPr>
          <w:p w:rsidRPr="0093467A" w:rsidR="00EE6C8C" w:rsidP="00FF46E9" w:rsidRDefault="00EE6C8C" w14:paraId="6C5DFC44" w14:textId="77777777">
            <w:pPr>
              <w:spacing w:line="240" w:lineRule="auto"/>
              <w:ind w:firstLine="0"/>
              <w:jc w:val="center"/>
              <w:rPr>
                <w:sz w:val="24"/>
                <w:szCs w:val="24"/>
              </w:rPr>
            </w:pPr>
            <w:r w:rsidRPr="0093467A">
              <w:rPr>
                <w:sz w:val="24"/>
                <w:szCs w:val="24"/>
              </w:rPr>
              <w:t>2</w:t>
            </w:r>
            <w:r w:rsidRPr="0093467A">
              <w:rPr>
                <w:sz w:val="24"/>
                <w:szCs w:val="24"/>
                <w:vertAlign w:val="superscript"/>
              </w:rPr>
              <w:t>nd</w:t>
            </w:r>
            <w:r w:rsidRPr="0093467A">
              <w:rPr>
                <w:sz w:val="24"/>
                <w:szCs w:val="24"/>
              </w:rPr>
              <w:t xml:space="preserve"> Quarter</w:t>
            </w:r>
          </w:p>
        </w:tc>
        <w:tc>
          <w:tcPr>
            <w:tcW w:w="1345" w:type="dxa"/>
            <w:vAlign w:val="center"/>
          </w:tcPr>
          <w:p w:rsidRPr="0041650B" w:rsidR="00EE6C8C" w:rsidP="00FF46E9" w:rsidRDefault="00EE6C8C" w14:paraId="6CA3AE24" w14:textId="77777777">
            <w:pPr>
              <w:spacing w:line="240" w:lineRule="auto"/>
              <w:ind w:firstLine="0"/>
              <w:jc w:val="center"/>
              <w:rPr>
                <w:sz w:val="24"/>
                <w:szCs w:val="24"/>
              </w:rPr>
            </w:pPr>
            <w:r w:rsidRPr="0041650B">
              <w:rPr>
                <w:sz w:val="24"/>
                <w:szCs w:val="24"/>
              </w:rPr>
              <w:t>90%</w:t>
            </w:r>
          </w:p>
        </w:tc>
        <w:tc>
          <w:tcPr>
            <w:tcW w:w="1440" w:type="dxa"/>
            <w:vAlign w:val="center"/>
          </w:tcPr>
          <w:p w:rsidRPr="0041650B" w:rsidR="00EE6C8C" w:rsidP="00FF46E9" w:rsidRDefault="00EE6C8C" w14:paraId="5E5C9B94" w14:textId="77777777">
            <w:pPr>
              <w:spacing w:line="240" w:lineRule="auto"/>
              <w:ind w:firstLine="0"/>
              <w:jc w:val="center"/>
              <w:rPr>
                <w:sz w:val="24"/>
                <w:szCs w:val="24"/>
              </w:rPr>
            </w:pPr>
            <w:r w:rsidRPr="0041650B">
              <w:rPr>
                <w:sz w:val="24"/>
                <w:szCs w:val="24"/>
              </w:rPr>
              <w:t>81%</w:t>
            </w:r>
          </w:p>
        </w:tc>
        <w:tc>
          <w:tcPr>
            <w:tcW w:w="1620" w:type="dxa"/>
            <w:vAlign w:val="center"/>
          </w:tcPr>
          <w:p w:rsidRPr="0041650B" w:rsidR="00EE6C8C" w:rsidP="00FF46E9" w:rsidRDefault="00EE6C8C" w14:paraId="21C96A63" w14:textId="77777777">
            <w:pPr>
              <w:spacing w:line="240" w:lineRule="auto"/>
              <w:ind w:firstLine="0"/>
              <w:jc w:val="center"/>
              <w:rPr>
                <w:sz w:val="24"/>
                <w:szCs w:val="24"/>
              </w:rPr>
            </w:pPr>
            <w:r w:rsidRPr="0041650B">
              <w:rPr>
                <w:sz w:val="24"/>
                <w:szCs w:val="24"/>
              </w:rPr>
              <w:t>6</w:t>
            </w:r>
            <w:r>
              <w:rPr>
                <w:sz w:val="24"/>
                <w:szCs w:val="24"/>
              </w:rPr>
              <w:t>7</w:t>
            </w:r>
            <w:r w:rsidRPr="0041650B">
              <w:rPr>
                <w:sz w:val="24"/>
                <w:szCs w:val="24"/>
              </w:rPr>
              <w:t>%</w:t>
            </w:r>
          </w:p>
        </w:tc>
      </w:tr>
      <w:tr w:rsidRPr="00883D85" w:rsidR="00EE6C8C" w:rsidTr="00462FF9" w14:paraId="7EC79628" w14:textId="77777777">
        <w:trPr>
          <w:tblHeader/>
          <w:jc w:val="center"/>
        </w:trPr>
        <w:tc>
          <w:tcPr>
            <w:tcW w:w="4680" w:type="dxa"/>
            <w:vAlign w:val="center"/>
          </w:tcPr>
          <w:p w:rsidRPr="0093467A" w:rsidR="00EE6C8C" w:rsidP="00FF46E9" w:rsidRDefault="00EE6C8C" w14:paraId="5F1C2EB5" w14:textId="77777777">
            <w:pPr>
              <w:spacing w:line="240" w:lineRule="auto"/>
              <w:ind w:firstLine="0"/>
              <w:jc w:val="center"/>
              <w:rPr>
                <w:sz w:val="24"/>
                <w:szCs w:val="24"/>
              </w:rPr>
            </w:pPr>
            <w:r w:rsidRPr="0093467A">
              <w:rPr>
                <w:sz w:val="24"/>
                <w:szCs w:val="24"/>
              </w:rPr>
              <w:t>3</w:t>
            </w:r>
            <w:r w:rsidRPr="0093467A">
              <w:rPr>
                <w:sz w:val="24"/>
                <w:szCs w:val="24"/>
                <w:vertAlign w:val="superscript"/>
              </w:rPr>
              <w:t>rd</w:t>
            </w:r>
            <w:r w:rsidRPr="0093467A">
              <w:rPr>
                <w:sz w:val="24"/>
                <w:szCs w:val="24"/>
              </w:rPr>
              <w:t xml:space="preserve"> Quarter</w:t>
            </w:r>
          </w:p>
        </w:tc>
        <w:tc>
          <w:tcPr>
            <w:tcW w:w="1345" w:type="dxa"/>
            <w:vAlign w:val="center"/>
          </w:tcPr>
          <w:p w:rsidRPr="0041650B" w:rsidR="00EE6C8C" w:rsidP="00FF46E9" w:rsidRDefault="00EE6C8C" w14:paraId="5738BA28" w14:textId="77777777">
            <w:pPr>
              <w:spacing w:line="240" w:lineRule="auto"/>
              <w:ind w:firstLine="0"/>
              <w:jc w:val="center"/>
              <w:rPr>
                <w:sz w:val="24"/>
                <w:szCs w:val="24"/>
              </w:rPr>
            </w:pPr>
            <w:r w:rsidRPr="0041650B">
              <w:rPr>
                <w:sz w:val="24"/>
                <w:szCs w:val="24"/>
              </w:rPr>
              <w:t>90%</w:t>
            </w:r>
          </w:p>
        </w:tc>
        <w:tc>
          <w:tcPr>
            <w:tcW w:w="1440" w:type="dxa"/>
            <w:vAlign w:val="center"/>
          </w:tcPr>
          <w:p w:rsidRPr="0041650B" w:rsidR="00EE6C8C" w:rsidP="00FF46E9" w:rsidRDefault="00EE6C8C" w14:paraId="364A79A8" w14:textId="77777777">
            <w:pPr>
              <w:spacing w:line="240" w:lineRule="auto"/>
              <w:ind w:firstLine="0"/>
              <w:jc w:val="center"/>
              <w:rPr>
                <w:sz w:val="24"/>
                <w:szCs w:val="24"/>
              </w:rPr>
            </w:pPr>
            <w:r w:rsidRPr="0041650B">
              <w:rPr>
                <w:sz w:val="24"/>
                <w:szCs w:val="24"/>
              </w:rPr>
              <w:t>82%</w:t>
            </w:r>
          </w:p>
        </w:tc>
        <w:tc>
          <w:tcPr>
            <w:tcW w:w="1620" w:type="dxa"/>
            <w:vAlign w:val="center"/>
          </w:tcPr>
          <w:p w:rsidRPr="0041650B" w:rsidR="00EE6C8C" w:rsidP="00FF46E9" w:rsidRDefault="00EE6C8C" w14:paraId="6229F5CD" w14:textId="77777777">
            <w:pPr>
              <w:spacing w:line="240" w:lineRule="auto"/>
              <w:ind w:firstLine="0"/>
              <w:jc w:val="center"/>
              <w:rPr>
                <w:sz w:val="24"/>
                <w:szCs w:val="24"/>
              </w:rPr>
            </w:pPr>
            <w:r>
              <w:rPr>
                <w:sz w:val="24"/>
                <w:szCs w:val="24"/>
              </w:rPr>
              <w:t>70</w:t>
            </w:r>
            <w:r w:rsidRPr="0041650B">
              <w:rPr>
                <w:sz w:val="24"/>
                <w:szCs w:val="24"/>
              </w:rPr>
              <w:t>%</w:t>
            </w:r>
          </w:p>
        </w:tc>
      </w:tr>
      <w:tr w:rsidRPr="00883D85" w:rsidR="00EE6C8C" w:rsidTr="00462FF9" w14:paraId="7BDC0482" w14:textId="77777777">
        <w:trPr>
          <w:tblHeader/>
          <w:jc w:val="center"/>
        </w:trPr>
        <w:tc>
          <w:tcPr>
            <w:tcW w:w="4680" w:type="dxa"/>
            <w:vAlign w:val="center"/>
          </w:tcPr>
          <w:p w:rsidRPr="0093467A" w:rsidR="00EE6C8C" w:rsidP="00FF46E9" w:rsidRDefault="00EE6C8C" w14:paraId="49D870D2" w14:textId="77777777">
            <w:pPr>
              <w:spacing w:line="240" w:lineRule="auto"/>
              <w:ind w:firstLine="0"/>
              <w:jc w:val="center"/>
              <w:rPr>
                <w:sz w:val="24"/>
                <w:szCs w:val="24"/>
              </w:rPr>
            </w:pPr>
            <w:r w:rsidRPr="0093467A">
              <w:rPr>
                <w:sz w:val="24"/>
                <w:szCs w:val="24"/>
              </w:rPr>
              <w:t>4</w:t>
            </w:r>
            <w:r w:rsidRPr="0093467A">
              <w:rPr>
                <w:sz w:val="24"/>
                <w:szCs w:val="24"/>
                <w:vertAlign w:val="superscript"/>
              </w:rPr>
              <w:t>th</w:t>
            </w:r>
            <w:r w:rsidRPr="0093467A">
              <w:rPr>
                <w:sz w:val="24"/>
                <w:szCs w:val="24"/>
              </w:rPr>
              <w:t xml:space="preserve"> Quarter</w:t>
            </w:r>
          </w:p>
        </w:tc>
        <w:tc>
          <w:tcPr>
            <w:tcW w:w="1345" w:type="dxa"/>
            <w:vAlign w:val="center"/>
          </w:tcPr>
          <w:p w:rsidRPr="0041650B" w:rsidR="00EE6C8C" w:rsidP="00FF46E9" w:rsidRDefault="00EE6C8C" w14:paraId="0F6CFE89" w14:textId="77777777">
            <w:pPr>
              <w:spacing w:line="240" w:lineRule="auto"/>
              <w:ind w:firstLine="0"/>
              <w:jc w:val="center"/>
              <w:rPr>
                <w:sz w:val="24"/>
                <w:szCs w:val="24"/>
              </w:rPr>
            </w:pPr>
            <w:r w:rsidRPr="0041650B">
              <w:rPr>
                <w:sz w:val="24"/>
                <w:szCs w:val="24"/>
              </w:rPr>
              <w:t>90%</w:t>
            </w:r>
          </w:p>
        </w:tc>
        <w:tc>
          <w:tcPr>
            <w:tcW w:w="1440" w:type="dxa"/>
            <w:vAlign w:val="center"/>
          </w:tcPr>
          <w:p w:rsidRPr="0041650B" w:rsidR="00EE6C8C" w:rsidP="00FF46E9" w:rsidRDefault="00EE6C8C" w14:paraId="636D83DE" w14:textId="77777777">
            <w:pPr>
              <w:spacing w:line="240" w:lineRule="auto"/>
              <w:ind w:firstLine="0"/>
              <w:jc w:val="center"/>
              <w:rPr>
                <w:sz w:val="24"/>
                <w:szCs w:val="24"/>
              </w:rPr>
            </w:pPr>
            <w:r w:rsidRPr="0041650B">
              <w:rPr>
                <w:sz w:val="24"/>
                <w:szCs w:val="24"/>
              </w:rPr>
              <w:t>83%</w:t>
            </w:r>
          </w:p>
        </w:tc>
        <w:tc>
          <w:tcPr>
            <w:tcW w:w="1620" w:type="dxa"/>
            <w:vAlign w:val="center"/>
          </w:tcPr>
          <w:p w:rsidRPr="0041650B" w:rsidR="00EE6C8C" w:rsidP="00FF46E9" w:rsidRDefault="00EE6C8C" w14:paraId="7B68BB07" w14:textId="77777777">
            <w:pPr>
              <w:spacing w:line="240" w:lineRule="auto"/>
              <w:ind w:firstLine="0"/>
              <w:jc w:val="center"/>
              <w:rPr>
                <w:sz w:val="24"/>
                <w:szCs w:val="24"/>
              </w:rPr>
            </w:pPr>
            <w:r>
              <w:rPr>
                <w:sz w:val="24"/>
                <w:szCs w:val="24"/>
              </w:rPr>
              <w:t>73</w:t>
            </w:r>
            <w:r w:rsidRPr="0041650B">
              <w:rPr>
                <w:sz w:val="24"/>
                <w:szCs w:val="24"/>
              </w:rPr>
              <w:t>%</w:t>
            </w:r>
          </w:p>
        </w:tc>
      </w:tr>
      <w:tr w:rsidRPr="00883D85" w:rsidR="00EE6C8C" w:rsidTr="00462FF9" w14:paraId="49C4ECD4" w14:textId="77777777">
        <w:trPr>
          <w:tblHeader/>
          <w:jc w:val="center"/>
        </w:trPr>
        <w:tc>
          <w:tcPr>
            <w:tcW w:w="4680" w:type="dxa"/>
            <w:vAlign w:val="center"/>
          </w:tcPr>
          <w:p w:rsidRPr="0093467A" w:rsidR="00EE6C8C" w:rsidP="00FF46E9" w:rsidRDefault="00EE6C8C" w14:paraId="42A5F0ED" w14:textId="77777777">
            <w:pPr>
              <w:spacing w:line="240" w:lineRule="auto"/>
              <w:ind w:firstLine="0"/>
              <w:jc w:val="center"/>
              <w:rPr>
                <w:sz w:val="24"/>
                <w:szCs w:val="24"/>
              </w:rPr>
            </w:pPr>
            <w:r w:rsidRPr="0093467A">
              <w:rPr>
                <w:sz w:val="24"/>
                <w:szCs w:val="24"/>
              </w:rPr>
              <w:t>5</w:t>
            </w:r>
            <w:r w:rsidRPr="0093467A">
              <w:rPr>
                <w:sz w:val="24"/>
                <w:szCs w:val="24"/>
                <w:vertAlign w:val="superscript"/>
              </w:rPr>
              <w:t>th</w:t>
            </w:r>
            <w:r w:rsidRPr="0093467A">
              <w:rPr>
                <w:sz w:val="24"/>
                <w:szCs w:val="24"/>
              </w:rPr>
              <w:t xml:space="preserve"> Quarter</w:t>
            </w:r>
          </w:p>
        </w:tc>
        <w:tc>
          <w:tcPr>
            <w:tcW w:w="1345" w:type="dxa"/>
            <w:vAlign w:val="center"/>
          </w:tcPr>
          <w:p w:rsidRPr="0041650B" w:rsidR="00EE6C8C" w:rsidP="00FF46E9" w:rsidRDefault="00EE6C8C" w14:paraId="73189E1E" w14:textId="77777777">
            <w:pPr>
              <w:spacing w:line="240" w:lineRule="auto"/>
              <w:ind w:firstLine="0"/>
              <w:jc w:val="center"/>
              <w:rPr>
                <w:sz w:val="24"/>
                <w:szCs w:val="24"/>
              </w:rPr>
            </w:pPr>
            <w:r w:rsidRPr="0041650B">
              <w:rPr>
                <w:sz w:val="24"/>
                <w:szCs w:val="24"/>
              </w:rPr>
              <w:t>90%</w:t>
            </w:r>
          </w:p>
        </w:tc>
        <w:tc>
          <w:tcPr>
            <w:tcW w:w="1440" w:type="dxa"/>
            <w:vAlign w:val="center"/>
          </w:tcPr>
          <w:p w:rsidRPr="0041650B" w:rsidR="00EE6C8C" w:rsidP="00FF46E9" w:rsidRDefault="00EE6C8C" w14:paraId="1276E5EE" w14:textId="77777777">
            <w:pPr>
              <w:spacing w:line="240" w:lineRule="auto"/>
              <w:ind w:firstLine="0"/>
              <w:jc w:val="center"/>
              <w:rPr>
                <w:sz w:val="24"/>
                <w:szCs w:val="24"/>
              </w:rPr>
            </w:pPr>
            <w:r w:rsidRPr="0041650B">
              <w:rPr>
                <w:sz w:val="24"/>
                <w:szCs w:val="24"/>
              </w:rPr>
              <w:t>84%</w:t>
            </w:r>
          </w:p>
        </w:tc>
        <w:tc>
          <w:tcPr>
            <w:tcW w:w="1620" w:type="dxa"/>
            <w:vAlign w:val="center"/>
          </w:tcPr>
          <w:p w:rsidRPr="0041650B" w:rsidR="00EE6C8C" w:rsidP="00FF46E9" w:rsidRDefault="00EE6C8C" w14:paraId="765F86D7" w14:textId="77777777">
            <w:pPr>
              <w:spacing w:line="240" w:lineRule="auto"/>
              <w:ind w:firstLine="0"/>
              <w:jc w:val="center"/>
              <w:rPr>
                <w:sz w:val="24"/>
                <w:szCs w:val="24"/>
              </w:rPr>
            </w:pPr>
            <w:r>
              <w:rPr>
                <w:sz w:val="24"/>
                <w:szCs w:val="24"/>
              </w:rPr>
              <w:t>76</w:t>
            </w:r>
            <w:r w:rsidRPr="0041650B">
              <w:rPr>
                <w:sz w:val="24"/>
                <w:szCs w:val="24"/>
              </w:rPr>
              <w:t>%</w:t>
            </w:r>
          </w:p>
        </w:tc>
      </w:tr>
      <w:tr w:rsidRPr="00883D85" w:rsidR="00EE6C8C" w:rsidTr="00462FF9" w14:paraId="027E7B9D" w14:textId="77777777">
        <w:trPr>
          <w:tblHeader/>
          <w:jc w:val="center"/>
        </w:trPr>
        <w:tc>
          <w:tcPr>
            <w:tcW w:w="4680" w:type="dxa"/>
            <w:vAlign w:val="center"/>
          </w:tcPr>
          <w:p w:rsidRPr="0093467A" w:rsidR="00EE6C8C" w:rsidP="00FF46E9" w:rsidRDefault="00EE6C8C" w14:paraId="22BE4B46" w14:textId="77777777">
            <w:pPr>
              <w:spacing w:line="240" w:lineRule="auto"/>
              <w:ind w:firstLine="0"/>
              <w:jc w:val="center"/>
              <w:rPr>
                <w:sz w:val="24"/>
                <w:szCs w:val="24"/>
              </w:rPr>
            </w:pPr>
            <w:r w:rsidRPr="0093467A">
              <w:rPr>
                <w:sz w:val="24"/>
                <w:szCs w:val="24"/>
              </w:rPr>
              <w:t>6</w:t>
            </w:r>
            <w:r w:rsidRPr="0093467A">
              <w:rPr>
                <w:sz w:val="24"/>
                <w:szCs w:val="24"/>
                <w:vertAlign w:val="superscript"/>
              </w:rPr>
              <w:t>th</w:t>
            </w:r>
            <w:r w:rsidRPr="0093467A">
              <w:rPr>
                <w:sz w:val="24"/>
                <w:szCs w:val="24"/>
              </w:rPr>
              <w:t xml:space="preserve"> Quarter</w:t>
            </w:r>
          </w:p>
        </w:tc>
        <w:tc>
          <w:tcPr>
            <w:tcW w:w="1345" w:type="dxa"/>
            <w:vAlign w:val="center"/>
          </w:tcPr>
          <w:p w:rsidRPr="0041650B" w:rsidR="00EE6C8C" w:rsidP="00FF46E9" w:rsidRDefault="00EE6C8C" w14:paraId="795A7021" w14:textId="77777777">
            <w:pPr>
              <w:spacing w:line="240" w:lineRule="auto"/>
              <w:ind w:firstLine="0"/>
              <w:jc w:val="center"/>
              <w:rPr>
                <w:sz w:val="24"/>
                <w:szCs w:val="24"/>
              </w:rPr>
            </w:pPr>
            <w:r w:rsidRPr="0041650B">
              <w:rPr>
                <w:sz w:val="24"/>
                <w:szCs w:val="24"/>
              </w:rPr>
              <w:t>90%</w:t>
            </w:r>
          </w:p>
        </w:tc>
        <w:tc>
          <w:tcPr>
            <w:tcW w:w="1440" w:type="dxa"/>
            <w:vAlign w:val="center"/>
          </w:tcPr>
          <w:p w:rsidRPr="0041650B" w:rsidR="00EE6C8C" w:rsidP="00FF46E9" w:rsidRDefault="00EE6C8C" w14:paraId="1D8C8891" w14:textId="77777777">
            <w:pPr>
              <w:spacing w:line="240" w:lineRule="auto"/>
              <w:ind w:firstLine="0"/>
              <w:jc w:val="center"/>
              <w:rPr>
                <w:sz w:val="24"/>
                <w:szCs w:val="24"/>
              </w:rPr>
            </w:pPr>
            <w:r w:rsidRPr="0041650B">
              <w:rPr>
                <w:sz w:val="24"/>
                <w:szCs w:val="24"/>
              </w:rPr>
              <w:t>8</w:t>
            </w:r>
            <w:r>
              <w:rPr>
                <w:sz w:val="24"/>
                <w:szCs w:val="24"/>
              </w:rPr>
              <w:t>6</w:t>
            </w:r>
            <w:r w:rsidRPr="0041650B">
              <w:rPr>
                <w:sz w:val="24"/>
                <w:szCs w:val="24"/>
              </w:rPr>
              <w:t>%</w:t>
            </w:r>
          </w:p>
        </w:tc>
        <w:tc>
          <w:tcPr>
            <w:tcW w:w="1620" w:type="dxa"/>
            <w:vAlign w:val="center"/>
          </w:tcPr>
          <w:p w:rsidRPr="0041650B" w:rsidR="00EE6C8C" w:rsidP="00FF46E9" w:rsidRDefault="00EE6C8C" w14:paraId="335FEFC7" w14:textId="77777777">
            <w:pPr>
              <w:spacing w:line="240" w:lineRule="auto"/>
              <w:ind w:firstLine="0"/>
              <w:jc w:val="center"/>
              <w:rPr>
                <w:sz w:val="24"/>
                <w:szCs w:val="24"/>
              </w:rPr>
            </w:pPr>
            <w:r w:rsidRPr="0041650B">
              <w:rPr>
                <w:sz w:val="24"/>
                <w:szCs w:val="24"/>
              </w:rPr>
              <w:t>7</w:t>
            </w:r>
            <w:r>
              <w:rPr>
                <w:sz w:val="24"/>
                <w:szCs w:val="24"/>
              </w:rPr>
              <w:t>9</w:t>
            </w:r>
            <w:r w:rsidRPr="0041650B">
              <w:rPr>
                <w:sz w:val="24"/>
                <w:szCs w:val="24"/>
              </w:rPr>
              <w:t>%</w:t>
            </w:r>
          </w:p>
        </w:tc>
      </w:tr>
      <w:tr w:rsidRPr="00883D85" w:rsidR="00EE6C8C" w:rsidTr="00462FF9" w14:paraId="109B5364" w14:textId="77777777">
        <w:trPr>
          <w:tblHeader/>
          <w:jc w:val="center"/>
        </w:trPr>
        <w:tc>
          <w:tcPr>
            <w:tcW w:w="4680" w:type="dxa"/>
            <w:vAlign w:val="center"/>
          </w:tcPr>
          <w:p w:rsidRPr="0093467A" w:rsidR="00EE6C8C" w:rsidP="00FF46E9" w:rsidRDefault="00EE6C8C" w14:paraId="4958F31A" w14:textId="77777777">
            <w:pPr>
              <w:spacing w:line="240" w:lineRule="auto"/>
              <w:ind w:firstLine="0"/>
              <w:jc w:val="center"/>
              <w:rPr>
                <w:sz w:val="24"/>
                <w:szCs w:val="24"/>
              </w:rPr>
            </w:pPr>
            <w:r w:rsidRPr="0093467A">
              <w:rPr>
                <w:sz w:val="24"/>
                <w:szCs w:val="24"/>
              </w:rPr>
              <w:t>7</w:t>
            </w:r>
            <w:r w:rsidRPr="0093467A">
              <w:rPr>
                <w:sz w:val="24"/>
                <w:szCs w:val="24"/>
                <w:vertAlign w:val="superscript"/>
              </w:rPr>
              <w:t>th</w:t>
            </w:r>
            <w:r w:rsidRPr="0093467A">
              <w:rPr>
                <w:sz w:val="24"/>
                <w:szCs w:val="24"/>
              </w:rPr>
              <w:t xml:space="preserve"> Quarter</w:t>
            </w:r>
          </w:p>
        </w:tc>
        <w:tc>
          <w:tcPr>
            <w:tcW w:w="1345" w:type="dxa"/>
            <w:vAlign w:val="center"/>
          </w:tcPr>
          <w:p w:rsidRPr="0041650B" w:rsidR="00EE6C8C" w:rsidP="00FF46E9" w:rsidRDefault="00EE6C8C" w14:paraId="747307B5" w14:textId="77777777">
            <w:pPr>
              <w:spacing w:line="240" w:lineRule="auto"/>
              <w:ind w:firstLine="0"/>
              <w:jc w:val="center"/>
              <w:rPr>
                <w:sz w:val="24"/>
                <w:szCs w:val="24"/>
              </w:rPr>
            </w:pPr>
            <w:r w:rsidRPr="0041650B">
              <w:rPr>
                <w:sz w:val="24"/>
                <w:szCs w:val="24"/>
              </w:rPr>
              <w:t>90%</w:t>
            </w:r>
          </w:p>
        </w:tc>
        <w:tc>
          <w:tcPr>
            <w:tcW w:w="1440" w:type="dxa"/>
            <w:vAlign w:val="center"/>
          </w:tcPr>
          <w:p w:rsidRPr="0041650B" w:rsidR="00EE6C8C" w:rsidP="00FF46E9" w:rsidRDefault="00EE6C8C" w14:paraId="7BFBA4BC" w14:textId="77777777">
            <w:pPr>
              <w:spacing w:line="240" w:lineRule="auto"/>
              <w:ind w:firstLine="0"/>
              <w:jc w:val="center"/>
              <w:rPr>
                <w:sz w:val="24"/>
                <w:szCs w:val="24"/>
              </w:rPr>
            </w:pPr>
            <w:r w:rsidRPr="0041650B">
              <w:rPr>
                <w:sz w:val="24"/>
                <w:szCs w:val="24"/>
              </w:rPr>
              <w:t>8</w:t>
            </w:r>
            <w:r>
              <w:rPr>
                <w:sz w:val="24"/>
                <w:szCs w:val="24"/>
              </w:rPr>
              <w:t>8</w:t>
            </w:r>
            <w:r w:rsidRPr="0041650B">
              <w:rPr>
                <w:sz w:val="24"/>
                <w:szCs w:val="24"/>
              </w:rPr>
              <w:t>%</w:t>
            </w:r>
          </w:p>
        </w:tc>
        <w:tc>
          <w:tcPr>
            <w:tcW w:w="1620" w:type="dxa"/>
            <w:vAlign w:val="center"/>
          </w:tcPr>
          <w:p w:rsidRPr="0041650B" w:rsidR="00EE6C8C" w:rsidP="00FF46E9" w:rsidRDefault="00EE6C8C" w14:paraId="7FEBB568" w14:textId="77777777">
            <w:pPr>
              <w:spacing w:line="240" w:lineRule="auto"/>
              <w:ind w:firstLine="0"/>
              <w:jc w:val="center"/>
              <w:rPr>
                <w:sz w:val="24"/>
                <w:szCs w:val="24"/>
              </w:rPr>
            </w:pPr>
            <w:r>
              <w:rPr>
                <w:sz w:val="24"/>
                <w:szCs w:val="24"/>
              </w:rPr>
              <w:t>82</w:t>
            </w:r>
            <w:r w:rsidRPr="0041650B">
              <w:rPr>
                <w:sz w:val="24"/>
                <w:szCs w:val="24"/>
              </w:rPr>
              <w:t>%</w:t>
            </w:r>
          </w:p>
        </w:tc>
      </w:tr>
      <w:tr w:rsidRPr="00883D85" w:rsidR="00EE6C8C" w:rsidTr="00462FF9" w14:paraId="5FC8D829" w14:textId="77777777">
        <w:trPr>
          <w:tblHeader/>
          <w:jc w:val="center"/>
        </w:trPr>
        <w:tc>
          <w:tcPr>
            <w:tcW w:w="4680" w:type="dxa"/>
            <w:vAlign w:val="center"/>
          </w:tcPr>
          <w:p w:rsidRPr="0093467A" w:rsidR="00EE6C8C" w:rsidP="00FF46E9" w:rsidRDefault="00EE6C8C" w14:paraId="31DAD981" w14:textId="77777777">
            <w:pPr>
              <w:spacing w:line="240" w:lineRule="auto"/>
              <w:ind w:firstLine="0"/>
              <w:jc w:val="center"/>
              <w:rPr>
                <w:sz w:val="24"/>
                <w:szCs w:val="24"/>
              </w:rPr>
            </w:pPr>
            <w:r w:rsidRPr="0093467A">
              <w:rPr>
                <w:sz w:val="24"/>
                <w:szCs w:val="24"/>
              </w:rPr>
              <w:t>8</w:t>
            </w:r>
            <w:r w:rsidRPr="0093467A">
              <w:rPr>
                <w:sz w:val="24"/>
                <w:szCs w:val="24"/>
                <w:vertAlign w:val="superscript"/>
              </w:rPr>
              <w:t xml:space="preserve">th </w:t>
            </w:r>
            <w:r w:rsidRPr="0093467A">
              <w:rPr>
                <w:sz w:val="24"/>
                <w:szCs w:val="24"/>
              </w:rPr>
              <w:t>(and subsequent) Quarter</w:t>
            </w:r>
          </w:p>
        </w:tc>
        <w:tc>
          <w:tcPr>
            <w:tcW w:w="1345" w:type="dxa"/>
            <w:vAlign w:val="center"/>
          </w:tcPr>
          <w:p w:rsidRPr="0041650B" w:rsidR="00EE6C8C" w:rsidP="00FF46E9" w:rsidRDefault="00EE6C8C" w14:paraId="33D6E9DA" w14:textId="77777777">
            <w:pPr>
              <w:spacing w:line="240" w:lineRule="auto"/>
              <w:ind w:firstLine="0"/>
              <w:jc w:val="center"/>
              <w:rPr>
                <w:sz w:val="24"/>
                <w:szCs w:val="24"/>
              </w:rPr>
            </w:pPr>
            <w:r w:rsidRPr="0041650B">
              <w:rPr>
                <w:sz w:val="24"/>
                <w:szCs w:val="24"/>
              </w:rPr>
              <w:t>90%</w:t>
            </w:r>
          </w:p>
        </w:tc>
        <w:tc>
          <w:tcPr>
            <w:tcW w:w="1440" w:type="dxa"/>
            <w:vAlign w:val="center"/>
          </w:tcPr>
          <w:p w:rsidRPr="0041650B" w:rsidR="00EE6C8C" w:rsidP="00FF46E9" w:rsidRDefault="00EE6C8C" w14:paraId="56D62EAE" w14:textId="77777777">
            <w:pPr>
              <w:spacing w:line="240" w:lineRule="auto"/>
              <w:ind w:firstLine="0"/>
              <w:jc w:val="center"/>
              <w:rPr>
                <w:sz w:val="24"/>
                <w:szCs w:val="24"/>
              </w:rPr>
            </w:pPr>
            <w:r>
              <w:rPr>
                <w:sz w:val="24"/>
                <w:szCs w:val="24"/>
              </w:rPr>
              <w:t>90</w:t>
            </w:r>
            <w:r w:rsidRPr="0041650B">
              <w:rPr>
                <w:sz w:val="24"/>
                <w:szCs w:val="24"/>
              </w:rPr>
              <w:t>%</w:t>
            </w:r>
          </w:p>
        </w:tc>
        <w:tc>
          <w:tcPr>
            <w:tcW w:w="1620" w:type="dxa"/>
            <w:vAlign w:val="center"/>
          </w:tcPr>
          <w:p w:rsidRPr="0041650B" w:rsidR="00EE6C8C" w:rsidP="00FF46E9" w:rsidRDefault="00EE6C8C" w14:paraId="71C9A4EC" w14:textId="77777777">
            <w:pPr>
              <w:spacing w:line="240" w:lineRule="auto"/>
              <w:ind w:firstLine="0"/>
              <w:jc w:val="center"/>
              <w:rPr>
                <w:sz w:val="24"/>
                <w:szCs w:val="24"/>
              </w:rPr>
            </w:pPr>
            <w:r w:rsidRPr="0041650B">
              <w:rPr>
                <w:sz w:val="24"/>
                <w:szCs w:val="24"/>
              </w:rPr>
              <w:t>8</w:t>
            </w:r>
            <w:r>
              <w:rPr>
                <w:sz w:val="24"/>
                <w:szCs w:val="24"/>
              </w:rPr>
              <w:t>5</w:t>
            </w:r>
            <w:r w:rsidRPr="0041650B">
              <w:rPr>
                <w:sz w:val="24"/>
                <w:szCs w:val="24"/>
              </w:rPr>
              <w:t>%</w:t>
            </w:r>
          </w:p>
        </w:tc>
      </w:tr>
    </w:tbl>
    <w:p w:rsidR="00010E87" w:rsidP="00010E87" w:rsidRDefault="00010E87" w14:paraId="01C87A90" w14:textId="77777777">
      <w:pPr>
        <w:pStyle w:val="FoF"/>
        <w:numPr>
          <w:ilvl w:val="0"/>
          <w:numId w:val="0"/>
        </w:numPr>
        <w:ind w:firstLine="360"/>
      </w:pPr>
    </w:p>
    <w:p w:rsidR="00EE6C8C" w:rsidP="00010E87" w:rsidRDefault="00FF46E9" w14:paraId="68AD47CB" w14:textId="0D1E19B9">
      <w:pPr>
        <w:pStyle w:val="FoF"/>
        <w:numPr>
          <w:ilvl w:val="0"/>
          <w:numId w:val="0"/>
        </w:numPr>
        <w:ind w:firstLine="360"/>
      </w:pPr>
      <w:r>
        <w:t>6.</w:t>
      </w:r>
      <w:r>
        <w:tab/>
      </w:r>
      <w:r w:rsidR="00EE6C8C">
        <w:t>A transportation network company (TNC) may submit an Offset Request for either pre</w:t>
      </w:r>
      <w:r>
        <w:noBreakHyphen/>
      </w:r>
      <w:r w:rsidR="00EE6C8C">
        <w:t>scheduled wheelchair accessible vehicle (WAV) service or on</w:t>
      </w:r>
      <w:r>
        <w:noBreakHyphen/>
      </w:r>
      <w:r w:rsidR="00EE6C8C">
        <w:t>demand WAV service, or both.  Upon approval of an Offset Request, the TNC shall be awarded Access Fund monies proportionate to that county and quarter’s pre-scheduled or on</w:t>
      </w:r>
      <w:r>
        <w:noBreakHyphen/>
      </w:r>
      <w:r w:rsidR="00EE6C8C">
        <w:t>demand WAV service mix, as applicable.  In its Offset Request, the TNC shall submit its total eligible WAV offset expenses, as required in Decision</w:t>
      </w:r>
      <w:r>
        <w:t> </w:t>
      </w:r>
      <w:r w:rsidR="00EE6C8C">
        <w:t>20</w:t>
      </w:r>
      <w:r>
        <w:noBreakHyphen/>
      </w:r>
      <w:r w:rsidR="00EE6C8C">
        <w:t>03-007</w:t>
      </w:r>
      <w:r w:rsidR="008D4B7C">
        <w:t>,</w:t>
      </w:r>
      <w:r w:rsidR="00EE6C8C">
        <w:t xml:space="preserve"> and the breakdown of its on-demand and pre</w:t>
      </w:r>
      <w:r>
        <w:noBreakHyphen/>
      </w:r>
      <w:r w:rsidR="00EE6C8C">
        <w:t>scheduled WAV service mix for that county and quarter.  In its quarterly Access Fee Statement, the TNC shall provide</w:t>
      </w:r>
      <w:r w:rsidRPr="00620984" w:rsidR="00EE6C8C">
        <w:t xml:space="preserve"> a breakdown of the total Access Fund fees collected from on-demand and pre-scheduled trips for that county and quarter.</w:t>
      </w:r>
      <w:r w:rsidR="00EE6C8C">
        <w:t xml:space="preserve">  </w:t>
      </w:r>
    </w:p>
    <w:p w:rsidRPr="004D1B9D" w:rsidR="00EE6C8C" w:rsidP="00FF46E9" w:rsidRDefault="00FF46E9" w14:paraId="5AA8196D" w14:textId="1DBF5EDA">
      <w:pPr>
        <w:pStyle w:val="FoF"/>
        <w:numPr>
          <w:ilvl w:val="0"/>
          <w:numId w:val="0"/>
        </w:numPr>
        <w:ind w:firstLine="360"/>
      </w:pPr>
      <w:r>
        <w:t>7.</w:t>
      </w:r>
      <w:r>
        <w:tab/>
      </w:r>
      <w:r w:rsidR="00EE6C8C">
        <w:t xml:space="preserve">For purposes of exemption eligibility for pre-scheduled wheelchair accessible vehicle (WAV) service, </w:t>
      </w:r>
      <w:r w:rsidRPr="004D1B9D" w:rsidR="00EE6C8C">
        <w:rPr>
          <w:rFonts w:cs="Garamond"/>
          <w:color w:val="000000"/>
          <w:szCs w:val="26"/>
        </w:rPr>
        <w:t xml:space="preserve">a </w:t>
      </w:r>
      <w:r w:rsidR="00EE6C8C">
        <w:rPr>
          <w:rFonts w:cs="Garamond"/>
          <w:color w:val="000000"/>
          <w:szCs w:val="26"/>
        </w:rPr>
        <w:t>transportation network company (</w:t>
      </w:r>
      <w:r w:rsidRPr="004D1B9D" w:rsidR="00EE6C8C">
        <w:rPr>
          <w:rFonts w:cs="Garamond"/>
          <w:color w:val="000000"/>
          <w:szCs w:val="26"/>
        </w:rPr>
        <w:t>TNC</w:t>
      </w:r>
      <w:r w:rsidR="00EE6C8C">
        <w:rPr>
          <w:rFonts w:cs="Garamond"/>
          <w:color w:val="000000"/>
          <w:szCs w:val="26"/>
        </w:rPr>
        <w:t>)</w:t>
      </w:r>
      <w:r w:rsidRPr="004D1B9D" w:rsidR="00EE6C8C">
        <w:rPr>
          <w:rFonts w:cs="Garamond"/>
          <w:color w:val="000000"/>
          <w:szCs w:val="26"/>
        </w:rPr>
        <w:t xml:space="preserve"> must demonstrate that:</w:t>
      </w:r>
    </w:p>
    <w:p w:rsidR="00EE6C8C" w:rsidP="00FF46E9" w:rsidRDefault="00FF46E9" w14:paraId="7DE44CE6" w14:textId="56B7E292">
      <w:pPr>
        <w:pStyle w:val="ListParagraph"/>
        <w:autoSpaceDE w:val="0"/>
        <w:autoSpaceDN w:val="0"/>
        <w:adjustRightInd w:val="0"/>
        <w:ind w:left="1440"/>
        <w:rPr>
          <w:rFonts w:cs="Times New Roman"/>
          <w:color w:val="000000"/>
          <w:szCs w:val="26"/>
        </w:rPr>
      </w:pPr>
      <w:r>
        <w:rPr>
          <w:rFonts w:cs="Times New Roman"/>
          <w:color w:val="000000"/>
          <w:szCs w:val="26"/>
        </w:rPr>
        <w:t>a.</w:t>
      </w:r>
      <w:r>
        <w:rPr>
          <w:rFonts w:cs="Times New Roman"/>
          <w:color w:val="000000"/>
          <w:szCs w:val="26"/>
        </w:rPr>
        <w:tab/>
      </w:r>
      <w:r w:rsidR="00EE6C8C">
        <w:rPr>
          <w:rFonts w:cs="Times New Roman"/>
          <w:color w:val="000000"/>
          <w:szCs w:val="26"/>
        </w:rPr>
        <w:t>a</w:t>
      </w:r>
      <w:r w:rsidRPr="00EF05DA" w:rsidR="00EE6C8C">
        <w:rPr>
          <w:rFonts w:cs="Times New Roman"/>
          <w:color w:val="000000"/>
          <w:szCs w:val="26"/>
        </w:rPr>
        <w:t>t</w:t>
      </w:r>
      <w:r>
        <w:rPr>
          <w:rFonts w:cs="Times New Roman"/>
          <w:color w:val="000000"/>
          <w:szCs w:val="26"/>
        </w:rPr>
        <w:t> </w:t>
      </w:r>
      <w:r w:rsidRPr="00EF05DA" w:rsidR="00EE6C8C">
        <w:rPr>
          <w:rFonts w:cs="Times New Roman"/>
          <w:color w:val="000000"/>
          <w:szCs w:val="26"/>
        </w:rPr>
        <w:t>least 95</w:t>
      </w:r>
      <w:r>
        <w:rPr>
          <w:rFonts w:cs="Times New Roman"/>
          <w:color w:val="000000"/>
          <w:szCs w:val="26"/>
        </w:rPr>
        <w:t> </w:t>
      </w:r>
      <w:r w:rsidRPr="00EF05DA" w:rsidR="00EE6C8C">
        <w:rPr>
          <w:rFonts w:cs="Times New Roman"/>
          <w:color w:val="000000"/>
          <w:szCs w:val="26"/>
        </w:rPr>
        <w:t>percent of its completed pre</w:t>
      </w:r>
      <w:r w:rsidR="00FE45FE">
        <w:rPr>
          <w:rFonts w:cs="Times New Roman"/>
          <w:color w:val="000000"/>
          <w:szCs w:val="26"/>
        </w:rPr>
        <w:t>-</w:t>
      </w:r>
      <w:r w:rsidRPr="00EF05DA" w:rsidR="00EE6C8C">
        <w:rPr>
          <w:rFonts w:cs="Times New Roman"/>
          <w:color w:val="000000"/>
          <w:szCs w:val="26"/>
        </w:rPr>
        <w:t>scheduled WAV trips met or exceed</w:t>
      </w:r>
      <w:r w:rsidR="00695127">
        <w:rPr>
          <w:rFonts w:cs="Times New Roman"/>
          <w:color w:val="000000"/>
          <w:szCs w:val="26"/>
        </w:rPr>
        <w:t>ed</w:t>
      </w:r>
      <w:r w:rsidRPr="00EF05DA" w:rsidR="00EE6C8C">
        <w:rPr>
          <w:rFonts w:cs="Times New Roman"/>
          <w:color w:val="000000"/>
          <w:szCs w:val="26"/>
        </w:rPr>
        <w:t xml:space="preserve"> the Pickup Delay Benchmark</w:t>
      </w:r>
      <w:r w:rsidR="00EE6C8C">
        <w:rPr>
          <w:rFonts w:cs="Times New Roman"/>
          <w:color w:val="000000"/>
          <w:szCs w:val="26"/>
        </w:rPr>
        <w:t>, adopted in OP</w:t>
      </w:r>
      <w:r>
        <w:rPr>
          <w:rFonts w:cs="Times New Roman"/>
          <w:color w:val="000000"/>
          <w:szCs w:val="26"/>
        </w:rPr>
        <w:t> </w:t>
      </w:r>
      <w:r w:rsidR="00ED7218">
        <w:rPr>
          <w:rFonts w:cs="Times New Roman"/>
          <w:color w:val="000000"/>
          <w:szCs w:val="26"/>
        </w:rPr>
        <w:t>4</w:t>
      </w:r>
      <w:r w:rsidR="00EE6C8C">
        <w:rPr>
          <w:rFonts w:cs="Times New Roman"/>
          <w:color w:val="000000"/>
          <w:szCs w:val="26"/>
        </w:rPr>
        <w:t xml:space="preserve">, </w:t>
      </w:r>
      <w:r w:rsidRPr="00EF05DA" w:rsidR="00EE6C8C">
        <w:rPr>
          <w:rFonts w:cs="Times New Roman"/>
          <w:color w:val="000000"/>
          <w:szCs w:val="26"/>
        </w:rPr>
        <w:t xml:space="preserve">for a given geographic area for four consecutive quarters, and </w:t>
      </w:r>
    </w:p>
    <w:p w:rsidRPr="007C7A04" w:rsidR="00EE6C8C" w:rsidP="00FF46E9" w:rsidRDefault="00FF46E9" w14:paraId="2139B689" w14:textId="2328FB4B">
      <w:pPr>
        <w:pStyle w:val="ListParagraph"/>
        <w:autoSpaceDE w:val="0"/>
        <w:autoSpaceDN w:val="0"/>
        <w:adjustRightInd w:val="0"/>
        <w:ind w:left="1440"/>
        <w:rPr>
          <w:rFonts w:cs="Times New Roman"/>
          <w:color w:val="000000"/>
          <w:szCs w:val="26"/>
        </w:rPr>
      </w:pPr>
      <w:r>
        <w:rPr>
          <w:rFonts w:cs="Times New Roman"/>
          <w:color w:val="000000"/>
          <w:szCs w:val="26"/>
        </w:rPr>
        <w:t>b.</w:t>
      </w:r>
      <w:r>
        <w:rPr>
          <w:rFonts w:cs="Times New Roman"/>
          <w:color w:val="000000"/>
          <w:szCs w:val="26"/>
        </w:rPr>
        <w:tab/>
      </w:r>
      <w:r w:rsidR="00EE6C8C">
        <w:rPr>
          <w:rFonts w:cs="Times New Roman"/>
          <w:color w:val="000000"/>
          <w:szCs w:val="26"/>
        </w:rPr>
        <w:t>t</w:t>
      </w:r>
      <w:r w:rsidRPr="00EF05DA" w:rsidR="00EE6C8C">
        <w:rPr>
          <w:rFonts w:cs="Times New Roman"/>
          <w:color w:val="000000"/>
          <w:szCs w:val="26"/>
        </w:rPr>
        <w:t>he TNC qualified for an offset in the given geographic area for the same four consecutive quarters</w:t>
      </w:r>
      <w:r w:rsidR="00EE6C8C">
        <w:rPr>
          <w:rFonts w:cs="Times New Roman"/>
          <w:color w:val="000000"/>
          <w:szCs w:val="26"/>
        </w:rPr>
        <w:t>.</w:t>
      </w:r>
    </w:p>
    <w:p w:rsidR="007647F1" w:rsidP="007647F1" w:rsidRDefault="00462FF9" w14:paraId="7489E7D4" w14:textId="48680AFB">
      <w:pPr>
        <w:pStyle w:val="Standard"/>
      </w:pPr>
      <w:r>
        <w:lastRenderedPageBreak/>
        <w:t>This is referred to as the Pre-scheduled Exemption Time Standard. To verify that a TNC achieved the Pre-scheduled Exemption Time Standard, a TNC shall submit completed WAV response times in deciles, for each qualifying quarter.  A TNC’s pre-scheduled Exemption Request shall mirror the requirements of a pre-scheduled Offset Request for four consecutive quarters.</w:t>
      </w:r>
      <w:r w:rsidR="007647F1">
        <w:t xml:space="preserve">  </w:t>
      </w:r>
      <w:r w:rsidR="00EE6C8C">
        <w:t xml:space="preserve">Upon approval of a </w:t>
      </w:r>
      <w:r w:rsidR="00ED7218">
        <w:t xml:space="preserve">pre-scheduled or on-demand WAV </w:t>
      </w:r>
      <w:r w:rsidR="00EE6C8C">
        <w:t xml:space="preserve">Exemption Request, the TNC shall retain </w:t>
      </w:r>
      <w:r w:rsidR="00ED7218">
        <w:t>that county</w:t>
      </w:r>
      <w:r w:rsidR="002A2BCC">
        <w:t>’</w:t>
      </w:r>
      <w:r w:rsidR="00ED7218">
        <w:t xml:space="preserve">s </w:t>
      </w:r>
      <w:r w:rsidR="00EE6C8C">
        <w:t xml:space="preserve">Access Fund </w:t>
      </w:r>
      <w:r w:rsidR="00ED7218">
        <w:t>fee collection</w:t>
      </w:r>
      <w:r w:rsidR="00EE6C8C">
        <w:t xml:space="preserve"> </w:t>
      </w:r>
      <w:r w:rsidR="00760782">
        <w:t>proportionate to that county’s pre-scheduled or on</w:t>
      </w:r>
      <w:r w:rsidR="00760782">
        <w:noBreakHyphen/>
        <w:t>demand WAV service mix in the prior year’s corresponding quarter</w:t>
      </w:r>
      <w:r w:rsidR="00ED7218">
        <w:t xml:space="preserve">, whichever service the </w:t>
      </w:r>
      <w:r w:rsidR="002A2BCC">
        <w:t xml:space="preserve">exemption </w:t>
      </w:r>
      <w:r w:rsidR="00ED7218">
        <w:t>approval was based upon</w:t>
      </w:r>
      <w:r w:rsidR="00AB7ACA">
        <w:t xml:space="preserve">.  </w:t>
      </w:r>
    </w:p>
    <w:p w:rsidR="00487F98" w:rsidP="00462FF9" w:rsidRDefault="00FF46E9" w14:paraId="6260CBE4" w14:textId="4B230A86">
      <w:pPr>
        <w:pStyle w:val="FoF"/>
        <w:numPr>
          <w:ilvl w:val="0"/>
          <w:numId w:val="0"/>
        </w:numPr>
      </w:pPr>
      <w:r>
        <w:t>8.</w:t>
      </w:r>
      <w:r>
        <w:tab/>
      </w:r>
      <w:r w:rsidR="00EE6C8C">
        <w:t>The offset and exemption eligibility requirements adopted for pre-scheduled wheelchair accessible vehicle trips shall be effective beginning the 3</w:t>
      </w:r>
      <w:r w:rsidRPr="00620984" w:rsidR="00EE6C8C">
        <w:rPr>
          <w:vertAlign w:val="superscript"/>
        </w:rPr>
        <w:t>rd</w:t>
      </w:r>
      <w:r>
        <w:t> </w:t>
      </w:r>
      <w:r w:rsidR="00EE6C8C">
        <w:t>quarter of 2023.</w:t>
      </w:r>
      <w:r w:rsidRPr="00620984" w:rsidR="00EE6C8C">
        <w:t xml:space="preserve"> </w:t>
      </w:r>
    </w:p>
    <w:p w:rsidR="00A33CE5" w:rsidP="00462FF9" w:rsidRDefault="00FF46E9" w14:paraId="7BE898E2" w14:textId="3B34B2FB">
      <w:pPr>
        <w:pStyle w:val="FoF"/>
        <w:numPr>
          <w:ilvl w:val="0"/>
          <w:numId w:val="0"/>
        </w:numPr>
        <w:rPr>
          <w:rFonts w:cs="Arial"/>
          <w:szCs w:val="26"/>
        </w:rPr>
      </w:pPr>
      <w:r>
        <w:rPr>
          <w:rFonts w:cs="Arial"/>
          <w:szCs w:val="26"/>
        </w:rPr>
        <w:t>9.</w:t>
      </w:r>
      <w:r>
        <w:rPr>
          <w:rFonts w:cs="Arial"/>
          <w:szCs w:val="26"/>
        </w:rPr>
        <w:tab/>
      </w:r>
      <w:r w:rsidR="00EE6C8C">
        <w:rPr>
          <w:rFonts w:cs="Arial"/>
          <w:szCs w:val="26"/>
        </w:rPr>
        <w:t>A Wait</w:t>
      </w:r>
      <w:r>
        <w:rPr>
          <w:rFonts w:cs="Arial"/>
          <w:szCs w:val="26"/>
        </w:rPr>
        <w:t> </w:t>
      </w:r>
      <w:r w:rsidR="00EE6C8C">
        <w:rPr>
          <w:rFonts w:cs="Arial"/>
          <w:szCs w:val="26"/>
        </w:rPr>
        <w:t>&amp;</w:t>
      </w:r>
      <w:r>
        <w:rPr>
          <w:rFonts w:cs="Arial"/>
          <w:szCs w:val="26"/>
        </w:rPr>
        <w:t> </w:t>
      </w:r>
      <w:r w:rsidR="00EE6C8C">
        <w:rPr>
          <w:rFonts w:cs="Arial"/>
          <w:szCs w:val="26"/>
        </w:rPr>
        <w:t xml:space="preserve">Save wheelchair accessible vehicle (WAV) trip shall be categorized as </w:t>
      </w:r>
      <w:r w:rsidR="00010EC6">
        <w:rPr>
          <w:rFonts w:cs="Arial"/>
          <w:szCs w:val="26"/>
        </w:rPr>
        <w:t xml:space="preserve">an </w:t>
      </w:r>
      <w:r w:rsidR="00EE6C8C">
        <w:rPr>
          <w:rFonts w:cs="Arial"/>
          <w:szCs w:val="26"/>
        </w:rPr>
        <w:t>“on</w:t>
      </w:r>
      <w:r>
        <w:rPr>
          <w:rFonts w:cs="Arial"/>
          <w:szCs w:val="26"/>
        </w:rPr>
        <w:noBreakHyphen/>
      </w:r>
      <w:r w:rsidR="00EE6C8C">
        <w:rPr>
          <w:rFonts w:cs="Arial"/>
          <w:szCs w:val="26"/>
        </w:rPr>
        <w:t>demand” WAV trip for purposes of the Access for All Program.  For purposes of offset and exemption eligibility, a Wait &amp; Save trip shall be considered “on</w:t>
      </w:r>
      <w:r>
        <w:rPr>
          <w:rFonts w:cs="Arial"/>
          <w:szCs w:val="26"/>
        </w:rPr>
        <w:t> </w:t>
      </w:r>
      <w:r w:rsidR="00EE6C8C">
        <w:rPr>
          <w:rFonts w:cs="Arial"/>
          <w:szCs w:val="26"/>
        </w:rPr>
        <w:t>time” if the driver arrives before the delayed pick</w:t>
      </w:r>
      <w:r>
        <w:rPr>
          <w:rFonts w:cs="Arial"/>
          <w:szCs w:val="26"/>
        </w:rPr>
        <w:noBreakHyphen/>
      </w:r>
      <w:r w:rsidR="00EE6C8C">
        <w:rPr>
          <w:rFonts w:cs="Arial"/>
          <w:szCs w:val="26"/>
        </w:rPr>
        <w:t xml:space="preserve">up time that was accepted by the passenger.  </w:t>
      </w:r>
      <w:r w:rsidR="00D8709B">
        <w:rPr>
          <w:rFonts w:cs="Arial"/>
          <w:szCs w:val="26"/>
        </w:rPr>
        <w:t xml:space="preserve">For example, if a passenger opts for a Wait &amp; Save trip with a pickup window of 8:00 – 8:20 am, the trip is considered “on time” if the driver arrives before 8:20 am.  </w:t>
      </w:r>
      <w:r w:rsidR="002A2BCC">
        <w:rPr>
          <w:rFonts w:cs="Arial"/>
          <w:szCs w:val="26"/>
        </w:rPr>
        <w:t>If the trip is “on time,” that trip will be included in the percentage of completed trips under the Level 1 and Level 2 Offset Time Standard response times, as adopted in Ordering</w:t>
      </w:r>
      <w:r w:rsidR="00451706">
        <w:rPr>
          <w:rFonts w:cs="Arial"/>
          <w:szCs w:val="26"/>
        </w:rPr>
        <w:t> </w:t>
      </w:r>
      <w:r w:rsidR="002A2BCC">
        <w:rPr>
          <w:rFonts w:cs="Arial"/>
          <w:szCs w:val="26"/>
        </w:rPr>
        <w:t>Paragraph (OP)</w:t>
      </w:r>
      <w:r w:rsidR="00451706">
        <w:rPr>
          <w:rFonts w:cs="Arial"/>
          <w:szCs w:val="26"/>
        </w:rPr>
        <w:t> </w:t>
      </w:r>
      <w:r w:rsidR="002A2BCC">
        <w:rPr>
          <w:rFonts w:cs="Arial"/>
          <w:szCs w:val="26"/>
        </w:rPr>
        <w:t>1 of Decision (D.)</w:t>
      </w:r>
      <w:r w:rsidR="00451706">
        <w:rPr>
          <w:rFonts w:cs="Arial"/>
          <w:szCs w:val="26"/>
        </w:rPr>
        <w:t> </w:t>
      </w:r>
      <w:r w:rsidR="002A2BCC">
        <w:rPr>
          <w:rFonts w:cs="Arial"/>
          <w:szCs w:val="26"/>
        </w:rPr>
        <w:t>21</w:t>
      </w:r>
      <w:r w:rsidR="00451706">
        <w:rPr>
          <w:rFonts w:cs="Arial"/>
          <w:szCs w:val="26"/>
        </w:rPr>
        <w:noBreakHyphen/>
      </w:r>
      <w:r w:rsidR="002A2BCC">
        <w:rPr>
          <w:rFonts w:cs="Arial"/>
          <w:szCs w:val="26"/>
        </w:rPr>
        <w:t>11</w:t>
      </w:r>
      <w:r w:rsidR="00451706">
        <w:rPr>
          <w:rFonts w:cs="Arial"/>
          <w:szCs w:val="26"/>
        </w:rPr>
        <w:noBreakHyphen/>
      </w:r>
      <w:r w:rsidR="002A2BCC">
        <w:rPr>
          <w:rFonts w:cs="Arial"/>
          <w:szCs w:val="26"/>
        </w:rPr>
        <w:t xml:space="preserve">004.  </w:t>
      </w:r>
      <w:r w:rsidR="00EE6C8C">
        <w:rPr>
          <w:rFonts w:cs="Arial"/>
          <w:szCs w:val="26"/>
        </w:rPr>
        <w:t xml:space="preserve">If the </w:t>
      </w:r>
      <w:r w:rsidR="007647F1">
        <w:rPr>
          <w:rFonts w:cs="Arial"/>
          <w:szCs w:val="26"/>
        </w:rPr>
        <w:t>trip</w:t>
      </w:r>
      <w:r w:rsidR="00EE6C8C">
        <w:rPr>
          <w:rFonts w:cs="Arial"/>
          <w:szCs w:val="26"/>
        </w:rPr>
        <w:t xml:space="preserve"> is not “on time,” the trip shall not be included in the </w:t>
      </w:r>
      <w:r w:rsidR="002A2BCC">
        <w:rPr>
          <w:rFonts w:cs="Arial"/>
          <w:szCs w:val="26"/>
        </w:rPr>
        <w:t xml:space="preserve">percentage </w:t>
      </w:r>
      <w:r w:rsidR="00EE6C8C">
        <w:rPr>
          <w:rFonts w:cs="Arial"/>
          <w:szCs w:val="26"/>
        </w:rPr>
        <w:t xml:space="preserve">of </w:t>
      </w:r>
      <w:r w:rsidR="002A2BCC">
        <w:rPr>
          <w:rFonts w:cs="Arial"/>
          <w:szCs w:val="26"/>
        </w:rPr>
        <w:t xml:space="preserve">completed </w:t>
      </w:r>
      <w:r w:rsidR="00EE6C8C">
        <w:rPr>
          <w:rFonts w:cs="Arial"/>
          <w:szCs w:val="26"/>
        </w:rPr>
        <w:t xml:space="preserve">trips </w:t>
      </w:r>
      <w:r w:rsidR="002A2BCC">
        <w:rPr>
          <w:rFonts w:cs="Arial"/>
          <w:szCs w:val="26"/>
        </w:rPr>
        <w:t>under</w:t>
      </w:r>
      <w:r w:rsidR="00EE6C8C">
        <w:rPr>
          <w:rFonts w:cs="Arial"/>
          <w:szCs w:val="26"/>
        </w:rPr>
        <w:t xml:space="preserve"> the Level</w:t>
      </w:r>
      <w:r>
        <w:rPr>
          <w:rFonts w:cs="Arial"/>
          <w:szCs w:val="26"/>
        </w:rPr>
        <w:t> </w:t>
      </w:r>
      <w:r w:rsidR="00EE6C8C">
        <w:rPr>
          <w:rFonts w:cs="Arial"/>
          <w:szCs w:val="26"/>
        </w:rPr>
        <w:t>1 and Level</w:t>
      </w:r>
      <w:r>
        <w:rPr>
          <w:rFonts w:cs="Arial"/>
          <w:szCs w:val="26"/>
        </w:rPr>
        <w:t> </w:t>
      </w:r>
      <w:r w:rsidR="00EE6C8C">
        <w:rPr>
          <w:rFonts w:cs="Arial"/>
          <w:szCs w:val="26"/>
        </w:rPr>
        <w:t>2 response times.  Whether “on</w:t>
      </w:r>
      <w:r>
        <w:rPr>
          <w:rFonts w:cs="Arial"/>
          <w:szCs w:val="26"/>
        </w:rPr>
        <w:t> </w:t>
      </w:r>
      <w:r w:rsidR="00EE6C8C">
        <w:rPr>
          <w:rFonts w:cs="Arial"/>
          <w:szCs w:val="26"/>
        </w:rPr>
        <w:t>time” or not, the trip shall be included in the total number of trips completed, for purposes of reporting under OP</w:t>
      </w:r>
      <w:r>
        <w:rPr>
          <w:rFonts w:cs="Arial"/>
          <w:szCs w:val="26"/>
        </w:rPr>
        <w:t> </w:t>
      </w:r>
      <w:r w:rsidR="00EE6C8C">
        <w:rPr>
          <w:rFonts w:cs="Arial"/>
          <w:szCs w:val="26"/>
        </w:rPr>
        <w:t>1 of D</w:t>
      </w:r>
      <w:r>
        <w:rPr>
          <w:rFonts w:cs="Arial"/>
          <w:szCs w:val="26"/>
        </w:rPr>
        <w:t>.</w:t>
      </w:r>
      <w:r w:rsidR="00EE6C8C">
        <w:rPr>
          <w:rFonts w:cs="Arial"/>
          <w:szCs w:val="26"/>
        </w:rPr>
        <w:t>20</w:t>
      </w:r>
      <w:r>
        <w:rPr>
          <w:rFonts w:cs="Arial"/>
          <w:szCs w:val="26"/>
        </w:rPr>
        <w:noBreakHyphen/>
      </w:r>
      <w:r w:rsidR="00EE6C8C">
        <w:rPr>
          <w:rFonts w:cs="Arial"/>
          <w:szCs w:val="26"/>
        </w:rPr>
        <w:t>03</w:t>
      </w:r>
      <w:r>
        <w:rPr>
          <w:rFonts w:cs="Arial"/>
          <w:szCs w:val="26"/>
        </w:rPr>
        <w:noBreakHyphen/>
      </w:r>
      <w:r w:rsidR="00EE6C8C">
        <w:rPr>
          <w:rFonts w:cs="Arial"/>
          <w:szCs w:val="26"/>
        </w:rPr>
        <w:t xml:space="preserve">007.  </w:t>
      </w:r>
      <w:r w:rsidR="00EE6C8C">
        <w:rPr>
          <w:rFonts w:cs="Arial"/>
          <w:szCs w:val="26"/>
        </w:rPr>
        <w:lastRenderedPageBreak/>
        <w:t>The adopted requirements for Wait &amp; Save trips shall be effective the 3</w:t>
      </w:r>
      <w:r w:rsidRPr="00DD42D5" w:rsidR="00EE6C8C">
        <w:rPr>
          <w:rFonts w:cs="Arial"/>
          <w:szCs w:val="26"/>
          <w:vertAlign w:val="superscript"/>
        </w:rPr>
        <w:t>rd</w:t>
      </w:r>
      <w:r>
        <w:rPr>
          <w:rFonts w:cs="Arial"/>
          <w:szCs w:val="26"/>
        </w:rPr>
        <w:t> </w:t>
      </w:r>
      <w:r w:rsidR="00EE6C8C">
        <w:rPr>
          <w:rFonts w:cs="Arial"/>
          <w:szCs w:val="26"/>
        </w:rPr>
        <w:t xml:space="preserve">quarter of 2023. </w:t>
      </w:r>
    </w:p>
    <w:p w:rsidR="00EE6C8C" w:rsidP="00010E87" w:rsidRDefault="00FF46E9" w14:paraId="3119F1E3" w14:textId="6FC32657">
      <w:pPr>
        <w:pStyle w:val="FoF"/>
        <w:numPr>
          <w:ilvl w:val="0"/>
          <w:numId w:val="0"/>
        </w:numPr>
        <w:ind w:firstLine="360"/>
        <w:rPr>
          <w:rFonts w:cs="Arial"/>
          <w:szCs w:val="26"/>
        </w:rPr>
      </w:pPr>
      <w:r>
        <w:rPr>
          <w:rFonts w:cs="Arial"/>
          <w:szCs w:val="26"/>
        </w:rPr>
        <w:t>10.</w:t>
      </w:r>
      <w:r>
        <w:rPr>
          <w:rFonts w:cs="Arial"/>
          <w:szCs w:val="26"/>
        </w:rPr>
        <w:tab/>
      </w:r>
      <w:r w:rsidR="00FA11A1">
        <w:rPr>
          <w:rFonts w:cs="Arial"/>
          <w:szCs w:val="26"/>
        </w:rPr>
        <w:t xml:space="preserve">  </w:t>
      </w:r>
      <w:r w:rsidR="000528E6">
        <w:rPr>
          <w:rFonts w:cs="Arial"/>
          <w:szCs w:val="26"/>
        </w:rPr>
        <w:t xml:space="preserve"> </w:t>
      </w:r>
      <w:r w:rsidR="00EE6C8C">
        <w:rPr>
          <w:rFonts w:cs="Arial"/>
          <w:szCs w:val="26"/>
        </w:rPr>
        <w:t>A</w:t>
      </w:r>
      <w:r w:rsidRPr="00620984" w:rsidR="00EE6C8C">
        <w:rPr>
          <w:rFonts w:cs="Arial"/>
          <w:szCs w:val="26"/>
        </w:rPr>
        <w:t xml:space="preserve"> </w:t>
      </w:r>
      <w:r w:rsidR="00EE6C8C">
        <w:rPr>
          <w:rFonts w:cs="Arial"/>
          <w:szCs w:val="26"/>
        </w:rPr>
        <w:t>transportation network company (TNC)</w:t>
      </w:r>
      <w:r w:rsidRPr="00620984" w:rsidR="00EE6C8C">
        <w:rPr>
          <w:rFonts w:cs="Arial"/>
          <w:szCs w:val="26"/>
        </w:rPr>
        <w:t xml:space="preserve"> that offers Wait &amp; Save </w:t>
      </w:r>
      <w:r w:rsidR="00EE6C8C">
        <w:rPr>
          <w:rFonts w:cs="Arial"/>
          <w:szCs w:val="26"/>
        </w:rPr>
        <w:t xml:space="preserve">wheelchair accessible vehicle (WAV) </w:t>
      </w:r>
      <w:r w:rsidRPr="00620984" w:rsidR="00EE6C8C">
        <w:rPr>
          <w:rFonts w:cs="Arial"/>
          <w:szCs w:val="26"/>
        </w:rPr>
        <w:t xml:space="preserve">services shall submit the percentage </w:t>
      </w:r>
      <w:r w:rsidR="00EE6C8C">
        <w:rPr>
          <w:rFonts w:cs="Arial"/>
          <w:szCs w:val="26"/>
        </w:rPr>
        <w:t xml:space="preserve">and number </w:t>
      </w:r>
      <w:r w:rsidRPr="00620984" w:rsidR="00EE6C8C">
        <w:rPr>
          <w:rFonts w:cs="Arial"/>
          <w:szCs w:val="26"/>
        </w:rPr>
        <w:t>of Wait &amp; Save WAV trips out of the total on-demand WAV trips</w:t>
      </w:r>
      <w:r w:rsidR="00EE6C8C">
        <w:rPr>
          <w:rFonts w:cs="Arial"/>
          <w:szCs w:val="26"/>
        </w:rPr>
        <w:t xml:space="preserve"> for</w:t>
      </w:r>
      <w:r w:rsidRPr="00620984" w:rsidR="00EE6C8C">
        <w:rPr>
          <w:rFonts w:cs="Arial"/>
          <w:szCs w:val="26"/>
        </w:rPr>
        <w:t xml:space="preserve"> </w:t>
      </w:r>
      <w:r w:rsidR="00EE6C8C">
        <w:rPr>
          <w:rFonts w:cs="Arial"/>
          <w:szCs w:val="26"/>
        </w:rPr>
        <w:t xml:space="preserve">the applicable </w:t>
      </w:r>
      <w:r w:rsidRPr="00620984" w:rsidR="00EE6C8C">
        <w:rPr>
          <w:rFonts w:cs="Arial"/>
          <w:szCs w:val="26"/>
        </w:rPr>
        <w:t>quarter and county.</w:t>
      </w:r>
      <w:r w:rsidR="00EE6C8C">
        <w:rPr>
          <w:rFonts w:cs="Arial"/>
          <w:szCs w:val="26"/>
        </w:rPr>
        <w:t xml:space="preserve">  The information shall be submitted via an Advice</w:t>
      </w:r>
      <w:r w:rsidR="00182293">
        <w:rPr>
          <w:rFonts w:cs="Arial"/>
          <w:szCs w:val="26"/>
        </w:rPr>
        <w:t> </w:t>
      </w:r>
      <w:r w:rsidR="00EE6C8C">
        <w:rPr>
          <w:rFonts w:cs="Arial"/>
          <w:szCs w:val="26"/>
        </w:rPr>
        <w:t>Letter 15</w:t>
      </w:r>
      <w:r w:rsidR="00182293">
        <w:rPr>
          <w:rFonts w:cs="Arial"/>
          <w:szCs w:val="26"/>
        </w:rPr>
        <w:t> </w:t>
      </w:r>
      <w:r w:rsidR="00EE6C8C">
        <w:rPr>
          <w:rFonts w:cs="Arial"/>
          <w:szCs w:val="26"/>
        </w:rPr>
        <w:t>days</w:t>
      </w:r>
      <w:r w:rsidR="00182293">
        <w:rPr>
          <w:rFonts w:cs="Arial"/>
          <w:szCs w:val="26"/>
        </w:rPr>
        <w:t> </w:t>
      </w:r>
      <w:r w:rsidR="00EE6C8C">
        <w:rPr>
          <w:rFonts w:cs="Arial"/>
          <w:szCs w:val="26"/>
        </w:rPr>
        <w:t xml:space="preserve">after the end of the applicable quarter, regardless of whether the TNC seeks an Offset or Exemption Request.  </w:t>
      </w:r>
      <w:r w:rsidR="00DD78DB">
        <w:t xml:space="preserve">If a TNC is seeking an offset or exemption </w:t>
      </w:r>
      <w:proofErr w:type="gramStart"/>
      <w:r w:rsidR="00DD78DB">
        <w:t>in a given</w:t>
      </w:r>
      <w:proofErr w:type="gramEnd"/>
      <w:r w:rsidR="00DD78DB">
        <w:t xml:space="preserve"> quarter, the TNC may include the </w:t>
      </w:r>
      <w:r w:rsidR="00CB75AC">
        <w:t>requested</w:t>
      </w:r>
      <w:r w:rsidR="00D6216E">
        <w:t xml:space="preserve"> </w:t>
      </w:r>
      <w:r w:rsidR="00DD78DB">
        <w:t xml:space="preserve">information for </w:t>
      </w:r>
      <w:r w:rsidR="00526B8F">
        <w:t>other</w:t>
      </w:r>
      <w:r w:rsidR="00DD78DB">
        <w:t xml:space="preserve"> counties in the same Advice Letter.  If a TNC is not seeking an offset or exemption </w:t>
      </w:r>
      <w:proofErr w:type="gramStart"/>
      <w:r w:rsidR="00DD78DB">
        <w:t>in a given</w:t>
      </w:r>
      <w:proofErr w:type="gramEnd"/>
      <w:r w:rsidR="00DD78DB">
        <w:t xml:space="preserve"> quarter, the TNC </w:t>
      </w:r>
      <w:r w:rsidR="00D6216E">
        <w:t>shall submit</w:t>
      </w:r>
      <w:r w:rsidR="00DD78DB">
        <w:t xml:space="preserve"> the information in an Information Only Advice Letter</w:t>
      </w:r>
      <w:r w:rsidR="00DD78DB">
        <w:rPr>
          <w:rFonts w:cs="Arial"/>
          <w:szCs w:val="26"/>
        </w:rPr>
        <w:t xml:space="preserve">.  </w:t>
      </w:r>
      <w:r w:rsidR="00EE6C8C">
        <w:rPr>
          <w:rFonts w:cs="Arial"/>
          <w:szCs w:val="26"/>
        </w:rPr>
        <w:t>The submission requirements shall be effective the 2</w:t>
      </w:r>
      <w:r w:rsidRPr="00182293" w:rsidR="00EE6C8C">
        <w:rPr>
          <w:rFonts w:cs="Arial"/>
          <w:szCs w:val="26"/>
          <w:vertAlign w:val="superscript"/>
        </w:rPr>
        <w:t>nd</w:t>
      </w:r>
      <w:r w:rsidR="00182293">
        <w:rPr>
          <w:rFonts w:cs="Arial"/>
          <w:szCs w:val="26"/>
        </w:rPr>
        <w:t> </w:t>
      </w:r>
      <w:r w:rsidR="00EE6C8C">
        <w:rPr>
          <w:rFonts w:cs="Arial"/>
          <w:szCs w:val="26"/>
        </w:rPr>
        <w:t>quarter of 2023.</w:t>
      </w:r>
    </w:p>
    <w:p w:rsidRPr="00DD78DB" w:rsidR="00DD78DB" w:rsidP="00DD78DB" w:rsidRDefault="00FF46E9" w14:paraId="07969EBE" w14:textId="52CE6DF5">
      <w:pPr>
        <w:pStyle w:val="FoF"/>
        <w:numPr>
          <w:ilvl w:val="0"/>
          <w:numId w:val="0"/>
        </w:numPr>
        <w:ind w:firstLine="360"/>
      </w:pPr>
      <w:r>
        <w:t>11.</w:t>
      </w:r>
      <w:r>
        <w:tab/>
      </w:r>
      <w:r w:rsidR="000528E6">
        <w:t xml:space="preserve">   </w:t>
      </w:r>
      <w:r w:rsidR="00EE6C8C">
        <w:t xml:space="preserve">A transportation network company (TNC) that requests (or previously requested) an offset </w:t>
      </w:r>
      <w:proofErr w:type="gramStart"/>
      <w:r w:rsidR="00EE6C8C">
        <w:t>in a given</w:t>
      </w:r>
      <w:proofErr w:type="gramEnd"/>
      <w:r w:rsidR="00EE6C8C">
        <w:t xml:space="preserve"> county shall report in its Offset Requests on a going</w:t>
      </w:r>
      <w:r w:rsidR="00182293">
        <w:noBreakHyphen/>
      </w:r>
      <w:r w:rsidR="00EE6C8C">
        <w:t>forward basis for that county:</w:t>
      </w:r>
      <w:r w:rsidRPr="008B065E" w:rsidR="00EE6C8C">
        <w:t xml:space="preserve"> </w:t>
      </w:r>
      <w:r w:rsidR="00182293">
        <w:t xml:space="preserve"> </w:t>
      </w:r>
      <w:r w:rsidR="00EE6C8C">
        <w:t>the u</w:t>
      </w:r>
      <w:r w:rsidRPr="005E57F6" w:rsidR="00EE6C8C">
        <w:t xml:space="preserve">nique number of </w:t>
      </w:r>
      <w:r w:rsidR="00EE6C8C">
        <w:t>wheelchair accessible vehicles (WAV)</w:t>
      </w:r>
      <w:r w:rsidRPr="005E57F6" w:rsidR="00EE6C8C">
        <w:t xml:space="preserve"> </w:t>
      </w:r>
      <w:r w:rsidRPr="00010E87" w:rsidR="00EE6C8C">
        <w:rPr>
          <w:rFonts w:cs="Arial"/>
          <w:szCs w:val="26"/>
        </w:rPr>
        <w:t>in</w:t>
      </w:r>
      <w:r w:rsidRPr="005E57F6" w:rsidR="00EE6C8C">
        <w:t xml:space="preserve"> operation (</w:t>
      </w:r>
      <w:r w:rsidR="00EE6C8C">
        <w:t>whether</w:t>
      </w:r>
      <w:r w:rsidRPr="005E57F6" w:rsidR="00EE6C8C">
        <w:t xml:space="preserve"> </w:t>
      </w:r>
      <w:r w:rsidR="00EE6C8C">
        <w:t xml:space="preserve">to serve </w:t>
      </w:r>
      <w:r w:rsidRPr="005E57F6" w:rsidR="00EE6C8C">
        <w:t>pre-scheduled</w:t>
      </w:r>
      <w:r w:rsidR="00EE6C8C">
        <w:t xml:space="preserve"> or</w:t>
      </w:r>
      <w:r w:rsidRPr="005E57F6" w:rsidR="00EE6C8C">
        <w:t xml:space="preserve"> </w:t>
      </w:r>
      <w:r w:rsidR="00EE6C8C">
        <w:t xml:space="preserve">on-demand WAV </w:t>
      </w:r>
      <w:r w:rsidRPr="005E57F6" w:rsidR="00EE6C8C">
        <w:t>requests) by hour of the day and day of the week</w:t>
      </w:r>
      <w:r w:rsidR="00EE6C8C">
        <w:t xml:space="preserve">.  </w:t>
      </w:r>
      <w:r w:rsidR="00DD78DB">
        <w:rPr>
          <w:rFonts w:cs="Arial"/>
          <w:szCs w:val="26"/>
        </w:rPr>
        <w:t xml:space="preserve">This information shall be </w:t>
      </w:r>
      <w:r w:rsidR="00D6216E">
        <w:rPr>
          <w:rFonts w:cs="Arial"/>
          <w:szCs w:val="26"/>
        </w:rPr>
        <w:t>submitted</w:t>
      </w:r>
      <w:r w:rsidR="00DD78DB">
        <w:rPr>
          <w:rFonts w:cs="Arial"/>
          <w:szCs w:val="26"/>
        </w:rPr>
        <w:t xml:space="preserve"> in future Offset Request Advice Letters.  </w:t>
      </w:r>
      <w:r w:rsidR="00EE6C8C">
        <w:t>If the TNC is not submitting a future Offset Request for that county</w:t>
      </w:r>
      <w:r w:rsidR="00E31913">
        <w:t xml:space="preserve"> but seeks an offset in another county, the TNC shall submit the requested data as part of that Offset Request.  If the TNC is not submitting an Offset Request for the given quarter in any county</w:t>
      </w:r>
      <w:r w:rsidR="00EE6C8C">
        <w:t>, the TNC shall submit the requested data via an Information</w:t>
      </w:r>
      <w:r w:rsidR="00182293">
        <w:t> </w:t>
      </w:r>
      <w:r w:rsidR="00EE6C8C">
        <w:t>Only Advice</w:t>
      </w:r>
      <w:r w:rsidR="00182293">
        <w:t> </w:t>
      </w:r>
      <w:r w:rsidR="00EE6C8C">
        <w:t>Letter 15</w:t>
      </w:r>
      <w:r w:rsidR="00182293">
        <w:t> </w:t>
      </w:r>
      <w:r w:rsidR="00EE6C8C">
        <w:t>days</w:t>
      </w:r>
      <w:r w:rsidR="00182293">
        <w:t> </w:t>
      </w:r>
      <w:r w:rsidR="00EE6C8C">
        <w:t>after the end of the applicable quarter.</w:t>
      </w:r>
    </w:p>
    <w:p w:rsidR="00EE6C8C" w:rsidP="00010E87" w:rsidRDefault="00FF46E9" w14:paraId="716197E5" w14:textId="0F65A015">
      <w:pPr>
        <w:pStyle w:val="FoF"/>
        <w:numPr>
          <w:ilvl w:val="0"/>
          <w:numId w:val="0"/>
        </w:numPr>
        <w:ind w:firstLine="360"/>
      </w:pPr>
      <w:r>
        <w:t>12.</w:t>
      </w:r>
      <w:r>
        <w:tab/>
      </w:r>
      <w:r w:rsidR="000528E6">
        <w:t xml:space="preserve">   </w:t>
      </w:r>
      <w:r w:rsidR="00EE6C8C">
        <w:t xml:space="preserve">A transportation network company (TNC) that requests (or previously requested) an offset </w:t>
      </w:r>
      <w:proofErr w:type="gramStart"/>
      <w:r w:rsidR="00EE6C8C">
        <w:t>in a given</w:t>
      </w:r>
      <w:proofErr w:type="gramEnd"/>
      <w:r w:rsidR="00EE6C8C">
        <w:t xml:space="preserve"> county shall report in its Offset Requests on a </w:t>
      </w:r>
      <w:r w:rsidR="00EE6C8C">
        <w:lastRenderedPageBreak/>
        <w:t>going-forward basis for that county: the t</w:t>
      </w:r>
      <w:r w:rsidRPr="00805252" w:rsidR="00EE6C8C">
        <w:t xml:space="preserve">otal </w:t>
      </w:r>
      <w:r w:rsidR="00EE6C8C">
        <w:t>wheelchair accessible vehicles (WAV)</w:t>
      </w:r>
      <w:r w:rsidRPr="005E57F6" w:rsidR="00EE6C8C">
        <w:t xml:space="preserve"> </w:t>
      </w:r>
      <w:r w:rsidRPr="00805252" w:rsidR="00EE6C8C">
        <w:t xml:space="preserve">trips requested and completed, broken out by </w:t>
      </w:r>
      <w:r w:rsidR="00EE6C8C">
        <w:t>Census Tract</w:t>
      </w:r>
      <w:r w:rsidRPr="00805252" w:rsidR="00EE6C8C">
        <w:t xml:space="preserve"> and type of service (pre</w:t>
      </w:r>
      <w:r w:rsidR="00182293">
        <w:noBreakHyphen/>
      </w:r>
      <w:r w:rsidRPr="00805252" w:rsidR="00EE6C8C">
        <w:t>scheduled or on</w:t>
      </w:r>
      <w:r w:rsidR="00182293">
        <w:noBreakHyphen/>
      </w:r>
      <w:r w:rsidRPr="00805252" w:rsidR="00EE6C8C">
        <w:t>demand)</w:t>
      </w:r>
      <w:r w:rsidR="00EE6C8C">
        <w:t xml:space="preserve">.  </w:t>
      </w:r>
      <w:r w:rsidR="00DD78DB">
        <w:rPr>
          <w:rFonts w:cs="Arial"/>
          <w:szCs w:val="26"/>
        </w:rPr>
        <w:t xml:space="preserve">This information shall be </w:t>
      </w:r>
      <w:r w:rsidR="00E31913">
        <w:rPr>
          <w:rFonts w:cs="Arial"/>
          <w:szCs w:val="26"/>
        </w:rPr>
        <w:t>submitted</w:t>
      </w:r>
      <w:r w:rsidR="00DD78DB">
        <w:rPr>
          <w:rFonts w:cs="Arial"/>
          <w:szCs w:val="26"/>
        </w:rPr>
        <w:t xml:space="preserve"> in future Offset Request Advice Letters.  </w:t>
      </w:r>
      <w:r w:rsidR="00EE6C8C">
        <w:t>If the TNC is not submitting a future Offset Request for that county</w:t>
      </w:r>
      <w:r w:rsidR="00E31913">
        <w:t xml:space="preserve"> but seeks an offset in another county, the TNC shall submit the requested data as part of that Offset Request.  If the TNC is not submitting an Offset Request for the given quarter in any county</w:t>
      </w:r>
      <w:r w:rsidR="00EE6C8C">
        <w:t>, the TNC shall submit the requested data as an Information Only Advice</w:t>
      </w:r>
      <w:r w:rsidR="00182293">
        <w:t> </w:t>
      </w:r>
      <w:r w:rsidR="00EE6C8C">
        <w:t>Letter 15</w:t>
      </w:r>
      <w:r w:rsidR="00182293">
        <w:t> </w:t>
      </w:r>
      <w:r w:rsidR="00EE6C8C">
        <w:t>days</w:t>
      </w:r>
      <w:r w:rsidR="00182293">
        <w:t> </w:t>
      </w:r>
      <w:r w:rsidR="00EE6C8C">
        <w:t>after the end of the applicable quarter.</w:t>
      </w:r>
    </w:p>
    <w:p w:rsidR="00EE6C8C" w:rsidP="00953003" w:rsidRDefault="00FF46E9" w14:paraId="480D2C78" w14:textId="6034A529">
      <w:pPr>
        <w:pStyle w:val="FoF"/>
        <w:numPr>
          <w:ilvl w:val="0"/>
          <w:numId w:val="0"/>
        </w:numPr>
        <w:tabs>
          <w:tab w:val="left" w:pos="0"/>
        </w:tabs>
        <w:ind w:firstLine="270"/>
      </w:pPr>
      <w:r>
        <w:rPr>
          <w:rFonts w:cs="Arial"/>
          <w:szCs w:val="26"/>
        </w:rPr>
        <w:t>13.</w:t>
      </w:r>
      <w:r>
        <w:rPr>
          <w:rFonts w:cs="Arial"/>
          <w:szCs w:val="26"/>
        </w:rPr>
        <w:tab/>
      </w:r>
      <w:r w:rsidRPr="00010E87" w:rsidR="00EE6C8C">
        <w:t>Ordering</w:t>
      </w:r>
      <w:r w:rsidR="00182293">
        <w:rPr>
          <w:rFonts w:cs="Arial"/>
          <w:szCs w:val="26"/>
        </w:rPr>
        <w:t> </w:t>
      </w:r>
      <w:r w:rsidRPr="00C75A6D" w:rsidR="00EE6C8C">
        <w:rPr>
          <w:rFonts w:cs="Arial"/>
          <w:szCs w:val="26"/>
        </w:rPr>
        <w:t>Paragraph 14 of D</w:t>
      </w:r>
      <w:r w:rsidR="00182293">
        <w:rPr>
          <w:rFonts w:cs="Arial"/>
          <w:szCs w:val="26"/>
        </w:rPr>
        <w:t>ecision </w:t>
      </w:r>
      <w:r w:rsidRPr="00C75A6D" w:rsidR="00EE6C8C">
        <w:rPr>
          <w:rFonts w:cs="Arial"/>
          <w:szCs w:val="26"/>
        </w:rPr>
        <w:t>20</w:t>
      </w:r>
      <w:r w:rsidR="00182293">
        <w:rPr>
          <w:rFonts w:cs="Arial"/>
          <w:szCs w:val="26"/>
        </w:rPr>
        <w:noBreakHyphen/>
      </w:r>
      <w:r w:rsidRPr="00C75A6D" w:rsidR="00EE6C8C">
        <w:rPr>
          <w:rFonts w:cs="Arial"/>
          <w:szCs w:val="26"/>
        </w:rPr>
        <w:t>03</w:t>
      </w:r>
      <w:r w:rsidR="00182293">
        <w:rPr>
          <w:rFonts w:cs="Arial"/>
          <w:szCs w:val="26"/>
        </w:rPr>
        <w:noBreakHyphen/>
      </w:r>
      <w:r w:rsidRPr="00C75A6D" w:rsidR="00EE6C8C">
        <w:rPr>
          <w:rFonts w:cs="Arial"/>
          <w:szCs w:val="26"/>
        </w:rPr>
        <w:t xml:space="preserve">007 is modified as follows: </w:t>
      </w:r>
      <w:r w:rsidR="00182293">
        <w:rPr>
          <w:rFonts w:cs="Arial"/>
          <w:szCs w:val="26"/>
        </w:rPr>
        <w:t xml:space="preserve"> </w:t>
      </w:r>
      <w:r w:rsidR="00EE6C8C">
        <w:t>A transportation network company (TNC) seeking an offset, a TNC seeking an exemption, an access provider submitting an Access Fund application, and an access provider that receives Access Fund moneys shall submit:</w:t>
      </w:r>
    </w:p>
    <w:p w:rsidR="00EE6C8C" w:rsidP="00182293" w:rsidRDefault="00182293" w14:paraId="3C6FD03C" w14:textId="06497BC1">
      <w:pPr>
        <w:pStyle w:val="FoF"/>
        <w:numPr>
          <w:ilvl w:val="0"/>
          <w:numId w:val="0"/>
        </w:numPr>
        <w:spacing w:after="120" w:line="240" w:lineRule="auto"/>
        <w:ind w:left="1440" w:right="1440" w:hanging="360"/>
      </w:pPr>
      <w:r>
        <w:t>a.</w:t>
      </w:r>
      <w:r>
        <w:tab/>
      </w:r>
      <w:r w:rsidR="00EE6C8C">
        <w:t xml:space="preserve">The number of complaints received that are related to wheelchair accessible vehicle (WAV) drivers or WAV services – by quarter and geographic area; and </w:t>
      </w:r>
    </w:p>
    <w:p w:rsidR="00EE6C8C" w:rsidP="00182293" w:rsidRDefault="00182293" w14:paraId="28946311" w14:textId="2F9C1CF5">
      <w:pPr>
        <w:pStyle w:val="FoF"/>
        <w:numPr>
          <w:ilvl w:val="0"/>
          <w:numId w:val="0"/>
        </w:numPr>
        <w:spacing w:after="120" w:line="240" w:lineRule="auto"/>
        <w:ind w:left="1440" w:right="1440" w:hanging="360"/>
      </w:pPr>
      <w:r>
        <w:t>b.</w:t>
      </w:r>
      <w:r>
        <w:tab/>
      </w:r>
      <w:r w:rsidR="00EE6C8C">
        <w:t xml:space="preserve">The number of complaints based on the following categories: securement issue, driving training, vehicle safety and comfort, service animal issue, stranded passenger, pickup, drop off, and other. </w:t>
      </w:r>
    </w:p>
    <w:p w:rsidR="00EE6C8C" w:rsidP="00953003" w:rsidRDefault="00EE6C8C" w14:paraId="5FA951C6" w14:textId="77777777">
      <w:pPr>
        <w:pStyle w:val="FoF"/>
        <w:ind w:firstLine="547"/>
        <w:rPr>
          <w:rFonts w:cs="Arial"/>
          <w:szCs w:val="26"/>
        </w:rPr>
      </w:pPr>
      <w:r>
        <w:rPr>
          <w:rFonts w:cs="Arial"/>
          <w:szCs w:val="26"/>
        </w:rPr>
        <w:t>For purposes of offset and exemption eligibility, a</w:t>
      </w:r>
      <w:r w:rsidRPr="00412531">
        <w:rPr>
          <w:rFonts w:cs="Arial"/>
          <w:szCs w:val="26"/>
        </w:rPr>
        <w:t xml:space="preserve"> </w:t>
      </w:r>
      <w:r>
        <w:rPr>
          <w:rFonts w:cs="Arial"/>
          <w:szCs w:val="26"/>
        </w:rPr>
        <w:t>transportation network company shall</w:t>
      </w:r>
      <w:r w:rsidRPr="00412531">
        <w:rPr>
          <w:rFonts w:cs="Arial"/>
          <w:szCs w:val="26"/>
        </w:rPr>
        <w:t xml:space="preserve"> report the ultimate trip status for any </w:t>
      </w:r>
      <w:r>
        <w:rPr>
          <w:rFonts w:cs="Arial"/>
          <w:szCs w:val="26"/>
        </w:rPr>
        <w:t xml:space="preserve">wheelchair accessible vehicle </w:t>
      </w:r>
      <w:r w:rsidRPr="00412531">
        <w:rPr>
          <w:rFonts w:cs="Arial"/>
          <w:szCs w:val="26"/>
        </w:rPr>
        <w:t>trip</w:t>
      </w:r>
      <w:r>
        <w:rPr>
          <w:rFonts w:cs="Arial"/>
          <w:szCs w:val="26"/>
        </w:rPr>
        <w:t>.</w:t>
      </w:r>
    </w:p>
    <w:p w:rsidR="00EE6C8C" w:rsidP="00EE6C8C" w:rsidRDefault="00EE6C8C" w14:paraId="7DB30785" w14:textId="741E61B4">
      <w:pPr>
        <w:pStyle w:val="FoF"/>
      </w:pPr>
      <w:r>
        <w:t>The data reporting requirements adopted in Ordering</w:t>
      </w:r>
      <w:r w:rsidR="00182293">
        <w:t> </w:t>
      </w:r>
      <w:r>
        <w:t>Paragraphs</w:t>
      </w:r>
      <w:r w:rsidR="00182293">
        <w:t> </w:t>
      </w:r>
      <w:r w:rsidR="000E1046">
        <w:t>1</w:t>
      </w:r>
      <w:r w:rsidR="00E31AFB">
        <w:t>1</w:t>
      </w:r>
      <w:r w:rsidR="00182293">
        <w:noBreakHyphen/>
      </w:r>
      <w:r w:rsidR="000E1046">
        <w:t>1</w:t>
      </w:r>
      <w:r w:rsidR="00FE64FC">
        <w:t>4</w:t>
      </w:r>
      <w:r>
        <w:t xml:space="preserve"> shall be reported on a going</w:t>
      </w:r>
      <w:r w:rsidR="00FE64FC">
        <w:t>-</w:t>
      </w:r>
      <w:r>
        <w:t xml:space="preserve">forward basis </w:t>
      </w:r>
      <w:r w:rsidRPr="00620984">
        <w:t xml:space="preserve">effective </w:t>
      </w:r>
      <w:r>
        <w:t>beginning the 2</w:t>
      </w:r>
      <w:r w:rsidRPr="00182293">
        <w:rPr>
          <w:vertAlign w:val="superscript"/>
        </w:rPr>
        <w:t>nd</w:t>
      </w:r>
      <w:r w:rsidR="00182293">
        <w:t> </w:t>
      </w:r>
      <w:r>
        <w:t>q</w:t>
      </w:r>
      <w:r w:rsidRPr="00620984">
        <w:t>uarter of 2023.</w:t>
      </w:r>
    </w:p>
    <w:p w:rsidR="00EE6C8C" w:rsidP="00EE6C8C" w:rsidRDefault="00EE6C8C" w14:paraId="58347D6A" w14:textId="77777777">
      <w:pPr>
        <w:pStyle w:val="FoF"/>
      </w:pPr>
      <w:r>
        <w:t xml:space="preserve">To address the quality and effectiveness of a transportation network company’s (TNC) community outreach and engagement, a TNC that seeks an </w:t>
      </w:r>
      <w:r>
        <w:lastRenderedPageBreak/>
        <w:t xml:space="preserve">offset or exemption in a given county and quarter shall meet the following requirements:  </w:t>
      </w:r>
    </w:p>
    <w:p w:rsidR="00EE6C8C" w:rsidP="00182293" w:rsidRDefault="00182293" w14:paraId="70BC2E56" w14:textId="696B041C">
      <w:pPr>
        <w:pStyle w:val="Standard"/>
        <w:spacing w:after="120" w:line="240" w:lineRule="auto"/>
        <w:ind w:left="1080" w:right="1440" w:hanging="360"/>
        <w:rPr>
          <w:rFonts w:cs="Times New Roman"/>
          <w:color w:val="000000"/>
          <w:szCs w:val="26"/>
        </w:rPr>
      </w:pPr>
      <w:r>
        <w:rPr>
          <w:rFonts w:cs="Times New Roman"/>
          <w:color w:val="000000"/>
          <w:szCs w:val="26"/>
        </w:rPr>
        <w:t>1.</w:t>
      </w:r>
      <w:r>
        <w:rPr>
          <w:rFonts w:cs="Times New Roman"/>
          <w:color w:val="000000"/>
          <w:szCs w:val="26"/>
        </w:rPr>
        <w:tab/>
      </w:r>
      <w:r w:rsidRPr="00696297" w:rsidR="00EE6C8C">
        <w:rPr>
          <w:rFonts w:cs="Times New Roman"/>
          <w:color w:val="000000"/>
          <w:szCs w:val="26"/>
        </w:rPr>
        <w:t xml:space="preserve">Develop an annual outreach plan </w:t>
      </w:r>
      <w:r w:rsidR="00EE6C8C">
        <w:rPr>
          <w:rFonts w:cs="Times New Roman"/>
          <w:color w:val="000000"/>
          <w:szCs w:val="26"/>
        </w:rPr>
        <w:t>with</w:t>
      </w:r>
      <w:r w:rsidRPr="00696297" w:rsidR="00EE6C8C">
        <w:rPr>
          <w:rFonts w:cs="Times New Roman"/>
          <w:color w:val="000000"/>
          <w:szCs w:val="26"/>
        </w:rPr>
        <w:t xml:space="preserve"> measurable goals, objectives</w:t>
      </w:r>
      <w:r w:rsidR="00EE6C8C">
        <w:rPr>
          <w:rFonts w:cs="Times New Roman"/>
          <w:color w:val="000000"/>
          <w:szCs w:val="26"/>
        </w:rPr>
        <w:t>,</w:t>
      </w:r>
      <w:r w:rsidRPr="00696297" w:rsidR="00EE6C8C">
        <w:rPr>
          <w:rFonts w:cs="Times New Roman"/>
          <w:color w:val="000000"/>
          <w:szCs w:val="26"/>
        </w:rPr>
        <w:t xml:space="preserve"> and benchmarks on outreach to disability communities, including to underserved multi-ethnic communities </w:t>
      </w:r>
      <w:r w:rsidR="00EE6C8C">
        <w:rPr>
          <w:rFonts w:cs="Times New Roman"/>
          <w:color w:val="000000"/>
          <w:szCs w:val="26"/>
        </w:rPr>
        <w:t xml:space="preserve">and </w:t>
      </w:r>
      <w:r w:rsidRPr="00696297" w:rsidR="00EE6C8C">
        <w:rPr>
          <w:rFonts w:cs="Times New Roman"/>
          <w:color w:val="000000"/>
          <w:szCs w:val="26"/>
        </w:rPr>
        <w:t xml:space="preserve">where English is not the predominant </w:t>
      </w:r>
      <w:r w:rsidRPr="00620984" w:rsidR="00EE6C8C">
        <w:rPr>
          <w:rFonts w:cs="Times New Roman"/>
          <w:color w:val="000000"/>
          <w:szCs w:val="26"/>
        </w:rPr>
        <w:t>language.  The outreach plan can apply broadly to all counties or be county-specific.</w:t>
      </w:r>
    </w:p>
    <w:p w:rsidRPr="008E42E1" w:rsidR="00EE6C8C" w:rsidP="00182293" w:rsidRDefault="00182293" w14:paraId="0C8937C9" w14:textId="308F461F">
      <w:pPr>
        <w:pStyle w:val="Standard"/>
        <w:spacing w:after="120" w:line="240" w:lineRule="auto"/>
        <w:ind w:left="1080" w:right="1440" w:hanging="360"/>
        <w:rPr>
          <w:rFonts w:cs="Times New Roman"/>
          <w:color w:val="000000"/>
          <w:szCs w:val="26"/>
        </w:rPr>
      </w:pPr>
      <w:r>
        <w:t>2.</w:t>
      </w:r>
      <w:r>
        <w:tab/>
      </w:r>
      <w:r w:rsidR="00EE6C8C">
        <w:t>Include information about disability access and wheelchair accessible vehicles (WAV) in general marketing campaigns.</w:t>
      </w:r>
    </w:p>
    <w:p w:rsidR="00EE6C8C" w:rsidP="00182293" w:rsidRDefault="00182293" w14:paraId="048A434B" w14:textId="030B09AF">
      <w:pPr>
        <w:pStyle w:val="Standard"/>
        <w:spacing w:after="120" w:line="240" w:lineRule="auto"/>
        <w:ind w:left="1080" w:right="1440" w:hanging="360"/>
        <w:rPr>
          <w:rFonts w:cs="Times New Roman"/>
          <w:color w:val="000000"/>
          <w:szCs w:val="26"/>
        </w:rPr>
      </w:pPr>
      <w:r>
        <w:rPr>
          <w:rFonts w:cs="Times New Roman"/>
          <w:color w:val="000000"/>
          <w:szCs w:val="26"/>
        </w:rPr>
        <w:t>3.</w:t>
      </w:r>
      <w:r>
        <w:rPr>
          <w:rFonts w:cs="Times New Roman"/>
          <w:color w:val="000000"/>
          <w:szCs w:val="26"/>
        </w:rPr>
        <w:tab/>
      </w:r>
      <w:r w:rsidR="00EE6C8C">
        <w:rPr>
          <w:rFonts w:cs="Times New Roman"/>
          <w:color w:val="000000"/>
          <w:szCs w:val="26"/>
        </w:rPr>
        <w:t xml:space="preserve">Submit a quarterly report </w:t>
      </w:r>
      <w:r w:rsidRPr="00620984" w:rsidR="00EE6C8C">
        <w:rPr>
          <w:rFonts w:cs="Times New Roman"/>
          <w:color w:val="000000"/>
          <w:szCs w:val="26"/>
        </w:rPr>
        <w:t>for each offset county on</w:t>
      </w:r>
      <w:r w:rsidR="00EE6C8C">
        <w:rPr>
          <w:rFonts w:cs="Times New Roman"/>
          <w:color w:val="000000"/>
          <w:szCs w:val="26"/>
        </w:rPr>
        <w:t>:</w:t>
      </w:r>
    </w:p>
    <w:p w:rsidRPr="007931A6" w:rsidR="00EE6C8C" w:rsidP="00182293" w:rsidRDefault="00EE6C8C" w14:paraId="22100F6A" w14:textId="77777777">
      <w:pPr>
        <w:pStyle w:val="Standard"/>
        <w:numPr>
          <w:ilvl w:val="1"/>
          <w:numId w:val="29"/>
        </w:numPr>
        <w:spacing w:after="120" w:line="240" w:lineRule="auto"/>
        <w:ind w:left="1440" w:right="1440"/>
        <w:rPr>
          <w:rFonts w:cs="Times New Roman"/>
          <w:color w:val="000000"/>
          <w:szCs w:val="26"/>
        </w:rPr>
      </w:pPr>
      <w:r>
        <w:rPr>
          <w:rFonts w:cs="Times New Roman"/>
          <w:color w:val="000000"/>
          <w:szCs w:val="26"/>
        </w:rPr>
        <w:t>Progress made towards implementing the outreach plan.</w:t>
      </w:r>
    </w:p>
    <w:p w:rsidRPr="00857A34" w:rsidR="00EE6C8C" w:rsidP="00182293" w:rsidRDefault="00EE6C8C" w14:paraId="00EDD45B" w14:textId="19A262C4">
      <w:pPr>
        <w:pStyle w:val="Standard"/>
        <w:numPr>
          <w:ilvl w:val="1"/>
          <w:numId w:val="29"/>
        </w:numPr>
        <w:spacing w:after="120" w:line="240" w:lineRule="auto"/>
        <w:ind w:left="1440" w:right="1440"/>
      </w:pPr>
      <w:r w:rsidRPr="009C56D5">
        <w:rPr>
          <w:rFonts w:cs="Times New Roman"/>
          <w:color w:val="000000"/>
          <w:szCs w:val="26"/>
        </w:rPr>
        <w:t>The number of entities contacted for purposes of outreach</w:t>
      </w:r>
      <w:r>
        <w:rPr>
          <w:rFonts w:cs="Times New Roman"/>
          <w:color w:val="000000"/>
          <w:szCs w:val="26"/>
        </w:rPr>
        <w:t xml:space="preserve"> and whether</w:t>
      </w:r>
      <w:r w:rsidRPr="00435332">
        <w:rPr>
          <w:rFonts w:cs="Times New Roman"/>
          <w:color w:val="000000"/>
          <w:szCs w:val="26"/>
        </w:rPr>
        <w:t xml:space="preserve"> </w:t>
      </w:r>
      <w:r>
        <w:rPr>
          <w:rFonts w:cs="Times New Roman"/>
          <w:color w:val="000000"/>
          <w:szCs w:val="26"/>
        </w:rPr>
        <w:t xml:space="preserve">entities </w:t>
      </w:r>
      <w:r w:rsidRPr="00435332">
        <w:rPr>
          <w:rFonts w:cs="Times New Roman"/>
          <w:color w:val="000000"/>
          <w:szCs w:val="26"/>
        </w:rPr>
        <w:t>represent disability and cultural diversity of California</w:t>
      </w:r>
      <w:r>
        <w:rPr>
          <w:rFonts w:cs="Times New Roman"/>
          <w:color w:val="000000"/>
          <w:szCs w:val="26"/>
        </w:rPr>
        <w:t xml:space="preserve">, including: </w:t>
      </w:r>
      <w:r w:rsidR="00182293">
        <w:rPr>
          <w:rFonts w:cs="Times New Roman"/>
          <w:color w:val="000000"/>
          <w:szCs w:val="26"/>
        </w:rPr>
        <w:t xml:space="preserve"> </w:t>
      </w:r>
      <w:r>
        <w:rPr>
          <w:rFonts w:cs="Times New Roman"/>
          <w:color w:val="000000"/>
          <w:szCs w:val="26"/>
        </w:rPr>
        <w:t>(1)</w:t>
      </w:r>
      <w:r w:rsidR="00182293">
        <w:rPr>
          <w:rFonts w:cs="Times New Roman"/>
          <w:color w:val="000000"/>
          <w:szCs w:val="26"/>
        </w:rPr>
        <w:t> </w:t>
      </w:r>
      <w:r>
        <w:rPr>
          <w:rFonts w:cs="Times New Roman"/>
          <w:color w:val="000000"/>
          <w:szCs w:val="26"/>
        </w:rPr>
        <w:t>t</w:t>
      </w:r>
      <w:r w:rsidRPr="00857A34">
        <w:rPr>
          <w:rFonts w:cs="Times New Roman"/>
          <w:color w:val="000000"/>
          <w:szCs w:val="26"/>
        </w:rPr>
        <w:t>he method of contact (</w:t>
      </w:r>
      <w:r w:rsidRPr="00DE06C2">
        <w:rPr>
          <w:rFonts w:cs="Times New Roman"/>
          <w:i/>
          <w:iCs/>
          <w:color w:val="000000"/>
          <w:szCs w:val="26"/>
        </w:rPr>
        <w:t>e.g</w:t>
      </w:r>
      <w:r w:rsidRPr="00857A34">
        <w:rPr>
          <w:rFonts w:cs="Times New Roman"/>
          <w:color w:val="000000"/>
          <w:szCs w:val="26"/>
        </w:rPr>
        <w:t>.,</w:t>
      </w:r>
      <w:r w:rsidR="00182293">
        <w:rPr>
          <w:rFonts w:cs="Times New Roman"/>
          <w:color w:val="000000"/>
          <w:szCs w:val="26"/>
        </w:rPr>
        <w:t> </w:t>
      </w:r>
      <w:r w:rsidRPr="00857A34">
        <w:rPr>
          <w:rFonts w:cs="Times New Roman"/>
          <w:color w:val="000000"/>
          <w:szCs w:val="26"/>
        </w:rPr>
        <w:t>e</w:t>
      </w:r>
      <w:r w:rsidR="00182293">
        <w:rPr>
          <w:rFonts w:cs="Times New Roman"/>
          <w:color w:val="000000"/>
          <w:szCs w:val="26"/>
        </w:rPr>
        <w:noBreakHyphen/>
      </w:r>
      <w:r w:rsidRPr="00857A34">
        <w:rPr>
          <w:rFonts w:cs="Times New Roman"/>
          <w:color w:val="000000"/>
          <w:szCs w:val="26"/>
        </w:rPr>
        <w:t xml:space="preserve">mail, newsletter) and whether information was </w:t>
      </w:r>
      <w:r>
        <w:rPr>
          <w:rFonts w:cs="Times New Roman"/>
          <w:color w:val="000000"/>
          <w:szCs w:val="26"/>
        </w:rPr>
        <w:t>exchanged</w:t>
      </w:r>
      <w:r w:rsidRPr="00857A34">
        <w:rPr>
          <w:rFonts w:cs="Times New Roman"/>
          <w:color w:val="000000"/>
          <w:szCs w:val="26"/>
        </w:rPr>
        <w:t xml:space="preserve">; </w:t>
      </w:r>
      <w:r>
        <w:t>(2)</w:t>
      </w:r>
      <w:r w:rsidR="00182293">
        <w:t> </w:t>
      </w:r>
      <w:r>
        <w:rPr>
          <w:rFonts w:cs="Times New Roman"/>
          <w:color w:val="000000"/>
          <w:szCs w:val="26"/>
        </w:rPr>
        <w:t>t</w:t>
      </w:r>
      <w:r w:rsidRPr="00857A34">
        <w:rPr>
          <w:rFonts w:cs="Times New Roman"/>
          <w:color w:val="000000"/>
          <w:szCs w:val="26"/>
        </w:rPr>
        <w:t>he nature of the contact (</w:t>
      </w:r>
      <w:r w:rsidRPr="00857A34">
        <w:rPr>
          <w:rFonts w:cs="Times New Roman"/>
          <w:i/>
          <w:iCs/>
          <w:color w:val="000000"/>
          <w:szCs w:val="26"/>
        </w:rPr>
        <w:t>e.g</w:t>
      </w:r>
      <w:r w:rsidRPr="00857A34">
        <w:rPr>
          <w:rFonts w:cs="Times New Roman"/>
          <w:color w:val="000000"/>
          <w:szCs w:val="26"/>
        </w:rPr>
        <w:t>.,</w:t>
      </w:r>
      <w:r w:rsidR="00182293">
        <w:rPr>
          <w:rFonts w:cs="Times New Roman"/>
          <w:color w:val="000000"/>
          <w:szCs w:val="26"/>
        </w:rPr>
        <w:t> </w:t>
      </w:r>
      <w:r w:rsidRPr="00857A34">
        <w:rPr>
          <w:rFonts w:cs="Times New Roman"/>
          <w:color w:val="000000"/>
          <w:szCs w:val="26"/>
        </w:rPr>
        <w:t>unilateral, interactive)</w:t>
      </w:r>
      <w:r>
        <w:rPr>
          <w:rFonts w:cs="Times New Roman"/>
          <w:color w:val="000000"/>
          <w:szCs w:val="26"/>
        </w:rPr>
        <w:t>; (3)</w:t>
      </w:r>
      <w:r w:rsidR="00182293">
        <w:rPr>
          <w:rFonts w:cs="Times New Roman"/>
          <w:color w:val="000000"/>
          <w:szCs w:val="26"/>
        </w:rPr>
        <w:t> </w:t>
      </w:r>
      <w:r w:rsidRPr="00857A34">
        <w:rPr>
          <w:rFonts w:cs="Times New Roman"/>
          <w:color w:val="000000"/>
          <w:szCs w:val="26"/>
        </w:rPr>
        <w:t>outcome of the contact (</w:t>
      </w:r>
      <w:r w:rsidRPr="00857A34">
        <w:rPr>
          <w:rFonts w:cs="Times New Roman"/>
          <w:i/>
          <w:iCs/>
          <w:color w:val="000000"/>
          <w:szCs w:val="26"/>
        </w:rPr>
        <w:t>e.g.</w:t>
      </w:r>
      <w:r w:rsidRPr="00857A34">
        <w:rPr>
          <w:rFonts w:cs="Times New Roman"/>
          <w:color w:val="000000"/>
          <w:szCs w:val="26"/>
        </w:rPr>
        <w:t>,</w:t>
      </w:r>
      <w:r w:rsidR="00182293">
        <w:rPr>
          <w:rFonts w:cs="Times New Roman"/>
          <w:color w:val="000000"/>
          <w:szCs w:val="26"/>
        </w:rPr>
        <w:t> </w:t>
      </w:r>
      <w:r w:rsidRPr="00857A34">
        <w:rPr>
          <w:rFonts w:cs="Times New Roman"/>
          <w:color w:val="000000"/>
          <w:szCs w:val="26"/>
        </w:rPr>
        <w:t xml:space="preserve">training, distribution of information) and whether follow up was conducted; </w:t>
      </w:r>
      <w:r>
        <w:t>(4)</w:t>
      </w:r>
      <w:r w:rsidR="00182293">
        <w:t> </w:t>
      </w:r>
      <w:r>
        <w:rPr>
          <w:rFonts w:cs="Times New Roman"/>
          <w:color w:val="000000"/>
          <w:szCs w:val="26"/>
        </w:rPr>
        <w:t>t</w:t>
      </w:r>
      <w:r w:rsidRPr="00857A34">
        <w:rPr>
          <w:rFonts w:cs="Times New Roman"/>
          <w:color w:val="000000"/>
          <w:szCs w:val="26"/>
        </w:rPr>
        <w:t>he number of partnerships developed and how partnerships resulted in improved outreach efforts</w:t>
      </w:r>
      <w:r>
        <w:rPr>
          <w:rFonts w:cs="Times New Roman"/>
          <w:color w:val="000000"/>
          <w:szCs w:val="26"/>
        </w:rPr>
        <w:t xml:space="preserve"> for WAV services</w:t>
      </w:r>
      <w:r w:rsidRPr="00857A34">
        <w:rPr>
          <w:rFonts w:cs="Times New Roman"/>
          <w:color w:val="000000"/>
          <w:szCs w:val="26"/>
        </w:rPr>
        <w:t xml:space="preserve">. </w:t>
      </w:r>
    </w:p>
    <w:p w:rsidRPr="004A46ED" w:rsidR="00EE6C8C" w:rsidP="00182293" w:rsidRDefault="00EE6C8C" w14:paraId="58F54899" w14:textId="66E1D8A9">
      <w:pPr>
        <w:pStyle w:val="Standard"/>
        <w:numPr>
          <w:ilvl w:val="1"/>
          <w:numId w:val="29"/>
        </w:numPr>
        <w:spacing w:after="120" w:line="240" w:lineRule="auto"/>
        <w:ind w:left="1440" w:right="1440"/>
      </w:pPr>
      <w:r>
        <w:rPr>
          <w:rFonts w:cs="Times New Roman"/>
          <w:color w:val="000000"/>
          <w:szCs w:val="26"/>
        </w:rPr>
        <w:t>E</w:t>
      </w:r>
      <w:r w:rsidRPr="00857A34">
        <w:rPr>
          <w:rFonts w:cs="Times New Roman"/>
          <w:color w:val="000000"/>
          <w:szCs w:val="26"/>
        </w:rPr>
        <w:t xml:space="preserve">fforts to publicize and promote WAV service in each </w:t>
      </w:r>
      <w:r>
        <w:rPr>
          <w:rFonts w:cs="Times New Roman"/>
          <w:color w:val="000000"/>
          <w:szCs w:val="26"/>
        </w:rPr>
        <w:t>offset county</w:t>
      </w:r>
      <w:r w:rsidRPr="00857A34">
        <w:rPr>
          <w:rFonts w:cs="Times New Roman"/>
          <w:color w:val="000000"/>
          <w:szCs w:val="26"/>
        </w:rPr>
        <w:t xml:space="preserve"> (</w:t>
      </w:r>
      <w:r w:rsidRPr="00857A34">
        <w:rPr>
          <w:rFonts w:cs="Times New Roman"/>
          <w:i/>
          <w:iCs/>
          <w:color w:val="000000"/>
          <w:szCs w:val="26"/>
        </w:rPr>
        <w:t>e.g.</w:t>
      </w:r>
      <w:r w:rsidRPr="00857A34">
        <w:rPr>
          <w:rFonts w:cs="Times New Roman"/>
          <w:color w:val="000000"/>
          <w:szCs w:val="26"/>
        </w:rPr>
        <w:t>,</w:t>
      </w:r>
      <w:r w:rsidR="00182293">
        <w:rPr>
          <w:rFonts w:cs="Times New Roman"/>
          <w:color w:val="000000"/>
          <w:szCs w:val="26"/>
        </w:rPr>
        <w:t> </w:t>
      </w:r>
      <w:r w:rsidRPr="00857A34">
        <w:rPr>
          <w:rFonts w:cs="Times New Roman"/>
          <w:color w:val="000000"/>
          <w:szCs w:val="26"/>
        </w:rPr>
        <w:t>web or app content, social media, in</w:t>
      </w:r>
      <w:r w:rsidR="00182293">
        <w:rPr>
          <w:rFonts w:cs="Times New Roman"/>
          <w:color w:val="000000"/>
          <w:szCs w:val="26"/>
        </w:rPr>
        <w:noBreakHyphen/>
      </w:r>
      <w:r w:rsidRPr="00857A34">
        <w:rPr>
          <w:rFonts w:cs="Times New Roman"/>
          <w:color w:val="000000"/>
          <w:szCs w:val="26"/>
        </w:rPr>
        <w:t xml:space="preserve">person event), and </w:t>
      </w:r>
      <w:r>
        <w:rPr>
          <w:rFonts w:cs="Times New Roman"/>
          <w:color w:val="000000"/>
          <w:szCs w:val="26"/>
        </w:rPr>
        <w:t>whether</w:t>
      </w:r>
      <w:r w:rsidRPr="00857A34">
        <w:rPr>
          <w:rFonts w:cs="Times New Roman"/>
          <w:color w:val="000000"/>
          <w:szCs w:val="26"/>
        </w:rPr>
        <w:t xml:space="preserve"> efforts were accessible to people </w:t>
      </w:r>
      <w:r>
        <w:rPr>
          <w:rFonts w:cs="Times New Roman"/>
          <w:color w:val="000000"/>
          <w:szCs w:val="26"/>
        </w:rPr>
        <w:t>with</w:t>
      </w:r>
      <w:r w:rsidRPr="00857A34">
        <w:rPr>
          <w:rFonts w:cs="Times New Roman"/>
          <w:color w:val="000000"/>
          <w:szCs w:val="26"/>
        </w:rPr>
        <w:t xml:space="preserve"> </w:t>
      </w:r>
      <w:r>
        <w:rPr>
          <w:rFonts w:cs="Times New Roman"/>
          <w:color w:val="000000"/>
          <w:szCs w:val="26"/>
        </w:rPr>
        <w:t xml:space="preserve">disabilities and </w:t>
      </w:r>
      <w:r w:rsidRPr="00857A34">
        <w:rPr>
          <w:rFonts w:cs="Times New Roman"/>
          <w:color w:val="000000"/>
          <w:szCs w:val="26"/>
        </w:rPr>
        <w:t>limited English proficien</w:t>
      </w:r>
      <w:r>
        <w:rPr>
          <w:rFonts w:cs="Times New Roman"/>
          <w:color w:val="000000"/>
          <w:szCs w:val="26"/>
        </w:rPr>
        <w:t>cy</w:t>
      </w:r>
      <w:r w:rsidRPr="00857A34">
        <w:rPr>
          <w:rFonts w:cs="Times New Roman"/>
          <w:color w:val="000000"/>
          <w:szCs w:val="26"/>
        </w:rPr>
        <w:t xml:space="preserve">. </w:t>
      </w:r>
    </w:p>
    <w:p w:rsidRPr="004A46ED" w:rsidR="00EE6C8C" w:rsidP="00182293" w:rsidRDefault="00EE6C8C" w14:paraId="6CF3B8F3" w14:textId="77777777">
      <w:pPr>
        <w:pStyle w:val="Standard"/>
        <w:numPr>
          <w:ilvl w:val="1"/>
          <w:numId w:val="29"/>
        </w:numPr>
        <w:spacing w:after="120" w:line="240" w:lineRule="auto"/>
        <w:ind w:left="1440" w:right="1440"/>
      </w:pPr>
      <w:r>
        <w:rPr>
          <w:rFonts w:cs="Times New Roman"/>
          <w:szCs w:val="26"/>
        </w:rPr>
        <w:t>E</w:t>
      </w:r>
      <w:r w:rsidRPr="00857A34">
        <w:rPr>
          <w:rFonts w:cs="Times New Roman"/>
          <w:szCs w:val="26"/>
        </w:rPr>
        <w:t xml:space="preserve">ducational materials developed and distributed by TNCs and </w:t>
      </w:r>
      <w:r>
        <w:rPr>
          <w:rFonts w:cs="Times New Roman"/>
          <w:szCs w:val="26"/>
        </w:rPr>
        <w:t>whether</w:t>
      </w:r>
      <w:r w:rsidRPr="00857A34">
        <w:rPr>
          <w:rFonts w:cs="Times New Roman"/>
          <w:szCs w:val="26"/>
        </w:rPr>
        <w:t xml:space="preserve"> materials were accessible to </w:t>
      </w:r>
      <w:r w:rsidRPr="00857A34">
        <w:rPr>
          <w:rFonts w:cs="Times New Roman"/>
          <w:color w:val="000000"/>
          <w:szCs w:val="26"/>
        </w:rPr>
        <w:t xml:space="preserve">people </w:t>
      </w:r>
      <w:r>
        <w:rPr>
          <w:rFonts w:cs="Times New Roman"/>
          <w:color w:val="000000"/>
          <w:szCs w:val="26"/>
        </w:rPr>
        <w:t>with</w:t>
      </w:r>
      <w:r w:rsidRPr="00857A34">
        <w:rPr>
          <w:rFonts w:cs="Times New Roman"/>
          <w:color w:val="000000"/>
          <w:szCs w:val="26"/>
        </w:rPr>
        <w:t xml:space="preserve"> </w:t>
      </w:r>
      <w:r>
        <w:rPr>
          <w:rFonts w:cs="Times New Roman"/>
          <w:color w:val="000000"/>
          <w:szCs w:val="26"/>
        </w:rPr>
        <w:t xml:space="preserve">disabilities and </w:t>
      </w:r>
      <w:r w:rsidRPr="00857A34">
        <w:rPr>
          <w:rFonts w:cs="Times New Roman"/>
          <w:color w:val="000000"/>
          <w:szCs w:val="26"/>
        </w:rPr>
        <w:t>limited English proficien</w:t>
      </w:r>
      <w:r>
        <w:rPr>
          <w:rFonts w:cs="Times New Roman"/>
          <w:color w:val="000000"/>
          <w:szCs w:val="26"/>
        </w:rPr>
        <w:t>cy</w:t>
      </w:r>
      <w:r w:rsidRPr="00857A34">
        <w:rPr>
          <w:rFonts w:cs="Times New Roman"/>
          <w:color w:val="000000"/>
          <w:szCs w:val="26"/>
        </w:rPr>
        <w:t>.</w:t>
      </w:r>
    </w:p>
    <w:p w:rsidRPr="00857A34" w:rsidR="00EE6C8C" w:rsidP="00182293" w:rsidRDefault="00EE6C8C" w14:paraId="0F4810F4" w14:textId="1878AF1A">
      <w:pPr>
        <w:pStyle w:val="Standard"/>
        <w:numPr>
          <w:ilvl w:val="1"/>
          <w:numId w:val="29"/>
        </w:numPr>
        <w:spacing w:after="120" w:line="240" w:lineRule="auto"/>
        <w:ind w:left="1440" w:right="1440"/>
      </w:pPr>
      <w:r>
        <w:rPr>
          <w:rFonts w:cs="Times New Roman"/>
          <w:color w:val="000000"/>
          <w:szCs w:val="26"/>
        </w:rPr>
        <w:t>O</w:t>
      </w:r>
      <w:r w:rsidRPr="00857A34">
        <w:rPr>
          <w:rFonts w:cs="Times New Roman"/>
          <w:color w:val="000000"/>
          <w:szCs w:val="26"/>
        </w:rPr>
        <w:t>utcome of TNC efforts to outreach and engage wheelchair users, including assessment of actual reach of each effort to reach targeted populations (</w:t>
      </w:r>
      <w:r w:rsidRPr="00857A34">
        <w:rPr>
          <w:rFonts w:cs="Times New Roman"/>
          <w:i/>
          <w:iCs/>
          <w:color w:val="000000"/>
          <w:szCs w:val="26"/>
        </w:rPr>
        <w:t>e.g.</w:t>
      </w:r>
      <w:r w:rsidRPr="00857A34">
        <w:rPr>
          <w:rFonts w:cs="Times New Roman"/>
          <w:color w:val="000000"/>
          <w:szCs w:val="26"/>
        </w:rPr>
        <w:t>,</w:t>
      </w:r>
      <w:r w:rsidR="00182293">
        <w:rPr>
          <w:rFonts w:cs="Times New Roman"/>
          <w:color w:val="000000"/>
          <w:szCs w:val="26"/>
        </w:rPr>
        <w:t> </w:t>
      </w:r>
      <w:r w:rsidRPr="00857A34">
        <w:rPr>
          <w:rFonts w:cs="Times New Roman"/>
          <w:color w:val="000000"/>
          <w:szCs w:val="26"/>
        </w:rPr>
        <w:t>number of webpage views, number of</w:t>
      </w:r>
      <w:r>
        <w:rPr>
          <w:rFonts w:cs="Times New Roman"/>
          <w:color w:val="000000"/>
          <w:szCs w:val="26"/>
        </w:rPr>
        <w:t xml:space="preserve"> </w:t>
      </w:r>
      <w:r w:rsidRPr="00857A34">
        <w:rPr>
          <w:rFonts w:cs="Times New Roman"/>
          <w:color w:val="000000"/>
          <w:szCs w:val="26"/>
        </w:rPr>
        <w:t>in</w:t>
      </w:r>
      <w:r w:rsidR="00182293">
        <w:rPr>
          <w:rFonts w:cs="Times New Roman"/>
          <w:color w:val="000000"/>
          <w:szCs w:val="26"/>
        </w:rPr>
        <w:noBreakHyphen/>
      </w:r>
      <w:r w:rsidRPr="00857A34">
        <w:rPr>
          <w:rFonts w:cs="Times New Roman"/>
          <w:color w:val="000000"/>
          <w:szCs w:val="26"/>
        </w:rPr>
        <w:t xml:space="preserve">person interactions, usage of promotional codes). </w:t>
      </w:r>
    </w:p>
    <w:p w:rsidR="00EE6C8C" w:rsidP="00EE6C8C" w:rsidRDefault="00EE6C8C" w14:paraId="72C38E6B" w14:textId="77777777">
      <w:r>
        <w:lastRenderedPageBreak/>
        <w:t>TNCs shall address the following questions in its quarterly report:</w:t>
      </w:r>
    </w:p>
    <w:p w:rsidR="00EE6C8C" w:rsidP="00182293" w:rsidRDefault="00182293" w14:paraId="533B842C" w14:textId="61651570">
      <w:pPr>
        <w:pStyle w:val="ListParagraph"/>
      </w:pPr>
      <w:r>
        <w:t>1.</w:t>
      </w:r>
      <w:r>
        <w:tab/>
      </w:r>
      <w:r w:rsidRPr="007931A6" w:rsidR="00EE6C8C">
        <w:t xml:space="preserve">What methods of engagement did </w:t>
      </w:r>
      <w:r w:rsidR="00EE6C8C">
        <w:t>the TNC</w:t>
      </w:r>
      <w:r w:rsidRPr="007931A6" w:rsidR="00EE6C8C">
        <w:t xml:space="preserve"> find most effective and why?</w:t>
      </w:r>
    </w:p>
    <w:p w:rsidR="00EE6C8C" w:rsidP="00182293" w:rsidRDefault="00182293" w14:paraId="1D83FB0C" w14:textId="62278D73">
      <w:pPr>
        <w:spacing w:after="120" w:line="240" w:lineRule="auto"/>
        <w:ind w:left="1080" w:right="1440" w:hanging="360"/>
      </w:pPr>
      <w:r>
        <w:t>2.</w:t>
      </w:r>
      <w:r>
        <w:tab/>
      </w:r>
      <w:r w:rsidRPr="007931A6" w:rsidR="00EE6C8C">
        <w:t>What common concerns/questions came up during the engagement process?</w:t>
      </w:r>
    </w:p>
    <w:p w:rsidR="00EE6C8C" w:rsidP="00182293" w:rsidRDefault="00182293" w14:paraId="7953CCBD" w14:textId="02D961DD">
      <w:pPr>
        <w:pStyle w:val="ListParagraph"/>
      </w:pPr>
      <w:r>
        <w:t>3.</w:t>
      </w:r>
      <w:r>
        <w:tab/>
      </w:r>
      <w:r w:rsidRPr="007931A6" w:rsidR="00EE6C8C">
        <w:t>What challenges have you encountered? How do you plan to overcome them?</w:t>
      </w:r>
    </w:p>
    <w:p w:rsidR="00EE6C8C" w:rsidP="00EE6C8C" w:rsidRDefault="00EE6C8C" w14:paraId="6CAA89B9" w14:textId="080C46EF">
      <w:r>
        <w:t>A TNC that seeks an offset or exemption shall submit its annual outreach plan via an Information</w:t>
      </w:r>
      <w:r w:rsidR="00182293">
        <w:t> </w:t>
      </w:r>
      <w:r>
        <w:t>Only Advice</w:t>
      </w:r>
      <w:r w:rsidR="00182293">
        <w:t> </w:t>
      </w:r>
      <w:r>
        <w:t>Letter no later than July</w:t>
      </w:r>
      <w:r w:rsidR="00182293">
        <w:t> </w:t>
      </w:r>
      <w:r>
        <w:t xml:space="preserve">1 of each year.  Quarterly reporting shall be submitted with a TNC’s Offset or Exemption Request.  The quarterly reporting requirements shall be effective beginning the </w:t>
      </w:r>
      <w:r w:rsidRPr="0004367A">
        <w:t>3</w:t>
      </w:r>
      <w:r w:rsidRPr="00BC1215">
        <w:rPr>
          <w:vertAlign w:val="superscript"/>
        </w:rPr>
        <w:t>rd</w:t>
      </w:r>
      <w:r w:rsidR="00182293">
        <w:t> </w:t>
      </w:r>
      <w:r>
        <w:t>q</w:t>
      </w:r>
      <w:r w:rsidRPr="0004367A">
        <w:t>uarter of 2023.</w:t>
      </w:r>
    </w:p>
    <w:p w:rsidR="00EE6C8C" w:rsidP="00EE6C8C" w:rsidRDefault="00EE6C8C" w14:paraId="65727770" w14:textId="4970935A">
      <w:pPr>
        <w:pStyle w:val="FoF"/>
        <w:rPr>
          <w:rFonts w:cs="BookAntiqua"/>
          <w:szCs w:val="26"/>
        </w:rPr>
      </w:pPr>
      <w:r>
        <w:rPr>
          <w:rFonts w:cs="BookAntiqua"/>
          <w:szCs w:val="26"/>
        </w:rPr>
        <w:t>Ordering</w:t>
      </w:r>
      <w:r w:rsidR="00182293">
        <w:rPr>
          <w:rFonts w:cs="BookAntiqua"/>
          <w:szCs w:val="26"/>
        </w:rPr>
        <w:t> </w:t>
      </w:r>
      <w:r>
        <w:rPr>
          <w:rFonts w:cs="BookAntiqua"/>
          <w:szCs w:val="26"/>
        </w:rPr>
        <w:t>Paragraph 29 of Decision 20-03-007 is modified as follows:</w:t>
      </w:r>
    </w:p>
    <w:p w:rsidRPr="001859BE" w:rsidR="00EE6C8C" w:rsidP="00182293" w:rsidRDefault="00EE6C8C" w14:paraId="735CFFFE" w14:textId="1BECC3D9">
      <w:pPr>
        <w:pStyle w:val="Standard"/>
        <w:spacing w:after="120" w:line="240" w:lineRule="auto"/>
        <w:ind w:left="720" w:right="1440" w:firstLine="0"/>
        <w:rPr>
          <w:rFonts w:cs="BookAntiqua"/>
          <w:szCs w:val="26"/>
        </w:rPr>
      </w:pPr>
      <w:r>
        <w:t xml:space="preserve">A metropolitan planning organization (MPO), regional transportation planning agency (RTPA), </w:t>
      </w:r>
      <w:r w:rsidR="00ED7218">
        <w:t xml:space="preserve">county </w:t>
      </w:r>
      <w:r>
        <w:t>transportation commission (</w:t>
      </w:r>
      <w:r w:rsidR="00ED7218">
        <w:t>C</w:t>
      </w:r>
      <w:r>
        <w:t xml:space="preserve">TC), or public transit agency may apply to be an Access Fund administrator in its geographic area.  When selecting the Access Fund administrator, preference shall be given to an eligible MPO, RTPA, or </w:t>
      </w:r>
      <w:r w:rsidR="00ED7218">
        <w:t>C</w:t>
      </w:r>
      <w:r>
        <w:t>TC.</w:t>
      </w:r>
    </w:p>
    <w:p w:rsidR="00EE6C8C" w:rsidP="00EE6C8C" w:rsidRDefault="00EE6C8C" w14:paraId="0A8A6CBA" w14:textId="24D3C5E4">
      <w:pPr>
        <w:pStyle w:val="FoF"/>
      </w:pPr>
      <w:r w:rsidRPr="001E2A62">
        <w:t>Rulemaking</w:t>
      </w:r>
      <w:r w:rsidR="00182293">
        <w:t> </w:t>
      </w:r>
      <w:r>
        <w:t>19</w:t>
      </w:r>
      <w:r w:rsidR="00182293">
        <w:noBreakHyphen/>
      </w:r>
      <w:r>
        <w:t>02</w:t>
      </w:r>
      <w:r w:rsidR="00182293">
        <w:noBreakHyphen/>
      </w:r>
      <w:r>
        <w:t>012</w:t>
      </w:r>
      <w:r w:rsidRPr="001E2A62">
        <w:t xml:space="preserve"> </w:t>
      </w:r>
      <w:r>
        <w:t>remains open</w:t>
      </w:r>
      <w:r w:rsidRPr="001E2A62">
        <w:t>.</w:t>
      </w:r>
    </w:p>
    <w:p w:rsidR="00EE6C8C" w:rsidP="00EE6C8C" w:rsidRDefault="00EE6C8C" w14:paraId="7B79E43F" w14:textId="77777777">
      <w:r>
        <w:t>This order is effective today.</w:t>
      </w:r>
    </w:p>
    <w:p w:rsidR="00EE6C8C" w:rsidP="00AB4C25" w:rsidRDefault="00EE6C8C" w14:paraId="0E364C6F" w14:textId="5C318FD9">
      <w:pPr>
        <w:spacing w:after="360"/>
      </w:pPr>
      <w:r>
        <w:t>Dated</w:t>
      </w:r>
      <w:r w:rsidR="00AB4C25">
        <w:t xml:space="preserve"> February 23, 2023</w:t>
      </w:r>
      <w:r>
        <w:t>, at San Francisco, California.</w:t>
      </w:r>
    </w:p>
    <w:p w:rsidRPr="00AB4C25" w:rsidR="00AB4C25" w:rsidP="00AB4C25" w:rsidRDefault="00AB4C25" w14:paraId="159B78F1" w14:textId="77777777">
      <w:pPr>
        <w:autoSpaceDE w:val="0"/>
        <w:autoSpaceDN w:val="0"/>
        <w:adjustRightInd w:val="0"/>
        <w:spacing w:line="259" w:lineRule="auto"/>
        <w:ind w:left="5040" w:firstLine="0"/>
        <w:jc w:val="both"/>
        <w:rPr>
          <w:rFonts w:cs="Times New Roman"/>
          <w:szCs w:val="20"/>
        </w:rPr>
      </w:pPr>
      <w:r w:rsidRPr="00AB4C25">
        <w:rPr>
          <w:rFonts w:cs="Times New Roman"/>
          <w:szCs w:val="20"/>
        </w:rPr>
        <w:t>ALICE REYNOLDS</w:t>
      </w:r>
    </w:p>
    <w:p w:rsidRPr="00AB4C25" w:rsidR="00AB4C25" w:rsidP="00AB4C25" w:rsidRDefault="00AB4C25" w14:paraId="087B84E7" w14:textId="77777777">
      <w:pPr>
        <w:autoSpaceDE w:val="0"/>
        <w:autoSpaceDN w:val="0"/>
        <w:adjustRightInd w:val="0"/>
        <w:spacing w:line="259" w:lineRule="auto"/>
        <w:ind w:left="720"/>
        <w:jc w:val="both"/>
        <w:rPr>
          <w:rFonts w:cs="Times New Roman"/>
          <w:szCs w:val="20"/>
        </w:rPr>
      </w:pPr>
      <w:r w:rsidRPr="00AB4C25">
        <w:rPr>
          <w:rFonts w:cs="Times New Roman"/>
          <w:szCs w:val="20"/>
        </w:rPr>
        <w:tab/>
      </w:r>
      <w:r w:rsidRPr="00AB4C25">
        <w:rPr>
          <w:rFonts w:cs="Times New Roman"/>
          <w:szCs w:val="20"/>
        </w:rPr>
        <w:tab/>
      </w:r>
      <w:r w:rsidRPr="00AB4C25">
        <w:rPr>
          <w:rFonts w:cs="Times New Roman"/>
          <w:szCs w:val="20"/>
        </w:rPr>
        <w:tab/>
      </w:r>
      <w:r w:rsidRPr="00AB4C25">
        <w:rPr>
          <w:rFonts w:cs="Times New Roman"/>
          <w:szCs w:val="20"/>
        </w:rPr>
        <w:tab/>
      </w:r>
      <w:r w:rsidRPr="00AB4C25">
        <w:rPr>
          <w:rFonts w:cs="Times New Roman"/>
          <w:szCs w:val="20"/>
        </w:rPr>
        <w:tab/>
        <w:t xml:space="preserve">                       President</w:t>
      </w:r>
    </w:p>
    <w:p w:rsidRPr="00AB4C25" w:rsidR="00AB4C25" w:rsidP="00AB4C25" w:rsidRDefault="00AB4C25" w14:paraId="05A6531C" w14:textId="77777777">
      <w:pPr>
        <w:autoSpaceDE w:val="0"/>
        <w:autoSpaceDN w:val="0"/>
        <w:adjustRightInd w:val="0"/>
        <w:spacing w:line="259" w:lineRule="auto"/>
        <w:ind w:left="5040" w:firstLine="0"/>
        <w:jc w:val="both"/>
        <w:rPr>
          <w:rFonts w:cs="Times New Roman"/>
          <w:szCs w:val="20"/>
        </w:rPr>
      </w:pPr>
      <w:r w:rsidRPr="00AB4C25">
        <w:rPr>
          <w:rFonts w:cs="Times New Roman"/>
          <w:szCs w:val="20"/>
        </w:rPr>
        <w:t>GENEVIEVE SHIROMA</w:t>
      </w:r>
    </w:p>
    <w:p w:rsidRPr="00AB4C25" w:rsidR="00AB4C25" w:rsidP="00AB4C25" w:rsidRDefault="00AB4C25" w14:paraId="58CF0DB2" w14:textId="77777777">
      <w:pPr>
        <w:autoSpaceDE w:val="0"/>
        <w:autoSpaceDN w:val="0"/>
        <w:adjustRightInd w:val="0"/>
        <w:spacing w:line="259" w:lineRule="auto"/>
        <w:ind w:left="4320"/>
        <w:jc w:val="both"/>
        <w:rPr>
          <w:rFonts w:cs="Times New Roman"/>
          <w:szCs w:val="20"/>
        </w:rPr>
      </w:pPr>
      <w:r w:rsidRPr="00AB4C25">
        <w:rPr>
          <w:rFonts w:cs="Times New Roman"/>
          <w:szCs w:val="20"/>
        </w:rPr>
        <w:t>DARCIE L. HOUCK</w:t>
      </w:r>
    </w:p>
    <w:p w:rsidRPr="00AB4C25" w:rsidR="00AB4C25" w:rsidP="00AB4C25" w:rsidRDefault="00AB4C25" w14:paraId="1A4D4C2B" w14:textId="77777777">
      <w:pPr>
        <w:autoSpaceDE w:val="0"/>
        <w:autoSpaceDN w:val="0"/>
        <w:adjustRightInd w:val="0"/>
        <w:spacing w:line="259" w:lineRule="auto"/>
        <w:ind w:left="4320"/>
        <w:jc w:val="both"/>
        <w:rPr>
          <w:rFonts w:cs="Times New Roman"/>
          <w:szCs w:val="20"/>
        </w:rPr>
      </w:pPr>
      <w:r w:rsidRPr="00AB4C25">
        <w:rPr>
          <w:rFonts w:cs="Times New Roman"/>
          <w:szCs w:val="20"/>
        </w:rPr>
        <w:t>JOHN REYNOLDS</w:t>
      </w:r>
    </w:p>
    <w:p w:rsidRPr="00AB4C25" w:rsidR="00AB4C25" w:rsidP="00AB4C25" w:rsidRDefault="00AB4C25" w14:paraId="226FD3AE" w14:textId="77777777">
      <w:pPr>
        <w:autoSpaceDE w:val="0"/>
        <w:autoSpaceDN w:val="0"/>
        <w:adjustRightInd w:val="0"/>
        <w:spacing w:line="259" w:lineRule="auto"/>
        <w:ind w:left="4320"/>
        <w:jc w:val="both"/>
        <w:rPr>
          <w:rFonts w:cs="Times New Roman"/>
          <w:szCs w:val="20"/>
        </w:rPr>
      </w:pPr>
      <w:r w:rsidRPr="00AB4C25">
        <w:rPr>
          <w:rFonts w:eastAsia="Times New Roman" w:cs="Calibri"/>
          <w:color w:val="000000"/>
          <w:szCs w:val="26"/>
        </w:rPr>
        <w:t>KAREN DOUGLAS</w:t>
      </w:r>
    </w:p>
    <w:p w:rsidRPr="00AB4C25" w:rsidR="00AB4C25" w:rsidP="00AB4C25" w:rsidRDefault="00AB4C25" w14:paraId="37188DAF" w14:textId="77777777">
      <w:pPr>
        <w:autoSpaceDE w:val="0"/>
        <w:autoSpaceDN w:val="0"/>
        <w:adjustRightInd w:val="0"/>
        <w:spacing w:line="259" w:lineRule="auto"/>
        <w:ind w:left="5040"/>
        <w:jc w:val="both"/>
        <w:rPr>
          <w:rFonts w:cs="Times New Roman"/>
          <w:szCs w:val="20"/>
        </w:rPr>
      </w:pPr>
      <w:r w:rsidRPr="00AB4C25">
        <w:rPr>
          <w:rFonts w:cs="Times New Roman"/>
          <w:szCs w:val="20"/>
        </w:rPr>
        <w:t xml:space="preserve">            Commissioners</w:t>
      </w:r>
    </w:p>
    <w:p w:rsidRPr="00714CF2" w:rsidR="00AB4C25" w:rsidP="00AB4C25" w:rsidRDefault="00AB4C25" w14:paraId="7468648D" w14:textId="77777777">
      <w:pPr>
        <w:ind w:firstLine="0"/>
      </w:pPr>
    </w:p>
    <w:sectPr w:rsidRPr="00714CF2" w:rsidR="00AB4C25" w:rsidSect="007D6520">
      <w:headerReference w:type="default" r:id="rId15"/>
      <w:footerReference w:type="default" r:id="rId16"/>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4790" w14:textId="77777777" w:rsidR="00716E04" w:rsidRDefault="00716E04" w:rsidP="0098138E">
      <w:pPr>
        <w:spacing w:line="240" w:lineRule="auto"/>
      </w:pPr>
      <w:r>
        <w:separator/>
      </w:r>
    </w:p>
  </w:endnote>
  <w:endnote w:type="continuationSeparator" w:id="0">
    <w:p w14:paraId="51DFF019" w14:textId="77777777" w:rsidR="00716E04" w:rsidRDefault="00716E04"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Antiqua">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FA0" w14:textId="1B72CD0A" w:rsidR="007D6520" w:rsidRDefault="00542E0C" w:rsidP="00EC2F60">
    <w:pPr>
      <w:pStyle w:val="Footer"/>
      <w:ind w:firstLine="0"/>
    </w:pPr>
    <w:r w:rsidRPr="00542E0C">
      <w:rPr>
        <w:rFonts w:cs="Arial"/>
        <w:color w:val="000000"/>
        <w:sz w:val="16"/>
        <w:szCs w:val="16"/>
        <w:shd w:val="clear" w:color="auto" w:fill="FFFFFF"/>
      </w:rPr>
      <w:t>502938118</w:t>
    </w:r>
    <w:r w:rsidR="00EC2F60">
      <w:tab/>
    </w:r>
    <w:r w:rsidR="007D6520">
      <w:t xml:space="preserve">- </w:t>
    </w:r>
    <w:sdt>
      <w:sdtPr>
        <w:id w:val="909122071"/>
        <w:docPartObj>
          <w:docPartGallery w:val="Page Numbers (Bottom of Page)"/>
          <w:docPartUnique/>
        </w:docPartObj>
      </w:sdtPr>
      <w:sdtEndPr>
        <w:rPr>
          <w:noProof/>
        </w:rPr>
      </w:sdtEndPr>
      <w:sdtContent>
        <w:r w:rsidR="007D6520">
          <w:fldChar w:fldCharType="begin"/>
        </w:r>
        <w:r w:rsidR="007D6520">
          <w:instrText xml:space="preserve"> PAGE   \* MERGEFORMAT </w:instrText>
        </w:r>
        <w:r w:rsidR="007D6520">
          <w:fldChar w:fldCharType="separate"/>
        </w:r>
        <w:r w:rsidR="007D6520">
          <w:rPr>
            <w:noProof/>
          </w:rPr>
          <w:t>2</w:t>
        </w:r>
        <w:r w:rsidR="007D6520">
          <w:rPr>
            <w:noProof/>
          </w:rPr>
          <w:fldChar w:fldCharType="end"/>
        </w:r>
      </w:sdtContent>
    </w:sdt>
    <w:r w:rsidR="007D652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1D9A"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2C7"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F881" w14:textId="77777777" w:rsidR="00716E04" w:rsidRDefault="00716E04" w:rsidP="00DF58E7">
      <w:pPr>
        <w:spacing w:line="240" w:lineRule="auto"/>
        <w:ind w:firstLine="0"/>
      </w:pPr>
      <w:r>
        <w:separator/>
      </w:r>
    </w:p>
  </w:footnote>
  <w:footnote w:type="continuationSeparator" w:id="0">
    <w:p w14:paraId="27B89A8B" w14:textId="77777777" w:rsidR="00716E04" w:rsidRDefault="00716E04" w:rsidP="00DF58E7">
      <w:pPr>
        <w:spacing w:line="240" w:lineRule="auto"/>
        <w:ind w:firstLine="0"/>
      </w:pPr>
      <w:r>
        <w:continuationSeparator/>
      </w:r>
    </w:p>
  </w:footnote>
  <w:footnote w:type="continuationNotice" w:id="1">
    <w:p w14:paraId="53B62CF8" w14:textId="77777777" w:rsidR="00716E04" w:rsidRPr="00DF58E7" w:rsidRDefault="00716E04"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5DE973CE" w14:textId="563F6296" w:rsidR="007D6520" w:rsidRPr="006D0A96" w:rsidRDefault="007D6520" w:rsidP="008D50D4">
      <w:pPr>
        <w:pStyle w:val="FootnoteText"/>
        <w:ind w:left="288" w:hanging="288"/>
        <w:rPr>
          <w:szCs w:val="22"/>
        </w:rPr>
      </w:pPr>
      <w:r w:rsidRPr="006D0A96">
        <w:rPr>
          <w:rStyle w:val="FootnoteReference"/>
          <w:szCs w:val="22"/>
        </w:rPr>
        <w:footnoteRef/>
      </w:r>
      <w:r w:rsidRPr="006D0A96">
        <w:rPr>
          <w:szCs w:val="22"/>
        </w:rPr>
        <w:t xml:space="preserve"> </w:t>
      </w:r>
      <w:r>
        <w:rPr>
          <w:szCs w:val="22"/>
        </w:rPr>
        <w:tab/>
      </w:r>
      <w:r w:rsidRPr="006D0A96">
        <w:rPr>
          <w:szCs w:val="22"/>
        </w:rPr>
        <w:t>SB</w:t>
      </w:r>
      <w:r w:rsidR="00872193">
        <w:rPr>
          <w:szCs w:val="22"/>
        </w:rPr>
        <w:t> </w:t>
      </w:r>
      <w:r w:rsidRPr="006D0A96">
        <w:rPr>
          <w:szCs w:val="22"/>
        </w:rPr>
        <w:t>1376, Pub. Util. Code</w:t>
      </w:r>
      <w:r w:rsidR="00872193">
        <w:rPr>
          <w:szCs w:val="22"/>
        </w:rPr>
        <w:t> </w:t>
      </w:r>
      <w:r w:rsidRPr="006D0A96">
        <w:rPr>
          <w:rFonts w:cs="Calibri"/>
          <w:szCs w:val="22"/>
        </w:rPr>
        <w:t>§</w:t>
      </w:r>
      <w:r w:rsidR="00872193">
        <w:rPr>
          <w:rFonts w:cs="Calibri"/>
          <w:szCs w:val="22"/>
        </w:rPr>
        <w:t> </w:t>
      </w:r>
      <w:r w:rsidRPr="006D0A96">
        <w:rPr>
          <w:szCs w:val="22"/>
        </w:rPr>
        <w:t xml:space="preserve">5440.5.  </w:t>
      </w:r>
    </w:p>
  </w:footnote>
  <w:footnote w:id="3">
    <w:p w14:paraId="600C7B8D" w14:textId="77777777" w:rsidR="007D6520" w:rsidRPr="006D0A96" w:rsidRDefault="007D6520" w:rsidP="008D50D4">
      <w:pPr>
        <w:pStyle w:val="FootnoteText"/>
        <w:ind w:left="288" w:hanging="288"/>
        <w:rPr>
          <w:szCs w:val="22"/>
        </w:rPr>
      </w:pPr>
      <w:r w:rsidRPr="006D0A96">
        <w:rPr>
          <w:rStyle w:val="FootnoteReference"/>
          <w:szCs w:val="22"/>
        </w:rPr>
        <w:footnoteRef/>
      </w:r>
      <w:r w:rsidRPr="006D0A96">
        <w:rPr>
          <w:szCs w:val="22"/>
        </w:rPr>
        <w:t xml:space="preserve"> </w:t>
      </w:r>
      <w:r>
        <w:rPr>
          <w:szCs w:val="22"/>
        </w:rPr>
        <w:tab/>
      </w:r>
      <w:r w:rsidRPr="006D0A96">
        <w:rPr>
          <w:szCs w:val="22"/>
        </w:rPr>
        <w:t>All statutory references are to the Public Utilities Code unless otherwise noted.</w:t>
      </w:r>
    </w:p>
  </w:footnote>
  <w:footnote w:id="4">
    <w:p w14:paraId="4AF71FC0" w14:textId="4C8E4246" w:rsidR="00611236" w:rsidRPr="002E43AA" w:rsidRDefault="00611236" w:rsidP="00462FF9">
      <w:pPr>
        <w:pStyle w:val="FootnoteText"/>
        <w:ind w:left="288" w:hanging="288"/>
        <w:rPr>
          <w:lang w:val="en-ZW"/>
        </w:rPr>
      </w:pPr>
      <w:r>
        <w:rPr>
          <w:rStyle w:val="FootnoteReference"/>
        </w:rPr>
        <w:footnoteRef/>
      </w:r>
      <w:r w:rsidR="00DF3AEE">
        <w:t xml:space="preserve"> </w:t>
      </w:r>
      <w:r>
        <w:t xml:space="preserve"> </w:t>
      </w:r>
      <w:r w:rsidR="008D50D4">
        <w:tab/>
      </w:r>
      <w:r>
        <w:rPr>
          <w:lang w:val="en-ZW"/>
        </w:rPr>
        <w:t>Amended Scoping</w:t>
      </w:r>
      <w:r w:rsidR="00DF3AEE">
        <w:rPr>
          <w:lang w:val="en-ZW"/>
        </w:rPr>
        <w:t> </w:t>
      </w:r>
      <w:r>
        <w:rPr>
          <w:lang w:val="en-ZW"/>
        </w:rPr>
        <w:t>Memo at</w:t>
      </w:r>
      <w:r w:rsidR="00DF3AEE">
        <w:rPr>
          <w:lang w:val="en-ZW"/>
        </w:rPr>
        <w:t> </w:t>
      </w:r>
      <w:r>
        <w:rPr>
          <w:lang w:val="en-ZW"/>
        </w:rPr>
        <w:t>4.</w:t>
      </w:r>
    </w:p>
  </w:footnote>
  <w:footnote w:id="5">
    <w:p w14:paraId="0E4CFCA1" w14:textId="78BC416E" w:rsidR="00611236" w:rsidRPr="00B7242E" w:rsidRDefault="00611236" w:rsidP="00462FF9">
      <w:pPr>
        <w:pStyle w:val="FootnoteText"/>
        <w:ind w:left="288" w:hanging="288"/>
        <w:rPr>
          <w:lang w:val="en-ZW"/>
        </w:rPr>
      </w:pPr>
      <w:r>
        <w:rPr>
          <w:rStyle w:val="FootnoteReference"/>
        </w:rPr>
        <w:footnoteRef/>
      </w:r>
      <w:r>
        <w:t xml:space="preserve"> </w:t>
      </w:r>
      <w:r w:rsidR="00822A5D">
        <w:t xml:space="preserve"> </w:t>
      </w:r>
      <w:r w:rsidR="008D50D4">
        <w:tab/>
      </w:r>
      <w:r>
        <w:rPr>
          <w:lang w:val="en-ZW"/>
        </w:rPr>
        <w:t>Assigned Commissioner’s Ruling, April</w:t>
      </w:r>
      <w:r w:rsidR="00822A5D">
        <w:rPr>
          <w:lang w:val="en-ZW"/>
        </w:rPr>
        <w:t> </w:t>
      </w:r>
      <w:r>
        <w:rPr>
          <w:lang w:val="en-ZW"/>
        </w:rPr>
        <w:t>11,</w:t>
      </w:r>
      <w:r w:rsidR="00822A5D">
        <w:rPr>
          <w:lang w:val="en-ZW"/>
        </w:rPr>
        <w:t> </w:t>
      </w:r>
      <w:r>
        <w:rPr>
          <w:lang w:val="en-ZW"/>
        </w:rPr>
        <w:t>2022, at</w:t>
      </w:r>
      <w:r w:rsidR="00822A5D">
        <w:rPr>
          <w:lang w:val="en-ZW"/>
        </w:rPr>
        <w:t> </w:t>
      </w:r>
      <w:r>
        <w:rPr>
          <w:lang w:val="en-ZW"/>
        </w:rPr>
        <w:t>4 (April</w:t>
      </w:r>
      <w:r w:rsidR="00822A5D">
        <w:rPr>
          <w:lang w:val="en-ZW"/>
        </w:rPr>
        <w:t> </w:t>
      </w:r>
      <w:r>
        <w:rPr>
          <w:lang w:val="en-ZW"/>
        </w:rPr>
        <w:t>11 ACO</w:t>
      </w:r>
      <w:r w:rsidR="00822A5D">
        <w:rPr>
          <w:lang w:val="en-ZW"/>
        </w:rPr>
        <w:t> </w:t>
      </w:r>
      <w:r>
        <w:rPr>
          <w:lang w:val="en-ZW"/>
        </w:rPr>
        <w:t>Ruling).</w:t>
      </w:r>
    </w:p>
  </w:footnote>
  <w:footnote w:id="6">
    <w:p w14:paraId="6FDAC970" w14:textId="06F8ED72" w:rsidR="00611236" w:rsidRPr="00584584" w:rsidRDefault="00611236" w:rsidP="00462FF9">
      <w:pPr>
        <w:pStyle w:val="FootnoteText"/>
        <w:ind w:left="288" w:hanging="288"/>
        <w:rPr>
          <w:lang w:val="en-ZW"/>
        </w:rPr>
      </w:pPr>
      <w:r>
        <w:rPr>
          <w:rStyle w:val="FootnoteReference"/>
        </w:rPr>
        <w:footnoteRef/>
      </w:r>
      <w:r>
        <w:t xml:space="preserve"> </w:t>
      </w:r>
      <w:r w:rsidR="008D50D4">
        <w:tab/>
      </w:r>
      <w:r>
        <w:rPr>
          <w:lang w:val="en-ZW"/>
        </w:rPr>
        <w:t>April</w:t>
      </w:r>
      <w:r w:rsidR="00822A5D">
        <w:rPr>
          <w:lang w:val="en-ZW"/>
        </w:rPr>
        <w:t> </w:t>
      </w:r>
      <w:r>
        <w:rPr>
          <w:lang w:val="en-ZW"/>
        </w:rPr>
        <w:t>11 ACO Ruling at</w:t>
      </w:r>
      <w:r w:rsidR="00822A5D">
        <w:rPr>
          <w:lang w:val="en-ZW"/>
        </w:rPr>
        <w:t> </w:t>
      </w:r>
      <w:r>
        <w:rPr>
          <w:lang w:val="en-ZW"/>
        </w:rPr>
        <w:t>6.</w:t>
      </w:r>
    </w:p>
  </w:footnote>
  <w:footnote w:id="7">
    <w:p w14:paraId="376EBF48" w14:textId="7A71AB2C" w:rsidR="00611236" w:rsidRPr="008F69DD" w:rsidRDefault="00611236" w:rsidP="00462FF9">
      <w:pPr>
        <w:pStyle w:val="FootnoteText"/>
        <w:ind w:left="288" w:hanging="288"/>
        <w:rPr>
          <w:lang w:val="en-ZW"/>
        </w:rPr>
      </w:pPr>
      <w:r>
        <w:rPr>
          <w:rStyle w:val="FootnoteReference"/>
        </w:rPr>
        <w:footnoteRef/>
      </w:r>
      <w:r>
        <w:t xml:space="preserve"> </w:t>
      </w:r>
      <w:r w:rsidR="00822A5D">
        <w:t xml:space="preserve"> </w:t>
      </w:r>
      <w:r w:rsidR="008D50D4">
        <w:tab/>
      </w:r>
      <w:r>
        <w:rPr>
          <w:lang w:val="en-ZW"/>
        </w:rPr>
        <w:t>Lyft Track</w:t>
      </w:r>
      <w:r w:rsidR="00822A5D">
        <w:rPr>
          <w:lang w:val="en-ZW"/>
        </w:rPr>
        <w:t> </w:t>
      </w:r>
      <w:r>
        <w:rPr>
          <w:lang w:val="en-ZW"/>
        </w:rPr>
        <w:t>5A Reply</w:t>
      </w:r>
      <w:r w:rsidR="00822A5D">
        <w:rPr>
          <w:lang w:val="en-ZW"/>
        </w:rPr>
        <w:t> </w:t>
      </w:r>
      <w:r>
        <w:rPr>
          <w:lang w:val="en-ZW"/>
        </w:rPr>
        <w:t>Comments, July</w:t>
      </w:r>
      <w:r w:rsidR="00822A5D">
        <w:rPr>
          <w:lang w:val="en-ZW"/>
        </w:rPr>
        <w:t> </w:t>
      </w:r>
      <w:r>
        <w:rPr>
          <w:lang w:val="en-ZW"/>
        </w:rPr>
        <w:t>26,</w:t>
      </w:r>
      <w:r w:rsidR="00822A5D">
        <w:rPr>
          <w:lang w:val="en-ZW"/>
        </w:rPr>
        <w:t> </w:t>
      </w:r>
      <w:r>
        <w:rPr>
          <w:lang w:val="en-ZW"/>
        </w:rPr>
        <w:t>2022, at</w:t>
      </w:r>
      <w:r w:rsidR="00822A5D">
        <w:rPr>
          <w:lang w:val="en-ZW"/>
        </w:rPr>
        <w:t> </w:t>
      </w:r>
      <w:r>
        <w:rPr>
          <w:lang w:val="en-ZW"/>
        </w:rPr>
        <w:t>3.</w:t>
      </w:r>
    </w:p>
  </w:footnote>
  <w:footnote w:id="8">
    <w:p w14:paraId="2EACEEB8" w14:textId="2112C9B9" w:rsidR="00611236" w:rsidRPr="00DA4F82" w:rsidRDefault="00611236" w:rsidP="00462FF9">
      <w:pPr>
        <w:pStyle w:val="FootnoteText"/>
        <w:ind w:left="288" w:hanging="288"/>
        <w:rPr>
          <w:lang w:val="en-ZW"/>
        </w:rPr>
      </w:pPr>
      <w:r>
        <w:rPr>
          <w:rStyle w:val="FootnoteReference"/>
        </w:rPr>
        <w:footnoteRef/>
      </w:r>
      <w:r>
        <w:t xml:space="preserve"> </w:t>
      </w:r>
      <w:r w:rsidR="008D50D4">
        <w:tab/>
      </w:r>
      <w:r>
        <w:rPr>
          <w:lang w:val="en-ZW"/>
        </w:rPr>
        <w:t>San</w:t>
      </w:r>
      <w:r w:rsidR="00822A5D">
        <w:rPr>
          <w:lang w:val="en-ZW"/>
        </w:rPr>
        <w:t> </w:t>
      </w:r>
      <w:r>
        <w:rPr>
          <w:lang w:val="en-ZW"/>
        </w:rPr>
        <w:t>Francisco Track</w:t>
      </w:r>
      <w:r w:rsidR="00822A5D">
        <w:rPr>
          <w:lang w:val="en-ZW"/>
        </w:rPr>
        <w:t> </w:t>
      </w:r>
      <w:r>
        <w:rPr>
          <w:lang w:val="en-ZW"/>
        </w:rPr>
        <w:t>5A Additional</w:t>
      </w:r>
      <w:r w:rsidR="00822A5D">
        <w:rPr>
          <w:lang w:val="en-ZW"/>
        </w:rPr>
        <w:t> </w:t>
      </w:r>
      <w:r>
        <w:rPr>
          <w:lang w:val="en-ZW"/>
        </w:rPr>
        <w:t>Proposal</w:t>
      </w:r>
      <w:r w:rsidR="00BC7B0A">
        <w:rPr>
          <w:lang w:val="en-ZW"/>
        </w:rPr>
        <w:t>s</w:t>
      </w:r>
      <w:r>
        <w:rPr>
          <w:lang w:val="en-ZW"/>
        </w:rPr>
        <w:t>, June</w:t>
      </w:r>
      <w:r w:rsidR="00822A5D">
        <w:rPr>
          <w:lang w:val="en-ZW"/>
        </w:rPr>
        <w:t> </w:t>
      </w:r>
      <w:r>
        <w:rPr>
          <w:lang w:val="en-ZW"/>
        </w:rPr>
        <w:t>30,</w:t>
      </w:r>
      <w:r w:rsidR="00822A5D">
        <w:rPr>
          <w:lang w:val="en-ZW"/>
        </w:rPr>
        <w:t> </w:t>
      </w:r>
      <w:r>
        <w:rPr>
          <w:lang w:val="en-ZW"/>
        </w:rPr>
        <w:t>2022, at</w:t>
      </w:r>
      <w:r w:rsidR="00822A5D">
        <w:rPr>
          <w:lang w:val="en-ZW"/>
        </w:rPr>
        <w:t> </w:t>
      </w:r>
      <w:r>
        <w:rPr>
          <w:lang w:val="en-ZW"/>
        </w:rPr>
        <w:t>2.</w:t>
      </w:r>
    </w:p>
  </w:footnote>
  <w:footnote w:id="9">
    <w:p w14:paraId="3B4EE036" w14:textId="35F4CBF5" w:rsidR="00611236" w:rsidRPr="0034465C" w:rsidRDefault="00611236" w:rsidP="00462FF9">
      <w:pPr>
        <w:pStyle w:val="FootnoteText"/>
        <w:ind w:left="288" w:hanging="288"/>
        <w:rPr>
          <w:lang w:val="en-ZW"/>
        </w:rPr>
      </w:pPr>
      <w:r>
        <w:rPr>
          <w:rStyle w:val="FootnoteReference"/>
        </w:rPr>
        <w:footnoteRef/>
      </w:r>
      <w:r>
        <w:t xml:space="preserve"> </w:t>
      </w:r>
      <w:r w:rsidR="00AE54CE">
        <w:t xml:space="preserve"> </w:t>
      </w:r>
      <w:r w:rsidR="008D50D4">
        <w:tab/>
      </w:r>
      <w:r>
        <w:rPr>
          <w:lang w:val="en-ZW"/>
        </w:rPr>
        <w:t>Disability Advocates Track</w:t>
      </w:r>
      <w:r w:rsidR="00AE54CE">
        <w:rPr>
          <w:lang w:val="en-ZW"/>
        </w:rPr>
        <w:t> </w:t>
      </w:r>
      <w:r>
        <w:rPr>
          <w:lang w:val="en-ZW"/>
        </w:rPr>
        <w:t>5A Opening</w:t>
      </w:r>
      <w:r w:rsidR="00AE54CE">
        <w:rPr>
          <w:lang w:val="en-ZW"/>
        </w:rPr>
        <w:t> </w:t>
      </w:r>
      <w:r>
        <w:rPr>
          <w:lang w:val="en-ZW"/>
        </w:rPr>
        <w:t>Comments, July</w:t>
      </w:r>
      <w:r w:rsidR="00AE54CE">
        <w:rPr>
          <w:lang w:val="en-ZW"/>
        </w:rPr>
        <w:t> </w:t>
      </w:r>
      <w:r>
        <w:rPr>
          <w:lang w:val="en-ZW"/>
        </w:rPr>
        <w:t>14,</w:t>
      </w:r>
      <w:r w:rsidR="00AE54CE">
        <w:rPr>
          <w:lang w:val="en-ZW"/>
        </w:rPr>
        <w:t> </w:t>
      </w:r>
      <w:r>
        <w:rPr>
          <w:lang w:val="en-ZW"/>
        </w:rPr>
        <w:t>2022, at</w:t>
      </w:r>
      <w:r w:rsidR="00AE54CE">
        <w:rPr>
          <w:lang w:val="en-ZW"/>
        </w:rPr>
        <w:t> </w:t>
      </w:r>
      <w:r>
        <w:rPr>
          <w:lang w:val="en-ZW"/>
        </w:rPr>
        <w:t>4.</w:t>
      </w:r>
    </w:p>
  </w:footnote>
  <w:footnote w:id="10">
    <w:p w14:paraId="5BFC4983" w14:textId="0CF7EF25" w:rsidR="00611236" w:rsidRPr="00EC0900" w:rsidRDefault="00611236" w:rsidP="00462FF9">
      <w:pPr>
        <w:pStyle w:val="FootnoteText"/>
        <w:ind w:left="288" w:hanging="288"/>
        <w:rPr>
          <w:lang w:val="en-ZW"/>
        </w:rPr>
      </w:pPr>
      <w:r>
        <w:rPr>
          <w:rStyle w:val="FootnoteReference"/>
        </w:rPr>
        <w:footnoteRef/>
      </w:r>
      <w:r>
        <w:t xml:space="preserve"> </w:t>
      </w:r>
      <w:r w:rsidR="00AE54CE">
        <w:t xml:space="preserve"> </w:t>
      </w:r>
      <w:r w:rsidR="008D50D4">
        <w:tab/>
      </w:r>
      <w:r>
        <w:rPr>
          <w:lang w:val="en-ZW"/>
        </w:rPr>
        <w:t>SFTWA Track</w:t>
      </w:r>
      <w:r w:rsidR="00AE54CE">
        <w:rPr>
          <w:lang w:val="en-ZW"/>
        </w:rPr>
        <w:t> </w:t>
      </w:r>
      <w:r>
        <w:rPr>
          <w:lang w:val="en-ZW"/>
        </w:rPr>
        <w:t>5A Opening</w:t>
      </w:r>
      <w:r w:rsidR="00AE54CE">
        <w:rPr>
          <w:lang w:val="en-ZW"/>
        </w:rPr>
        <w:t> </w:t>
      </w:r>
      <w:r>
        <w:rPr>
          <w:lang w:val="en-ZW"/>
        </w:rPr>
        <w:t>Comments,</w:t>
      </w:r>
      <w:r w:rsidRPr="008A17D3">
        <w:rPr>
          <w:lang w:val="en-ZW"/>
        </w:rPr>
        <w:t xml:space="preserve"> </w:t>
      </w:r>
      <w:r>
        <w:rPr>
          <w:lang w:val="en-ZW"/>
        </w:rPr>
        <w:t>July</w:t>
      </w:r>
      <w:r w:rsidR="00AE54CE">
        <w:rPr>
          <w:lang w:val="en-ZW"/>
        </w:rPr>
        <w:t> </w:t>
      </w:r>
      <w:r>
        <w:rPr>
          <w:lang w:val="en-ZW"/>
        </w:rPr>
        <w:t>14,</w:t>
      </w:r>
      <w:r w:rsidR="00AE54CE">
        <w:rPr>
          <w:lang w:val="en-ZW"/>
        </w:rPr>
        <w:t> </w:t>
      </w:r>
      <w:r>
        <w:rPr>
          <w:lang w:val="en-ZW"/>
        </w:rPr>
        <w:t>2022, at</w:t>
      </w:r>
      <w:r w:rsidR="00AE54CE">
        <w:rPr>
          <w:lang w:val="en-ZW"/>
        </w:rPr>
        <w:t> </w:t>
      </w:r>
      <w:r>
        <w:rPr>
          <w:lang w:val="en-ZW"/>
        </w:rPr>
        <w:t>4.</w:t>
      </w:r>
    </w:p>
  </w:footnote>
  <w:footnote w:id="11">
    <w:p w14:paraId="76D9E521" w14:textId="4628BEDE" w:rsidR="00611236" w:rsidRPr="00655492" w:rsidRDefault="00611236" w:rsidP="00462FF9">
      <w:pPr>
        <w:pStyle w:val="FootnoteText"/>
        <w:ind w:left="288" w:hanging="288"/>
        <w:rPr>
          <w:lang w:val="en-ZW"/>
        </w:rPr>
      </w:pPr>
      <w:r>
        <w:rPr>
          <w:rStyle w:val="FootnoteReference"/>
        </w:rPr>
        <w:footnoteRef/>
      </w:r>
      <w:r>
        <w:t xml:space="preserve"> </w:t>
      </w:r>
      <w:r w:rsidR="008D50D4">
        <w:tab/>
      </w:r>
      <w:r>
        <w:rPr>
          <w:lang w:val="en-ZW"/>
        </w:rPr>
        <w:t>April</w:t>
      </w:r>
      <w:r w:rsidR="00AE54CE">
        <w:rPr>
          <w:lang w:val="en-ZW"/>
        </w:rPr>
        <w:t> </w:t>
      </w:r>
      <w:r>
        <w:rPr>
          <w:lang w:val="en-ZW"/>
        </w:rPr>
        <w:t>11 ACO</w:t>
      </w:r>
      <w:r w:rsidR="00AE54CE">
        <w:rPr>
          <w:lang w:val="en-ZW"/>
        </w:rPr>
        <w:t> </w:t>
      </w:r>
      <w:r>
        <w:rPr>
          <w:lang w:val="en-ZW"/>
        </w:rPr>
        <w:t>Ruling at</w:t>
      </w:r>
      <w:r w:rsidR="00AE54CE">
        <w:rPr>
          <w:lang w:val="en-ZW"/>
        </w:rPr>
        <w:t> </w:t>
      </w:r>
      <w:r>
        <w:rPr>
          <w:lang w:val="en-ZW"/>
        </w:rPr>
        <w:t>6.</w:t>
      </w:r>
    </w:p>
  </w:footnote>
  <w:footnote w:id="12">
    <w:p w14:paraId="20382D29" w14:textId="19236155" w:rsidR="00611236" w:rsidRPr="00294F4C" w:rsidRDefault="00611236" w:rsidP="00462FF9">
      <w:pPr>
        <w:pStyle w:val="FootnoteText"/>
        <w:ind w:left="288" w:hanging="288"/>
        <w:rPr>
          <w:lang w:val="en-ZW"/>
        </w:rPr>
      </w:pPr>
      <w:r>
        <w:rPr>
          <w:rStyle w:val="FootnoteReference"/>
        </w:rPr>
        <w:footnoteRef/>
      </w:r>
      <w:r>
        <w:t xml:space="preserve"> </w:t>
      </w:r>
      <w:r w:rsidR="008D50D4">
        <w:tab/>
      </w:r>
      <w:r w:rsidRPr="00B54C1A">
        <w:rPr>
          <w:i/>
          <w:iCs/>
          <w:lang w:val="en-ZW"/>
        </w:rPr>
        <w:t>Id</w:t>
      </w:r>
      <w:r>
        <w:rPr>
          <w:lang w:val="en-ZW"/>
        </w:rPr>
        <w:t>. at</w:t>
      </w:r>
      <w:r w:rsidR="00AE54CE">
        <w:rPr>
          <w:lang w:val="en-ZW"/>
        </w:rPr>
        <w:t> </w:t>
      </w:r>
      <w:r>
        <w:rPr>
          <w:lang w:val="en-ZW"/>
        </w:rPr>
        <w:t>12.</w:t>
      </w:r>
    </w:p>
  </w:footnote>
  <w:footnote w:id="13">
    <w:p w14:paraId="26292F46" w14:textId="4AB6D6F4" w:rsidR="00611236" w:rsidRPr="00294F4C" w:rsidRDefault="00611236" w:rsidP="00462FF9">
      <w:pPr>
        <w:pStyle w:val="FootnoteText"/>
        <w:ind w:left="288" w:hanging="288"/>
        <w:rPr>
          <w:lang w:val="en-ZW"/>
        </w:rPr>
      </w:pPr>
      <w:r>
        <w:rPr>
          <w:rStyle w:val="FootnoteReference"/>
        </w:rPr>
        <w:footnoteRef/>
      </w:r>
      <w:r>
        <w:t xml:space="preserve"> </w:t>
      </w:r>
      <w:r w:rsidR="008D50D4">
        <w:tab/>
      </w:r>
      <w:r w:rsidRPr="00B54C1A">
        <w:rPr>
          <w:i/>
          <w:iCs/>
          <w:lang w:val="en-ZW"/>
        </w:rPr>
        <w:t>Id</w:t>
      </w:r>
      <w:r>
        <w:rPr>
          <w:lang w:val="en-ZW"/>
        </w:rPr>
        <w:t>. at</w:t>
      </w:r>
      <w:r w:rsidR="00AE54CE">
        <w:rPr>
          <w:lang w:val="en-ZW"/>
        </w:rPr>
        <w:t> </w:t>
      </w:r>
      <w:r>
        <w:rPr>
          <w:lang w:val="en-ZW"/>
        </w:rPr>
        <w:t>13.</w:t>
      </w:r>
    </w:p>
  </w:footnote>
  <w:footnote w:id="14">
    <w:p w14:paraId="1FAD0C3F" w14:textId="49D8F21E" w:rsidR="00611236" w:rsidRPr="00F90F08" w:rsidRDefault="00611236" w:rsidP="00462FF9">
      <w:pPr>
        <w:pStyle w:val="FootnoteText"/>
        <w:ind w:left="288" w:hanging="288"/>
        <w:rPr>
          <w:lang w:val="en-ZW"/>
        </w:rPr>
      </w:pPr>
      <w:r>
        <w:rPr>
          <w:rStyle w:val="FootnoteReference"/>
        </w:rPr>
        <w:footnoteRef/>
      </w:r>
      <w:r>
        <w:t xml:space="preserve"> </w:t>
      </w:r>
      <w:r w:rsidR="008D50D4">
        <w:tab/>
      </w:r>
      <w:r>
        <w:rPr>
          <w:lang w:val="en-ZW"/>
        </w:rPr>
        <w:t>CPED Track</w:t>
      </w:r>
      <w:r w:rsidR="00AE54CE">
        <w:rPr>
          <w:lang w:val="en-ZW"/>
        </w:rPr>
        <w:t> </w:t>
      </w:r>
      <w:r>
        <w:rPr>
          <w:lang w:val="en-ZW"/>
        </w:rPr>
        <w:t>5A Additional Proposals, June</w:t>
      </w:r>
      <w:r w:rsidR="00AE54CE">
        <w:rPr>
          <w:lang w:val="en-ZW"/>
        </w:rPr>
        <w:t> </w:t>
      </w:r>
      <w:r>
        <w:rPr>
          <w:lang w:val="en-ZW"/>
        </w:rPr>
        <w:t>30,</w:t>
      </w:r>
      <w:r w:rsidR="00AE54CE">
        <w:rPr>
          <w:lang w:val="en-ZW"/>
        </w:rPr>
        <w:t> </w:t>
      </w:r>
      <w:r>
        <w:rPr>
          <w:lang w:val="en-ZW"/>
        </w:rPr>
        <w:t>2022, at</w:t>
      </w:r>
      <w:r w:rsidR="00AE54CE">
        <w:rPr>
          <w:lang w:val="en-ZW"/>
        </w:rPr>
        <w:t> </w:t>
      </w:r>
      <w:r>
        <w:rPr>
          <w:lang w:val="en-ZW"/>
        </w:rPr>
        <w:t>5.</w:t>
      </w:r>
    </w:p>
  </w:footnote>
  <w:footnote w:id="15">
    <w:p w14:paraId="4CBB957E" w14:textId="4C46590A" w:rsidR="00611236" w:rsidRPr="003A0B8A" w:rsidRDefault="00611236" w:rsidP="00462FF9">
      <w:pPr>
        <w:pStyle w:val="FootnoteText"/>
        <w:ind w:left="288" w:hanging="288"/>
        <w:rPr>
          <w:lang w:val="en-ZW"/>
        </w:rPr>
      </w:pPr>
      <w:r>
        <w:rPr>
          <w:rStyle w:val="FootnoteReference"/>
        </w:rPr>
        <w:footnoteRef/>
      </w:r>
      <w:r>
        <w:t xml:space="preserve"> </w:t>
      </w:r>
      <w:r w:rsidR="008D50D4">
        <w:tab/>
      </w:r>
      <w:r w:rsidR="00B4587B" w:rsidRPr="00462FF9">
        <w:rPr>
          <w:i/>
          <w:iCs/>
          <w:lang w:val="en-ZW"/>
        </w:rPr>
        <w:t>Id</w:t>
      </w:r>
      <w:r>
        <w:rPr>
          <w:lang w:val="en-ZW"/>
        </w:rPr>
        <w:t>.</w:t>
      </w:r>
    </w:p>
  </w:footnote>
  <w:footnote w:id="16">
    <w:p w14:paraId="5362DCFC" w14:textId="394EF2D8" w:rsidR="00611236" w:rsidRPr="007D55B9" w:rsidRDefault="00611236" w:rsidP="00462FF9">
      <w:pPr>
        <w:pStyle w:val="FootnoteText"/>
        <w:ind w:left="288" w:hanging="288"/>
        <w:rPr>
          <w:lang w:val="en-ZW"/>
        </w:rPr>
      </w:pPr>
      <w:r>
        <w:rPr>
          <w:rStyle w:val="FootnoteReference"/>
        </w:rPr>
        <w:footnoteRef/>
      </w:r>
      <w:r>
        <w:t xml:space="preserve"> </w:t>
      </w:r>
      <w:r w:rsidR="00B54166">
        <w:tab/>
      </w:r>
      <w:r>
        <w:rPr>
          <w:lang w:val="en-ZW"/>
        </w:rPr>
        <w:t>San</w:t>
      </w:r>
      <w:r w:rsidR="000E1D8D">
        <w:rPr>
          <w:lang w:val="en-ZW"/>
        </w:rPr>
        <w:t> </w:t>
      </w:r>
      <w:r>
        <w:rPr>
          <w:lang w:val="en-ZW"/>
        </w:rPr>
        <w:t>Francisco Track</w:t>
      </w:r>
      <w:r w:rsidR="000E1D8D">
        <w:rPr>
          <w:lang w:val="en-ZW"/>
        </w:rPr>
        <w:t> </w:t>
      </w:r>
      <w:r>
        <w:rPr>
          <w:lang w:val="en-ZW"/>
        </w:rPr>
        <w:t>5A Opening</w:t>
      </w:r>
      <w:r w:rsidR="000E1D8D">
        <w:rPr>
          <w:lang w:val="en-ZW"/>
        </w:rPr>
        <w:t> </w:t>
      </w:r>
      <w:r>
        <w:rPr>
          <w:lang w:val="en-ZW"/>
        </w:rPr>
        <w:t>Comments, July</w:t>
      </w:r>
      <w:r w:rsidR="000E1D8D">
        <w:rPr>
          <w:lang w:val="en-ZW"/>
        </w:rPr>
        <w:t> </w:t>
      </w:r>
      <w:r>
        <w:rPr>
          <w:lang w:val="en-ZW"/>
        </w:rPr>
        <w:t>14,</w:t>
      </w:r>
      <w:r w:rsidR="000E1D8D">
        <w:rPr>
          <w:lang w:val="en-ZW"/>
        </w:rPr>
        <w:t> </w:t>
      </w:r>
      <w:r>
        <w:rPr>
          <w:lang w:val="en-ZW"/>
        </w:rPr>
        <w:t>2022, at</w:t>
      </w:r>
      <w:r w:rsidR="000E1D8D">
        <w:rPr>
          <w:lang w:val="en-ZW"/>
        </w:rPr>
        <w:t> </w:t>
      </w:r>
      <w:r>
        <w:rPr>
          <w:lang w:val="en-ZW"/>
        </w:rPr>
        <w:t>3.</w:t>
      </w:r>
    </w:p>
  </w:footnote>
  <w:footnote w:id="17">
    <w:p w14:paraId="12C4A410" w14:textId="31066F65" w:rsidR="00611236" w:rsidRPr="00C22DE4" w:rsidRDefault="00611236" w:rsidP="00462FF9">
      <w:pPr>
        <w:pStyle w:val="FootnoteText"/>
        <w:ind w:left="288" w:hanging="288"/>
        <w:rPr>
          <w:lang w:val="en-ZW"/>
        </w:rPr>
      </w:pPr>
      <w:r>
        <w:rPr>
          <w:rStyle w:val="FootnoteReference"/>
        </w:rPr>
        <w:footnoteRef/>
      </w:r>
      <w:r>
        <w:t xml:space="preserve"> </w:t>
      </w:r>
      <w:r w:rsidR="00B54166">
        <w:tab/>
      </w:r>
      <w:r>
        <w:rPr>
          <w:lang w:val="en-ZW"/>
        </w:rPr>
        <w:t>Disability Advocates Track</w:t>
      </w:r>
      <w:r w:rsidR="00243B0B">
        <w:rPr>
          <w:lang w:val="en-ZW"/>
        </w:rPr>
        <w:t> </w:t>
      </w:r>
      <w:r>
        <w:rPr>
          <w:lang w:val="en-ZW"/>
        </w:rPr>
        <w:t>5A Opening</w:t>
      </w:r>
      <w:r w:rsidR="00243B0B">
        <w:rPr>
          <w:lang w:val="en-ZW"/>
        </w:rPr>
        <w:t> </w:t>
      </w:r>
      <w:r>
        <w:rPr>
          <w:lang w:val="en-ZW"/>
        </w:rPr>
        <w:t>Comments, July</w:t>
      </w:r>
      <w:r w:rsidR="00243B0B">
        <w:rPr>
          <w:lang w:val="en-ZW"/>
        </w:rPr>
        <w:t> </w:t>
      </w:r>
      <w:r>
        <w:rPr>
          <w:lang w:val="en-ZW"/>
        </w:rPr>
        <w:t>14,</w:t>
      </w:r>
      <w:r w:rsidR="00243B0B">
        <w:rPr>
          <w:lang w:val="en-ZW"/>
        </w:rPr>
        <w:t> </w:t>
      </w:r>
      <w:r>
        <w:rPr>
          <w:lang w:val="en-ZW"/>
        </w:rPr>
        <w:t>2022, at</w:t>
      </w:r>
      <w:r w:rsidR="00243B0B">
        <w:rPr>
          <w:lang w:val="en-ZW"/>
        </w:rPr>
        <w:t> </w:t>
      </w:r>
      <w:r>
        <w:rPr>
          <w:lang w:val="en-ZW"/>
        </w:rPr>
        <w:t>1.</w:t>
      </w:r>
    </w:p>
  </w:footnote>
  <w:footnote w:id="18">
    <w:p w14:paraId="1CD6BE99" w14:textId="0597B5CD" w:rsidR="00611236" w:rsidRPr="00C506F5" w:rsidRDefault="00611236" w:rsidP="00462FF9">
      <w:pPr>
        <w:pStyle w:val="FootnoteText"/>
        <w:ind w:left="288" w:hanging="288"/>
        <w:rPr>
          <w:lang w:val="en-ZW"/>
        </w:rPr>
      </w:pPr>
      <w:r>
        <w:rPr>
          <w:rStyle w:val="FootnoteReference"/>
        </w:rPr>
        <w:footnoteRef/>
      </w:r>
      <w:r>
        <w:t xml:space="preserve"> </w:t>
      </w:r>
      <w:r w:rsidR="00B54166">
        <w:tab/>
      </w:r>
      <w:r>
        <w:rPr>
          <w:lang w:val="en-ZW"/>
        </w:rPr>
        <w:t>SFTWA Track</w:t>
      </w:r>
      <w:r w:rsidR="00243B0B">
        <w:rPr>
          <w:lang w:val="en-ZW"/>
        </w:rPr>
        <w:t> </w:t>
      </w:r>
      <w:r>
        <w:rPr>
          <w:lang w:val="en-ZW"/>
        </w:rPr>
        <w:t>5A Opening</w:t>
      </w:r>
      <w:r w:rsidR="00243B0B">
        <w:rPr>
          <w:lang w:val="en-ZW"/>
        </w:rPr>
        <w:t> </w:t>
      </w:r>
      <w:r>
        <w:rPr>
          <w:lang w:val="en-ZW"/>
        </w:rPr>
        <w:t>Comments, July</w:t>
      </w:r>
      <w:r w:rsidR="00243B0B">
        <w:rPr>
          <w:lang w:val="en-ZW"/>
        </w:rPr>
        <w:t> </w:t>
      </w:r>
      <w:r>
        <w:rPr>
          <w:lang w:val="en-ZW"/>
        </w:rPr>
        <w:t>14,</w:t>
      </w:r>
      <w:r w:rsidR="00243B0B">
        <w:rPr>
          <w:lang w:val="en-ZW"/>
        </w:rPr>
        <w:t> </w:t>
      </w:r>
      <w:r>
        <w:rPr>
          <w:lang w:val="en-ZW"/>
        </w:rPr>
        <w:t>2022, at</w:t>
      </w:r>
      <w:r w:rsidR="00243B0B">
        <w:rPr>
          <w:lang w:val="en-ZW"/>
        </w:rPr>
        <w:t> </w:t>
      </w:r>
      <w:r>
        <w:rPr>
          <w:lang w:val="en-ZW"/>
        </w:rPr>
        <w:t>4.</w:t>
      </w:r>
    </w:p>
  </w:footnote>
  <w:footnote w:id="19">
    <w:p w14:paraId="755AC3AD" w14:textId="370DE9BD" w:rsidR="00611236" w:rsidRPr="008D2EEF" w:rsidRDefault="00611236" w:rsidP="00462FF9">
      <w:pPr>
        <w:pStyle w:val="FootnoteText"/>
        <w:ind w:left="288" w:hanging="288"/>
        <w:rPr>
          <w:lang w:val="en-ZW"/>
        </w:rPr>
      </w:pPr>
      <w:r>
        <w:rPr>
          <w:rStyle w:val="FootnoteReference"/>
        </w:rPr>
        <w:footnoteRef/>
      </w:r>
      <w:r>
        <w:t xml:space="preserve"> </w:t>
      </w:r>
      <w:r w:rsidR="00B54166">
        <w:tab/>
      </w:r>
      <w:r>
        <w:rPr>
          <w:lang w:val="en-ZW"/>
        </w:rPr>
        <w:t>Lyft Track</w:t>
      </w:r>
      <w:r w:rsidR="00243B0B">
        <w:rPr>
          <w:lang w:val="en-ZW"/>
        </w:rPr>
        <w:t> </w:t>
      </w:r>
      <w:r>
        <w:rPr>
          <w:lang w:val="en-ZW"/>
        </w:rPr>
        <w:t>5A Opening</w:t>
      </w:r>
      <w:r w:rsidR="00243B0B">
        <w:rPr>
          <w:lang w:val="en-ZW"/>
        </w:rPr>
        <w:t> </w:t>
      </w:r>
      <w:r>
        <w:rPr>
          <w:lang w:val="en-ZW"/>
        </w:rPr>
        <w:t>Comments,</w:t>
      </w:r>
      <w:r w:rsidRPr="00452733">
        <w:rPr>
          <w:lang w:val="en-ZW"/>
        </w:rPr>
        <w:t xml:space="preserve"> </w:t>
      </w:r>
      <w:r>
        <w:rPr>
          <w:lang w:val="en-ZW"/>
        </w:rPr>
        <w:t>July</w:t>
      </w:r>
      <w:r w:rsidR="00243B0B">
        <w:rPr>
          <w:lang w:val="en-ZW"/>
        </w:rPr>
        <w:t> </w:t>
      </w:r>
      <w:r>
        <w:rPr>
          <w:lang w:val="en-ZW"/>
        </w:rPr>
        <w:t>14,</w:t>
      </w:r>
      <w:r w:rsidR="00243B0B">
        <w:rPr>
          <w:lang w:val="en-ZW"/>
        </w:rPr>
        <w:t> </w:t>
      </w:r>
      <w:r>
        <w:rPr>
          <w:lang w:val="en-ZW"/>
        </w:rPr>
        <w:t>2022, at</w:t>
      </w:r>
      <w:r w:rsidR="00243B0B">
        <w:rPr>
          <w:lang w:val="en-ZW"/>
        </w:rPr>
        <w:t> </w:t>
      </w:r>
      <w:r>
        <w:rPr>
          <w:lang w:val="en-ZW"/>
        </w:rPr>
        <w:t>2.</w:t>
      </w:r>
    </w:p>
  </w:footnote>
  <w:footnote w:id="20">
    <w:p w14:paraId="3611CAB8" w14:textId="07A46843" w:rsidR="00611236" w:rsidRPr="00DC6A1C" w:rsidRDefault="00611236" w:rsidP="00462FF9">
      <w:pPr>
        <w:pStyle w:val="FootnoteText"/>
        <w:ind w:left="288" w:hanging="288"/>
        <w:rPr>
          <w:lang w:val="en-ZW"/>
        </w:rPr>
      </w:pPr>
      <w:r>
        <w:rPr>
          <w:rStyle w:val="FootnoteReference"/>
        </w:rPr>
        <w:footnoteRef/>
      </w:r>
      <w:r>
        <w:t xml:space="preserve"> </w:t>
      </w:r>
      <w:r w:rsidR="00B54166">
        <w:tab/>
      </w:r>
      <w:r>
        <w:rPr>
          <w:lang w:val="en-ZW"/>
        </w:rPr>
        <w:t>Uber Track</w:t>
      </w:r>
      <w:r w:rsidR="00243B0B">
        <w:rPr>
          <w:lang w:val="en-ZW"/>
        </w:rPr>
        <w:t> </w:t>
      </w:r>
      <w:r>
        <w:rPr>
          <w:lang w:val="en-ZW"/>
        </w:rPr>
        <w:t>5A Opening</w:t>
      </w:r>
      <w:r w:rsidR="00243B0B">
        <w:rPr>
          <w:lang w:val="en-ZW"/>
        </w:rPr>
        <w:t> </w:t>
      </w:r>
      <w:r>
        <w:rPr>
          <w:lang w:val="en-ZW"/>
        </w:rPr>
        <w:t>Comments,</w:t>
      </w:r>
      <w:r w:rsidRPr="00452733">
        <w:rPr>
          <w:lang w:val="en-ZW"/>
        </w:rPr>
        <w:t xml:space="preserve"> </w:t>
      </w:r>
      <w:r>
        <w:rPr>
          <w:lang w:val="en-ZW"/>
        </w:rPr>
        <w:t>July</w:t>
      </w:r>
      <w:r w:rsidR="00243B0B">
        <w:rPr>
          <w:lang w:val="en-ZW"/>
        </w:rPr>
        <w:t> </w:t>
      </w:r>
      <w:r>
        <w:rPr>
          <w:lang w:val="en-ZW"/>
        </w:rPr>
        <w:t>14,</w:t>
      </w:r>
      <w:r w:rsidR="00243B0B">
        <w:rPr>
          <w:lang w:val="en-ZW"/>
        </w:rPr>
        <w:t> </w:t>
      </w:r>
      <w:r>
        <w:rPr>
          <w:lang w:val="en-ZW"/>
        </w:rPr>
        <w:t>2022, at</w:t>
      </w:r>
      <w:r w:rsidR="00243B0B">
        <w:rPr>
          <w:lang w:val="en-ZW"/>
        </w:rPr>
        <w:t> </w:t>
      </w:r>
      <w:r>
        <w:rPr>
          <w:lang w:val="en-ZW"/>
        </w:rPr>
        <w:t>3.</w:t>
      </w:r>
    </w:p>
  </w:footnote>
  <w:footnote w:id="21">
    <w:p w14:paraId="639ACCE2" w14:textId="2055C073" w:rsidR="00611236" w:rsidRPr="00575927" w:rsidRDefault="00611236" w:rsidP="00462FF9">
      <w:pPr>
        <w:pStyle w:val="FootnoteText"/>
        <w:ind w:left="288" w:hanging="288"/>
        <w:rPr>
          <w:lang w:val="en-ZW"/>
        </w:rPr>
      </w:pPr>
      <w:r>
        <w:rPr>
          <w:rStyle w:val="FootnoteReference"/>
        </w:rPr>
        <w:footnoteRef/>
      </w:r>
      <w:r>
        <w:t xml:space="preserve"> </w:t>
      </w:r>
      <w:r w:rsidR="00B54166">
        <w:tab/>
      </w:r>
      <w:r w:rsidR="00117412" w:rsidRPr="00462FF9">
        <w:rPr>
          <w:i/>
          <w:iCs/>
        </w:rPr>
        <w:t>Id</w:t>
      </w:r>
      <w:r>
        <w:t>.</w:t>
      </w:r>
    </w:p>
  </w:footnote>
  <w:footnote w:id="22">
    <w:p w14:paraId="44B2E45A" w14:textId="73934F09" w:rsidR="00611236" w:rsidRPr="009162A9" w:rsidRDefault="00611236" w:rsidP="00462FF9">
      <w:pPr>
        <w:pStyle w:val="FootnoteText"/>
        <w:ind w:left="288" w:hanging="288"/>
        <w:rPr>
          <w:lang w:val="en-ZW"/>
        </w:rPr>
      </w:pPr>
      <w:r>
        <w:rPr>
          <w:rStyle w:val="FootnoteReference"/>
        </w:rPr>
        <w:footnoteRef/>
      </w:r>
      <w:r>
        <w:t xml:space="preserve"> </w:t>
      </w:r>
      <w:r w:rsidR="00B54166">
        <w:tab/>
      </w:r>
      <w:r>
        <w:rPr>
          <w:lang w:val="en-ZW"/>
        </w:rPr>
        <w:t>Uber Track</w:t>
      </w:r>
      <w:r w:rsidR="00477B26">
        <w:rPr>
          <w:lang w:val="en-ZW"/>
        </w:rPr>
        <w:t> </w:t>
      </w:r>
      <w:r>
        <w:rPr>
          <w:lang w:val="en-ZW"/>
        </w:rPr>
        <w:t>5A Reply</w:t>
      </w:r>
      <w:r w:rsidR="00477B26">
        <w:rPr>
          <w:lang w:val="en-ZW"/>
        </w:rPr>
        <w:t> </w:t>
      </w:r>
      <w:r>
        <w:rPr>
          <w:lang w:val="en-ZW"/>
        </w:rPr>
        <w:t>Comments, July</w:t>
      </w:r>
      <w:r w:rsidR="00477B26">
        <w:rPr>
          <w:lang w:val="en-ZW"/>
        </w:rPr>
        <w:t> </w:t>
      </w:r>
      <w:r>
        <w:rPr>
          <w:lang w:val="en-ZW"/>
        </w:rPr>
        <w:t>26,</w:t>
      </w:r>
      <w:r w:rsidR="00477B26">
        <w:rPr>
          <w:lang w:val="en-ZW"/>
        </w:rPr>
        <w:t> </w:t>
      </w:r>
      <w:r>
        <w:rPr>
          <w:lang w:val="en-ZW"/>
        </w:rPr>
        <w:t>2022, at</w:t>
      </w:r>
      <w:r w:rsidR="00477B26">
        <w:rPr>
          <w:lang w:val="en-ZW"/>
        </w:rPr>
        <w:t> </w:t>
      </w:r>
      <w:r>
        <w:rPr>
          <w:lang w:val="en-ZW"/>
        </w:rPr>
        <w:t>5.</w:t>
      </w:r>
    </w:p>
  </w:footnote>
  <w:footnote w:id="23">
    <w:p w14:paraId="0F541D65" w14:textId="17AD29F9" w:rsidR="00611236" w:rsidRPr="000A0861" w:rsidRDefault="00611236" w:rsidP="00462FF9">
      <w:pPr>
        <w:pStyle w:val="FootnoteText"/>
        <w:ind w:left="288" w:hanging="288"/>
        <w:rPr>
          <w:lang w:val="en-ZW"/>
        </w:rPr>
      </w:pPr>
      <w:r>
        <w:rPr>
          <w:rStyle w:val="FootnoteReference"/>
        </w:rPr>
        <w:footnoteRef/>
      </w:r>
      <w:r>
        <w:t xml:space="preserve"> </w:t>
      </w:r>
      <w:r w:rsidR="00B54166">
        <w:tab/>
      </w:r>
      <w:r>
        <w:rPr>
          <w:lang w:val="en-ZW"/>
        </w:rPr>
        <w:t>San</w:t>
      </w:r>
      <w:r w:rsidR="00477B26">
        <w:rPr>
          <w:lang w:val="en-ZW"/>
        </w:rPr>
        <w:t> </w:t>
      </w:r>
      <w:r>
        <w:rPr>
          <w:lang w:val="en-ZW"/>
        </w:rPr>
        <w:t>Francisco Track</w:t>
      </w:r>
      <w:r w:rsidR="00477B26">
        <w:rPr>
          <w:lang w:val="en-ZW"/>
        </w:rPr>
        <w:t> </w:t>
      </w:r>
      <w:r>
        <w:rPr>
          <w:lang w:val="en-ZW"/>
        </w:rPr>
        <w:t>5A Additional Proposals, June</w:t>
      </w:r>
      <w:r w:rsidR="00477B26">
        <w:rPr>
          <w:lang w:val="en-ZW"/>
        </w:rPr>
        <w:t> </w:t>
      </w:r>
      <w:r>
        <w:rPr>
          <w:lang w:val="en-ZW"/>
        </w:rPr>
        <w:t>30,</w:t>
      </w:r>
      <w:r w:rsidR="00477B26">
        <w:rPr>
          <w:lang w:val="en-ZW"/>
        </w:rPr>
        <w:t> </w:t>
      </w:r>
      <w:r>
        <w:rPr>
          <w:lang w:val="en-ZW"/>
        </w:rPr>
        <w:t>2022, at</w:t>
      </w:r>
      <w:r w:rsidR="00477B26">
        <w:rPr>
          <w:lang w:val="en-ZW"/>
        </w:rPr>
        <w:t> </w:t>
      </w:r>
      <w:r>
        <w:rPr>
          <w:lang w:val="en-ZW"/>
        </w:rPr>
        <w:t>3.</w:t>
      </w:r>
    </w:p>
  </w:footnote>
  <w:footnote w:id="24">
    <w:p w14:paraId="28F86444" w14:textId="17D56D52" w:rsidR="00611236" w:rsidRPr="00B54C1A" w:rsidRDefault="00611236" w:rsidP="00462FF9">
      <w:pPr>
        <w:pStyle w:val="FootnoteText"/>
        <w:ind w:left="288" w:hanging="288"/>
        <w:rPr>
          <w:lang w:val="en-ZW"/>
        </w:rPr>
      </w:pPr>
      <w:r>
        <w:rPr>
          <w:rStyle w:val="FootnoteReference"/>
        </w:rPr>
        <w:footnoteRef/>
      </w:r>
      <w:r>
        <w:t xml:space="preserve"> </w:t>
      </w:r>
      <w:r w:rsidR="00B54166">
        <w:tab/>
      </w:r>
      <w:r w:rsidR="00952C84" w:rsidRPr="00462FF9">
        <w:rPr>
          <w:i/>
          <w:iCs/>
          <w:lang w:val="en-ZW"/>
        </w:rPr>
        <w:t>Id</w:t>
      </w:r>
      <w:r w:rsidR="00952C84">
        <w:rPr>
          <w:lang w:val="en-ZW"/>
        </w:rPr>
        <w:t>.</w:t>
      </w:r>
      <w:r>
        <w:rPr>
          <w:lang w:val="en-ZW"/>
        </w:rPr>
        <w:t xml:space="preserve"> at</w:t>
      </w:r>
      <w:r w:rsidR="00477B26">
        <w:rPr>
          <w:lang w:val="en-ZW"/>
        </w:rPr>
        <w:t> </w:t>
      </w:r>
      <w:r>
        <w:rPr>
          <w:lang w:val="en-ZW"/>
        </w:rPr>
        <w:t>3</w:t>
      </w:r>
      <w:r w:rsidR="00477B26">
        <w:rPr>
          <w:lang w:val="en-ZW"/>
        </w:rPr>
        <w:noBreakHyphen/>
      </w:r>
      <w:r>
        <w:rPr>
          <w:lang w:val="en-ZW"/>
        </w:rPr>
        <w:t>9.</w:t>
      </w:r>
    </w:p>
  </w:footnote>
  <w:footnote w:id="25">
    <w:p w14:paraId="63095927" w14:textId="72E1AA3C" w:rsidR="00045C7C" w:rsidRPr="00D85034" w:rsidRDefault="00045C7C" w:rsidP="00462FF9">
      <w:pPr>
        <w:pStyle w:val="FootnoteText"/>
        <w:ind w:left="288" w:hanging="288"/>
        <w:rPr>
          <w:lang w:val="en-ZW"/>
        </w:rPr>
      </w:pPr>
      <w:r>
        <w:rPr>
          <w:rStyle w:val="FootnoteReference"/>
        </w:rPr>
        <w:footnoteRef/>
      </w:r>
      <w:r>
        <w:t xml:space="preserve"> </w:t>
      </w:r>
      <w:r w:rsidR="00B54166">
        <w:tab/>
      </w:r>
      <w:r>
        <w:rPr>
          <w:lang w:val="en-ZW"/>
        </w:rPr>
        <w:t xml:space="preserve">SFTWA </w:t>
      </w:r>
      <w:bookmarkStart w:id="33" w:name="_Hlk119509843"/>
      <w:r>
        <w:rPr>
          <w:lang w:val="en-ZW"/>
        </w:rPr>
        <w:t>Track</w:t>
      </w:r>
      <w:r w:rsidR="00A23BF7">
        <w:rPr>
          <w:lang w:val="en-ZW"/>
        </w:rPr>
        <w:t> </w:t>
      </w:r>
      <w:r>
        <w:rPr>
          <w:lang w:val="en-ZW"/>
        </w:rPr>
        <w:t>5A Opening</w:t>
      </w:r>
      <w:r w:rsidR="00A23BF7">
        <w:rPr>
          <w:lang w:val="en-ZW"/>
        </w:rPr>
        <w:t> </w:t>
      </w:r>
      <w:r>
        <w:rPr>
          <w:lang w:val="en-ZW"/>
        </w:rPr>
        <w:t>Comments, July</w:t>
      </w:r>
      <w:r w:rsidR="00A23BF7">
        <w:rPr>
          <w:lang w:val="en-ZW"/>
        </w:rPr>
        <w:t> </w:t>
      </w:r>
      <w:r>
        <w:rPr>
          <w:lang w:val="en-ZW"/>
        </w:rPr>
        <w:t>14,</w:t>
      </w:r>
      <w:r w:rsidR="00A23BF7">
        <w:rPr>
          <w:lang w:val="en-ZW"/>
        </w:rPr>
        <w:t> </w:t>
      </w:r>
      <w:r>
        <w:rPr>
          <w:lang w:val="en-ZW"/>
        </w:rPr>
        <w:t xml:space="preserve">2022, </w:t>
      </w:r>
      <w:bookmarkEnd w:id="33"/>
      <w:r>
        <w:rPr>
          <w:lang w:val="en-ZW"/>
        </w:rPr>
        <w:t>at</w:t>
      </w:r>
      <w:r w:rsidR="00A23BF7">
        <w:rPr>
          <w:lang w:val="en-ZW"/>
        </w:rPr>
        <w:t> </w:t>
      </w:r>
      <w:r>
        <w:rPr>
          <w:lang w:val="en-ZW"/>
        </w:rPr>
        <w:t xml:space="preserve">4; </w:t>
      </w:r>
      <w:r>
        <w:t xml:space="preserve">Disability Advocates </w:t>
      </w:r>
      <w:r>
        <w:rPr>
          <w:lang w:val="en-ZW"/>
        </w:rPr>
        <w:t>Track</w:t>
      </w:r>
      <w:r w:rsidR="00A23BF7">
        <w:rPr>
          <w:lang w:val="en-ZW"/>
        </w:rPr>
        <w:t> </w:t>
      </w:r>
      <w:r>
        <w:rPr>
          <w:lang w:val="en-ZW"/>
        </w:rPr>
        <w:t>5A Opening</w:t>
      </w:r>
      <w:r w:rsidR="00A23BF7">
        <w:rPr>
          <w:lang w:val="en-ZW"/>
        </w:rPr>
        <w:t> </w:t>
      </w:r>
      <w:r>
        <w:rPr>
          <w:lang w:val="en-ZW"/>
        </w:rPr>
        <w:t>Comments, July</w:t>
      </w:r>
      <w:r w:rsidR="00A23BF7">
        <w:rPr>
          <w:lang w:val="en-ZW"/>
        </w:rPr>
        <w:t> </w:t>
      </w:r>
      <w:r>
        <w:rPr>
          <w:lang w:val="en-ZW"/>
        </w:rPr>
        <w:t>14,</w:t>
      </w:r>
      <w:r w:rsidR="00A23BF7">
        <w:rPr>
          <w:lang w:val="en-ZW"/>
        </w:rPr>
        <w:t> </w:t>
      </w:r>
      <w:r>
        <w:rPr>
          <w:lang w:val="en-ZW"/>
        </w:rPr>
        <w:t xml:space="preserve">2022, </w:t>
      </w:r>
      <w:r>
        <w:t>at</w:t>
      </w:r>
      <w:r w:rsidR="00A23BF7">
        <w:t> </w:t>
      </w:r>
      <w:r>
        <w:t>4</w:t>
      </w:r>
      <w:r w:rsidR="00A23BF7">
        <w:noBreakHyphen/>
      </w:r>
      <w:r>
        <w:t>6.</w:t>
      </w:r>
    </w:p>
  </w:footnote>
  <w:footnote w:id="26">
    <w:p w14:paraId="78AE0B47" w14:textId="5D3BADD4" w:rsidR="00045C7C" w:rsidRPr="00D23697" w:rsidRDefault="00045C7C" w:rsidP="00462FF9">
      <w:pPr>
        <w:pStyle w:val="FootnoteText"/>
        <w:ind w:left="288" w:hanging="288"/>
        <w:rPr>
          <w:lang w:val="en-ZW"/>
        </w:rPr>
      </w:pPr>
      <w:r>
        <w:rPr>
          <w:rStyle w:val="FootnoteReference"/>
        </w:rPr>
        <w:footnoteRef/>
      </w:r>
      <w:r>
        <w:t xml:space="preserve"> </w:t>
      </w:r>
      <w:r w:rsidR="00B54166">
        <w:tab/>
      </w:r>
      <w:r>
        <w:rPr>
          <w:lang w:val="en-ZW"/>
        </w:rPr>
        <w:t>Uber Track</w:t>
      </w:r>
      <w:r w:rsidR="00A23BF7">
        <w:rPr>
          <w:lang w:val="en-ZW"/>
        </w:rPr>
        <w:t> </w:t>
      </w:r>
      <w:r>
        <w:rPr>
          <w:lang w:val="en-ZW"/>
        </w:rPr>
        <w:t>5A Opening</w:t>
      </w:r>
      <w:r w:rsidR="00A23BF7">
        <w:rPr>
          <w:lang w:val="en-ZW"/>
        </w:rPr>
        <w:t> </w:t>
      </w:r>
      <w:r>
        <w:rPr>
          <w:lang w:val="en-ZW"/>
        </w:rPr>
        <w:t>Comments, July</w:t>
      </w:r>
      <w:r w:rsidR="00A23BF7">
        <w:rPr>
          <w:lang w:val="en-ZW"/>
        </w:rPr>
        <w:t> </w:t>
      </w:r>
      <w:r>
        <w:rPr>
          <w:lang w:val="en-ZW"/>
        </w:rPr>
        <w:t>14</w:t>
      </w:r>
      <w:r w:rsidR="00A23BF7">
        <w:rPr>
          <w:lang w:val="en-ZW"/>
        </w:rPr>
        <w:t>, </w:t>
      </w:r>
      <w:r>
        <w:rPr>
          <w:lang w:val="en-ZW"/>
        </w:rPr>
        <w:t>2022, at</w:t>
      </w:r>
      <w:r w:rsidR="00A23BF7">
        <w:rPr>
          <w:lang w:val="en-ZW"/>
        </w:rPr>
        <w:t> </w:t>
      </w:r>
      <w:r>
        <w:rPr>
          <w:lang w:val="en-ZW"/>
        </w:rPr>
        <w:t>7.</w:t>
      </w:r>
    </w:p>
  </w:footnote>
  <w:footnote w:id="27">
    <w:p w14:paraId="47F38D7E" w14:textId="70155FAC" w:rsidR="00045C7C" w:rsidRPr="008D2EEF" w:rsidRDefault="00045C7C" w:rsidP="00462FF9">
      <w:pPr>
        <w:pStyle w:val="FootnoteText"/>
        <w:ind w:left="288" w:hanging="288"/>
        <w:rPr>
          <w:lang w:val="en-ZW"/>
        </w:rPr>
      </w:pPr>
      <w:r>
        <w:rPr>
          <w:rStyle w:val="FootnoteReference"/>
        </w:rPr>
        <w:footnoteRef/>
      </w:r>
      <w:r>
        <w:t xml:space="preserve"> </w:t>
      </w:r>
      <w:r w:rsidR="00B54166">
        <w:tab/>
      </w:r>
      <w:r>
        <w:rPr>
          <w:lang w:val="en-ZW"/>
        </w:rPr>
        <w:t>Uber Track 5A</w:t>
      </w:r>
      <w:r w:rsidR="00A23BF7">
        <w:rPr>
          <w:lang w:val="en-ZW"/>
        </w:rPr>
        <w:t> </w:t>
      </w:r>
      <w:r>
        <w:rPr>
          <w:lang w:val="en-ZW"/>
        </w:rPr>
        <w:t>Opening Comments, July</w:t>
      </w:r>
      <w:r w:rsidR="00A23BF7">
        <w:rPr>
          <w:lang w:val="en-ZW"/>
        </w:rPr>
        <w:t> </w:t>
      </w:r>
      <w:r>
        <w:rPr>
          <w:lang w:val="en-ZW"/>
        </w:rPr>
        <w:t>14,</w:t>
      </w:r>
      <w:r w:rsidR="00A23BF7">
        <w:rPr>
          <w:lang w:val="en-ZW"/>
        </w:rPr>
        <w:t> </w:t>
      </w:r>
      <w:r>
        <w:rPr>
          <w:lang w:val="en-ZW"/>
        </w:rPr>
        <w:t>2022, at</w:t>
      </w:r>
      <w:r w:rsidR="00A23BF7">
        <w:rPr>
          <w:lang w:val="en-ZW"/>
        </w:rPr>
        <w:t> </w:t>
      </w:r>
      <w:r>
        <w:rPr>
          <w:lang w:val="en-ZW"/>
        </w:rPr>
        <w:t>7; Lyft Track</w:t>
      </w:r>
      <w:r w:rsidR="00A23BF7">
        <w:rPr>
          <w:lang w:val="en-ZW"/>
        </w:rPr>
        <w:t> </w:t>
      </w:r>
      <w:r>
        <w:rPr>
          <w:lang w:val="en-ZW"/>
        </w:rPr>
        <w:t>5A Opening</w:t>
      </w:r>
      <w:r w:rsidR="00A23BF7">
        <w:rPr>
          <w:lang w:val="en-ZW"/>
        </w:rPr>
        <w:t> </w:t>
      </w:r>
      <w:r>
        <w:rPr>
          <w:lang w:val="en-ZW"/>
        </w:rPr>
        <w:t>Comments, July</w:t>
      </w:r>
      <w:r w:rsidR="00A23BF7">
        <w:rPr>
          <w:lang w:val="en-ZW"/>
        </w:rPr>
        <w:t> </w:t>
      </w:r>
      <w:r>
        <w:rPr>
          <w:lang w:val="en-ZW"/>
        </w:rPr>
        <w:t>14,</w:t>
      </w:r>
      <w:r w:rsidR="00A23BF7">
        <w:rPr>
          <w:lang w:val="en-ZW"/>
        </w:rPr>
        <w:t> </w:t>
      </w:r>
      <w:r>
        <w:rPr>
          <w:lang w:val="en-ZW"/>
        </w:rPr>
        <w:t>2022, at</w:t>
      </w:r>
      <w:r w:rsidR="00A23BF7">
        <w:rPr>
          <w:lang w:val="en-ZW"/>
        </w:rPr>
        <w:t> </w:t>
      </w:r>
      <w:r>
        <w:rPr>
          <w:lang w:val="en-ZW"/>
        </w:rPr>
        <w:t>2.</w:t>
      </w:r>
    </w:p>
  </w:footnote>
  <w:footnote w:id="28">
    <w:p w14:paraId="6587E76C" w14:textId="0EF9E927" w:rsidR="00045C7C" w:rsidRPr="000A4DAD" w:rsidRDefault="00045C7C" w:rsidP="00462FF9">
      <w:pPr>
        <w:pStyle w:val="FootnoteText"/>
        <w:ind w:left="288" w:hanging="288"/>
        <w:rPr>
          <w:lang w:val="en-ZW"/>
        </w:rPr>
      </w:pPr>
      <w:r>
        <w:rPr>
          <w:rStyle w:val="FootnoteReference"/>
        </w:rPr>
        <w:footnoteRef/>
      </w:r>
      <w:r>
        <w:t xml:space="preserve"> </w:t>
      </w:r>
      <w:r w:rsidR="00B54166">
        <w:tab/>
      </w:r>
      <w:r>
        <w:rPr>
          <w:lang w:val="en-ZW"/>
        </w:rPr>
        <w:t>Lyft Track</w:t>
      </w:r>
      <w:r w:rsidR="00A23BF7">
        <w:rPr>
          <w:lang w:val="en-ZW"/>
        </w:rPr>
        <w:t> </w:t>
      </w:r>
      <w:r>
        <w:rPr>
          <w:lang w:val="en-ZW"/>
        </w:rPr>
        <w:t>5A Opening</w:t>
      </w:r>
      <w:r w:rsidR="00A23BF7">
        <w:rPr>
          <w:lang w:val="en-ZW"/>
        </w:rPr>
        <w:t> </w:t>
      </w:r>
      <w:r>
        <w:rPr>
          <w:lang w:val="en-ZW"/>
        </w:rPr>
        <w:t>Comments, July</w:t>
      </w:r>
      <w:r w:rsidR="00A23BF7">
        <w:rPr>
          <w:lang w:val="en-ZW"/>
        </w:rPr>
        <w:t> </w:t>
      </w:r>
      <w:r>
        <w:rPr>
          <w:lang w:val="en-ZW"/>
        </w:rPr>
        <w:t>14,</w:t>
      </w:r>
      <w:r w:rsidR="00A23BF7">
        <w:rPr>
          <w:lang w:val="en-ZW"/>
        </w:rPr>
        <w:t> </w:t>
      </w:r>
      <w:r>
        <w:rPr>
          <w:lang w:val="en-ZW"/>
        </w:rPr>
        <w:t>2022, at</w:t>
      </w:r>
      <w:r w:rsidR="00A23BF7">
        <w:rPr>
          <w:lang w:val="en-ZW"/>
        </w:rPr>
        <w:t> </w:t>
      </w:r>
      <w:r>
        <w:rPr>
          <w:lang w:val="en-ZW"/>
        </w:rPr>
        <w:t>5.</w:t>
      </w:r>
    </w:p>
  </w:footnote>
  <w:footnote w:id="29">
    <w:p w14:paraId="18F19AE1" w14:textId="7640BE84" w:rsidR="00045C7C" w:rsidRPr="00E63C73" w:rsidRDefault="00045C7C" w:rsidP="00462FF9">
      <w:pPr>
        <w:pStyle w:val="FootnoteText"/>
        <w:ind w:left="288" w:hanging="288"/>
        <w:rPr>
          <w:lang w:val="en-ZW"/>
        </w:rPr>
      </w:pPr>
      <w:r>
        <w:rPr>
          <w:rStyle w:val="FootnoteReference"/>
        </w:rPr>
        <w:footnoteRef/>
      </w:r>
      <w:r>
        <w:t xml:space="preserve"> </w:t>
      </w:r>
      <w:r w:rsidR="00B54166">
        <w:tab/>
      </w:r>
      <w:r>
        <w:rPr>
          <w:lang w:val="en-ZW"/>
        </w:rPr>
        <w:t>Lyft Track</w:t>
      </w:r>
      <w:r w:rsidR="00A23BF7">
        <w:rPr>
          <w:lang w:val="en-ZW"/>
        </w:rPr>
        <w:t> </w:t>
      </w:r>
      <w:r>
        <w:rPr>
          <w:lang w:val="en-ZW"/>
        </w:rPr>
        <w:t>5A Proposal</w:t>
      </w:r>
      <w:r w:rsidR="00BC7B0A">
        <w:rPr>
          <w:lang w:val="en-ZW"/>
        </w:rPr>
        <w:t>s</w:t>
      </w:r>
      <w:r>
        <w:rPr>
          <w:lang w:val="en-ZW"/>
        </w:rPr>
        <w:t>, June</w:t>
      </w:r>
      <w:r w:rsidR="00A23BF7">
        <w:rPr>
          <w:lang w:val="en-ZW"/>
        </w:rPr>
        <w:t> </w:t>
      </w:r>
      <w:r>
        <w:rPr>
          <w:lang w:val="en-ZW"/>
        </w:rPr>
        <w:t>30,</w:t>
      </w:r>
      <w:r w:rsidR="00A23BF7">
        <w:rPr>
          <w:lang w:val="en-ZW"/>
        </w:rPr>
        <w:t> </w:t>
      </w:r>
      <w:r>
        <w:rPr>
          <w:lang w:val="en-ZW"/>
        </w:rPr>
        <w:t>2022, at</w:t>
      </w:r>
      <w:r w:rsidR="00A23BF7">
        <w:rPr>
          <w:lang w:val="en-ZW"/>
        </w:rPr>
        <w:t> </w:t>
      </w:r>
      <w:r>
        <w:rPr>
          <w:lang w:val="en-ZW"/>
        </w:rPr>
        <w:t>3.</w:t>
      </w:r>
    </w:p>
  </w:footnote>
  <w:footnote w:id="30">
    <w:p w14:paraId="153876BB" w14:textId="0DB6AB24" w:rsidR="00045C7C" w:rsidRPr="00FC2991" w:rsidRDefault="00045C7C" w:rsidP="00462FF9">
      <w:pPr>
        <w:pStyle w:val="FootnoteText"/>
        <w:ind w:left="288" w:hanging="288"/>
        <w:rPr>
          <w:lang w:val="en-ZW"/>
        </w:rPr>
      </w:pPr>
      <w:r>
        <w:rPr>
          <w:rStyle w:val="FootnoteReference"/>
        </w:rPr>
        <w:footnoteRef/>
      </w:r>
      <w:r>
        <w:t xml:space="preserve"> </w:t>
      </w:r>
      <w:r w:rsidR="00B54166">
        <w:tab/>
      </w:r>
      <w:r>
        <w:rPr>
          <w:lang w:val="en-ZW"/>
        </w:rPr>
        <w:t>SFTWA Track</w:t>
      </w:r>
      <w:r w:rsidR="00773049">
        <w:rPr>
          <w:lang w:val="en-ZW"/>
        </w:rPr>
        <w:t> </w:t>
      </w:r>
      <w:r>
        <w:rPr>
          <w:lang w:val="en-ZW"/>
        </w:rPr>
        <w:t>5A Opening</w:t>
      </w:r>
      <w:r w:rsidR="00773049">
        <w:rPr>
          <w:lang w:val="en-ZW"/>
        </w:rPr>
        <w:t> </w:t>
      </w:r>
      <w:r>
        <w:rPr>
          <w:lang w:val="en-ZW"/>
        </w:rPr>
        <w:t>Comments, July</w:t>
      </w:r>
      <w:r w:rsidR="00773049">
        <w:rPr>
          <w:lang w:val="en-ZW"/>
        </w:rPr>
        <w:t> </w:t>
      </w:r>
      <w:r>
        <w:rPr>
          <w:lang w:val="en-ZW"/>
        </w:rPr>
        <w:t>14,</w:t>
      </w:r>
      <w:r w:rsidR="00773049">
        <w:rPr>
          <w:lang w:val="en-ZW"/>
        </w:rPr>
        <w:t> </w:t>
      </w:r>
      <w:r>
        <w:rPr>
          <w:lang w:val="en-ZW"/>
        </w:rPr>
        <w:t>2022, at</w:t>
      </w:r>
      <w:r w:rsidR="00773049">
        <w:rPr>
          <w:lang w:val="en-ZW"/>
        </w:rPr>
        <w:t> </w:t>
      </w:r>
      <w:r>
        <w:rPr>
          <w:lang w:val="en-ZW"/>
        </w:rPr>
        <w:t>2;</w:t>
      </w:r>
      <w:r w:rsidRPr="00B6277D">
        <w:rPr>
          <w:lang w:val="en-ZW"/>
        </w:rPr>
        <w:t xml:space="preserve"> </w:t>
      </w:r>
      <w:r>
        <w:rPr>
          <w:lang w:val="en-ZW"/>
        </w:rPr>
        <w:t>Disability Advocates Track</w:t>
      </w:r>
      <w:r w:rsidR="00773049">
        <w:rPr>
          <w:lang w:val="en-ZW"/>
        </w:rPr>
        <w:t> </w:t>
      </w:r>
      <w:r>
        <w:rPr>
          <w:lang w:val="en-ZW"/>
        </w:rPr>
        <w:t>5A Opening</w:t>
      </w:r>
      <w:r w:rsidR="00773049">
        <w:rPr>
          <w:lang w:val="en-ZW"/>
        </w:rPr>
        <w:t> </w:t>
      </w:r>
      <w:r>
        <w:rPr>
          <w:lang w:val="en-ZW"/>
        </w:rPr>
        <w:t>Comments, July</w:t>
      </w:r>
      <w:r w:rsidR="00773049">
        <w:rPr>
          <w:lang w:val="en-ZW"/>
        </w:rPr>
        <w:t> </w:t>
      </w:r>
      <w:r>
        <w:rPr>
          <w:lang w:val="en-ZW"/>
        </w:rPr>
        <w:t>14,</w:t>
      </w:r>
      <w:r w:rsidR="00773049">
        <w:rPr>
          <w:lang w:val="en-ZW"/>
        </w:rPr>
        <w:t> </w:t>
      </w:r>
      <w:r>
        <w:rPr>
          <w:lang w:val="en-ZW"/>
        </w:rPr>
        <w:t>2022, at</w:t>
      </w:r>
      <w:r w:rsidR="00773049">
        <w:rPr>
          <w:lang w:val="en-ZW"/>
        </w:rPr>
        <w:t> </w:t>
      </w:r>
      <w:r>
        <w:rPr>
          <w:lang w:val="en-ZW"/>
        </w:rPr>
        <w:t>7; San</w:t>
      </w:r>
      <w:r w:rsidR="00773049">
        <w:rPr>
          <w:lang w:val="en-ZW"/>
        </w:rPr>
        <w:t> </w:t>
      </w:r>
      <w:r>
        <w:rPr>
          <w:lang w:val="en-ZW"/>
        </w:rPr>
        <w:t>Francisco Track</w:t>
      </w:r>
      <w:r w:rsidR="00773049">
        <w:rPr>
          <w:lang w:val="en-ZW"/>
        </w:rPr>
        <w:t> </w:t>
      </w:r>
      <w:r>
        <w:rPr>
          <w:lang w:val="en-ZW"/>
        </w:rPr>
        <w:t>5A Opening</w:t>
      </w:r>
      <w:r w:rsidR="00773049">
        <w:rPr>
          <w:lang w:val="en-ZW"/>
        </w:rPr>
        <w:t> </w:t>
      </w:r>
      <w:r>
        <w:rPr>
          <w:lang w:val="en-ZW"/>
        </w:rPr>
        <w:t>Comments, July</w:t>
      </w:r>
      <w:r w:rsidR="00773049">
        <w:rPr>
          <w:lang w:val="en-ZW"/>
        </w:rPr>
        <w:t> </w:t>
      </w:r>
      <w:r>
        <w:rPr>
          <w:lang w:val="en-ZW"/>
        </w:rPr>
        <w:t>14,</w:t>
      </w:r>
      <w:r w:rsidR="00773049">
        <w:rPr>
          <w:lang w:val="en-ZW"/>
        </w:rPr>
        <w:t> </w:t>
      </w:r>
      <w:r>
        <w:rPr>
          <w:lang w:val="en-ZW"/>
        </w:rPr>
        <w:t>2022, at</w:t>
      </w:r>
      <w:r w:rsidR="00773049">
        <w:rPr>
          <w:lang w:val="en-ZW"/>
        </w:rPr>
        <w:t> </w:t>
      </w:r>
      <w:r>
        <w:rPr>
          <w:lang w:val="en-ZW"/>
        </w:rPr>
        <w:t>6.</w:t>
      </w:r>
    </w:p>
  </w:footnote>
  <w:footnote w:id="31">
    <w:p w14:paraId="322FADD0" w14:textId="623BA9C8" w:rsidR="00045C7C" w:rsidRPr="00961585" w:rsidRDefault="00045C7C" w:rsidP="00462FF9">
      <w:pPr>
        <w:pStyle w:val="FootnoteText"/>
        <w:ind w:left="288" w:hanging="288"/>
        <w:rPr>
          <w:lang w:val="en-ZW"/>
        </w:rPr>
      </w:pPr>
      <w:r>
        <w:rPr>
          <w:rStyle w:val="FootnoteReference"/>
        </w:rPr>
        <w:footnoteRef/>
      </w:r>
      <w:r>
        <w:t xml:space="preserve"> </w:t>
      </w:r>
      <w:r w:rsidR="00B54166">
        <w:tab/>
      </w:r>
      <w:r>
        <w:rPr>
          <w:lang w:val="en-ZW"/>
        </w:rPr>
        <w:t>Uber Track</w:t>
      </w:r>
      <w:r w:rsidR="00773049">
        <w:rPr>
          <w:lang w:val="en-ZW"/>
        </w:rPr>
        <w:t> </w:t>
      </w:r>
      <w:r>
        <w:rPr>
          <w:lang w:val="en-ZW"/>
        </w:rPr>
        <w:t>5A Opening</w:t>
      </w:r>
      <w:r w:rsidR="00773049">
        <w:rPr>
          <w:lang w:val="en-ZW"/>
        </w:rPr>
        <w:t> </w:t>
      </w:r>
      <w:r>
        <w:rPr>
          <w:lang w:val="en-ZW"/>
        </w:rPr>
        <w:t>Comments, July</w:t>
      </w:r>
      <w:r w:rsidR="00773049">
        <w:rPr>
          <w:lang w:val="en-ZW"/>
        </w:rPr>
        <w:t> </w:t>
      </w:r>
      <w:r>
        <w:rPr>
          <w:lang w:val="en-ZW"/>
        </w:rPr>
        <w:t>14,</w:t>
      </w:r>
      <w:r w:rsidR="00773049">
        <w:rPr>
          <w:lang w:val="en-ZW"/>
        </w:rPr>
        <w:t> </w:t>
      </w:r>
      <w:r>
        <w:rPr>
          <w:lang w:val="en-ZW"/>
        </w:rPr>
        <w:t>2022, at</w:t>
      </w:r>
      <w:r w:rsidR="00773049">
        <w:rPr>
          <w:lang w:val="en-ZW"/>
        </w:rPr>
        <w:t> </w:t>
      </w:r>
      <w:r>
        <w:rPr>
          <w:lang w:val="en-ZW"/>
        </w:rPr>
        <w:t>2.</w:t>
      </w:r>
    </w:p>
  </w:footnote>
  <w:footnote w:id="32">
    <w:p w14:paraId="679CED63" w14:textId="7D670E9C" w:rsidR="00045C7C" w:rsidRPr="00294F4C" w:rsidRDefault="00045C7C" w:rsidP="00462FF9">
      <w:pPr>
        <w:pStyle w:val="FootnoteText"/>
        <w:ind w:left="288" w:hanging="288"/>
        <w:rPr>
          <w:lang w:val="en-ZW"/>
        </w:rPr>
      </w:pPr>
      <w:r>
        <w:rPr>
          <w:rStyle w:val="FootnoteReference"/>
        </w:rPr>
        <w:footnoteRef/>
      </w:r>
      <w:r>
        <w:t xml:space="preserve"> </w:t>
      </w:r>
      <w:r w:rsidR="00B54166">
        <w:tab/>
      </w:r>
      <w:r>
        <w:rPr>
          <w:lang w:val="en-ZW"/>
        </w:rPr>
        <w:t>April</w:t>
      </w:r>
      <w:r w:rsidR="00773049">
        <w:rPr>
          <w:lang w:val="en-ZW"/>
        </w:rPr>
        <w:t> </w:t>
      </w:r>
      <w:r>
        <w:rPr>
          <w:lang w:val="en-ZW"/>
        </w:rPr>
        <w:t>11 ACO</w:t>
      </w:r>
      <w:r w:rsidR="00773049">
        <w:rPr>
          <w:lang w:val="en-ZW"/>
        </w:rPr>
        <w:t> </w:t>
      </w:r>
      <w:r>
        <w:rPr>
          <w:lang w:val="en-ZW"/>
        </w:rPr>
        <w:t>Ruling at</w:t>
      </w:r>
      <w:r w:rsidR="00773049">
        <w:rPr>
          <w:lang w:val="en-ZW"/>
        </w:rPr>
        <w:t> </w:t>
      </w:r>
      <w:r>
        <w:rPr>
          <w:lang w:val="en-ZW"/>
        </w:rPr>
        <w:t>12.</w:t>
      </w:r>
    </w:p>
  </w:footnote>
  <w:footnote w:id="33">
    <w:p w14:paraId="0A4BE594" w14:textId="7EDE91AC" w:rsidR="00045C7C" w:rsidRDefault="00045C7C" w:rsidP="00462FF9">
      <w:pPr>
        <w:pStyle w:val="FootnoteText"/>
        <w:ind w:left="288" w:hanging="288"/>
      </w:pPr>
      <w:r>
        <w:rPr>
          <w:rStyle w:val="FootnoteReference"/>
        </w:rPr>
        <w:footnoteRef/>
      </w:r>
      <w:r>
        <w:t xml:space="preserve"> In Ordering</w:t>
      </w:r>
      <w:r w:rsidR="00795D62">
        <w:t> </w:t>
      </w:r>
      <w:r>
        <w:t>Paragraph</w:t>
      </w:r>
      <w:r w:rsidR="00E57D28">
        <w:t xml:space="preserve"> (OP)</w:t>
      </w:r>
      <w:r w:rsidR="00795D62">
        <w:t> </w:t>
      </w:r>
      <w:r>
        <w:t>6 of D.21</w:t>
      </w:r>
      <w:r w:rsidR="00795D62">
        <w:noBreakHyphen/>
      </w:r>
      <w:r>
        <w:t>11</w:t>
      </w:r>
      <w:r w:rsidR="00795D62">
        <w:noBreakHyphen/>
      </w:r>
      <w:r>
        <w:t>014, the following county groupings were adopted:</w:t>
      </w:r>
    </w:p>
    <w:p w14:paraId="1CB326D9" w14:textId="68DB40E9" w:rsidR="00045C7C" w:rsidRDefault="00045C7C" w:rsidP="007F7D10">
      <w:pPr>
        <w:pStyle w:val="FootnoteText"/>
        <w:numPr>
          <w:ilvl w:val="0"/>
          <w:numId w:val="19"/>
        </w:numPr>
        <w:ind w:left="576" w:hanging="288"/>
        <w:rPr>
          <w:lang w:val="en-ZW"/>
        </w:rPr>
      </w:pPr>
      <w:r>
        <w:rPr>
          <w:lang w:val="en-ZW"/>
        </w:rPr>
        <w:t>County Group</w:t>
      </w:r>
      <w:r w:rsidR="00795D62">
        <w:rPr>
          <w:lang w:val="en-ZW"/>
        </w:rPr>
        <w:t> </w:t>
      </w:r>
      <w:r>
        <w:rPr>
          <w:lang w:val="en-ZW"/>
        </w:rPr>
        <w:t xml:space="preserve">A: </w:t>
      </w:r>
      <w:r w:rsidR="00795D62">
        <w:rPr>
          <w:lang w:val="en-ZW"/>
        </w:rPr>
        <w:t xml:space="preserve"> </w:t>
      </w:r>
      <w:r>
        <w:rPr>
          <w:lang w:val="en-ZW"/>
        </w:rPr>
        <w:t>San</w:t>
      </w:r>
      <w:r w:rsidR="00795D62">
        <w:rPr>
          <w:lang w:val="en-ZW"/>
        </w:rPr>
        <w:t> </w:t>
      </w:r>
      <w:r>
        <w:rPr>
          <w:lang w:val="en-ZW"/>
        </w:rPr>
        <w:t>Francisco</w:t>
      </w:r>
    </w:p>
    <w:p w14:paraId="1FE622A2" w14:textId="243F316F" w:rsidR="00045C7C" w:rsidRPr="00142D8C" w:rsidRDefault="00045C7C" w:rsidP="007F7D10">
      <w:pPr>
        <w:pStyle w:val="FootnoteText"/>
        <w:numPr>
          <w:ilvl w:val="0"/>
          <w:numId w:val="19"/>
        </w:numPr>
        <w:ind w:left="576" w:hanging="288"/>
        <w:rPr>
          <w:lang w:val="en-ZW"/>
        </w:rPr>
      </w:pPr>
      <w:r w:rsidRPr="00142D8C">
        <w:rPr>
          <w:lang w:val="en-ZW"/>
        </w:rPr>
        <w:t>County Group</w:t>
      </w:r>
      <w:r w:rsidR="00795D62">
        <w:rPr>
          <w:lang w:val="en-ZW"/>
        </w:rPr>
        <w:t> </w:t>
      </w:r>
      <w:r w:rsidRPr="00142D8C">
        <w:rPr>
          <w:lang w:val="en-ZW"/>
        </w:rPr>
        <w:t>B:</w:t>
      </w:r>
      <w:r w:rsidR="00795D62">
        <w:rPr>
          <w:lang w:val="en-ZW"/>
        </w:rPr>
        <w:t xml:space="preserve"> </w:t>
      </w:r>
      <w:r w:rsidRPr="00142D8C">
        <w:rPr>
          <w:rFonts w:cs="BookAntiqua"/>
          <w:szCs w:val="26"/>
        </w:rPr>
        <w:t xml:space="preserve"> Alameda, Contra Costa, Imperial, Los Angeles, Madera, Orange, Sacramento, San Joaquin, San Luis Obispo, San Diego, San Mateo, Santa Barbara, Santa</w:t>
      </w:r>
      <w:r w:rsidR="00795D62">
        <w:rPr>
          <w:rFonts w:cs="BookAntiqua"/>
          <w:szCs w:val="26"/>
        </w:rPr>
        <w:t> </w:t>
      </w:r>
      <w:r w:rsidRPr="00142D8C">
        <w:rPr>
          <w:rFonts w:cs="BookAntiqua"/>
          <w:szCs w:val="26"/>
        </w:rPr>
        <w:t>Clara, Santa Cruz, Shasta, Solano, Stanislaus, Ventura</w:t>
      </w:r>
    </w:p>
    <w:p w14:paraId="5ACB657C" w14:textId="3D317102" w:rsidR="00045C7C" w:rsidRPr="004940CF" w:rsidRDefault="00045C7C" w:rsidP="007F7D10">
      <w:pPr>
        <w:pStyle w:val="FootnoteText"/>
        <w:numPr>
          <w:ilvl w:val="0"/>
          <w:numId w:val="19"/>
        </w:numPr>
        <w:ind w:left="576" w:hanging="288"/>
        <w:rPr>
          <w:lang w:val="en-ZW"/>
        </w:rPr>
      </w:pPr>
      <w:r>
        <w:rPr>
          <w:lang w:val="en-ZW"/>
        </w:rPr>
        <w:t>County Group</w:t>
      </w:r>
      <w:r w:rsidR="00795D62">
        <w:rPr>
          <w:lang w:val="en-ZW"/>
        </w:rPr>
        <w:t> </w:t>
      </w:r>
      <w:r>
        <w:rPr>
          <w:lang w:val="en-ZW"/>
        </w:rPr>
        <w:t xml:space="preserve">C: </w:t>
      </w:r>
      <w:r w:rsidR="00795D62">
        <w:rPr>
          <w:lang w:val="en-ZW"/>
        </w:rPr>
        <w:t xml:space="preserve"> </w:t>
      </w:r>
      <w:r w:rsidRPr="008D1F69">
        <w:t>Alpine, Amador, Butte, Calaveras, Colusa, Del Norte, El</w:t>
      </w:r>
      <w:r w:rsidR="00795D62">
        <w:t> </w:t>
      </w:r>
      <w:r w:rsidRPr="008D1F69">
        <w:t xml:space="preserve">Dorado, Fresno, Glenn, </w:t>
      </w:r>
      <w:r w:rsidRPr="007024CB">
        <w:rPr>
          <w:rFonts w:cs="BookAntiqua"/>
          <w:szCs w:val="26"/>
        </w:rPr>
        <w:t>Humboldt</w:t>
      </w:r>
      <w:r w:rsidRPr="008D1F69">
        <w:t>, Inyo, Kern, Kings, Lake, Lassen, Marin, Mariposa, Mendocino, Merced, Modoc, Mono, Monterey, Napa, Nevada, Placer, Plumas, Riverside, San Benito, San Bernardino, Sierra, Siskiyou, Sonoma, Sutter, Tehama, Trinity, Tulare, Tuolumne, Yolo, Yuba</w:t>
      </w:r>
    </w:p>
  </w:footnote>
  <w:footnote w:id="34">
    <w:p w14:paraId="289BB846" w14:textId="6FE71BAA" w:rsidR="00045C7C" w:rsidRPr="005D3B6F" w:rsidRDefault="00045C7C" w:rsidP="00462FF9">
      <w:pPr>
        <w:pStyle w:val="FootnoteText"/>
        <w:ind w:left="288" w:hanging="288"/>
        <w:rPr>
          <w:lang w:val="en-ZW"/>
        </w:rPr>
      </w:pPr>
      <w:r>
        <w:rPr>
          <w:rStyle w:val="FootnoteReference"/>
        </w:rPr>
        <w:footnoteRef/>
      </w:r>
      <w:r>
        <w:t xml:space="preserve"> </w:t>
      </w:r>
      <w:r w:rsidR="00383414">
        <w:tab/>
      </w:r>
      <w:r>
        <w:rPr>
          <w:lang w:val="en-ZW"/>
        </w:rPr>
        <w:t>CPED Track</w:t>
      </w:r>
      <w:r w:rsidR="00795D62">
        <w:rPr>
          <w:lang w:val="en-ZW"/>
        </w:rPr>
        <w:t> </w:t>
      </w:r>
      <w:r>
        <w:rPr>
          <w:lang w:val="en-ZW"/>
        </w:rPr>
        <w:t>5A Additional Proposals, June</w:t>
      </w:r>
      <w:r w:rsidR="00795D62">
        <w:rPr>
          <w:lang w:val="en-ZW"/>
        </w:rPr>
        <w:t> </w:t>
      </w:r>
      <w:r>
        <w:rPr>
          <w:lang w:val="en-ZW"/>
        </w:rPr>
        <w:t>30,</w:t>
      </w:r>
      <w:r w:rsidR="00795D62">
        <w:rPr>
          <w:lang w:val="en-ZW"/>
        </w:rPr>
        <w:t> </w:t>
      </w:r>
      <w:r>
        <w:rPr>
          <w:lang w:val="en-ZW"/>
        </w:rPr>
        <w:t>2022, at</w:t>
      </w:r>
      <w:r w:rsidR="00795D62">
        <w:rPr>
          <w:lang w:val="en-ZW"/>
        </w:rPr>
        <w:t> </w:t>
      </w:r>
      <w:r>
        <w:rPr>
          <w:lang w:val="en-ZW"/>
        </w:rPr>
        <w:t>11.</w:t>
      </w:r>
    </w:p>
  </w:footnote>
  <w:footnote w:id="35">
    <w:p w14:paraId="78F92AB2" w14:textId="0A11DB57" w:rsidR="00045C7C" w:rsidRPr="00EF05DA" w:rsidRDefault="00045C7C" w:rsidP="00462FF9">
      <w:pPr>
        <w:pStyle w:val="FootnoteText"/>
        <w:ind w:left="288" w:hanging="288"/>
        <w:rPr>
          <w:lang w:val="en-ZW"/>
        </w:rPr>
      </w:pPr>
      <w:r>
        <w:rPr>
          <w:rStyle w:val="FootnoteReference"/>
        </w:rPr>
        <w:footnoteRef/>
      </w:r>
      <w:r>
        <w:t xml:space="preserve"> </w:t>
      </w:r>
      <w:r w:rsidR="00383414">
        <w:tab/>
      </w:r>
      <w:r>
        <w:rPr>
          <w:lang w:val="en-ZW"/>
        </w:rPr>
        <w:t>San</w:t>
      </w:r>
      <w:r w:rsidR="002D4C5D">
        <w:rPr>
          <w:lang w:val="en-ZW"/>
        </w:rPr>
        <w:t> </w:t>
      </w:r>
      <w:r>
        <w:rPr>
          <w:lang w:val="en-ZW"/>
        </w:rPr>
        <w:t>Francisco Track</w:t>
      </w:r>
      <w:r w:rsidR="002D4C5D">
        <w:rPr>
          <w:lang w:val="en-ZW"/>
        </w:rPr>
        <w:t> </w:t>
      </w:r>
      <w:r>
        <w:rPr>
          <w:lang w:val="en-ZW"/>
        </w:rPr>
        <w:t>5A Additional Proposals, June</w:t>
      </w:r>
      <w:r w:rsidR="002D4C5D">
        <w:rPr>
          <w:lang w:val="en-ZW"/>
        </w:rPr>
        <w:t> </w:t>
      </w:r>
      <w:r>
        <w:rPr>
          <w:lang w:val="en-ZW"/>
        </w:rPr>
        <w:t>30,</w:t>
      </w:r>
      <w:r w:rsidR="002D4C5D">
        <w:rPr>
          <w:lang w:val="en-ZW"/>
        </w:rPr>
        <w:t> </w:t>
      </w:r>
      <w:r>
        <w:rPr>
          <w:lang w:val="en-ZW"/>
        </w:rPr>
        <w:t>2022, at</w:t>
      </w:r>
      <w:r w:rsidR="002D4C5D">
        <w:rPr>
          <w:lang w:val="en-ZW"/>
        </w:rPr>
        <w:t> </w:t>
      </w:r>
      <w:r>
        <w:rPr>
          <w:lang w:val="en-ZW"/>
        </w:rPr>
        <w:t>9.</w:t>
      </w:r>
    </w:p>
  </w:footnote>
  <w:footnote w:id="36">
    <w:p w14:paraId="09E7E3A1" w14:textId="2B9F675D" w:rsidR="00045C7C" w:rsidRPr="0017743A" w:rsidRDefault="00045C7C" w:rsidP="00462FF9">
      <w:pPr>
        <w:pStyle w:val="FootnoteText"/>
        <w:ind w:left="288" w:hanging="288"/>
        <w:rPr>
          <w:lang w:val="en-ZW"/>
        </w:rPr>
      </w:pPr>
      <w:r>
        <w:rPr>
          <w:rStyle w:val="FootnoteReference"/>
        </w:rPr>
        <w:footnoteRef/>
      </w:r>
      <w:r>
        <w:t xml:space="preserve"> </w:t>
      </w:r>
      <w:r w:rsidR="00383414">
        <w:tab/>
      </w:r>
      <w:r>
        <w:rPr>
          <w:lang w:val="en-ZW"/>
        </w:rPr>
        <w:t>Uber Track</w:t>
      </w:r>
      <w:r w:rsidR="002D4C5D">
        <w:rPr>
          <w:lang w:val="en-ZW"/>
        </w:rPr>
        <w:t> </w:t>
      </w:r>
      <w:r>
        <w:rPr>
          <w:lang w:val="en-ZW"/>
        </w:rPr>
        <w:t>5A Opening</w:t>
      </w:r>
      <w:r w:rsidR="002D4C5D">
        <w:rPr>
          <w:lang w:val="en-ZW"/>
        </w:rPr>
        <w:t> </w:t>
      </w:r>
      <w:r>
        <w:rPr>
          <w:lang w:val="en-ZW"/>
        </w:rPr>
        <w:t>Comments, July</w:t>
      </w:r>
      <w:r w:rsidR="002D4C5D">
        <w:rPr>
          <w:lang w:val="en-ZW"/>
        </w:rPr>
        <w:t> </w:t>
      </w:r>
      <w:r>
        <w:rPr>
          <w:lang w:val="en-ZW"/>
        </w:rPr>
        <w:t>14,</w:t>
      </w:r>
      <w:r w:rsidR="002D4C5D">
        <w:rPr>
          <w:lang w:val="en-ZW"/>
        </w:rPr>
        <w:t> </w:t>
      </w:r>
      <w:r>
        <w:rPr>
          <w:lang w:val="en-ZW"/>
        </w:rPr>
        <w:t>2022, at</w:t>
      </w:r>
      <w:r w:rsidR="002D4C5D">
        <w:rPr>
          <w:lang w:val="en-ZW"/>
        </w:rPr>
        <w:t> </w:t>
      </w:r>
      <w:r>
        <w:rPr>
          <w:lang w:val="en-ZW"/>
        </w:rPr>
        <w:t>6.</w:t>
      </w:r>
    </w:p>
  </w:footnote>
  <w:footnote w:id="37">
    <w:p w14:paraId="20145FCC" w14:textId="3331AD3C" w:rsidR="00045C7C" w:rsidRPr="00650CDC" w:rsidRDefault="00045C7C" w:rsidP="00462FF9">
      <w:pPr>
        <w:pStyle w:val="FootnoteText"/>
        <w:ind w:left="288" w:hanging="288"/>
        <w:rPr>
          <w:lang w:val="en-ZW"/>
        </w:rPr>
      </w:pPr>
      <w:r>
        <w:rPr>
          <w:rStyle w:val="FootnoteReference"/>
        </w:rPr>
        <w:footnoteRef/>
      </w:r>
      <w:r>
        <w:t xml:space="preserve"> </w:t>
      </w:r>
      <w:r w:rsidR="00383414">
        <w:tab/>
      </w:r>
      <w:r>
        <w:rPr>
          <w:lang w:val="en-ZW"/>
        </w:rPr>
        <w:t>San</w:t>
      </w:r>
      <w:r w:rsidR="002D4C5D">
        <w:rPr>
          <w:lang w:val="en-ZW"/>
        </w:rPr>
        <w:t> </w:t>
      </w:r>
      <w:r>
        <w:rPr>
          <w:lang w:val="en-ZW"/>
        </w:rPr>
        <w:t>Francisco Track</w:t>
      </w:r>
      <w:r w:rsidR="002D4C5D">
        <w:rPr>
          <w:lang w:val="en-ZW"/>
        </w:rPr>
        <w:t> </w:t>
      </w:r>
      <w:r>
        <w:rPr>
          <w:lang w:val="en-ZW"/>
        </w:rPr>
        <w:t>5A Reply</w:t>
      </w:r>
      <w:r w:rsidR="002D4C5D">
        <w:rPr>
          <w:lang w:val="en-ZW"/>
        </w:rPr>
        <w:t> </w:t>
      </w:r>
      <w:r>
        <w:rPr>
          <w:lang w:val="en-ZW"/>
        </w:rPr>
        <w:t>Comments, July</w:t>
      </w:r>
      <w:r w:rsidR="002D4C5D">
        <w:rPr>
          <w:lang w:val="en-ZW"/>
        </w:rPr>
        <w:t> </w:t>
      </w:r>
      <w:r>
        <w:rPr>
          <w:lang w:val="en-ZW"/>
        </w:rPr>
        <w:t>26,</w:t>
      </w:r>
      <w:r w:rsidR="002D4C5D">
        <w:rPr>
          <w:lang w:val="en-ZW"/>
        </w:rPr>
        <w:t> </w:t>
      </w:r>
      <w:r>
        <w:rPr>
          <w:lang w:val="en-ZW"/>
        </w:rPr>
        <w:t>2022, at</w:t>
      </w:r>
      <w:r w:rsidR="002D4C5D">
        <w:rPr>
          <w:lang w:val="en-ZW"/>
        </w:rPr>
        <w:t> </w:t>
      </w:r>
      <w:r>
        <w:rPr>
          <w:lang w:val="en-ZW"/>
        </w:rPr>
        <w:t>4.</w:t>
      </w:r>
    </w:p>
  </w:footnote>
  <w:footnote w:id="38">
    <w:p w14:paraId="48ABD373" w14:textId="0C74D63C" w:rsidR="00045C7C" w:rsidRPr="00180B7A" w:rsidRDefault="00045C7C" w:rsidP="00462FF9">
      <w:pPr>
        <w:pStyle w:val="FootnoteText"/>
        <w:ind w:left="288" w:hanging="288"/>
        <w:rPr>
          <w:lang w:val="en-ZW"/>
        </w:rPr>
      </w:pPr>
      <w:r>
        <w:rPr>
          <w:rStyle w:val="FootnoteReference"/>
        </w:rPr>
        <w:footnoteRef/>
      </w:r>
      <w:r>
        <w:t xml:space="preserve"> </w:t>
      </w:r>
      <w:r w:rsidR="00383414">
        <w:tab/>
      </w:r>
      <w:r>
        <w:rPr>
          <w:lang w:val="en-ZW"/>
        </w:rPr>
        <w:t>Disability Advocates Track</w:t>
      </w:r>
      <w:r w:rsidR="002D4C5D">
        <w:rPr>
          <w:lang w:val="en-ZW"/>
        </w:rPr>
        <w:t> </w:t>
      </w:r>
      <w:r>
        <w:rPr>
          <w:lang w:val="en-ZW"/>
        </w:rPr>
        <w:t>5A Opening</w:t>
      </w:r>
      <w:r w:rsidR="002D4C5D">
        <w:rPr>
          <w:lang w:val="en-ZW"/>
        </w:rPr>
        <w:t> </w:t>
      </w:r>
      <w:r>
        <w:rPr>
          <w:lang w:val="en-ZW"/>
        </w:rPr>
        <w:t>Comments, July</w:t>
      </w:r>
      <w:r w:rsidR="002D4C5D">
        <w:rPr>
          <w:lang w:val="en-ZW"/>
        </w:rPr>
        <w:t> </w:t>
      </w:r>
      <w:r>
        <w:rPr>
          <w:lang w:val="en-ZW"/>
        </w:rPr>
        <w:t>14,</w:t>
      </w:r>
      <w:r w:rsidR="002D4C5D">
        <w:rPr>
          <w:lang w:val="en-ZW"/>
        </w:rPr>
        <w:t> </w:t>
      </w:r>
      <w:r>
        <w:rPr>
          <w:lang w:val="en-ZW"/>
        </w:rPr>
        <w:t>2022, at</w:t>
      </w:r>
      <w:r w:rsidR="002D4C5D">
        <w:rPr>
          <w:lang w:val="en-ZW"/>
        </w:rPr>
        <w:t> </w:t>
      </w:r>
      <w:r>
        <w:rPr>
          <w:lang w:val="en-ZW"/>
        </w:rPr>
        <w:t>3.</w:t>
      </w:r>
    </w:p>
  </w:footnote>
  <w:footnote w:id="39">
    <w:p w14:paraId="02DBC16A" w14:textId="6193F6F2" w:rsidR="00045C7C" w:rsidRPr="00BC400C" w:rsidRDefault="00045C7C" w:rsidP="00462FF9">
      <w:pPr>
        <w:pStyle w:val="FootnoteText"/>
        <w:ind w:left="288" w:hanging="288"/>
        <w:rPr>
          <w:lang w:val="en-ZW"/>
        </w:rPr>
      </w:pPr>
      <w:r>
        <w:rPr>
          <w:rStyle w:val="FootnoteReference"/>
        </w:rPr>
        <w:footnoteRef/>
      </w:r>
      <w:r>
        <w:t xml:space="preserve"> </w:t>
      </w:r>
      <w:r w:rsidR="00867E37">
        <w:tab/>
      </w:r>
      <w:r>
        <w:rPr>
          <w:lang w:val="en-ZW"/>
        </w:rPr>
        <w:t>SFTWA Track</w:t>
      </w:r>
      <w:r w:rsidR="002D4C5D">
        <w:rPr>
          <w:lang w:val="en-ZW"/>
        </w:rPr>
        <w:t> </w:t>
      </w:r>
      <w:r>
        <w:rPr>
          <w:lang w:val="en-ZW"/>
        </w:rPr>
        <w:t>5A Opening</w:t>
      </w:r>
      <w:r w:rsidR="002D4C5D">
        <w:rPr>
          <w:lang w:val="en-ZW"/>
        </w:rPr>
        <w:t> </w:t>
      </w:r>
      <w:r>
        <w:rPr>
          <w:lang w:val="en-ZW"/>
        </w:rPr>
        <w:t>Comments, July</w:t>
      </w:r>
      <w:r w:rsidR="002D4C5D">
        <w:rPr>
          <w:lang w:val="en-ZW"/>
        </w:rPr>
        <w:t> </w:t>
      </w:r>
      <w:r>
        <w:rPr>
          <w:lang w:val="en-ZW"/>
        </w:rPr>
        <w:t>14,</w:t>
      </w:r>
      <w:r w:rsidR="002D4C5D">
        <w:rPr>
          <w:lang w:val="en-ZW"/>
        </w:rPr>
        <w:t> </w:t>
      </w:r>
      <w:r>
        <w:rPr>
          <w:lang w:val="en-ZW"/>
        </w:rPr>
        <w:t>2022, at</w:t>
      </w:r>
      <w:r w:rsidR="002D4C5D">
        <w:rPr>
          <w:lang w:val="en-ZW"/>
        </w:rPr>
        <w:t> </w:t>
      </w:r>
      <w:r>
        <w:rPr>
          <w:lang w:val="en-ZW"/>
        </w:rPr>
        <w:t>5.</w:t>
      </w:r>
    </w:p>
  </w:footnote>
  <w:footnote w:id="40">
    <w:p w14:paraId="6BE275D5" w14:textId="2BF92616" w:rsidR="00045C7C" w:rsidRPr="005D123C" w:rsidRDefault="00045C7C" w:rsidP="00462FF9">
      <w:pPr>
        <w:pStyle w:val="FootnoteText"/>
        <w:ind w:left="288" w:hanging="288"/>
        <w:rPr>
          <w:lang w:val="en-ZW"/>
        </w:rPr>
      </w:pPr>
      <w:r>
        <w:rPr>
          <w:rStyle w:val="FootnoteReference"/>
        </w:rPr>
        <w:footnoteRef/>
      </w:r>
      <w:r>
        <w:t xml:space="preserve"> </w:t>
      </w:r>
      <w:r w:rsidR="00050028">
        <w:tab/>
      </w:r>
      <w:r>
        <w:rPr>
          <w:lang w:val="en-ZW"/>
        </w:rPr>
        <w:t>Lyft Track</w:t>
      </w:r>
      <w:r w:rsidR="002D4C5D">
        <w:rPr>
          <w:lang w:val="en-ZW"/>
        </w:rPr>
        <w:t> </w:t>
      </w:r>
      <w:r>
        <w:rPr>
          <w:lang w:val="en-ZW"/>
        </w:rPr>
        <w:t>5A Additional Proposals, June</w:t>
      </w:r>
      <w:r w:rsidR="002D4C5D">
        <w:rPr>
          <w:lang w:val="en-ZW"/>
        </w:rPr>
        <w:t> </w:t>
      </w:r>
      <w:r>
        <w:rPr>
          <w:lang w:val="en-ZW"/>
        </w:rPr>
        <w:t>30,</w:t>
      </w:r>
      <w:r w:rsidR="002D4C5D">
        <w:rPr>
          <w:lang w:val="en-ZW"/>
        </w:rPr>
        <w:t> </w:t>
      </w:r>
      <w:r>
        <w:rPr>
          <w:lang w:val="en-ZW"/>
        </w:rPr>
        <w:t>2022, at</w:t>
      </w:r>
      <w:r w:rsidR="002D4C5D">
        <w:rPr>
          <w:lang w:val="en-ZW"/>
        </w:rPr>
        <w:t> </w:t>
      </w:r>
      <w:r>
        <w:rPr>
          <w:lang w:val="en-ZW"/>
        </w:rPr>
        <w:t>7.</w:t>
      </w:r>
    </w:p>
  </w:footnote>
  <w:footnote w:id="41">
    <w:p w14:paraId="69CF4A56" w14:textId="02977623" w:rsidR="00045C7C" w:rsidRPr="003A7367" w:rsidRDefault="00045C7C" w:rsidP="00462FF9">
      <w:pPr>
        <w:pStyle w:val="FootnoteText"/>
        <w:ind w:left="288" w:hanging="288"/>
        <w:rPr>
          <w:lang w:val="en-ZW"/>
        </w:rPr>
      </w:pPr>
      <w:r>
        <w:rPr>
          <w:rStyle w:val="FootnoteReference"/>
        </w:rPr>
        <w:footnoteRef/>
      </w:r>
      <w:r>
        <w:t xml:space="preserve"> </w:t>
      </w:r>
      <w:r w:rsidR="00050028">
        <w:tab/>
      </w:r>
      <w:r w:rsidRPr="00F967CA">
        <w:rPr>
          <w:i/>
          <w:iCs/>
          <w:lang w:val="en-ZW"/>
        </w:rPr>
        <w:t>Id</w:t>
      </w:r>
      <w:r>
        <w:rPr>
          <w:lang w:val="en-ZW"/>
        </w:rPr>
        <w:t>. at</w:t>
      </w:r>
      <w:r w:rsidR="002D4C5D">
        <w:rPr>
          <w:lang w:val="en-ZW"/>
        </w:rPr>
        <w:t> </w:t>
      </w:r>
      <w:r>
        <w:rPr>
          <w:lang w:val="en-ZW"/>
        </w:rPr>
        <w:t>8.</w:t>
      </w:r>
    </w:p>
  </w:footnote>
  <w:footnote w:id="42">
    <w:p w14:paraId="5063BD0D" w14:textId="09A19A2E" w:rsidR="00045C7C" w:rsidRPr="00E7251F" w:rsidRDefault="00045C7C" w:rsidP="00462FF9">
      <w:pPr>
        <w:pStyle w:val="FootnoteText"/>
        <w:ind w:left="288" w:hanging="288"/>
        <w:rPr>
          <w:lang w:val="en-ZW"/>
        </w:rPr>
      </w:pPr>
      <w:r>
        <w:rPr>
          <w:rStyle w:val="FootnoteReference"/>
        </w:rPr>
        <w:footnoteRef/>
      </w:r>
      <w:r>
        <w:t xml:space="preserve"> </w:t>
      </w:r>
      <w:r w:rsidR="00050028">
        <w:tab/>
      </w:r>
      <w:r>
        <w:rPr>
          <w:lang w:val="en-ZW"/>
        </w:rPr>
        <w:t>Lyft Wait &amp; Save Opening</w:t>
      </w:r>
      <w:r w:rsidR="002D4C5D">
        <w:rPr>
          <w:lang w:val="en-ZW"/>
        </w:rPr>
        <w:t> </w:t>
      </w:r>
      <w:r>
        <w:rPr>
          <w:lang w:val="en-ZW"/>
        </w:rPr>
        <w:t>Comments, September</w:t>
      </w:r>
      <w:r w:rsidR="002D4C5D">
        <w:rPr>
          <w:lang w:val="en-ZW"/>
        </w:rPr>
        <w:t> </w:t>
      </w:r>
      <w:r>
        <w:rPr>
          <w:lang w:val="en-ZW"/>
        </w:rPr>
        <w:t>30,</w:t>
      </w:r>
      <w:r w:rsidR="002D4C5D">
        <w:rPr>
          <w:lang w:val="en-ZW"/>
        </w:rPr>
        <w:t> </w:t>
      </w:r>
      <w:r>
        <w:rPr>
          <w:lang w:val="en-ZW"/>
        </w:rPr>
        <w:t>2022, at</w:t>
      </w:r>
      <w:r w:rsidR="002D4C5D">
        <w:rPr>
          <w:lang w:val="en-ZW"/>
        </w:rPr>
        <w:t> </w:t>
      </w:r>
      <w:r>
        <w:rPr>
          <w:lang w:val="en-ZW"/>
        </w:rPr>
        <w:t>3.</w:t>
      </w:r>
    </w:p>
  </w:footnote>
  <w:footnote w:id="43">
    <w:p w14:paraId="1D588693" w14:textId="78844461" w:rsidR="00045C7C" w:rsidRPr="002A1A51" w:rsidRDefault="00045C7C" w:rsidP="00462FF9">
      <w:pPr>
        <w:pStyle w:val="FootnoteText"/>
        <w:ind w:left="288" w:hanging="288"/>
        <w:rPr>
          <w:lang w:val="en-ZW"/>
        </w:rPr>
      </w:pPr>
      <w:r>
        <w:rPr>
          <w:rStyle w:val="FootnoteReference"/>
        </w:rPr>
        <w:footnoteRef/>
      </w:r>
      <w:r>
        <w:t xml:space="preserve"> </w:t>
      </w:r>
      <w:r w:rsidR="00050028">
        <w:tab/>
      </w:r>
      <w:r>
        <w:rPr>
          <w:lang w:val="en-ZW"/>
        </w:rPr>
        <w:t>Uber Wait &amp; Save Reply Comments, October</w:t>
      </w:r>
      <w:r w:rsidR="002D4C5D">
        <w:rPr>
          <w:lang w:val="en-ZW"/>
        </w:rPr>
        <w:t> </w:t>
      </w:r>
      <w:r>
        <w:rPr>
          <w:lang w:val="en-ZW"/>
        </w:rPr>
        <w:t>10,</w:t>
      </w:r>
      <w:r w:rsidR="002D4C5D">
        <w:rPr>
          <w:lang w:val="en-ZW"/>
        </w:rPr>
        <w:t> </w:t>
      </w:r>
      <w:r>
        <w:rPr>
          <w:lang w:val="en-ZW"/>
        </w:rPr>
        <w:t>2022, at</w:t>
      </w:r>
      <w:r w:rsidR="002D4C5D">
        <w:rPr>
          <w:lang w:val="en-ZW"/>
        </w:rPr>
        <w:t> </w:t>
      </w:r>
      <w:r>
        <w:rPr>
          <w:lang w:val="en-ZW"/>
        </w:rPr>
        <w:t>4.</w:t>
      </w:r>
    </w:p>
  </w:footnote>
  <w:footnote w:id="44">
    <w:p w14:paraId="682F69A0" w14:textId="58FCE134" w:rsidR="00045C7C" w:rsidRPr="00684B6F" w:rsidRDefault="00045C7C" w:rsidP="00462FF9">
      <w:pPr>
        <w:pStyle w:val="FootnoteText"/>
        <w:ind w:left="288" w:hanging="288"/>
        <w:rPr>
          <w:lang w:val="en-ZW"/>
        </w:rPr>
      </w:pPr>
      <w:r>
        <w:rPr>
          <w:rStyle w:val="FootnoteReference"/>
        </w:rPr>
        <w:footnoteRef/>
      </w:r>
      <w:r>
        <w:t xml:space="preserve"> </w:t>
      </w:r>
      <w:r w:rsidR="00050028">
        <w:tab/>
      </w:r>
      <w:r>
        <w:rPr>
          <w:lang w:val="en-ZW"/>
        </w:rPr>
        <w:t>Disability Advocates Wait &amp; Save Opening Comments, September</w:t>
      </w:r>
      <w:r w:rsidR="002D4C5D">
        <w:rPr>
          <w:lang w:val="en-ZW"/>
        </w:rPr>
        <w:t> </w:t>
      </w:r>
      <w:r>
        <w:rPr>
          <w:lang w:val="en-ZW"/>
        </w:rPr>
        <w:t>30,</w:t>
      </w:r>
      <w:r w:rsidR="002D4C5D">
        <w:rPr>
          <w:lang w:val="en-ZW"/>
        </w:rPr>
        <w:t> </w:t>
      </w:r>
      <w:r>
        <w:rPr>
          <w:lang w:val="en-ZW"/>
        </w:rPr>
        <w:t>2022, at</w:t>
      </w:r>
      <w:r w:rsidR="002D4C5D">
        <w:rPr>
          <w:lang w:val="en-ZW"/>
        </w:rPr>
        <w:t> </w:t>
      </w:r>
      <w:r>
        <w:rPr>
          <w:lang w:val="en-ZW"/>
        </w:rPr>
        <w:t>1; San</w:t>
      </w:r>
      <w:r w:rsidR="002D4C5D">
        <w:rPr>
          <w:lang w:val="en-ZW"/>
        </w:rPr>
        <w:t> </w:t>
      </w:r>
      <w:r>
        <w:rPr>
          <w:lang w:val="en-ZW"/>
        </w:rPr>
        <w:t>Francisco Wait &amp; Save Reply</w:t>
      </w:r>
      <w:r w:rsidR="002D4C5D">
        <w:rPr>
          <w:lang w:val="en-ZW"/>
        </w:rPr>
        <w:t> </w:t>
      </w:r>
      <w:r>
        <w:rPr>
          <w:lang w:val="en-ZW"/>
        </w:rPr>
        <w:t>Comments, October</w:t>
      </w:r>
      <w:r w:rsidR="002D4C5D">
        <w:rPr>
          <w:lang w:val="en-ZW"/>
        </w:rPr>
        <w:t> </w:t>
      </w:r>
      <w:r>
        <w:rPr>
          <w:lang w:val="en-ZW"/>
        </w:rPr>
        <w:t>10,</w:t>
      </w:r>
      <w:r w:rsidR="002D4C5D">
        <w:rPr>
          <w:lang w:val="en-ZW"/>
        </w:rPr>
        <w:t> </w:t>
      </w:r>
      <w:r>
        <w:rPr>
          <w:lang w:val="en-ZW"/>
        </w:rPr>
        <w:t>2022, at</w:t>
      </w:r>
      <w:r w:rsidR="002D4C5D">
        <w:rPr>
          <w:lang w:val="en-ZW"/>
        </w:rPr>
        <w:t> </w:t>
      </w:r>
      <w:r>
        <w:rPr>
          <w:lang w:val="en-ZW"/>
        </w:rPr>
        <w:t>2; SFTWA Wait &amp; Save Reply</w:t>
      </w:r>
      <w:r w:rsidR="002D4C5D">
        <w:rPr>
          <w:lang w:val="en-ZW"/>
        </w:rPr>
        <w:t> </w:t>
      </w:r>
      <w:r>
        <w:rPr>
          <w:lang w:val="en-ZW"/>
        </w:rPr>
        <w:t>Comments, October</w:t>
      </w:r>
      <w:r w:rsidR="002D4C5D">
        <w:rPr>
          <w:lang w:val="en-ZW"/>
        </w:rPr>
        <w:t> </w:t>
      </w:r>
      <w:r>
        <w:rPr>
          <w:lang w:val="en-ZW"/>
        </w:rPr>
        <w:t>10,</w:t>
      </w:r>
      <w:r w:rsidR="002D4C5D">
        <w:rPr>
          <w:lang w:val="en-ZW"/>
        </w:rPr>
        <w:t> </w:t>
      </w:r>
      <w:r>
        <w:rPr>
          <w:lang w:val="en-ZW"/>
        </w:rPr>
        <w:t>2022, at</w:t>
      </w:r>
      <w:r w:rsidR="002D4C5D">
        <w:rPr>
          <w:lang w:val="en-ZW"/>
        </w:rPr>
        <w:t> </w:t>
      </w:r>
      <w:r>
        <w:rPr>
          <w:lang w:val="en-ZW"/>
        </w:rPr>
        <w:t>3.</w:t>
      </w:r>
    </w:p>
  </w:footnote>
  <w:footnote w:id="45">
    <w:p w14:paraId="7DF4101D" w14:textId="7A17744E" w:rsidR="00045C7C" w:rsidRPr="0051459B" w:rsidRDefault="00045C7C" w:rsidP="00462FF9">
      <w:pPr>
        <w:pStyle w:val="FootnoteText"/>
        <w:ind w:left="288" w:hanging="288"/>
        <w:rPr>
          <w:lang w:val="en-ZW"/>
        </w:rPr>
      </w:pPr>
      <w:r>
        <w:rPr>
          <w:rStyle w:val="FootnoteReference"/>
        </w:rPr>
        <w:footnoteRef/>
      </w:r>
      <w:r>
        <w:t xml:space="preserve"> </w:t>
      </w:r>
      <w:r w:rsidR="00050028">
        <w:tab/>
      </w:r>
      <w:r>
        <w:rPr>
          <w:lang w:val="en-ZW"/>
        </w:rPr>
        <w:t>Disability Advocates Track</w:t>
      </w:r>
      <w:r w:rsidR="002D4C5D">
        <w:rPr>
          <w:lang w:val="en-ZW"/>
        </w:rPr>
        <w:t> </w:t>
      </w:r>
      <w:r>
        <w:rPr>
          <w:lang w:val="en-ZW"/>
        </w:rPr>
        <w:t>5A Opening</w:t>
      </w:r>
      <w:r w:rsidR="002D4C5D">
        <w:rPr>
          <w:lang w:val="en-ZW"/>
        </w:rPr>
        <w:t> </w:t>
      </w:r>
      <w:r>
        <w:rPr>
          <w:lang w:val="en-ZW"/>
        </w:rPr>
        <w:t>Comments, July</w:t>
      </w:r>
      <w:r w:rsidR="002D4C5D">
        <w:rPr>
          <w:lang w:val="en-ZW"/>
        </w:rPr>
        <w:t> </w:t>
      </w:r>
      <w:r>
        <w:rPr>
          <w:lang w:val="en-ZW"/>
        </w:rPr>
        <w:t>14,</w:t>
      </w:r>
      <w:r w:rsidR="002D4C5D">
        <w:rPr>
          <w:lang w:val="en-ZW"/>
        </w:rPr>
        <w:t> </w:t>
      </w:r>
      <w:r>
        <w:rPr>
          <w:lang w:val="en-ZW"/>
        </w:rPr>
        <w:t>2022, at</w:t>
      </w:r>
      <w:r w:rsidR="002D4C5D">
        <w:rPr>
          <w:lang w:val="en-ZW"/>
        </w:rPr>
        <w:t> </w:t>
      </w:r>
      <w:r>
        <w:rPr>
          <w:lang w:val="en-ZW"/>
        </w:rPr>
        <w:t>7; SFTWA Track</w:t>
      </w:r>
      <w:r w:rsidR="002D4C5D">
        <w:rPr>
          <w:lang w:val="en-ZW"/>
        </w:rPr>
        <w:t> </w:t>
      </w:r>
      <w:r>
        <w:rPr>
          <w:lang w:val="en-ZW"/>
        </w:rPr>
        <w:t>5A Opening</w:t>
      </w:r>
      <w:r w:rsidR="002D4C5D">
        <w:rPr>
          <w:lang w:val="en-ZW"/>
        </w:rPr>
        <w:t> </w:t>
      </w:r>
      <w:r>
        <w:rPr>
          <w:lang w:val="en-ZW"/>
        </w:rPr>
        <w:t>Comments, July</w:t>
      </w:r>
      <w:r w:rsidR="002D4C5D">
        <w:rPr>
          <w:lang w:val="en-ZW"/>
        </w:rPr>
        <w:t> </w:t>
      </w:r>
      <w:r>
        <w:rPr>
          <w:lang w:val="en-ZW"/>
        </w:rPr>
        <w:t>14,</w:t>
      </w:r>
      <w:r w:rsidR="002D4C5D">
        <w:rPr>
          <w:lang w:val="en-ZW"/>
        </w:rPr>
        <w:t> </w:t>
      </w:r>
      <w:r>
        <w:rPr>
          <w:lang w:val="en-ZW"/>
        </w:rPr>
        <w:t>2022, at</w:t>
      </w:r>
      <w:r w:rsidR="002D4C5D">
        <w:rPr>
          <w:lang w:val="en-ZW"/>
        </w:rPr>
        <w:t> </w:t>
      </w:r>
      <w:r>
        <w:rPr>
          <w:lang w:val="en-ZW"/>
        </w:rPr>
        <w:t>3; San</w:t>
      </w:r>
      <w:r w:rsidR="002D4C5D">
        <w:rPr>
          <w:lang w:val="en-ZW"/>
        </w:rPr>
        <w:t> </w:t>
      </w:r>
      <w:r>
        <w:rPr>
          <w:lang w:val="en-ZW"/>
        </w:rPr>
        <w:t>Francisco Track</w:t>
      </w:r>
      <w:r w:rsidR="002D4C5D">
        <w:rPr>
          <w:lang w:val="en-ZW"/>
        </w:rPr>
        <w:t> </w:t>
      </w:r>
      <w:r>
        <w:rPr>
          <w:lang w:val="en-ZW"/>
        </w:rPr>
        <w:t>5A Opening</w:t>
      </w:r>
      <w:r w:rsidR="002D4C5D">
        <w:rPr>
          <w:lang w:val="en-ZW"/>
        </w:rPr>
        <w:t> </w:t>
      </w:r>
      <w:r>
        <w:rPr>
          <w:lang w:val="en-ZW"/>
        </w:rPr>
        <w:t>Comments, July</w:t>
      </w:r>
      <w:r w:rsidR="002D4C5D">
        <w:rPr>
          <w:lang w:val="en-ZW"/>
        </w:rPr>
        <w:t> </w:t>
      </w:r>
      <w:r>
        <w:rPr>
          <w:lang w:val="en-ZW"/>
        </w:rPr>
        <w:t>14,</w:t>
      </w:r>
      <w:r w:rsidR="002D4C5D">
        <w:rPr>
          <w:lang w:val="en-ZW"/>
        </w:rPr>
        <w:t> </w:t>
      </w:r>
      <w:r>
        <w:rPr>
          <w:lang w:val="en-ZW"/>
        </w:rPr>
        <w:t>2022, at</w:t>
      </w:r>
      <w:r w:rsidR="002D4C5D">
        <w:rPr>
          <w:lang w:val="en-ZW"/>
        </w:rPr>
        <w:t> </w:t>
      </w:r>
      <w:r>
        <w:rPr>
          <w:lang w:val="en-ZW"/>
        </w:rPr>
        <w:t>11.</w:t>
      </w:r>
    </w:p>
  </w:footnote>
  <w:footnote w:id="46">
    <w:p w14:paraId="171B2572" w14:textId="50981B25" w:rsidR="00045C7C" w:rsidRPr="00EA5B4D" w:rsidRDefault="00045C7C" w:rsidP="00462FF9">
      <w:pPr>
        <w:pStyle w:val="FootnoteText"/>
        <w:ind w:left="288" w:hanging="288"/>
        <w:rPr>
          <w:lang w:val="en-ZW"/>
        </w:rPr>
      </w:pPr>
      <w:r>
        <w:rPr>
          <w:rStyle w:val="FootnoteReference"/>
        </w:rPr>
        <w:footnoteRef/>
      </w:r>
      <w:r>
        <w:t xml:space="preserve"> </w:t>
      </w:r>
      <w:r w:rsidR="00050028">
        <w:tab/>
      </w:r>
      <w:r>
        <w:rPr>
          <w:lang w:val="en-ZW"/>
        </w:rPr>
        <w:t>San</w:t>
      </w:r>
      <w:r w:rsidR="002D4C5D">
        <w:rPr>
          <w:lang w:val="en-ZW"/>
        </w:rPr>
        <w:t> </w:t>
      </w:r>
      <w:r>
        <w:rPr>
          <w:lang w:val="en-ZW"/>
        </w:rPr>
        <w:t>Francisco Wait &amp; Save Reply</w:t>
      </w:r>
      <w:r w:rsidR="002D4C5D">
        <w:rPr>
          <w:lang w:val="en-ZW"/>
        </w:rPr>
        <w:t> </w:t>
      </w:r>
      <w:r>
        <w:rPr>
          <w:lang w:val="en-ZW"/>
        </w:rPr>
        <w:t>Comments, October</w:t>
      </w:r>
      <w:r w:rsidR="002D4C5D">
        <w:rPr>
          <w:lang w:val="en-ZW"/>
        </w:rPr>
        <w:t> </w:t>
      </w:r>
      <w:r>
        <w:rPr>
          <w:lang w:val="en-ZW"/>
        </w:rPr>
        <w:t>10,</w:t>
      </w:r>
      <w:r w:rsidR="002D4C5D">
        <w:rPr>
          <w:lang w:val="en-ZW"/>
        </w:rPr>
        <w:t> </w:t>
      </w:r>
      <w:r>
        <w:rPr>
          <w:lang w:val="en-ZW"/>
        </w:rPr>
        <w:t>2022, at</w:t>
      </w:r>
      <w:r w:rsidR="002D4C5D">
        <w:rPr>
          <w:lang w:val="en-ZW"/>
        </w:rPr>
        <w:t> </w:t>
      </w:r>
      <w:r>
        <w:rPr>
          <w:lang w:val="en-ZW"/>
        </w:rPr>
        <w:t>3.</w:t>
      </w:r>
    </w:p>
  </w:footnote>
  <w:footnote w:id="47">
    <w:p w14:paraId="0778321A" w14:textId="37A2F8BA" w:rsidR="00045C7C" w:rsidRPr="00677CEC" w:rsidRDefault="00045C7C" w:rsidP="00462FF9">
      <w:pPr>
        <w:pStyle w:val="FootnoteText"/>
        <w:ind w:left="288" w:hanging="288"/>
        <w:rPr>
          <w:lang w:val="en-ZW"/>
        </w:rPr>
      </w:pPr>
      <w:r>
        <w:rPr>
          <w:rStyle w:val="FootnoteReference"/>
        </w:rPr>
        <w:footnoteRef/>
      </w:r>
      <w:r>
        <w:t xml:space="preserve"> </w:t>
      </w:r>
      <w:r w:rsidR="00050028">
        <w:tab/>
      </w:r>
      <w:r>
        <w:rPr>
          <w:lang w:val="en-ZW"/>
        </w:rPr>
        <w:t>Uber Wait</w:t>
      </w:r>
      <w:r w:rsidR="002D4C5D">
        <w:rPr>
          <w:lang w:val="en-ZW"/>
        </w:rPr>
        <w:t> </w:t>
      </w:r>
      <w:r>
        <w:rPr>
          <w:lang w:val="en-ZW"/>
        </w:rPr>
        <w:t>&amp;</w:t>
      </w:r>
      <w:r w:rsidR="002D4C5D">
        <w:rPr>
          <w:lang w:val="en-ZW"/>
        </w:rPr>
        <w:t> </w:t>
      </w:r>
      <w:r>
        <w:rPr>
          <w:lang w:val="en-ZW"/>
        </w:rPr>
        <w:t>Save Opening</w:t>
      </w:r>
      <w:r w:rsidR="002D4C5D">
        <w:rPr>
          <w:lang w:val="en-ZW"/>
        </w:rPr>
        <w:t> </w:t>
      </w:r>
      <w:r>
        <w:rPr>
          <w:lang w:val="en-ZW"/>
        </w:rPr>
        <w:t>Comments, September</w:t>
      </w:r>
      <w:r w:rsidR="002D4C5D">
        <w:rPr>
          <w:lang w:val="en-ZW"/>
        </w:rPr>
        <w:t> </w:t>
      </w:r>
      <w:r>
        <w:rPr>
          <w:lang w:val="en-ZW"/>
        </w:rPr>
        <w:t>30,</w:t>
      </w:r>
      <w:r w:rsidR="002D4C5D">
        <w:rPr>
          <w:lang w:val="en-ZW"/>
        </w:rPr>
        <w:t> </w:t>
      </w:r>
      <w:r>
        <w:rPr>
          <w:lang w:val="en-ZW"/>
        </w:rPr>
        <w:t>2022, at</w:t>
      </w:r>
      <w:r w:rsidR="002D4C5D">
        <w:rPr>
          <w:lang w:val="en-ZW"/>
        </w:rPr>
        <w:t> </w:t>
      </w:r>
      <w:r>
        <w:rPr>
          <w:lang w:val="en-ZW"/>
        </w:rPr>
        <w:t>2; Lyft Wait</w:t>
      </w:r>
      <w:r w:rsidR="002D4C5D">
        <w:rPr>
          <w:lang w:val="en-ZW"/>
        </w:rPr>
        <w:t> </w:t>
      </w:r>
      <w:r>
        <w:rPr>
          <w:lang w:val="en-ZW"/>
        </w:rPr>
        <w:t>&amp;</w:t>
      </w:r>
      <w:r w:rsidR="002D4C5D">
        <w:rPr>
          <w:lang w:val="en-ZW"/>
        </w:rPr>
        <w:t> </w:t>
      </w:r>
      <w:r>
        <w:rPr>
          <w:lang w:val="en-ZW"/>
        </w:rPr>
        <w:t>Save Reply</w:t>
      </w:r>
      <w:r w:rsidR="002D4C5D">
        <w:rPr>
          <w:lang w:val="en-ZW"/>
        </w:rPr>
        <w:t> </w:t>
      </w:r>
      <w:r>
        <w:rPr>
          <w:lang w:val="en-ZW"/>
        </w:rPr>
        <w:t>Comments, October</w:t>
      </w:r>
      <w:r w:rsidR="002D4C5D">
        <w:rPr>
          <w:lang w:val="en-ZW"/>
        </w:rPr>
        <w:t> </w:t>
      </w:r>
      <w:r>
        <w:rPr>
          <w:lang w:val="en-ZW"/>
        </w:rPr>
        <w:t>10,</w:t>
      </w:r>
      <w:r w:rsidR="002D4C5D">
        <w:rPr>
          <w:lang w:val="en-ZW"/>
        </w:rPr>
        <w:t> </w:t>
      </w:r>
      <w:r>
        <w:rPr>
          <w:lang w:val="en-ZW"/>
        </w:rPr>
        <w:t>2022, at</w:t>
      </w:r>
      <w:r w:rsidR="002D4C5D">
        <w:rPr>
          <w:lang w:val="en-ZW"/>
        </w:rPr>
        <w:t> </w:t>
      </w:r>
      <w:r>
        <w:rPr>
          <w:lang w:val="en-ZW"/>
        </w:rPr>
        <w:t>5.</w:t>
      </w:r>
    </w:p>
  </w:footnote>
  <w:footnote w:id="48">
    <w:p w14:paraId="14BA3922" w14:textId="4DAEBB4D" w:rsidR="00045C7C" w:rsidRPr="008C4EDF" w:rsidRDefault="00045C7C" w:rsidP="00462FF9">
      <w:pPr>
        <w:pStyle w:val="FootnoteText"/>
        <w:ind w:left="288" w:hanging="288"/>
        <w:rPr>
          <w:lang w:val="en-ZW"/>
        </w:rPr>
      </w:pPr>
      <w:r>
        <w:rPr>
          <w:rStyle w:val="FootnoteReference"/>
        </w:rPr>
        <w:footnoteRef/>
      </w:r>
      <w:r>
        <w:t xml:space="preserve"> </w:t>
      </w:r>
      <w:r w:rsidR="00050028">
        <w:tab/>
      </w:r>
      <w:r w:rsidRPr="004B3D55">
        <w:rPr>
          <w:szCs w:val="26"/>
        </w:rPr>
        <w:t>ALJ</w:t>
      </w:r>
      <w:r w:rsidR="00E57D28">
        <w:rPr>
          <w:szCs w:val="26"/>
        </w:rPr>
        <w:t> </w:t>
      </w:r>
      <w:r w:rsidRPr="004B3D55">
        <w:rPr>
          <w:szCs w:val="26"/>
        </w:rPr>
        <w:t>Ruling Requesting Proposals and Comments on Wait</w:t>
      </w:r>
      <w:r w:rsidR="00E57D28">
        <w:rPr>
          <w:szCs w:val="26"/>
        </w:rPr>
        <w:t> </w:t>
      </w:r>
      <w:r w:rsidRPr="004B3D55">
        <w:rPr>
          <w:szCs w:val="26"/>
        </w:rPr>
        <w:t>&amp;</w:t>
      </w:r>
      <w:r w:rsidR="00E57D28">
        <w:rPr>
          <w:szCs w:val="26"/>
        </w:rPr>
        <w:t> </w:t>
      </w:r>
      <w:r w:rsidRPr="004B3D55">
        <w:rPr>
          <w:szCs w:val="26"/>
        </w:rPr>
        <w:t xml:space="preserve">Save Service, </w:t>
      </w:r>
      <w:r>
        <w:rPr>
          <w:szCs w:val="26"/>
        </w:rPr>
        <w:t>September</w:t>
      </w:r>
      <w:r w:rsidR="00E57D28">
        <w:rPr>
          <w:szCs w:val="26"/>
        </w:rPr>
        <w:t> </w:t>
      </w:r>
      <w:r>
        <w:rPr>
          <w:szCs w:val="26"/>
        </w:rPr>
        <w:t>13,</w:t>
      </w:r>
      <w:r w:rsidR="00E57D28">
        <w:rPr>
          <w:szCs w:val="26"/>
        </w:rPr>
        <w:t> </w:t>
      </w:r>
      <w:r>
        <w:rPr>
          <w:szCs w:val="26"/>
        </w:rPr>
        <w:t>2022, at</w:t>
      </w:r>
      <w:r w:rsidR="00E57D28">
        <w:rPr>
          <w:szCs w:val="26"/>
        </w:rPr>
        <w:t> </w:t>
      </w:r>
      <w:r>
        <w:rPr>
          <w:szCs w:val="26"/>
        </w:rPr>
        <w:t>3.</w:t>
      </w:r>
    </w:p>
  </w:footnote>
  <w:footnote w:id="49">
    <w:p w14:paraId="472E9AAD" w14:textId="14F20AB9" w:rsidR="00045C7C" w:rsidRPr="00C17133" w:rsidRDefault="00045C7C" w:rsidP="00462FF9">
      <w:pPr>
        <w:pStyle w:val="FootnoteText"/>
        <w:ind w:left="288" w:hanging="288"/>
        <w:rPr>
          <w:lang w:val="en-ZW"/>
        </w:rPr>
      </w:pPr>
      <w:r>
        <w:rPr>
          <w:rStyle w:val="FootnoteReference"/>
        </w:rPr>
        <w:footnoteRef/>
      </w:r>
      <w:r>
        <w:t xml:space="preserve"> </w:t>
      </w:r>
      <w:r w:rsidR="00050028">
        <w:tab/>
      </w:r>
      <w:r>
        <w:rPr>
          <w:lang w:val="en-ZW"/>
        </w:rPr>
        <w:t>SFTWA Wait</w:t>
      </w:r>
      <w:r w:rsidR="00E57D28">
        <w:rPr>
          <w:lang w:val="en-ZW"/>
        </w:rPr>
        <w:t> </w:t>
      </w:r>
      <w:r>
        <w:rPr>
          <w:lang w:val="en-ZW"/>
        </w:rPr>
        <w:t>&amp;</w:t>
      </w:r>
      <w:r w:rsidR="00E57D28">
        <w:rPr>
          <w:lang w:val="en-ZW"/>
        </w:rPr>
        <w:t> </w:t>
      </w:r>
      <w:r>
        <w:rPr>
          <w:lang w:val="en-ZW"/>
        </w:rPr>
        <w:t>Save Reply</w:t>
      </w:r>
      <w:r w:rsidR="00E57D28">
        <w:rPr>
          <w:lang w:val="en-ZW"/>
        </w:rPr>
        <w:t> </w:t>
      </w:r>
      <w:r>
        <w:rPr>
          <w:lang w:val="en-ZW"/>
        </w:rPr>
        <w:t>Comments, October</w:t>
      </w:r>
      <w:r w:rsidR="00E57D28">
        <w:rPr>
          <w:lang w:val="en-ZW"/>
        </w:rPr>
        <w:t> </w:t>
      </w:r>
      <w:r>
        <w:rPr>
          <w:lang w:val="en-ZW"/>
        </w:rPr>
        <w:t>10,</w:t>
      </w:r>
      <w:r w:rsidR="00E57D28">
        <w:rPr>
          <w:lang w:val="en-ZW"/>
        </w:rPr>
        <w:t> </w:t>
      </w:r>
      <w:r>
        <w:rPr>
          <w:lang w:val="en-ZW"/>
        </w:rPr>
        <w:t>2022, at</w:t>
      </w:r>
      <w:r w:rsidR="00E57D28">
        <w:rPr>
          <w:lang w:val="en-ZW"/>
        </w:rPr>
        <w:t> </w:t>
      </w:r>
      <w:r>
        <w:rPr>
          <w:lang w:val="en-ZW"/>
        </w:rPr>
        <w:t>2; San</w:t>
      </w:r>
      <w:r w:rsidR="00E57D28">
        <w:rPr>
          <w:lang w:val="en-ZW"/>
        </w:rPr>
        <w:t> </w:t>
      </w:r>
      <w:r>
        <w:rPr>
          <w:lang w:val="en-ZW"/>
        </w:rPr>
        <w:t>Francisco Wait</w:t>
      </w:r>
      <w:r w:rsidR="00E57D28">
        <w:rPr>
          <w:lang w:val="en-ZW"/>
        </w:rPr>
        <w:t> </w:t>
      </w:r>
      <w:r>
        <w:rPr>
          <w:lang w:val="en-ZW"/>
        </w:rPr>
        <w:t>&amp;</w:t>
      </w:r>
      <w:r w:rsidR="00E57D28">
        <w:rPr>
          <w:lang w:val="en-ZW"/>
        </w:rPr>
        <w:t> </w:t>
      </w:r>
      <w:r>
        <w:rPr>
          <w:lang w:val="en-ZW"/>
        </w:rPr>
        <w:t>Save Opening</w:t>
      </w:r>
      <w:r w:rsidR="00E57D28">
        <w:rPr>
          <w:lang w:val="en-ZW"/>
        </w:rPr>
        <w:t> </w:t>
      </w:r>
      <w:r>
        <w:rPr>
          <w:lang w:val="en-ZW"/>
        </w:rPr>
        <w:t>Comments, September</w:t>
      </w:r>
      <w:r w:rsidR="00E57D28">
        <w:rPr>
          <w:lang w:val="en-ZW"/>
        </w:rPr>
        <w:t> </w:t>
      </w:r>
      <w:r>
        <w:rPr>
          <w:lang w:val="en-ZW"/>
        </w:rPr>
        <w:t>30,</w:t>
      </w:r>
      <w:r w:rsidR="00E57D28">
        <w:rPr>
          <w:lang w:val="en-ZW"/>
        </w:rPr>
        <w:t> </w:t>
      </w:r>
      <w:r>
        <w:rPr>
          <w:lang w:val="en-ZW"/>
        </w:rPr>
        <w:t>2022, at</w:t>
      </w:r>
      <w:r w:rsidR="00E57D28">
        <w:rPr>
          <w:lang w:val="en-ZW"/>
        </w:rPr>
        <w:t> </w:t>
      </w:r>
      <w:r>
        <w:rPr>
          <w:lang w:val="en-ZW"/>
        </w:rPr>
        <w:t>1; Disability Advocates Wait</w:t>
      </w:r>
      <w:r w:rsidR="00E57D28">
        <w:rPr>
          <w:lang w:val="en-ZW"/>
        </w:rPr>
        <w:t> </w:t>
      </w:r>
      <w:r>
        <w:rPr>
          <w:lang w:val="en-ZW"/>
        </w:rPr>
        <w:t>&amp;</w:t>
      </w:r>
      <w:r w:rsidR="00E57D28">
        <w:rPr>
          <w:lang w:val="en-ZW"/>
        </w:rPr>
        <w:t> </w:t>
      </w:r>
      <w:r>
        <w:rPr>
          <w:lang w:val="en-ZW"/>
        </w:rPr>
        <w:t>Save Opening</w:t>
      </w:r>
      <w:r w:rsidR="00E57D28">
        <w:rPr>
          <w:lang w:val="en-ZW"/>
        </w:rPr>
        <w:t> </w:t>
      </w:r>
      <w:r>
        <w:rPr>
          <w:lang w:val="en-ZW"/>
        </w:rPr>
        <w:t>Comments, Septembe</w:t>
      </w:r>
      <w:r w:rsidR="00E57D28">
        <w:rPr>
          <w:lang w:val="en-ZW"/>
        </w:rPr>
        <w:t>r </w:t>
      </w:r>
      <w:r>
        <w:rPr>
          <w:lang w:val="en-ZW"/>
        </w:rPr>
        <w:t>30,</w:t>
      </w:r>
      <w:r w:rsidR="00E57D28">
        <w:rPr>
          <w:lang w:val="en-ZW"/>
        </w:rPr>
        <w:t> </w:t>
      </w:r>
      <w:r>
        <w:rPr>
          <w:lang w:val="en-ZW"/>
        </w:rPr>
        <w:t>2022, at</w:t>
      </w:r>
      <w:r w:rsidR="00E57D28">
        <w:rPr>
          <w:lang w:val="en-ZW"/>
        </w:rPr>
        <w:t> </w:t>
      </w:r>
      <w:r>
        <w:rPr>
          <w:lang w:val="en-ZW"/>
        </w:rPr>
        <w:t>1; Lyft Track</w:t>
      </w:r>
      <w:r w:rsidR="00E57D28">
        <w:rPr>
          <w:lang w:val="en-ZW"/>
        </w:rPr>
        <w:t> </w:t>
      </w:r>
      <w:r>
        <w:rPr>
          <w:lang w:val="en-ZW"/>
        </w:rPr>
        <w:t>5A Reply</w:t>
      </w:r>
      <w:r w:rsidR="00E57D28">
        <w:rPr>
          <w:lang w:val="en-ZW"/>
        </w:rPr>
        <w:t> </w:t>
      </w:r>
      <w:r>
        <w:rPr>
          <w:lang w:val="en-ZW"/>
        </w:rPr>
        <w:t>Comments, July</w:t>
      </w:r>
      <w:r w:rsidR="00E57D28">
        <w:rPr>
          <w:lang w:val="en-ZW"/>
        </w:rPr>
        <w:t> </w:t>
      </w:r>
      <w:r>
        <w:rPr>
          <w:lang w:val="en-ZW"/>
        </w:rPr>
        <w:t>14,</w:t>
      </w:r>
      <w:r w:rsidR="00E57D28">
        <w:rPr>
          <w:lang w:val="en-ZW"/>
        </w:rPr>
        <w:t> </w:t>
      </w:r>
      <w:r>
        <w:rPr>
          <w:lang w:val="en-ZW"/>
        </w:rPr>
        <w:t>2022, at</w:t>
      </w:r>
      <w:r w:rsidR="00E57D28">
        <w:rPr>
          <w:lang w:val="en-ZW"/>
        </w:rPr>
        <w:t> </w:t>
      </w:r>
      <w:r>
        <w:rPr>
          <w:lang w:val="en-ZW"/>
        </w:rPr>
        <w:t>8.</w:t>
      </w:r>
    </w:p>
  </w:footnote>
  <w:footnote w:id="50">
    <w:p w14:paraId="674F982E" w14:textId="62D66FE1" w:rsidR="00045C7C" w:rsidRPr="004A3958" w:rsidRDefault="00045C7C" w:rsidP="00462FF9">
      <w:pPr>
        <w:pStyle w:val="FootnoteText"/>
        <w:ind w:left="288" w:hanging="288"/>
        <w:rPr>
          <w:lang w:val="en-ZW"/>
        </w:rPr>
      </w:pPr>
      <w:r>
        <w:rPr>
          <w:rStyle w:val="FootnoteReference"/>
        </w:rPr>
        <w:footnoteRef/>
      </w:r>
      <w:r>
        <w:t xml:space="preserve"> </w:t>
      </w:r>
      <w:r w:rsidR="00ED66FA">
        <w:tab/>
      </w:r>
      <w:r>
        <w:rPr>
          <w:lang w:val="en-ZW"/>
        </w:rPr>
        <w:t>CPED Track</w:t>
      </w:r>
      <w:r w:rsidR="00E57D28">
        <w:rPr>
          <w:lang w:val="en-ZW"/>
        </w:rPr>
        <w:t> </w:t>
      </w:r>
      <w:r>
        <w:rPr>
          <w:lang w:val="en-ZW"/>
        </w:rPr>
        <w:t>5B Proposal</w:t>
      </w:r>
      <w:r w:rsidR="00BA36D6">
        <w:rPr>
          <w:lang w:val="en-ZW"/>
        </w:rPr>
        <w:t>s</w:t>
      </w:r>
      <w:r>
        <w:rPr>
          <w:lang w:val="en-ZW"/>
        </w:rPr>
        <w:t>, April</w:t>
      </w:r>
      <w:r w:rsidR="00E57D28">
        <w:rPr>
          <w:lang w:val="en-ZW"/>
        </w:rPr>
        <w:t> </w:t>
      </w:r>
      <w:r>
        <w:rPr>
          <w:lang w:val="en-ZW"/>
        </w:rPr>
        <w:t>15,</w:t>
      </w:r>
      <w:r w:rsidR="00E57D28">
        <w:rPr>
          <w:lang w:val="en-ZW"/>
        </w:rPr>
        <w:t> </w:t>
      </w:r>
      <w:r>
        <w:rPr>
          <w:lang w:val="en-ZW"/>
        </w:rPr>
        <w:t>2022, at</w:t>
      </w:r>
      <w:r w:rsidR="00E57D28">
        <w:rPr>
          <w:lang w:val="en-ZW"/>
        </w:rPr>
        <w:t> </w:t>
      </w:r>
      <w:r>
        <w:rPr>
          <w:lang w:val="en-ZW"/>
        </w:rPr>
        <w:t>4.</w:t>
      </w:r>
    </w:p>
  </w:footnote>
  <w:footnote w:id="51">
    <w:p w14:paraId="738E0B4D" w14:textId="0B1D4DCB" w:rsidR="00045C7C" w:rsidRPr="00A35A83" w:rsidRDefault="00045C7C" w:rsidP="00462FF9">
      <w:pPr>
        <w:pStyle w:val="FootnoteText"/>
        <w:ind w:left="288" w:hanging="288"/>
        <w:rPr>
          <w:lang w:val="en-ZW"/>
        </w:rPr>
      </w:pPr>
      <w:r>
        <w:rPr>
          <w:rStyle w:val="FootnoteReference"/>
        </w:rPr>
        <w:footnoteRef/>
      </w:r>
      <w:r>
        <w:t xml:space="preserve"> </w:t>
      </w:r>
      <w:r w:rsidR="00ED66FA">
        <w:tab/>
      </w:r>
      <w:r>
        <w:rPr>
          <w:lang w:val="en-ZW"/>
        </w:rPr>
        <w:t>San</w:t>
      </w:r>
      <w:r w:rsidR="00E57D28">
        <w:rPr>
          <w:lang w:val="en-ZW"/>
        </w:rPr>
        <w:t> </w:t>
      </w:r>
      <w:r>
        <w:rPr>
          <w:lang w:val="en-ZW"/>
        </w:rPr>
        <w:t>Francisco Track</w:t>
      </w:r>
      <w:r w:rsidR="00E57D28">
        <w:rPr>
          <w:lang w:val="en-ZW"/>
        </w:rPr>
        <w:t> </w:t>
      </w:r>
      <w:r>
        <w:rPr>
          <w:lang w:val="en-ZW"/>
        </w:rPr>
        <w:t>5B Opening</w:t>
      </w:r>
      <w:r w:rsidR="00E57D28">
        <w:rPr>
          <w:lang w:val="en-ZW"/>
        </w:rPr>
        <w:t> </w:t>
      </w:r>
      <w:r>
        <w:rPr>
          <w:lang w:val="en-ZW"/>
        </w:rPr>
        <w:t>Comments, May</w:t>
      </w:r>
      <w:r w:rsidR="00E57D28">
        <w:rPr>
          <w:lang w:val="en-ZW"/>
        </w:rPr>
        <w:t> </w:t>
      </w:r>
      <w:r>
        <w:rPr>
          <w:lang w:val="en-ZW"/>
        </w:rPr>
        <w:t>16,</w:t>
      </w:r>
      <w:r w:rsidR="00E57D28">
        <w:rPr>
          <w:lang w:val="en-ZW"/>
        </w:rPr>
        <w:t> </w:t>
      </w:r>
      <w:r>
        <w:rPr>
          <w:lang w:val="en-ZW"/>
        </w:rPr>
        <w:t>2022, at</w:t>
      </w:r>
      <w:r w:rsidR="00E57D28">
        <w:rPr>
          <w:lang w:val="en-ZW"/>
        </w:rPr>
        <w:t> </w:t>
      </w:r>
      <w:r>
        <w:rPr>
          <w:lang w:val="en-ZW"/>
        </w:rPr>
        <w:t>8; Disability Advocates Track</w:t>
      </w:r>
      <w:r w:rsidR="00E57D28">
        <w:rPr>
          <w:lang w:val="en-ZW"/>
        </w:rPr>
        <w:t> </w:t>
      </w:r>
      <w:r>
        <w:rPr>
          <w:lang w:val="en-ZW"/>
        </w:rPr>
        <w:t>5B Opening</w:t>
      </w:r>
      <w:r w:rsidR="00E57D28">
        <w:rPr>
          <w:lang w:val="en-ZW"/>
        </w:rPr>
        <w:t> </w:t>
      </w:r>
      <w:r>
        <w:rPr>
          <w:lang w:val="en-ZW"/>
        </w:rPr>
        <w:t>Comments, May</w:t>
      </w:r>
      <w:r w:rsidR="00E57D28">
        <w:rPr>
          <w:lang w:val="en-ZW"/>
        </w:rPr>
        <w:t> </w:t>
      </w:r>
      <w:r>
        <w:rPr>
          <w:lang w:val="en-ZW"/>
        </w:rPr>
        <w:t>16,</w:t>
      </w:r>
      <w:r w:rsidR="00E57D28">
        <w:rPr>
          <w:lang w:val="en-ZW"/>
        </w:rPr>
        <w:t> </w:t>
      </w:r>
      <w:r>
        <w:rPr>
          <w:lang w:val="en-ZW"/>
        </w:rPr>
        <w:t>2022, at</w:t>
      </w:r>
      <w:r w:rsidR="00E57D28">
        <w:rPr>
          <w:lang w:val="en-ZW"/>
        </w:rPr>
        <w:t> </w:t>
      </w:r>
      <w:r>
        <w:rPr>
          <w:lang w:val="en-ZW"/>
        </w:rPr>
        <w:t>2.</w:t>
      </w:r>
    </w:p>
  </w:footnote>
  <w:footnote w:id="52">
    <w:p w14:paraId="2B548D13" w14:textId="7FFE32B9" w:rsidR="00045C7C" w:rsidRPr="00BF55C4" w:rsidRDefault="00045C7C" w:rsidP="00462FF9">
      <w:pPr>
        <w:pStyle w:val="FootnoteText"/>
        <w:ind w:left="288" w:hanging="288"/>
        <w:rPr>
          <w:lang w:val="en-ZW"/>
        </w:rPr>
      </w:pPr>
      <w:r>
        <w:rPr>
          <w:rStyle w:val="FootnoteReference"/>
        </w:rPr>
        <w:footnoteRef/>
      </w:r>
      <w:r>
        <w:t xml:space="preserve"> </w:t>
      </w:r>
      <w:r w:rsidR="00ED66FA">
        <w:tab/>
      </w:r>
      <w:r>
        <w:rPr>
          <w:lang w:val="en-ZW"/>
        </w:rPr>
        <w:t>Disability Advocates Track</w:t>
      </w:r>
      <w:r w:rsidR="00E57D28">
        <w:rPr>
          <w:lang w:val="en-ZW"/>
        </w:rPr>
        <w:t> </w:t>
      </w:r>
      <w:r>
        <w:rPr>
          <w:lang w:val="en-ZW"/>
        </w:rPr>
        <w:t>5B Opening</w:t>
      </w:r>
      <w:r w:rsidR="00E57D28">
        <w:rPr>
          <w:lang w:val="en-ZW"/>
        </w:rPr>
        <w:t> </w:t>
      </w:r>
      <w:r>
        <w:rPr>
          <w:lang w:val="en-ZW"/>
        </w:rPr>
        <w:t>Comments, May</w:t>
      </w:r>
      <w:r w:rsidR="00E57D28">
        <w:rPr>
          <w:lang w:val="en-ZW"/>
        </w:rPr>
        <w:t> </w:t>
      </w:r>
      <w:r>
        <w:rPr>
          <w:lang w:val="en-ZW"/>
        </w:rPr>
        <w:t>16,</w:t>
      </w:r>
      <w:r w:rsidR="00E57D28">
        <w:rPr>
          <w:lang w:val="en-ZW"/>
        </w:rPr>
        <w:t> </w:t>
      </w:r>
      <w:r>
        <w:rPr>
          <w:lang w:val="en-ZW"/>
        </w:rPr>
        <w:t>2022, at</w:t>
      </w:r>
      <w:r w:rsidR="00E57D28">
        <w:rPr>
          <w:lang w:val="en-ZW"/>
        </w:rPr>
        <w:t> </w:t>
      </w:r>
      <w:r>
        <w:rPr>
          <w:lang w:val="en-ZW"/>
        </w:rPr>
        <w:t>3.</w:t>
      </w:r>
    </w:p>
  </w:footnote>
  <w:footnote w:id="53">
    <w:p w14:paraId="65B4CE5E" w14:textId="72802B8B" w:rsidR="00045C7C" w:rsidRPr="007B04C3" w:rsidRDefault="00045C7C" w:rsidP="00462FF9">
      <w:pPr>
        <w:pStyle w:val="FootnoteText"/>
        <w:ind w:left="288" w:hanging="288"/>
        <w:rPr>
          <w:lang w:val="en-ZW"/>
        </w:rPr>
      </w:pPr>
      <w:r>
        <w:rPr>
          <w:rStyle w:val="FootnoteReference"/>
        </w:rPr>
        <w:footnoteRef/>
      </w:r>
      <w:r>
        <w:t xml:space="preserve"> </w:t>
      </w:r>
      <w:r w:rsidR="00ED66FA">
        <w:tab/>
      </w:r>
      <w:r>
        <w:rPr>
          <w:lang w:val="en-ZW"/>
        </w:rPr>
        <w:t>Lyft Track</w:t>
      </w:r>
      <w:r w:rsidR="00E57D28">
        <w:rPr>
          <w:lang w:val="en-ZW"/>
        </w:rPr>
        <w:t> </w:t>
      </w:r>
      <w:r>
        <w:rPr>
          <w:lang w:val="en-ZW"/>
        </w:rPr>
        <w:t>5B Opening</w:t>
      </w:r>
      <w:r w:rsidR="00E57D28">
        <w:rPr>
          <w:lang w:val="en-ZW"/>
        </w:rPr>
        <w:t> </w:t>
      </w:r>
      <w:r>
        <w:rPr>
          <w:lang w:val="en-ZW"/>
        </w:rPr>
        <w:t>Comments, May</w:t>
      </w:r>
      <w:r w:rsidR="00E57D28">
        <w:rPr>
          <w:lang w:val="en-ZW"/>
        </w:rPr>
        <w:t> </w:t>
      </w:r>
      <w:r>
        <w:rPr>
          <w:lang w:val="en-ZW"/>
        </w:rPr>
        <w:t>16,</w:t>
      </w:r>
      <w:r w:rsidR="00E57D28">
        <w:rPr>
          <w:lang w:val="en-ZW"/>
        </w:rPr>
        <w:t> </w:t>
      </w:r>
      <w:r>
        <w:rPr>
          <w:lang w:val="en-ZW"/>
        </w:rPr>
        <w:t>2022, at</w:t>
      </w:r>
      <w:r w:rsidR="00E57D28">
        <w:rPr>
          <w:lang w:val="en-ZW"/>
        </w:rPr>
        <w:t> </w:t>
      </w:r>
      <w:r>
        <w:rPr>
          <w:lang w:val="en-ZW"/>
        </w:rPr>
        <w:t>4.</w:t>
      </w:r>
    </w:p>
  </w:footnote>
  <w:footnote w:id="54">
    <w:p w14:paraId="645DDC64" w14:textId="4141F9B5" w:rsidR="00045C7C" w:rsidRPr="00021C64" w:rsidRDefault="00045C7C" w:rsidP="00462FF9">
      <w:pPr>
        <w:pStyle w:val="FootnoteText"/>
        <w:ind w:left="288" w:hanging="288"/>
        <w:rPr>
          <w:lang w:val="en-ZW"/>
        </w:rPr>
      </w:pPr>
      <w:r>
        <w:rPr>
          <w:rStyle w:val="FootnoteReference"/>
        </w:rPr>
        <w:footnoteRef/>
      </w:r>
      <w:r>
        <w:t xml:space="preserve"> </w:t>
      </w:r>
      <w:r w:rsidR="00670707">
        <w:tab/>
      </w:r>
      <w:r>
        <w:rPr>
          <w:lang w:val="en-ZW"/>
        </w:rPr>
        <w:t>San</w:t>
      </w:r>
      <w:r w:rsidR="00E57D28">
        <w:rPr>
          <w:lang w:val="en-ZW"/>
        </w:rPr>
        <w:t> </w:t>
      </w:r>
      <w:r>
        <w:rPr>
          <w:lang w:val="en-ZW"/>
        </w:rPr>
        <w:t>Francisco Track</w:t>
      </w:r>
      <w:r w:rsidR="00E57D28">
        <w:rPr>
          <w:lang w:val="en-ZW"/>
        </w:rPr>
        <w:t> </w:t>
      </w:r>
      <w:r>
        <w:rPr>
          <w:lang w:val="en-ZW"/>
        </w:rPr>
        <w:t>5B Opening</w:t>
      </w:r>
      <w:r w:rsidR="00E57D28">
        <w:rPr>
          <w:lang w:val="en-ZW"/>
        </w:rPr>
        <w:t> </w:t>
      </w:r>
      <w:r>
        <w:rPr>
          <w:lang w:val="en-ZW"/>
        </w:rPr>
        <w:t>Comments, May</w:t>
      </w:r>
      <w:r w:rsidR="00E57D28">
        <w:rPr>
          <w:lang w:val="en-ZW"/>
        </w:rPr>
        <w:t> </w:t>
      </w:r>
      <w:r>
        <w:rPr>
          <w:lang w:val="en-ZW"/>
        </w:rPr>
        <w:t>16,</w:t>
      </w:r>
      <w:r w:rsidR="00E57D28">
        <w:rPr>
          <w:lang w:val="en-ZW"/>
        </w:rPr>
        <w:t> </w:t>
      </w:r>
      <w:r>
        <w:rPr>
          <w:lang w:val="en-ZW"/>
        </w:rPr>
        <w:t>2022, at</w:t>
      </w:r>
      <w:r w:rsidR="00E57D28">
        <w:rPr>
          <w:lang w:val="en-ZW"/>
        </w:rPr>
        <w:t> </w:t>
      </w:r>
      <w:r>
        <w:rPr>
          <w:lang w:val="en-ZW"/>
        </w:rPr>
        <w:t>9.</w:t>
      </w:r>
    </w:p>
  </w:footnote>
  <w:footnote w:id="55">
    <w:p w14:paraId="7FDCC5E9" w14:textId="6F6B9AC4" w:rsidR="00045C7C" w:rsidRPr="00332752" w:rsidRDefault="00045C7C" w:rsidP="00462FF9">
      <w:pPr>
        <w:pStyle w:val="FootnoteText"/>
        <w:ind w:left="288" w:hanging="288"/>
        <w:rPr>
          <w:lang w:val="en-ZW"/>
        </w:rPr>
      </w:pPr>
      <w:r>
        <w:rPr>
          <w:rStyle w:val="FootnoteReference"/>
        </w:rPr>
        <w:footnoteRef/>
      </w:r>
      <w:r>
        <w:t xml:space="preserve"> </w:t>
      </w:r>
      <w:r w:rsidR="00670707">
        <w:tab/>
      </w:r>
      <w:r>
        <w:rPr>
          <w:lang w:val="en-ZW"/>
        </w:rPr>
        <w:t>Disability Advocates Track</w:t>
      </w:r>
      <w:r w:rsidR="00AF3628">
        <w:rPr>
          <w:lang w:val="en-ZW"/>
        </w:rPr>
        <w:t> </w:t>
      </w:r>
      <w:r>
        <w:rPr>
          <w:lang w:val="en-ZW"/>
        </w:rPr>
        <w:t>5B 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3.</w:t>
      </w:r>
    </w:p>
  </w:footnote>
  <w:footnote w:id="56">
    <w:p w14:paraId="53A176D3" w14:textId="73275185" w:rsidR="00045C7C" w:rsidRPr="003474D9" w:rsidRDefault="00045C7C" w:rsidP="00462FF9">
      <w:pPr>
        <w:pStyle w:val="FootnoteText"/>
        <w:ind w:left="288" w:hanging="288"/>
        <w:rPr>
          <w:lang w:val="en-ZW"/>
        </w:rPr>
      </w:pPr>
      <w:r>
        <w:rPr>
          <w:rStyle w:val="FootnoteReference"/>
        </w:rPr>
        <w:footnoteRef/>
      </w:r>
      <w:r>
        <w:t xml:space="preserve"> </w:t>
      </w:r>
      <w:r w:rsidR="00670707">
        <w:tab/>
      </w:r>
      <w:r>
        <w:rPr>
          <w:lang w:val="en-ZW"/>
        </w:rPr>
        <w:t>Uber Track</w:t>
      </w:r>
      <w:r w:rsidR="00AF3628">
        <w:rPr>
          <w:lang w:val="en-ZW"/>
        </w:rPr>
        <w:t> </w:t>
      </w:r>
      <w:r>
        <w:rPr>
          <w:lang w:val="en-ZW"/>
        </w:rPr>
        <w:t>5B 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2.</w:t>
      </w:r>
    </w:p>
  </w:footnote>
  <w:footnote w:id="57">
    <w:p w14:paraId="74586E2A" w14:textId="6B440703" w:rsidR="00045C7C" w:rsidRPr="00546BBD" w:rsidRDefault="00045C7C" w:rsidP="00462FF9">
      <w:pPr>
        <w:pStyle w:val="FootnoteText"/>
        <w:ind w:left="288" w:hanging="288"/>
        <w:rPr>
          <w:lang w:val="en-ZW"/>
        </w:rPr>
      </w:pPr>
      <w:r>
        <w:rPr>
          <w:rStyle w:val="FootnoteReference"/>
        </w:rPr>
        <w:footnoteRef/>
      </w:r>
      <w:r>
        <w:t xml:space="preserve"> </w:t>
      </w:r>
      <w:r w:rsidR="00670707">
        <w:tab/>
      </w:r>
      <w:r>
        <w:rPr>
          <w:lang w:val="en-ZW"/>
        </w:rPr>
        <w:t>Lyft Track</w:t>
      </w:r>
      <w:r w:rsidR="00AF3628">
        <w:rPr>
          <w:lang w:val="en-ZW"/>
        </w:rPr>
        <w:t> </w:t>
      </w:r>
      <w:r>
        <w:rPr>
          <w:lang w:val="en-ZW"/>
        </w:rPr>
        <w:t>5B 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6.</w:t>
      </w:r>
    </w:p>
  </w:footnote>
  <w:footnote w:id="58">
    <w:p w14:paraId="7F874893" w14:textId="66299801" w:rsidR="00045C7C" w:rsidRPr="0078375E" w:rsidRDefault="00045C7C" w:rsidP="00462FF9">
      <w:pPr>
        <w:pStyle w:val="FootnoteText"/>
        <w:ind w:left="288" w:hanging="288"/>
        <w:rPr>
          <w:lang w:val="en-ZW"/>
        </w:rPr>
      </w:pPr>
      <w:r>
        <w:rPr>
          <w:rStyle w:val="FootnoteReference"/>
        </w:rPr>
        <w:footnoteRef/>
      </w:r>
      <w:r>
        <w:t xml:space="preserve"> </w:t>
      </w:r>
      <w:r w:rsidR="00670707">
        <w:tab/>
      </w:r>
      <w:r>
        <w:rPr>
          <w:lang w:val="en-ZW"/>
        </w:rPr>
        <w:t>San</w:t>
      </w:r>
      <w:r w:rsidR="00AF3628">
        <w:rPr>
          <w:lang w:val="en-ZW"/>
        </w:rPr>
        <w:t> </w:t>
      </w:r>
      <w:r>
        <w:rPr>
          <w:lang w:val="en-ZW"/>
        </w:rPr>
        <w:t>Francisco Track</w:t>
      </w:r>
      <w:r w:rsidR="00AF3628">
        <w:rPr>
          <w:lang w:val="en-ZW"/>
        </w:rPr>
        <w:t> </w:t>
      </w:r>
      <w:r>
        <w:rPr>
          <w:lang w:val="en-ZW"/>
        </w:rPr>
        <w:t>5B Proposal</w:t>
      </w:r>
      <w:r w:rsidR="00BA36D6">
        <w:rPr>
          <w:lang w:val="en-ZW"/>
        </w:rPr>
        <w:t>s</w:t>
      </w:r>
      <w:r>
        <w:rPr>
          <w:lang w:val="en-ZW"/>
        </w:rPr>
        <w:t>, April</w:t>
      </w:r>
      <w:r w:rsidR="00AF3628">
        <w:rPr>
          <w:lang w:val="en-ZW"/>
        </w:rPr>
        <w:t> </w:t>
      </w:r>
      <w:r>
        <w:rPr>
          <w:lang w:val="en-ZW"/>
        </w:rPr>
        <w:t>15,</w:t>
      </w:r>
      <w:r w:rsidR="00AF3628">
        <w:rPr>
          <w:lang w:val="en-ZW"/>
        </w:rPr>
        <w:t> </w:t>
      </w:r>
      <w:r>
        <w:rPr>
          <w:lang w:val="en-ZW"/>
        </w:rPr>
        <w:t>2022, at</w:t>
      </w:r>
      <w:r w:rsidR="00AF3628">
        <w:rPr>
          <w:lang w:val="en-ZW"/>
        </w:rPr>
        <w:t> </w:t>
      </w:r>
      <w:r>
        <w:rPr>
          <w:lang w:val="en-ZW"/>
        </w:rPr>
        <w:t>2.</w:t>
      </w:r>
    </w:p>
  </w:footnote>
  <w:footnote w:id="59">
    <w:p w14:paraId="03F83168" w14:textId="63BC3755" w:rsidR="00045C7C" w:rsidRPr="00332752" w:rsidRDefault="00045C7C" w:rsidP="00462FF9">
      <w:pPr>
        <w:pStyle w:val="FootnoteText"/>
        <w:ind w:left="288" w:hanging="288"/>
        <w:rPr>
          <w:lang w:val="en-ZW"/>
        </w:rPr>
      </w:pPr>
      <w:r>
        <w:rPr>
          <w:rStyle w:val="FootnoteReference"/>
        </w:rPr>
        <w:footnoteRef/>
      </w:r>
      <w:r>
        <w:t xml:space="preserve"> </w:t>
      </w:r>
      <w:r w:rsidR="007574D8">
        <w:tab/>
      </w:r>
      <w:r>
        <w:rPr>
          <w:lang w:val="en-ZW"/>
        </w:rPr>
        <w:t>Disability Advocates Track</w:t>
      </w:r>
      <w:r w:rsidR="00AF3628">
        <w:rPr>
          <w:lang w:val="en-ZW"/>
        </w:rPr>
        <w:t> </w:t>
      </w:r>
      <w:r>
        <w:rPr>
          <w:lang w:val="en-ZW"/>
        </w:rPr>
        <w:t>5B 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3.</w:t>
      </w:r>
    </w:p>
  </w:footnote>
  <w:footnote w:id="60">
    <w:p w14:paraId="638C1BF3" w14:textId="2880B012" w:rsidR="00045C7C" w:rsidRPr="00092B15" w:rsidRDefault="00045C7C" w:rsidP="00462FF9">
      <w:pPr>
        <w:pStyle w:val="FootnoteText"/>
        <w:ind w:left="288" w:hanging="288"/>
        <w:rPr>
          <w:lang w:val="en-ZW"/>
        </w:rPr>
      </w:pPr>
      <w:r>
        <w:rPr>
          <w:rStyle w:val="FootnoteReference"/>
        </w:rPr>
        <w:footnoteRef/>
      </w:r>
      <w:r>
        <w:t xml:space="preserve"> </w:t>
      </w:r>
      <w:r w:rsidR="007574D8">
        <w:tab/>
      </w:r>
      <w:r>
        <w:rPr>
          <w:lang w:val="en-ZW"/>
        </w:rPr>
        <w:t>Lyft Track</w:t>
      </w:r>
      <w:r w:rsidR="00AF3628">
        <w:rPr>
          <w:lang w:val="en-ZW"/>
        </w:rPr>
        <w:t> </w:t>
      </w:r>
      <w:r>
        <w:rPr>
          <w:lang w:val="en-ZW"/>
        </w:rPr>
        <w:t>5B 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5; Uber Track</w:t>
      </w:r>
      <w:r w:rsidR="00AF3628">
        <w:rPr>
          <w:lang w:val="en-ZW"/>
        </w:rPr>
        <w:t> </w:t>
      </w:r>
      <w:r>
        <w:rPr>
          <w:lang w:val="en-ZW"/>
        </w:rPr>
        <w:t>5B 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3.</w:t>
      </w:r>
    </w:p>
  </w:footnote>
  <w:footnote w:id="61">
    <w:p w14:paraId="111929D3" w14:textId="33379791" w:rsidR="00045C7C" w:rsidRPr="005E57F6" w:rsidRDefault="00045C7C" w:rsidP="00462FF9">
      <w:pPr>
        <w:pStyle w:val="FootnoteText"/>
        <w:ind w:left="288" w:hanging="288"/>
        <w:rPr>
          <w:lang w:val="en-ZW"/>
        </w:rPr>
      </w:pPr>
      <w:r>
        <w:rPr>
          <w:rStyle w:val="FootnoteReference"/>
        </w:rPr>
        <w:footnoteRef/>
      </w:r>
      <w:r>
        <w:t xml:space="preserve"> </w:t>
      </w:r>
      <w:r w:rsidR="007574D8">
        <w:tab/>
      </w:r>
      <w:r>
        <w:rPr>
          <w:lang w:val="en-ZW"/>
        </w:rPr>
        <w:t>Lyft</w:t>
      </w:r>
      <w:r w:rsidR="00AF3628">
        <w:rPr>
          <w:lang w:val="en-ZW"/>
        </w:rPr>
        <w:t> </w:t>
      </w:r>
      <w:r w:rsidR="00BA36D6">
        <w:rPr>
          <w:lang w:val="en-ZW"/>
        </w:rPr>
        <w:t xml:space="preserve">Track </w:t>
      </w:r>
      <w:r>
        <w:rPr>
          <w:lang w:val="en-ZW"/>
        </w:rPr>
        <w:t>5B 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2; San</w:t>
      </w:r>
      <w:r w:rsidR="00AF3628">
        <w:rPr>
          <w:lang w:val="en-ZW"/>
        </w:rPr>
        <w:t> </w:t>
      </w:r>
      <w:r>
        <w:rPr>
          <w:lang w:val="en-ZW"/>
        </w:rPr>
        <w:t xml:space="preserve">Francisco </w:t>
      </w:r>
      <w:r w:rsidR="00BA36D6">
        <w:rPr>
          <w:lang w:val="en-ZW"/>
        </w:rPr>
        <w:t xml:space="preserve">Track </w:t>
      </w:r>
      <w:r>
        <w:rPr>
          <w:lang w:val="en-ZW"/>
        </w:rPr>
        <w:t>5B</w:t>
      </w:r>
      <w:r w:rsidR="00AF3628">
        <w:rPr>
          <w:lang w:val="en-ZW"/>
        </w:rPr>
        <w:t> </w:t>
      </w:r>
      <w:r>
        <w:rPr>
          <w:lang w:val="en-ZW"/>
        </w:rPr>
        <w:t>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 xml:space="preserve">9; Uber </w:t>
      </w:r>
      <w:r w:rsidR="00BA36D6">
        <w:rPr>
          <w:lang w:val="en-ZW"/>
        </w:rPr>
        <w:t xml:space="preserve">Track </w:t>
      </w:r>
      <w:r>
        <w:rPr>
          <w:lang w:val="en-ZW"/>
        </w:rPr>
        <w:t>5B</w:t>
      </w:r>
      <w:r w:rsidR="00AF3628">
        <w:rPr>
          <w:lang w:val="en-ZW"/>
        </w:rPr>
        <w:t> </w:t>
      </w:r>
      <w:r>
        <w:rPr>
          <w:lang w:val="en-ZW"/>
        </w:rPr>
        <w:t>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 xml:space="preserve">4; Disability Advocates </w:t>
      </w:r>
      <w:r w:rsidR="00BA36D6">
        <w:rPr>
          <w:lang w:val="en-ZW"/>
        </w:rPr>
        <w:t xml:space="preserve">Track </w:t>
      </w:r>
      <w:r>
        <w:rPr>
          <w:lang w:val="en-ZW"/>
        </w:rPr>
        <w:t>5B</w:t>
      </w:r>
      <w:r w:rsidR="00AF3628">
        <w:rPr>
          <w:lang w:val="en-ZW"/>
        </w:rPr>
        <w:t> </w:t>
      </w:r>
      <w:r>
        <w:rPr>
          <w:lang w:val="en-ZW"/>
        </w:rPr>
        <w:t>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5.</w:t>
      </w:r>
    </w:p>
  </w:footnote>
  <w:footnote w:id="62">
    <w:p w14:paraId="0D663063" w14:textId="7327826F" w:rsidR="00045C7C" w:rsidRPr="005E57F6" w:rsidRDefault="00045C7C" w:rsidP="00462FF9">
      <w:pPr>
        <w:pStyle w:val="FootnoteText"/>
        <w:ind w:left="288" w:hanging="288"/>
        <w:rPr>
          <w:lang w:val="en-ZW"/>
        </w:rPr>
      </w:pPr>
      <w:r>
        <w:rPr>
          <w:rStyle w:val="FootnoteReference"/>
        </w:rPr>
        <w:footnoteRef/>
      </w:r>
      <w:r>
        <w:t xml:space="preserve"> </w:t>
      </w:r>
      <w:r w:rsidR="007574D8">
        <w:tab/>
      </w:r>
      <w:r>
        <w:rPr>
          <w:lang w:val="en-ZW"/>
        </w:rPr>
        <w:t xml:space="preserve">Lyft </w:t>
      </w:r>
      <w:r w:rsidR="00BA36D6">
        <w:rPr>
          <w:lang w:val="en-ZW"/>
        </w:rPr>
        <w:t xml:space="preserve">Track </w:t>
      </w:r>
      <w:r>
        <w:rPr>
          <w:lang w:val="en-ZW"/>
        </w:rPr>
        <w:t>5B</w:t>
      </w:r>
      <w:r w:rsidR="00AF3628">
        <w:rPr>
          <w:lang w:val="en-ZW"/>
        </w:rPr>
        <w:t> </w:t>
      </w:r>
      <w:r>
        <w:rPr>
          <w:lang w:val="en-ZW"/>
        </w:rPr>
        <w:t>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 xml:space="preserve">3; Uber </w:t>
      </w:r>
      <w:r w:rsidR="00BA36D6">
        <w:rPr>
          <w:lang w:val="en-ZW"/>
        </w:rPr>
        <w:t xml:space="preserve">Track </w:t>
      </w:r>
      <w:r>
        <w:rPr>
          <w:lang w:val="en-ZW"/>
        </w:rPr>
        <w:t>5B</w:t>
      </w:r>
      <w:r w:rsidR="00AF3628">
        <w:rPr>
          <w:lang w:val="en-ZW"/>
        </w:rPr>
        <w:t> </w:t>
      </w:r>
      <w:r>
        <w:rPr>
          <w:lang w:val="en-ZW"/>
        </w:rPr>
        <w:t>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2;</w:t>
      </w:r>
      <w:r w:rsidRPr="00D24BBC">
        <w:rPr>
          <w:lang w:val="en-ZW"/>
        </w:rPr>
        <w:t xml:space="preserve"> </w:t>
      </w:r>
      <w:r>
        <w:rPr>
          <w:lang w:val="en-ZW"/>
        </w:rPr>
        <w:t>Disability</w:t>
      </w:r>
      <w:r w:rsidR="00AF3628">
        <w:rPr>
          <w:lang w:val="en-ZW"/>
        </w:rPr>
        <w:t> </w:t>
      </w:r>
      <w:r>
        <w:rPr>
          <w:lang w:val="en-ZW"/>
        </w:rPr>
        <w:t xml:space="preserve">Advocates </w:t>
      </w:r>
      <w:r w:rsidR="00BA36D6">
        <w:rPr>
          <w:lang w:val="en-ZW"/>
        </w:rPr>
        <w:t xml:space="preserve">Track </w:t>
      </w:r>
      <w:r>
        <w:rPr>
          <w:lang w:val="en-ZW"/>
        </w:rPr>
        <w:t>5B</w:t>
      </w:r>
      <w:r w:rsidR="00AF3628">
        <w:rPr>
          <w:lang w:val="en-ZW"/>
        </w:rPr>
        <w:t> </w:t>
      </w:r>
      <w:r>
        <w:rPr>
          <w:lang w:val="en-ZW"/>
        </w:rPr>
        <w:t>Opening</w:t>
      </w:r>
      <w:r w:rsidR="00AF3628">
        <w:rPr>
          <w:lang w:val="en-ZW"/>
        </w:rPr>
        <w:t> </w:t>
      </w:r>
      <w:r>
        <w:rPr>
          <w:lang w:val="en-ZW"/>
        </w:rPr>
        <w:t>Comments, May</w:t>
      </w:r>
      <w:r w:rsidR="00AF3628">
        <w:rPr>
          <w:lang w:val="en-ZW"/>
        </w:rPr>
        <w:t> </w:t>
      </w:r>
      <w:r>
        <w:rPr>
          <w:lang w:val="en-ZW"/>
        </w:rPr>
        <w:t>16,</w:t>
      </w:r>
      <w:r w:rsidR="00AF3628">
        <w:rPr>
          <w:lang w:val="en-ZW"/>
        </w:rPr>
        <w:t> </w:t>
      </w:r>
      <w:r>
        <w:rPr>
          <w:lang w:val="en-ZW"/>
        </w:rPr>
        <w:t>2022, at</w:t>
      </w:r>
      <w:r w:rsidR="00AF3628">
        <w:rPr>
          <w:lang w:val="en-ZW"/>
        </w:rPr>
        <w:t> </w:t>
      </w:r>
      <w:r>
        <w:rPr>
          <w:lang w:val="en-ZW"/>
        </w:rPr>
        <w:t>6.</w:t>
      </w:r>
    </w:p>
  </w:footnote>
  <w:footnote w:id="63">
    <w:p w14:paraId="245B0A4D" w14:textId="74EA91B8" w:rsidR="00045C7C" w:rsidRPr="00405C9B" w:rsidRDefault="00045C7C" w:rsidP="00462FF9">
      <w:pPr>
        <w:pStyle w:val="FootnoteText"/>
        <w:ind w:left="288" w:hanging="288"/>
        <w:rPr>
          <w:lang w:val="en-ZW"/>
        </w:rPr>
      </w:pPr>
      <w:r>
        <w:rPr>
          <w:rStyle w:val="FootnoteReference"/>
        </w:rPr>
        <w:footnoteRef/>
      </w:r>
      <w:r>
        <w:t xml:space="preserve"> </w:t>
      </w:r>
      <w:r w:rsidR="007574D8">
        <w:tab/>
      </w:r>
      <w:r>
        <w:rPr>
          <w:lang w:val="en-ZW"/>
        </w:rPr>
        <w:t>San</w:t>
      </w:r>
      <w:r w:rsidR="00AF3628">
        <w:rPr>
          <w:lang w:val="en-ZW"/>
        </w:rPr>
        <w:t> </w:t>
      </w:r>
      <w:r>
        <w:rPr>
          <w:lang w:val="en-ZW"/>
        </w:rPr>
        <w:t>Francisco Track</w:t>
      </w:r>
      <w:r w:rsidR="00AF3628">
        <w:rPr>
          <w:lang w:val="en-ZW"/>
        </w:rPr>
        <w:t> </w:t>
      </w:r>
      <w:r>
        <w:rPr>
          <w:lang w:val="en-ZW"/>
        </w:rPr>
        <w:t>5A Additional Proposal</w:t>
      </w:r>
      <w:r w:rsidR="00BC7B0A">
        <w:rPr>
          <w:lang w:val="en-ZW"/>
        </w:rPr>
        <w:t>s</w:t>
      </w:r>
      <w:r>
        <w:rPr>
          <w:lang w:val="en-ZW"/>
        </w:rPr>
        <w:t>, June</w:t>
      </w:r>
      <w:r w:rsidR="00AF3628">
        <w:rPr>
          <w:lang w:val="en-ZW"/>
        </w:rPr>
        <w:t> </w:t>
      </w:r>
      <w:r>
        <w:rPr>
          <w:lang w:val="en-ZW"/>
        </w:rPr>
        <w:t>30,</w:t>
      </w:r>
      <w:r w:rsidR="00AF3628">
        <w:rPr>
          <w:lang w:val="en-ZW"/>
        </w:rPr>
        <w:t> </w:t>
      </w:r>
      <w:r>
        <w:rPr>
          <w:lang w:val="en-ZW"/>
        </w:rPr>
        <w:t>2022, at</w:t>
      </w:r>
      <w:r w:rsidR="00AF3628">
        <w:rPr>
          <w:lang w:val="en-ZW"/>
        </w:rPr>
        <w:t> </w:t>
      </w:r>
      <w:r>
        <w:rPr>
          <w:lang w:val="en-ZW"/>
        </w:rPr>
        <w:t>11</w:t>
      </w:r>
      <w:r w:rsidR="00AF3628">
        <w:rPr>
          <w:lang w:val="en-ZW"/>
        </w:rPr>
        <w:noBreakHyphen/>
      </w:r>
      <w:r>
        <w:rPr>
          <w:lang w:val="en-ZW"/>
        </w:rPr>
        <w:t>12;</w:t>
      </w:r>
      <w:r w:rsidRPr="00086FC8">
        <w:rPr>
          <w:lang w:val="en-ZW"/>
        </w:rPr>
        <w:t xml:space="preserve"> </w:t>
      </w:r>
      <w:r>
        <w:rPr>
          <w:lang w:val="en-ZW"/>
        </w:rPr>
        <w:t>Lyft Track</w:t>
      </w:r>
      <w:r w:rsidR="00AF3628">
        <w:rPr>
          <w:lang w:val="en-ZW"/>
        </w:rPr>
        <w:t> </w:t>
      </w:r>
      <w:r>
        <w:rPr>
          <w:lang w:val="en-ZW"/>
        </w:rPr>
        <w:t>5A Opening</w:t>
      </w:r>
      <w:r w:rsidR="00AF3628">
        <w:rPr>
          <w:lang w:val="en-ZW"/>
        </w:rPr>
        <w:t> </w:t>
      </w:r>
      <w:r>
        <w:rPr>
          <w:lang w:val="en-ZW"/>
        </w:rPr>
        <w:t>Comments, July</w:t>
      </w:r>
      <w:r w:rsidR="00AF3628">
        <w:rPr>
          <w:lang w:val="en-ZW"/>
        </w:rPr>
        <w:t> </w:t>
      </w:r>
      <w:r>
        <w:rPr>
          <w:lang w:val="en-ZW"/>
        </w:rPr>
        <w:t>14,</w:t>
      </w:r>
      <w:r w:rsidR="00AF3628">
        <w:rPr>
          <w:lang w:val="en-ZW"/>
        </w:rPr>
        <w:t> </w:t>
      </w:r>
      <w:r>
        <w:rPr>
          <w:lang w:val="en-ZW"/>
        </w:rPr>
        <w:t>2022, at</w:t>
      </w:r>
      <w:r w:rsidR="00AF3628">
        <w:rPr>
          <w:lang w:val="en-ZW"/>
        </w:rPr>
        <w:t> </w:t>
      </w:r>
      <w:r>
        <w:rPr>
          <w:lang w:val="en-ZW"/>
        </w:rPr>
        <w:t>6</w:t>
      </w:r>
      <w:r w:rsidR="007574D8">
        <w:rPr>
          <w:lang w:val="en-ZW"/>
        </w:rPr>
        <w:t>;</w:t>
      </w:r>
      <w:r w:rsidRPr="00AC693F">
        <w:rPr>
          <w:lang w:val="en-ZW"/>
        </w:rPr>
        <w:t xml:space="preserve"> </w:t>
      </w:r>
      <w:r>
        <w:rPr>
          <w:lang w:val="en-ZW"/>
        </w:rPr>
        <w:t>Uber Track</w:t>
      </w:r>
      <w:r w:rsidR="00AF3628">
        <w:rPr>
          <w:lang w:val="en-ZW"/>
        </w:rPr>
        <w:t> </w:t>
      </w:r>
      <w:r>
        <w:rPr>
          <w:lang w:val="en-ZW"/>
        </w:rPr>
        <w:t>5A Opening</w:t>
      </w:r>
      <w:r w:rsidR="00AF3628">
        <w:rPr>
          <w:lang w:val="en-ZW"/>
        </w:rPr>
        <w:t> </w:t>
      </w:r>
      <w:r>
        <w:rPr>
          <w:lang w:val="en-ZW"/>
        </w:rPr>
        <w:t>Comments, July</w:t>
      </w:r>
      <w:r w:rsidR="00AF3628">
        <w:rPr>
          <w:lang w:val="en-ZW"/>
        </w:rPr>
        <w:t> </w:t>
      </w:r>
      <w:r>
        <w:rPr>
          <w:lang w:val="en-ZW"/>
        </w:rPr>
        <w:t>14,</w:t>
      </w:r>
      <w:r w:rsidR="00AF3628">
        <w:rPr>
          <w:lang w:val="en-ZW"/>
        </w:rPr>
        <w:t> </w:t>
      </w:r>
      <w:r>
        <w:rPr>
          <w:lang w:val="en-ZW"/>
        </w:rPr>
        <w:t>2022, at</w:t>
      </w:r>
      <w:r w:rsidR="00AF3628">
        <w:rPr>
          <w:lang w:val="en-ZW"/>
        </w:rPr>
        <w:t> </w:t>
      </w:r>
      <w:r>
        <w:rPr>
          <w:lang w:val="en-ZW"/>
        </w:rPr>
        <w:t>10.</w:t>
      </w:r>
    </w:p>
  </w:footnote>
  <w:footnote w:id="64">
    <w:p w14:paraId="2F5FFAFE" w14:textId="1344B4D7" w:rsidR="00045C7C" w:rsidRPr="00050B45" w:rsidRDefault="00045C7C" w:rsidP="00462FF9">
      <w:pPr>
        <w:pStyle w:val="FootnoteText"/>
        <w:ind w:left="288" w:hanging="288"/>
        <w:rPr>
          <w:lang w:val="en-ZW"/>
        </w:rPr>
      </w:pPr>
      <w:r>
        <w:rPr>
          <w:rStyle w:val="FootnoteReference"/>
        </w:rPr>
        <w:footnoteRef/>
      </w:r>
      <w:r>
        <w:t xml:space="preserve"> </w:t>
      </w:r>
      <w:r w:rsidR="007574D8">
        <w:tab/>
      </w:r>
      <w:r>
        <w:t>D.21</w:t>
      </w:r>
      <w:r w:rsidR="00AF3628">
        <w:noBreakHyphen/>
      </w:r>
      <w:r>
        <w:t>11</w:t>
      </w:r>
      <w:r w:rsidR="00AF3628">
        <w:noBreakHyphen/>
      </w:r>
      <w:r>
        <w:t>004 at</w:t>
      </w:r>
      <w:r w:rsidR="00AF3628">
        <w:t> </w:t>
      </w:r>
      <w:r>
        <w:t>19.</w:t>
      </w:r>
    </w:p>
  </w:footnote>
  <w:footnote w:id="65">
    <w:p w14:paraId="102CA44A" w14:textId="11779A03" w:rsidR="00045C7C" w:rsidRPr="003067D9" w:rsidRDefault="00045C7C" w:rsidP="00462FF9">
      <w:pPr>
        <w:pStyle w:val="FootnoteText"/>
        <w:ind w:left="288" w:hanging="288"/>
        <w:rPr>
          <w:lang w:val="en-ZW"/>
        </w:rPr>
      </w:pPr>
      <w:r>
        <w:rPr>
          <w:rStyle w:val="FootnoteReference"/>
        </w:rPr>
        <w:footnoteRef/>
      </w:r>
      <w:r>
        <w:t xml:space="preserve"> </w:t>
      </w:r>
      <w:r w:rsidR="007574D8">
        <w:tab/>
      </w:r>
      <w:r>
        <w:rPr>
          <w:lang w:val="en-ZW"/>
        </w:rPr>
        <w:t>D.21</w:t>
      </w:r>
      <w:r w:rsidR="005D0B40">
        <w:rPr>
          <w:lang w:val="en-ZW"/>
        </w:rPr>
        <w:noBreakHyphen/>
      </w:r>
      <w:r>
        <w:rPr>
          <w:lang w:val="en-ZW"/>
        </w:rPr>
        <w:t>10</w:t>
      </w:r>
      <w:r w:rsidR="005D0B40">
        <w:rPr>
          <w:lang w:val="en-ZW"/>
        </w:rPr>
        <w:noBreakHyphen/>
      </w:r>
      <w:r>
        <w:rPr>
          <w:lang w:val="en-ZW"/>
        </w:rPr>
        <w:t>007 at OP</w:t>
      </w:r>
      <w:r w:rsidR="005D0B40">
        <w:rPr>
          <w:lang w:val="en-ZW"/>
        </w:rPr>
        <w:t> </w:t>
      </w:r>
      <w:r>
        <w:rPr>
          <w:lang w:val="en-ZW"/>
        </w:rPr>
        <w:t>17.</w:t>
      </w:r>
    </w:p>
  </w:footnote>
  <w:footnote w:id="66">
    <w:p w14:paraId="1E1DE0F6" w14:textId="4208FC80" w:rsidR="00045C7C" w:rsidRPr="007942AA" w:rsidRDefault="00045C7C" w:rsidP="00462FF9">
      <w:pPr>
        <w:pStyle w:val="FootnoteText"/>
        <w:ind w:left="288" w:hanging="288"/>
        <w:rPr>
          <w:lang w:val="en-ZW"/>
        </w:rPr>
      </w:pPr>
      <w:r>
        <w:rPr>
          <w:rStyle w:val="FootnoteReference"/>
        </w:rPr>
        <w:footnoteRef/>
      </w:r>
      <w:r>
        <w:t xml:space="preserve"> </w:t>
      </w:r>
      <w:r w:rsidR="007574D8">
        <w:tab/>
      </w:r>
      <w:r>
        <w:rPr>
          <w:lang w:val="en-ZW"/>
        </w:rPr>
        <w:t>D.21</w:t>
      </w:r>
      <w:r w:rsidR="005D0B40">
        <w:rPr>
          <w:lang w:val="en-ZW"/>
        </w:rPr>
        <w:noBreakHyphen/>
      </w:r>
      <w:r>
        <w:rPr>
          <w:lang w:val="en-ZW"/>
        </w:rPr>
        <w:t>11</w:t>
      </w:r>
      <w:r w:rsidR="005D0B40">
        <w:rPr>
          <w:lang w:val="en-ZW"/>
        </w:rPr>
        <w:noBreakHyphen/>
      </w:r>
      <w:r>
        <w:rPr>
          <w:lang w:val="en-ZW"/>
        </w:rPr>
        <w:t>004 at</w:t>
      </w:r>
      <w:r w:rsidR="005D0B40">
        <w:rPr>
          <w:lang w:val="en-ZW"/>
        </w:rPr>
        <w:t> </w:t>
      </w:r>
      <w:r>
        <w:rPr>
          <w:lang w:val="en-ZW"/>
        </w:rPr>
        <w:t>48.</w:t>
      </w:r>
    </w:p>
  </w:footnote>
  <w:footnote w:id="67">
    <w:p w14:paraId="7B4C066B" w14:textId="4EBA0130" w:rsidR="00045C7C" w:rsidRPr="007942AA" w:rsidRDefault="00045C7C" w:rsidP="00462FF9">
      <w:pPr>
        <w:pStyle w:val="FootnoteText"/>
        <w:ind w:left="288" w:hanging="288"/>
        <w:rPr>
          <w:lang w:val="en-ZW"/>
        </w:rPr>
      </w:pPr>
      <w:r>
        <w:rPr>
          <w:rStyle w:val="FootnoteReference"/>
        </w:rPr>
        <w:footnoteRef/>
      </w:r>
      <w:r>
        <w:t xml:space="preserve"> </w:t>
      </w:r>
      <w:r w:rsidR="007574D8">
        <w:tab/>
      </w:r>
      <w:r w:rsidRPr="007942AA">
        <w:rPr>
          <w:i/>
          <w:iCs/>
          <w:lang w:val="en-ZW"/>
        </w:rPr>
        <w:t>Id</w:t>
      </w:r>
      <w:r>
        <w:rPr>
          <w:lang w:val="en-ZW"/>
        </w:rPr>
        <w:t>.</w:t>
      </w:r>
    </w:p>
  </w:footnote>
  <w:footnote w:id="68">
    <w:p w14:paraId="2E9F3AE5" w14:textId="6DE40618" w:rsidR="00045C7C" w:rsidRPr="009C56D5" w:rsidRDefault="00045C7C" w:rsidP="00462FF9">
      <w:pPr>
        <w:pStyle w:val="FootnoteText"/>
        <w:ind w:left="288" w:hanging="288"/>
        <w:rPr>
          <w:lang w:val="en-ZW"/>
        </w:rPr>
      </w:pPr>
      <w:r>
        <w:rPr>
          <w:rStyle w:val="FootnoteReference"/>
        </w:rPr>
        <w:footnoteRef/>
      </w:r>
      <w:r>
        <w:t xml:space="preserve"> </w:t>
      </w:r>
      <w:r w:rsidR="007574D8">
        <w:tab/>
      </w:r>
      <w:r>
        <w:rPr>
          <w:lang w:val="en-ZW"/>
        </w:rPr>
        <w:t>Disability Advocates Track</w:t>
      </w:r>
      <w:r w:rsidR="005D0B40">
        <w:rPr>
          <w:lang w:val="en-ZW"/>
        </w:rPr>
        <w:t> </w:t>
      </w:r>
      <w:r>
        <w:rPr>
          <w:lang w:val="en-ZW"/>
        </w:rPr>
        <w:t>5B Proposal</w:t>
      </w:r>
      <w:r w:rsidR="00BA36D6">
        <w:rPr>
          <w:lang w:val="en-ZW"/>
        </w:rPr>
        <w:t>s</w:t>
      </w:r>
      <w:r>
        <w:rPr>
          <w:lang w:val="en-ZW"/>
        </w:rPr>
        <w:t>, April</w:t>
      </w:r>
      <w:r w:rsidR="005D0B40">
        <w:rPr>
          <w:lang w:val="en-ZW"/>
        </w:rPr>
        <w:t> </w:t>
      </w:r>
      <w:r>
        <w:rPr>
          <w:lang w:val="en-ZW"/>
        </w:rPr>
        <w:t>15,</w:t>
      </w:r>
      <w:r w:rsidR="005D0B40">
        <w:rPr>
          <w:lang w:val="en-ZW"/>
        </w:rPr>
        <w:t> </w:t>
      </w:r>
      <w:r>
        <w:rPr>
          <w:lang w:val="en-ZW"/>
        </w:rPr>
        <w:t>2022, at</w:t>
      </w:r>
      <w:r w:rsidR="005D0B40">
        <w:rPr>
          <w:lang w:val="en-ZW"/>
        </w:rPr>
        <w:t> </w:t>
      </w:r>
      <w:r>
        <w:rPr>
          <w:lang w:val="en-ZW"/>
        </w:rPr>
        <w:t xml:space="preserve">9. </w:t>
      </w:r>
    </w:p>
  </w:footnote>
  <w:footnote w:id="69">
    <w:p w14:paraId="2DA33F21" w14:textId="1009ABB5" w:rsidR="00045C7C" w:rsidRPr="00922F64" w:rsidRDefault="00045C7C" w:rsidP="00462FF9">
      <w:pPr>
        <w:pStyle w:val="FootnoteText"/>
        <w:ind w:left="288" w:hanging="288"/>
        <w:rPr>
          <w:lang w:val="en-ZW"/>
        </w:rPr>
      </w:pPr>
      <w:r>
        <w:rPr>
          <w:rStyle w:val="FootnoteReference"/>
        </w:rPr>
        <w:footnoteRef/>
      </w:r>
      <w:r>
        <w:t xml:space="preserve"> </w:t>
      </w:r>
      <w:r w:rsidR="007574D8">
        <w:tab/>
      </w:r>
      <w:r>
        <w:rPr>
          <w:lang w:val="en-ZW"/>
        </w:rPr>
        <w:t>San</w:t>
      </w:r>
      <w:r w:rsidR="006B5E4B">
        <w:rPr>
          <w:lang w:val="en-ZW"/>
        </w:rPr>
        <w:t> </w:t>
      </w:r>
      <w:r>
        <w:rPr>
          <w:lang w:val="en-ZW"/>
        </w:rPr>
        <w:t>Francisco Track</w:t>
      </w:r>
      <w:r w:rsidR="006B5E4B">
        <w:rPr>
          <w:lang w:val="en-ZW"/>
        </w:rPr>
        <w:t> </w:t>
      </w:r>
      <w:r>
        <w:rPr>
          <w:lang w:val="en-ZW"/>
        </w:rPr>
        <w:t>5B Proposal</w:t>
      </w:r>
      <w:r w:rsidR="008D4B7C">
        <w:rPr>
          <w:lang w:val="en-ZW"/>
        </w:rPr>
        <w:t>s</w:t>
      </w:r>
      <w:r>
        <w:rPr>
          <w:lang w:val="en-ZW"/>
        </w:rPr>
        <w:t>, April</w:t>
      </w:r>
      <w:r w:rsidR="006B5E4B">
        <w:rPr>
          <w:lang w:val="en-ZW"/>
        </w:rPr>
        <w:t> </w:t>
      </w:r>
      <w:r>
        <w:rPr>
          <w:lang w:val="en-ZW"/>
        </w:rPr>
        <w:t>15,</w:t>
      </w:r>
      <w:r w:rsidR="006B5E4B">
        <w:rPr>
          <w:lang w:val="en-ZW"/>
        </w:rPr>
        <w:t> </w:t>
      </w:r>
      <w:r>
        <w:rPr>
          <w:lang w:val="en-ZW"/>
        </w:rPr>
        <w:t>2022, at</w:t>
      </w:r>
      <w:r w:rsidR="006B5E4B">
        <w:rPr>
          <w:lang w:val="en-ZW"/>
        </w:rPr>
        <w:t> </w:t>
      </w:r>
      <w:r>
        <w:rPr>
          <w:lang w:val="en-ZW"/>
        </w:rPr>
        <w:t>10.</w:t>
      </w:r>
    </w:p>
  </w:footnote>
  <w:footnote w:id="70">
    <w:p w14:paraId="6AB9A9F4" w14:textId="43AFF60D" w:rsidR="00045C7C" w:rsidRPr="003B76B0" w:rsidRDefault="00045C7C" w:rsidP="00462FF9">
      <w:pPr>
        <w:pStyle w:val="FootnoteText"/>
        <w:ind w:left="288" w:hanging="288"/>
        <w:rPr>
          <w:lang w:val="en-ZW"/>
        </w:rPr>
      </w:pPr>
      <w:r>
        <w:rPr>
          <w:rStyle w:val="FootnoteReference"/>
        </w:rPr>
        <w:footnoteRef/>
      </w:r>
      <w:r>
        <w:t xml:space="preserve"> </w:t>
      </w:r>
      <w:r w:rsidR="007574D8">
        <w:tab/>
      </w:r>
      <w:r>
        <w:rPr>
          <w:lang w:val="en-ZW"/>
        </w:rPr>
        <w:t>San</w:t>
      </w:r>
      <w:r w:rsidR="006B5E4B">
        <w:rPr>
          <w:lang w:val="en-ZW"/>
        </w:rPr>
        <w:t> </w:t>
      </w:r>
      <w:r>
        <w:rPr>
          <w:lang w:val="en-ZW"/>
        </w:rPr>
        <w:t>Francisco Track</w:t>
      </w:r>
      <w:r w:rsidR="006B5E4B">
        <w:rPr>
          <w:lang w:val="en-ZW"/>
        </w:rPr>
        <w:t> </w:t>
      </w:r>
      <w:r>
        <w:rPr>
          <w:lang w:val="en-ZW"/>
        </w:rPr>
        <w:t>5B Opening</w:t>
      </w:r>
      <w:r w:rsidR="006B5E4B">
        <w:rPr>
          <w:lang w:val="en-ZW"/>
        </w:rPr>
        <w:t> </w:t>
      </w:r>
      <w:r>
        <w:rPr>
          <w:lang w:val="en-ZW"/>
        </w:rPr>
        <w:t>Comments, May</w:t>
      </w:r>
      <w:r w:rsidR="006B5E4B">
        <w:rPr>
          <w:lang w:val="en-ZW"/>
        </w:rPr>
        <w:t> </w:t>
      </w:r>
      <w:r>
        <w:rPr>
          <w:lang w:val="en-ZW"/>
        </w:rPr>
        <w:t>16,</w:t>
      </w:r>
      <w:r w:rsidR="006B5E4B">
        <w:rPr>
          <w:lang w:val="en-ZW"/>
        </w:rPr>
        <w:t> </w:t>
      </w:r>
      <w:r>
        <w:rPr>
          <w:lang w:val="en-ZW"/>
        </w:rPr>
        <w:t>2022, at</w:t>
      </w:r>
      <w:r w:rsidR="006B5E4B">
        <w:rPr>
          <w:lang w:val="en-ZW"/>
        </w:rPr>
        <w:t> </w:t>
      </w:r>
      <w:r>
        <w:rPr>
          <w:lang w:val="en-ZW"/>
        </w:rPr>
        <w:t>10.</w:t>
      </w:r>
    </w:p>
  </w:footnote>
  <w:footnote w:id="71">
    <w:p w14:paraId="6FB9F517" w14:textId="6C15DB31" w:rsidR="00045C7C" w:rsidRPr="00C96F2E" w:rsidRDefault="00045C7C" w:rsidP="00462FF9">
      <w:pPr>
        <w:pStyle w:val="FootnoteText"/>
        <w:ind w:left="288" w:hanging="288"/>
        <w:rPr>
          <w:lang w:val="en-ZW"/>
        </w:rPr>
      </w:pPr>
      <w:r>
        <w:rPr>
          <w:rStyle w:val="FootnoteReference"/>
        </w:rPr>
        <w:footnoteRef/>
      </w:r>
      <w:r>
        <w:t xml:space="preserve"> </w:t>
      </w:r>
      <w:r w:rsidR="007574D8">
        <w:tab/>
      </w:r>
      <w:r>
        <w:rPr>
          <w:lang w:val="en-ZW"/>
        </w:rPr>
        <w:t>Lyft Track</w:t>
      </w:r>
      <w:r w:rsidR="006B5E4B">
        <w:rPr>
          <w:lang w:val="en-ZW"/>
        </w:rPr>
        <w:t> </w:t>
      </w:r>
      <w:r>
        <w:rPr>
          <w:lang w:val="en-ZW"/>
        </w:rPr>
        <w:t>5B Opening</w:t>
      </w:r>
      <w:r w:rsidR="006B5E4B">
        <w:rPr>
          <w:lang w:val="en-ZW"/>
        </w:rPr>
        <w:t> </w:t>
      </w:r>
      <w:r>
        <w:rPr>
          <w:lang w:val="en-ZW"/>
        </w:rPr>
        <w:t>Comments, May</w:t>
      </w:r>
      <w:r w:rsidR="006B5E4B">
        <w:rPr>
          <w:lang w:val="en-ZW"/>
        </w:rPr>
        <w:t> </w:t>
      </w:r>
      <w:r>
        <w:rPr>
          <w:lang w:val="en-ZW"/>
        </w:rPr>
        <w:t>16,</w:t>
      </w:r>
      <w:r w:rsidR="006B5E4B">
        <w:rPr>
          <w:lang w:val="en-ZW"/>
        </w:rPr>
        <w:t> </w:t>
      </w:r>
      <w:r>
        <w:rPr>
          <w:lang w:val="en-ZW"/>
        </w:rPr>
        <w:t>2022, at</w:t>
      </w:r>
      <w:r w:rsidR="006B5E4B">
        <w:rPr>
          <w:lang w:val="en-ZW"/>
        </w:rPr>
        <w:t> </w:t>
      </w:r>
      <w:r>
        <w:rPr>
          <w:lang w:val="en-ZW"/>
        </w:rPr>
        <w:t>7; Uber Track</w:t>
      </w:r>
      <w:r w:rsidR="006B5E4B">
        <w:rPr>
          <w:lang w:val="en-ZW"/>
        </w:rPr>
        <w:t> </w:t>
      </w:r>
      <w:r>
        <w:rPr>
          <w:lang w:val="en-ZW"/>
        </w:rPr>
        <w:t>5B Reply</w:t>
      </w:r>
      <w:r w:rsidR="006B5E4B">
        <w:rPr>
          <w:lang w:val="en-ZW"/>
        </w:rPr>
        <w:t> </w:t>
      </w:r>
      <w:r>
        <w:rPr>
          <w:lang w:val="en-ZW"/>
        </w:rPr>
        <w:t>Comments, May</w:t>
      </w:r>
      <w:r w:rsidR="006B5E4B">
        <w:rPr>
          <w:lang w:val="en-ZW"/>
        </w:rPr>
        <w:t> </w:t>
      </w:r>
      <w:r>
        <w:rPr>
          <w:lang w:val="en-ZW"/>
        </w:rPr>
        <w:t>27,</w:t>
      </w:r>
      <w:r w:rsidR="006B5E4B">
        <w:rPr>
          <w:lang w:val="en-ZW"/>
        </w:rPr>
        <w:t> </w:t>
      </w:r>
      <w:r>
        <w:rPr>
          <w:lang w:val="en-ZW"/>
        </w:rPr>
        <w:t>2022, at</w:t>
      </w:r>
      <w:r w:rsidR="006B5E4B">
        <w:rPr>
          <w:lang w:val="en-ZW"/>
        </w:rPr>
        <w:t> </w:t>
      </w:r>
      <w:r>
        <w:rPr>
          <w:lang w:val="en-ZW"/>
        </w:rPr>
        <w:t>4.</w:t>
      </w:r>
    </w:p>
  </w:footnote>
  <w:footnote w:id="72">
    <w:p w14:paraId="4BFC726F" w14:textId="440DB8A5" w:rsidR="00045C7C" w:rsidRPr="003B76B0" w:rsidRDefault="00045C7C" w:rsidP="00462FF9">
      <w:pPr>
        <w:pStyle w:val="FootnoteText"/>
        <w:ind w:left="288" w:hanging="288"/>
        <w:rPr>
          <w:lang w:val="en-ZW"/>
        </w:rPr>
      </w:pPr>
      <w:r>
        <w:rPr>
          <w:rStyle w:val="FootnoteReference"/>
        </w:rPr>
        <w:footnoteRef/>
      </w:r>
      <w:r>
        <w:t xml:space="preserve"> </w:t>
      </w:r>
      <w:r>
        <w:rPr>
          <w:lang w:val="en-ZW"/>
        </w:rPr>
        <w:t>Disability Advocates Track</w:t>
      </w:r>
      <w:r w:rsidR="006B5E4B">
        <w:rPr>
          <w:lang w:val="en-ZW"/>
        </w:rPr>
        <w:t> </w:t>
      </w:r>
      <w:r>
        <w:rPr>
          <w:lang w:val="en-ZW"/>
        </w:rPr>
        <w:t>5B Reply</w:t>
      </w:r>
      <w:r w:rsidR="006B5E4B">
        <w:rPr>
          <w:lang w:val="en-ZW"/>
        </w:rPr>
        <w:t> </w:t>
      </w:r>
      <w:r>
        <w:rPr>
          <w:lang w:val="en-ZW"/>
        </w:rPr>
        <w:t>Comments, May</w:t>
      </w:r>
      <w:r w:rsidR="006B5E4B">
        <w:rPr>
          <w:lang w:val="en-ZW"/>
        </w:rPr>
        <w:t> </w:t>
      </w:r>
      <w:r>
        <w:rPr>
          <w:lang w:val="en-ZW"/>
        </w:rPr>
        <w:t>27,</w:t>
      </w:r>
      <w:r w:rsidR="006B5E4B">
        <w:rPr>
          <w:lang w:val="en-ZW"/>
        </w:rPr>
        <w:t> </w:t>
      </w:r>
      <w:r>
        <w:rPr>
          <w:lang w:val="en-ZW"/>
        </w:rPr>
        <w:t>2022, at</w:t>
      </w:r>
      <w:r w:rsidR="006B5E4B">
        <w:rPr>
          <w:lang w:val="en-ZW"/>
        </w:rPr>
        <w:t> </w:t>
      </w:r>
      <w:r>
        <w:rPr>
          <w:lang w:val="en-ZW"/>
        </w:rPr>
        <w:t>8.</w:t>
      </w:r>
    </w:p>
  </w:footnote>
  <w:footnote w:id="73">
    <w:p w14:paraId="2EBEE890" w14:textId="3A05AC60" w:rsidR="00045C7C" w:rsidRPr="00221151" w:rsidRDefault="00045C7C" w:rsidP="00462FF9">
      <w:pPr>
        <w:pStyle w:val="FootnoteText"/>
        <w:ind w:left="288" w:hanging="288"/>
        <w:rPr>
          <w:lang w:val="en-ZW"/>
        </w:rPr>
      </w:pPr>
      <w:r>
        <w:rPr>
          <w:rStyle w:val="FootnoteReference"/>
        </w:rPr>
        <w:footnoteRef/>
      </w:r>
      <w:r>
        <w:t xml:space="preserve"> </w:t>
      </w:r>
      <w:r w:rsidR="001673DA">
        <w:tab/>
      </w:r>
      <w:r>
        <w:rPr>
          <w:lang w:val="en-ZW"/>
        </w:rPr>
        <w:t>Uber Track</w:t>
      </w:r>
      <w:r w:rsidR="006B5E4B">
        <w:rPr>
          <w:lang w:val="en-ZW"/>
        </w:rPr>
        <w:t> </w:t>
      </w:r>
      <w:r>
        <w:rPr>
          <w:lang w:val="en-ZW"/>
        </w:rPr>
        <w:t>5B Reply</w:t>
      </w:r>
      <w:r w:rsidR="006B5E4B">
        <w:rPr>
          <w:lang w:val="en-ZW"/>
        </w:rPr>
        <w:t> </w:t>
      </w:r>
      <w:r>
        <w:rPr>
          <w:lang w:val="en-ZW"/>
        </w:rPr>
        <w:t>Comments, May</w:t>
      </w:r>
      <w:r w:rsidR="006B5E4B">
        <w:rPr>
          <w:lang w:val="en-ZW"/>
        </w:rPr>
        <w:t> </w:t>
      </w:r>
      <w:r>
        <w:rPr>
          <w:lang w:val="en-ZW"/>
        </w:rPr>
        <w:t>27,</w:t>
      </w:r>
      <w:r w:rsidR="006B5E4B">
        <w:rPr>
          <w:lang w:val="en-ZW"/>
        </w:rPr>
        <w:t> </w:t>
      </w:r>
      <w:r>
        <w:rPr>
          <w:lang w:val="en-ZW"/>
        </w:rPr>
        <w:t>2022, at</w:t>
      </w:r>
      <w:r w:rsidR="006B5E4B">
        <w:rPr>
          <w:lang w:val="en-ZW"/>
        </w:rPr>
        <w:t> </w:t>
      </w:r>
      <w:r>
        <w:rPr>
          <w:lang w:val="en-ZW"/>
        </w:rPr>
        <w:t>5.</w:t>
      </w:r>
    </w:p>
  </w:footnote>
  <w:footnote w:id="74">
    <w:p w14:paraId="3D67B6E6" w14:textId="203F734C" w:rsidR="00045C7C" w:rsidRPr="007274ED" w:rsidRDefault="00045C7C" w:rsidP="00462FF9">
      <w:pPr>
        <w:pStyle w:val="FootnoteText"/>
        <w:ind w:left="288" w:hanging="288"/>
        <w:rPr>
          <w:lang w:val="en-ZW"/>
        </w:rPr>
      </w:pPr>
      <w:r>
        <w:rPr>
          <w:rStyle w:val="FootnoteReference"/>
        </w:rPr>
        <w:footnoteRef/>
      </w:r>
      <w:r>
        <w:t xml:space="preserve"> </w:t>
      </w:r>
      <w:r w:rsidR="001673DA">
        <w:tab/>
      </w:r>
      <w:r>
        <w:rPr>
          <w:lang w:val="en-ZW"/>
        </w:rPr>
        <w:t>Assigned Commissioner’s Amended Track</w:t>
      </w:r>
      <w:r w:rsidR="001055B8">
        <w:rPr>
          <w:lang w:val="en-ZW"/>
        </w:rPr>
        <w:t> </w:t>
      </w:r>
      <w:r>
        <w:rPr>
          <w:lang w:val="en-ZW"/>
        </w:rPr>
        <w:t>5 Scoping</w:t>
      </w:r>
      <w:r w:rsidR="001055B8">
        <w:rPr>
          <w:lang w:val="en-ZW"/>
        </w:rPr>
        <w:t> </w:t>
      </w:r>
      <w:r>
        <w:rPr>
          <w:lang w:val="en-ZW"/>
        </w:rPr>
        <w:t>Memo, January</w:t>
      </w:r>
      <w:r w:rsidR="001055B8">
        <w:rPr>
          <w:lang w:val="en-ZW"/>
        </w:rPr>
        <w:t> </w:t>
      </w:r>
      <w:r>
        <w:rPr>
          <w:lang w:val="en-ZW"/>
        </w:rPr>
        <w:t>14,</w:t>
      </w:r>
      <w:r w:rsidR="001055B8">
        <w:rPr>
          <w:lang w:val="en-ZW"/>
        </w:rPr>
        <w:t> </w:t>
      </w:r>
      <w:r>
        <w:rPr>
          <w:lang w:val="en-ZW"/>
        </w:rPr>
        <w:t>2022, at</w:t>
      </w:r>
      <w:r w:rsidR="001055B8">
        <w:rPr>
          <w:lang w:val="en-ZW"/>
        </w:rPr>
        <w:t> </w:t>
      </w:r>
      <w:r>
        <w:rPr>
          <w:lang w:val="en-ZW"/>
        </w:rPr>
        <w:t>9.</w:t>
      </w:r>
    </w:p>
  </w:footnote>
  <w:footnote w:id="75">
    <w:p w14:paraId="4EE06A00" w14:textId="03019F82" w:rsidR="00045C7C" w:rsidRPr="006064FB" w:rsidRDefault="00045C7C" w:rsidP="00462FF9">
      <w:pPr>
        <w:pStyle w:val="FootnoteText"/>
        <w:ind w:left="288" w:hanging="288"/>
        <w:rPr>
          <w:lang w:val="en-ZW"/>
        </w:rPr>
      </w:pPr>
      <w:r>
        <w:rPr>
          <w:rStyle w:val="FootnoteReference"/>
        </w:rPr>
        <w:footnoteRef/>
      </w:r>
      <w:r>
        <w:t xml:space="preserve"> </w:t>
      </w:r>
      <w:r w:rsidR="001673DA">
        <w:tab/>
      </w:r>
      <w:r w:rsidRPr="006064FB">
        <w:rPr>
          <w:i/>
          <w:iCs/>
          <w:lang w:val="en-ZW"/>
        </w:rPr>
        <w:t>Id</w:t>
      </w:r>
      <w:r>
        <w:rPr>
          <w:lang w:val="en-ZW"/>
        </w:rPr>
        <w:t>.</w:t>
      </w:r>
    </w:p>
  </w:footnote>
  <w:footnote w:id="76">
    <w:p w14:paraId="124F50AE" w14:textId="65AA0409" w:rsidR="00045C7C" w:rsidRPr="00D24C3F" w:rsidRDefault="00045C7C" w:rsidP="00462FF9">
      <w:pPr>
        <w:pStyle w:val="FootnoteText"/>
        <w:ind w:left="288" w:hanging="288"/>
        <w:rPr>
          <w:lang w:val="en-ZW"/>
        </w:rPr>
      </w:pPr>
      <w:r>
        <w:rPr>
          <w:rStyle w:val="FootnoteReference"/>
        </w:rPr>
        <w:footnoteRef/>
      </w:r>
      <w:r>
        <w:t xml:space="preserve"> </w:t>
      </w:r>
      <w:r w:rsidR="001673DA">
        <w:tab/>
      </w:r>
      <w:r>
        <w:rPr>
          <w:lang w:val="en-ZW"/>
        </w:rPr>
        <w:t>CPED Track</w:t>
      </w:r>
      <w:r w:rsidR="001055B8">
        <w:rPr>
          <w:lang w:val="en-ZW"/>
        </w:rPr>
        <w:t> </w:t>
      </w:r>
      <w:r>
        <w:rPr>
          <w:lang w:val="en-ZW"/>
        </w:rPr>
        <w:t>5B Proposal</w:t>
      </w:r>
      <w:r w:rsidR="007F7D10">
        <w:rPr>
          <w:lang w:val="en-ZW"/>
        </w:rPr>
        <w:t>s</w:t>
      </w:r>
      <w:r>
        <w:rPr>
          <w:lang w:val="en-ZW"/>
        </w:rPr>
        <w:t>, April</w:t>
      </w:r>
      <w:r w:rsidR="001055B8">
        <w:rPr>
          <w:lang w:val="en-ZW"/>
        </w:rPr>
        <w:t> </w:t>
      </w:r>
      <w:r>
        <w:rPr>
          <w:lang w:val="en-ZW"/>
        </w:rPr>
        <w:t>15,</w:t>
      </w:r>
      <w:r w:rsidR="001055B8">
        <w:rPr>
          <w:lang w:val="en-ZW"/>
        </w:rPr>
        <w:t> </w:t>
      </w:r>
      <w:r>
        <w:rPr>
          <w:lang w:val="en-ZW"/>
        </w:rPr>
        <w:t>2022, at</w:t>
      </w:r>
      <w:r w:rsidR="001055B8">
        <w:rPr>
          <w:lang w:val="en-ZW"/>
        </w:rPr>
        <w:t> </w:t>
      </w:r>
      <w:r>
        <w:rPr>
          <w:lang w:val="en-ZW"/>
        </w:rPr>
        <w:t>7.</w:t>
      </w:r>
    </w:p>
  </w:footnote>
  <w:footnote w:id="77">
    <w:p w14:paraId="07D6CC0D" w14:textId="50E9F0E8" w:rsidR="00045C7C" w:rsidRPr="00F33AB0" w:rsidRDefault="00045C7C" w:rsidP="00462FF9">
      <w:pPr>
        <w:pStyle w:val="FootnoteText"/>
        <w:ind w:left="288" w:hanging="288"/>
        <w:rPr>
          <w:lang w:val="en-ZW"/>
        </w:rPr>
      </w:pPr>
      <w:r>
        <w:rPr>
          <w:rStyle w:val="FootnoteReference"/>
        </w:rPr>
        <w:footnoteRef/>
      </w:r>
      <w:r>
        <w:t xml:space="preserve"> </w:t>
      </w:r>
      <w:r w:rsidR="001673DA">
        <w:tab/>
      </w:r>
      <w:r>
        <w:rPr>
          <w:lang w:val="en-ZW"/>
        </w:rPr>
        <w:t>Lyft Track</w:t>
      </w:r>
      <w:r w:rsidR="001055B8">
        <w:rPr>
          <w:lang w:val="en-ZW"/>
        </w:rPr>
        <w:t> </w:t>
      </w:r>
      <w:r>
        <w:rPr>
          <w:lang w:val="en-ZW"/>
        </w:rPr>
        <w:t>5B Opening</w:t>
      </w:r>
      <w:r w:rsidR="001055B8">
        <w:rPr>
          <w:lang w:val="en-ZW"/>
        </w:rPr>
        <w:t> </w:t>
      </w:r>
      <w:r>
        <w:rPr>
          <w:lang w:val="en-ZW"/>
        </w:rPr>
        <w:t>Comments, May</w:t>
      </w:r>
      <w:r w:rsidR="001055B8">
        <w:rPr>
          <w:lang w:val="en-ZW"/>
        </w:rPr>
        <w:t> </w:t>
      </w:r>
      <w:r>
        <w:rPr>
          <w:lang w:val="en-ZW"/>
        </w:rPr>
        <w:t>16,</w:t>
      </w:r>
      <w:r w:rsidR="001055B8">
        <w:rPr>
          <w:lang w:val="en-ZW"/>
        </w:rPr>
        <w:t> </w:t>
      </w:r>
      <w:r>
        <w:rPr>
          <w:lang w:val="en-ZW"/>
        </w:rPr>
        <w:t>2022, at</w:t>
      </w:r>
      <w:r w:rsidR="001055B8">
        <w:rPr>
          <w:lang w:val="en-ZW"/>
        </w:rPr>
        <w:t> </w:t>
      </w:r>
      <w:r>
        <w:rPr>
          <w:lang w:val="en-ZW"/>
        </w:rPr>
        <w:t>9.</w:t>
      </w:r>
    </w:p>
  </w:footnote>
  <w:footnote w:id="78">
    <w:p w14:paraId="565EC1F9" w14:textId="45A54E83" w:rsidR="00045C7C" w:rsidRPr="00BA41A3" w:rsidRDefault="00045C7C" w:rsidP="00462FF9">
      <w:pPr>
        <w:pStyle w:val="FootnoteText"/>
        <w:ind w:left="288" w:hanging="288"/>
        <w:rPr>
          <w:lang w:val="en-ZW"/>
        </w:rPr>
      </w:pPr>
      <w:r>
        <w:rPr>
          <w:rStyle w:val="FootnoteReference"/>
        </w:rPr>
        <w:footnoteRef/>
      </w:r>
      <w:r>
        <w:t xml:space="preserve"> </w:t>
      </w:r>
      <w:r w:rsidR="001673DA">
        <w:tab/>
      </w:r>
      <w:r>
        <w:rPr>
          <w:lang w:val="en-ZW"/>
        </w:rPr>
        <w:t>San</w:t>
      </w:r>
      <w:r w:rsidR="001055B8">
        <w:rPr>
          <w:lang w:val="en-ZW"/>
        </w:rPr>
        <w:t> </w:t>
      </w:r>
      <w:r>
        <w:rPr>
          <w:lang w:val="en-ZW"/>
        </w:rPr>
        <w:t>Francisco Track</w:t>
      </w:r>
      <w:r w:rsidR="001055B8">
        <w:rPr>
          <w:lang w:val="en-ZW"/>
        </w:rPr>
        <w:t> </w:t>
      </w:r>
      <w:r>
        <w:rPr>
          <w:lang w:val="en-ZW"/>
        </w:rPr>
        <w:t>5B Opening</w:t>
      </w:r>
      <w:r w:rsidR="001055B8">
        <w:rPr>
          <w:lang w:val="en-ZW"/>
        </w:rPr>
        <w:t> </w:t>
      </w:r>
      <w:r>
        <w:rPr>
          <w:lang w:val="en-ZW"/>
        </w:rPr>
        <w:t>Comments, May</w:t>
      </w:r>
      <w:r w:rsidR="001055B8">
        <w:rPr>
          <w:lang w:val="en-ZW"/>
        </w:rPr>
        <w:t> </w:t>
      </w:r>
      <w:r>
        <w:rPr>
          <w:lang w:val="en-ZW"/>
        </w:rPr>
        <w:t>16,</w:t>
      </w:r>
      <w:r w:rsidR="001055B8">
        <w:rPr>
          <w:lang w:val="en-ZW"/>
        </w:rPr>
        <w:t> </w:t>
      </w:r>
      <w:r>
        <w:rPr>
          <w:lang w:val="en-ZW"/>
        </w:rPr>
        <w:t>2022, at</w:t>
      </w:r>
      <w:r w:rsidR="001055B8">
        <w:rPr>
          <w:lang w:val="en-ZW"/>
        </w:rPr>
        <w:t> </w:t>
      </w:r>
      <w:r>
        <w:rPr>
          <w:lang w:val="en-ZW"/>
        </w:rPr>
        <w:t>12.</w:t>
      </w:r>
    </w:p>
  </w:footnote>
  <w:footnote w:id="79">
    <w:p w14:paraId="0C445097" w14:textId="1FAEB638" w:rsidR="00045C7C" w:rsidRPr="009F58CF" w:rsidRDefault="00045C7C" w:rsidP="00462FF9">
      <w:pPr>
        <w:pStyle w:val="FootnoteText"/>
        <w:ind w:left="288" w:hanging="288"/>
        <w:rPr>
          <w:lang w:val="en-ZW"/>
        </w:rPr>
      </w:pPr>
      <w:r>
        <w:rPr>
          <w:rStyle w:val="FootnoteReference"/>
        </w:rPr>
        <w:footnoteRef/>
      </w:r>
      <w:r>
        <w:t xml:space="preserve"> </w:t>
      </w:r>
      <w:r w:rsidR="001673DA">
        <w:tab/>
      </w:r>
      <w:r>
        <w:rPr>
          <w:lang w:val="en-ZW"/>
        </w:rPr>
        <w:t>Pub.</w:t>
      </w:r>
      <w:r w:rsidR="001055B8">
        <w:rPr>
          <w:lang w:val="en-ZW"/>
        </w:rPr>
        <w:t> </w:t>
      </w:r>
      <w:r>
        <w:rPr>
          <w:lang w:val="en-ZW"/>
        </w:rPr>
        <w:t>Util. Code</w:t>
      </w:r>
      <w:r w:rsidR="001055B8">
        <w:rPr>
          <w:lang w:val="en-ZW"/>
        </w:rPr>
        <w:t> </w:t>
      </w:r>
      <w:r w:rsidRPr="009F58CF">
        <w:rPr>
          <w:lang w:val="en-ZW"/>
        </w:rPr>
        <w:t>§</w:t>
      </w:r>
      <w:r w:rsidR="001055B8">
        <w:rPr>
          <w:lang w:val="en-ZW"/>
        </w:rPr>
        <w:t> </w:t>
      </w:r>
      <w:r>
        <w:rPr>
          <w:lang w:val="en-ZW"/>
        </w:rPr>
        <w:t>5440.5(a)(2)(A)(iii).</w:t>
      </w:r>
    </w:p>
  </w:footnote>
  <w:footnote w:id="80">
    <w:p w14:paraId="5D76C0A8" w14:textId="187D0589" w:rsidR="00045C7C" w:rsidRPr="007274ED" w:rsidRDefault="00045C7C" w:rsidP="00462FF9">
      <w:pPr>
        <w:pStyle w:val="FootnoteText"/>
        <w:ind w:left="288" w:hanging="288"/>
        <w:rPr>
          <w:lang w:val="en-ZW"/>
        </w:rPr>
      </w:pPr>
      <w:r>
        <w:rPr>
          <w:rStyle w:val="FootnoteReference"/>
        </w:rPr>
        <w:footnoteRef/>
      </w:r>
      <w:r>
        <w:t xml:space="preserve"> </w:t>
      </w:r>
      <w:r w:rsidR="001673DA">
        <w:tab/>
      </w:r>
      <w:r>
        <w:rPr>
          <w:lang w:val="en-ZW"/>
        </w:rPr>
        <w:t>Assigned Commissioner’s Amended Track</w:t>
      </w:r>
      <w:r w:rsidR="001055B8">
        <w:rPr>
          <w:lang w:val="en-ZW"/>
        </w:rPr>
        <w:t> </w:t>
      </w:r>
      <w:r>
        <w:rPr>
          <w:lang w:val="en-ZW"/>
        </w:rPr>
        <w:t>5 Scoping</w:t>
      </w:r>
      <w:r w:rsidR="001055B8">
        <w:rPr>
          <w:lang w:val="en-ZW"/>
        </w:rPr>
        <w:t> </w:t>
      </w:r>
      <w:r>
        <w:rPr>
          <w:lang w:val="en-ZW"/>
        </w:rPr>
        <w:t>Memo, January</w:t>
      </w:r>
      <w:r w:rsidR="001055B8">
        <w:rPr>
          <w:lang w:val="en-ZW"/>
        </w:rPr>
        <w:t> </w:t>
      </w:r>
      <w:r>
        <w:rPr>
          <w:lang w:val="en-ZW"/>
        </w:rPr>
        <w:t>14,</w:t>
      </w:r>
      <w:r w:rsidR="001055B8">
        <w:rPr>
          <w:lang w:val="en-ZW"/>
        </w:rPr>
        <w:t> </w:t>
      </w:r>
      <w:r>
        <w:rPr>
          <w:lang w:val="en-ZW"/>
        </w:rPr>
        <w:t>2022, at</w:t>
      </w:r>
      <w:r w:rsidR="001055B8">
        <w:rPr>
          <w:lang w:val="en-ZW"/>
        </w:rPr>
        <w:t> </w:t>
      </w:r>
      <w:r>
        <w:rPr>
          <w:lang w:val="en-ZW"/>
        </w:rPr>
        <w:t>9.</w:t>
      </w:r>
    </w:p>
  </w:footnote>
  <w:footnote w:id="81">
    <w:p w14:paraId="31026581" w14:textId="1E6A59D6" w:rsidR="0005621D" w:rsidRPr="00963B1E" w:rsidRDefault="0005621D" w:rsidP="00D41D53">
      <w:pPr>
        <w:pStyle w:val="FootnoteText"/>
        <w:ind w:left="288" w:hanging="288"/>
        <w:rPr>
          <w:lang w:val="en-ZW"/>
        </w:rPr>
      </w:pPr>
      <w:r>
        <w:rPr>
          <w:rStyle w:val="FootnoteReference"/>
        </w:rPr>
        <w:footnoteRef/>
      </w:r>
      <w:r>
        <w:t xml:space="preserve"> </w:t>
      </w:r>
      <w:r w:rsidR="00520C3E">
        <w:tab/>
      </w:r>
      <w:r>
        <w:rPr>
          <w:lang w:val="en-ZW"/>
        </w:rPr>
        <w:t xml:space="preserve">Uber Comments on </w:t>
      </w:r>
      <w:r w:rsidR="000E0F2A">
        <w:rPr>
          <w:lang w:val="en-ZW"/>
        </w:rPr>
        <w:t>Proposed Decision</w:t>
      </w:r>
      <w:r>
        <w:rPr>
          <w:lang w:val="en-ZW"/>
        </w:rPr>
        <w:t xml:space="preserve"> at</w:t>
      </w:r>
      <w:r w:rsidR="00451706">
        <w:rPr>
          <w:lang w:val="en-ZW"/>
        </w:rPr>
        <w:t> </w:t>
      </w:r>
      <w:r>
        <w:rPr>
          <w:lang w:val="en-ZW"/>
        </w:rPr>
        <w:t>2.</w:t>
      </w:r>
    </w:p>
  </w:footnote>
  <w:footnote w:id="82">
    <w:p w14:paraId="2C4CFEBE" w14:textId="710524A1" w:rsidR="00285870" w:rsidRPr="00963B1E" w:rsidRDefault="00285870" w:rsidP="00D41D53">
      <w:pPr>
        <w:pStyle w:val="FootnoteText"/>
        <w:ind w:left="288" w:hanging="288"/>
        <w:rPr>
          <w:lang w:val="en-ZW"/>
        </w:rPr>
      </w:pPr>
      <w:r>
        <w:rPr>
          <w:rStyle w:val="FootnoteReference"/>
        </w:rPr>
        <w:footnoteRef/>
      </w:r>
      <w:r>
        <w:t xml:space="preserve"> </w:t>
      </w:r>
      <w:r w:rsidR="00520C3E">
        <w:tab/>
      </w:r>
      <w:r>
        <w:rPr>
          <w:lang w:val="en-ZW"/>
        </w:rPr>
        <w:t xml:space="preserve">Lyft Reply Comments </w:t>
      </w:r>
      <w:r w:rsidR="000E0F2A">
        <w:rPr>
          <w:lang w:val="en-ZW"/>
        </w:rPr>
        <w:t xml:space="preserve">on Proposed Decision </w:t>
      </w:r>
      <w:r>
        <w:rPr>
          <w:lang w:val="en-ZW"/>
        </w:rPr>
        <w:t>at</w:t>
      </w:r>
      <w:r w:rsidR="00451706">
        <w:rPr>
          <w:lang w:val="en-ZW"/>
        </w:rPr>
        <w:t> </w:t>
      </w:r>
      <w:r>
        <w:rPr>
          <w:lang w:val="en-ZW"/>
        </w:rPr>
        <w:t>4.</w:t>
      </w:r>
    </w:p>
  </w:footnote>
  <w:footnote w:id="83">
    <w:p w14:paraId="3429CF51" w14:textId="1DA97879" w:rsidR="00783A1B" w:rsidRPr="00D41D53" w:rsidRDefault="00783A1B" w:rsidP="00D41D53">
      <w:pPr>
        <w:pStyle w:val="FootnoteText"/>
        <w:ind w:left="288" w:hanging="288"/>
        <w:rPr>
          <w:lang w:val="en-ZW"/>
        </w:rPr>
      </w:pPr>
      <w:r>
        <w:rPr>
          <w:rStyle w:val="FootnoteReference"/>
        </w:rPr>
        <w:footnoteRef/>
      </w:r>
      <w:r>
        <w:t xml:space="preserve"> </w:t>
      </w:r>
      <w:r w:rsidR="00520C3E">
        <w:tab/>
      </w:r>
      <w:r>
        <w:rPr>
          <w:lang w:val="en-ZW"/>
        </w:rPr>
        <w:t xml:space="preserve">Disability Advocates Reply Comments on </w:t>
      </w:r>
      <w:r w:rsidR="000E0F2A">
        <w:rPr>
          <w:lang w:val="en-ZW"/>
        </w:rPr>
        <w:t xml:space="preserve">Proposed Decision </w:t>
      </w:r>
      <w:r>
        <w:rPr>
          <w:lang w:val="en-ZW"/>
        </w:rPr>
        <w:t>at</w:t>
      </w:r>
      <w:r w:rsidR="005C4816">
        <w:rPr>
          <w:lang w:val="en-ZW"/>
        </w:rPr>
        <w:t> </w:t>
      </w:r>
      <w:r>
        <w:rPr>
          <w:lang w:val="en-ZW"/>
        </w:rPr>
        <w:t>1</w:t>
      </w:r>
      <w:r w:rsidR="000E0F2A">
        <w:rPr>
          <w:lang w:val="en-ZW"/>
        </w:rPr>
        <w:t xml:space="preserve">, </w:t>
      </w:r>
      <w:r w:rsidR="00AE3522">
        <w:rPr>
          <w:lang w:val="en-ZW"/>
        </w:rPr>
        <w:t>S</w:t>
      </w:r>
      <w:r w:rsidR="000E0F2A">
        <w:rPr>
          <w:lang w:val="en-ZW"/>
        </w:rPr>
        <w:t>an</w:t>
      </w:r>
      <w:r w:rsidR="005C4816">
        <w:rPr>
          <w:lang w:val="en-ZW"/>
        </w:rPr>
        <w:t> </w:t>
      </w:r>
      <w:r w:rsidR="000E0F2A">
        <w:rPr>
          <w:lang w:val="en-ZW"/>
        </w:rPr>
        <w:t>Francisco</w:t>
      </w:r>
      <w:r w:rsidR="00AE3522">
        <w:rPr>
          <w:lang w:val="en-ZW"/>
        </w:rPr>
        <w:t xml:space="preserve"> </w:t>
      </w:r>
      <w:r w:rsidR="000E0F2A">
        <w:rPr>
          <w:lang w:val="en-ZW"/>
        </w:rPr>
        <w:t>R</w:t>
      </w:r>
      <w:r w:rsidR="00AE3522">
        <w:rPr>
          <w:lang w:val="en-ZW"/>
        </w:rPr>
        <w:t>eply</w:t>
      </w:r>
      <w:r w:rsidR="005C4816">
        <w:rPr>
          <w:lang w:val="en-ZW"/>
        </w:rPr>
        <w:t> </w:t>
      </w:r>
      <w:r w:rsidR="00AE3522">
        <w:rPr>
          <w:lang w:val="en-ZW"/>
        </w:rPr>
        <w:t xml:space="preserve">Comments </w:t>
      </w:r>
      <w:r w:rsidR="000E0F2A">
        <w:rPr>
          <w:lang w:val="en-ZW"/>
        </w:rPr>
        <w:t xml:space="preserve">on Proposed Decision </w:t>
      </w:r>
      <w:r w:rsidR="00AE3522">
        <w:rPr>
          <w:lang w:val="en-ZW"/>
        </w:rPr>
        <w:t>at</w:t>
      </w:r>
      <w:r w:rsidR="005C4816">
        <w:rPr>
          <w:lang w:val="en-ZW"/>
        </w:rPr>
        <w:t> </w:t>
      </w:r>
      <w:r w:rsidR="00AE3522">
        <w:rPr>
          <w:lang w:val="en-ZW"/>
        </w:rPr>
        <w:t>2.</w:t>
      </w:r>
    </w:p>
  </w:footnote>
  <w:footnote w:id="84">
    <w:p w14:paraId="151116CF" w14:textId="097F68F1" w:rsidR="00896A7D" w:rsidRPr="00963B1E" w:rsidRDefault="00896A7D" w:rsidP="00D41D53">
      <w:pPr>
        <w:pStyle w:val="FootnoteText"/>
        <w:ind w:left="288" w:hanging="288"/>
        <w:rPr>
          <w:lang w:val="en-ZW"/>
        </w:rPr>
      </w:pPr>
      <w:r>
        <w:rPr>
          <w:rStyle w:val="FootnoteReference"/>
        </w:rPr>
        <w:footnoteRef/>
      </w:r>
      <w:r>
        <w:t xml:space="preserve"> </w:t>
      </w:r>
      <w:r w:rsidR="00520C3E">
        <w:tab/>
      </w:r>
      <w:r>
        <w:rPr>
          <w:lang w:val="en-ZW"/>
        </w:rPr>
        <w:t xml:space="preserve">Lyft Comments on </w:t>
      </w:r>
      <w:r w:rsidR="000E0F2A">
        <w:rPr>
          <w:lang w:val="en-ZW"/>
        </w:rPr>
        <w:t xml:space="preserve">Proposed Decision </w:t>
      </w:r>
      <w:r>
        <w:rPr>
          <w:lang w:val="en-ZW"/>
        </w:rPr>
        <w:t>at</w:t>
      </w:r>
      <w:r w:rsidR="005C4816">
        <w:rPr>
          <w:lang w:val="en-ZW"/>
        </w:rPr>
        <w:t> </w:t>
      </w:r>
      <w:r>
        <w:rPr>
          <w:lang w:val="en-ZW"/>
        </w:rPr>
        <w:t>3.</w:t>
      </w:r>
    </w:p>
  </w:footnote>
  <w:footnote w:id="85">
    <w:p w14:paraId="4BA4C882" w14:textId="6614B50C" w:rsidR="00896A7D" w:rsidRPr="00963B1E" w:rsidRDefault="00896A7D" w:rsidP="00D41D53">
      <w:pPr>
        <w:pStyle w:val="FootnoteText"/>
        <w:ind w:left="288" w:hanging="288"/>
        <w:rPr>
          <w:lang w:val="en-ZW"/>
        </w:rPr>
      </w:pPr>
      <w:r>
        <w:rPr>
          <w:rStyle w:val="FootnoteReference"/>
        </w:rPr>
        <w:footnoteRef/>
      </w:r>
      <w:r>
        <w:t xml:space="preserve"> </w:t>
      </w:r>
      <w:r w:rsidR="00520C3E">
        <w:tab/>
      </w:r>
      <w:r w:rsidR="000E0F2A">
        <w:rPr>
          <w:lang w:val="en-ZW"/>
        </w:rPr>
        <w:t>San</w:t>
      </w:r>
      <w:r w:rsidR="005C4816">
        <w:rPr>
          <w:lang w:val="en-ZW"/>
        </w:rPr>
        <w:t> </w:t>
      </w:r>
      <w:r w:rsidR="000E0F2A">
        <w:rPr>
          <w:lang w:val="en-ZW"/>
        </w:rPr>
        <w:t>Francisco</w:t>
      </w:r>
      <w:r>
        <w:rPr>
          <w:lang w:val="en-ZW"/>
        </w:rPr>
        <w:t xml:space="preserve"> Reply</w:t>
      </w:r>
      <w:r w:rsidR="005C4816">
        <w:rPr>
          <w:lang w:val="en-ZW"/>
        </w:rPr>
        <w:t> </w:t>
      </w:r>
      <w:r>
        <w:rPr>
          <w:lang w:val="en-ZW"/>
        </w:rPr>
        <w:t xml:space="preserve">Comments </w:t>
      </w:r>
      <w:r w:rsidR="000E0F2A">
        <w:rPr>
          <w:lang w:val="en-ZW"/>
        </w:rPr>
        <w:t xml:space="preserve">on Proposed Decision </w:t>
      </w:r>
      <w:r>
        <w:rPr>
          <w:lang w:val="en-ZW"/>
        </w:rPr>
        <w:t>at 2</w:t>
      </w:r>
      <w:r w:rsidR="000E0F2A">
        <w:rPr>
          <w:lang w:val="en-ZW"/>
        </w:rPr>
        <w:t xml:space="preserve">, Disability Advocates </w:t>
      </w:r>
      <w:r>
        <w:rPr>
          <w:lang w:val="en-ZW"/>
        </w:rPr>
        <w:t>Reply</w:t>
      </w:r>
      <w:r w:rsidR="005C4816">
        <w:rPr>
          <w:lang w:val="en-ZW"/>
        </w:rPr>
        <w:t> </w:t>
      </w:r>
      <w:r>
        <w:rPr>
          <w:lang w:val="en-ZW"/>
        </w:rPr>
        <w:t xml:space="preserve">Comments </w:t>
      </w:r>
      <w:r w:rsidR="000E0F2A">
        <w:rPr>
          <w:lang w:val="en-ZW"/>
        </w:rPr>
        <w:t xml:space="preserve">on Proposed Decision </w:t>
      </w:r>
      <w:r>
        <w:rPr>
          <w:lang w:val="en-ZW"/>
        </w:rPr>
        <w:t>at</w:t>
      </w:r>
      <w:r w:rsidR="005C4816">
        <w:rPr>
          <w:lang w:val="en-ZW"/>
        </w:rPr>
        <w:t> </w:t>
      </w:r>
      <w:r>
        <w:rPr>
          <w:lang w:val="en-ZW"/>
        </w:rPr>
        <w:t>2.</w:t>
      </w:r>
    </w:p>
  </w:footnote>
  <w:footnote w:id="86">
    <w:p w14:paraId="3A9EBBA1" w14:textId="382A6150" w:rsidR="00896A7D" w:rsidRPr="005706CE" w:rsidRDefault="00896A7D" w:rsidP="00D41D53">
      <w:pPr>
        <w:pStyle w:val="FootnoteText"/>
        <w:ind w:left="288" w:hanging="288"/>
        <w:rPr>
          <w:lang w:val="en-ZW"/>
        </w:rPr>
      </w:pPr>
      <w:r>
        <w:rPr>
          <w:rStyle w:val="FootnoteReference"/>
        </w:rPr>
        <w:footnoteRef/>
      </w:r>
      <w:r>
        <w:t xml:space="preserve"> </w:t>
      </w:r>
      <w:r w:rsidR="00520C3E">
        <w:tab/>
      </w:r>
      <w:r>
        <w:rPr>
          <w:lang w:val="en-ZW"/>
        </w:rPr>
        <w:t>Disability Advocates Comments on Proposed Decision at 6</w:t>
      </w:r>
      <w:r w:rsidR="000E0F2A">
        <w:rPr>
          <w:lang w:val="en-ZW"/>
        </w:rPr>
        <w:t xml:space="preserve">, </w:t>
      </w:r>
      <w:r>
        <w:rPr>
          <w:lang w:val="en-ZW"/>
        </w:rPr>
        <w:t xml:space="preserve">San Francisco Comments on </w:t>
      </w:r>
      <w:r w:rsidR="000E0F2A">
        <w:rPr>
          <w:lang w:val="en-ZW"/>
        </w:rPr>
        <w:t xml:space="preserve">Proposed Decision </w:t>
      </w:r>
      <w:r>
        <w:rPr>
          <w:lang w:val="en-ZW"/>
        </w:rPr>
        <w:t>at 5.</w:t>
      </w:r>
    </w:p>
  </w:footnote>
  <w:footnote w:id="87">
    <w:p w14:paraId="1DE0C0B9" w14:textId="1B492F06" w:rsidR="000639F6" w:rsidRPr="00963B1E" w:rsidRDefault="000639F6" w:rsidP="00D41D53">
      <w:pPr>
        <w:pStyle w:val="FootnoteText"/>
        <w:ind w:left="288" w:hanging="288"/>
        <w:rPr>
          <w:lang w:val="en-ZW"/>
        </w:rPr>
      </w:pPr>
      <w:r>
        <w:rPr>
          <w:rStyle w:val="FootnoteReference"/>
        </w:rPr>
        <w:footnoteRef/>
      </w:r>
      <w:r>
        <w:t xml:space="preserve"> </w:t>
      </w:r>
      <w:r w:rsidR="00520C3E">
        <w:tab/>
      </w:r>
      <w:r>
        <w:rPr>
          <w:lang w:val="en-ZW"/>
        </w:rPr>
        <w:t>Uber Reply</w:t>
      </w:r>
      <w:r w:rsidR="00451706">
        <w:rPr>
          <w:lang w:val="en-ZW"/>
        </w:rPr>
        <w:t> </w:t>
      </w:r>
      <w:r>
        <w:rPr>
          <w:lang w:val="en-ZW"/>
        </w:rPr>
        <w:t xml:space="preserve">Comments </w:t>
      </w:r>
      <w:r w:rsidR="000E0F2A">
        <w:rPr>
          <w:lang w:val="en-ZW"/>
        </w:rPr>
        <w:t xml:space="preserve">on Proposed Decision </w:t>
      </w:r>
      <w:r>
        <w:rPr>
          <w:lang w:val="en-ZW"/>
        </w:rPr>
        <w:t>at</w:t>
      </w:r>
      <w:r w:rsidR="00451706">
        <w:rPr>
          <w:lang w:val="en-ZW"/>
        </w:rPr>
        <w:t> </w:t>
      </w:r>
      <w:r>
        <w:rPr>
          <w:lang w:val="en-ZW"/>
        </w:rPr>
        <w:t>2.</w:t>
      </w:r>
    </w:p>
  </w:footnote>
  <w:footnote w:id="88">
    <w:p w14:paraId="6A1AB1C2" w14:textId="619DB87E" w:rsidR="00B9746C" w:rsidRPr="00963B1E" w:rsidRDefault="00B9746C" w:rsidP="00D41D53">
      <w:pPr>
        <w:pStyle w:val="FootnoteText"/>
        <w:ind w:left="288" w:hanging="288"/>
        <w:rPr>
          <w:lang w:val="en-ZW"/>
        </w:rPr>
      </w:pPr>
      <w:r>
        <w:rPr>
          <w:rStyle w:val="FootnoteReference"/>
        </w:rPr>
        <w:footnoteRef/>
      </w:r>
      <w:r>
        <w:t xml:space="preserve"> </w:t>
      </w:r>
      <w:r w:rsidR="00520C3E">
        <w:tab/>
      </w:r>
      <w:r>
        <w:rPr>
          <w:lang w:val="en-ZW"/>
        </w:rPr>
        <w:t xml:space="preserve">Lyft Comments on </w:t>
      </w:r>
      <w:r w:rsidR="000E0F2A">
        <w:rPr>
          <w:lang w:val="en-ZW"/>
        </w:rPr>
        <w:t xml:space="preserve">Proposed Decision </w:t>
      </w:r>
      <w:r>
        <w:rPr>
          <w:lang w:val="en-ZW"/>
        </w:rPr>
        <w:t>at</w:t>
      </w:r>
      <w:r w:rsidR="00451706">
        <w:rPr>
          <w:lang w:val="en-ZW"/>
        </w:rPr>
        <w:t> </w:t>
      </w:r>
      <w:r>
        <w:rPr>
          <w:lang w:val="en-ZW"/>
        </w:rPr>
        <w:t>2.</w:t>
      </w:r>
    </w:p>
  </w:footnote>
  <w:footnote w:id="89">
    <w:p w14:paraId="1D22453B" w14:textId="0BE67F82" w:rsidR="00B9746C" w:rsidRPr="00963B1E" w:rsidRDefault="00B9746C" w:rsidP="00D41D53">
      <w:pPr>
        <w:pStyle w:val="FootnoteText"/>
        <w:ind w:left="288" w:hanging="288"/>
        <w:rPr>
          <w:lang w:val="en-ZW"/>
        </w:rPr>
      </w:pPr>
      <w:r>
        <w:rPr>
          <w:rStyle w:val="FootnoteReference"/>
        </w:rPr>
        <w:footnoteRef/>
      </w:r>
      <w:r>
        <w:t xml:space="preserve"> </w:t>
      </w:r>
      <w:r w:rsidR="00520C3E">
        <w:tab/>
      </w:r>
      <w:r>
        <w:rPr>
          <w:lang w:val="en-ZW"/>
        </w:rPr>
        <w:t xml:space="preserve">Disability Advocates Reply Comments on </w:t>
      </w:r>
      <w:r w:rsidR="000E0F2A">
        <w:rPr>
          <w:lang w:val="en-ZW"/>
        </w:rPr>
        <w:t xml:space="preserve">Proposed Decision </w:t>
      </w:r>
      <w:r>
        <w:rPr>
          <w:lang w:val="en-ZW"/>
        </w:rPr>
        <w:t xml:space="preserve">at 1, </w:t>
      </w:r>
      <w:r w:rsidR="000E0F2A">
        <w:rPr>
          <w:lang w:val="en-ZW"/>
        </w:rPr>
        <w:t>San Francisco</w:t>
      </w:r>
      <w:r>
        <w:rPr>
          <w:lang w:val="en-ZW"/>
        </w:rPr>
        <w:t xml:space="preserve"> Reply</w:t>
      </w:r>
      <w:r w:rsidR="00451706">
        <w:rPr>
          <w:lang w:val="en-ZW"/>
        </w:rPr>
        <w:t> </w:t>
      </w:r>
      <w:r>
        <w:rPr>
          <w:lang w:val="en-ZW"/>
        </w:rPr>
        <w:t xml:space="preserve">Comments on </w:t>
      </w:r>
      <w:r w:rsidR="000E0F2A">
        <w:rPr>
          <w:lang w:val="en-ZW"/>
        </w:rPr>
        <w:t xml:space="preserve">Proposed Decision </w:t>
      </w:r>
      <w:r>
        <w:rPr>
          <w:lang w:val="en-ZW"/>
        </w:rPr>
        <w:t>at</w:t>
      </w:r>
      <w:r w:rsidR="00451706">
        <w:rPr>
          <w:lang w:val="en-ZW"/>
        </w:rPr>
        <w:t> </w:t>
      </w:r>
      <w:r>
        <w:rPr>
          <w:lang w:val="en-ZW"/>
        </w:rPr>
        <w:t>1.</w:t>
      </w:r>
    </w:p>
  </w:footnote>
  <w:footnote w:id="90">
    <w:p w14:paraId="780AE589" w14:textId="24B65AFF" w:rsidR="00D5692C" w:rsidRPr="00D41D53" w:rsidRDefault="00D5692C" w:rsidP="00D41D53">
      <w:pPr>
        <w:pStyle w:val="FootnoteText"/>
        <w:ind w:left="288" w:hanging="288"/>
        <w:rPr>
          <w:lang w:val="en-ZW"/>
        </w:rPr>
      </w:pPr>
      <w:r>
        <w:rPr>
          <w:rStyle w:val="FootnoteReference"/>
        </w:rPr>
        <w:footnoteRef/>
      </w:r>
      <w:r>
        <w:t xml:space="preserve"> </w:t>
      </w:r>
      <w:r w:rsidR="00520C3E">
        <w:tab/>
      </w:r>
      <w:r>
        <w:rPr>
          <w:lang w:val="en-ZW"/>
        </w:rPr>
        <w:t xml:space="preserve">Uber Comments on </w:t>
      </w:r>
      <w:r w:rsidR="000E0F2A">
        <w:rPr>
          <w:lang w:val="en-ZW"/>
        </w:rPr>
        <w:t xml:space="preserve">Proposed Decision </w:t>
      </w:r>
      <w:r>
        <w:rPr>
          <w:lang w:val="en-ZW"/>
        </w:rPr>
        <w:t>at</w:t>
      </w:r>
      <w:r w:rsidR="00451706">
        <w:rPr>
          <w:lang w:val="en-ZW"/>
        </w:rPr>
        <w:t> </w:t>
      </w:r>
      <w:r>
        <w:rPr>
          <w:lang w:val="en-ZW"/>
        </w:rPr>
        <w:t>6.</w:t>
      </w:r>
    </w:p>
  </w:footnote>
  <w:footnote w:id="91">
    <w:p w14:paraId="3C5F673C" w14:textId="1A74D769" w:rsidR="004D741B" w:rsidRPr="00D41D53" w:rsidRDefault="004D741B" w:rsidP="00D41D53">
      <w:pPr>
        <w:pStyle w:val="FootnoteText"/>
        <w:ind w:left="288" w:hanging="288"/>
        <w:rPr>
          <w:lang w:val="en-ZW"/>
        </w:rPr>
      </w:pPr>
      <w:r>
        <w:rPr>
          <w:rStyle w:val="FootnoteReference"/>
        </w:rPr>
        <w:footnoteRef/>
      </w:r>
      <w:r>
        <w:t xml:space="preserve"> </w:t>
      </w:r>
      <w:r w:rsidR="00520C3E">
        <w:tab/>
      </w:r>
      <w:r>
        <w:rPr>
          <w:lang w:val="en-ZW"/>
        </w:rPr>
        <w:t xml:space="preserve">Lyft Reply Comments on </w:t>
      </w:r>
      <w:r w:rsidR="000E0F2A">
        <w:rPr>
          <w:lang w:val="en-ZW"/>
        </w:rPr>
        <w:t xml:space="preserve">Proposed Decision </w:t>
      </w:r>
      <w:r>
        <w:rPr>
          <w:lang w:val="en-ZW"/>
        </w:rPr>
        <w:t>at</w:t>
      </w:r>
      <w:r w:rsidR="00451706">
        <w:rPr>
          <w:lang w:val="en-ZW"/>
        </w:rPr>
        <w:t> </w:t>
      </w:r>
      <w:r>
        <w:rPr>
          <w:lang w:val="en-ZW"/>
        </w:rPr>
        <w:t>5</w:t>
      </w:r>
      <w:r w:rsidR="000E0F2A">
        <w:rPr>
          <w:lang w:val="en-ZW"/>
        </w:rPr>
        <w:t>,</w:t>
      </w:r>
      <w:r w:rsidR="00F26348">
        <w:rPr>
          <w:lang w:val="en-ZW"/>
        </w:rPr>
        <w:t xml:space="preserve"> </w:t>
      </w:r>
      <w:r w:rsidR="000E0F2A">
        <w:rPr>
          <w:lang w:val="en-ZW"/>
        </w:rPr>
        <w:t>San</w:t>
      </w:r>
      <w:r w:rsidR="00451706">
        <w:rPr>
          <w:lang w:val="en-ZW"/>
        </w:rPr>
        <w:t> </w:t>
      </w:r>
      <w:r w:rsidR="000E0F2A">
        <w:rPr>
          <w:lang w:val="en-ZW"/>
        </w:rPr>
        <w:t>Francisco</w:t>
      </w:r>
      <w:r w:rsidR="00F26348">
        <w:rPr>
          <w:lang w:val="en-ZW"/>
        </w:rPr>
        <w:t xml:space="preserve"> Reply</w:t>
      </w:r>
      <w:r w:rsidR="00451706">
        <w:rPr>
          <w:lang w:val="en-ZW"/>
        </w:rPr>
        <w:t> </w:t>
      </w:r>
      <w:r w:rsidR="00F26348">
        <w:rPr>
          <w:lang w:val="en-ZW"/>
        </w:rPr>
        <w:t xml:space="preserve">Comments </w:t>
      </w:r>
      <w:r w:rsidR="000E0F2A">
        <w:rPr>
          <w:lang w:val="en-ZW"/>
        </w:rPr>
        <w:t xml:space="preserve">on Proposed Decision </w:t>
      </w:r>
      <w:r w:rsidR="00F26348">
        <w:rPr>
          <w:lang w:val="en-ZW"/>
        </w:rPr>
        <w:t>at</w:t>
      </w:r>
      <w:r w:rsidR="00451706">
        <w:rPr>
          <w:lang w:val="en-ZW"/>
        </w:rPr>
        <w:t> </w:t>
      </w:r>
      <w:r w:rsidR="00F26348">
        <w:rPr>
          <w:lang w:val="en-ZW"/>
        </w:rPr>
        <w:t>4.</w:t>
      </w:r>
    </w:p>
  </w:footnote>
  <w:footnote w:id="92">
    <w:p w14:paraId="04464A74" w14:textId="23055269" w:rsidR="00F91D3C" w:rsidRPr="005706CE" w:rsidRDefault="00F91D3C" w:rsidP="00D41D53">
      <w:pPr>
        <w:pStyle w:val="FootnoteText"/>
        <w:ind w:left="288" w:hanging="288"/>
        <w:rPr>
          <w:lang w:val="en-ZW"/>
        </w:rPr>
      </w:pPr>
      <w:r>
        <w:rPr>
          <w:rStyle w:val="FootnoteReference"/>
        </w:rPr>
        <w:footnoteRef/>
      </w:r>
      <w:r>
        <w:t xml:space="preserve"> </w:t>
      </w:r>
      <w:r w:rsidR="00520C3E">
        <w:tab/>
      </w:r>
      <w:r>
        <w:rPr>
          <w:lang w:val="en-ZW"/>
        </w:rPr>
        <w:t xml:space="preserve">Uber Comments on </w:t>
      </w:r>
      <w:r w:rsidR="000E0F2A">
        <w:rPr>
          <w:lang w:val="en-ZW"/>
        </w:rPr>
        <w:t xml:space="preserve">Proposed Decision </w:t>
      </w:r>
      <w:r>
        <w:rPr>
          <w:lang w:val="en-ZW"/>
        </w:rPr>
        <w:t>at</w:t>
      </w:r>
      <w:r w:rsidR="00451706">
        <w:rPr>
          <w:lang w:val="en-ZW"/>
        </w:rPr>
        <w:t> </w:t>
      </w:r>
      <w:r>
        <w:rPr>
          <w:lang w:val="en-ZW"/>
        </w:rPr>
        <w:t xml:space="preserve">6, Lyft Comments on </w:t>
      </w:r>
      <w:r w:rsidR="000E0F2A">
        <w:rPr>
          <w:lang w:val="en-ZW"/>
        </w:rPr>
        <w:t xml:space="preserve">Proposed Decision </w:t>
      </w:r>
      <w:r>
        <w:rPr>
          <w:lang w:val="en-ZW"/>
        </w:rPr>
        <w:t>at</w:t>
      </w:r>
      <w:r w:rsidR="00451706">
        <w:rPr>
          <w:lang w:val="en-ZW"/>
        </w:rPr>
        <w:t> </w:t>
      </w:r>
      <w:r>
        <w:rPr>
          <w:lang w:val="en-ZW"/>
        </w:rPr>
        <w:t>8.</w:t>
      </w:r>
    </w:p>
  </w:footnote>
  <w:footnote w:id="93">
    <w:p w14:paraId="53315342" w14:textId="4D199BD7" w:rsidR="003C19D1" w:rsidRPr="00963B1E" w:rsidRDefault="003C19D1" w:rsidP="00D41D53">
      <w:pPr>
        <w:pStyle w:val="FootnoteText"/>
        <w:ind w:left="288" w:hanging="288"/>
        <w:rPr>
          <w:lang w:val="en-ZW"/>
        </w:rPr>
      </w:pPr>
      <w:r>
        <w:rPr>
          <w:rStyle w:val="FootnoteReference"/>
        </w:rPr>
        <w:footnoteRef/>
      </w:r>
      <w:r>
        <w:t xml:space="preserve"> </w:t>
      </w:r>
      <w:r w:rsidR="00520C3E">
        <w:tab/>
      </w:r>
      <w:r w:rsidR="000E0F2A">
        <w:rPr>
          <w:lang w:val="en-ZW"/>
        </w:rPr>
        <w:t>Disability Advocates</w:t>
      </w:r>
      <w:r>
        <w:rPr>
          <w:lang w:val="en-ZW"/>
        </w:rPr>
        <w:t xml:space="preserve"> Reply</w:t>
      </w:r>
      <w:r w:rsidR="00451706">
        <w:rPr>
          <w:lang w:val="en-ZW"/>
        </w:rPr>
        <w:t> </w:t>
      </w:r>
      <w:r>
        <w:rPr>
          <w:lang w:val="en-ZW"/>
        </w:rPr>
        <w:t xml:space="preserve">Comments on </w:t>
      </w:r>
      <w:r w:rsidR="000E0F2A">
        <w:rPr>
          <w:lang w:val="en-ZW"/>
        </w:rPr>
        <w:t xml:space="preserve">Proposed Decision </w:t>
      </w:r>
      <w:r>
        <w:rPr>
          <w:lang w:val="en-ZW"/>
        </w:rPr>
        <w:t>at</w:t>
      </w:r>
      <w:r w:rsidR="00451706">
        <w:rPr>
          <w:lang w:val="en-ZW"/>
        </w:rPr>
        <w:t> </w:t>
      </w:r>
      <w:r>
        <w:rPr>
          <w:lang w:val="en-ZW"/>
        </w:rPr>
        <w:t>4.</w:t>
      </w:r>
    </w:p>
  </w:footnote>
  <w:footnote w:id="94">
    <w:p w14:paraId="2B25C687" w14:textId="77108119" w:rsidR="00085438" w:rsidRPr="00D41D53" w:rsidRDefault="00085438" w:rsidP="00D41D53">
      <w:pPr>
        <w:pStyle w:val="FootnoteText"/>
        <w:ind w:left="288" w:hanging="288"/>
        <w:rPr>
          <w:lang w:val="en-ZW"/>
        </w:rPr>
      </w:pPr>
      <w:r>
        <w:rPr>
          <w:rStyle w:val="FootnoteReference"/>
        </w:rPr>
        <w:footnoteRef/>
      </w:r>
      <w:r>
        <w:t xml:space="preserve"> </w:t>
      </w:r>
      <w:r w:rsidR="00520C3E">
        <w:tab/>
      </w:r>
      <w:r w:rsidR="000E0F2A">
        <w:rPr>
          <w:lang w:val="en-ZW"/>
        </w:rPr>
        <w:t>San</w:t>
      </w:r>
      <w:r w:rsidR="00451706">
        <w:rPr>
          <w:lang w:val="en-ZW"/>
        </w:rPr>
        <w:t> </w:t>
      </w:r>
      <w:r w:rsidR="000E0F2A">
        <w:rPr>
          <w:lang w:val="en-ZW"/>
        </w:rPr>
        <w:t>Francisco</w:t>
      </w:r>
      <w:r>
        <w:rPr>
          <w:lang w:val="en-ZW"/>
        </w:rPr>
        <w:t xml:space="preserve"> Reply</w:t>
      </w:r>
      <w:r w:rsidR="00451706">
        <w:rPr>
          <w:lang w:val="en-ZW"/>
        </w:rPr>
        <w:t> </w:t>
      </w:r>
      <w:r>
        <w:rPr>
          <w:lang w:val="en-ZW"/>
        </w:rPr>
        <w:t>Comments</w:t>
      </w:r>
      <w:r w:rsidR="000E0F2A">
        <w:rPr>
          <w:lang w:val="en-ZW"/>
        </w:rPr>
        <w:t xml:space="preserve"> on</w:t>
      </w:r>
      <w:r w:rsidR="000E0F2A" w:rsidRPr="000E0F2A">
        <w:rPr>
          <w:lang w:val="en-ZW"/>
        </w:rPr>
        <w:t xml:space="preserve"> </w:t>
      </w:r>
      <w:r w:rsidR="000E0F2A">
        <w:rPr>
          <w:lang w:val="en-ZW"/>
        </w:rPr>
        <w:t>Proposed Decision</w:t>
      </w:r>
      <w:r>
        <w:rPr>
          <w:lang w:val="en-ZW"/>
        </w:rPr>
        <w:t xml:space="preserve"> at</w:t>
      </w:r>
      <w:r w:rsidR="00451706">
        <w:rPr>
          <w:lang w:val="en-ZW"/>
        </w:rPr>
        <w:t> </w:t>
      </w:r>
      <w:r>
        <w:rPr>
          <w:lang w:val="en-ZW"/>
        </w:rPr>
        <w:t>4.</w:t>
      </w:r>
    </w:p>
  </w:footnote>
  <w:footnote w:id="95">
    <w:p w14:paraId="7C7DC527" w14:textId="0F68A6FA" w:rsidR="00CA3B29" w:rsidRPr="006F01C8" w:rsidRDefault="00CA3B29" w:rsidP="00D41D53">
      <w:pPr>
        <w:pStyle w:val="FootnoteText"/>
        <w:ind w:left="288" w:hanging="288"/>
        <w:rPr>
          <w:lang w:val="en-ZW"/>
        </w:rPr>
      </w:pPr>
      <w:r>
        <w:rPr>
          <w:rStyle w:val="FootnoteReference"/>
        </w:rPr>
        <w:footnoteRef/>
      </w:r>
      <w:r>
        <w:t xml:space="preserve"> </w:t>
      </w:r>
      <w:r w:rsidR="00520C3E">
        <w:tab/>
      </w:r>
      <w:r>
        <w:rPr>
          <w:lang w:val="en-ZW"/>
        </w:rPr>
        <w:t>San</w:t>
      </w:r>
      <w:r w:rsidR="00451706">
        <w:rPr>
          <w:lang w:val="en-ZW"/>
        </w:rPr>
        <w:t> </w:t>
      </w:r>
      <w:r>
        <w:rPr>
          <w:lang w:val="en-ZW"/>
        </w:rPr>
        <w:t xml:space="preserve">Francisco Comments </w:t>
      </w:r>
      <w:r w:rsidR="000E0F2A">
        <w:rPr>
          <w:lang w:val="en-ZW"/>
        </w:rPr>
        <w:t>on Proposed</w:t>
      </w:r>
      <w:r w:rsidR="00451706">
        <w:rPr>
          <w:lang w:val="en-ZW"/>
        </w:rPr>
        <w:t> </w:t>
      </w:r>
      <w:r w:rsidR="000E0F2A">
        <w:rPr>
          <w:lang w:val="en-ZW"/>
        </w:rPr>
        <w:t xml:space="preserve">Decision </w:t>
      </w:r>
      <w:r>
        <w:rPr>
          <w:lang w:val="en-ZW"/>
        </w:rPr>
        <w:t>at</w:t>
      </w:r>
      <w:r w:rsidR="00451706">
        <w:rPr>
          <w:lang w:val="en-ZW"/>
        </w:rPr>
        <w:t> </w:t>
      </w:r>
      <w:r>
        <w:rPr>
          <w:lang w:val="en-ZW"/>
        </w:rPr>
        <w:t>2-3.</w:t>
      </w:r>
    </w:p>
  </w:footnote>
  <w:footnote w:id="96">
    <w:p w14:paraId="74E2135D" w14:textId="093FE38B" w:rsidR="00CA3B29" w:rsidRPr="00963B1E" w:rsidRDefault="00CA3B29" w:rsidP="00D41D53">
      <w:pPr>
        <w:pStyle w:val="FootnoteText"/>
        <w:ind w:left="288" w:hanging="288"/>
        <w:rPr>
          <w:lang w:val="en-ZW"/>
        </w:rPr>
      </w:pPr>
      <w:r>
        <w:rPr>
          <w:rStyle w:val="FootnoteReference"/>
        </w:rPr>
        <w:footnoteRef/>
      </w:r>
      <w:r>
        <w:t xml:space="preserve"> </w:t>
      </w:r>
      <w:r w:rsidR="00520C3E">
        <w:tab/>
      </w:r>
      <w:r>
        <w:rPr>
          <w:lang w:val="en-ZW"/>
        </w:rPr>
        <w:t>SFTWA Reply</w:t>
      </w:r>
      <w:r w:rsidR="00451706">
        <w:rPr>
          <w:lang w:val="en-ZW"/>
        </w:rPr>
        <w:t> </w:t>
      </w:r>
      <w:r>
        <w:rPr>
          <w:lang w:val="en-ZW"/>
        </w:rPr>
        <w:t xml:space="preserve">Comments </w:t>
      </w:r>
      <w:r w:rsidR="000E0F2A">
        <w:rPr>
          <w:lang w:val="en-ZW"/>
        </w:rPr>
        <w:t>on Proposed</w:t>
      </w:r>
      <w:r w:rsidR="00451706">
        <w:rPr>
          <w:lang w:val="en-ZW"/>
        </w:rPr>
        <w:t> </w:t>
      </w:r>
      <w:r w:rsidR="000E0F2A">
        <w:rPr>
          <w:lang w:val="en-ZW"/>
        </w:rPr>
        <w:t xml:space="preserve">Decision </w:t>
      </w:r>
      <w:r>
        <w:rPr>
          <w:lang w:val="en-ZW"/>
        </w:rPr>
        <w:t>at</w:t>
      </w:r>
      <w:r w:rsidR="00451706">
        <w:rPr>
          <w:lang w:val="en-ZW"/>
        </w:rPr>
        <w:t> </w:t>
      </w:r>
      <w:r>
        <w:rPr>
          <w:lang w:val="en-ZW"/>
        </w:rPr>
        <w:t>2</w:t>
      </w:r>
      <w:r w:rsidR="00CF4436">
        <w:rPr>
          <w:lang w:val="en-ZW"/>
        </w:rPr>
        <w:t xml:space="preserve">, </w:t>
      </w:r>
      <w:r>
        <w:rPr>
          <w:lang w:val="en-ZW"/>
        </w:rPr>
        <w:t>D</w:t>
      </w:r>
      <w:r w:rsidR="00CF4436">
        <w:rPr>
          <w:lang w:val="en-ZW"/>
        </w:rPr>
        <w:t>isability Advocates Reply</w:t>
      </w:r>
      <w:r w:rsidR="00451706">
        <w:rPr>
          <w:lang w:val="en-ZW"/>
        </w:rPr>
        <w:t> </w:t>
      </w:r>
      <w:r w:rsidR="00CF4436">
        <w:rPr>
          <w:lang w:val="en-ZW"/>
        </w:rPr>
        <w:t xml:space="preserve">Comments </w:t>
      </w:r>
      <w:r w:rsidR="008A5312">
        <w:rPr>
          <w:lang w:val="en-ZW"/>
        </w:rPr>
        <w:t>on Proposed</w:t>
      </w:r>
      <w:r w:rsidR="00451706">
        <w:rPr>
          <w:lang w:val="en-ZW"/>
        </w:rPr>
        <w:t> </w:t>
      </w:r>
      <w:r w:rsidR="008A5312">
        <w:rPr>
          <w:lang w:val="en-ZW"/>
        </w:rPr>
        <w:t xml:space="preserve">Decision </w:t>
      </w:r>
      <w:r w:rsidR="00CF4436">
        <w:rPr>
          <w:lang w:val="en-ZW"/>
        </w:rPr>
        <w:t>at</w:t>
      </w:r>
      <w:r w:rsidR="00451706">
        <w:rPr>
          <w:lang w:val="en-ZW"/>
        </w:rPr>
        <w:t> </w:t>
      </w:r>
      <w:r w:rsidR="00CF4436">
        <w:rPr>
          <w:lang w:val="en-ZW"/>
        </w:rPr>
        <w:t>1.</w:t>
      </w:r>
    </w:p>
  </w:footnote>
  <w:footnote w:id="97">
    <w:p w14:paraId="68311749" w14:textId="3AF0EAB7" w:rsidR="008B02D4" w:rsidRPr="005706CE" w:rsidRDefault="008B02D4" w:rsidP="00D41D53">
      <w:pPr>
        <w:pStyle w:val="FootnoteText"/>
        <w:ind w:left="288" w:hanging="288"/>
        <w:rPr>
          <w:lang w:val="en-ZW"/>
        </w:rPr>
      </w:pPr>
      <w:r>
        <w:rPr>
          <w:rStyle w:val="FootnoteReference"/>
        </w:rPr>
        <w:footnoteRef/>
      </w:r>
      <w:r>
        <w:t xml:space="preserve"> </w:t>
      </w:r>
      <w:r w:rsidR="00520C3E">
        <w:tab/>
      </w:r>
      <w:r>
        <w:rPr>
          <w:lang w:val="en-ZW"/>
        </w:rPr>
        <w:t>Disability Advocates Comments on Proposed</w:t>
      </w:r>
      <w:r w:rsidR="00451706">
        <w:rPr>
          <w:lang w:val="en-ZW"/>
        </w:rPr>
        <w:t> </w:t>
      </w:r>
      <w:r>
        <w:rPr>
          <w:lang w:val="en-ZW"/>
        </w:rPr>
        <w:t>Decision at</w:t>
      </w:r>
      <w:r w:rsidR="00451706">
        <w:rPr>
          <w:lang w:val="en-ZW"/>
        </w:rPr>
        <w:t> </w:t>
      </w:r>
      <w:r>
        <w:rPr>
          <w:lang w:val="en-ZW"/>
        </w:rPr>
        <w:t>4</w:t>
      </w:r>
      <w:r w:rsidR="00135F78">
        <w:rPr>
          <w:lang w:val="en-ZW"/>
        </w:rPr>
        <w:t>.</w:t>
      </w:r>
    </w:p>
  </w:footnote>
  <w:footnote w:id="98">
    <w:p w14:paraId="200DDAA9" w14:textId="34DEA763" w:rsidR="00CA3B29" w:rsidRPr="00963B1E" w:rsidRDefault="00CA3B29" w:rsidP="00D41D53">
      <w:pPr>
        <w:pStyle w:val="FootnoteText"/>
        <w:ind w:left="288" w:hanging="288"/>
        <w:rPr>
          <w:lang w:val="en-ZW"/>
        </w:rPr>
      </w:pPr>
      <w:r>
        <w:rPr>
          <w:rStyle w:val="FootnoteReference"/>
        </w:rPr>
        <w:footnoteRef/>
      </w:r>
      <w:r>
        <w:t xml:space="preserve"> </w:t>
      </w:r>
      <w:r w:rsidR="00520C3E">
        <w:tab/>
      </w:r>
      <w:r>
        <w:rPr>
          <w:lang w:val="en-ZW"/>
        </w:rPr>
        <w:t>Lyft Reply</w:t>
      </w:r>
      <w:r w:rsidR="00451706">
        <w:rPr>
          <w:lang w:val="en-ZW"/>
        </w:rPr>
        <w:t> </w:t>
      </w:r>
      <w:r>
        <w:rPr>
          <w:lang w:val="en-ZW"/>
        </w:rPr>
        <w:t>Comments</w:t>
      </w:r>
      <w:r w:rsidR="000E0F2A">
        <w:rPr>
          <w:lang w:val="en-ZW"/>
        </w:rPr>
        <w:t xml:space="preserve"> on Proposed</w:t>
      </w:r>
      <w:r w:rsidR="00451706">
        <w:rPr>
          <w:lang w:val="en-ZW"/>
        </w:rPr>
        <w:t> </w:t>
      </w:r>
      <w:r w:rsidR="000E0F2A">
        <w:rPr>
          <w:lang w:val="en-ZW"/>
        </w:rPr>
        <w:t>Decision</w:t>
      </w:r>
      <w:r>
        <w:rPr>
          <w:lang w:val="en-ZW"/>
        </w:rPr>
        <w:t xml:space="preserve"> at</w:t>
      </w:r>
      <w:r w:rsidR="00451706">
        <w:rPr>
          <w:lang w:val="en-ZW"/>
        </w:rPr>
        <w:t> </w:t>
      </w:r>
      <w:r>
        <w:rPr>
          <w:lang w:val="en-ZW"/>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1B8C" w14:textId="77777777" w:rsidR="00301904" w:rsidRPr="00953003" w:rsidRDefault="00301904" w:rsidP="00953003">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A4E" w14:textId="48986664" w:rsidR="007D6520" w:rsidRDefault="007D6520" w:rsidP="007D6520">
    <w:pPr>
      <w:pStyle w:val="Header"/>
      <w:tabs>
        <w:tab w:val="clear" w:pos="4680"/>
      </w:tabs>
      <w:ind w:firstLine="0"/>
      <w:rPr>
        <w:b/>
      </w:rPr>
    </w:pPr>
    <w:r w:rsidRPr="00C4517C">
      <w:t>R</w:t>
    </w:r>
    <w:r>
      <w:t>.</w:t>
    </w:r>
    <w:r w:rsidRPr="00C4517C">
      <w:t>19-02-</w:t>
    </w:r>
    <w:proofErr w:type="gramStart"/>
    <w:r w:rsidRPr="00C4517C">
      <w:t>012</w:t>
    </w:r>
    <w:r>
      <w:t xml:space="preserve">  COM</w:t>
    </w:r>
    <w:proofErr w:type="gramEnd"/>
    <w:r>
      <w:t>/GSH/mef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599F" w14:textId="601F8B99" w:rsidR="007D6520" w:rsidRDefault="007D6520" w:rsidP="007D6520">
    <w:pPr>
      <w:pStyle w:val="Header"/>
      <w:tabs>
        <w:tab w:val="clear" w:pos="4680"/>
      </w:tabs>
      <w:ind w:firstLine="0"/>
      <w:rPr>
        <w:b/>
      </w:rPr>
    </w:pPr>
    <w:r w:rsidRPr="00C4517C">
      <w:t>R</w:t>
    </w:r>
    <w:r>
      <w:t>.</w:t>
    </w:r>
    <w:r w:rsidRPr="00C4517C">
      <w:t>19-02-</w:t>
    </w:r>
    <w:proofErr w:type="gramStart"/>
    <w:r w:rsidRPr="00C4517C">
      <w:t>012</w:t>
    </w:r>
    <w:r>
      <w:t xml:space="preserve">  COM</w:t>
    </w:r>
    <w:proofErr w:type="gramEnd"/>
    <w:r>
      <w:t>/GSH/mef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9F652C"/>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B911A7"/>
    <w:multiLevelType w:val="hybridMultilevel"/>
    <w:tmpl w:val="0C3231EE"/>
    <w:lvl w:ilvl="0" w:tplc="4B789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B57C5"/>
    <w:multiLevelType w:val="hybridMultilevel"/>
    <w:tmpl w:val="868640FE"/>
    <w:lvl w:ilvl="0" w:tplc="241E1D7C">
      <w:start w:val="3"/>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7292F"/>
    <w:multiLevelType w:val="hybridMultilevel"/>
    <w:tmpl w:val="6E38BACE"/>
    <w:lvl w:ilvl="0" w:tplc="31341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C1C14"/>
    <w:multiLevelType w:val="multilevel"/>
    <w:tmpl w:val="18F4A5AC"/>
    <w:styleLink w:val="FoFCoLOP"/>
    <w:lvl w:ilvl="0">
      <w:start w:val="1"/>
      <w:numFmt w:val="decimal"/>
      <w:pStyle w:val="FoF"/>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6" w15:restartNumberingAfterBreak="0">
    <w:nsid w:val="15F056CB"/>
    <w:multiLevelType w:val="multilevel"/>
    <w:tmpl w:val="18F4A5AC"/>
    <w:numStyleLink w:val="FoFCoLOP"/>
  </w:abstractNum>
  <w:abstractNum w:abstractNumId="7"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14652"/>
    <w:multiLevelType w:val="hybridMultilevel"/>
    <w:tmpl w:val="0C3231E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D70038F"/>
    <w:multiLevelType w:val="multilevel"/>
    <w:tmpl w:val="3C526EDE"/>
    <w:numStyleLink w:val="Headings"/>
  </w:abstractNum>
  <w:abstractNum w:abstractNumId="10" w15:restartNumberingAfterBreak="0">
    <w:nsid w:val="1E2242C9"/>
    <w:multiLevelType w:val="multilevel"/>
    <w:tmpl w:val="3C526EDE"/>
    <w:numStyleLink w:val="Headings"/>
  </w:abstractNum>
  <w:abstractNum w:abstractNumId="11" w15:restartNumberingAfterBreak="0">
    <w:nsid w:val="21FB58FE"/>
    <w:multiLevelType w:val="multilevel"/>
    <w:tmpl w:val="3C526EDE"/>
    <w:numStyleLink w:val="Headings"/>
  </w:abstractNum>
  <w:abstractNum w:abstractNumId="12" w15:restartNumberingAfterBreak="0">
    <w:nsid w:val="243663A0"/>
    <w:multiLevelType w:val="multilevel"/>
    <w:tmpl w:val="3C526EDE"/>
    <w:numStyleLink w:val="Headings"/>
  </w:abstractNum>
  <w:abstractNum w:abstractNumId="13" w15:restartNumberingAfterBreak="0">
    <w:nsid w:val="284E79A6"/>
    <w:multiLevelType w:val="hybridMultilevel"/>
    <w:tmpl w:val="3E209B02"/>
    <w:lvl w:ilvl="0" w:tplc="FFFFFFFF">
      <w:start w:val="1"/>
      <w:numFmt w:val="decimal"/>
      <w:lvlText w:val="(%1)"/>
      <w:lvlJc w:val="left"/>
      <w:pPr>
        <w:ind w:left="1092" w:hanging="372"/>
      </w:pPr>
      <w:rPr>
        <w:rFonts w:cstheme="minorBidi"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B8124D7"/>
    <w:multiLevelType w:val="multilevel"/>
    <w:tmpl w:val="3C526EDE"/>
    <w:numStyleLink w:val="Headings"/>
  </w:abstractNum>
  <w:abstractNum w:abstractNumId="15"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34817F10"/>
    <w:multiLevelType w:val="hybridMultilevel"/>
    <w:tmpl w:val="080C38D4"/>
    <w:lvl w:ilvl="0" w:tplc="FFFFFFFF">
      <w:start w:val="1"/>
      <w:numFmt w:val="lowerLetter"/>
      <w:lvlText w:val="(%1)"/>
      <w:lvlJc w:val="left"/>
      <w:pPr>
        <w:ind w:left="1092" w:hanging="372"/>
      </w:pPr>
      <w:rPr>
        <w:rFonts w:cs="Garamond"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D035796"/>
    <w:multiLevelType w:val="hybridMultilevel"/>
    <w:tmpl w:val="D8327936"/>
    <w:lvl w:ilvl="0" w:tplc="8B3A99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F971360"/>
    <w:multiLevelType w:val="hybridMultilevel"/>
    <w:tmpl w:val="080C38D4"/>
    <w:lvl w:ilvl="0" w:tplc="AF9C6BE0">
      <w:start w:val="1"/>
      <w:numFmt w:val="lowerLetter"/>
      <w:lvlText w:val="(%1)"/>
      <w:lvlJc w:val="left"/>
      <w:pPr>
        <w:ind w:left="1092" w:hanging="372"/>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042D7"/>
    <w:multiLevelType w:val="multilevel"/>
    <w:tmpl w:val="18F4A5AC"/>
    <w:numStyleLink w:val="FoFCoLOP"/>
  </w:abstractNum>
  <w:abstractNum w:abstractNumId="20" w15:restartNumberingAfterBreak="0">
    <w:nsid w:val="5A9E2171"/>
    <w:multiLevelType w:val="multilevel"/>
    <w:tmpl w:val="3C526EDE"/>
    <w:numStyleLink w:val="Headings"/>
  </w:abstractNum>
  <w:abstractNum w:abstractNumId="21" w15:restartNumberingAfterBreak="0">
    <w:nsid w:val="609F6D16"/>
    <w:multiLevelType w:val="hybridMultilevel"/>
    <w:tmpl w:val="3E209B02"/>
    <w:lvl w:ilvl="0" w:tplc="FFFFFFFF">
      <w:start w:val="1"/>
      <w:numFmt w:val="decimal"/>
      <w:lvlText w:val="(%1)"/>
      <w:lvlJc w:val="left"/>
      <w:pPr>
        <w:ind w:left="1092" w:hanging="372"/>
      </w:pPr>
      <w:rPr>
        <w:rFonts w:cstheme="minorBidi"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1A25780"/>
    <w:multiLevelType w:val="multilevel"/>
    <w:tmpl w:val="3C526EDE"/>
    <w:numStyleLink w:val="Headings"/>
  </w:abstractNum>
  <w:abstractNum w:abstractNumId="23" w15:restartNumberingAfterBreak="0">
    <w:nsid w:val="6CD31EC0"/>
    <w:multiLevelType w:val="hybridMultilevel"/>
    <w:tmpl w:val="F0825F80"/>
    <w:lvl w:ilvl="0" w:tplc="FFFFFFFF">
      <w:start w:val="1"/>
      <w:numFmt w:val="decimal"/>
      <w:lvlText w:val="(%1)"/>
      <w:lvlJc w:val="left"/>
      <w:pPr>
        <w:ind w:left="1092" w:hanging="372"/>
      </w:pPr>
      <w:rPr>
        <w:rFonts w:cstheme="minorBidi"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C35604"/>
    <w:multiLevelType w:val="multilevel"/>
    <w:tmpl w:val="C55A844C"/>
    <w:lvl w:ilvl="0">
      <w:start w:val="3"/>
      <w:numFmt w:val="decimal"/>
      <w:lvlText w:val="%1."/>
      <w:lvlJc w:val="left"/>
      <w:pPr>
        <w:ind w:left="840" w:hanging="840"/>
      </w:pPr>
      <w:rPr>
        <w:rFonts w:hint="default"/>
      </w:rPr>
    </w:lvl>
    <w:lvl w:ilvl="1">
      <w:start w:val="1"/>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1"/>
      <w:numFmt w:val="decimal"/>
      <w:lvlText w:val="%1.%2.%3.%4."/>
      <w:lvlJc w:val="left"/>
      <w:pPr>
        <w:ind w:left="1800" w:hanging="1080"/>
      </w:pPr>
      <w:rPr>
        <w:rFonts w:ascii="Arial" w:hAnsi="Arial" w:cs="Arial" w:hint="default"/>
        <w:b/>
        <w:bCs/>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6" w15:restartNumberingAfterBreak="0">
    <w:nsid w:val="789A0AFE"/>
    <w:multiLevelType w:val="multilevel"/>
    <w:tmpl w:val="18F4A5AC"/>
    <w:numStyleLink w:val="FoFCoLOP"/>
  </w:abstractNum>
  <w:abstractNum w:abstractNumId="27" w15:restartNumberingAfterBreak="0">
    <w:nsid w:val="7E460932"/>
    <w:multiLevelType w:val="hybridMultilevel"/>
    <w:tmpl w:val="3E209B02"/>
    <w:lvl w:ilvl="0" w:tplc="CB2A9E30">
      <w:start w:val="1"/>
      <w:numFmt w:val="decimal"/>
      <w:lvlText w:val="(%1)"/>
      <w:lvlJc w:val="left"/>
      <w:pPr>
        <w:ind w:left="1092" w:hanging="372"/>
      </w:pPr>
      <w:rPr>
        <w:rFonts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6D5F32"/>
    <w:multiLevelType w:val="hybridMultilevel"/>
    <w:tmpl w:val="F0825F80"/>
    <w:lvl w:ilvl="0" w:tplc="FFFFFFFF">
      <w:start w:val="1"/>
      <w:numFmt w:val="decimal"/>
      <w:lvlText w:val="(%1)"/>
      <w:lvlJc w:val="left"/>
      <w:pPr>
        <w:ind w:left="1092" w:hanging="372"/>
      </w:pPr>
      <w:rPr>
        <w:rFonts w:cstheme="minorBidi"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54526949">
    <w:abstractNumId w:val="20"/>
  </w:num>
  <w:num w:numId="2" w16cid:durableId="140774137">
    <w:abstractNumId w:val="5"/>
  </w:num>
  <w:num w:numId="3" w16cid:durableId="1898543446">
    <w:abstractNumId w:val="19"/>
  </w:num>
  <w:num w:numId="4" w16cid:durableId="701521005">
    <w:abstractNumId w:val="6"/>
  </w:num>
  <w:num w:numId="5" w16cid:durableId="2017029027">
    <w:abstractNumId w:val="26"/>
  </w:num>
  <w:num w:numId="6" w16cid:durableId="973756952">
    <w:abstractNumId w:val="15"/>
  </w:num>
  <w:num w:numId="7" w16cid:durableId="827667741">
    <w:abstractNumId w:val="10"/>
  </w:num>
  <w:num w:numId="8" w16cid:durableId="1760327020">
    <w:abstractNumId w:val="24"/>
  </w:num>
  <w:num w:numId="9" w16cid:durableId="816924040">
    <w:abstractNumId w:val="1"/>
  </w:num>
  <w:num w:numId="10" w16cid:durableId="1817916489">
    <w:abstractNumId w:val="9"/>
  </w:num>
  <w:num w:numId="11" w16cid:durableId="291985460">
    <w:abstractNumId w:val="11"/>
  </w:num>
  <w:num w:numId="12" w16cid:durableId="467941983">
    <w:abstractNumId w:val="7"/>
  </w:num>
  <w:num w:numId="13" w16cid:durableId="712996464">
    <w:abstractNumId w:val="12"/>
  </w:num>
  <w:num w:numId="14" w16cid:durableId="1303778653">
    <w:abstractNumId w:val="14"/>
  </w:num>
  <w:num w:numId="15" w16cid:durableId="1714382259">
    <w:abstractNumId w:val="22"/>
  </w:num>
  <w:num w:numId="16" w16cid:durableId="5481076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593761">
    <w:abstractNumId w:val="3"/>
  </w:num>
  <w:num w:numId="18" w16cid:durableId="1656106712">
    <w:abstractNumId w:val="25"/>
  </w:num>
  <w:num w:numId="19" w16cid:durableId="1086074295">
    <w:abstractNumId w:val="17"/>
  </w:num>
  <w:num w:numId="20" w16cid:durableId="989987769">
    <w:abstractNumId w:val="18"/>
  </w:num>
  <w:num w:numId="21" w16cid:durableId="1219972219">
    <w:abstractNumId w:val="16"/>
  </w:num>
  <w:num w:numId="22" w16cid:durableId="1685400218">
    <w:abstractNumId w:val="4"/>
  </w:num>
  <w:num w:numId="23" w16cid:durableId="309478032">
    <w:abstractNumId w:val="0"/>
  </w:num>
  <w:num w:numId="24" w16cid:durableId="1622615607">
    <w:abstractNumId w:val="27"/>
  </w:num>
  <w:num w:numId="25" w16cid:durableId="1017774370">
    <w:abstractNumId w:val="13"/>
  </w:num>
  <w:num w:numId="26" w16cid:durableId="1910993157">
    <w:abstractNumId w:val="2"/>
  </w:num>
  <w:num w:numId="27" w16cid:durableId="453182261">
    <w:abstractNumId w:val="28"/>
  </w:num>
  <w:num w:numId="28" w16cid:durableId="877930908">
    <w:abstractNumId w:val="21"/>
  </w:num>
  <w:num w:numId="29" w16cid:durableId="902910620">
    <w:abstractNumId w:val="23"/>
  </w:num>
  <w:num w:numId="30" w16cid:durableId="1912228237">
    <w:abstractNumId w:val="8"/>
  </w:num>
  <w:num w:numId="31" w16cid:durableId="756440645">
    <w:abstractNumId w:val="19"/>
  </w:num>
  <w:num w:numId="32" w16cid:durableId="287128331">
    <w:abstractNumId w:val="19"/>
  </w:num>
  <w:num w:numId="33" w16cid:durableId="16004850">
    <w:abstractNumId w:val="19"/>
  </w:num>
  <w:num w:numId="34" w16cid:durableId="967248722">
    <w:abstractNumId w:val="19"/>
  </w:num>
  <w:num w:numId="35" w16cid:durableId="315956977">
    <w:abstractNumId w:val="19"/>
  </w:num>
  <w:num w:numId="36" w16cid:durableId="850611008">
    <w:abstractNumId w:val="19"/>
  </w:num>
  <w:num w:numId="37" w16cid:durableId="395007247">
    <w:abstractNumId w:val="19"/>
  </w:num>
  <w:num w:numId="38" w16cid:durableId="90929318">
    <w:abstractNumId w:val="19"/>
  </w:num>
  <w:num w:numId="39" w16cid:durableId="117379116">
    <w:abstractNumId w:val="19"/>
  </w:num>
  <w:num w:numId="40" w16cid:durableId="1847280786">
    <w:abstractNumId w:val="19"/>
  </w:num>
  <w:num w:numId="41" w16cid:durableId="456223679">
    <w:abstractNumId w:val="19"/>
  </w:num>
  <w:num w:numId="42" w16cid:durableId="1026100607">
    <w:abstractNumId w:val="19"/>
  </w:num>
  <w:num w:numId="43" w16cid:durableId="2106262428">
    <w:abstractNumId w:val="19"/>
  </w:num>
  <w:num w:numId="44" w16cid:durableId="457064339">
    <w:abstractNumId w:val="19"/>
  </w:num>
  <w:num w:numId="45" w16cid:durableId="62246827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B7"/>
    <w:rsid w:val="00000F6A"/>
    <w:rsid w:val="00010E87"/>
    <w:rsid w:val="00010EC6"/>
    <w:rsid w:val="00033D51"/>
    <w:rsid w:val="00045C7C"/>
    <w:rsid w:val="00050028"/>
    <w:rsid w:val="000528E6"/>
    <w:rsid w:val="0005621D"/>
    <w:rsid w:val="000639F6"/>
    <w:rsid w:val="0007115A"/>
    <w:rsid w:val="00072184"/>
    <w:rsid w:val="00084233"/>
    <w:rsid w:val="00085438"/>
    <w:rsid w:val="000973C8"/>
    <w:rsid w:val="000A2AA9"/>
    <w:rsid w:val="000A36CD"/>
    <w:rsid w:val="000A56F2"/>
    <w:rsid w:val="000A6E05"/>
    <w:rsid w:val="000B12FA"/>
    <w:rsid w:val="000C08BF"/>
    <w:rsid w:val="000C3B9A"/>
    <w:rsid w:val="000C6EE8"/>
    <w:rsid w:val="000D25A8"/>
    <w:rsid w:val="000E0F2A"/>
    <w:rsid w:val="000E1046"/>
    <w:rsid w:val="000E1D8D"/>
    <w:rsid w:val="000E270A"/>
    <w:rsid w:val="000E4C53"/>
    <w:rsid w:val="000F48C6"/>
    <w:rsid w:val="000F5C3F"/>
    <w:rsid w:val="000F69C1"/>
    <w:rsid w:val="0010252F"/>
    <w:rsid w:val="001055B8"/>
    <w:rsid w:val="00117412"/>
    <w:rsid w:val="001208E9"/>
    <w:rsid w:val="00121089"/>
    <w:rsid w:val="0012134B"/>
    <w:rsid w:val="001245C6"/>
    <w:rsid w:val="00130216"/>
    <w:rsid w:val="00135F78"/>
    <w:rsid w:val="00151B7E"/>
    <w:rsid w:val="001673DA"/>
    <w:rsid w:val="00167E4F"/>
    <w:rsid w:val="001734BA"/>
    <w:rsid w:val="00182293"/>
    <w:rsid w:val="00184A8F"/>
    <w:rsid w:val="001A3717"/>
    <w:rsid w:val="001B6DBF"/>
    <w:rsid w:val="001B7F86"/>
    <w:rsid w:val="001B7F9C"/>
    <w:rsid w:val="001C363F"/>
    <w:rsid w:val="001C5915"/>
    <w:rsid w:val="001C79F4"/>
    <w:rsid w:val="001E2A62"/>
    <w:rsid w:val="001F1099"/>
    <w:rsid w:val="001F2819"/>
    <w:rsid w:val="001F38DF"/>
    <w:rsid w:val="002043EC"/>
    <w:rsid w:val="00205339"/>
    <w:rsid w:val="00232EF5"/>
    <w:rsid w:val="00243B0B"/>
    <w:rsid w:val="00243DC0"/>
    <w:rsid w:val="00247477"/>
    <w:rsid w:val="00257575"/>
    <w:rsid w:val="00270440"/>
    <w:rsid w:val="00284D8D"/>
    <w:rsid w:val="00285870"/>
    <w:rsid w:val="0028715B"/>
    <w:rsid w:val="00287BC5"/>
    <w:rsid w:val="002900F8"/>
    <w:rsid w:val="00293DEE"/>
    <w:rsid w:val="002A0B5D"/>
    <w:rsid w:val="002A2BCC"/>
    <w:rsid w:val="002B5C2F"/>
    <w:rsid w:val="002C7FE9"/>
    <w:rsid w:val="002D0DC5"/>
    <w:rsid w:val="002D4C5D"/>
    <w:rsid w:val="002D4EFD"/>
    <w:rsid w:val="002D6ABA"/>
    <w:rsid w:val="002E3EB6"/>
    <w:rsid w:val="002E4F6F"/>
    <w:rsid w:val="002E5C54"/>
    <w:rsid w:val="00301904"/>
    <w:rsid w:val="0031210E"/>
    <w:rsid w:val="00315A97"/>
    <w:rsid w:val="00315C2B"/>
    <w:rsid w:val="00316071"/>
    <w:rsid w:val="0032782E"/>
    <w:rsid w:val="003278B0"/>
    <w:rsid w:val="00343E5C"/>
    <w:rsid w:val="00344FB8"/>
    <w:rsid w:val="0036017B"/>
    <w:rsid w:val="00362755"/>
    <w:rsid w:val="00373B93"/>
    <w:rsid w:val="00380CD1"/>
    <w:rsid w:val="00383414"/>
    <w:rsid w:val="003935B7"/>
    <w:rsid w:val="003A02CA"/>
    <w:rsid w:val="003A38F0"/>
    <w:rsid w:val="003C19D1"/>
    <w:rsid w:val="003C38AC"/>
    <w:rsid w:val="003F069A"/>
    <w:rsid w:val="003F4329"/>
    <w:rsid w:val="004018FF"/>
    <w:rsid w:val="004021A0"/>
    <w:rsid w:val="00412534"/>
    <w:rsid w:val="00412C83"/>
    <w:rsid w:val="00425A1B"/>
    <w:rsid w:val="00426014"/>
    <w:rsid w:val="00426CBA"/>
    <w:rsid w:val="0044268E"/>
    <w:rsid w:val="0044617E"/>
    <w:rsid w:val="00451706"/>
    <w:rsid w:val="00454C3A"/>
    <w:rsid w:val="00460B7D"/>
    <w:rsid w:val="00462FF9"/>
    <w:rsid w:val="0047245E"/>
    <w:rsid w:val="00477B26"/>
    <w:rsid w:val="00480CB0"/>
    <w:rsid w:val="004829D8"/>
    <w:rsid w:val="00487F98"/>
    <w:rsid w:val="004B34EA"/>
    <w:rsid w:val="004B5494"/>
    <w:rsid w:val="004C7A2B"/>
    <w:rsid w:val="004C7D3A"/>
    <w:rsid w:val="004D4A6F"/>
    <w:rsid w:val="004D741B"/>
    <w:rsid w:val="004E2671"/>
    <w:rsid w:val="005018A8"/>
    <w:rsid w:val="00505A39"/>
    <w:rsid w:val="00506531"/>
    <w:rsid w:val="00520C3E"/>
    <w:rsid w:val="005240BF"/>
    <w:rsid w:val="00526B8F"/>
    <w:rsid w:val="005402C1"/>
    <w:rsid w:val="00542E0C"/>
    <w:rsid w:val="00561C67"/>
    <w:rsid w:val="00564E66"/>
    <w:rsid w:val="00585390"/>
    <w:rsid w:val="00591224"/>
    <w:rsid w:val="005939A5"/>
    <w:rsid w:val="00594D95"/>
    <w:rsid w:val="005A148C"/>
    <w:rsid w:val="005B2C24"/>
    <w:rsid w:val="005C4816"/>
    <w:rsid w:val="005C58FA"/>
    <w:rsid w:val="005D0B40"/>
    <w:rsid w:val="00603238"/>
    <w:rsid w:val="00611236"/>
    <w:rsid w:val="00622E51"/>
    <w:rsid w:val="00630776"/>
    <w:rsid w:val="00632207"/>
    <w:rsid w:val="0063491C"/>
    <w:rsid w:val="00641A5C"/>
    <w:rsid w:val="00643B61"/>
    <w:rsid w:val="006506D7"/>
    <w:rsid w:val="00661AFE"/>
    <w:rsid w:val="0066210B"/>
    <w:rsid w:val="00670707"/>
    <w:rsid w:val="00680F19"/>
    <w:rsid w:val="00686B6D"/>
    <w:rsid w:val="00695127"/>
    <w:rsid w:val="006A78DB"/>
    <w:rsid w:val="006B5E4B"/>
    <w:rsid w:val="006B6CBD"/>
    <w:rsid w:val="006C1F10"/>
    <w:rsid w:val="006E0562"/>
    <w:rsid w:val="006E5E28"/>
    <w:rsid w:val="006E6574"/>
    <w:rsid w:val="006F2F10"/>
    <w:rsid w:val="006F5804"/>
    <w:rsid w:val="006F752E"/>
    <w:rsid w:val="007024CB"/>
    <w:rsid w:val="00714CF2"/>
    <w:rsid w:val="007156B9"/>
    <w:rsid w:val="00716E04"/>
    <w:rsid w:val="00720817"/>
    <w:rsid w:val="00722850"/>
    <w:rsid w:val="0073316C"/>
    <w:rsid w:val="0073353F"/>
    <w:rsid w:val="00735A91"/>
    <w:rsid w:val="00742E45"/>
    <w:rsid w:val="007447AF"/>
    <w:rsid w:val="00746FE4"/>
    <w:rsid w:val="00747221"/>
    <w:rsid w:val="00750816"/>
    <w:rsid w:val="00752713"/>
    <w:rsid w:val="007574D8"/>
    <w:rsid w:val="00760782"/>
    <w:rsid w:val="007647F1"/>
    <w:rsid w:val="007657C1"/>
    <w:rsid w:val="00773049"/>
    <w:rsid w:val="0077755F"/>
    <w:rsid w:val="00781671"/>
    <w:rsid w:val="00781C5E"/>
    <w:rsid w:val="00783A1B"/>
    <w:rsid w:val="00795D62"/>
    <w:rsid w:val="007A151A"/>
    <w:rsid w:val="007A406D"/>
    <w:rsid w:val="007A62B0"/>
    <w:rsid w:val="007B1D7F"/>
    <w:rsid w:val="007C595F"/>
    <w:rsid w:val="007C5A0C"/>
    <w:rsid w:val="007D5BB0"/>
    <w:rsid w:val="007D6520"/>
    <w:rsid w:val="007D7CEE"/>
    <w:rsid w:val="007E0FEE"/>
    <w:rsid w:val="007F2017"/>
    <w:rsid w:val="007F4C4F"/>
    <w:rsid w:val="007F6F2B"/>
    <w:rsid w:val="007F7D10"/>
    <w:rsid w:val="008030FF"/>
    <w:rsid w:val="0080390E"/>
    <w:rsid w:val="008159CF"/>
    <w:rsid w:val="00816E05"/>
    <w:rsid w:val="00822A5D"/>
    <w:rsid w:val="008304F1"/>
    <w:rsid w:val="008339BB"/>
    <w:rsid w:val="008622C4"/>
    <w:rsid w:val="0086419A"/>
    <w:rsid w:val="00866ADC"/>
    <w:rsid w:val="00867E37"/>
    <w:rsid w:val="0087023B"/>
    <w:rsid w:val="00872193"/>
    <w:rsid w:val="00886A33"/>
    <w:rsid w:val="00896A7D"/>
    <w:rsid w:val="008A179F"/>
    <w:rsid w:val="008A5312"/>
    <w:rsid w:val="008B02D4"/>
    <w:rsid w:val="008B0864"/>
    <w:rsid w:val="008C3CB7"/>
    <w:rsid w:val="008C7413"/>
    <w:rsid w:val="008D16B7"/>
    <w:rsid w:val="008D4B7C"/>
    <w:rsid w:val="008D50D4"/>
    <w:rsid w:val="008E6AE6"/>
    <w:rsid w:val="008F0116"/>
    <w:rsid w:val="008F143D"/>
    <w:rsid w:val="008F2AE9"/>
    <w:rsid w:val="009222EE"/>
    <w:rsid w:val="00923603"/>
    <w:rsid w:val="00932865"/>
    <w:rsid w:val="009368C9"/>
    <w:rsid w:val="00952C84"/>
    <w:rsid w:val="00953003"/>
    <w:rsid w:val="00957DCA"/>
    <w:rsid w:val="00960CFB"/>
    <w:rsid w:val="00972330"/>
    <w:rsid w:val="009733EB"/>
    <w:rsid w:val="0098138E"/>
    <w:rsid w:val="0098655A"/>
    <w:rsid w:val="00993992"/>
    <w:rsid w:val="009A1D7F"/>
    <w:rsid w:val="009A6C3B"/>
    <w:rsid w:val="009A6E36"/>
    <w:rsid w:val="009B1ED8"/>
    <w:rsid w:val="009B7A8B"/>
    <w:rsid w:val="009D12DA"/>
    <w:rsid w:val="009E6052"/>
    <w:rsid w:val="009E7C7F"/>
    <w:rsid w:val="009F6756"/>
    <w:rsid w:val="00A01E37"/>
    <w:rsid w:val="00A16542"/>
    <w:rsid w:val="00A17CE0"/>
    <w:rsid w:val="00A23BF7"/>
    <w:rsid w:val="00A23D48"/>
    <w:rsid w:val="00A33CE5"/>
    <w:rsid w:val="00A37AD9"/>
    <w:rsid w:val="00A37FB2"/>
    <w:rsid w:val="00A41965"/>
    <w:rsid w:val="00A42306"/>
    <w:rsid w:val="00A44E8D"/>
    <w:rsid w:val="00A46EA8"/>
    <w:rsid w:val="00A55ACD"/>
    <w:rsid w:val="00A838DC"/>
    <w:rsid w:val="00A85D27"/>
    <w:rsid w:val="00A928F4"/>
    <w:rsid w:val="00A960AB"/>
    <w:rsid w:val="00AB3A6A"/>
    <w:rsid w:val="00AB4C25"/>
    <w:rsid w:val="00AB7875"/>
    <w:rsid w:val="00AB7ACA"/>
    <w:rsid w:val="00AC388D"/>
    <w:rsid w:val="00AC68EE"/>
    <w:rsid w:val="00AD1CBE"/>
    <w:rsid w:val="00AE0D51"/>
    <w:rsid w:val="00AE3522"/>
    <w:rsid w:val="00AE54CE"/>
    <w:rsid w:val="00AF3628"/>
    <w:rsid w:val="00AF3B2E"/>
    <w:rsid w:val="00B01F7E"/>
    <w:rsid w:val="00B064A0"/>
    <w:rsid w:val="00B16C2A"/>
    <w:rsid w:val="00B24AD7"/>
    <w:rsid w:val="00B3087D"/>
    <w:rsid w:val="00B34794"/>
    <w:rsid w:val="00B4587B"/>
    <w:rsid w:val="00B54166"/>
    <w:rsid w:val="00B570C9"/>
    <w:rsid w:val="00B60421"/>
    <w:rsid w:val="00B64D30"/>
    <w:rsid w:val="00B81EB6"/>
    <w:rsid w:val="00B8643C"/>
    <w:rsid w:val="00B9746C"/>
    <w:rsid w:val="00BA36D6"/>
    <w:rsid w:val="00BB0243"/>
    <w:rsid w:val="00BB45B2"/>
    <w:rsid w:val="00BC4652"/>
    <w:rsid w:val="00BC7B0A"/>
    <w:rsid w:val="00BE06C7"/>
    <w:rsid w:val="00BE6478"/>
    <w:rsid w:val="00BF259A"/>
    <w:rsid w:val="00C10B5F"/>
    <w:rsid w:val="00C201F4"/>
    <w:rsid w:val="00C2528A"/>
    <w:rsid w:val="00C26185"/>
    <w:rsid w:val="00C321E3"/>
    <w:rsid w:val="00C56769"/>
    <w:rsid w:val="00C878D5"/>
    <w:rsid w:val="00C9033B"/>
    <w:rsid w:val="00C913A1"/>
    <w:rsid w:val="00C9358F"/>
    <w:rsid w:val="00C93FD4"/>
    <w:rsid w:val="00C95EFC"/>
    <w:rsid w:val="00CA3B29"/>
    <w:rsid w:val="00CB57C9"/>
    <w:rsid w:val="00CB75AC"/>
    <w:rsid w:val="00CC6A99"/>
    <w:rsid w:val="00CD7842"/>
    <w:rsid w:val="00CE100F"/>
    <w:rsid w:val="00CF4436"/>
    <w:rsid w:val="00CF758B"/>
    <w:rsid w:val="00D00AA3"/>
    <w:rsid w:val="00D03669"/>
    <w:rsid w:val="00D0504E"/>
    <w:rsid w:val="00D07F73"/>
    <w:rsid w:val="00D14844"/>
    <w:rsid w:val="00D1601C"/>
    <w:rsid w:val="00D2041C"/>
    <w:rsid w:val="00D2240E"/>
    <w:rsid w:val="00D232C2"/>
    <w:rsid w:val="00D2514E"/>
    <w:rsid w:val="00D25ADE"/>
    <w:rsid w:val="00D26F66"/>
    <w:rsid w:val="00D30102"/>
    <w:rsid w:val="00D41D53"/>
    <w:rsid w:val="00D43297"/>
    <w:rsid w:val="00D44DB6"/>
    <w:rsid w:val="00D50119"/>
    <w:rsid w:val="00D5692C"/>
    <w:rsid w:val="00D6216E"/>
    <w:rsid w:val="00D74444"/>
    <w:rsid w:val="00D814EF"/>
    <w:rsid w:val="00D82A43"/>
    <w:rsid w:val="00D8709B"/>
    <w:rsid w:val="00D97231"/>
    <w:rsid w:val="00DA7B5D"/>
    <w:rsid w:val="00DB2400"/>
    <w:rsid w:val="00DD78DB"/>
    <w:rsid w:val="00DE55D4"/>
    <w:rsid w:val="00DF3AEE"/>
    <w:rsid w:val="00DF58E7"/>
    <w:rsid w:val="00E0742C"/>
    <w:rsid w:val="00E11876"/>
    <w:rsid w:val="00E16EB3"/>
    <w:rsid w:val="00E23CBB"/>
    <w:rsid w:val="00E31913"/>
    <w:rsid w:val="00E31AFB"/>
    <w:rsid w:val="00E37B59"/>
    <w:rsid w:val="00E47FF5"/>
    <w:rsid w:val="00E53438"/>
    <w:rsid w:val="00E57D28"/>
    <w:rsid w:val="00E725FC"/>
    <w:rsid w:val="00EA36C6"/>
    <w:rsid w:val="00EB3327"/>
    <w:rsid w:val="00EB3FC4"/>
    <w:rsid w:val="00EC2F60"/>
    <w:rsid w:val="00EC30F9"/>
    <w:rsid w:val="00ED5725"/>
    <w:rsid w:val="00ED66FA"/>
    <w:rsid w:val="00ED7031"/>
    <w:rsid w:val="00ED7218"/>
    <w:rsid w:val="00EE3060"/>
    <w:rsid w:val="00EE4315"/>
    <w:rsid w:val="00EE6C8C"/>
    <w:rsid w:val="00EF50E0"/>
    <w:rsid w:val="00EF6925"/>
    <w:rsid w:val="00F10F1E"/>
    <w:rsid w:val="00F12118"/>
    <w:rsid w:val="00F26348"/>
    <w:rsid w:val="00F26ED3"/>
    <w:rsid w:val="00F3043B"/>
    <w:rsid w:val="00F30BCD"/>
    <w:rsid w:val="00F56F22"/>
    <w:rsid w:val="00F572FC"/>
    <w:rsid w:val="00F62B7A"/>
    <w:rsid w:val="00F6397D"/>
    <w:rsid w:val="00F7293E"/>
    <w:rsid w:val="00F747D8"/>
    <w:rsid w:val="00F76650"/>
    <w:rsid w:val="00F76964"/>
    <w:rsid w:val="00F9187B"/>
    <w:rsid w:val="00F91D3C"/>
    <w:rsid w:val="00F92385"/>
    <w:rsid w:val="00FA11A1"/>
    <w:rsid w:val="00FA1B4F"/>
    <w:rsid w:val="00FB349B"/>
    <w:rsid w:val="00FC2D7C"/>
    <w:rsid w:val="00FC47F9"/>
    <w:rsid w:val="00FC6733"/>
    <w:rsid w:val="00FD05EB"/>
    <w:rsid w:val="00FE2351"/>
    <w:rsid w:val="00FE337D"/>
    <w:rsid w:val="00FE39AC"/>
    <w:rsid w:val="00FE45FE"/>
    <w:rsid w:val="00FE5580"/>
    <w:rsid w:val="00FE64FC"/>
    <w:rsid w:val="00FF110C"/>
    <w:rsid w:val="00FF2F42"/>
    <w:rsid w:val="00FF46E9"/>
    <w:rsid w:val="00FF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3CF9"/>
  <w15:chartTrackingRefBased/>
  <w15:docId w15:val="{CE8BD8F9-0288-43E2-8E86-EDE8FDB509A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unhideWhenUsed/>
    <w:rsid w:val="00DF58E7"/>
    <w:rPr>
      <w:vertAlign w:val="superscript"/>
    </w:rPr>
  </w:style>
  <w:style w:type="paragraph" w:customStyle="1" w:styleId="FoF">
    <w:name w:val="FoF"/>
    <w:basedOn w:val="Standard"/>
    <w:uiPriority w:val="6"/>
    <w:qFormat/>
    <w:rsid w:val="001E2A62"/>
    <w:pPr>
      <w:numPr>
        <w:numId w:val="3"/>
      </w:numPr>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Body">
    <w:name w:val="Body"/>
    <w:rsid w:val="007D6520"/>
    <w:pPr>
      <w:pBdr>
        <w:top w:val="nil"/>
        <w:left w:val="nil"/>
        <w:bottom w:val="nil"/>
        <w:right w:val="nil"/>
        <w:between w:val="nil"/>
        <w:bar w:val="nil"/>
      </w:pBdr>
      <w:spacing w:after="0" w:line="240" w:lineRule="auto"/>
    </w:pPr>
    <w:rPr>
      <w:rFonts w:ascii="Palatino" w:eastAsia="Arial Unicode MS" w:hAnsi="Palatino" w:cs="Arial Unicode MS"/>
      <w:color w:val="000000"/>
      <w:sz w:val="26"/>
      <w:szCs w:val="26"/>
      <w:u w:color="000000"/>
      <w:bdr w:val="nil"/>
      <w14:textOutline w14:w="0" w14:cap="flat" w14:cmpd="sng" w14:algn="ctr">
        <w14:noFill/>
        <w14:prstDash w14:val="solid"/>
        <w14:bevel/>
      </w14:textOutline>
    </w:rPr>
  </w:style>
  <w:style w:type="character" w:customStyle="1" w:styleId="displayonly">
    <w:name w:val="display_only"/>
    <w:basedOn w:val="DefaultParagraphFont"/>
    <w:rsid w:val="007D6520"/>
  </w:style>
  <w:style w:type="paragraph" w:styleId="ListParagraph">
    <w:name w:val="List Paragraph"/>
    <w:basedOn w:val="Normal"/>
    <w:uiPriority w:val="34"/>
    <w:qFormat/>
    <w:rsid w:val="00DF3AEE"/>
    <w:pPr>
      <w:spacing w:after="120" w:line="240" w:lineRule="auto"/>
      <w:ind w:left="1080" w:right="1440" w:hanging="360"/>
    </w:pPr>
  </w:style>
  <w:style w:type="character" w:customStyle="1" w:styleId="ALJBodyTextChar">
    <w:name w:val="ALJ Body Text Char"/>
    <w:basedOn w:val="DefaultParagraphFont"/>
    <w:link w:val="ALJBodyText"/>
    <w:locked/>
    <w:rsid w:val="00611236"/>
    <w:rPr>
      <w:rFonts w:ascii="Book Antiqua" w:hAnsi="Book Antiqua"/>
      <w:sz w:val="26"/>
    </w:rPr>
  </w:style>
  <w:style w:type="paragraph" w:customStyle="1" w:styleId="ALJBodyText">
    <w:name w:val="ALJ Body Text"/>
    <w:basedOn w:val="Normal"/>
    <w:link w:val="ALJBodyTextChar"/>
    <w:qFormat/>
    <w:rsid w:val="00611236"/>
  </w:style>
  <w:style w:type="paragraph" w:customStyle="1" w:styleId="standard0">
    <w:name w:val="standard"/>
    <w:basedOn w:val="Normal"/>
    <w:link w:val="standardChar"/>
    <w:rsid w:val="00611236"/>
    <w:rPr>
      <w:rFonts w:ascii="Palatino" w:eastAsia="Times New Roman" w:hAnsi="Palatino" w:cs="Times New Roman"/>
      <w:szCs w:val="20"/>
    </w:rPr>
  </w:style>
  <w:style w:type="character" w:customStyle="1" w:styleId="standardChar">
    <w:name w:val="standard Char"/>
    <w:link w:val="standard0"/>
    <w:rsid w:val="00611236"/>
    <w:rPr>
      <w:rFonts w:ascii="Palatino" w:eastAsia="Times New Roman" w:hAnsi="Palatino" w:cs="Times New Roman"/>
      <w:sz w:val="26"/>
      <w:szCs w:val="20"/>
    </w:rPr>
  </w:style>
  <w:style w:type="paragraph" w:styleId="Revision">
    <w:name w:val="Revision"/>
    <w:hidden/>
    <w:uiPriority w:val="99"/>
    <w:semiHidden/>
    <w:rsid w:val="006B6CBD"/>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983237979">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 w:id="1453330208">
      <w:bodyDiv w:val="1"/>
      <w:marLeft w:val="0"/>
      <w:marRight w:val="0"/>
      <w:marTop w:val="0"/>
      <w:marBottom w:val="0"/>
      <w:divBdr>
        <w:top w:val="none" w:sz="0" w:space="0" w:color="auto"/>
        <w:left w:val="none" w:sz="0" w:space="0" w:color="auto"/>
        <w:bottom w:val="none" w:sz="0" w:space="0" w:color="auto"/>
        <w:right w:val="none" w:sz="0" w:space="0" w:color="auto"/>
      </w:divBdr>
    </w:div>
    <w:div w:id="19956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0c2bee6-72d2-4c4b-bbf2-19a975248824">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lcf76f155ced4ddcb4097134ff3c332f xmlns="ef7e321c-44a6-4cb5-81f0-0bfd95ece253">
      <Terms xmlns="http://schemas.microsoft.com/office/infopath/2007/PartnerControls"/>
    </lcf76f155ced4ddcb4097134ff3c332f>
    <TaxCatchAll xmlns="40c2bee6-72d2-4c4b-bbf2-19a9752488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2" ma:contentTypeDescription="Create a new document." ma:contentTypeScope="" ma:versionID="4225d45ddd1a7a5828db1e92e0ebaa6f">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a878a72dfcf12e16a82a81229ed307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40c2bee6-72d2-4c4b-bbf2-19a975248824"/>
    <ds:schemaRef ds:uri="ef7e321c-44a6-4cb5-81f0-0bfd95ece253"/>
  </ds:schemaRefs>
</ds:datastoreItem>
</file>

<file path=customXml/itemProps3.xml><?xml version="1.0" encoding="utf-8"?>
<ds:datastoreItem xmlns:ds="http://schemas.openxmlformats.org/officeDocument/2006/customXml" ds:itemID="{9EE42826-C640-46EA-8DE6-7521634A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0DE7C-9577-4EA8-AC89-8E2B6CC952C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69</ap:Pages>
  <ap:Words>16160</ap:Words>
  <ap:Characters>92118</ap:Characters>
  <ap:Application>Microsoft Office Word</ap:Application>
  <ap:DocSecurity>0</ap:DocSecurity>
  <ap:Lines>767</ap:Lines>
  <ap:Paragraphs>216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108062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2023-02-22T11:41:00Z</cp:lastPrinted>
  <dcterms:created xsi:type="dcterms:W3CDTF">2023-02-27T15:01:11Z</dcterms:created>
  <dcterms:modified xsi:type="dcterms:W3CDTF">2023-02-27T15:01:11Z</dcterms:modified>
</cp:coreProperties>
</file>