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4BA4" w:rsidR="001C538D" w:rsidRDefault="001C538D" w14:paraId="4B1C5B2F" w14:textId="77777777">
      <w:pPr>
        <w:pStyle w:val="titlebar"/>
        <w:rPr>
          <w:sz w:val="24"/>
          <w:szCs w:val="24"/>
        </w:rPr>
      </w:pPr>
      <w:r w:rsidRPr="00324BA4">
        <w:rPr>
          <w:sz w:val="24"/>
          <w:szCs w:val="24"/>
        </w:rPr>
        <w:t>PUBLIC UTILITIES COMMISSION OF THE STATE OF CALIFORNIA</w:t>
      </w:r>
    </w:p>
    <w:p w:rsidRPr="00180028" w:rsidR="001C538D" w:rsidRDefault="001C538D" w14:paraId="19E2FA6F" w14:textId="77777777">
      <w:pPr>
        <w:suppressAutoHyphens/>
        <w:rPr>
          <w:rFonts w:ascii="Palatino Linotype" w:hAnsi="Palatino Linotype"/>
          <w:sz w:val="24"/>
          <w:szCs w:val="24"/>
        </w:rPr>
      </w:pPr>
      <w:r w:rsidRPr="00180028">
        <w:rPr>
          <w:rFonts w:ascii="Palatino Linotype" w:hAnsi="Palatino Linotype"/>
          <w:sz w:val="24"/>
          <w:szCs w:val="24"/>
        </w:rPr>
        <w:t xml:space="preserve">                                                                                                   </w:t>
      </w:r>
    </w:p>
    <w:p w:rsidR="00180028" w:rsidP="00180028" w:rsidRDefault="00180028" w14:paraId="2D6EC4D3" w14:textId="77777777">
      <w:pPr>
        <w:tabs>
          <w:tab w:val="right" w:pos="8910"/>
        </w:tabs>
        <w:suppressAutoHyphens/>
        <w:rPr>
          <w:rFonts w:ascii="Palatino Linotype" w:hAnsi="Palatino Linotype"/>
          <w:b/>
          <w:sz w:val="24"/>
          <w:szCs w:val="24"/>
        </w:rPr>
      </w:pPr>
    </w:p>
    <w:p w:rsidR="008150D6" w:rsidP="00180028" w:rsidRDefault="00180028" w14:paraId="33AE3E6E" w14:textId="4D2371DA">
      <w:pPr>
        <w:tabs>
          <w:tab w:val="right" w:pos="8910"/>
        </w:tabs>
        <w:suppressAutoHyphens/>
        <w:rPr>
          <w:rFonts w:ascii="Palatino Linotype" w:hAnsi="Palatino Linotype"/>
          <w:b/>
          <w:sz w:val="24"/>
          <w:szCs w:val="24"/>
        </w:rPr>
      </w:pPr>
      <w:r>
        <w:rPr>
          <w:rFonts w:ascii="Palatino Linotype" w:hAnsi="Palatino Linotype"/>
          <w:b/>
          <w:sz w:val="24"/>
          <w:szCs w:val="24"/>
        </w:rPr>
        <w:tab/>
        <w:t xml:space="preserve"> Agenda </w:t>
      </w:r>
      <w:r w:rsidRPr="00180028" w:rsidR="0026099A">
        <w:rPr>
          <w:rFonts w:ascii="Palatino Linotype" w:hAnsi="Palatino Linotype"/>
          <w:b/>
          <w:sz w:val="24"/>
          <w:szCs w:val="24"/>
        </w:rPr>
        <w:t xml:space="preserve">ID </w:t>
      </w:r>
      <w:r w:rsidRPr="00180028" w:rsidR="00F03D6F">
        <w:rPr>
          <w:rFonts w:ascii="Palatino Linotype" w:hAnsi="Palatino Linotype"/>
          <w:b/>
          <w:sz w:val="24"/>
          <w:szCs w:val="24"/>
        </w:rPr>
        <w:t>#</w:t>
      </w:r>
      <w:r w:rsidRPr="00A457E3" w:rsidR="00A457E3">
        <w:rPr>
          <w:rFonts w:ascii="Palatino Linotype" w:hAnsi="Palatino Linotype"/>
          <w:b/>
          <w:sz w:val="24"/>
          <w:szCs w:val="24"/>
        </w:rPr>
        <w:t>21245</w:t>
      </w:r>
    </w:p>
    <w:p w:rsidR="00180028" w:rsidP="00180028" w:rsidRDefault="00180028" w14:paraId="1CA4F6AE" w14:textId="00BF51C4">
      <w:pPr>
        <w:tabs>
          <w:tab w:val="right" w:pos="8910"/>
        </w:tabs>
        <w:suppressAutoHyphens/>
        <w:rPr>
          <w:rFonts w:ascii="Palatino Linotype" w:hAnsi="Palatino Linotype"/>
          <w:b/>
          <w:sz w:val="24"/>
          <w:szCs w:val="24"/>
        </w:rPr>
      </w:pPr>
      <w:r w:rsidRPr="00180028">
        <w:rPr>
          <w:rFonts w:ascii="Palatino Linotype" w:hAnsi="Palatino Linotype"/>
          <w:b/>
          <w:sz w:val="24"/>
          <w:szCs w:val="24"/>
        </w:rPr>
        <w:t>ENERGY DIVISION</w:t>
      </w:r>
      <w:r>
        <w:rPr>
          <w:rFonts w:ascii="Palatino Linotype" w:hAnsi="Palatino Linotype"/>
          <w:b/>
          <w:sz w:val="24"/>
          <w:szCs w:val="24"/>
        </w:rPr>
        <w:tab/>
      </w:r>
      <w:r w:rsidRPr="00180028">
        <w:rPr>
          <w:rFonts w:ascii="Palatino Linotype" w:hAnsi="Palatino Linotype"/>
          <w:b/>
          <w:sz w:val="24"/>
          <w:szCs w:val="24"/>
        </w:rPr>
        <w:t>RESOLUTION E-5252</w:t>
      </w:r>
    </w:p>
    <w:p w:rsidRPr="00180028" w:rsidR="00180028" w:rsidP="00180028" w:rsidRDefault="00180028" w14:paraId="0BBB7A7E" w14:textId="509072CB">
      <w:pPr>
        <w:tabs>
          <w:tab w:val="right" w:pos="8910"/>
        </w:tabs>
        <w:suppressAutoHyphens/>
        <w:rPr>
          <w:rFonts w:ascii="Palatino Linotype" w:hAnsi="Palatino Linotype"/>
          <w:b/>
          <w:sz w:val="24"/>
          <w:szCs w:val="24"/>
        </w:rPr>
      </w:pPr>
      <w:r>
        <w:rPr>
          <w:rFonts w:ascii="Palatino Linotype" w:hAnsi="Palatino Linotype"/>
          <w:b/>
          <w:sz w:val="24"/>
          <w:szCs w:val="24"/>
        </w:rPr>
        <w:tab/>
      </w:r>
      <w:r w:rsidR="002A687E">
        <w:rPr>
          <w:rFonts w:ascii="Palatino Linotype" w:hAnsi="Palatino Linotype"/>
          <w:b/>
          <w:sz w:val="24"/>
          <w:szCs w:val="24"/>
        </w:rPr>
        <w:t>April 6</w:t>
      </w:r>
      <w:r w:rsidRPr="00180028">
        <w:rPr>
          <w:rFonts w:ascii="Palatino Linotype" w:hAnsi="Palatino Linotype"/>
          <w:b/>
          <w:sz w:val="24"/>
          <w:szCs w:val="24"/>
        </w:rPr>
        <w:t>, 2023</w:t>
      </w:r>
    </w:p>
    <w:p w:rsidRPr="00180028" w:rsidR="001C538D" w:rsidP="000F465A" w:rsidRDefault="002E2016" w14:paraId="3E9DCE17" w14:textId="3791D79A">
      <w:pPr>
        <w:rPr>
          <w:rFonts w:ascii="Palatino Linotype" w:hAnsi="Palatino Linotype"/>
          <w:b/>
          <w:sz w:val="24"/>
          <w:szCs w:val="24"/>
        </w:rPr>
      </w:pPr>
      <w:r w:rsidRPr="00180028">
        <w:rPr>
          <w:rFonts w:ascii="Palatino Linotype" w:hAnsi="Palatino Linotype"/>
          <w:b/>
          <w:sz w:val="24"/>
          <w:szCs w:val="24"/>
        </w:rPr>
        <w:tab/>
      </w:r>
      <w:r w:rsidRPr="00180028">
        <w:rPr>
          <w:rFonts w:ascii="Palatino Linotype" w:hAnsi="Palatino Linotype"/>
          <w:b/>
          <w:sz w:val="24"/>
          <w:szCs w:val="24"/>
        </w:rPr>
        <w:tab/>
      </w:r>
      <w:r w:rsidRPr="00180028">
        <w:rPr>
          <w:rFonts w:ascii="Palatino Linotype" w:hAnsi="Palatino Linotype"/>
          <w:b/>
          <w:sz w:val="24"/>
          <w:szCs w:val="24"/>
        </w:rPr>
        <w:tab/>
      </w:r>
      <w:r w:rsidRPr="00180028">
        <w:rPr>
          <w:rFonts w:ascii="Palatino Linotype" w:hAnsi="Palatino Linotype"/>
          <w:b/>
          <w:sz w:val="24"/>
          <w:szCs w:val="24"/>
        </w:rPr>
        <w:tab/>
      </w:r>
      <w:r w:rsidRPr="00180028">
        <w:rPr>
          <w:rFonts w:ascii="Palatino Linotype" w:hAnsi="Palatino Linotype"/>
          <w:b/>
          <w:sz w:val="24"/>
          <w:szCs w:val="24"/>
        </w:rPr>
        <w:tab/>
      </w:r>
      <w:r w:rsidRPr="00180028">
        <w:rPr>
          <w:rFonts w:ascii="Palatino Linotype" w:hAnsi="Palatino Linotype"/>
          <w:b/>
          <w:sz w:val="24"/>
          <w:szCs w:val="24"/>
        </w:rPr>
        <w:tab/>
      </w:r>
      <w:r w:rsidRPr="00180028">
        <w:rPr>
          <w:rFonts w:ascii="Palatino Linotype" w:hAnsi="Palatino Linotype"/>
          <w:b/>
          <w:sz w:val="24"/>
          <w:szCs w:val="24"/>
        </w:rPr>
        <w:tab/>
      </w:r>
      <w:r w:rsidRPr="00180028" w:rsidR="001C538D">
        <w:rPr>
          <w:rFonts w:ascii="Palatino Linotype" w:hAnsi="Palatino Linotype"/>
          <w:b/>
          <w:sz w:val="24"/>
          <w:szCs w:val="24"/>
        </w:rPr>
        <w:tab/>
      </w:r>
      <w:r w:rsidRPr="00180028" w:rsidR="006C7B47">
        <w:rPr>
          <w:rFonts w:ascii="Palatino Linotype" w:hAnsi="Palatino Linotype"/>
          <w:b/>
          <w:sz w:val="24"/>
          <w:szCs w:val="24"/>
        </w:rPr>
        <w:tab/>
      </w:r>
      <w:r w:rsidRPr="00180028" w:rsidR="008150D6">
        <w:rPr>
          <w:rFonts w:ascii="Palatino Linotype" w:hAnsi="Palatino Linotype"/>
          <w:b/>
          <w:sz w:val="24"/>
          <w:szCs w:val="24"/>
        </w:rPr>
        <w:t xml:space="preserve">   </w:t>
      </w:r>
    </w:p>
    <w:p w:rsidRPr="00324BA4" w:rsidR="001C538D" w:rsidRDefault="001C538D" w14:paraId="35A9C7D7" w14:textId="77777777">
      <w:pPr>
        <w:pStyle w:val="mainex"/>
        <w:rPr>
          <w:sz w:val="24"/>
          <w:szCs w:val="24"/>
          <w:u w:val="single"/>
        </w:rPr>
      </w:pPr>
      <w:bookmarkStart w:name="_Ref404993683" w:id="0"/>
      <w:r w:rsidRPr="00324BA4">
        <w:rPr>
          <w:sz w:val="24"/>
          <w:szCs w:val="24"/>
          <w:u w:val="single"/>
        </w:rPr>
        <w:t>RESOLUTIO</w:t>
      </w:r>
      <w:r w:rsidRPr="00324BA4">
        <w:rPr>
          <w:spacing w:val="0"/>
          <w:sz w:val="24"/>
          <w:szCs w:val="24"/>
          <w:u w:val="single"/>
        </w:rPr>
        <w:t>N</w:t>
      </w:r>
    </w:p>
    <w:p w:rsidRPr="00180028" w:rsidR="001C538D" w:rsidRDefault="001C538D" w14:paraId="4D64597F" w14:textId="77777777">
      <w:pPr>
        <w:rPr>
          <w:rFonts w:ascii="Palatino Linotype" w:hAnsi="Palatino Linotype"/>
          <w:sz w:val="24"/>
          <w:szCs w:val="24"/>
        </w:rPr>
      </w:pPr>
    </w:p>
    <w:p w:rsidRPr="00180028" w:rsidR="001C538D" w:rsidP="00620CD0" w:rsidRDefault="001C538D" w14:paraId="1DCA478A" w14:textId="608444E0">
      <w:pPr>
        <w:autoSpaceDE w:val="0"/>
        <w:autoSpaceDN w:val="0"/>
        <w:adjustRightInd w:val="0"/>
        <w:rPr>
          <w:rFonts w:ascii="Palatino Linotype" w:hAnsi="Palatino Linotype"/>
          <w:sz w:val="24"/>
          <w:szCs w:val="24"/>
        </w:rPr>
      </w:pPr>
      <w:r w:rsidRPr="00180028">
        <w:rPr>
          <w:rFonts w:ascii="Palatino Linotype" w:hAnsi="Palatino Linotype"/>
          <w:b/>
          <w:sz w:val="24"/>
          <w:szCs w:val="24"/>
        </w:rPr>
        <w:t xml:space="preserve">Resolution </w:t>
      </w:r>
      <w:r w:rsidRPr="00180028" w:rsidR="00B14949">
        <w:rPr>
          <w:rFonts w:ascii="Palatino Linotype" w:hAnsi="Palatino Linotype"/>
          <w:b/>
          <w:sz w:val="24"/>
          <w:szCs w:val="24"/>
        </w:rPr>
        <w:t>E</w:t>
      </w:r>
      <w:r w:rsidRPr="00180028">
        <w:rPr>
          <w:rFonts w:ascii="Palatino Linotype" w:hAnsi="Palatino Linotype"/>
          <w:b/>
          <w:sz w:val="24"/>
          <w:szCs w:val="24"/>
        </w:rPr>
        <w:t>-</w:t>
      </w:r>
      <w:r w:rsidRPr="00180028" w:rsidR="0047318A">
        <w:rPr>
          <w:rFonts w:ascii="Palatino Linotype" w:hAnsi="Palatino Linotype"/>
          <w:b/>
          <w:sz w:val="24"/>
          <w:szCs w:val="24"/>
        </w:rPr>
        <w:t>5252</w:t>
      </w:r>
      <w:r w:rsidRPr="00180028">
        <w:rPr>
          <w:rFonts w:ascii="Palatino Linotype" w:hAnsi="Palatino Linotype"/>
          <w:sz w:val="24"/>
          <w:szCs w:val="24"/>
        </w:rPr>
        <w:t xml:space="preserve"> </w:t>
      </w:r>
      <w:r w:rsidRPr="00180028" w:rsidR="0098258D">
        <w:rPr>
          <w:rFonts w:ascii="Palatino Linotype" w:hAnsi="Palatino Linotype"/>
          <w:sz w:val="24"/>
          <w:szCs w:val="24"/>
        </w:rPr>
        <w:t xml:space="preserve">establishes the Transmission Project Review Process effective </w:t>
      </w:r>
      <w:r w:rsidRPr="00180028" w:rsidR="008266E5">
        <w:rPr>
          <w:rFonts w:ascii="Palatino Linotype" w:hAnsi="Palatino Linotype"/>
          <w:sz w:val="24"/>
          <w:szCs w:val="24"/>
        </w:rPr>
        <w:t>January 1, 2024.</w:t>
      </w:r>
      <w:r w:rsidRPr="00180028" w:rsidR="007D1954">
        <w:rPr>
          <w:rFonts w:ascii="Palatino Linotype" w:hAnsi="Palatino Linotype"/>
          <w:sz w:val="24"/>
          <w:szCs w:val="24"/>
        </w:rPr>
        <w:t xml:space="preserve"> </w:t>
      </w:r>
    </w:p>
    <w:p w:rsidRPr="00180028" w:rsidR="00075D3C" w:rsidP="00116837" w:rsidRDefault="00075D3C" w14:paraId="742729E9" w14:textId="77777777">
      <w:pPr>
        <w:pStyle w:val="Res-Caption"/>
        <w:rPr>
          <w:rFonts w:ascii="Palatino Linotype" w:hAnsi="Palatino Linotype"/>
          <w:b/>
          <w:sz w:val="24"/>
          <w:szCs w:val="24"/>
        </w:rPr>
      </w:pPr>
    </w:p>
    <w:p w:rsidRPr="00180028" w:rsidR="0065639C" w:rsidP="00C33AE7" w:rsidRDefault="001C538D" w14:paraId="1D7FB300" w14:textId="77777777">
      <w:pPr>
        <w:pStyle w:val="Res-Caption"/>
        <w:rPr>
          <w:rFonts w:ascii="Palatino Linotype" w:hAnsi="Palatino Linotype"/>
          <w:b/>
          <w:sz w:val="24"/>
          <w:szCs w:val="24"/>
        </w:rPr>
      </w:pPr>
      <w:r w:rsidRPr="00180028">
        <w:rPr>
          <w:rFonts w:ascii="Palatino Linotype" w:hAnsi="Palatino Linotype"/>
          <w:b/>
          <w:sz w:val="24"/>
          <w:szCs w:val="24"/>
        </w:rPr>
        <w:t>PROPOSED OUTCOME:</w:t>
      </w:r>
    </w:p>
    <w:p w:rsidRPr="00180028" w:rsidR="00075D3C" w:rsidP="00180028" w:rsidRDefault="00472EAF" w14:paraId="53A97317" w14:textId="306D8307">
      <w:pPr>
        <w:pStyle w:val="Res-Caption"/>
        <w:numPr>
          <w:ilvl w:val="0"/>
          <w:numId w:val="16"/>
        </w:numPr>
        <w:spacing w:line="23" w:lineRule="atLeast"/>
        <w:rPr>
          <w:rFonts w:ascii="Palatino Linotype" w:hAnsi="Palatino Linotype"/>
          <w:b/>
          <w:sz w:val="24"/>
          <w:szCs w:val="24"/>
        </w:rPr>
      </w:pPr>
      <w:r w:rsidRPr="00180028">
        <w:rPr>
          <w:rFonts w:ascii="Palatino Linotype" w:hAnsi="Palatino Linotype"/>
          <w:sz w:val="24"/>
          <w:szCs w:val="24"/>
        </w:rPr>
        <w:t xml:space="preserve">This </w:t>
      </w:r>
      <w:r w:rsidRPr="00180028" w:rsidR="005046FE">
        <w:rPr>
          <w:rFonts w:ascii="Palatino Linotype" w:hAnsi="Palatino Linotype"/>
          <w:sz w:val="24"/>
          <w:szCs w:val="24"/>
        </w:rPr>
        <w:t>R</w:t>
      </w:r>
      <w:r w:rsidRPr="00180028">
        <w:rPr>
          <w:rFonts w:ascii="Palatino Linotype" w:hAnsi="Palatino Linotype"/>
          <w:sz w:val="24"/>
          <w:szCs w:val="24"/>
        </w:rPr>
        <w:t xml:space="preserve">esolution </w:t>
      </w:r>
      <w:r w:rsidRPr="00180028" w:rsidR="00973494">
        <w:rPr>
          <w:rFonts w:ascii="Palatino Linotype" w:hAnsi="Palatino Linotype"/>
          <w:sz w:val="24"/>
          <w:szCs w:val="24"/>
        </w:rPr>
        <w:t>establishes the Transmission Project Review</w:t>
      </w:r>
      <w:r w:rsidRPr="00180028" w:rsidR="007647E6">
        <w:rPr>
          <w:rFonts w:ascii="Palatino Linotype" w:hAnsi="Palatino Linotype"/>
          <w:sz w:val="24"/>
          <w:szCs w:val="24"/>
        </w:rPr>
        <w:t xml:space="preserve"> Process to include </w:t>
      </w:r>
      <w:r w:rsidR="001F2637">
        <w:rPr>
          <w:rFonts w:ascii="Palatino Linotype" w:hAnsi="Palatino Linotype"/>
          <w:sz w:val="24"/>
          <w:szCs w:val="24"/>
        </w:rPr>
        <w:t xml:space="preserve">the </w:t>
      </w:r>
      <w:r w:rsidRPr="00180028" w:rsidR="00F750F3">
        <w:rPr>
          <w:rFonts w:ascii="Palatino Linotype" w:hAnsi="Palatino Linotype"/>
          <w:sz w:val="24"/>
          <w:szCs w:val="24"/>
        </w:rPr>
        <w:t xml:space="preserve">involvement of </w:t>
      </w:r>
      <w:r w:rsidRPr="00180028" w:rsidR="007647E6">
        <w:rPr>
          <w:rFonts w:ascii="Palatino Linotype" w:hAnsi="Palatino Linotype"/>
          <w:sz w:val="24"/>
          <w:szCs w:val="24"/>
        </w:rPr>
        <w:t>Pacific Gas and Electric Company (</w:t>
      </w:r>
      <w:r w:rsidRPr="00180028" w:rsidR="0076070C">
        <w:rPr>
          <w:rFonts w:ascii="Palatino Linotype" w:hAnsi="Palatino Linotype"/>
          <w:sz w:val="24"/>
          <w:szCs w:val="24"/>
        </w:rPr>
        <w:t>“</w:t>
      </w:r>
      <w:r w:rsidRPr="00180028" w:rsidR="007647E6">
        <w:rPr>
          <w:rFonts w:ascii="Palatino Linotype" w:hAnsi="Palatino Linotype"/>
          <w:sz w:val="24"/>
          <w:szCs w:val="24"/>
        </w:rPr>
        <w:t>PG&amp;E</w:t>
      </w:r>
      <w:r w:rsidRPr="00180028" w:rsidR="0076070C">
        <w:rPr>
          <w:rFonts w:ascii="Palatino Linotype" w:hAnsi="Palatino Linotype"/>
          <w:sz w:val="24"/>
          <w:szCs w:val="24"/>
        </w:rPr>
        <w:t>”</w:t>
      </w:r>
      <w:r w:rsidRPr="00180028" w:rsidR="007647E6">
        <w:rPr>
          <w:rFonts w:ascii="Palatino Linotype" w:hAnsi="Palatino Linotype"/>
          <w:sz w:val="24"/>
          <w:szCs w:val="24"/>
        </w:rPr>
        <w:t>), Southern California Edison Company (</w:t>
      </w:r>
      <w:r w:rsidRPr="00180028" w:rsidR="0076070C">
        <w:rPr>
          <w:rFonts w:ascii="Palatino Linotype" w:hAnsi="Palatino Linotype"/>
          <w:sz w:val="24"/>
          <w:szCs w:val="24"/>
        </w:rPr>
        <w:t>“</w:t>
      </w:r>
      <w:r w:rsidRPr="00180028" w:rsidR="007647E6">
        <w:rPr>
          <w:rFonts w:ascii="Palatino Linotype" w:hAnsi="Palatino Linotype"/>
          <w:sz w:val="24"/>
          <w:szCs w:val="24"/>
        </w:rPr>
        <w:t>SCE</w:t>
      </w:r>
      <w:r w:rsidRPr="00180028" w:rsidR="0076070C">
        <w:rPr>
          <w:rFonts w:ascii="Palatino Linotype" w:hAnsi="Palatino Linotype"/>
          <w:sz w:val="24"/>
          <w:szCs w:val="24"/>
        </w:rPr>
        <w:t>”</w:t>
      </w:r>
      <w:r w:rsidRPr="00180028" w:rsidR="007647E6">
        <w:rPr>
          <w:rFonts w:ascii="Palatino Linotype" w:hAnsi="Palatino Linotype"/>
          <w:sz w:val="24"/>
          <w:szCs w:val="24"/>
        </w:rPr>
        <w:t>)</w:t>
      </w:r>
      <w:r w:rsidR="001F2637">
        <w:rPr>
          <w:rFonts w:ascii="Palatino Linotype" w:hAnsi="Palatino Linotype"/>
          <w:sz w:val="24"/>
          <w:szCs w:val="24"/>
        </w:rPr>
        <w:t>,</w:t>
      </w:r>
      <w:r w:rsidRPr="00180028" w:rsidR="007647E6">
        <w:rPr>
          <w:rFonts w:ascii="Palatino Linotype" w:hAnsi="Palatino Linotype"/>
          <w:sz w:val="24"/>
          <w:szCs w:val="24"/>
        </w:rPr>
        <w:t xml:space="preserve"> and San Diego Gas &amp; Electric Company (</w:t>
      </w:r>
      <w:r w:rsidRPr="00180028" w:rsidR="0076070C">
        <w:rPr>
          <w:rFonts w:ascii="Palatino Linotype" w:hAnsi="Palatino Linotype"/>
          <w:sz w:val="24"/>
          <w:szCs w:val="24"/>
        </w:rPr>
        <w:t>“</w:t>
      </w:r>
      <w:r w:rsidRPr="00180028" w:rsidR="007647E6">
        <w:rPr>
          <w:rFonts w:ascii="Palatino Linotype" w:hAnsi="Palatino Linotype"/>
          <w:sz w:val="24"/>
          <w:szCs w:val="24"/>
        </w:rPr>
        <w:t>SDG&amp;E</w:t>
      </w:r>
      <w:r w:rsidRPr="00180028" w:rsidR="0076070C">
        <w:rPr>
          <w:rFonts w:ascii="Palatino Linotype" w:hAnsi="Palatino Linotype"/>
          <w:sz w:val="24"/>
          <w:szCs w:val="24"/>
        </w:rPr>
        <w:t>”</w:t>
      </w:r>
      <w:r w:rsidRPr="00180028" w:rsidR="007647E6">
        <w:rPr>
          <w:rFonts w:ascii="Palatino Linotype" w:hAnsi="Palatino Linotype" w:cs="Arial"/>
          <w:sz w:val="24"/>
          <w:szCs w:val="24"/>
        </w:rPr>
        <w:t>)</w:t>
      </w:r>
      <w:r w:rsidRPr="00180028" w:rsidR="00F750F3">
        <w:rPr>
          <w:rFonts w:ascii="Palatino Linotype" w:hAnsi="Palatino Linotype" w:cs="Arial"/>
          <w:sz w:val="24"/>
          <w:szCs w:val="24"/>
        </w:rPr>
        <w:t xml:space="preserve"> beginning in 2024</w:t>
      </w:r>
      <w:r w:rsidRPr="00180028" w:rsidR="007647E6">
        <w:rPr>
          <w:rFonts w:ascii="Palatino Linotype" w:hAnsi="Palatino Linotype"/>
          <w:sz w:val="24"/>
          <w:szCs w:val="24"/>
        </w:rPr>
        <w:t xml:space="preserve">. </w:t>
      </w:r>
      <w:r w:rsidRPr="00180028" w:rsidR="00973494">
        <w:rPr>
          <w:rFonts w:ascii="Palatino Linotype" w:hAnsi="Palatino Linotype"/>
          <w:sz w:val="24"/>
          <w:szCs w:val="24"/>
        </w:rPr>
        <w:t xml:space="preserve"> </w:t>
      </w:r>
    </w:p>
    <w:p w:rsidRPr="00180028" w:rsidR="00F66DA2" w:rsidP="00180028" w:rsidRDefault="00F66DA2" w14:paraId="0D75DAAA" w14:textId="77777777">
      <w:pPr>
        <w:pStyle w:val="Res-Caption"/>
        <w:spacing w:line="23" w:lineRule="atLeast"/>
        <w:ind w:left="1575"/>
        <w:rPr>
          <w:rFonts w:ascii="Palatino Linotype" w:hAnsi="Palatino Linotype"/>
          <w:b/>
          <w:sz w:val="24"/>
          <w:szCs w:val="24"/>
        </w:rPr>
      </w:pPr>
    </w:p>
    <w:p w:rsidRPr="00180028" w:rsidR="0065639C" w:rsidP="00180028" w:rsidRDefault="00C33AE7" w14:paraId="26B1088E" w14:textId="77777777">
      <w:pPr>
        <w:autoSpaceDE w:val="0"/>
        <w:autoSpaceDN w:val="0"/>
        <w:spacing w:line="23" w:lineRule="atLeast"/>
        <w:ind w:left="720" w:right="720"/>
        <w:rPr>
          <w:rFonts w:ascii="Palatino Linotype" w:hAnsi="Palatino Linotype" w:eastAsia="Calibri" w:cs="Arial"/>
          <w:b/>
          <w:bCs/>
          <w:sz w:val="24"/>
          <w:szCs w:val="24"/>
        </w:rPr>
      </w:pPr>
      <w:r w:rsidRPr="00180028">
        <w:rPr>
          <w:rFonts w:ascii="Palatino Linotype" w:hAnsi="Palatino Linotype" w:eastAsia="Calibri" w:cs="Arial"/>
          <w:b/>
          <w:bCs/>
          <w:sz w:val="24"/>
          <w:szCs w:val="24"/>
        </w:rPr>
        <w:t>SAFETY CONSIDERATIONS:</w:t>
      </w:r>
    </w:p>
    <w:p w:rsidRPr="00180028" w:rsidR="00C33AE7" w:rsidP="00180028" w:rsidRDefault="00973494" w14:paraId="70A20933" w14:textId="04E12CDD">
      <w:pPr>
        <w:numPr>
          <w:ilvl w:val="0"/>
          <w:numId w:val="16"/>
        </w:numPr>
        <w:autoSpaceDE w:val="0"/>
        <w:autoSpaceDN w:val="0"/>
        <w:spacing w:line="23" w:lineRule="atLeast"/>
        <w:ind w:right="720"/>
        <w:rPr>
          <w:rFonts w:ascii="Palatino Linotype" w:hAnsi="Palatino Linotype" w:eastAsia="Calibri" w:cs="Arial"/>
          <w:sz w:val="24"/>
          <w:szCs w:val="24"/>
        </w:rPr>
      </w:pPr>
      <w:r w:rsidRPr="00180028">
        <w:rPr>
          <w:rFonts w:ascii="Palatino Linotype" w:hAnsi="Palatino Linotype" w:eastAsia="Calibri" w:cs="Arial"/>
          <w:sz w:val="24"/>
          <w:szCs w:val="24"/>
        </w:rPr>
        <w:t xml:space="preserve">There are no safety considerations with the implementation </w:t>
      </w:r>
      <w:r w:rsidRPr="00180028" w:rsidR="7B29216A">
        <w:rPr>
          <w:rFonts w:ascii="Palatino Linotype" w:hAnsi="Palatino Linotype" w:eastAsia="Calibri" w:cs="Arial"/>
          <w:sz w:val="24"/>
          <w:szCs w:val="24"/>
        </w:rPr>
        <w:t>of</w:t>
      </w:r>
      <w:r w:rsidRPr="00180028">
        <w:rPr>
          <w:rFonts w:ascii="Palatino Linotype" w:hAnsi="Palatino Linotype" w:eastAsia="Calibri" w:cs="Arial"/>
          <w:sz w:val="24"/>
          <w:szCs w:val="24"/>
        </w:rPr>
        <w:t xml:space="preserve"> the Transmission Project Review Process</w:t>
      </w:r>
      <w:r w:rsidRPr="00180028" w:rsidR="007C13F1">
        <w:rPr>
          <w:rFonts w:ascii="Palatino Linotype" w:hAnsi="Palatino Linotype" w:eastAsia="Calibri" w:cs="Arial"/>
          <w:sz w:val="24"/>
          <w:szCs w:val="24"/>
        </w:rPr>
        <w:t>.</w:t>
      </w:r>
    </w:p>
    <w:p w:rsidRPr="00180028" w:rsidR="00C33AE7" w:rsidP="00180028" w:rsidRDefault="00C33AE7" w14:paraId="1347CCA9" w14:textId="77777777">
      <w:pPr>
        <w:pStyle w:val="Res-Caption"/>
        <w:spacing w:line="23" w:lineRule="atLeast"/>
        <w:rPr>
          <w:rFonts w:ascii="Palatino Linotype" w:hAnsi="Palatino Linotype"/>
          <w:b/>
          <w:sz w:val="24"/>
          <w:szCs w:val="24"/>
        </w:rPr>
      </w:pPr>
    </w:p>
    <w:p w:rsidRPr="00180028" w:rsidR="0065639C" w:rsidP="00180028" w:rsidRDefault="001C538D" w14:paraId="44832EDC" w14:textId="77777777">
      <w:pPr>
        <w:pStyle w:val="Res-Caption"/>
        <w:spacing w:line="23" w:lineRule="atLeast"/>
        <w:rPr>
          <w:rFonts w:ascii="Palatino Linotype" w:hAnsi="Palatino Linotype"/>
          <w:b/>
          <w:sz w:val="24"/>
          <w:szCs w:val="24"/>
        </w:rPr>
      </w:pPr>
      <w:r w:rsidRPr="00180028">
        <w:rPr>
          <w:rFonts w:ascii="Palatino Linotype" w:hAnsi="Palatino Linotype"/>
          <w:b/>
          <w:sz w:val="24"/>
          <w:szCs w:val="24"/>
        </w:rPr>
        <w:t>ESTIMATED COST:</w:t>
      </w:r>
    </w:p>
    <w:p w:rsidRPr="00180028" w:rsidR="008C22C5" w:rsidP="00180028" w:rsidRDefault="00973494" w14:paraId="77A981FD" w14:textId="06F71FF8">
      <w:pPr>
        <w:pStyle w:val="Res-Caption"/>
        <w:numPr>
          <w:ilvl w:val="0"/>
          <w:numId w:val="16"/>
        </w:numPr>
        <w:spacing w:line="23" w:lineRule="atLeast"/>
        <w:rPr>
          <w:rFonts w:ascii="Palatino Linotype" w:hAnsi="Palatino Linotype" w:cs="Arial"/>
          <w:sz w:val="24"/>
          <w:szCs w:val="24"/>
        </w:rPr>
      </w:pPr>
      <w:r w:rsidRPr="00180028">
        <w:rPr>
          <w:rFonts w:ascii="Palatino Linotype" w:hAnsi="Palatino Linotype"/>
          <w:sz w:val="24"/>
          <w:szCs w:val="24"/>
        </w:rPr>
        <w:t>Estimated Cost includes securing $1.5 million</w:t>
      </w:r>
      <w:r w:rsidRPr="00180028" w:rsidR="001E469B">
        <w:rPr>
          <w:rFonts w:ascii="Palatino Linotype" w:hAnsi="Palatino Linotype"/>
          <w:sz w:val="24"/>
          <w:szCs w:val="24"/>
        </w:rPr>
        <w:t xml:space="preserve"> </w:t>
      </w:r>
      <w:r w:rsidRPr="00180028">
        <w:rPr>
          <w:rFonts w:ascii="Palatino Linotype" w:hAnsi="Palatino Linotype"/>
          <w:sz w:val="24"/>
          <w:szCs w:val="24"/>
        </w:rPr>
        <w:t>in funding</w:t>
      </w:r>
      <w:r w:rsidRPr="00180028" w:rsidR="00F71B44">
        <w:rPr>
          <w:rFonts w:ascii="Palatino Linotype" w:hAnsi="Palatino Linotype"/>
          <w:sz w:val="24"/>
          <w:szCs w:val="24"/>
        </w:rPr>
        <w:t xml:space="preserve"> from the CPUC’s budget</w:t>
      </w:r>
      <w:r w:rsidRPr="00180028">
        <w:rPr>
          <w:rFonts w:ascii="Palatino Linotype" w:hAnsi="Palatino Linotype"/>
          <w:sz w:val="24"/>
          <w:szCs w:val="24"/>
        </w:rPr>
        <w:t xml:space="preserve"> for technical consultants to implement the T</w:t>
      </w:r>
      <w:r w:rsidRPr="00180028" w:rsidR="2862165E">
        <w:rPr>
          <w:rFonts w:ascii="Palatino Linotype" w:hAnsi="Palatino Linotype"/>
          <w:sz w:val="24"/>
          <w:szCs w:val="24"/>
        </w:rPr>
        <w:t xml:space="preserve">ransmission </w:t>
      </w:r>
      <w:r w:rsidRPr="00180028">
        <w:rPr>
          <w:rFonts w:ascii="Palatino Linotype" w:hAnsi="Palatino Linotype"/>
          <w:sz w:val="24"/>
          <w:szCs w:val="24"/>
        </w:rPr>
        <w:t>P</w:t>
      </w:r>
      <w:r w:rsidRPr="00180028" w:rsidR="243F214C">
        <w:rPr>
          <w:rFonts w:ascii="Palatino Linotype" w:hAnsi="Palatino Linotype"/>
          <w:sz w:val="24"/>
          <w:szCs w:val="24"/>
        </w:rPr>
        <w:t xml:space="preserve">roject </w:t>
      </w:r>
      <w:r w:rsidRPr="00180028">
        <w:rPr>
          <w:rFonts w:ascii="Palatino Linotype" w:hAnsi="Palatino Linotype"/>
          <w:sz w:val="24"/>
          <w:szCs w:val="24"/>
        </w:rPr>
        <w:t>R</w:t>
      </w:r>
      <w:r w:rsidRPr="00180028" w:rsidR="4B998854">
        <w:rPr>
          <w:rFonts w:ascii="Palatino Linotype" w:hAnsi="Palatino Linotype"/>
          <w:sz w:val="24"/>
          <w:szCs w:val="24"/>
        </w:rPr>
        <w:t>eview</w:t>
      </w:r>
      <w:r w:rsidRPr="00180028">
        <w:rPr>
          <w:rFonts w:ascii="Palatino Linotype" w:hAnsi="Palatino Linotype"/>
          <w:sz w:val="24"/>
          <w:szCs w:val="24"/>
        </w:rPr>
        <w:t xml:space="preserve"> Process</w:t>
      </w:r>
      <w:r w:rsidRPr="00180028" w:rsidR="007C13F1">
        <w:rPr>
          <w:rFonts w:ascii="Palatino Linotype" w:hAnsi="Palatino Linotype"/>
          <w:sz w:val="24"/>
          <w:szCs w:val="24"/>
        </w:rPr>
        <w:t>.</w:t>
      </w:r>
      <w:r w:rsidRPr="00180028">
        <w:rPr>
          <w:rFonts w:ascii="Palatino Linotype" w:hAnsi="Palatino Linotype"/>
          <w:sz w:val="24"/>
          <w:szCs w:val="24"/>
        </w:rPr>
        <w:t xml:space="preserve">  </w:t>
      </w:r>
    </w:p>
    <w:p w:rsidRPr="00180028" w:rsidR="00D93418" w:rsidP="00180028" w:rsidRDefault="00D93418" w14:paraId="3CECBF78" w14:textId="77777777">
      <w:pPr>
        <w:pStyle w:val="Res-Caption"/>
        <w:pBdr>
          <w:bottom w:val="single" w:color="auto" w:sz="12" w:space="1"/>
        </w:pBdr>
        <w:spacing w:line="23" w:lineRule="atLeast"/>
        <w:rPr>
          <w:rFonts w:ascii="Palatino Linotype" w:hAnsi="Palatino Linotype"/>
          <w:sz w:val="24"/>
          <w:szCs w:val="24"/>
        </w:rPr>
      </w:pPr>
    </w:p>
    <w:p w:rsidRPr="00180028" w:rsidR="00303CD4" w:rsidP="00180028" w:rsidRDefault="00303CD4" w14:paraId="30E1D29C" w14:textId="77777777">
      <w:pPr>
        <w:spacing w:line="23" w:lineRule="atLeast"/>
        <w:jc w:val="center"/>
        <w:rPr>
          <w:rFonts w:ascii="Palatino Linotype" w:hAnsi="Palatino Linotype"/>
          <w:sz w:val="24"/>
          <w:szCs w:val="24"/>
        </w:rPr>
      </w:pPr>
    </w:p>
    <w:p w:rsidRPr="00180028" w:rsidR="001C538D" w:rsidP="00303CD4" w:rsidRDefault="001C538D" w14:paraId="19213C61" w14:textId="4DC0D311">
      <w:pPr>
        <w:pStyle w:val="Heading1"/>
        <w:spacing w:before="240" w:line="23" w:lineRule="atLeast"/>
        <w:jc w:val="both"/>
        <w:rPr>
          <w:rFonts w:ascii="Palatino Linotype" w:hAnsi="Palatino Linotype"/>
          <w:sz w:val="24"/>
          <w:szCs w:val="24"/>
        </w:rPr>
      </w:pPr>
      <w:r w:rsidRPr="00180028">
        <w:rPr>
          <w:rFonts w:ascii="Palatino Linotype" w:hAnsi="Palatino Linotype"/>
          <w:sz w:val="24"/>
          <w:szCs w:val="24"/>
        </w:rPr>
        <w:t>Summary</w:t>
      </w:r>
      <w:bookmarkEnd w:id="0"/>
    </w:p>
    <w:p w:rsidRPr="00180028" w:rsidR="00973494" w:rsidP="00180028" w:rsidRDefault="00973494" w14:paraId="4A338901" w14:textId="390A66C4">
      <w:pPr>
        <w:spacing w:line="23" w:lineRule="atLeast"/>
        <w:ind w:firstLine="720"/>
        <w:rPr>
          <w:rFonts w:ascii="Palatino Linotype" w:hAnsi="Palatino Linotype" w:eastAsia="Garamond" w:cs="Garamond"/>
          <w:sz w:val="24"/>
          <w:szCs w:val="24"/>
        </w:rPr>
      </w:pPr>
      <w:r w:rsidRPr="00180028">
        <w:rPr>
          <w:rFonts w:ascii="Palatino Linotype" w:hAnsi="Palatino Linotype"/>
          <w:sz w:val="24"/>
          <w:szCs w:val="24"/>
        </w:rPr>
        <w:t xml:space="preserve">With this Resolution, </w:t>
      </w:r>
      <w:r w:rsidRPr="00180028" w:rsidR="00C601A9">
        <w:rPr>
          <w:rFonts w:ascii="Palatino Linotype" w:hAnsi="Palatino Linotype"/>
          <w:sz w:val="24"/>
          <w:szCs w:val="24"/>
        </w:rPr>
        <w:t>a</w:t>
      </w:r>
      <w:r w:rsidRPr="00180028" w:rsidR="00BD7811">
        <w:rPr>
          <w:rFonts w:ascii="Palatino Linotype" w:hAnsi="Palatino Linotype"/>
          <w:sz w:val="24"/>
          <w:szCs w:val="24"/>
        </w:rPr>
        <w:t xml:space="preserve">s </w:t>
      </w:r>
      <w:r w:rsidRPr="00180028" w:rsidR="51D78417">
        <w:rPr>
          <w:rFonts w:ascii="Palatino Linotype" w:hAnsi="Palatino Linotype"/>
          <w:sz w:val="24"/>
          <w:szCs w:val="24"/>
        </w:rPr>
        <w:t>permitted</w:t>
      </w:r>
      <w:r w:rsidRPr="00180028" w:rsidR="00BD7811">
        <w:rPr>
          <w:rFonts w:ascii="Palatino Linotype" w:hAnsi="Palatino Linotype"/>
          <w:sz w:val="24"/>
          <w:szCs w:val="24"/>
        </w:rPr>
        <w:t xml:space="preserve"> under </w:t>
      </w:r>
      <w:r w:rsidRPr="00180028" w:rsidR="40DEA65B">
        <w:rPr>
          <w:rFonts w:ascii="Palatino Linotype" w:hAnsi="Palatino Linotype"/>
          <w:sz w:val="24"/>
          <w:szCs w:val="24"/>
        </w:rPr>
        <w:t xml:space="preserve">its authority granted by </w:t>
      </w:r>
      <w:r w:rsidRPr="00180028" w:rsidR="07BF52C4">
        <w:rPr>
          <w:rFonts w:ascii="Palatino Linotype" w:hAnsi="Palatino Linotype"/>
          <w:sz w:val="24"/>
          <w:szCs w:val="24"/>
        </w:rPr>
        <w:t xml:space="preserve">the California Constitution and </w:t>
      </w:r>
      <w:r w:rsidRPr="00180028" w:rsidR="2853278F">
        <w:rPr>
          <w:rFonts w:ascii="Palatino Linotype" w:hAnsi="Palatino Linotype"/>
          <w:sz w:val="24"/>
          <w:szCs w:val="24"/>
        </w:rPr>
        <w:t>Public</w:t>
      </w:r>
      <w:r w:rsidRPr="00180028" w:rsidR="00BD7811">
        <w:rPr>
          <w:rFonts w:ascii="Palatino Linotype" w:hAnsi="Palatino Linotype"/>
          <w:sz w:val="24"/>
          <w:szCs w:val="24"/>
        </w:rPr>
        <w:t xml:space="preserve"> Utility Code Sections 701, 330, 365, </w:t>
      </w:r>
      <w:r w:rsidRPr="00180028" w:rsidR="002445E2">
        <w:rPr>
          <w:rFonts w:ascii="Palatino Linotype" w:hAnsi="Palatino Linotype"/>
          <w:sz w:val="24"/>
          <w:szCs w:val="24"/>
        </w:rPr>
        <w:t xml:space="preserve">314, and 581, </w:t>
      </w:r>
      <w:r w:rsidRPr="00180028">
        <w:rPr>
          <w:rFonts w:ascii="Palatino Linotype" w:hAnsi="Palatino Linotype"/>
          <w:sz w:val="24"/>
          <w:szCs w:val="24"/>
        </w:rPr>
        <w:t xml:space="preserve">the Commission establishes </w:t>
      </w:r>
      <w:r w:rsidRPr="00180028" w:rsidR="00F66DA2">
        <w:rPr>
          <w:rFonts w:ascii="Palatino Linotype" w:hAnsi="Palatino Linotype"/>
          <w:sz w:val="24"/>
          <w:szCs w:val="24"/>
        </w:rPr>
        <w:t>the</w:t>
      </w:r>
      <w:r w:rsidRPr="00180028">
        <w:rPr>
          <w:rFonts w:ascii="Palatino Linotype" w:hAnsi="Palatino Linotype"/>
          <w:sz w:val="24"/>
          <w:szCs w:val="24"/>
        </w:rPr>
        <w:t xml:space="preserve"> Transmission Project Review Process (“TPR Process”) for the state’s investor-owned electric utilities (“IOUs”)</w:t>
      </w:r>
      <w:r w:rsidRPr="00180028">
        <w:rPr>
          <w:rStyle w:val="FootnoteReference"/>
          <w:rFonts w:ascii="Palatino Linotype" w:hAnsi="Palatino Linotype"/>
          <w:sz w:val="24"/>
          <w:szCs w:val="24"/>
        </w:rPr>
        <w:footnoteReference w:id="2"/>
      </w:r>
      <w:r w:rsidRPr="00180028" w:rsidR="00F750F3">
        <w:rPr>
          <w:rFonts w:ascii="Palatino Linotype" w:hAnsi="Palatino Linotype"/>
          <w:sz w:val="24"/>
          <w:szCs w:val="24"/>
        </w:rPr>
        <w:t xml:space="preserve"> beginning January 1, 2024.</w:t>
      </w:r>
      <w:r w:rsidRPr="00180028">
        <w:rPr>
          <w:rFonts w:ascii="Palatino Linotype" w:hAnsi="Palatino Linotype"/>
          <w:sz w:val="24"/>
          <w:szCs w:val="24"/>
        </w:rPr>
        <w:t xml:space="preserve">  The purpose in establishing the TPR Process is to devise a uniform process to review IOUs’ </w:t>
      </w:r>
      <w:r w:rsidRPr="00180028">
        <w:rPr>
          <w:rFonts w:ascii="Palatino Linotype" w:hAnsi="Palatino Linotype"/>
          <w:sz w:val="24"/>
          <w:szCs w:val="24"/>
        </w:rPr>
        <w:lastRenderedPageBreak/>
        <w:t>capital transmission</w:t>
      </w:r>
      <w:r w:rsidRPr="00180028" w:rsidR="00853637">
        <w:rPr>
          <w:rFonts w:ascii="Palatino Linotype" w:hAnsi="Palatino Linotype"/>
          <w:sz w:val="24"/>
          <w:szCs w:val="24"/>
        </w:rPr>
        <w:t xml:space="preserve"> projects</w:t>
      </w:r>
      <w:r w:rsidRPr="00180028" w:rsidR="00367EA8">
        <w:rPr>
          <w:rFonts w:ascii="Palatino Linotype" w:hAnsi="Palatino Linotype"/>
          <w:sz w:val="24"/>
          <w:szCs w:val="24"/>
        </w:rPr>
        <w:t xml:space="preserve"> with the goals </w:t>
      </w:r>
      <w:r w:rsidRPr="00180028" w:rsidR="005D0FA9">
        <w:rPr>
          <w:rFonts w:ascii="Palatino Linotype" w:hAnsi="Palatino Linotype"/>
          <w:sz w:val="24"/>
          <w:szCs w:val="24"/>
        </w:rPr>
        <w:t xml:space="preserve">of </w:t>
      </w:r>
      <w:r w:rsidRPr="00180028" w:rsidR="00367EA8">
        <w:rPr>
          <w:rFonts w:ascii="Palatino Linotype" w:hAnsi="Palatino Linotype"/>
          <w:sz w:val="24"/>
          <w:szCs w:val="24"/>
        </w:rPr>
        <w:t xml:space="preserve">providing clarity on projects aimed at making </w:t>
      </w:r>
      <w:r w:rsidRPr="00180028">
        <w:rPr>
          <w:rFonts w:ascii="Palatino Linotype" w:hAnsi="Palatino Linotype"/>
          <w:sz w:val="24"/>
          <w:szCs w:val="24"/>
        </w:rPr>
        <w:t xml:space="preserve">progress towards the state’s clean energy goals, </w:t>
      </w:r>
      <w:r w:rsidRPr="00180028" w:rsidR="00367EA8">
        <w:rPr>
          <w:rFonts w:ascii="Palatino Linotype" w:hAnsi="Palatino Linotype"/>
          <w:sz w:val="24"/>
          <w:szCs w:val="24"/>
        </w:rPr>
        <w:t xml:space="preserve">contributing </w:t>
      </w:r>
      <w:r w:rsidRPr="00180028">
        <w:rPr>
          <w:rFonts w:ascii="Palatino Linotype" w:hAnsi="Palatino Linotype"/>
          <w:sz w:val="24"/>
          <w:szCs w:val="24"/>
        </w:rPr>
        <w:t xml:space="preserve">more robust information </w:t>
      </w:r>
      <w:r w:rsidRPr="00180028" w:rsidR="004D408C">
        <w:rPr>
          <w:rFonts w:ascii="Palatino Linotype" w:hAnsi="Palatino Linotype"/>
          <w:sz w:val="24"/>
          <w:szCs w:val="24"/>
        </w:rPr>
        <w:t>for</w:t>
      </w:r>
      <w:r w:rsidRPr="00180028">
        <w:rPr>
          <w:rFonts w:ascii="Palatino Linotype" w:hAnsi="Palatino Linotype"/>
          <w:sz w:val="24"/>
          <w:szCs w:val="24"/>
        </w:rPr>
        <w:t xml:space="preserve"> CPUC permitting processes, informing the Integrated Resource Planning program, </w:t>
      </w:r>
      <w:r w:rsidRPr="00180028" w:rsidR="00367EA8">
        <w:rPr>
          <w:rFonts w:ascii="Palatino Linotype" w:hAnsi="Palatino Linotype"/>
          <w:sz w:val="24"/>
          <w:szCs w:val="24"/>
        </w:rPr>
        <w:t>provid</w:t>
      </w:r>
      <w:r w:rsidRPr="00180028">
        <w:rPr>
          <w:rFonts w:ascii="Palatino Linotype" w:hAnsi="Palatino Linotype"/>
          <w:sz w:val="24"/>
          <w:szCs w:val="24"/>
        </w:rPr>
        <w:t xml:space="preserve">ing useful data to help develop grid resiliency and microgrid facilities, </w:t>
      </w:r>
      <w:r w:rsidRPr="00180028" w:rsidR="005D0FA9">
        <w:rPr>
          <w:rFonts w:ascii="Palatino Linotype" w:hAnsi="Palatino Linotype"/>
          <w:sz w:val="24"/>
          <w:szCs w:val="24"/>
        </w:rPr>
        <w:t xml:space="preserve">monitoring project costs, </w:t>
      </w:r>
      <w:r w:rsidRPr="00180028">
        <w:rPr>
          <w:rFonts w:ascii="Palatino Linotype" w:hAnsi="Palatino Linotype"/>
          <w:sz w:val="24"/>
          <w:szCs w:val="24"/>
        </w:rPr>
        <w:t>and in general facilitat</w:t>
      </w:r>
      <w:r w:rsidRPr="00180028" w:rsidR="000A3834">
        <w:rPr>
          <w:rFonts w:ascii="Palatino Linotype" w:hAnsi="Palatino Linotype"/>
          <w:sz w:val="24"/>
          <w:szCs w:val="24"/>
        </w:rPr>
        <w:t>ing</w:t>
      </w:r>
      <w:r w:rsidRPr="00180028">
        <w:rPr>
          <w:rFonts w:ascii="Palatino Linotype" w:hAnsi="Palatino Linotype"/>
          <w:sz w:val="24"/>
          <w:szCs w:val="24"/>
        </w:rPr>
        <w:t xml:space="preserve"> the Commission’s safety and siting authority</w:t>
      </w:r>
      <w:r w:rsidRPr="00180028" w:rsidR="00C66022">
        <w:rPr>
          <w:rFonts w:ascii="Palatino Linotype" w:hAnsi="Palatino Linotype"/>
          <w:sz w:val="24"/>
          <w:szCs w:val="24"/>
        </w:rPr>
        <w:t xml:space="preserve"> through en</w:t>
      </w:r>
      <w:r w:rsidRPr="00180028" w:rsidR="00B13E4D">
        <w:rPr>
          <w:rFonts w:ascii="Palatino Linotype" w:hAnsi="Palatino Linotype"/>
          <w:sz w:val="24"/>
          <w:szCs w:val="24"/>
        </w:rPr>
        <w:t>ha</w:t>
      </w:r>
      <w:r w:rsidRPr="00180028" w:rsidR="00C66022">
        <w:rPr>
          <w:rFonts w:ascii="Palatino Linotype" w:hAnsi="Palatino Linotype"/>
          <w:sz w:val="24"/>
          <w:szCs w:val="24"/>
        </w:rPr>
        <w:t>nced oversight of the changing electric grid</w:t>
      </w:r>
      <w:r w:rsidRPr="00180028">
        <w:rPr>
          <w:rFonts w:ascii="Palatino Linotype" w:hAnsi="Palatino Linotype"/>
          <w:sz w:val="24"/>
          <w:szCs w:val="24"/>
        </w:rPr>
        <w:t xml:space="preserve">.  Once established, the TPR Process will allow the Commission and all </w:t>
      </w:r>
      <w:r w:rsidRPr="00180028" w:rsidR="00856F96">
        <w:rPr>
          <w:rFonts w:ascii="Palatino Linotype" w:hAnsi="Palatino Linotype"/>
          <w:sz w:val="24"/>
          <w:szCs w:val="24"/>
        </w:rPr>
        <w:t>S</w:t>
      </w:r>
      <w:r w:rsidRPr="00180028">
        <w:rPr>
          <w:rFonts w:ascii="Palatino Linotype" w:hAnsi="Palatino Linotype"/>
          <w:sz w:val="24"/>
          <w:szCs w:val="24"/>
        </w:rPr>
        <w:t xml:space="preserve">takeholders to receive robust data from </w:t>
      </w:r>
      <w:r w:rsidRPr="00180028" w:rsidR="5BF8CB04">
        <w:rPr>
          <w:rFonts w:ascii="Palatino Linotype" w:hAnsi="Palatino Linotype"/>
          <w:sz w:val="24"/>
          <w:szCs w:val="24"/>
        </w:rPr>
        <w:t>T</w:t>
      </w:r>
      <w:r w:rsidRPr="00180028">
        <w:rPr>
          <w:rFonts w:ascii="Palatino Linotype" w:hAnsi="Palatino Linotype"/>
          <w:sz w:val="24"/>
          <w:szCs w:val="24"/>
        </w:rPr>
        <w:t xml:space="preserve">ransmission </w:t>
      </w:r>
      <w:r w:rsidRPr="00180028" w:rsidR="143C637F">
        <w:rPr>
          <w:rFonts w:ascii="Palatino Linotype" w:hAnsi="Palatino Linotype"/>
          <w:sz w:val="24"/>
          <w:szCs w:val="24"/>
        </w:rPr>
        <w:t>O</w:t>
      </w:r>
      <w:r w:rsidRPr="00180028">
        <w:rPr>
          <w:rFonts w:ascii="Palatino Linotype" w:hAnsi="Palatino Linotype"/>
          <w:sz w:val="24"/>
          <w:szCs w:val="24"/>
        </w:rPr>
        <w:t>wners (“TO</w:t>
      </w:r>
      <w:r w:rsidRPr="00180028" w:rsidR="0038608A">
        <w:rPr>
          <w:rFonts w:ascii="Palatino Linotype" w:hAnsi="Palatino Linotype"/>
          <w:sz w:val="24"/>
          <w:szCs w:val="24"/>
        </w:rPr>
        <w:t>”</w:t>
      </w:r>
      <w:r w:rsidRPr="00180028">
        <w:rPr>
          <w:rFonts w:ascii="Palatino Linotype" w:hAnsi="Palatino Linotype"/>
          <w:sz w:val="24"/>
          <w:szCs w:val="24"/>
        </w:rPr>
        <w:t>)</w:t>
      </w:r>
      <w:r w:rsidRPr="00180028">
        <w:rPr>
          <w:rFonts w:ascii="Palatino Linotype" w:hAnsi="Palatino Linotype"/>
          <w:sz w:val="24"/>
          <w:szCs w:val="24"/>
          <w:vertAlign w:val="superscript"/>
        </w:rPr>
        <w:footnoteReference w:id="3"/>
      </w:r>
      <w:r w:rsidRPr="00180028" w:rsidR="00C66022">
        <w:rPr>
          <w:rFonts w:ascii="Palatino Linotype" w:hAnsi="Palatino Linotype"/>
          <w:sz w:val="24"/>
          <w:szCs w:val="24"/>
        </w:rPr>
        <w:t xml:space="preserve">; </w:t>
      </w:r>
      <w:r w:rsidRPr="00180028">
        <w:rPr>
          <w:rFonts w:ascii="Palatino Linotype" w:hAnsi="Palatino Linotype"/>
          <w:sz w:val="24"/>
          <w:szCs w:val="24"/>
        </w:rPr>
        <w:t>inquire about, and provide feedback on the IOUs’ historical, current, and forecast transmission projects</w:t>
      </w:r>
      <w:r w:rsidRPr="00180028" w:rsidR="00C66022">
        <w:rPr>
          <w:rFonts w:ascii="Palatino Linotype" w:hAnsi="Palatino Linotype"/>
          <w:sz w:val="24"/>
          <w:szCs w:val="24"/>
        </w:rPr>
        <w:t>;</w:t>
      </w:r>
      <w:r w:rsidRPr="00180028">
        <w:rPr>
          <w:rFonts w:ascii="Palatino Linotype" w:hAnsi="Palatino Linotype"/>
          <w:sz w:val="24"/>
          <w:szCs w:val="24"/>
        </w:rPr>
        <w:t xml:space="preserve"> and provide feedback to the IOUs’ </w:t>
      </w:r>
      <w:r w:rsidRPr="00180028" w:rsidR="00C66022">
        <w:rPr>
          <w:rFonts w:ascii="Palatino Linotype" w:hAnsi="Palatino Linotype"/>
          <w:sz w:val="24"/>
          <w:szCs w:val="24"/>
        </w:rPr>
        <w:t xml:space="preserve">on their </w:t>
      </w:r>
      <w:r w:rsidRPr="00180028">
        <w:rPr>
          <w:rFonts w:ascii="Palatino Linotype" w:hAnsi="Palatino Linotype"/>
          <w:sz w:val="24"/>
          <w:szCs w:val="24"/>
        </w:rPr>
        <w:t xml:space="preserve">transmission projects. </w:t>
      </w:r>
    </w:p>
    <w:p w:rsidRPr="00180028" w:rsidR="00973494" w:rsidP="00180028" w:rsidRDefault="00973494" w14:paraId="15FCE635" w14:textId="4CA84A8F">
      <w:pPr>
        <w:spacing w:line="23" w:lineRule="atLeast"/>
        <w:ind w:firstLine="720"/>
        <w:rPr>
          <w:rFonts w:ascii="Palatino Linotype" w:hAnsi="Palatino Linotype" w:eastAsia="Garamond" w:cs="Garamond"/>
          <w:sz w:val="24"/>
          <w:szCs w:val="24"/>
        </w:rPr>
      </w:pPr>
      <w:r w:rsidRPr="00180028">
        <w:rPr>
          <w:rFonts w:ascii="Palatino Linotype" w:hAnsi="Palatino Linotype" w:eastAsia="Garamond" w:cs="Garamond"/>
          <w:sz w:val="24"/>
          <w:szCs w:val="24"/>
        </w:rPr>
        <w:t xml:space="preserve">The TPR </w:t>
      </w:r>
      <w:r w:rsidRPr="00180028" w:rsidR="00F750F3">
        <w:rPr>
          <w:rFonts w:ascii="Palatino Linotype" w:hAnsi="Palatino Linotype" w:eastAsia="Garamond" w:cs="Garamond"/>
          <w:sz w:val="24"/>
          <w:szCs w:val="24"/>
        </w:rPr>
        <w:t xml:space="preserve">Process </w:t>
      </w:r>
      <w:r w:rsidRPr="00180028">
        <w:rPr>
          <w:rFonts w:ascii="Palatino Linotype" w:hAnsi="Palatino Linotype" w:eastAsia="Garamond" w:cs="Garamond"/>
          <w:sz w:val="24"/>
          <w:szCs w:val="24"/>
        </w:rPr>
        <w:t xml:space="preserve">will provide useful information to numerous programs and proceedings at the CPUC.  These </w:t>
      </w:r>
      <w:r w:rsidRPr="00180028" w:rsidR="6601912E">
        <w:rPr>
          <w:rFonts w:ascii="Palatino Linotype" w:hAnsi="Palatino Linotype" w:eastAsia="Garamond" w:cs="Garamond"/>
          <w:sz w:val="24"/>
          <w:szCs w:val="24"/>
        </w:rPr>
        <w:t>include but</w:t>
      </w:r>
      <w:r w:rsidRPr="00180028" w:rsidR="00311855">
        <w:rPr>
          <w:rFonts w:ascii="Palatino Linotype" w:hAnsi="Palatino Linotype" w:eastAsia="Garamond" w:cs="Garamond"/>
          <w:sz w:val="24"/>
          <w:szCs w:val="24"/>
        </w:rPr>
        <w:t xml:space="preserve"> are not limited to</w:t>
      </w:r>
      <w:r w:rsidRPr="00180028">
        <w:rPr>
          <w:rFonts w:ascii="Palatino Linotype" w:hAnsi="Palatino Linotype" w:eastAsia="Garamond" w:cs="Garamond"/>
          <w:sz w:val="24"/>
          <w:szCs w:val="24"/>
        </w:rPr>
        <w:t>:</w:t>
      </w:r>
      <w:r w:rsidRPr="00180028" w:rsidR="00F750F3">
        <w:rPr>
          <w:rFonts w:ascii="Palatino Linotype" w:hAnsi="Palatino Linotype" w:eastAsia="Garamond" w:cs="Garamond"/>
          <w:sz w:val="24"/>
          <w:szCs w:val="24"/>
        </w:rPr>
        <w:t xml:space="preserve"> California Environ</w:t>
      </w:r>
      <w:r w:rsidRPr="00180028" w:rsidR="00F700BF">
        <w:rPr>
          <w:rFonts w:ascii="Palatino Linotype" w:hAnsi="Palatino Linotype" w:eastAsia="Garamond" w:cs="Garamond"/>
          <w:sz w:val="24"/>
          <w:szCs w:val="24"/>
        </w:rPr>
        <w:t>me</w:t>
      </w:r>
      <w:r w:rsidRPr="00180028" w:rsidR="00F750F3">
        <w:rPr>
          <w:rFonts w:ascii="Palatino Linotype" w:hAnsi="Palatino Linotype" w:eastAsia="Garamond" w:cs="Garamond"/>
          <w:sz w:val="24"/>
          <w:szCs w:val="24"/>
        </w:rPr>
        <w:t>ntal</w:t>
      </w:r>
      <w:r w:rsidRPr="00180028" w:rsidR="00F700BF">
        <w:rPr>
          <w:rFonts w:ascii="Palatino Linotype" w:hAnsi="Palatino Linotype" w:eastAsia="Garamond" w:cs="Garamond"/>
          <w:sz w:val="24"/>
          <w:szCs w:val="24"/>
        </w:rPr>
        <w:t xml:space="preserve"> </w:t>
      </w:r>
      <w:r w:rsidRPr="00180028" w:rsidR="00F750F3">
        <w:rPr>
          <w:rFonts w:ascii="Palatino Linotype" w:hAnsi="Palatino Linotype" w:eastAsia="Garamond" w:cs="Garamond"/>
          <w:sz w:val="24"/>
          <w:szCs w:val="24"/>
        </w:rPr>
        <w:t>Quality Act (</w:t>
      </w:r>
      <w:r w:rsidRPr="00180028" w:rsidR="00F85ED5">
        <w:rPr>
          <w:rFonts w:ascii="Palatino Linotype" w:hAnsi="Palatino Linotype" w:eastAsia="Garamond" w:cs="Garamond"/>
          <w:sz w:val="24"/>
          <w:szCs w:val="24"/>
        </w:rPr>
        <w:t>“</w:t>
      </w:r>
      <w:r w:rsidRPr="00180028" w:rsidR="00F750F3">
        <w:rPr>
          <w:rFonts w:ascii="Palatino Linotype" w:hAnsi="Palatino Linotype" w:eastAsia="Garamond" w:cs="Garamond"/>
          <w:sz w:val="24"/>
          <w:szCs w:val="24"/>
        </w:rPr>
        <w:t>CEQA</w:t>
      </w:r>
      <w:r w:rsidRPr="00180028" w:rsidR="00F85ED5">
        <w:rPr>
          <w:rFonts w:ascii="Palatino Linotype" w:hAnsi="Palatino Linotype" w:eastAsia="Garamond" w:cs="Garamond"/>
          <w:sz w:val="24"/>
          <w:szCs w:val="24"/>
        </w:rPr>
        <w:t>”</w:t>
      </w:r>
      <w:r w:rsidRPr="00180028" w:rsidR="00F750F3">
        <w:rPr>
          <w:rFonts w:ascii="Palatino Linotype" w:hAnsi="Palatino Linotype" w:eastAsia="Garamond" w:cs="Garamond"/>
          <w:sz w:val="24"/>
          <w:szCs w:val="24"/>
        </w:rPr>
        <w:t xml:space="preserve">) review and permitting, </w:t>
      </w:r>
      <w:r w:rsidRPr="00180028" w:rsidR="00F700BF">
        <w:rPr>
          <w:rFonts w:ascii="Palatino Linotype" w:hAnsi="Palatino Linotype" w:eastAsia="Garamond" w:cs="Garamond"/>
          <w:sz w:val="24"/>
          <w:szCs w:val="24"/>
        </w:rPr>
        <w:t>Integrated Resource Planning</w:t>
      </w:r>
      <w:r w:rsidRPr="00180028" w:rsidR="004B1FBD">
        <w:rPr>
          <w:rFonts w:ascii="Palatino Linotype" w:hAnsi="Palatino Linotype" w:eastAsia="Garamond" w:cs="Garamond"/>
          <w:sz w:val="24"/>
          <w:szCs w:val="24"/>
        </w:rPr>
        <w:t xml:space="preserve"> (“IRP”)</w:t>
      </w:r>
      <w:r w:rsidRPr="00180028" w:rsidR="00F700BF">
        <w:rPr>
          <w:rFonts w:ascii="Palatino Linotype" w:hAnsi="Palatino Linotype" w:eastAsia="Garamond" w:cs="Garamond"/>
          <w:sz w:val="24"/>
          <w:szCs w:val="24"/>
        </w:rPr>
        <w:t>, the Distributed Energy Resources (</w:t>
      </w:r>
      <w:r w:rsidRPr="00180028" w:rsidR="00F85ED5">
        <w:rPr>
          <w:rFonts w:ascii="Palatino Linotype" w:hAnsi="Palatino Linotype" w:eastAsia="Garamond" w:cs="Garamond"/>
          <w:sz w:val="24"/>
          <w:szCs w:val="24"/>
        </w:rPr>
        <w:t>“</w:t>
      </w:r>
      <w:r w:rsidRPr="00180028" w:rsidR="00F700BF">
        <w:rPr>
          <w:rFonts w:ascii="Palatino Linotype" w:hAnsi="Palatino Linotype" w:eastAsia="Garamond" w:cs="Garamond"/>
          <w:sz w:val="24"/>
          <w:szCs w:val="24"/>
        </w:rPr>
        <w:t>DER</w:t>
      </w:r>
      <w:r w:rsidRPr="00180028" w:rsidR="00F85ED5">
        <w:rPr>
          <w:rFonts w:ascii="Palatino Linotype" w:hAnsi="Palatino Linotype" w:eastAsia="Garamond" w:cs="Garamond"/>
          <w:sz w:val="24"/>
          <w:szCs w:val="24"/>
        </w:rPr>
        <w:t>”</w:t>
      </w:r>
      <w:r w:rsidRPr="00180028" w:rsidR="00F700BF">
        <w:rPr>
          <w:rFonts w:ascii="Palatino Linotype" w:hAnsi="Palatino Linotype" w:eastAsia="Garamond" w:cs="Garamond"/>
          <w:sz w:val="24"/>
          <w:szCs w:val="24"/>
        </w:rPr>
        <w:t>) Action Plan, General Rate Cases</w:t>
      </w:r>
      <w:r w:rsidRPr="00180028" w:rsidR="004B1FBD">
        <w:rPr>
          <w:rFonts w:ascii="Palatino Linotype" w:hAnsi="Palatino Linotype" w:eastAsia="Garamond" w:cs="Garamond"/>
          <w:sz w:val="24"/>
          <w:szCs w:val="24"/>
        </w:rPr>
        <w:t xml:space="preserve"> (“GRC”)</w:t>
      </w:r>
      <w:r w:rsidRPr="00180028" w:rsidR="00F700BF">
        <w:rPr>
          <w:rFonts w:ascii="Palatino Linotype" w:hAnsi="Palatino Linotype" w:eastAsia="Garamond" w:cs="Garamond"/>
          <w:sz w:val="24"/>
          <w:szCs w:val="24"/>
        </w:rPr>
        <w:t>, wildfire mitigation and recovery efforts</w:t>
      </w:r>
      <w:r w:rsidRPr="00180028" w:rsidR="00A06EA9">
        <w:rPr>
          <w:rFonts w:ascii="Palatino Linotype" w:hAnsi="Palatino Linotype" w:eastAsia="Garamond" w:cs="Garamond"/>
          <w:sz w:val="24"/>
          <w:szCs w:val="24"/>
        </w:rPr>
        <w:t xml:space="preserve">, and the </w:t>
      </w:r>
      <w:r w:rsidRPr="00180028" w:rsidR="007012D5">
        <w:rPr>
          <w:rFonts w:ascii="Palatino Linotype" w:hAnsi="Palatino Linotype" w:eastAsia="Garamond" w:cs="Garamond"/>
          <w:sz w:val="24"/>
          <w:szCs w:val="24"/>
        </w:rPr>
        <w:t>CPUC</w:t>
      </w:r>
      <w:r w:rsidRPr="00180028" w:rsidR="00A06EA9">
        <w:rPr>
          <w:rFonts w:ascii="Palatino Linotype" w:hAnsi="Palatino Linotype" w:eastAsia="Garamond" w:cs="Garamond"/>
          <w:sz w:val="24"/>
          <w:szCs w:val="24"/>
        </w:rPr>
        <w:t>’s Risk-Based Decision-Making Framework (</w:t>
      </w:r>
      <w:r w:rsidRPr="00180028" w:rsidR="0060680A">
        <w:rPr>
          <w:rFonts w:ascii="Palatino Linotype" w:hAnsi="Palatino Linotype" w:eastAsia="Garamond" w:cs="Garamond"/>
          <w:sz w:val="24"/>
          <w:szCs w:val="24"/>
        </w:rPr>
        <w:t>“</w:t>
      </w:r>
      <w:r w:rsidRPr="00180028" w:rsidR="00A06EA9">
        <w:rPr>
          <w:rFonts w:ascii="Palatino Linotype" w:hAnsi="Palatino Linotype" w:eastAsia="Garamond" w:cs="Garamond"/>
          <w:sz w:val="24"/>
          <w:szCs w:val="24"/>
        </w:rPr>
        <w:t>RDF</w:t>
      </w:r>
      <w:r w:rsidRPr="00180028" w:rsidR="0060680A">
        <w:rPr>
          <w:rFonts w:ascii="Palatino Linotype" w:hAnsi="Palatino Linotype" w:eastAsia="Garamond" w:cs="Garamond"/>
          <w:sz w:val="24"/>
          <w:szCs w:val="24"/>
        </w:rPr>
        <w:t>”</w:t>
      </w:r>
      <w:r w:rsidRPr="00180028" w:rsidR="00A06EA9">
        <w:rPr>
          <w:rFonts w:ascii="Palatino Linotype" w:hAnsi="Palatino Linotype" w:eastAsia="Garamond" w:cs="Garamond"/>
          <w:sz w:val="24"/>
          <w:szCs w:val="24"/>
        </w:rPr>
        <w:t>) and Risk Assessment &amp; Mitigation Phase (</w:t>
      </w:r>
      <w:r w:rsidRPr="00180028" w:rsidR="0060680A">
        <w:rPr>
          <w:rFonts w:ascii="Palatino Linotype" w:hAnsi="Palatino Linotype" w:eastAsia="Garamond" w:cs="Garamond"/>
          <w:sz w:val="24"/>
          <w:szCs w:val="24"/>
        </w:rPr>
        <w:t>“</w:t>
      </w:r>
      <w:r w:rsidRPr="00180028" w:rsidR="00A06EA9">
        <w:rPr>
          <w:rFonts w:ascii="Palatino Linotype" w:hAnsi="Palatino Linotype" w:eastAsia="Garamond" w:cs="Garamond"/>
          <w:sz w:val="24"/>
          <w:szCs w:val="24"/>
        </w:rPr>
        <w:t>RAMP</w:t>
      </w:r>
      <w:r w:rsidRPr="00180028" w:rsidR="0060680A">
        <w:rPr>
          <w:rFonts w:ascii="Palatino Linotype" w:hAnsi="Palatino Linotype" w:eastAsia="Garamond" w:cs="Garamond"/>
          <w:sz w:val="24"/>
          <w:szCs w:val="24"/>
        </w:rPr>
        <w:t>”</w:t>
      </w:r>
      <w:r w:rsidRPr="00180028" w:rsidR="00A06EA9">
        <w:rPr>
          <w:rFonts w:ascii="Palatino Linotype" w:hAnsi="Palatino Linotype" w:eastAsia="Garamond" w:cs="Garamond"/>
          <w:sz w:val="24"/>
          <w:szCs w:val="24"/>
        </w:rPr>
        <w:t>)</w:t>
      </w:r>
      <w:r w:rsidRPr="00180028" w:rsidR="00F700BF">
        <w:rPr>
          <w:rFonts w:ascii="Palatino Linotype" w:hAnsi="Palatino Linotype" w:eastAsia="Garamond" w:cs="Garamond"/>
          <w:sz w:val="24"/>
          <w:szCs w:val="24"/>
        </w:rPr>
        <w:t xml:space="preserve">. </w:t>
      </w:r>
    </w:p>
    <w:p w:rsidRPr="00180028" w:rsidR="00B320AB" w:rsidP="00180028" w:rsidRDefault="00B320AB" w14:paraId="5B804CDF" w14:textId="77777777">
      <w:pPr>
        <w:spacing w:line="23" w:lineRule="atLeast"/>
        <w:ind w:firstLine="720"/>
        <w:rPr>
          <w:rFonts w:ascii="Palatino Linotype" w:hAnsi="Palatino Linotype"/>
          <w:sz w:val="24"/>
          <w:szCs w:val="24"/>
        </w:rPr>
      </w:pPr>
      <w:r w:rsidRPr="00180028">
        <w:rPr>
          <w:rFonts w:ascii="Palatino Linotype" w:hAnsi="Palatino Linotype"/>
          <w:sz w:val="24"/>
          <w:szCs w:val="24"/>
        </w:rPr>
        <w:t xml:space="preserve">For over a decade, ratepayers have been impacted by the substantial escalation in electric transmission investment under the jurisdiction of the Federal Energy Regulatory Commission (“FERC”) in the California Independent System Operator Corporation (“CAISO”) control area.  Since 2008, California’s three largest TOs’ collective transmission rate base has increased by over 350% from $4.6 billion to over $21.0 billion.  </w:t>
      </w:r>
    </w:p>
    <w:p w:rsidRPr="00180028" w:rsidR="00B320AB" w:rsidP="00180028" w:rsidRDefault="00B320AB" w14:paraId="6411F142" w14:textId="45ABDCAE">
      <w:pPr>
        <w:spacing w:line="23" w:lineRule="atLeast"/>
        <w:ind w:firstLine="720"/>
        <w:rPr>
          <w:rFonts w:ascii="Palatino Linotype" w:hAnsi="Palatino Linotype" w:eastAsia="Garamond" w:cs="Garamond"/>
          <w:sz w:val="24"/>
          <w:szCs w:val="24"/>
          <w:highlight w:val="yellow"/>
        </w:rPr>
      </w:pPr>
      <w:r w:rsidRPr="00180028">
        <w:rPr>
          <w:rFonts w:ascii="Palatino Linotype" w:hAnsi="Palatino Linotype"/>
          <w:sz w:val="24"/>
          <w:szCs w:val="24"/>
        </w:rPr>
        <w:t xml:space="preserve">For most of this time, a majority of </w:t>
      </w:r>
      <w:r w:rsidRPr="00180028">
        <w:rPr>
          <w:rFonts w:ascii="Palatino Linotype" w:hAnsi="Palatino Linotype" w:eastAsia="Garamond" w:cs="Garamond"/>
          <w:sz w:val="24"/>
          <w:szCs w:val="24"/>
        </w:rPr>
        <w:t>transmission projects have received no review by the CAISO or the Commission,</w:t>
      </w:r>
      <w:r w:rsidRPr="00180028">
        <w:rPr>
          <w:rStyle w:val="FootnoteReference"/>
          <w:rFonts w:ascii="Palatino Linotype" w:hAnsi="Palatino Linotype" w:eastAsia="Garamond" w:cs="Garamond"/>
          <w:sz w:val="24"/>
          <w:szCs w:val="24"/>
        </w:rPr>
        <w:footnoteReference w:id="4"/>
      </w:r>
      <w:r w:rsidRPr="00180028">
        <w:rPr>
          <w:rFonts w:ascii="Palatino Linotype" w:hAnsi="Palatino Linotype" w:eastAsia="Garamond" w:cs="Garamond"/>
          <w:sz w:val="24"/>
          <w:szCs w:val="24"/>
        </w:rPr>
        <w:t xml:space="preserve"> and over the last three years, these Utility Self-Approved (“self-approved”) Projects have represented over 63% (</w:t>
      </w:r>
      <w:r w:rsidRPr="00180028">
        <w:rPr>
          <w:rFonts w:ascii="Palatino Linotype" w:hAnsi="Palatino Linotype" w:eastAsia="Garamond" w:cs="Garamond"/>
          <w:i/>
          <w:sz w:val="24"/>
          <w:szCs w:val="24"/>
        </w:rPr>
        <w:t>i.e.,</w:t>
      </w:r>
      <w:r w:rsidRPr="00180028">
        <w:rPr>
          <w:rFonts w:ascii="Palatino Linotype" w:hAnsi="Palatino Linotype" w:eastAsia="Garamond" w:cs="Garamond"/>
          <w:sz w:val="24"/>
          <w:szCs w:val="24"/>
        </w:rPr>
        <w:t xml:space="preserve"> $4.2 billion) of the </w:t>
      </w:r>
      <w:r w:rsidRPr="00180028">
        <w:rPr>
          <w:rFonts w:ascii="Palatino Linotype" w:hAnsi="Palatino Linotype" w:eastAsia="Garamond" w:cs="Garamond"/>
          <w:sz w:val="24"/>
          <w:szCs w:val="24"/>
        </w:rPr>
        <w:lastRenderedPageBreak/>
        <w:t>$6.6 billion of capital additions added to the three TOs’ transmission rate bases.</w:t>
      </w:r>
      <w:r w:rsidRPr="00180028">
        <w:rPr>
          <w:rStyle w:val="FootnoteReference"/>
          <w:rFonts w:ascii="Palatino Linotype" w:hAnsi="Palatino Linotype" w:eastAsia="Garamond" w:cs="Garamond"/>
          <w:sz w:val="24"/>
          <w:szCs w:val="24"/>
        </w:rPr>
        <w:footnoteReference w:id="5"/>
      </w:r>
      <w:r w:rsidRPr="00180028">
        <w:rPr>
          <w:rFonts w:ascii="Palatino Linotype" w:hAnsi="Palatino Linotype" w:eastAsia="Garamond" w:cs="Garamond"/>
          <w:sz w:val="24"/>
          <w:szCs w:val="24"/>
        </w:rPr>
        <w:t xml:space="preserve">  Largely driven by the costs of capital projects, since 2016, the annual total of the three TOs’ revenue requirements in their rate cases at FERC have increased by over 8</w:t>
      </w:r>
      <w:r w:rsidRPr="00180028" w:rsidR="00941815">
        <w:rPr>
          <w:rFonts w:ascii="Palatino Linotype" w:hAnsi="Palatino Linotype" w:eastAsia="Garamond" w:cs="Garamond"/>
          <w:sz w:val="24"/>
          <w:szCs w:val="24"/>
        </w:rPr>
        <w:t>5</w:t>
      </w:r>
      <w:r w:rsidRPr="00180028">
        <w:rPr>
          <w:rFonts w:ascii="Palatino Linotype" w:hAnsi="Palatino Linotype" w:eastAsia="Garamond" w:cs="Garamond"/>
          <w:sz w:val="24"/>
          <w:szCs w:val="24"/>
        </w:rPr>
        <w:t xml:space="preserve">% from $3.1 billion in 2016 to a forecast of </w:t>
      </w:r>
      <w:r w:rsidRPr="00180028" w:rsidR="00941815">
        <w:rPr>
          <w:rFonts w:ascii="Palatino Linotype" w:hAnsi="Palatino Linotype" w:eastAsia="Garamond" w:cs="Garamond"/>
          <w:sz w:val="24"/>
          <w:szCs w:val="24"/>
        </w:rPr>
        <w:t xml:space="preserve">nearly </w:t>
      </w:r>
      <w:r w:rsidRPr="00180028">
        <w:rPr>
          <w:rFonts w:ascii="Palatino Linotype" w:hAnsi="Palatino Linotype" w:eastAsia="Garamond" w:cs="Garamond"/>
          <w:sz w:val="24"/>
          <w:szCs w:val="24"/>
        </w:rPr>
        <w:t>$5.</w:t>
      </w:r>
      <w:r w:rsidRPr="00180028" w:rsidR="00941815">
        <w:rPr>
          <w:rFonts w:ascii="Palatino Linotype" w:hAnsi="Palatino Linotype" w:eastAsia="Garamond" w:cs="Garamond"/>
          <w:sz w:val="24"/>
          <w:szCs w:val="24"/>
        </w:rPr>
        <w:t>8</w:t>
      </w:r>
      <w:r w:rsidRPr="00180028">
        <w:rPr>
          <w:rFonts w:ascii="Palatino Linotype" w:hAnsi="Palatino Linotype" w:eastAsia="Garamond" w:cs="Garamond"/>
          <w:sz w:val="24"/>
          <w:szCs w:val="24"/>
        </w:rPr>
        <w:t xml:space="preserve"> billion in 2023.</w:t>
      </w:r>
      <w:r w:rsidRPr="00180028">
        <w:rPr>
          <w:rFonts w:ascii="Palatino Linotype" w:hAnsi="Palatino Linotype" w:eastAsia="Garamond" w:cs="Garamond"/>
          <w:sz w:val="24"/>
          <w:szCs w:val="24"/>
          <w:highlight w:val="yellow"/>
        </w:rPr>
        <w:t xml:space="preserve"> </w:t>
      </w:r>
    </w:p>
    <w:p w:rsidRPr="00180028" w:rsidR="00B320AB" w:rsidP="00180028" w:rsidRDefault="00B320AB" w14:paraId="1690FB4B" w14:textId="1F61608C">
      <w:pPr>
        <w:spacing w:line="23" w:lineRule="atLeast"/>
        <w:ind w:firstLine="720"/>
        <w:rPr>
          <w:rFonts w:ascii="Palatino Linotype" w:hAnsi="Palatino Linotype" w:eastAsia="Garamond" w:cs="Garamond"/>
          <w:sz w:val="24"/>
          <w:szCs w:val="24"/>
        </w:rPr>
      </w:pPr>
      <w:r w:rsidRPr="00180028">
        <w:rPr>
          <w:rFonts w:ascii="Palatino Linotype" w:hAnsi="Palatino Linotype" w:eastAsia="Garamond" w:cs="Garamond"/>
          <w:sz w:val="24"/>
          <w:szCs w:val="24"/>
        </w:rPr>
        <w:t xml:space="preserve">While transmission project costs are already a significant burden on ratepayers, in May 2022, CAISO released its </w:t>
      </w:r>
      <w:r w:rsidRPr="00180028">
        <w:rPr>
          <w:rFonts w:ascii="Palatino Linotype" w:hAnsi="Palatino Linotype" w:eastAsia="Garamond" w:cs="Garamond"/>
          <w:i/>
          <w:sz w:val="24"/>
          <w:szCs w:val="24"/>
        </w:rPr>
        <w:t>20 Year Transmission Outlook,</w:t>
      </w:r>
      <w:r w:rsidRPr="00180028">
        <w:rPr>
          <w:rFonts w:ascii="Palatino Linotype" w:hAnsi="Palatino Linotype" w:eastAsia="Garamond" w:cs="Garamond"/>
          <w:sz w:val="24"/>
          <w:szCs w:val="24"/>
        </w:rPr>
        <w:t xml:space="preserve"> estimating that in the next two decades, $30.5 billion</w:t>
      </w:r>
      <w:r w:rsidRPr="00180028">
        <w:rPr>
          <w:rStyle w:val="FootnoteReference"/>
          <w:rFonts w:ascii="Palatino Linotype" w:hAnsi="Palatino Linotype" w:eastAsia="Garamond" w:cs="Garamond"/>
          <w:sz w:val="24"/>
          <w:szCs w:val="24"/>
        </w:rPr>
        <w:footnoteReference w:id="6"/>
      </w:r>
      <w:r w:rsidRPr="00180028">
        <w:rPr>
          <w:rFonts w:ascii="Palatino Linotype" w:hAnsi="Palatino Linotype" w:eastAsia="Garamond" w:cs="Garamond"/>
          <w:sz w:val="24"/>
          <w:szCs w:val="24"/>
        </w:rPr>
        <w:t xml:space="preserve"> of investment in new transmission capacity on the high voltage transmission system will be needed to meet the state’s clean energy goals.</w:t>
      </w:r>
      <w:r w:rsidRPr="00180028">
        <w:rPr>
          <w:rStyle w:val="FootnoteReference"/>
          <w:rFonts w:ascii="Palatino Linotype" w:hAnsi="Palatino Linotype" w:eastAsia="Garamond" w:cs="Garamond"/>
          <w:sz w:val="24"/>
          <w:szCs w:val="24"/>
        </w:rPr>
        <w:footnoteReference w:id="7"/>
      </w:r>
    </w:p>
    <w:p w:rsidRPr="00180028" w:rsidR="00973494" w:rsidP="00180028" w:rsidRDefault="00973494" w14:paraId="22184A1C" w14:textId="5F153CED">
      <w:pPr>
        <w:spacing w:line="23" w:lineRule="atLeast"/>
        <w:ind w:firstLine="720"/>
        <w:rPr>
          <w:rFonts w:ascii="Palatino Linotype" w:hAnsi="Palatino Linotype" w:eastAsia="Garamond" w:cs="Garamond"/>
          <w:sz w:val="24"/>
          <w:szCs w:val="24"/>
        </w:rPr>
      </w:pPr>
      <w:r w:rsidRPr="00180028">
        <w:rPr>
          <w:rFonts w:ascii="Palatino Linotype" w:hAnsi="Palatino Linotype" w:eastAsia="Garamond" w:cs="Garamond"/>
          <w:sz w:val="24"/>
          <w:szCs w:val="24"/>
        </w:rPr>
        <w:t xml:space="preserve">Most </w:t>
      </w:r>
      <w:r w:rsidRPr="00180028" w:rsidR="00BA7513">
        <w:rPr>
          <w:rFonts w:ascii="Palatino Linotype" w:hAnsi="Palatino Linotype" w:eastAsia="Garamond" w:cs="Garamond"/>
          <w:sz w:val="24"/>
          <w:szCs w:val="24"/>
        </w:rPr>
        <w:t xml:space="preserve">utility </w:t>
      </w:r>
      <w:r w:rsidRPr="00180028" w:rsidR="00311855">
        <w:rPr>
          <w:rFonts w:ascii="Palatino Linotype" w:hAnsi="Palatino Linotype" w:eastAsia="Garamond" w:cs="Garamond"/>
          <w:sz w:val="24"/>
          <w:szCs w:val="24"/>
        </w:rPr>
        <w:t>transmission projects</w:t>
      </w:r>
      <w:r w:rsidRPr="00180028">
        <w:rPr>
          <w:rFonts w:ascii="Palatino Linotype" w:hAnsi="Palatino Linotype" w:eastAsia="Garamond" w:cs="Garamond"/>
          <w:sz w:val="24"/>
          <w:szCs w:val="24"/>
        </w:rPr>
        <w:t xml:space="preserve"> </w:t>
      </w:r>
      <w:r w:rsidRPr="00180028" w:rsidR="00BA7513">
        <w:rPr>
          <w:rFonts w:ascii="Palatino Linotype" w:hAnsi="Palatino Linotype" w:eastAsia="Garamond" w:cs="Garamond"/>
          <w:sz w:val="24"/>
          <w:szCs w:val="24"/>
        </w:rPr>
        <w:t xml:space="preserve">are </w:t>
      </w:r>
      <w:r w:rsidRPr="00180028">
        <w:rPr>
          <w:rFonts w:ascii="Palatino Linotype" w:hAnsi="Palatino Linotype" w:eastAsia="Garamond" w:cs="Garamond"/>
          <w:sz w:val="24"/>
          <w:szCs w:val="24"/>
        </w:rPr>
        <w:t>currently self-approved projects,</w:t>
      </w:r>
      <w:r w:rsidRPr="00180028" w:rsidR="00311855">
        <w:rPr>
          <w:rFonts w:ascii="Palatino Linotype" w:hAnsi="Palatino Linotype" w:eastAsia="Garamond" w:cs="Garamond"/>
          <w:sz w:val="24"/>
          <w:szCs w:val="24"/>
        </w:rPr>
        <w:t xml:space="preserve"> </w:t>
      </w:r>
      <w:r w:rsidRPr="00180028">
        <w:rPr>
          <w:rFonts w:ascii="Palatino Linotype" w:hAnsi="Palatino Linotype" w:eastAsia="Garamond" w:cs="Garamond"/>
          <w:sz w:val="24"/>
          <w:szCs w:val="24"/>
        </w:rPr>
        <w:t xml:space="preserve">which lack transparency of their planning, prioritization, </w:t>
      </w:r>
      <w:r w:rsidRPr="00180028" w:rsidR="00C23C06">
        <w:rPr>
          <w:rFonts w:ascii="Palatino Linotype" w:hAnsi="Palatino Linotype" w:eastAsia="Garamond" w:cs="Garamond"/>
          <w:sz w:val="24"/>
          <w:szCs w:val="24"/>
        </w:rPr>
        <w:t xml:space="preserve">budgeting, </w:t>
      </w:r>
      <w:r w:rsidRPr="00180028">
        <w:rPr>
          <w:rFonts w:ascii="Palatino Linotype" w:hAnsi="Palatino Linotype" w:eastAsia="Garamond" w:cs="Garamond"/>
          <w:sz w:val="24"/>
          <w:szCs w:val="24"/>
        </w:rPr>
        <w:t>and implementation</w:t>
      </w:r>
      <w:r w:rsidRPr="00180028" w:rsidR="00311855">
        <w:rPr>
          <w:rFonts w:ascii="Palatino Linotype" w:hAnsi="Palatino Linotype" w:eastAsia="Garamond" w:cs="Garamond"/>
          <w:sz w:val="24"/>
          <w:szCs w:val="24"/>
        </w:rPr>
        <w:t>.  With</w:t>
      </w:r>
      <w:r w:rsidRPr="00180028">
        <w:rPr>
          <w:rFonts w:ascii="Palatino Linotype" w:hAnsi="Palatino Linotype" w:eastAsia="Garamond" w:cs="Garamond"/>
          <w:sz w:val="24"/>
          <w:szCs w:val="24"/>
        </w:rPr>
        <w:t xml:space="preserve"> the anticipation of </w:t>
      </w:r>
      <w:r w:rsidRPr="00180028" w:rsidR="00311855">
        <w:rPr>
          <w:rFonts w:ascii="Palatino Linotype" w:hAnsi="Palatino Linotype" w:eastAsia="Garamond" w:cs="Garamond"/>
          <w:sz w:val="24"/>
          <w:szCs w:val="24"/>
        </w:rPr>
        <w:t xml:space="preserve">the aforementioned </w:t>
      </w:r>
      <w:r w:rsidRPr="00180028">
        <w:rPr>
          <w:rFonts w:ascii="Palatino Linotype" w:hAnsi="Palatino Linotype" w:eastAsia="Garamond" w:cs="Garamond"/>
          <w:sz w:val="24"/>
          <w:szCs w:val="24"/>
        </w:rPr>
        <w:t xml:space="preserve">large expansion of the transmission grid, </w:t>
      </w:r>
      <w:r w:rsidRPr="00180028" w:rsidR="00311855">
        <w:rPr>
          <w:rFonts w:ascii="Palatino Linotype" w:hAnsi="Palatino Linotype" w:eastAsia="Garamond" w:cs="Garamond"/>
          <w:sz w:val="24"/>
          <w:szCs w:val="24"/>
        </w:rPr>
        <w:t xml:space="preserve">it is more important than ever that transparency of transmission projects occur to protect </w:t>
      </w:r>
      <w:r w:rsidRPr="00180028">
        <w:rPr>
          <w:rFonts w:ascii="Palatino Linotype" w:hAnsi="Palatino Linotype" w:eastAsia="Garamond" w:cs="Garamond"/>
          <w:sz w:val="24"/>
          <w:szCs w:val="24"/>
        </w:rPr>
        <w:t xml:space="preserve">ratepayers, </w:t>
      </w:r>
      <w:r w:rsidRPr="00180028" w:rsidR="00311855">
        <w:rPr>
          <w:rFonts w:ascii="Palatino Linotype" w:hAnsi="Palatino Linotype" w:eastAsia="Garamond" w:cs="Garamond"/>
          <w:sz w:val="24"/>
          <w:szCs w:val="24"/>
        </w:rPr>
        <w:t xml:space="preserve">ensure </w:t>
      </w:r>
      <w:r w:rsidRPr="00180028">
        <w:rPr>
          <w:rFonts w:ascii="Palatino Linotype" w:hAnsi="Palatino Linotype" w:eastAsia="Garamond" w:cs="Garamond"/>
          <w:sz w:val="24"/>
          <w:szCs w:val="24"/>
        </w:rPr>
        <w:t>the Commission</w:t>
      </w:r>
      <w:r w:rsidRPr="00180028" w:rsidR="00311855">
        <w:rPr>
          <w:rFonts w:ascii="Palatino Linotype" w:hAnsi="Palatino Linotype" w:eastAsia="Garamond" w:cs="Garamond"/>
          <w:sz w:val="24"/>
          <w:szCs w:val="24"/>
        </w:rPr>
        <w:t xml:space="preserve"> has the</w:t>
      </w:r>
      <w:r w:rsidRPr="00180028">
        <w:rPr>
          <w:rFonts w:ascii="Palatino Linotype" w:hAnsi="Palatino Linotype" w:eastAsia="Garamond" w:cs="Garamond"/>
          <w:sz w:val="24"/>
          <w:szCs w:val="24"/>
        </w:rPr>
        <w:t xml:space="preserve"> ability to </w:t>
      </w:r>
      <w:r w:rsidRPr="00180028" w:rsidR="00FA4D92">
        <w:rPr>
          <w:rFonts w:ascii="Palatino Linotype" w:hAnsi="Palatino Linotype" w:eastAsia="Garamond" w:cs="Garamond"/>
          <w:sz w:val="24"/>
          <w:szCs w:val="24"/>
        </w:rPr>
        <w:t>track how projects best meet needs related to interconnection of renewable energy resources, CPUC permitting processes,</w:t>
      </w:r>
      <w:r w:rsidRPr="00180028" w:rsidR="0047558C">
        <w:rPr>
          <w:rFonts w:ascii="Palatino Linotype" w:hAnsi="Palatino Linotype" w:eastAsia="Garamond" w:cs="Garamond"/>
          <w:sz w:val="24"/>
          <w:szCs w:val="24"/>
        </w:rPr>
        <w:t xml:space="preserve"> risk and safety assessments,</w:t>
      </w:r>
      <w:r w:rsidRPr="00180028" w:rsidR="00FA4D92">
        <w:rPr>
          <w:rFonts w:ascii="Palatino Linotype" w:hAnsi="Palatino Linotype" w:eastAsia="Garamond" w:cs="Garamond"/>
          <w:sz w:val="24"/>
          <w:szCs w:val="24"/>
        </w:rPr>
        <w:t xml:space="preserve"> and more broadly address the integrated resource planning needed to meet the state’s clean energy goals and</w:t>
      </w:r>
      <w:r w:rsidRPr="00180028">
        <w:rPr>
          <w:rFonts w:ascii="Palatino Linotype" w:hAnsi="Palatino Linotype" w:eastAsia="Garamond" w:cs="Garamond"/>
          <w:sz w:val="24"/>
          <w:szCs w:val="24"/>
        </w:rPr>
        <w:t xml:space="preserve"> </w:t>
      </w:r>
      <w:r w:rsidRPr="00180028" w:rsidR="00FA4D92">
        <w:rPr>
          <w:rFonts w:ascii="Palatino Linotype" w:hAnsi="Palatino Linotype" w:eastAsia="Garamond" w:cs="Garamond"/>
          <w:sz w:val="24"/>
          <w:szCs w:val="24"/>
        </w:rPr>
        <w:t>the</w:t>
      </w:r>
      <w:r w:rsidRPr="00180028">
        <w:rPr>
          <w:rFonts w:ascii="Palatino Linotype" w:hAnsi="Palatino Linotype" w:eastAsia="Garamond" w:cs="Garamond"/>
          <w:sz w:val="24"/>
          <w:szCs w:val="24"/>
        </w:rPr>
        <w:t xml:space="preserve"> changing electric grid.  The TPR Process will provide the Commission and all </w:t>
      </w:r>
      <w:r w:rsidRPr="00180028" w:rsidR="00856F96">
        <w:rPr>
          <w:rFonts w:ascii="Palatino Linotype" w:hAnsi="Palatino Linotype" w:eastAsia="Garamond" w:cs="Garamond"/>
          <w:sz w:val="24"/>
          <w:szCs w:val="24"/>
        </w:rPr>
        <w:t>S</w:t>
      </w:r>
      <w:r w:rsidRPr="00180028">
        <w:rPr>
          <w:rFonts w:ascii="Palatino Linotype" w:hAnsi="Palatino Linotype" w:eastAsia="Garamond" w:cs="Garamond"/>
          <w:sz w:val="24"/>
          <w:szCs w:val="24"/>
        </w:rPr>
        <w:t xml:space="preserve">takeholders the opportunity to receive data and engage with the TOs to better understand </w:t>
      </w:r>
      <w:r w:rsidRPr="00180028" w:rsidR="00513417">
        <w:rPr>
          <w:rFonts w:ascii="Palatino Linotype" w:hAnsi="Palatino Linotype" w:eastAsia="Garamond" w:cs="Garamond"/>
          <w:sz w:val="24"/>
          <w:szCs w:val="24"/>
        </w:rPr>
        <w:t xml:space="preserve">planning </w:t>
      </w:r>
      <w:r w:rsidRPr="00180028" w:rsidR="002B3413">
        <w:rPr>
          <w:rFonts w:ascii="Palatino Linotype" w:hAnsi="Palatino Linotype" w:eastAsia="Garamond" w:cs="Garamond"/>
          <w:sz w:val="24"/>
          <w:szCs w:val="24"/>
        </w:rPr>
        <w:t xml:space="preserve">assumptions </w:t>
      </w:r>
      <w:r w:rsidRPr="00180028" w:rsidR="00513417">
        <w:rPr>
          <w:rFonts w:ascii="Palatino Linotype" w:hAnsi="Palatino Linotype" w:eastAsia="Garamond" w:cs="Garamond"/>
          <w:sz w:val="24"/>
          <w:szCs w:val="24"/>
        </w:rPr>
        <w:t>and</w:t>
      </w:r>
      <w:r w:rsidRPr="00180028" w:rsidR="002B3413">
        <w:rPr>
          <w:rFonts w:ascii="Palatino Linotype" w:hAnsi="Palatino Linotype" w:eastAsia="Garamond" w:cs="Garamond"/>
          <w:sz w:val="24"/>
          <w:szCs w:val="24"/>
        </w:rPr>
        <w:t xml:space="preserve"> needs, and the determined transmission solutions before </w:t>
      </w:r>
      <w:r w:rsidRPr="00180028" w:rsidR="0043034B">
        <w:rPr>
          <w:rFonts w:ascii="Palatino Linotype" w:hAnsi="Palatino Linotype" w:eastAsia="Garamond" w:cs="Garamond"/>
          <w:sz w:val="24"/>
          <w:szCs w:val="24"/>
        </w:rPr>
        <w:t xml:space="preserve">and during </w:t>
      </w:r>
      <w:r w:rsidRPr="00180028" w:rsidR="002B3413">
        <w:rPr>
          <w:rFonts w:ascii="Palatino Linotype" w:hAnsi="Palatino Linotype" w:eastAsia="Garamond" w:cs="Garamond"/>
          <w:sz w:val="24"/>
          <w:szCs w:val="24"/>
        </w:rPr>
        <w:t>project construction</w:t>
      </w:r>
      <w:r w:rsidRPr="00180028">
        <w:rPr>
          <w:rFonts w:ascii="Palatino Linotype" w:hAnsi="Palatino Linotype" w:eastAsia="Garamond" w:cs="Garamond"/>
          <w:sz w:val="24"/>
          <w:szCs w:val="24"/>
        </w:rPr>
        <w:t xml:space="preserve">. </w:t>
      </w:r>
    </w:p>
    <w:p w:rsidRPr="00180028" w:rsidR="00973494" w:rsidP="00180028" w:rsidRDefault="00973494" w14:paraId="0365717F" w14:textId="440F9C45">
      <w:pPr>
        <w:spacing w:line="23" w:lineRule="atLeast"/>
        <w:ind w:firstLine="720"/>
        <w:rPr>
          <w:rFonts w:ascii="Palatino Linotype" w:hAnsi="Palatino Linotype"/>
          <w:color w:val="000000" w:themeColor="text1"/>
          <w:sz w:val="24"/>
          <w:szCs w:val="24"/>
        </w:rPr>
      </w:pPr>
      <w:r w:rsidRPr="00180028">
        <w:rPr>
          <w:rFonts w:ascii="Palatino Linotype" w:hAnsi="Palatino Linotype" w:eastAsia="Garamond" w:cs="Garamond"/>
          <w:sz w:val="24"/>
          <w:szCs w:val="24"/>
        </w:rPr>
        <w:t xml:space="preserve">The TPR Process </w:t>
      </w:r>
      <w:r w:rsidRPr="00180028" w:rsidR="00FA4D92">
        <w:rPr>
          <w:rFonts w:ascii="Palatino Linotype" w:hAnsi="Palatino Linotype" w:eastAsia="Garamond" w:cs="Garamond"/>
          <w:sz w:val="24"/>
          <w:szCs w:val="24"/>
        </w:rPr>
        <w:t>will</w:t>
      </w:r>
      <w:r w:rsidRPr="00180028" w:rsidR="00F700BF">
        <w:rPr>
          <w:rFonts w:ascii="Palatino Linotype" w:hAnsi="Palatino Linotype" w:eastAsia="Garamond" w:cs="Garamond"/>
          <w:sz w:val="24"/>
          <w:szCs w:val="24"/>
        </w:rPr>
        <w:t xml:space="preserve"> </w:t>
      </w:r>
      <w:r w:rsidRPr="00180028" w:rsidR="00F700BF">
        <w:rPr>
          <w:rFonts w:ascii="Palatino Linotype" w:hAnsi="Palatino Linotype"/>
          <w:color w:val="000000" w:themeColor="text1"/>
          <w:sz w:val="24"/>
          <w:szCs w:val="24"/>
        </w:rPr>
        <w:t>p</w:t>
      </w:r>
      <w:r w:rsidRPr="00180028">
        <w:rPr>
          <w:rFonts w:ascii="Palatino Linotype" w:hAnsi="Palatino Linotype"/>
          <w:color w:val="000000" w:themeColor="text1"/>
          <w:sz w:val="24"/>
          <w:szCs w:val="24"/>
        </w:rPr>
        <w:t xml:space="preserve">rovide the Commission and all </w:t>
      </w:r>
      <w:r w:rsidRPr="00180028" w:rsidR="00856F96">
        <w:rPr>
          <w:rFonts w:ascii="Palatino Linotype" w:hAnsi="Palatino Linotype"/>
          <w:color w:val="000000" w:themeColor="text1"/>
          <w:sz w:val="24"/>
          <w:szCs w:val="24"/>
        </w:rPr>
        <w:t>S</w:t>
      </w:r>
      <w:r w:rsidRPr="00180028">
        <w:rPr>
          <w:rFonts w:ascii="Palatino Linotype" w:hAnsi="Palatino Linotype"/>
          <w:color w:val="000000" w:themeColor="text1"/>
          <w:sz w:val="24"/>
          <w:szCs w:val="24"/>
        </w:rPr>
        <w:t>takeholders semi-annually with current, specific, comprehensive, and system-wide transmission data for</w:t>
      </w:r>
      <w:r w:rsidRPr="00180028" w:rsidR="00C40C71">
        <w:rPr>
          <w:rFonts w:ascii="Palatino Linotype" w:hAnsi="Palatino Linotype"/>
          <w:color w:val="000000" w:themeColor="text1"/>
          <w:sz w:val="24"/>
          <w:szCs w:val="24"/>
        </w:rPr>
        <w:t xml:space="preserve"> projects with </w:t>
      </w:r>
      <w:r w:rsidRPr="00180028" w:rsidR="00F700BF">
        <w:rPr>
          <w:rFonts w:ascii="Palatino Linotype" w:hAnsi="Palatino Linotype"/>
          <w:color w:val="000000" w:themeColor="text1"/>
          <w:sz w:val="24"/>
          <w:szCs w:val="24"/>
        </w:rPr>
        <w:t xml:space="preserve">any </w:t>
      </w:r>
      <w:r w:rsidRPr="00180028" w:rsidR="00C40C71">
        <w:rPr>
          <w:rFonts w:ascii="Palatino Linotype" w:hAnsi="Palatino Linotype"/>
          <w:color w:val="000000" w:themeColor="text1"/>
          <w:sz w:val="24"/>
          <w:szCs w:val="24"/>
        </w:rPr>
        <w:t xml:space="preserve">capital </w:t>
      </w:r>
      <w:r w:rsidRPr="00180028" w:rsidR="00F700BF">
        <w:rPr>
          <w:rFonts w:ascii="Palatino Linotype" w:hAnsi="Palatino Linotype"/>
          <w:color w:val="000000" w:themeColor="text1"/>
          <w:sz w:val="24"/>
          <w:szCs w:val="24"/>
        </w:rPr>
        <w:t>additions to rate base</w:t>
      </w:r>
      <w:r w:rsidRPr="00180028" w:rsidR="00C40C71">
        <w:rPr>
          <w:rFonts w:ascii="Palatino Linotype" w:hAnsi="Palatino Linotype"/>
          <w:color w:val="000000" w:themeColor="text1"/>
          <w:sz w:val="24"/>
          <w:szCs w:val="24"/>
        </w:rPr>
        <w:t xml:space="preserve"> in</w:t>
      </w:r>
      <w:r w:rsidRPr="00180028">
        <w:rPr>
          <w:rFonts w:ascii="Palatino Linotype" w:hAnsi="Palatino Linotype"/>
          <w:color w:val="000000" w:themeColor="text1"/>
          <w:sz w:val="24"/>
          <w:szCs w:val="24"/>
        </w:rPr>
        <w:t xml:space="preserve"> the last five years, </w:t>
      </w:r>
      <w:r w:rsidRPr="00180028" w:rsidR="00F700BF">
        <w:rPr>
          <w:rFonts w:ascii="Palatino Linotype" w:hAnsi="Palatino Linotype"/>
          <w:color w:val="000000" w:themeColor="text1"/>
          <w:sz w:val="24"/>
          <w:szCs w:val="24"/>
        </w:rPr>
        <w:t xml:space="preserve">and any forecast or actual capital expenditures in the </w:t>
      </w:r>
      <w:r w:rsidRPr="00180028">
        <w:rPr>
          <w:rFonts w:ascii="Palatino Linotype" w:hAnsi="Palatino Linotype"/>
          <w:color w:val="000000" w:themeColor="text1"/>
          <w:sz w:val="24"/>
          <w:szCs w:val="24"/>
        </w:rPr>
        <w:t>current year</w:t>
      </w:r>
      <w:r w:rsidRPr="00180028" w:rsidR="00F700BF">
        <w:rPr>
          <w:rFonts w:ascii="Palatino Linotype" w:hAnsi="Palatino Linotype"/>
          <w:color w:val="000000" w:themeColor="text1"/>
          <w:sz w:val="24"/>
          <w:szCs w:val="24"/>
        </w:rPr>
        <w:t xml:space="preserve"> or</w:t>
      </w:r>
      <w:r w:rsidRPr="00180028">
        <w:rPr>
          <w:rFonts w:ascii="Palatino Linotype" w:hAnsi="Palatino Linotype"/>
          <w:color w:val="000000" w:themeColor="text1"/>
          <w:sz w:val="24"/>
          <w:szCs w:val="24"/>
        </w:rPr>
        <w:t xml:space="preserve"> future five years</w:t>
      </w:r>
      <w:r w:rsidRPr="00180028" w:rsidR="009D5508">
        <w:rPr>
          <w:rFonts w:ascii="Palatino Linotype" w:hAnsi="Palatino Linotype"/>
          <w:color w:val="000000" w:themeColor="text1"/>
          <w:sz w:val="24"/>
          <w:szCs w:val="24"/>
        </w:rPr>
        <w:t>.  These will</w:t>
      </w:r>
      <w:r w:rsidRPr="00180028">
        <w:rPr>
          <w:rFonts w:ascii="Palatino Linotype" w:hAnsi="Palatino Linotype"/>
          <w:color w:val="000000" w:themeColor="text1"/>
          <w:sz w:val="24"/>
          <w:szCs w:val="24"/>
        </w:rPr>
        <w:t xml:space="preserve"> includ</w:t>
      </w:r>
      <w:r w:rsidRPr="00180028" w:rsidR="009D5508">
        <w:rPr>
          <w:rFonts w:ascii="Palatino Linotype" w:hAnsi="Palatino Linotype"/>
          <w:color w:val="000000" w:themeColor="text1"/>
          <w:sz w:val="24"/>
          <w:szCs w:val="24"/>
        </w:rPr>
        <w:t>e specific projects, as well as programmatic</w:t>
      </w:r>
      <w:r w:rsidRPr="00180028" w:rsidR="00312D00">
        <w:rPr>
          <w:rFonts w:ascii="Palatino Linotype" w:hAnsi="Palatino Linotype"/>
          <w:color w:val="000000" w:themeColor="text1"/>
          <w:sz w:val="24"/>
          <w:szCs w:val="24"/>
        </w:rPr>
        <w:t xml:space="preserve"> buckets</w:t>
      </w:r>
      <w:r w:rsidRPr="00180028" w:rsidR="009D5508">
        <w:rPr>
          <w:rFonts w:ascii="Palatino Linotype" w:hAnsi="Palatino Linotype"/>
          <w:color w:val="000000" w:themeColor="text1"/>
          <w:sz w:val="24"/>
          <w:szCs w:val="24"/>
        </w:rPr>
        <w:t xml:space="preserve"> or blanket program categories</w:t>
      </w:r>
      <w:r w:rsidRPr="00180028" w:rsidR="003C5AF2">
        <w:rPr>
          <w:rFonts w:ascii="Palatino Linotype" w:hAnsi="Palatino Linotype"/>
          <w:color w:val="000000" w:themeColor="text1"/>
          <w:sz w:val="24"/>
          <w:szCs w:val="24"/>
        </w:rPr>
        <w:t xml:space="preserve"> (collectively “Projects”)</w:t>
      </w:r>
      <w:r w:rsidRPr="00180028" w:rsidR="009D5508">
        <w:rPr>
          <w:rFonts w:ascii="Palatino Linotype" w:hAnsi="Palatino Linotype"/>
          <w:color w:val="000000" w:themeColor="text1"/>
          <w:sz w:val="24"/>
          <w:szCs w:val="24"/>
        </w:rPr>
        <w:t>, that are</w:t>
      </w:r>
      <w:r w:rsidRPr="00180028">
        <w:rPr>
          <w:rFonts w:ascii="Palatino Linotype" w:hAnsi="Palatino Linotype"/>
          <w:color w:val="000000" w:themeColor="text1"/>
          <w:sz w:val="24"/>
          <w:szCs w:val="24"/>
        </w:rPr>
        <w:t xml:space="preserve"> CAISO-approved </w:t>
      </w:r>
      <w:r w:rsidRPr="00180028" w:rsidR="009D5508">
        <w:rPr>
          <w:rFonts w:ascii="Palatino Linotype" w:hAnsi="Palatino Linotype"/>
          <w:color w:val="000000" w:themeColor="text1"/>
          <w:sz w:val="24"/>
          <w:szCs w:val="24"/>
        </w:rPr>
        <w:t>or</w:t>
      </w:r>
      <w:r w:rsidRPr="00180028">
        <w:rPr>
          <w:rFonts w:ascii="Palatino Linotype" w:hAnsi="Palatino Linotype"/>
          <w:color w:val="000000" w:themeColor="text1"/>
          <w:sz w:val="24"/>
          <w:szCs w:val="24"/>
        </w:rPr>
        <w:t xml:space="preserve"> utility self-approved, as well as transmission network upgrades needed for generator interconnections</w:t>
      </w:r>
      <w:r w:rsidRPr="00180028" w:rsidR="009D5508">
        <w:rPr>
          <w:rFonts w:ascii="Palatino Linotype" w:hAnsi="Palatino Linotype"/>
          <w:color w:val="000000" w:themeColor="text1"/>
          <w:sz w:val="24"/>
          <w:szCs w:val="24"/>
        </w:rPr>
        <w:t>.  Projects will be included if they are expected to total one million dollars or more in capital costs</w:t>
      </w:r>
      <w:r w:rsidRPr="00180028" w:rsidR="00F700BF">
        <w:rPr>
          <w:rFonts w:ascii="Palatino Linotype" w:hAnsi="Palatino Linotype"/>
          <w:color w:val="000000" w:themeColor="text1"/>
          <w:sz w:val="24"/>
          <w:szCs w:val="24"/>
        </w:rPr>
        <w:t>.  Additionally, the TPR Process will p</w:t>
      </w:r>
      <w:r w:rsidRPr="00180028">
        <w:rPr>
          <w:rFonts w:ascii="Palatino Linotype" w:hAnsi="Palatino Linotype"/>
          <w:color w:val="000000" w:themeColor="text1"/>
          <w:sz w:val="24"/>
          <w:szCs w:val="24"/>
        </w:rPr>
        <w:t>rovide the C</w:t>
      </w:r>
      <w:r w:rsidRPr="00180028" w:rsidR="00F700BF">
        <w:rPr>
          <w:rFonts w:ascii="Palatino Linotype" w:hAnsi="Palatino Linotype"/>
          <w:color w:val="000000" w:themeColor="text1"/>
          <w:sz w:val="24"/>
          <w:szCs w:val="24"/>
        </w:rPr>
        <w:t>PUC</w:t>
      </w:r>
      <w:r w:rsidRPr="00180028">
        <w:rPr>
          <w:rFonts w:ascii="Palatino Linotype" w:hAnsi="Palatino Linotype"/>
          <w:color w:val="000000" w:themeColor="text1"/>
          <w:sz w:val="24"/>
          <w:szCs w:val="24"/>
        </w:rPr>
        <w:t xml:space="preserve"> and all </w:t>
      </w:r>
      <w:r w:rsidRPr="00180028" w:rsidR="00856F96">
        <w:rPr>
          <w:rFonts w:ascii="Palatino Linotype" w:hAnsi="Palatino Linotype"/>
          <w:color w:val="000000" w:themeColor="text1"/>
          <w:sz w:val="24"/>
          <w:szCs w:val="24"/>
        </w:rPr>
        <w:t>S</w:t>
      </w:r>
      <w:r w:rsidRPr="00180028">
        <w:rPr>
          <w:rFonts w:ascii="Palatino Linotype" w:hAnsi="Palatino Linotype"/>
          <w:color w:val="000000" w:themeColor="text1"/>
          <w:sz w:val="24"/>
          <w:szCs w:val="24"/>
        </w:rPr>
        <w:t>takeholders with the TOs’</w:t>
      </w:r>
      <w:r w:rsidRPr="00180028" w:rsidR="00D812A8">
        <w:rPr>
          <w:rFonts w:ascii="Palatino Linotype" w:hAnsi="Palatino Linotype"/>
          <w:color w:val="000000" w:themeColor="text1"/>
          <w:sz w:val="24"/>
          <w:szCs w:val="24"/>
        </w:rPr>
        <w:t xml:space="preserve"> </w:t>
      </w:r>
      <w:r w:rsidRPr="00180028">
        <w:rPr>
          <w:rFonts w:ascii="Palatino Linotype" w:hAnsi="Palatino Linotype"/>
          <w:color w:val="000000" w:themeColor="text1"/>
          <w:sz w:val="24"/>
          <w:szCs w:val="24"/>
        </w:rPr>
        <w:t>current asset management procedur</w:t>
      </w:r>
      <w:r w:rsidRPr="00180028" w:rsidR="00C40C71">
        <w:rPr>
          <w:rFonts w:ascii="Palatino Linotype" w:hAnsi="Palatino Linotype"/>
          <w:color w:val="000000" w:themeColor="text1"/>
          <w:sz w:val="24"/>
          <w:szCs w:val="24"/>
        </w:rPr>
        <w:t>e documents</w:t>
      </w:r>
      <w:r w:rsidRPr="00180028">
        <w:rPr>
          <w:rFonts w:ascii="Palatino Linotype" w:hAnsi="Palatino Linotype"/>
          <w:color w:val="000000" w:themeColor="text1"/>
          <w:sz w:val="24"/>
          <w:szCs w:val="24"/>
        </w:rPr>
        <w:t xml:space="preserve"> relied on for identifying, proposing, authorizing, planning, prioritizing,</w:t>
      </w:r>
      <w:r w:rsidRPr="00180028" w:rsidR="00886B8D">
        <w:rPr>
          <w:rFonts w:ascii="Palatino Linotype" w:hAnsi="Palatino Linotype"/>
          <w:color w:val="000000" w:themeColor="text1"/>
          <w:sz w:val="24"/>
          <w:szCs w:val="24"/>
        </w:rPr>
        <w:t xml:space="preserve"> budgeting,</w:t>
      </w:r>
      <w:r w:rsidRPr="00180028">
        <w:rPr>
          <w:rFonts w:ascii="Palatino Linotype" w:hAnsi="Palatino Linotype"/>
          <w:color w:val="000000" w:themeColor="text1"/>
          <w:sz w:val="24"/>
          <w:szCs w:val="24"/>
        </w:rPr>
        <w:t xml:space="preserve"> and executing </w:t>
      </w:r>
      <w:r w:rsidRPr="00180028" w:rsidR="1115E044">
        <w:rPr>
          <w:rFonts w:ascii="Palatino Linotype" w:hAnsi="Palatino Linotype"/>
          <w:color w:val="000000" w:themeColor="text1"/>
          <w:sz w:val="24"/>
          <w:szCs w:val="24"/>
        </w:rPr>
        <w:t>P</w:t>
      </w:r>
      <w:r w:rsidRPr="00180028">
        <w:rPr>
          <w:rFonts w:ascii="Palatino Linotype" w:hAnsi="Palatino Linotype"/>
          <w:color w:val="000000" w:themeColor="text1"/>
          <w:sz w:val="24"/>
          <w:szCs w:val="24"/>
        </w:rPr>
        <w:t>rojects</w:t>
      </w:r>
      <w:r w:rsidRPr="00180028" w:rsidR="00F700BF">
        <w:rPr>
          <w:rFonts w:ascii="Palatino Linotype" w:hAnsi="Palatino Linotype"/>
          <w:color w:val="000000" w:themeColor="text1"/>
          <w:sz w:val="24"/>
          <w:szCs w:val="24"/>
        </w:rPr>
        <w:t xml:space="preserve">.  </w:t>
      </w:r>
      <w:r w:rsidRPr="00180028" w:rsidR="00E2161A">
        <w:rPr>
          <w:rFonts w:ascii="Palatino Linotype" w:hAnsi="Palatino Linotype"/>
          <w:color w:val="000000" w:themeColor="text1"/>
          <w:sz w:val="24"/>
          <w:szCs w:val="24"/>
        </w:rPr>
        <w:t xml:space="preserve">The CPUC and Stakeholders will have the opportunity to provide questions and comments, </w:t>
      </w:r>
      <w:r w:rsidRPr="00180028" w:rsidR="00E2161A">
        <w:rPr>
          <w:rFonts w:ascii="Palatino Linotype" w:hAnsi="Palatino Linotype"/>
          <w:color w:val="000000" w:themeColor="text1"/>
          <w:sz w:val="24"/>
          <w:szCs w:val="24"/>
        </w:rPr>
        <w:lastRenderedPageBreak/>
        <w:t>to which the IOUs will be required to provide written responses.  Finally</w:t>
      </w:r>
      <w:r w:rsidRPr="00180028" w:rsidR="00F700BF">
        <w:rPr>
          <w:rFonts w:ascii="Palatino Linotype" w:hAnsi="Palatino Linotype"/>
          <w:color w:val="000000" w:themeColor="text1"/>
          <w:sz w:val="24"/>
          <w:szCs w:val="24"/>
        </w:rPr>
        <w:t xml:space="preserve">, </w:t>
      </w:r>
      <w:r w:rsidRPr="00180028" w:rsidR="00E2161A">
        <w:rPr>
          <w:rFonts w:ascii="Palatino Linotype" w:hAnsi="Palatino Linotype"/>
          <w:color w:val="000000" w:themeColor="text1"/>
          <w:sz w:val="24"/>
          <w:szCs w:val="24"/>
        </w:rPr>
        <w:t>each</w:t>
      </w:r>
      <w:r w:rsidRPr="00180028" w:rsidR="00F700BF">
        <w:rPr>
          <w:rFonts w:ascii="Palatino Linotype" w:hAnsi="Palatino Linotype"/>
          <w:color w:val="000000" w:themeColor="text1"/>
          <w:sz w:val="24"/>
          <w:szCs w:val="24"/>
        </w:rPr>
        <w:t xml:space="preserve"> IOU will c</w:t>
      </w:r>
      <w:r w:rsidRPr="00180028">
        <w:rPr>
          <w:rFonts w:ascii="Palatino Linotype" w:hAnsi="Palatino Linotype"/>
          <w:color w:val="000000" w:themeColor="text1"/>
          <w:sz w:val="24"/>
          <w:szCs w:val="24"/>
        </w:rPr>
        <w:t xml:space="preserve">onvene </w:t>
      </w:r>
      <w:r w:rsidRPr="00180028" w:rsidR="00F700BF">
        <w:rPr>
          <w:rFonts w:ascii="Palatino Linotype" w:hAnsi="Palatino Linotype"/>
          <w:color w:val="000000" w:themeColor="text1"/>
          <w:sz w:val="24"/>
          <w:szCs w:val="24"/>
        </w:rPr>
        <w:t>two Stakeholder Meetings</w:t>
      </w:r>
      <w:r w:rsidRPr="00180028" w:rsidR="00E2161A">
        <w:rPr>
          <w:rFonts w:ascii="Palatino Linotype" w:hAnsi="Palatino Linotype"/>
          <w:color w:val="000000" w:themeColor="text1"/>
          <w:sz w:val="24"/>
          <w:szCs w:val="24"/>
        </w:rPr>
        <w:t xml:space="preserve"> with the </w:t>
      </w:r>
      <w:r w:rsidRPr="00180028">
        <w:rPr>
          <w:rFonts w:ascii="Palatino Linotype" w:hAnsi="Palatino Linotype"/>
          <w:color w:val="000000" w:themeColor="text1"/>
          <w:sz w:val="24"/>
          <w:szCs w:val="24"/>
        </w:rPr>
        <w:t>C</w:t>
      </w:r>
      <w:r w:rsidRPr="00180028" w:rsidR="00E2161A">
        <w:rPr>
          <w:rFonts w:ascii="Palatino Linotype" w:hAnsi="Palatino Linotype"/>
          <w:color w:val="000000" w:themeColor="text1"/>
          <w:sz w:val="24"/>
          <w:szCs w:val="24"/>
        </w:rPr>
        <w:t>PUC</w:t>
      </w:r>
      <w:r w:rsidRPr="00180028">
        <w:rPr>
          <w:rFonts w:ascii="Palatino Linotype" w:hAnsi="Palatino Linotype"/>
          <w:color w:val="000000" w:themeColor="text1"/>
          <w:sz w:val="24"/>
          <w:szCs w:val="24"/>
        </w:rPr>
        <w:t xml:space="preserve"> and Stakeholders on an established schedule, to discuss </w:t>
      </w:r>
      <w:r w:rsidRPr="00180028" w:rsidR="00E2161A">
        <w:rPr>
          <w:rFonts w:ascii="Palatino Linotype" w:hAnsi="Palatino Linotype"/>
          <w:color w:val="000000" w:themeColor="text1"/>
          <w:sz w:val="24"/>
          <w:szCs w:val="24"/>
        </w:rPr>
        <w:t>Project data</w:t>
      </w:r>
      <w:r w:rsidRPr="00180028">
        <w:rPr>
          <w:rFonts w:ascii="Palatino Linotype" w:hAnsi="Palatino Linotype"/>
          <w:color w:val="000000" w:themeColor="text1"/>
          <w:sz w:val="24"/>
          <w:szCs w:val="24"/>
        </w:rPr>
        <w:t xml:space="preserve">, Procedures, </w:t>
      </w:r>
      <w:r w:rsidRPr="00180028" w:rsidR="00E2161A">
        <w:rPr>
          <w:rFonts w:ascii="Palatino Linotype" w:hAnsi="Palatino Linotype"/>
          <w:color w:val="000000" w:themeColor="text1"/>
          <w:sz w:val="24"/>
          <w:szCs w:val="24"/>
        </w:rPr>
        <w:t>P</w:t>
      </w:r>
      <w:r w:rsidRPr="00180028">
        <w:rPr>
          <w:rFonts w:ascii="Palatino Linotype" w:hAnsi="Palatino Linotype"/>
          <w:color w:val="000000" w:themeColor="text1"/>
          <w:sz w:val="24"/>
          <w:szCs w:val="24"/>
        </w:rPr>
        <w:t>roject alternatives</w:t>
      </w:r>
      <w:r w:rsidRPr="00180028" w:rsidR="00E2161A">
        <w:rPr>
          <w:rFonts w:ascii="Palatino Linotype" w:hAnsi="Palatino Linotype"/>
          <w:color w:val="000000" w:themeColor="text1"/>
          <w:sz w:val="24"/>
          <w:szCs w:val="24"/>
        </w:rPr>
        <w:t>, and other identified issues.</w:t>
      </w:r>
    </w:p>
    <w:p w:rsidRPr="00180028" w:rsidR="001C538D" w:rsidP="00303CD4" w:rsidRDefault="001C538D" w14:paraId="4CECBD3B" w14:textId="77777777">
      <w:pPr>
        <w:pStyle w:val="Heading1"/>
        <w:spacing w:before="240" w:line="23" w:lineRule="atLeast"/>
        <w:jc w:val="both"/>
        <w:rPr>
          <w:rFonts w:ascii="Palatino Linotype" w:hAnsi="Palatino Linotype"/>
          <w:sz w:val="24"/>
          <w:szCs w:val="24"/>
        </w:rPr>
      </w:pPr>
      <w:r w:rsidRPr="00180028">
        <w:rPr>
          <w:rFonts w:ascii="Palatino Linotype" w:hAnsi="Palatino Linotype"/>
          <w:sz w:val="24"/>
          <w:szCs w:val="24"/>
        </w:rPr>
        <w:t>Background</w:t>
      </w:r>
    </w:p>
    <w:p w:rsidRPr="00180028" w:rsidR="00BD65C4" w:rsidP="00180028" w:rsidRDefault="00BD65C4" w14:paraId="5827BAA9" w14:textId="2CFDE35E">
      <w:pPr>
        <w:spacing w:line="23" w:lineRule="atLeast"/>
        <w:ind w:firstLine="720"/>
        <w:rPr>
          <w:rFonts w:ascii="Palatino Linotype" w:hAnsi="Palatino Linotype"/>
          <w:sz w:val="24"/>
          <w:szCs w:val="24"/>
          <w:u w:val="single"/>
        </w:rPr>
      </w:pPr>
      <w:r w:rsidRPr="00180028">
        <w:rPr>
          <w:rFonts w:ascii="Palatino Linotype" w:hAnsi="Palatino Linotype"/>
          <w:sz w:val="24"/>
          <w:szCs w:val="24"/>
        </w:rPr>
        <w:t xml:space="preserve">The TPR Process is necessary for the Commission and Stakeholders to understand the TOs’ </w:t>
      </w:r>
      <w:r w:rsidRPr="00180028" w:rsidR="001F1CBA">
        <w:rPr>
          <w:rFonts w:ascii="Palatino Linotype" w:hAnsi="Palatino Linotype"/>
          <w:sz w:val="24"/>
          <w:szCs w:val="24"/>
        </w:rPr>
        <w:t xml:space="preserve">planning </w:t>
      </w:r>
      <w:r w:rsidRPr="00180028" w:rsidR="00567751">
        <w:rPr>
          <w:rFonts w:ascii="Palatino Linotype" w:hAnsi="Palatino Linotype"/>
          <w:sz w:val="24"/>
          <w:szCs w:val="24"/>
        </w:rPr>
        <w:t>assumptions, determination and prioritization of needs, and the processes leading to transmission solutions</w:t>
      </w:r>
      <w:r w:rsidRPr="00180028" w:rsidR="00540558">
        <w:rPr>
          <w:rFonts w:ascii="Palatino Linotype" w:hAnsi="Palatino Linotype"/>
          <w:sz w:val="24"/>
          <w:szCs w:val="24"/>
        </w:rPr>
        <w:t xml:space="preserve"> and network upgrades</w:t>
      </w:r>
      <w:r w:rsidRPr="00180028">
        <w:rPr>
          <w:rFonts w:ascii="Palatino Linotype" w:hAnsi="Palatino Linotype"/>
          <w:sz w:val="24"/>
          <w:szCs w:val="24"/>
        </w:rPr>
        <w:t xml:space="preserve">.  California ratepayers have been burdened by the escalation in costs related to utility self-approved transmission projects; transparent and reliable data have been elusive; current stakeholder processes are inconsistent and </w:t>
      </w:r>
      <w:r w:rsidRPr="00180028" w:rsidR="000C08F1">
        <w:rPr>
          <w:rFonts w:ascii="Palatino Linotype" w:hAnsi="Palatino Linotype"/>
          <w:sz w:val="24"/>
          <w:szCs w:val="24"/>
        </w:rPr>
        <w:t>temporary</w:t>
      </w:r>
      <w:r w:rsidRPr="00180028">
        <w:rPr>
          <w:rFonts w:ascii="Palatino Linotype" w:hAnsi="Palatino Linotype"/>
          <w:sz w:val="24"/>
          <w:szCs w:val="24"/>
        </w:rPr>
        <w:t xml:space="preserve">; and </w:t>
      </w:r>
      <w:r w:rsidRPr="00180028" w:rsidR="000C08F1">
        <w:rPr>
          <w:rFonts w:ascii="Palatino Linotype" w:hAnsi="Palatino Linotype"/>
          <w:sz w:val="24"/>
          <w:szCs w:val="24"/>
        </w:rPr>
        <w:t xml:space="preserve">generator interconnection-related </w:t>
      </w:r>
      <w:r w:rsidRPr="00180028">
        <w:rPr>
          <w:rFonts w:ascii="Palatino Linotype" w:hAnsi="Palatino Linotype"/>
          <w:sz w:val="24"/>
          <w:szCs w:val="24"/>
        </w:rPr>
        <w:t>network upgrades are becoming more frequent and costly.</w:t>
      </w:r>
    </w:p>
    <w:p w:rsidRPr="00180028" w:rsidR="6E5153AA" w:rsidP="00303CD4" w:rsidRDefault="11E7578C" w14:paraId="100B2954" w14:textId="18C543C6">
      <w:pPr>
        <w:pStyle w:val="Heading3"/>
        <w:spacing w:before="240" w:line="23" w:lineRule="atLeast"/>
        <w:ind w:firstLine="0"/>
        <w:rPr>
          <w:rFonts w:ascii="Palatino Linotype" w:hAnsi="Palatino Linotype" w:eastAsia="Palatino Linotype" w:cs="Palatino Linotype"/>
          <w:b w:val="0"/>
          <w:color w:val="000000" w:themeColor="text1"/>
          <w:sz w:val="24"/>
          <w:szCs w:val="24"/>
          <w:u w:val="single"/>
        </w:rPr>
      </w:pPr>
      <w:r w:rsidRPr="00180028">
        <w:rPr>
          <w:rFonts w:ascii="Palatino Linotype" w:hAnsi="Palatino Linotype" w:eastAsia="Palatino Linotype" w:cs="Palatino Linotype"/>
          <w:b w:val="0"/>
          <w:color w:val="000000" w:themeColor="text1"/>
          <w:sz w:val="24"/>
          <w:szCs w:val="24"/>
          <w:u w:val="single"/>
        </w:rPr>
        <w:t>Jurisdiction And Legal Authority</w:t>
      </w:r>
      <w:r w:rsidRPr="00180028" w:rsidR="530FFE47">
        <w:rPr>
          <w:rFonts w:ascii="Palatino Linotype" w:hAnsi="Palatino Linotype" w:eastAsia="Palatino Linotype" w:cs="Palatino Linotype"/>
          <w:b w:val="0"/>
          <w:color w:val="000000" w:themeColor="text1"/>
          <w:sz w:val="24"/>
          <w:szCs w:val="24"/>
          <w:u w:val="single"/>
        </w:rPr>
        <w:t xml:space="preserve"> of the Commission</w:t>
      </w:r>
    </w:p>
    <w:p w:rsidRPr="00180028" w:rsidR="6FED240B" w:rsidP="00180028" w:rsidRDefault="240ABDC4" w14:paraId="1F0588D5" w14:textId="1C653C93">
      <w:pPr>
        <w:spacing w:line="23" w:lineRule="atLeast"/>
        <w:ind w:firstLine="720"/>
        <w:rPr>
          <w:rFonts w:ascii="Palatino Linotype" w:hAnsi="Palatino Linotype"/>
          <w:sz w:val="24"/>
          <w:szCs w:val="24"/>
          <w:vertAlign w:val="superscript"/>
        </w:rPr>
      </w:pPr>
      <w:r w:rsidRPr="00180028">
        <w:rPr>
          <w:rFonts w:ascii="Palatino Linotype" w:hAnsi="Palatino Linotype" w:eastAsia="Palatino Linotype" w:cs="Palatino Linotype"/>
          <w:sz w:val="24"/>
          <w:szCs w:val="24"/>
        </w:rPr>
        <w:t>The Commission enforces a variety of federal and state laws that impose utility safety requirements and exercises broad oversight of utility infrastructure and operations.  Pursuant to Article XII, Sections one through six of the California Constitution, the Commission has broad authority to regulate utilities</w:t>
      </w:r>
      <w:r w:rsidRPr="00180028" w:rsidR="159C4BEA">
        <w:rPr>
          <w:rFonts w:ascii="Palatino Linotype" w:hAnsi="Palatino Linotype" w:eastAsia="Palatino Linotype" w:cs="Palatino Linotype"/>
          <w:sz w:val="24"/>
          <w:szCs w:val="24"/>
        </w:rPr>
        <w:t>,</w:t>
      </w:r>
      <w:r w:rsidRPr="00180028">
        <w:rPr>
          <w:rFonts w:ascii="Palatino Linotype" w:hAnsi="Palatino Linotype" w:eastAsia="Palatino Linotype" w:cs="Palatino Linotype"/>
          <w:sz w:val="24"/>
          <w:szCs w:val="24"/>
        </w:rPr>
        <w:t xml:space="preserve"> including the Commission's ability to "fix rates, establish rules</w:t>
      </w:r>
      <w:r w:rsidRPr="00180028" w:rsidR="71874A7F">
        <w:rPr>
          <w:rFonts w:ascii="Palatino Linotype" w:hAnsi="Palatino Linotype" w:eastAsia="Palatino Linotype" w:cs="Palatino Linotype"/>
          <w:sz w:val="24"/>
          <w:szCs w:val="24"/>
        </w:rPr>
        <w:t>...</w:t>
      </w:r>
      <w:r w:rsidRPr="00180028">
        <w:rPr>
          <w:rFonts w:ascii="Palatino Linotype" w:hAnsi="Palatino Linotype" w:eastAsia="Palatino Linotype" w:cs="Palatino Linotype"/>
          <w:sz w:val="24"/>
          <w:szCs w:val="24"/>
        </w:rPr>
        <w:t>and</w:t>
      </w:r>
      <w:r w:rsidRPr="00180028" w:rsidR="660DE3B0">
        <w:rPr>
          <w:rFonts w:ascii="Palatino Linotype" w:hAnsi="Palatino Linotype" w:eastAsia="Palatino Linotype" w:cs="Palatino Linotype"/>
          <w:sz w:val="24"/>
          <w:szCs w:val="24"/>
        </w:rPr>
        <w:t xml:space="preserve"> establish its own procedures”</w:t>
      </w:r>
      <w:r w:rsidRPr="00180028">
        <w:rPr>
          <w:rFonts w:ascii="Palatino Linotype" w:hAnsi="Palatino Linotype" w:eastAsia="Palatino Linotype" w:cs="Palatino Linotype"/>
          <w:sz w:val="24"/>
          <w:szCs w:val="24"/>
        </w:rPr>
        <w:t xml:space="preserve"> for all public utilities subject to its jurisdiction.</w:t>
      </w:r>
      <w:r w:rsidRPr="00180028" w:rsidR="6FED240B">
        <w:rPr>
          <w:rFonts w:ascii="Palatino Linotype" w:hAnsi="Palatino Linotype" w:eastAsia="Palatino Linotype" w:cs="Palatino Linotype"/>
          <w:sz w:val="24"/>
          <w:szCs w:val="24"/>
          <w:vertAlign w:val="superscript"/>
        </w:rPr>
        <w:footnoteReference w:id="8"/>
      </w:r>
      <w:r w:rsidRPr="00180028" w:rsidR="13F12AC3">
        <w:rPr>
          <w:rFonts w:ascii="Palatino Linotype" w:hAnsi="Palatino Linotype" w:eastAsia="Palatino Linotype" w:cs="Palatino Linotype"/>
          <w:sz w:val="24"/>
          <w:szCs w:val="24"/>
        </w:rPr>
        <w:t xml:space="preserve"> </w:t>
      </w:r>
      <w:r w:rsidRPr="00180028" w:rsidR="12C0907E">
        <w:rPr>
          <w:rFonts w:ascii="Palatino Linotype" w:hAnsi="Palatino Linotype" w:eastAsia="Palatino Linotype" w:cs="Palatino Linotype"/>
          <w:sz w:val="24"/>
          <w:szCs w:val="24"/>
        </w:rPr>
        <w:t xml:space="preserve"> </w:t>
      </w:r>
      <w:r w:rsidRPr="00180028" w:rsidR="13F12AC3">
        <w:rPr>
          <w:rFonts w:ascii="Palatino Linotype" w:hAnsi="Palatino Linotype" w:eastAsia="Palatino Linotype" w:cs="Palatino Linotype"/>
          <w:sz w:val="24"/>
          <w:szCs w:val="24"/>
        </w:rPr>
        <w:t>S</w:t>
      </w:r>
      <w:r w:rsidRPr="00180028">
        <w:rPr>
          <w:rFonts w:ascii="Palatino Linotype" w:hAnsi="Palatino Linotype" w:eastAsia="Palatino Linotype" w:cs="Palatino Linotype"/>
          <w:sz w:val="24"/>
          <w:szCs w:val="24"/>
        </w:rPr>
        <w:t>pecifically, Article XII, Section 3 of the California Constitution provides that "the production, generation, transmission, or furnishing of heat, light, water, power" fall under the jurisdiction of the California legislature.  California Public Utilities statutes are enforced by the Commission.</w:t>
      </w:r>
      <w:r w:rsidRPr="00180028" w:rsidR="6FED240B">
        <w:rPr>
          <w:rFonts w:ascii="Palatino Linotype" w:hAnsi="Palatino Linotype"/>
          <w:sz w:val="24"/>
          <w:szCs w:val="24"/>
          <w:vertAlign w:val="superscript"/>
        </w:rPr>
        <w:footnoteReference w:id="9"/>
      </w:r>
    </w:p>
    <w:p w:rsidRPr="00180028" w:rsidR="6FED240B" w:rsidP="00180028" w:rsidRDefault="240ABDC4" w14:paraId="61C3610C" w14:textId="6FD361FF">
      <w:pPr>
        <w:spacing w:line="23" w:lineRule="atLeast"/>
        <w:ind w:firstLine="720"/>
        <w:rPr>
          <w:rFonts w:ascii="Palatino Linotype" w:hAnsi="Palatino Linotype" w:eastAsia="Palatino Linotype" w:cs="Palatino Linotype"/>
          <w:sz w:val="24"/>
          <w:szCs w:val="24"/>
        </w:rPr>
      </w:pPr>
      <w:r w:rsidRPr="00180028">
        <w:rPr>
          <w:rFonts w:ascii="Palatino Linotype" w:hAnsi="Palatino Linotype" w:eastAsia="Palatino Linotype" w:cs="Palatino Linotype"/>
          <w:sz w:val="24"/>
          <w:szCs w:val="24"/>
        </w:rPr>
        <w:t>The California Legislature enacted the Public Utilities Act which authorized the Commission to "supervise and regulate every public utility in the State" and to do all things "which are necessary and convenient in the exercise of such power and jurisdiction" whether specifically designated in the Public Utilities Act or in addition thereto.</w:t>
      </w:r>
      <w:r w:rsidRPr="00180028" w:rsidR="6FED240B">
        <w:rPr>
          <w:rFonts w:ascii="Palatino Linotype" w:hAnsi="Palatino Linotype" w:eastAsia="Palatino Linotype" w:cs="Palatino Linotype"/>
          <w:sz w:val="24"/>
          <w:szCs w:val="24"/>
          <w:vertAlign w:val="superscript"/>
        </w:rPr>
        <w:footnoteReference w:id="10"/>
      </w:r>
      <w:r w:rsidRPr="00180028">
        <w:rPr>
          <w:rFonts w:ascii="Palatino Linotype" w:hAnsi="Palatino Linotype" w:eastAsia="Palatino Linotype" w:cs="Palatino Linotype"/>
          <w:sz w:val="24"/>
          <w:szCs w:val="24"/>
        </w:rPr>
        <w:t xml:space="preserve"> </w:t>
      </w:r>
      <w:r w:rsidRPr="00180028" w:rsidR="4A4FAE5F">
        <w:rPr>
          <w:rFonts w:ascii="Palatino Linotype" w:hAnsi="Palatino Linotype" w:eastAsia="Palatino Linotype" w:cs="Palatino Linotype"/>
          <w:sz w:val="24"/>
          <w:szCs w:val="24"/>
        </w:rPr>
        <w:t xml:space="preserve"> </w:t>
      </w:r>
      <w:r w:rsidRPr="00180028">
        <w:rPr>
          <w:rFonts w:ascii="Palatino Linotype" w:hAnsi="Palatino Linotype" w:eastAsia="Palatino Linotype" w:cs="Palatino Linotype"/>
          <w:sz w:val="24"/>
          <w:szCs w:val="24"/>
        </w:rPr>
        <w:t xml:space="preserve">Though the IOUs transferred operational control of transmission facilities to the CAISO </w:t>
      </w:r>
      <w:r w:rsidRPr="00180028" w:rsidR="007535AF">
        <w:rPr>
          <w:rFonts w:ascii="Palatino Linotype" w:hAnsi="Palatino Linotype" w:eastAsia="Palatino Linotype" w:cs="Palatino Linotype"/>
          <w:sz w:val="24"/>
          <w:szCs w:val="24"/>
        </w:rPr>
        <w:t>i</w:t>
      </w:r>
      <w:r w:rsidRPr="00180028">
        <w:rPr>
          <w:rFonts w:ascii="Palatino Linotype" w:hAnsi="Palatino Linotype" w:eastAsia="Palatino Linotype" w:cs="Palatino Linotype"/>
          <w:sz w:val="24"/>
          <w:szCs w:val="24"/>
        </w:rPr>
        <w:t>n 1998, the IOUs remain transmission owners subject to the Commission's authority over public safety and siting.</w:t>
      </w:r>
      <w:r w:rsidRPr="00180028" w:rsidR="6FED240B">
        <w:rPr>
          <w:rFonts w:ascii="Palatino Linotype" w:hAnsi="Palatino Linotype" w:eastAsia="Palatino Linotype" w:cs="Palatino Linotype"/>
          <w:sz w:val="24"/>
          <w:szCs w:val="24"/>
          <w:vertAlign w:val="superscript"/>
        </w:rPr>
        <w:footnoteReference w:id="11"/>
      </w:r>
      <w:r w:rsidRPr="00180028" w:rsidR="1E0421ED">
        <w:rPr>
          <w:rFonts w:ascii="Palatino Linotype" w:hAnsi="Palatino Linotype" w:eastAsia="Palatino Linotype" w:cs="Palatino Linotype"/>
          <w:sz w:val="24"/>
          <w:szCs w:val="24"/>
        </w:rPr>
        <w:t xml:space="preserve"> </w:t>
      </w:r>
      <w:r w:rsidRPr="00180028" w:rsidR="653433AE">
        <w:rPr>
          <w:rFonts w:ascii="Palatino Linotype" w:hAnsi="Palatino Linotype" w:eastAsia="Palatino Linotype" w:cs="Palatino Linotype"/>
          <w:sz w:val="24"/>
          <w:szCs w:val="24"/>
        </w:rPr>
        <w:t xml:space="preserve"> </w:t>
      </w:r>
      <w:r w:rsidRPr="00180028">
        <w:rPr>
          <w:rFonts w:ascii="Palatino Linotype" w:hAnsi="Palatino Linotype" w:eastAsia="Palatino Linotype" w:cs="Palatino Linotype"/>
          <w:sz w:val="24"/>
          <w:szCs w:val="24"/>
        </w:rPr>
        <w:t xml:space="preserve">Further, pursuant to Public Utilities Code </w:t>
      </w:r>
      <w:r w:rsidRPr="00180028">
        <w:rPr>
          <w:rFonts w:ascii="Palatino Linotype" w:hAnsi="Palatino Linotype" w:eastAsia="Palatino Linotype" w:cs="Palatino Linotype"/>
          <w:sz w:val="24"/>
          <w:szCs w:val="24"/>
        </w:rPr>
        <w:lastRenderedPageBreak/>
        <w:t>Section 451, the Commission has broad authority to regulate public utility services and infrastructure as necessary to ensure they are operated "as are necessary to promote the safety, health, comfort, and convenience" of Californians.</w:t>
      </w:r>
    </w:p>
    <w:p w:rsidRPr="00180028" w:rsidR="00BD65C4" w:rsidP="00180028" w:rsidRDefault="00FD5FC5" w14:paraId="18C0713B" w14:textId="2E5EC6A7">
      <w:pPr>
        <w:spacing w:line="23" w:lineRule="atLeast"/>
        <w:rPr>
          <w:rFonts w:ascii="Palatino Linotype" w:hAnsi="Palatino Linotype"/>
          <w:sz w:val="24"/>
          <w:szCs w:val="24"/>
          <w:vertAlign w:val="superscript"/>
        </w:rPr>
      </w:pPr>
      <w:r w:rsidRPr="00180028">
        <w:rPr>
          <w:rFonts w:ascii="Palatino Linotype" w:hAnsi="Palatino Linotype" w:eastAsia="Palatino Linotype" w:cs="Palatino Linotype"/>
          <w:sz w:val="24"/>
          <w:szCs w:val="24"/>
        </w:rPr>
        <w:t>The Commission has broad authority to require information from public utilities.  The Commission has the authority to “at any time, inspect the accounts, books, papers, and documents of any public utility.”</w:t>
      </w:r>
      <w:r w:rsidRPr="00180028">
        <w:rPr>
          <w:rFonts w:ascii="Palatino Linotype" w:hAnsi="Palatino Linotype" w:eastAsia="Palatino Linotype" w:cs="Palatino Linotype"/>
          <w:sz w:val="24"/>
          <w:szCs w:val="24"/>
          <w:vertAlign w:val="superscript"/>
        </w:rPr>
        <w:footnoteReference w:id="12"/>
      </w:r>
      <w:r w:rsidRPr="00180028">
        <w:rPr>
          <w:rFonts w:ascii="Palatino Linotype" w:hAnsi="Palatino Linotype" w:eastAsia="Palatino Linotype" w:cs="Palatino Linotype"/>
          <w:sz w:val="24"/>
          <w:szCs w:val="24"/>
        </w:rPr>
        <w:t xml:space="preserve">  The Commission may “examine under oath any officer, agent, or employee of a public utility in relation to its business and affairs.”</w:t>
      </w:r>
      <w:r w:rsidRPr="00180028">
        <w:rPr>
          <w:rFonts w:ascii="Palatino Linotype" w:hAnsi="Palatino Linotype" w:eastAsia="Palatino Linotype" w:cs="Palatino Linotype"/>
          <w:sz w:val="24"/>
          <w:szCs w:val="24"/>
          <w:vertAlign w:val="superscript"/>
        </w:rPr>
        <w:footnoteReference w:id="13"/>
      </w:r>
      <w:r w:rsidRPr="00180028">
        <w:rPr>
          <w:rFonts w:ascii="Palatino Linotype" w:hAnsi="Palatino Linotype" w:eastAsia="Palatino Linotype" w:cs="Palatino Linotype"/>
          <w:sz w:val="24"/>
          <w:szCs w:val="24"/>
        </w:rPr>
        <w:t xml:space="preserve">  Public utilities also have a duty to furnish information to the Commission.  “Every public utility shall furnish to the commission in such form and detail as the commission prescribes all tabulations, computations, and all other information required by it to carry into effect any of the provisions of this part, and shall make specific answers to all questions submitted by the commission.”</w:t>
      </w:r>
      <w:r w:rsidRPr="00180028">
        <w:rPr>
          <w:rFonts w:ascii="Palatino Linotype" w:hAnsi="Palatino Linotype" w:eastAsia="Palatino Linotype" w:cs="Palatino Linotype"/>
          <w:sz w:val="24"/>
          <w:szCs w:val="24"/>
          <w:vertAlign w:val="superscript"/>
        </w:rPr>
        <w:footnoteReference w:id="14"/>
      </w:r>
      <w:r w:rsidRPr="00180028">
        <w:rPr>
          <w:rFonts w:ascii="Palatino Linotype" w:hAnsi="Palatino Linotype" w:eastAsia="Palatino Linotype" w:cs="Palatino Linotype"/>
          <w:sz w:val="24"/>
          <w:szCs w:val="24"/>
        </w:rPr>
        <w:t xml:space="preserve">  Furthermore, “[e]very public utility receiving from the commission any blanks with directions to fill them shall answer fully and correctly each question propounded therein, and if it is unable to answer any question, it shall give a good and sufficient reason for such failure.”</w:t>
      </w:r>
      <w:r w:rsidRPr="00180028">
        <w:rPr>
          <w:rFonts w:ascii="Palatino Linotype" w:hAnsi="Palatino Linotype" w:eastAsia="Palatino Linotype" w:cs="Palatino Linotype"/>
          <w:sz w:val="24"/>
          <w:szCs w:val="24"/>
          <w:vertAlign w:val="superscript"/>
        </w:rPr>
        <w:footnoteReference w:id="15"/>
      </w:r>
      <w:r w:rsidRPr="00180028">
        <w:rPr>
          <w:rFonts w:ascii="Palatino Linotype" w:hAnsi="Palatino Linotype" w:eastAsia="Palatino Linotype" w:cs="Palatino Linotype"/>
          <w:sz w:val="24"/>
          <w:szCs w:val="24"/>
        </w:rPr>
        <w:t xml:space="preserve">  This </w:t>
      </w:r>
      <w:r w:rsidRPr="00180028" w:rsidR="005046FE">
        <w:rPr>
          <w:rFonts w:ascii="Palatino Linotype" w:hAnsi="Palatino Linotype" w:eastAsia="Palatino Linotype" w:cs="Palatino Linotype"/>
          <w:sz w:val="24"/>
          <w:szCs w:val="24"/>
        </w:rPr>
        <w:t>R</w:t>
      </w:r>
      <w:r w:rsidRPr="00180028">
        <w:rPr>
          <w:rFonts w:ascii="Palatino Linotype" w:hAnsi="Palatino Linotype" w:eastAsia="Palatino Linotype" w:cs="Palatino Linotype"/>
          <w:sz w:val="24"/>
          <w:szCs w:val="24"/>
        </w:rPr>
        <w:t xml:space="preserve">esolution establishes a process that will provide transparent information about the IOUs’ transmission infrastructure and the various ways they impact meeting the Commission's safety, clean energy, and reliability goals.  </w:t>
      </w:r>
      <w:r w:rsidRPr="00180028" w:rsidR="00F96489">
        <w:rPr>
          <w:rFonts w:ascii="Palatino Linotype" w:hAnsi="Palatino Linotype" w:eastAsia="Palatino Linotype" w:cs="Palatino Linotype"/>
          <w:sz w:val="24"/>
          <w:szCs w:val="24"/>
        </w:rPr>
        <w:t>T</w:t>
      </w:r>
      <w:r w:rsidRPr="00180028">
        <w:rPr>
          <w:rFonts w:ascii="Palatino Linotype" w:hAnsi="Palatino Linotype" w:eastAsia="Palatino Linotype" w:cs="Palatino Linotype"/>
          <w:sz w:val="24"/>
          <w:szCs w:val="24"/>
        </w:rPr>
        <w:t xml:space="preserve">his </w:t>
      </w:r>
      <w:r w:rsidRPr="00180028" w:rsidR="005046FE">
        <w:rPr>
          <w:rFonts w:ascii="Palatino Linotype" w:hAnsi="Palatino Linotype" w:eastAsia="Palatino Linotype" w:cs="Palatino Linotype"/>
          <w:sz w:val="24"/>
          <w:szCs w:val="24"/>
        </w:rPr>
        <w:t>R</w:t>
      </w:r>
      <w:r w:rsidRPr="00180028">
        <w:rPr>
          <w:rFonts w:ascii="Palatino Linotype" w:hAnsi="Palatino Linotype" w:eastAsia="Palatino Linotype" w:cs="Palatino Linotype"/>
          <w:sz w:val="24"/>
          <w:szCs w:val="24"/>
        </w:rPr>
        <w:t>esolution does not invoke any ratemaking authority over transmission assets, and the Commission is not exercising any authority to set transmission rates or conduct any transmission planning.</w:t>
      </w:r>
      <w:r w:rsidRPr="00180028">
        <w:rPr>
          <w:rStyle w:val="FootnoteReference"/>
          <w:rFonts w:ascii="Palatino Linotype" w:hAnsi="Palatino Linotype"/>
          <w:sz w:val="24"/>
          <w:szCs w:val="24"/>
        </w:rPr>
        <w:footnoteReference w:id="16"/>
      </w:r>
    </w:p>
    <w:p w:rsidRPr="00180028" w:rsidR="00BD65C4" w:rsidP="00303CD4" w:rsidRDefault="00BD65C4" w14:paraId="29C49583" w14:textId="77777777">
      <w:pPr>
        <w:keepNext/>
        <w:spacing w:before="240" w:after="120" w:line="23" w:lineRule="atLeast"/>
        <w:rPr>
          <w:rFonts w:ascii="Palatino Linotype" w:hAnsi="Palatino Linotype" w:eastAsia="Garamond" w:cs="Garamond"/>
          <w:sz w:val="24"/>
          <w:szCs w:val="24"/>
          <w:u w:val="single"/>
        </w:rPr>
      </w:pPr>
      <w:r w:rsidRPr="00180028">
        <w:rPr>
          <w:rFonts w:ascii="Palatino Linotype" w:hAnsi="Palatino Linotype" w:eastAsia="Garamond" w:cs="Garamond"/>
          <w:sz w:val="24"/>
          <w:szCs w:val="24"/>
          <w:u w:val="single"/>
        </w:rPr>
        <w:t>Difficulty Obtaining Transparency and Reliable Data on Transmission Projects</w:t>
      </w:r>
    </w:p>
    <w:p w:rsidRPr="00180028" w:rsidR="00BD65C4" w:rsidP="00303CD4" w:rsidRDefault="00BD65C4" w14:paraId="75A89B74" w14:textId="5FBB1594">
      <w:pPr>
        <w:keepNext/>
        <w:spacing w:line="23" w:lineRule="atLeast"/>
        <w:ind w:firstLine="720"/>
        <w:rPr>
          <w:rFonts w:ascii="Palatino Linotype" w:hAnsi="Palatino Linotype" w:eastAsia="Garamond" w:cs="Garamond"/>
          <w:sz w:val="24"/>
          <w:szCs w:val="24"/>
        </w:rPr>
      </w:pPr>
      <w:r w:rsidRPr="00180028">
        <w:rPr>
          <w:rFonts w:ascii="Palatino Linotype" w:hAnsi="Palatino Linotype" w:eastAsia="Garamond" w:cs="Garamond"/>
          <w:sz w:val="24"/>
          <w:szCs w:val="24"/>
        </w:rPr>
        <w:t xml:space="preserve">As explained </w:t>
      </w:r>
      <w:r w:rsidRPr="00180028" w:rsidR="009206F0">
        <w:rPr>
          <w:rFonts w:ascii="Palatino Linotype" w:hAnsi="Palatino Linotype" w:eastAsia="Garamond" w:cs="Garamond"/>
          <w:sz w:val="24"/>
          <w:szCs w:val="24"/>
        </w:rPr>
        <w:t>below</w:t>
      </w:r>
      <w:r w:rsidRPr="00180028">
        <w:rPr>
          <w:rFonts w:ascii="Palatino Linotype" w:hAnsi="Palatino Linotype" w:eastAsia="Garamond" w:cs="Garamond"/>
          <w:sz w:val="24"/>
          <w:szCs w:val="24"/>
        </w:rPr>
        <w:t xml:space="preserve">, most of the escalation in costs related to the IOUs’ rate bases is attributable to </w:t>
      </w:r>
      <w:r w:rsidRPr="00180028" w:rsidR="0017519A">
        <w:rPr>
          <w:rFonts w:ascii="Palatino Linotype" w:hAnsi="Palatino Linotype" w:eastAsia="Garamond" w:cs="Garamond"/>
          <w:sz w:val="24"/>
          <w:szCs w:val="24"/>
        </w:rPr>
        <w:t>U</w:t>
      </w:r>
      <w:r w:rsidRPr="00180028">
        <w:rPr>
          <w:rFonts w:ascii="Palatino Linotype" w:hAnsi="Palatino Linotype" w:eastAsia="Garamond" w:cs="Garamond"/>
          <w:sz w:val="24"/>
          <w:szCs w:val="24"/>
        </w:rPr>
        <w:t xml:space="preserve">tility </w:t>
      </w:r>
      <w:r w:rsidRPr="00180028" w:rsidR="0017519A">
        <w:rPr>
          <w:rFonts w:ascii="Palatino Linotype" w:hAnsi="Palatino Linotype" w:eastAsia="Garamond" w:cs="Garamond"/>
          <w:sz w:val="24"/>
          <w:szCs w:val="24"/>
        </w:rPr>
        <w:t>S</w:t>
      </w:r>
      <w:r w:rsidRPr="00180028">
        <w:rPr>
          <w:rFonts w:ascii="Palatino Linotype" w:hAnsi="Palatino Linotype" w:eastAsia="Garamond" w:cs="Garamond"/>
          <w:sz w:val="24"/>
          <w:szCs w:val="24"/>
        </w:rPr>
        <w:t>elf-</w:t>
      </w:r>
      <w:r w:rsidRPr="00180028" w:rsidR="0017519A">
        <w:rPr>
          <w:rFonts w:ascii="Palatino Linotype" w:hAnsi="Palatino Linotype" w:eastAsia="Garamond" w:cs="Garamond"/>
          <w:sz w:val="24"/>
          <w:szCs w:val="24"/>
        </w:rPr>
        <w:t>A</w:t>
      </w:r>
      <w:r w:rsidRPr="00180028">
        <w:rPr>
          <w:rFonts w:ascii="Palatino Linotype" w:hAnsi="Palatino Linotype" w:eastAsia="Garamond" w:cs="Garamond"/>
          <w:sz w:val="24"/>
          <w:szCs w:val="24"/>
        </w:rPr>
        <w:t xml:space="preserve">pproved </w:t>
      </w:r>
      <w:r w:rsidRPr="00180028" w:rsidR="000824FC">
        <w:rPr>
          <w:rFonts w:ascii="Palatino Linotype" w:hAnsi="Palatino Linotype" w:eastAsia="Garamond" w:cs="Garamond"/>
          <w:sz w:val="24"/>
          <w:szCs w:val="24"/>
        </w:rPr>
        <w:t>P</w:t>
      </w:r>
      <w:r w:rsidRPr="00180028">
        <w:rPr>
          <w:rFonts w:ascii="Palatino Linotype" w:hAnsi="Palatino Linotype" w:eastAsia="Garamond" w:cs="Garamond"/>
          <w:sz w:val="24"/>
          <w:szCs w:val="24"/>
        </w:rPr>
        <w:t>rojects.  Temporary stakeholder processes</w:t>
      </w:r>
      <w:r w:rsidRPr="00180028" w:rsidR="00A3004D">
        <w:rPr>
          <w:rFonts w:ascii="Palatino Linotype" w:hAnsi="Palatino Linotype" w:eastAsia="Garamond" w:cs="Garamond"/>
          <w:sz w:val="24"/>
          <w:szCs w:val="24"/>
        </w:rPr>
        <w:t xml:space="preserve"> </w:t>
      </w:r>
      <w:r w:rsidRPr="00180028">
        <w:rPr>
          <w:rFonts w:ascii="Palatino Linotype" w:hAnsi="Palatino Linotype" w:eastAsia="Garamond" w:cs="Garamond"/>
          <w:sz w:val="24"/>
          <w:szCs w:val="24"/>
        </w:rPr>
        <w:t xml:space="preserve">have revealed that the IOUs’ procedures for planning and prioritizing projects are </w:t>
      </w:r>
      <w:r w:rsidRPr="00180028">
        <w:rPr>
          <w:rFonts w:ascii="Palatino Linotype" w:hAnsi="Palatino Linotype" w:eastAsia="Garamond" w:cs="Garamond"/>
          <w:sz w:val="24"/>
          <w:szCs w:val="24"/>
        </w:rPr>
        <w:lastRenderedPageBreak/>
        <w:t xml:space="preserve">inadequate and often </w:t>
      </w:r>
      <w:r w:rsidRPr="00180028">
        <w:rPr>
          <w:rFonts w:ascii="Palatino Linotype" w:hAnsi="Palatino Linotype" w:eastAsia="Garamond" w:cs="Garamond"/>
          <w:i/>
          <w:sz w:val="24"/>
          <w:szCs w:val="24"/>
        </w:rPr>
        <w:t>ad hoc</w:t>
      </w:r>
      <w:r w:rsidRPr="00180028">
        <w:rPr>
          <w:rFonts w:ascii="Palatino Linotype" w:hAnsi="Palatino Linotype" w:eastAsia="Garamond" w:cs="Garamond"/>
          <w:sz w:val="24"/>
          <w:szCs w:val="24"/>
        </w:rPr>
        <w:t xml:space="preserve">.  Further, recordkeeping on such projects is often scattered throughout unintegrated IT </w:t>
      </w:r>
      <w:r w:rsidRPr="00180028" w:rsidR="00A3004D">
        <w:rPr>
          <w:rFonts w:ascii="Palatino Linotype" w:hAnsi="Palatino Linotype" w:eastAsia="Garamond" w:cs="Garamond"/>
          <w:sz w:val="24"/>
          <w:szCs w:val="24"/>
        </w:rPr>
        <w:t xml:space="preserve">and other recordkeeping </w:t>
      </w:r>
      <w:r w:rsidRPr="00180028">
        <w:rPr>
          <w:rFonts w:ascii="Palatino Linotype" w:hAnsi="Palatino Linotype" w:eastAsia="Garamond" w:cs="Garamond"/>
          <w:sz w:val="24"/>
          <w:szCs w:val="24"/>
        </w:rPr>
        <w:t xml:space="preserve">systems.  </w:t>
      </w:r>
    </w:p>
    <w:p w:rsidRPr="00180028" w:rsidR="00250229" w:rsidP="00180028" w:rsidRDefault="00BD65C4" w14:paraId="144D2C77" w14:textId="6E0D7161">
      <w:pPr>
        <w:spacing w:line="23" w:lineRule="atLeast"/>
        <w:ind w:firstLine="720"/>
        <w:rPr>
          <w:rFonts w:ascii="Palatino Linotype" w:hAnsi="Palatino Linotype"/>
          <w:sz w:val="24"/>
          <w:szCs w:val="24"/>
        </w:rPr>
      </w:pPr>
      <w:r w:rsidRPr="00180028">
        <w:rPr>
          <w:rFonts w:ascii="Palatino Linotype" w:hAnsi="Palatino Linotype" w:eastAsia="Garamond" w:cs="Garamond"/>
          <w:sz w:val="24"/>
          <w:szCs w:val="24"/>
        </w:rPr>
        <w:t>While the Commission acknowledges that improvements in the IOUs’ data and recordkeeping have occurred during recent stakeholder processes, data transparency and reliability must continue to improve to enable the utilities to appropriately manage their systems, for the Commission to perform its safety and siting oversight, and for ratepayers and other Stakeholders to receive timel</w:t>
      </w:r>
      <w:r w:rsidRPr="00180028" w:rsidR="00A3004D">
        <w:rPr>
          <w:rFonts w:ascii="Palatino Linotype" w:hAnsi="Palatino Linotype" w:eastAsia="Garamond" w:cs="Garamond"/>
          <w:sz w:val="24"/>
          <w:szCs w:val="24"/>
        </w:rPr>
        <w:t>y,</w:t>
      </w:r>
      <w:r w:rsidRPr="00180028">
        <w:rPr>
          <w:rFonts w:ascii="Palatino Linotype" w:hAnsi="Palatino Linotype" w:eastAsia="Garamond" w:cs="Garamond"/>
          <w:sz w:val="24"/>
          <w:szCs w:val="24"/>
        </w:rPr>
        <w:t xml:space="preserve"> </w:t>
      </w:r>
      <w:r w:rsidRPr="00180028" w:rsidR="00A3004D">
        <w:rPr>
          <w:rFonts w:ascii="Palatino Linotype" w:hAnsi="Palatino Linotype" w:eastAsia="Garamond" w:cs="Garamond"/>
          <w:sz w:val="24"/>
          <w:szCs w:val="24"/>
        </w:rPr>
        <w:t>accurate, and useful</w:t>
      </w:r>
      <w:r w:rsidRPr="00180028">
        <w:rPr>
          <w:rFonts w:ascii="Palatino Linotype" w:hAnsi="Palatino Linotype" w:eastAsia="Garamond" w:cs="Garamond"/>
          <w:sz w:val="24"/>
          <w:szCs w:val="24"/>
        </w:rPr>
        <w:t xml:space="preserve"> information on transmission projects.   </w:t>
      </w:r>
    </w:p>
    <w:p w:rsidRPr="00180028" w:rsidR="00BD65C4" w:rsidP="00303CD4" w:rsidRDefault="00BD65C4" w14:paraId="753334BC" w14:textId="695F9E6A">
      <w:pPr>
        <w:spacing w:before="240" w:after="120" w:line="23" w:lineRule="atLeast"/>
        <w:rPr>
          <w:rFonts w:ascii="Palatino Linotype" w:hAnsi="Palatino Linotype" w:eastAsia="Garamond" w:cs="Garamond"/>
          <w:sz w:val="24"/>
          <w:szCs w:val="24"/>
          <w:u w:val="single"/>
        </w:rPr>
      </w:pPr>
      <w:r w:rsidRPr="00180028">
        <w:rPr>
          <w:rFonts w:ascii="Palatino Linotype" w:hAnsi="Palatino Linotype" w:eastAsia="Garamond" w:cs="Garamond"/>
          <w:sz w:val="24"/>
          <w:szCs w:val="24"/>
          <w:u w:val="single"/>
        </w:rPr>
        <w:t>Current Stakeholder Processes</w:t>
      </w:r>
      <w:r w:rsidRPr="00180028" w:rsidR="009C2C0F">
        <w:rPr>
          <w:rFonts w:ascii="Palatino Linotype" w:hAnsi="Palatino Linotype" w:eastAsia="Garamond" w:cs="Garamond"/>
          <w:sz w:val="24"/>
          <w:szCs w:val="24"/>
          <w:u w:val="single"/>
        </w:rPr>
        <w:t xml:space="preserve"> are Inconsistent and Temporary</w:t>
      </w:r>
    </w:p>
    <w:p w:rsidRPr="00180028" w:rsidR="00BD65C4" w:rsidP="00180028" w:rsidRDefault="00BD65C4" w14:paraId="487B06FC" w14:textId="55BA7284">
      <w:pPr>
        <w:spacing w:line="23" w:lineRule="atLeast"/>
        <w:ind w:firstLine="720"/>
        <w:rPr>
          <w:rFonts w:ascii="Palatino Linotype" w:hAnsi="Palatino Linotype" w:eastAsia="Garamond" w:cs="Garamond"/>
          <w:sz w:val="24"/>
          <w:szCs w:val="24"/>
        </w:rPr>
      </w:pPr>
      <w:r w:rsidRPr="00180028">
        <w:rPr>
          <w:rFonts w:ascii="Palatino Linotype" w:hAnsi="Palatino Linotype" w:eastAsia="Garamond" w:cs="Garamond"/>
          <w:sz w:val="24"/>
          <w:szCs w:val="24"/>
        </w:rPr>
        <w:t>As part of the efforts to remedy the lack of transparency</w:t>
      </w:r>
      <w:r w:rsidRPr="00180028" w:rsidR="002C7720">
        <w:rPr>
          <w:rFonts w:ascii="Palatino Linotype" w:hAnsi="Palatino Linotype" w:eastAsia="Garamond" w:cs="Garamond"/>
          <w:sz w:val="24"/>
          <w:szCs w:val="24"/>
        </w:rPr>
        <w:t xml:space="preserve"> of transmission projects</w:t>
      </w:r>
      <w:r w:rsidRPr="00180028">
        <w:rPr>
          <w:rFonts w:ascii="Palatino Linotype" w:hAnsi="Palatino Linotype" w:eastAsia="Garamond" w:cs="Garamond"/>
          <w:sz w:val="24"/>
          <w:szCs w:val="24"/>
        </w:rPr>
        <w:t xml:space="preserve">, the Commission and other intervening parties negotiated PG&amp;E’s Stakeholder Transmission Asset Review (“STAR”) Process, SCE’s Stakeholder Review Process (“SRP”), and SDG&amp;E’s Evaluation of Forecast Period Capital Additions </w:t>
      </w:r>
      <w:r w:rsidRPr="00180028" w:rsidR="002C7720">
        <w:rPr>
          <w:rFonts w:ascii="Palatino Linotype" w:hAnsi="Palatino Linotype" w:eastAsia="Garamond" w:cs="Garamond"/>
          <w:sz w:val="24"/>
          <w:szCs w:val="24"/>
        </w:rPr>
        <w:t>(“Project Evaluation”)</w:t>
      </w:r>
      <w:r w:rsidRPr="00180028" w:rsidR="00312D00">
        <w:rPr>
          <w:rFonts w:ascii="Palatino Linotype" w:hAnsi="Palatino Linotype" w:eastAsia="Garamond" w:cs="Garamond"/>
          <w:sz w:val="24"/>
          <w:szCs w:val="24"/>
        </w:rPr>
        <w:t xml:space="preserve"> </w:t>
      </w:r>
      <w:r w:rsidRPr="00180028">
        <w:rPr>
          <w:rFonts w:ascii="Palatino Linotype" w:hAnsi="Palatino Linotype" w:eastAsia="Garamond" w:cs="Garamond"/>
          <w:sz w:val="24"/>
          <w:szCs w:val="24"/>
        </w:rPr>
        <w:t>in their most recent rate cases at FERC.</w:t>
      </w:r>
      <w:r w:rsidRPr="00180028">
        <w:rPr>
          <w:rStyle w:val="FootnoteReference"/>
          <w:rFonts w:ascii="Palatino Linotype" w:hAnsi="Palatino Linotype" w:eastAsia="Garamond" w:cs="Garamond"/>
          <w:sz w:val="24"/>
          <w:szCs w:val="24"/>
        </w:rPr>
        <w:footnoteReference w:id="17"/>
      </w:r>
      <w:r w:rsidRPr="00180028">
        <w:rPr>
          <w:rFonts w:ascii="Palatino Linotype" w:hAnsi="Palatino Linotype" w:eastAsia="Garamond" w:cs="Garamond"/>
          <w:sz w:val="24"/>
          <w:szCs w:val="24"/>
        </w:rPr>
        <w:t xml:space="preserve">  The STAR Process, SRP, and </w:t>
      </w:r>
      <w:r w:rsidRPr="00180028" w:rsidR="00312D00">
        <w:rPr>
          <w:rFonts w:ascii="Palatino Linotype" w:hAnsi="Palatino Linotype" w:eastAsia="Garamond" w:cs="Garamond"/>
          <w:sz w:val="24"/>
          <w:szCs w:val="24"/>
        </w:rPr>
        <w:t>Project</w:t>
      </w:r>
      <w:r w:rsidRPr="00180028">
        <w:rPr>
          <w:rFonts w:ascii="Palatino Linotype" w:hAnsi="Palatino Linotype" w:eastAsia="Garamond" w:cs="Garamond"/>
          <w:sz w:val="24"/>
          <w:szCs w:val="24"/>
        </w:rPr>
        <w:t xml:space="preserve"> Evaluation are all temporary, and the two more comprehensive processes (</w:t>
      </w:r>
      <w:r w:rsidRPr="00180028">
        <w:rPr>
          <w:rFonts w:ascii="Palatino Linotype" w:hAnsi="Palatino Linotype" w:eastAsia="Garamond" w:cs="Garamond"/>
          <w:i/>
          <w:iCs/>
          <w:sz w:val="24"/>
          <w:szCs w:val="24"/>
        </w:rPr>
        <w:t>i.e.</w:t>
      </w:r>
      <w:r w:rsidRPr="00180028">
        <w:rPr>
          <w:rFonts w:ascii="Palatino Linotype" w:hAnsi="Palatino Linotype" w:eastAsia="Garamond" w:cs="Garamond"/>
          <w:sz w:val="24"/>
          <w:szCs w:val="24"/>
        </w:rPr>
        <w:t xml:space="preserve">, STAR Process and SRP) are not fully consistent in the information that they provide. </w:t>
      </w:r>
      <w:r w:rsidRPr="00180028" w:rsidDel="7762BF7C">
        <w:rPr>
          <w:rFonts w:ascii="Palatino Linotype" w:hAnsi="Palatino Linotype" w:eastAsia="Garamond" w:cs="Garamond"/>
          <w:sz w:val="24"/>
          <w:szCs w:val="24"/>
        </w:rPr>
        <w:t xml:space="preserve"> </w:t>
      </w:r>
      <w:r w:rsidRPr="00180028">
        <w:rPr>
          <w:rFonts w:ascii="Palatino Linotype" w:hAnsi="Palatino Linotype" w:eastAsia="Garamond" w:cs="Garamond"/>
          <w:sz w:val="24"/>
          <w:szCs w:val="24"/>
        </w:rPr>
        <w:t xml:space="preserve">However, similarities in the processes require PG&amp;E and SCE to report semi-annually to Stakeholders on over 60 data fields related to each transmission project’s description, status, costs, CAISO or utility </w:t>
      </w:r>
      <w:r w:rsidRPr="00180028" w:rsidR="00312D00">
        <w:rPr>
          <w:rFonts w:ascii="Palatino Linotype" w:hAnsi="Palatino Linotype" w:eastAsia="Garamond" w:cs="Garamond"/>
          <w:sz w:val="24"/>
          <w:szCs w:val="24"/>
        </w:rPr>
        <w:t>self-</w:t>
      </w:r>
      <w:r w:rsidRPr="00180028">
        <w:rPr>
          <w:rFonts w:ascii="Palatino Linotype" w:hAnsi="Palatino Linotype" w:eastAsia="Garamond" w:cs="Garamond"/>
          <w:sz w:val="24"/>
          <w:szCs w:val="24"/>
        </w:rPr>
        <w:t xml:space="preserve">approval, and Commission permitting status (if applicable).   </w:t>
      </w:r>
      <w:r w:rsidRPr="00180028" w:rsidR="00312D00">
        <w:rPr>
          <w:rFonts w:ascii="Palatino Linotype" w:hAnsi="Palatino Linotype" w:eastAsia="Garamond" w:cs="Garamond"/>
          <w:sz w:val="24"/>
          <w:szCs w:val="24"/>
        </w:rPr>
        <w:t>D</w:t>
      </w:r>
      <w:r w:rsidRPr="00180028">
        <w:rPr>
          <w:rFonts w:ascii="Palatino Linotype" w:hAnsi="Palatino Linotype" w:eastAsia="Garamond" w:cs="Garamond"/>
          <w:sz w:val="24"/>
          <w:szCs w:val="24"/>
        </w:rPr>
        <w:t>ata are provided for all</w:t>
      </w:r>
      <w:r w:rsidRPr="00180028" w:rsidR="00312D00">
        <w:rPr>
          <w:rFonts w:ascii="Palatino Linotype" w:hAnsi="Palatino Linotype" w:eastAsia="Garamond" w:cs="Garamond"/>
          <w:sz w:val="24"/>
          <w:szCs w:val="24"/>
        </w:rPr>
        <w:t xml:space="preserve"> </w:t>
      </w:r>
      <w:r w:rsidRPr="00180028" w:rsidR="00EE4906">
        <w:rPr>
          <w:rFonts w:ascii="Palatino Linotype" w:hAnsi="Palatino Linotype" w:eastAsia="Garamond" w:cs="Garamond"/>
          <w:sz w:val="24"/>
          <w:szCs w:val="24"/>
        </w:rPr>
        <w:t>Projects</w:t>
      </w:r>
      <w:r w:rsidRPr="00180028" w:rsidR="00312D00">
        <w:rPr>
          <w:rFonts w:ascii="Palatino Linotype" w:hAnsi="Palatino Linotype" w:eastAsia="Garamond" w:cs="Garamond"/>
          <w:sz w:val="24"/>
          <w:szCs w:val="24"/>
        </w:rPr>
        <w:t xml:space="preserve"> that have</w:t>
      </w:r>
      <w:r w:rsidRPr="00180028">
        <w:rPr>
          <w:rFonts w:ascii="Palatino Linotype" w:hAnsi="Palatino Linotype" w:eastAsia="Garamond" w:cs="Garamond"/>
          <w:sz w:val="24"/>
          <w:szCs w:val="24"/>
        </w:rPr>
        <w:t xml:space="preserve"> actual or forecast costs of </w:t>
      </w:r>
      <w:r w:rsidRPr="00180028" w:rsidR="008F05B0">
        <w:rPr>
          <w:rFonts w:ascii="Palatino Linotype" w:hAnsi="Palatino Linotype" w:eastAsia="Garamond" w:cs="Garamond"/>
          <w:sz w:val="24"/>
          <w:szCs w:val="24"/>
        </w:rPr>
        <w:t>one</w:t>
      </w:r>
      <w:r w:rsidRPr="00180028">
        <w:rPr>
          <w:rFonts w:ascii="Palatino Linotype" w:hAnsi="Palatino Linotype" w:eastAsia="Garamond" w:cs="Garamond"/>
          <w:sz w:val="24"/>
          <w:szCs w:val="24"/>
        </w:rPr>
        <w:t xml:space="preserve"> million</w:t>
      </w:r>
      <w:r w:rsidRPr="00180028" w:rsidR="008F05B0">
        <w:rPr>
          <w:rFonts w:ascii="Palatino Linotype" w:hAnsi="Palatino Linotype" w:eastAsia="Garamond" w:cs="Garamond"/>
          <w:sz w:val="24"/>
          <w:szCs w:val="24"/>
        </w:rPr>
        <w:t xml:space="preserve"> dol</w:t>
      </w:r>
      <w:r w:rsidRPr="00180028" w:rsidR="000A6A17">
        <w:rPr>
          <w:rFonts w:ascii="Palatino Linotype" w:hAnsi="Palatino Linotype" w:eastAsia="Garamond" w:cs="Garamond"/>
          <w:sz w:val="24"/>
          <w:szCs w:val="24"/>
        </w:rPr>
        <w:t>l</w:t>
      </w:r>
      <w:r w:rsidRPr="00180028" w:rsidR="008F05B0">
        <w:rPr>
          <w:rFonts w:ascii="Palatino Linotype" w:hAnsi="Palatino Linotype" w:eastAsia="Garamond" w:cs="Garamond"/>
          <w:sz w:val="24"/>
          <w:szCs w:val="24"/>
        </w:rPr>
        <w:t>ars</w:t>
      </w:r>
      <w:r w:rsidRPr="00180028">
        <w:rPr>
          <w:rFonts w:ascii="Palatino Linotype" w:hAnsi="Palatino Linotype" w:eastAsia="Garamond" w:cs="Garamond"/>
          <w:sz w:val="24"/>
          <w:szCs w:val="24"/>
        </w:rPr>
        <w:t xml:space="preserve"> or greater.  Projects include </w:t>
      </w:r>
      <w:r w:rsidRPr="00180028" w:rsidR="00312D00">
        <w:rPr>
          <w:rFonts w:ascii="Palatino Linotype" w:hAnsi="Palatino Linotype" w:eastAsia="Garamond" w:cs="Garamond"/>
          <w:sz w:val="24"/>
          <w:szCs w:val="24"/>
        </w:rPr>
        <w:t xml:space="preserve">any </w:t>
      </w:r>
      <w:r w:rsidRPr="00180028">
        <w:rPr>
          <w:rFonts w:ascii="Palatino Linotype" w:hAnsi="Palatino Linotype" w:eastAsia="Garamond" w:cs="Garamond"/>
          <w:sz w:val="24"/>
          <w:szCs w:val="24"/>
        </w:rPr>
        <w:t>capital additions for at least the prior four years and projects with any forecast capital expenditures in the current or next five years. The data, the opportunity to engage in discovery on projects and procedures, and stakeholder meetings all help the Commission and Stakeholders to understand recent transmission development trends, current transmission</w:t>
      </w:r>
      <w:r w:rsidRPr="00180028" w:rsidR="00F227F7">
        <w:rPr>
          <w:rFonts w:ascii="Palatino Linotype" w:hAnsi="Palatino Linotype" w:eastAsia="Garamond" w:cs="Garamond"/>
          <w:sz w:val="24"/>
          <w:szCs w:val="24"/>
        </w:rPr>
        <w:t xml:space="preserve"> </w:t>
      </w:r>
      <w:r w:rsidRPr="00180028" w:rsidR="00614C17">
        <w:rPr>
          <w:rFonts w:ascii="Palatino Linotype" w:hAnsi="Palatino Linotype" w:eastAsia="Garamond" w:cs="Garamond"/>
          <w:sz w:val="24"/>
          <w:szCs w:val="24"/>
        </w:rPr>
        <w:t>projects</w:t>
      </w:r>
      <w:r w:rsidRPr="00180028">
        <w:rPr>
          <w:rFonts w:ascii="Palatino Linotype" w:hAnsi="Palatino Linotype" w:eastAsia="Garamond" w:cs="Garamond"/>
          <w:sz w:val="24"/>
          <w:szCs w:val="24"/>
        </w:rPr>
        <w:t xml:space="preserve">, and priorities for forecast transmission projects.  </w:t>
      </w:r>
    </w:p>
    <w:p w:rsidRPr="00180028" w:rsidR="00BD65C4" w:rsidP="00180028" w:rsidRDefault="00BD65C4" w14:paraId="32C7C099" w14:textId="1D191B8F">
      <w:pPr>
        <w:spacing w:line="23" w:lineRule="atLeast"/>
        <w:ind w:firstLine="720"/>
        <w:rPr>
          <w:rFonts w:ascii="Palatino Linotype" w:hAnsi="Palatino Linotype" w:eastAsia="Garamond" w:cs="Garamond"/>
          <w:sz w:val="24"/>
          <w:szCs w:val="24"/>
        </w:rPr>
      </w:pPr>
      <w:r w:rsidRPr="00180028">
        <w:rPr>
          <w:rFonts w:ascii="Palatino Linotype" w:hAnsi="Palatino Linotype" w:eastAsia="Garamond" w:cs="Garamond"/>
          <w:sz w:val="24"/>
          <w:szCs w:val="24"/>
        </w:rPr>
        <w:t xml:space="preserve">While the STAR Process and SRP signal progress in achieving transparency of PG&amp;E’s and SCE’s transmission </w:t>
      </w:r>
      <w:r w:rsidRPr="00180028" w:rsidR="00151672">
        <w:rPr>
          <w:rFonts w:ascii="Palatino Linotype" w:hAnsi="Palatino Linotype" w:eastAsia="Garamond" w:cs="Garamond"/>
          <w:sz w:val="24"/>
          <w:szCs w:val="24"/>
        </w:rPr>
        <w:t>P</w:t>
      </w:r>
      <w:r w:rsidRPr="00180028">
        <w:rPr>
          <w:rFonts w:ascii="Palatino Linotype" w:hAnsi="Palatino Linotype" w:eastAsia="Garamond" w:cs="Garamond"/>
          <w:sz w:val="24"/>
          <w:szCs w:val="24"/>
        </w:rPr>
        <w:t xml:space="preserve">rojects, these processes are set to expire at the end of 2023.  Further, as the STAR Process and SRP were negotiated separately within the two respective TO rate cases, the two processes are not fully consistent, and SDG&amp;E’s Evaluation of Capital Additions is far less comprehensive.  While the STAR Process and </w:t>
      </w:r>
      <w:r w:rsidRPr="00180028">
        <w:rPr>
          <w:rFonts w:ascii="Palatino Linotype" w:hAnsi="Palatino Linotype" w:eastAsia="Garamond" w:cs="Garamond"/>
          <w:sz w:val="24"/>
          <w:szCs w:val="24"/>
        </w:rPr>
        <w:lastRenderedPageBreak/>
        <w:t>SRP are temporary and inconsistent, they have provided useful information for the Commission</w:t>
      </w:r>
      <w:r w:rsidRPr="00180028" w:rsidR="00B53E7D">
        <w:rPr>
          <w:rFonts w:ascii="Palatino Linotype" w:hAnsi="Palatino Linotype" w:eastAsia="Garamond" w:cs="Garamond"/>
          <w:sz w:val="24"/>
          <w:szCs w:val="24"/>
        </w:rPr>
        <w:t xml:space="preserve"> </w:t>
      </w:r>
      <w:r w:rsidRPr="00180028">
        <w:rPr>
          <w:rFonts w:ascii="Palatino Linotype" w:hAnsi="Palatino Linotype" w:eastAsia="Garamond" w:cs="Garamond"/>
          <w:sz w:val="24"/>
          <w:szCs w:val="24"/>
        </w:rPr>
        <w:t>and Stakeholders</w:t>
      </w:r>
      <w:r w:rsidRPr="00180028" w:rsidR="00B53E7D">
        <w:rPr>
          <w:rFonts w:ascii="Palatino Linotype" w:hAnsi="Palatino Linotype" w:eastAsia="Garamond" w:cs="Garamond"/>
          <w:sz w:val="24"/>
          <w:szCs w:val="24"/>
        </w:rPr>
        <w:t>, and savings for ratepayers</w:t>
      </w:r>
      <w:r w:rsidRPr="00180028">
        <w:rPr>
          <w:rFonts w:ascii="Palatino Linotype" w:hAnsi="Palatino Linotype" w:eastAsia="Garamond" w:cs="Garamond"/>
          <w:sz w:val="24"/>
          <w:szCs w:val="24"/>
        </w:rPr>
        <w:t xml:space="preserve">.  </w:t>
      </w:r>
      <w:r w:rsidRPr="00180028" w:rsidR="00D92245">
        <w:rPr>
          <w:rFonts w:ascii="Palatino Linotype" w:hAnsi="Palatino Linotype" w:eastAsia="Garamond" w:cs="Garamond"/>
          <w:sz w:val="24"/>
          <w:szCs w:val="24"/>
        </w:rPr>
        <w:t>I</w:t>
      </w:r>
      <w:r w:rsidRPr="00180028">
        <w:rPr>
          <w:rFonts w:ascii="Palatino Linotype" w:hAnsi="Palatino Linotype" w:eastAsia="Garamond" w:cs="Garamond"/>
          <w:sz w:val="24"/>
          <w:szCs w:val="24"/>
        </w:rPr>
        <w:t>mportant lessons learned in th</w:t>
      </w:r>
      <w:r w:rsidRPr="00180028" w:rsidR="00D92245">
        <w:rPr>
          <w:rFonts w:ascii="Palatino Linotype" w:hAnsi="Palatino Linotype" w:eastAsia="Garamond" w:cs="Garamond"/>
          <w:sz w:val="24"/>
          <w:szCs w:val="24"/>
        </w:rPr>
        <w:t>e</w:t>
      </w:r>
      <w:r w:rsidRPr="00180028">
        <w:rPr>
          <w:rFonts w:ascii="Palatino Linotype" w:hAnsi="Palatino Linotype" w:eastAsia="Garamond" w:cs="Garamond"/>
          <w:sz w:val="24"/>
          <w:szCs w:val="24"/>
        </w:rPr>
        <w:t>se processes inform this R</w:t>
      </w:r>
      <w:r w:rsidRPr="00180028" w:rsidR="00151672">
        <w:rPr>
          <w:rFonts w:ascii="Palatino Linotype" w:hAnsi="Palatino Linotype" w:eastAsia="Garamond" w:cs="Garamond"/>
          <w:sz w:val="24"/>
          <w:szCs w:val="24"/>
        </w:rPr>
        <w:t>esolution</w:t>
      </w:r>
      <w:r w:rsidRPr="00180028">
        <w:rPr>
          <w:rFonts w:ascii="Palatino Linotype" w:hAnsi="Palatino Linotype" w:eastAsia="Garamond" w:cs="Garamond"/>
          <w:sz w:val="24"/>
          <w:szCs w:val="24"/>
        </w:rPr>
        <w:t>.</w:t>
      </w:r>
    </w:p>
    <w:p w:rsidRPr="00180028" w:rsidR="00312AE7" w:rsidP="00303CD4" w:rsidRDefault="00312AE7" w14:paraId="09F25981" w14:textId="77777777">
      <w:pPr>
        <w:keepNext/>
        <w:spacing w:before="240" w:after="120" w:line="23" w:lineRule="atLeast"/>
        <w:rPr>
          <w:rFonts w:ascii="Palatino Linotype" w:hAnsi="Palatino Linotype"/>
          <w:sz w:val="24"/>
          <w:szCs w:val="24"/>
          <w:u w:val="single"/>
        </w:rPr>
      </w:pPr>
      <w:r w:rsidRPr="00180028">
        <w:rPr>
          <w:rFonts w:ascii="Palatino Linotype" w:hAnsi="Palatino Linotype"/>
          <w:sz w:val="24"/>
          <w:szCs w:val="24"/>
          <w:u w:val="single"/>
        </w:rPr>
        <w:t>Escalation of Costs on Transmission Projects</w:t>
      </w:r>
    </w:p>
    <w:p w:rsidRPr="00180028" w:rsidR="00312AE7" w:rsidP="00303CD4" w:rsidRDefault="00312AE7" w14:paraId="31604FB4" w14:textId="77777777">
      <w:pPr>
        <w:keepNext/>
        <w:spacing w:line="23" w:lineRule="atLeast"/>
        <w:ind w:firstLine="720"/>
        <w:rPr>
          <w:rStyle w:val="Hyperlink"/>
          <w:rFonts w:ascii="Palatino Linotype" w:hAnsi="Palatino Linotype" w:eastAsia="Garamond"/>
          <w:sz w:val="24"/>
          <w:szCs w:val="24"/>
        </w:rPr>
      </w:pPr>
      <w:r w:rsidRPr="00180028">
        <w:rPr>
          <w:rFonts w:ascii="Palatino Linotype" w:hAnsi="Palatino Linotype"/>
          <w:sz w:val="24"/>
          <w:szCs w:val="24"/>
        </w:rPr>
        <w:t xml:space="preserve">In the last decade ratepayers have been impacted by the substantial escalation in electric transmission investment in the CAISO control area.  For every dollar added to a utility’s rate base, ratepayers pay that dollar multiple times over the life of a capital asset.  Since 2008, the three IOUs’ collective transmission rate base has increased by over 350% from $4.6 billion to over $21.0 billion. </w:t>
      </w:r>
      <w:r w:rsidRPr="00180028">
        <w:rPr>
          <w:rFonts w:ascii="Palatino Linotype" w:hAnsi="Palatino Linotype" w:eastAsia="Garamond" w:cs="Garamond"/>
          <w:sz w:val="24"/>
          <w:szCs w:val="24"/>
        </w:rPr>
        <w:t>Ratepayers are further disadvantaged by the fact that a majority of the projects receive no review by the CAISO or the Commission, and over the last three years Utility Self-Approved Projects have represented over 63% (</w:t>
      </w:r>
      <w:r w:rsidRPr="00180028">
        <w:rPr>
          <w:rFonts w:ascii="Palatino Linotype" w:hAnsi="Palatino Linotype" w:eastAsia="Garamond" w:cs="Garamond"/>
          <w:i/>
          <w:sz w:val="24"/>
          <w:szCs w:val="24"/>
        </w:rPr>
        <w:t>i.e.,</w:t>
      </w:r>
      <w:r w:rsidRPr="00180028">
        <w:rPr>
          <w:rFonts w:ascii="Palatino Linotype" w:hAnsi="Palatino Linotype" w:eastAsia="Garamond" w:cs="Garamond"/>
          <w:sz w:val="24"/>
          <w:szCs w:val="24"/>
        </w:rPr>
        <w:t xml:space="preserve"> $4.2 billion) of the $6.6 billion of capital additions to rate base. This escalation in transmission capital spending is having an increasing impact on consumers in TO rate cases at FERC, as reflected in the annual transmission revenue requirements, which have collectively increased by over 80% since 2016, from $3.1 billion to a forecast $5.6 billion in 2023.</w:t>
      </w:r>
      <w:r w:rsidRPr="00180028">
        <w:rPr>
          <w:rStyle w:val="Hyperlink"/>
          <w:rFonts w:ascii="Palatino Linotype" w:hAnsi="Palatino Linotype" w:eastAsia="Garamond" w:cs="Garamond"/>
          <w:sz w:val="24"/>
          <w:szCs w:val="24"/>
          <w:vertAlign w:val="superscript"/>
        </w:rPr>
        <w:t xml:space="preserve"> </w:t>
      </w:r>
    </w:p>
    <w:p w:rsidRPr="00180028" w:rsidR="00312AE7" w:rsidP="00180028" w:rsidRDefault="00312AE7" w14:paraId="56DE7BD0" w14:textId="78EFB8BE">
      <w:pPr>
        <w:spacing w:line="23" w:lineRule="atLeast"/>
        <w:ind w:firstLine="720"/>
        <w:rPr>
          <w:rFonts w:ascii="Palatino Linotype" w:hAnsi="Palatino Linotype" w:eastAsia="Garamond" w:cs="Garamond"/>
          <w:sz w:val="24"/>
          <w:szCs w:val="24"/>
        </w:rPr>
      </w:pPr>
      <w:r w:rsidRPr="00180028">
        <w:rPr>
          <w:rFonts w:ascii="Palatino Linotype" w:hAnsi="Palatino Linotype" w:eastAsia="Garamond" w:cs="Garamond"/>
          <w:sz w:val="24"/>
          <w:szCs w:val="24"/>
        </w:rPr>
        <w:t xml:space="preserve">While these costs already burden ratepayers, CAISO’s </w:t>
      </w:r>
      <w:r w:rsidRPr="00180028">
        <w:rPr>
          <w:rFonts w:ascii="Palatino Linotype" w:hAnsi="Palatino Linotype" w:eastAsia="Garamond" w:cs="Garamond"/>
          <w:i/>
          <w:iCs/>
          <w:sz w:val="24"/>
          <w:szCs w:val="24"/>
        </w:rPr>
        <w:t>20 Year Transmission Outlook</w:t>
      </w:r>
      <w:r w:rsidRPr="00180028">
        <w:rPr>
          <w:rFonts w:ascii="Palatino Linotype" w:hAnsi="Palatino Linotype" w:eastAsia="Garamond" w:cs="Garamond"/>
          <w:sz w:val="24"/>
          <w:szCs w:val="24"/>
        </w:rPr>
        <w:t xml:space="preserve"> provides added clarity on the importance of the Commission and </w:t>
      </w:r>
      <w:r w:rsidRPr="00180028" w:rsidR="00080050">
        <w:rPr>
          <w:rFonts w:ascii="Palatino Linotype" w:hAnsi="Palatino Linotype" w:eastAsia="Garamond" w:cs="Garamond"/>
          <w:sz w:val="24"/>
          <w:szCs w:val="24"/>
        </w:rPr>
        <w:t>S</w:t>
      </w:r>
      <w:r w:rsidRPr="00180028">
        <w:rPr>
          <w:rFonts w:ascii="Palatino Linotype" w:hAnsi="Palatino Linotype" w:eastAsia="Garamond" w:cs="Garamond"/>
          <w:sz w:val="24"/>
          <w:szCs w:val="24"/>
        </w:rPr>
        <w:t>takeholders having transparency of how projects are being planned, prioritized and implemented in the CAISO region. CAISO estimates that in the next 20 years, $30.5 billion of new transmission capacity will be needed to meet the state’s clean energy goals.  This is a massive expansion of the existing grid, and most of these costs will be recovered from ratepayers multiple times over the depreciable lives of these transmission assets.</w:t>
      </w:r>
    </w:p>
    <w:p w:rsidRPr="00180028" w:rsidR="00312AE7" w:rsidP="00180028" w:rsidRDefault="00312AE7" w14:paraId="3040C915" w14:textId="77777777">
      <w:pPr>
        <w:spacing w:line="23" w:lineRule="atLeast"/>
        <w:ind w:firstLine="720"/>
        <w:rPr>
          <w:rFonts w:ascii="Palatino Linotype" w:hAnsi="Palatino Linotype" w:eastAsia="Garamond" w:cs="Garamond"/>
          <w:sz w:val="24"/>
          <w:szCs w:val="24"/>
        </w:rPr>
      </w:pPr>
      <w:r w:rsidRPr="00180028">
        <w:rPr>
          <w:rFonts w:ascii="Palatino Linotype" w:hAnsi="Palatino Linotype" w:eastAsia="Garamond" w:cs="Garamond"/>
          <w:sz w:val="24"/>
          <w:szCs w:val="24"/>
        </w:rPr>
        <w:t>Furthermore, this $30.5 billion is the CAISO’s estimate for expanding just the high voltage (</w:t>
      </w:r>
      <w:r w:rsidRPr="00180028">
        <w:rPr>
          <w:rFonts w:ascii="Palatino Linotype" w:hAnsi="Palatino Linotype" w:eastAsia="Garamond" w:cs="Garamond"/>
          <w:i/>
          <w:iCs/>
          <w:sz w:val="24"/>
          <w:szCs w:val="24"/>
        </w:rPr>
        <w:t>i.e.</w:t>
      </w:r>
      <w:r w:rsidRPr="00180028">
        <w:rPr>
          <w:rFonts w:ascii="Palatino Linotype" w:hAnsi="Palatino Linotype" w:eastAsia="Garamond" w:cs="Garamond"/>
          <w:sz w:val="24"/>
          <w:szCs w:val="24"/>
        </w:rPr>
        <w:t xml:space="preserve">, greater than 200 kV) portion of the transmission grid.  While these capacity expansion projects should receive stakeholder review through the CAISO’s Transmission Planning Process, three important facts remain: </w:t>
      </w:r>
    </w:p>
    <w:p w:rsidRPr="00180028" w:rsidR="00312AE7" w:rsidP="00180028" w:rsidRDefault="00312AE7" w14:paraId="406F0165" w14:textId="77777777">
      <w:pPr>
        <w:spacing w:line="23" w:lineRule="atLeast"/>
        <w:ind w:firstLine="720"/>
        <w:rPr>
          <w:rFonts w:ascii="Palatino Linotype" w:hAnsi="Palatino Linotype" w:eastAsia="Garamond" w:cs="Garamond"/>
          <w:sz w:val="24"/>
          <w:szCs w:val="24"/>
        </w:rPr>
      </w:pPr>
      <w:r w:rsidRPr="00180028">
        <w:rPr>
          <w:rFonts w:ascii="Palatino Linotype" w:hAnsi="Palatino Linotype" w:eastAsia="Garamond" w:cs="Garamond"/>
          <w:sz w:val="24"/>
          <w:szCs w:val="24"/>
        </w:rPr>
        <w:t xml:space="preserve">First, as explained above, a majority of transmission projects are currently self-approved repair or replacement projects, the future costs of which would not be included in this $30.5 billion estimate.  Therefore, projects repairing or replacing assets already in today’s grid, and eventually repairing and replacing the infrastructure included in the 20 Year Outlook’s build-out, could be unreviewed and self-approved.  </w:t>
      </w:r>
    </w:p>
    <w:p w:rsidRPr="00180028" w:rsidR="00312AE7" w:rsidP="00180028" w:rsidRDefault="00312AE7" w14:paraId="7D956691" w14:textId="77777777">
      <w:pPr>
        <w:spacing w:line="23" w:lineRule="atLeast"/>
        <w:ind w:firstLine="720"/>
        <w:rPr>
          <w:rFonts w:ascii="Palatino Linotype" w:hAnsi="Palatino Linotype" w:eastAsia="Garamond" w:cs="Garamond"/>
          <w:sz w:val="24"/>
          <w:szCs w:val="24"/>
        </w:rPr>
      </w:pPr>
      <w:r w:rsidRPr="00180028">
        <w:rPr>
          <w:rFonts w:ascii="Palatino Linotype" w:hAnsi="Palatino Linotype" w:eastAsia="Garamond" w:cs="Garamond"/>
          <w:sz w:val="24"/>
          <w:szCs w:val="24"/>
        </w:rPr>
        <w:t xml:space="preserve">Second, aside from the continued billions of dollars spent on self-approved repair and replacement projects, approximately 40% of the costs to operate the current CAISO controlled transmission grid are for the portion of the transmission grid that operates below 200kV.  Therefore, capacity expansion that would likely be needed on these lower voltage lines is also not included in the CAISO’s $30.5 billion estimate. </w:t>
      </w:r>
    </w:p>
    <w:p w:rsidRPr="00180028" w:rsidR="00312AE7" w:rsidP="00180028" w:rsidRDefault="00312AE7" w14:paraId="678CB193" w14:textId="77777777">
      <w:pPr>
        <w:spacing w:line="23" w:lineRule="atLeast"/>
        <w:ind w:firstLine="720"/>
        <w:rPr>
          <w:rFonts w:ascii="Palatino Linotype" w:hAnsi="Palatino Linotype" w:eastAsia="Garamond" w:cs="Garamond"/>
          <w:sz w:val="24"/>
          <w:szCs w:val="24"/>
        </w:rPr>
      </w:pPr>
      <w:r w:rsidRPr="00180028">
        <w:rPr>
          <w:rFonts w:ascii="Palatino Linotype" w:hAnsi="Palatino Linotype" w:eastAsia="Garamond" w:cs="Garamond"/>
          <w:sz w:val="24"/>
          <w:szCs w:val="24"/>
        </w:rPr>
        <w:lastRenderedPageBreak/>
        <w:t>Because this $30.5 billion includes neither self-approved projects nor added capacity build-out of lower voltage transmission, efforts to encourage cost-effective and efficient investment are essential, and ensuring the Commission maintains its ability to exercise its oversight authority is imperative.</w:t>
      </w:r>
    </w:p>
    <w:p w:rsidRPr="00180028" w:rsidR="00312AE7" w:rsidP="00180028" w:rsidRDefault="00312AE7" w14:paraId="1408FB81" w14:textId="1B8539A2">
      <w:pPr>
        <w:spacing w:line="23" w:lineRule="atLeast"/>
        <w:rPr>
          <w:rFonts w:ascii="Palatino Linotype" w:hAnsi="Palatino Linotype" w:eastAsia="Garamond" w:cs="Garamond"/>
          <w:sz w:val="24"/>
          <w:szCs w:val="24"/>
          <w:u w:val="single"/>
        </w:rPr>
      </w:pPr>
      <w:r w:rsidRPr="00180028">
        <w:rPr>
          <w:rFonts w:ascii="Palatino Linotype" w:hAnsi="Palatino Linotype"/>
          <w:sz w:val="24"/>
          <w:szCs w:val="24"/>
        </w:rPr>
        <w:t xml:space="preserve">Finally, the TPR Process will provide important transparency and understanding of transmission investments before the utilities file for cost recovery at FERC.  While the TOs often reference intervenors’ ability, if needed, to challenge project costs in rate cases at FERC, the lack of transparency in the project planning stage has resulted in ratepayers learning about projects after they are determined or are being implemented – too late to evaluate their development or propose alternatives.  </w:t>
      </w:r>
    </w:p>
    <w:p w:rsidRPr="00180028" w:rsidR="00BD65C4" w:rsidP="00303CD4" w:rsidRDefault="00BD65C4" w14:paraId="34347943" w14:textId="6FAF908B">
      <w:pPr>
        <w:spacing w:before="240" w:after="120" w:line="23" w:lineRule="atLeast"/>
        <w:rPr>
          <w:rFonts w:ascii="Palatino Linotype" w:hAnsi="Palatino Linotype" w:eastAsia="Garamond" w:cs="Garamond"/>
          <w:sz w:val="24"/>
          <w:szCs w:val="24"/>
          <w:u w:val="single"/>
        </w:rPr>
      </w:pPr>
      <w:r w:rsidRPr="00180028">
        <w:rPr>
          <w:rFonts w:ascii="Palatino Linotype" w:hAnsi="Palatino Linotype" w:eastAsia="Garamond" w:cs="Garamond"/>
          <w:sz w:val="24"/>
          <w:szCs w:val="24"/>
          <w:u w:val="single"/>
        </w:rPr>
        <w:t>Network Upgrades Needed for Interconnection of Renewable Resources</w:t>
      </w:r>
    </w:p>
    <w:p w:rsidRPr="00180028" w:rsidR="00BD65C4" w:rsidP="00180028" w:rsidRDefault="00BD65C4" w14:paraId="5C1CC459" w14:textId="77777777">
      <w:pPr>
        <w:spacing w:line="23" w:lineRule="atLeast"/>
        <w:ind w:firstLine="720"/>
        <w:rPr>
          <w:rFonts w:ascii="Palatino Linotype" w:hAnsi="Palatino Linotype" w:eastAsia="Garamond" w:cs="Garamond"/>
          <w:sz w:val="24"/>
          <w:szCs w:val="24"/>
        </w:rPr>
      </w:pPr>
      <w:r w:rsidRPr="00180028">
        <w:rPr>
          <w:rFonts w:ascii="Palatino Linotype" w:hAnsi="Palatino Linotype" w:eastAsia="Garamond" w:cs="Garamond"/>
          <w:sz w:val="24"/>
          <w:szCs w:val="24"/>
        </w:rPr>
        <w:t xml:space="preserve">With the proliferation of renewable energy resources in California, the large build-out described in the CAISO’s </w:t>
      </w:r>
      <w:r w:rsidRPr="00180028">
        <w:rPr>
          <w:rFonts w:ascii="Palatino Linotype" w:hAnsi="Palatino Linotype" w:eastAsia="Garamond" w:cs="Garamond"/>
          <w:i/>
          <w:iCs/>
          <w:sz w:val="24"/>
          <w:szCs w:val="24"/>
        </w:rPr>
        <w:t>20 Year Transmission Outlook</w:t>
      </w:r>
      <w:r w:rsidRPr="00180028">
        <w:rPr>
          <w:rFonts w:ascii="Palatino Linotype" w:hAnsi="Palatino Linotype" w:eastAsia="Garamond" w:cs="Garamond"/>
          <w:sz w:val="24"/>
          <w:szCs w:val="24"/>
        </w:rPr>
        <w:t xml:space="preserve">, and the increasing need for interconnection-related transmission upgrades, renewable generators have a significant stake in the development of transmission projects.  </w:t>
      </w:r>
    </w:p>
    <w:p w:rsidRPr="00180028" w:rsidR="00BD65C4" w:rsidP="00180028" w:rsidRDefault="00BD65C4" w14:paraId="56A56F56" w14:textId="2474A33D">
      <w:pPr>
        <w:spacing w:line="23" w:lineRule="atLeast"/>
        <w:ind w:firstLine="720"/>
        <w:rPr>
          <w:rFonts w:ascii="Palatino Linotype" w:hAnsi="Palatino Linotype" w:eastAsia="Garamond" w:cs="Garamond"/>
          <w:sz w:val="24"/>
          <w:szCs w:val="24"/>
        </w:rPr>
      </w:pPr>
      <w:r w:rsidRPr="00180028">
        <w:rPr>
          <w:rFonts w:ascii="Palatino Linotype" w:hAnsi="Palatino Linotype" w:eastAsia="Garamond" w:cs="Garamond"/>
          <w:sz w:val="24"/>
          <w:szCs w:val="24"/>
        </w:rPr>
        <w:t xml:space="preserve">In 2006, the Commission implemented Assembly Bill 970 in Decision 06-09-003, which ordered all three IOUs to provide basic information on transmission projects related to generator interconnection projects (“AB 970 Reports”).  While SCE has integrated </w:t>
      </w:r>
      <w:r w:rsidRPr="00180028" w:rsidR="00DB4248">
        <w:rPr>
          <w:rFonts w:ascii="Palatino Linotype" w:hAnsi="Palatino Linotype" w:eastAsia="Garamond" w:cs="Garamond"/>
          <w:sz w:val="24"/>
          <w:szCs w:val="24"/>
        </w:rPr>
        <w:t>its</w:t>
      </w:r>
      <w:r w:rsidRPr="00180028">
        <w:rPr>
          <w:rFonts w:ascii="Palatino Linotype" w:hAnsi="Palatino Linotype" w:eastAsia="Garamond" w:cs="Garamond"/>
          <w:sz w:val="24"/>
          <w:szCs w:val="24"/>
        </w:rPr>
        <w:t xml:space="preserve"> AB 970 Report information into </w:t>
      </w:r>
      <w:r w:rsidRPr="00180028" w:rsidR="00DB4248">
        <w:rPr>
          <w:rFonts w:ascii="Palatino Linotype" w:hAnsi="Palatino Linotype" w:eastAsia="Garamond" w:cs="Garamond"/>
          <w:sz w:val="24"/>
          <w:szCs w:val="24"/>
        </w:rPr>
        <w:t>the</w:t>
      </w:r>
      <w:r w:rsidRPr="00180028">
        <w:rPr>
          <w:rFonts w:ascii="Palatino Linotype" w:hAnsi="Palatino Linotype" w:eastAsia="Garamond" w:cs="Garamond"/>
          <w:sz w:val="24"/>
          <w:szCs w:val="24"/>
        </w:rPr>
        <w:t xml:space="preserve"> SRP data, PG&amp;E has continued providing the more limited quarterly AB 970 Report </w:t>
      </w:r>
      <w:r w:rsidRPr="00180028" w:rsidR="00DB4248">
        <w:rPr>
          <w:rFonts w:ascii="Palatino Linotype" w:hAnsi="Palatino Linotype" w:eastAsia="Garamond" w:cs="Garamond"/>
          <w:sz w:val="24"/>
          <w:szCs w:val="24"/>
        </w:rPr>
        <w:t>in addition to</w:t>
      </w:r>
      <w:r w:rsidRPr="00180028">
        <w:rPr>
          <w:rFonts w:ascii="Palatino Linotype" w:hAnsi="Palatino Linotype" w:eastAsia="Garamond" w:cs="Garamond"/>
          <w:sz w:val="24"/>
          <w:szCs w:val="24"/>
        </w:rPr>
        <w:t xml:space="preserve"> the semi-annual STAR Process data.</w:t>
      </w:r>
    </w:p>
    <w:p w:rsidRPr="00180028" w:rsidR="00F178FB" w:rsidP="00180028" w:rsidRDefault="00BD65C4" w14:paraId="336F7267" w14:textId="1F8F4491">
      <w:pPr>
        <w:pStyle w:val="standard"/>
        <w:spacing w:line="23" w:lineRule="atLeast"/>
        <w:rPr>
          <w:rFonts w:ascii="Palatino Linotype" w:hAnsi="Palatino Linotype" w:eastAsia="Garamond" w:cs="Garamond"/>
          <w:sz w:val="24"/>
          <w:szCs w:val="24"/>
        </w:rPr>
      </w:pPr>
      <w:r w:rsidRPr="00180028">
        <w:rPr>
          <w:rFonts w:ascii="Palatino Linotype" w:hAnsi="Palatino Linotype" w:eastAsia="Garamond" w:cs="Garamond"/>
          <w:sz w:val="24"/>
          <w:szCs w:val="24"/>
        </w:rPr>
        <w:t>With the current and future development of renewable generation</w:t>
      </w:r>
      <w:r w:rsidRPr="00180028" w:rsidR="00DB4248">
        <w:rPr>
          <w:rFonts w:ascii="Palatino Linotype" w:hAnsi="Palatino Linotype" w:eastAsia="Garamond" w:cs="Garamond"/>
          <w:sz w:val="24"/>
          <w:szCs w:val="24"/>
        </w:rPr>
        <w:t>;</w:t>
      </w:r>
      <w:r w:rsidRPr="00180028">
        <w:rPr>
          <w:rFonts w:ascii="Palatino Linotype" w:hAnsi="Palatino Linotype" w:eastAsia="Garamond" w:cs="Garamond"/>
          <w:sz w:val="24"/>
          <w:szCs w:val="24"/>
        </w:rPr>
        <w:t xml:space="preserve"> the congestion of the CAISO’s generator interconnection queue</w:t>
      </w:r>
      <w:r w:rsidRPr="00180028" w:rsidR="00DB4248">
        <w:rPr>
          <w:rFonts w:ascii="Palatino Linotype" w:hAnsi="Palatino Linotype" w:eastAsia="Garamond" w:cs="Garamond"/>
          <w:sz w:val="24"/>
          <w:szCs w:val="24"/>
        </w:rPr>
        <w:t>;</w:t>
      </w:r>
      <w:r w:rsidRPr="00180028">
        <w:rPr>
          <w:rFonts w:ascii="Palatino Linotype" w:hAnsi="Palatino Linotype" w:eastAsia="Garamond" w:cs="Garamond"/>
          <w:sz w:val="24"/>
          <w:szCs w:val="24"/>
        </w:rPr>
        <w:t xml:space="preserve"> and the increasing numbers, costs, and complexity related to interconnection-related network upgrades, generators have expressed to the Commission that the AB 970 Reports fall short of the level of information needed on these network upgrades.  It is also clear that more careful coordination between interconnection-related upgrades and transmission projects approved in the CAISO’s Transmission Planning Process (“TPP”) is necessary to ensure the most </w:t>
      </w:r>
      <w:r w:rsidRPr="00180028" w:rsidR="00DB4248">
        <w:rPr>
          <w:rFonts w:ascii="Palatino Linotype" w:hAnsi="Palatino Linotype" w:eastAsia="Garamond" w:cs="Garamond"/>
          <w:sz w:val="24"/>
          <w:szCs w:val="24"/>
        </w:rPr>
        <w:t xml:space="preserve">efficient and </w:t>
      </w:r>
      <w:r w:rsidRPr="00180028">
        <w:rPr>
          <w:rFonts w:ascii="Palatino Linotype" w:hAnsi="Palatino Linotype" w:eastAsia="Garamond" w:cs="Garamond"/>
          <w:sz w:val="24"/>
          <w:szCs w:val="24"/>
        </w:rPr>
        <w:t xml:space="preserve">cost-effective solutions for the </w:t>
      </w:r>
      <w:r w:rsidRPr="00180028" w:rsidR="00DB4248">
        <w:rPr>
          <w:rFonts w:ascii="Palatino Linotype" w:hAnsi="Palatino Linotype" w:eastAsia="Garamond" w:cs="Garamond"/>
          <w:sz w:val="24"/>
          <w:szCs w:val="24"/>
        </w:rPr>
        <w:t>transmission</w:t>
      </w:r>
      <w:r w:rsidRPr="00180028">
        <w:rPr>
          <w:rFonts w:ascii="Palatino Linotype" w:hAnsi="Palatino Linotype" w:eastAsia="Garamond" w:cs="Garamond"/>
          <w:sz w:val="24"/>
          <w:szCs w:val="24"/>
        </w:rPr>
        <w:t xml:space="preserve"> grid.  Further, in the CAISO, unlike in other independent system operator (“ISO”) or regional transmission organization (“RTO”) areas of the country, the generators who trigger network upgrades are typically reimbursed in full for the </w:t>
      </w:r>
      <w:r w:rsidRPr="00180028" w:rsidR="00DB4248">
        <w:rPr>
          <w:rFonts w:ascii="Palatino Linotype" w:hAnsi="Palatino Linotype" w:eastAsia="Garamond" w:cs="Garamond"/>
          <w:sz w:val="24"/>
          <w:szCs w:val="24"/>
        </w:rPr>
        <w:t xml:space="preserve">costs of </w:t>
      </w:r>
      <w:r w:rsidRPr="00180028">
        <w:rPr>
          <w:rFonts w:ascii="Palatino Linotype" w:hAnsi="Palatino Linotype" w:eastAsia="Garamond" w:cs="Garamond"/>
          <w:sz w:val="24"/>
          <w:szCs w:val="24"/>
        </w:rPr>
        <w:t xml:space="preserve">network upgrades that they initially finance, with the full costs of the upgrades ultimately falling on ratepayers.  Therefore, it is important to both generators and ratepayers for the TPR to provide </w:t>
      </w:r>
      <w:r w:rsidRPr="00180028" w:rsidR="00080050">
        <w:rPr>
          <w:rFonts w:ascii="Palatino Linotype" w:hAnsi="Palatino Linotype" w:eastAsia="Garamond" w:cs="Garamond"/>
          <w:sz w:val="24"/>
          <w:szCs w:val="24"/>
        </w:rPr>
        <w:t>S</w:t>
      </w:r>
      <w:r w:rsidRPr="00180028">
        <w:rPr>
          <w:rFonts w:ascii="Palatino Linotype" w:hAnsi="Palatino Linotype" w:eastAsia="Garamond" w:cs="Garamond"/>
          <w:sz w:val="24"/>
          <w:szCs w:val="24"/>
        </w:rPr>
        <w:t>takeholders with transparency of transmission network upgrades.</w:t>
      </w:r>
    </w:p>
    <w:p w:rsidRPr="00180028" w:rsidR="00250229" w:rsidP="00303CD4" w:rsidRDefault="00250229" w14:paraId="62DF4878" w14:textId="371DBAB6">
      <w:pPr>
        <w:spacing w:before="240" w:after="240" w:line="23" w:lineRule="atLeast"/>
        <w:rPr>
          <w:rFonts w:ascii="Palatino Linotype" w:hAnsi="Palatino Linotype" w:eastAsia="Garamond" w:cs="Garamond"/>
          <w:sz w:val="24"/>
          <w:szCs w:val="24"/>
          <w:u w:val="single"/>
        </w:rPr>
      </w:pPr>
      <w:bookmarkStart w:name="_Hlk112788071" w:id="1"/>
      <w:r w:rsidRPr="00180028">
        <w:rPr>
          <w:rFonts w:ascii="Palatino Linotype" w:hAnsi="Palatino Linotype" w:eastAsia="Garamond" w:cs="Garamond"/>
          <w:sz w:val="24"/>
          <w:szCs w:val="24"/>
          <w:u w:val="single"/>
        </w:rPr>
        <w:t>Numerous Commission Programs and Proceedings Benefit from Robust Transmission Data.</w:t>
      </w:r>
    </w:p>
    <w:p w:rsidRPr="00180028" w:rsidR="00250229" w:rsidP="00180028" w:rsidRDefault="007846CC" w14:paraId="02ADDC0B" w14:textId="7838EEE1">
      <w:pPr>
        <w:pStyle w:val="standard"/>
        <w:spacing w:line="23" w:lineRule="atLeast"/>
        <w:rPr>
          <w:rFonts w:ascii="Palatino Linotype" w:hAnsi="Palatino Linotype" w:eastAsia="Garamond" w:cs="Garamond"/>
          <w:sz w:val="24"/>
          <w:szCs w:val="24"/>
        </w:rPr>
      </w:pPr>
      <w:r w:rsidRPr="00180028">
        <w:rPr>
          <w:rFonts w:ascii="Palatino Linotype" w:hAnsi="Palatino Linotype" w:eastAsia="Garamond" w:cs="Garamond"/>
          <w:sz w:val="24"/>
          <w:szCs w:val="24"/>
        </w:rPr>
        <w:lastRenderedPageBreak/>
        <w:t>T</w:t>
      </w:r>
      <w:r w:rsidRPr="00180028" w:rsidR="00AE0ADE">
        <w:rPr>
          <w:rFonts w:ascii="Palatino Linotype" w:hAnsi="Palatino Linotype" w:eastAsia="Garamond" w:cs="Garamond"/>
          <w:sz w:val="24"/>
          <w:szCs w:val="24"/>
        </w:rPr>
        <w:t xml:space="preserve">he TPR </w:t>
      </w:r>
      <w:r w:rsidRPr="00180028" w:rsidR="00B82669">
        <w:rPr>
          <w:rFonts w:ascii="Palatino Linotype" w:hAnsi="Palatino Linotype" w:eastAsia="Garamond" w:cs="Garamond"/>
          <w:sz w:val="24"/>
          <w:szCs w:val="24"/>
        </w:rPr>
        <w:t>will benefit</w:t>
      </w:r>
      <w:r w:rsidRPr="00180028" w:rsidR="00AE0ADE">
        <w:rPr>
          <w:rFonts w:ascii="Palatino Linotype" w:hAnsi="Palatino Linotype" w:eastAsia="Garamond" w:cs="Garamond"/>
          <w:sz w:val="24"/>
          <w:szCs w:val="24"/>
        </w:rPr>
        <w:t xml:space="preserve"> several </w:t>
      </w:r>
      <w:r w:rsidRPr="00180028" w:rsidR="003F1DA5">
        <w:rPr>
          <w:rFonts w:ascii="Palatino Linotype" w:hAnsi="Palatino Linotype" w:eastAsia="Garamond" w:cs="Garamond"/>
          <w:sz w:val="24"/>
          <w:szCs w:val="24"/>
        </w:rPr>
        <w:t>p</w:t>
      </w:r>
      <w:r w:rsidRPr="00180028" w:rsidR="00AE0ADE">
        <w:rPr>
          <w:rFonts w:ascii="Palatino Linotype" w:hAnsi="Palatino Linotype" w:eastAsia="Garamond" w:cs="Garamond"/>
          <w:sz w:val="24"/>
          <w:szCs w:val="24"/>
        </w:rPr>
        <w:t xml:space="preserve">rograms and proceedings </w:t>
      </w:r>
      <w:r w:rsidRPr="00180028" w:rsidR="003D4E7E">
        <w:rPr>
          <w:rFonts w:ascii="Palatino Linotype" w:hAnsi="Palatino Linotype" w:eastAsia="Garamond" w:cs="Garamond"/>
          <w:sz w:val="24"/>
          <w:szCs w:val="24"/>
        </w:rPr>
        <w:t>at the Commission.</w:t>
      </w:r>
    </w:p>
    <w:p w:rsidRPr="00180028" w:rsidR="00F334CB" w:rsidP="00180028" w:rsidRDefault="00F334CB" w14:paraId="0D769E79" w14:textId="77777777">
      <w:pPr>
        <w:pStyle w:val="standard"/>
        <w:spacing w:line="23" w:lineRule="atLeast"/>
        <w:ind w:firstLine="0"/>
        <w:rPr>
          <w:rFonts w:ascii="Palatino Linotype" w:hAnsi="Palatino Linotype" w:eastAsia="Garamond" w:cs="Garamond"/>
          <w:sz w:val="24"/>
          <w:szCs w:val="24"/>
        </w:rPr>
      </w:pPr>
    </w:p>
    <w:p w:rsidRPr="00180028" w:rsidR="003D4E7E" w:rsidP="00303CD4" w:rsidRDefault="003D4E7E" w14:paraId="0A11F447" w14:textId="6A44A36B">
      <w:pPr>
        <w:pStyle w:val="standard"/>
        <w:spacing w:before="240" w:after="120" w:line="23" w:lineRule="atLeast"/>
        <w:ind w:firstLine="0"/>
        <w:rPr>
          <w:rFonts w:ascii="Palatino Linotype" w:hAnsi="Palatino Linotype" w:eastAsia="Garamond" w:cs="Garamond"/>
          <w:sz w:val="24"/>
          <w:szCs w:val="24"/>
        </w:rPr>
      </w:pPr>
      <w:r w:rsidRPr="00180028">
        <w:rPr>
          <w:rFonts w:ascii="Palatino Linotype" w:hAnsi="Palatino Linotype" w:eastAsia="Garamond" w:cs="Garamond"/>
          <w:sz w:val="24"/>
          <w:szCs w:val="24"/>
        </w:rPr>
        <w:t>C</w:t>
      </w:r>
      <w:r w:rsidRPr="00180028" w:rsidR="003F1DA5">
        <w:rPr>
          <w:rFonts w:ascii="Palatino Linotype" w:hAnsi="Palatino Linotype" w:eastAsia="Garamond" w:cs="Garamond"/>
          <w:sz w:val="24"/>
          <w:szCs w:val="24"/>
        </w:rPr>
        <w:t>alifornia Environmental Quality Act</w:t>
      </w:r>
      <w:r w:rsidRPr="00180028" w:rsidR="006D1CDC">
        <w:rPr>
          <w:rFonts w:ascii="Palatino Linotype" w:hAnsi="Palatino Linotype" w:eastAsia="Garamond" w:cs="Garamond"/>
          <w:sz w:val="24"/>
          <w:szCs w:val="24"/>
        </w:rPr>
        <w:t xml:space="preserve"> </w:t>
      </w:r>
    </w:p>
    <w:p w:rsidRPr="00180028" w:rsidR="00B20A8F" w:rsidP="00180028" w:rsidRDefault="00B20A8F" w14:paraId="487D2C4E" w14:textId="0AE8FFA0">
      <w:pPr>
        <w:pStyle w:val="NormalWeb"/>
        <w:spacing w:line="23" w:lineRule="atLeast"/>
        <w:ind w:firstLine="720"/>
        <w:rPr>
          <w:rFonts w:ascii="Palatino Linotype" w:hAnsi="Palatino Linotype"/>
        </w:rPr>
      </w:pPr>
      <w:r w:rsidRPr="00180028">
        <w:rPr>
          <w:rFonts w:ascii="Palatino Linotype" w:hAnsi="Palatino Linotype"/>
        </w:rPr>
        <w:t>The Infrastructure Permitting and California Environmental Quality Act (</w:t>
      </w:r>
      <w:r w:rsidRPr="00180028" w:rsidR="00287CD2">
        <w:rPr>
          <w:rFonts w:ascii="Palatino Linotype" w:hAnsi="Palatino Linotype"/>
        </w:rPr>
        <w:t>“</w:t>
      </w:r>
      <w:r w:rsidRPr="00180028">
        <w:rPr>
          <w:rFonts w:ascii="Palatino Linotype" w:hAnsi="Palatino Linotype"/>
        </w:rPr>
        <w:t>CEQA</w:t>
      </w:r>
      <w:r w:rsidRPr="00180028" w:rsidR="00287CD2">
        <w:rPr>
          <w:rFonts w:ascii="Palatino Linotype" w:hAnsi="Palatino Linotype"/>
        </w:rPr>
        <w:t>”</w:t>
      </w:r>
      <w:r w:rsidRPr="00180028">
        <w:rPr>
          <w:rFonts w:ascii="Palatino Linotype" w:hAnsi="Palatino Linotype"/>
        </w:rPr>
        <w:t xml:space="preserve">) Section of the Energy Division conducts and manages environmental reviews of </w:t>
      </w:r>
      <w:r w:rsidRPr="00180028" w:rsidR="001829F0">
        <w:rPr>
          <w:rFonts w:ascii="Palatino Linotype" w:hAnsi="Palatino Linotype"/>
        </w:rPr>
        <w:t xml:space="preserve">transmission </w:t>
      </w:r>
      <w:r w:rsidRPr="00180028">
        <w:rPr>
          <w:rFonts w:ascii="Palatino Linotype" w:hAnsi="Palatino Linotype"/>
        </w:rPr>
        <w:t xml:space="preserve">infrastructure projects that are required to file for </w:t>
      </w:r>
      <w:r w:rsidRPr="00180028" w:rsidR="001829F0">
        <w:rPr>
          <w:rFonts w:ascii="Palatino Linotype" w:hAnsi="Palatino Linotype"/>
        </w:rPr>
        <w:t xml:space="preserve">either </w:t>
      </w:r>
      <w:r w:rsidRPr="00180028" w:rsidR="00737C95">
        <w:rPr>
          <w:rFonts w:ascii="Palatino Linotype" w:hAnsi="Palatino Linotype"/>
        </w:rPr>
        <w:t xml:space="preserve">a </w:t>
      </w:r>
      <w:r w:rsidRPr="00180028" w:rsidR="001829F0">
        <w:rPr>
          <w:rFonts w:ascii="Palatino Linotype" w:hAnsi="Palatino Linotype"/>
        </w:rPr>
        <w:t>Certific</w:t>
      </w:r>
      <w:r w:rsidRPr="00180028" w:rsidR="00737C95">
        <w:rPr>
          <w:rFonts w:ascii="Palatino Linotype" w:hAnsi="Palatino Linotype"/>
        </w:rPr>
        <w:t>a</w:t>
      </w:r>
      <w:r w:rsidRPr="00180028" w:rsidR="001829F0">
        <w:rPr>
          <w:rFonts w:ascii="Palatino Linotype" w:hAnsi="Palatino Linotype"/>
        </w:rPr>
        <w:t>te of Public Convenience and Necessity (</w:t>
      </w:r>
      <w:r w:rsidRPr="00180028" w:rsidR="00287CD2">
        <w:rPr>
          <w:rFonts w:ascii="Palatino Linotype" w:hAnsi="Palatino Linotype"/>
        </w:rPr>
        <w:t>“</w:t>
      </w:r>
      <w:r w:rsidRPr="00180028" w:rsidR="001829F0">
        <w:rPr>
          <w:rFonts w:ascii="Palatino Linotype" w:hAnsi="Palatino Linotype"/>
        </w:rPr>
        <w:t>CPCN</w:t>
      </w:r>
      <w:r w:rsidRPr="00180028" w:rsidR="00287CD2">
        <w:rPr>
          <w:rFonts w:ascii="Palatino Linotype" w:hAnsi="Palatino Linotype"/>
        </w:rPr>
        <w:t>”</w:t>
      </w:r>
      <w:r w:rsidRPr="00180028" w:rsidR="001829F0">
        <w:rPr>
          <w:rFonts w:ascii="Palatino Linotype" w:hAnsi="Palatino Linotype"/>
        </w:rPr>
        <w:t>) or a Permit to Construct (</w:t>
      </w:r>
      <w:r w:rsidRPr="00180028" w:rsidR="00287CD2">
        <w:rPr>
          <w:rFonts w:ascii="Palatino Linotype" w:hAnsi="Palatino Linotype"/>
        </w:rPr>
        <w:t>“</w:t>
      </w:r>
      <w:r w:rsidRPr="00180028" w:rsidR="001829F0">
        <w:rPr>
          <w:rFonts w:ascii="Palatino Linotype" w:hAnsi="Palatino Linotype"/>
        </w:rPr>
        <w:t>PTC</w:t>
      </w:r>
      <w:r w:rsidRPr="00180028" w:rsidR="00287CD2">
        <w:rPr>
          <w:rFonts w:ascii="Palatino Linotype" w:hAnsi="Palatino Linotype"/>
        </w:rPr>
        <w:t>”</w:t>
      </w:r>
      <w:r w:rsidRPr="00180028" w:rsidR="001829F0">
        <w:rPr>
          <w:rFonts w:ascii="Palatino Linotype" w:hAnsi="Palatino Linotype"/>
        </w:rPr>
        <w:t>)</w:t>
      </w:r>
      <w:r w:rsidRPr="00180028">
        <w:rPr>
          <w:rFonts w:ascii="Palatino Linotype" w:hAnsi="Palatino Linotype"/>
        </w:rPr>
        <w:t xml:space="preserve"> </w:t>
      </w:r>
      <w:r w:rsidRPr="00180028" w:rsidR="00737C95">
        <w:rPr>
          <w:rFonts w:ascii="Palatino Linotype" w:hAnsi="Palatino Linotype"/>
        </w:rPr>
        <w:t>(</w:t>
      </w:r>
      <w:r w:rsidRPr="00180028" w:rsidR="00FB6667">
        <w:rPr>
          <w:rFonts w:ascii="Palatino Linotype" w:hAnsi="Palatino Linotype"/>
        </w:rPr>
        <w:t>collectively “</w:t>
      </w:r>
      <w:r w:rsidRPr="00180028" w:rsidR="00737C95">
        <w:rPr>
          <w:rFonts w:ascii="Palatino Linotype" w:hAnsi="Palatino Linotype"/>
        </w:rPr>
        <w:t>Permits</w:t>
      </w:r>
      <w:r w:rsidRPr="00180028" w:rsidR="00FB6667">
        <w:rPr>
          <w:rFonts w:ascii="Palatino Linotype" w:hAnsi="Palatino Linotype"/>
        </w:rPr>
        <w:t>”</w:t>
      </w:r>
      <w:r w:rsidRPr="00180028" w:rsidR="00737C95">
        <w:rPr>
          <w:rFonts w:ascii="Palatino Linotype" w:hAnsi="Palatino Linotype"/>
        </w:rPr>
        <w:t xml:space="preserve">) </w:t>
      </w:r>
      <w:r w:rsidRPr="00180028">
        <w:rPr>
          <w:rFonts w:ascii="Palatino Linotype" w:hAnsi="Palatino Linotype"/>
        </w:rPr>
        <w:t>at the CPUC.</w:t>
      </w:r>
    </w:p>
    <w:p w:rsidRPr="00180028" w:rsidR="00BC267F" w:rsidP="00180028" w:rsidRDefault="00B20A8F" w14:paraId="1E86788C" w14:textId="05FF89F8">
      <w:pPr>
        <w:pStyle w:val="standard"/>
        <w:spacing w:line="23" w:lineRule="atLeast"/>
        <w:rPr>
          <w:rFonts w:ascii="Palatino Linotype" w:hAnsi="Palatino Linotype" w:eastAsia="Garamond" w:cs="Garamond"/>
          <w:sz w:val="24"/>
          <w:szCs w:val="24"/>
        </w:rPr>
      </w:pPr>
      <w:r w:rsidRPr="00180028">
        <w:rPr>
          <w:rFonts w:ascii="Palatino Linotype" w:hAnsi="Palatino Linotype"/>
          <w:sz w:val="24"/>
          <w:szCs w:val="24"/>
        </w:rPr>
        <w:t xml:space="preserve">Investor-owned utilities are required to obtain a permit from the CPUC for construction of certain specified infrastructure listed under Public Utilities </w:t>
      </w:r>
      <w:r w:rsidRPr="00180028" w:rsidR="001829F0">
        <w:rPr>
          <w:rFonts w:ascii="Palatino Linotype" w:hAnsi="Palatino Linotype"/>
          <w:sz w:val="24"/>
          <w:szCs w:val="24"/>
        </w:rPr>
        <w:t>(</w:t>
      </w:r>
      <w:r w:rsidRPr="00180028" w:rsidR="007942B9">
        <w:rPr>
          <w:rFonts w:ascii="Palatino Linotype" w:hAnsi="Palatino Linotype"/>
          <w:sz w:val="24"/>
          <w:szCs w:val="24"/>
        </w:rPr>
        <w:t>“</w:t>
      </w:r>
      <w:r w:rsidRPr="00180028" w:rsidR="001829F0">
        <w:rPr>
          <w:rFonts w:ascii="Palatino Linotype" w:hAnsi="Palatino Linotype"/>
          <w:sz w:val="24"/>
          <w:szCs w:val="24"/>
        </w:rPr>
        <w:t>PU</w:t>
      </w:r>
      <w:r w:rsidRPr="00180028" w:rsidR="007942B9">
        <w:rPr>
          <w:rFonts w:ascii="Palatino Linotype" w:hAnsi="Palatino Linotype"/>
          <w:sz w:val="24"/>
          <w:szCs w:val="24"/>
        </w:rPr>
        <w:t>”</w:t>
      </w:r>
      <w:r w:rsidRPr="00180028" w:rsidR="001829F0">
        <w:rPr>
          <w:rFonts w:ascii="Palatino Linotype" w:hAnsi="Palatino Linotype"/>
          <w:sz w:val="24"/>
          <w:szCs w:val="24"/>
        </w:rPr>
        <w:t xml:space="preserve">) </w:t>
      </w:r>
      <w:r w:rsidRPr="00180028">
        <w:rPr>
          <w:rFonts w:ascii="Palatino Linotype" w:hAnsi="Palatino Linotype"/>
          <w:sz w:val="24"/>
          <w:szCs w:val="24"/>
        </w:rPr>
        <w:t>Code section</w:t>
      </w:r>
      <w:r w:rsidRPr="00180028" w:rsidR="00FB6667">
        <w:rPr>
          <w:rFonts w:ascii="Palatino Linotype" w:hAnsi="Palatino Linotype"/>
          <w:sz w:val="24"/>
          <w:szCs w:val="24"/>
        </w:rPr>
        <w:t>s</w:t>
      </w:r>
      <w:r w:rsidRPr="00180028">
        <w:rPr>
          <w:rFonts w:ascii="Palatino Linotype" w:hAnsi="Palatino Linotype"/>
          <w:sz w:val="24"/>
          <w:szCs w:val="24"/>
        </w:rPr>
        <w:t xml:space="preserve"> 1001</w:t>
      </w:r>
      <w:r w:rsidRPr="00180028" w:rsidR="00FB6667">
        <w:rPr>
          <w:rFonts w:ascii="Palatino Linotype" w:hAnsi="Palatino Linotype"/>
          <w:sz w:val="24"/>
          <w:szCs w:val="24"/>
        </w:rPr>
        <w:t xml:space="preserve"> et seq</w:t>
      </w:r>
      <w:r w:rsidRPr="00180028">
        <w:rPr>
          <w:rFonts w:ascii="Palatino Linotype" w:hAnsi="Palatino Linotype"/>
          <w:sz w:val="24"/>
          <w:szCs w:val="24"/>
        </w:rPr>
        <w:t>. The CPUC reviews permit applications under two concurrent processes: (1) an environmental review pursuant to CEQA</w:t>
      </w:r>
      <w:r w:rsidRPr="00180028" w:rsidR="00737C95">
        <w:rPr>
          <w:rFonts w:ascii="Palatino Linotype" w:hAnsi="Palatino Linotype"/>
          <w:sz w:val="24"/>
          <w:szCs w:val="24"/>
        </w:rPr>
        <w:t xml:space="preserve"> for both CPCNs and PTCs</w:t>
      </w:r>
      <w:r w:rsidRPr="00180028">
        <w:rPr>
          <w:rFonts w:ascii="Palatino Linotype" w:hAnsi="Palatino Linotype"/>
          <w:sz w:val="24"/>
          <w:szCs w:val="24"/>
        </w:rPr>
        <w:t xml:space="preserve">, and (2) the review of project need and costs </w:t>
      </w:r>
      <w:r w:rsidRPr="00180028" w:rsidR="00737C95">
        <w:rPr>
          <w:rFonts w:ascii="Palatino Linotype" w:hAnsi="Palatino Linotype"/>
          <w:sz w:val="24"/>
          <w:szCs w:val="24"/>
        </w:rPr>
        <w:t xml:space="preserve">for CPCNs </w:t>
      </w:r>
      <w:r w:rsidRPr="00180028">
        <w:rPr>
          <w:rFonts w:ascii="Palatino Linotype" w:hAnsi="Palatino Linotype"/>
          <w:sz w:val="24"/>
          <w:szCs w:val="24"/>
        </w:rPr>
        <w:t xml:space="preserve">pursuant to PU Code sections 1001 et seq. and General Order 131-D </w:t>
      </w:r>
      <w:r w:rsidRPr="00180028" w:rsidR="00737C95">
        <w:rPr>
          <w:rFonts w:ascii="Palatino Linotype" w:hAnsi="Palatino Linotype"/>
          <w:sz w:val="24"/>
          <w:szCs w:val="24"/>
        </w:rPr>
        <w:t>for CPCNs and PTCs</w:t>
      </w:r>
      <w:r w:rsidRPr="00180028">
        <w:rPr>
          <w:rFonts w:ascii="Palatino Linotype" w:hAnsi="Palatino Linotype"/>
          <w:sz w:val="24"/>
          <w:szCs w:val="24"/>
        </w:rPr>
        <w:t>.</w:t>
      </w:r>
    </w:p>
    <w:p w:rsidRPr="00180028" w:rsidR="00102E88" w:rsidP="00303CD4" w:rsidRDefault="00BC267F" w14:paraId="55D31D24" w14:textId="6B489573">
      <w:pPr>
        <w:pStyle w:val="standard"/>
        <w:spacing w:before="240" w:after="120" w:line="23" w:lineRule="atLeast"/>
        <w:ind w:firstLine="0"/>
        <w:rPr>
          <w:rFonts w:ascii="Palatino Linotype" w:hAnsi="Palatino Linotype"/>
          <w:sz w:val="24"/>
          <w:szCs w:val="24"/>
        </w:rPr>
      </w:pPr>
      <w:r w:rsidRPr="00180028">
        <w:rPr>
          <w:rFonts w:ascii="Palatino Linotype" w:hAnsi="Palatino Linotype"/>
          <w:sz w:val="24"/>
          <w:szCs w:val="24"/>
        </w:rPr>
        <w:t>PU Code Section 1002.3</w:t>
      </w:r>
      <w:r w:rsidRPr="00180028" w:rsidR="00EF7D87">
        <w:rPr>
          <w:rFonts w:ascii="Palatino Linotype" w:hAnsi="Palatino Linotype"/>
          <w:sz w:val="24"/>
          <w:szCs w:val="24"/>
        </w:rPr>
        <w:t xml:space="preserve"> states</w:t>
      </w:r>
      <w:r w:rsidRPr="00180028" w:rsidR="00D457F3">
        <w:rPr>
          <w:rFonts w:ascii="Palatino Linotype" w:hAnsi="Palatino Linotype"/>
          <w:sz w:val="24"/>
          <w:szCs w:val="24"/>
        </w:rPr>
        <w:t>:</w:t>
      </w:r>
      <w:r w:rsidRPr="00180028">
        <w:rPr>
          <w:rFonts w:ascii="Palatino Linotype" w:hAnsi="Palatino Linotype"/>
          <w:sz w:val="24"/>
          <w:szCs w:val="24"/>
        </w:rPr>
        <w:t xml:space="preserve"> </w:t>
      </w:r>
    </w:p>
    <w:p w:rsidRPr="00180028" w:rsidR="00B20A8F" w:rsidP="00180028" w:rsidRDefault="00BC267F" w14:paraId="58A52493" w14:textId="5EE770E2">
      <w:pPr>
        <w:pStyle w:val="standard"/>
        <w:spacing w:line="23" w:lineRule="atLeast"/>
        <w:ind w:left="720" w:right="720" w:firstLine="0"/>
        <w:rPr>
          <w:rFonts w:ascii="Palatino Linotype" w:hAnsi="Palatino Linotype"/>
          <w:sz w:val="24"/>
          <w:szCs w:val="24"/>
        </w:rPr>
      </w:pPr>
      <w:r w:rsidRPr="00180028">
        <w:rPr>
          <w:rFonts w:ascii="Palatino Linotype" w:hAnsi="Palatino Linotype"/>
          <w:sz w:val="24"/>
          <w:szCs w:val="24"/>
        </w:rPr>
        <w:t>In considering an application for a certificate for an electric transmission facility…, the commission shall consider cost-effective alternatives to transmission facilities that meet the need for an efficient, reliable, and affordable supply of electricity, including, but not limited to, demand-side alternatives such as targeted energy efficiency, ultraclean distributed generation, … and other demand reduction resources.</w:t>
      </w:r>
    </w:p>
    <w:p w:rsidRPr="00180028" w:rsidR="00102E88" w:rsidP="00180028" w:rsidRDefault="00102E88" w14:paraId="6FE2786C" w14:textId="77777777">
      <w:pPr>
        <w:pStyle w:val="standard"/>
        <w:spacing w:line="23" w:lineRule="atLeast"/>
        <w:ind w:left="720" w:right="720" w:firstLine="0"/>
        <w:rPr>
          <w:rFonts w:ascii="Palatino Linotype" w:hAnsi="Palatino Linotype"/>
          <w:sz w:val="24"/>
          <w:szCs w:val="24"/>
        </w:rPr>
      </w:pPr>
    </w:p>
    <w:p w:rsidRPr="00180028" w:rsidR="00D457F3" w:rsidP="00303CD4" w:rsidRDefault="00102E88" w14:paraId="614AC56B" w14:textId="77777777">
      <w:pPr>
        <w:pStyle w:val="standard"/>
        <w:spacing w:after="120" w:line="23" w:lineRule="atLeast"/>
        <w:ind w:firstLine="0"/>
        <w:rPr>
          <w:rFonts w:ascii="Palatino Linotype" w:hAnsi="Palatino Linotype" w:eastAsia="Garamond" w:cs="Garamond"/>
          <w:sz w:val="24"/>
          <w:szCs w:val="24"/>
        </w:rPr>
      </w:pPr>
      <w:r w:rsidRPr="00180028">
        <w:rPr>
          <w:rFonts w:ascii="Palatino Linotype" w:hAnsi="Palatino Linotype" w:eastAsia="Garamond" w:cs="Garamond"/>
          <w:sz w:val="24"/>
          <w:szCs w:val="24"/>
        </w:rPr>
        <w:t xml:space="preserve">PU Code Section </w:t>
      </w:r>
      <w:r w:rsidRPr="00180028" w:rsidR="003F4C8F">
        <w:rPr>
          <w:rFonts w:ascii="Palatino Linotype" w:hAnsi="Palatino Linotype" w:eastAsia="Garamond" w:cs="Garamond"/>
          <w:sz w:val="24"/>
          <w:szCs w:val="24"/>
        </w:rPr>
        <w:t>1005.5(a)</w:t>
      </w:r>
      <w:r w:rsidRPr="00180028" w:rsidR="00EF7D87">
        <w:rPr>
          <w:rFonts w:ascii="Palatino Linotype" w:hAnsi="Palatino Linotype" w:eastAsia="Garamond" w:cs="Garamond"/>
          <w:sz w:val="24"/>
          <w:szCs w:val="24"/>
        </w:rPr>
        <w:t xml:space="preserve"> continues</w:t>
      </w:r>
      <w:r w:rsidRPr="00180028" w:rsidR="003F4C8F">
        <w:rPr>
          <w:rFonts w:ascii="Palatino Linotype" w:hAnsi="Palatino Linotype" w:eastAsia="Garamond" w:cs="Garamond"/>
          <w:sz w:val="24"/>
          <w:szCs w:val="24"/>
        </w:rPr>
        <w:t xml:space="preserve">: </w:t>
      </w:r>
    </w:p>
    <w:p w:rsidRPr="00180028" w:rsidR="00BD372C" w:rsidP="00180028" w:rsidRDefault="003F4C8F" w14:paraId="6BE8034B" w14:textId="4DB0BBF5">
      <w:pPr>
        <w:pStyle w:val="standard"/>
        <w:spacing w:line="23" w:lineRule="atLeast"/>
        <w:ind w:left="720" w:right="720" w:firstLine="0"/>
        <w:rPr>
          <w:rFonts w:ascii="Palatino Linotype" w:hAnsi="Palatino Linotype"/>
          <w:sz w:val="24"/>
          <w:szCs w:val="24"/>
        </w:rPr>
      </w:pPr>
      <w:r w:rsidRPr="00180028">
        <w:rPr>
          <w:rFonts w:ascii="Palatino Linotype" w:hAnsi="Palatino Linotype"/>
          <w:sz w:val="24"/>
          <w:szCs w:val="24"/>
        </w:rPr>
        <w:t>Whenever the commission issues to an electrical … corporation a certificate authorizing the new construction of any addition to or extension of the corporation’s plant estimated to cost greater than fifty million dollars ($50,000,000), the commission shall specify in the certificate a maximum cost determined to be reasonable and prudent for the facility.</w:t>
      </w:r>
    </w:p>
    <w:p w:rsidRPr="00180028" w:rsidR="00D457F3" w:rsidP="00180028" w:rsidRDefault="00D457F3" w14:paraId="5BBA6A52" w14:textId="77777777">
      <w:pPr>
        <w:pStyle w:val="standard"/>
        <w:spacing w:line="23" w:lineRule="atLeast"/>
        <w:ind w:left="720" w:right="720" w:firstLine="0"/>
        <w:rPr>
          <w:rFonts w:ascii="Palatino Linotype" w:hAnsi="Palatino Linotype"/>
          <w:sz w:val="24"/>
          <w:szCs w:val="24"/>
        </w:rPr>
      </w:pPr>
    </w:p>
    <w:p w:rsidRPr="00180028" w:rsidR="00A2542A" w:rsidP="00180028" w:rsidRDefault="00A2542A" w14:paraId="53057A80" w14:textId="29CDE4F0">
      <w:pPr>
        <w:pStyle w:val="standard"/>
        <w:spacing w:line="23" w:lineRule="atLeast"/>
        <w:rPr>
          <w:rFonts w:ascii="Palatino Linotype" w:hAnsi="Palatino Linotype"/>
          <w:sz w:val="24"/>
          <w:szCs w:val="24"/>
        </w:rPr>
      </w:pPr>
      <w:r w:rsidRPr="00180028">
        <w:rPr>
          <w:rFonts w:ascii="Palatino Linotype" w:hAnsi="Palatino Linotype"/>
          <w:sz w:val="24"/>
          <w:szCs w:val="24"/>
        </w:rPr>
        <w:t>The extensive data on past, current and future transmission projects provided in the TPR Process will contribute significantly to the requirements for determining the cost and need of a project in these CPUC permitting proceedings, and to the environmental review performed by the CEQA Section.</w:t>
      </w:r>
    </w:p>
    <w:bookmarkEnd w:id="1"/>
    <w:p w:rsidRPr="00180028" w:rsidR="00BD372C" w:rsidP="00180028" w:rsidRDefault="00BD372C" w14:paraId="4B531D6C" w14:textId="77777777">
      <w:pPr>
        <w:pStyle w:val="standard"/>
        <w:spacing w:line="23" w:lineRule="atLeast"/>
        <w:ind w:firstLine="0"/>
        <w:rPr>
          <w:rFonts w:ascii="Palatino Linotype" w:hAnsi="Palatino Linotype" w:eastAsia="Garamond" w:cs="Garamond"/>
          <w:sz w:val="24"/>
          <w:szCs w:val="24"/>
        </w:rPr>
      </w:pPr>
    </w:p>
    <w:p w:rsidRPr="00180028" w:rsidR="003D4E7E" w:rsidP="00303CD4" w:rsidRDefault="003D4E7E" w14:paraId="4BD62682" w14:textId="4FC82FD9">
      <w:pPr>
        <w:pStyle w:val="standard"/>
        <w:spacing w:before="240" w:after="120" w:line="23" w:lineRule="atLeast"/>
        <w:ind w:firstLine="0"/>
        <w:rPr>
          <w:rFonts w:ascii="Palatino Linotype" w:hAnsi="Palatino Linotype" w:eastAsia="Garamond" w:cs="Garamond"/>
          <w:sz w:val="24"/>
          <w:szCs w:val="24"/>
        </w:rPr>
      </w:pPr>
      <w:bookmarkStart w:name="_Hlk112826222" w:id="2"/>
      <w:r w:rsidRPr="00180028">
        <w:rPr>
          <w:rFonts w:ascii="Palatino Linotype" w:hAnsi="Palatino Linotype" w:eastAsia="Garamond" w:cs="Garamond"/>
          <w:sz w:val="24"/>
          <w:szCs w:val="24"/>
        </w:rPr>
        <w:t>I</w:t>
      </w:r>
      <w:r w:rsidRPr="00180028" w:rsidR="00EF7D87">
        <w:rPr>
          <w:rFonts w:ascii="Palatino Linotype" w:hAnsi="Palatino Linotype" w:eastAsia="Garamond" w:cs="Garamond"/>
          <w:sz w:val="24"/>
          <w:szCs w:val="24"/>
        </w:rPr>
        <w:t xml:space="preserve">ntegrated Resource </w:t>
      </w:r>
      <w:r w:rsidRPr="00180028">
        <w:rPr>
          <w:rFonts w:ascii="Palatino Linotype" w:hAnsi="Palatino Linotype" w:eastAsia="Garamond" w:cs="Garamond"/>
          <w:sz w:val="24"/>
          <w:szCs w:val="24"/>
        </w:rPr>
        <w:t>P</w:t>
      </w:r>
      <w:r w:rsidRPr="00180028" w:rsidR="00EF7D87">
        <w:rPr>
          <w:rFonts w:ascii="Palatino Linotype" w:hAnsi="Palatino Linotype" w:eastAsia="Garamond" w:cs="Garamond"/>
          <w:sz w:val="24"/>
          <w:szCs w:val="24"/>
        </w:rPr>
        <w:t>lanning</w:t>
      </w:r>
      <w:r w:rsidRPr="00180028" w:rsidR="006D1CDC">
        <w:rPr>
          <w:rFonts w:ascii="Palatino Linotype" w:hAnsi="Palatino Linotype" w:eastAsia="Garamond" w:cs="Garamond"/>
          <w:sz w:val="24"/>
          <w:szCs w:val="24"/>
        </w:rPr>
        <w:t xml:space="preserve"> </w:t>
      </w:r>
    </w:p>
    <w:bookmarkEnd w:id="2"/>
    <w:p w:rsidRPr="00180028" w:rsidR="00BC470F" w:rsidP="00180028" w:rsidRDefault="00BC470F" w14:paraId="2AEA4BA2" w14:textId="01809A35">
      <w:pPr>
        <w:pStyle w:val="standard"/>
        <w:spacing w:line="23" w:lineRule="atLeast"/>
        <w:ind w:firstLine="0"/>
        <w:rPr>
          <w:rFonts w:ascii="Palatino Linotype" w:hAnsi="Palatino Linotype"/>
          <w:sz w:val="24"/>
          <w:szCs w:val="24"/>
        </w:rPr>
      </w:pPr>
      <w:r w:rsidRPr="00180028">
        <w:rPr>
          <w:rFonts w:ascii="Palatino Linotype" w:hAnsi="Palatino Linotype"/>
          <w:sz w:val="24"/>
          <w:szCs w:val="24"/>
        </w:rPr>
        <w:lastRenderedPageBreak/>
        <w:t>The Integrated Resource Planning (</w:t>
      </w:r>
      <w:r w:rsidRPr="00180028" w:rsidR="00764CE9">
        <w:rPr>
          <w:rFonts w:ascii="Palatino Linotype" w:hAnsi="Palatino Linotype"/>
          <w:sz w:val="24"/>
          <w:szCs w:val="24"/>
        </w:rPr>
        <w:t>“</w:t>
      </w:r>
      <w:r w:rsidRPr="00180028">
        <w:rPr>
          <w:rFonts w:ascii="Palatino Linotype" w:hAnsi="Palatino Linotype"/>
          <w:sz w:val="24"/>
          <w:szCs w:val="24"/>
        </w:rPr>
        <w:t>IRP</w:t>
      </w:r>
      <w:r w:rsidRPr="00180028" w:rsidR="00764CE9">
        <w:rPr>
          <w:rFonts w:ascii="Palatino Linotype" w:hAnsi="Palatino Linotype"/>
          <w:sz w:val="24"/>
          <w:szCs w:val="24"/>
        </w:rPr>
        <w:t>”</w:t>
      </w:r>
      <w:r w:rsidRPr="00180028">
        <w:rPr>
          <w:rFonts w:ascii="Palatino Linotype" w:hAnsi="Palatino Linotype"/>
          <w:sz w:val="24"/>
          <w:szCs w:val="24"/>
        </w:rPr>
        <w:t>) proceeding considers all of the Commission’s electric procurement policies and programs and ensures California has a safe, reliable, and cost-effective electricity supply that meets the State’s greenhouse gas reduction goals.  To evaluate need, IRP takes a 10-year-ahead look at the electricity system, also looking out to 2045.</w:t>
      </w:r>
    </w:p>
    <w:p w:rsidRPr="00180028" w:rsidR="00C242D1" w:rsidP="00180028" w:rsidRDefault="00BC470F" w14:paraId="69EDA59C" w14:textId="384C3534">
      <w:pPr>
        <w:pStyle w:val="standard"/>
        <w:spacing w:line="23" w:lineRule="atLeast"/>
        <w:ind w:firstLine="360"/>
        <w:rPr>
          <w:rFonts w:ascii="Palatino Linotype" w:hAnsi="Palatino Linotype" w:eastAsia="Garamond" w:cs="Garamond"/>
          <w:sz w:val="24"/>
          <w:szCs w:val="24"/>
        </w:rPr>
      </w:pPr>
      <w:r w:rsidRPr="00180028">
        <w:rPr>
          <w:rFonts w:ascii="Palatino Linotype" w:hAnsi="Palatino Linotype"/>
          <w:sz w:val="24"/>
          <w:szCs w:val="24"/>
        </w:rPr>
        <w:t xml:space="preserve">The assumptions used in the IRP’s analyses are developed each IRP cycle with stakeholder involvement.  Coordination with the Energy Commission and the California Independent System Operator is done according to an interagency agreement, particularly regarding the demand forecast assumptions to use in planning. The assumptions are updated regularly to incorporate changes in the resource mix and revisions to </w:t>
      </w:r>
      <w:r w:rsidRPr="00180028" w:rsidR="00B009E9">
        <w:rPr>
          <w:rFonts w:ascii="Palatino Linotype" w:hAnsi="Palatino Linotype"/>
          <w:sz w:val="24"/>
          <w:szCs w:val="24"/>
        </w:rPr>
        <w:t>s</w:t>
      </w:r>
      <w:r w:rsidRPr="00180028">
        <w:rPr>
          <w:rFonts w:ascii="Palatino Linotype" w:hAnsi="Palatino Linotype"/>
          <w:sz w:val="24"/>
          <w:szCs w:val="24"/>
        </w:rPr>
        <w:t>tate policies, like resource costs, potential, and operations.  Just as IRP includes regular stakeholder input, the TPR will provide the continued opportunity for the CPUC and other Stakeholders to receive data and ask questions regarding transmission projects needed to realize the desired outcomes in the IRP Proceeding.</w:t>
      </w:r>
    </w:p>
    <w:p w:rsidRPr="00180028" w:rsidR="008137EE" w:rsidP="00180028" w:rsidRDefault="008137EE" w14:paraId="7CBF959C" w14:textId="77777777">
      <w:pPr>
        <w:pStyle w:val="standard"/>
        <w:spacing w:line="23" w:lineRule="atLeast"/>
        <w:ind w:firstLine="0"/>
        <w:rPr>
          <w:rFonts w:ascii="Palatino Linotype" w:hAnsi="Palatino Linotype" w:eastAsia="Garamond" w:cs="Garamond"/>
          <w:sz w:val="24"/>
          <w:szCs w:val="24"/>
        </w:rPr>
      </w:pPr>
    </w:p>
    <w:p w:rsidRPr="00180028" w:rsidR="003D4E7E" w:rsidP="00303CD4" w:rsidRDefault="00F42BD7" w14:paraId="033CEECA" w14:textId="423ABB1E">
      <w:pPr>
        <w:pStyle w:val="standard"/>
        <w:spacing w:before="240" w:after="120" w:line="23" w:lineRule="atLeast"/>
        <w:ind w:firstLine="0"/>
        <w:rPr>
          <w:rFonts w:ascii="Palatino Linotype" w:hAnsi="Palatino Linotype" w:eastAsia="Garamond" w:cs="Garamond"/>
          <w:sz w:val="24"/>
          <w:szCs w:val="24"/>
        </w:rPr>
      </w:pPr>
      <w:bookmarkStart w:name="_Hlk112827214" w:id="3"/>
      <w:r w:rsidRPr="00180028">
        <w:rPr>
          <w:rFonts w:ascii="Palatino Linotype" w:hAnsi="Palatino Linotype" w:eastAsia="Garamond" w:cs="Garamond"/>
          <w:sz w:val="24"/>
          <w:szCs w:val="24"/>
        </w:rPr>
        <w:t xml:space="preserve">Distributed Energy Resources Action Plan </w:t>
      </w:r>
    </w:p>
    <w:p w:rsidRPr="00180028" w:rsidR="003B12AE" w:rsidP="00180028" w:rsidRDefault="003B12AE" w14:paraId="1E01B0AE" w14:textId="27FF1A5E">
      <w:pPr>
        <w:pStyle w:val="standard"/>
        <w:spacing w:line="23" w:lineRule="atLeast"/>
        <w:rPr>
          <w:rFonts w:ascii="Palatino Linotype" w:hAnsi="Palatino Linotype"/>
          <w:sz w:val="24"/>
          <w:szCs w:val="24"/>
        </w:rPr>
      </w:pPr>
      <w:r w:rsidRPr="00180028">
        <w:rPr>
          <w:rFonts w:ascii="Palatino Linotype" w:hAnsi="Palatino Linotype"/>
          <w:sz w:val="24"/>
          <w:szCs w:val="24"/>
        </w:rPr>
        <w:t xml:space="preserve">The goal of this Distributed Energy Resources </w:t>
      </w:r>
      <w:r w:rsidRPr="00180028" w:rsidR="00F42BD7">
        <w:rPr>
          <w:rFonts w:ascii="Palatino Linotype" w:hAnsi="Palatino Linotype"/>
          <w:sz w:val="24"/>
          <w:szCs w:val="24"/>
        </w:rPr>
        <w:t>(</w:t>
      </w:r>
      <w:r w:rsidRPr="00180028" w:rsidR="00764CE9">
        <w:rPr>
          <w:rFonts w:ascii="Palatino Linotype" w:hAnsi="Palatino Linotype"/>
          <w:sz w:val="24"/>
          <w:szCs w:val="24"/>
        </w:rPr>
        <w:t>“</w:t>
      </w:r>
      <w:r w:rsidRPr="00180028" w:rsidR="00F42BD7">
        <w:rPr>
          <w:rFonts w:ascii="Palatino Linotype" w:hAnsi="Palatino Linotype"/>
          <w:sz w:val="24"/>
          <w:szCs w:val="24"/>
        </w:rPr>
        <w:t>DER</w:t>
      </w:r>
      <w:r w:rsidRPr="00180028" w:rsidR="00764CE9">
        <w:rPr>
          <w:rFonts w:ascii="Palatino Linotype" w:hAnsi="Palatino Linotype"/>
          <w:sz w:val="24"/>
          <w:szCs w:val="24"/>
        </w:rPr>
        <w:t>”</w:t>
      </w:r>
      <w:r w:rsidRPr="00180028" w:rsidR="00F42BD7">
        <w:rPr>
          <w:rFonts w:ascii="Palatino Linotype" w:hAnsi="Palatino Linotype"/>
          <w:sz w:val="24"/>
          <w:szCs w:val="24"/>
        </w:rPr>
        <w:t xml:space="preserve">) </w:t>
      </w:r>
      <w:r w:rsidRPr="00180028">
        <w:rPr>
          <w:rFonts w:ascii="Palatino Linotype" w:hAnsi="Palatino Linotype"/>
          <w:sz w:val="24"/>
          <w:szCs w:val="24"/>
        </w:rPr>
        <w:t>Action Plan is to ensure that DER policy implementation in support of SB 100</w:t>
      </w:r>
      <w:r w:rsidRPr="00180028" w:rsidR="000C1D08">
        <w:rPr>
          <w:rStyle w:val="FootnoteReference"/>
          <w:rFonts w:ascii="Palatino Linotype" w:hAnsi="Palatino Linotype"/>
          <w:sz w:val="24"/>
          <w:szCs w:val="24"/>
        </w:rPr>
        <w:footnoteReference w:id="18"/>
      </w:r>
      <w:r w:rsidRPr="00180028">
        <w:rPr>
          <w:rFonts w:ascii="Palatino Linotype" w:hAnsi="Palatino Linotype"/>
          <w:sz w:val="24"/>
          <w:szCs w:val="24"/>
        </w:rPr>
        <w:t xml:space="preserve"> and California’s energy and climate goals </w:t>
      </w:r>
      <w:r w:rsidRPr="00180028" w:rsidR="00877680">
        <w:rPr>
          <w:rFonts w:ascii="Palatino Linotype" w:hAnsi="Palatino Linotype"/>
          <w:sz w:val="24"/>
          <w:szCs w:val="24"/>
        </w:rPr>
        <w:t>are</w:t>
      </w:r>
      <w:r w:rsidRPr="00180028">
        <w:rPr>
          <w:rFonts w:ascii="Palatino Linotype" w:hAnsi="Palatino Linotype"/>
          <w:sz w:val="24"/>
          <w:szCs w:val="24"/>
        </w:rPr>
        <w:t xml:space="preserve"> coordinated across proceedings related to grid planning, affordability, load flexibility, market integration, and customer programs. Ultimately, this DER Action Plan 2.0 seeks to align the CPUC’s vision and actions to maximize ratepayer and societal value of an anticipated high-DER future.</w:t>
      </w:r>
    </w:p>
    <w:p w:rsidRPr="00180028" w:rsidR="003B12AE" w:rsidP="00180028" w:rsidRDefault="003B12AE" w14:paraId="0A52218F" w14:textId="027813A8">
      <w:pPr>
        <w:pStyle w:val="standard"/>
        <w:spacing w:line="23" w:lineRule="atLeast"/>
        <w:rPr>
          <w:rFonts w:ascii="Palatino Linotype" w:hAnsi="Palatino Linotype"/>
          <w:sz w:val="24"/>
          <w:szCs w:val="24"/>
        </w:rPr>
      </w:pPr>
      <w:r w:rsidRPr="00180028">
        <w:rPr>
          <w:rFonts w:ascii="Palatino Linotype" w:hAnsi="Palatino Linotype"/>
          <w:sz w:val="24"/>
          <w:szCs w:val="24"/>
        </w:rPr>
        <w:t>The Grid Infrastructure Track is focused on CPUC actions to guide utility infrastructure planning and operations to make the most of existing and future infrastructure and maximize the value to ratepayers of DERs interconnected to the electric grid.</w:t>
      </w:r>
      <w:r w:rsidRPr="00180028" w:rsidR="00431BA2">
        <w:rPr>
          <w:rFonts w:ascii="Palatino Linotype" w:hAnsi="Palatino Linotype" w:eastAsia="Garamond" w:cs="Garamond"/>
          <w:sz w:val="24"/>
          <w:szCs w:val="24"/>
        </w:rPr>
        <w:t xml:space="preserve">  </w:t>
      </w:r>
      <w:r w:rsidRPr="00180028">
        <w:rPr>
          <w:rFonts w:ascii="Palatino Linotype" w:hAnsi="Palatino Linotype"/>
          <w:sz w:val="24"/>
          <w:szCs w:val="24"/>
        </w:rPr>
        <w:t>The CPUC will guide the utilities to modernize the electric grid for a high DER future that best enables swift evolution of grid capabilities and operations to integrate higher levels of DER to meet the State’s 100 percent clean energy goals.</w:t>
      </w:r>
    </w:p>
    <w:p w:rsidRPr="00180028" w:rsidR="00087110" w:rsidP="00180028" w:rsidRDefault="00087110" w14:paraId="3BF2FD97" w14:textId="3A14959E">
      <w:pPr>
        <w:pStyle w:val="standard"/>
        <w:spacing w:line="23" w:lineRule="atLeast"/>
        <w:rPr>
          <w:rFonts w:ascii="Palatino Linotype" w:hAnsi="Palatino Linotype"/>
          <w:sz w:val="24"/>
          <w:szCs w:val="24"/>
        </w:rPr>
      </w:pPr>
      <w:r w:rsidRPr="00180028">
        <w:rPr>
          <w:rFonts w:ascii="Palatino Linotype" w:hAnsi="Palatino Linotype"/>
          <w:sz w:val="24"/>
          <w:szCs w:val="24"/>
        </w:rPr>
        <w:t>The Market Integration Track of the DER A</w:t>
      </w:r>
      <w:r w:rsidRPr="00180028" w:rsidR="00E92529">
        <w:rPr>
          <w:rFonts w:ascii="Palatino Linotype" w:hAnsi="Palatino Linotype"/>
          <w:sz w:val="24"/>
          <w:szCs w:val="24"/>
        </w:rPr>
        <w:t>ction Plan</w:t>
      </w:r>
      <w:r w:rsidRPr="00180028">
        <w:rPr>
          <w:rFonts w:ascii="Palatino Linotype" w:hAnsi="Palatino Linotype"/>
          <w:sz w:val="24"/>
          <w:szCs w:val="24"/>
        </w:rPr>
        <w:t xml:space="preserve"> focuse</w:t>
      </w:r>
      <w:r w:rsidRPr="00180028" w:rsidR="0039089C">
        <w:rPr>
          <w:rFonts w:ascii="Palatino Linotype" w:hAnsi="Palatino Linotype"/>
          <w:sz w:val="24"/>
          <w:szCs w:val="24"/>
        </w:rPr>
        <w:t>s</w:t>
      </w:r>
      <w:r w:rsidRPr="00180028">
        <w:rPr>
          <w:rFonts w:ascii="Palatino Linotype" w:hAnsi="Palatino Linotype"/>
          <w:sz w:val="24"/>
          <w:szCs w:val="24"/>
        </w:rPr>
        <w:t xml:space="preserve"> on the efficient integration of DER into wholesale markets to advance state goals of GHG reduction, renewable integration, and grid optimization.  One of the potential services that energy storage can provide is deferral</w:t>
      </w:r>
      <w:r w:rsidRPr="00180028" w:rsidR="0039089C">
        <w:rPr>
          <w:rFonts w:ascii="Palatino Linotype" w:hAnsi="Palatino Linotype"/>
          <w:sz w:val="24"/>
          <w:szCs w:val="24"/>
        </w:rPr>
        <w:t xml:space="preserve"> of transmission development</w:t>
      </w:r>
      <w:r w:rsidRPr="00180028">
        <w:rPr>
          <w:rFonts w:ascii="Palatino Linotype" w:hAnsi="Palatino Linotype"/>
          <w:sz w:val="24"/>
          <w:szCs w:val="24"/>
        </w:rPr>
        <w:t xml:space="preserve">.  Access to timely </w:t>
      </w:r>
      <w:r w:rsidRPr="00180028">
        <w:rPr>
          <w:rFonts w:ascii="Palatino Linotype" w:hAnsi="Palatino Linotype"/>
          <w:sz w:val="24"/>
          <w:szCs w:val="24"/>
        </w:rPr>
        <w:lastRenderedPageBreak/>
        <w:t>transmission data will aid the analysis of transmission deferral opportunities with DER as non-wires alternatives.</w:t>
      </w:r>
    </w:p>
    <w:p w:rsidRPr="00180028" w:rsidR="007719A1" w:rsidP="00180028" w:rsidRDefault="00F30E8A" w14:paraId="0A1FBF42" w14:textId="1231F382">
      <w:pPr>
        <w:pStyle w:val="standard"/>
        <w:spacing w:line="23" w:lineRule="atLeast"/>
        <w:rPr>
          <w:rFonts w:ascii="Palatino Linotype" w:hAnsi="Palatino Linotype"/>
          <w:sz w:val="24"/>
          <w:szCs w:val="24"/>
        </w:rPr>
      </w:pPr>
      <w:r w:rsidRPr="00180028">
        <w:rPr>
          <w:rFonts w:ascii="Palatino Linotype" w:hAnsi="Palatino Linotype"/>
          <w:sz w:val="24"/>
          <w:szCs w:val="24"/>
        </w:rPr>
        <w:t>The DER Action Plan further works to ensure u</w:t>
      </w:r>
      <w:r w:rsidRPr="00180028" w:rsidR="003B12AE">
        <w:rPr>
          <w:rFonts w:ascii="Palatino Linotype" w:hAnsi="Palatino Linotype"/>
          <w:sz w:val="24"/>
          <w:szCs w:val="24"/>
        </w:rPr>
        <w:t>tility infrastructure business processes, including planning, all-source resource acquisition, and operation</w:t>
      </w:r>
      <w:r w:rsidRPr="00180028" w:rsidR="00B2270B">
        <w:rPr>
          <w:rFonts w:ascii="Palatino Linotype" w:hAnsi="Palatino Linotype"/>
          <w:sz w:val="24"/>
          <w:szCs w:val="24"/>
        </w:rPr>
        <w:t xml:space="preserve"> are</w:t>
      </w:r>
      <w:r w:rsidRPr="00180028" w:rsidR="003B12AE">
        <w:rPr>
          <w:rFonts w:ascii="Palatino Linotype" w:hAnsi="Palatino Linotype"/>
          <w:sz w:val="24"/>
          <w:szCs w:val="24"/>
        </w:rPr>
        <w:t xml:space="preserve"> transparent, responsive to local and tribal conditions and community needs, and seamlessly integrate cost-effective distributed energy resources.</w:t>
      </w:r>
      <w:r w:rsidRPr="00180028" w:rsidR="0058676A">
        <w:rPr>
          <w:rFonts w:ascii="Palatino Linotype" w:hAnsi="Palatino Linotype"/>
          <w:sz w:val="24"/>
          <w:szCs w:val="24"/>
        </w:rPr>
        <w:t xml:space="preserve">  </w:t>
      </w:r>
      <w:r w:rsidRPr="00180028" w:rsidR="00431BA2">
        <w:rPr>
          <w:rFonts w:ascii="Palatino Linotype" w:hAnsi="Palatino Linotype"/>
          <w:sz w:val="24"/>
          <w:szCs w:val="24"/>
        </w:rPr>
        <w:t>Additionally</w:t>
      </w:r>
      <w:r w:rsidRPr="00180028" w:rsidR="0058676A">
        <w:rPr>
          <w:rFonts w:ascii="Palatino Linotype" w:hAnsi="Palatino Linotype"/>
          <w:sz w:val="24"/>
          <w:szCs w:val="24"/>
        </w:rPr>
        <w:t xml:space="preserve">, </w:t>
      </w:r>
      <w:r w:rsidRPr="00180028" w:rsidR="00431BA2">
        <w:rPr>
          <w:rFonts w:ascii="Palatino Linotype" w:hAnsi="Palatino Linotype"/>
          <w:sz w:val="24"/>
          <w:szCs w:val="24"/>
        </w:rPr>
        <w:t xml:space="preserve">the DER Action Plan establishes that </w:t>
      </w:r>
      <w:r w:rsidRPr="00180028" w:rsidR="0058676A">
        <w:rPr>
          <w:rFonts w:ascii="Palatino Linotype" w:hAnsi="Palatino Linotype"/>
          <w:sz w:val="24"/>
          <w:szCs w:val="24"/>
        </w:rPr>
        <w:t>u</w:t>
      </w:r>
      <w:r w:rsidRPr="00180028" w:rsidR="003B12AE">
        <w:rPr>
          <w:rFonts w:ascii="Palatino Linotype" w:hAnsi="Palatino Linotype"/>
          <w:sz w:val="24"/>
          <w:szCs w:val="24"/>
        </w:rPr>
        <w:t xml:space="preserve">tility operations </w:t>
      </w:r>
      <w:r w:rsidRPr="00180028" w:rsidR="0058676A">
        <w:rPr>
          <w:rFonts w:ascii="Palatino Linotype" w:hAnsi="Palatino Linotype"/>
          <w:sz w:val="24"/>
          <w:szCs w:val="24"/>
        </w:rPr>
        <w:t xml:space="preserve">should </w:t>
      </w:r>
      <w:r w:rsidRPr="00180028" w:rsidR="003B12AE">
        <w:rPr>
          <w:rFonts w:ascii="Palatino Linotype" w:hAnsi="Palatino Linotype"/>
          <w:sz w:val="24"/>
          <w:szCs w:val="24"/>
        </w:rPr>
        <w:t>continuously improve interconnection performance, leading to greater transparency, cybersecurity, speed, and cost certainty.</w:t>
      </w:r>
      <w:r w:rsidRPr="00180028" w:rsidR="00431BA2">
        <w:rPr>
          <w:rFonts w:ascii="Palatino Linotype" w:hAnsi="Palatino Linotype"/>
          <w:sz w:val="24"/>
          <w:szCs w:val="24"/>
        </w:rPr>
        <w:t xml:space="preserve">  Finally, it is intended that u</w:t>
      </w:r>
      <w:r w:rsidRPr="00180028" w:rsidR="003B12AE">
        <w:rPr>
          <w:rFonts w:ascii="Palatino Linotype" w:hAnsi="Palatino Linotype"/>
          <w:sz w:val="24"/>
          <w:szCs w:val="24"/>
        </w:rPr>
        <w:t>tilities integrate the anticipated impacts of electrification into distribution planning to maximize public benefits, minimize costs, and optimize deployment of complimentary and supporting infrastructure and distributed energy resources.</w:t>
      </w:r>
    </w:p>
    <w:p w:rsidRPr="00180028" w:rsidR="0058676A" w:rsidP="00180028" w:rsidRDefault="00FE0C26" w14:paraId="440624D5" w14:textId="2639ED9B">
      <w:pPr>
        <w:pStyle w:val="standard"/>
        <w:spacing w:line="23" w:lineRule="atLeast"/>
        <w:rPr>
          <w:rFonts w:ascii="Palatino Linotype" w:hAnsi="Palatino Linotype" w:eastAsia="Garamond" w:cs="Garamond"/>
          <w:sz w:val="24"/>
          <w:szCs w:val="24"/>
        </w:rPr>
      </w:pPr>
      <w:r w:rsidRPr="00180028">
        <w:rPr>
          <w:rFonts w:ascii="Palatino Linotype" w:hAnsi="Palatino Linotype" w:eastAsia="Garamond" w:cs="Garamond"/>
          <w:sz w:val="24"/>
          <w:szCs w:val="24"/>
        </w:rPr>
        <w:t>T</w:t>
      </w:r>
      <w:r w:rsidRPr="00180028" w:rsidR="0058676A">
        <w:rPr>
          <w:rFonts w:ascii="Palatino Linotype" w:hAnsi="Palatino Linotype" w:eastAsia="Garamond" w:cs="Garamond"/>
          <w:sz w:val="24"/>
          <w:szCs w:val="24"/>
        </w:rPr>
        <w:t xml:space="preserve">he transmission assets included in the TPR will enable </w:t>
      </w:r>
      <w:r w:rsidRPr="00180028" w:rsidR="00431BA2">
        <w:rPr>
          <w:rFonts w:ascii="Palatino Linotype" w:hAnsi="Palatino Linotype" w:eastAsia="Garamond" w:cs="Garamond"/>
          <w:sz w:val="24"/>
          <w:szCs w:val="24"/>
        </w:rPr>
        <w:t>more holistic</w:t>
      </w:r>
      <w:r w:rsidRPr="00180028" w:rsidR="0058676A">
        <w:rPr>
          <w:rFonts w:ascii="Palatino Linotype" w:hAnsi="Palatino Linotype" w:eastAsia="Garamond" w:cs="Garamond"/>
          <w:sz w:val="24"/>
          <w:szCs w:val="24"/>
        </w:rPr>
        <w:t xml:space="preserve"> </w:t>
      </w:r>
      <w:r w:rsidRPr="00180028" w:rsidR="00431BA2">
        <w:rPr>
          <w:rFonts w:ascii="Palatino Linotype" w:hAnsi="Palatino Linotype" w:eastAsia="Garamond" w:cs="Garamond"/>
          <w:sz w:val="24"/>
          <w:szCs w:val="24"/>
        </w:rPr>
        <w:t>evaluation</w:t>
      </w:r>
      <w:r w:rsidRPr="00180028" w:rsidR="0058676A">
        <w:rPr>
          <w:rFonts w:ascii="Palatino Linotype" w:hAnsi="Palatino Linotype" w:eastAsia="Garamond" w:cs="Garamond"/>
          <w:sz w:val="24"/>
          <w:szCs w:val="24"/>
        </w:rPr>
        <w:t xml:space="preserve"> of the interplay between the distribution and transmission system</w:t>
      </w:r>
      <w:r w:rsidRPr="00180028" w:rsidR="00431BA2">
        <w:rPr>
          <w:rFonts w:ascii="Palatino Linotype" w:hAnsi="Palatino Linotype" w:eastAsia="Garamond" w:cs="Garamond"/>
          <w:sz w:val="24"/>
          <w:szCs w:val="24"/>
        </w:rPr>
        <w:t>s</w:t>
      </w:r>
      <w:r w:rsidRPr="00180028" w:rsidR="0058676A">
        <w:rPr>
          <w:rFonts w:ascii="Palatino Linotype" w:hAnsi="Palatino Linotype" w:eastAsia="Garamond" w:cs="Garamond"/>
          <w:sz w:val="24"/>
          <w:szCs w:val="24"/>
        </w:rPr>
        <w:t xml:space="preserve"> to most efficiently and cost-effectively achieve California’s clean energy goals.</w:t>
      </w:r>
    </w:p>
    <w:bookmarkEnd w:id="3"/>
    <w:p w:rsidRPr="00180028" w:rsidR="0058676A" w:rsidP="00180028" w:rsidRDefault="0058676A" w14:paraId="7E836895" w14:textId="77777777">
      <w:pPr>
        <w:pStyle w:val="standard"/>
        <w:spacing w:line="23" w:lineRule="atLeast"/>
        <w:ind w:firstLine="0"/>
        <w:rPr>
          <w:rFonts w:ascii="Palatino Linotype" w:hAnsi="Palatino Linotype" w:eastAsia="Garamond" w:cs="Garamond"/>
          <w:sz w:val="24"/>
          <w:szCs w:val="24"/>
        </w:rPr>
      </w:pPr>
    </w:p>
    <w:p w:rsidRPr="00180028" w:rsidR="003D4E7E" w:rsidP="00303CD4" w:rsidRDefault="003D4E7E" w14:paraId="25544830" w14:textId="2932F47C">
      <w:pPr>
        <w:pStyle w:val="standard"/>
        <w:spacing w:before="240" w:after="120" w:line="23" w:lineRule="atLeast"/>
        <w:ind w:firstLine="0"/>
        <w:rPr>
          <w:rFonts w:ascii="Palatino Linotype" w:hAnsi="Palatino Linotype" w:eastAsia="Garamond" w:cs="Garamond"/>
          <w:sz w:val="24"/>
          <w:szCs w:val="24"/>
        </w:rPr>
      </w:pPr>
      <w:bookmarkStart w:name="_Hlk112834889" w:id="4"/>
      <w:r w:rsidRPr="00180028">
        <w:rPr>
          <w:rFonts w:ascii="Palatino Linotype" w:hAnsi="Palatino Linotype" w:eastAsia="Garamond" w:cs="Garamond"/>
          <w:sz w:val="24"/>
          <w:szCs w:val="24"/>
        </w:rPr>
        <w:t>G</w:t>
      </w:r>
      <w:r w:rsidRPr="00180028" w:rsidR="00304134">
        <w:rPr>
          <w:rFonts w:ascii="Palatino Linotype" w:hAnsi="Palatino Linotype" w:eastAsia="Garamond" w:cs="Garamond"/>
          <w:sz w:val="24"/>
          <w:szCs w:val="24"/>
        </w:rPr>
        <w:t>eneral Rate Cases</w:t>
      </w:r>
      <w:r w:rsidRPr="00180028" w:rsidR="006D1CDC">
        <w:rPr>
          <w:rFonts w:ascii="Palatino Linotype" w:hAnsi="Palatino Linotype" w:eastAsia="Garamond" w:cs="Garamond"/>
          <w:sz w:val="24"/>
          <w:szCs w:val="24"/>
        </w:rPr>
        <w:t xml:space="preserve"> </w:t>
      </w:r>
    </w:p>
    <w:p w:rsidRPr="00180028" w:rsidR="00B53B49" w:rsidP="00180028" w:rsidRDefault="00877680" w14:paraId="63FE268C" w14:textId="55E6BF35">
      <w:pPr>
        <w:pStyle w:val="standard"/>
        <w:spacing w:line="23" w:lineRule="atLeast"/>
        <w:ind w:firstLine="0"/>
        <w:rPr>
          <w:rFonts w:ascii="Palatino Linotype" w:hAnsi="Palatino Linotype" w:eastAsia="Garamond" w:cs="Garamond"/>
          <w:sz w:val="24"/>
          <w:szCs w:val="24"/>
        </w:rPr>
      </w:pPr>
      <w:r w:rsidRPr="00180028">
        <w:rPr>
          <w:rFonts w:ascii="Palatino Linotype" w:hAnsi="Palatino Linotype" w:eastAsia="Garamond" w:cs="Garamond"/>
          <w:sz w:val="24"/>
          <w:szCs w:val="24"/>
        </w:rPr>
        <w:t>T</w:t>
      </w:r>
      <w:r w:rsidRPr="00180028" w:rsidR="00254795">
        <w:rPr>
          <w:rFonts w:ascii="Palatino Linotype" w:hAnsi="Palatino Linotype" w:eastAsia="Garamond" w:cs="Garamond"/>
          <w:sz w:val="24"/>
          <w:szCs w:val="24"/>
        </w:rPr>
        <w:t>he General Rate Cases (</w:t>
      </w:r>
      <w:r w:rsidRPr="00180028" w:rsidR="00764CE9">
        <w:rPr>
          <w:rFonts w:ascii="Palatino Linotype" w:hAnsi="Palatino Linotype" w:eastAsia="Garamond" w:cs="Garamond"/>
          <w:sz w:val="24"/>
          <w:szCs w:val="24"/>
        </w:rPr>
        <w:t>“</w:t>
      </w:r>
      <w:r w:rsidRPr="00180028" w:rsidR="00254795">
        <w:rPr>
          <w:rFonts w:ascii="Palatino Linotype" w:hAnsi="Palatino Linotype" w:eastAsia="Garamond" w:cs="Garamond"/>
          <w:sz w:val="24"/>
          <w:szCs w:val="24"/>
        </w:rPr>
        <w:t>GRC</w:t>
      </w:r>
      <w:r w:rsidRPr="00180028" w:rsidR="00764CE9">
        <w:rPr>
          <w:rFonts w:ascii="Palatino Linotype" w:hAnsi="Palatino Linotype" w:eastAsia="Garamond" w:cs="Garamond"/>
          <w:sz w:val="24"/>
          <w:szCs w:val="24"/>
        </w:rPr>
        <w:t>”</w:t>
      </w:r>
      <w:r w:rsidRPr="00180028" w:rsidR="00254795">
        <w:rPr>
          <w:rFonts w:ascii="Palatino Linotype" w:hAnsi="Palatino Linotype" w:eastAsia="Garamond" w:cs="Garamond"/>
          <w:sz w:val="24"/>
          <w:szCs w:val="24"/>
        </w:rPr>
        <w:t xml:space="preserve">) for </w:t>
      </w:r>
      <w:r w:rsidRPr="00180028" w:rsidR="00B1261E">
        <w:rPr>
          <w:rFonts w:ascii="Palatino Linotype" w:hAnsi="Palatino Linotype" w:eastAsia="Garamond" w:cs="Garamond"/>
          <w:sz w:val="24"/>
          <w:szCs w:val="24"/>
        </w:rPr>
        <w:t>e</w:t>
      </w:r>
      <w:r w:rsidRPr="00180028" w:rsidR="00254795">
        <w:rPr>
          <w:rFonts w:ascii="Palatino Linotype" w:hAnsi="Palatino Linotype" w:eastAsia="Garamond" w:cs="Garamond"/>
          <w:sz w:val="24"/>
          <w:szCs w:val="24"/>
        </w:rPr>
        <w:t xml:space="preserve">lectric </w:t>
      </w:r>
      <w:r w:rsidRPr="00180028" w:rsidR="00B1261E">
        <w:rPr>
          <w:rFonts w:ascii="Palatino Linotype" w:hAnsi="Palatino Linotype" w:eastAsia="Garamond" w:cs="Garamond"/>
          <w:sz w:val="24"/>
          <w:szCs w:val="24"/>
        </w:rPr>
        <w:t>u</w:t>
      </w:r>
      <w:r w:rsidRPr="00180028" w:rsidR="00254795">
        <w:rPr>
          <w:rFonts w:ascii="Palatino Linotype" w:hAnsi="Palatino Linotype" w:eastAsia="Garamond" w:cs="Garamond"/>
          <w:sz w:val="24"/>
          <w:szCs w:val="24"/>
        </w:rPr>
        <w:t>tilities at the CPUC</w:t>
      </w:r>
      <w:r w:rsidRPr="00180028" w:rsidR="005342E9">
        <w:rPr>
          <w:rFonts w:ascii="Palatino Linotype" w:hAnsi="Palatino Linotype" w:eastAsia="Garamond" w:cs="Garamond"/>
          <w:sz w:val="24"/>
          <w:szCs w:val="24"/>
        </w:rPr>
        <w:t xml:space="preserve"> set the revenue requirements and rates that the utilities collect for the distribution and generation assets that fall under the CPUC’s jurisdiction</w:t>
      </w:r>
      <w:r w:rsidRPr="00180028">
        <w:rPr>
          <w:rFonts w:ascii="Palatino Linotype" w:hAnsi="Palatino Linotype" w:eastAsia="Garamond" w:cs="Garamond"/>
          <w:sz w:val="24"/>
          <w:szCs w:val="24"/>
        </w:rPr>
        <w:t>.  However,</w:t>
      </w:r>
      <w:r w:rsidRPr="00180028" w:rsidR="005342E9">
        <w:rPr>
          <w:rFonts w:ascii="Palatino Linotype" w:hAnsi="Palatino Linotype" w:eastAsia="Garamond" w:cs="Garamond"/>
          <w:sz w:val="24"/>
          <w:szCs w:val="24"/>
        </w:rPr>
        <w:t xml:space="preserve"> there is interplay between </w:t>
      </w:r>
      <w:r w:rsidRPr="00180028">
        <w:rPr>
          <w:rFonts w:ascii="Palatino Linotype" w:hAnsi="Palatino Linotype" w:eastAsia="Garamond" w:cs="Garamond"/>
          <w:sz w:val="24"/>
          <w:szCs w:val="24"/>
        </w:rPr>
        <w:t xml:space="preserve">the </w:t>
      </w:r>
      <w:r w:rsidRPr="00180028" w:rsidR="005342E9">
        <w:rPr>
          <w:rFonts w:ascii="Palatino Linotype" w:hAnsi="Palatino Linotype" w:eastAsia="Garamond" w:cs="Garamond"/>
          <w:sz w:val="24"/>
          <w:szCs w:val="24"/>
        </w:rPr>
        <w:t>distribution</w:t>
      </w:r>
      <w:r w:rsidRPr="00180028">
        <w:rPr>
          <w:rFonts w:ascii="Palatino Linotype" w:hAnsi="Palatino Linotype" w:eastAsia="Garamond" w:cs="Garamond"/>
          <w:sz w:val="24"/>
          <w:szCs w:val="24"/>
        </w:rPr>
        <w:t xml:space="preserve"> facilities in the GRC</w:t>
      </w:r>
      <w:r w:rsidRPr="00180028" w:rsidR="005342E9">
        <w:rPr>
          <w:rFonts w:ascii="Palatino Linotype" w:hAnsi="Palatino Linotype" w:eastAsia="Garamond" w:cs="Garamond"/>
          <w:sz w:val="24"/>
          <w:szCs w:val="24"/>
        </w:rPr>
        <w:t xml:space="preserve"> and transmission a</w:t>
      </w:r>
      <w:r w:rsidRPr="00180028">
        <w:rPr>
          <w:rFonts w:ascii="Palatino Linotype" w:hAnsi="Palatino Linotype" w:eastAsia="Garamond" w:cs="Garamond"/>
          <w:sz w:val="24"/>
          <w:szCs w:val="24"/>
        </w:rPr>
        <w:t>sset</w:t>
      </w:r>
      <w:r w:rsidRPr="00180028" w:rsidR="005342E9">
        <w:rPr>
          <w:rFonts w:ascii="Palatino Linotype" w:hAnsi="Palatino Linotype" w:eastAsia="Garamond" w:cs="Garamond"/>
          <w:sz w:val="24"/>
          <w:szCs w:val="24"/>
        </w:rPr>
        <w:t xml:space="preserve">s, as well as overlap of important issues, such as the interconnection of renewable </w:t>
      </w:r>
      <w:r w:rsidRPr="00180028">
        <w:rPr>
          <w:rFonts w:ascii="Palatino Linotype" w:hAnsi="Palatino Linotype" w:eastAsia="Garamond" w:cs="Garamond"/>
          <w:sz w:val="24"/>
          <w:szCs w:val="24"/>
        </w:rPr>
        <w:t xml:space="preserve">energy </w:t>
      </w:r>
      <w:r w:rsidRPr="00180028" w:rsidR="005342E9">
        <w:rPr>
          <w:rFonts w:ascii="Palatino Linotype" w:hAnsi="Palatino Linotype" w:eastAsia="Garamond" w:cs="Garamond"/>
          <w:sz w:val="24"/>
          <w:szCs w:val="24"/>
        </w:rPr>
        <w:t>resources</w:t>
      </w:r>
      <w:r w:rsidRPr="00180028" w:rsidR="00304134">
        <w:rPr>
          <w:rFonts w:ascii="Palatino Linotype" w:hAnsi="Palatino Linotype" w:eastAsia="Garamond" w:cs="Garamond"/>
          <w:sz w:val="24"/>
          <w:szCs w:val="24"/>
        </w:rPr>
        <w:t xml:space="preserve"> and</w:t>
      </w:r>
      <w:r w:rsidRPr="00180028" w:rsidR="005342E9">
        <w:rPr>
          <w:rFonts w:ascii="Palatino Linotype" w:hAnsi="Palatino Linotype" w:eastAsia="Garamond" w:cs="Garamond"/>
          <w:sz w:val="24"/>
          <w:szCs w:val="24"/>
        </w:rPr>
        <w:t xml:space="preserve"> </w:t>
      </w:r>
      <w:r w:rsidRPr="00180028">
        <w:rPr>
          <w:rFonts w:ascii="Palatino Linotype" w:hAnsi="Palatino Linotype" w:eastAsia="Garamond" w:cs="Garamond"/>
          <w:sz w:val="24"/>
          <w:szCs w:val="24"/>
        </w:rPr>
        <w:t>issues</w:t>
      </w:r>
      <w:r w:rsidRPr="00180028" w:rsidR="005342E9">
        <w:rPr>
          <w:rFonts w:ascii="Palatino Linotype" w:hAnsi="Palatino Linotype" w:eastAsia="Garamond" w:cs="Garamond"/>
          <w:sz w:val="24"/>
          <w:szCs w:val="24"/>
        </w:rPr>
        <w:t xml:space="preserve"> related to wildfire mitigation and recovery.  The scope and need for projects at the transmission </w:t>
      </w:r>
      <w:r w:rsidRPr="00180028">
        <w:rPr>
          <w:rFonts w:ascii="Palatino Linotype" w:hAnsi="Palatino Linotype" w:eastAsia="Garamond" w:cs="Garamond"/>
          <w:sz w:val="24"/>
          <w:szCs w:val="24"/>
        </w:rPr>
        <w:t xml:space="preserve">and distribution levels </w:t>
      </w:r>
      <w:r w:rsidRPr="00180028" w:rsidR="005342E9">
        <w:rPr>
          <w:rFonts w:ascii="Palatino Linotype" w:hAnsi="Palatino Linotype" w:eastAsia="Garamond" w:cs="Garamond"/>
          <w:sz w:val="24"/>
          <w:szCs w:val="24"/>
        </w:rPr>
        <w:t xml:space="preserve">may inform </w:t>
      </w:r>
      <w:r w:rsidRPr="00180028" w:rsidR="00D77916">
        <w:rPr>
          <w:rFonts w:ascii="Palatino Linotype" w:hAnsi="Palatino Linotype" w:eastAsia="Garamond" w:cs="Garamond"/>
          <w:sz w:val="24"/>
          <w:szCs w:val="24"/>
        </w:rPr>
        <w:t xml:space="preserve">each </w:t>
      </w:r>
      <w:r w:rsidRPr="00180028">
        <w:rPr>
          <w:rFonts w:ascii="Palatino Linotype" w:hAnsi="Palatino Linotype" w:eastAsia="Garamond" w:cs="Garamond"/>
          <w:sz w:val="24"/>
          <w:szCs w:val="24"/>
        </w:rPr>
        <w:t>other</w:t>
      </w:r>
      <w:r w:rsidRPr="00180028" w:rsidR="005342E9">
        <w:rPr>
          <w:rFonts w:ascii="Palatino Linotype" w:hAnsi="Palatino Linotype" w:eastAsia="Garamond" w:cs="Garamond"/>
          <w:sz w:val="24"/>
          <w:szCs w:val="24"/>
        </w:rPr>
        <w:t xml:space="preserve">.  The TPR Process will provide this larger context of transmission projects and </w:t>
      </w:r>
      <w:r w:rsidRPr="00180028">
        <w:rPr>
          <w:rFonts w:ascii="Palatino Linotype" w:hAnsi="Palatino Linotype" w:eastAsia="Garamond" w:cs="Garamond"/>
          <w:sz w:val="24"/>
          <w:szCs w:val="24"/>
        </w:rPr>
        <w:t xml:space="preserve">will address </w:t>
      </w:r>
      <w:r w:rsidRPr="00180028" w:rsidR="005342E9">
        <w:rPr>
          <w:rFonts w:ascii="Palatino Linotype" w:hAnsi="Palatino Linotype" w:eastAsia="Garamond" w:cs="Garamond"/>
          <w:sz w:val="24"/>
          <w:szCs w:val="24"/>
        </w:rPr>
        <w:t xml:space="preserve">overlapping issues </w:t>
      </w:r>
      <w:r w:rsidRPr="00180028">
        <w:rPr>
          <w:rFonts w:ascii="Palatino Linotype" w:hAnsi="Palatino Linotype" w:eastAsia="Garamond" w:cs="Garamond"/>
          <w:sz w:val="24"/>
          <w:szCs w:val="24"/>
        </w:rPr>
        <w:t xml:space="preserve">that are potentially </w:t>
      </w:r>
      <w:r w:rsidRPr="00180028" w:rsidR="005342E9">
        <w:rPr>
          <w:rFonts w:ascii="Palatino Linotype" w:hAnsi="Palatino Linotype" w:eastAsia="Garamond" w:cs="Garamond"/>
          <w:sz w:val="24"/>
          <w:szCs w:val="24"/>
        </w:rPr>
        <w:t>useful in GRC proceedings.</w:t>
      </w:r>
      <w:r w:rsidRPr="00180028" w:rsidR="00254795">
        <w:rPr>
          <w:rFonts w:ascii="Palatino Linotype" w:hAnsi="Palatino Linotype" w:eastAsia="Garamond" w:cs="Garamond"/>
          <w:sz w:val="24"/>
          <w:szCs w:val="24"/>
        </w:rPr>
        <w:t xml:space="preserve"> </w:t>
      </w:r>
    </w:p>
    <w:bookmarkEnd w:id="4"/>
    <w:p w:rsidRPr="00180028" w:rsidR="005342E9" w:rsidP="00180028" w:rsidRDefault="005342E9" w14:paraId="58DBB853" w14:textId="77777777">
      <w:pPr>
        <w:pStyle w:val="standard"/>
        <w:spacing w:line="23" w:lineRule="atLeast"/>
        <w:ind w:firstLine="0"/>
        <w:rPr>
          <w:rFonts w:ascii="Palatino Linotype" w:hAnsi="Palatino Linotype" w:eastAsia="Garamond" w:cs="Garamond"/>
          <w:sz w:val="24"/>
          <w:szCs w:val="24"/>
        </w:rPr>
      </w:pPr>
    </w:p>
    <w:p w:rsidRPr="00180028" w:rsidR="003D4E7E" w:rsidP="00303CD4" w:rsidRDefault="006F6DF9" w14:paraId="5FA58BD7" w14:textId="61CC0542">
      <w:pPr>
        <w:pStyle w:val="standard"/>
        <w:keepNext/>
        <w:spacing w:before="240" w:after="120" w:line="23" w:lineRule="atLeast"/>
        <w:ind w:firstLine="0"/>
        <w:rPr>
          <w:rFonts w:ascii="Palatino Linotype" w:hAnsi="Palatino Linotype" w:eastAsia="Garamond" w:cs="Garamond"/>
          <w:sz w:val="24"/>
          <w:szCs w:val="24"/>
        </w:rPr>
      </w:pPr>
      <w:r w:rsidRPr="00180028">
        <w:rPr>
          <w:rFonts w:ascii="Palatino Linotype" w:hAnsi="Palatino Linotype" w:eastAsia="Garamond" w:cs="Garamond"/>
          <w:sz w:val="24"/>
          <w:szCs w:val="24"/>
        </w:rPr>
        <w:t>Wildfire Mitigation Plans</w:t>
      </w:r>
      <w:r w:rsidRPr="00180028" w:rsidR="006D1CDC">
        <w:rPr>
          <w:rFonts w:ascii="Palatino Linotype" w:hAnsi="Palatino Linotype" w:eastAsia="Garamond" w:cs="Garamond"/>
          <w:sz w:val="24"/>
          <w:szCs w:val="24"/>
        </w:rPr>
        <w:t xml:space="preserve"> </w:t>
      </w:r>
    </w:p>
    <w:p w:rsidRPr="00180028" w:rsidR="003D4E7E" w:rsidP="00303CD4" w:rsidRDefault="00C92AA9" w14:paraId="26B0EF24" w14:textId="7BADB4C4">
      <w:pPr>
        <w:pStyle w:val="standard"/>
        <w:keepNext/>
        <w:spacing w:line="23" w:lineRule="atLeast"/>
        <w:ind w:firstLine="0"/>
        <w:rPr>
          <w:rFonts w:ascii="Palatino Linotype" w:hAnsi="Palatino Linotype" w:eastAsia="Garamond" w:cs="Garamond"/>
          <w:sz w:val="24"/>
          <w:szCs w:val="24"/>
        </w:rPr>
      </w:pPr>
      <w:r w:rsidRPr="00180028">
        <w:rPr>
          <w:rFonts w:ascii="Palatino Linotype" w:hAnsi="Palatino Linotype" w:eastAsia="Garamond" w:cs="Garamond"/>
          <w:sz w:val="24"/>
          <w:szCs w:val="24"/>
        </w:rPr>
        <w:t>W</w:t>
      </w:r>
      <w:r w:rsidRPr="00180028" w:rsidR="006F6DF9">
        <w:rPr>
          <w:rFonts w:ascii="Palatino Linotype" w:hAnsi="Palatino Linotype" w:eastAsia="Garamond" w:cs="Garamond"/>
          <w:sz w:val="24"/>
          <w:szCs w:val="24"/>
        </w:rPr>
        <w:t xml:space="preserve">ildfire safety </w:t>
      </w:r>
      <w:r w:rsidRPr="00180028" w:rsidR="00304134">
        <w:rPr>
          <w:rFonts w:ascii="Palatino Linotype" w:hAnsi="Palatino Linotype" w:eastAsia="Garamond" w:cs="Garamond"/>
          <w:sz w:val="24"/>
          <w:szCs w:val="24"/>
        </w:rPr>
        <w:t>crosses</w:t>
      </w:r>
      <w:r w:rsidRPr="00180028" w:rsidR="006F6DF9">
        <w:rPr>
          <w:rFonts w:ascii="Palatino Linotype" w:hAnsi="Palatino Linotype" w:eastAsia="Garamond" w:cs="Garamond"/>
          <w:sz w:val="24"/>
          <w:szCs w:val="24"/>
        </w:rPr>
        <w:t xml:space="preserve"> jurisdictional lines and is an issue to be addressed on both the distribution and transmission portions of the grid.  Since 2019, California </w:t>
      </w:r>
      <w:r w:rsidRPr="00180028" w:rsidR="00FA1FE8">
        <w:rPr>
          <w:rFonts w:ascii="Palatino Linotype" w:hAnsi="Palatino Linotype" w:eastAsia="Garamond" w:cs="Garamond"/>
          <w:sz w:val="24"/>
          <w:szCs w:val="24"/>
        </w:rPr>
        <w:t>u</w:t>
      </w:r>
      <w:r w:rsidRPr="00180028" w:rsidR="006F6DF9">
        <w:rPr>
          <w:rFonts w:ascii="Palatino Linotype" w:hAnsi="Palatino Linotype" w:eastAsia="Garamond" w:cs="Garamond"/>
          <w:sz w:val="24"/>
          <w:szCs w:val="24"/>
        </w:rPr>
        <w:t>tili</w:t>
      </w:r>
      <w:r w:rsidRPr="00180028" w:rsidR="00304134">
        <w:rPr>
          <w:rFonts w:ascii="Palatino Linotype" w:hAnsi="Palatino Linotype" w:eastAsia="Garamond" w:cs="Garamond"/>
          <w:sz w:val="24"/>
          <w:szCs w:val="24"/>
        </w:rPr>
        <w:t>ti</w:t>
      </w:r>
      <w:r w:rsidRPr="00180028" w:rsidR="006F6DF9">
        <w:rPr>
          <w:rFonts w:ascii="Palatino Linotype" w:hAnsi="Palatino Linotype" w:eastAsia="Garamond" w:cs="Garamond"/>
          <w:sz w:val="24"/>
          <w:szCs w:val="24"/>
        </w:rPr>
        <w:t>es have filed Wildfire Mitigation Plans (</w:t>
      </w:r>
      <w:r w:rsidRPr="00180028" w:rsidR="00764CE9">
        <w:rPr>
          <w:rFonts w:ascii="Palatino Linotype" w:hAnsi="Palatino Linotype" w:eastAsia="Garamond" w:cs="Garamond"/>
          <w:sz w:val="24"/>
          <w:szCs w:val="24"/>
        </w:rPr>
        <w:t>“</w:t>
      </w:r>
      <w:r w:rsidRPr="00180028" w:rsidR="006F6DF9">
        <w:rPr>
          <w:rFonts w:ascii="Palatino Linotype" w:hAnsi="Palatino Linotype" w:eastAsia="Garamond" w:cs="Garamond"/>
          <w:sz w:val="24"/>
          <w:szCs w:val="24"/>
        </w:rPr>
        <w:t>WMP</w:t>
      </w:r>
      <w:r w:rsidRPr="00180028" w:rsidR="00764CE9">
        <w:rPr>
          <w:rFonts w:ascii="Palatino Linotype" w:hAnsi="Palatino Linotype" w:eastAsia="Garamond" w:cs="Garamond"/>
          <w:sz w:val="24"/>
          <w:szCs w:val="24"/>
        </w:rPr>
        <w:t>”</w:t>
      </w:r>
      <w:r w:rsidRPr="00180028" w:rsidR="006F6DF9">
        <w:rPr>
          <w:rFonts w:ascii="Palatino Linotype" w:hAnsi="Palatino Linotype" w:eastAsia="Garamond" w:cs="Garamond"/>
          <w:sz w:val="24"/>
          <w:szCs w:val="24"/>
        </w:rPr>
        <w:t>)</w:t>
      </w:r>
      <w:r w:rsidRPr="00180028" w:rsidR="00304134">
        <w:rPr>
          <w:rFonts w:ascii="Palatino Linotype" w:hAnsi="Palatino Linotype" w:eastAsia="Garamond" w:cs="Garamond"/>
          <w:sz w:val="24"/>
          <w:szCs w:val="24"/>
        </w:rPr>
        <w:t xml:space="preserve"> at the CPUC and now </w:t>
      </w:r>
      <w:r w:rsidRPr="00180028" w:rsidR="0052254F">
        <w:rPr>
          <w:rFonts w:ascii="Palatino Linotype" w:hAnsi="Palatino Linotype" w:eastAsia="Garamond" w:cs="Garamond"/>
          <w:sz w:val="24"/>
          <w:szCs w:val="24"/>
        </w:rPr>
        <w:t>with</w:t>
      </w:r>
      <w:r w:rsidRPr="00180028" w:rsidR="006F6DF9">
        <w:rPr>
          <w:rFonts w:ascii="Palatino Linotype" w:hAnsi="Palatino Linotype" w:eastAsia="Garamond" w:cs="Garamond"/>
          <w:sz w:val="24"/>
          <w:szCs w:val="24"/>
        </w:rPr>
        <w:t xml:space="preserve"> the Office of Energy Infrastructure Safety (</w:t>
      </w:r>
      <w:r w:rsidRPr="00180028" w:rsidR="00764CE9">
        <w:rPr>
          <w:rFonts w:ascii="Palatino Linotype" w:hAnsi="Palatino Linotype" w:eastAsia="Garamond" w:cs="Garamond"/>
          <w:sz w:val="24"/>
          <w:szCs w:val="24"/>
        </w:rPr>
        <w:t>“</w:t>
      </w:r>
      <w:r w:rsidRPr="00180028" w:rsidR="005A3374">
        <w:rPr>
          <w:rFonts w:ascii="Palatino Linotype" w:hAnsi="Palatino Linotype" w:eastAsia="Garamond" w:cs="Garamond"/>
          <w:sz w:val="24"/>
          <w:szCs w:val="24"/>
        </w:rPr>
        <w:t>Energy Safety</w:t>
      </w:r>
      <w:r w:rsidRPr="00180028" w:rsidR="00764CE9">
        <w:rPr>
          <w:rFonts w:ascii="Palatino Linotype" w:hAnsi="Palatino Linotype" w:eastAsia="Garamond" w:cs="Garamond"/>
          <w:sz w:val="24"/>
          <w:szCs w:val="24"/>
        </w:rPr>
        <w:t>”</w:t>
      </w:r>
      <w:r w:rsidRPr="00180028" w:rsidR="006F6DF9">
        <w:rPr>
          <w:rFonts w:ascii="Palatino Linotype" w:hAnsi="Palatino Linotype" w:eastAsia="Garamond" w:cs="Garamond"/>
          <w:sz w:val="24"/>
          <w:szCs w:val="24"/>
        </w:rPr>
        <w:t xml:space="preserve">) in the </w:t>
      </w:r>
      <w:r w:rsidRPr="00180028" w:rsidR="00E30297">
        <w:rPr>
          <w:rFonts w:ascii="Palatino Linotype" w:hAnsi="Palatino Linotype" w:eastAsia="Garamond" w:cs="Garamond"/>
          <w:sz w:val="24"/>
          <w:szCs w:val="24"/>
        </w:rPr>
        <w:t>Calif</w:t>
      </w:r>
      <w:r w:rsidRPr="00180028" w:rsidR="000F2BCD">
        <w:rPr>
          <w:rFonts w:ascii="Palatino Linotype" w:hAnsi="Palatino Linotype" w:eastAsia="Garamond" w:cs="Garamond"/>
          <w:sz w:val="24"/>
          <w:szCs w:val="24"/>
        </w:rPr>
        <w:t xml:space="preserve">ornia </w:t>
      </w:r>
      <w:r w:rsidRPr="00180028" w:rsidR="006F6DF9">
        <w:rPr>
          <w:rFonts w:ascii="Palatino Linotype" w:hAnsi="Palatino Linotype" w:eastAsia="Garamond" w:cs="Garamond"/>
          <w:sz w:val="24"/>
          <w:szCs w:val="24"/>
        </w:rPr>
        <w:t>Natural Resources Agency</w:t>
      </w:r>
      <w:r w:rsidRPr="00180028" w:rsidR="00304134">
        <w:rPr>
          <w:rFonts w:ascii="Palatino Linotype" w:hAnsi="Palatino Linotype" w:eastAsia="Garamond" w:cs="Garamond"/>
          <w:sz w:val="24"/>
          <w:szCs w:val="24"/>
        </w:rPr>
        <w:t xml:space="preserve">.  The WMPs </w:t>
      </w:r>
      <w:r w:rsidRPr="00180028" w:rsidR="005A3374">
        <w:rPr>
          <w:rFonts w:ascii="Palatino Linotype" w:hAnsi="Palatino Linotype" w:eastAsia="Garamond" w:cs="Garamond"/>
          <w:sz w:val="24"/>
          <w:szCs w:val="24"/>
        </w:rPr>
        <w:t>now require approval by both</w:t>
      </w:r>
      <w:r w:rsidRPr="00180028" w:rsidR="006F6DF9">
        <w:rPr>
          <w:rFonts w:ascii="Palatino Linotype" w:hAnsi="Palatino Linotype" w:eastAsia="Garamond" w:cs="Garamond"/>
          <w:sz w:val="24"/>
          <w:szCs w:val="24"/>
        </w:rPr>
        <w:t xml:space="preserve"> the CPUC</w:t>
      </w:r>
      <w:r w:rsidRPr="00180028" w:rsidR="005A3374">
        <w:rPr>
          <w:rFonts w:ascii="Palatino Linotype" w:hAnsi="Palatino Linotype" w:eastAsia="Garamond" w:cs="Garamond"/>
          <w:sz w:val="24"/>
          <w:szCs w:val="24"/>
        </w:rPr>
        <w:t xml:space="preserve"> and Energy Safety</w:t>
      </w:r>
      <w:r w:rsidRPr="00180028" w:rsidR="006F6DF9">
        <w:rPr>
          <w:rFonts w:ascii="Palatino Linotype" w:hAnsi="Palatino Linotype" w:eastAsia="Garamond" w:cs="Garamond"/>
          <w:sz w:val="24"/>
          <w:szCs w:val="24"/>
        </w:rPr>
        <w:t xml:space="preserve">.  The TPR Process </w:t>
      </w:r>
      <w:r w:rsidRPr="00180028" w:rsidR="005A557C">
        <w:rPr>
          <w:rFonts w:ascii="Palatino Linotype" w:hAnsi="Palatino Linotype" w:eastAsia="Garamond" w:cs="Garamond"/>
          <w:sz w:val="24"/>
          <w:szCs w:val="24"/>
        </w:rPr>
        <w:t xml:space="preserve">will include fire-related data, including whether projects are in high fire threat areas or are components of the approved WMP. </w:t>
      </w:r>
      <w:r w:rsidRPr="00180028" w:rsidR="00304134">
        <w:rPr>
          <w:rFonts w:ascii="Palatino Linotype" w:hAnsi="Palatino Linotype" w:eastAsia="Garamond" w:cs="Garamond"/>
          <w:sz w:val="24"/>
          <w:szCs w:val="24"/>
        </w:rPr>
        <w:t xml:space="preserve"> </w:t>
      </w:r>
      <w:r w:rsidRPr="00180028" w:rsidR="005A3374">
        <w:rPr>
          <w:rFonts w:ascii="Palatino Linotype" w:hAnsi="Palatino Linotype" w:eastAsia="Garamond" w:cs="Garamond"/>
          <w:sz w:val="24"/>
          <w:szCs w:val="24"/>
        </w:rPr>
        <w:t>It</w:t>
      </w:r>
      <w:r w:rsidRPr="00180028" w:rsidR="00304134">
        <w:rPr>
          <w:rFonts w:ascii="Palatino Linotype" w:hAnsi="Palatino Linotype" w:eastAsia="Garamond" w:cs="Garamond"/>
          <w:sz w:val="24"/>
          <w:szCs w:val="24"/>
        </w:rPr>
        <w:t xml:space="preserve"> is important to be able to </w:t>
      </w:r>
      <w:r w:rsidRPr="00180028" w:rsidR="004D5381">
        <w:rPr>
          <w:rFonts w:ascii="Palatino Linotype" w:hAnsi="Palatino Linotype" w:eastAsia="Garamond" w:cs="Garamond"/>
          <w:sz w:val="24"/>
          <w:szCs w:val="24"/>
        </w:rPr>
        <w:t xml:space="preserve">effectively implement projects for safety, reliability, and resiliency, and to ensure such projects are implemented in a cost-effective manner.  </w:t>
      </w:r>
      <w:r w:rsidRPr="00180028" w:rsidR="006F6DF9">
        <w:rPr>
          <w:rFonts w:ascii="Palatino Linotype" w:hAnsi="Palatino Linotype" w:eastAsia="Garamond" w:cs="Garamond"/>
          <w:sz w:val="24"/>
          <w:szCs w:val="24"/>
        </w:rPr>
        <w:t>As the WMP</w:t>
      </w:r>
      <w:r w:rsidRPr="00180028" w:rsidR="005A557C">
        <w:rPr>
          <w:rFonts w:ascii="Palatino Linotype" w:hAnsi="Palatino Linotype" w:eastAsia="Garamond" w:cs="Garamond"/>
          <w:sz w:val="24"/>
          <w:szCs w:val="24"/>
        </w:rPr>
        <w:t>s</w:t>
      </w:r>
      <w:r w:rsidRPr="00180028" w:rsidR="006F6DF9">
        <w:rPr>
          <w:rFonts w:ascii="Palatino Linotype" w:hAnsi="Palatino Linotype" w:eastAsia="Garamond" w:cs="Garamond"/>
          <w:sz w:val="24"/>
          <w:szCs w:val="24"/>
        </w:rPr>
        <w:t xml:space="preserve"> include </w:t>
      </w:r>
      <w:r w:rsidRPr="00180028" w:rsidR="005A3374">
        <w:rPr>
          <w:rFonts w:ascii="Palatino Linotype" w:hAnsi="Palatino Linotype" w:eastAsia="Garamond" w:cs="Garamond"/>
          <w:sz w:val="24"/>
          <w:szCs w:val="24"/>
        </w:rPr>
        <w:t>work</w:t>
      </w:r>
      <w:r w:rsidRPr="00180028" w:rsidR="006F6DF9">
        <w:rPr>
          <w:rFonts w:ascii="Palatino Linotype" w:hAnsi="Palatino Linotype" w:eastAsia="Garamond" w:cs="Garamond"/>
          <w:sz w:val="24"/>
          <w:szCs w:val="24"/>
        </w:rPr>
        <w:t xml:space="preserve"> on </w:t>
      </w:r>
      <w:r w:rsidRPr="00180028" w:rsidR="006F6DF9">
        <w:rPr>
          <w:rFonts w:ascii="Palatino Linotype" w:hAnsi="Palatino Linotype" w:eastAsia="Garamond" w:cs="Garamond"/>
          <w:sz w:val="24"/>
          <w:szCs w:val="24"/>
        </w:rPr>
        <w:lastRenderedPageBreak/>
        <w:t>both the distribution and transmission systems,</w:t>
      </w:r>
      <w:r w:rsidRPr="00180028" w:rsidR="005A557C">
        <w:rPr>
          <w:rFonts w:ascii="Palatino Linotype" w:hAnsi="Palatino Linotype" w:eastAsia="Garamond" w:cs="Garamond"/>
          <w:sz w:val="24"/>
          <w:szCs w:val="24"/>
        </w:rPr>
        <w:t xml:space="preserve"> the TPR Process provides useful information to the CPUC</w:t>
      </w:r>
      <w:r w:rsidRPr="00180028" w:rsidR="00310CF6">
        <w:rPr>
          <w:rFonts w:ascii="Palatino Linotype" w:hAnsi="Palatino Linotype" w:eastAsia="Garamond" w:cs="Garamond"/>
          <w:sz w:val="24"/>
          <w:szCs w:val="24"/>
        </w:rPr>
        <w:t>, Energy Safety,</w:t>
      </w:r>
      <w:r w:rsidRPr="00180028" w:rsidR="005A557C">
        <w:rPr>
          <w:rFonts w:ascii="Palatino Linotype" w:hAnsi="Palatino Linotype" w:eastAsia="Garamond" w:cs="Garamond"/>
          <w:sz w:val="24"/>
          <w:szCs w:val="24"/>
        </w:rPr>
        <w:t xml:space="preserve"> and Stakeholders on fire-related transmission projects.</w:t>
      </w:r>
    </w:p>
    <w:p w:rsidRPr="00180028" w:rsidR="00AE0ADE" w:rsidP="00180028" w:rsidRDefault="00AE0ADE" w14:paraId="711CC3B6" w14:textId="77777777">
      <w:pPr>
        <w:pStyle w:val="standard"/>
        <w:spacing w:line="23" w:lineRule="atLeast"/>
        <w:ind w:firstLine="0"/>
        <w:rPr>
          <w:rFonts w:ascii="Palatino Linotype" w:hAnsi="Palatino Linotype" w:eastAsia="Garamond" w:cs="Garamond"/>
          <w:sz w:val="24"/>
          <w:szCs w:val="24"/>
        </w:rPr>
      </w:pPr>
    </w:p>
    <w:p w:rsidRPr="00180028" w:rsidR="003D5551" w:rsidP="00303CD4" w:rsidRDefault="009A46E3" w14:paraId="63C090B6" w14:textId="3CF6C121">
      <w:pPr>
        <w:pStyle w:val="standard"/>
        <w:spacing w:before="240" w:after="120" w:line="23" w:lineRule="atLeast"/>
        <w:ind w:firstLine="0"/>
        <w:rPr>
          <w:rFonts w:ascii="Palatino Linotype" w:hAnsi="Palatino Linotype" w:eastAsia="Garamond" w:cs="Garamond"/>
          <w:sz w:val="24"/>
          <w:szCs w:val="24"/>
        </w:rPr>
      </w:pPr>
      <w:r w:rsidRPr="00180028">
        <w:rPr>
          <w:rFonts w:ascii="Palatino Linotype" w:hAnsi="Palatino Linotype" w:eastAsia="Garamond" w:cs="Garamond"/>
          <w:sz w:val="24"/>
          <w:szCs w:val="24"/>
        </w:rPr>
        <w:t xml:space="preserve">Risk-Based </w:t>
      </w:r>
      <w:r w:rsidRPr="00180028" w:rsidR="00C359D6">
        <w:rPr>
          <w:rFonts w:ascii="Palatino Linotype" w:hAnsi="Palatino Linotype" w:eastAsia="Garamond" w:cs="Garamond"/>
          <w:sz w:val="24"/>
          <w:szCs w:val="24"/>
        </w:rPr>
        <w:t>Decision-Making</w:t>
      </w:r>
      <w:r w:rsidRPr="00180028">
        <w:rPr>
          <w:rFonts w:ascii="Palatino Linotype" w:hAnsi="Palatino Linotype" w:eastAsia="Garamond" w:cs="Garamond"/>
          <w:sz w:val="24"/>
          <w:szCs w:val="24"/>
        </w:rPr>
        <w:t xml:space="preserve"> Framework</w:t>
      </w:r>
      <w:r w:rsidRPr="00180028" w:rsidR="0040290C">
        <w:rPr>
          <w:rFonts w:ascii="Palatino Linotype" w:hAnsi="Palatino Linotype" w:eastAsia="Garamond" w:cs="Garamond"/>
          <w:sz w:val="24"/>
          <w:szCs w:val="24"/>
        </w:rPr>
        <w:t xml:space="preserve"> and Risk Assessment </w:t>
      </w:r>
      <w:r w:rsidRPr="00180028" w:rsidR="00C359D6">
        <w:rPr>
          <w:rFonts w:ascii="Palatino Linotype" w:hAnsi="Palatino Linotype" w:eastAsia="Garamond" w:cs="Garamond"/>
          <w:sz w:val="24"/>
          <w:szCs w:val="24"/>
        </w:rPr>
        <w:t xml:space="preserve">and </w:t>
      </w:r>
      <w:r w:rsidRPr="00180028" w:rsidR="0040290C">
        <w:rPr>
          <w:rFonts w:ascii="Palatino Linotype" w:hAnsi="Palatino Linotype" w:eastAsia="Garamond" w:cs="Garamond"/>
          <w:sz w:val="24"/>
          <w:szCs w:val="24"/>
        </w:rPr>
        <w:t>Mitigation Phase</w:t>
      </w:r>
      <w:r w:rsidRPr="00180028" w:rsidR="00892D4C">
        <w:rPr>
          <w:rFonts w:ascii="Palatino Linotype" w:hAnsi="Palatino Linotype" w:eastAsia="Garamond" w:cs="Garamond"/>
          <w:sz w:val="24"/>
          <w:szCs w:val="24"/>
        </w:rPr>
        <w:t xml:space="preserve"> </w:t>
      </w:r>
    </w:p>
    <w:p w:rsidRPr="00180028" w:rsidR="00BD65C4" w:rsidP="00180028" w:rsidRDefault="00F16BE8" w14:paraId="283644F1" w14:textId="564625BF">
      <w:pPr>
        <w:pStyle w:val="standard"/>
        <w:spacing w:line="23" w:lineRule="atLeast"/>
        <w:rPr>
          <w:rFonts w:ascii="Palatino Linotype" w:hAnsi="Palatino Linotype" w:cs="Arial"/>
          <w:sz w:val="24"/>
          <w:szCs w:val="24"/>
        </w:rPr>
      </w:pPr>
      <w:r w:rsidRPr="00180028">
        <w:rPr>
          <w:rFonts w:ascii="Palatino Linotype" w:hAnsi="Palatino Linotype"/>
          <w:sz w:val="24"/>
          <w:szCs w:val="24"/>
        </w:rPr>
        <w:t xml:space="preserve">In Decision </w:t>
      </w:r>
      <w:r w:rsidRPr="00180028" w:rsidR="003005ED">
        <w:rPr>
          <w:rFonts w:ascii="Palatino Linotype" w:hAnsi="Palatino Linotype"/>
          <w:sz w:val="24"/>
          <w:szCs w:val="24"/>
        </w:rPr>
        <w:t xml:space="preserve">18-12-014, the </w:t>
      </w:r>
      <w:r w:rsidRPr="00180028" w:rsidR="00E63540">
        <w:rPr>
          <w:rFonts w:ascii="Palatino Linotype" w:hAnsi="Palatino Linotype"/>
          <w:sz w:val="24"/>
          <w:szCs w:val="24"/>
        </w:rPr>
        <w:t>CPUC</w:t>
      </w:r>
      <w:r w:rsidRPr="00180028" w:rsidR="003005ED">
        <w:rPr>
          <w:rFonts w:ascii="Palatino Linotype" w:hAnsi="Palatino Linotype"/>
          <w:sz w:val="24"/>
          <w:szCs w:val="24"/>
        </w:rPr>
        <w:t xml:space="preserve"> adopted </w:t>
      </w:r>
      <w:r w:rsidRPr="00180028" w:rsidR="00CA0B63">
        <w:rPr>
          <w:rFonts w:ascii="Palatino Linotype" w:hAnsi="Palatino Linotype"/>
          <w:sz w:val="24"/>
          <w:szCs w:val="24"/>
        </w:rPr>
        <w:t>its</w:t>
      </w:r>
      <w:r w:rsidRPr="00180028">
        <w:rPr>
          <w:rFonts w:ascii="Palatino Linotype" w:hAnsi="Palatino Linotype"/>
          <w:sz w:val="24"/>
          <w:szCs w:val="24"/>
        </w:rPr>
        <w:t xml:space="preserve"> Risk-Based Decision-Making Framework (</w:t>
      </w:r>
      <w:r w:rsidRPr="00180028" w:rsidR="00764CE9">
        <w:rPr>
          <w:rFonts w:ascii="Palatino Linotype" w:hAnsi="Palatino Linotype"/>
          <w:sz w:val="24"/>
          <w:szCs w:val="24"/>
        </w:rPr>
        <w:t>“</w:t>
      </w:r>
      <w:r w:rsidRPr="00180028">
        <w:rPr>
          <w:rFonts w:ascii="Palatino Linotype" w:hAnsi="Palatino Linotype"/>
          <w:sz w:val="24"/>
          <w:szCs w:val="24"/>
        </w:rPr>
        <w:t>RDF</w:t>
      </w:r>
      <w:r w:rsidRPr="00180028" w:rsidR="00764CE9">
        <w:rPr>
          <w:rFonts w:ascii="Palatino Linotype" w:hAnsi="Palatino Linotype"/>
          <w:sz w:val="24"/>
          <w:szCs w:val="24"/>
        </w:rPr>
        <w:t>”</w:t>
      </w:r>
      <w:r w:rsidRPr="00180028">
        <w:rPr>
          <w:rFonts w:ascii="Palatino Linotype" w:hAnsi="Palatino Linotype"/>
          <w:sz w:val="24"/>
          <w:szCs w:val="24"/>
        </w:rPr>
        <w:t>)</w:t>
      </w:r>
      <w:r w:rsidRPr="00180028" w:rsidR="003005ED">
        <w:rPr>
          <w:rFonts w:ascii="Palatino Linotype" w:hAnsi="Palatino Linotype"/>
          <w:sz w:val="24"/>
          <w:szCs w:val="24"/>
        </w:rPr>
        <w:t xml:space="preserve">, which </w:t>
      </w:r>
      <w:r w:rsidRPr="00180028" w:rsidR="00EC673B">
        <w:rPr>
          <w:rFonts w:ascii="Palatino Linotype" w:hAnsi="Palatino Linotype"/>
          <w:sz w:val="24"/>
          <w:szCs w:val="24"/>
        </w:rPr>
        <w:t>since that time ha</w:t>
      </w:r>
      <w:r w:rsidRPr="00180028" w:rsidR="00CA0B63">
        <w:rPr>
          <w:rFonts w:ascii="Palatino Linotype" w:hAnsi="Palatino Linotype"/>
          <w:sz w:val="24"/>
          <w:szCs w:val="24"/>
        </w:rPr>
        <w:t xml:space="preserve">s </w:t>
      </w:r>
      <w:r w:rsidRPr="00180028" w:rsidR="009420FB">
        <w:rPr>
          <w:rFonts w:ascii="Palatino Linotype" w:hAnsi="Palatino Linotype"/>
          <w:sz w:val="24"/>
          <w:szCs w:val="24"/>
        </w:rPr>
        <w:t>required IOUs to employ a</w:t>
      </w:r>
      <w:r w:rsidRPr="00180028">
        <w:rPr>
          <w:rFonts w:ascii="Palatino Linotype" w:hAnsi="Palatino Linotype"/>
          <w:sz w:val="24"/>
          <w:szCs w:val="24"/>
        </w:rPr>
        <w:t xml:space="preserve"> Multi-Attribute Value Function </w:t>
      </w:r>
      <w:r w:rsidRPr="00180028" w:rsidR="00F1757E">
        <w:rPr>
          <w:rFonts w:ascii="Palatino Linotype" w:hAnsi="Palatino Linotype"/>
          <w:sz w:val="24"/>
          <w:szCs w:val="24"/>
        </w:rPr>
        <w:t>(</w:t>
      </w:r>
      <w:r w:rsidRPr="00180028" w:rsidR="00764CE9">
        <w:rPr>
          <w:rFonts w:ascii="Palatino Linotype" w:hAnsi="Palatino Linotype"/>
          <w:sz w:val="24"/>
          <w:szCs w:val="24"/>
        </w:rPr>
        <w:t>“</w:t>
      </w:r>
      <w:r w:rsidRPr="00180028" w:rsidR="00F1757E">
        <w:rPr>
          <w:rFonts w:ascii="Palatino Linotype" w:hAnsi="Palatino Linotype"/>
          <w:sz w:val="24"/>
          <w:szCs w:val="24"/>
        </w:rPr>
        <w:t>MAVF</w:t>
      </w:r>
      <w:r w:rsidRPr="00180028" w:rsidR="00764CE9">
        <w:rPr>
          <w:rFonts w:ascii="Palatino Linotype" w:hAnsi="Palatino Linotype"/>
          <w:sz w:val="24"/>
          <w:szCs w:val="24"/>
        </w:rPr>
        <w:t>”</w:t>
      </w:r>
      <w:r w:rsidRPr="00180028" w:rsidR="00F1757E">
        <w:rPr>
          <w:rFonts w:ascii="Palatino Linotype" w:hAnsi="Palatino Linotype"/>
          <w:sz w:val="24"/>
          <w:szCs w:val="24"/>
        </w:rPr>
        <w:t xml:space="preserve">) </w:t>
      </w:r>
      <w:r w:rsidRPr="00180028" w:rsidR="0076058F">
        <w:rPr>
          <w:rFonts w:ascii="Palatino Linotype" w:hAnsi="Palatino Linotype"/>
          <w:sz w:val="24"/>
          <w:szCs w:val="24"/>
        </w:rPr>
        <w:t xml:space="preserve">approach </w:t>
      </w:r>
      <w:r w:rsidRPr="00180028" w:rsidR="000579CC">
        <w:rPr>
          <w:rFonts w:ascii="Palatino Linotype" w:hAnsi="Palatino Linotype"/>
          <w:sz w:val="24"/>
          <w:szCs w:val="24"/>
        </w:rPr>
        <w:t>for</w:t>
      </w:r>
      <w:r w:rsidRPr="00180028" w:rsidR="00F1757E">
        <w:rPr>
          <w:rFonts w:ascii="Palatino Linotype" w:hAnsi="Palatino Linotype"/>
          <w:sz w:val="24"/>
          <w:szCs w:val="24"/>
        </w:rPr>
        <w:t xml:space="preserve"> assessing risk. </w:t>
      </w:r>
      <w:r w:rsidRPr="00180028" w:rsidR="00AD1331">
        <w:rPr>
          <w:rFonts w:ascii="Palatino Linotype" w:hAnsi="Palatino Linotype"/>
          <w:sz w:val="24"/>
          <w:szCs w:val="24"/>
        </w:rPr>
        <w:t xml:space="preserve"> </w:t>
      </w:r>
      <w:r w:rsidRPr="00180028" w:rsidR="008E196F">
        <w:rPr>
          <w:rFonts w:ascii="Palatino Linotype" w:hAnsi="Palatino Linotype"/>
          <w:sz w:val="24"/>
          <w:szCs w:val="24"/>
        </w:rPr>
        <w:t>A recent</w:t>
      </w:r>
      <w:r w:rsidRPr="00180028" w:rsidR="00AD1331">
        <w:rPr>
          <w:rFonts w:ascii="Palatino Linotype" w:hAnsi="Palatino Linotype"/>
          <w:sz w:val="24"/>
          <w:szCs w:val="24"/>
        </w:rPr>
        <w:t xml:space="preserve"> Proposed Decision in </w:t>
      </w:r>
      <w:r w:rsidRPr="00180028" w:rsidR="00DB3BF1">
        <w:rPr>
          <w:rFonts w:ascii="Palatino Linotype" w:hAnsi="Palatino Linotype"/>
          <w:sz w:val="24"/>
          <w:szCs w:val="24"/>
        </w:rPr>
        <w:t>Rulemaking 20-07-013 seeks to remedy th</w:t>
      </w:r>
      <w:r w:rsidRPr="00180028" w:rsidR="009A39DC">
        <w:rPr>
          <w:rFonts w:ascii="Palatino Linotype" w:hAnsi="Palatino Linotype"/>
          <w:sz w:val="24"/>
          <w:szCs w:val="24"/>
        </w:rPr>
        <w:t>e</w:t>
      </w:r>
      <w:r w:rsidRPr="00180028" w:rsidR="00DB3BF1">
        <w:rPr>
          <w:rFonts w:ascii="Palatino Linotype" w:hAnsi="Palatino Linotype"/>
          <w:sz w:val="24"/>
          <w:szCs w:val="24"/>
        </w:rPr>
        <w:t xml:space="preserve"> fact that “</w:t>
      </w:r>
      <w:r w:rsidRPr="00180028" w:rsidR="00AD1331">
        <w:rPr>
          <w:rFonts w:ascii="Palatino Linotype" w:hAnsi="Palatino Linotype"/>
          <w:sz w:val="24"/>
          <w:szCs w:val="24"/>
        </w:rPr>
        <w:t xml:space="preserve">unitless Risk Scores required in the MAVF approach have made it difficult to interpret IOUs’ RAMP </w:t>
      </w:r>
      <w:r w:rsidRPr="00180028" w:rsidR="00957CCE">
        <w:rPr>
          <w:rFonts w:ascii="Palatino Linotype" w:hAnsi="Palatino Linotype"/>
          <w:sz w:val="24"/>
          <w:szCs w:val="24"/>
        </w:rPr>
        <w:t xml:space="preserve">[Risk Assessment and Mitigation Phase] </w:t>
      </w:r>
      <w:r w:rsidRPr="00180028" w:rsidR="00AD1331">
        <w:rPr>
          <w:rFonts w:ascii="Palatino Linotype" w:hAnsi="Palatino Linotype"/>
          <w:sz w:val="24"/>
          <w:szCs w:val="24"/>
        </w:rPr>
        <w:t>filings and have not adequately supported transparency</w:t>
      </w:r>
      <w:r w:rsidRPr="00180028" w:rsidR="009A39DC">
        <w:rPr>
          <w:rFonts w:ascii="Palatino Linotype" w:hAnsi="Palatino Linotype"/>
          <w:sz w:val="24"/>
          <w:szCs w:val="24"/>
        </w:rPr>
        <w:t>”</w:t>
      </w:r>
      <w:r w:rsidRPr="00180028" w:rsidR="009A39DC">
        <w:rPr>
          <w:rStyle w:val="FootnoteReference"/>
          <w:rFonts w:ascii="Palatino Linotype" w:hAnsi="Palatino Linotype"/>
          <w:sz w:val="24"/>
          <w:szCs w:val="24"/>
        </w:rPr>
        <w:footnoteReference w:id="19"/>
      </w:r>
      <w:r w:rsidRPr="00180028" w:rsidR="000579CC">
        <w:rPr>
          <w:rFonts w:ascii="Palatino Linotype" w:hAnsi="Palatino Linotype"/>
          <w:sz w:val="24"/>
          <w:szCs w:val="24"/>
        </w:rPr>
        <w:t xml:space="preserve"> </w:t>
      </w:r>
      <w:r w:rsidRPr="00180028" w:rsidR="00563CA1">
        <w:rPr>
          <w:rFonts w:ascii="Palatino Linotype" w:hAnsi="Palatino Linotype"/>
          <w:sz w:val="24"/>
          <w:szCs w:val="24"/>
        </w:rPr>
        <w:t xml:space="preserve">by adopting a </w:t>
      </w:r>
      <w:r w:rsidRPr="00180028">
        <w:rPr>
          <w:rFonts w:ascii="Palatino Linotype" w:hAnsi="Palatino Linotype"/>
          <w:sz w:val="24"/>
          <w:szCs w:val="24"/>
        </w:rPr>
        <w:t xml:space="preserve">Cost-Benefit Approach that </w:t>
      </w:r>
      <w:r w:rsidRPr="00180028" w:rsidR="00563CA1">
        <w:rPr>
          <w:rFonts w:ascii="Palatino Linotype" w:hAnsi="Palatino Linotype"/>
          <w:sz w:val="24"/>
          <w:szCs w:val="24"/>
        </w:rPr>
        <w:t>among other things requires</w:t>
      </w:r>
      <w:r w:rsidRPr="00180028">
        <w:rPr>
          <w:rFonts w:ascii="Palatino Linotype" w:hAnsi="Palatino Linotype"/>
          <w:sz w:val="24"/>
          <w:szCs w:val="24"/>
        </w:rPr>
        <w:t xml:space="preserve"> standardized dollar valuations of Safety </w:t>
      </w:r>
      <w:r w:rsidRPr="00180028" w:rsidR="00563CA1">
        <w:rPr>
          <w:rFonts w:ascii="Palatino Linotype" w:hAnsi="Palatino Linotype"/>
          <w:sz w:val="24"/>
          <w:szCs w:val="24"/>
        </w:rPr>
        <w:t xml:space="preserve">and </w:t>
      </w:r>
      <w:r w:rsidRPr="00180028">
        <w:rPr>
          <w:rFonts w:ascii="Palatino Linotype" w:hAnsi="Palatino Linotype"/>
          <w:sz w:val="24"/>
          <w:szCs w:val="24"/>
        </w:rPr>
        <w:t xml:space="preserve">Electric Reliability Consequences from Risk Events. </w:t>
      </w:r>
      <w:r w:rsidRPr="00180028" w:rsidR="009A71D9">
        <w:rPr>
          <w:rFonts w:ascii="Palatino Linotype" w:hAnsi="Palatino Linotype"/>
          <w:sz w:val="24"/>
          <w:szCs w:val="24"/>
        </w:rPr>
        <w:t xml:space="preserve"> </w:t>
      </w:r>
      <w:r w:rsidRPr="00180028" w:rsidR="00D94FBE">
        <w:rPr>
          <w:rFonts w:ascii="Palatino Linotype" w:hAnsi="Palatino Linotype"/>
          <w:sz w:val="24"/>
          <w:szCs w:val="24"/>
        </w:rPr>
        <w:t>A</w:t>
      </w:r>
      <w:r w:rsidRPr="00180028" w:rsidR="00AF0F17">
        <w:rPr>
          <w:rFonts w:ascii="Palatino Linotype" w:hAnsi="Palatino Linotype"/>
          <w:sz w:val="24"/>
          <w:szCs w:val="24"/>
        </w:rPr>
        <w:t xml:space="preserve"> Cost-Benefit Approach</w:t>
      </w:r>
      <w:r w:rsidRPr="00180028" w:rsidR="00407F84">
        <w:rPr>
          <w:rFonts w:ascii="Palatino Linotype" w:hAnsi="Palatino Linotype"/>
          <w:sz w:val="24"/>
          <w:szCs w:val="24"/>
        </w:rPr>
        <w:t xml:space="preserve"> w</w:t>
      </w:r>
      <w:r w:rsidRPr="00180028" w:rsidR="006C0624">
        <w:rPr>
          <w:rFonts w:ascii="Palatino Linotype" w:hAnsi="Palatino Linotype"/>
          <w:sz w:val="24"/>
          <w:szCs w:val="24"/>
        </w:rPr>
        <w:t>ould</w:t>
      </w:r>
      <w:r w:rsidRPr="00180028" w:rsidR="00AF0F17">
        <w:rPr>
          <w:rFonts w:ascii="Palatino Linotype" w:hAnsi="Palatino Linotype"/>
          <w:sz w:val="24"/>
          <w:szCs w:val="24"/>
        </w:rPr>
        <w:t xml:space="preserve"> </w:t>
      </w:r>
      <w:r w:rsidRPr="00180028" w:rsidR="00502BB3">
        <w:rPr>
          <w:rFonts w:ascii="Palatino Linotype" w:hAnsi="Palatino Linotype"/>
          <w:sz w:val="24"/>
          <w:szCs w:val="24"/>
        </w:rPr>
        <w:t xml:space="preserve">be </w:t>
      </w:r>
      <w:r w:rsidRPr="00180028" w:rsidR="009D427E">
        <w:rPr>
          <w:rFonts w:ascii="Palatino Linotype" w:hAnsi="Palatino Linotype"/>
          <w:sz w:val="24"/>
          <w:szCs w:val="24"/>
        </w:rPr>
        <w:t>used</w:t>
      </w:r>
      <w:r w:rsidRPr="00180028" w:rsidR="00502BB3">
        <w:rPr>
          <w:rFonts w:ascii="Palatino Linotype" w:hAnsi="Palatino Linotype"/>
          <w:sz w:val="24"/>
          <w:szCs w:val="24"/>
        </w:rPr>
        <w:t xml:space="preserve"> to determine</w:t>
      </w:r>
      <w:r w:rsidRPr="00180028" w:rsidR="00AF0F17">
        <w:rPr>
          <w:rFonts w:ascii="Palatino Linotype" w:hAnsi="Palatino Linotype"/>
          <w:sz w:val="24"/>
          <w:szCs w:val="24"/>
        </w:rPr>
        <w:t xml:space="preserve"> </w:t>
      </w:r>
      <w:r w:rsidRPr="00180028" w:rsidR="0091668F">
        <w:rPr>
          <w:rFonts w:ascii="Palatino Linotype" w:hAnsi="Palatino Linotype"/>
          <w:sz w:val="24"/>
          <w:szCs w:val="24"/>
        </w:rPr>
        <w:t>whether</w:t>
      </w:r>
      <w:r w:rsidRPr="00180028" w:rsidR="00AF0F17">
        <w:rPr>
          <w:rFonts w:ascii="Palatino Linotype" w:hAnsi="Palatino Linotype"/>
          <w:sz w:val="24"/>
          <w:szCs w:val="24"/>
        </w:rPr>
        <w:t xml:space="preserve"> Benefits or Mitigation Risk Reduction</w:t>
      </w:r>
      <w:r w:rsidRPr="00180028" w:rsidR="009D427E">
        <w:rPr>
          <w:rFonts w:ascii="Palatino Linotype" w:hAnsi="Palatino Linotype"/>
          <w:sz w:val="24"/>
          <w:szCs w:val="24"/>
        </w:rPr>
        <w:t xml:space="preserve">, </w:t>
      </w:r>
      <w:r w:rsidRPr="00180028" w:rsidR="00AF0F17">
        <w:rPr>
          <w:rFonts w:ascii="Palatino Linotype" w:hAnsi="Palatino Linotype"/>
          <w:sz w:val="24"/>
          <w:szCs w:val="24"/>
        </w:rPr>
        <w:t>expressed in dollars</w:t>
      </w:r>
      <w:r w:rsidRPr="00180028" w:rsidR="009D427E">
        <w:rPr>
          <w:rFonts w:ascii="Palatino Linotype" w:hAnsi="Palatino Linotype"/>
          <w:sz w:val="24"/>
          <w:szCs w:val="24"/>
        </w:rPr>
        <w:t>,</w:t>
      </w:r>
      <w:r w:rsidRPr="00180028" w:rsidR="00AF0F17">
        <w:rPr>
          <w:rFonts w:ascii="Palatino Linotype" w:hAnsi="Palatino Linotype"/>
          <w:sz w:val="24"/>
          <w:szCs w:val="24"/>
        </w:rPr>
        <w:t xml:space="preserve"> exceed Costs without having to rank</w:t>
      </w:r>
      <w:r w:rsidRPr="00180028" w:rsidR="00E554A2">
        <w:rPr>
          <w:rFonts w:ascii="Palatino Linotype" w:hAnsi="Palatino Linotype"/>
          <w:sz w:val="24"/>
          <w:szCs w:val="24"/>
        </w:rPr>
        <w:t xml:space="preserve"> mitigations</w:t>
      </w:r>
      <w:r w:rsidRPr="00180028" w:rsidR="00AF0F17">
        <w:rPr>
          <w:rFonts w:ascii="Palatino Linotype" w:hAnsi="Palatino Linotype"/>
          <w:sz w:val="24"/>
          <w:szCs w:val="24"/>
        </w:rPr>
        <w:t xml:space="preserve"> against </w:t>
      </w:r>
      <w:r w:rsidRPr="00180028" w:rsidR="00E554A2">
        <w:rPr>
          <w:rFonts w:ascii="Palatino Linotype" w:hAnsi="Palatino Linotype"/>
          <w:sz w:val="24"/>
          <w:szCs w:val="24"/>
        </w:rPr>
        <w:t>one an</w:t>
      </w:r>
      <w:r w:rsidRPr="00180028" w:rsidR="00AF0F17">
        <w:rPr>
          <w:rFonts w:ascii="Palatino Linotype" w:hAnsi="Palatino Linotype"/>
          <w:sz w:val="24"/>
          <w:szCs w:val="24"/>
        </w:rPr>
        <w:t>other</w:t>
      </w:r>
      <w:r w:rsidRPr="00180028" w:rsidR="0091668F">
        <w:rPr>
          <w:rFonts w:ascii="Palatino Linotype" w:hAnsi="Palatino Linotype"/>
          <w:sz w:val="24"/>
          <w:szCs w:val="24"/>
        </w:rPr>
        <w:t xml:space="preserve">.  </w:t>
      </w:r>
      <w:r w:rsidRPr="00180028" w:rsidR="00AC17E7">
        <w:rPr>
          <w:rFonts w:ascii="Palatino Linotype" w:hAnsi="Palatino Linotype"/>
          <w:sz w:val="24"/>
          <w:szCs w:val="24"/>
        </w:rPr>
        <w:t>The new approach would</w:t>
      </w:r>
      <w:r w:rsidRPr="00180028">
        <w:rPr>
          <w:rFonts w:ascii="Palatino Linotype" w:hAnsi="Palatino Linotype"/>
          <w:sz w:val="24"/>
          <w:szCs w:val="24"/>
        </w:rPr>
        <w:t xml:space="preserve"> require PG&amp;E, </w:t>
      </w:r>
      <w:r w:rsidRPr="00180028" w:rsidR="00AC17E7">
        <w:rPr>
          <w:rFonts w:ascii="Palatino Linotype" w:hAnsi="Palatino Linotype"/>
          <w:sz w:val="24"/>
          <w:szCs w:val="24"/>
        </w:rPr>
        <w:t>SCE</w:t>
      </w:r>
      <w:r w:rsidRPr="00180028">
        <w:rPr>
          <w:rFonts w:ascii="Palatino Linotype" w:hAnsi="Palatino Linotype"/>
          <w:sz w:val="24"/>
          <w:szCs w:val="24"/>
        </w:rPr>
        <w:t>,</w:t>
      </w:r>
      <w:r w:rsidRPr="00180028" w:rsidR="00251295">
        <w:rPr>
          <w:rFonts w:ascii="Palatino Linotype" w:hAnsi="Palatino Linotype"/>
          <w:sz w:val="24"/>
          <w:szCs w:val="24"/>
        </w:rPr>
        <w:t xml:space="preserve"> </w:t>
      </w:r>
      <w:r w:rsidRPr="00180028" w:rsidR="007C4CA0">
        <w:rPr>
          <w:rFonts w:ascii="Palatino Linotype" w:hAnsi="Palatino Linotype"/>
          <w:sz w:val="24"/>
          <w:szCs w:val="24"/>
        </w:rPr>
        <w:t xml:space="preserve">and </w:t>
      </w:r>
      <w:r w:rsidRPr="00180028" w:rsidR="003D1236">
        <w:rPr>
          <w:rFonts w:ascii="Palatino Linotype" w:hAnsi="Palatino Linotype"/>
          <w:sz w:val="24"/>
          <w:szCs w:val="24"/>
        </w:rPr>
        <w:t>SDG&amp;E</w:t>
      </w:r>
      <w:r w:rsidRPr="00180028">
        <w:rPr>
          <w:rFonts w:ascii="Palatino Linotype" w:hAnsi="Palatino Linotype"/>
          <w:sz w:val="24"/>
          <w:szCs w:val="24"/>
        </w:rPr>
        <w:t xml:space="preserve"> to implement the modified RDF to assess and rank risks and mitigations in their RAMP</w:t>
      </w:r>
      <w:r w:rsidRPr="00180028" w:rsidR="00957CCE">
        <w:rPr>
          <w:rFonts w:ascii="Palatino Linotype" w:hAnsi="Palatino Linotype"/>
          <w:sz w:val="24"/>
          <w:szCs w:val="24"/>
        </w:rPr>
        <w:t xml:space="preserve"> filings.  </w:t>
      </w:r>
      <w:r w:rsidRPr="00180028" w:rsidR="00A00498">
        <w:rPr>
          <w:rFonts w:ascii="Palatino Linotype" w:hAnsi="Palatino Linotype"/>
          <w:sz w:val="24"/>
          <w:szCs w:val="24"/>
        </w:rPr>
        <w:t>For</w:t>
      </w:r>
      <w:r w:rsidRPr="00180028" w:rsidR="005A679C">
        <w:rPr>
          <w:rFonts w:ascii="Palatino Linotype" w:hAnsi="Palatino Linotype"/>
          <w:sz w:val="24"/>
          <w:szCs w:val="24"/>
        </w:rPr>
        <w:t xml:space="preserve"> transmission</w:t>
      </w:r>
      <w:r w:rsidRPr="00180028" w:rsidR="00A00498">
        <w:rPr>
          <w:rFonts w:ascii="Palatino Linotype" w:hAnsi="Palatino Linotype"/>
          <w:sz w:val="24"/>
          <w:szCs w:val="24"/>
        </w:rPr>
        <w:t xml:space="preserve"> </w:t>
      </w:r>
      <w:r w:rsidRPr="00180028" w:rsidR="00080050">
        <w:rPr>
          <w:rFonts w:ascii="Palatino Linotype" w:hAnsi="Palatino Linotype"/>
          <w:sz w:val="24"/>
          <w:szCs w:val="24"/>
        </w:rPr>
        <w:t>S</w:t>
      </w:r>
      <w:r w:rsidRPr="00180028" w:rsidR="00A00498">
        <w:rPr>
          <w:rFonts w:ascii="Palatino Linotype" w:hAnsi="Palatino Linotype"/>
          <w:sz w:val="24"/>
          <w:szCs w:val="24"/>
        </w:rPr>
        <w:t>takeholders to have a clear sense of the assumptions used in planning</w:t>
      </w:r>
      <w:r w:rsidRPr="00180028" w:rsidR="002563DF">
        <w:rPr>
          <w:rFonts w:ascii="Palatino Linotype" w:hAnsi="Palatino Linotype"/>
          <w:sz w:val="24"/>
          <w:szCs w:val="24"/>
        </w:rPr>
        <w:t>, prioritizing</w:t>
      </w:r>
      <w:r w:rsidRPr="00180028" w:rsidR="00A00498">
        <w:rPr>
          <w:rFonts w:ascii="Palatino Linotype" w:hAnsi="Palatino Linotype"/>
          <w:sz w:val="24"/>
          <w:szCs w:val="24"/>
        </w:rPr>
        <w:t xml:space="preserve"> and approving transmission projects, the TPR Process </w:t>
      </w:r>
      <w:r w:rsidRPr="00180028" w:rsidR="002563DF">
        <w:rPr>
          <w:rFonts w:ascii="Palatino Linotype" w:hAnsi="Palatino Linotype"/>
          <w:sz w:val="24"/>
          <w:szCs w:val="24"/>
        </w:rPr>
        <w:t>will include i</w:t>
      </w:r>
      <w:r w:rsidRPr="00180028" w:rsidR="00967455">
        <w:rPr>
          <w:rFonts w:ascii="Palatino Linotype" w:hAnsi="Palatino Linotype"/>
          <w:sz w:val="24"/>
          <w:szCs w:val="24"/>
        </w:rPr>
        <w:t xml:space="preserve">nformation on how each transmission owner </w:t>
      </w:r>
      <w:r w:rsidRPr="00180028" w:rsidR="005A679C">
        <w:rPr>
          <w:rFonts w:ascii="Palatino Linotype" w:hAnsi="Palatino Linotype"/>
          <w:sz w:val="24"/>
          <w:szCs w:val="24"/>
        </w:rPr>
        <w:t xml:space="preserve">has </w:t>
      </w:r>
      <w:r w:rsidRPr="00180028" w:rsidR="00967455">
        <w:rPr>
          <w:rFonts w:ascii="Palatino Linotype" w:hAnsi="Palatino Linotype"/>
          <w:sz w:val="24"/>
          <w:szCs w:val="24"/>
        </w:rPr>
        <w:t>applied</w:t>
      </w:r>
      <w:r w:rsidRPr="00180028" w:rsidR="009B5D15">
        <w:rPr>
          <w:rFonts w:ascii="Palatino Linotype" w:hAnsi="Palatino Linotype"/>
          <w:sz w:val="24"/>
          <w:szCs w:val="24"/>
        </w:rPr>
        <w:t xml:space="preserve"> the most current </w:t>
      </w:r>
      <w:r w:rsidRPr="00180028" w:rsidR="00DA2DD7">
        <w:rPr>
          <w:rFonts w:ascii="Palatino Linotype" w:hAnsi="Palatino Linotype"/>
          <w:sz w:val="24"/>
          <w:szCs w:val="24"/>
        </w:rPr>
        <w:t>RDF</w:t>
      </w:r>
      <w:r w:rsidRPr="00180028" w:rsidR="00DE232E">
        <w:rPr>
          <w:rFonts w:ascii="Palatino Linotype" w:hAnsi="Palatino Linotype"/>
          <w:sz w:val="24"/>
          <w:szCs w:val="24"/>
        </w:rPr>
        <w:t xml:space="preserve"> to</w:t>
      </w:r>
      <w:r w:rsidRPr="00180028" w:rsidR="00D67FDB">
        <w:rPr>
          <w:rFonts w:ascii="Palatino Linotype" w:hAnsi="Palatino Linotype"/>
          <w:sz w:val="24"/>
          <w:szCs w:val="24"/>
        </w:rPr>
        <w:t xml:space="preserve"> each project</w:t>
      </w:r>
      <w:r w:rsidRPr="00180028" w:rsidR="009B5D15">
        <w:rPr>
          <w:rFonts w:ascii="Palatino Linotype" w:hAnsi="Palatino Linotype"/>
          <w:sz w:val="24"/>
          <w:szCs w:val="24"/>
        </w:rPr>
        <w:t xml:space="preserve">. </w:t>
      </w:r>
    </w:p>
    <w:p w:rsidRPr="00180028" w:rsidR="0040290C" w:rsidP="00180028" w:rsidRDefault="0040290C" w14:paraId="0A641045" w14:textId="77777777">
      <w:pPr>
        <w:pStyle w:val="standard"/>
        <w:spacing w:line="23" w:lineRule="atLeast"/>
        <w:ind w:firstLine="0"/>
        <w:jc w:val="both"/>
        <w:rPr>
          <w:rFonts w:ascii="Palatino Linotype" w:hAnsi="Palatino Linotype" w:cs="Arial"/>
          <w:sz w:val="24"/>
          <w:szCs w:val="24"/>
        </w:rPr>
      </w:pPr>
    </w:p>
    <w:p w:rsidRPr="00180028" w:rsidR="00AA2F97" w:rsidP="00303CD4" w:rsidRDefault="0006536D" w14:paraId="4E86480C" w14:textId="3AC31E4B">
      <w:pPr>
        <w:pStyle w:val="Heading1"/>
        <w:spacing w:before="240" w:line="23" w:lineRule="atLeast"/>
        <w:jc w:val="both"/>
        <w:rPr>
          <w:rFonts w:ascii="Palatino Linotype" w:hAnsi="Palatino Linotype"/>
          <w:sz w:val="24"/>
          <w:szCs w:val="24"/>
        </w:rPr>
      </w:pPr>
      <w:r w:rsidRPr="00180028">
        <w:rPr>
          <w:rFonts w:ascii="Palatino Linotype" w:hAnsi="Palatino Linotype"/>
          <w:sz w:val="24"/>
          <w:szCs w:val="24"/>
        </w:rPr>
        <w:t>notice</w:t>
      </w:r>
    </w:p>
    <w:p w:rsidRPr="00180028" w:rsidR="00AA2F97" w:rsidP="00180028" w:rsidRDefault="00D0449A" w14:paraId="220B24E3" w14:textId="0A60F85F">
      <w:pPr>
        <w:spacing w:line="23" w:lineRule="atLeast"/>
        <w:rPr>
          <w:rFonts w:ascii="Palatino Linotype" w:hAnsi="Palatino Linotype"/>
          <w:sz w:val="24"/>
          <w:szCs w:val="24"/>
        </w:rPr>
      </w:pPr>
      <w:r w:rsidRPr="00180028">
        <w:rPr>
          <w:rFonts w:ascii="Palatino Linotype" w:hAnsi="Palatino Linotype"/>
          <w:sz w:val="24"/>
          <w:szCs w:val="24"/>
        </w:rPr>
        <w:t xml:space="preserve">This Draft Resolution is being served on </w:t>
      </w:r>
      <w:r w:rsidRPr="00180028" w:rsidR="001842D1">
        <w:rPr>
          <w:rFonts w:ascii="Palatino Linotype" w:hAnsi="Palatino Linotype"/>
          <w:sz w:val="24"/>
          <w:szCs w:val="24"/>
        </w:rPr>
        <w:t>s</w:t>
      </w:r>
      <w:r w:rsidRPr="00180028">
        <w:rPr>
          <w:rFonts w:ascii="Palatino Linotype" w:hAnsi="Palatino Linotype"/>
          <w:sz w:val="24"/>
          <w:szCs w:val="24"/>
        </w:rPr>
        <w:t xml:space="preserve">ervice lists in the following CPUC proceedings: A.19-08-013, A.21-06-021, A.22-05-016, I.00-11-001, R.20-05-003, and </w:t>
      </w:r>
      <w:r w:rsidR="00303CD4">
        <w:rPr>
          <w:rFonts w:ascii="Palatino Linotype" w:hAnsi="Palatino Linotype"/>
          <w:sz w:val="24"/>
          <w:szCs w:val="24"/>
        </w:rPr>
        <w:br/>
      </w:r>
      <w:r w:rsidRPr="00180028">
        <w:rPr>
          <w:rFonts w:ascii="Palatino Linotype" w:hAnsi="Palatino Linotype"/>
          <w:sz w:val="24"/>
          <w:szCs w:val="24"/>
        </w:rPr>
        <w:t>R.20-07-013.</w:t>
      </w:r>
    </w:p>
    <w:p w:rsidRPr="00180028" w:rsidR="00D0449A" w:rsidP="00180028" w:rsidRDefault="00D0449A" w14:paraId="77B161DB" w14:textId="77777777">
      <w:pPr>
        <w:autoSpaceDE w:val="0"/>
        <w:autoSpaceDN w:val="0"/>
        <w:adjustRightInd w:val="0"/>
        <w:spacing w:line="23" w:lineRule="atLeast"/>
        <w:jc w:val="both"/>
        <w:rPr>
          <w:rFonts w:ascii="Palatino Linotype" w:hAnsi="Palatino Linotype" w:cs="TimesNewRoman"/>
          <w:sz w:val="24"/>
          <w:szCs w:val="24"/>
        </w:rPr>
      </w:pPr>
    </w:p>
    <w:p w:rsidRPr="00180028" w:rsidR="001C538D" w:rsidP="00303CD4" w:rsidRDefault="001C538D" w14:paraId="6238EB82" w14:textId="77777777">
      <w:pPr>
        <w:pStyle w:val="Heading1"/>
        <w:spacing w:before="240" w:line="23" w:lineRule="atLeast"/>
        <w:jc w:val="both"/>
        <w:rPr>
          <w:rFonts w:ascii="Palatino Linotype" w:hAnsi="Palatino Linotype"/>
          <w:sz w:val="24"/>
          <w:szCs w:val="24"/>
        </w:rPr>
      </w:pPr>
      <w:r w:rsidRPr="00180028">
        <w:rPr>
          <w:rFonts w:ascii="Palatino Linotype" w:hAnsi="Palatino Linotype"/>
          <w:sz w:val="24"/>
          <w:szCs w:val="24"/>
        </w:rPr>
        <w:t>Discussion</w:t>
      </w:r>
    </w:p>
    <w:p w:rsidRPr="00180028" w:rsidR="00BD65C4" w:rsidP="00180028" w:rsidRDefault="00546891" w14:paraId="62D17CBA" w14:textId="4615DC3D">
      <w:pPr>
        <w:spacing w:line="23" w:lineRule="atLeast"/>
        <w:ind w:firstLine="720"/>
        <w:rPr>
          <w:rFonts w:ascii="Palatino Linotype" w:hAnsi="Palatino Linotype" w:eastAsia="Garamond"/>
          <w:sz w:val="24"/>
          <w:szCs w:val="24"/>
        </w:rPr>
      </w:pPr>
      <w:r w:rsidRPr="00180028">
        <w:rPr>
          <w:rFonts w:ascii="Palatino Linotype" w:hAnsi="Palatino Linotype" w:eastAsia="Garamond" w:cs="Garamond"/>
          <w:sz w:val="24"/>
          <w:szCs w:val="24"/>
        </w:rPr>
        <w:t>With this Resolution</w:t>
      </w:r>
      <w:r w:rsidRPr="00180028" w:rsidR="00BD65C4">
        <w:rPr>
          <w:rFonts w:ascii="Palatino Linotype" w:hAnsi="Palatino Linotype" w:eastAsia="Garamond" w:cs="Garamond"/>
          <w:sz w:val="24"/>
          <w:szCs w:val="24"/>
        </w:rPr>
        <w:t xml:space="preserve">, the Commission </w:t>
      </w:r>
      <w:r w:rsidRPr="00180028" w:rsidR="001C41FC">
        <w:rPr>
          <w:rFonts w:ascii="Palatino Linotype" w:hAnsi="Palatino Linotype" w:eastAsia="Garamond" w:cs="Garamond"/>
          <w:sz w:val="24"/>
          <w:szCs w:val="24"/>
        </w:rPr>
        <w:t>is establishing</w:t>
      </w:r>
      <w:r w:rsidRPr="00180028" w:rsidR="00BD65C4">
        <w:rPr>
          <w:rFonts w:ascii="Palatino Linotype" w:hAnsi="Palatino Linotype" w:eastAsia="Garamond" w:cs="Garamond"/>
          <w:sz w:val="24"/>
          <w:szCs w:val="24"/>
        </w:rPr>
        <w:t xml:space="preserve"> </w:t>
      </w:r>
      <w:r w:rsidRPr="00180028" w:rsidR="001C41FC">
        <w:rPr>
          <w:rFonts w:ascii="Palatino Linotype" w:hAnsi="Palatino Linotype" w:eastAsia="Garamond" w:cs="Garamond"/>
          <w:sz w:val="24"/>
          <w:szCs w:val="24"/>
        </w:rPr>
        <w:t>the</w:t>
      </w:r>
      <w:r w:rsidRPr="00180028" w:rsidR="00BD65C4">
        <w:rPr>
          <w:rFonts w:ascii="Palatino Linotype" w:hAnsi="Palatino Linotype" w:eastAsia="Garamond" w:cs="Garamond"/>
          <w:sz w:val="24"/>
          <w:szCs w:val="24"/>
        </w:rPr>
        <w:t xml:space="preserve"> T</w:t>
      </w:r>
      <w:r w:rsidRPr="00180028" w:rsidR="00B959EC">
        <w:rPr>
          <w:rFonts w:ascii="Palatino Linotype" w:hAnsi="Palatino Linotype" w:eastAsia="Garamond" w:cs="Garamond"/>
          <w:sz w:val="24"/>
          <w:szCs w:val="24"/>
        </w:rPr>
        <w:t xml:space="preserve">ransmission </w:t>
      </w:r>
      <w:r w:rsidRPr="00180028" w:rsidR="00BD65C4">
        <w:rPr>
          <w:rFonts w:ascii="Palatino Linotype" w:hAnsi="Palatino Linotype" w:eastAsia="Garamond" w:cs="Garamond"/>
          <w:sz w:val="24"/>
          <w:szCs w:val="24"/>
        </w:rPr>
        <w:t>P</w:t>
      </w:r>
      <w:r w:rsidRPr="00180028" w:rsidR="00B959EC">
        <w:rPr>
          <w:rFonts w:ascii="Palatino Linotype" w:hAnsi="Palatino Linotype" w:eastAsia="Garamond" w:cs="Garamond"/>
          <w:sz w:val="24"/>
          <w:szCs w:val="24"/>
        </w:rPr>
        <w:t xml:space="preserve">roject </w:t>
      </w:r>
      <w:r w:rsidRPr="00180028" w:rsidR="00BD65C4">
        <w:rPr>
          <w:rFonts w:ascii="Palatino Linotype" w:hAnsi="Palatino Linotype" w:eastAsia="Garamond" w:cs="Garamond"/>
          <w:sz w:val="24"/>
          <w:szCs w:val="24"/>
        </w:rPr>
        <w:t>R</w:t>
      </w:r>
      <w:r w:rsidRPr="00180028" w:rsidR="00B959EC">
        <w:rPr>
          <w:rFonts w:ascii="Palatino Linotype" w:hAnsi="Palatino Linotype" w:eastAsia="Garamond" w:cs="Garamond"/>
          <w:sz w:val="24"/>
          <w:szCs w:val="24"/>
        </w:rPr>
        <w:t>eview</w:t>
      </w:r>
      <w:r w:rsidRPr="00180028" w:rsidR="00BD65C4">
        <w:rPr>
          <w:rFonts w:ascii="Palatino Linotype" w:hAnsi="Palatino Linotype" w:eastAsia="Garamond" w:cs="Garamond"/>
          <w:sz w:val="24"/>
          <w:szCs w:val="24"/>
        </w:rPr>
        <w:t xml:space="preserve"> Process </w:t>
      </w:r>
      <w:r w:rsidRPr="00180028" w:rsidR="00102E88">
        <w:rPr>
          <w:rFonts w:ascii="Palatino Linotype" w:hAnsi="Palatino Linotype" w:eastAsia="Garamond" w:cs="Garamond"/>
          <w:sz w:val="24"/>
          <w:szCs w:val="24"/>
        </w:rPr>
        <w:t>for the C</w:t>
      </w:r>
      <w:r w:rsidRPr="00180028" w:rsidR="0057600E">
        <w:rPr>
          <w:rFonts w:ascii="Palatino Linotype" w:hAnsi="Palatino Linotype" w:eastAsia="Garamond" w:cs="Garamond"/>
          <w:sz w:val="24"/>
          <w:szCs w:val="24"/>
        </w:rPr>
        <w:t>PUC</w:t>
      </w:r>
      <w:r w:rsidRPr="00180028" w:rsidR="00102E88">
        <w:rPr>
          <w:rFonts w:ascii="Palatino Linotype" w:hAnsi="Palatino Linotype" w:eastAsia="Garamond" w:cs="Garamond"/>
          <w:sz w:val="24"/>
          <w:szCs w:val="24"/>
        </w:rPr>
        <w:t xml:space="preserve"> and Stakeholders</w:t>
      </w:r>
      <w:r w:rsidRPr="00180028" w:rsidR="00BD65C4">
        <w:rPr>
          <w:rFonts w:ascii="Palatino Linotype" w:hAnsi="Palatino Linotype" w:eastAsia="Garamond" w:cs="Garamond"/>
          <w:sz w:val="24"/>
          <w:szCs w:val="24"/>
        </w:rPr>
        <w:t xml:space="preserve"> to better understand, </w:t>
      </w:r>
      <w:r w:rsidRPr="00180028" w:rsidR="00EE01E1">
        <w:rPr>
          <w:rFonts w:ascii="Palatino Linotype" w:hAnsi="Palatino Linotype" w:eastAsia="Garamond" w:cs="Garamond"/>
          <w:sz w:val="24"/>
          <w:szCs w:val="24"/>
        </w:rPr>
        <w:t xml:space="preserve">inquire about, </w:t>
      </w:r>
      <w:r w:rsidRPr="00180028" w:rsidR="00BD65C4">
        <w:rPr>
          <w:rFonts w:ascii="Palatino Linotype" w:hAnsi="Palatino Linotype" w:eastAsia="Garamond" w:cs="Garamond"/>
          <w:sz w:val="24"/>
          <w:szCs w:val="24"/>
        </w:rPr>
        <w:t>and provide input on, the three IOUs’ electric transmission projects</w:t>
      </w:r>
      <w:r w:rsidRPr="00180028" w:rsidR="0057600E">
        <w:rPr>
          <w:rFonts w:ascii="Palatino Linotype" w:hAnsi="Palatino Linotype" w:eastAsia="Garamond" w:cs="Garamond"/>
          <w:sz w:val="24"/>
          <w:szCs w:val="24"/>
        </w:rPr>
        <w:t xml:space="preserve"> and transmission </w:t>
      </w:r>
      <w:r w:rsidRPr="00180028" w:rsidR="0057600E">
        <w:rPr>
          <w:rFonts w:ascii="Palatino Linotype" w:hAnsi="Palatino Linotype" w:eastAsia="Garamond" w:cs="Garamond"/>
          <w:sz w:val="24"/>
          <w:szCs w:val="24"/>
        </w:rPr>
        <w:lastRenderedPageBreak/>
        <w:t>network upgrades.  The Resolution will</w:t>
      </w:r>
      <w:r w:rsidRPr="00180028" w:rsidR="00BD65C4">
        <w:rPr>
          <w:rFonts w:ascii="Palatino Linotype" w:hAnsi="Palatino Linotype" w:eastAsia="Garamond" w:cs="Garamond"/>
          <w:sz w:val="24"/>
          <w:szCs w:val="24"/>
        </w:rPr>
        <w:t xml:space="preserve"> </w:t>
      </w:r>
      <w:r w:rsidRPr="00180028" w:rsidR="0057600E">
        <w:rPr>
          <w:rFonts w:ascii="Palatino Linotype" w:hAnsi="Palatino Linotype" w:eastAsia="Garamond" w:cs="Garamond"/>
          <w:sz w:val="24"/>
          <w:szCs w:val="24"/>
        </w:rPr>
        <w:t>inform</w:t>
      </w:r>
      <w:r w:rsidRPr="00180028" w:rsidR="00BD65C4">
        <w:rPr>
          <w:rFonts w:ascii="Palatino Linotype" w:hAnsi="Palatino Linotype" w:eastAsia="Garamond" w:cs="Garamond"/>
          <w:sz w:val="24"/>
          <w:szCs w:val="24"/>
        </w:rPr>
        <w:t xml:space="preserve"> the C</w:t>
      </w:r>
      <w:r w:rsidRPr="00180028" w:rsidR="0057600E">
        <w:rPr>
          <w:rFonts w:ascii="Palatino Linotype" w:hAnsi="Palatino Linotype" w:eastAsia="Garamond" w:cs="Garamond"/>
          <w:sz w:val="24"/>
          <w:szCs w:val="24"/>
        </w:rPr>
        <w:t>PUC</w:t>
      </w:r>
      <w:r w:rsidRPr="00180028" w:rsidR="00BD65C4">
        <w:rPr>
          <w:rFonts w:ascii="Palatino Linotype" w:hAnsi="Palatino Linotype" w:eastAsia="Garamond" w:cs="Garamond"/>
          <w:sz w:val="24"/>
          <w:szCs w:val="24"/>
        </w:rPr>
        <w:t xml:space="preserve">’s </w:t>
      </w:r>
      <w:r w:rsidRPr="00180028" w:rsidR="0057600E">
        <w:rPr>
          <w:rFonts w:ascii="Palatino Linotype" w:hAnsi="Palatino Linotype" w:eastAsia="Garamond" w:cs="Garamond"/>
          <w:sz w:val="24"/>
          <w:szCs w:val="24"/>
        </w:rPr>
        <w:t xml:space="preserve">ratepayer </w:t>
      </w:r>
      <w:r w:rsidRPr="00180028">
        <w:rPr>
          <w:rFonts w:ascii="Palatino Linotype" w:hAnsi="Palatino Linotype" w:eastAsia="Garamond" w:cs="Garamond"/>
          <w:sz w:val="24"/>
          <w:szCs w:val="24"/>
        </w:rPr>
        <w:t>advocacy</w:t>
      </w:r>
      <w:r w:rsidRPr="00180028" w:rsidR="0057600E">
        <w:rPr>
          <w:rFonts w:ascii="Palatino Linotype" w:hAnsi="Palatino Linotype" w:eastAsia="Garamond" w:cs="Garamond"/>
          <w:sz w:val="24"/>
          <w:szCs w:val="24"/>
        </w:rPr>
        <w:t xml:space="preserve">, </w:t>
      </w:r>
      <w:r w:rsidRPr="00180028" w:rsidR="005838FE">
        <w:rPr>
          <w:rFonts w:ascii="Palatino Linotype" w:hAnsi="Palatino Linotype" w:eastAsia="Garamond" w:cs="Garamond"/>
          <w:sz w:val="24"/>
          <w:szCs w:val="24"/>
        </w:rPr>
        <w:t>further</w:t>
      </w:r>
      <w:r w:rsidRPr="00180028">
        <w:rPr>
          <w:rFonts w:ascii="Palatino Linotype" w:hAnsi="Palatino Linotype" w:eastAsia="Garamond" w:cs="Garamond"/>
          <w:sz w:val="24"/>
          <w:szCs w:val="24"/>
        </w:rPr>
        <w:t xml:space="preserve"> </w:t>
      </w:r>
      <w:r w:rsidRPr="00180028" w:rsidR="006A0ABB">
        <w:rPr>
          <w:rFonts w:ascii="Palatino Linotype" w:hAnsi="Palatino Linotype" w:eastAsia="Garamond" w:cs="Garamond"/>
          <w:sz w:val="24"/>
          <w:szCs w:val="24"/>
        </w:rPr>
        <w:t xml:space="preserve">California’s </w:t>
      </w:r>
      <w:r w:rsidRPr="00180028" w:rsidR="00BD65C4">
        <w:rPr>
          <w:rFonts w:ascii="Palatino Linotype" w:hAnsi="Palatino Linotype" w:eastAsia="Garamond" w:cs="Garamond"/>
          <w:sz w:val="24"/>
          <w:szCs w:val="24"/>
        </w:rPr>
        <w:t>energy</w:t>
      </w:r>
      <w:r w:rsidRPr="00180028">
        <w:rPr>
          <w:rFonts w:ascii="Palatino Linotype" w:hAnsi="Palatino Linotype" w:eastAsia="Garamond" w:cs="Garamond"/>
          <w:sz w:val="24"/>
          <w:szCs w:val="24"/>
        </w:rPr>
        <w:t xml:space="preserve"> policy</w:t>
      </w:r>
      <w:r w:rsidRPr="00180028" w:rsidR="00BD65C4">
        <w:rPr>
          <w:rFonts w:ascii="Palatino Linotype" w:hAnsi="Palatino Linotype" w:eastAsia="Garamond" w:cs="Garamond"/>
          <w:sz w:val="24"/>
          <w:szCs w:val="24"/>
        </w:rPr>
        <w:t xml:space="preserve"> goals</w:t>
      </w:r>
      <w:r w:rsidRPr="00180028" w:rsidR="0057600E">
        <w:rPr>
          <w:rFonts w:ascii="Palatino Linotype" w:hAnsi="Palatino Linotype" w:eastAsia="Garamond" w:cs="Garamond"/>
          <w:sz w:val="24"/>
          <w:szCs w:val="24"/>
        </w:rPr>
        <w:t>,</w:t>
      </w:r>
      <w:r w:rsidRPr="00180028" w:rsidR="005838FE">
        <w:rPr>
          <w:rFonts w:ascii="Palatino Linotype" w:hAnsi="Palatino Linotype" w:eastAsia="Garamond" w:cs="Garamond"/>
          <w:sz w:val="24"/>
          <w:szCs w:val="24"/>
        </w:rPr>
        <w:t xml:space="preserve"> </w:t>
      </w:r>
      <w:r w:rsidRPr="00180028" w:rsidR="00683122">
        <w:rPr>
          <w:rFonts w:ascii="Palatino Linotype" w:hAnsi="Palatino Linotype" w:eastAsia="Garamond" w:cs="Garamond"/>
          <w:sz w:val="24"/>
          <w:szCs w:val="24"/>
        </w:rPr>
        <w:t xml:space="preserve">support </w:t>
      </w:r>
      <w:r w:rsidRPr="00180028" w:rsidR="00A506FE">
        <w:rPr>
          <w:rFonts w:ascii="Palatino Linotype" w:hAnsi="Palatino Linotype" w:eastAsia="Garamond" w:cs="Garamond"/>
          <w:sz w:val="24"/>
          <w:szCs w:val="24"/>
        </w:rPr>
        <w:t xml:space="preserve">the CPUC’s risk and </w:t>
      </w:r>
      <w:r w:rsidRPr="00180028" w:rsidR="002C759C">
        <w:rPr>
          <w:rFonts w:ascii="Palatino Linotype" w:hAnsi="Palatino Linotype" w:eastAsia="Garamond" w:cs="Garamond"/>
          <w:sz w:val="24"/>
          <w:szCs w:val="24"/>
        </w:rPr>
        <w:t>s</w:t>
      </w:r>
      <w:r w:rsidRPr="00180028" w:rsidR="00A506FE">
        <w:rPr>
          <w:rFonts w:ascii="Palatino Linotype" w:hAnsi="Palatino Linotype" w:eastAsia="Garamond" w:cs="Garamond"/>
          <w:sz w:val="24"/>
          <w:szCs w:val="24"/>
        </w:rPr>
        <w:t xml:space="preserve">afety </w:t>
      </w:r>
      <w:r w:rsidRPr="00180028" w:rsidR="002C759C">
        <w:rPr>
          <w:rFonts w:ascii="Palatino Linotype" w:hAnsi="Palatino Linotype" w:eastAsia="Garamond" w:cs="Garamond"/>
          <w:sz w:val="24"/>
          <w:szCs w:val="24"/>
        </w:rPr>
        <w:t>a</w:t>
      </w:r>
      <w:r w:rsidRPr="00180028" w:rsidR="00A506FE">
        <w:rPr>
          <w:rFonts w:ascii="Palatino Linotype" w:hAnsi="Palatino Linotype" w:eastAsia="Garamond" w:cs="Garamond"/>
          <w:sz w:val="24"/>
          <w:szCs w:val="24"/>
        </w:rPr>
        <w:t>ssessment requirements,</w:t>
      </w:r>
      <w:r w:rsidRPr="00180028" w:rsidR="0057600E">
        <w:rPr>
          <w:rFonts w:ascii="Palatino Linotype" w:hAnsi="Palatino Linotype" w:eastAsia="Garamond" w:cs="Garamond"/>
          <w:sz w:val="24"/>
          <w:szCs w:val="24"/>
        </w:rPr>
        <w:t xml:space="preserve"> and facilitate engagement by Stakeholders with the Utilities around their transmission Projects and </w:t>
      </w:r>
      <w:r w:rsidRPr="00180028" w:rsidR="006A0ABB">
        <w:rPr>
          <w:rFonts w:ascii="Palatino Linotype" w:hAnsi="Palatino Linotype" w:eastAsia="Garamond" w:cs="Garamond"/>
          <w:sz w:val="24"/>
          <w:szCs w:val="24"/>
        </w:rPr>
        <w:t>i</w:t>
      </w:r>
      <w:r w:rsidRPr="00180028" w:rsidR="0057600E">
        <w:rPr>
          <w:rFonts w:ascii="Palatino Linotype" w:hAnsi="Palatino Linotype" w:eastAsia="Garamond" w:cs="Garamond"/>
          <w:sz w:val="24"/>
          <w:szCs w:val="24"/>
        </w:rPr>
        <w:t xml:space="preserve">nterconnection-related </w:t>
      </w:r>
      <w:r w:rsidRPr="00180028" w:rsidR="006A0ABB">
        <w:rPr>
          <w:rFonts w:ascii="Palatino Linotype" w:hAnsi="Palatino Linotype" w:eastAsia="Garamond" w:cs="Garamond"/>
          <w:sz w:val="24"/>
          <w:szCs w:val="24"/>
        </w:rPr>
        <w:t>n</w:t>
      </w:r>
      <w:r w:rsidRPr="00180028" w:rsidR="0057600E">
        <w:rPr>
          <w:rFonts w:ascii="Palatino Linotype" w:hAnsi="Palatino Linotype" w:eastAsia="Garamond" w:cs="Garamond"/>
          <w:sz w:val="24"/>
          <w:szCs w:val="24"/>
        </w:rPr>
        <w:t xml:space="preserve">etwork </w:t>
      </w:r>
      <w:r w:rsidRPr="00180028" w:rsidR="006A0ABB">
        <w:rPr>
          <w:rFonts w:ascii="Palatino Linotype" w:hAnsi="Palatino Linotype" w:eastAsia="Garamond" w:cs="Garamond"/>
          <w:sz w:val="24"/>
          <w:szCs w:val="24"/>
        </w:rPr>
        <w:t>u</w:t>
      </w:r>
      <w:r w:rsidRPr="00180028" w:rsidR="0057600E">
        <w:rPr>
          <w:rFonts w:ascii="Palatino Linotype" w:hAnsi="Palatino Linotype" w:eastAsia="Garamond" w:cs="Garamond"/>
          <w:sz w:val="24"/>
          <w:szCs w:val="24"/>
        </w:rPr>
        <w:t>pgrades</w:t>
      </w:r>
      <w:r w:rsidRPr="00180028" w:rsidR="00BD65C4">
        <w:rPr>
          <w:rFonts w:ascii="Palatino Linotype" w:hAnsi="Palatino Linotype" w:eastAsia="Garamond" w:cs="Garamond"/>
          <w:sz w:val="24"/>
          <w:szCs w:val="24"/>
        </w:rPr>
        <w:t xml:space="preserve">.  </w:t>
      </w:r>
      <w:r w:rsidRPr="00180028" w:rsidR="0060263B">
        <w:rPr>
          <w:rFonts w:ascii="Palatino Linotype" w:hAnsi="Palatino Linotype" w:eastAsia="Garamond" w:cs="Garamond"/>
          <w:sz w:val="24"/>
          <w:szCs w:val="24"/>
        </w:rPr>
        <w:t>As explained in greater detail in Attachment A to this Resolution, t</w:t>
      </w:r>
      <w:r w:rsidRPr="00180028" w:rsidR="00BD65C4">
        <w:rPr>
          <w:rFonts w:ascii="Palatino Linotype" w:hAnsi="Palatino Linotype" w:eastAsia="Garamond" w:cs="Garamond"/>
          <w:sz w:val="24"/>
          <w:szCs w:val="24"/>
        </w:rPr>
        <w:t xml:space="preserve">he TPR </w:t>
      </w:r>
      <w:r w:rsidRPr="00180028">
        <w:rPr>
          <w:rFonts w:ascii="Palatino Linotype" w:hAnsi="Palatino Linotype" w:eastAsia="Garamond" w:cs="Garamond"/>
          <w:sz w:val="24"/>
          <w:szCs w:val="24"/>
        </w:rPr>
        <w:t>will</w:t>
      </w:r>
      <w:r w:rsidRPr="00180028" w:rsidR="00BD65C4">
        <w:rPr>
          <w:rFonts w:ascii="Palatino Linotype" w:hAnsi="Palatino Linotype" w:eastAsia="Garamond" w:cs="Garamond"/>
          <w:sz w:val="24"/>
          <w:szCs w:val="24"/>
        </w:rPr>
        <w:t xml:space="preserve"> include:</w:t>
      </w:r>
      <w:r w:rsidRPr="00180028" w:rsidR="00BD65C4">
        <w:rPr>
          <w:rFonts w:ascii="Palatino Linotype" w:hAnsi="Palatino Linotype"/>
          <w:sz w:val="24"/>
          <w:szCs w:val="24"/>
        </w:rPr>
        <w:t xml:space="preserve"> </w:t>
      </w:r>
    </w:p>
    <w:p w:rsidRPr="00180028" w:rsidR="00BD65C4" w:rsidP="00180028" w:rsidRDefault="00BD65C4" w14:paraId="19AACBEE" w14:textId="287DE4B7">
      <w:pPr>
        <w:pStyle w:val="ListParagraph"/>
        <w:numPr>
          <w:ilvl w:val="0"/>
          <w:numId w:val="18"/>
        </w:numPr>
        <w:spacing w:after="0" w:line="23" w:lineRule="atLeast"/>
        <w:ind w:right="1080"/>
        <w:rPr>
          <w:rFonts w:ascii="Palatino Linotype" w:hAnsi="Palatino Linotype" w:eastAsia="Garamond" w:cs="Garamond"/>
          <w:sz w:val="24"/>
          <w:szCs w:val="24"/>
        </w:rPr>
      </w:pPr>
      <w:r w:rsidRPr="00180028">
        <w:rPr>
          <w:rFonts w:ascii="Palatino Linotype" w:hAnsi="Palatino Linotype" w:eastAsia="Garamond" w:cs="Garamond"/>
          <w:sz w:val="24"/>
          <w:szCs w:val="24"/>
        </w:rPr>
        <w:t xml:space="preserve">Robust, consistent, and ongoing data </w:t>
      </w:r>
      <w:r w:rsidRPr="00180028" w:rsidR="005F5EB3">
        <w:rPr>
          <w:rFonts w:ascii="Palatino Linotype" w:hAnsi="Palatino Linotype" w:eastAsia="Garamond" w:cs="Garamond"/>
          <w:sz w:val="24"/>
          <w:szCs w:val="24"/>
        </w:rPr>
        <w:t>and Authorization Docum</w:t>
      </w:r>
      <w:r w:rsidRPr="00180028" w:rsidR="00241B92">
        <w:rPr>
          <w:rFonts w:ascii="Palatino Linotype" w:hAnsi="Palatino Linotype" w:eastAsia="Garamond" w:cs="Garamond"/>
          <w:sz w:val="24"/>
          <w:szCs w:val="24"/>
        </w:rPr>
        <w:t xml:space="preserve">ents </w:t>
      </w:r>
      <w:r w:rsidRPr="00180028">
        <w:rPr>
          <w:rFonts w:ascii="Palatino Linotype" w:hAnsi="Palatino Linotype" w:eastAsia="Garamond" w:cs="Garamond"/>
          <w:sz w:val="24"/>
          <w:szCs w:val="24"/>
        </w:rPr>
        <w:t xml:space="preserve">to ensure sufficient transparency of </w:t>
      </w:r>
      <w:r w:rsidRPr="00180028" w:rsidR="0095155E">
        <w:rPr>
          <w:rFonts w:ascii="Palatino Linotype" w:hAnsi="Palatino Linotype" w:eastAsia="Garamond" w:cs="Garamond"/>
          <w:sz w:val="24"/>
          <w:szCs w:val="24"/>
        </w:rPr>
        <w:t>U</w:t>
      </w:r>
      <w:r w:rsidRPr="00180028">
        <w:rPr>
          <w:rFonts w:ascii="Palatino Linotype" w:hAnsi="Palatino Linotype" w:eastAsia="Garamond" w:cs="Garamond"/>
          <w:sz w:val="24"/>
          <w:szCs w:val="24"/>
        </w:rPr>
        <w:t>tilities’ transmission projects</w:t>
      </w:r>
      <w:r w:rsidRPr="00180028" w:rsidR="006A0ABB">
        <w:rPr>
          <w:rFonts w:ascii="Palatino Linotype" w:hAnsi="Palatino Linotype" w:eastAsia="Garamond" w:cs="Garamond"/>
          <w:sz w:val="24"/>
          <w:szCs w:val="24"/>
        </w:rPr>
        <w:t>, including g</w:t>
      </w:r>
      <w:r w:rsidRPr="00180028" w:rsidR="0060263B">
        <w:rPr>
          <w:rFonts w:ascii="Palatino Linotype" w:hAnsi="Palatino Linotype" w:eastAsia="Garamond" w:cs="Garamond"/>
          <w:sz w:val="24"/>
          <w:szCs w:val="24"/>
        </w:rPr>
        <w:t>e</w:t>
      </w:r>
      <w:r w:rsidRPr="00180028" w:rsidR="006A0ABB">
        <w:rPr>
          <w:rFonts w:ascii="Palatino Linotype" w:hAnsi="Palatino Linotype" w:eastAsia="Garamond" w:cs="Garamond"/>
          <w:sz w:val="24"/>
          <w:szCs w:val="24"/>
        </w:rPr>
        <w:t>n</w:t>
      </w:r>
      <w:r w:rsidRPr="00180028" w:rsidR="0060263B">
        <w:rPr>
          <w:rFonts w:ascii="Palatino Linotype" w:hAnsi="Palatino Linotype" w:eastAsia="Garamond" w:cs="Garamond"/>
          <w:sz w:val="24"/>
          <w:szCs w:val="24"/>
        </w:rPr>
        <w:t>e</w:t>
      </w:r>
      <w:r w:rsidRPr="00180028" w:rsidR="006A0ABB">
        <w:rPr>
          <w:rFonts w:ascii="Palatino Linotype" w:hAnsi="Palatino Linotype" w:eastAsia="Garamond" w:cs="Garamond"/>
          <w:sz w:val="24"/>
          <w:szCs w:val="24"/>
        </w:rPr>
        <w:t xml:space="preserve">rator interconnection-related network upgrades.  The TPR will </w:t>
      </w:r>
      <w:r w:rsidRPr="00180028">
        <w:rPr>
          <w:rFonts w:ascii="Palatino Linotype" w:hAnsi="Palatino Linotype" w:eastAsia="Garamond" w:cs="Garamond"/>
          <w:sz w:val="24"/>
          <w:szCs w:val="24"/>
        </w:rPr>
        <w:t xml:space="preserve">help </w:t>
      </w:r>
      <w:r w:rsidRPr="00180028" w:rsidR="004B7DDB">
        <w:rPr>
          <w:rFonts w:ascii="Palatino Linotype" w:hAnsi="Palatino Linotype" w:eastAsia="Garamond" w:cs="Garamond"/>
          <w:sz w:val="24"/>
          <w:szCs w:val="24"/>
        </w:rPr>
        <w:t>S</w:t>
      </w:r>
      <w:r w:rsidRPr="00180028">
        <w:rPr>
          <w:rFonts w:ascii="Palatino Linotype" w:hAnsi="Palatino Linotype" w:eastAsia="Garamond" w:cs="Garamond"/>
          <w:sz w:val="24"/>
          <w:szCs w:val="24"/>
        </w:rPr>
        <w:t>takeholders understand the</w:t>
      </w:r>
      <w:r w:rsidRPr="00180028" w:rsidR="006A0ABB">
        <w:rPr>
          <w:rFonts w:ascii="Palatino Linotype" w:hAnsi="Palatino Linotype" w:eastAsia="Garamond" w:cs="Garamond"/>
          <w:sz w:val="24"/>
          <w:szCs w:val="24"/>
        </w:rPr>
        <w:t xml:space="preserve"> Utilities’</w:t>
      </w:r>
      <w:r w:rsidRPr="00180028">
        <w:rPr>
          <w:rFonts w:ascii="Palatino Linotype" w:hAnsi="Palatino Linotype" w:eastAsia="Garamond" w:cs="Garamond"/>
          <w:sz w:val="24"/>
          <w:szCs w:val="24"/>
        </w:rPr>
        <w:t xml:space="preserve"> identification, authorization, planning, prioritization, </w:t>
      </w:r>
      <w:r w:rsidRPr="00180028" w:rsidR="0067550A">
        <w:rPr>
          <w:rFonts w:ascii="Palatino Linotype" w:hAnsi="Palatino Linotype" w:eastAsia="Garamond" w:cs="Garamond"/>
          <w:sz w:val="24"/>
          <w:szCs w:val="24"/>
        </w:rPr>
        <w:t xml:space="preserve">budgeting, </w:t>
      </w:r>
      <w:r w:rsidRPr="00180028">
        <w:rPr>
          <w:rFonts w:ascii="Palatino Linotype" w:hAnsi="Palatino Linotype" w:eastAsia="Garamond" w:cs="Garamond"/>
          <w:sz w:val="24"/>
          <w:szCs w:val="24"/>
        </w:rPr>
        <w:t xml:space="preserve">and implementation processes related to transmission </w:t>
      </w:r>
      <w:r w:rsidRPr="00180028" w:rsidR="00EE4906">
        <w:rPr>
          <w:rFonts w:ascii="Palatino Linotype" w:hAnsi="Palatino Linotype" w:eastAsia="Garamond" w:cs="Garamond"/>
          <w:sz w:val="24"/>
          <w:szCs w:val="24"/>
        </w:rPr>
        <w:t>P</w:t>
      </w:r>
      <w:r w:rsidRPr="00180028">
        <w:rPr>
          <w:rFonts w:ascii="Palatino Linotype" w:hAnsi="Palatino Linotype" w:eastAsia="Garamond" w:cs="Garamond"/>
          <w:sz w:val="24"/>
          <w:szCs w:val="24"/>
        </w:rPr>
        <w:t>rojects;</w:t>
      </w:r>
    </w:p>
    <w:p w:rsidRPr="00180028" w:rsidR="0060263B" w:rsidP="00180028" w:rsidRDefault="00BD65C4" w14:paraId="1A03FE91" w14:textId="00BC1860">
      <w:pPr>
        <w:pStyle w:val="ListParagraph"/>
        <w:numPr>
          <w:ilvl w:val="0"/>
          <w:numId w:val="18"/>
        </w:numPr>
        <w:spacing w:after="0" w:line="23" w:lineRule="atLeast"/>
        <w:ind w:right="1080"/>
        <w:rPr>
          <w:rFonts w:ascii="Palatino Linotype" w:hAnsi="Palatino Linotype"/>
          <w:sz w:val="24"/>
          <w:szCs w:val="24"/>
        </w:rPr>
      </w:pPr>
      <w:r w:rsidRPr="00180028">
        <w:rPr>
          <w:rFonts w:ascii="Palatino Linotype" w:hAnsi="Palatino Linotype" w:eastAsia="Garamond" w:cs="Garamond"/>
          <w:sz w:val="24"/>
          <w:szCs w:val="24"/>
        </w:rPr>
        <w:t>Opportunities for the C</w:t>
      </w:r>
      <w:r w:rsidRPr="00180028" w:rsidR="006A0ABB">
        <w:rPr>
          <w:rFonts w:ascii="Palatino Linotype" w:hAnsi="Palatino Linotype" w:eastAsia="Garamond" w:cs="Garamond"/>
          <w:sz w:val="24"/>
          <w:szCs w:val="24"/>
        </w:rPr>
        <w:t>PUC</w:t>
      </w:r>
      <w:r w:rsidRPr="00180028">
        <w:rPr>
          <w:rFonts w:ascii="Palatino Linotype" w:hAnsi="Palatino Linotype" w:eastAsia="Garamond" w:cs="Garamond"/>
          <w:sz w:val="24"/>
          <w:szCs w:val="24"/>
        </w:rPr>
        <w:t xml:space="preserve"> and all transmission and generator interconnection Stakeholders to engage with the </w:t>
      </w:r>
      <w:r w:rsidRPr="00180028" w:rsidR="0095155E">
        <w:rPr>
          <w:rFonts w:ascii="Palatino Linotype" w:hAnsi="Palatino Linotype" w:eastAsia="Garamond" w:cs="Garamond"/>
          <w:sz w:val="24"/>
          <w:szCs w:val="24"/>
        </w:rPr>
        <w:t>U</w:t>
      </w:r>
      <w:r w:rsidRPr="00180028">
        <w:rPr>
          <w:rFonts w:ascii="Palatino Linotype" w:hAnsi="Palatino Linotype" w:eastAsia="Garamond" w:cs="Garamond"/>
          <w:sz w:val="24"/>
          <w:szCs w:val="24"/>
        </w:rPr>
        <w:t xml:space="preserve">tilities through </w:t>
      </w:r>
      <w:r w:rsidRPr="00180028" w:rsidR="006A0ABB">
        <w:rPr>
          <w:rFonts w:ascii="Palatino Linotype" w:hAnsi="Palatino Linotype" w:eastAsia="Garamond" w:cs="Garamond"/>
          <w:sz w:val="24"/>
          <w:szCs w:val="24"/>
        </w:rPr>
        <w:t>inquiry</w:t>
      </w:r>
      <w:r w:rsidRPr="00180028" w:rsidR="0060263B">
        <w:rPr>
          <w:rFonts w:ascii="Palatino Linotype" w:hAnsi="Palatino Linotype" w:eastAsia="Garamond" w:cs="Garamond"/>
          <w:sz w:val="24"/>
          <w:szCs w:val="24"/>
        </w:rPr>
        <w:t xml:space="preserve"> and</w:t>
      </w:r>
      <w:r w:rsidRPr="00180028" w:rsidR="006A0ABB">
        <w:rPr>
          <w:rFonts w:ascii="Palatino Linotype" w:hAnsi="Palatino Linotype" w:eastAsia="Garamond" w:cs="Garamond"/>
          <w:sz w:val="24"/>
          <w:szCs w:val="24"/>
        </w:rPr>
        <w:t xml:space="preserve"> comments,</w:t>
      </w:r>
      <w:r w:rsidRPr="00180028">
        <w:rPr>
          <w:rFonts w:ascii="Palatino Linotype" w:hAnsi="Palatino Linotype" w:eastAsia="Garamond" w:cs="Garamond"/>
          <w:sz w:val="24"/>
          <w:szCs w:val="24"/>
        </w:rPr>
        <w:t xml:space="preserve"> and</w:t>
      </w:r>
      <w:r w:rsidRPr="00180028" w:rsidR="0060263B">
        <w:rPr>
          <w:rFonts w:ascii="Palatino Linotype" w:hAnsi="Palatino Linotype" w:eastAsia="Garamond" w:cs="Garamond"/>
          <w:sz w:val="24"/>
          <w:szCs w:val="24"/>
        </w:rPr>
        <w:t xml:space="preserve"> to receive timely written responses from the Utilities</w:t>
      </w:r>
      <w:r w:rsidRPr="00180028" w:rsidR="00900D0C">
        <w:rPr>
          <w:rFonts w:ascii="Palatino Linotype" w:hAnsi="Palatino Linotype" w:eastAsia="Garamond" w:cs="Garamond"/>
          <w:sz w:val="24"/>
          <w:szCs w:val="24"/>
        </w:rPr>
        <w:t>; and</w:t>
      </w:r>
      <w:r w:rsidRPr="00180028">
        <w:rPr>
          <w:rFonts w:ascii="Palatino Linotype" w:hAnsi="Palatino Linotype" w:eastAsia="Garamond" w:cs="Garamond"/>
          <w:sz w:val="24"/>
          <w:szCs w:val="24"/>
        </w:rPr>
        <w:t xml:space="preserve"> </w:t>
      </w:r>
    </w:p>
    <w:p w:rsidRPr="00180028" w:rsidR="00BD65C4" w:rsidP="00180028" w:rsidRDefault="006A0ABB" w14:paraId="485E3391" w14:textId="431F05A0">
      <w:pPr>
        <w:pStyle w:val="ListParagraph"/>
        <w:numPr>
          <w:ilvl w:val="0"/>
          <w:numId w:val="18"/>
        </w:numPr>
        <w:spacing w:after="0" w:line="23" w:lineRule="atLeast"/>
        <w:ind w:right="1080"/>
        <w:rPr>
          <w:rFonts w:ascii="Palatino Linotype" w:hAnsi="Palatino Linotype"/>
          <w:sz w:val="24"/>
          <w:szCs w:val="24"/>
        </w:rPr>
      </w:pPr>
      <w:r w:rsidRPr="00180028">
        <w:rPr>
          <w:rFonts w:ascii="Palatino Linotype" w:hAnsi="Palatino Linotype" w:eastAsia="Garamond" w:cs="Garamond"/>
          <w:sz w:val="24"/>
          <w:szCs w:val="24"/>
        </w:rPr>
        <w:t>S</w:t>
      </w:r>
      <w:r w:rsidRPr="00180028" w:rsidR="00BD65C4">
        <w:rPr>
          <w:rFonts w:ascii="Palatino Linotype" w:hAnsi="Palatino Linotype" w:eastAsia="Garamond" w:cs="Garamond"/>
          <w:sz w:val="24"/>
          <w:szCs w:val="24"/>
        </w:rPr>
        <w:t xml:space="preserve">takeholder meetings to </w:t>
      </w:r>
      <w:r w:rsidRPr="00180028" w:rsidR="0060263B">
        <w:rPr>
          <w:rFonts w:ascii="Palatino Linotype" w:hAnsi="Palatino Linotype" w:eastAsia="Garamond" w:cs="Garamond"/>
          <w:sz w:val="24"/>
          <w:szCs w:val="24"/>
        </w:rPr>
        <w:t xml:space="preserve">further understand the bases for each Utility’s Projects and Procedures, and to discuss </w:t>
      </w:r>
      <w:r w:rsidRPr="00180028" w:rsidR="00A86D4F">
        <w:rPr>
          <w:rFonts w:ascii="Palatino Linotype" w:hAnsi="Palatino Linotype" w:eastAsia="Garamond" w:cs="Garamond"/>
          <w:sz w:val="24"/>
          <w:szCs w:val="24"/>
        </w:rPr>
        <w:t xml:space="preserve">CPUC- and Stakeholder-identified </w:t>
      </w:r>
      <w:r w:rsidRPr="00180028" w:rsidR="0060263B">
        <w:rPr>
          <w:rFonts w:ascii="Palatino Linotype" w:hAnsi="Palatino Linotype" w:eastAsia="Garamond" w:cs="Garamond"/>
          <w:sz w:val="24"/>
          <w:szCs w:val="24"/>
        </w:rPr>
        <w:t xml:space="preserve">topics related to specific Projects, Project categories, and </w:t>
      </w:r>
      <w:r w:rsidRPr="00180028" w:rsidR="00A86D4F">
        <w:rPr>
          <w:rFonts w:ascii="Palatino Linotype" w:hAnsi="Palatino Linotype" w:eastAsia="Garamond" w:cs="Garamond"/>
          <w:sz w:val="24"/>
          <w:szCs w:val="24"/>
        </w:rPr>
        <w:t>Procedures</w:t>
      </w:r>
      <w:r w:rsidRPr="00180028" w:rsidR="00BD65C4">
        <w:rPr>
          <w:rFonts w:ascii="Palatino Linotype" w:hAnsi="Palatino Linotype" w:eastAsia="Garamond" w:cs="Garamond"/>
          <w:sz w:val="24"/>
          <w:szCs w:val="24"/>
        </w:rPr>
        <w:t xml:space="preserve">. </w:t>
      </w:r>
    </w:p>
    <w:p w:rsidRPr="00180028" w:rsidR="00BD65C4" w:rsidP="00180028" w:rsidRDefault="00BD65C4" w14:paraId="60ED0DCD" w14:textId="77777777">
      <w:pPr>
        <w:spacing w:line="23" w:lineRule="atLeast"/>
        <w:ind w:firstLine="360"/>
        <w:rPr>
          <w:rFonts w:ascii="Palatino Linotype" w:hAnsi="Palatino Linotype"/>
          <w:color w:val="000000" w:themeColor="text1"/>
          <w:sz w:val="24"/>
          <w:szCs w:val="24"/>
        </w:rPr>
      </w:pPr>
    </w:p>
    <w:p w:rsidRPr="00180028" w:rsidR="00BD65C4" w:rsidP="00180028" w:rsidRDefault="00A86D4F" w14:paraId="0137604C" w14:textId="000D3567">
      <w:pPr>
        <w:spacing w:line="23" w:lineRule="atLeast"/>
        <w:ind w:firstLine="720"/>
        <w:rPr>
          <w:rFonts w:ascii="Palatino Linotype" w:hAnsi="Palatino Linotype"/>
          <w:sz w:val="24"/>
          <w:szCs w:val="24"/>
        </w:rPr>
      </w:pPr>
      <w:r w:rsidRPr="00180028">
        <w:rPr>
          <w:rFonts w:ascii="Palatino Linotype" w:hAnsi="Palatino Linotype"/>
          <w:color w:val="000000" w:themeColor="text1"/>
          <w:sz w:val="24"/>
          <w:szCs w:val="24"/>
        </w:rPr>
        <w:t>As explained in greater detail in Section 2 of Attachment A and in Attachment B to this Resolution, the expansive i</w:t>
      </w:r>
      <w:r w:rsidRPr="00180028" w:rsidR="00430631">
        <w:rPr>
          <w:rFonts w:ascii="Palatino Linotype" w:hAnsi="Palatino Linotype"/>
          <w:color w:val="000000" w:themeColor="text1"/>
          <w:sz w:val="24"/>
          <w:szCs w:val="24"/>
        </w:rPr>
        <w:t>nformation will include:</w:t>
      </w:r>
      <w:r w:rsidRPr="00180028" w:rsidR="00BD65C4">
        <w:rPr>
          <w:rFonts w:ascii="Palatino Linotype" w:hAnsi="Palatino Linotype"/>
          <w:color w:val="000000" w:themeColor="text1"/>
          <w:sz w:val="24"/>
          <w:szCs w:val="24"/>
        </w:rPr>
        <w:t xml:space="preserve"> </w:t>
      </w:r>
      <w:r w:rsidRPr="00180028">
        <w:rPr>
          <w:rFonts w:ascii="Palatino Linotype" w:hAnsi="Palatino Linotype"/>
          <w:color w:val="000000" w:themeColor="text1"/>
          <w:sz w:val="24"/>
          <w:szCs w:val="24"/>
        </w:rPr>
        <w:t>clear descriptions of Projects</w:t>
      </w:r>
      <w:r w:rsidRPr="00180028" w:rsidR="00BD65C4">
        <w:rPr>
          <w:rFonts w:ascii="Palatino Linotype" w:hAnsi="Palatino Linotype"/>
          <w:color w:val="000000" w:themeColor="text1"/>
          <w:sz w:val="24"/>
          <w:szCs w:val="24"/>
        </w:rPr>
        <w:t xml:space="preserve">, </w:t>
      </w:r>
      <w:r w:rsidRPr="00180028" w:rsidR="00430631">
        <w:rPr>
          <w:rFonts w:ascii="Palatino Linotype" w:hAnsi="Palatino Linotype"/>
          <w:color w:val="000000" w:themeColor="text1"/>
          <w:sz w:val="24"/>
          <w:szCs w:val="24"/>
        </w:rPr>
        <w:t>forecast and actual</w:t>
      </w:r>
      <w:r w:rsidRPr="00180028" w:rsidR="00BD65C4">
        <w:rPr>
          <w:rFonts w:ascii="Palatino Linotype" w:hAnsi="Palatino Linotype"/>
          <w:color w:val="000000" w:themeColor="text1"/>
          <w:sz w:val="24"/>
          <w:szCs w:val="24"/>
        </w:rPr>
        <w:t xml:space="preserve"> costs</w:t>
      </w:r>
      <w:r w:rsidRPr="00180028" w:rsidR="00430631">
        <w:rPr>
          <w:rFonts w:ascii="Palatino Linotype" w:hAnsi="Palatino Linotype"/>
          <w:color w:val="000000" w:themeColor="text1"/>
          <w:sz w:val="24"/>
          <w:szCs w:val="24"/>
        </w:rPr>
        <w:t>,</w:t>
      </w:r>
      <w:r w:rsidRPr="00180028" w:rsidR="00BD65C4">
        <w:rPr>
          <w:rFonts w:ascii="Palatino Linotype" w:hAnsi="Palatino Linotype"/>
          <w:color w:val="000000" w:themeColor="text1"/>
          <w:sz w:val="24"/>
          <w:szCs w:val="24"/>
        </w:rPr>
        <w:t xml:space="preserve"> </w:t>
      </w:r>
      <w:r w:rsidRPr="00180028">
        <w:rPr>
          <w:rFonts w:ascii="Palatino Linotype" w:hAnsi="Palatino Linotype"/>
          <w:color w:val="000000" w:themeColor="text1"/>
          <w:sz w:val="24"/>
          <w:szCs w:val="24"/>
        </w:rPr>
        <w:t xml:space="preserve">progress and </w:t>
      </w:r>
      <w:r w:rsidRPr="00180028" w:rsidR="00BD65C4">
        <w:rPr>
          <w:rFonts w:ascii="Palatino Linotype" w:hAnsi="Palatino Linotype"/>
          <w:color w:val="000000" w:themeColor="text1"/>
          <w:sz w:val="24"/>
          <w:szCs w:val="24"/>
        </w:rPr>
        <w:t xml:space="preserve">status of </w:t>
      </w:r>
      <w:r w:rsidRPr="00180028" w:rsidR="00430631">
        <w:rPr>
          <w:rFonts w:ascii="Palatino Linotype" w:hAnsi="Palatino Linotype"/>
          <w:color w:val="000000" w:themeColor="text1"/>
          <w:sz w:val="24"/>
          <w:szCs w:val="24"/>
        </w:rPr>
        <w:t>each P</w:t>
      </w:r>
      <w:r w:rsidRPr="00180028" w:rsidR="00BD65C4">
        <w:rPr>
          <w:rFonts w:ascii="Palatino Linotype" w:hAnsi="Palatino Linotype"/>
          <w:color w:val="000000" w:themeColor="text1"/>
          <w:sz w:val="24"/>
          <w:szCs w:val="24"/>
        </w:rPr>
        <w:t>roject</w:t>
      </w:r>
      <w:r w:rsidRPr="00180028">
        <w:rPr>
          <w:rFonts w:ascii="Palatino Linotype" w:hAnsi="Palatino Linotype"/>
          <w:color w:val="000000" w:themeColor="text1"/>
          <w:sz w:val="24"/>
          <w:szCs w:val="24"/>
        </w:rPr>
        <w:t xml:space="preserve">, </w:t>
      </w:r>
      <w:r w:rsidRPr="00180028" w:rsidR="00765FCE">
        <w:rPr>
          <w:rFonts w:ascii="Palatino Linotype" w:hAnsi="Palatino Linotype"/>
          <w:color w:val="000000" w:themeColor="text1"/>
          <w:sz w:val="24"/>
          <w:szCs w:val="24"/>
        </w:rPr>
        <w:t xml:space="preserve">and </w:t>
      </w:r>
      <w:r w:rsidRPr="00180028">
        <w:rPr>
          <w:rFonts w:ascii="Palatino Linotype" w:hAnsi="Palatino Linotype"/>
          <w:color w:val="000000" w:themeColor="text1"/>
          <w:sz w:val="24"/>
          <w:szCs w:val="24"/>
        </w:rPr>
        <w:t>permitting status at the CPUC</w:t>
      </w:r>
      <w:r w:rsidRPr="00180028" w:rsidR="00415090">
        <w:rPr>
          <w:rFonts w:ascii="Palatino Linotype" w:hAnsi="Palatino Linotype"/>
          <w:color w:val="000000" w:themeColor="text1"/>
          <w:sz w:val="24"/>
          <w:szCs w:val="24"/>
        </w:rPr>
        <w:t>.  Projects are included</w:t>
      </w:r>
      <w:r w:rsidRPr="00180028" w:rsidR="00430631">
        <w:rPr>
          <w:rFonts w:ascii="Palatino Linotype" w:hAnsi="Palatino Linotype"/>
          <w:color w:val="000000" w:themeColor="text1"/>
          <w:sz w:val="24"/>
          <w:szCs w:val="24"/>
        </w:rPr>
        <w:t xml:space="preserve"> regardless of whether</w:t>
      </w:r>
      <w:r w:rsidRPr="00180028" w:rsidR="00BD65C4">
        <w:rPr>
          <w:rFonts w:ascii="Palatino Linotype" w:hAnsi="Palatino Linotype"/>
          <w:color w:val="000000" w:themeColor="text1"/>
          <w:sz w:val="24"/>
          <w:szCs w:val="24"/>
        </w:rPr>
        <w:t xml:space="preserve"> th</w:t>
      </w:r>
      <w:r w:rsidRPr="00180028" w:rsidR="00415090">
        <w:rPr>
          <w:rFonts w:ascii="Palatino Linotype" w:hAnsi="Palatino Linotype"/>
          <w:color w:val="000000" w:themeColor="text1"/>
          <w:sz w:val="24"/>
          <w:szCs w:val="24"/>
        </w:rPr>
        <w:t>ey are</w:t>
      </w:r>
      <w:r w:rsidRPr="00180028" w:rsidR="00BD65C4">
        <w:rPr>
          <w:rFonts w:ascii="Palatino Linotype" w:hAnsi="Palatino Linotype"/>
          <w:color w:val="000000" w:themeColor="text1"/>
          <w:sz w:val="24"/>
          <w:szCs w:val="24"/>
        </w:rPr>
        <w:t xml:space="preserve"> </w:t>
      </w:r>
      <w:r w:rsidRPr="00180028" w:rsidR="00430631">
        <w:rPr>
          <w:rFonts w:ascii="Palatino Linotype" w:hAnsi="Palatino Linotype"/>
          <w:color w:val="000000" w:themeColor="text1"/>
          <w:sz w:val="24"/>
          <w:szCs w:val="24"/>
        </w:rPr>
        <w:t>Project</w:t>
      </w:r>
      <w:r w:rsidRPr="00180028" w:rsidR="00415090">
        <w:rPr>
          <w:rFonts w:ascii="Palatino Linotype" w:hAnsi="Palatino Linotype"/>
          <w:color w:val="000000" w:themeColor="text1"/>
          <w:sz w:val="24"/>
          <w:szCs w:val="24"/>
        </w:rPr>
        <w:t>s</w:t>
      </w:r>
      <w:r w:rsidRPr="00180028" w:rsidR="00430631">
        <w:rPr>
          <w:rFonts w:ascii="Palatino Linotype" w:hAnsi="Palatino Linotype"/>
          <w:color w:val="000000" w:themeColor="text1"/>
          <w:sz w:val="24"/>
          <w:szCs w:val="24"/>
        </w:rPr>
        <w:t xml:space="preserve"> </w:t>
      </w:r>
      <w:r w:rsidRPr="00180028" w:rsidR="00BD65C4">
        <w:rPr>
          <w:rFonts w:ascii="Palatino Linotype" w:hAnsi="Palatino Linotype"/>
          <w:color w:val="000000" w:themeColor="text1"/>
          <w:sz w:val="24"/>
          <w:szCs w:val="24"/>
        </w:rPr>
        <w:t>reviewed in the CAISO’s T</w:t>
      </w:r>
      <w:r w:rsidRPr="00180028" w:rsidR="00415090">
        <w:rPr>
          <w:rFonts w:ascii="Palatino Linotype" w:hAnsi="Palatino Linotype"/>
          <w:color w:val="000000" w:themeColor="text1"/>
          <w:sz w:val="24"/>
          <w:szCs w:val="24"/>
        </w:rPr>
        <w:t xml:space="preserve">ransmission </w:t>
      </w:r>
      <w:r w:rsidRPr="00180028" w:rsidR="00BD65C4">
        <w:rPr>
          <w:rFonts w:ascii="Palatino Linotype" w:hAnsi="Palatino Linotype"/>
          <w:color w:val="000000" w:themeColor="text1"/>
          <w:sz w:val="24"/>
          <w:szCs w:val="24"/>
        </w:rPr>
        <w:t>P</w:t>
      </w:r>
      <w:r w:rsidRPr="00180028" w:rsidR="00415090">
        <w:rPr>
          <w:rFonts w:ascii="Palatino Linotype" w:hAnsi="Palatino Linotype"/>
          <w:color w:val="000000" w:themeColor="text1"/>
          <w:sz w:val="24"/>
          <w:szCs w:val="24"/>
        </w:rPr>
        <w:t xml:space="preserve">lanning </w:t>
      </w:r>
      <w:r w:rsidRPr="00180028" w:rsidR="00BD65C4">
        <w:rPr>
          <w:rFonts w:ascii="Palatino Linotype" w:hAnsi="Palatino Linotype"/>
          <w:color w:val="000000" w:themeColor="text1"/>
          <w:sz w:val="24"/>
          <w:szCs w:val="24"/>
        </w:rPr>
        <w:t>P</w:t>
      </w:r>
      <w:r w:rsidRPr="00180028" w:rsidR="00415090">
        <w:rPr>
          <w:rFonts w:ascii="Palatino Linotype" w:hAnsi="Palatino Linotype"/>
          <w:color w:val="000000" w:themeColor="text1"/>
          <w:sz w:val="24"/>
          <w:szCs w:val="24"/>
        </w:rPr>
        <w:t>rocess</w:t>
      </w:r>
      <w:r w:rsidRPr="00180028" w:rsidR="00BD65C4">
        <w:rPr>
          <w:rFonts w:ascii="Palatino Linotype" w:hAnsi="Palatino Linotype"/>
          <w:color w:val="000000" w:themeColor="text1"/>
          <w:sz w:val="24"/>
          <w:szCs w:val="24"/>
        </w:rPr>
        <w:t xml:space="preserve"> or </w:t>
      </w:r>
      <w:r w:rsidRPr="00180028" w:rsidR="00415090">
        <w:rPr>
          <w:rFonts w:ascii="Palatino Linotype" w:hAnsi="Palatino Linotype"/>
          <w:color w:val="000000" w:themeColor="text1"/>
          <w:sz w:val="24"/>
          <w:szCs w:val="24"/>
        </w:rPr>
        <w:t>are</w:t>
      </w:r>
      <w:r w:rsidRPr="00180028" w:rsidR="000D142E">
        <w:rPr>
          <w:rFonts w:ascii="Palatino Linotype" w:hAnsi="Palatino Linotype"/>
          <w:color w:val="000000" w:themeColor="text1"/>
          <w:sz w:val="24"/>
          <w:szCs w:val="24"/>
        </w:rPr>
        <w:t xml:space="preserve"> </w:t>
      </w:r>
      <w:r w:rsidRPr="00180028" w:rsidR="00430631">
        <w:rPr>
          <w:rFonts w:ascii="Palatino Linotype" w:hAnsi="Palatino Linotype"/>
          <w:color w:val="000000" w:themeColor="text1"/>
          <w:sz w:val="24"/>
          <w:szCs w:val="24"/>
        </w:rPr>
        <w:t>U</w:t>
      </w:r>
      <w:r w:rsidRPr="00180028" w:rsidR="00BD65C4">
        <w:rPr>
          <w:rFonts w:ascii="Palatino Linotype" w:hAnsi="Palatino Linotype"/>
          <w:color w:val="000000" w:themeColor="text1"/>
          <w:sz w:val="24"/>
          <w:szCs w:val="24"/>
        </w:rPr>
        <w:t xml:space="preserve">tility </w:t>
      </w:r>
      <w:r w:rsidRPr="00180028" w:rsidR="000824FC">
        <w:rPr>
          <w:rFonts w:ascii="Palatino Linotype" w:hAnsi="Palatino Linotype"/>
          <w:color w:val="000000" w:themeColor="text1"/>
          <w:sz w:val="24"/>
          <w:szCs w:val="24"/>
        </w:rPr>
        <w:t>S</w:t>
      </w:r>
      <w:r w:rsidRPr="00180028" w:rsidR="00BD65C4">
        <w:rPr>
          <w:rFonts w:ascii="Palatino Linotype" w:hAnsi="Palatino Linotype"/>
          <w:color w:val="000000" w:themeColor="text1"/>
          <w:sz w:val="24"/>
          <w:szCs w:val="24"/>
        </w:rPr>
        <w:t>elf-</w:t>
      </w:r>
      <w:r w:rsidRPr="00180028" w:rsidR="000824FC">
        <w:rPr>
          <w:rFonts w:ascii="Palatino Linotype" w:hAnsi="Palatino Linotype"/>
          <w:color w:val="000000" w:themeColor="text1"/>
          <w:sz w:val="24"/>
          <w:szCs w:val="24"/>
        </w:rPr>
        <w:t>A</w:t>
      </w:r>
      <w:r w:rsidRPr="00180028" w:rsidR="00BD65C4">
        <w:rPr>
          <w:rFonts w:ascii="Palatino Linotype" w:hAnsi="Palatino Linotype"/>
          <w:color w:val="000000" w:themeColor="text1"/>
          <w:sz w:val="24"/>
          <w:szCs w:val="24"/>
        </w:rPr>
        <w:t xml:space="preserve">pproved </w:t>
      </w:r>
      <w:r w:rsidRPr="00180028" w:rsidR="00430631">
        <w:rPr>
          <w:rFonts w:ascii="Palatino Linotype" w:hAnsi="Palatino Linotype"/>
          <w:color w:val="000000" w:themeColor="text1"/>
          <w:sz w:val="24"/>
          <w:szCs w:val="24"/>
        </w:rPr>
        <w:t>P</w:t>
      </w:r>
      <w:r w:rsidRPr="00180028" w:rsidR="00BD65C4">
        <w:rPr>
          <w:rFonts w:ascii="Palatino Linotype" w:hAnsi="Palatino Linotype"/>
          <w:color w:val="000000" w:themeColor="text1"/>
          <w:sz w:val="24"/>
          <w:szCs w:val="24"/>
        </w:rPr>
        <w:t>roject</w:t>
      </w:r>
      <w:r w:rsidRPr="00180028" w:rsidR="00415090">
        <w:rPr>
          <w:rFonts w:ascii="Palatino Linotype" w:hAnsi="Palatino Linotype"/>
          <w:color w:val="000000" w:themeColor="text1"/>
          <w:sz w:val="24"/>
          <w:szCs w:val="24"/>
        </w:rPr>
        <w:t>s</w:t>
      </w:r>
      <w:r w:rsidRPr="00180028" w:rsidR="00BD65C4">
        <w:rPr>
          <w:rFonts w:ascii="Palatino Linotype" w:hAnsi="Palatino Linotype"/>
          <w:color w:val="000000" w:themeColor="text1"/>
          <w:sz w:val="24"/>
          <w:szCs w:val="24"/>
        </w:rPr>
        <w:t xml:space="preserve">.  The TPR Process </w:t>
      </w:r>
      <w:r w:rsidRPr="00180028" w:rsidR="000D142E">
        <w:rPr>
          <w:rFonts w:ascii="Palatino Linotype" w:hAnsi="Palatino Linotype"/>
          <w:color w:val="000000" w:themeColor="text1"/>
          <w:sz w:val="24"/>
          <w:szCs w:val="24"/>
        </w:rPr>
        <w:t>wi</w:t>
      </w:r>
      <w:r w:rsidRPr="00180028" w:rsidR="00BD65C4">
        <w:rPr>
          <w:rFonts w:ascii="Palatino Linotype" w:hAnsi="Palatino Linotype"/>
          <w:color w:val="000000" w:themeColor="text1"/>
          <w:sz w:val="24"/>
          <w:szCs w:val="24"/>
        </w:rPr>
        <w:t xml:space="preserve">ll </w:t>
      </w:r>
      <w:r w:rsidRPr="00180028" w:rsidR="00430631">
        <w:rPr>
          <w:rFonts w:ascii="Palatino Linotype" w:hAnsi="Palatino Linotype"/>
          <w:color w:val="000000" w:themeColor="text1"/>
          <w:sz w:val="24"/>
          <w:szCs w:val="24"/>
        </w:rPr>
        <w:t xml:space="preserve">also </w:t>
      </w:r>
      <w:r w:rsidRPr="00180028" w:rsidR="00BD65C4">
        <w:rPr>
          <w:rFonts w:ascii="Palatino Linotype" w:hAnsi="Palatino Linotype"/>
          <w:color w:val="000000" w:themeColor="text1"/>
          <w:sz w:val="24"/>
          <w:szCs w:val="24"/>
        </w:rPr>
        <w:t xml:space="preserve">include </w:t>
      </w:r>
      <w:r w:rsidRPr="00180028" w:rsidR="00415090">
        <w:rPr>
          <w:rFonts w:ascii="Palatino Linotype" w:hAnsi="Palatino Linotype"/>
          <w:color w:val="000000" w:themeColor="text1"/>
          <w:sz w:val="24"/>
          <w:szCs w:val="24"/>
        </w:rPr>
        <w:t xml:space="preserve">information on the </w:t>
      </w:r>
      <w:r w:rsidRPr="00180028" w:rsidR="00BD65C4">
        <w:rPr>
          <w:rFonts w:ascii="Palatino Linotype" w:hAnsi="Palatino Linotype"/>
          <w:color w:val="000000" w:themeColor="text1"/>
          <w:sz w:val="24"/>
          <w:szCs w:val="24"/>
        </w:rPr>
        <w:t xml:space="preserve">consideration of </w:t>
      </w:r>
      <w:r w:rsidRPr="00180028" w:rsidR="00096998">
        <w:rPr>
          <w:rFonts w:ascii="Palatino Linotype" w:hAnsi="Palatino Linotype"/>
          <w:color w:val="000000" w:themeColor="text1"/>
          <w:sz w:val="24"/>
          <w:szCs w:val="24"/>
        </w:rPr>
        <w:t xml:space="preserve">Project </w:t>
      </w:r>
      <w:r w:rsidRPr="00180028" w:rsidR="408D3CD4">
        <w:rPr>
          <w:rFonts w:ascii="Palatino Linotype" w:hAnsi="Palatino Linotype"/>
          <w:color w:val="000000" w:themeColor="text1"/>
          <w:sz w:val="24"/>
          <w:szCs w:val="24"/>
        </w:rPr>
        <w:t>alternatives.</w:t>
      </w:r>
      <w:r w:rsidRPr="00180028" w:rsidR="00BD65C4">
        <w:rPr>
          <w:rFonts w:ascii="Palatino Linotype" w:hAnsi="Palatino Linotype"/>
          <w:color w:val="000000" w:themeColor="text1"/>
          <w:sz w:val="24"/>
          <w:szCs w:val="24"/>
        </w:rPr>
        <w:t xml:space="preserve">  </w:t>
      </w:r>
    </w:p>
    <w:p w:rsidRPr="00180028" w:rsidR="00415090" w:rsidP="00180028" w:rsidRDefault="00415090" w14:paraId="2E6147DF" w14:textId="7E51FC48">
      <w:pPr>
        <w:pStyle w:val="standard"/>
        <w:spacing w:line="23" w:lineRule="atLeast"/>
        <w:ind w:firstLine="0"/>
        <w:rPr>
          <w:rFonts w:ascii="Palatino Linotype" w:hAnsi="Palatino Linotype"/>
          <w:sz w:val="24"/>
          <w:szCs w:val="24"/>
        </w:rPr>
      </w:pPr>
      <w:r w:rsidRPr="00180028">
        <w:rPr>
          <w:rFonts w:ascii="Palatino Linotype" w:hAnsi="Palatino Linotype"/>
          <w:sz w:val="24"/>
          <w:szCs w:val="24"/>
        </w:rPr>
        <w:tab/>
        <w:t xml:space="preserve">As </w:t>
      </w:r>
      <w:r w:rsidRPr="00180028" w:rsidR="00B959EC">
        <w:rPr>
          <w:rFonts w:ascii="Palatino Linotype" w:hAnsi="Palatino Linotype"/>
          <w:sz w:val="24"/>
          <w:szCs w:val="24"/>
        </w:rPr>
        <w:t>describ</w:t>
      </w:r>
      <w:r w:rsidRPr="00180028">
        <w:rPr>
          <w:rFonts w:ascii="Palatino Linotype" w:hAnsi="Palatino Linotype"/>
          <w:sz w:val="24"/>
          <w:szCs w:val="24"/>
        </w:rPr>
        <w:t xml:space="preserve">ed in Attachment C to this Resolution, the timelines for the three IOUs are staggered by a month to enable the CPUC and Stakeholders to engage meaningfully with </w:t>
      </w:r>
      <w:r w:rsidRPr="00180028" w:rsidR="00B959EC">
        <w:rPr>
          <w:rFonts w:ascii="Palatino Linotype" w:hAnsi="Palatino Linotype"/>
          <w:sz w:val="24"/>
          <w:szCs w:val="24"/>
        </w:rPr>
        <w:t>all three</w:t>
      </w:r>
      <w:r w:rsidRPr="00180028">
        <w:rPr>
          <w:rFonts w:ascii="Palatino Linotype" w:hAnsi="Palatino Linotype"/>
          <w:sz w:val="24"/>
          <w:szCs w:val="24"/>
        </w:rPr>
        <w:t xml:space="preserve"> Utilities </w:t>
      </w:r>
      <w:r w:rsidRPr="00180028" w:rsidR="00B959EC">
        <w:rPr>
          <w:rFonts w:ascii="Palatino Linotype" w:hAnsi="Palatino Linotype"/>
          <w:sz w:val="24"/>
          <w:szCs w:val="24"/>
        </w:rPr>
        <w:t>in the TPR Process</w:t>
      </w:r>
      <w:r w:rsidRPr="00180028">
        <w:rPr>
          <w:rFonts w:ascii="Palatino Linotype" w:hAnsi="Palatino Linotype"/>
          <w:sz w:val="24"/>
          <w:szCs w:val="24"/>
        </w:rPr>
        <w:t>.</w:t>
      </w:r>
    </w:p>
    <w:p w:rsidRPr="00180028" w:rsidR="006815C7" w:rsidP="00180028" w:rsidRDefault="00415090" w14:paraId="01184BCF" w14:textId="03BE0A37">
      <w:pPr>
        <w:pStyle w:val="standard"/>
        <w:spacing w:line="23" w:lineRule="atLeast"/>
        <w:rPr>
          <w:rFonts w:ascii="Palatino Linotype" w:hAnsi="Palatino Linotype"/>
          <w:sz w:val="24"/>
          <w:szCs w:val="24"/>
        </w:rPr>
      </w:pPr>
      <w:r w:rsidRPr="00180028">
        <w:rPr>
          <w:rFonts w:ascii="Palatino Linotype" w:hAnsi="Palatino Linotype"/>
          <w:sz w:val="24"/>
          <w:szCs w:val="24"/>
        </w:rPr>
        <w:t>With greater detail in the above</w:t>
      </w:r>
      <w:r w:rsidRPr="00180028" w:rsidR="00B959EC">
        <w:rPr>
          <w:rFonts w:ascii="Palatino Linotype" w:hAnsi="Palatino Linotype"/>
          <w:sz w:val="24"/>
          <w:szCs w:val="24"/>
        </w:rPr>
        <w:t>-</w:t>
      </w:r>
      <w:r w:rsidRPr="00180028">
        <w:rPr>
          <w:rFonts w:ascii="Palatino Linotype" w:hAnsi="Palatino Linotype"/>
          <w:sz w:val="24"/>
          <w:szCs w:val="24"/>
        </w:rPr>
        <w:t xml:space="preserve">mentioned Attachments, below is a brief description of the main components of the </w:t>
      </w:r>
      <w:r w:rsidRPr="00180028" w:rsidR="00186EF3">
        <w:rPr>
          <w:rFonts w:ascii="Palatino Linotype" w:hAnsi="Palatino Linotype"/>
          <w:sz w:val="24"/>
          <w:szCs w:val="24"/>
        </w:rPr>
        <w:t>Transmission Project Review Process</w:t>
      </w:r>
      <w:r w:rsidRPr="00180028" w:rsidR="006815C7">
        <w:rPr>
          <w:rFonts w:ascii="Palatino Linotype" w:hAnsi="Palatino Linotype"/>
          <w:sz w:val="24"/>
          <w:szCs w:val="24"/>
        </w:rPr>
        <w:t>.</w:t>
      </w:r>
    </w:p>
    <w:p w:rsidRPr="00180028" w:rsidR="00186EF3" w:rsidP="00CA2252" w:rsidRDefault="00186EF3" w14:paraId="65DCAEFB" w14:textId="6CB0E1E0">
      <w:pPr>
        <w:pStyle w:val="Heading3"/>
        <w:spacing w:before="240" w:line="23" w:lineRule="atLeast"/>
        <w:ind w:firstLine="0"/>
        <w:rPr>
          <w:rFonts w:ascii="Palatino Linotype" w:hAnsi="Palatino Linotype"/>
          <w:b w:val="0"/>
          <w:color w:val="000000" w:themeColor="text1"/>
          <w:sz w:val="24"/>
          <w:szCs w:val="24"/>
        </w:rPr>
      </w:pPr>
      <w:r w:rsidRPr="00180028">
        <w:rPr>
          <w:rFonts w:ascii="Palatino Linotype" w:hAnsi="Palatino Linotype"/>
          <w:b w:val="0"/>
          <w:color w:val="000000" w:themeColor="text1"/>
          <w:sz w:val="24"/>
          <w:szCs w:val="24"/>
        </w:rPr>
        <w:t>STAKEHOLDERS</w:t>
      </w:r>
    </w:p>
    <w:p w:rsidRPr="00180028" w:rsidR="006815C7" w:rsidP="00180028" w:rsidRDefault="00186EF3" w14:paraId="107EC59B" w14:textId="451259D2">
      <w:pPr>
        <w:pStyle w:val="Heading3"/>
        <w:spacing w:line="23" w:lineRule="atLeast"/>
        <w:ind w:firstLine="720"/>
        <w:rPr>
          <w:rFonts w:ascii="Palatino Linotype" w:hAnsi="Palatino Linotype"/>
          <w:sz w:val="24"/>
          <w:szCs w:val="24"/>
        </w:rPr>
      </w:pPr>
      <w:r w:rsidRPr="00180028">
        <w:rPr>
          <w:rFonts w:ascii="Palatino Linotype" w:hAnsi="Palatino Linotype"/>
          <w:b w:val="0"/>
          <w:color w:val="000000" w:themeColor="text1"/>
          <w:sz w:val="24"/>
          <w:szCs w:val="24"/>
        </w:rPr>
        <w:t xml:space="preserve">A </w:t>
      </w:r>
      <w:r w:rsidRPr="00180028" w:rsidR="00BD65C4">
        <w:rPr>
          <w:rFonts w:ascii="Palatino Linotype" w:hAnsi="Palatino Linotype"/>
          <w:b w:val="0"/>
          <w:color w:val="000000" w:themeColor="text1"/>
          <w:sz w:val="24"/>
          <w:szCs w:val="24"/>
        </w:rPr>
        <w:t>Stakeholder</w:t>
      </w:r>
      <w:r w:rsidRPr="00180028">
        <w:rPr>
          <w:rFonts w:ascii="Palatino Linotype" w:hAnsi="Palatino Linotype"/>
          <w:b w:val="0"/>
          <w:color w:val="000000" w:themeColor="text1"/>
          <w:sz w:val="24"/>
          <w:szCs w:val="24"/>
        </w:rPr>
        <w:t xml:space="preserve"> is any entity with an interest in electric transmission development, service, and/or rates in the CAISO control area.  </w:t>
      </w:r>
      <w:r w:rsidRPr="00180028" w:rsidR="001A6DC9">
        <w:rPr>
          <w:rFonts w:ascii="Palatino Linotype" w:hAnsi="Palatino Linotype"/>
          <w:b w:val="0"/>
          <w:color w:val="000000" w:themeColor="text1"/>
          <w:sz w:val="24"/>
          <w:szCs w:val="24"/>
        </w:rPr>
        <w:t xml:space="preserve">All </w:t>
      </w:r>
      <w:r w:rsidRPr="00180028" w:rsidR="00CF4110">
        <w:rPr>
          <w:rFonts w:ascii="Palatino Linotype" w:hAnsi="Palatino Linotype"/>
          <w:b w:val="0"/>
          <w:color w:val="000000" w:themeColor="text1"/>
          <w:sz w:val="24"/>
          <w:szCs w:val="24"/>
        </w:rPr>
        <w:t>Stakeholders will have acces</w:t>
      </w:r>
      <w:r w:rsidRPr="00180028" w:rsidR="001A6DC9">
        <w:rPr>
          <w:rFonts w:ascii="Palatino Linotype" w:hAnsi="Palatino Linotype"/>
          <w:b w:val="0"/>
          <w:color w:val="000000" w:themeColor="text1"/>
          <w:sz w:val="24"/>
          <w:szCs w:val="24"/>
        </w:rPr>
        <w:t>s to the publicly available information.</w:t>
      </w:r>
      <w:r w:rsidRPr="00180028" w:rsidR="0062766B">
        <w:rPr>
          <w:rFonts w:ascii="Palatino Linotype" w:hAnsi="Palatino Linotype"/>
          <w:b w:val="0"/>
          <w:color w:val="000000" w:themeColor="text1"/>
          <w:sz w:val="24"/>
          <w:szCs w:val="24"/>
        </w:rPr>
        <w:t xml:space="preserve"> </w:t>
      </w:r>
      <w:r w:rsidRPr="00180028" w:rsidR="001A6DC9">
        <w:rPr>
          <w:rFonts w:ascii="Palatino Linotype" w:hAnsi="Palatino Linotype"/>
          <w:b w:val="0"/>
          <w:color w:val="000000" w:themeColor="text1"/>
          <w:sz w:val="24"/>
          <w:szCs w:val="24"/>
        </w:rPr>
        <w:t xml:space="preserve"> </w:t>
      </w:r>
      <w:r w:rsidRPr="00180028">
        <w:rPr>
          <w:rFonts w:ascii="Palatino Linotype" w:hAnsi="Palatino Linotype"/>
          <w:b w:val="0"/>
          <w:color w:val="000000" w:themeColor="text1"/>
          <w:sz w:val="24"/>
          <w:szCs w:val="24"/>
        </w:rPr>
        <w:t xml:space="preserve">Pursuant to </w:t>
      </w:r>
      <w:r w:rsidRPr="00180028" w:rsidR="00B4667C">
        <w:rPr>
          <w:rFonts w:ascii="Palatino Linotype" w:hAnsi="Palatino Linotype"/>
          <w:b w:val="0"/>
          <w:color w:val="000000" w:themeColor="text1"/>
          <w:sz w:val="24"/>
          <w:szCs w:val="24"/>
        </w:rPr>
        <w:t xml:space="preserve">CPUC or FERC </w:t>
      </w:r>
      <w:r w:rsidRPr="00180028">
        <w:rPr>
          <w:rFonts w:ascii="Palatino Linotype" w:hAnsi="Palatino Linotype"/>
          <w:b w:val="0"/>
          <w:color w:val="000000" w:themeColor="text1"/>
          <w:sz w:val="24"/>
          <w:szCs w:val="24"/>
        </w:rPr>
        <w:t xml:space="preserve">limitations, not all </w:t>
      </w:r>
      <w:r w:rsidRPr="00180028">
        <w:rPr>
          <w:rFonts w:ascii="Palatino Linotype" w:hAnsi="Palatino Linotype"/>
          <w:b w:val="0"/>
          <w:color w:val="000000" w:themeColor="text1"/>
          <w:sz w:val="24"/>
          <w:szCs w:val="24"/>
        </w:rPr>
        <w:lastRenderedPageBreak/>
        <w:t>Stakeholders will have access to confidential information or critical electric/energy infrastructure information (</w:t>
      </w:r>
      <w:r w:rsidRPr="00180028" w:rsidR="00764CE9">
        <w:rPr>
          <w:rFonts w:ascii="Palatino Linotype" w:hAnsi="Palatino Linotype"/>
          <w:b w:val="0"/>
          <w:color w:val="000000" w:themeColor="text1"/>
          <w:sz w:val="24"/>
          <w:szCs w:val="24"/>
        </w:rPr>
        <w:t>“</w:t>
      </w:r>
      <w:r w:rsidRPr="00180028">
        <w:rPr>
          <w:rFonts w:ascii="Palatino Linotype" w:hAnsi="Palatino Linotype"/>
          <w:b w:val="0"/>
          <w:color w:val="000000" w:themeColor="text1"/>
          <w:sz w:val="24"/>
          <w:szCs w:val="24"/>
        </w:rPr>
        <w:t>CEII</w:t>
      </w:r>
      <w:r w:rsidRPr="00180028" w:rsidR="00764CE9">
        <w:rPr>
          <w:rFonts w:ascii="Palatino Linotype" w:hAnsi="Palatino Linotype"/>
          <w:b w:val="0"/>
          <w:color w:val="000000" w:themeColor="text1"/>
          <w:sz w:val="24"/>
          <w:szCs w:val="24"/>
        </w:rPr>
        <w:t>”</w:t>
      </w:r>
      <w:r w:rsidRPr="00180028">
        <w:rPr>
          <w:rFonts w:ascii="Palatino Linotype" w:hAnsi="Palatino Linotype"/>
          <w:b w:val="0"/>
          <w:color w:val="000000" w:themeColor="text1"/>
          <w:sz w:val="24"/>
          <w:szCs w:val="24"/>
        </w:rPr>
        <w:t>) included in the TPR Process.</w:t>
      </w:r>
    </w:p>
    <w:p w:rsidRPr="00180028" w:rsidR="00D221BB" w:rsidP="00CA2252" w:rsidRDefault="00186EF3" w14:paraId="58664DC7" w14:textId="5BF2E66D">
      <w:pPr>
        <w:pStyle w:val="sub2"/>
        <w:spacing w:before="240" w:after="120" w:line="23" w:lineRule="atLeast"/>
        <w:ind w:firstLine="0"/>
        <w:rPr>
          <w:rFonts w:ascii="Palatino Linotype" w:hAnsi="Palatino Linotype"/>
          <w:sz w:val="24"/>
          <w:szCs w:val="24"/>
        </w:rPr>
      </w:pPr>
      <w:r w:rsidRPr="00180028">
        <w:rPr>
          <w:rFonts w:ascii="Palatino Linotype" w:hAnsi="Palatino Linotype"/>
          <w:sz w:val="24"/>
          <w:szCs w:val="24"/>
        </w:rPr>
        <w:t>TRANSMISSION P</w:t>
      </w:r>
      <w:r w:rsidRPr="00180028" w:rsidR="00D221BB">
        <w:rPr>
          <w:rFonts w:ascii="Palatino Linotype" w:hAnsi="Palatino Linotype"/>
          <w:sz w:val="24"/>
          <w:szCs w:val="24"/>
        </w:rPr>
        <w:t>R</w:t>
      </w:r>
      <w:r w:rsidRPr="00180028">
        <w:rPr>
          <w:rFonts w:ascii="Palatino Linotype" w:hAnsi="Palatino Linotype"/>
          <w:sz w:val="24"/>
          <w:szCs w:val="24"/>
        </w:rPr>
        <w:t>OJECTS AND DATA</w:t>
      </w:r>
    </w:p>
    <w:p w:rsidRPr="00180028" w:rsidR="00D221BB" w:rsidP="00180028" w:rsidRDefault="00B27C03" w14:paraId="47FD3959" w14:textId="7B03D2BD">
      <w:pPr>
        <w:pStyle w:val="sub2"/>
        <w:spacing w:line="23" w:lineRule="atLeast"/>
        <w:ind w:firstLine="720"/>
        <w:rPr>
          <w:rFonts w:ascii="Palatino Linotype" w:hAnsi="Palatino Linotype"/>
          <w:sz w:val="24"/>
          <w:szCs w:val="24"/>
        </w:rPr>
      </w:pPr>
      <w:r w:rsidRPr="00180028">
        <w:rPr>
          <w:rFonts w:ascii="Palatino Linotype" w:hAnsi="Palatino Linotype"/>
          <w:sz w:val="24"/>
          <w:szCs w:val="24"/>
        </w:rPr>
        <w:t>Described in more detail in Attachment A to this Resolution, a</w:t>
      </w:r>
      <w:r w:rsidRPr="00180028" w:rsidR="00D221BB">
        <w:rPr>
          <w:rFonts w:ascii="Palatino Linotype" w:hAnsi="Palatino Linotype"/>
          <w:sz w:val="24"/>
          <w:szCs w:val="24"/>
        </w:rPr>
        <w:t xml:space="preserve"> Project in the TPR Process is a</w:t>
      </w:r>
      <w:r w:rsidRPr="00180028" w:rsidR="00D221BB">
        <w:rPr>
          <w:rFonts w:ascii="Palatino Linotype" w:hAnsi="Palatino Linotype"/>
          <w:bCs/>
          <w:color w:val="000000" w:themeColor="text1"/>
          <w:sz w:val="24"/>
          <w:szCs w:val="24"/>
        </w:rPr>
        <w:t>ny FERC-jurisdictional electric transmission project with actual or forecast costs of one million dollars or more, which a Utility has included or intends to include in its FERC-jurisdictional electric transmission rate</w:t>
      </w:r>
      <w:r w:rsidRPr="00180028" w:rsidR="004C139D">
        <w:rPr>
          <w:rFonts w:ascii="Palatino Linotype" w:hAnsi="Palatino Linotype"/>
          <w:bCs/>
          <w:color w:val="000000" w:themeColor="text1"/>
          <w:sz w:val="24"/>
          <w:szCs w:val="24"/>
        </w:rPr>
        <w:t xml:space="preserve"> </w:t>
      </w:r>
      <w:r w:rsidRPr="00180028" w:rsidR="00D221BB">
        <w:rPr>
          <w:rFonts w:ascii="Palatino Linotype" w:hAnsi="Palatino Linotype"/>
          <w:bCs/>
          <w:color w:val="000000" w:themeColor="text1"/>
          <w:sz w:val="24"/>
          <w:szCs w:val="24"/>
        </w:rPr>
        <w:t xml:space="preserve">base, including both CAISO and Non-CAISO Projects.  A Project would include all of the components of a specifically identified Project, </w:t>
      </w:r>
      <w:r w:rsidRPr="00180028" w:rsidR="00D221BB">
        <w:rPr>
          <w:rFonts w:ascii="Palatino Linotype" w:hAnsi="Palatino Linotype"/>
          <w:color w:val="000000" w:themeColor="text1"/>
          <w:sz w:val="24"/>
          <w:szCs w:val="24"/>
        </w:rPr>
        <w:t>as well as programmatic buckets or blanket program work categories</w:t>
      </w:r>
      <w:r w:rsidRPr="00180028" w:rsidR="00BF60AE">
        <w:rPr>
          <w:rFonts w:ascii="Palatino Linotype" w:hAnsi="Palatino Linotype"/>
          <w:color w:val="000000" w:themeColor="text1"/>
          <w:sz w:val="24"/>
          <w:szCs w:val="24"/>
        </w:rPr>
        <w:t>, which include projects that are categorized as part of an identified category with other similar projects</w:t>
      </w:r>
      <w:r w:rsidRPr="00180028" w:rsidR="00D221BB">
        <w:rPr>
          <w:rFonts w:ascii="Palatino Linotype" w:hAnsi="Palatino Linotype"/>
          <w:bCs/>
          <w:color w:val="000000" w:themeColor="text1"/>
          <w:sz w:val="24"/>
          <w:szCs w:val="24"/>
        </w:rPr>
        <w:t>.</w:t>
      </w:r>
      <w:r w:rsidRPr="00180028" w:rsidR="00BF60AE">
        <w:rPr>
          <w:rFonts w:ascii="Palatino Linotype" w:hAnsi="Palatino Linotype"/>
          <w:bCs/>
          <w:color w:val="000000" w:themeColor="text1"/>
          <w:sz w:val="24"/>
          <w:szCs w:val="24"/>
        </w:rPr>
        <w:t xml:space="preserve"> </w:t>
      </w:r>
    </w:p>
    <w:p w:rsidRPr="00180028" w:rsidR="00186EF3" w:rsidP="00180028" w:rsidRDefault="00BF60AE" w14:paraId="44C8E1CE" w14:textId="53E662FB">
      <w:pPr>
        <w:spacing w:after="240" w:line="23" w:lineRule="atLeast"/>
        <w:ind w:firstLine="720"/>
        <w:rPr>
          <w:rFonts w:ascii="Palatino Linotype" w:hAnsi="Palatino Linotype"/>
          <w:color w:val="000000" w:themeColor="text1"/>
          <w:sz w:val="24"/>
          <w:szCs w:val="24"/>
        </w:rPr>
      </w:pPr>
      <w:r w:rsidRPr="00180028">
        <w:rPr>
          <w:rFonts w:ascii="Palatino Linotype" w:hAnsi="Palatino Linotype"/>
          <w:bCs/>
          <w:color w:val="000000" w:themeColor="text1"/>
          <w:sz w:val="24"/>
          <w:szCs w:val="24"/>
        </w:rPr>
        <w:t xml:space="preserve">The Project Data are presented in the </w:t>
      </w:r>
      <w:r w:rsidRPr="00180028" w:rsidR="00186EF3">
        <w:rPr>
          <w:rFonts w:ascii="Palatino Linotype" w:hAnsi="Palatino Linotype"/>
          <w:bCs/>
          <w:color w:val="000000" w:themeColor="text1"/>
          <w:sz w:val="24"/>
          <w:szCs w:val="24"/>
        </w:rPr>
        <w:t>Project</w:t>
      </w:r>
      <w:r w:rsidRPr="00180028">
        <w:rPr>
          <w:rFonts w:ascii="Palatino Linotype" w:hAnsi="Palatino Linotype"/>
          <w:bCs/>
          <w:color w:val="000000" w:themeColor="text1"/>
          <w:sz w:val="24"/>
          <w:szCs w:val="24"/>
        </w:rPr>
        <w:t xml:space="preserve"> </w:t>
      </w:r>
      <w:r w:rsidRPr="00180028" w:rsidR="00186EF3">
        <w:rPr>
          <w:rFonts w:ascii="Palatino Linotype" w:hAnsi="Palatino Linotype"/>
          <w:bCs/>
          <w:color w:val="000000" w:themeColor="text1"/>
          <w:sz w:val="24"/>
          <w:szCs w:val="24"/>
        </w:rPr>
        <w:t>Spreadsheet</w:t>
      </w:r>
      <w:r w:rsidRPr="00180028">
        <w:rPr>
          <w:rFonts w:ascii="Palatino Linotype" w:hAnsi="Palatino Linotype"/>
          <w:bCs/>
          <w:color w:val="000000" w:themeColor="text1"/>
          <w:sz w:val="24"/>
          <w:szCs w:val="24"/>
        </w:rPr>
        <w:t xml:space="preserve"> (</w:t>
      </w:r>
      <w:r w:rsidRPr="00180028" w:rsidR="00FE00C4">
        <w:rPr>
          <w:rFonts w:ascii="Palatino Linotype" w:hAnsi="Palatino Linotype"/>
          <w:bCs/>
          <w:color w:val="000000" w:themeColor="text1"/>
          <w:sz w:val="24"/>
          <w:szCs w:val="24"/>
        </w:rPr>
        <w:t>“</w:t>
      </w:r>
      <w:r w:rsidRPr="00180028">
        <w:rPr>
          <w:rFonts w:ascii="Palatino Linotype" w:hAnsi="Palatino Linotype"/>
          <w:bCs/>
          <w:color w:val="000000" w:themeColor="text1"/>
          <w:sz w:val="24"/>
          <w:szCs w:val="24"/>
        </w:rPr>
        <w:t>Spreadsheet</w:t>
      </w:r>
      <w:r w:rsidRPr="00180028" w:rsidR="00FE00C4">
        <w:rPr>
          <w:rFonts w:ascii="Palatino Linotype" w:hAnsi="Palatino Linotype"/>
          <w:bCs/>
          <w:color w:val="000000" w:themeColor="text1"/>
          <w:sz w:val="24"/>
          <w:szCs w:val="24"/>
        </w:rPr>
        <w:t>”</w:t>
      </w:r>
      <w:r w:rsidRPr="00180028">
        <w:rPr>
          <w:rFonts w:ascii="Palatino Linotype" w:hAnsi="Palatino Linotype"/>
          <w:bCs/>
          <w:color w:val="000000" w:themeColor="text1"/>
          <w:sz w:val="24"/>
          <w:szCs w:val="24"/>
        </w:rPr>
        <w:t xml:space="preserve">), which is </w:t>
      </w:r>
      <w:r w:rsidRPr="00180028" w:rsidR="00EF248C">
        <w:rPr>
          <w:rFonts w:ascii="Palatino Linotype" w:hAnsi="Palatino Linotype"/>
          <w:bCs/>
          <w:color w:val="000000" w:themeColor="text1"/>
          <w:sz w:val="24"/>
          <w:szCs w:val="24"/>
        </w:rPr>
        <w:t>p</w:t>
      </w:r>
      <w:r w:rsidRPr="00180028" w:rsidR="001F5722">
        <w:rPr>
          <w:rFonts w:ascii="Palatino Linotype" w:hAnsi="Palatino Linotype"/>
          <w:bCs/>
          <w:color w:val="000000" w:themeColor="text1"/>
          <w:sz w:val="24"/>
          <w:szCs w:val="24"/>
        </w:rPr>
        <w:t xml:space="preserve">rovided to the CPUC and Stakeholders semi-annually </w:t>
      </w:r>
      <w:r w:rsidRPr="00180028" w:rsidR="007003F5">
        <w:rPr>
          <w:rFonts w:ascii="Palatino Linotype" w:hAnsi="Palatino Linotype"/>
          <w:bCs/>
          <w:color w:val="000000" w:themeColor="text1"/>
          <w:sz w:val="24"/>
          <w:szCs w:val="24"/>
        </w:rPr>
        <w:t>and</w:t>
      </w:r>
      <w:r w:rsidRPr="00180028" w:rsidR="001F5722">
        <w:rPr>
          <w:rFonts w:ascii="Palatino Linotype" w:hAnsi="Palatino Linotype"/>
          <w:bCs/>
          <w:color w:val="000000" w:themeColor="text1"/>
          <w:sz w:val="24"/>
          <w:szCs w:val="24"/>
        </w:rPr>
        <w:t xml:space="preserve"> shall contain up-to-date data on all </w:t>
      </w:r>
      <w:r w:rsidRPr="00180028" w:rsidR="00C91E54">
        <w:rPr>
          <w:rFonts w:ascii="Palatino Linotype" w:hAnsi="Palatino Linotype"/>
          <w:bCs/>
          <w:color w:val="000000" w:themeColor="text1"/>
          <w:sz w:val="24"/>
          <w:szCs w:val="24"/>
        </w:rPr>
        <w:t>P</w:t>
      </w:r>
      <w:r w:rsidRPr="00180028" w:rsidR="001F5722">
        <w:rPr>
          <w:rFonts w:ascii="Palatino Linotype" w:hAnsi="Palatino Linotype"/>
          <w:bCs/>
          <w:color w:val="000000" w:themeColor="text1"/>
          <w:sz w:val="24"/>
          <w:szCs w:val="24"/>
        </w:rPr>
        <w:t xml:space="preserve">rojects with actual or forecast costs of one million dollars or more, regardless of whether they were included in the CAISO’s Transmission Planning Process.  Project-specific data </w:t>
      </w:r>
      <w:r w:rsidRPr="00180028" w:rsidR="007F650B">
        <w:rPr>
          <w:rFonts w:ascii="Palatino Linotype" w:hAnsi="Palatino Linotype"/>
          <w:bCs/>
          <w:color w:val="000000" w:themeColor="text1"/>
          <w:sz w:val="24"/>
          <w:szCs w:val="24"/>
        </w:rPr>
        <w:t xml:space="preserve">will be provided </w:t>
      </w:r>
      <w:r w:rsidRPr="00180028" w:rsidR="001F5722">
        <w:rPr>
          <w:rFonts w:ascii="Palatino Linotype" w:hAnsi="Palatino Linotype"/>
          <w:bCs/>
          <w:color w:val="000000" w:themeColor="text1"/>
          <w:sz w:val="24"/>
          <w:szCs w:val="24"/>
        </w:rPr>
        <w:t>for all electric transmission Projects that had capital expenditures in the prior five calendar years or actual or forecast capital expenditures for the current year or the next five-year period.</w:t>
      </w:r>
      <w:r w:rsidRPr="00180028" w:rsidR="000C5E67">
        <w:rPr>
          <w:rFonts w:ascii="Palatino Linotype" w:hAnsi="Palatino Linotype"/>
          <w:bCs/>
          <w:color w:val="000000" w:themeColor="text1"/>
          <w:sz w:val="24"/>
          <w:szCs w:val="24"/>
        </w:rPr>
        <w:t xml:space="preserve"> </w:t>
      </w:r>
      <w:r w:rsidRPr="00180028" w:rsidR="00186EF3">
        <w:rPr>
          <w:rFonts w:ascii="Palatino Linotype" w:hAnsi="Palatino Linotype"/>
          <w:color w:val="000000" w:themeColor="text1"/>
          <w:sz w:val="24"/>
          <w:szCs w:val="24"/>
        </w:rPr>
        <w:t>The Spreadsheet</w:t>
      </w:r>
      <w:r w:rsidRPr="00180028" w:rsidR="00502CE7">
        <w:rPr>
          <w:rFonts w:ascii="Palatino Linotype" w:hAnsi="Palatino Linotype"/>
          <w:color w:val="000000" w:themeColor="text1"/>
          <w:sz w:val="24"/>
          <w:szCs w:val="24"/>
        </w:rPr>
        <w:t xml:space="preserve"> wi</w:t>
      </w:r>
      <w:r w:rsidRPr="00180028" w:rsidR="00186EF3">
        <w:rPr>
          <w:rFonts w:ascii="Palatino Linotype" w:hAnsi="Palatino Linotype"/>
          <w:color w:val="000000" w:themeColor="text1"/>
          <w:sz w:val="24"/>
          <w:szCs w:val="24"/>
        </w:rPr>
        <w:t>ll include</w:t>
      </w:r>
      <w:r w:rsidRPr="00180028" w:rsidR="00502CE7">
        <w:rPr>
          <w:rFonts w:ascii="Palatino Linotype" w:hAnsi="Palatino Linotype"/>
          <w:color w:val="000000" w:themeColor="text1"/>
          <w:sz w:val="24"/>
          <w:szCs w:val="24"/>
        </w:rPr>
        <w:t xml:space="preserve"> </w:t>
      </w:r>
      <w:r w:rsidRPr="00180028" w:rsidR="00D722C2">
        <w:rPr>
          <w:rFonts w:ascii="Palatino Linotype" w:hAnsi="Palatino Linotype"/>
          <w:color w:val="000000" w:themeColor="text1"/>
          <w:sz w:val="24"/>
          <w:szCs w:val="24"/>
        </w:rPr>
        <w:t>nearly</w:t>
      </w:r>
      <w:r w:rsidRPr="00180028" w:rsidR="00502CE7">
        <w:rPr>
          <w:rFonts w:ascii="Palatino Linotype" w:hAnsi="Palatino Linotype"/>
          <w:color w:val="000000" w:themeColor="text1"/>
          <w:sz w:val="24"/>
          <w:szCs w:val="24"/>
        </w:rPr>
        <w:t xml:space="preserve"> </w:t>
      </w:r>
      <w:r w:rsidRPr="00180028" w:rsidR="00D722C2">
        <w:rPr>
          <w:rFonts w:ascii="Palatino Linotype" w:hAnsi="Palatino Linotype"/>
          <w:color w:val="000000" w:themeColor="text1"/>
          <w:sz w:val="24"/>
          <w:szCs w:val="24"/>
        </w:rPr>
        <w:t>7</w:t>
      </w:r>
      <w:r w:rsidRPr="00180028" w:rsidR="00502CE7">
        <w:rPr>
          <w:rFonts w:ascii="Palatino Linotype" w:hAnsi="Palatino Linotype"/>
          <w:color w:val="000000" w:themeColor="text1"/>
          <w:sz w:val="24"/>
          <w:szCs w:val="24"/>
        </w:rPr>
        <w:t>0 populated data fields for each transmission Project required by the TPR Process</w:t>
      </w:r>
      <w:r w:rsidRPr="00180028" w:rsidR="00186EF3">
        <w:rPr>
          <w:rFonts w:ascii="Palatino Linotype" w:hAnsi="Palatino Linotype"/>
          <w:color w:val="000000" w:themeColor="text1"/>
          <w:sz w:val="24"/>
          <w:szCs w:val="24"/>
        </w:rPr>
        <w:t>.</w:t>
      </w:r>
      <w:r w:rsidRPr="00180028" w:rsidR="00502CE7">
        <w:rPr>
          <w:rFonts w:ascii="Palatino Linotype" w:hAnsi="Palatino Linotype"/>
          <w:color w:val="000000" w:themeColor="text1"/>
          <w:sz w:val="24"/>
          <w:szCs w:val="24"/>
        </w:rPr>
        <w:t xml:space="preserve">  The data fields are described in detail in Attachment </w:t>
      </w:r>
      <w:r w:rsidRPr="00180028" w:rsidR="00B27C03">
        <w:rPr>
          <w:rFonts w:ascii="Palatino Linotype" w:hAnsi="Palatino Linotype"/>
          <w:color w:val="000000" w:themeColor="text1"/>
          <w:sz w:val="24"/>
          <w:szCs w:val="24"/>
        </w:rPr>
        <w:t>B</w:t>
      </w:r>
      <w:r w:rsidRPr="00180028" w:rsidR="00502CE7">
        <w:rPr>
          <w:rFonts w:ascii="Palatino Linotype" w:hAnsi="Palatino Linotype"/>
          <w:color w:val="000000" w:themeColor="text1"/>
          <w:sz w:val="24"/>
          <w:szCs w:val="24"/>
        </w:rPr>
        <w:t xml:space="preserve"> to this Resolution</w:t>
      </w:r>
      <w:r w:rsidRPr="00180028" w:rsidR="008B29D9">
        <w:rPr>
          <w:rFonts w:ascii="Palatino Linotype" w:hAnsi="Palatino Linotype"/>
          <w:color w:val="000000" w:themeColor="text1"/>
          <w:sz w:val="24"/>
          <w:szCs w:val="24"/>
        </w:rPr>
        <w:t>.</w:t>
      </w:r>
    </w:p>
    <w:p w:rsidRPr="00180028" w:rsidR="00F91DB7" w:rsidP="00180028" w:rsidRDefault="00FF50A6" w14:paraId="4A9EBEBD" w14:textId="02FC94AA">
      <w:pPr>
        <w:spacing w:after="240" w:line="23" w:lineRule="atLeast"/>
        <w:ind w:firstLine="720"/>
        <w:rPr>
          <w:rFonts w:ascii="Palatino Linotype" w:hAnsi="Palatino Linotype"/>
          <w:color w:val="000000" w:themeColor="text1"/>
          <w:sz w:val="24"/>
          <w:szCs w:val="24"/>
        </w:rPr>
      </w:pPr>
      <w:r w:rsidRPr="00180028">
        <w:rPr>
          <w:rFonts w:ascii="Palatino Linotype" w:hAnsi="Palatino Linotype"/>
          <w:color w:val="000000" w:themeColor="text1"/>
          <w:sz w:val="24"/>
          <w:szCs w:val="24"/>
        </w:rPr>
        <w:t xml:space="preserve">There will be both a public version and a confidential version of each </w:t>
      </w:r>
      <w:r w:rsidR="00CA2252">
        <w:rPr>
          <w:rFonts w:ascii="Palatino Linotype" w:hAnsi="Palatino Linotype"/>
          <w:color w:val="000000" w:themeColor="text1"/>
          <w:sz w:val="24"/>
          <w:szCs w:val="24"/>
        </w:rPr>
        <w:br/>
      </w:r>
      <w:r w:rsidRPr="00180028">
        <w:rPr>
          <w:rFonts w:ascii="Palatino Linotype" w:hAnsi="Palatino Linotype"/>
          <w:color w:val="000000" w:themeColor="text1"/>
          <w:sz w:val="24"/>
          <w:szCs w:val="24"/>
        </w:rPr>
        <w:t xml:space="preserve">semi-annual Project Spreadsheet.  The public version </w:t>
      </w:r>
      <w:r w:rsidRPr="00180028" w:rsidR="00F91DB7">
        <w:rPr>
          <w:rFonts w:ascii="Palatino Linotype" w:hAnsi="Palatino Linotype"/>
          <w:color w:val="000000" w:themeColor="text1"/>
          <w:sz w:val="24"/>
          <w:szCs w:val="24"/>
        </w:rPr>
        <w:t>will</w:t>
      </w:r>
      <w:r w:rsidRPr="00180028">
        <w:rPr>
          <w:rFonts w:ascii="Palatino Linotype" w:hAnsi="Palatino Linotype"/>
          <w:color w:val="000000" w:themeColor="text1"/>
          <w:sz w:val="24"/>
          <w:szCs w:val="24"/>
        </w:rPr>
        <w:t xml:space="preserve"> be </w:t>
      </w:r>
      <w:r w:rsidRPr="00180028" w:rsidR="002B29C2">
        <w:rPr>
          <w:rFonts w:ascii="Palatino Linotype" w:hAnsi="Palatino Linotype"/>
          <w:color w:val="000000" w:themeColor="text1"/>
          <w:sz w:val="24"/>
          <w:szCs w:val="24"/>
        </w:rPr>
        <w:t>sent</w:t>
      </w:r>
      <w:r w:rsidRPr="00180028">
        <w:rPr>
          <w:rFonts w:ascii="Palatino Linotype" w:hAnsi="Palatino Linotype"/>
          <w:color w:val="000000" w:themeColor="text1"/>
          <w:sz w:val="24"/>
          <w:szCs w:val="24"/>
        </w:rPr>
        <w:t xml:space="preserve"> to a distribution list and made available on each Utility’s website with confidential data and Critical Energy Infrastructure Information CEII redacted.</w:t>
      </w:r>
    </w:p>
    <w:p w:rsidRPr="00180028" w:rsidR="00FF50A6" w:rsidP="00180028" w:rsidRDefault="00FF50A6" w14:paraId="09AAAC09" w14:textId="2979323A">
      <w:pPr>
        <w:spacing w:after="240" w:line="23" w:lineRule="atLeast"/>
        <w:ind w:firstLine="720"/>
        <w:rPr>
          <w:rFonts w:ascii="Palatino Linotype" w:hAnsi="Palatino Linotype"/>
          <w:color w:val="000000" w:themeColor="text1"/>
          <w:sz w:val="24"/>
          <w:szCs w:val="24"/>
        </w:rPr>
      </w:pPr>
      <w:r w:rsidRPr="00180028">
        <w:rPr>
          <w:rFonts w:ascii="Palatino Linotype" w:hAnsi="Palatino Linotype"/>
          <w:color w:val="000000" w:themeColor="text1"/>
          <w:sz w:val="24"/>
          <w:szCs w:val="24"/>
        </w:rPr>
        <w:t>Information that is confidential or designated as CEII shall be provided to certain Stakeholders pursuant to CPUC and FERC limitations through a secure portal on each Utility’s website.  Access to the secure portal will require a signed non-disclosure agreement.  Each Utility will submit its proposed non-disclosure agreement to Energy Division for approval via advice letter.</w:t>
      </w:r>
    </w:p>
    <w:p w:rsidRPr="00180028" w:rsidR="006D7E32" w:rsidP="00180028" w:rsidRDefault="006D7E32" w14:paraId="27F26E4F" w14:textId="7EAF900B">
      <w:pPr>
        <w:spacing w:after="240" w:line="23" w:lineRule="atLeast"/>
        <w:ind w:firstLine="720"/>
        <w:rPr>
          <w:rFonts w:ascii="Palatino Linotype" w:hAnsi="Palatino Linotype"/>
          <w:color w:val="000000" w:themeColor="text1"/>
          <w:sz w:val="24"/>
          <w:szCs w:val="24"/>
        </w:rPr>
      </w:pPr>
      <w:r w:rsidRPr="00180028">
        <w:rPr>
          <w:rFonts w:ascii="Palatino Linotype" w:hAnsi="Palatino Linotype"/>
          <w:color w:val="000000" w:themeColor="text1"/>
          <w:sz w:val="24"/>
          <w:szCs w:val="24"/>
        </w:rPr>
        <w:t>Procedures</w:t>
      </w:r>
      <w:r w:rsidRPr="00180028" w:rsidR="00A33066">
        <w:rPr>
          <w:rFonts w:ascii="Palatino Linotype" w:hAnsi="Palatino Linotype"/>
          <w:sz w:val="24"/>
          <w:szCs w:val="24"/>
        </w:rPr>
        <w:t xml:space="preserve"> </w:t>
      </w:r>
      <w:r w:rsidRPr="00180028" w:rsidR="00A33066">
        <w:rPr>
          <w:rFonts w:ascii="Palatino Linotype" w:hAnsi="Palatino Linotype"/>
          <w:color w:val="000000" w:themeColor="text1"/>
          <w:sz w:val="24"/>
          <w:szCs w:val="24"/>
        </w:rPr>
        <w:t xml:space="preserve">refer to those processes, procedures, strategies or any documents </w:t>
      </w:r>
      <w:r w:rsidRPr="00180028" w:rsidR="00D2069F">
        <w:rPr>
          <w:rFonts w:ascii="Palatino Linotype" w:hAnsi="Palatino Linotype"/>
          <w:color w:val="000000" w:themeColor="text1"/>
          <w:sz w:val="24"/>
          <w:szCs w:val="24"/>
        </w:rPr>
        <w:t>created</w:t>
      </w:r>
      <w:r w:rsidRPr="00180028" w:rsidR="00A33066">
        <w:rPr>
          <w:rFonts w:ascii="Palatino Linotype" w:hAnsi="Palatino Linotype"/>
          <w:color w:val="000000" w:themeColor="text1"/>
          <w:sz w:val="24"/>
          <w:szCs w:val="24"/>
        </w:rPr>
        <w:t xml:space="preserve"> by the Utility to identify, propose, authorize, plan, prioritize, budget, and implement a Project included in the TPR Process</w:t>
      </w:r>
      <w:r w:rsidRPr="00180028" w:rsidR="0002697A">
        <w:rPr>
          <w:rFonts w:ascii="Palatino Linotype" w:hAnsi="Palatino Linotype"/>
          <w:color w:val="000000" w:themeColor="text1"/>
          <w:sz w:val="24"/>
          <w:szCs w:val="24"/>
        </w:rPr>
        <w:t xml:space="preserve"> Project</w:t>
      </w:r>
      <w:r w:rsidRPr="00180028" w:rsidR="00A33066">
        <w:rPr>
          <w:rFonts w:ascii="Palatino Linotype" w:hAnsi="Palatino Linotype"/>
          <w:color w:val="000000" w:themeColor="text1"/>
          <w:sz w:val="24"/>
          <w:szCs w:val="24"/>
        </w:rPr>
        <w:t xml:space="preserve"> Spreadsheet.</w:t>
      </w:r>
    </w:p>
    <w:p w:rsidRPr="00180028" w:rsidR="00E742B4" w:rsidP="00180028" w:rsidRDefault="00EB4453" w14:paraId="2E90ED28" w14:textId="6AF7C9C5">
      <w:pPr>
        <w:spacing w:after="240" w:line="23" w:lineRule="atLeast"/>
        <w:ind w:firstLine="720"/>
        <w:rPr>
          <w:rFonts w:ascii="Palatino Linotype" w:hAnsi="Palatino Linotype"/>
          <w:color w:val="000000" w:themeColor="text1"/>
          <w:sz w:val="24"/>
          <w:szCs w:val="24"/>
        </w:rPr>
      </w:pPr>
      <w:r w:rsidRPr="00180028">
        <w:rPr>
          <w:rFonts w:ascii="Palatino Linotype" w:hAnsi="Palatino Linotype"/>
          <w:color w:val="000000" w:themeColor="text1"/>
          <w:sz w:val="24"/>
          <w:szCs w:val="24"/>
        </w:rPr>
        <w:t>Authorization Documents are those internal Utility documents used at any stage of a Project for management authorization or re-authorization of the Project.</w:t>
      </w:r>
    </w:p>
    <w:p w:rsidRPr="00180028" w:rsidR="008B29D9" w:rsidP="00180028" w:rsidRDefault="008B29D9" w14:paraId="6E1BA3AF" w14:textId="1E487FD6">
      <w:pPr>
        <w:spacing w:after="240" w:line="23" w:lineRule="atLeast"/>
        <w:ind w:firstLine="720"/>
        <w:rPr>
          <w:rFonts w:ascii="Palatino Linotype" w:hAnsi="Palatino Linotype"/>
          <w:color w:val="000000" w:themeColor="text1"/>
          <w:sz w:val="24"/>
          <w:szCs w:val="24"/>
        </w:rPr>
      </w:pPr>
      <w:r w:rsidRPr="00180028">
        <w:rPr>
          <w:rFonts w:ascii="Palatino Linotype" w:hAnsi="Palatino Linotype"/>
          <w:color w:val="000000" w:themeColor="text1"/>
          <w:sz w:val="24"/>
          <w:szCs w:val="24"/>
        </w:rPr>
        <w:lastRenderedPageBreak/>
        <w:t xml:space="preserve">The data in the Project Spreadsheet, </w:t>
      </w:r>
      <w:r w:rsidRPr="00180028" w:rsidR="00B27C03">
        <w:rPr>
          <w:rFonts w:ascii="Palatino Linotype" w:hAnsi="Palatino Linotype"/>
          <w:color w:val="000000" w:themeColor="text1"/>
          <w:sz w:val="24"/>
          <w:szCs w:val="24"/>
        </w:rPr>
        <w:t>P</w:t>
      </w:r>
      <w:r w:rsidRPr="00180028">
        <w:rPr>
          <w:rFonts w:ascii="Palatino Linotype" w:hAnsi="Palatino Linotype"/>
          <w:color w:val="000000" w:themeColor="text1"/>
          <w:sz w:val="24"/>
          <w:szCs w:val="24"/>
        </w:rPr>
        <w:t>rocedur</w:t>
      </w:r>
      <w:r w:rsidRPr="00180028" w:rsidR="00B27C03">
        <w:rPr>
          <w:rFonts w:ascii="Palatino Linotype" w:hAnsi="Palatino Linotype"/>
          <w:color w:val="000000" w:themeColor="text1"/>
          <w:sz w:val="24"/>
          <w:szCs w:val="24"/>
        </w:rPr>
        <w:t>e</w:t>
      </w:r>
      <w:r w:rsidRPr="00180028" w:rsidR="00B91F99">
        <w:rPr>
          <w:rFonts w:ascii="Palatino Linotype" w:hAnsi="Palatino Linotype"/>
          <w:color w:val="000000" w:themeColor="text1"/>
          <w:sz w:val="24"/>
          <w:szCs w:val="24"/>
        </w:rPr>
        <w:t>s</w:t>
      </w:r>
      <w:r w:rsidRPr="00180028" w:rsidR="00FA09D5">
        <w:rPr>
          <w:rFonts w:ascii="Palatino Linotype" w:hAnsi="Palatino Linotype"/>
          <w:color w:val="000000" w:themeColor="text1"/>
          <w:sz w:val="24"/>
          <w:szCs w:val="24"/>
        </w:rPr>
        <w:t>,</w:t>
      </w:r>
      <w:r w:rsidRPr="00180028">
        <w:rPr>
          <w:rFonts w:ascii="Palatino Linotype" w:hAnsi="Palatino Linotype"/>
          <w:color w:val="000000" w:themeColor="text1"/>
          <w:sz w:val="24"/>
          <w:szCs w:val="24"/>
        </w:rPr>
        <w:t xml:space="preserve"> </w:t>
      </w:r>
      <w:r w:rsidRPr="00180028" w:rsidR="005C0029">
        <w:rPr>
          <w:rFonts w:ascii="Palatino Linotype" w:hAnsi="Palatino Linotype"/>
          <w:color w:val="000000" w:themeColor="text1"/>
          <w:sz w:val="24"/>
          <w:szCs w:val="24"/>
        </w:rPr>
        <w:t xml:space="preserve">and Authorization </w:t>
      </w:r>
      <w:r w:rsidRPr="00180028" w:rsidR="009F6D74">
        <w:rPr>
          <w:rFonts w:ascii="Palatino Linotype" w:hAnsi="Palatino Linotype"/>
          <w:color w:val="000000" w:themeColor="text1"/>
          <w:sz w:val="24"/>
          <w:szCs w:val="24"/>
        </w:rPr>
        <w:t>D</w:t>
      </w:r>
      <w:r w:rsidRPr="00180028">
        <w:rPr>
          <w:rFonts w:ascii="Palatino Linotype" w:hAnsi="Palatino Linotype"/>
          <w:color w:val="000000" w:themeColor="text1"/>
          <w:sz w:val="24"/>
          <w:szCs w:val="24"/>
        </w:rPr>
        <w:t xml:space="preserve">ocuments should enable the CPUC and Stakeholders to understand the IOU’s processes for identifying, </w:t>
      </w:r>
      <w:r w:rsidRPr="00180028" w:rsidR="00B27C03">
        <w:rPr>
          <w:rFonts w:ascii="Palatino Linotype" w:hAnsi="Palatino Linotype"/>
          <w:color w:val="000000" w:themeColor="text1"/>
          <w:sz w:val="24"/>
          <w:szCs w:val="24"/>
        </w:rPr>
        <w:t xml:space="preserve">proposing, </w:t>
      </w:r>
      <w:r w:rsidRPr="00180028">
        <w:rPr>
          <w:rFonts w:ascii="Palatino Linotype" w:hAnsi="Palatino Linotype"/>
          <w:color w:val="000000" w:themeColor="text1"/>
          <w:sz w:val="24"/>
          <w:szCs w:val="24"/>
        </w:rPr>
        <w:t xml:space="preserve">authorizing, planning, prioritizing, </w:t>
      </w:r>
      <w:r w:rsidRPr="00180028" w:rsidR="006D5B85">
        <w:rPr>
          <w:rFonts w:ascii="Palatino Linotype" w:hAnsi="Palatino Linotype"/>
          <w:color w:val="000000" w:themeColor="text1"/>
          <w:sz w:val="24"/>
          <w:szCs w:val="24"/>
        </w:rPr>
        <w:t xml:space="preserve">budgeting, </w:t>
      </w:r>
      <w:r w:rsidRPr="00180028">
        <w:rPr>
          <w:rFonts w:ascii="Palatino Linotype" w:hAnsi="Palatino Linotype"/>
          <w:color w:val="000000" w:themeColor="text1"/>
          <w:sz w:val="24"/>
          <w:szCs w:val="24"/>
        </w:rPr>
        <w:t>and implementing Projects.</w:t>
      </w:r>
    </w:p>
    <w:p w:rsidRPr="00180028" w:rsidR="005938BE" w:rsidP="00CA2252" w:rsidRDefault="00B27C03" w14:paraId="051518BE" w14:textId="3AA77569">
      <w:pPr>
        <w:spacing w:before="240" w:after="120" w:line="23" w:lineRule="atLeast"/>
        <w:rPr>
          <w:rFonts w:ascii="Palatino Linotype" w:hAnsi="Palatino Linotype"/>
          <w:color w:val="000000" w:themeColor="text1"/>
          <w:sz w:val="24"/>
          <w:szCs w:val="24"/>
        </w:rPr>
      </w:pPr>
      <w:r w:rsidRPr="00180028">
        <w:rPr>
          <w:rFonts w:ascii="Palatino Linotype" w:hAnsi="Palatino Linotype"/>
          <w:color w:val="000000" w:themeColor="text1"/>
          <w:sz w:val="24"/>
          <w:szCs w:val="24"/>
        </w:rPr>
        <w:t>INQUIRY</w:t>
      </w:r>
      <w:r w:rsidRPr="00180028" w:rsidR="00C377D7">
        <w:rPr>
          <w:rFonts w:ascii="Palatino Linotype" w:hAnsi="Palatino Linotype"/>
          <w:color w:val="000000" w:themeColor="text1"/>
          <w:sz w:val="24"/>
          <w:szCs w:val="24"/>
        </w:rPr>
        <w:t xml:space="preserve"> AND COMMENT</w:t>
      </w:r>
      <w:r w:rsidRPr="00180028">
        <w:rPr>
          <w:rFonts w:ascii="Palatino Linotype" w:hAnsi="Palatino Linotype"/>
          <w:color w:val="000000" w:themeColor="text1"/>
          <w:sz w:val="24"/>
          <w:szCs w:val="24"/>
        </w:rPr>
        <w:t xml:space="preserve"> PERIOD</w:t>
      </w:r>
    </w:p>
    <w:p w:rsidRPr="00180028" w:rsidR="005938BE" w:rsidP="00180028" w:rsidRDefault="001B4CC2" w14:paraId="73CE7352" w14:textId="3D69565D">
      <w:pPr>
        <w:spacing w:after="240" w:line="23" w:lineRule="atLeast"/>
        <w:ind w:firstLine="720"/>
        <w:rPr>
          <w:rFonts w:ascii="Palatino Linotype" w:hAnsi="Palatino Linotype" w:cs="TimesNewRomanPSMT" w:eastAsiaTheme="minorHAnsi"/>
          <w:sz w:val="24"/>
          <w:szCs w:val="24"/>
        </w:rPr>
      </w:pPr>
      <w:r w:rsidRPr="00180028">
        <w:rPr>
          <w:rFonts w:ascii="Palatino Linotype" w:hAnsi="Palatino Linotype"/>
          <w:color w:val="000000" w:themeColor="text1"/>
          <w:sz w:val="24"/>
          <w:szCs w:val="24"/>
        </w:rPr>
        <w:t>As part of the TPR Process, t</w:t>
      </w:r>
      <w:r w:rsidRPr="00180028" w:rsidR="005938BE">
        <w:rPr>
          <w:rFonts w:ascii="Palatino Linotype" w:hAnsi="Palatino Linotype"/>
          <w:color w:val="000000" w:themeColor="text1"/>
          <w:sz w:val="24"/>
          <w:szCs w:val="24"/>
        </w:rPr>
        <w:t xml:space="preserve">he CPUC and </w:t>
      </w:r>
      <w:r w:rsidRPr="00180028" w:rsidR="005938BE">
        <w:rPr>
          <w:rFonts w:ascii="Palatino Linotype" w:hAnsi="Palatino Linotype" w:cs="TimesNewRomanPSMT" w:eastAsiaTheme="minorHAnsi"/>
          <w:sz w:val="24"/>
          <w:szCs w:val="24"/>
        </w:rPr>
        <w:t>Stakeholders may submit information requests</w:t>
      </w:r>
      <w:r w:rsidRPr="00180028" w:rsidR="005938BE">
        <w:rPr>
          <w:rFonts w:ascii="Palatino Linotype" w:hAnsi="Palatino Linotype"/>
          <w:color w:val="000000" w:themeColor="text1"/>
          <w:sz w:val="24"/>
          <w:szCs w:val="24"/>
        </w:rPr>
        <w:t xml:space="preserve"> </w:t>
      </w:r>
      <w:r w:rsidRPr="00180028" w:rsidR="005938BE">
        <w:rPr>
          <w:rFonts w:ascii="Palatino Linotype" w:hAnsi="Palatino Linotype" w:cs="TimesNewRomanPSMT" w:eastAsiaTheme="minorHAnsi"/>
          <w:sz w:val="24"/>
          <w:szCs w:val="24"/>
        </w:rPr>
        <w:t xml:space="preserve">and comments within 45 calendar days beginning on the day following the production of </w:t>
      </w:r>
      <w:r w:rsidRPr="00180028" w:rsidR="00621821">
        <w:rPr>
          <w:rFonts w:ascii="Palatino Linotype" w:hAnsi="Palatino Linotype" w:cs="TimesNewRomanPSMT" w:eastAsiaTheme="minorHAnsi"/>
          <w:sz w:val="24"/>
          <w:szCs w:val="24"/>
        </w:rPr>
        <w:t xml:space="preserve">the </w:t>
      </w:r>
      <w:r w:rsidRPr="00180028" w:rsidR="005938BE">
        <w:rPr>
          <w:rFonts w:ascii="Palatino Linotype" w:hAnsi="Palatino Linotype" w:cs="TimesNewRomanPSMT" w:eastAsiaTheme="minorHAnsi"/>
          <w:sz w:val="24"/>
          <w:szCs w:val="24"/>
        </w:rPr>
        <w:t xml:space="preserve">semi-annual Project Spreadsheet and Procedures documents.  The CPUC and Stakeholders may also submit information requests and/or comments within 15 calendar days beginning on the day following a Stakeholder meeting. The Utility shall respond to the information requests and comments within 15 </w:t>
      </w:r>
      <w:r w:rsidRPr="00180028" w:rsidR="0071145C">
        <w:rPr>
          <w:rFonts w:ascii="Palatino Linotype" w:hAnsi="Palatino Linotype" w:cs="TimesNewRomanPSMT" w:eastAsiaTheme="minorHAnsi"/>
          <w:sz w:val="24"/>
          <w:szCs w:val="24"/>
        </w:rPr>
        <w:t>business</w:t>
      </w:r>
      <w:r w:rsidRPr="00180028" w:rsidR="005938BE">
        <w:rPr>
          <w:rFonts w:ascii="Palatino Linotype" w:hAnsi="Palatino Linotype" w:cs="TimesNewRomanPSMT" w:eastAsiaTheme="minorHAnsi"/>
          <w:sz w:val="24"/>
          <w:szCs w:val="24"/>
        </w:rPr>
        <w:t xml:space="preserve"> days after </w:t>
      </w:r>
      <w:r w:rsidRPr="00180028" w:rsidR="0071145C">
        <w:rPr>
          <w:rFonts w:ascii="Palatino Linotype" w:hAnsi="Palatino Linotype" w:cs="TimesNewRomanPSMT" w:eastAsiaTheme="minorHAnsi"/>
          <w:sz w:val="24"/>
          <w:szCs w:val="24"/>
        </w:rPr>
        <w:t>the CPUC or</w:t>
      </w:r>
      <w:r w:rsidRPr="00180028" w:rsidR="005938BE">
        <w:rPr>
          <w:rFonts w:ascii="Palatino Linotype" w:hAnsi="Palatino Linotype" w:cs="TimesNewRomanPSMT" w:eastAsiaTheme="minorHAnsi"/>
          <w:sz w:val="24"/>
          <w:szCs w:val="24"/>
        </w:rPr>
        <w:t xml:space="preserve"> </w:t>
      </w:r>
      <w:r w:rsidRPr="00180028" w:rsidR="0071145C">
        <w:rPr>
          <w:rFonts w:ascii="Palatino Linotype" w:hAnsi="Palatino Linotype" w:cs="TimesNewRomanPSMT" w:eastAsiaTheme="minorHAnsi"/>
          <w:sz w:val="24"/>
          <w:szCs w:val="24"/>
        </w:rPr>
        <w:t xml:space="preserve">a </w:t>
      </w:r>
      <w:r w:rsidRPr="00180028" w:rsidR="005938BE">
        <w:rPr>
          <w:rFonts w:ascii="Palatino Linotype" w:hAnsi="Palatino Linotype" w:cs="TimesNewRomanPSMT" w:eastAsiaTheme="minorHAnsi"/>
          <w:sz w:val="24"/>
          <w:szCs w:val="24"/>
        </w:rPr>
        <w:t>Stakeholder submit</w:t>
      </w:r>
      <w:r w:rsidRPr="00180028" w:rsidR="0071145C">
        <w:rPr>
          <w:rFonts w:ascii="Palatino Linotype" w:hAnsi="Palatino Linotype" w:cs="TimesNewRomanPSMT" w:eastAsiaTheme="minorHAnsi"/>
          <w:sz w:val="24"/>
          <w:szCs w:val="24"/>
        </w:rPr>
        <w:t>s them to the Utility</w:t>
      </w:r>
      <w:r w:rsidRPr="00180028" w:rsidR="005938BE">
        <w:rPr>
          <w:rFonts w:ascii="Palatino Linotype" w:hAnsi="Palatino Linotype" w:cs="TimesNewRomanPSMT" w:eastAsiaTheme="minorHAnsi"/>
          <w:sz w:val="24"/>
          <w:szCs w:val="24"/>
        </w:rPr>
        <w:t>.</w:t>
      </w:r>
      <w:r w:rsidRPr="00180028" w:rsidR="0071145C">
        <w:rPr>
          <w:rFonts w:ascii="Palatino Linotype" w:hAnsi="Palatino Linotype" w:cs="TimesNewRomanPSMT" w:eastAsiaTheme="minorHAnsi"/>
          <w:sz w:val="24"/>
          <w:szCs w:val="24"/>
        </w:rPr>
        <w:t xml:space="preserve"> </w:t>
      </w:r>
    </w:p>
    <w:p w:rsidRPr="00180028" w:rsidR="0071145C" w:rsidP="00180028" w:rsidRDefault="0071145C" w14:paraId="70E3C812" w14:textId="4C0FF0B0">
      <w:pPr>
        <w:spacing w:after="240" w:line="23" w:lineRule="atLeast"/>
        <w:ind w:firstLine="720"/>
        <w:rPr>
          <w:rFonts w:ascii="Palatino Linotype" w:hAnsi="Palatino Linotype"/>
          <w:color w:val="000000" w:themeColor="text1"/>
          <w:sz w:val="24"/>
          <w:szCs w:val="24"/>
        </w:rPr>
      </w:pPr>
      <w:r w:rsidRPr="00180028">
        <w:rPr>
          <w:rFonts w:ascii="Palatino Linotype" w:hAnsi="Palatino Linotype" w:cs="TimesNewRomanPSMT" w:eastAsiaTheme="minorHAnsi"/>
          <w:sz w:val="24"/>
          <w:szCs w:val="24"/>
        </w:rPr>
        <w:t xml:space="preserve">The scope of the information requests is explained in greater detail in Section </w:t>
      </w:r>
      <w:r w:rsidRPr="00180028" w:rsidR="006D1B14">
        <w:rPr>
          <w:rFonts w:ascii="Palatino Linotype" w:hAnsi="Palatino Linotype" w:cs="TimesNewRomanPSMT" w:eastAsiaTheme="minorHAnsi"/>
          <w:sz w:val="24"/>
          <w:szCs w:val="24"/>
        </w:rPr>
        <w:t>3</w:t>
      </w:r>
      <w:r w:rsidRPr="00180028">
        <w:rPr>
          <w:rFonts w:ascii="Palatino Linotype" w:hAnsi="Palatino Linotype" w:cs="TimesNewRomanPSMT" w:eastAsiaTheme="minorHAnsi"/>
          <w:sz w:val="24"/>
          <w:szCs w:val="24"/>
        </w:rPr>
        <w:t xml:space="preserve"> of Attachment A to this Resolution.</w:t>
      </w:r>
    </w:p>
    <w:p w:rsidRPr="00180028" w:rsidR="00B27C03" w:rsidP="00CA2252" w:rsidRDefault="003E4C05" w14:paraId="18030181" w14:textId="09F0697A">
      <w:pPr>
        <w:spacing w:before="240" w:after="120" w:line="23" w:lineRule="atLeast"/>
        <w:rPr>
          <w:rFonts w:ascii="Palatino Linotype" w:hAnsi="Palatino Linotype"/>
          <w:color w:val="000000" w:themeColor="text1"/>
          <w:sz w:val="24"/>
          <w:szCs w:val="24"/>
        </w:rPr>
      </w:pPr>
      <w:r w:rsidRPr="00180028">
        <w:rPr>
          <w:rFonts w:ascii="Palatino Linotype" w:hAnsi="Palatino Linotype"/>
          <w:color w:val="000000" w:themeColor="text1"/>
          <w:sz w:val="24"/>
          <w:szCs w:val="24"/>
        </w:rPr>
        <w:t>STAKEHOLDER MEETINGS</w:t>
      </w:r>
    </w:p>
    <w:p w:rsidRPr="00180028" w:rsidR="00B959EC" w:rsidP="00180028" w:rsidRDefault="00B959EC" w14:paraId="670B345A" w14:textId="1E40EC81">
      <w:pPr>
        <w:spacing w:after="240" w:line="23" w:lineRule="atLeast"/>
        <w:ind w:firstLine="720"/>
        <w:rPr>
          <w:rFonts w:ascii="Palatino Linotype" w:hAnsi="Palatino Linotype" w:eastAsiaTheme="minorHAnsi"/>
          <w:sz w:val="24"/>
          <w:szCs w:val="24"/>
        </w:rPr>
      </w:pPr>
      <w:r w:rsidRPr="00180028">
        <w:rPr>
          <w:rFonts w:ascii="Palatino Linotype" w:hAnsi="Palatino Linotype" w:eastAsiaTheme="minorHAnsi"/>
          <w:sz w:val="24"/>
          <w:szCs w:val="24"/>
        </w:rPr>
        <w:t xml:space="preserve">Each Utility will </w:t>
      </w:r>
      <w:r w:rsidRPr="00180028" w:rsidR="009F3F29">
        <w:rPr>
          <w:rFonts w:ascii="Palatino Linotype" w:hAnsi="Palatino Linotype" w:eastAsiaTheme="minorHAnsi"/>
          <w:sz w:val="24"/>
          <w:szCs w:val="24"/>
        </w:rPr>
        <w:t xml:space="preserve">annually </w:t>
      </w:r>
      <w:r w:rsidRPr="00180028">
        <w:rPr>
          <w:rFonts w:ascii="Palatino Linotype" w:hAnsi="Palatino Linotype" w:eastAsiaTheme="minorHAnsi"/>
          <w:sz w:val="24"/>
          <w:szCs w:val="24"/>
        </w:rPr>
        <w:t xml:space="preserve">host </w:t>
      </w:r>
      <w:r w:rsidRPr="00180028" w:rsidR="009F3F29">
        <w:rPr>
          <w:rFonts w:ascii="Palatino Linotype" w:hAnsi="Palatino Linotype" w:eastAsiaTheme="minorHAnsi"/>
          <w:sz w:val="24"/>
          <w:szCs w:val="24"/>
        </w:rPr>
        <w:t xml:space="preserve">no fewer than </w:t>
      </w:r>
      <w:r w:rsidRPr="00180028">
        <w:rPr>
          <w:rFonts w:ascii="Palatino Linotype" w:hAnsi="Palatino Linotype" w:eastAsiaTheme="minorHAnsi"/>
          <w:sz w:val="24"/>
          <w:szCs w:val="24"/>
        </w:rPr>
        <w:t>two Stakeholder Meetings.  The first Stakeholder meeting in a calendar year</w:t>
      </w:r>
      <w:r w:rsidRPr="00180028">
        <w:rPr>
          <w:rFonts w:ascii="Palatino Linotype" w:hAnsi="Palatino Linotype" w:cs="TimesNewRomanPSMT" w:eastAsiaTheme="minorHAnsi"/>
          <w:sz w:val="24"/>
          <w:szCs w:val="24"/>
        </w:rPr>
        <w:t xml:space="preserve"> will include an assessment of the previous year’s transmission projects and a more in-depth overview of objectives, assumptions, and deliverables for the coming year</w:t>
      </w:r>
      <w:r w:rsidRPr="00180028" w:rsidR="00ED0F07">
        <w:rPr>
          <w:rFonts w:ascii="Palatino Linotype" w:hAnsi="Palatino Linotype" w:cs="TimesNewRomanPSMT" w:eastAsiaTheme="minorHAnsi"/>
          <w:sz w:val="24"/>
          <w:szCs w:val="24"/>
        </w:rPr>
        <w:t xml:space="preserve">, as well as the opportunity for </w:t>
      </w:r>
      <w:r w:rsidRPr="00180028" w:rsidR="00ED0F07">
        <w:rPr>
          <w:rFonts w:ascii="Palatino Linotype" w:hAnsi="Palatino Linotype" w:eastAsiaTheme="minorHAnsi"/>
          <w:sz w:val="24"/>
          <w:szCs w:val="24"/>
        </w:rPr>
        <w:t>Stakeholders to suggest new projects or</w:t>
      </w:r>
      <w:r w:rsidRPr="00180028" w:rsidR="00ED0F07">
        <w:rPr>
          <w:rFonts w:ascii="Palatino Linotype" w:hAnsi="Palatino Linotype" w:cs="TimesNewRomanPSMT" w:eastAsiaTheme="minorHAnsi"/>
          <w:sz w:val="24"/>
          <w:szCs w:val="24"/>
        </w:rPr>
        <w:t xml:space="preserve"> project alternatives.  Both Stakeholder Meeting</w:t>
      </w:r>
      <w:r w:rsidRPr="00180028" w:rsidR="004141FA">
        <w:rPr>
          <w:rFonts w:ascii="Palatino Linotype" w:hAnsi="Palatino Linotype" w:cs="TimesNewRomanPSMT" w:eastAsiaTheme="minorHAnsi"/>
          <w:sz w:val="24"/>
          <w:szCs w:val="24"/>
        </w:rPr>
        <w:t>s</w:t>
      </w:r>
      <w:r w:rsidRPr="00180028" w:rsidR="00ED0F07">
        <w:rPr>
          <w:rFonts w:ascii="Palatino Linotype" w:hAnsi="Palatino Linotype" w:cs="TimesNewRomanPSMT" w:eastAsiaTheme="minorHAnsi"/>
          <w:sz w:val="24"/>
          <w:szCs w:val="24"/>
        </w:rPr>
        <w:t xml:space="preserve"> will also focus on the CPUC’s and Stakeholders’ questions and comments related to </w:t>
      </w:r>
      <w:r w:rsidRPr="00180028" w:rsidR="004141FA">
        <w:rPr>
          <w:rFonts w:ascii="Palatino Linotype" w:hAnsi="Palatino Linotype" w:cs="TimesNewRomanPSMT" w:eastAsiaTheme="minorHAnsi"/>
          <w:sz w:val="24"/>
          <w:szCs w:val="24"/>
        </w:rPr>
        <w:t>P</w:t>
      </w:r>
      <w:r w:rsidRPr="00180028" w:rsidR="00ED0F07">
        <w:rPr>
          <w:rFonts w:ascii="Palatino Linotype" w:hAnsi="Palatino Linotype" w:cs="TimesNewRomanPSMT" w:eastAsiaTheme="minorHAnsi"/>
          <w:sz w:val="24"/>
          <w:szCs w:val="24"/>
        </w:rPr>
        <w:t>rojects and Procedures.</w:t>
      </w:r>
      <w:r w:rsidRPr="00180028">
        <w:rPr>
          <w:rFonts w:ascii="Palatino Linotype" w:hAnsi="Palatino Linotype" w:eastAsiaTheme="minorHAnsi"/>
          <w:sz w:val="24"/>
          <w:szCs w:val="24"/>
        </w:rPr>
        <w:t xml:space="preserve">   The Utility will have subject matter experts present who can respond to</w:t>
      </w:r>
      <w:r w:rsidRPr="00180028">
        <w:rPr>
          <w:rFonts w:ascii="Palatino Linotype" w:hAnsi="Palatino Linotype" w:cs="TimesNewRomanPSMT" w:eastAsiaTheme="minorHAnsi"/>
          <w:sz w:val="24"/>
          <w:szCs w:val="24"/>
        </w:rPr>
        <w:t xml:space="preserve"> </w:t>
      </w:r>
      <w:r w:rsidRPr="00180028">
        <w:rPr>
          <w:rFonts w:ascii="Palatino Linotype" w:hAnsi="Palatino Linotype" w:eastAsiaTheme="minorHAnsi"/>
          <w:sz w:val="24"/>
          <w:szCs w:val="24"/>
        </w:rPr>
        <w:t>comments</w:t>
      </w:r>
      <w:r w:rsidRPr="00180028" w:rsidR="00ED0F07">
        <w:rPr>
          <w:rFonts w:ascii="Palatino Linotype" w:hAnsi="Palatino Linotype" w:eastAsiaTheme="minorHAnsi"/>
          <w:sz w:val="24"/>
          <w:szCs w:val="24"/>
        </w:rPr>
        <w:t>,</w:t>
      </w:r>
      <w:r w:rsidRPr="00180028">
        <w:rPr>
          <w:rFonts w:ascii="Palatino Linotype" w:hAnsi="Palatino Linotype" w:eastAsiaTheme="minorHAnsi"/>
          <w:sz w:val="24"/>
          <w:szCs w:val="24"/>
        </w:rPr>
        <w:t xml:space="preserve"> questions</w:t>
      </w:r>
      <w:r w:rsidRPr="00180028" w:rsidR="00ED0F07">
        <w:rPr>
          <w:rFonts w:ascii="Palatino Linotype" w:hAnsi="Palatino Linotype" w:eastAsiaTheme="minorHAnsi"/>
          <w:sz w:val="24"/>
          <w:szCs w:val="24"/>
        </w:rPr>
        <w:t>, and issues raised by the CPUC and Stakeholders.</w:t>
      </w:r>
    </w:p>
    <w:p w:rsidRPr="00180028" w:rsidR="003E4C05" w:rsidP="00CA2252" w:rsidRDefault="00ED0F07" w14:paraId="7D946E47" w14:textId="3EE84646">
      <w:pPr>
        <w:spacing w:before="240" w:after="120" w:line="23" w:lineRule="atLeast"/>
        <w:rPr>
          <w:rFonts w:ascii="Palatino Linotype" w:hAnsi="Palatino Linotype"/>
          <w:color w:val="000000" w:themeColor="text1"/>
          <w:sz w:val="24"/>
          <w:szCs w:val="24"/>
        </w:rPr>
      </w:pPr>
      <w:r w:rsidRPr="00180028">
        <w:rPr>
          <w:rFonts w:ascii="Palatino Linotype" w:hAnsi="Palatino Linotype"/>
          <w:color w:val="000000" w:themeColor="text1"/>
          <w:sz w:val="24"/>
          <w:szCs w:val="24"/>
        </w:rPr>
        <w:t xml:space="preserve">USE OF INFORMATION </w:t>
      </w:r>
      <w:r w:rsidRPr="00180028" w:rsidR="003E082D">
        <w:rPr>
          <w:rFonts w:ascii="Palatino Linotype" w:hAnsi="Palatino Linotype"/>
          <w:color w:val="000000" w:themeColor="text1"/>
          <w:sz w:val="24"/>
          <w:szCs w:val="24"/>
        </w:rPr>
        <w:t>OBTAIN</w:t>
      </w:r>
      <w:r w:rsidRPr="00180028">
        <w:rPr>
          <w:rFonts w:ascii="Palatino Linotype" w:hAnsi="Palatino Linotype"/>
          <w:color w:val="000000" w:themeColor="text1"/>
          <w:sz w:val="24"/>
          <w:szCs w:val="24"/>
        </w:rPr>
        <w:t>ED IN THE TPR PROCESS</w:t>
      </w:r>
    </w:p>
    <w:p w:rsidRPr="00180028" w:rsidR="005835AE" w:rsidP="00180028" w:rsidRDefault="00ED0F07" w14:paraId="60856587" w14:textId="69534562">
      <w:pPr>
        <w:spacing w:after="240" w:line="23" w:lineRule="atLeast"/>
        <w:ind w:firstLine="720"/>
        <w:rPr>
          <w:rFonts w:ascii="Palatino Linotype" w:hAnsi="Palatino Linotype"/>
          <w:color w:val="000000" w:themeColor="text1"/>
          <w:sz w:val="24"/>
          <w:szCs w:val="24"/>
        </w:rPr>
      </w:pPr>
      <w:r w:rsidRPr="00180028">
        <w:rPr>
          <w:rFonts w:ascii="Palatino Linotype" w:hAnsi="Palatino Linotype"/>
          <w:color w:val="000000" w:themeColor="text1"/>
          <w:sz w:val="24"/>
          <w:szCs w:val="24"/>
        </w:rPr>
        <w:t xml:space="preserve">It is the intention that the information </w:t>
      </w:r>
      <w:r w:rsidRPr="00180028" w:rsidR="000860C6">
        <w:rPr>
          <w:rFonts w:ascii="Palatino Linotype" w:hAnsi="Palatino Linotype"/>
          <w:color w:val="000000" w:themeColor="text1"/>
          <w:sz w:val="24"/>
          <w:szCs w:val="24"/>
        </w:rPr>
        <w:t xml:space="preserve">developed in the TPR Process will be useful for many entities in numerous ways.  Input from the CPUC and Stakeholders may provide useful information for the CAISO and the TOs in determining the most efficient and cost-effective Projects to build to address reliability, economic, and public policy concerns.  </w:t>
      </w:r>
      <w:r w:rsidRPr="00180028" w:rsidR="005835AE">
        <w:rPr>
          <w:rFonts w:ascii="Palatino Linotype" w:hAnsi="Palatino Linotype"/>
          <w:color w:val="000000" w:themeColor="text1"/>
          <w:sz w:val="24"/>
          <w:szCs w:val="24"/>
        </w:rPr>
        <w:t>Also</w:t>
      </w:r>
      <w:r w:rsidRPr="00180028" w:rsidR="000860C6">
        <w:rPr>
          <w:rFonts w:ascii="Palatino Linotype" w:hAnsi="Palatino Linotype"/>
          <w:color w:val="000000" w:themeColor="text1"/>
          <w:sz w:val="24"/>
          <w:szCs w:val="24"/>
        </w:rPr>
        <w:t>, as mentioned above, the transparency of, and robust data related to, transmission Projects and network upgrades will provide additional information to CPUC programs and proceedings, including CEQA review and permitting, Integrated Resource Planning, and wildfire mitigation efforts.</w:t>
      </w:r>
    </w:p>
    <w:p w:rsidRPr="00180028" w:rsidR="00B27C03" w:rsidP="00180028" w:rsidRDefault="000860C6" w14:paraId="0344DA12" w14:textId="0BFA0799">
      <w:pPr>
        <w:spacing w:after="240" w:line="23" w:lineRule="atLeast"/>
        <w:ind w:firstLine="720"/>
        <w:rPr>
          <w:rFonts w:ascii="Palatino Linotype" w:hAnsi="Palatino Linotype"/>
          <w:color w:val="000000" w:themeColor="text1"/>
          <w:sz w:val="24"/>
          <w:szCs w:val="24"/>
        </w:rPr>
      </w:pPr>
      <w:r w:rsidRPr="00180028">
        <w:rPr>
          <w:rFonts w:ascii="Palatino Linotype" w:hAnsi="Palatino Linotype"/>
          <w:color w:val="000000" w:themeColor="text1"/>
          <w:sz w:val="24"/>
          <w:szCs w:val="24"/>
        </w:rPr>
        <w:lastRenderedPageBreak/>
        <w:t xml:space="preserve"> </w:t>
      </w:r>
      <w:r w:rsidRPr="00180028" w:rsidR="005835AE">
        <w:rPr>
          <w:rFonts w:ascii="Palatino Linotype" w:hAnsi="Palatino Linotype"/>
          <w:color w:val="000000" w:themeColor="text1"/>
          <w:sz w:val="24"/>
          <w:szCs w:val="24"/>
        </w:rPr>
        <w:t xml:space="preserve">Beyond the usefulness of the information mentioned above, notwithstanding any Critical Energy Infrastructure and Information or other confidentiality restrictions, any information obtained in the TPR Process may be used without limitation in other fora and proceedings, including those at the CPUC, FERC, CAISO, Department of Energy, and elsewhere. </w:t>
      </w:r>
    </w:p>
    <w:p w:rsidRPr="00180028" w:rsidR="00F36888" w:rsidP="00CA2252" w:rsidRDefault="00F36888" w14:paraId="57813F80" w14:textId="15343CDE">
      <w:pPr>
        <w:spacing w:before="240" w:after="120" w:line="23" w:lineRule="atLeast"/>
        <w:rPr>
          <w:rFonts w:ascii="Palatino Linotype" w:hAnsi="Palatino Linotype"/>
          <w:color w:val="000000" w:themeColor="text1"/>
          <w:sz w:val="24"/>
          <w:szCs w:val="24"/>
        </w:rPr>
      </w:pPr>
      <w:r w:rsidRPr="00180028">
        <w:rPr>
          <w:rFonts w:ascii="Palatino Linotype" w:hAnsi="Palatino Linotype"/>
          <w:color w:val="000000" w:themeColor="text1"/>
          <w:sz w:val="24"/>
          <w:szCs w:val="24"/>
        </w:rPr>
        <w:t>DISPUTE RESOLUTION</w:t>
      </w:r>
    </w:p>
    <w:p w:rsidRPr="00180028" w:rsidR="00F36888" w:rsidP="00180028" w:rsidRDefault="005E3081" w14:paraId="100FBB10" w14:textId="4C2DDC6D">
      <w:pPr>
        <w:spacing w:after="240" w:line="23" w:lineRule="atLeast"/>
        <w:rPr>
          <w:rFonts w:ascii="Palatino Linotype" w:hAnsi="Palatino Linotype"/>
          <w:color w:val="000000" w:themeColor="text1"/>
          <w:sz w:val="24"/>
          <w:szCs w:val="24"/>
        </w:rPr>
      </w:pPr>
      <w:r w:rsidRPr="00180028">
        <w:rPr>
          <w:rFonts w:ascii="Palatino Linotype" w:hAnsi="Palatino Linotype"/>
          <w:color w:val="000000" w:themeColor="text1"/>
          <w:sz w:val="24"/>
          <w:szCs w:val="24"/>
        </w:rPr>
        <w:t>I</w:t>
      </w:r>
      <w:r w:rsidRPr="00180028" w:rsidR="00F36888">
        <w:rPr>
          <w:rFonts w:ascii="Palatino Linotype" w:hAnsi="Palatino Linotype"/>
          <w:color w:val="000000" w:themeColor="text1"/>
          <w:sz w:val="24"/>
          <w:szCs w:val="24"/>
        </w:rPr>
        <w:t xml:space="preserve">n the event of substantive and procedural disagreements that are not easily resolved in the TPR Process, </w:t>
      </w:r>
      <w:r w:rsidRPr="00180028" w:rsidR="00790990">
        <w:rPr>
          <w:rFonts w:ascii="Palatino Linotype" w:hAnsi="Palatino Linotype"/>
          <w:color w:val="000000" w:themeColor="text1"/>
          <w:sz w:val="24"/>
          <w:szCs w:val="24"/>
        </w:rPr>
        <w:t>the matter will be referred</w:t>
      </w:r>
      <w:r w:rsidRPr="00180028" w:rsidR="00A33D4F">
        <w:rPr>
          <w:rFonts w:ascii="Palatino Linotype" w:hAnsi="Palatino Linotype"/>
          <w:color w:val="000000" w:themeColor="text1"/>
          <w:sz w:val="24"/>
          <w:szCs w:val="24"/>
        </w:rPr>
        <w:t xml:space="preserve"> to Energ</w:t>
      </w:r>
      <w:r w:rsidRPr="00180028" w:rsidR="005814DB">
        <w:rPr>
          <w:rFonts w:ascii="Palatino Linotype" w:hAnsi="Palatino Linotype"/>
          <w:color w:val="000000" w:themeColor="text1"/>
          <w:sz w:val="24"/>
          <w:szCs w:val="24"/>
        </w:rPr>
        <w:t xml:space="preserve">y Division </w:t>
      </w:r>
      <w:r w:rsidRPr="00180028" w:rsidR="00B337F0">
        <w:rPr>
          <w:rFonts w:ascii="Palatino Linotype" w:hAnsi="Palatino Linotype"/>
          <w:color w:val="000000" w:themeColor="text1"/>
          <w:sz w:val="24"/>
          <w:szCs w:val="24"/>
        </w:rPr>
        <w:t>for a determination</w:t>
      </w:r>
      <w:r w:rsidRPr="00180028" w:rsidR="00F36888">
        <w:rPr>
          <w:rFonts w:ascii="Palatino Linotype" w:hAnsi="Palatino Linotype"/>
          <w:color w:val="000000" w:themeColor="text1"/>
          <w:sz w:val="24"/>
          <w:szCs w:val="24"/>
        </w:rPr>
        <w:t xml:space="preserve">. </w:t>
      </w:r>
    </w:p>
    <w:p w:rsidRPr="00180028" w:rsidR="001C538D" w:rsidP="00CA2252" w:rsidRDefault="001C538D" w14:paraId="607879EB" w14:textId="77777777">
      <w:pPr>
        <w:pStyle w:val="Heading1"/>
        <w:spacing w:before="240" w:line="23" w:lineRule="atLeast"/>
        <w:jc w:val="both"/>
        <w:rPr>
          <w:rFonts w:ascii="Palatino Linotype" w:hAnsi="Palatino Linotype"/>
          <w:sz w:val="24"/>
          <w:szCs w:val="24"/>
        </w:rPr>
      </w:pPr>
      <w:r w:rsidRPr="00180028">
        <w:rPr>
          <w:rFonts w:ascii="Palatino Linotype" w:hAnsi="Palatino Linotype"/>
          <w:sz w:val="24"/>
          <w:szCs w:val="24"/>
        </w:rPr>
        <w:t>Comments</w:t>
      </w:r>
    </w:p>
    <w:p w:rsidRPr="00180028" w:rsidR="00203F16" w:rsidP="00180028" w:rsidRDefault="001C538D" w14:paraId="382F9E44" w14:textId="0BC8AEAE">
      <w:pPr>
        <w:spacing w:line="23" w:lineRule="atLeast"/>
        <w:rPr>
          <w:rFonts w:ascii="Palatino Linotype" w:hAnsi="Palatino Linotype"/>
          <w:sz w:val="24"/>
          <w:szCs w:val="24"/>
        </w:rPr>
      </w:pPr>
      <w:r w:rsidRPr="00180028">
        <w:rPr>
          <w:rFonts w:ascii="Palatino Linotype" w:hAnsi="Palatino Linotype"/>
          <w:sz w:val="24"/>
          <w:szCs w:val="24"/>
        </w:rPr>
        <w:t xml:space="preserve">Public Utilities Code section 311(g)(1) provides that this </w:t>
      </w:r>
      <w:r w:rsidRPr="00180028" w:rsidR="00203F16">
        <w:rPr>
          <w:rFonts w:ascii="Palatino Linotype" w:hAnsi="Palatino Linotype"/>
          <w:sz w:val="24"/>
          <w:szCs w:val="24"/>
        </w:rPr>
        <w:t xml:space="preserve">Draft </w:t>
      </w:r>
      <w:r w:rsidRPr="00180028" w:rsidR="005046FE">
        <w:rPr>
          <w:rFonts w:ascii="Palatino Linotype" w:hAnsi="Palatino Linotype"/>
          <w:sz w:val="24"/>
          <w:szCs w:val="24"/>
        </w:rPr>
        <w:t>R</w:t>
      </w:r>
      <w:r w:rsidRPr="00180028">
        <w:rPr>
          <w:rFonts w:ascii="Palatino Linotype" w:hAnsi="Palatino Linotype"/>
          <w:sz w:val="24"/>
          <w:szCs w:val="24"/>
        </w:rPr>
        <w:t xml:space="preserve">esolution must be subject to at least 30 days public review and comment prior to a vote of the Commission.  Accordingly, this </w:t>
      </w:r>
      <w:r w:rsidRPr="00180028" w:rsidR="00203F16">
        <w:rPr>
          <w:rFonts w:ascii="Palatino Linotype" w:hAnsi="Palatino Linotype"/>
          <w:sz w:val="24"/>
          <w:szCs w:val="24"/>
        </w:rPr>
        <w:t>D</w:t>
      </w:r>
      <w:r w:rsidRPr="00180028">
        <w:rPr>
          <w:rFonts w:ascii="Palatino Linotype" w:hAnsi="Palatino Linotype"/>
          <w:sz w:val="24"/>
          <w:szCs w:val="24"/>
        </w:rPr>
        <w:t xml:space="preserve">raft </w:t>
      </w:r>
      <w:r w:rsidRPr="00180028" w:rsidR="004E57A2">
        <w:rPr>
          <w:rFonts w:ascii="Palatino Linotype" w:hAnsi="Palatino Linotype"/>
          <w:sz w:val="24"/>
          <w:szCs w:val="24"/>
        </w:rPr>
        <w:t>R</w:t>
      </w:r>
      <w:r w:rsidRPr="00180028">
        <w:rPr>
          <w:rFonts w:ascii="Palatino Linotype" w:hAnsi="Palatino Linotype"/>
          <w:sz w:val="24"/>
          <w:szCs w:val="24"/>
        </w:rPr>
        <w:t>esolution was mailed</w:t>
      </w:r>
      <w:r w:rsidRPr="00180028" w:rsidR="00203F16">
        <w:rPr>
          <w:rFonts w:ascii="Palatino Linotype" w:hAnsi="Palatino Linotype"/>
          <w:sz w:val="24"/>
          <w:szCs w:val="24"/>
        </w:rPr>
        <w:t xml:space="preserve"> for comments to service lists in the following CPUC proceedings: A.19-08-013, A.21-06-021, A.22-05-016,</w:t>
      </w:r>
      <w:r w:rsidR="000134C1">
        <w:rPr>
          <w:rFonts w:ascii="Palatino Linotype" w:hAnsi="Palatino Linotype"/>
          <w:sz w:val="24"/>
          <w:szCs w:val="24"/>
        </w:rPr>
        <w:br/>
      </w:r>
      <w:r w:rsidRPr="00180028" w:rsidR="00203F16">
        <w:rPr>
          <w:rFonts w:ascii="Palatino Linotype" w:hAnsi="Palatino Linotype"/>
          <w:sz w:val="24"/>
          <w:szCs w:val="24"/>
        </w:rPr>
        <w:t xml:space="preserve">I.00-11-001, R.20-05-003, and R.20-07-013.  </w:t>
      </w:r>
    </w:p>
    <w:p w:rsidRPr="00180028" w:rsidR="00203F16" w:rsidP="00180028" w:rsidRDefault="00203F16" w14:paraId="3914E1C0" w14:textId="77777777">
      <w:pPr>
        <w:autoSpaceDE w:val="0"/>
        <w:autoSpaceDN w:val="0"/>
        <w:adjustRightInd w:val="0"/>
        <w:spacing w:line="23" w:lineRule="atLeast"/>
        <w:jc w:val="both"/>
        <w:rPr>
          <w:rFonts w:ascii="Palatino Linotype" w:hAnsi="Palatino Linotype" w:cs="TimesNewRoman"/>
          <w:sz w:val="24"/>
          <w:szCs w:val="24"/>
        </w:rPr>
      </w:pPr>
      <w:r w:rsidRPr="00180028">
        <w:rPr>
          <w:rFonts w:ascii="Palatino Linotype" w:hAnsi="Palatino Linotype" w:cs="TimesNewRoman"/>
          <w:sz w:val="24"/>
          <w:szCs w:val="24"/>
        </w:rPr>
        <w:t xml:space="preserve">All comments on the Draft Resolution must be received by the Energy Division by January 12, 2023.  Comments shall be limited to fifteen pages in length and should list the recommended changes to the Draft Resolution.  Comments shall focus on factual, legal, or technical errors in the proposed Draft Resolution.  </w:t>
      </w:r>
    </w:p>
    <w:p w:rsidRPr="00180028" w:rsidR="00203F16" w:rsidP="00180028" w:rsidRDefault="00203F16" w14:paraId="16D48B1D" w14:textId="4484E368">
      <w:pPr>
        <w:autoSpaceDE w:val="0"/>
        <w:autoSpaceDN w:val="0"/>
        <w:adjustRightInd w:val="0"/>
        <w:spacing w:line="23" w:lineRule="atLeast"/>
        <w:jc w:val="both"/>
        <w:rPr>
          <w:rFonts w:ascii="Palatino Linotype" w:hAnsi="Palatino Linotype" w:cs="TimesNewRoman"/>
          <w:sz w:val="24"/>
          <w:szCs w:val="24"/>
        </w:rPr>
      </w:pPr>
      <w:r w:rsidRPr="00180028">
        <w:rPr>
          <w:rFonts w:ascii="Palatino Linotype" w:hAnsi="Palatino Linotype" w:cs="TimesNewRoman"/>
          <w:sz w:val="24"/>
          <w:szCs w:val="24"/>
        </w:rPr>
        <w:t>Replies to comments will not be accepted.</w:t>
      </w:r>
    </w:p>
    <w:p w:rsidRPr="00180028" w:rsidR="001C538D" w:rsidP="00180028" w:rsidRDefault="00203F16" w14:paraId="08EA15A6" w14:textId="41411FD2">
      <w:pPr>
        <w:spacing w:line="23" w:lineRule="atLeast"/>
        <w:rPr>
          <w:rFonts w:ascii="Palatino Linotype" w:hAnsi="Palatino Linotype"/>
          <w:sz w:val="24"/>
          <w:szCs w:val="24"/>
        </w:rPr>
      </w:pPr>
      <w:r w:rsidRPr="00180028">
        <w:rPr>
          <w:rFonts w:ascii="Palatino Linotype" w:hAnsi="Palatino Linotype"/>
          <w:sz w:val="24"/>
          <w:szCs w:val="24"/>
        </w:rPr>
        <w:t xml:space="preserve">This Draft Resolution </w:t>
      </w:r>
      <w:r w:rsidRPr="00180028" w:rsidR="001C538D">
        <w:rPr>
          <w:rFonts w:ascii="Palatino Linotype" w:hAnsi="Palatino Linotype"/>
          <w:sz w:val="24"/>
          <w:szCs w:val="24"/>
        </w:rPr>
        <w:t>w</w:t>
      </w:r>
      <w:r w:rsidRPr="00180028" w:rsidR="0009673F">
        <w:rPr>
          <w:rFonts w:ascii="Palatino Linotype" w:hAnsi="Palatino Linotype"/>
          <w:sz w:val="24"/>
          <w:szCs w:val="24"/>
        </w:rPr>
        <w:t>ill be</w:t>
      </w:r>
      <w:r w:rsidRPr="00180028" w:rsidR="001C538D">
        <w:rPr>
          <w:rFonts w:ascii="Palatino Linotype" w:hAnsi="Palatino Linotype"/>
          <w:sz w:val="24"/>
          <w:szCs w:val="24"/>
        </w:rPr>
        <w:t xml:space="preserve"> placed on the Commission's agenda to be voted on no sooner than 30 days after mailing. </w:t>
      </w:r>
    </w:p>
    <w:p w:rsidRPr="00180028" w:rsidR="00A71DC6" w:rsidP="00CA2252" w:rsidRDefault="001C538D" w14:paraId="2584146D" w14:textId="165B62CE">
      <w:pPr>
        <w:pStyle w:val="Heading1"/>
        <w:spacing w:before="240"/>
        <w:jc w:val="both"/>
        <w:rPr>
          <w:rFonts w:ascii="Palatino Linotype" w:hAnsi="Palatino Linotype"/>
          <w:sz w:val="24"/>
          <w:szCs w:val="24"/>
        </w:rPr>
      </w:pPr>
      <w:r w:rsidRPr="00180028">
        <w:rPr>
          <w:rFonts w:ascii="Palatino Linotype" w:hAnsi="Palatino Linotype"/>
          <w:sz w:val="24"/>
          <w:szCs w:val="24"/>
        </w:rPr>
        <w:t>Findings AND CONCLUSIONS</w:t>
      </w:r>
    </w:p>
    <w:p w:rsidRPr="00180028" w:rsidR="002F1E45" w:rsidP="004D3A0C" w:rsidRDefault="00333E46" w14:paraId="2B9133BA" w14:textId="65578A14">
      <w:pPr>
        <w:numPr>
          <w:ilvl w:val="0"/>
          <w:numId w:val="4"/>
        </w:numPr>
        <w:jc w:val="both"/>
        <w:rPr>
          <w:rFonts w:ascii="Palatino Linotype" w:hAnsi="Palatino Linotype" w:cs="Arial"/>
          <w:sz w:val="24"/>
          <w:szCs w:val="24"/>
        </w:rPr>
      </w:pPr>
      <w:r w:rsidRPr="00180028">
        <w:rPr>
          <w:rFonts w:ascii="Palatino Linotype" w:hAnsi="Palatino Linotype"/>
          <w:sz w:val="24"/>
          <w:szCs w:val="24"/>
        </w:rPr>
        <w:t xml:space="preserve">The majority of electric transmission capital projects </w:t>
      </w:r>
      <w:r w:rsidRPr="00180028" w:rsidR="00F15938">
        <w:rPr>
          <w:rFonts w:ascii="Palatino Linotype" w:hAnsi="Palatino Linotype"/>
          <w:sz w:val="24"/>
          <w:szCs w:val="24"/>
        </w:rPr>
        <w:t xml:space="preserve">are </w:t>
      </w:r>
      <w:r w:rsidRPr="00180028">
        <w:rPr>
          <w:rFonts w:ascii="Palatino Linotype" w:hAnsi="Palatino Linotype"/>
          <w:sz w:val="24"/>
          <w:szCs w:val="24"/>
        </w:rPr>
        <w:t xml:space="preserve">not reviewed in any formal way by the CAISO or the CPUC.  These Utility </w:t>
      </w:r>
      <w:r w:rsidRPr="00180028" w:rsidR="000824FC">
        <w:rPr>
          <w:rFonts w:ascii="Palatino Linotype" w:hAnsi="Palatino Linotype"/>
          <w:sz w:val="24"/>
          <w:szCs w:val="24"/>
        </w:rPr>
        <w:t>S</w:t>
      </w:r>
      <w:r w:rsidRPr="00180028">
        <w:rPr>
          <w:rFonts w:ascii="Palatino Linotype" w:hAnsi="Palatino Linotype"/>
          <w:sz w:val="24"/>
          <w:szCs w:val="24"/>
        </w:rPr>
        <w:t>elf-</w:t>
      </w:r>
      <w:r w:rsidRPr="00180028" w:rsidR="000824FC">
        <w:rPr>
          <w:rFonts w:ascii="Palatino Linotype" w:hAnsi="Palatino Linotype"/>
          <w:sz w:val="24"/>
          <w:szCs w:val="24"/>
        </w:rPr>
        <w:t>A</w:t>
      </w:r>
      <w:r w:rsidRPr="00180028">
        <w:rPr>
          <w:rFonts w:ascii="Palatino Linotype" w:hAnsi="Palatino Linotype"/>
          <w:sz w:val="24"/>
          <w:szCs w:val="24"/>
        </w:rPr>
        <w:t xml:space="preserve">pproved </w:t>
      </w:r>
      <w:r w:rsidRPr="00180028" w:rsidR="000824FC">
        <w:rPr>
          <w:rFonts w:ascii="Palatino Linotype" w:hAnsi="Palatino Linotype"/>
          <w:sz w:val="24"/>
          <w:szCs w:val="24"/>
        </w:rPr>
        <w:t>P</w:t>
      </w:r>
      <w:r w:rsidRPr="00180028">
        <w:rPr>
          <w:rFonts w:ascii="Palatino Linotype" w:hAnsi="Palatino Linotype"/>
          <w:sz w:val="24"/>
          <w:szCs w:val="24"/>
        </w:rPr>
        <w:t xml:space="preserve">rojects currently comprise 63% of the three IOUs’ </w:t>
      </w:r>
      <w:r w:rsidRPr="00180028" w:rsidR="006A69FC">
        <w:rPr>
          <w:rFonts w:ascii="Palatino Linotype" w:hAnsi="Palatino Linotype"/>
          <w:sz w:val="24"/>
          <w:szCs w:val="24"/>
        </w:rPr>
        <w:t xml:space="preserve">transmission </w:t>
      </w:r>
      <w:r w:rsidRPr="00180028">
        <w:rPr>
          <w:rFonts w:ascii="Palatino Linotype" w:hAnsi="Palatino Linotype"/>
          <w:sz w:val="24"/>
          <w:szCs w:val="24"/>
        </w:rPr>
        <w:t xml:space="preserve">capital additions to rate base. </w:t>
      </w:r>
    </w:p>
    <w:p w:rsidRPr="00180028" w:rsidR="00491759" w:rsidP="00EE6EC5" w:rsidRDefault="00491759" w14:paraId="66E14E73" w14:textId="2161039E">
      <w:pPr>
        <w:numPr>
          <w:ilvl w:val="0"/>
          <w:numId w:val="4"/>
        </w:numPr>
        <w:jc w:val="both"/>
        <w:rPr>
          <w:rFonts w:ascii="Palatino Linotype" w:hAnsi="Palatino Linotype" w:cs="Arial"/>
          <w:sz w:val="24"/>
          <w:szCs w:val="24"/>
        </w:rPr>
      </w:pPr>
      <w:r w:rsidRPr="00180028">
        <w:rPr>
          <w:rFonts w:ascii="Palatino Linotype" w:hAnsi="Palatino Linotype" w:cs="Arial"/>
          <w:sz w:val="24"/>
          <w:szCs w:val="24"/>
        </w:rPr>
        <w:t xml:space="preserve">Transmission Project costs, Utilities’ collective transmission rate base, and transmission rates have increased many times in the last decade. </w:t>
      </w:r>
    </w:p>
    <w:p w:rsidRPr="00180028" w:rsidR="00714040" w:rsidP="00196B74" w:rsidRDefault="00333E46" w14:paraId="5EECD63B" w14:textId="42D033DC">
      <w:pPr>
        <w:numPr>
          <w:ilvl w:val="0"/>
          <w:numId w:val="4"/>
        </w:numPr>
        <w:jc w:val="both"/>
        <w:rPr>
          <w:rFonts w:ascii="Palatino Linotype" w:hAnsi="Palatino Linotype" w:cs="Arial"/>
          <w:sz w:val="24"/>
          <w:szCs w:val="24"/>
        </w:rPr>
      </w:pPr>
      <w:r w:rsidRPr="00180028">
        <w:rPr>
          <w:rFonts w:ascii="Palatino Linotype" w:hAnsi="Palatino Linotype" w:cs="Arial"/>
          <w:sz w:val="24"/>
          <w:szCs w:val="24"/>
        </w:rPr>
        <w:t>C</w:t>
      </w:r>
      <w:r w:rsidRPr="00180028" w:rsidR="00714040">
        <w:rPr>
          <w:rFonts w:ascii="Palatino Linotype" w:hAnsi="Palatino Linotype" w:cs="Arial"/>
          <w:sz w:val="24"/>
          <w:szCs w:val="24"/>
        </w:rPr>
        <w:t xml:space="preserve">urrent stakeholder processes negotiated in </w:t>
      </w:r>
      <w:r w:rsidRPr="00180028">
        <w:rPr>
          <w:rFonts w:ascii="Palatino Linotype" w:hAnsi="Palatino Linotype" w:cs="Arial"/>
          <w:sz w:val="24"/>
          <w:szCs w:val="24"/>
        </w:rPr>
        <w:t>PG&amp;E’s and SCE’s last rate cases, and the more limited Project Evaluation in SDG&amp;E’s rate case settlement</w:t>
      </w:r>
      <w:r w:rsidRPr="00180028" w:rsidR="00286671">
        <w:rPr>
          <w:rFonts w:ascii="Palatino Linotype" w:hAnsi="Palatino Linotype" w:cs="Arial"/>
          <w:sz w:val="24"/>
          <w:szCs w:val="24"/>
        </w:rPr>
        <w:t>,</w:t>
      </w:r>
      <w:r w:rsidRPr="00180028" w:rsidR="00714040">
        <w:rPr>
          <w:rFonts w:ascii="Palatino Linotype" w:hAnsi="Palatino Linotype" w:cs="Arial"/>
          <w:sz w:val="24"/>
          <w:szCs w:val="24"/>
        </w:rPr>
        <w:t xml:space="preserve"> are temporary and inconsistent.</w:t>
      </w:r>
    </w:p>
    <w:p w:rsidRPr="00180028" w:rsidR="00DE0660" w:rsidP="00196B74" w:rsidRDefault="00714040" w14:paraId="521B968C" w14:textId="71E73A52">
      <w:pPr>
        <w:numPr>
          <w:ilvl w:val="0"/>
          <w:numId w:val="4"/>
        </w:numPr>
        <w:jc w:val="both"/>
        <w:rPr>
          <w:rFonts w:ascii="Palatino Linotype" w:hAnsi="Palatino Linotype" w:cs="Arial"/>
          <w:sz w:val="24"/>
          <w:szCs w:val="24"/>
        </w:rPr>
      </w:pPr>
      <w:r w:rsidRPr="00180028">
        <w:rPr>
          <w:rFonts w:ascii="Palatino Linotype" w:hAnsi="Palatino Linotype"/>
          <w:sz w:val="24"/>
          <w:szCs w:val="24"/>
        </w:rPr>
        <w:t>The Transmission Project Review Process</w:t>
      </w:r>
      <w:r w:rsidRPr="00180028" w:rsidR="00333E46">
        <w:rPr>
          <w:rFonts w:ascii="Palatino Linotype" w:hAnsi="Palatino Linotype"/>
          <w:sz w:val="24"/>
          <w:szCs w:val="24"/>
        </w:rPr>
        <w:t xml:space="preserve"> will provide greater </w:t>
      </w:r>
      <w:r w:rsidRPr="00180028" w:rsidR="00F750F3">
        <w:rPr>
          <w:rFonts w:ascii="Palatino Linotype" w:hAnsi="Palatino Linotype"/>
          <w:sz w:val="24"/>
          <w:szCs w:val="24"/>
        </w:rPr>
        <w:t xml:space="preserve">ongoing and consistent </w:t>
      </w:r>
      <w:r w:rsidRPr="00180028" w:rsidR="00333E46">
        <w:rPr>
          <w:rFonts w:ascii="Palatino Linotype" w:hAnsi="Palatino Linotype"/>
          <w:sz w:val="24"/>
          <w:szCs w:val="24"/>
        </w:rPr>
        <w:t xml:space="preserve">transparency of transmission Projects with </w:t>
      </w:r>
      <w:r w:rsidRPr="00180028" w:rsidR="00DE0660">
        <w:rPr>
          <w:rFonts w:ascii="Palatino Linotype" w:hAnsi="Palatino Linotype"/>
          <w:sz w:val="24"/>
          <w:szCs w:val="24"/>
        </w:rPr>
        <w:t xml:space="preserve">a </w:t>
      </w:r>
      <w:r w:rsidRPr="00180028" w:rsidR="00333E46">
        <w:rPr>
          <w:rFonts w:ascii="Palatino Linotype" w:hAnsi="Palatino Linotype"/>
          <w:sz w:val="24"/>
          <w:szCs w:val="24"/>
        </w:rPr>
        <w:t xml:space="preserve">robust </w:t>
      </w:r>
      <w:r w:rsidRPr="00180028" w:rsidR="00DE0660">
        <w:rPr>
          <w:rFonts w:ascii="Palatino Linotype" w:hAnsi="Palatino Linotype"/>
          <w:sz w:val="24"/>
          <w:szCs w:val="24"/>
        </w:rPr>
        <w:t xml:space="preserve">Project Spreadsheet, </w:t>
      </w:r>
      <w:r w:rsidRPr="00180028" w:rsidR="00F750F3">
        <w:rPr>
          <w:rFonts w:ascii="Palatino Linotype" w:hAnsi="Palatino Linotype"/>
          <w:sz w:val="24"/>
          <w:szCs w:val="24"/>
        </w:rPr>
        <w:lastRenderedPageBreak/>
        <w:t>o</w:t>
      </w:r>
      <w:r w:rsidRPr="00180028" w:rsidR="00DE0660">
        <w:rPr>
          <w:rFonts w:ascii="Palatino Linotype" w:hAnsi="Palatino Linotype"/>
          <w:sz w:val="24"/>
          <w:szCs w:val="24"/>
        </w:rPr>
        <w:t>pportunities for inquiry and comments by the CPUC and Stakeholders, and Stakeholder Meetings.</w:t>
      </w:r>
    </w:p>
    <w:p w:rsidRPr="00180028" w:rsidR="00DE0660" w:rsidP="00196B74" w:rsidRDefault="00C8615A" w14:paraId="6A99E10E" w14:textId="7EEF40A0">
      <w:pPr>
        <w:numPr>
          <w:ilvl w:val="0"/>
          <w:numId w:val="4"/>
        </w:numPr>
        <w:jc w:val="both"/>
        <w:rPr>
          <w:rFonts w:ascii="Palatino Linotype" w:hAnsi="Palatino Linotype" w:cs="Arial"/>
          <w:sz w:val="24"/>
          <w:szCs w:val="24"/>
        </w:rPr>
      </w:pPr>
      <w:r w:rsidRPr="00180028">
        <w:rPr>
          <w:rFonts w:ascii="Palatino Linotype" w:hAnsi="Palatino Linotype"/>
          <w:sz w:val="24"/>
          <w:szCs w:val="24"/>
        </w:rPr>
        <w:t>B</w:t>
      </w:r>
      <w:r w:rsidRPr="00180028" w:rsidR="00DE0660">
        <w:rPr>
          <w:rFonts w:ascii="Palatino Linotype" w:hAnsi="Palatino Linotype"/>
          <w:sz w:val="24"/>
          <w:szCs w:val="24"/>
        </w:rPr>
        <w:t>enefits from the TPR Process include more efficient and cost-effective transmission Projects, including generator interconnection-related transmission network upgrades that have long-term benefits.</w:t>
      </w:r>
    </w:p>
    <w:p w:rsidRPr="00180028" w:rsidR="00BB2F5A" w:rsidP="00196B74" w:rsidRDefault="00DE0660" w14:paraId="38B2BCF8" w14:textId="24AE7972">
      <w:pPr>
        <w:numPr>
          <w:ilvl w:val="0"/>
          <w:numId w:val="4"/>
        </w:numPr>
        <w:jc w:val="both"/>
        <w:rPr>
          <w:rFonts w:ascii="Palatino Linotype" w:hAnsi="Palatino Linotype" w:cs="Arial"/>
          <w:sz w:val="24"/>
          <w:szCs w:val="24"/>
        </w:rPr>
      </w:pPr>
      <w:r w:rsidRPr="00180028">
        <w:rPr>
          <w:rFonts w:ascii="Palatino Linotype" w:hAnsi="Palatino Linotype"/>
          <w:sz w:val="24"/>
          <w:szCs w:val="24"/>
        </w:rPr>
        <w:t>Further benefits to</w:t>
      </w:r>
      <w:r w:rsidRPr="00180028" w:rsidR="008464E3">
        <w:rPr>
          <w:rFonts w:ascii="Palatino Linotype" w:hAnsi="Palatino Linotype"/>
          <w:sz w:val="24"/>
          <w:szCs w:val="24"/>
        </w:rPr>
        <w:t xml:space="preserve"> CPUC </w:t>
      </w:r>
      <w:r w:rsidRPr="00180028" w:rsidR="00AE1FD6">
        <w:rPr>
          <w:rFonts w:ascii="Palatino Linotype" w:hAnsi="Palatino Linotype"/>
          <w:sz w:val="24"/>
          <w:szCs w:val="24"/>
        </w:rPr>
        <w:t xml:space="preserve">programs and proceedings </w:t>
      </w:r>
      <w:r w:rsidRPr="00180028">
        <w:rPr>
          <w:rFonts w:ascii="Palatino Linotype" w:hAnsi="Palatino Linotype"/>
          <w:sz w:val="24"/>
          <w:szCs w:val="24"/>
        </w:rPr>
        <w:t>include</w:t>
      </w:r>
      <w:r w:rsidRPr="00180028" w:rsidR="002F1155">
        <w:rPr>
          <w:rFonts w:ascii="Palatino Linotype" w:hAnsi="Palatino Linotype"/>
          <w:sz w:val="24"/>
          <w:szCs w:val="24"/>
        </w:rPr>
        <w:t>, but are not limited to,</w:t>
      </w:r>
      <w:r w:rsidRPr="00180028">
        <w:rPr>
          <w:rFonts w:ascii="Palatino Linotype" w:hAnsi="Palatino Linotype"/>
          <w:sz w:val="24"/>
          <w:szCs w:val="24"/>
        </w:rPr>
        <w:t xml:space="preserve"> those related to</w:t>
      </w:r>
      <w:r w:rsidRPr="00180028" w:rsidR="00AE1FD6">
        <w:rPr>
          <w:rFonts w:ascii="Palatino Linotype" w:hAnsi="Palatino Linotype"/>
          <w:sz w:val="24"/>
          <w:szCs w:val="24"/>
        </w:rPr>
        <w:t xml:space="preserve"> </w:t>
      </w:r>
      <w:r w:rsidRPr="00180028" w:rsidR="008464E3">
        <w:rPr>
          <w:rFonts w:ascii="Palatino Linotype" w:hAnsi="Palatino Linotype"/>
          <w:sz w:val="24"/>
          <w:szCs w:val="24"/>
        </w:rPr>
        <w:t xml:space="preserve">permitting and CEQA review, Integrated Resource Planning, </w:t>
      </w:r>
      <w:r w:rsidRPr="00180028" w:rsidR="00BB2F5A">
        <w:rPr>
          <w:rFonts w:ascii="Palatino Linotype" w:hAnsi="Palatino Linotype"/>
          <w:sz w:val="24"/>
          <w:szCs w:val="24"/>
        </w:rPr>
        <w:t>the D</w:t>
      </w:r>
      <w:r w:rsidRPr="00180028" w:rsidR="001E75FB">
        <w:rPr>
          <w:rFonts w:ascii="Palatino Linotype" w:hAnsi="Palatino Linotype"/>
          <w:sz w:val="24"/>
          <w:szCs w:val="24"/>
        </w:rPr>
        <w:t xml:space="preserve">istributed </w:t>
      </w:r>
      <w:r w:rsidRPr="00180028" w:rsidR="00BB2F5A">
        <w:rPr>
          <w:rFonts w:ascii="Palatino Linotype" w:hAnsi="Palatino Linotype"/>
          <w:sz w:val="24"/>
          <w:szCs w:val="24"/>
        </w:rPr>
        <w:t>E</w:t>
      </w:r>
      <w:r w:rsidRPr="00180028" w:rsidR="001E75FB">
        <w:rPr>
          <w:rFonts w:ascii="Palatino Linotype" w:hAnsi="Palatino Linotype"/>
          <w:sz w:val="24"/>
          <w:szCs w:val="24"/>
        </w:rPr>
        <w:t xml:space="preserve">nergy </w:t>
      </w:r>
      <w:r w:rsidRPr="00180028" w:rsidR="00BB2F5A">
        <w:rPr>
          <w:rFonts w:ascii="Palatino Linotype" w:hAnsi="Palatino Linotype"/>
          <w:sz w:val="24"/>
          <w:szCs w:val="24"/>
        </w:rPr>
        <w:t>R</w:t>
      </w:r>
      <w:r w:rsidRPr="00180028" w:rsidR="001E75FB">
        <w:rPr>
          <w:rFonts w:ascii="Palatino Linotype" w:hAnsi="Palatino Linotype"/>
          <w:sz w:val="24"/>
          <w:szCs w:val="24"/>
        </w:rPr>
        <w:t>esources</w:t>
      </w:r>
      <w:r w:rsidRPr="00180028" w:rsidR="00BB2F5A">
        <w:rPr>
          <w:rFonts w:ascii="Palatino Linotype" w:hAnsi="Palatino Linotype"/>
          <w:sz w:val="24"/>
          <w:szCs w:val="24"/>
        </w:rPr>
        <w:t xml:space="preserve"> Action Plan, General Rate Cases, </w:t>
      </w:r>
      <w:r w:rsidRPr="00180028" w:rsidR="00AE1FD6">
        <w:rPr>
          <w:rFonts w:ascii="Palatino Linotype" w:hAnsi="Palatino Linotype"/>
          <w:sz w:val="24"/>
          <w:szCs w:val="24"/>
        </w:rPr>
        <w:t>wildfire mitigatio</w:t>
      </w:r>
      <w:r w:rsidRPr="00180028" w:rsidR="00BB2F5A">
        <w:rPr>
          <w:rFonts w:ascii="Palatino Linotype" w:hAnsi="Palatino Linotype"/>
          <w:sz w:val="24"/>
          <w:szCs w:val="24"/>
        </w:rPr>
        <w:t>n and recovery</w:t>
      </w:r>
      <w:r w:rsidRPr="00180028">
        <w:rPr>
          <w:rFonts w:ascii="Palatino Linotype" w:hAnsi="Palatino Linotype"/>
          <w:sz w:val="24"/>
          <w:szCs w:val="24"/>
        </w:rPr>
        <w:t xml:space="preserve">, </w:t>
      </w:r>
      <w:r w:rsidRPr="00180028" w:rsidR="002F1155">
        <w:rPr>
          <w:rFonts w:ascii="Palatino Linotype" w:hAnsi="Palatino Linotype"/>
          <w:sz w:val="24"/>
          <w:szCs w:val="24"/>
        </w:rPr>
        <w:t xml:space="preserve">and </w:t>
      </w:r>
      <w:r w:rsidRPr="00180028" w:rsidR="00E646E9">
        <w:rPr>
          <w:rFonts w:ascii="Palatino Linotype" w:hAnsi="Palatino Linotype"/>
          <w:sz w:val="24"/>
          <w:szCs w:val="24"/>
        </w:rPr>
        <w:t>risk and safety assessments</w:t>
      </w:r>
      <w:r w:rsidRPr="00180028">
        <w:rPr>
          <w:rFonts w:ascii="Palatino Linotype" w:hAnsi="Palatino Linotype"/>
          <w:sz w:val="24"/>
          <w:szCs w:val="24"/>
        </w:rPr>
        <w:t>.</w:t>
      </w:r>
    </w:p>
    <w:p w:rsidRPr="00180028" w:rsidR="00F750F3" w:rsidP="00196B74" w:rsidRDefault="00BB2F5A" w14:paraId="1E3AA532" w14:textId="1FB5B18D">
      <w:pPr>
        <w:numPr>
          <w:ilvl w:val="0"/>
          <w:numId w:val="4"/>
        </w:numPr>
        <w:jc w:val="both"/>
        <w:rPr>
          <w:rFonts w:ascii="Palatino Linotype" w:hAnsi="Palatino Linotype" w:cs="Arial"/>
          <w:sz w:val="24"/>
          <w:szCs w:val="24"/>
        </w:rPr>
      </w:pPr>
      <w:r w:rsidRPr="00180028">
        <w:rPr>
          <w:rFonts w:ascii="Palatino Linotype" w:hAnsi="Palatino Linotype"/>
          <w:sz w:val="24"/>
          <w:szCs w:val="24"/>
        </w:rPr>
        <w:t>The Transmission Project Review Process will begin on January 1, 2024.</w:t>
      </w:r>
      <w:r w:rsidRPr="00180028" w:rsidR="00AE1FD6">
        <w:rPr>
          <w:rFonts w:ascii="Palatino Linotype" w:hAnsi="Palatino Linotype"/>
          <w:sz w:val="24"/>
          <w:szCs w:val="24"/>
        </w:rPr>
        <w:t xml:space="preserve"> </w:t>
      </w:r>
      <w:r w:rsidRPr="00180028" w:rsidR="00714040">
        <w:rPr>
          <w:rFonts w:ascii="Palatino Linotype" w:hAnsi="Palatino Linotype"/>
          <w:sz w:val="24"/>
          <w:szCs w:val="24"/>
        </w:rPr>
        <w:t xml:space="preserve"> </w:t>
      </w:r>
    </w:p>
    <w:p w:rsidRPr="00180028" w:rsidR="00DF3601" w:rsidP="00902847" w:rsidRDefault="00DF3601" w14:paraId="2303240A" w14:textId="77777777">
      <w:pPr>
        <w:pStyle w:val="standard"/>
        <w:spacing w:line="240" w:lineRule="auto"/>
        <w:ind w:firstLine="0"/>
        <w:jc w:val="both"/>
        <w:rPr>
          <w:rFonts w:ascii="Palatino Linotype" w:hAnsi="Palatino Linotype"/>
          <w:sz w:val="24"/>
          <w:szCs w:val="24"/>
        </w:rPr>
      </w:pPr>
    </w:p>
    <w:p w:rsidRPr="00180028" w:rsidR="001C538D" w:rsidP="00CA2252" w:rsidRDefault="001C538D" w14:paraId="4A8A581E" w14:textId="77777777">
      <w:pPr>
        <w:pStyle w:val="Heading1"/>
        <w:spacing w:before="240"/>
        <w:jc w:val="both"/>
        <w:rPr>
          <w:rFonts w:ascii="Palatino Linotype" w:hAnsi="Palatino Linotype"/>
          <w:sz w:val="24"/>
          <w:szCs w:val="24"/>
        </w:rPr>
      </w:pPr>
      <w:r w:rsidRPr="00180028">
        <w:rPr>
          <w:rFonts w:ascii="Palatino Linotype" w:hAnsi="Palatino Linotype"/>
          <w:sz w:val="24"/>
          <w:szCs w:val="24"/>
        </w:rPr>
        <w:t>Therefore it is ordered that:</w:t>
      </w:r>
    </w:p>
    <w:p w:rsidRPr="00180028" w:rsidR="00C51FFD" w:rsidP="00C51FFD" w:rsidRDefault="00BB2F5A" w14:paraId="5539F30A" w14:textId="38F81664">
      <w:pPr>
        <w:numPr>
          <w:ilvl w:val="0"/>
          <w:numId w:val="5"/>
        </w:numPr>
        <w:jc w:val="both"/>
        <w:rPr>
          <w:rFonts w:ascii="Palatino Linotype" w:hAnsi="Palatino Linotype"/>
          <w:sz w:val="24"/>
          <w:szCs w:val="24"/>
        </w:rPr>
      </w:pPr>
      <w:r w:rsidRPr="00180028">
        <w:rPr>
          <w:rFonts w:ascii="Palatino Linotype" w:hAnsi="Palatino Linotype"/>
          <w:sz w:val="24"/>
          <w:szCs w:val="24"/>
        </w:rPr>
        <w:t xml:space="preserve">Under the Direction of Energy Division, the Transmission Project Review Process </w:t>
      </w:r>
      <w:r w:rsidRPr="00180028" w:rsidR="0039374F">
        <w:rPr>
          <w:rFonts w:ascii="Palatino Linotype" w:hAnsi="Palatino Linotype"/>
          <w:sz w:val="24"/>
          <w:szCs w:val="24"/>
        </w:rPr>
        <w:t>s</w:t>
      </w:r>
      <w:r w:rsidRPr="00180028">
        <w:rPr>
          <w:rFonts w:ascii="Palatino Linotype" w:hAnsi="Palatino Linotype"/>
          <w:sz w:val="24"/>
          <w:szCs w:val="24"/>
        </w:rPr>
        <w:t>hall begin on January 1, 2024</w:t>
      </w:r>
      <w:r w:rsidRPr="00180028" w:rsidR="00CD61F8">
        <w:rPr>
          <w:rFonts w:ascii="Palatino Linotype" w:hAnsi="Palatino Linotype"/>
          <w:sz w:val="24"/>
          <w:szCs w:val="24"/>
        </w:rPr>
        <w:t>,</w:t>
      </w:r>
      <w:r w:rsidRPr="00180028">
        <w:rPr>
          <w:rFonts w:ascii="Palatino Linotype" w:hAnsi="Palatino Linotype"/>
          <w:sz w:val="24"/>
          <w:szCs w:val="24"/>
        </w:rPr>
        <w:t xml:space="preserve"> as described in this Resolution and related Attachments.</w:t>
      </w:r>
    </w:p>
    <w:p w:rsidRPr="00180028" w:rsidR="00C51FFD" w:rsidP="00C51FFD" w:rsidRDefault="00C51FFD" w14:paraId="2B2D9D2D" w14:textId="77777777">
      <w:pPr>
        <w:ind w:left="360"/>
        <w:jc w:val="both"/>
        <w:rPr>
          <w:rFonts w:ascii="Palatino Linotype" w:hAnsi="Palatino Linotype"/>
          <w:sz w:val="24"/>
          <w:szCs w:val="24"/>
        </w:rPr>
      </w:pPr>
    </w:p>
    <w:p w:rsidR="00CA2252" w:rsidP="00C51FFD" w:rsidRDefault="00CA2252" w14:paraId="35660856" w14:textId="77777777">
      <w:pPr>
        <w:jc w:val="both"/>
        <w:rPr>
          <w:rFonts w:ascii="Palatino Linotype" w:hAnsi="Palatino Linotype"/>
          <w:sz w:val="24"/>
          <w:szCs w:val="24"/>
        </w:rPr>
      </w:pPr>
      <w:r>
        <w:rPr>
          <w:rFonts w:ascii="Palatino Linotype" w:hAnsi="Palatino Linotype"/>
          <w:sz w:val="24"/>
          <w:szCs w:val="24"/>
        </w:rPr>
        <w:br/>
      </w:r>
    </w:p>
    <w:p w:rsidR="00CA2252" w:rsidRDefault="00CA2252" w14:paraId="7CE3BAA9" w14:textId="77777777">
      <w:pPr>
        <w:rPr>
          <w:rFonts w:ascii="Palatino Linotype" w:hAnsi="Palatino Linotype"/>
          <w:sz w:val="24"/>
          <w:szCs w:val="24"/>
        </w:rPr>
      </w:pPr>
      <w:r>
        <w:rPr>
          <w:rFonts w:ascii="Palatino Linotype" w:hAnsi="Palatino Linotype"/>
          <w:sz w:val="24"/>
          <w:szCs w:val="24"/>
        </w:rPr>
        <w:br w:type="page"/>
      </w:r>
    </w:p>
    <w:p w:rsidRPr="00180028" w:rsidR="001C538D" w:rsidP="00C51FFD" w:rsidRDefault="001C538D" w14:paraId="0FF39953" w14:textId="265A9A71">
      <w:pPr>
        <w:jc w:val="both"/>
        <w:rPr>
          <w:rFonts w:ascii="Palatino Linotype" w:hAnsi="Palatino Linotype"/>
          <w:sz w:val="24"/>
          <w:szCs w:val="24"/>
        </w:rPr>
      </w:pPr>
      <w:r w:rsidRPr="00180028">
        <w:rPr>
          <w:rFonts w:ascii="Palatino Linotype" w:hAnsi="Palatino Linotype"/>
          <w:sz w:val="24"/>
          <w:szCs w:val="24"/>
        </w:rPr>
        <w:lastRenderedPageBreak/>
        <w:t>This Resolution is effective today.</w:t>
      </w:r>
    </w:p>
    <w:p w:rsidRPr="00180028" w:rsidR="001C538D" w:rsidP="00AF327A" w:rsidRDefault="001C538D" w14:paraId="0F4DADB1" w14:textId="77777777">
      <w:pPr>
        <w:tabs>
          <w:tab w:val="left" w:pos="720"/>
          <w:tab w:val="left" w:pos="1296"/>
          <w:tab w:val="left" w:pos="2016"/>
          <w:tab w:val="left" w:pos="2736"/>
          <w:tab w:val="left" w:pos="3456"/>
          <w:tab w:val="left" w:pos="4176"/>
          <w:tab w:val="left" w:pos="5760"/>
        </w:tabs>
        <w:jc w:val="both"/>
        <w:rPr>
          <w:rFonts w:ascii="Palatino Linotype" w:hAnsi="Palatino Linotype"/>
          <w:sz w:val="24"/>
          <w:szCs w:val="24"/>
        </w:rPr>
      </w:pPr>
    </w:p>
    <w:p w:rsidRPr="00180028" w:rsidR="001C538D" w:rsidP="00C6577C" w:rsidRDefault="001C538D" w14:paraId="320D1D0B" w14:textId="2CADA5CE">
      <w:pPr>
        <w:jc w:val="both"/>
        <w:rPr>
          <w:rFonts w:ascii="Palatino Linotype" w:hAnsi="Palatino Linotype"/>
          <w:snapToGrid w:val="0"/>
          <w:sz w:val="24"/>
          <w:szCs w:val="24"/>
        </w:rPr>
      </w:pPr>
      <w:r w:rsidRPr="00180028">
        <w:rPr>
          <w:rFonts w:ascii="Palatino Linotype" w:hAnsi="Palatino Linotype"/>
          <w:snapToGrid w:val="0"/>
          <w:sz w:val="24"/>
          <w:szCs w:val="24"/>
        </w:rPr>
        <w:t xml:space="preserve">I certify that the foregoing </w:t>
      </w:r>
      <w:r w:rsidRPr="00180028" w:rsidR="007E2DBF">
        <w:rPr>
          <w:rFonts w:ascii="Palatino Linotype" w:hAnsi="Palatino Linotype"/>
          <w:snapToGrid w:val="0"/>
          <w:sz w:val="24"/>
          <w:szCs w:val="24"/>
        </w:rPr>
        <w:t>R</w:t>
      </w:r>
      <w:r w:rsidRPr="00180028">
        <w:rPr>
          <w:rFonts w:ascii="Palatino Linotype" w:hAnsi="Palatino Linotype"/>
          <w:snapToGrid w:val="0"/>
          <w:sz w:val="24"/>
          <w:szCs w:val="24"/>
        </w:rPr>
        <w:t>esolution was duly introduced, passed</w:t>
      </w:r>
      <w:r w:rsidR="00CA2252">
        <w:rPr>
          <w:rFonts w:ascii="Palatino Linotype" w:hAnsi="Palatino Linotype"/>
          <w:snapToGrid w:val="0"/>
          <w:sz w:val="24"/>
          <w:szCs w:val="24"/>
        </w:rPr>
        <w:t>,</w:t>
      </w:r>
      <w:r w:rsidRPr="00180028">
        <w:rPr>
          <w:rFonts w:ascii="Palatino Linotype" w:hAnsi="Palatino Linotype"/>
          <w:snapToGrid w:val="0"/>
          <w:sz w:val="24"/>
          <w:szCs w:val="24"/>
        </w:rPr>
        <w:t xml:space="preserve"> and adopted at a conference of the Public Utilities Commission of the State of California held on </w:t>
      </w:r>
      <w:r w:rsidR="00CA2252">
        <w:rPr>
          <w:rFonts w:ascii="Palatino Linotype" w:hAnsi="Palatino Linotype"/>
          <w:snapToGrid w:val="0"/>
          <w:sz w:val="24"/>
          <w:szCs w:val="24"/>
        </w:rPr>
        <w:br/>
      </w:r>
      <w:r w:rsidR="002A687E">
        <w:rPr>
          <w:rFonts w:ascii="Palatino Linotype" w:hAnsi="Palatino Linotype"/>
          <w:snapToGrid w:val="0"/>
          <w:sz w:val="24"/>
          <w:szCs w:val="24"/>
        </w:rPr>
        <w:t xml:space="preserve">April </w:t>
      </w:r>
      <w:r w:rsidR="004E396E">
        <w:rPr>
          <w:rFonts w:ascii="Palatino Linotype" w:hAnsi="Palatino Linotype"/>
          <w:snapToGrid w:val="0"/>
          <w:sz w:val="24"/>
          <w:szCs w:val="24"/>
        </w:rPr>
        <w:t>6</w:t>
      </w:r>
      <w:r w:rsidRPr="00180028">
        <w:rPr>
          <w:rFonts w:ascii="Palatino Linotype" w:hAnsi="Palatino Linotype"/>
          <w:snapToGrid w:val="0"/>
          <w:sz w:val="24"/>
          <w:szCs w:val="24"/>
        </w:rPr>
        <w:t>, 20</w:t>
      </w:r>
      <w:r w:rsidRPr="00180028" w:rsidR="00BB2F5A">
        <w:rPr>
          <w:rFonts w:ascii="Palatino Linotype" w:hAnsi="Palatino Linotype"/>
          <w:snapToGrid w:val="0"/>
          <w:sz w:val="24"/>
          <w:szCs w:val="24"/>
        </w:rPr>
        <w:t>2</w:t>
      </w:r>
      <w:r w:rsidRPr="00180028" w:rsidR="00B55E23">
        <w:rPr>
          <w:rFonts w:ascii="Palatino Linotype" w:hAnsi="Palatino Linotype"/>
          <w:snapToGrid w:val="0"/>
          <w:sz w:val="24"/>
          <w:szCs w:val="24"/>
        </w:rPr>
        <w:t>3</w:t>
      </w:r>
      <w:r w:rsidRPr="00180028">
        <w:rPr>
          <w:rFonts w:ascii="Palatino Linotype" w:hAnsi="Palatino Linotype"/>
          <w:snapToGrid w:val="0"/>
          <w:sz w:val="24"/>
          <w:szCs w:val="24"/>
        </w:rPr>
        <w:t>; the following Commissioners voting favorably thereon:</w:t>
      </w:r>
    </w:p>
    <w:p w:rsidRPr="00180028" w:rsidR="001C538D" w:rsidP="00AF327A" w:rsidRDefault="001C538D" w14:paraId="3C1FFC3F" w14:textId="77777777">
      <w:pPr>
        <w:tabs>
          <w:tab w:val="left" w:pos="720"/>
          <w:tab w:val="left" w:pos="1152"/>
          <w:tab w:val="left" w:pos="1728"/>
          <w:tab w:val="left" w:pos="3168"/>
          <w:tab w:val="left" w:pos="5040"/>
        </w:tabs>
        <w:ind w:right="144"/>
        <w:jc w:val="both"/>
        <w:rPr>
          <w:rFonts w:ascii="Palatino Linotype" w:hAnsi="Palatino Linotype"/>
          <w:sz w:val="24"/>
          <w:szCs w:val="24"/>
        </w:rPr>
      </w:pPr>
    </w:p>
    <w:p w:rsidRPr="00180028" w:rsidR="008150D6" w:rsidP="00AF327A" w:rsidRDefault="008150D6" w14:paraId="321CE124" w14:textId="77777777">
      <w:pPr>
        <w:tabs>
          <w:tab w:val="left" w:pos="720"/>
          <w:tab w:val="left" w:pos="1152"/>
          <w:tab w:val="left" w:pos="1728"/>
          <w:tab w:val="left" w:pos="3168"/>
          <w:tab w:val="left" w:pos="5040"/>
        </w:tabs>
        <w:ind w:right="144"/>
        <w:jc w:val="both"/>
        <w:rPr>
          <w:rFonts w:ascii="Palatino Linotype" w:hAnsi="Palatino Linotype"/>
          <w:sz w:val="24"/>
          <w:szCs w:val="24"/>
        </w:rPr>
      </w:pPr>
    </w:p>
    <w:p w:rsidRPr="00180028" w:rsidR="008150D6" w:rsidP="00AF327A" w:rsidRDefault="008150D6" w14:paraId="18F5FD45" w14:textId="77777777">
      <w:pPr>
        <w:tabs>
          <w:tab w:val="left" w:pos="720"/>
          <w:tab w:val="left" w:pos="1152"/>
          <w:tab w:val="left" w:pos="1728"/>
          <w:tab w:val="left" w:pos="3168"/>
          <w:tab w:val="left" w:pos="5040"/>
        </w:tabs>
        <w:ind w:right="144"/>
        <w:jc w:val="both"/>
        <w:rPr>
          <w:rFonts w:ascii="Palatino Linotype" w:hAnsi="Palatino Linotype"/>
          <w:sz w:val="24"/>
          <w:szCs w:val="24"/>
        </w:rPr>
      </w:pPr>
    </w:p>
    <w:p w:rsidRPr="00180028" w:rsidR="008150D6" w:rsidP="00AF327A" w:rsidRDefault="008150D6" w14:paraId="3001F5B7" w14:textId="77777777">
      <w:pPr>
        <w:tabs>
          <w:tab w:val="left" w:pos="720"/>
          <w:tab w:val="left" w:pos="1152"/>
          <w:tab w:val="left" w:pos="1728"/>
          <w:tab w:val="left" w:pos="3168"/>
          <w:tab w:val="left" w:pos="5040"/>
        </w:tabs>
        <w:ind w:right="144"/>
        <w:jc w:val="both"/>
        <w:rPr>
          <w:rFonts w:ascii="Palatino Linotype" w:hAnsi="Palatino Linotype"/>
          <w:sz w:val="24"/>
          <w:szCs w:val="24"/>
        </w:rPr>
      </w:pPr>
    </w:p>
    <w:p w:rsidRPr="00180028" w:rsidR="001C538D" w:rsidP="00AF327A" w:rsidRDefault="001C538D" w14:paraId="563C496B" w14:textId="4FA4E1C8">
      <w:pPr>
        <w:tabs>
          <w:tab w:val="left" w:pos="720"/>
          <w:tab w:val="left" w:pos="1152"/>
          <w:tab w:val="left" w:pos="1728"/>
          <w:tab w:val="left" w:pos="3168"/>
          <w:tab w:val="left" w:pos="5040"/>
        </w:tabs>
        <w:ind w:right="144"/>
        <w:jc w:val="both"/>
        <w:rPr>
          <w:rFonts w:ascii="Palatino Linotype" w:hAnsi="Palatino Linotype"/>
          <w:sz w:val="24"/>
          <w:szCs w:val="24"/>
          <w:u w:val="single"/>
        </w:rPr>
      </w:pPr>
      <w:r w:rsidRPr="00180028">
        <w:rPr>
          <w:rFonts w:ascii="Palatino Linotype" w:hAnsi="Palatino Linotype"/>
          <w:sz w:val="24"/>
          <w:szCs w:val="24"/>
        </w:rPr>
        <w:tab/>
      </w:r>
      <w:r w:rsidRPr="00180028">
        <w:rPr>
          <w:rFonts w:ascii="Palatino Linotype" w:hAnsi="Palatino Linotype"/>
          <w:sz w:val="24"/>
          <w:szCs w:val="24"/>
        </w:rPr>
        <w:tab/>
      </w:r>
      <w:r w:rsidRPr="00180028">
        <w:rPr>
          <w:rFonts w:ascii="Palatino Linotype" w:hAnsi="Palatino Linotype"/>
          <w:sz w:val="24"/>
          <w:szCs w:val="24"/>
        </w:rPr>
        <w:tab/>
      </w:r>
      <w:r w:rsidRPr="00180028">
        <w:rPr>
          <w:rFonts w:ascii="Palatino Linotype" w:hAnsi="Palatino Linotype"/>
          <w:sz w:val="24"/>
          <w:szCs w:val="24"/>
        </w:rPr>
        <w:tab/>
      </w:r>
      <w:r w:rsidRPr="00180028" w:rsidR="008150D6">
        <w:rPr>
          <w:rFonts w:ascii="Palatino Linotype" w:hAnsi="Palatino Linotype"/>
          <w:sz w:val="24"/>
          <w:szCs w:val="24"/>
        </w:rPr>
        <w:t xml:space="preserve">                            </w:t>
      </w:r>
    </w:p>
    <w:p w:rsidRPr="00180028" w:rsidR="001C538D" w:rsidP="00AF327A" w:rsidRDefault="00CA2252" w14:paraId="61D962D7" w14:textId="0376A5AE">
      <w:pPr>
        <w:jc w:val="both"/>
        <w:rPr>
          <w:rFonts w:ascii="Palatino Linotype" w:hAnsi="Palatino Linotype"/>
          <w:sz w:val="24"/>
          <w:szCs w:val="24"/>
        </w:rPr>
      </w:pPr>
      <w:r>
        <w:rPr>
          <w:rFonts w:ascii="Palatino Linotype" w:hAnsi="Palatino Linotype"/>
          <w:noProof/>
          <w:sz w:val="24"/>
          <w:szCs w:val="24"/>
        </w:rPr>
        <mc:AlternateContent>
          <mc:Choice Requires="wps">
            <w:drawing>
              <wp:anchor distT="0" distB="0" distL="114300" distR="114300" simplePos="0" relativeHeight="251659264" behindDoc="0" locked="0" layoutInCell="1" allowOverlap="1" wp14:editId="6A23A081" wp14:anchorId="71D6C62B">
                <wp:simplePos x="0" y="0"/>
                <wp:positionH relativeFrom="column">
                  <wp:posOffset>2994660</wp:posOffset>
                </wp:positionH>
                <wp:positionV relativeFrom="paragraph">
                  <wp:posOffset>24765</wp:posOffset>
                </wp:positionV>
                <wp:extent cx="17602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60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235.8pt,1.95pt" to="374.4pt,1.95pt" w14:anchorId="2432D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9LmAEAAIgDAAAOAAAAZHJzL2Uyb0RvYy54bWysU02P0zAQvSPxHyzfadIeFhQ13cOu4IJg&#10;xccP8DrjxlrbY41Nk/57xm6bIhYhhPbi+OO9N/NmJtvb2TtxAEoWQy/Xq1YKCBoHG/a9/P7t/Zt3&#10;UqSswqAcBujlEZK83b1+tZ1iBxsc0Q1AgkVC6qbYyzHn2DVN0iN4lVYYIfCjQfIq85H2zUBqYnXv&#10;mk3b3jQT0hAJNaTEt/enR7mr+saAzp+NSZCF6yXnlutKdX0sa7Pbqm5PKo5Wn9NQ/5GFVzZw0EXq&#10;XmUlfpB9JuWtJkxo8kqjb9AYq6F6YDfr9jc3X0cVoXrh4qS4lCm9nKz+dLgLD8RlmGLqUnyg4mI2&#10;5MuX8xNzLdZxKRbMWWi+XL+9aTcbrqm+vDVXYqSUPwB6UTa9dDYUH6pTh48pczCGXiB8uIauu3x0&#10;UMAufAEj7FCCVXadCrhzJA6K+zk8rUv/WKsiC8VY5xZS+3fSGVtoUCflX4kLukbEkBeitwHpT1Hz&#10;fEnVnPAX1yevxfYjDsfaiFoObnd1dh7NMk+/niv9+gPtfgIAAP//AwBQSwMEFAAGAAgAAAAhANvX&#10;tg7cAAAABwEAAA8AAABkcnMvZG93bnJldi54bWxMj09Pg0AUxO8m/Q6bZ+LNLtWmILI0jX9OeqDU&#10;g8ct+wRS9i1ht4B+ep9e9DiZycxvsu1sOzHi4FtHClbLCARS5UxLtYK3w/N1AsIHTUZ3jlDBJ3rY&#10;5ouLTKfGTbTHsQy14BLyqVbQhNCnUvqqQav90vVI7H24werAcqilGfTE5baTN1G0kVa3xAuN7vGh&#10;wepUnq2C+OmlLPrp8fWrkLEsitGF5PSu1NXlvLsHEXAOf2H4wWd0yJnp6M5kvOgUrOPVhqMKbu9A&#10;sB+vE75y/NUyz+R//vwbAAD//wMAUEsBAi0AFAAGAAgAAAAhALaDOJL+AAAA4QEAABMAAAAAAAAA&#10;AAAAAAAAAAAAAFtDb250ZW50X1R5cGVzXS54bWxQSwECLQAUAAYACAAAACEAOP0h/9YAAACUAQAA&#10;CwAAAAAAAAAAAAAAAAAvAQAAX3JlbHMvLnJlbHNQSwECLQAUAAYACAAAACEAMVtPS5gBAACIAwAA&#10;DgAAAAAAAAAAAAAAAAAuAgAAZHJzL2Uyb0RvYy54bWxQSwECLQAUAAYACAAAACEA29e2DtwAAAAH&#10;AQAADwAAAAAAAAAAAAAAAADyAwAAZHJzL2Rvd25yZXYueG1sUEsFBgAAAAAEAAQA8wAAAPsEAAAA&#10;AA==&#10;"/>
            </w:pict>
          </mc:Fallback>
        </mc:AlternateContent>
      </w:r>
      <w:r w:rsidRPr="00180028" w:rsidR="001C538D">
        <w:rPr>
          <w:rFonts w:ascii="Palatino Linotype" w:hAnsi="Palatino Linotype"/>
          <w:sz w:val="24"/>
          <w:szCs w:val="24"/>
        </w:rPr>
        <w:tab/>
      </w:r>
      <w:r w:rsidRPr="00180028" w:rsidR="001C538D">
        <w:rPr>
          <w:rFonts w:ascii="Palatino Linotype" w:hAnsi="Palatino Linotype"/>
          <w:sz w:val="24"/>
          <w:szCs w:val="24"/>
        </w:rPr>
        <w:tab/>
      </w:r>
      <w:r w:rsidRPr="00180028" w:rsidR="001C538D">
        <w:rPr>
          <w:rFonts w:ascii="Palatino Linotype" w:hAnsi="Palatino Linotype"/>
          <w:sz w:val="24"/>
          <w:szCs w:val="24"/>
        </w:rPr>
        <w:tab/>
      </w:r>
      <w:r w:rsidRPr="00180028" w:rsidR="001C538D">
        <w:rPr>
          <w:rFonts w:ascii="Palatino Linotype" w:hAnsi="Palatino Linotype"/>
          <w:sz w:val="24"/>
          <w:szCs w:val="24"/>
        </w:rPr>
        <w:tab/>
      </w:r>
      <w:r w:rsidRPr="00180028" w:rsidR="001C538D">
        <w:rPr>
          <w:rFonts w:ascii="Palatino Linotype" w:hAnsi="Palatino Linotype"/>
          <w:sz w:val="24"/>
          <w:szCs w:val="24"/>
        </w:rPr>
        <w:tab/>
      </w:r>
      <w:r w:rsidRPr="00180028" w:rsidR="001C538D">
        <w:rPr>
          <w:rFonts w:ascii="Palatino Linotype" w:hAnsi="Palatino Linotype"/>
          <w:sz w:val="24"/>
          <w:szCs w:val="24"/>
        </w:rPr>
        <w:tab/>
      </w:r>
      <w:r w:rsidRPr="00180028" w:rsidR="001C538D">
        <w:rPr>
          <w:rFonts w:ascii="Palatino Linotype" w:hAnsi="Palatino Linotype"/>
          <w:sz w:val="24"/>
          <w:szCs w:val="24"/>
        </w:rPr>
        <w:tab/>
        <w:t xml:space="preserve"> </w:t>
      </w:r>
      <w:r w:rsidRPr="00180028" w:rsidR="00887164">
        <w:rPr>
          <w:rFonts w:ascii="Palatino Linotype" w:hAnsi="Palatino Linotype"/>
          <w:sz w:val="24"/>
          <w:szCs w:val="24"/>
        </w:rPr>
        <w:t>R</w:t>
      </w:r>
      <w:r>
        <w:rPr>
          <w:rFonts w:ascii="Palatino Linotype" w:hAnsi="Palatino Linotype"/>
          <w:sz w:val="24"/>
          <w:szCs w:val="24"/>
        </w:rPr>
        <w:t>achel Peterson</w:t>
      </w:r>
    </w:p>
    <w:p w:rsidRPr="00180028" w:rsidR="00256B97" w:rsidP="0066182A" w:rsidRDefault="001C538D" w14:paraId="6BB1AB31" w14:textId="3D8CC5A6">
      <w:pPr>
        <w:jc w:val="both"/>
        <w:rPr>
          <w:rFonts w:ascii="Palatino Linotype" w:hAnsi="Palatino Linotype"/>
          <w:sz w:val="24"/>
          <w:szCs w:val="24"/>
        </w:rPr>
      </w:pPr>
      <w:r w:rsidRPr="00180028">
        <w:rPr>
          <w:rFonts w:ascii="Palatino Linotype" w:hAnsi="Palatino Linotype"/>
          <w:sz w:val="24"/>
          <w:szCs w:val="24"/>
        </w:rPr>
        <w:tab/>
      </w:r>
      <w:r w:rsidRPr="00180028">
        <w:rPr>
          <w:rFonts w:ascii="Palatino Linotype" w:hAnsi="Palatino Linotype"/>
          <w:sz w:val="24"/>
          <w:szCs w:val="24"/>
        </w:rPr>
        <w:tab/>
      </w:r>
      <w:r w:rsidRPr="00180028">
        <w:rPr>
          <w:rFonts w:ascii="Palatino Linotype" w:hAnsi="Palatino Linotype"/>
          <w:sz w:val="24"/>
          <w:szCs w:val="24"/>
        </w:rPr>
        <w:tab/>
      </w:r>
      <w:r w:rsidRPr="00180028">
        <w:rPr>
          <w:rFonts w:ascii="Palatino Linotype" w:hAnsi="Palatino Linotype"/>
          <w:sz w:val="24"/>
          <w:szCs w:val="24"/>
        </w:rPr>
        <w:tab/>
      </w:r>
      <w:r w:rsidRPr="00180028">
        <w:rPr>
          <w:rFonts w:ascii="Palatino Linotype" w:hAnsi="Palatino Linotype"/>
          <w:sz w:val="24"/>
          <w:szCs w:val="24"/>
        </w:rPr>
        <w:tab/>
      </w:r>
      <w:r w:rsidRPr="00180028">
        <w:rPr>
          <w:rFonts w:ascii="Palatino Linotype" w:hAnsi="Palatino Linotype"/>
          <w:sz w:val="24"/>
          <w:szCs w:val="24"/>
        </w:rPr>
        <w:tab/>
        <w:t xml:space="preserve"> </w:t>
      </w:r>
      <w:r w:rsidRPr="00180028">
        <w:rPr>
          <w:rFonts w:ascii="Palatino Linotype" w:hAnsi="Palatino Linotype"/>
          <w:sz w:val="24"/>
          <w:szCs w:val="24"/>
        </w:rPr>
        <w:tab/>
        <w:t xml:space="preserve"> Executive Director</w:t>
      </w:r>
      <w:r w:rsidRPr="00180028" w:rsidR="00256B97">
        <w:rPr>
          <w:rFonts w:ascii="Palatino Linotype" w:hAnsi="Palatino Linotype"/>
          <w:sz w:val="24"/>
          <w:szCs w:val="24"/>
        </w:rPr>
        <w:tab/>
      </w:r>
      <w:r w:rsidRPr="00180028" w:rsidR="00256B97">
        <w:rPr>
          <w:rFonts w:ascii="Palatino Linotype" w:hAnsi="Palatino Linotype"/>
          <w:sz w:val="24"/>
          <w:szCs w:val="24"/>
        </w:rPr>
        <w:tab/>
      </w:r>
      <w:r w:rsidRPr="00180028" w:rsidR="00256B97">
        <w:rPr>
          <w:rFonts w:ascii="Palatino Linotype" w:hAnsi="Palatino Linotype"/>
          <w:sz w:val="24"/>
          <w:szCs w:val="24"/>
        </w:rPr>
        <w:tab/>
      </w:r>
      <w:r w:rsidRPr="00180028" w:rsidR="00256B97">
        <w:rPr>
          <w:rFonts w:ascii="Palatino Linotype" w:hAnsi="Palatino Linotype"/>
          <w:sz w:val="24"/>
          <w:szCs w:val="24"/>
        </w:rPr>
        <w:tab/>
      </w:r>
      <w:r w:rsidRPr="00180028" w:rsidR="00256B97">
        <w:rPr>
          <w:rFonts w:ascii="Palatino Linotype" w:hAnsi="Palatino Linotype"/>
          <w:sz w:val="24"/>
          <w:szCs w:val="24"/>
        </w:rPr>
        <w:tab/>
      </w:r>
      <w:r w:rsidRPr="00180028" w:rsidR="00256B97">
        <w:rPr>
          <w:rFonts w:ascii="Palatino Linotype" w:hAnsi="Palatino Linotype"/>
          <w:sz w:val="24"/>
          <w:szCs w:val="24"/>
        </w:rPr>
        <w:tab/>
      </w:r>
      <w:r w:rsidRPr="00180028" w:rsidR="00256B97">
        <w:rPr>
          <w:rFonts w:ascii="Palatino Linotype" w:hAnsi="Palatino Linotype"/>
          <w:sz w:val="24"/>
          <w:szCs w:val="24"/>
        </w:rPr>
        <w:tab/>
        <w:t xml:space="preserve"> </w:t>
      </w:r>
    </w:p>
    <w:p w:rsidRPr="00180028" w:rsidR="002A240D" w:rsidRDefault="002A240D" w14:paraId="1A0175E2" w14:textId="3945DB5D">
      <w:pPr>
        <w:rPr>
          <w:rFonts w:ascii="Palatino Linotype" w:hAnsi="Palatino Linotype"/>
          <w:sz w:val="24"/>
          <w:szCs w:val="24"/>
        </w:rPr>
      </w:pPr>
      <w:r w:rsidRPr="00180028">
        <w:rPr>
          <w:rFonts w:ascii="Palatino Linotype" w:hAnsi="Palatino Linotype"/>
          <w:sz w:val="24"/>
          <w:szCs w:val="24"/>
        </w:rPr>
        <w:br w:type="page"/>
      </w:r>
    </w:p>
    <w:p w:rsidRPr="00CA2252" w:rsidR="002A240D" w:rsidP="002A240D" w:rsidRDefault="002A240D" w14:paraId="3173F4B6" w14:textId="4F9BA964">
      <w:pPr>
        <w:widowControl w:val="0"/>
        <w:autoSpaceDE w:val="0"/>
        <w:autoSpaceDN w:val="0"/>
        <w:adjustRightInd w:val="0"/>
        <w:jc w:val="center"/>
        <w:rPr>
          <w:rFonts w:ascii="Palatino Linotype" w:hAnsi="Palatino Linotype"/>
          <w:b/>
          <w:bCs/>
          <w:color w:val="000000"/>
          <w:sz w:val="28"/>
          <w:szCs w:val="28"/>
        </w:rPr>
      </w:pPr>
      <w:r w:rsidRPr="00CA2252">
        <w:rPr>
          <w:rFonts w:ascii="Palatino Linotype" w:hAnsi="Palatino Linotype"/>
          <w:b/>
          <w:bCs/>
          <w:color w:val="000000"/>
          <w:sz w:val="28"/>
          <w:szCs w:val="28"/>
        </w:rPr>
        <w:lastRenderedPageBreak/>
        <w:t>ATTACHMENT A</w:t>
      </w:r>
    </w:p>
    <w:p w:rsidRPr="00180028" w:rsidR="002A240D" w:rsidP="002A240D" w:rsidRDefault="002A240D" w14:paraId="21BE5372" w14:textId="77777777">
      <w:pPr>
        <w:widowControl w:val="0"/>
        <w:autoSpaceDE w:val="0"/>
        <w:autoSpaceDN w:val="0"/>
        <w:adjustRightInd w:val="0"/>
        <w:jc w:val="center"/>
        <w:rPr>
          <w:rFonts w:ascii="Palatino Linotype" w:hAnsi="Palatino Linotype"/>
          <w:b/>
          <w:bCs/>
          <w:color w:val="000000"/>
          <w:sz w:val="24"/>
          <w:szCs w:val="24"/>
        </w:rPr>
      </w:pPr>
    </w:p>
    <w:p w:rsidRPr="00180028" w:rsidR="002A240D" w:rsidP="002A240D" w:rsidRDefault="002A240D" w14:paraId="4A218BC0" w14:textId="34EADED9">
      <w:pPr>
        <w:widowControl w:val="0"/>
        <w:autoSpaceDE w:val="0"/>
        <w:autoSpaceDN w:val="0"/>
        <w:adjustRightInd w:val="0"/>
        <w:jc w:val="center"/>
        <w:rPr>
          <w:rFonts w:ascii="Palatino Linotype" w:hAnsi="Palatino Linotype"/>
          <w:b/>
          <w:bCs/>
          <w:color w:val="000000"/>
          <w:sz w:val="24"/>
          <w:szCs w:val="24"/>
        </w:rPr>
      </w:pPr>
      <w:r w:rsidRPr="00180028">
        <w:rPr>
          <w:rFonts w:ascii="Palatino Linotype" w:hAnsi="Palatino Linotype"/>
          <w:b/>
          <w:bCs/>
          <w:color w:val="000000"/>
          <w:sz w:val="24"/>
          <w:szCs w:val="24"/>
        </w:rPr>
        <w:t>DRAFT TRANSMISSION PROJECT REVIEW PROCESS DESCRIPTION</w:t>
      </w:r>
    </w:p>
    <w:p w:rsidRPr="00180028" w:rsidR="002A240D" w:rsidP="002A240D" w:rsidRDefault="002A240D" w14:paraId="03FB25F0" w14:textId="77777777">
      <w:pPr>
        <w:widowControl w:val="0"/>
        <w:autoSpaceDE w:val="0"/>
        <w:autoSpaceDN w:val="0"/>
        <w:adjustRightInd w:val="0"/>
        <w:rPr>
          <w:rFonts w:ascii="Palatino Linotype" w:hAnsi="Palatino Linotype"/>
          <w:b/>
          <w:bCs/>
          <w:color w:val="000000"/>
          <w:sz w:val="24"/>
          <w:szCs w:val="24"/>
        </w:rPr>
      </w:pPr>
    </w:p>
    <w:p w:rsidRPr="00180028" w:rsidR="002A240D" w:rsidP="002A240D" w:rsidRDefault="002A240D" w14:paraId="54EB0BDA" w14:textId="77777777">
      <w:pPr>
        <w:widowControl w:val="0"/>
        <w:autoSpaceDE w:val="0"/>
        <w:autoSpaceDN w:val="0"/>
        <w:adjustRightInd w:val="0"/>
        <w:jc w:val="center"/>
        <w:rPr>
          <w:rFonts w:ascii="Palatino Linotype" w:hAnsi="Palatino Linotype"/>
          <w:b/>
          <w:bCs/>
          <w:color w:val="000000"/>
          <w:sz w:val="24"/>
          <w:szCs w:val="24"/>
        </w:rPr>
      </w:pPr>
    </w:p>
    <w:p w:rsidRPr="00180028" w:rsidR="002A240D" w:rsidP="002A240D" w:rsidRDefault="002A240D" w14:paraId="583295B7" w14:textId="77777777">
      <w:pPr>
        <w:widowControl w:val="0"/>
        <w:autoSpaceDE w:val="0"/>
        <w:autoSpaceDN w:val="0"/>
        <w:adjustRightInd w:val="0"/>
        <w:rPr>
          <w:rFonts w:ascii="Palatino Linotype" w:hAnsi="Palatino Linotype"/>
          <w:color w:val="000000"/>
          <w:sz w:val="24"/>
          <w:szCs w:val="24"/>
        </w:rPr>
      </w:pPr>
      <w:r w:rsidRPr="00180028">
        <w:rPr>
          <w:rFonts w:ascii="Palatino Linotype" w:hAnsi="Palatino Linotype"/>
          <w:color w:val="000000"/>
          <w:sz w:val="24"/>
          <w:szCs w:val="24"/>
        </w:rPr>
        <w:t>Below are the proposed provisions for the Transmission Project Review Process</w:t>
      </w:r>
    </w:p>
    <w:p w:rsidRPr="00180028" w:rsidR="002A240D" w:rsidP="002A240D" w:rsidRDefault="002A240D" w14:paraId="27A6806C" w14:textId="77777777">
      <w:pPr>
        <w:widowControl w:val="0"/>
        <w:autoSpaceDE w:val="0"/>
        <w:autoSpaceDN w:val="0"/>
        <w:adjustRightInd w:val="0"/>
        <w:spacing w:after="240"/>
        <w:ind w:left="750"/>
        <w:contextualSpacing/>
        <w:rPr>
          <w:rFonts w:ascii="Palatino Linotype" w:hAnsi="Palatino Linotype"/>
          <w:color w:val="000000"/>
          <w:sz w:val="24"/>
          <w:szCs w:val="24"/>
        </w:rPr>
      </w:pPr>
    </w:p>
    <w:p w:rsidRPr="00180028" w:rsidR="002A240D" w:rsidP="002A240D" w:rsidRDefault="002A240D" w14:paraId="39997B23" w14:textId="77777777">
      <w:pPr>
        <w:widowControl w:val="0"/>
        <w:numPr>
          <w:ilvl w:val="0"/>
          <w:numId w:val="24"/>
        </w:numPr>
        <w:autoSpaceDE w:val="0"/>
        <w:autoSpaceDN w:val="0"/>
        <w:adjustRightInd w:val="0"/>
        <w:spacing w:before="240" w:after="240"/>
        <w:contextualSpacing/>
        <w:rPr>
          <w:rFonts w:ascii="Palatino Linotype" w:hAnsi="Palatino Linotype"/>
          <w:b/>
          <w:bCs/>
          <w:color w:val="000000"/>
          <w:sz w:val="24"/>
          <w:szCs w:val="24"/>
        </w:rPr>
      </w:pPr>
      <w:r w:rsidRPr="00180028">
        <w:rPr>
          <w:rFonts w:ascii="Palatino Linotype" w:hAnsi="Palatino Linotype"/>
          <w:b/>
          <w:bCs/>
          <w:color w:val="000000"/>
          <w:sz w:val="24"/>
          <w:szCs w:val="24"/>
        </w:rPr>
        <w:t xml:space="preserve">Definitions  </w:t>
      </w:r>
    </w:p>
    <w:p w:rsidRPr="00180028" w:rsidR="002A240D" w:rsidP="002A240D" w:rsidRDefault="002A240D" w14:paraId="5015C7A1" w14:textId="77777777">
      <w:pPr>
        <w:spacing w:before="240" w:after="240"/>
        <w:ind w:left="792"/>
        <w:contextualSpacing/>
        <w:rPr>
          <w:rFonts w:ascii="Palatino Linotype" w:hAnsi="Palatino Linotype"/>
          <w:color w:val="000000"/>
          <w:sz w:val="24"/>
          <w:szCs w:val="24"/>
        </w:rPr>
      </w:pPr>
    </w:p>
    <w:p w:rsidRPr="00180028" w:rsidR="002A240D" w:rsidP="002A240D" w:rsidRDefault="002A240D" w14:paraId="6E984420" w14:textId="77777777">
      <w:pPr>
        <w:widowControl w:val="0"/>
        <w:numPr>
          <w:ilvl w:val="1"/>
          <w:numId w:val="24"/>
        </w:numPr>
        <w:autoSpaceDE w:val="0"/>
        <w:autoSpaceDN w:val="0"/>
        <w:adjustRightInd w:val="0"/>
        <w:spacing w:before="240" w:after="240"/>
        <w:contextualSpacing/>
        <w:rPr>
          <w:rFonts w:ascii="Palatino Linotype" w:hAnsi="Palatino Linotype"/>
          <w:sz w:val="24"/>
          <w:szCs w:val="24"/>
        </w:rPr>
      </w:pPr>
      <w:r w:rsidRPr="00180028">
        <w:rPr>
          <w:rFonts w:ascii="Palatino Linotype" w:hAnsi="Palatino Linotype"/>
          <w:sz w:val="24"/>
          <w:szCs w:val="24"/>
          <w:u w:val="single"/>
        </w:rPr>
        <w:t>Authorization Documents</w:t>
      </w:r>
      <w:r w:rsidRPr="00180028">
        <w:rPr>
          <w:rFonts w:ascii="Palatino Linotype" w:hAnsi="Palatino Linotype"/>
          <w:sz w:val="24"/>
          <w:szCs w:val="24"/>
        </w:rPr>
        <w:t>: Internal Utility documents used at any stage of a Project for management authorization or re-authorization of the Project.</w:t>
      </w:r>
    </w:p>
    <w:p w:rsidRPr="00180028" w:rsidR="002A240D" w:rsidP="002A240D" w:rsidRDefault="002A240D" w14:paraId="627A7B41" w14:textId="77777777">
      <w:pPr>
        <w:spacing w:before="240" w:after="240"/>
        <w:ind w:left="792"/>
        <w:contextualSpacing/>
        <w:rPr>
          <w:rFonts w:ascii="Palatino Linotype" w:hAnsi="Palatino Linotype"/>
          <w:sz w:val="24"/>
          <w:szCs w:val="24"/>
        </w:rPr>
      </w:pPr>
    </w:p>
    <w:p w:rsidRPr="00180028" w:rsidR="002A240D" w:rsidP="002A240D" w:rsidRDefault="002A240D" w14:paraId="0FD761BB" w14:textId="77777777">
      <w:pPr>
        <w:widowControl w:val="0"/>
        <w:numPr>
          <w:ilvl w:val="1"/>
          <w:numId w:val="24"/>
        </w:numPr>
        <w:autoSpaceDE w:val="0"/>
        <w:autoSpaceDN w:val="0"/>
        <w:adjustRightInd w:val="0"/>
        <w:spacing w:before="240" w:after="240"/>
        <w:contextualSpacing/>
        <w:rPr>
          <w:rFonts w:ascii="Palatino Linotype" w:hAnsi="Palatino Linotype"/>
          <w:sz w:val="24"/>
          <w:szCs w:val="24"/>
        </w:rPr>
      </w:pPr>
      <w:r w:rsidRPr="00180028">
        <w:rPr>
          <w:rFonts w:ascii="Palatino Linotype" w:hAnsi="Palatino Linotype"/>
          <w:sz w:val="24"/>
          <w:szCs w:val="24"/>
          <w:u w:val="single"/>
        </w:rPr>
        <w:t>California Independent System Operator or CAISO</w:t>
      </w:r>
      <w:r w:rsidRPr="00180028">
        <w:rPr>
          <w:rFonts w:ascii="Palatino Linotype" w:hAnsi="Palatino Linotype"/>
          <w:sz w:val="24"/>
          <w:szCs w:val="24"/>
        </w:rPr>
        <w:t>: CAISO “manages the flow of electricity across the high-voltage, long-distance power lines for the grid serving 80 percent of California and a small part of Nevada.  The nonprofit public benefit corporation keeps power moving to homes and communities.”</w:t>
      </w:r>
      <w:r w:rsidRPr="00180028">
        <w:rPr>
          <w:rFonts w:ascii="Palatino Linotype" w:hAnsi="Palatino Linotype"/>
          <w:sz w:val="24"/>
          <w:szCs w:val="24"/>
          <w:vertAlign w:val="superscript"/>
        </w:rPr>
        <w:footnoteReference w:id="20"/>
      </w:r>
      <w:r w:rsidRPr="00180028" w:rsidDel="006D44D0">
        <w:rPr>
          <w:rFonts w:ascii="Palatino Linotype" w:hAnsi="Palatino Linotype"/>
          <w:sz w:val="24"/>
          <w:szCs w:val="24"/>
        </w:rPr>
        <w:t xml:space="preserve"> </w:t>
      </w:r>
      <w:r w:rsidRPr="00180028">
        <w:rPr>
          <w:rFonts w:ascii="Palatino Linotype" w:hAnsi="Palatino Linotype"/>
          <w:sz w:val="24"/>
          <w:szCs w:val="24"/>
        </w:rPr>
        <w:t xml:space="preserve"> Among CAISO’s duties are administration of the Transmission Planning Process and the Generator Interconnection and Deliverability Allocation Procedures.</w:t>
      </w:r>
    </w:p>
    <w:p w:rsidRPr="00180028" w:rsidR="002A240D" w:rsidP="002A240D" w:rsidRDefault="002A240D" w14:paraId="54CCF2BD" w14:textId="77777777">
      <w:pPr>
        <w:spacing w:before="240" w:after="240"/>
        <w:ind w:left="792"/>
        <w:contextualSpacing/>
        <w:rPr>
          <w:rFonts w:ascii="Palatino Linotype" w:hAnsi="Palatino Linotype"/>
          <w:color w:val="000000"/>
          <w:sz w:val="24"/>
          <w:szCs w:val="24"/>
        </w:rPr>
      </w:pPr>
    </w:p>
    <w:p w:rsidRPr="00180028" w:rsidR="002A240D" w:rsidP="002A240D" w:rsidRDefault="002A240D" w14:paraId="55891227" w14:textId="77777777">
      <w:pPr>
        <w:widowControl w:val="0"/>
        <w:numPr>
          <w:ilvl w:val="1"/>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color w:val="000000"/>
          <w:sz w:val="24"/>
          <w:szCs w:val="24"/>
          <w:u w:val="single"/>
        </w:rPr>
        <w:t>CAISO Project or CAISO-approved Project</w:t>
      </w:r>
      <w:r w:rsidRPr="00180028">
        <w:rPr>
          <w:rFonts w:ascii="Palatino Linotype" w:hAnsi="Palatino Linotype"/>
          <w:color w:val="000000"/>
          <w:sz w:val="24"/>
          <w:szCs w:val="24"/>
        </w:rPr>
        <w:t>: An electric transmission Project that is reviewed and approved in the CAISO Transmission Planning Process.</w:t>
      </w:r>
    </w:p>
    <w:p w:rsidRPr="00180028" w:rsidR="002A240D" w:rsidP="002A240D" w:rsidRDefault="002A240D" w14:paraId="068A45AD" w14:textId="77777777">
      <w:pPr>
        <w:spacing w:before="240" w:after="240"/>
        <w:ind w:left="792"/>
        <w:contextualSpacing/>
        <w:rPr>
          <w:rFonts w:ascii="Palatino Linotype" w:hAnsi="Palatino Linotype"/>
          <w:color w:val="000000"/>
          <w:sz w:val="24"/>
          <w:szCs w:val="24"/>
        </w:rPr>
      </w:pPr>
    </w:p>
    <w:p w:rsidRPr="00180028" w:rsidR="002A240D" w:rsidP="002A240D" w:rsidRDefault="002A240D" w14:paraId="019FB9B8" w14:textId="77777777">
      <w:pPr>
        <w:widowControl w:val="0"/>
        <w:numPr>
          <w:ilvl w:val="1"/>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u w:val="single"/>
        </w:rPr>
        <w:t>Federal Energy Regulatory Commission or FERC</w:t>
      </w:r>
      <w:r w:rsidRPr="00180028">
        <w:rPr>
          <w:rFonts w:ascii="Palatino Linotype" w:hAnsi="Palatino Linotype"/>
          <w:color w:val="000000"/>
          <w:sz w:val="24"/>
          <w:szCs w:val="24"/>
        </w:rPr>
        <w:t>:</w:t>
      </w:r>
      <w:r w:rsidRPr="00180028">
        <w:rPr>
          <w:rFonts w:ascii="Palatino Linotype" w:hAnsi="Palatino Linotype"/>
          <w:sz w:val="24"/>
          <w:szCs w:val="24"/>
          <w:lang w:val="en"/>
        </w:rPr>
        <w:t xml:space="preserve"> Independent federal agency that regulates the interstate transmission of natural gas, oil, and electricity. </w:t>
      </w:r>
      <w:r w:rsidRPr="00180028">
        <w:rPr>
          <w:rFonts w:ascii="Palatino Linotype" w:hAnsi="Palatino Linotype"/>
          <w:color w:val="000000"/>
          <w:sz w:val="24"/>
          <w:szCs w:val="24"/>
        </w:rPr>
        <w:t xml:space="preserve"> FERC has the authority to approve just and reasonable transmission rates.  While rarely used, FERC also has the authority to evaluate the prudency of electric transmission Project costs and expenses and to determine whether costs would result in rates that are not just and reasonable.</w:t>
      </w:r>
    </w:p>
    <w:p w:rsidRPr="00180028" w:rsidR="002A240D" w:rsidP="002A240D" w:rsidRDefault="002A240D" w14:paraId="67A48056" w14:textId="77777777">
      <w:pPr>
        <w:spacing w:before="240" w:after="240"/>
        <w:ind w:left="792"/>
        <w:contextualSpacing/>
        <w:rPr>
          <w:rFonts w:ascii="Palatino Linotype" w:hAnsi="Palatino Linotype"/>
          <w:color w:val="000000"/>
          <w:sz w:val="24"/>
          <w:szCs w:val="24"/>
        </w:rPr>
      </w:pPr>
    </w:p>
    <w:p w:rsidRPr="00180028" w:rsidR="002A240D" w:rsidP="002A240D" w:rsidRDefault="002A240D" w14:paraId="2CDC61CC" w14:textId="77777777">
      <w:pPr>
        <w:widowControl w:val="0"/>
        <w:numPr>
          <w:ilvl w:val="1"/>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color w:val="000000"/>
          <w:sz w:val="24"/>
          <w:szCs w:val="24"/>
        </w:rPr>
        <w:t xml:space="preserve"> </w:t>
      </w:r>
      <w:r w:rsidRPr="00180028">
        <w:rPr>
          <w:rFonts w:ascii="Palatino Linotype" w:hAnsi="Palatino Linotype"/>
          <w:color w:val="000000"/>
          <w:sz w:val="24"/>
          <w:szCs w:val="24"/>
          <w:u w:val="single"/>
        </w:rPr>
        <w:t>Generator Interconnection and Deliverability Allocation Procedures (GIDAP) or Generator Interconnection Process</w:t>
      </w:r>
      <w:r w:rsidRPr="00180028">
        <w:rPr>
          <w:rFonts w:ascii="Palatino Linotype" w:hAnsi="Palatino Linotype"/>
          <w:color w:val="000000"/>
          <w:sz w:val="24"/>
          <w:szCs w:val="24"/>
        </w:rPr>
        <w:t>: The CAISO’s GIDAP i</w:t>
      </w:r>
      <w:r w:rsidRPr="00180028">
        <w:rPr>
          <w:rFonts w:ascii="Palatino Linotype" w:hAnsi="Palatino Linotype"/>
          <w:sz w:val="24"/>
          <w:szCs w:val="24"/>
        </w:rPr>
        <w:t>mplements the requirements for both small and large generating facility interconnections to the CAISO-controlled transmission grid and provides a process for allocating transmission plan deliverability for interconnection requests.</w:t>
      </w:r>
    </w:p>
    <w:p w:rsidRPr="00180028" w:rsidR="002A240D" w:rsidP="002A240D" w:rsidRDefault="002A240D" w14:paraId="1DA0AC66" w14:textId="77777777">
      <w:pPr>
        <w:spacing w:before="240" w:after="240"/>
        <w:ind w:left="792"/>
        <w:contextualSpacing/>
        <w:rPr>
          <w:rFonts w:ascii="Palatino Linotype" w:hAnsi="Palatino Linotype"/>
          <w:sz w:val="24"/>
          <w:szCs w:val="24"/>
        </w:rPr>
      </w:pPr>
    </w:p>
    <w:p w:rsidRPr="00180028" w:rsidR="002A240D" w:rsidP="002A240D" w:rsidRDefault="002A240D" w14:paraId="38027E00" w14:textId="77777777">
      <w:pPr>
        <w:widowControl w:val="0"/>
        <w:numPr>
          <w:ilvl w:val="1"/>
          <w:numId w:val="24"/>
        </w:numPr>
        <w:autoSpaceDE w:val="0"/>
        <w:autoSpaceDN w:val="0"/>
        <w:adjustRightInd w:val="0"/>
        <w:spacing w:before="240" w:after="240"/>
        <w:contextualSpacing/>
        <w:rPr>
          <w:rFonts w:ascii="Palatino Linotype" w:hAnsi="Palatino Linotype"/>
          <w:sz w:val="24"/>
          <w:szCs w:val="24"/>
        </w:rPr>
      </w:pPr>
      <w:r w:rsidRPr="00180028">
        <w:rPr>
          <w:rFonts w:ascii="Palatino Linotype" w:hAnsi="Palatino Linotype"/>
          <w:color w:val="000000"/>
          <w:sz w:val="24"/>
          <w:szCs w:val="24"/>
          <w:u w:val="single"/>
        </w:rPr>
        <w:t>Investor Owned Utility (IOU)</w:t>
      </w:r>
      <w:r w:rsidRPr="00180028">
        <w:rPr>
          <w:rFonts w:ascii="Palatino Linotype" w:hAnsi="Palatino Linotype"/>
          <w:color w:val="000000"/>
          <w:sz w:val="24"/>
          <w:szCs w:val="24"/>
        </w:rPr>
        <w:t>: Unless otherwise stated, see “Transmission Owner.”</w:t>
      </w:r>
    </w:p>
    <w:p w:rsidRPr="00180028" w:rsidR="002A240D" w:rsidP="002A240D" w:rsidRDefault="002A240D" w14:paraId="52A8A1A3" w14:textId="77777777">
      <w:pPr>
        <w:widowControl w:val="0"/>
        <w:autoSpaceDE w:val="0"/>
        <w:autoSpaceDN w:val="0"/>
        <w:adjustRightInd w:val="0"/>
        <w:ind w:left="720"/>
        <w:contextualSpacing/>
        <w:rPr>
          <w:rFonts w:ascii="Palatino Linotype" w:hAnsi="Palatino Linotype"/>
          <w:color w:val="000000"/>
          <w:sz w:val="24"/>
          <w:szCs w:val="24"/>
          <w:u w:val="single"/>
        </w:rPr>
      </w:pPr>
    </w:p>
    <w:p w:rsidRPr="00180028" w:rsidR="002A240D" w:rsidP="002A240D" w:rsidRDefault="002A240D" w14:paraId="2A4DC9AD" w14:textId="77777777">
      <w:pPr>
        <w:widowControl w:val="0"/>
        <w:numPr>
          <w:ilvl w:val="1"/>
          <w:numId w:val="24"/>
        </w:numPr>
        <w:autoSpaceDE w:val="0"/>
        <w:autoSpaceDN w:val="0"/>
        <w:adjustRightInd w:val="0"/>
        <w:spacing w:before="240" w:after="240"/>
        <w:contextualSpacing/>
        <w:rPr>
          <w:rFonts w:ascii="Palatino Linotype" w:hAnsi="Palatino Linotype"/>
          <w:color w:val="000000"/>
          <w:sz w:val="24"/>
          <w:szCs w:val="24"/>
          <w:u w:val="single"/>
        </w:rPr>
      </w:pPr>
      <w:r w:rsidRPr="00180028">
        <w:rPr>
          <w:rFonts w:ascii="Palatino Linotype" w:hAnsi="Palatino Linotype"/>
          <w:color w:val="000000"/>
          <w:sz w:val="24"/>
          <w:szCs w:val="24"/>
          <w:u w:val="single"/>
        </w:rPr>
        <w:t>Non-CAISO Project</w:t>
      </w:r>
      <w:r w:rsidRPr="00180028">
        <w:rPr>
          <w:rFonts w:ascii="Palatino Linotype" w:hAnsi="Palatino Linotype"/>
          <w:color w:val="000000"/>
          <w:sz w:val="24"/>
          <w:szCs w:val="24"/>
        </w:rPr>
        <w:t>: An electric transmission Project that is not reviewed or approved in the CAISO Transmission Planning Process.</w:t>
      </w:r>
    </w:p>
    <w:p w:rsidRPr="00180028" w:rsidR="002A240D" w:rsidP="002A240D" w:rsidRDefault="002A240D" w14:paraId="053EB510" w14:textId="77777777">
      <w:pPr>
        <w:widowControl w:val="0"/>
        <w:autoSpaceDE w:val="0"/>
        <w:autoSpaceDN w:val="0"/>
        <w:adjustRightInd w:val="0"/>
        <w:ind w:left="720"/>
        <w:contextualSpacing/>
        <w:rPr>
          <w:rFonts w:ascii="Palatino Linotype" w:hAnsi="Palatino Linotype"/>
          <w:color w:val="000000"/>
          <w:sz w:val="24"/>
          <w:szCs w:val="24"/>
          <w:u w:val="single"/>
        </w:rPr>
      </w:pPr>
    </w:p>
    <w:p w:rsidRPr="00180028" w:rsidR="002A240D" w:rsidP="002A240D" w:rsidRDefault="002A240D" w14:paraId="51B4D7AA" w14:textId="77777777">
      <w:pPr>
        <w:widowControl w:val="0"/>
        <w:numPr>
          <w:ilvl w:val="1"/>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color w:val="000000"/>
          <w:sz w:val="24"/>
          <w:szCs w:val="24"/>
          <w:u w:val="single"/>
        </w:rPr>
        <w:t>Procedures</w:t>
      </w:r>
      <w:r w:rsidRPr="00180028">
        <w:rPr>
          <w:rFonts w:ascii="Palatino Linotype" w:hAnsi="Palatino Linotype"/>
          <w:color w:val="000000"/>
          <w:sz w:val="24"/>
          <w:szCs w:val="24"/>
        </w:rPr>
        <w:t xml:space="preserve">: Processes, procedures, strategies or any documents created by the Utility to identify, propose, authorize, plan, prioritize, budget, and implement a Project included in the TPR Process Project Spreadsheet. </w:t>
      </w:r>
    </w:p>
    <w:p w:rsidRPr="00180028" w:rsidR="002A240D" w:rsidP="002A240D" w:rsidRDefault="002A240D" w14:paraId="21C27F15" w14:textId="77777777">
      <w:pPr>
        <w:widowControl w:val="0"/>
        <w:autoSpaceDE w:val="0"/>
        <w:autoSpaceDN w:val="0"/>
        <w:adjustRightInd w:val="0"/>
        <w:ind w:left="720"/>
        <w:contextualSpacing/>
        <w:rPr>
          <w:rFonts w:ascii="Palatino Linotype" w:hAnsi="Palatino Linotype"/>
          <w:color w:val="000000"/>
          <w:sz w:val="24"/>
          <w:szCs w:val="24"/>
          <w:u w:val="single"/>
        </w:rPr>
      </w:pPr>
    </w:p>
    <w:p w:rsidRPr="00180028" w:rsidR="002A240D" w:rsidP="002A240D" w:rsidRDefault="002A240D" w14:paraId="3D9218CD" w14:textId="77777777">
      <w:pPr>
        <w:widowControl w:val="0"/>
        <w:numPr>
          <w:ilvl w:val="1"/>
          <w:numId w:val="24"/>
        </w:numPr>
        <w:autoSpaceDE w:val="0"/>
        <w:autoSpaceDN w:val="0"/>
        <w:adjustRightInd w:val="0"/>
        <w:spacing w:before="240" w:after="240"/>
        <w:contextualSpacing/>
        <w:rPr>
          <w:rFonts w:ascii="Palatino Linotype" w:hAnsi="Palatino Linotype"/>
          <w:color w:val="000000"/>
          <w:sz w:val="24"/>
          <w:szCs w:val="24"/>
        </w:rPr>
      </w:pPr>
      <w:bookmarkStart w:name="_Hlk112785175" w:id="5"/>
      <w:r w:rsidRPr="00180028">
        <w:rPr>
          <w:rFonts w:ascii="Palatino Linotype" w:hAnsi="Palatino Linotype"/>
          <w:color w:val="000000"/>
          <w:sz w:val="24"/>
          <w:szCs w:val="24"/>
          <w:u w:val="single"/>
        </w:rPr>
        <w:t>Project</w:t>
      </w:r>
      <w:r w:rsidRPr="00180028">
        <w:rPr>
          <w:rFonts w:ascii="Palatino Linotype" w:hAnsi="Palatino Linotype"/>
          <w:color w:val="000000"/>
          <w:sz w:val="24"/>
          <w:szCs w:val="24"/>
        </w:rPr>
        <w:t>: Any FERC-jurisdictional electric transmission project with actual or forecasted costs of one million dollars or more, which a Utility has included or intends to include in its FERC-jurisdictional electric transmission rate base, including both CAISO Projects and Non-CAISO Projects.  A Project would include all of the components of a specifically identified Project, as well as programmatic or “blanket” work categories.</w:t>
      </w:r>
      <w:bookmarkEnd w:id="5"/>
    </w:p>
    <w:p w:rsidRPr="00180028" w:rsidR="002A240D" w:rsidP="002A240D" w:rsidRDefault="002A240D" w14:paraId="28CE57F3" w14:textId="77777777">
      <w:pPr>
        <w:spacing w:after="240"/>
        <w:ind w:left="792"/>
        <w:contextualSpacing/>
        <w:rPr>
          <w:rFonts w:ascii="Palatino Linotype" w:hAnsi="Palatino Linotype"/>
          <w:color w:val="000000"/>
          <w:sz w:val="24"/>
          <w:szCs w:val="24"/>
        </w:rPr>
      </w:pPr>
      <w:bookmarkStart w:name="_Hlk112784863" w:id="6"/>
    </w:p>
    <w:p w:rsidRPr="00180028" w:rsidR="002A240D" w:rsidP="002A240D" w:rsidRDefault="002A240D" w14:paraId="0F10D933" w14:textId="77777777">
      <w:pPr>
        <w:widowControl w:val="0"/>
        <w:numPr>
          <w:ilvl w:val="1"/>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u w:val="single"/>
        </w:rPr>
        <w:t>Project Spreadsheet</w:t>
      </w:r>
      <w:r w:rsidRPr="00180028">
        <w:rPr>
          <w:rFonts w:ascii="Palatino Linotype" w:hAnsi="Palatino Linotype"/>
          <w:color w:val="000000"/>
          <w:sz w:val="24"/>
          <w:szCs w:val="24"/>
        </w:rPr>
        <w:t xml:space="preserve">: Provided to the CPUC and Stakeholders semi-annually, the Project Spreadsheet shall contain up-to-date data on all projects with actual or forecast costs of one million dollars or more, regardless of whether they were included in the CAISO’s Transmission Planning Process.  Project-specific data for all electric transmission Projects that had capital expenditures in the prior five calendar years, or actual or forecast capital expenditures for the current year, or the next five-year period. </w:t>
      </w:r>
    </w:p>
    <w:bookmarkEnd w:id="6"/>
    <w:p w:rsidRPr="00180028" w:rsidR="002A240D" w:rsidP="002A240D" w:rsidRDefault="002A240D" w14:paraId="14693DCA" w14:textId="77777777">
      <w:pPr>
        <w:spacing w:before="240" w:after="240"/>
        <w:ind w:left="792"/>
        <w:contextualSpacing/>
        <w:rPr>
          <w:rFonts w:ascii="Palatino Linotype" w:hAnsi="Palatino Linotype"/>
          <w:sz w:val="24"/>
          <w:szCs w:val="24"/>
        </w:rPr>
      </w:pPr>
    </w:p>
    <w:p w:rsidRPr="00180028" w:rsidR="002A240D" w:rsidP="002A240D" w:rsidRDefault="002A240D" w14:paraId="24743411" w14:textId="77777777">
      <w:pPr>
        <w:widowControl w:val="0"/>
        <w:numPr>
          <w:ilvl w:val="1"/>
          <w:numId w:val="24"/>
        </w:numPr>
        <w:autoSpaceDE w:val="0"/>
        <w:autoSpaceDN w:val="0"/>
        <w:adjustRightInd w:val="0"/>
        <w:spacing w:before="240" w:after="240"/>
        <w:contextualSpacing/>
        <w:rPr>
          <w:rFonts w:ascii="Palatino Linotype" w:hAnsi="Palatino Linotype"/>
          <w:sz w:val="24"/>
          <w:szCs w:val="24"/>
        </w:rPr>
      </w:pPr>
      <w:r w:rsidRPr="00180028">
        <w:rPr>
          <w:rFonts w:ascii="Palatino Linotype" w:hAnsi="Palatino Linotype"/>
          <w:color w:val="000000"/>
          <w:sz w:val="24"/>
          <w:szCs w:val="24"/>
          <w:u w:val="single"/>
        </w:rPr>
        <w:t>Stakeholder</w:t>
      </w:r>
      <w:r w:rsidRPr="00180028">
        <w:rPr>
          <w:rFonts w:ascii="Palatino Linotype" w:hAnsi="Palatino Linotype"/>
          <w:color w:val="000000"/>
          <w:sz w:val="24"/>
          <w:szCs w:val="24"/>
        </w:rPr>
        <w:t xml:space="preserve">: </w:t>
      </w:r>
      <w:bookmarkStart w:name="_Hlk112784591" w:id="7"/>
      <w:r w:rsidRPr="00180028">
        <w:rPr>
          <w:rFonts w:ascii="Palatino Linotype" w:hAnsi="Palatino Linotype"/>
          <w:color w:val="000000"/>
          <w:sz w:val="24"/>
          <w:szCs w:val="24"/>
        </w:rPr>
        <w:t>Any entity with an interest in electric transmission development, service, and/or rates in the CAISO control area.  Pursuant to CPUC or FERC limitations, not all Stakeholders will have access to confidential information or critical electric/energy infrastructure information (CEII) included in the TPR Process.</w:t>
      </w:r>
      <w:bookmarkEnd w:id="7"/>
    </w:p>
    <w:p w:rsidRPr="00180028" w:rsidR="002A240D" w:rsidP="002A240D" w:rsidRDefault="002A240D" w14:paraId="18FE472C" w14:textId="77777777">
      <w:pPr>
        <w:spacing w:before="240" w:after="240"/>
        <w:ind w:left="792"/>
        <w:contextualSpacing/>
        <w:rPr>
          <w:rFonts w:ascii="Palatino Linotype" w:hAnsi="Palatino Linotype"/>
          <w:sz w:val="24"/>
          <w:szCs w:val="24"/>
        </w:rPr>
      </w:pPr>
    </w:p>
    <w:p w:rsidRPr="00180028" w:rsidR="002A240D" w:rsidP="002A240D" w:rsidRDefault="002A240D" w14:paraId="6DFD1209" w14:textId="77777777">
      <w:pPr>
        <w:widowControl w:val="0"/>
        <w:numPr>
          <w:ilvl w:val="1"/>
          <w:numId w:val="24"/>
        </w:numPr>
        <w:autoSpaceDE w:val="0"/>
        <w:autoSpaceDN w:val="0"/>
        <w:adjustRightInd w:val="0"/>
        <w:spacing w:before="240" w:after="240"/>
        <w:contextualSpacing/>
        <w:rPr>
          <w:rFonts w:ascii="Palatino Linotype" w:hAnsi="Palatino Linotype"/>
          <w:sz w:val="24"/>
          <w:szCs w:val="24"/>
        </w:rPr>
      </w:pPr>
      <w:r w:rsidRPr="00180028">
        <w:rPr>
          <w:rFonts w:ascii="Palatino Linotype" w:hAnsi="Palatino Linotype"/>
          <w:color w:val="000000"/>
          <w:sz w:val="24"/>
          <w:szCs w:val="24"/>
          <w:u w:val="single"/>
        </w:rPr>
        <w:t xml:space="preserve"> Transmission Owner (TO)</w:t>
      </w:r>
      <w:r w:rsidRPr="00180028">
        <w:rPr>
          <w:rFonts w:ascii="Palatino Linotype" w:hAnsi="Palatino Linotype"/>
          <w:color w:val="000000"/>
          <w:sz w:val="24"/>
          <w:szCs w:val="24"/>
        </w:rPr>
        <w:t xml:space="preserve">: </w:t>
      </w:r>
      <w:r w:rsidRPr="00180028">
        <w:rPr>
          <w:rFonts w:ascii="Palatino Linotype" w:hAnsi="Palatino Linotype"/>
          <w:color w:val="141414"/>
          <w:sz w:val="24"/>
          <w:szCs w:val="24"/>
        </w:rPr>
        <w:t xml:space="preserve">An entity owning FERC-jurisdictional transmission facilities </w:t>
      </w:r>
      <w:r w:rsidRPr="00180028">
        <w:rPr>
          <w:rFonts w:ascii="Palatino Linotype" w:hAnsi="Palatino Linotype"/>
          <w:color w:val="000000"/>
          <w:sz w:val="24"/>
          <w:szCs w:val="24"/>
        </w:rPr>
        <w:t>whose operational control has been transferred to the CAISO.  For the Transmission Project Review Process, relevant TOs include: Pacific Gas and Electric Company (PG&amp;E), Southern California Edison Company (SCE), and San Diego Gas &amp; Electric Company (SDG&amp;E).</w:t>
      </w:r>
    </w:p>
    <w:p w:rsidRPr="00180028" w:rsidR="002A240D" w:rsidP="002A240D" w:rsidRDefault="002A240D" w14:paraId="20A9E62C" w14:textId="77777777">
      <w:pPr>
        <w:widowControl w:val="0"/>
        <w:autoSpaceDE w:val="0"/>
        <w:autoSpaceDN w:val="0"/>
        <w:adjustRightInd w:val="0"/>
        <w:ind w:left="720"/>
        <w:contextualSpacing/>
        <w:rPr>
          <w:rFonts w:ascii="Palatino Linotype" w:hAnsi="Palatino Linotype"/>
          <w:sz w:val="24"/>
          <w:szCs w:val="24"/>
        </w:rPr>
      </w:pPr>
    </w:p>
    <w:p w:rsidRPr="00180028" w:rsidR="002A240D" w:rsidP="002A240D" w:rsidRDefault="002A240D" w14:paraId="30EFE60D" w14:textId="77777777">
      <w:pPr>
        <w:widowControl w:val="0"/>
        <w:numPr>
          <w:ilvl w:val="1"/>
          <w:numId w:val="24"/>
        </w:numPr>
        <w:autoSpaceDE w:val="0"/>
        <w:autoSpaceDN w:val="0"/>
        <w:adjustRightInd w:val="0"/>
        <w:spacing w:before="240" w:after="240"/>
        <w:contextualSpacing/>
        <w:rPr>
          <w:rFonts w:ascii="Palatino Linotype" w:hAnsi="Palatino Linotype"/>
          <w:sz w:val="24"/>
          <w:szCs w:val="24"/>
        </w:rPr>
      </w:pPr>
      <w:r w:rsidRPr="00180028">
        <w:rPr>
          <w:rFonts w:ascii="Palatino Linotype" w:hAnsi="Palatino Linotype"/>
          <w:sz w:val="24"/>
          <w:szCs w:val="24"/>
          <w:u w:val="single"/>
        </w:rPr>
        <w:t>Transmission Planning Process or TPP</w:t>
      </w:r>
      <w:r w:rsidRPr="00180028">
        <w:rPr>
          <w:rFonts w:ascii="Palatino Linotype" w:hAnsi="Palatino Linotype"/>
          <w:sz w:val="24"/>
          <w:szCs w:val="24"/>
        </w:rPr>
        <w:t>: CAISO’s TPP engages stakeholders and public input and uses engineering analysis to determine capacity-expanding transmission projects that address short- and long-term reliability, economic, and public policy needs.</w:t>
      </w:r>
    </w:p>
    <w:p w:rsidRPr="00180028" w:rsidR="002A240D" w:rsidP="002A240D" w:rsidRDefault="002A240D" w14:paraId="7E593FCF" w14:textId="77777777">
      <w:pPr>
        <w:spacing w:before="240" w:after="240"/>
        <w:ind w:left="792"/>
        <w:contextualSpacing/>
        <w:rPr>
          <w:rFonts w:ascii="Palatino Linotype" w:hAnsi="Palatino Linotype"/>
          <w:sz w:val="24"/>
          <w:szCs w:val="24"/>
        </w:rPr>
      </w:pPr>
    </w:p>
    <w:p w:rsidRPr="00180028" w:rsidR="002A240D" w:rsidP="002A240D" w:rsidRDefault="002A240D" w14:paraId="40F1E627" w14:textId="77777777">
      <w:pPr>
        <w:widowControl w:val="0"/>
        <w:numPr>
          <w:ilvl w:val="1"/>
          <w:numId w:val="24"/>
        </w:numPr>
        <w:autoSpaceDE w:val="0"/>
        <w:autoSpaceDN w:val="0"/>
        <w:adjustRightInd w:val="0"/>
        <w:spacing w:before="240" w:after="240"/>
        <w:contextualSpacing/>
        <w:rPr>
          <w:rFonts w:ascii="Palatino Linotype" w:hAnsi="Palatino Linotype"/>
          <w:sz w:val="24"/>
          <w:szCs w:val="24"/>
          <w:u w:val="single"/>
        </w:rPr>
      </w:pPr>
      <w:r w:rsidRPr="00180028">
        <w:rPr>
          <w:rFonts w:ascii="Palatino Linotype" w:hAnsi="Palatino Linotype"/>
          <w:color w:val="000000"/>
          <w:sz w:val="24"/>
          <w:szCs w:val="24"/>
          <w:u w:val="single"/>
        </w:rPr>
        <w:t>Transmission Project Review Process or TPR Process</w:t>
      </w:r>
      <w:r w:rsidRPr="00180028">
        <w:rPr>
          <w:rFonts w:ascii="Palatino Linotype" w:hAnsi="Palatino Linotype"/>
          <w:color w:val="000000"/>
          <w:sz w:val="24"/>
          <w:szCs w:val="24"/>
        </w:rPr>
        <w:t xml:space="preserve">: The process described in this document.  The TPR Process includes semi-annual data reporting, Stakeholder meetings, opportunities to request data and information from each utility, the opportunity to comment on each utility’s transmission Projects and Procedures, and the expectation that the outcomes of the TPR Process inform the implementation of a Utility’s transmission Projects and the capital costs that are ultimately included in a Utility’s transmission rates at FERC. </w:t>
      </w:r>
    </w:p>
    <w:p w:rsidRPr="00180028" w:rsidR="002A240D" w:rsidP="002A240D" w:rsidRDefault="002A240D" w14:paraId="1B174D0C" w14:textId="77777777">
      <w:pPr>
        <w:spacing w:before="240" w:after="240"/>
        <w:ind w:left="792"/>
        <w:contextualSpacing/>
        <w:rPr>
          <w:rFonts w:ascii="Palatino Linotype" w:hAnsi="Palatino Linotype"/>
          <w:sz w:val="24"/>
          <w:szCs w:val="24"/>
        </w:rPr>
      </w:pPr>
    </w:p>
    <w:p w:rsidRPr="00180028" w:rsidR="002A240D" w:rsidP="002A240D" w:rsidRDefault="002A240D" w14:paraId="67F387E5" w14:textId="77777777">
      <w:pPr>
        <w:widowControl w:val="0"/>
        <w:numPr>
          <w:ilvl w:val="1"/>
          <w:numId w:val="24"/>
        </w:numPr>
        <w:autoSpaceDE w:val="0"/>
        <w:autoSpaceDN w:val="0"/>
        <w:adjustRightInd w:val="0"/>
        <w:spacing w:before="240" w:after="240"/>
        <w:contextualSpacing/>
        <w:rPr>
          <w:rFonts w:ascii="Palatino Linotype" w:hAnsi="Palatino Linotype"/>
          <w:sz w:val="24"/>
          <w:szCs w:val="24"/>
        </w:rPr>
      </w:pPr>
      <w:r w:rsidRPr="00180028">
        <w:rPr>
          <w:rFonts w:ascii="Palatino Linotype" w:hAnsi="Palatino Linotype"/>
          <w:color w:val="000000"/>
          <w:sz w:val="24"/>
          <w:szCs w:val="24"/>
          <w:u w:val="single"/>
        </w:rPr>
        <w:t>Utility</w:t>
      </w:r>
      <w:r w:rsidRPr="00180028">
        <w:rPr>
          <w:rFonts w:ascii="Palatino Linotype" w:hAnsi="Palatino Linotype"/>
          <w:color w:val="000000"/>
          <w:sz w:val="24"/>
          <w:szCs w:val="24"/>
        </w:rPr>
        <w:t>: Unless otherwise stated, see “Transmission Owner.”</w:t>
      </w:r>
    </w:p>
    <w:p w:rsidRPr="00180028" w:rsidR="002A240D" w:rsidP="002A240D" w:rsidRDefault="002A240D" w14:paraId="04B1416C" w14:textId="77777777">
      <w:pPr>
        <w:widowControl w:val="0"/>
        <w:autoSpaceDE w:val="0"/>
        <w:autoSpaceDN w:val="0"/>
        <w:adjustRightInd w:val="0"/>
        <w:ind w:left="720"/>
        <w:contextualSpacing/>
        <w:rPr>
          <w:rFonts w:ascii="Palatino Linotype" w:hAnsi="Palatino Linotype"/>
          <w:sz w:val="24"/>
          <w:szCs w:val="24"/>
        </w:rPr>
      </w:pPr>
    </w:p>
    <w:p w:rsidRPr="00180028" w:rsidR="002A240D" w:rsidP="002A240D" w:rsidRDefault="002A240D" w14:paraId="1F278EEC" w14:textId="77777777">
      <w:pPr>
        <w:widowControl w:val="0"/>
        <w:numPr>
          <w:ilvl w:val="1"/>
          <w:numId w:val="24"/>
        </w:numPr>
        <w:autoSpaceDE w:val="0"/>
        <w:autoSpaceDN w:val="0"/>
        <w:adjustRightInd w:val="0"/>
        <w:spacing w:before="240" w:after="240"/>
        <w:contextualSpacing/>
        <w:rPr>
          <w:rFonts w:ascii="Palatino Linotype" w:hAnsi="Palatino Linotype"/>
          <w:sz w:val="24"/>
          <w:szCs w:val="24"/>
        </w:rPr>
      </w:pPr>
      <w:r w:rsidRPr="00180028">
        <w:rPr>
          <w:rFonts w:ascii="Palatino Linotype" w:hAnsi="Palatino Linotype"/>
          <w:color w:val="000000"/>
          <w:sz w:val="24"/>
          <w:szCs w:val="24"/>
          <w:u w:val="single"/>
        </w:rPr>
        <w:t>Utility Self-Approved Projec</w:t>
      </w:r>
      <w:r w:rsidRPr="00180028">
        <w:rPr>
          <w:rFonts w:ascii="Palatino Linotype" w:hAnsi="Palatino Linotype"/>
          <w:color w:val="000000"/>
          <w:sz w:val="24"/>
          <w:szCs w:val="24"/>
        </w:rPr>
        <w:t>t: Unless otherwise stated, see “Non-CAISO Project.”</w:t>
      </w:r>
      <w:r w:rsidRPr="00180028">
        <w:rPr>
          <w:rFonts w:ascii="Palatino Linotype" w:hAnsi="Palatino Linotype"/>
          <w:sz w:val="24"/>
          <w:szCs w:val="24"/>
        </w:rPr>
        <w:t xml:space="preserve"> </w:t>
      </w:r>
    </w:p>
    <w:p w:rsidRPr="00180028" w:rsidR="002A240D" w:rsidP="002A240D" w:rsidRDefault="002A240D" w14:paraId="4BA2C089" w14:textId="77777777">
      <w:pPr>
        <w:spacing w:after="240"/>
        <w:ind w:left="720"/>
        <w:contextualSpacing/>
        <w:rPr>
          <w:rFonts w:ascii="Palatino Linotype" w:hAnsi="Palatino Linotype"/>
          <w:b/>
          <w:bCs/>
          <w:color w:val="000000"/>
          <w:sz w:val="24"/>
          <w:szCs w:val="24"/>
        </w:rPr>
      </w:pPr>
    </w:p>
    <w:p w:rsidRPr="00180028" w:rsidR="002A240D" w:rsidP="002A240D" w:rsidRDefault="002A240D" w14:paraId="3DC12894" w14:textId="77777777">
      <w:pPr>
        <w:widowControl w:val="0"/>
        <w:numPr>
          <w:ilvl w:val="0"/>
          <w:numId w:val="24"/>
        </w:numPr>
        <w:autoSpaceDE w:val="0"/>
        <w:autoSpaceDN w:val="0"/>
        <w:adjustRightInd w:val="0"/>
        <w:spacing w:after="240"/>
        <w:ind w:left="720" w:hanging="720"/>
        <w:contextualSpacing/>
        <w:rPr>
          <w:rFonts w:ascii="Palatino Linotype" w:hAnsi="Palatino Linotype"/>
          <w:b/>
          <w:bCs/>
          <w:color w:val="000000"/>
          <w:sz w:val="24"/>
          <w:szCs w:val="24"/>
        </w:rPr>
      </w:pPr>
      <w:r w:rsidRPr="00180028">
        <w:rPr>
          <w:rFonts w:ascii="Palatino Linotype" w:hAnsi="Palatino Linotype"/>
          <w:b/>
          <w:bCs/>
          <w:color w:val="000000"/>
          <w:sz w:val="24"/>
          <w:szCs w:val="24"/>
        </w:rPr>
        <w:t>Information on Transmission Projects</w:t>
      </w:r>
    </w:p>
    <w:p w:rsidRPr="00180028" w:rsidR="002A240D" w:rsidP="002A240D" w:rsidRDefault="002A240D" w14:paraId="363E8351" w14:textId="77777777">
      <w:pPr>
        <w:spacing w:after="240"/>
        <w:ind w:left="792"/>
        <w:contextualSpacing/>
        <w:rPr>
          <w:rFonts w:ascii="Palatino Linotype" w:hAnsi="Palatino Linotype"/>
          <w:color w:val="000000"/>
          <w:sz w:val="24"/>
          <w:szCs w:val="24"/>
        </w:rPr>
      </w:pPr>
    </w:p>
    <w:p w:rsidRPr="00180028" w:rsidR="002A240D" w:rsidP="002A240D" w:rsidRDefault="002A240D" w14:paraId="17409431" w14:textId="77777777">
      <w:pPr>
        <w:widowControl w:val="0"/>
        <w:numPr>
          <w:ilvl w:val="1"/>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Pursuant to the TPR Process, a Utility must furnish a Project Spreadsheet containing the Project-specific data identified in Attachment B to the Resolution for all electric transmission Projects as defined in Section 1.9 above.  For any project meeting those criteria, the Project Spreadsheet must be fully populated for each Project.</w:t>
      </w:r>
    </w:p>
    <w:p w:rsidRPr="00180028" w:rsidR="002A240D" w:rsidP="002A240D" w:rsidRDefault="002A240D" w14:paraId="2381E682" w14:textId="77777777">
      <w:pPr>
        <w:spacing w:after="240"/>
        <w:ind w:left="1224"/>
        <w:contextualSpacing/>
        <w:rPr>
          <w:rFonts w:ascii="Palatino Linotype" w:hAnsi="Palatino Linotype"/>
          <w:color w:val="000000"/>
          <w:sz w:val="24"/>
          <w:szCs w:val="24"/>
        </w:rPr>
      </w:pPr>
    </w:p>
    <w:p w:rsidRPr="00180028" w:rsidR="002A240D" w:rsidP="002A240D" w:rsidRDefault="002A240D" w14:paraId="4974C060" w14:textId="77777777">
      <w:pPr>
        <w:widowControl w:val="0"/>
        <w:numPr>
          <w:ilvl w:val="2"/>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 xml:space="preserve">The Project Spreadsheet shall include all Projects, including those that have been, or will be, included in the CAISO Transmission Planning Process, as well as Utility Self-Approved Projects. </w:t>
      </w:r>
    </w:p>
    <w:p w:rsidRPr="00180028" w:rsidR="002A240D" w:rsidP="002A240D" w:rsidRDefault="002A240D" w14:paraId="1F04F0BA" w14:textId="77777777">
      <w:pPr>
        <w:spacing w:after="240"/>
        <w:ind w:left="1224"/>
        <w:contextualSpacing/>
        <w:rPr>
          <w:rFonts w:ascii="Palatino Linotype" w:hAnsi="Palatino Linotype"/>
          <w:color w:val="000000"/>
          <w:sz w:val="24"/>
          <w:szCs w:val="24"/>
        </w:rPr>
      </w:pPr>
    </w:p>
    <w:p w:rsidRPr="00180028" w:rsidR="002A240D" w:rsidP="002A240D" w:rsidRDefault="002A240D" w14:paraId="1B93DED9" w14:textId="77777777">
      <w:pPr>
        <w:widowControl w:val="0"/>
        <w:numPr>
          <w:ilvl w:val="2"/>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 xml:space="preserve">The Project Spreadsheet shall contain current Project-specific actual and forecast data for all electric transmission Projects that had any capital additions in the prior five calendar years.  </w:t>
      </w:r>
    </w:p>
    <w:p w:rsidRPr="00180028" w:rsidR="002A240D" w:rsidP="002A240D" w:rsidRDefault="002A240D" w14:paraId="12D8E50E" w14:textId="77777777">
      <w:pPr>
        <w:spacing w:after="240"/>
        <w:ind w:left="1224"/>
        <w:contextualSpacing/>
        <w:rPr>
          <w:rFonts w:ascii="Palatino Linotype" w:hAnsi="Palatino Linotype"/>
          <w:color w:val="000000"/>
          <w:sz w:val="24"/>
          <w:szCs w:val="24"/>
        </w:rPr>
      </w:pPr>
    </w:p>
    <w:p w:rsidRPr="00180028" w:rsidR="002A240D" w:rsidP="002A240D" w:rsidRDefault="002A240D" w14:paraId="25D802BC" w14:textId="77777777">
      <w:pPr>
        <w:widowControl w:val="0"/>
        <w:numPr>
          <w:ilvl w:val="2"/>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 xml:space="preserve">The Project Spreadsheet shall contain current Project-specific actual and forecast data for all projects with any capital expenditures in the current year or the next five years.  </w:t>
      </w:r>
    </w:p>
    <w:p w:rsidRPr="00180028" w:rsidR="002A240D" w:rsidP="002A240D" w:rsidRDefault="002A240D" w14:paraId="6AEDA60F" w14:textId="77777777">
      <w:pPr>
        <w:spacing w:after="240"/>
        <w:ind w:left="1224"/>
        <w:contextualSpacing/>
        <w:rPr>
          <w:rFonts w:ascii="Palatino Linotype" w:hAnsi="Palatino Linotype"/>
          <w:color w:val="000000"/>
          <w:sz w:val="24"/>
          <w:szCs w:val="24"/>
        </w:rPr>
      </w:pPr>
    </w:p>
    <w:p w:rsidRPr="00180028" w:rsidR="002A240D" w:rsidP="002A240D" w:rsidRDefault="002A240D" w14:paraId="3A087D65" w14:textId="77777777">
      <w:pPr>
        <w:spacing w:after="240"/>
        <w:ind w:left="1224"/>
        <w:contextualSpacing/>
        <w:rPr>
          <w:rFonts w:ascii="Palatino Linotype" w:hAnsi="Palatino Linotype"/>
          <w:color w:val="000000"/>
          <w:sz w:val="24"/>
          <w:szCs w:val="24"/>
        </w:rPr>
      </w:pPr>
    </w:p>
    <w:p w:rsidRPr="00180028" w:rsidR="002A240D" w:rsidP="002A240D" w:rsidRDefault="002A240D" w14:paraId="72BF4D8D" w14:textId="77777777">
      <w:pPr>
        <w:widowControl w:val="0"/>
        <w:numPr>
          <w:ilvl w:val="2"/>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The data in the Project Spreadsheet shall be as complete, accurate, and verifiable as possible.</w:t>
      </w:r>
    </w:p>
    <w:p w:rsidRPr="00180028" w:rsidR="002A240D" w:rsidP="002A240D" w:rsidRDefault="002A240D" w14:paraId="300F0D77" w14:textId="77777777">
      <w:pPr>
        <w:spacing w:after="240"/>
        <w:ind w:left="1224"/>
        <w:contextualSpacing/>
        <w:rPr>
          <w:rFonts w:ascii="Palatino Linotype" w:hAnsi="Palatino Linotype"/>
          <w:color w:val="000000"/>
          <w:sz w:val="24"/>
          <w:szCs w:val="24"/>
        </w:rPr>
      </w:pPr>
    </w:p>
    <w:p w:rsidRPr="00180028" w:rsidR="002A240D" w:rsidP="002A240D" w:rsidRDefault="002A240D" w14:paraId="4C844FCB" w14:textId="77777777">
      <w:pPr>
        <w:widowControl w:val="0"/>
        <w:numPr>
          <w:ilvl w:val="2"/>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lastRenderedPageBreak/>
        <w:t>The Project Spreadsheet shall identify the date that the data were extracted from the Utility’s database(s).</w:t>
      </w:r>
    </w:p>
    <w:p w:rsidRPr="00180028" w:rsidR="002A240D" w:rsidP="002A240D" w:rsidRDefault="002A240D" w14:paraId="0AF5F61E" w14:textId="77777777">
      <w:pPr>
        <w:spacing w:after="240"/>
        <w:ind w:left="1224"/>
        <w:contextualSpacing/>
        <w:rPr>
          <w:rFonts w:ascii="Palatino Linotype" w:hAnsi="Palatino Linotype"/>
          <w:color w:val="000000"/>
          <w:sz w:val="24"/>
          <w:szCs w:val="24"/>
        </w:rPr>
      </w:pPr>
    </w:p>
    <w:p w:rsidRPr="00180028" w:rsidR="002A240D" w:rsidP="002A240D" w:rsidRDefault="002A240D" w14:paraId="18EF886F" w14:textId="77777777">
      <w:pPr>
        <w:widowControl w:val="0"/>
        <w:numPr>
          <w:ilvl w:val="2"/>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The Utility shall update and provide the Project Spreadsheet to Stakeholders on a semi-annual basis, highlighting all new Projects, and any changes to the previously distributed Project Spreadsheet.</w:t>
      </w:r>
    </w:p>
    <w:p w:rsidRPr="00180028" w:rsidR="002A240D" w:rsidP="002A240D" w:rsidRDefault="002A240D" w14:paraId="3851D242" w14:textId="77777777">
      <w:pPr>
        <w:spacing w:after="240"/>
        <w:ind w:left="1224"/>
        <w:contextualSpacing/>
        <w:rPr>
          <w:rFonts w:ascii="Palatino Linotype" w:hAnsi="Palatino Linotype"/>
          <w:color w:val="000000"/>
          <w:sz w:val="24"/>
          <w:szCs w:val="24"/>
        </w:rPr>
      </w:pPr>
    </w:p>
    <w:p w:rsidRPr="00180028" w:rsidR="002A240D" w:rsidP="002A240D" w:rsidRDefault="002A240D" w14:paraId="35FBEFD7" w14:textId="77777777">
      <w:pPr>
        <w:widowControl w:val="0"/>
        <w:numPr>
          <w:ilvl w:val="2"/>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There shall be both a public version and a confidential version of each semi-annual Project Spreadsheet.  The public version shall be distributed to a maintained distribution list and made available on each Utility’s website with confidential data and Critical Energy Infrastructure Information (“CEII”) redacted.</w:t>
      </w:r>
    </w:p>
    <w:p w:rsidRPr="00180028" w:rsidR="002A240D" w:rsidP="002A240D" w:rsidRDefault="002A240D" w14:paraId="1D2CD7FC" w14:textId="77777777">
      <w:pPr>
        <w:spacing w:after="240"/>
        <w:ind w:left="1224"/>
        <w:contextualSpacing/>
        <w:rPr>
          <w:rFonts w:ascii="Palatino Linotype" w:hAnsi="Palatino Linotype"/>
          <w:color w:val="000000"/>
          <w:sz w:val="24"/>
          <w:szCs w:val="24"/>
        </w:rPr>
      </w:pPr>
    </w:p>
    <w:p w:rsidRPr="00180028" w:rsidR="002A240D" w:rsidP="002A240D" w:rsidRDefault="002A240D" w14:paraId="5C669FF5" w14:textId="77777777">
      <w:pPr>
        <w:widowControl w:val="0"/>
        <w:numPr>
          <w:ilvl w:val="2"/>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 xml:space="preserve">Information that is confidential or designated as CEII shall be provided to certain Stakeholders pursuant to CPUC and FERC limitations through a secure portal on each Utility’s website.  Access to the secure portal will require a signed non-disclosure agreement.  Each Utility will submit its proposed non-disclosure agreement to Energy Division for approval via advice letter no later than June 30, 2023. </w:t>
      </w:r>
    </w:p>
    <w:p w:rsidRPr="00180028" w:rsidR="002A240D" w:rsidP="002A240D" w:rsidRDefault="002A240D" w14:paraId="681369CB" w14:textId="77777777">
      <w:pPr>
        <w:spacing w:after="240"/>
        <w:ind w:left="792"/>
        <w:contextualSpacing/>
        <w:rPr>
          <w:rFonts w:ascii="Palatino Linotype" w:hAnsi="Palatino Linotype"/>
          <w:color w:val="000000"/>
          <w:sz w:val="24"/>
          <w:szCs w:val="24"/>
        </w:rPr>
      </w:pPr>
    </w:p>
    <w:p w:rsidRPr="00180028" w:rsidR="002A240D" w:rsidP="002A240D" w:rsidRDefault="002A240D" w14:paraId="4BCE913F" w14:textId="77777777">
      <w:pPr>
        <w:widowControl w:val="0"/>
        <w:numPr>
          <w:ilvl w:val="1"/>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The Utility shall provide Authorization Documents, as defined in Section 1.1 above, for Projects included in the Project Spreadsheet.  These documents will be updated on a semi-annual basis to provide any new Authorization Documents, or modifications to previously provided Authorization Documents.</w:t>
      </w:r>
    </w:p>
    <w:p w:rsidRPr="00180028" w:rsidR="002A240D" w:rsidP="002A240D" w:rsidRDefault="002A240D" w14:paraId="4EA70B6E" w14:textId="77777777">
      <w:pPr>
        <w:spacing w:after="240"/>
        <w:ind w:left="792"/>
        <w:contextualSpacing/>
        <w:rPr>
          <w:rFonts w:ascii="Palatino Linotype" w:hAnsi="Palatino Linotype"/>
          <w:color w:val="000000"/>
          <w:sz w:val="24"/>
          <w:szCs w:val="24"/>
        </w:rPr>
      </w:pPr>
    </w:p>
    <w:p w:rsidRPr="00180028" w:rsidR="002A240D" w:rsidP="002A240D" w:rsidRDefault="002A240D" w14:paraId="796E6A3A" w14:textId="77777777">
      <w:pPr>
        <w:widowControl w:val="0"/>
        <w:numPr>
          <w:ilvl w:val="1"/>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 xml:space="preserve">The most current version of the Utility’s Procedures shall comply with the following requirements: </w:t>
      </w:r>
    </w:p>
    <w:p w:rsidRPr="00180028" w:rsidR="002A240D" w:rsidP="002A240D" w:rsidRDefault="002A240D" w14:paraId="1BEE2929" w14:textId="77777777">
      <w:pPr>
        <w:widowControl w:val="0"/>
        <w:autoSpaceDE w:val="0"/>
        <w:autoSpaceDN w:val="0"/>
        <w:adjustRightInd w:val="0"/>
        <w:ind w:left="720"/>
        <w:contextualSpacing/>
        <w:rPr>
          <w:rFonts w:ascii="Palatino Linotype" w:hAnsi="Palatino Linotype"/>
          <w:color w:val="000000"/>
          <w:sz w:val="24"/>
          <w:szCs w:val="24"/>
        </w:rPr>
      </w:pPr>
    </w:p>
    <w:p w:rsidRPr="00180028" w:rsidR="002A240D" w:rsidP="002A240D" w:rsidRDefault="002A240D" w14:paraId="1AADC790" w14:textId="77777777">
      <w:pPr>
        <w:widowControl w:val="0"/>
        <w:numPr>
          <w:ilvl w:val="2"/>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 xml:space="preserve">Procedures shall include any and all process, procedures, and strategy documents relied upon by the Utility to identify, propose, authorize, plan, prioritize, budget, or implement any Project included in its Project Spreadsheet. </w:t>
      </w:r>
    </w:p>
    <w:p w:rsidRPr="00180028" w:rsidR="002A240D" w:rsidP="002A240D" w:rsidRDefault="002A240D" w14:paraId="17CDA599" w14:textId="77777777">
      <w:pPr>
        <w:spacing w:after="240"/>
        <w:ind w:left="1224"/>
        <w:contextualSpacing/>
        <w:rPr>
          <w:rFonts w:ascii="Palatino Linotype" w:hAnsi="Palatino Linotype"/>
          <w:color w:val="000000"/>
          <w:sz w:val="24"/>
          <w:szCs w:val="24"/>
        </w:rPr>
      </w:pPr>
    </w:p>
    <w:p w:rsidRPr="00180028" w:rsidR="002A240D" w:rsidP="002A240D" w:rsidRDefault="002A240D" w14:paraId="4756A098" w14:textId="77777777">
      <w:pPr>
        <w:widowControl w:val="0"/>
        <w:numPr>
          <w:ilvl w:val="2"/>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 xml:space="preserve">If not evident from the Procedure document, the Utility shall identify the effective date of the Procedure and the document the Procedure is replacing, if any. </w:t>
      </w:r>
    </w:p>
    <w:p w:rsidRPr="00180028" w:rsidR="002A240D" w:rsidP="002A240D" w:rsidRDefault="002A240D" w14:paraId="615BC208" w14:textId="77777777">
      <w:pPr>
        <w:spacing w:after="240"/>
        <w:ind w:left="1224"/>
        <w:contextualSpacing/>
        <w:rPr>
          <w:rFonts w:ascii="Palatino Linotype" w:hAnsi="Palatino Linotype"/>
          <w:color w:val="000000"/>
          <w:sz w:val="24"/>
          <w:szCs w:val="24"/>
        </w:rPr>
      </w:pPr>
    </w:p>
    <w:p w:rsidRPr="00180028" w:rsidR="002A240D" w:rsidP="002A240D" w:rsidRDefault="002A240D" w14:paraId="182F8C71" w14:textId="77777777">
      <w:pPr>
        <w:widowControl w:val="0"/>
        <w:numPr>
          <w:ilvl w:val="2"/>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 xml:space="preserve">The Utility shall produce and identify for Stakeholders any new or changed Procedures on a semi-annual basis when the updated Project </w:t>
      </w:r>
      <w:r w:rsidRPr="00180028">
        <w:rPr>
          <w:rFonts w:ascii="Palatino Linotype" w:hAnsi="Palatino Linotype"/>
          <w:color w:val="000000"/>
          <w:sz w:val="24"/>
          <w:szCs w:val="24"/>
        </w:rPr>
        <w:lastRenderedPageBreak/>
        <w:t>Spreadsheet is provided.</w:t>
      </w:r>
      <w:r w:rsidRPr="00180028">
        <w:rPr>
          <w:rFonts w:ascii="Palatino Linotype" w:hAnsi="Palatino Linotype"/>
          <w:sz w:val="24"/>
          <w:szCs w:val="24"/>
        </w:rPr>
        <w:br/>
      </w:r>
    </w:p>
    <w:p w:rsidRPr="00180028" w:rsidR="002A240D" w:rsidP="002A240D" w:rsidRDefault="002A240D" w14:paraId="732B953A" w14:textId="77777777">
      <w:pPr>
        <w:widowControl w:val="0"/>
        <w:numPr>
          <w:ilvl w:val="1"/>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 xml:space="preserve">The Utility shall distribute the semi-annual revisions to the Project Spreadsheet, Authorization Documents, and Procedures on the same date. </w:t>
      </w:r>
    </w:p>
    <w:p w:rsidRPr="00180028" w:rsidR="002A240D" w:rsidP="002A240D" w:rsidRDefault="002A240D" w14:paraId="6A08CB87" w14:textId="77777777">
      <w:pPr>
        <w:spacing w:before="240" w:after="240"/>
        <w:ind w:left="792"/>
        <w:contextualSpacing/>
        <w:rPr>
          <w:rFonts w:ascii="Palatino Linotype" w:hAnsi="Palatino Linotype"/>
          <w:color w:val="000000"/>
          <w:sz w:val="24"/>
          <w:szCs w:val="24"/>
        </w:rPr>
      </w:pPr>
    </w:p>
    <w:p w:rsidRPr="00180028" w:rsidR="002A240D" w:rsidP="002A240D" w:rsidRDefault="002A240D" w14:paraId="6E74E4D0" w14:textId="77777777">
      <w:pPr>
        <w:widowControl w:val="0"/>
        <w:numPr>
          <w:ilvl w:val="0"/>
          <w:numId w:val="24"/>
        </w:numPr>
        <w:autoSpaceDE w:val="0"/>
        <w:autoSpaceDN w:val="0"/>
        <w:adjustRightInd w:val="0"/>
        <w:spacing w:after="240"/>
        <w:contextualSpacing/>
        <w:rPr>
          <w:rFonts w:ascii="Palatino Linotype" w:hAnsi="Palatino Linotype"/>
          <w:b/>
          <w:bCs/>
          <w:color w:val="000000"/>
          <w:sz w:val="24"/>
          <w:szCs w:val="24"/>
        </w:rPr>
      </w:pPr>
      <w:r w:rsidRPr="00180028">
        <w:rPr>
          <w:rFonts w:ascii="Palatino Linotype" w:hAnsi="Palatino Linotype"/>
          <w:b/>
          <w:bCs/>
          <w:color w:val="000000"/>
          <w:sz w:val="24"/>
          <w:szCs w:val="24"/>
        </w:rPr>
        <w:t xml:space="preserve">Opportunities for Inquiry and Comments </w:t>
      </w:r>
    </w:p>
    <w:p w:rsidRPr="00180028" w:rsidR="002A240D" w:rsidP="002A240D" w:rsidRDefault="002A240D" w14:paraId="157AF98C" w14:textId="77777777">
      <w:pPr>
        <w:spacing w:before="240" w:after="240"/>
        <w:ind w:left="792"/>
        <w:contextualSpacing/>
        <w:rPr>
          <w:rFonts w:ascii="Palatino Linotype" w:hAnsi="Palatino Linotype"/>
          <w:color w:val="000000"/>
          <w:sz w:val="24"/>
          <w:szCs w:val="24"/>
        </w:rPr>
      </w:pPr>
      <w:bookmarkStart w:name="_Hlk112841365" w:id="8"/>
    </w:p>
    <w:p w:rsidRPr="00180028" w:rsidR="002A240D" w:rsidP="002A240D" w:rsidRDefault="002A240D" w14:paraId="29C43E9C" w14:textId="77777777">
      <w:pPr>
        <w:widowControl w:val="0"/>
        <w:numPr>
          <w:ilvl w:val="1"/>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sz w:val="24"/>
          <w:szCs w:val="24"/>
        </w:rPr>
        <w:t>Information Requests and Comments: Stakeholders may submit information requests</w:t>
      </w:r>
    </w:p>
    <w:p w:rsidRPr="00180028" w:rsidR="002A240D" w:rsidP="002A240D" w:rsidRDefault="002A240D" w14:paraId="68A2BCD6" w14:textId="77777777">
      <w:pPr>
        <w:spacing w:before="240" w:after="240"/>
        <w:ind w:left="792"/>
        <w:contextualSpacing/>
        <w:rPr>
          <w:rFonts w:ascii="Palatino Linotype" w:hAnsi="Palatino Linotype"/>
          <w:sz w:val="24"/>
          <w:szCs w:val="24"/>
        </w:rPr>
      </w:pPr>
      <w:r w:rsidRPr="00180028">
        <w:rPr>
          <w:rFonts w:ascii="Palatino Linotype" w:hAnsi="Palatino Linotype"/>
          <w:sz w:val="24"/>
          <w:szCs w:val="24"/>
        </w:rPr>
        <w:t>and comments to the Utility within a 45-calendar day period that begins on the day following the production of semi-annual information identified in Section 2.1. Stakeholders may also submit information requests and/or comments within a 15-calendar day period that begins on the day following a Stakeholder meeting.  The Utility shall respond to the information requests and comments within 15 business days after a Stakeholder’s submittal.</w:t>
      </w:r>
    </w:p>
    <w:bookmarkEnd w:id="8"/>
    <w:p w:rsidRPr="00180028" w:rsidR="002A240D" w:rsidP="002A240D" w:rsidRDefault="002A240D" w14:paraId="46335999" w14:textId="77777777">
      <w:pPr>
        <w:spacing w:before="240" w:after="240"/>
        <w:ind w:left="792"/>
        <w:contextualSpacing/>
        <w:rPr>
          <w:rFonts w:ascii="Palatino Linotype" w:hAnsi="Palatino Linotype"/>
          <w:color w:val="000000"/>
          <w:sz w:val="24"/>
          <w:szCs w:val="24"/>
        </w:rPr>
      </w:pPr>
    </w:p>
    <w:p w:rsidRPr="00180028" w:rsidR="002A240D" w:rsidP="002A240D" w:rsidRDefault="002A240D" w14:paraId="3B012616" w14:textId="77777777">
      <w:pPr>
        <w:widowControl w:val="0"/>
        <w:numPr>
          <w:ilvl w:val="2"/>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sz w:val="24"/>
          <w:szCs w:val="24"/>
        </w:rPr>
        <w:t>The scope of the information requests shall relate to the Projects contained in the Project Spreadsheet and may include, but are not limited to the following areas of inquiry:</w:t>
      </w:r>
    </w:p>
    <w:p w:rsidRPr="00180028" w:rsidR="002A240D" w:rsidP="002A240D" w:rsidRDefault="002A240D" w14:paraId="361EFC39" w14:textId="77777777">
      <w:pPr>
        <w:spacing w:before="240" w:after="240"/>
        <w:ind w:left="1224"/>
        <w:contextualSpacing/>
        <w:rPr>
          <w:rFonts w:ascii="Palatino Linotype" w:hAnsi="Palatino Linotype"/>
          <w:color w:val="000000"/>
          <w:sz w:val="24"/>
          <w:szCs w:val="24"/>
        </w:rPr>
      </w:pPr>
    </w:p>
    <w:p w:rsidRPr="00180028" w:rsidR="002A240D" w:rsidP="002A240D" w:rsidRDefault="002A240D" w14:paraId="5DBEF591" w14:textId="77777777">
      <w:pPr>
        <w:widowControl w:val="0"/>
        <w:numPr>
          <w:ilvl w:val="3"/>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sz w:val="24"/>
          <w:szCs w:val="24"/>
        </w:rPr>
        <w:t>More detailed descriptions of the Projects;</w:t>
      </w:r>
    </w:p>
    <w:p w:rsidRPr="00180028" w:rsidR="002A240D" w:rsidP="002A240D" w:rsidRDefault="002A240D" w14:paraId="01DF93DF" w14:textId="77777777">
      <w:pPr>
        <w:spacing w:before="240" w:after="240"/>
        <w:ind w:left="1224"/>
        <w:contextualSpacing/>
        <w:rPr>
          <w:rFonts w:ascii="Palatino Linotype" w:hAnsi="Palatino Linotype"/>
          <w:color w:val="000000"/>
          <w:sz w:val="24"/>
          <w:szCs w:val="24"/>
        </w:rPr>
      </w:pPr>
    </w:p>
    <w:p w:rsidRPr="00180028" w:rsidR="002A240D" w:rsidP="002A240D" w:rsidRDefault="002A240D" w14:paraId="79387D78" w14:textId="77777777">
      <w:pPr>
        <w:widowControl w:val="0"/>
        <w:numPr>
          <w:ilvl w:val="3"/>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sz w:val="24"/>
          <w:szCs w:val="24"/>
        </w:rPr>
        <w:t xml:space="preserve">Procedures related to </w:t>
      </w:r>
      <w:r w:rsidRPr="00180028">
        <w:rPr>
          <w:rFonts w:ascii="Palatino Linotype" w:hAnsi="Palatino Linotype"/>
          <w:color w:val="000000"/>
          <w:sz w:val="24"/>
          <w:szCs w:val="24"/>
        </w:rPr>
        <w:t>identifying, proposing, authorizing, planning, prioritizing, budgeting, and implementing</w:t>
      </w:r>
      <w:r w:rsidRPr="00180028">
        <w:rPr>
          <w:rFonts w:ascii="Palatino Linotype" w:hAnsi="Palatino Linotype"/>
          <w:sz w:val="24"/>
          <w:szCs w:val="24"/>
        </w:rPr>
        <w:t xml:space="preserve"> Projects;</w:t>
      </w:r>
    </w:p>
    <w:p w:rsidRPr="00180028" w:rsidR="002A240D" w:rsidP="002A240D" w:rsidRDefault="002A240D" w14:paraId="07324BED" w14:textId="77777777">
      <w:pPr>
        <w:spacing w:before="240" w:after="240"/>
        <w:ind w:left="1728"/>
        <w:contextualSpacing/>
        <w:rPr>
          <w:rFonts w:ascii="Palatino Linotype" w:hAnsi="Palatino Linotype"/>
          <w:color w:val="000000"/>
          <w:sz w:val="24"/>
          <w:szCs w:val="24"/>
        </w:rPr>
      </w:pPr>
    </w:p>
    <w:p w:rsidRPr="00180028" w:rsidR="002A240D" w:rsidP="002A240D" w:rsidRDefault="002A240D" w14:paraId="2F9779B9" w14:textId="77777777">
      <w:pPr>
        <w:widowControl w:val="0"/>
        <w:numPr>
          <w:ilvl w:val="3"/>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sz w:val="24"/>
          <w:szCs w:val="24"/>
        </w:rPr>
        <w:t>The estimated cost of the Project and the methodology used to arrive at that estimate;</w:t>
      </w:r>
    </w:p>
    <w:p w:rsidRPr="00180028" w:rsidR="002A240D" w:rsidP="002A240D" w:rsidRDefault="002A240D" w14:paraId="612571A4" w14:textId="77777777">
      <w:pPr>
        <w:spacing w:before="240" w:after="240"/>
        <w:ind w:left="1224"/>
        <w:contextualSpacing/>
        <w:rPr>
          <w:rFonts w:ascii="Palatino Linotype" w:hAnsi="Palatino Linotype"/>
          <w:color w:val="000000"/>
          <w:sz w:val="24"/>
          <w:szCs w:val="24"/>
        </w:rPr>
      </w:pPr>
    </w:p>
    <w:p w:rsidRPr="00180028" w:rsidR="002A240D" w:rsidP="002A240D" w:rsidRDefault="002A240D" w14:paraId="74858CB2" w14:textId="77777777">
      <w:pPr>
        <w:widowControl w:val="0"/>
        <w:numPr>
          <w:ilvl w:val="3"/>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sz w:val="24"/>
          <w:szCs w:val="24"/>
        </w:rPr>
        <w:t>More detailed description of a Project’s purpose and justification of need, including without limitation and to the extent such information exists;</w:t>
      </w:r>
    </w:p>
    <w:p w:rsidRPr="00180028" w:rsidR="002A240D" w:rsidP="002A240D" w:rsidRDefault="002A240D" w14:paraId="42738CFD" w14:textId="77777777">
      <w:pPr>
        <w:spacing w:before="240" w:after="240"/>
        <w:ind w:left="1728"/>
        <w:contextualSpacing/>
        <w:rPr>
          <w:rFonts w:ascii="Palatino Linotype" w:hAnsi="Palatino Linotype"/>
          <w:color w:val="000000"/>
          <w:sz w:val="24"/>
          <w:szCs w:val="24"/>
        </w:rPr>
      </w:pPr>
    </w:p>
    <w:p w:rsidRPr="00180028" w:rsidR="002A240D" w:rsidP="002A240D" w:rsidRDefault="002A240D" w14:paraId="65F4975B" w14:textId="77777777">
      <w:pPr>
        <w:widowControl w:val="0"/>
        <w:numPr>
          <w:ilvl w:val="4"/>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sz w:val="24"/>
          <w:szCs w:val="24"/>
        </w:rPr>
        <w:t>Standards, requirements, or policies supporting the need for the proposed Project;</w:t>
      </w:r>
    </w:p>
    <w:p w:rsidRPr="00180028" w:rsidR="002A240D" w:rsidP="002A240D" w:rsidRDefault="002A240D" w14:paraId="735F68E7" w14:textId="77777777">
      <w:pPr>
        <w:spacing w:before="240" w:after="240"/>
        <w:ind w:left="1728"/>
        <w:contextualSpacing/>
        <w:rPr>
          <w:rFonts w:ascii="Palatino Linotype" w:hAnsi="Palatino Linotype"/>
          <w:color w:val="000000"/>
          <w:sz w:val="24"/>
          <w:szCs w:val="24"/>
        </w:rPr>
      </w:pPr>
    </w:p>
    <w:p w:rsidRPr="00180028" w:rsidR="002A240D" w:rsidP="002A240D" w:rsidRDefault="002A240D" w14:paraId="2E4866DF" w14:textId="77777777">
      <w:pPr>
        <w:widowControl w:val="0"/>
        <w:numPr>
          <w:ilvl w:val="4"/>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sz w:val="24"/>
          <w:szCs w:val="24"/>
        </w:rPr>
        <w:t>Any wildfire or safety threat assessment, if available;</w:t>
      </w:r>
    </w:p>
    <w:p w:rsidRPr="00180028" w:rsidR="002A240D" w:rsidP="002A240D" w:rsidRDefault="002A240D" w14:paraId="2A9F43B8" w14:textId="77777777">
      <w:pPr>
        <w:spacing w:before="240" w:after="240"/>
        <w:ind w:left="1728"/>
        <w:contextualSpacing/>
        <w:rPr>
          <w:rFonts w:ascii="Palatino Linotype" w:hAnsi="Palatino Linotype"/>
          <w:color w:val="000000"/>
          <w:sz w:val="24"/>
          <w:szCs w:val="24"/>
        </w:rPr>
      </w:pPr>
    </w:p>
    <w:p w:rsidRPr="00180028" w:rsidR="002A240D" w:rsidP="002A240D" w:rsidRDefault="002A240D" w14:paraId="3AF5A0FE" w14:textId="77777777">
      <w:pPr>
        <w:widowControl w:val="0"/>
        <w:numPr>
          <w:ilvl w:val="4"/>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sz w:val="24"/>
          <w:szCs w:val="24"/>
        </w:rPr>
        <w:t>Inspection records or other information regarding the condition of any existing asset related to the proposed Project;</w:t>
      </w:r>
    </w:p>
    <w:p w:rsidRPr="00180028" w:rsidR="002A240D" w:rsidP="002A240D" w:rsidRDefault="002A240D" w14:paraId="7C2DFE1F" w14:textId="77777777">
      <w:pPr>
        <w:spacing w:before="240" w:after="240"/>
        <w:ind w:left="1728"/>
        <w:contextualSpacing/>
        <w:rPr>
          <w:rFonts w:ascii="Palatino Linotype" w:hAnsi="Palatino Linotype"/>
          <w:color w:val="000000"/>
          <w:sz w:val="24"/>
          <w:szCs w:val="24"/>
        </w:rPr>
      </w:pPr>
    </w:p>
    <w:p w:rsidRPr="00180028" w:rsidR="002A240D" w:rsidP="002A240D" w:rsidRDefault="002A240D" w14:paraId="0B7AE0E7" w14:textId="77777777">
      <w:pPr>
        <w:widowControl w:val="0"/>
        <w:numPr>
          <w:ilvl w:val="4"/>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sz w:val="24"/>
          <w:szCs w:val="24"/>
        </w:rPr>
        <w:t>Technical or other analyses regarding the alternatives considered;</w:t>
      </w:r>
    </w:p>
    <w:p w:rsidRPr="00180028" w:rsidR="002A240D" w:rsidP="002A240D" w:rsidRDefault="002A240D" w14:paraId="0412B84B" w14:textId="77777777">
      <w:pPr>
        <w:spacing w:before="240" w:after="240"/>
        <w:ind w:left="1728"/>
        <w:contextualSpacing/>
        <w:rPr>
          <w:rFonts w:ascii="Palatino Linotype" w:hAnsi="Palatino Linotype"/>
          <w:color w:val="000000"/>
          <w:sz w:val="24"/>
          <w:szCs w:val="24"/>
        </w:rPr>
      </w:pPr>
    </w:p>
    <w:p w:rsidRPr="00180028" w:rsidR="002A240D" w:rsidP="002A240D" w:rsidRDefault="002A240D" w14:paraId="5D34B577" w14:textId="77777777">
      <w:pPr>
        <w:widowControl w:val="0"/>
        <w:numPr>
          <w:ilvl w:val="4"/>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sz w:val="24"/>
          <w:szCs w:val="24"/>
        </w:rPr>
        <w:t>Any economic analyses (e.g., cost-benefit studies) of the Project; and</w:t>
      </w:r>
    </w:p>
    <w:p w:rsidRPr="00180028" w:rsidR="002A240D" w:rsidP="002A240D" w:rsidRDefault="002A240D" w14:paraId="4A22741E" w14:textId="77777777">
      <w:pPr>
        <w:spacing w:before="240" w:after="240"/>
        <w:ind w:left="2232"/>
        <w:contextualSpacing/>
        <w:rPr>
          <w:rFonts w:ascii="Palatino Linotype" w:hAnsi="Palatino Linotype"/>
          <w:color w:val="000000"/>
          <w:sz w:val="24"/>
          <w:szCs w:val="24"/>
        </w:rPr>
      </w:pPr>
    </w:p>
    <w:p w:rsidRPr="00180028" w:rsidR="002A240D" w:rsidP="002A240D" w:rsidRDefault="002A240D" w14:paraId="26CD6D3B" w14:textId="77777777">
      <w:pPr>
        <w:widowControl w:val="0"/>
        <w:numPr>
          <w:ilvl w:val="4"/>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sz w:val="24"/>
          <w:szCs w:val="24"/>
        </w:rPr>
        <w:t>Any analyses or documents used to obtain internal authorization for the Project.</w:t>
      </w:r>
    </w:p>
    <w:p w:rsidRPr="00180028" w:rsidR="002A240D" w:rsidP="002A240D" w:rsidRDefault="002A240D" w14:paraId="31E42B1B" w14:textId="77777777">
      <w:pPr>
        <w:spacing w:before="240" w:after="240"/>
        <w:ind w:left="1224"/>
        <w:contextualSpacing/>
        <w:rPr>
          <w:rFonts w:ascii="Palatino Linotype" w:hAnsi="Palatino Linotype"/>
          <w:color w:val="000000"/>
          <w:sz w:val="24"/>
          <w:szCs w:val="24"/>
        </w:rPr>
      </w:pPr>
    </w:p>
    <w:p w:rsidRPr="00180028" w:rsidR="002A240D" w:rsidP="002A240D" w:rsidRDefault="002A240D" w14:paraId="195666E7" w14:textId="77777777">
      <w:pPr>
        <w:widowControl w:val="0"/>
        <w:numPr>
          <w:ilvl w:val="2"/>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sz w:val="24"/>
          <w:szCs w:val="24"/>
        </w:rPr>
        <w:t xml:space="preserve">The scope of comments shall relate to Projects included in the Project Spreadsheet, Authorization Documents, or Procedures related to </w:t>
      </w:r>
      <w:r w:rsidRPr="00180028">
        <w:rPr>
          <w:rFonts w:ascii="Palatino Linotype" w:hAnsi="Palatino Linotype"/>
          <w:color w:val="000000"/>
          <w:sz w:val="24"/>
          <w:szCs w:val="24"/>
        </w:rPr>
        <w:t>identifying, proposing, authorizing, planning, prioritizing, budgeting, and implementing</w:t>
      </w:r>
      <w:r w:rsidRPr="00180028">
        <w:rPr>
          <w:rFonts w:ascii="Palatino Linotype" w:hAnsi="Palatino Linotype"/>
          <w:sz w:val="24"/>
          <w:szCs w:val="24"/>
        </w:rPr>
        <w:t xml:space="preserve"> those Projects. </w:t>
      </w:r>
    </w:p>
    <w:p w:rsidRPr="00180028" w:rsidR="002A240D" w:rsidP="002A240D" w:rsidRDefault="002A240D" w14:paraId="22B67952" w14:textId="77777777">
      <w:pPr>
        <w:spacing w:before="240" w:after="240"/>
        <w:ind w:left="1224"/>
        <w:contextualSpacing/>
        <w:rPr>
          <w:rFonts w:ascii="Palatino Linotype" w:hAnsi="Palatino Linotype"/>
          <w:color w:val="000000"/>
          <w:sz w:val="24"/>
          <w:szCs w:val="24"/>
        </w:rPr>
      </w:pPr>
    </w:p>
    <w:p w:rsidRPr="00180028" w:rsidR="002A240D" w:rsidP="002A240D" w:rsidRDefault="002A240D" w14:paraId="4D590A9E" w14:textId="77777777">
      <w:pPr>
        <w:widowControl w:val="0"/>
        <w:numPr>
          <w:ilvl w:val="1"/>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color w:val="000000"/>
          <w:sz w:val="24"/>
          <w:szCs w:val="24"/>
        </w:rPr>
        <w:t xml:space="preserve">If a Stakeholder requests additional Project-specific information from the utility outside the time frames outlined in Section 3.1, the Utility shall provide responsive information within ten business days of a Stakeholder’s request, including, but not limited to: </w:t>
      </w:r>
      <w:r w:rsidRPr="00180028">
        <w:rPr>
          <w:rFonts w:ascii="Palatino Linotype" w:hAnsi="Palatino Linotype"/>
          <w:sz w:val="24"/>
          <w:szCs w:val="24"/>
        </w:rPr>
        <w:t>benefit/cost analyses, technical analyses regarding the need for the Project or alternatives considered, and any analyses or documents used to obtain internal authorization for the Project.</w:t>
      </w:r>
    </w:p>
    <w:p w:rsidRPr="00180028" w:rsidR="002A240D" w:rsidP="002A240D" w:rsidRDefault="002A240D" w14:paraId="6BF92257" w14:textId="77777777">
      <w:pPr>
        <w:spacing w:before="240" w:after="240"/>
        <w:ind w:left="792"/>
        <w:contextualSpacing/>
        <w:rPr>
          <w:rFonts w:ascii="Palatino Linotype" w:hAnsi="Palatino Linotype"/>
          <w:color w:val="000000"/>
          <w:sz w:val="24"/>
          <w:szCs w:val="24"/>
        </w:rPr>
      </w:pPr>
    </w:p>
    <w:p w:rsidRPr="00180028" w:rsidR="002A240D" w:rsidP="002A240D" w:rsidRDefault="002A240D" w14:paraId="4FA766BB" w14:textId="77777777">
      <w:pPr>
        <w:widowControl w:val="0"/>
        <w:numPr>
          <w:ilvl w:val="1"/>
          <w:numId w:val="24"/>
        </w:numPr>
        <w:autoSpaceDE w:val="0"/>
        <w:autoSpaceDN w:val="0"/>
        <w:adjustRightInd w:val="0"/>
        <w:spacing w:before="240" w:after="240"/>
        <w:contextualSpacing/>
        <w:rPr>
          <w:rFonts w:ascii="Palatino Linotype" w:hAnsi="Palatino Linotype"/>
          <w:color w:val="000000"/>
          <w:sz w:val="24"/>
          <w:szCs w:val="24"/>
        </w:rPr>
      </w:pPr>
      <w:r w:rsidRPr="00180028">
        <w:rPr>
          <w:rFonts w:ascii="Palatino Linotype" w:hAnsi="Palatino Linotype"/>
          <w:color w:val="000000"/>
          <w:sz w:val="24"/>
          <w:szCs w:val="24"/>
        </w:rPr>
        <w:t xml:space="preserve">While the TPR Process should provide Stakeholders with substantial information about the Utility’s Projects, nothing herein prevents the CPUC or other Stakeholders from seeking further information from the Utility regarding Projects through data or information requests in any other proceedings, whether at the CPUC, the CAISO, FERC, or elsewhere. </w:t>
      </w:r>
    </w:p>
    <w:p w:rsidRPr="00180028" w:rsidR="002A240D" w:rsidP="002A240D" w:rsidRDefault="002A240D" w14:paraId="641CE8FA" w14:textId="77777777">
      <w:pPr>
        <w:spacing w:after="240"/>
        <w:ind w:left="360"/>
        <w:contextualSpacing/>
        <w:rPr>
          <w:rFonts w:ascii="Palatino Linotype" w:hAnsi="Palatino Linotype"/>
          <w:b/>
          <w:bCs/>
          <w:color w:val="000000"/>
          <w:sz w:val="24"/>
          <w:szCs w:val="24"/>
        </w:rPr>
      </w:pPr>
    </w:p>
    <w:p w:rsidRPr="00180028" w:rsidR="002A240D" w:rsidP="002A240D" w:rsidRDefault="002A240D" w14:paraId="44229EE1" w14:textId="77777777">
      <w:pPr>
        <w:widowControl w:val="0"/>
        <w:numPr>
          <w:ilvl w:val="0"/>
          <w:numId w:val="24"/>
        </w:numPr>
        <w:autoSpaceDE w:val="0"/>
        <w:autoSpaceDN w:val="0"/>
        <w:adjustRightInd w:val="0"/>
        <w:spacing w:after="240"/>
        <w:contextualSpacing/>
        <w:rPr>
          <w:rFonts w:ascii="Palatino Linotype" w:hAnsi="Palatino Linotype"/>
          <w:b/>
          <w:bCs/>
          <w:color w:val="000000"/>
          <w:sz w:val="24"/>
          <w:szCs w:val="24"/>
        </w:rPr>
      </w:pPr>
      <w:r w:rsidRPr="00180028">
        <w:rPr>
          <w:rFonts w:ascii="Palatino Linotype" w:hAnsi="Palatino Linotype"/>
          <w:b/>
          <w:bCs/>
          <w:color w:val="000000"/>
          <w:sz w:val="24"/>
          <w:szCs w:val="24"/>
        </w:rPr>
        <w:t>Stakeholder Meetings</w:t>
      </w:r>
    </w:p>
    <w:p w:rsidRPr="00180028" w:rsidR="002A240D" w:rsidP="002A240D" w:rsidRDefault="002A240D" w14:paraId="7F35F254" w14:textId="77777777">
      <w:pPr>
        <w:spacing w:after="240"/>
        <w:ind w:left="792"/>
        <w:contextualSpacing/>
        <w:rPr>
          <w:rFonts w:ascii="Palatino Linotype" w:hAnsi="Palatino Linotype"/>
          <w:b/>
          <w:bCs/>
          <w:color w:val="000000"/>
          <w:sz w:val="24"/>
          <w:szCs w:val="24"/>
        </w:rPr>
      </w:pPr>
      <w:bookmarkStart w:name="_Hlk112860336" w:id="9"/>
    </w:p>
    <w:p w:rsidRPr="00180028" w:rsidR="002A240D" w:rsidP="002A240D" w:rsidRDefault="002A240D" w14:paraId="539E837D" w14:textId="77777777">
      <w:pPr>
        <w:widowControl w:val="0"/>
        <w:numPr>
          <w:ilvl w:val="1"/>
          <w:numId w:val="24"/>
        </w:numPr>
        <w:autoSpaceDE w:val="0"/>
        <w:autoSpaceDN w:val="0"/>
        <w:adjustRightInd w:val="0"/>
        <w:spacing w:after="240"/>
        <w:contextualSpacing/>
        <w:rPr>
          <w:rFonts w:ascii="Palatino Linotype" w:hAnsi="Palatino Linotype"/>
          <w:b/>
          <w:bCs/>
          <w:color w:val="000000"/>
          <w:sz w:val="24"/>
          <w:szCs w:val="24"/>
        </w:rPr>
      </w:pPr>
      <w:r w:rsidRPr="00180028">
        <w:rPr>
          <w:rFonts w:ascii="Palatino Linotype" w:hAnsi="Palatino Linotype"/>
          <w:sz w:val="24"/>
          <w:szCs w:val="24"/>
        </w:rPr>
        <w:t xml:space="preserve">The Utility shall host two Stakeholder meetings annually.  The first Stakeholder meeting in a calendar year will include review of the Utility’s Project Spreadsheet, objectives, assumptions, and deliverables for the current year and the opportunity for Stakeholders to suggest new projects or project alternatives.  The Utility will also report on the prior year’s Project implementation and identify and explain modifications to key factors/assumptions relied upon in the prior year. </w:t>
      </w:r>
    </w:p>
    <w:p w:rsidRPr="00180028" w:rsidR="002A240D" w:rsidP="002A240D" w:rsidRDefault="002A240D" w14:paraId="03273FBC" w14:textId="77777777">
      <w:pPr>
        <w:spacing w:after="240"/>
        <w:ind w:left="792"/>
        <w:contextualSpacing/>
        <w:rPr>
          <w:rFonts w:ascii="Palatino Linotype" w:hAnsi="Palatino Linotype"/>
          <w:b/>
          <w:bCs/>
          <w:color w:val="000000"/>
          <w:sz w:val="24"/>
          <w:szCs w:val="24"/>
        </w:rPr>
      </w:pPr>
    </w:p>
    <w:p w:rsidRPr="00180028" w:rsidR="002A240D" w:rsidP="002A240D" w:rsidRDefault="002A240D" w14:paraId="13C4C34D" w14:textId="77777777">
      <w:pPr>
        <w:widowControl w:val="0"/>
        <w:numPr>
          <w:ilvl w:val="1"/>
          <w:numId w:val="24"/>
        </w:numPr>
        <w:autoSpaceDE w:val="0"/>
        <w:autoSpaceDN w:val="0"/>
        <w:adjustRightInd w:val="0"/>
        <w:spacing w:after="240"/>
        <w:contextualSpacing/>
        <w:rPr>
          <w:rFonts w:ascii="Palatino Linotype" w:hAnsi="Palatino Linotype"/>
          <w:b/>
          <w:bCs/>
          <w:color w:val="000000"/>
          <w:sz w:val="24"/>
          <w:szCs w:val="24"/>
        </w:rPr>
      </w:pPr>
      <w:r w:rsidRPr="00180028">
        <w:rPr>
          <w:rFonts w:ascii="Palatino Linotype" w:hAnsi="Palatino Linotype"/>
          <w:sz w:val="24"/>
          <w:szCs w:val="24"/>
        </w:rPr>
        <w:t xml:space="preserve">Both the first and second Stakeholder meetings in a calendar year will include </w:t>
      </w:r>
      <w:r w:rsidRPr="00180028">
        <w:rPr>
          <w:rFonts w:ascii="Palatino Linotype" w:hAnsi="Palatino Linotype"/>
          <w:sz w:val="24"/>
          <w:szCs w:val="24"/>
        </w:rPr>
        <w:lastRenderedPageBreak/>
        <w:t xml:space="preserve">responding to the CPUC’s and Stakeholders’ comments and questions related to Projects in the Spreadsheet, Procedures, and other related issues identified in advance of the Stakeholder meetings.   </w:t>
      </w:r>
    </w:p>
    <w:p w:rsidRPr="00180028" w:rsidR="002A240D" w:rsidP="002A240D" w:rsidRDefault="002A240D" w14:paraId="7E8516B2" w14:textId="77777777">
      <w:pPr>
        <w:spacing w:after="240"/>
        <w:ind w:left="792"/>
        <w:contextualSpacing/>
        <w:rPr>
          <w:rFonts w:ascii="Palatino Linotype" w:hAnsi="Palatino Linotype"/>
          <w:b/>
          <w:bCs/>
          <w:color w:val="000000"/>
          <w:sz w:val="24"/>
          <w:szCs w:val="24"/>
        </w:rPr>
      </w:pPr>
    </w:p>
    <w:p w:rsidRPr="00180028" w:rsidR="002A240D" w:rsidP="002A240D" w:rsidRDefault="002A240D" w14:paraId="52C4A492" w14:textId="77777777">
      <w:pPr>
        <w:widowControl w:val="0"/>
        <w:numPr>
          <w:ilvl w:val="1"/>
          <w:numId w:val="24"/>
        </w:numPr>
        <w:autoSpaceDE w:val="0"/>
        <w:autoSpaceDN w:val="0"/>
        <w:adjustRightInd w:val="0"/>
        <w:spacing w:after="240"/>
        <w:contextualSpacing/>
        <w:rPr>
          <w:rFonts w:ascii="Palatino Linotype" w:hAnsi="Palatino Linotype"/>
          <w:b/>
          <w:bCs/>
          <w:color w:val="000000"/>
          <w:sz w:val="24"/>
          <w:szCs w:val="24"/>
        </w:rPr>
      </w:pPr>
      <w:r w:rsidRPr="00180028">
        <w:rPr>
          <w:rFonts w:ascii="Palatino Linotype" w:hAnsi="Palatino Linotype"/>
          <w:sz w:val="24"/>
          <w:szCs w:val="24"/>
        </w:rPr>
        <w:t xml:space="preserve">The Utility will have subject matter experts present who can respond to recent comments and questions from the CPUC and Stakeholders.  The CPUC and Stakeholders will have the opportunity to provide agenda items no fewer than 15 calendar days before the Stakeholder meeting.  The Utility will incorporate these agenda items into the Stakeholder meeting and shall have relevant subject matter experts present at the Stakeholder meeting to address these topics. </w:t>
      </w:r>
      <w:bookmarkEnd w:id="9"/>
    </w:p>
    <w:p w:rsidRPr="00180028" w:rsidR="002A240D" w:rsidP="002A240D" w:rsidRDefault="002A240D" w14:paraId="5CEA6342" w14:textId="77777777">
      <w:pPr>
        <w:autoSpaceDE w:val="0"/>
        <w:autoSpaceDN w:val="0"/>
        <w:adjustRightInd w:val="0"/>
        <w:rPr>
          <w:rFonts w:ascii="Palatino Linotype" w:hAnsi="Palatino Linotype"/>
          <w:sz w:val="24"/>
          <w:szCs w:val="24"/>
        </w:rPr>
      </w:pPr>
    </w:p>
    <w:p w:rsidRPr="00180028" w:rsidR="002A240D" w:rsidP="002A240D" w:rsidRDefault="002A240D" w14:paraId="26EEBC3C" w14:textId="77777777">
      <w:pPr>
        <w:widowControl w:val="0"/>
        <w:numPr>
          <w:ilvl w:val="0"/>
          <w:numId w:val="24"/>
        </w:numPr>
        <w:autoSpaceDE w:val="0"/>
        <w:autoSpaceDN w:val="0"/>
        <w:adjustRightInd w:val="0"/>
        <w:spacing w:after="240"/>
        <w:contextualSpacing/>
        <w:rPr>
          <w:rFonts w:ascii="Palatino Linotype" w:hAnsi="Palatino Linotype"/>
          <w:b/>
          <w:bCs/>
          <w:color w:val="000000"/>
          <w:sz w:val="24"/>
          <w:szCs w:val="24"/>
        </w:rPr>
      </w:pPr>
      <w:r w:rsidRPr="00180028">
        <w:rPr>
          <w:rFonts w:ascii="Palatino Linotype" w:hAnsi="Palatino Linotype"/>
          <w:b/>
          <w:bCs/>
          <w:color w:val="000000"/>
          <w:sz w:val="24"/>
          <w:szCs w:val="24"/>
        </w:rPr>
        <w:t>Stakeholders Have the Ability to Make Use of the Data and Outcomes of the Transmission Project Review Process in Other Proceedings.</w:t>
      </w:r>
    </w:p>
    <w:p w:rsidRPr="00180028" w:rsidR="002A240D" w:rsidP="002A240D" w:rsidRDefault="002A240D" w14:paraId="2FB81ACC" w14:textId="77777777">
      <w:pPr>
        <w:spacing w:after="240"/>
        <w:ind w:left="792"/>
        <w:contextualSpacing/>
        <w:rPr>
          <w:rFonts w:ascii="Palatino Linotype" w:hAnsi="Palatino Linotype"/>
          <w:color w:val="000000"/>
          <w:sz w:val="24"/>
          <w:szCs w:val="24"/>
        </w:rPr>
      </w:pPr>
    </w:p>
    <w:p w:rsidRPr="00180028" w:rsidR="002A240D" w:rsidP="002A240D" w:rsidRDefault="002A240D" w14:paraId="44E8C526" w14:textId="77777777">
      <w:pPr>
        <w:widowControl w:val="0"/>
        <w:numPr>
          <w:ilvl w:val="1"/>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Stakeholders may use the data or other information provided in the TPR Process in multiple fora, including, without limitation, in CPUC, CAISO, FERC, or U.S. Department of Energy proceedings, subject to compliance with confidentiality and/or CEII restrictions.</w:t>
      </w:r>
    </w:p>
    <w:p w:rsidRPr="00180028" w:rsidR="002A240D" w:rsidP="002A240D" w:rsidRDefault="002A240D" w14:paraId="30E00FC2" w14:textId="77777777">
      <w:pPr>
        <w:spacing w:after="240"/>
        <w:ind w:left="792"/>
        <w:contextualSpacing/>
        <w:rPr>
          <w:rFonts w:ascii="Palatino Linotype" w:hAnsi="Palatino Linotype"/>
          <w:color w:val="000000"/>
          <w:sz w:val="24"/>
          <w:szCs w:val="24"/>
        </w:rPr>
      </w:pPr>
    </w:p>
    <w:p w:rsidRPr="00180028" w:rsidR="002A240D" w:rsidP="002A240D" w:rsidRDefault="002A240D" w14:paraId="1EC94DDC" w14:textId="77777777">
      <w:pPr>
        <w:widowControl w:val="0"/>
        <w:numPr>
          <w:ilvl w:val="1"/>
          <w:numId w:val="24"/>
        </w:numPr>
        <w:autoSpaceDE w:val="0"/>
        <w:autoSpaceDN w:val="0"/>
        <w:adjustRightInd w:val="0"/>
        <w:spacing w:after="240"/>
        <w:contextualSpacing/>
        <w:rPr>
          <w:rFonts w:ascii="Palatino Linotype" w:hAnsi="Palatino Linotype"/>
          <w:color w:val="000000"/>
          <w:sz w:val="24"/>
          <w:szCs w:val="24"/>
        </w:rPr>
      </w:pPr>
      <w:r w:rsidRPr="00180028">
        <w:rPr>
          <w:rFonts w:ascii="Palatino Linotype" w:hAnsi="Palatino Linotype"/>
          <w:color w:val="000000"/>
          <w:sz w:val="24"/>
          <w:szCs w:val="24"/>
        </w:rPr>
        <w:t>Nothing herein precludes a Stakeholder from challenging the designation of a document as confidential or CEII, either before FERC, the CPUC, or a court of competent jurisdiction.</w:t>
      </w:r>
    </w:p>
    <w:p w:rsidRPr="00180028" w:rsidR="002A240D" w:rsidP="002A240D" w:rsidRDefault="002A240D" w14:paraId="2BBCB63B" w14:textId="77777777">
      <w:pPr>
        <w:widowControl w:val="0"/>
        <w:autoSpaceDE w:val="0"/>
        <w:autoSpaceDN w:val="0"/>
        <w:adjustRightInd w:val="0"/>
        <w:ind w:left="720"/>
        <w:contextualSpacing/>
        <w:rPr>
          <w:rFonts w:ascii="Palatino Linotype" w:hAnsi="Palatino Linotype"/>
          <w:b/>
          <w:bCs/>
          <w:color w:val="000000"/>
          <w:sz w:val="24"/>
          <w:szCs w:val="24"/>
        </w:rPr>
      </w:pPr>
    </w:p>
    <w:p w:rsidRPr="00180028" w:rsidR="002A240D" w:rsidP="002A240D" w:rsidRDefault="002A240D" w14:paraId="01A7CFF3" w14:textId="77777777">
      <w:pPr>
        <w:widowControl w:val="0"/>
        <w:numPr>
          <w:ilvl w:val="0"/>
          <w:numId w:val="24"/>
        </w:numPr>
        <w:autoSpaceDE w:val="0"/>
        <w:autoSpaceDN w:val="0"/>
        <w:adjustRightInd w:val="0"/>
        <w:spacing w:before="240" w:after="240"/>
        <w:contextualSpacing/>
        <w:rPr>
          <w:rFonts w:ascii="Palatino Linotype" w:hAnsi="Palatino Linotype"/>
          <w:b/>
          <w:bCs/>
          <w:color w:val="000000"/>
          <w:sz w:val="24"/>
          <w:szCs w:val="24"/>
        </w:rPr>
      </w:pPr>
      <w:r w:rsidRPr="00180028">
        <w:rPr>
          <w:rFonts w:ascii="Palatino Linotype" w:hAnsi="Palatino Linotype"/>
          <w:b/>
          <w:bCs/>
          <w:color w:val="000000"/>
          <w:sz w:val="24"/>
          <w:szCs w:val="24"/>
        </w:rPr>
        <w:t>Dispute Resolution</w:t>
      </w:r>
    </w:p>
    <w:p w:rsidRPr="00180028" w:rsidR="002A240D" w:rsidP="002A240D" w:rsidRDefault="002A240D" w14:paraId="1DE160F1" w14:textId="77777777">
      <w:pPr>
        <w:spacing w:before="240" w:after="240"/>
        <w:ind w:left="360"/>
        <w:contextualSpacing/>
        <w:rPr>
          <w:rFonts w:ascii="Palatino Linotype" w:hAnsi="Palatino Linotype"/>
          <w:b/>
          <w:bCs/>
          <w:color w:val="000000"/>
          <w:sz w:val="24"/>
          <w:szCs w:val="24"/>
        </w:rPr>
      </w:pPr>
    </w:p>
    <w:p w:rsidRPr="00180028" w:rsidR="002A240D" w:rsidP="002A240D" w:rsidRDefault="002A240D" w14:paraId="6A50B1DA" w14:textId="77777777">
      <w:pPr>
        <w:widowControl w:val="0"/>
        <w:numPr>
          <w:ilvl w:val="1"/>
          <w:numId w:val="24"/>
        </w:numPr>
        <w:autoSpaceDE w:val="0"/>
        <w:autoSpaceDN w:val="0"/>
        <w:adjustRightInd w:val="0"/>
        <w:spacing w:after="200" w:line="276" w:lineRule="auto"/>
        <w:contextualSpacing/>
        <w:rPr>
          <w:rFonts w:ascii="Palatino Linotype" w:hAnsi="Palatino Linotype"/>
          <w:sz w:val="24"/>
          <w:szCs w:val="24"/>
        </w:rPr>
      </w:pPr>
      <w:r w:rsidRPr="00180028">
        <w:rPr>
          <w:rFonts w:ascii="Palatino Linotype" w:hAnsi="Palatino Linotype"/>
          <w:sz w:val="24"/>
          <w:szCs w:val="24"/>
        </w:rPr>
        <w:t xml:space="preserve">A Stakeholder may bring a dispute under this section for any matter, substantive or procedural, pertaining to the TPR Process.  </w:t>
      </w:r>
    </w:p>
    <w:p w:rsidRPr="00180028" w:rsidR="002A240D" w:rsidP="002A240D" w:rsidRDefault="002A240D" w14:paraId="34C3D54B" w14:textId="77777777">
      <w:pPr>
        <w:spacing w:after="200" w:line="276" w:lineRule="auto"/>
        <w:ind w:left="792"/>
        <w:contextualSpacing/>
        <w:rPr>
          <w:rFonts w:ascii="Palatino Linotype" w:hAnsi="Palatino Linotype"/>
          <w:sz w:val="24"/>
          <w:szCs w:val="24"/>
        </w:rPr>
      </w:pPr>
    </w:p>
    <w:p w:rsidRPr="00180028" w:rsidR="002A240D" w:rsidP="002A240D" w:rsidRDefault="002A240D" w14:paraId="57DA7F5A" w14:textId="77777777">
      <w:pPr>
        <w:widowControl w:val="0"/>
        <w:numPr>
          <w:ilvl w:val="1"/>
          <w:numId w:val="24"/>
        </w:numPr>
        <w:autoSpaceDE w:val="0"/>
        <w:autoSpaceDN w:val="0"/>
        <w:adjustRightInd w:val="0"/>
        <w:spacing w:after="200" w:line="276" w:lineRule="auto"/>
        <w:contextualSpacing/>
        <w:rPr>
          <w:rFonts w:ascii="Palatino Linotype" w:hAnsi="Palatino Linotype"/>
          <w:sz w:val="24"/>
          <w:szCs w:val="24"/>
        </w:rPr>
      </w:pPr>
      <w:r w:rsidRPr="00180028">
        <w:rPr>
          <w:rFonts w:ascii="Palatino Linotype" w:hAnsi="Palatino Linotype"/>
          <w:sz w:val="24"/>
          <w:szCs w:val="24"/>
        </w:rPr>
        <w:t>A dispute will be initiated when a disputing party sends notice to the Utility, with a copy provided to that Utility’s TPR Process distribution list, that it is contesting a determination made by the Utility.</w:t>
      </w:r>
    </w:p>
    <w:p w:rsidRPr="00180028" w:rsidR="002A240D" w:rsidP="002A240D" w:rsidRDefault="002A240D" w14:paraId="7454891E" w14:textId="77777777">
      <w:pPr>
        <w:spacing w:after="200" w:line="276" w:lineRule="auto"/>
        <w:ind w:left="792"/>
        <w:contextualSpacing/>
        <w:rPr>
          <w:rFonts w:ascii="Palatino Linotype" w:hAnsi="Palatino Linotype"/>
          <w:sz w:val="24"/>
          <w:szCs w:val="24"/>
        </w:rPr>
      </w:pPr>
    </w:p>
    <w:p w:rsidRPr="00180028" w:rsidR="002A240D" w:rsidP="002A240D" w:rsidRDefault="002A240D" w14:paraId="6A1D338A" w14:textId="77777777">
      <w:pPr>
        <w:widowControl w:val="0"/>
        <w:numPr>
          <w:ilvl w:val="1"/>
          <w:numId w:val="24"/>
        </w:numPr>
        <w:autoSpaceDE w:val="0"/>
        <w:autoSpaceDN w:val="0"/>
        <w:adjustRightInd w:val="0"/>
        <w:spacing w:after="200" w:line="276" w:lineRule="auto"/>
        <w:contextualSpacing/>
        <w:rPr>
          <w:rFonts w:ascii="Palatino Linotype" w:hAnsi="Palatino Linotype"/>
          <w:sz w:val="24"/>
          <w:szCs w:val="24"/>
        </w:rPr>
      </w:pPr>
      <w:r w:rsidRPr="00180028">
        <w:rPr>
          <w:rFonts w:ascii="Palatino Linotype" w:hAnsi="Palatino Linotype"/>
          <w:sz w:val="24"/>
          <w:szCs w:val="24"/>
        </w:rPr>
        <w:t>Within 30 days of receipt of a notice of dispute, disputing parties and the Utility will meet and attempt to resolve the dispute.  If the disputing parties are unable to resolve the dispute within 30 days of such meeting, the issue will be referred to Energy Division for a determination in the matter.</w:t>
      </w:r>
    </w:p>
    <w:p w:rsidRPr="00180028" w:rsidR="002A240D" w:rsidP="002A240D" w:rsidRDefault="002A240D" w14:paraId="7D4F27D8" w14:textId="77777777">
      <w:pPr>
        <w:spacing w:after="200" w:line="276" w:lineRule="auto"/>
        <w:ind w:left="792"/>
        <w:contextualSpacing/>
        <w:rPr>
          <w:rFonts w:ascii="Palatino Linotype" w:hAnsi="Palatino Linotype"/>
          <w:sz w:val="24"/>
          <w:szCs w:val="24"/>
        </w:rPr>
      </w:pPr>
    </w:p>
    <w:p w:rsidRPr="00CA2252" w:rsidR="002A240D" w:rsidP="002A240D" w:rsidRDefault="002A240D" w14:paraId="5312C536" w14:textId="38E83965">
      <w:pPr>
        <w:spacing w:after="200" w:line="276" w:lineRule="auto"/>
        <w:ind w:left="792"/>
        <w:contextualSpacing/>
        <w:jc w:val="center"/>
        <w:rPr>
          <w:rFonts w:ascii="Palatino Linotype" w:hAnsi="Palatino Linotype"/>
          <w:b/>
          <w:bCs/>
          <w:sz w:val="28"/>
          <w:szCs w:val="28"/>
        </w:rPr>
      </w:pPr>
      <w:r w:rsidRPr="00CA2252">
        <w:rPr>
          <w:rFonts w:ascii="Palatino Linotype" w:hAnsi="Palatino Linotype"/>
          <w:b/>
          <w:bCs/>
          <w:sz w:val="28"/>
          <w:szCs w:val="28"/>
        </w:rPr>
        <w:lastRenderedPageBreak/>
        <w:t>ATTACHMENT B</w:t>
      </w:r>
    </w:p>
    <w:p w:rsidR="002A240D" w:rsidP="002A240D" w:rsidRDefault="002A240D" w14:paraId="3FEE9D26" w14:textId="34C103A1">
      <w:pPr>
        <w:spacing w:after="200" w:line="276" w:lineRule="auto"/>
        <w:ind w:left="792"/>
        <w:contextualSpacing/>
        <w:jc w:val="center"/>
        <w:rPr>
          <w:rFonts w:ascii="Palatino Linotype" w:hAnsi="Palatino Linotype"/>
          <w:b/>
          <w:bCs/>
          <w:sz w:val="24"/>
          <w:szCs w:val="24"/>
        </w:rPr>
      </w:pPr>
    </w:p>
    <w:p w:rsidR="00CA2252" w:rsidP="002A240D" w:rsidRDefault="00CA2252" w14:paraId="6BB508EF" w14:textId="1B24A3AD">
      <w:pPr>
        <w:spacing w:after="200" w:line="276" w:lineRule="auto"/>
        <w:ind w:left="792"/>
        <w:contextualSpacing/>
        <w:jc w:val="center"/>
        <w:rPr>
          <w:rFonts w:ascii="Palatino Linotype" w:hAnsi="Palatino Linotype"/>
          <w:b/>
          <w:bCs/>
          <w:sz w:val="24"/>
          <w:szCs w:val="24"/>
        </w:rPr>
      </w:pPr>
    </w:p>
    <w:p w:rsidR="00CA2252" w:rsidP="002A240D" w:rsidRDefault="00CA2252" w14:paraId="67A7D838" w14:textId="2D1EDB46">
      <w:pPr>
        <w:spacing w:after="200" w:line="276" w:lineRule="auto"/>
        <w:ind w:left="792"/>
        <w:contextualSpacing/>
        <w:jc w:val="center"/>
        <w:rPr>
          <w:rFonts w:ascii="Palatino Linotype" w:hAnsi="Palatino Linotype"/>
          <w:b/>
          <w:bCs/>
          <w:sz w:val="24"/>
          <w:szCs w:val="24"/>
        </w:rPr>
      </w:pPr>
    </w:p>
    <w:p w:rsidRPr="00180028" w:rsidR="00CA2252" w:rsidP="002A240D" w:rsidRDefault="00CA2252" w14:paraId="13CEDABC" w14:textId="77777777">
      <w:pPr>
        <w:spacing w:after="200" w:line="276" w:lineRule="auto"/>
        <w:ind w:left="792"/>
        <w:contextualSpacing/>
        <w:jc w:val="center"/>
        <w:rPr>
          <w:rFonts w:ascii="Palatino Linotype" w:hAnsi="Palatino Linotype"/>
          <w:b/>
          <w:bCs/>
          <w:sz w:val="24"/>
          <w:szCs w:val="24"/>
        </w:rPr>
      </w:pPr>
    </w:p>
    <w:p w:rsidRPr="00180028" w:rsidR="002A240D" w:rsidP="002A240D" w:rsidRDefault="002A240D" w14:paraId="567E9CB6" w14:textId="32F6D665">
      <w:pPr>
        <w:spacing w:after="200" w:line="276" w:lineRule="auto"/>
        <w:ind w:left="792"/>
        <w:contextualSpacing/>
        <w:jc w:val="center"/>
        <w:rPr>
          <w:rFonts w:ascii="Palatino Linotype" w:hAnsi="Palatino Linotype"/>
          <w:b/>
          <w:bCs/>
          <w:sz w:val="24"/>
          <w:szCs w:val="24"/>
        </w:rPr>
      </w:pPr>
      <w:r w:rsidRPr="00180028">
        <w:rPr>
          <w:rFonts w:ascii="Palatino Linotype" w:hAnsi="Palatino Linotype"/>
          <w:b/>
          <w:bCs/>
          <w:sz w:val="24"/>
          <w:szCs w:val="24"/>
        </w:rPr>
        <w:t>E-5252 Draft Transmission Project Review Process Data Template in an Accompanying Excel File.</w:t>
      </w:r>
    </w:p>
    <w:p w:rsidRPr="00180028" w:rsidR="008150D6" w:rsidP="0066182A" w:rsidRDefault="008150D6" w14:paraId="47FD45AB" w14:textId="77777777">
      <w:pPr>
        <w:jc w:val="both"/>
        <w:rPr>
          <w:rFonts w:ascii="Palatino Linotype" w:hAnsi="Palatino Linotype"/>
          <w:sz w:val="24"/>
          <w:szCs w:val="24"/>
        </w:rPr>
      </w:pPr>
    </w:p>
    <w:p w:rsidRPr="00180028" w:rsidR="002A240D" w:rsidRDefault="002A240D" w14:paraId="451414FA" w14:textId="428BBC1B">
      <w:pPr>
        <w:rPr>
          <w:rFonts w:ascii="Palatino Linotype" w:hAnsi="Palatino Linotype"/>
          <w:sz w:val="24"/>
          <w:szCs w:val="24"/>
        </w:rPr>
      </w:pPr>
      <w:r w:rsidRPr="00180028">
        <w:rPr>
          <w:rFonts w:ascii="Palatino Linotype" w:hAnsi="Palatino Linotype"/>
          <w:sz w:val="24"/>
          <w:szCs w:val="24"/>
        </w:rPr>
        <w:br w:type="page"/>
      </w:r>
    </w:p>
    <w:p w:rsidRPr="00CA2252" w:rsidR="008150D6" w:rsidP="002A240D" w:rsidRDefault="002A240D" w14:paraId="05BC225E" w14:textId="0997939C">
      <w:pPr>
        <w:jc w:val="center"/>
        <w:rPr>
          <w:rFonts w:ascii="Palatino Linotype" w:hAnsi="Palatino Linotype"/>
          <w:b/>
          <w:bCs/>
          <w:sz w:val="28"/>
          <w:szCs w:val="28"/>
        </w:rPr>
      </w:pPr>
      <w:r w:rsidRPr="00CA2252">
        <w:rPr>
          <w:rFonts w:ascii="Palatino Linotype" w:hAnsi="Palatino Linotype"/>
          <w:b/>
          <w:bCs/>
          <w:sz w:val="28"/>
          <w:szCs w:val="28"/>
        </w:rPr>
        <w:lastRenderedPageBreak/>
        <w:t>ATTACHMENT C</w:t>
      </w:r>
    </w:p>
    <w:p w:rsidRPr="00180028" w:rsidR="002A240D" w:rsidP="0066182A" w:rsidRDefault="002A240D" w14:paraId="17068F75" w14:textId="77777777">
      <w:pPr>
        <w:jc w:val="both"/>
        <w:rPr>
          <w:rFonts w:ascii="Palatino Linotype" w:hAnsi="Palatino Linotype"/>
          <w:sz w:val="24"/>
          <w:szCs w:val="24"/>
        </w:rPr>
      </w:pPr>
    </w:p>
    <w:p w:rsidRPr="00180028" w:rsidR="002A240D" w:rsidP="002A240D" w:rsidRDefault="002A240D" w14:paraId="5FF6E290" w14:textId="244799D4">
      <w:pPr>
        <w:widowControl w:val="0"/>
        <w:autoSpaceDE w:val="0"/>
        <w:autoSpaceDN w:val="0"/>
        <w:adjustRightInd w:val="0"/>
        <w:jc w:val="center"/>
        <w:rPr>
          <w:rFonts w:ascii="Palatino Linotype" w:hAnsi="Palatino Linotype"/>
          <w:b/>
          <w:bCs/>
          <w:color w:val="000000"/>
          <w:sz w:val="24"/>
          <w:szCs w:val="24"/>
          <w:u w:val="single"/>
        </w:rPr>
      </w:pPr>
      <w:r w:rsidRPr="00180028">
        <w:rPr>
          <w:rFonts w:ascii="Palatino Linotype" w:hAnsi="Palatino Linotype"/>
          <w:b/>
          <w:bCs/>
          <w:color w:val="000000"/>
          <w:sz w:val="24"/>
          <w:szCs w:val="24"/>
          <w:u w:val="single"/>
        </w:rPr>
        <w:t>DRAFT SCHEDULE FOR TRANSMISSION PROJECT REVIEW PROCESS, TO #1</w:t>
      </w:r>
    </w:p>
    <w:p w:rsidRPr="00180028" w:rsidR="002A240D" w:rsidP="002A240D" w:rsidRDefault="002A240D" w14:paraId="1D5EA6A6" w14:textId="77777777">
      <w:pPr>
        <w:widowControl w:val="0"/>
        <w:autoSpaceDE w:val="0"/>
        <w:autoSpaceDN w:val="0"/>
        <w:adjustRightInd w:val="0"/>
        <w:rPr>
          <w:rFonts w:ascii="Palatino Linotype" w:hAnsi="Palatino Linotype"/>
          <w:color w:val="000000"/>
          <w:sz w:val="24"/>
          <w:szCs w:val="24"/>
          <w:u w:val="single"/>
        </w:rPr>
      </w:pPr>
    </w:p>
    <w:p w:rsidRPr="00180028" w:rsidR="002A240D" w:rsidP="002A240D" w:rsidRDefault="002A240D" w14:paraId="532BFD34"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November 1</w:t>
      </w:r>
      <w:r w:rsidRPr="00180028">
        <w:rPr>
          <w:rFonts w:ascii="Palatino Linotype" w:hAnsi="Palatino Linotype"/>
          <w:color w:val="000000"/>
          <w:sz w:val="24"/>
          <w:szCs w:val="24"/>
          <w:u w:val="single"/>
          <w:vertAlign w:val="superscript"/>
        </w:rPr>
        <w:footnoteReference w:id="21"/>
      </w:r>
      <w:r w:rsidRPr="00180028">
        <w:rPr>
          <w:rFonts w:ascii="Palatino Linotype" w:hAnsi="Palatino Linotype"/>
          <w:color w:val="000000"/>
          <w:sz w:val="24"/>
          <w:szCs w:val="24"/>
        </w:rPr>
        <w:t>: Utility releases semi-annual Project Spreadsheet, which should correspond with the Utility’s Formula Rate or Annual Update filing at FERC for the following rate year in its TO rate case.</w:t>
      </w:r>
    </w:p>
    <w:p w:rsidRPr="00180028" w:rsidR="002A240D" w:rsidP="002A240D" w:rsidRDefault="002A240D" w14:paraId="599D97FE"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December 15:</w:t>
      </w:r>
      <w:r w:rsidRPr="00180028">
        <w:rPr>
          <w:rFonts w:ascii="Palatino Linotype" w:hAnsi="Palatino Linotype"/>
          <w:color w:val="000000"/>
          <w:sz w:val="24"/>
          <w:szCs w:val="24"/>
        </w:rPr>
        <w:t xml:space="preserve"> Deadline for Stakeholders to provide questions and comments related to the Project Spreadsheet</w:t>
      </w:r>
      <w:r w:rsidRPr="00180028">
        <w:rPr>
          <w:rFonts w:ascii="Palatino Linotype" w:hAnsi="Palatino Linotype"/>
          <w:color w:val="000000"/>
          <w:sz w:val="24"/>
          <w:szCs w:val="24"/>
          <w:vertAlign w:val="superscript"/>
        </w:rPr>
        <w:footnoteReference w:id="22"/>
      </w:r>
      <w:r w:rsidRPr="00180028">
        <w:rPr>
          <w:rFonts w:ascii="Palatino Linotype" w:hAnsi="Palatino Linotype"/>
          <w:color w:val="000000"/>
          <w:sz w:val="24"/>
          <w:szCs w:val="24"/>
        </w:rPr>
        <w:t xml:space="preserve"> provided on November 1.</w:t>
      </w:r>
      <w:r w:rsidRPr="00180028">
        <w:rPr>
          <w:rFonts w:ascii="Palatino Linotype" w:hAnsi="Palatino Linotype"/>
          <w:color w:val="000000"/>
          <w:sz w:val="24"/>
          <w:szCs w:val="24"/>
          <w:vertAlign w:val="superscript"/>
        </w:rPr>
        <w:footnoteReference w:id="23"/>
      </w:r>
    </w:p>
    <w:p w:rsidRPr="00180028" w:rsidR="002A240D" w:rsidP="002A240D" w:rsidRDefault="002A240D" w14:paraId="0DDCDEE4" w14:textId="77777777">
      <w:pPr>
        <w:widowControl w:val="0"/>
        <w:autoSpaceDE w:val="0"/>
        <w:autoSpaceDN w:val="0"/>
        <w:adjustRightInd w:val="0"/>
        <w:spacing w:after="240"/>
        <w:rPr>
          <w:rFonts w:ascii="Palatino Linotype" w:hAnsi="Palatino Linotype"/>
          <w:color w:val="000000"/>
          <w:sz w:val="24"/>
          <w:szCs w:val="24"/>
          <w:u w:val="single"/>
        </w:rPr>
      </w:pPr>
      <w:r w:rsidRPr="00180028">
        <w:rPr>
          <w:rFonts w:ascii="Palatino Linotype" w:hAnsi="Palatino Linotype"/>
          <w:color w:val="000000"/>
          <w:sz w:val="24"/>
          <w:szCs w:val="24"/>
          <w:u w:val="single"/>
        </w:rPr>
        <w:t>January 1:</w:t>
      </w:r>
      <w:r w:rsidRPr="00180028">
        <w:rPr>
          <w:rFonts w:ascii="Palatino Linotype" w:hAnsi="Palatino Linotype"/>
          <w:color w:val="000000"/>
          <w:sz w:val="24"/>
          <w:szCs w:val="24"/>
        </w:rPr>
        <w:t xml:space="preserve"> Utility distributes and publishes written responses to the December 15 comments and questions.</w:t>
      </w:r>
    </w:p>
    <w:p w:rsidRPr="00180028" w:rsidR="002A240D" w:rsidP="002A240D" w:rsidRDefault="002A240D" w14:paraId="6D5F8EB7"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February 1-7:</w:t>
      </w:r>
      <w:r w:rsidRPr="00180028">
        <w:rPr>
          <w:rFonts w:ascii="Palatino Linotype" w:hAnsi="Palatino Linotype"/>
          <w:color w:val="000000"/>
          <w:sz w:val="24"/>
          <w:szCs w:val="24"/>
        </w:rPr>
        <w:t xml:space="preserve"> Utility hosts the first Stakeholder meeting for the TPR Process, to include review of the Utility’s most current Project Spreadsheet, objectives, assumptions, and forecasted deliverables for the current year, as well as the opportunity for Stakeholders to identify new Projects or Project alternatives.  Utility responds to Stakeholders’ new questions, including any follow-up questions from the Utility’s responses to Stakeholders on January 1. Starting in year two, the process will also include reporting on the prior year’s TPR Process and the Utility’s identification and explanation of modifications to key elements and assumptions relied upon in the prior year’s TPR Process.</w:t>
      </w:r>
    </w:p>
    <w:p w:rsidRPr="00180028" w:rsidR="002A240D" w:rsidP="002A240D" w:rsidRDefault="002A240D" w14:paraId="05F30409"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February 15-21</w:t>
      </w:r>
      <w:r w:rsidRPr="00180028">
        <w:rPr>
          <w:rFonts w:ascii="Palatino Linotype" w:hAnsi="Palatino Linotype"/>
          <w:color w:val="000000"/>
          <w:sz w:val="24"/>
          <w:szCs w:val="24"/>
        </w:rPr>
        <w:t>: Stakeholders provide questions and comments within 14 days following the February Stakeholder meeting.</w:t>
      </w:r>
    </w:p>
    <w:p w:rsidRPr="00180028" w:rsidR="002A240D" w:rsidP="002A240D" w:rsidRDefault="002A240D" w14:paraId="56EE82FE"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March 15</w:t>
      </w:r>
      <w:r w:rsidRPr="00180028">
        <w:rPr>
          <w:rFonts w:ascii="Palatino Linotype" w:hAnsi="Palatino Linotype"/>
          <w:color w:val="000000"/>
          <w:sz w:val="24"/>
          <w:szCs w:val="24"/>
        </w:rPr>
        <w:t xml:space="preserve">: Utility distributes and publishes written responses to the mid-February comments and questions from Stakeholders. </w:t>
      </w:r>
    </w:p>
    <w:p w:rsidRPr="00180028" w:rsidR="002A240D" w:rsidP="002A240D" w:rsidRDefault="002A240D" w14:paraId="17242D2E"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 xml:space="preserve">April 1: </w:t>
      </w:r>
      <w:r w:rsidRPr="00180028">
        <w:rPr>
          <w:rFonts w:ascii="Palatino Linotype" w:hAnsi="Palatino Linotype"/>
          <w:color w:val="000000"/>
          <w:sz w:val="24"/>
          <w:szCs w:val="24"/>
        </w:rPr>
        <w:t xml:space="preserve">Stakeholders may provide comments to the Utility by this date.  There is no expectation that the Utility will provide a written response to these comments. </w:t>
      </w:r>
    </w:p>
    <w:p w:rsidRPr="00180028" w:rsidR="002A240D" w:rsidP="002A240D" w:rsidRDefault="002A240D" w14:paraId="61E60E8F"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 xml:space="preserve">May 1: </w:t>
      </w:r>
      <w:r w:rsidRPr="00180028">
        <w:rPr>
          <w:rFonts w:ascii="Palatino Linotype" w:hAnsi="Palatino Linotype"/>
          <w:color w:val="000000"/>
          <w:sz w:val="24"/>
          <w:szCs w:val="24"/>
        </w:rPr>
        <w:t xml:space="preserve">Utility releases semi-annual TPR Process Spreadsheet, which should correspond </w:t>
      </w:r>
      <w:r w:rsidRPr="00180028">
        <w:rPr>
          <w:rFonts w:ascii="Palatino Linotype" w:hAnsi="Palatino Linotype"/>
          <w:color w:val="000000"/>
          <w:sz w:val="24"/>
          <w:szCs w:val="24"/>
        </w:rPr>
        <w:lastRenderedPageBreak/>
        <w:t>with the capital Projects in the Utility’s Draft Annual Update for the following rate year in its TO rate case at FERC.</w:t>
      </w:r>
    </w:p>
    <w:p w:rsidRPr="00180028" w:rsidR="002A240D" w:rsidP="002A240D" w:rsidRDefault="002A240D" w14:paraId="51C95D6A"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June 15</w:t>
      </w:r>
      <w:r w:rsidRPr="00180028">
        <w:rPr>
          <w:rFonts w:ascii="Palatino Linotype" w:hAnsi="Palatino Linotype"/>
          <w:color w:val="000000"/>
          <w:sz w:val="24"/>
          <w:szCs w:val="24"/>
        </w:rPr>
        <w:t>: Deadline for Stakeholders to provide questions and comments related to the Project Spreadsheet provided on May 1.</w:t>
      </w:r>
    </w:p>
    <w:p w:rsidRPr="00180028" w:rsidR="002A240D" w:rsidP="002A240D" w:rsidRDefault="002A240D" w14:paraId="351180B4" w14:textId="77777777">
      <w:pPr>
        <w:widowControl w:val="0"/>
        <w:autoSpaceDE w:val="0"/>
        <w:autoSpaceDN w:val="0"/>
        <w:adjustRightInd w:val="0"/>
        <w:spacing w:after="240"/>
        <w:rPr>
          <w:rFonts w:ascii="Palatino Linotype" w:hAnsi="Palatino Linotype"/>
          <w:color w:val="000000"/>
          <w:sz w:val="24"/>
          <w:szCs w:val="24"/>
          <w:u w:val="single"/>
        </w:rPr>
      </w:pPr>
      <w:r w:rsidRPr="00180028">
        <w:rPr>
          <w:rFonts w:ascii="Palatino Linotype" w:hAnsi="Palatino Linotype"/>
          <w:color w:val="000000"/>
          <w:sz w:val="24"/>
          <w:szCs w:val="24"/>
          <w:u w:val="single"/>
        </w:rPr>
        <w:t>July 1</w:t>
      </w:r>
      <w:r w:rsidRPr="00180028">
        <w:rPr>
          <w:rFonts w:ascii="Palatino Linotype" w:hAnsi="Palatino Linotype"/>
          <w:color w:val="000000"/>
          <w:sz w:val="24"/>
          <w:szCs w:val="24"/>
        </w:rPr>
        <w:t>:  Utility distributes and publishes written responses to the June 15 comments and questions from Stakeholders.</w:t>
      </w:r>
    </w:p>
    <w:p w:rsidRPr="00180028" w:rsidR="002A240D" w:rsidP="002A240D" w:rsidRDefault="002A240D" w14:paraId="7B834105"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August 1-7</w:t>
      </w:r>
      <w:r w:rsidRPr="00180028">
        <w:rPr>
          <w:rFonts w:ascii="Palatino Linotype" w:hAnsi="Palatino Linotype"/>
          <w:color w:val="000000"/>
          <w:sz w:val="24"/>
          <w:szCs w:val="24"/>
        </w:rPr>
        <w:t>:</w:t>
      </w:r>
      <w:r w:rsidRPr="00180028" w:rsidDel="00D41187">
        <w:rPr>
          <w:rFonts w:ascii="Palatino Linotype" w:hAnsi="Palatino Linotype"/>
          <w:color w:val="000000"/>
          <w:sz w:val="24"/>
          <w:szCs w:val="24"/>
        </w:rPr>
        <w:t xml:space="preserve"> </w:t>
      </w:r>
      <w:r w:rsidRPr="00180028">
        <w:rPr>
          <w:rFonts w:ascii="Palatino Linotype" w:hAnsi="Palatino Linotype"/>
          <w:color w:val="000000"/>
          <w:sz w:val="24"/>
          <w:szCs w:val="24"/>
        </w:rPr>
        <w:t xml:space="preserve"> Utility hosts second Stakeholder meeting to discuss, without limitation, specific Projects, Project programs, work categories, and procedures; to answer questions related to the contents of the Project Spreadsheet; and to highlight known material updates from the May 1 Project Spreadsheet. Utility will identify and discuss proposed changes impacting the year’s Project planning, prioritization, and implementation of Projects.</w:t>
      </w:r>
    </w:p>
    <w:p w:rsidRPr="00180028" w:rsidR="002A240D" w:rsidP="002A240D" w:rsidRDefault="002A240D" w14:paraId="75624F87" w14:textId="77777777">
      <w:pPr>
        <w:widowControl w:val="0"/>
        <w:autoSpaceDE w:val="0"/>
        <w:autoSpaceDN w:val="0"/>
        <w:adjustRightInd w:val="0"/>
        <w:rPr>
          <w:rFonts w:ascii="Palatino Linotype" w:hAnsi="Palatino Linotype"/>
          <w:color w:val="000000"/>
          <w:sz w:val="24"/>
          <w:szCs w:val="24"/>
        </w:rPr>
      </w:pPr>
      <w:r w:rsidRPr="00180028">
        <w:rPr>
          <w:rFonts w:ascii="Palatino Linotype" w:hAnsi="Palatino Linotype"/>
          <w:color w:val="000000"/>
          <w:sz w:val="24"/>
          <w:szCs w:val="24"/>
          <w:u w:val="single"/>
        </w:rPr>
        <w:t>August 15:</w:t>
      </w:r>
      <w:r w:rsidRPr="00180028">
        <w:rPr>
          <w:rFonts w:ascii="Palatino Linotype" w:hAnsi="Palatino Linotype"/>
          <w:color w:val="000000"/>
          <w:sz w:val="24"/>
          <w:szCs w:val="24"/>
        </w:rPr>
        <w:t xml:space="preserve"> Stakeholders provide questions and comments within 14 days following the August Stakeholder meeting.</w:t>
      </w:r>
    </w:p>
    <w:p w:rsidRPr="00180028" w:rsidR="002A240D" w:rsidP="002A240D" w:rsidRDefault="002A240D" w14:paraId="5791F1D7" w14:textId="77777777">
      <w:pPr>
        <w:widowControl w:val="0"/>
        <w:autoSpaceDE w:val="0"/>
        <w:autoSpaceDN w:val="0"/>
        <w:adjustRightInd w:val="0"/>
        <w:rPr>
          <w:rFonts w:ascii="Palatino Linotype" w:hAnsi="Palatino Linotype"/>
          <w:color w:val="000000"/>
          <w:sz w:val="24"/>
          <w:szCs w:val="24"/>
        </w:rPr>
      </w:pPr>
    </w:p>
    <w:p w:rsidRPr="00180028" w:rsidR="002A240D" w:rsidP="002A240D" w:rsidRDefault="002A240D" w14:paraId="14F7B26E"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September 15</w:t>
      </w:r>
      <w:r w:rsidRPr="00180028">
        <w:rPr>
          <w:rFonts w:ascii="Palatino Linotype" w:hAnsi="Palatino Linotype"/>
          <w:color w:val="000000"/>
          <w:sz w:val="24"/>
          <w:szCs w:val="24"/>
        </w:rPr>
        <w:t>:  Utility distributes and publishes written responses to the mid-August comments and questions from Stakeholders.</w:t>
      </w:r>
      <w:r w:rsidRPr="00180028" w:rsidDel="001E1A07">
        <w:rPr>
          <w:rFonts w:ascii="Palatino Linotype" w:hAnsi="Palatino Linotype"/>
          <w:color w:val="000000"/>
          <w:sz w:val="24"/>
          <w:szCs w:val="24"/>
        </w:rPr>
        <w:t xml:space="preserve"> </w:t>
      </w:r>
    </w:p>
    <w:p w:rsidRPr="00180028" w:rsidR="002A240D" w:rsidP="002A240D" w:rsidRDefault="002A240D" w14:paraId="7D84D9F5" w14:textId="77777777">
      <w:pPr>
        <w:widowControl w:val="0"/>
        <w:autoSpaceDE w:val="0"/>
        <w:autoSpaceDN w:val="0"/>
        <w:adjustRightInd w:val="0"/>
        <w:spacing w:after="240"/>
        <w:rPr>
          <w:rFonts w:ascii="Palatino Linotype" w:hAnsi="Palatino Linotype"/>
          <w:color w:val="000000"/>
          <w:sz w:val="24"/>
          <w:szCs w:val="24"/>
          <w:u w:val="single"/>
        </w:rPr>
      </w:pPr>
      <w:r w:rsidRPr="00180028">
        <w:rPr>
          <w:rFonts w:ascii="Palatino Linotype" w:hAnsi="Palatino Linotype"/>
          <w:color w:val="000000"/>
          <w:sz w:val="24"/>
          <w:szCs w:val="24"/>
          <w:u w:val="single"/>
        </w:rPr>
        <w:t xml:space="preserve">October 1: </w:t>
      </w:r>
      <w:r w:rsidRPr="00180028">
        <w:rPr>
          <w:rFonts w:ascii="Palatino Linotype" w:hAnsi="Palatino Linotype"/>
          <w:color w:val="000000"/>
          <w:sz w:val="24"/>
          <w:szCs w:val="24"/>
        </w:rPr>
        <w:t>Stakeholders may provide comments to the Utility by this date.  There is no expectation that the Utility will provide a written response to these comments.</w:t>
      </w:r>
      <w:r w:rsidRPr="00180028">
        <w:rPr>
          <w:rFonts w:ascii="Palatino Linotype" w:hAnsi="Palatino Linotype"/>
          <w:color w:val="000000"/>
          <w:sz w:val="24"/>
          <w:szCs w:val="24"/>
          <w:u w:val="single"/>
        </w:rPr>
        <w:t xml:space="preserve"> </w:t>
      </w:r>
    </w:p>
    <w:p w:rsidRPr="00180028" w:rsidR="002A240D" w:rsidP="002A240D" w:rsidRDefault="002A240D" w14:paraId="6CAA8E74"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November 1</w:t>
      </w:r>
      <w:r w:rsidRPr="00180028">
        <w:rPr>
          <w:rFonts w:ascii="Palatino Linotype" w:hAnsi="Palatino Linotype"/>
          <w:color w:val="000000"/>
          <w:sz w:val="24"/>
          <w:szCs w:val="24"/>
        </w:rPr>
        <w:t>: Utility releases semi-annual Project Spreadsheet, which should correspond with the Utility’s Formula Rate or Annual Update filing at FERC for the following rate year in its TO rate case.</w:t>
      </w:r>
    </w:p>
    <w:p w:rsidRPr="00180028" w:rsidR="002A240D" w:rsidP="002A240D" w:rsidRDefault="002A240D" w14:paraId="6627DB1E" w14:textId="77777777">
      <w:pPr>
        <w:widowControl w:val="0"/>
        <w:autoSpaceDE w:val="0"/>
        <w:autoSpaceDN w:val="0"/>
        <w:adjustRightInd w:val="0"/>
        <w:rPr>
          <w:rFonts w:ascii="Palatino Linotype" w:hAnsi="Palatino Linotype"/>
          <w:sz w:val="24"/>
          <w:szCs w:val="24"/>
        </w:rPr>
      </w:pPr>
    </w:p>
    <w:p w:rsidRPr="00180028" w:rsidR="002A240D" w:rsidP="00CA2252" w:rsidRDefault="002A240D" w14:paraId="0FF5107C" w14:textId="5AC81478">
      <w:pPr>
        <w:widowControl w:val="0"/>
        <w:autoSpaceDE w:val="0"/>
        <w:autoSpaceDN w:val="0"/>
        <w:adjustRightInd w:val="0"/>
        <w:ind w:left="-90" w:right="-90"/>
        <w:jc w:val="center"/>
        <w:rPr>
          <w:rFonts w:ascii="Palatino Linotype" w:hAnsi="Palatino Linotype"/>
          <w:color w:val="000000"/>
          <w:sz w:val="24"/>
          <w:szCs w:val="24"/>
          <w:u w:val="single"/>
        </w:rPr>
      </w:pPr>
      <w:r w:rsidRPr="00180028">
        <w:rPr>
          <w:rFonts w:ascii="Palatino Linotype" w:hAnsi="Palatino Linotype"/>
          <w:b/>
          <w:bCs/>
          <w:color w:val="000000"/>
          <w:sz w:val="24"/>
          <w:szCs w:val="24"/>
          <w:u w:val="single"/>
        </w:rPr>
        <w:t>PROPOSED SCHEDULE FOR TRANSMISSION PROJECT REVIEW PROCESS TO #2</w:t>
      </w:r>
    </w:p>
    <w:p w:rsidR="00CA2252" w:rsidP="00CA2252" w:rsidRDefault="00CA2252" w14:paraId="6217167D" w14:textId="77777777">
      <w:pPr>
        <w:widowControl w:val="0"/>
        <w:autoSpaceDE w:val="0"/>
        <w:autoSpaceDN w:val="0"/>
        <w:adjustRightInd w:val="0"/>
        <w:rPr>
          <w:rFonts w:ascii="Palatino Linotype" w:hAnsi="Palatino Linotype"/>
          <w:color w:val="000000"/>
          <w:sz w:val="24"/>
          <w:szCs w:val="24"/>
          <w:u w:val="single"/>
        </w:rPr>
      </w:pPr>
    </w:p>
    <w:p w:rsidRPr="00180028" w:rsidR="002A240D" w:rsidP="002A240D" w:rsidRDefault="002A240D" w14:paraId="47861021" w14:textId="7C5BA00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December 1</w:t>
      </w:r>
      <w:r w:rsidRPr="00180028">
        <w:rPr>
          <w:rFonts w:ascii="Palatino Linotype" w:hAnsi="Palatino Linotype"/>
          <w:color w:val="000000"/>
          <w:sz w:val="24"/>
          <w:szCs w:val="24"/>
          <w:u w:val="single"/>
          <w:vertAlign w:val="superscript"/>
        </w:rPr>
        <w:footnoteReference w:id="24"/>
      </w:r>
      <w:r w:rsidRPr="00180028">
        <w:rPr>
          <w:rFonts w:ascii="Palatino Linotype" w:hAnsi="Palatino Linotype"/>
          <w:color w:val="000000"/>
          <w:sz w:val="24"/>
          <w:szCs w:val="24"/>
        </w:rPr>
        <w:t>: Utility releases semi-annual Project Spreadsheet, which should correspond with the Utility’s Formula Rate or Annual Update filing at FERC for the following rate year in its TO rate case.</w:t>
      </w:r>
    </w:p>
    <w:p w:rsidRPr="00180028" w:rsidR="002A240D" w:rsidP="002A240D" w:rsidRDefault="002A240D" w14:paraId="7D25ACD5"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January 15:</w:t>
      </w:r>
      <w:r w:rsidRPr="00180028">
        <w:rPr>
          <w:rFonts w:ascii="Palatino Linotype" w:hAnsi="Palatino Linotype"/>
          <w:color w:val="000000"/>
          <w:sz w:val="24"/>
          <w:szCs w:val="24"/>
        </w:rPr>
        <w:t xml:space="preserve"> Deadline for Stakeholders to provide questions and comments related to the </w:t>
      </w:r>
      <w:r w:rsidRPr="00180028">
        <w:rPr>
          <w:rFonts w:ascii="Palatino Linotype" w:hAnsi="Palatino Linotype"/>
          <w:color w:val="000000"/>
          <w:sz w:val="24"/>
          <w:szCs w:val="24"/>
        </w:rPr>
        <w:lastRenderedPageBreak/>
        <w:t>Project Spreadsheet</w:t>
      </w:r>
      <w:r w:rsidRPr="00180028">
        <w:rPr>
          <w:rFonts w:ascii="Palatino Linotype" w:hAnsi="Palatino Linotype"/>
          <w:color w:val="000000"/>
          <w:sz w:val="24"/>
          <w:szCs w:val="24"/>
          <w:vertAlign w:val="superscript"/>
        </w:rPr>
        <w:footnoteReference w:id="25"/>
      </w:r>
      <w:r w:rsidRPr="00180028">
        <w:rPr>
          <w:rFonts w:ascii="Palatino Linotype" w:hAnsi="Palatino Linotype"/>
          <w:color w:val="000000"/>
          <w:sz w:val="24"/>
          <w:szCs w:val="24"/>
        </w:rPr>
        <w:t xml:space="preserve"> provided on December 1.</w:t>
      </w:r>
      <w:r w:rsidRPr="00180028">
        <w:rPr>
          <w:rFonts w:ascii="Palatino Linotype" w:hAnsi="Palatino Linotype"/>
          <w:color w:val="000000"/>
          <w:sz w:val="24"/>
          <w:szCs w:val="24"/>
          <w:vertAlign w:val="superscript"/>
        </w:rPr>
        <w:footnoteReference w:id="26"/>
      </w:r>
    </w:p>
    <w:p w:rsidRPr="00180028" w:rsidR="002A240D" w:rsidP="002A240D" w:rsidRDefault="002A240D" w14:paraId="29646855" w14:textId="77777777">
      <w:pPr>
        <w:widowControl w:val="0"/>
        <w:autoSpaceDE w:val="0"/>
        <w:autoSpaceDN w:val="0"/>
        <w:adjustRightInd w:val="0"/>
        <w:spacing w:after="240"/>
        <w:rPr>
          <w:rFonts w:ascii="Palatino Linotype" w:hAnsi="Palatino Linotype"/>
          <w:color w:val="000000"/>
          <w:sz w:val="24"/>
          <w:szCs w:val="24"/>
          <w:u w:val="single"/>
        </w:rPr>
      </w:pPr>
      <w:r w:rsidRPr="00180028">
        <w:rPr>
          <w:rFonts w:ascii="Palatino Linotype" w:hAnsi="Palatino Linotype"/>
          <w:color w:val="000000"/>
          <w:sz w:val="24"/>
          <w:szCs w:val="24"/>
          <w:u w:val="single"/>
        </w:rPr>
        <w:t>February 1:</w:t>
      </w:r>
      <w:r w:rsidRPr="00180028">
        <w:rPr>
          <w:rFonts w:ascii="Palatino Linotype" w:hAnsi="Palatino Linotype"/>
          <w:color w:val="000000"/>
          <w:sz w:val="24"/>
          <w:szCs w:val="24"/>
        </w:rPr>
        <w:t xml:space="preserve"> Utility distributes and publishes written responses to the January 15 comments and questions.</w:t>
      </w:r>
    </w:p>
    <w:p w:rsidRPr="00180028" w:rsidR="002A240D" w:rsidP="002A240D" w:rsidRDefault="002A240D" w14:paraId="0C034F96"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March 1-7:</w:t>
      </w:r>
      <w:r w:rsidRPr="00180028">
        <w:rPr>
          <w:rFonts w:ascii="Palatino Linotype" w:hAnsi="Palatino Linotype"/>
          <w:color w:val="000000"/>
          <w:sz w:val="24"/>
          <w:szCs w:val="24"/>
        </w:rPr>
        <w:t xml:space="preserve"> Utility hosts the first Stakeholder meeting for the TPR Process, to include review of the Utility’s most current Project Spreadsheet, objectives, assumptions, and forecasted deliverables for the current year, as well as the opportunity for Stakeholders to identify new Projects or Project alternatives.  Utility responds to Stakeholders’ new questions, including any follow-up questions from the Utility’s responses to Stakeholders on February 1. Starting in year two, the process will also include reporting on the prior year’s TPR Process and the Utility’s identification and explanation of modifications to key elements and assumptions relied upon in the prior year’s TPR Process.</w:t>
      </w:r>
    </w:p>
    <w:p w:rsidRPr="00180028" w:rsidR="002A240D" w:rsidP="002A240D" w:rsidRDefault="002A240D" w14:paraId="7610E4A3"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March 15-21</w:t>
      </w:r>
      <w:r w:rsidRPr="00180028">
        <w:rPr>
          <w:rFonts w:ascii="Palatino Linotype" w:hAnsi="Palatino Linotype"/>
          <w:color w:val="000000"/>
          <w:sz w:val="24"/>
          <w:szCs w:val="24"/>
        </w:rPr>
        <w:t>: Stakeholders provide questions and comments within 14 days following the March Stakeholder meeting.</w:t>
      </w:r>
    </w:p>
    <w:p w:rsidRPr="00180028" w:rsidR="002A240D" w:rsidP="002A240D" w:rsidRDefault="002A240D" w14:paraId="0120356F"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April 15</w:t>
      </w:r>
      <w:r w:rsidRPr="00180028">
        <w:rPr>
          <w:rFonts w:ascii="Palatino Linotype" w:hAnsi="Palatino Linotype"/>
          <w:color w:val="000000"/>
          <w:sz w:val="24"/>
          <w:szCs w:val="24"/>
        </w:rPr>
        <w:t xml:space="preserve">: Utility distributes and publishes written responses to the mid-March comments and questions from Stakeholders. </w:t>
      </w:r>
    </w:p>
    <w:p w:rsidRPr="00180028" w:rsidR="002A240D" w:rsidP="002A240D" w:rsidRDefault="002A240D" w14:paraId="4BAE8C4F"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 xml:space="preserve">May 1: </w:t>
      </w:r>
      <w:r w:rsidRPr="00180028">
        <w:rPr>
          <w:rFonts w:ascii="Palatino Linotype" w:hAnsi="Palatino Linotype"/>
          <w:color w:val="000000"/>
          <w:sz w:val="24"/>
          <w:szCs w:val="24"/>
        </w:rPr>
        <w:t xml:space="preserve">Stakeholders may provide comments to the Utility by this date.  There is no expectation that the Utility will provide a written response to these comments. </w:t>
      </w:r>
    </w:p>
    <w:p w:rsidRPr="00180028" w:rsidR="002A240D" w:rsidP="002A240D" w:rsidRDefault="002A240D" w14:paraId="02499A41"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 xml:space="preserve">June 1: </w:t>
      </w:r>
      <w:r w:rsidRPr="00180028">
        <w:rPr>
          <w:rFonts w:ascii="Palatino Linotype" w:hAnsi="Palatino Linotype"/>
          <w:color w:val="000000"/>
          <w:sz w:val="24"/>
          <w:szCs w:val="24"/>
        </w:rPr>
        <w:t>Utility releases semi-annual TPR Process Spreadsheet, which should correspond with the capital Projects in the Utility’s Draft Annual Update for the following rate year in its TO rate case at FERC.</w:t>
      </w:r>
    </w:p>
    <w:p w:rsidRPr="00180028" w:rsidR="002A240D" w:rsidP="002A240D" w:rsidRDefault="002A240D" w14:paraId="5CAF6F9A"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July 15</w:t>
      </w:r>
      <w:r w:rsidRPr="00180028">
        <w:rPr>
          <w:rFonts w:ascii="Palatino Linotype" w:hAnsi="Palatino Linotype"/>
          <w:color w:val="000000"/>
          <w:sz w:val="24"/>
          <w:szCs w:val="24"/>
        </w:rPr>
        <w:t>: Deadline for Stakeholders to provide questions and comments related to the Project Spreadsheet provided on June 1.</w:t>
      </w:r>
    </w:p>
    <w:p w:rsidRPr="00180028" w:rsidR="002A240D" w:rsidP="002A240D" w:rsidRDefault="002A240D" w14:paraId="5159456E" w14:textId="77777777">
      <w:pPr>
        <w:widowControl w:val="0"/>
        <w:autoSpaceDE w:val="0"/>
        <w:autoSpaceDN w:val="0"/>
        <w:adjustRightInd w:val="0"/>
        <w:spacing w:after="240"/>
        <w:rPr>
          <w:rFonts w:ascii="Palatino Linotype" w:hAnsi="Palatino Linotype"/>
          <w:color w:val="000000"/>
          <w:sz w:val="24"/>
          <w:szCs w:val="24"/>
          <w:u w:val="single"/>
        </w:rPr>
      </w:pPr>
      <w:r w:rsidRPr="00180028">
        <w:rPr>
          <w:rFonts w:ascii="Palatino Linotype" w:hAnsi="Palatino Linotype"/>
          <w:color w:val="000000"/>
          <w:sz w:val="24"/>
          <w:szCs w:val="24"/>
          <w:u w:val="single"/>
        </w:rPr>
        <w:t>August 1</w:t>
      </w:r>
      <w:r w:rsidRPr="00180028">
        <w:rPr>
          <w:rFonts w:ascii="Palatino Linotype" w:hAnsi="Palatino Linotype"/>
          <w:color w:val="000000"/>
          <w:sz w:val="24"/>
          <w:szCs w:val="24"/>
        </w:rPr>
        <w:t>:  Utility distributes and publishes written responses to the July 15 comments and questions from Stakeholders.</w:t>
      </w:r>
    </w:p>
    <w:p w:rsidRPr="00180028" w:rsidR="002A240D" w:rsidP="002A240D" w:rsidRDefault="002A240D" w14:paraId="68C97FAD"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September 1-7</w:t>
      </w:r>
      <w:r w:rsidRPr="00180028">
        <w:rPr>
          <w:rFonts w:ascii="Palatino Linotype" w:hAnsi="Palatino Linotype"/>
          <w:color w:val="000000"/>
          <w:sz w:val="24"/>
          <w:szCs w:val="24"/>
        </w:rPr>
        <w:t>:</w:t>
      </w:r>
      <w:r w:rsidRPr="00180028" w:rsidDel="00D41187">
        <w:rPr>
          <w:rFonts w:ascii="Palatino Linotype" w:hAnsi="Palatino Linotype"/>
          <w:color w:val="000000"/>
          <w:sz w:val="24"/>
          <w:szCs w:val="24"/>
        </w:rPr>
        <w:t xml:space="preserve"> </w:t>
      </w:r>
      <w:r w:rsidRPr="00180028">
        <w:rPr>
          <w:rFonts w:ascii="Palatino Linotype" w:hAnsi="Palatino Linotype"/>
          <w:color w:val="000000"/>
          <w:sz w:val="24"/>
          <w:szCs w:val="24"/>
        </w:rPr>
        <w:t xml:space="preserve"> Utility hosts second Stakeholder meeting to discuss, without limitation, specific Projects, Project programs, work categories, and procedures; to answer </w:t>
      </w:r>
      <w:r w:rsidRPr="00180028">
        <w:rPr>
          <w:rFonts w:ascii="Palatino Linotype" w:hAnsi="Palatino Linotype"/>
          <w:color w:val="000000"/>
          <w:sz w:val="24"/>
          <w:szCs w:val="24"/>
        </w:rPr>
        <w:lastRenderedPageBreak/>
        <w:t>questions related to the contents of the Project Spreadsheet; and to highlight known material updates from the June 1 Project Spreadsheet. Utility will identify and discuss proposed changes impacting the year’s Project planning, prioritization, and implementation of Projects.</w:t>
      </w:r>
    </w:p>
    <w:p w:rsidRPr="00180028" w:rsidR="002A240D" w:rsidP="002A240D" w:rsidRDefault="002A240D" w14:paraId="1533ED36" w14:textId="77777777">
      <w:pPr>
        <w:widowControl w:val="0"/>
        <w:autoSpaceDE w:val="0"/>
        <w:autoSpaceDN w:val="0"/>
        <w:adjustRightInd w:val="0"/>
        <w:rPr>
          <w:rFonts w:ascii="Palatino Linotype" w:hAnsi="Palatino Linotype"/>
          <w:color w:val="000000"/>
          <w:sz w:val="24"/>
          <w:szCs w:val="24"/>
        </w:rPr>
      </w:pPr>
      <w:r w:rsidRPr="00180028">
        <w:rPr>
          <w:rFonts w:ascii="Palatino Linotype" w:hAnsi="Palatino Linotype"/>
          <w:color w:val="000000"/>
          <w:sz w:val="24"/>
          <w:szCs w:val="24"/>
          <w:u w:val="single"/>
        </w:rPr>
        <w:t>September 15-21:</w:t>
      </w:r>
      <w:r w:rsidRPr="00180028">
        <w:rPr>
          <w:rFonts w:ascii="Palatino Linotype" w:hAnsi="Palatino Linotype"/>
          <w:color w:val="000000"/>
          <w:sz w:val="24"/>
          <w:szCs w:val="24"/>
        </w:rPr>
        <w:t xml:space="preserve"> Stakeholders provide questions and comments within 14 days following the September Stakeholder meeting.</w:t>
      </w:r>
    </w:p>
    <w:p w:rsidRPr="00180028" w:rsidR="002A240D" w:rsidP="002A240D" w:rsidRDefault="002A240D" w14:paraId="041FF089" w14:textId="77777777">
      <w:pPr>
        <w:widowControl w:val="0"/>
        <w:autoSpaceDE w:val="0"/>
        <w:autoSpaceDN w:val="0"/>
        <w:adjustRightInd w:val="0"/>
        <w:rPr>
          <w:rFonts w:ascii="Palatino Linotype" w:hAnsi="Palatino Linotype"/>
          <w:color w:val="000000"/>
          <w:sz w:val="24"/>
          <w:szCs w:val="24"/>
        </w:rPr>
      </w:pPr>
    </w:p>
    <w:p w:rsidRPr="00180028" w:rsidR="002A240D" w:rsidP="002A240D" w:rsidRDefault="002A240D" w14:paraId="585B68EC"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October 15</w:t>
      </w:r>
      <w:r w:rsidRPr="00180028">
        <w:rPr>
          <w:rFonts w:ascii="Palatino Linotype" w:hAnsi="Palatino Linotype"/>
          <w:color w:val="000000"/>
          <w:sz w:val="24"/>
          <w:szCs w:val="24"/>
        </w:rPr>
        <w:t>:  Utility distributes and publishes written responses to the mid-September comments and questions from Stakeholders.</w:t>
      </w:r>
      <w:r w:rsidRPr="00180028" w:rsidDel="001E1A07">
        <w:rPr>
          <w:rFonts w:ascii="Palatino Linotype" w:hAnsi="Palatino Linotype"/>
          <w:color w:val="000000"/>
          <w:sz w:val="24"/>
          <w:szCs w:val="24"/>
        </w:rPr>
        <w:t xml:space="preserve"> </w:t>
      </w:r>
    </w:p>
    <w:p w:rsidRPr="00180028" w:rsidR="002A240D" w:rsidP="002A240D" w:rsidRDefault="002A240D" w14:paraId="45D50591" w14:textId="77777777">
      <w:pPr>
        <w:widowControl w:val="0"/>
        <w:autoSpaceDE w:val="0"/>
        <w:autoSpaceDN w:val="0"/>
        <w:adjustRightInd w:val="0"/>
        <w:spacing w:after="240"/>
        <w:rPr>
          <w:rFonts w:ascii="Palatino Linotype" w:hAnsi="Palatino Linotype"/>
          <w:color w:val="000000"/>
          <w:sz w:val="24"/>
          <w:szCs w:val="24"/>
          <w:u w:val="single"/>
        </w:rPr>
      </w:pPr>
      <w:r w:rsidRPr="00180028">
        <w:rPr>
          <w:rFonts w:ascii="Palatino Linotype" w:hAnsi="Palatino Linotype"/>
          <w:color w:val="000000"/>
          <w:sz w:val="24"/>
          <w:szCs w:val="24"/>
          <w:u w:val="single"/>
        </w:rPr>
        <w:t xml:space="preserve">November 1: </w:t>
      </w:r>
      <w:r w:rsidRPr="00180028">
        <w:rPr>
          <w:rFonts w:ascii="Palatino Linotype" w:hAnsi="Palatino Linotype"/>
          <w:color w:val="000000"/>
          <w:sz w:val="24"/>
          <w:szCs w:val="24"/>
        </w:rPr>
        <w:t>Stakeholders may provide comments to the Utility by this date.  There is no expectation that the Utility will provide a written response to these comments.</w:t>
      </w:r>
      <w:r w:rsidRPr="00180028">
        <w:rPr>
          <w:rFonts w:ascii="Palatino Linotype" w:hAnsi="Palatino Linotype"/>
          <w:color w:val="000000"/>
          <w:sz w:val="24"/>
          <w:szCs w:val="24"/>
          <w:u w:val="single"/>
        </w:rPr>
        <w:t xml:space="preserve"> </w:t>
      </w:r>
    </w:p>
    <w:p w:rsidRPr="00180028" w:rsidR="002A240D" w:rsidP="002A240D" w:rsidRDefault="002A240D" w14:paraId="184371BB"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December 1</w:t>
      </w:r>
      <w:r w:rsidRPr="00180028">
        <w:rPr>
          <w:rFonts w:ascii="Palatino Linotype" w:hAnsi="Palatino Linotype"/>
          <w:color w:val="000000"/>
          <w:sz w:val="24"/>
          <w:szCs w:val="24"/>
        </w:rPr>
        <w:t>: Utility releases semi-annual Project Spreadsheet, which should correspond with the Utility’s Formula Rate or Annual Update filing at FERC for the following rate year in its TO rate case.</w:t>
      </w:r>
    </w:p>
    <w:p w:rsidRPr="00180028" w:rsidR="002A240D" w:rsidP="002A240D" w:rsidRDefault="002A240D" w14:paraId="6E6ED58B" w14:textId="77777777">
      <w:pPr>
        <w:widowControl w:val="0"/>
        <w:autoSpaceDE w:val="0"/>
        <w:autoSpaceDN w:val="0"/>
        <w:adjustRightInd w:val="0"/>
        <w:rPr>
          <w:rFonts w:ascii="Palatino Linotype" w:hAnsi="Palatino Linotype"/>
          <w:sz w:val="24"/>
          <w:szCs w:val="24"/>
        </w:rPr>
      </w:pPr>
    </w:p>
    <w:p w:rsidRPr="00180028" w:rsidR="002A240D" w:rsidP="0055246C" w:rsidRDefault="002A240D" w14:paraId="2D0321B2" w14:textId="77777777">
      <w:pPr>
        <w:widowControl w:val="0"/>
        <w:autoSpaceDE w:val="0"/>
        <w:autoSpaceDN w:val="0"/>
        <w:adjustRightInd w:val="0"/>
        <w:ind w:left="-90" w:right="-90"/>
        <w:jc w:val="center"/>
        <w:rPr>
          <w:rFonts w:ascii="Palatino Linotype" w:hAnsi="Palatino Linotype"/>
          <w:b/>
          <w:bCs/>
          <w:color w:val="000000"/>
          <w:sz w:val="24"/>
          <w:szCs w:val="24"/>
          <w:u w:val="single"/>
        </w:rPr>
      </w:pPr>
      <w:r w:rsidRPr="00180028">
        <w:rPr>
          <w:rFonts w:ascii="Palatino Linotype" w:hAnsi="Palatino Linotype"/>
          <w:b/>
          <w:bCs/>
          <w:color w:val="000000"/>
          <w:sz w:val="24"/>
          <w:szCs w:val="24"/>
          <w:u w:val="single"/>
        </w:rPr>
        <w:t>PROPOSED SCHEDULE FOR TRANSMISSION PROJECT REVIEW PROCESS TO #3</w:t>
      </w:r>
    </w:p>
    <w:p w:rsidRPr="00180028" w:rsidR="002A240D" w:rsidP="002A240D" w:rsidRDefault="002A240D" w14:paraId="6C30683A" w14:textId="77777777">
      <w:pPr>
        <w:widowControl w:val="0"/>
        <w:autoSpaceDE w:val="0"/>
        <w:autoSpaceDN w:val="0"/>
        <w:adjustRightInd w:val="0"/>
        <w:rPr>
          <w:rFonts w:ascii="Palatino Linotype" w:hAnsi="Palatino Linotype"/>
          <w:color w:val="000000"/>
          <w:sz w:val="24"/>
          <w:szCs w:val="24"/>
          <w:u w:val="single"/>
        </w:rPr>
      </w:pPr>
    </w:p>
    <w:p w:rsidRPr="00180028" w:rsidR="002A240D" w:rsidP="002A240D" w:rsidRDefault="002A240D" w14:paraId="181B6C9D"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January 1</w:t>
      </w:r>
      <w:r w:rsidRPr="00180028">
        <w:rPr>
          <w:rFonts w:ascii="Palatino Linotype" w:hAnsi="Palatino Linotype"/>
          <w:color w:val="000000"/>
          <w:sz w:val="24"/>
          <w:szCs w:val="24"/>
          <w:u w:val="single"/>
          <w:vertAlign w:val="superscript"/>
        </w:rPr>
        <w:footnoteReference w:id="27"/>
      </w:r>
      <w:r w:rsidRPr="00180028">
        <w:rPr>
          <w:rFonts w:ascii="Palatino Linotype" w:hAnsi="Palatino Linotype"/>
          <w:color w:val="000000"/>
          <w:sz w:val="24"/>
          <w:szCs w:val="24"/>
        </w:rPr>
        <w:t>: Utility releases semi-annual Project Spreadsheet, which should correspond with the Utility’s Formula Rate or Annual Update filing at FERC for the following rate year in its TO rate case.</w:t>
      </w:r>
    </w:p>
    <w:p w:rsidRPr="00180028" w:rsidR="002A240D" w:rsidP="002A240D" w:rsidRDefault="002A240D" w14:paraId="6F227A1B"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February 15:</w:t>
      </w:r>
      <w:r w:rsidRPr="00180028">
        <w:rPr>
          <w:rFonts w:ascii="Palatino Linotype" w:hAnsi="Palatino Linotype"/>
          <w:color w:val="000000"/>
          <w:sz w:val="24"/>
          <w:szCs w:val="24"/>
        </w:rPr>
        <w:t xml:space="preserve"> Deadline for Stakeholders to provide questions and comments related to the Project Spreadsheet</w:t>
      </w:r>
      <w:r w:rsidRPr="00180028">
        <w:rPr>
          <w:rFonts w:ascii="Palatino Linotype" w:hAnsi="Palatino Linotype"/>
          <w:color w:val="000000"/>
          <w:sz w:val="24"/>
          <w:szCs w:val="24"/>
          <w:vertAlign w:val="superscript"/>
        </w:rPr>
        <w:footnoteReference w:id="28"/>
      </w:r>
      <w:r w:rsidRPr="00180028">
        <w:rPr>
          <w:rFonts w:ascii="Palatino Linotype" w:hAnsi="Palatino Linotype"/>
          <w:color w:val="000000"/>
          <w:sz w:val="24"/>
          <w:szCs w:val="24"/>
        </w:rPr>
        <w:t xml:space="preserve"> provided on January 1.</w:t>
      </w:r>
      <w:r w:rsidRPr="00180028">
        <w:rPr>
          <w:rFonts w:ascii="Palatino Linotype" w:hAnsi="Palatino Linotype"/>
          <w:color w:val="000000"/>
          <w:sz w:val="24"/>
          <w:szCs w:val="24"/>
          <w:vertAlign w:val="superscript"/>
        </w:rPr>
        <w:footnoteReference w:id="29"/>
      </w:r>
    </w:p>
    <w:p w:rsidRPr="00180028" w:rsidR="002A240D" w:rsidP="002A240D" w:rsidRDefault="002A240D" w14:paraId="18B34B0F" w14:textId="77777777">
      <w:pPr>
        <w:widowControl w:val="0"/>
        <w:autoSpaceDE w:val="0"/>
        <w:autoSpaceDN w:val="0"/>
        <w:adjustRightInd w:val="0"/>
        <w:spacing w:after="240"/>
        <w:rPr>
          <w:rFonts w:ascii="Palatino Linotype" w:hAnsi="Palatino Linotype"/>
          <w:color w:val="000000"/>
          <w:sz w:val="24"/>
          <w:szCs w:val="24"/>
          <w:u w:val="single"/>
        </w:rPr>
      </w:pPr>
      <w:r w:rsidRPr="00180028">
        <w:rPr>
          <w:rFonts w:ascii="Palatino Linotype" w:hAnsi="Palatino Linotype"/>
          <w:color w:val="000000"/>
          <w:sz w:val="24"/>
          <w:szCs w:val="24"/>
          <w:u w:val="single"/>
        </w:rPr>
        <w:t>March 1:</w:t>
      </w:r>
      <w:r w:rsidRPr="00180028">
        <w:rPr>
          <w:rFonts w:ascii="Palatino Linotype" w:hAnsi="Palatino Linotype"/>
          <w:color w:val="000000"/>
          <w:sz w:val="24"/>
          <w:szCs w:val="24"/>
        </w:rPr>
        <w:t xml:space="preserve"> Utility distributes and publishes written responses to the February 15 comments and questions.</w:t>
      </w:r>
    </w:p>
    <w:p w:rsidRPr="00180028" w:rsidR="002A240D" w:rsidP="002A240D" w:rsidRDefault="002A240D" w14:paraId="31532BA2"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April 1-7:</w:t>
      </w:r>
      <w:r w:rsidRPr="00180028">
        <w:rPr>
          <w:rFonts w:ascii="Palatino Linotype" w:hAnsi="Palatino Linotype"/>
          <w:color w:val="000000"/>
          <w:sz w:val="24"/>
          <w:szCs w:val="24"/>
        </w:rPr>
        <w:t xml:space="preserve"> Utility hosts the first Stakeholder meeting for the TPR Process, to include review of the Utility’s most current Project Spreadsheet, objectives, assumptions, and forecasted deliverables for the current year, as well as the opportunity for Stakeholders </w:t>
      </w:r>
      <w:r w:rsidRPr="00180028">
        <w:rPr>
          <w:rFonts w:ascii="Palatino Linotype" w:hAnsi="Palatino Linotype"/>
          <w:color w:val="000000"/>
          <w:sz w:val="24"/>
          <w:szCs w:val="24"/>
        </w:rPr>
        <w:lastRenderedPageBreak/>
        <w:t>to identify new Projects or Project alternatives.  Utility responds to Stakeholders’ new questions, including any follow-up questions from the Utility’s responses to Stakeholders on March 1. Starting in year two, the process will also include reporting on the prior year’s TPR Process and the Utility’s identification and explanation of modifications to key elements and assumptions relied upon in the prior year’s TPR Process.</w:t>
      </w:r>
    </w:p>
    <w:p w:rsidRPr="00180028" w:rsidR="002A240D" w:rsidP="002A240D" w:rsidRDefault="002A240D" w14:paraId="5EBDADA2"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April 15-21</w:t>
      </w:r>
      <w:r w:rsidRPr="00180028">
        <w:rPr>
          <w:rFonts w:ascii="Palatino Linotype" w:hAnsi="Palatino Linotype"/>
          <w:color w:val="000000"/>
          <w:sz w:val="24"/>
          <w:szCs w:val="24"/>
        </w:rPr>
        <w:t>: Stakeholders provide questions and comments within 14 days following the April Stakeholder meeting.</w:t>
      </w:r>
    </w:p>
    <w:p w:rsidRPr="00180028" w:rsidR="002A240D" w:rsidP="002A240D" w:rsidRDefault="002A240D" w14:paraId="2DBAFA24"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May 15</w:t>
      </w:r>
      <w:r w:rsidRPr="00180028">
        <w:rPr>
          <w:rFonts w:ascii="Palatino Linotype" w:hAnsi="Palatino Linotype"/>
          <w:color w:val="000000"/>
          <w:sz w:val="24"/>
          <w:szCs w:val="24"/>
        </w:rPr>
        <w:t xml:space="preserve">: Utility distributes and publishes written responses to the mid-April comments and questions from Stakeholders. </w:t>
      </w:r>
    </w:p>
    <w:p w:rsidRPr="00180028" w:rsidR="002A240D" w:rsidP="002A240D" w:rsidRDefault="002A240D" w14:paraId="791B0C32"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 xml:space="preserve">June 1: </w:t>
      </w:r>
      <w:r w:rsidRPr="00180028">
        <w:rPr>
          <w:rFonts w:ascii="Palatino Linotype" w:hAnsi="Palatino Linotype"/>
          <w:color w:val="000000"/>
          <w:sz w:val="24"/>
          <w:szCs w:val="24"/>
        </w:rPr>
        <w:t xml:space="preserve">Stakeholders may provide comments to the Utility by this date.  There is no expectation that the Utility will provide a written response to these comments. </w:t>
      </w:r>
    </w:p>
    <w:p w:rsidRPr="00180028" w:rsidR="002A240D" w:rsidP="002A240D" w:rsidRDefault="002A240D" w14:paraId="1DAFC131"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 xml:space="preserve">July 1: </w:t>
      </w:r>
      <w:r w:rsidRPr="00180028">
        <w:rPr>
          <w:rFonts w:ascii="Palatino Linotype" w:hAnsi="Palatino Linotype"/>
          <w:color w:val="000000"/>
          <w:sz w:val="24"/>
          <w:szCs w:val="24"/>
        </w:rPr>
        <w:t>Utility releases semi-annual TPR Process Spreadsheet, which should correspond with the capital Projects in the Utility’s Draft Annual Update for the following rate year in its TO rate case at FERC.</w:t>
      </w:r>
    </w:p>
    <w:p w:rsidRPr="00180028" w:rsidR="002A240D" w:rsidP="002A240D" w:rsidRDefault="002A240D" w14:paraId="7A934558"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August 15</w:t>
      </w:r>
      <w:r w:rsidRPr="00180028">
        <w:rPr>
          <w:rFonts w:ascii="Palatino Linotype" w:hAnsi="Palatino Linotype"/>
          <w:color w:val="000000"/>
          <w:sz w:val="24"/>
          <w:szCs w:val="24"/>
        </w:rPr>
        <w:t>: Deadline for Stakeholders to provide questions and comments related to the Project Spreadsheet provided on July 1.</w:t>
      </w:r>
    </w:p>
    <w:p w:rsidRPr="00180028" w:rsidR="002A240D" w:rsidP="002A240D" w:rsidRDefault="002A240D" w14:paraId="7ED84B48" w14:textId="77777777">
      <w:pPr>
        <w:widowControl w:val="0"/>
        <w:autoSpaceDE w:val="0"/>
        <w:autoSpaceDN w:val="0"/>
        <w:adjustRightInd w:val="0"/>
        <w:spacing w:after="240"/>
        <w:rPr>
          <w:rFonts w:ascii="Palatino Linotype" w:hAnsi="Palatino Linotype"/>
          <w:color w:val="000000"/>
          <w:sz w:val="24"/>
          <w:szCs w:val="24"/>
          <w:u w:val="single"/>
        </w:rPr>
      </w:pPr>
      <w:r w:rsidRPr="00180028">
        <w:rPr>
          <w:rFonts w:ascii="Palatino Linotype" w:hAnsi="Palatino Linotype"/>
          <w:color w:val="000000"/>
          <w:sz w:val="24"/>
          <w:szCs w:val="24"/>
          <w:u w:val="single"/>
        </w:rPr>
        <w:t>September 1</w:t>
      </w:r>
      <w:r w:rsidRPr="00180028">
        <w:rPr>
          <w:rFonts w:ascii="Palatino Linotype" w:hAnsi="Palatino Linotype"/>
          <w:color w:val="000000"/>
          <w:sz w:val="24"/>
          <w:szCs w:val="24"/>
        </w:rPr>
        <w:t>:  Utility distributes and publishes written responses to the August 15 comments and questions from Stakeholders.</w:t>
      </w:r>
    </w:p>
    <w:p w:rsidRPr="00180028" w:rsidR="002A240D" w:rsidP="002A240D" w:rsidRDefault="002A240D" w14:paraId="4ACD1559"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October 1-7</w:t>
      </w:r>
      <w:r w:rsidRPr="00180028">
        <w:rPr>
          <w:rFonts w:ascii="Palatino Linotype" w:hAnsi="Palatino Linotype"/>
          <w:color w:val="000000"/>
          <w:sz w:val="24"/>
          <w:szCs w:val="24"/>
        </w:rPr>
        <w:t>:</w:t>
      </w:r>
      <w:r w:rsidRPr="00180028" w:rsidDel="00D41187">
        <w:rPr>
          <w:rFonts w:ascii="Palatino Linotype" w:hAnsi="Palatino Linotype"/>
          <w:color w:val="000000"/>
          <w:sz w:val="24"/>
          <w:szCs w:val="24"/>
        </w:rPr>
        <w:t xml:space="preserve"> </w:t>
      </w:r>
      <w:r w:rsidRPr="00180028">
        <w:rPr>
          <w:rFonts w:ascii="Palatino Linotype" w:hAnsi="Palatino Linotype"/>
          <w:color w:val="000000"/>
          <w:sz w:val="24"/>
          <w:szCs w:val="24"/>
        </w:rPr>
        <w:t xml:space="preserve"> Utility hosts second Stakeholder meeting to discuss, without limitation, specific Projects, Project programs, work categories, and procedures; to answer questions related to the contents of the Project Spreadsheet; and to highlight known material updates from the July 1 Project Spreadsheet. Utility will identify and discuss proposed changes impacting the year’s Project planning, prioritization, and implementation of Projects.</w:t>
      </w:r>
    </w:p>
    <w:p w:rsidRPr="00180028" w:rsidR="002A240D" w:rsidP="002A240D" w:rsidRDefault="002A240D" w14:paraId="38B8CB7A" w14:textId="77777777">
      <w:pPr>
        <w:widowControl w:val="0"/>
        <w:autoSpaceDE w:val="0"/>
        <w:autoSpaceDN w:val="0"/>
        <w:adjustRightInd w:val="0"/>
        <w:rPr>
          <w:rFonts w:ascii="Palatino Linotype" w:hAnsi="Palatino Linotype"/>
          <w:color w:val="000000"/>
          <w:sz w:val="24"/>
          <w:szCs w:val="24"/>
        </w:rPr>
      </w:pPr>
      <w:r w:rsidRPr="00180028">
        <w:rPr>
          <w:rFonts w:ascii="Palatino Linotype" w:hAnsi="Palatino Linotype"/>
          <w:color w:val="000000"/>
          <w:sz w:val="24"/>
          <w:szCs w:val="24"/>
          <w:u w:val="single"/>
        </w:rPr>
        <w:t>October 15-21:</w:t>
      </w:r>
      <w:r w:rsidRPr="00180028">
        <w:rPr>
          <w:rFonts w:ascii="Palatino Linotype" w:hAnsi="Palatino Linotype"/>
          <w:color w:val="000000"/>
          <w:sz w:val="24"/>
          <w:szCs w:val="24"/>
        </w:rPr>
        <w:t xml:space="preserve"> Stakeholders provide questions and comments within 14 days following the October Stakeholder meeting.</w:t>
      </w:r>
    </w:p>
    <w:p w:rsidRPr="00180028" w:rsidR="002A240D" w:rsidP="002A240D" w:rsidRDefault="002A240D" w14:paraId="2462E07D" w14:textId="77777777">
      <w:pPr>
        <w:widowControl w:val="0"/>
        <w:autoSpaceDE w:val="0"/>
        <w:autoSpaceDN w:val="0"/>
        <w:adjustRightInd w:val="0"/>
        <w:rPr>
          <w:rFonts w:ascii="Palatino Linotype" w:hAnsi="Palatino Linotype"/>
          <w:color w:val="000000"/>
          <w:sz w:val="24"/>
          <w:szCs w:val="24"/>
        </w:rPr>
      </w:pPr>
    </w:p>
    <w:p w:rsidRPr="00180028" w:rsidR="002A240D" w:rsidP="002A240D" w:rsidRDefault="002A240D" w14:paraId="004AD4BC"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t>November 15</w:t>
      </w:r>
      <w:r w:rsidRPr="00180028">
        <w:rPr>
          <w:rFonts w:ascii="Palatino Linotype" w:hAnsi="Palatino Linotype"/>
          <w:color w:val="000000"/>
          <w:sz w:val="24"/>
          <w:szCs w:val="24"/>
        </w:rPr>
        <w:t>:  Utility distributes and publishes written responses to the mid-October comments and questions from Stakeholders.</w:t>
      </w:r>
      <w:r w:rsidRPr="00180028" w:rsidDel="001E1A07">
        <w:rPr>
          <w:rFonts w:ascii="Palatino Linotype" w:hAnsi="Palatino Linotype"/>
          <w:color w:val="000000"/>
          <w:sz w:val="24"/>
          <w:szCs w:val="24"/>
        </w:rPr>
        <w:t xml:space="preserve"> </w:t>
      </w:r>
    </w:p>
    <w:p w:rsidRPr="00180028" w:rsidR="002A240D" w:rsidP="002A240D" w:rsidRDefault="002A240D" w14:paraId="51CFE20C" w14:textId="77777777">
      <w:pPr>
        <w:widowControl w:val="0"/>
        <w:autoSpaceDE w:val="0"/>
        <w:autoSpaceDN w:val="0"/>
        <w:adjustRightInd w:val="0"/>
        <w:spacing w:after="240"/>
        <w:rPr>
          <w:rFonts w:ascii="Palatino Linotype" w:hAnsi="Palatino Linotype"/>
          <w:color w:val="000000"/>
          <w:sz w:val="24"/>
          <w:szCs w:val="24"/>
          <w:u w:val="single"/>
        </w:rPr>
      </w:pPr>
      <w:r w:rsidRPr="00180028">
        <w:rPr>
          <w:rFonts w:ascii="Palatino Linotype" w:hAnsi="Palatino Linotype"/>
          <w:color w:val="000000"/>
          <w:sz w:val="24"/>
          <w:szCs w:val="24"/>
          <w:u w:val="single"/>
        </w:rPr>
        <w:t xml:space="preserve">December 1: </w:t>
      </w:r>
      <w:r w:rsidRPr="00180028">
        <w:rPr>
          <w:rFonts w:ascii="Palatino Linotype" w:hAnsi="Palatino Linotype"/>
          <w:color w:val="000000"/>
          <w:sz w:val="24"/>
          <w:szCs w:val="24"/>
        </w:rPr>
        <w:t>Stakeholders may provide comments to the Utility by this date.  There is no expectation that the Utility will provide a written response to these comments.</w:t>
      </w:r>
      <w:r w:rsidRPr="00180028">
        <w:rPr>
          <w:rFonts w:ascii="Palatino Linotype" w:hAnsi="Palatino Linotype"/>
          <w:color w:val="000000"/>
          <w:sz w:val="24"/>
          <w:szCs w:val="24"/>
          <w:u w:val="single"/>
        </w:rPr>
        <w:t xml:space="preserve"> </w:t>
      </w:r>
    </w:p>
    <w:p w:rsidRPr="00180028" w:rsidR="002A240D" w:rsidP="002A240D" w:rsidRDefault="002A240D" w14:paraId="2F1FD794" w14:textId="77777777">
      <w:pPr>
        <w:widowControl w:val="0"/>
        <w:autoSpaceDE w:val="0"/>
        <w:autoSpaceDN w:val="0"/>
        <w:adjustRightInd w:val="0"/>
        <w:spacing w:after="240"/>
        <w:rPr>
          <w:rFonts w:ascii="Palatino Linotype" w:hAnsi="Palatino Linotype"/>
          <w:color w:val="000000"/>
          <w:sz w:val="24"/>
          <w:szCs w:val="24"/>
        </w:rPr>
      </w:pPr>
      <w:r w:rsidRPr="00180028">
        <w:rPr>
          <w:rFonts w:ascii="Palatino Linotype" w:hAnsi="Palatino Linotype"/>
          <w:color w:val="000000"/>
          <w:sz w:val="24"/>
          <w:szCs w:val="24"/>
          <w:u w:val="single"/>
        </w:rPr>
        <w:lastRenderedPageBreak/>
        <w:t>January 1</w:t>
      </w:r>
      <w:r w:rsidRPr="00180028">
        <w:rPr>
          <w:rFonts w:ascii="Palatino Linotype" w:hAnsi="Palatino Linotype"/>
          <w:color w:val="000000"/>
          <w:sz w:val="24"/>
          <w:szCs w:val="24"/>
        </w:rPr>
        <w:t>: Utility releases semi-annual Project Spreadsheet, which should correspond with the Utility’s Formula Rate or Annual Update filing at FERC for the following rate year in its TO rate case.</w:t>
      </w:r>
    </w:p>
    <w:p w:rsidRPr="00180028" w:rsidR="002A240D" w:rsidP="002A240D" w:rsidRDefault="002A240D" w14:paraId="739E1C3C" w14:textId="77777777">
      <w:pPr>
        <w:widowControl w:val="0"/>
        <w:autoSpaceDE w:val="0"/>
        <w:autoSpaceDN w:val="0"/>
        <w:adjustRightInd w:val="0"/>
        <w:rPr>
          <w:rFonts w:ascii="Palatino Linotype" w:hAnsi="Palatino Linotype"/>
          <w:sz w:val="24"/>
          <w:szCs w:val="24"/>
        </w:rPr>
      </w:pPr>
    </w:p>
    <w:p w:rsidRPr="00180028" w:rsidR="002A240D" w:rsidP="0066182A" w:rsidRDefault="002A240D" w14:paraId="5A63D5F6" w14:textId="77777777">
      <w:pPr>
        <w:jc w:val="both"/>
        <w:rPr>
          <w:rFonts w:ascii="Palatino Linotype" w:hAnsi="Palatino Linotype"/>
          <w:sz w:val="24"/>
          <w:szCs w:val="24"/>
        </w:rPr>
      </w:pPr>
    </w:p>
    <w:p w:rsidRPr="00180028" w:rsidR="008150D6" w:rsidP="0066182A" w:rsidRDefault="008150D6" w14:paraId="2E75854D" w14:textId="77777777">
      <w:pPr>
        <w:jc w:val="both"/>
        <w:rPr>
          <w:rFonts w:ascii="Palatino Linotype" w:hAnsi="Palatino Linotype"/>
          <w:sz w:val="24"/>
          <w:szCs w:val="24"/>
        </w:rPr>
      </w:pPr>
    </w:p>
    <w:p w:rsidRPr="00180028" w:rsidR="008150D6" w:rsidP="0066182A" w:rsidRDefault="008150D6" w14:paraId="6D87A393" w14:textId="77777777">
      <w:pPr>
        <w:jc w:val="both"/>
        <w:rPr>
          <w:rFonts w:ascii="Palatino Linotype" w:hAnsi="Palatino Linotype"/>
          <w:sz w:val="24"/>
          <w:szCs w:val="24"/>
        </w:rPr>
      </w:pPr>
    </w:p>
    <w:p w:rsidRPr="00180028" w:rsidR="008150D6" w:rsidP="0066182A" w:rsidRDefault="008150D6" w14:paraId="079B3EFC" w14:textId="77777777">
      <w:pPr>
        <w:jc w:val="both"/>
        <w:rPr>
          <w:rFonts w:ascii="Palatino Linotype" w:hAnsi="Palatino Linotype"/>
          <w:sz w:val="24"/>
          <w:szCs w:val="24"/>
        </w:rPr>
      </w:pPr>
    </w:p>
    <w:p w:rsidRPr="00180028" w:rsidR="008150D6" w:rsidP="0066182A" w:rsidRDefault="008150D6" w14:paraId="69CBF155" w14:textId="77777777">
      <w:pPr>
        <w:jc w:val="both"/>
        <w:rPr>
          <w:rFonts w:ascii="Palatino Linotype" w:hAnsi="Palatino Linotype"/>
          <w:sz w:val="24"/>
          <w:szCs w:val="24"/>
        </w:rPr>
      </w:pPr>
    </w:p>
    <w:p w:rsidRPr="00180028" w:rsidR="008150D6" w:rsidP="0066182A" w:rsidRDefault="008150D6" w14:paraId="4FF63507" w14:textId="77777777">
      <w:pPr>
        <w:jc w:val="both"/>
        <w:rPr>
          <w:rFonts w:ascii="Palatino Linotype" w:hAnsi="Palatino Linotype"/>
          <w:sz w:val="24"/>
          <w:szCs w:val="24"/>
        </w:rPr>
      </w:pPr>
    </w:p>
    <w:sectPr w:rsidRPr="00180028" w:rsidR="008150D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sectPr>
    <w:p>
      <w:r>
        <w:t xml:space="preserve"/>
      </w:r>
    </w:p>
    <w:p>
      <w:r>
        <w:t xml:space="preserve">Attachment 1: </w:t>
      </w:r>
    </w:p>
    <w:p>
      <w:hyperlink w:history="true" r:id="R0a81abf5a0e548c9">
        <w:r w:rsidRPr="00CB1292">
          <w:rPr>
            <w:rStyle w:val="Hyperlink"/>
            <w:color w:val="2E74B5" w:themeColor="accent1" w:themeShade="BF"/>
            <w:u w:val="single"/>
          </w:rPr>
          <w:t>Resolution E-5252 Atch B Draft Transmission Project Review Data Template</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1225B" w14:textId="77777777" w:rsidR="003C4120" w:rsidRDefault="003C4120">
      <w:r>
        <w:separator/>
      </w:r>
    </w:p>
  </w:endnote>
  <w:endnote w:type="continuationSeparator" w:id="0">
    <w:p w14:paraId="078613B4" w14:textId="77777777" w:rsidR="003C4120" w:rsidRDefault="003C4120">
      <w:r>
        <w:continuationSeparator/>
      </w:r>
    </w:p>
  </w:endnote>
  <w:endnote w:type="continuationNotice" w:id="1">
    <w:p w14:paraId="6C156CB5" w14:textId="77777777" w:rsidR="003C4120" w:rsidRDefault="003C41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Palatino">
    <w:panose1 w:val="00000000000000000000"/>
    <w:charset w:val="00"/>
    <w:family w:val="auto"/>
    <w:pitch w:val="variable"/>
    <w:sig w:usb0="20000A87" w:usb1="08000000" w:usb2="00000008" w:usb3="00000000" w:csb0="0000011F" w:csb1="00000000"/>
  </w:font>
  <w:font w:name="Helvetica">
    <w:panose1 w:val="020B0604020202020204"/>
    <w:charset w:val="00"/>
    <w:family w:val="swiss"/>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charset w:val="00"/>
    <w:family w:val="auto"/>
    <w:pitch w:val="variable"/>
    <w:sig w:usb0="00000003"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7369" w14:textId="77777777" w:rsidR="00430103" w:rsidRDefault="00430103" w:rsidP="00DB6B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713A">
      <w:rPr>
        <w:rStyle w:val="PageNumber"/>
        <w:noProof/>
      </w:rPr>
      <w:t>7</w:t>
    </w:r>
    <w:r>
      <w:rPr>
        <w:rStyle w:val="PageNumber"/>
      </w:rPr>
      <w:fldChar w:fldCharType="end"/>
    </w:r>
  </w:p>
  <w:p w14:paraId="375740D0" w14:textId="77777777" w:rsidR="00430103" w:rsidRDefault="00430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4"/>
        <w:szCs w:val="24"/>
      </w:rPr>
      <w:id w:val="-1924414611"/>
      <w:docPartObj>
        <w:docPartGallery w:val="Page Numbers (Bottom of Page)"/>
        <w:docPartUnique/>
      </w:docPartObj>
    </w:sdtPr>
    <w:sdtEndPr>
      <w:rPr>
        <w:noProof/>
      </w:rPr>
    </w:sdtEndPr>
    <w:sdtContent>
      <w:p w14:paraId="4A508707" w14:textId="4E70A4DE" w:rsidR="00180028" w:rsidRPr="00180028" w:rsidRDefault="00180028">
        <w:pPr>
          <w:pStyle w:val="Footer"/>
          <w:rPr>
            <w:rFonts w:ascii="Palatino Linotype" w:hAnsi="Palatino Linotype"/>
            <w:sz w:val="24"/>
            <w:szCs w:val="24"/>
          </w:rPr>
        </w:pPr>
        <w:r w:rsidRPr="00180028">
          <w:rPr>
            <w:rFonts w:ascii="Palatino Linotype" w:hAnsi="Palatino Linotype"/>
            <w:sz w:val="24"/>
            <w:szCs w:val="24"/>
          </w:rPr>
          <w:fldChar w:fldCharType="begin"/>
        </w:r>
        <w:r w:rsidRPr="00180028">
          <w:rPr>
            <w:rFonts w:ascii="Palatino Linotype" w:hAnsi="Palatino Linotype"/>
            <w:sz w:val="24"/>
            <w:szCs w:val="24"/>
          </w:rPr>
          <w:instrText xml:space="preserve"> PAGE   \* MERGEFORMAT </w:instrText>
        </w:r>
        <w:r w:rsidRPr="00180028">
          <w:rPr>
            <w:rFonts w:ascii="Palatino Linotype" w:hAnsi="Palatino Linotype"/>
            <w:sz w:val="24"/>
            <w:szCs w:val="24"/>
          </w:rPr>
          <w:fldChar w:fldCharType="separate"/>
        </w:r>
        <w:r w:rsidRPr="00180028">
          <w:rPr>
            <w:rFonts w:ascii="Palatino Linotype" w:hAnsi="Palatino Linotype"/>
            <w:noProof/>
            <w:sz w:val="24"/>
            <w:szCs w:val="24"/>
          </w:rPr>
          <w:t>2</w:t>
        </w:r>
        <w:r w:rsidRPr="00180028">
          <w:rPr>
            <w:rFonts w:ascii="Palatino Linotype" w:hAnsi="Palatino Linotype"/>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56BB" w14:textId="1D8162CC" w:rsidR="00430103" w:rsidRPr="00180028" w:rsidRDefault="00CD0A05">
    <w:pPr>
      <w:pStyle w:val="Footer"/>
      <w:tabs>
        <w:tab w:val="clear" w:pos="4320"/>
        <w:tab w:val="center" w:pos="4680"/>
      </w:tabs>
      <w:jc w:val="left"/>
      <w:rPr>
        <w:rFonts w:ascii="Palatino Linotype" w:hAnsi="Palatino Linotype"/>
        <w:sz w:val="24"/>
        <w:szCs w:val="24"/>
      </w:rPr>
    </w:pPr>
    <w:r w:rsidRPr="00CD0A05">
      <w:rPr>
        <w:rStyle w:val="PageNumber"/>
        <w:rFonts w:ascii="Tahoma" w:hAnsi="Tahoma" w:cs="Tahoma"/>
        <w:sz w:val="20"/>
      </w:rPr>
      <w:t>504318223</w:t>
    </w:r>
    <w:r w:rsidR="00430103" w:rsidRPr="00180028">
      <w:rPr>
        <w:rStyle w:val="PageNumber"/>
        <w:rFonts w:ascii="Palatino Linotype" w:hAnsi="Palatino Linotype"/>
        <w:sz w:val="24"/>
        <w:szCs w:val="24"/>
      </w:rPr>
      <w:tab/>
    </w:r>
    <w:r w:rsidR="00430103" w:rsidRPr="00180028">
      <w:rPr>
        <w:rStyle w:val="PageNumber"/>
        <w:rFonts w:ascii="Palatino Linotype" w:hAnsi="Palatino Linotype"/>
        <w:sz w:val="24"/>
        <w:szCs w:val="24"/>
      </w:rPr>
      <w:fldChar w:fldCharType="begin"/>
    </w:r>
    <w:r w:rsidR="00430103" w:rsidRPr="00180028">
      <w:rPr>
        <w:rStyle w:val="PageNumber"/>
        <w:rFonts w:ascii="Palatino Linotype" w:hAnsi="Palatino Linotype"/>
        <w:sz w:val="24"/>
        <w:szCs w:val="24"/>
      </w:rPr>
      <w:instrText xml:space="preserve"> PAGE </w:instrText>
    </w:r>
    <w:r w:rsidR="00430103" w:rsidRPr="00180028">
      <w:rPr>
        <w:rStyle w:val="PageNumber"/>
        <w:rFonts w:ascii="Palatino Linotype" w:hAnsi="Palatino Linotype"/>
        <w:sz w:val="24"/>
        <w:szCs w:val="24"/>
      </w:rPr>
      <w:fldChar w:fldCharType="separate"/>
    </w:r>
    <w:r w:rsidR="000F4DAB" w:rsidRPr="00180028">
      <w:rPr>
        <w:rStyle w:val="PageNumber"/>
        <w:rFonts w:ascii="Palatino Linotype" w:hAnsi="Palatino Linotype"/>
        <w:noProof/>
        <w:sz w:val="24"/>
        <w:szCs w:val="24"/>
      </w:rPr>
      <w:t>1</w:t>
    </w:r>
    <w:r w:rsidR="00430103" w:rsidRPr="00180028">
      <w:rPr>
        <w:rStyle w:val="PageNumber"/>
        <w:rFonts w:ascii="Palatino Linotype" w:hAnsi="Palatino Linotype"/>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74E86" w14:textId="77777777" w:rsidR="003C4120" w:rsidRDefault="003C4120">
      <w:r>
        <w:separator/>
      </w:r>
    </w:p>
  </w:footnote>
  <w:footnote w:type="continuationSeparator" w:id="0">
    <w:p w14:paraId="6787081B" w14:textId="77777777" w:rsidR="003C4120" w:rsidRDefault="003C4120">
      <w:r>
        <w:continuationSeparator/>
      </w:r>
    </w:p>
  </w:footnote>
  <w:footnote w:type="continuationNotice" w:id="1">
    <w:p w14:paraId="65D2185A" w14:textId="77777777" w:rsidR="003C4120" w:rsidRDefault="003C4120">
      <w:pPr>
        <w:rPr>
          <w:sz w:val="22"/>
        </w:rPr>
      </w:pPr>
    </w:p>
    <w:p w14:paraId="47FD2277" w14:textId="77777777" w:rsidR="003C4120" w:rsidRDefault="003C4120">
      <w:pPr>
        <w:jc w:val="right"/>
        <w:rPr>
          <w:sz w:val="22"/>
        </w:rPr>
      </w:pPr>
      <w:r>
        <w:rPr>
          <w:i/>
          <w:sz w:val="22"/>
        </w:rPr>
        <w:t>Footnote continued on next page</w:t>
      </w:r>
    </w:p>
  </w:footnote>
  <w:footnote w:id="2">
    <w:p w14:paraId="3B2636B6" w14:textId="77777777" w:rsidR="00973494" w:rsidRPr="00180028" w:rsidRDefault="00973494"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Pacific Gas and Electric Company ("PG&amp;E"), Southern California Edison Company ("SCE"), and San Diego Gas &amp; Electric Company ("SDG&amp;E").</w:t>
      </w:r>
    </w:p>
  </w:footnote>
  <w:footnote w:id="3">
    <w:p w14:paraId="7ED63ED5" w14:textId="162FD311" w:rsidR="043D6ED9" w:rsidRPr="00180028" w:rsidRDefault="043D6ED9" w:rsidP="00180028">
      <w:pPr>
        <w:pStyle w:val="FootnoteText"/>
        <w:spacing w:after="60"/>
        <w:rPr>
          <w:rFonts w:ascii="Palatino Linotype" w:eastAsia="Palatino" w:hAnsi="Palatino Linotype" w:cs="Palatino"/>
          <w:sz w:val="20"/>
        </w:rPr>
      </w:pPr>
      <w:r w:rsidRPr="00180028">
        <w:rPr>
          <w:rFonts w:ascii="Palatino Linotype" w:hAnsi="Palatino Linotype"/>
          <w:sz w:val="20"/>
          <w:vertAlign w:val="superscript"/>
        </w:rPr>
        <w:footnoteRef/>
      </w:r>
      <w:r w:rsidRPr="00180028">
        <w:rPr>
          <w:rFonts w:ascii="Palatino Linotype" w:hAnsi="Palatino Linotype"/>
          <w:sz w:val="20"/>
          <w:vertAlign w:val="superscript"/>
        </w:rPr>
        <w:t xml:space="preserve"> </w:t>
      </w:r>
      <w:r w:rsidRPr="00180028">
        <w:rPr>
          <w:rFonts w:ascii="Palatino Linotype" w:hAnsi="Palatino Linotype"/>
          <w:sz w:val="20"/>
        </w:rPr>
        <w:t>U</w:t>
      </w:r>
      <w:r w:rsidRPr="00180028">
        <w:rPr>
          <w:rFonts w:ascii="Palatino Linotype" w:eastAsia="Segoe UI" w:hAnsi="Palatino Linotype" w:cs="Segoe UI"/>
          <w:sz w:val="20"/>
        </w:rPr>
        <w:t>nless otherwise indicated, “</w:t>
      </w:r>
      <w:r w:rsidRPr="00180028">
        <w:rPr>
          <w:rFonts w:ascii="Palatino Linotype" w:eastAsia="Segoe UI" w:hAnsi="Palatino Linotype" w:cs="Segoe UI"/>
          <w:sz w:val="20"/>
          <w:lang w:val="en-ZW"/>
        </w:rPr>
        <w:t>Transmission Owner” (“TO”), “Investor</w:t>
      </w:r>
      <w:r w:rsidR="004B1FBD" w:rsidRPr="00180028">
        <w:rPr>
          <w:rFonts w:ascii="Palatino Linotype" w:eastAsia="Segoe UI" w:hAnsi="Palatino Linotype" w:cs="Segoe UI"/>
          <w:sz w:val="20"/>
          <w:lang w:val="en-ZW"/>
        </w:rPr>
        <w:t>-</w:t>
      </w:r>
      <w:r w:rsidRPr="00180028">
        <w:rPr>
          <w:rFonts w:ascii="Palatino Linotype" w:eastAsia="Segoe UI" w:hAnsi="Palatino Linotype" w:cs="Segoe UI"/>
          <w:sz w:val="20"/>
          <w:lang w:val="en-ZW"/>
        </w:rPr>
        <w:t>Owned Utility” (“IOU”), and “Utility” are used interchangeably in this resolution.</w:t>
      </w:r>
    </w:p>
  </w:footnote>
  <w:footnote w:id="4">
    <w:p w14:paraId="75C1A017" w14:textId="77777777" w:rsidR="00B320AB" w:rsidRPr="00180028" w:rsidRDefault="00B320AB"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As a result of negotiations in PG&amp;E's and SCE's FERC TO rate cases, and as described later in this Resolution, robust, but temporary, stakeholder processes were established in 2020 to provide transmission project data, afford discovery opportunities, and convene stakeholder meetings on a semi-annual basis.  These two processes, while different in some ways, are the predecessor of the Transmission Project Review Process proposed in this Resolution.  While not as comprehensive as the PG&amp;E and SCE processes, SDG&amp;E also established in its last rate case at FERC, a transmission project assessment process, which includes an annual release of transmission project data, a Stakeholder inquiry period, and an annual Stakeholder meeting.  All three processes are currently set to expire by the end of 2023.  </w:t>
      </w:r>
    </w:p>
  </w:footnote>
  <w:footnote w:id="5">
    <w:p w14:paraId="20278C44" w14:textId="77777777" w:rsidR="00B320AB" w:rsidRPr="00180028" w:rsidRDefault="00B320AB"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These numbers are based on the utilities’ responses in July 2021 to an Energy Division data request, which asked the utilities to provide the costs of CAISO- and self-approved projects for the previous decade and forecasts for the next five years.</w:t>
      </w:r>
    </w:p>
  </w:footnote>
  <w:footnote w:id="6">
    <w:p w14:paraId="283CD490" w14:textId="77777777" w:rsidR="00B320AB" w:rsidRPr="00180028" w:rsidRDefault="00B320AB"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California ISO, </w:t>
      </w:r>
      <w:r w:rsidRPr="00180028">
        <w:rPr>
          <w:rFonts w:ascii="Palatino Linotype" w:hAnsi="Palatino Linotype"/>
          <w:i/>
          <w:iCs/>
          <w:sz w:val="20"/>
        </w:rPr>
        <w:t>20 Year Transmission Outlook</w:t>
      </w:r>
      <w:r w:rsidRPr="00180028">
        <w:rPr>
          <w:rFonts w:ascii="Palatino Linotype" w:hAnsi="Palatino Linotype"/>
          <w:sz w:val="20"/>
        </w:rPr>
        <w:t>, May 2022 at 3.</w:t>
      </w:r>
    </w:p>
  </w:footnote>
  <w:footnote w:id="7">
    <w:p w14:paraId="40B35335" w14:textId="77777777" w:rsidR="00B320AB" w:rsidRPr="00180028" w:rsidRDefault="00B320AB"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The high voltage system is the portion of the transmission grid that is 200 kilovolts ("kV") or greater. This estimated $30.5 billion in new transmission build-out does not include costs for the portion of the transmission system that is lower than 200 kV.  These lower voltages currently comprise 40% of the costs of operating the CAISO controlled transmission grid.</w:t>
      </w:r>
    </w:p>
  </w:footnote>
  <w:footnote w:id="8">
    <w:p w14:paraId="45491222" w14:textId="55BCCB8B" w:rsidR="0CAA01A4" w:rsidRPr="00180028" w:rsidRDefault="0CAA01A4" w:rsidP="00180028">
      <w:pPr>
        <w:spacing w:after="60"/>
        <w:rPr>
          <w:rFonts w:ascii="Palatino Linotype" w:hAnsi="Palatino Linotype"/>
          <w:sz w:val="20"/>
        </w:rPr>
      </w:pPr>
      <w:r w:rsidRPr="00180028">
        <w:rPr>
          <w:rFonts w:ascii="Palatino Linotype" w:hAnsi="Palatino Linotype"/>
          <w:sz w:val="20"/>
          <w:vertAlign w:val="superscript"/>
        </w:rPr>
        <w:footnoteRef/>
      </w:r>
      <w:r w:rsidRPr="00180028">
        <w:rPr>
          <w:rFonts w:ascii="Palatino Linotype" w:hAnsi="Palatino Linotype"/>
          <w:sz w:val="20"/>
          <w:vertAlign w:val="superscript"/>
        </w:rPr>
        <w:t xml:space="preserve"> </w:t>
      </w:r>
      <w:r w:rsidRPr="00180028">
        <w:rPr>
          <w:rFonts w:ascii="Palatino Linotype" w:hAnsi="Palatino Linotype"/>
          <w:i/>
          <w:iCs/>
          <w:sz w:val="20"/>
        </w:rPr>
        <w:t>Davis v. Southern California Edison Co.</w:t>
      </w:r>
      <w:r w:rsidRPr="00180028">
        <w:rPr>
          <w:rFonts w:ascii="Palatino Linotype" w:hAnsi="Palatino Linotype"/>
          <w:sz w:val="20"/>
        </w:rPr>
        <w:t xml:space="preserve"> (2015) 236 Cal.App.4th 619, 636 (“[t]he Commission [(PUC)] is a state agency of constitutional origin with far-reaching duties, functions and powers…. The Constitution confers broad authority on the commission to regulate utilities.”) </w:t>
      </w:r>
    </w:p>
  </w:footnote>
  <w:footnote w:id="9">
    <w:p w14:paraId="31946676" w14:textId="28F0B4F2" w:rsidR="0CAA01A4" w:rsidRPr="00180028" w:rsidRDefault="0CAA01A4" w:rsidP="00180028">
      <w:pPr>
        <w:spacing w:after="60"/>
        <w:rPr>
          <w:rFonts w:ascii="Palatino Linotype" w:hAnsi="Palatino Linotype"/>
          <w:sz w:val="20"/>
        </w:rPr>
      </w:pPr>
      <w:r w:rsidRPr="00180028">
        <w:rPr>
          <w:rFonts w:ascii="Palatino Linotype" w:hAnsi="Palatino Linotype"/>
          <w:sz w:val="20"/>
          <w:vertAlign w:val="superscript"/>
        </w:rPr>
        <w:footnoteRef/>
      </w:r>
      <w:r w:rsidRPr="00180028">
        <w:rPr>
          <w:rFonts w:ascii="Palatino Linotype" w:hAnsi="Palatino Linotype"/>
          <w:sz w:val="20"/>
          <w:vertAlign w:val="superscript"/>
        </w:rPr>
        <w:t xml:space="preserve"> </w:t>
      </w:r>
      <w:r w:rsidR="67D470B9" w:rsidRPr="00180028">
        <w:rPr>
          <w:rFonts w:ascii="Palatino Linotype" w:hAnsi="Palatino Linotype"/>
          <w:i/>
          <w:iCs/>
          <w:sz w:val="20"/>
        </w:rPr>
        <w:t xml:space="preserve">See </w:t>
      </w:r>
      <w:r w:rsidR="67D470B9" w:rsidRPr="00180028">
        <w:rPr>
          <w:rFonts w:ascii="Palatino Linotype" w:eastAsia="Calibri" w:hAnsi="Palatino Linotype" w:cs="Calibri"/>
          <w:color w:val="000000" w:themeColor="text1"/>
          <w:sz w:val="20"/>
          <w:u w:val="single"/>
        </w:rPr>
        <w:t>S.</w:t>
      </w:r>
      <w:r w:rsidR="1967FEA6" w:rsidRPr="00180028">
        <w:rPr>
          <w:rFonts w:ascii="Palatino Linotype" w:eastAsia="Calibri" w:hAnsi="Palatino Linotype" w:cs="Calibri"/>
          <w:color w:val="000000" w:themeColor="text1"/>
          <w:sz w:val="20"/>
          <w:u w:val="single"/>
        </w:rPr>
        <w:t xml:space="preserve"> California Edison Co. v. Pub. Utilities Com.</w:t>
      </w:r>
      <w:r w:rsidR="1967FEA6" w:rsidRPr="00180028">
        <w:rPr>
          <w:rFonts w:ascii="Palatino Linotype" w:eastAsia="Calibri" w:hAnsi="Palatino Linotype" w:cs="Calibri"/>
          <w:color w:val="000000" w:themeColor="text1"/>
          <w:sz w:val="20"/>
        </w:rPr>
        <w:t>, 227 Cal. App. 4th 172, 190 (2014</w:t>
      </w:r>
      <w:r w:rsidR="1660B565" w:rsidRPr="00180028">
        <w:rPr>
          <w:rFonts w:ascii="Palatino Linotype" w:eastAsia="Calibri" w:hAnsi="Palatino Linotype" w:cs="Calibri"/>
          <w:color w:val="000000" w:themeColor="text1"/>
          <w:sz w:val="20"/>
        </w:rPr>
        <w:t>).</w:t>
      </w:r>
    </w:p>
  </w:footnote>
  <w:footnote w:id="10">
    <w:p w14:paraId="51C173D8" w14:textId="2B7004FB" w:rsidR="0CAA01A4" w:rsidRPr="00180028" w:rsidRDefault="0CAA01A4" w:rsidP="00180028">
      <w:pPr>
        <w:spacing w:after="60"/>
        <w:rPr>
          <w:rFonts w:ascii="Palatino Linotype" w:hAnsi="Palatino Linotype"/>
          <w:sz w:val="20"/>
        </w:rPr>
      </w:pPr>
      <w:r w:rsidRPr="00180028">
        <w:rPr>
          <w:rFonts w:ascii="Palatino Linotype" w:hAnsi="Palatino Linotype"/>
          <w:sz w:val="20"/>
          <w:vertAlign w:val="superscript"/>
        </w:rPr>
        <w:footnoteRef/>
      </w:r>
      <w:r w:rsidRPr="00180028">
        <w:rPr>
          <w:rFonts w:ascii="Palatino Linotype" w:hAnsi="Palatino Linotype"/>
          <w:sz w:val="20"/>
        </w:rPr>
        <w:t xml:space="preserve"> Pub. Util. Code § 701.</w:t>
      </w:r>
    </w:p>
  </w:footnote>
  <w:footnote w:id="11">
    <w:p w14:paraId="19849007" w14:textId="64E4E816" w:rsidR="0CAA01A4" w:rsidRPr="00180028" w:rsidRDefault="0CAA01A4" w:rsidP="00180028">
      <w:pPr>
        <w:spacing w:after="60"/>
        <w:rPr>
          <w:rFonts w:ascii="Palatino Linotype" w:hAnsi="Palatino Linotype"/>
          <w:sz w:val="20"/>
        </w:rPr>
      </w:pPr>
      <w:r w:rsidRPr="00180028">
        <w:rPr>
          <w:rFonts w:ascii="Palatino Linotype" w:hAnsi="Palatino Linotype"/>
          <w:sz w:val="20"/>
          <w:vertAlign w:val="superscript"/>
        </w:rPr>
        <w:footnoteRef/>
      </w:r>
      <w:r w:rsidRPr="00180028">
        <w:rPr>
          <w:rFonts w:ascii="Palatino Linotype" w:hAnsi="Palatino Linotype"/>
          <w:sz w:val="20"/>
        </w:rPr>
        <w:t xml:space="preserve"> 16 U.S.C. § 824; Pub. Util. Code §§ 330, 365.</w:t>
      </w:r>
    </w:p>
  </w:footnote>
  <w:footnote w:id="12">
    <w:p w14:paraId="0CF76402" w14:textId="77777777" w:rsidR="00FD5FC5" w:rsidRPr="00180028" w:rsidRDefault="00FD5FC5" w:rsidP="00180028">
      <w:pPr>
        <w:spacing w:after="60"/>
        <w:rPr>
          <w:rFonts w:ascii="Palatino Linotype" w:hAnsi="Palatino Linotype"/>
          <w:sz w:val="20"/>
        </w:rPr>
      </w:pPr>
      <w:r w:rsidRPr="00180028">
        <w:rPr>
          <w:rFonts w:ascii="Palatino Linotype" w:hAnsi="Palatino Linotype"/>
          <w:sz w:val="20"/>
          <w:vertAlign w:val="superscript"/>
        </w:rPr>
        <w:footnoteRef/>
      </w:r>
      <w:r w:rsidRPr="00180028">
        <w:rPr>
          <w:rFonts w:ascii="Palatino Linotype" w:hAnsi="Palatino Linotype"/>
          <w:sz w:val="20"/>
          <w:vertAlign w:val="superscript"/>
        </w:rPr>
        <w:t xml:space="preserve"> </w:t>
      </w:r>
      <w:r w:rsidRPr="00180028">
        <w:rPr>
          <w:rFonts w:ascii="Palatino Linotype" w:hAnsi="Palatino Linotype"/>
          <w:sz w:val="20"/>
        </w:rPr>
        <w:t>Pub. Util. Code § 314(a).</w:t>
      </w:r>
    </w:p>
  </w:footnote>
  <w:footnote w:id="13">
    <w:p w14:paraId="09C45D7F" w14:textId="77777777" w:rsidR="00FD5FC5" w:rsidRPr="00180028" w:rsidRDefault="00FD5FC5" w:rsidP="00180028">
      <w:pPr>
        <w:spacing w:after="60"/>
        <w:rPr>
          <w:rFonts w:ascii="Palatino Linotype" w:hAnsi="Palatino Linotype"/>
          <w:sz w:val="20"/>
        </w:rPr>
      </w:pPr>
      <w:r w:rsidRPr="00180028">
        <w:rPr>
          <w:rFonts w:ascii="Palatino Linotype" w:hAnsi="Palatino Linotype"/>
          <w:sz w:val="20"/>
          <w:vertAlign w:val="superscript"/>
        </w:rPr>
        <w:footnoteRef/>
      </w:r>
      <w:r w:rsidRPr="00180028">
        <w:rPr>
          <w:rFonts w:ascii="Palatino Linotype" w:hAnsi="Palatino Linotype"/>
          <w:sz w:val="20"/>
          <w:vertAlign w:val="superscript"/>
        </w:rPr>
        <w:t xml:space="preserve"> </w:t>
      </w:r>
      <w:r w:rsidRPr="00180028">
        <w:rPr>
          <w:rFonts w:ascii="Palatino Linotype" w:hAnsi="Palatino Linotype"/>
          <w:i/>
          <w:iCs/>
          <w:sz w:val="20"/>
        </w:rPr>
        <w:t>Id</w:t>
      </w:r>
      <w:r w:rsidRPr="00180028">
        <w:rPr>
          <w:rFonts w:ascii="Palatino Linotype" w:hAnsi="Palatino Linotype"/>
          <w:sz w:val="20"/>
        </w:rPr>
        <w:t>.</w:t>
      </w:r>
    </w:p>
  </w:footnote>
  <w:footnote w:id="14">
    <w:p w14:paraId="4D439087" w14:textId="77777777" w:rsidR="00FD5FC5" w:rsidRPr="00180028" w:rsidRDefault="00FD5FC5" w:rsidP="00180028">
      <w:pPr>
        <w:spacing w:after="60"/>
        <w:rPr>
          <w:rFonts w:ascii="Palatino Linotype" w:hAnsi="Palatino Linotype"/>
          <w:sz w:val="20"/>
        </w:rPr>
      </w:pPr>
      <w:r w:rsidRPr="00180028">
        <w:rPr>
          <w:rFonts w:ascii="Palatino Linotype" w:hAnsi="Palatino Linotype"/>
          <w:sz w:val="20"/>
          <w:vertAlign w:val="superscript"/>
        </w:rPr>
        <w:footnoteRef/>
      </w:r>
      <w:r w:rsidRPr="00180028">
        <w:rPr>
          <w:rFonts w:ascii="Palatino Linotype" w:hAnsi="Palatino Linotype"/>
          <w:sz w:val="20"/>
          <w:vertAlign w:val="superscript"/>
        </w:rPr>
        <w:t xml:space="preserve"> </w:t>
      </w:r>
      <w:r w:rsidRPr="00180028">
        <w:rPr>
          <w:rFonts w:ascii="Palatino Linotype" w:hAnsi="Palatino Linotype"/>
          <w:sz w:val="20"/>
        </w:rPr>
        <w:t>Pub. Util. Code § 581.</w:t>
      </w:r>
    </w:p>
  </w:footnote>
  <w:footnote w:id="15">
    <w:p w14:paraId="340C5825" w14:textId="77777777" w:rsidR="00FD5FC5" w:rsidRPr="00180028" w:rsidRDefault="00FD5FC5" w:rsidP="00180028">
      <w:pPr>
        <w:spacing w:after="60"/>
        <w:rPr>
          <w:rFonts w:ascii="Palatino Linotype" w:hAnsi="Palatino Linotype"/>
          <w:sz w:val="20"/>
        </w:rPr>
      </w:pPr>
      <w:r w:rsidRPr="00180028">
        <w:rPr>
          <w:rFonts w:ascii="Palatino Linotype" w:hAnsi="Palatino Linotype"/>
          <w:sz w:val="20"/>
          <w:vertAlign w:val="superscript"/>
        </w:rPr>
        <w:footnoteRef/>
      </w:r>
      <w:r w:rsidRPr="00180028">
        <w:rPr>
          <w:rFonts w:ascii="Palatino Linotype" w:hAnsi="Palatino Linotype"/>
          <w:sz w:val="20"/>
        </w:rPr>
        <w:t xml:space="preserve"> </w:t>
      </w:r>
      <w:r w:rsidRPr="00180028">
        <w:rPr>
          <w:rFonts w:ascii="Palatino Linotype" w:hAnsi="Palatino Linotype"/>
          <w:i/>
          <w:iCs/>
          <w:sz w:val="20"/>
        </w:rPr>
        <w:t>Id</w:t>
      </w:r>
      <w:r w:rsidRPr="00180028">
        <w:rPr>
          <w:rFonts w:ascii="Palatino Linotype" w:hAnsi="Palatino Linotype"/>
          <w:sz w:val="20"/>
        </w:rPr>
        <w:t>.</w:t>
      </w:r>
    </w:p>
  </w:footnote>
  <w:footnote w:id="16">
    <w:p w14:paraId="589E59C2" w14:textId="77777777" w:rsidR="00FD5FC5" w:rsidRPr="00180028" w:rsidRDefault="00FD5FC5" w:rsidP="00180028">
      <w:pPr>
        <w:pStyle w:val="FootnoteText"/>
        <w:spacing w:after="60"/>
        <w:rPr>
          <w:rFonts w:ascii="Palatino Linotype" w:hAnsi="Palatino Linotype"/>
          <w:sz w:val="20"/>
          <w:lang w:val="en-ZW"/>
        </w:rPr>
      </w:pPr>
      <w:r w:rsidRPr="00180028">
        <w:rPr>
          <w:rStyle w:val="FootnoteReference"/>
          <w:rFonts w:ascii="Palatino Linotype" w:hAnsi="Palatino Linotype"/>
          <w:sz w:val="20"/>
        </w:rPr>
        <w:footnoteRef/>
      </w:r>
      <w:r w:rsidRPr="00180028">
        <w:rPr>
          <w:rFonts w:ascii="Palatino Linotype" w:hAnsi="Palatino Linotype"/>
          <w:sz w:val="20"/>
        </w:rPr>
        <w:t xml:space="preserve"> </w:t>
      </w:r>
      <w:r w:rsidRPr="00180028">
        <w:rPr>
          <w:rFonts w:ascii="Palatino Linotype" w:hAnsi="Palatino Linotype"/>
          <w:sz w:val="20"/>
          <w:lang w:val="en-ZW"/>
        </w:rPr>
        <w:t xml:space="preserve">The CPUC identifies five main steps from the beginning of the transmission planning process to rate recovery.  Determination and prioritization of assumptions, needs, and transmission solutions are the main components of transmission planning, whether projects are CAISO-approved or self-approved.  Stages four and five are respectively project implementation and the recovery of costs for capital additions in TO rate cases at FERC.  Like PG&amp;E’s Stakeholder Transmission Asset Review (“STAR”) Process and SCE’s Stakeholder Review Process (“SRP”), the TPR will occur after the transmission planning stages and will address projects before and during their construction, with an opportunity to have visibility of recently completed projects as well.  The TPR is not part of transmission planning or rate recovery stages, which both fall under FERC’s jurisdiction. </w:t>
      </w:r>
    </w:p>
  </w:footnote>
  <w:footnote w:id="17">
    <w:p w14:paraId="7FC62499" w14:textId="77777777" w:rsidR="00BD65C4" w:rsidRPr="00180028" w:rsidRDefault="00BD65C4" w:rsidP="00180028">
      <w:pPr>
        <w:pStyle w:val="FootnoteText"/>
        <w:spacing w:after="60"/>
        <w:rPr>
          <w:rFonts w:ascii="Palatino Linotype" w:hAnsi="Palatino Linotype" w:cs="Palatino"/>
          <w:sz w:val="20"/>
        </w:rPr>
      </w:pPr>
      <w:r w:rsidRPr="00180028">
        <w:rPr>
          <w:rStyle w:val="FootnoteReference"/>
          <w:rFonts w:ascii="Palatino Linotype" w:hAnsi="Palatino Linotype" w:cs="Palatino"/>
          <w:sz w:val="20"/>
        </w:rPr>
        <w:footnoteRef/>
      </w:r>
      <w:r w:rsidRPr="00180028">
        <w:rPr>
          <w:rFonts w:ascii="Palatino Linotype" w:hAnsi="Palatino Linotype" w:cs="Palatino"/>
          <w:sz w:val="20"/>
        </w:rPr>
        <w:t xml:space="preserve"> See Pacific Gas and Electric Company Transmission Owner Tariff Rate Filing, Pac. Gas &amp; Elec. Co., FERC Docket No. ER19-13-000 (filed Oct. 1, 2018), Appendix IX; Southern California Edison Company Transmission Owner Tariff Rate Filing, S. Cal. Edison Co., FERC Docket No. ER19-1553 (filed Apr. 11, 2019); San Diego Gas &amp; Electric Company Transmission Owner Tariff Rate Filing, San Diego Gas &amp; Electric Co., FERC Docket No. ER19-221 (filed Oct. 15, 2019).  The settlement language filed at FERC for these three processes is attached to this OIR as Appendix A.  </w:t>
      </w:r>
    </w:p>
  </w:footnote>
  <w:footnote w:id="18">
    <w:p w14:paraId="3F4B1EF1" w14:textId="4E76C272" w:rsidR="000C1D08" w:rsidRPr="00180028" w:rsidRDefault="000C1D08"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In 2018, the California Legislature enacted Senate Bill 100, “The 100 Percent Clean Energy Act of 2018”, which sets a 2045 goal of powering all retail electricity sold in California and state agency electricity needs with renewable and zero-carbon resources; and requires the California Energy Commission, California Public Utilities Commission and California Air Resources Board to use programs under existing laws to achieve 100 percent clean electricity.</w:t>
      </w:r>
    </w:p>
  </w:footnote>
  <w:footnote w:id="19">
    <w:p w14:paraId="6591AB79" w14:textId="6FFDB60D" w:rsidR="009A39DC" w:rsidRPr="00180028" w:rsidRDefault="009A39DC" w:rsidP="00180028">
      <w:pPr>
        <w:pStyle w:val="FootnoteText"/>
        <w:spacing w:after="60"/>
        <w:rPr>
          <w:rFonts w:ascii="Palatino Linotype" w:hAnsi="Palatino Linotype"/>
          <w:sz w:val="20"/>
          <w:lang w:val="en-ZW"/>
        </w:rPr>
      </w:pPr>
      <w:r w:rsidRPr="00180028">
        <w:rPr>
          <w:rStyle w:val="FootnoteReference"/>
          <w:rFonts w:ascii="Palatino Linotype" w:hAnsi="Palatino Linotype"/>
          <w:sz w:val="20"/>
        </w:rPr>
        <w:footnoteRef/>
      </w:r>
      <w:r w:rsidRPr="00180028">
        <w:rPr>
          <w:rFonts w:ascii="Palatino Linotype" w:hAnsi="Palatino Linotype"/>
          <w:sz w:val="20"/>
        </w:rPr>
        <w:t xml:space="preserve"> </w:t>
      </w:r>
      <w:r w:rsidR="009E6121" w:rsidRPr="00180028">
        <w:rPr>
          <w:rFonts w:ascii="Palatino Linotype" w:hAnsi="Palatino Linotype"/>
          <w:sz w:val="20"/>
        </w:rPr>
        <w:t>P</w:t>
      </w:r>
      <w:r w:rsidR="00FF7F66" w:rsidRPr="00180028">
        <w:rPr>
          <w:rFonts w:ascii="Palatino Linotype" w:hAnsi="Palatino Linotype"/>
          <w:sz w:val="20"/>
        </w:rPr>
        <w:t xml:space="preserve">hase </w:t>
      </w:r>
      <w:r w:rsidR="009E6121" w:rsidRPr="00180028">
        <w:rPr>
          <w:rFonts w:ascii="Palatino Linotype" w:hAnsi="Palatino Linotype"/>
          <w:sz w:val="20"/>
        </w:rPr>
        <w:t>II D</w:t>
      </w:r>
      <w:r w:rsidR="00FF7F66" w:rsidRPr="00180028">
        <w:rPr>
          <w:rFonts w:ascii="Palatino Linotype" w:hAnsi="Palatino Linotype"/>
          <w:sz w:val="20"/>
        </w:rPr>
        <w:t>ecision</w:t>
      </w:r>
      <w:r w:rsidR="009E6121" w:rsidRPr="00180028">
        <w:rPr>
          <w:rFonts w:ascii="Palatino Linotype" w:hAnsi="Palatino Linotype"/>
          <w:sz w:val="20"/>
        </w:rPr>
        <w:t xml:space="preserve"> A</w:t>
      </w:r>
      <w:r w:rsidR="00FF7F66" w:rsidRPr="00180028">
        <w:rPr>
          <w:rFonts w:ascii="Palatino Linotype" w:hAnsi="Palatino Linotype"/>
          <w:sz w:val="20"/>
        </w:rPr>
        <w:t>dopting</w:t>
      </w:r>
      <w:r w:rsidR="009E6121" w:rsidRPr="00180028">
        <w:rPr>
          <w:rFonts w:ascii="Palatino Linotype" w:hAnsi="Palatino Linotype"/>
          <w:sz w:val="20"/>
        </w:rPr>
        <w:t xml:space="preserve"> M</w:t>
      </w:r>
      <w:r w:rsidR="00FF7F66" w:rsidRPr="00180028">
        <w:rPr>
          <w:rFonts w:ascii="Palatino Linotype" w:hAnsi="Palatino Linotype"/>
          <w:sz w:val="20"/>
        </w:rPr>
        <w:t>odifications</w:t>
      </w:r>
      <w:r w:rsidR="009E6121" w:rsidRPr="00180028">
        <w:rPr>
          <w:rFonts w:ascii="Palatino Linotype" w:hAnsi="Palatino Linotype"/>
          <w:sz w:val="20"/>
        </w:rPr>
        <w:t xml:space="preserve"> </w:t>
      </w:r>
      <w:r w:rsidR="00FF7F66" w:rsidRPr="00180028">
        <w:rPr>
          <w:rFonts w:ascii="Palatino Linotype" w:hAnsi="Palatino Linotype"/>
          <w:sz w:val="20"/>
        </w:rPr>
        <w:t>to</w:t>
      </w:r>
      <w:r w:rsidR="009E6121" w:rsidRPr="00180028">
        <w:rPr>
          <w:rFonts w:ascii="Palatino Linotype" w:hAnsi="Palatino Linotype"/>
          <w:sz w:val="20"/>
        </w:rPr>
        <w:t xml:space="preserve"> </w:t>
      </w:r>
      <w:r w:rsidR="00FF7F66" w:rsidRPr="00180028">
        <w:rPr>
          <w:rFonts w:ascii="Palatino Linotype" w:hAnsi="Palatino Linotype"/>
          <w:sz w:val="20"/>
        </w:rPr>
        <w:t>the</w:t>
      </w:r>
      <w:r w:rsidR="009E6121" w:rsidRPr="00180028">
        <w:rPr>
          <w:rFonts w:ascii="Palatino Linotype" w:hAnsi="Palatino Linotype"/>
          <w:sz w:val="20"/>
        </w:rPr>
        <w:t xml:space="preserve"> R</w:t>
      </w:r>
      <w:r w:rsidR="00FF7F66" w:rsidRPr="00180028">
        <w:rPr>
          <w:rFonts w:ascii="Palatino Linotype" w:hAnsi="Palatino Linotype"/>
          <w:sz w:val="20"/>
        </w:rPr>
        <w:t>isk</w:t>
      </w:r>
      <w:r w:rsidR="009E6121" w:rsidRPr="00180028">
        <w:rPr>
          <w:rFonts w:ascii="Palatino Linotype" w:hAnsi="Palatino Linotype"/>
          <w:sz w:val="20"/>
        </w:rPr>
        <w:t>-B</w:t>
      </w:r>
      <w:r w:rsidR="00FF7F66" w:rsidRPr="00180028">
        <w:rPr>
          <w:rFonts w:ascii="Palatino Linotype" w:hAnsi="Palatino Linotype"/>
          <w:sz w:val="20"/>
        </w:rPr>
        <w:t>ased</w:t>
      </w:r>
      <w:r w:rsidR="009E6121" w:rsidRPr="00180028">
        <w:rPr>
          <w:rFonts w:ascii="Palatino Linotype" w:hAnsi="Palatino Linotype"/>
          <w:sz w:val="20"/>
        </w:rPr>
        <w:t xml:space="preserve"> D</w:t>
      </w:r>
      <w:r w:rsidR="00FF7F66" w:rsidRPr="00180028">
        <w:rPr>
          <w:rFonts w:ascii="Palatino Linotype" w:hAnsi="Palatino Linotype"/>
          <w:sz w:val="20"/>
        </w:rPr>
        <w:t>ecision</w:t>
      </w:r>
      <w:r w:rsidR="009E6121" w:rsidRPr="00180028">
        <w:rPr>
          <w:rFonts w:ascii="Palatino Linotype" w:hAnsi="Palatino Linotype"/>
          <w:sz w:val="20"/>
        </w:rPr>
        <w:t>-M</w:t>
      </w:r>
      <w:r w:rsidR="00FF7F66" w:rsidRPr="00180028">
        <w:rPr>
          <w:rFonts w:ascii="Palatino Linotype" w:hAnsi="Palatino Linotype"/>
          <w:sz w:val="20"/>
        </w:rPr>
        <w:t>aking</w:t>
      </w:r>
      <w:r w:rsidR="009E6121" w:rsidRPr="00180028">
        <w:rPr>
          <w:rFonts w:ascii="Palatino Linotype" w:hAnsi="Palatino Linotype"/>
          <w:sz w:val="20"/>
        </w:rPr>
        <w:t xml:space="preserve"> F</w:t>
      </w:r>
      <w:r w:rsidR="00FF7F66" w:rsidRPr="00180028">
        <w:rPr>
          <w:rFonts w:ascii="Palatino Linotype" w:hAnsi="Palatino Linotype"/>
          <w:sz w:val="20"/>
        </w:rPr>
        <w:t>ramework</w:t>
      </w:r>
      <w:r w:rsidR="009E6121" w:rsidRPr="00180028">
        <w:rPr>
          <w:rFonts w:ascii="Palatino Linotype" w:hAnsi="Palatino Linotype"/>
          <w:sz w:val="20"/>
        </w:rPr>
        <w:t xml:space="preserve"> A</w:t>
      </w:r>
      <w:r w:rsidR="00FF7F66" w:rsidRPr="00180028">
        <w:rPr>
          <w:rFonts w:ascii="Palatino Linotype" w:hAnsi="Palatino Linotype"/>
          <w:sz w:val="20"/>
        </w:rPr>
        <w:t>dopted</w:t>
      </w:r>
      <w:r w:rsidR="009E6121" w:rsidRPr="00180028">
        <w:rPr>
          <w:rFonts w:ascii="Palatino Linotype" w:hAnsi="Palatino Linotype"/>
          <w:sz w:val="20"/>
        </w:rPr>
        <w:t xml:space="preserve"> </w:t>
      </w:r>
      <w:r w:rsidR="00FF7F66" w:rsidRPr="00180028">
        <w:rPr>
          <w:rFonts w:ascii="Palatino Linotype" w:hAnsi="Palatino Linotype"/>
          <w:sz w:val="20"/>
        </w:rPr>
        <w:t>in</w:t>
      </w:r>
      <w:r w:rsidR="009E6121" w:rsidRPr="00180028">
        <w:rPr>
          <w:rFonts w:ascii="Palatino Linotype" w:hAnsi="Palatino Linotype"/>
          <w:sz w:val="20"/>
        </w:rPr>
        <w:t xml:space="preserve"> D</w:t>
      </w:r>
      <w:r w:rsidR="00FF7F66" w:rsidRPr="00180028">
        <w:rPr>
          <w:rFonts w:ascii="Palatino Linotype" w:hAnsi="Palatino Linotype"/>
          <w:sz w:val="20"/>
        </w:rPr>
        <w:t>ecision</w:t>
      </w:r>
      <w:r w:rsidR="009E6121" w:rsidRPr="00180028">
        <w:rPr>
          <w:rFonts w:ascii="Palatino Linotype" w:hAnsi="Palatino Linotype"/>
          <w:sz w:val="20"/>
        </w:rPr>
        <w:t xml:space="preserve"> 18-12-014 </w:t>
      </w:r>
      <w:r w:rsidR="00FF7F66" w:rsidRPr="00180028">
        <w:rPr>
          <w:rFonts w:ascii="Palatino Linotype" w:hAnsi="Palatino Linotype"/>
          <w:sz w:val="20"/>
        </w:rPr>
        <w:t>and</w:t>
      </w:r>
      <w:r w:rsidR="009E6121" w:rsidRPr="00180028">
        <w:rPr>
          <w:rFonts w:ascii="Palatino Linotype" w:hAnsi="Palatino Linotype"/>
          <w:sz w:val="20"/>
        </w:rPr>
        <w:t xml:space="preserve"> D</w:t>
      </w:r>
      <w:r w:rsidR="00FF7F66" w:rsidRPr="00180028">
        <w:rPr>
          <w:rFonts w:ascii="Palatino Linotype" w:hAnsi="Palatino Linotype"/>
          <w:sz w:val="20"/>
        </w:rPr>
        <w:t>irecting</w:t>
      </w:r>
      <w:r w:rsidR="009E6121" w:rsidRPr="00180028">
        <w:rPr>
          <w:rFonts w:ascii="Palatino Linotype" w:hAnsi="Palatino Linotype"/>
          <w:sz w:val="20"/>
        </w:rPr>
        <w:t xml:space="preserve"> E</w:t>
      </w:r>
      <w:r w:rsidR="006B1946" w:rsidRPr="00180028">
        <w:rPr>
          <w:rFonts w:ascii="Palatino Linotype" w:hAnsi="Palatino Linotype"/>
          <w:sz w:val="20"/>
        </w:rPr>
        <w:t>nvironmental</w:t>
      </w:r>
      <w:r w:rsidR="009E6121" w:rsidRPr="00180028">
        <w:rPr>
          <w:rFonts w:ascii="Palatino Linotype" w:hAnsi="Palatino Linotype"/>
          <w:sz w:val="20"/>
        </w:rPr>
        <w:t xml:space="preserve"> </w:t>
      </w:r>
      <w:r w:rsidR="006B1946" w:rsidRPr="00180028">
        <w:rPr>
          <w:rFonts w:ascii="Palatino Linotype" w:hAnsi="Palatino Linotype"/>
          <w:sz w:val="20"/>
        </w:rPr>
        <w:t>and</w:t>
      </w:r>
      <w:r w:rsidR="009E6121" w:rsidRPr="00180028">
        <w:rPr>
          <w:rFonts w:ascii="Palatino Linotype" w:hAnsi="Palatino Linotype"/>
          <w:sz w:val="20"/>
        </w:rPr>
        <w:t xml:space="preserve"> S</w:t>
      </w:r>
      <w:r w:rsidR="006B1946" w:rsidRPr="00180028">
        <w:rPr>
          <w:rFonts w:ascii="Palatino Linotype" w:hAnsi="Palatino Linotype"/>
          <w:sz w:val="20"/>
        </w:rPr>
        <w:t>ocial</w:t>
      </w:r>
      <w:r w:rsidR="009E6121" w:rsidRPr="00180028">
        <w:rPr>
          <w:rFonts w:ascii="Palatino Linotype" w:hAnsi="Palatino Linotype"/>
          <w:sz w:val="20"/>
        </w:rPr>
        <w:t xml:space="preserve"> J</w:t>
      </w:r>
      <w:r w:rsidR="006B1946" w:rsidRPr="00180028">
        <w:rPr>
          <w:rFonts w:ascii="Palatino Linotype" w:hAnsi="Palatino Linotype"/>
          <w:sz w:val="20"/>
        </w:rPr>
        <w:t>ustice</w:t>
      </w:r>
      <w:r w:rsidR="009E6121" w:rsidRPr="00180028">
        <w:rPr>
          <w:rFonts w:ascii="Palatino Linotype" w:hAnsi="Palatino Linotype"/>
          <w:sz w:val="20"/>
        </w:rPr>
        <w:t xml:space="preserve"> P</w:t>
      </w:r>
      <w:r w:rsidR="00EB64BB" w:rsidRPr="00180028">
        <w:rPr>
          <w:rFonts w:ascii="Palatino Linotype" w:hAnsi="Palatino Linotype"/>
          <w:sz w:val="20"/>
        </w:rPr>
        <w:t>ilots</w:t>
      </w:r>
      <w:r w:rsidR="003C64D0" w:rsidRPr="00180028">
        <w:rPr>
          <w:rFonts w:ascii="Palatino Linotype" w:hAnsi="Palatino Linotype"/>
          <w:sz w:val="20"/>
        </w:rPr>
        <w:t xml:space="preserve">, </w:t>
      </w:r>
      <w:r w:rsidRPr="00180028">
        <w:rPr>
          <w:rFonts w:ascii="Palatino Linotype" w:hAnsi="Palatino Linotype"/>
          <w:sz w:val="20"/>
          <w:lang w:val="en-ZW"/>
        </w:rPr>
        <w:t>F</w:t>
      </w:r>
      <w:r w:rsidR="005D43FD" w:rsidRPr="00180028">
        <w:rPr>
          <w:rFonts w:ascii="Palatino Linotype" w:hAnsi="Palatino Linotype"/>
          <w:sz w:val="20"/>
          <w:lang w:val="en-ZW"/>
        </w:rPr>
        <w:t>inding of Fact</w:t>
      </w:r>
      <w:r w:rsidR="003C64D0" w:rsidRPr="00180028">
        <w:rPr>
          <w:rFonts w:ascii="Palatino Linotype" w:hAnsi="Palatino Linotype"/>
          <w:sz w:val="20"/>
          <w:lang w:val="en-ZW"/>
        </w:rPr>
        <w:t xml:space="preserve"> #2, p.49</w:t>
      </w:r>
      <w:r w:rsidR="00563CA1" w:rsidRPr="00180028">
        <w:rPr>
          <w:rFonts w:ascii="Palatino Linotype" w:hAnsi="Palatino Linotype"/>
          <w:sz w:val="20"/>
          <w:lang w:val="en-ZW"/>
        </w:rPr>
        <w:t>. (November 3, 2022)</w:t>
      </w:r>
      <w:r w:rsidR="005D43FD" w:rsidRPr="00180028">
        <w:rPr>
          <w:rFonts w:ascii="Palatino Linotype" w:hAnsi="Palatino Linotype"/>
          <w:sz w:val="20"/>
          <w:lang w:val="en-ZW"/>
        </w:rPr>
        <w:t xml:space="preserve"> </w:t>
      </w:r>
    </w:p>
  </w:footnote>
  <w:footnote w:id="20">
    <w:p w14:paraId="230D773B" w14:textId="77777777" w:rsidR="002A240D" w:rsidRPr="00180028" w:rsidRDefault="002A240D"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http://www.caiso.com/about/Pages/OurBusiness/Default.aspx</w:t>
      </w:r>
    </w:p>
  </w:footnote>
  <w:footnote w:id="21">
    <w:p w14:paraId="13AE10FA" w14:textId="77777777" w:rsidR="002A240D" w:rsidRPr="00180028" w:rsidRDefault="002A240D"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Where a date falls on a holiday or weekend, it will be moved to the next business day.</w:t>
      </w:r>
    </w:p>
  </w:footnote>
  <w:footnote w:id="22">
    <w:p w14:paraId="17CDFEF2" w14:textId="77777777" w:rsidR="002A240D" w:rsidRPr="00180028" w:rsidRDefault="002A240D"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The scope of questions and comments is explained in Section 2.4 of the TPR Process. </w:t>
      </w:r>
    </w:p>
  </w:footnote>
  <w:footnote w:id="23">
    <w:p w14:paraId="54BA3F43" w14:textId="77777777" w:rsidR="002A240D" w:rsidRPr="00180028" w:rsidRDefault="002A240D"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To the fullest extent not precluded by privilege or CEII designations, the Utility shall publish and retain for ten years all information related to the TPR Process, including Stakeholder questions and comments, the Utility’s responses to questions and comments, and any other information related to the TPR Process on its website in an area devoted to this Process.</w:t>
      </w:r>
    </w:p>
  </w:footnote>
  <w:footnote w:id="24">
    <w:p w14:paraId="0819D3C5" w14:textId="77777777" w:rsidR="002A240D" w:rsidRPr="00180028" w:rsidRDefault="002A240D"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Where a date falls on a holiday or weekend, it will be moved to the next business day.</w:t>
      </w:r>
    </w:p>
  </w:footnote>
  <w:footnote w:id="25">
    <w:p w14:paraId="61DDEBA7" w14:textId="77777777" w:rsidR="002A240D" w:rsidRPr="00180028" w:rsidRDefault="002A240D"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The scope of questions and comments is explained in Section 2.4 of the TPR Process. </w:t>
      </w:r>
    </w:p>
  </w:footnote>
  <w:footnote w:id="26">
    <w:p w14:paraId="19A663A0" w14:textId="77777777" w:rsidR="002A240D" w:rsidRPr="00180028" w:rsidRDefault="002A240D"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To the fullest extent not precluded by privilege or CEII designations, the Utility shall publish and retain for ten years all information related to the TPR Process, including Stakeholder questions and comments, the Utility’s responses to questions and comments, and any other information related to the TPR Process on its website in an area devoted to this Process.</w:t>
      </w:r>
    </w:p>
  </w:footnote>
  <w:footnote w:id="27">
    <w:p w14:paraId="1F48B191" w14:textId="77777777" w:rsidR="002A240D" w:rsidRPr="00180028" w:rsidRDefault="002A240D"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Where a date falls on a holiday or weekend, it will be moved to the next business day.</w:t>
      </w:r>
    </w:p>
  </w:footnote>
  <w:footnote w:id="28">
    <w:p w14:paraId="42D0C33E" w14:textId="77777777" w:rsidR="002A240D" w:rsidRPr="00180028" w:rsidRDefault="002A240D"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The scope of questions and comments is explained in Section 2.4 of the TPR Process. </w:t>
      </w:r>
    </w:p>
  </w:footnote>
  <w:footnote w:id="29">
    <w:p w14:paraId="5DDF0ADF" w14:textId="77777777" w:rsidR="002A240D" w:rsidRPr="00180028" w:rsidRDefault="002A240D" w:rsidP="00180028">
      <w:pPr>
        <w:pStyle w:val="FootnoteText"/>
        <w:spacing w:after="60"/>
        <w:rPr>
          <w:rFonts w:ascii="Palatino Linotype" w:hAnsi="Palatino Linotype"/>
          <w:sz w:val="20"/>
        </w:rPr>
      </w:pPr>
      <w:r w:rsidRPr="00180028">
        <w:rPr>
          <w:rStyle w:val="FootnoteReference"/>
          <w:rFonts w:ascii="Palatino Linotype" w:hAnsi="Palatino Linotype"/>
          <w:sz w:val="20"/>
        </w:rPr>
        <w:footnoteRef/>
      </w:r>
      <w:r w:rsidRPr="00180028">
        <w:rPr>
          <w:rFonts w:ascii="Palatino Linotype" w:hAnsi="Palatino Linotype"/>
          <w:sz w:val="20"/>
        </w:rPr>
        <w:t xml:space="preserve"> To the fullest extent not precluded by privilege or CEII designations, the Utility shall publish and retain for ten years all information related to the TPR Process, including Stakeholder questions and comments, the Utility’s responses to questions and comments, and any other information related to the TPR Process on its website in an area devoted to this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4D47" w14:textId="77777777" w:rsidR="00CD0A05" w:rsidRDefault="00CD0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23AE" w14:textId="29ECE6A4" w:rsidR="00430103" w:rsidRDefault="00430103" w:rsidP="0047318A">
    <w:pPr>
      <w:pStyle w:val="Header"/>
      <w:tabs>
        <w:tab w:val="clear" w:pos="4320"/>
        <w:tab w:val="clear" w:pos="8640"/>
        <w:tab w:val="center" w:pos="4680"/>
        <w:tab w:val="right" w:pos="9180"/>
      </w:tabs>
      <w:rPr>
        <w:rFonts w:ascii="Palatino Linotype" w:hAnsi="Palatino Linotype"/>
        <w:sz w:val="24"/>
        <w:szCs w:val="24"/>
        <w:lang w:val="it-IT"/>
      </w:rPr>
    </w:pPr>
    <w:r w:rsidRPr="00180028">
      <w:rPr>
        <w:rFonts w:ascii="Palatino Linotype" w:hAnsi="Palatino Linotype"/>
        <w:sz w:val="24"/>
        <w:szCs w:val="24"/>
        <w:lang w:val="it-IT"/>
      </w:rPr>
      <w:t>Resolution E-</w:t>
    </w:r>
    <w:r w:rsidR="0047318A" w:rsidRPr="00180028">
      <w:rPr>
        <w:rFonts w:ascii="Palatino Linotype" w:hAnsi="Palatino Linotype"/>
        <w:sz w:val="24"/>
        <w:szCs w:val="24"/>
        <w:lang w:val="it-IT"/>
      </w:rPr>
      <w:t>5252</w:t>
    </w:r>
    <w:r w:rsidRPr="00180028">
      <w:rPr>
        <w:rFonts w:ascii="Palatino Linotype" w:hAnsi="Palatino Linotype"/>
        <w:sz w:val="24"/>
        <w:szCs w:val="24"/>
        <w:lang w:val="it-IT"/>
      </w:rPr>
      <w:tab/>
      <w:t>DRAFT</w:t>
    </w:r>
    <w:r w:rsidRPr="00180028">
      <w:rPr>
        <w:rFonts w:ascii="Palatino Linotype" w:hAnsi="Palatino Linotype"/>
        <w:sz w:val="24"/>
        <w:szCs w:val="24"/>
        <w:lang w:val="it-IT"/>
      </w:rPr>
      <w:tab/>
    </w:r>
    <w:r w:rsidR="002A687E">
      <w:rPr>
        <w:rFonts w:ascii="Palatino Linotype" w:hAnsi="Palatino Linotype"/>
        <w:sz w:val="24"/>
        <w:szCs w:val="24"/>
        <w:lang w:val="it-IT"/>
      </w:rPr>
      <w:t>April 6</w:t>
    </w:r>
    <w:r w:rsidRPr="00180028">
      <w:rPr>
        <w:rFonts w:ascii="Palatino Linotype" w:hAnsi="Palatino Linotype"/>
        <w:sz w:val="24"/>
        <w:szCs w:val="24"/>
        <w:lang w:val="it-IT"/>
      </w:rPr>
      <w:t>, 20</w:t>
    </w:r>
    <w:r w:rsidR="00F03D6F" w:rsidRPr="00180028">
      <w:rPr>
        <w:rFonts w:ascii="Palatino Linotype" w:hAnsi="Palatino Linotype"/>
        <w:sz w:val="24"/>
        <w:szCs w:val="24"/>
        <w:lang w:val="it-IT"/>
      </w:rPr>
      <w:t>2</w:t>
    </w:r>
    <w:r w:rsidR="00FE11A3" w:rsidRPr="00180028">
      <w:rPr>
        <w:rFonts w:ascii="Palatino Linotype" w:hAnsi="Palatino Linotype"/>
        <w:sz w:val="24"/>
        <w:szCs w:val="24"/>
        <w:lang w:val="it-IT"/>
      </w:rPr>
      <w:t>3</w:t>
    </w:r>
  </w:p>
  <w:p w14:paraId="176D6013" w14:textId="3AAD25D8" w:rsidR="00297528" w:rsidRDefault="00297528" w:rsidP="0047318A">
    <w:pPr>
      <w:pStyle w:val="Header"/>
      <w:tabs>
        <w:tab w:val="clear" w:pos="4320"/>
        <w:tab w:val="clear" w:pos="8640"/>
        <w:tab w:val="center" w:pos="4680"/>
        <w:tab w:val="right" w:pos="9180"/>
      </w:tabs>
      <w:rPr>
        <w:rFonts w:ascii="Palatino Linotype" w:hAnsi="Palatino Linotype"/>
        <w:sz w:val="24"/>
        <w:szCs w:val="24"/>
        <w:lang w:val="it-IT"/>
      </w:rPr>
    </w:pPr>
    <w:r>
      <w:rPr>
        <w:rFonts w:ascii="Palatino Linotype" w:hAnsi="Palatino Linotype"/>
        <w:sz w:val="24"/>
        <w:szCs w:val="24"/>
        <w:lang w:val="it-IT"/>
      </w:rPr>
      <w:t>/SH6</w:t>
    </w:r>
  </w:p>
  <w:p w14:paraId="7FECFD97" w14:textId="77777777" w:rsidR="00297528" w:rsidRPr="00180028" w:rsidRDefault="00297528" w:rsidP="0047318A">
    <w:pPr>
      <w:pStyle w:val="Header"/>
      <w:tabs>
        <w:tab w:val="clear" w:pos="4320"/>
        <w:tab w:val="clear" w:pos="8640"/>
        <w:tab w:val="center" w:pos="4680"/>
        <w:tab w:val="right" w:pos="9180"/>
      </w:tabs>
      <w:rPr>
        <w:rFonts w:ascii="Palatino Linotype" w:hAnsi="Palatino Linotype"/>
        <w:sz w:val="24"/>
        <w:szCs w:val="24"/>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D57B" w14:textId="77777777" w:rsidR="00430103" w:rsidRPr="00180028" w:rsidRDefault="00430103">
    <w:pPr>
      <w:pStyle w:val="Header"/>
      <w:rPr>
        <w:rFonts w:ascii="Palatino Linotype" w:hAnsi="Palatino Linotype"/>
        <w:b/>
        <w:sz w:val="24"/>
        <w:szCs w:val="24"/>
      </w:rPr>
    </w:pPr>
    <w:r w:rsidRPr="00180028">
      <w:rPr>
        <w:rFonts w:ascii="Palatino Linotype" w:hAnsi="Palatino Linotype"/>
        <w:sz w:val="24"/>
        <w:szCs w:val="24"/>
      </w:rPr>
      <w:tab/>
    </w:r>
    <w:r w:rsidRPr="00180028">
      <w:rPr>
        <w:rFonts w:ascii="Palatino Linotype" w:hAnsi="Palatino Linotype"/>
        <w:b/>
        <w:sz w:val="24"/>
        <w:szCs w:val="24"/>
      </w:rPr>
      <w:t xml:space="preserve">DRAFT                                                                                   </w:t>
    </w:r>
    <w:r w:rsidRPr="00180028">
      <w:rPr>
        <w:rFonts w:ascii="Palatino Linotype" w:hAnsi="Palatino Linotype"/>
        <w:b/>
        <w:sz w:val="24"/>
        <w:szCs w:val="24"/>
      </w:rPr>
      <w:tab/>
    </w:r>
    <w:r w:rsidRPr="00180028">
      <w:rPr>
        <w:rFonts w:ascii="Palatino Linotype" w:hAnsi="Palatino Linotype"/>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5A3"/>
    <w:multiLevelType w:val="multilevel"/>
    <w:tmpl w:val="FED00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A47C1"/>
    <w:multiLevelType w:val="hybridMultilevel"/>
    <w:tmpl w:val="ECB8F52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7771AB"/>
    <w:multiLevelType w:val="hybridMultilevel"/>
    <w:tmpl w:val="8BAE2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F33C8"/>
    <w:multiLevelType w:val="hybridMultilevel"/>
    <w:tmpl w:val="7062C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627A6"/>
    <w:multiLevelType w:val="hybridMultilevel"/>
    <w:tmpl w:val="86E6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0B1D"/>
    <w:multiLevelType w:val="multilevel"/>
    <w:tmpl w:val="C98CB7D4"/>
    <w:lvl w:ilvl="0">
      <w:start w:val="1"/>
      <w:numFmt w:val="decimal"/>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15:restartNumberingAfterBreak="0">
    <w:nsid w:val="228F11E6"/>
    <w:multiLevelType w:val="hybridMultilevel"/>
    <w:tmpl w:val="FA50924C"/>
    <w:lvl w:ilvl="0" w:tplc="E3D2B0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415C5"/>
    <w:multiLevelType w:val="hybridMultilevel"/>
    <w:tmpl w:val="9662B07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6C756B2"/>
    <w:multiLevelType w:val="hybridMultilevel"/>
    <w:tmpl w:val="EA58BB24"/>
    <w:lvl w:ilvl="0" w:tplc="EE025AE2">
      <w:start w:val="1"/>
      <w:numFmt w:val="decimal"/>
      <w:lvlText w:val="(%1)"/>
      <w:lvlJc w:val="left"/>
      <w:pPr>
        <w:ind w:left="750" w:hanging="37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15:restartNumberingAfterBreak="0">
    <w:nsid w:val="429936E4"/>
    <w:multiLevelType w:val="hybridMultilevel"/>
    <w:tmpl w:val="0994E3B0"/>
    <w:lvl w:ilvl="0" w:tplc="04090017">
      <w:start w:val="1"/>
      <w:numFmt w:val="low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2"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88135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E5B39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0F6FC2"/>
    <w:multiLevelType w:val="hybridMultilevel"/>
    <w:tmpl w:val="63B8E2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6566334"/>
    <w:multiLevelType w:val="hybridMultilevel"/>
    <w:tmpl w:val="AB72CAEA"/>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7"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8" w15:restartNumberingAfterBreak="0">
    <w:nsid w:val="656642AA"/>
    <w:multiLevelType w:val="hybridMultilevel"/>
    <w:tmpl w:val="519C1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914AD4"/>
    <w:multiLevelType w:val="hybridMultilevel"/>
    <w:tmpl w:val="9A66E0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7110502B"/>
    <w:multiLevelType w:val="hybridMultilevel"/>
    <w:tmpl w:val="B0F2E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7B7E9C"/>
    <w:multiLevelType w:val="hybridMultilevel"/>
    <w:tmpl w:val="FFFFFFFF"/>
    <w:lvl w:ilvl="0" w:tplc="D08E83CA">
      <w:start w:val="1"/>
      <w:numFmt w:val="bullet"/>
      <w:lvlText w:val="·"/>
      <w:lvlJc w:val="left"/>
      <w:pPr>
        <w:ind w:left="720" w:hanging="360"/>
      </w:pPr>
      <w:rPr>
        <w:rFonts w:ascii="Symbol" w:hAnsi="Symbol" w:hint="default"/>
      </w:rPr>
    </w:lvl>
    <w:lvl w:ilvl="1" w:tplc="4304453C">
      <w:start w:val="1"/>
      <w:numFmt w:val="bullet"/>
      <w:lvlText w:val="o"/>
      <w:lvlJc w:val="left"/>
      <w:pPr>
        <w:ind w:left="1440" w:hanging="360"/>
      </w:pPr>
      <w:rPr>
        <w:rFonts w:ascii="Courier New" w:hAnsi="Courier New" w:hint="default"/>
      </w:rPr>
    </w:lvl>
    <w:lvl w:ilvl="2" w:tplc="64B83CA8">
      <w:start w:val="1"/>
      <w:numFmt w:val="bullet"/>
      <w:lvlText w:val=""/>
      <w:lvlJc w:val="left"/>
      <w:pPr>
        <w:ind w:left="2160" w:hanging="360"/>
      </w:pPr>
      <w:rPr>
        <w:rFonts w:ascii="Wingdings" w:hAnsi="Wingdings" w:hint="default"/>
      </w:rPr>
    </w:lvl>
    <w:lvl w:ilvl="3" w:tplc="7F569BBE">
      <w:start w:val="1"/>
      <w:numFmt w:val="bullet"/>
      <w:lvlText w:val=""/>
      <w:lvlJc w:val="left"/>
      <w:pPr>
        <w:ind w:left="2880" w:hanging="360"/>
      </w:pPr>
      <w:rPr>
        <w:rFonts w:ascii="Symbol" w:hAnsi="Symbol" w:hint="default"/>
      </w:rPr>
    </w:lvl>
    <w:lvl w:ilvl="4" w:tplc="5FD87A34">
      <w:start w:val="1"/>
      <w:numFmt w:val="bullet"/>
      <w:lvlText w:val="o"/>
      <w:lvlJc w:val="left"/>
      <w:pPr>
        <w:ind w:left="3600" w:hanging="360"/>
      </w:pPr>
      <w:rPr>
        <w:rFonts w:ascii="Courier New" w:hAnsi="Courier New" w:hint="default"/>
      </w:rPr>
    </w:lvl>
    <w:lvl w:ilvl="5" w:tplc="B462BB52">
      <w:start w:val="1"/>
      <w:numFmt w:val="bullet"/>
      <w:lvlText w:val=""/>
      <w:lvlJc w:val="left"/>
      <w:pPr>
        <w:ind w:left="4320" w:hanging="360"/>
      </w:pPr>
      <w:rPr>
        <w:rFonts w:ascii="Wingdings" w:hAnsi="Wingdings" w:hint="default"/>
      </w:rPr>
    </w:lvl>
    <w:lvl w:ilvl="6" w:tplc="C8FA9CC2">
      <w:start w:val="1"/>
      <w:numFmt w:val="bullet"/>
      <w:lvlText w:val=""/>
      <w:lvlJc w:val="left"/>
      <w:pPr>
        <w:ind w:left="5040" w:hanging="360"/>
      </w:pPr>
      <w:rPr>
        <w:rFonts w:ascii="Symbol" w:hAnsi="Symbol" w:hint="default"/>
      </w:rPr>
    </w:lvl>
    <w:lvl w:ilvl="7" w:tplc="27F898FC">
      <w:start w:val="1"/>
      <w:numFmt w:val="bullet"/>
      <w:lvlText w:val="o"/>
      <w:lvlJc w:val="left"/>
      <w:pPr>
        <w:ind w:left="5760" w:hanging="360"/>
      </w:pPr>
      <w:rPr>
        <w:rFonts w:ascii="Courier New" w:hAnsi="Courier New" w:hint="default"/>
      </w:rPr>
    </w:lvl>
    <w:lvl w:ilvl="8" w:tplc="AAE24992">
      <w:start w:val="1"/>
      <w:numFmt w:val="bullet"/>
      <w:lvlText w:val=""/>
      <w:lvlJc w:val="left"/>
      <w:pPr>
        <w:ind w:left="6480" w:hanging="360"/>
      </w:pPr>
      <w:rPr>
        <w:rFonts w:ascii="Wingdings" w:hAnsi="Wingdings" w:hint="default"/>
      </w:rPr>
    </w:lvl>
  </w:abstractNum>
  <w:abstractNum w:abstractNumId="22" w15:restartNumberingAfterBreak="0">
    <w:nsid w:val="781E58C1"/>
    <w:multiLevelType w:val="multilevel"/>
    <w:tmpl w:val="C98CB7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7B1C30FD"/>
    <w:multiLevelType w:val="singleLevel"/>
    <w:tmpl w:val="2FB6A734"/>
    <w:lvl w:ilvl="0">
      <w:start w:val="1"/>
      <w:numFmt w:val="decimal"/>
      <w:lvlText w:val="%1."/>
      <w:legacy w:legacy="1" w:legacySpace="144" w:legacyIndent="0"/>
      <w:lvlJc w:val="left"/>
    </w:lvl>
  </w:abstractNum>
  <w:num w:numId="1" w16cid:durableId="529227768">
    <w:abstractNumId w:val="2"/>
  </w:num>
  <w:num w:numId="2" w16cid:durableId="1300454377">
    <w:abstractNumId w:val="12"/>
  </w:num>
  <w:num w:numId="3" w16cid:durableId="2039114927">
    <w:abstractNumId w:val="7"/>
  </w:num>
  <w:num w:numId="4" w16cid:durableId="2104573242">
    <w:abstractNumId w:val="17"/>
  </w:num>
  <w:num w:numId="5" w16cid:durableId="1837648202">
    <w:abstractNumId w:val="3"/>
  </w:num>
  <w:num w:numId="6" w16cid:durableId="195431183">
    <w:abstractNumId w:val="22"/>
  </w:num>
  <w:num w:numId="7" w16cid:durableId="562109134">
    <w:abstractNumId w:val="13"/>
  </w:num>
  <w:num w:numId="8" w16cid:durableId="1297679701">
    <w:abstractNumId w:val="9"/>
  </w:num>
  <w:num w:numId="9" w16cid:durableId="1278835482">
    <w:abstractNumId w:val="1"/>
  </w:num>
  <w:num w:numId="10" w16cid:durableId="98567151">
    <w:abstractNumId w:val="23"/>
  </w:num>
  <w:num w:numId="11" w16cid:durableId="823157015">
    <w:abstractNumId w:val="11"/>
  </w:num>
  <w:num w:numId="12" w16cid:durableId="1674406006">
    <w:abstractNumId w:val="5"/>
  </w:num>
  <w:num w:numId="13" w16cid:durableId="1486167965">
    <w:abstractNumId w:val="19"/>
  </w:num>
  <w:num w:numId="14" w16cid:durableId="38215125">
    <w:abstractNumId w:val="4"/>
  </w:num>
  <w:num w:numId="15" w16cid:durableId="334889947">
    <w:abstractNumId w:val="8"/>
  </w:num>
  <w:num w:numId="16" w16cid:durableId="642388474">
    <w:abstractNumId w:val="16"/>
  </w:num>
  <w:num w:numId="17" w16cid:durableId="505677179">
    <w:abstractNumId w:val="10"/>
  </w:num>
  <w:num w:numId="18" w16cid:durableId="1202936335">
    <w:abstractNumId w:val="21"/>
  </w:num>
  <w:num w:numId="19" w16cid:durableId="113914211">
    <w:abstractNumId w:val="20"/>
  </w:num>
  <w:num w:numId="20" w16cid:durableId="537856782">
    <w:abstractNumId w:val="6"/>
  </w:num>
  <w:num w:numId="21" w16cid:durableId="63332904">
    <w:abstractNumId w:val="18"/>
  </w:num>
  <w:num w:numId="22" w16cid:durableId="1582712679">
    <w:abstractNumId w:val="15"/>
  </w:num>
  <w:num w:numId="23" w16cid:durableId="1589000537">
    <w:abstractNumId w:val="0"/>
  </w:num>
  <w:num w:numId="24" w16cid:durableId="120266747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lang="en-US" w:vendorID="8" w:dllVersion="513"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8D"/>
    <w:rsid w:val="000005BA"/>
    <w:rsid w:val="00001860"/>
    <w:rsid w:val="00004487"/>
    <w:rsid w:val="00004644"/>
    <w:rsid w:val="000134C1"/>
    <w:rsid w:val="00013B4F"/>
    <w:rsid w:val="0001548E"/>
    <w:rsid w:val="00015771"/>
    <w:rsid w:val="00015A24"/>
    <w:rsid w:val="000205D2"/>
    <w:rsid w:val="00024208"/>
    <w:rsid w:val="00025B6C"/>
    <w:rsid w:val="0002697A"/>
    <w:rsid w:val="00027A18"/>
    <w:rsid w:val="00027FF7"/>
    <w:rsid w:val="00041D42"/>
    <w:rsid w:val="00041F67"/>
    <w:rsid w:val="00042F82"/>
    <w:rsid w:val="00043B68"/>
    <w:rsid w:val="00045964"/>
    <w:rsid w:val="000467E1"/>
    <w:rsid w:val="00051D95"/>
    <w:rsid w:val="00052C19"/>
    <w:rsid w:val="00054828"/>
    <w:rsid w:val="00055BAF"/>
    <w:rsid w:val="000579CC"/>
    <w:rsid w:val="00060226"/>
    <w:rsid w:val="000613DC"/>
    <w:rsid w:val="00063594"/>
    <w:rsid w:val="00063BAB"/>
    <w:rsid w:val="0006453B"/>
    <w:rsid w:val="0006536D"/>
    <w:rsid w:val="000665E7"/>
    <w:rsid w:val="00075D3C"/>
    <w:rsid w:val="00076521"/>
    <w:rsid w:val="00080050"/>
    <w:rsid w:val="000824FC"/>
    <w:rsid w:val="00085AC4"/>
    <w:rsid w:val="000860C6"/>
    <w:rsid w:val="00086E11"/>
    <w:rsid w:val="00087110"/>
    <w:rsid w:val="00091B47"/>
    <w:rsid w:val="00092DF4"/>
    <w:rsid w:val="00094042"/>
    <w:rsid w:val="0009673F"/>
    <w:rsid w:val="00096998"/>
    <w:rsid w:val="00097084"/>
    <w:rsid w:val="00097088"/>
    <w:rsid w:val="00097F33"/>
    <w:rsid w:val="000A01F9"/>
    <w:rsid w:val="000A3834"/>
    <w:rsid w:val="000A47ED"/>
    <w:rsid w:val="000A4A18"/>
    <w:rsid w:val="000A57EC"/>
    <w:rsid w:val="000A6153"/>
    <w:rsid w:val="000A6A17"/>
    <w:rsid w:val="000A7182"/>
    <w:rsid w:val="000B0759"/>
    <w:rsid w:val="000B0A41"/>
    <w:rsid w:val="000B37EC"/>
    <w:rsid w:val="000B4FBD"/>
    <w:rsid w:val="000B6396"/>
    <w:rsid w:val="000B6FBC"/>
    <w:rsid w:val="000B7884"/>
    <w:rsid w:val="000C0844"/>
    <w:rsid w:val="000C0878"/>
    <w:rsid w:val="000C08F1"/>
    <w:rsid w:val="000C1D08"/>
    <w:rsid w:val="000C29DA"/>
    <w:rsid w:val="000C37B3"/>
    <w:rsid w:val="000C44D1"/>
    <w:rsid w:val="000C5E67"/>
    <w:rsid w:val="000C6E3A"/>
    <w:rsid w:val="000D142E"/>
    <w:rsid w:val="000D31B1"/>
    <w:rsid w:val="000E1D4F"/>
    <w:rsid w:val="000E26D8"/>
    <w:rsid w:val="000E3671"/>
    <w:rsid w:val="000E4E83"/>
    <w:rsid w:val="000E5D0F"/>
    <w:rsid w:val="000E5E77"/>
    <w:rsid w:val="000E7029"/>
    <w:rsid w:val="000E738E"/>
    <w:rsid w:val="000F2BCD"/>
    <w:rsid w:val="000F4202"/>
    <w:rsid w:val="000F465A"/>
    <w:rsid w:val="000F4DAB"/>
    <w:rsid w:val="000F52A6"/>
    <w:rsid w:val="000F5DDF"/>
    <w:rsid w:val="00102E88"/>
    <w:rsid w:val="00104691"/>
    <w:rsid w:val="001062DD"/>
    <w:rsid w:val="0011079D"/>
    <w:rsid w:val="001114CF"/>
    <w:rsid w:val="00112206"/>
    <w:rsid w:val="00112931"/>
    <w:rsid w:val="00113845"/>
    <w:rsid w:val="00116572"/>
    <w:rsid w:val="00116837"/>
    <w:rsid w:val="001168DA"/>
    <w:rsid w:val="001220A7"/>
    <w:rsid w:val="00123381"/>
    <w:rsid w:val="00125002"/>
    <w:rsid w:val="001250DF"/>
    <w:rsid w:val="00125AF3"/>
    <w:rsid w:val="00125F4F"/>
    <w:rsid w:val="001305B3"/>
    <w:rsid w:val="00130B8E"/>
    <w:rsid w:val="00131437"/>
    <w:rsid w:val="0013271C"/>
    <w:rsid w:val="00132AAD"/>
    <w:rsid w:val="00140613"/>
    <w:rsid w:val="00141635"/>
    <w:rsid w:val="001429EE"/>
    <w:rsid w:val="00151672"/>
    <w:rsid w:val="0015466E"/>
    <w:rsid w:val="0017030D"/>
    <w:rsid w:val="001744C8"/>
    <w:rsid w:val="0017519A"/>
    <w:rsid w:val="00177FF5"/>
    <w:rsid w:val="00180028"/>
    <w:rsid w:val="001829F0"/>
    <w:rsid w:val="00183972"/>
    <w:rsid w:val="001842D1"/>
    <w:rsid w:val="00184A59"/>
    <w:rsid w:val="00184CC1"/>
    <w:rsid w:val="00186EF3"/>
    <w:rsid w:val="00187FA8"/>
    <w:rsid w:val="00190956"/>
    <w:rsid w:val="0019200B"/>
    <w:rsid w:val="00192304"/>
    <w:rsid w:val="001930B2"/>
    <w:rsid w:val="00196B74"/>
    <w:rsid w:val="001A2BE0"/>
    <w:rsid w:val="001A359E"/>
    <w:rsid w:val="001A6DC9"/>
    <w:rsid w:val="001A6F67"/>
    <w:rsid w:val="001A7A3C"/>
    <w:rsid w:val="001B1061"/>
    <w:rsid w:val="001B1D49"/>
    <w:rsid w:val="001B3812"/>
    <w:rsid w:val="001B4C90"/>
    <w:rsid w:val="001B4CC2"/>
    <w:rsid w:val="001B6BC2"/>
    <w:rsid w:val="001C38FD"/>
    <w:rsid w:val="001C41FC"/>
    <w:rsid w:val="001C4E54"/>
    <w:rsid w:val="001C538D"/>
    <w:rsid w:val="001C654A"/>
    <w:rsid w:val="001C6D62"/>
    <w:rsid w:val="001C6DFD"/>
    <w:rsid w:val="001D6B98"/>
    <w:rsid w:val="001E011B"/>
    <w:rsid w:val="001E15AD"/>
    <w:rsid w:val="001E469B"/>
    <w:rsid w:val="001E4D7D"/>
    <w:rsid w:val="001E5830"/>
    <w:rsid w:val="001E648D"/>
    <w:rsid w:val="001E75FB"/>
    <w:rsid w:val="001F05FE"/>
    <w:rsid w:val="001F092F"/>
    <w:rsid w:val="001F1C08"/>
    <w:rsid w:val="001F1C26"/>
    <w:rsid w:val="001F1CBA"/>
    <w:rsid w:val="001F2637"/>
    <w:rsid w:val="001F44D1"/>
    <w:rsid w:val="001F5722"/>
    <w:rsid w:val="002017F2"/>
    <w:rsid w:val="00201964"/>
    <w:rsid w:val="00203F16"/>
    <w:rsid w:val="00204C45"/>
    <w:rsid w:val="00206ED0"/>
    <w:rsid w:val="00212777"/>
    <w:rsid w:val="00214036"/>
    <w:rsid w:val="00214309"/>
    <w:rsid w:val="00215D3E"/>
    <w:rsid w:val="002165F8"/>
    <w:rsid w:val="00216EF1"/>
    <w:rsid w:val="0022131D"/>
    <w:rsid w:val="00222758"/>
    <w:rsid w:val="00224356"/>
    <w:rsid w:val="00224B3F"/>
    <w:rsid w:val="002254E4"/>
    <w:rsid w:val="0022579B"/>
    <w:rsid w:val="00231811"/>
    <w:rsid w:val="00235BF8"/>
    <w:rsid w:val="00237912"/>
    <w:rsid w:val="0024099E"/>
    <w:rsid w:val="00241B92"/>
    <w:rsid w:val="002445E2"/>
    <w:rsid w:val="002454A7"/>
    <w:rsid w:val="00247E38"/>
    <w:rsid w:val="00250229"/>
    <w:rsid w:val="00250E0F"/>
    <w:rsid w:val="00251295"/>
    <w:rsid w:val="00251BA1"/>
    <w:rsid w:val="0025299F"/>
    <w:rsid w:val="00253261"/>
    <w:rsid w:val="002542D9"/>
    <w:rsid w:val="00254795"/>
    <w:rsid w:val="00254B26"/>
    <w:rsid w:val="002555AF"/>
    <w:rsid w:val="00256100"/>
    <w:rsid w:val="002563DF"/>
    <w:rsid w:val="00256B97"/>
    <w:rsid w:val="0026099A"/>
    <w:rsid w:val="00264994"/>
    <w:rsid w:val="002656CF"/>
    <w:rsid w:val="002713E3"/>
    <w:rsid w:val="00271C3D"/>
    <w:rsid w:val="00276CDB"/>
    <w:rsid w:val="002771C2"/>
    <w:rsid w:val="00277208"/>
    <w:rsid w:val="00280956"/>
    <w:rsid w:val="0028408A"/>
    <w:rsid w:val="002850D8"/>
    <w:rsid w:val="00286671"/>
    <w:rsid w:val="00286CF0"/>
    <w:rsid w:val="00287CD2"/>
    <w:rsid w:val="00296AC9"/>
    <w:rsid w:val="00297528"/>
    <w:rsid w:val="00297A66"/>
    <w:rsid w:val="002A085E"/>
    <w:rsid w:val="002A0B87"/>
    <w:rsid w:val="002A240D"/>
    <w:rsid w:val="002A2769"/>
    <w:rsid w:val="002A5E29"/>
    <w:rsid w:val="002A687E"/>
    <w:rsid w:val="002A9C09"/>
    <w:rsid w:val="002B00C0"/>
    <w:rsid w:val="002B0B97"/>
    <w:rsid w:val="002B29C2"/>
    <w:rsid w:val="002B3413"/>
    <w:rsid w:val="002B40A5"/>
    <w:rsid w:val="002B48DA"/>
    <w:rsid w:val="002B71DB"/>
    <w:rsid w:val="002C04FD"/>
    <w:rsid w:val="002C21B8"/>
    <w:rsid w:val="002C5199"/>
    <w:rsid w:val="002C6D73"/>
    <w:rsid w:val="002C759C"/>
    <w:rsid w:val="002C7720"/>
    <w:rsid w:val="002D00EF"/>
    <w:rsid w:val="002D2C94"/>
    <w:rsid w:val="002D2F2F"/>
    <w:rsid w:val="002D5FC7"/>
    <w:rsid w:val="002D76DA"/>
    <w:rsid w:val="002E2016"/>
    <w:rsid w:val="002E4808"/>
    <w:rsid w:val="002E521E"/>
    <w:rsid w:val="002E6172"/>
    <w:rsid w:val="002E74F2"/>
    <w:rsid w:val="002E75DB"/>
    <w:rsid w:val="002E7709"/>
    <w:rsid w:val="002F068F"/>
    <w:rsid w:val="002F0DA1"/>
    <w:rsid w:val="002F1155"/>
    <w:rsid w:val="002F1E45"/>
    <w:rsid w:val="002F23FC"/>
    <w:rsid w:val="002F4646"/>
    <w:rsid w:val="003005ED"/>
    <w:rsid w:val="00300774"/>
    <w:rsid w:val="003009FD"/>
    <w:rsid w:val="00302E0C"/>
    <w:rsid w:val="00303CD4"/>
    <w:rsid w:val="00303F40"/>
    <w:rsid w:val="00304134"/>
    <w:rsid w:val="00305582"/>
    <w:rsid w:val="00306BD9"/>
    <w:rsid w:val="00310CF6"/>
    <w:rsid w:val="00311855"/>
    <w:rsid w:val="00312AE7"/>
    <w:rsid w:val="00312D00"/>
    <w:rsid w:val="00312E45"/>
    <w:rsid w:val="0031541C"/>
    <w:rsid w:val="00316222"/>
    <w:rsid w:val="00324BA4"/>
    <w:rsid w:val="0033154E"/>
    <w:rsid w:val="00331E5E"/>
    <w:rsid w:val="00331ED9"/>
    <w:rsid w:val="0033217B"/>
    <w:rsid w:val="00333CEF"/>
    <w:rsid w:val="00333E46"/>
    <w:rsid w:val="003365B2"/>
    <w:rsid w:val="003400A4"/>
    <w:rsid w:val="003405E7"/>
    <w:rsid w:val="00344B49"/>
    <w:rsid w:val="00347CFE"/>
    <w:rsid w:val="003507EE"/>
    <w:rsid w:val="00353869"/>
    <w:rsid w:val="00353E83"/>
    <w:rsid w:val="0035430B"/>
    <w:rsid w:val="00362EF8"/>
    <w:rsid w:val="00365AE5"/>
    <w:rsid w:val="00367EA8"/>
    <w:rsid w:val="003744EF"/>
    <w:rsid w:val="003805C7"/>
    <w:rsid w:val="00381651"/>
    <w:rsid w:val="00384433"/>
    <w:rsid w:val="003849E2"/>
    <w:rsid w:val="0038608A"/>
    <w:rsid w:val="00386999"/>
    <w:rsid w:val="00386D08"/>
    <w:rsid w:val="00386FE2"/>
    <w:rsid w:val="0039083D"/>
    <w:rsid w:val="0039089C"/>
    <w:rsid w:val="00392EC6"/>
    <w:rsid w:val="0039374F"/>
    <w:rsid w:val="003948A3"/>
    <w:rsid w:val="003949EE"/>
    <w:rsid w:val="00396904"/>
    <w:rsid w:val="00396F6D"/>
    <w:rsid w:val="003A071F"/>
    <w:rsid w:val="003A67DE"/>
    <w:rsid w:val="003B12AE"/>
    <w:rsid w:val="003B1B30"/>
    <w:rsid w:val="003B245E"/>
    <w:rsid w:val="003B678E"/>
    <w:rsid w:val="003B7500"/>
    <w:rsid w:val="003C0D77"/>
    <w:rsid w:val="003C407E"/>
    <w:rsid w:val="003C4120"/>
    <w:rsid w:val="003C437C"/>
    <w:rsid w:val="003C5AF2"/>
    <w:rsid w:val="003C64D0"/>
    <w:rsid w:val="003C69D2"/>
    <w:rsid w:val="003D060B"/>
    <w:rsid w:val="003D1184"/>
    <w:rsid w:val="003D1236"/>
    <w:rsid w:val="003D35B4"/>
    <w:rsid w:val="003D4923"/>
    <w:rsid w:val="003D4E7E"/>
    <w:rsid w:val="003D5551"/>
    <w:rsid w:val="003D639B"/>
    <w:rsid w:val="003D7E75"/>
    <w:rsid w:val="003E082D"/>
    <w:rsid w:val="003E0E54"/>
    <w:rsid w:val="003E1759"/>
    <w:rsid w:val="003E1DE2"/>
    <w:rsid w:val="003E1ED6"/>
    <w:rsid w:val="003E2F86"/>
    <w:rsid w:val="003E45AB"/>
    <w:rsid w:val="003E4C05"/>
    <w:rsid w:val="003E5491"/>
    <w:rsid w:val="003F1DA5"/>
    <w:rsid w:val="003F4183"/>
    <w:rsid w:val="003F4C8F"/>
    <w:rsid w:val="00401146"/>
    <w:rsid w:val="0040290C"/>
    <w:rsid w:val="0040335D"/>
    <w:rsid w:val="0040547A"/>
    <w:rsid w:val="00405635"/>
    <w:rsid w:val="00405928"/>
    <w:rsid w:val="00406021"/>
    <w:rsid w:val="00407F84"/>
    <w:rsid w:val="004141FA"/>
    <w:rsid w:val="00415090"/>
    <w:rsid w:val="00415791"/>
    <w:rsid w:val="00430103"/>
    <w:rsid w:val="0043034B"/>
    <w:rsid w:val="00430631"/>
    <w:rsid w:val="004308A8"/>
    <w:rsid w:val="004315C4"/>
    <w:rsid w:val="00431BA2"/>
    <w:rsid w:val="00432306"/>
    <w:rsid w:val="00433C94"/>
    <w:rsid w:val="004439F7"/>
    <w:rsid w:val="0044680C"/>
    <w:rsid w:val="00453CED"/>
    <w:rsid w:val="0045666D"/>
    <w:rsid w:val="00465163"/>
    <w:rsid w:val="00466FC6"/>
    <w:rsid w:val="00472EAF"/>
    <w:rsid w:val="0047318A"/>
    <w:rsid w:val="004733E0"/>
    <w:rsid w:val="00474ED2"/>
    <w:rsid w:val="0047558C"/>
    <w:rsid w:val="00480AD4"/>
    <w:rsid w:val="00485190"/>
    <w:rsid w:val="00487335"/>
    <w:rsid w:val="00491759"/>
    <w:rsid w:val="0049373E"/>
    <w:rsid w:val="004941EC"/>
    <w:rsid w:val="00496671"/>
    <w:rsid w:val="0049696E"/>
    <w:rsid w:val="00496FAA"/>
    <w:rsid w:val="004A0E47"/>
    <w:rsid w:val="004A1396"/>
    <w:rsid w:val="004A2471"/>
    <w:rsid w:val="004A6986"/>
    <w:rsid w:val="004A721F"/>
    <w:rsid w:val="004B1FBD"/>
    <w:rsid w:val="004B28C3"/>
    <w:rsid w:val="004B3E02"/>
    <w:rsid w:val="004B5A7A"/>
    <w:rsid w:val="004B5C74"/>
    <w:rsid w:val="004B6DB5"/>
    <w:rsid w:val="004B7B87"/>
    <w:rsid w:val="004B7DDB"/>
    <w:rsid w:val="004C102B"/>
    <w:rsid w:val="004C139D"/>
    <w:rsid w:val="004C1AEE"/>
    <w:rsid w:val="004C30B3"/>
    <w:rsid w:val="004C35E5"/>
    <w:rsid w:val="004C36F9"/>
    <w:rsid w:val="004C5B6C"/>
    <w:rsid w:val="004C7049"/>
    <w:rsid w:val="004D3A0C"/>
    <w:rsid w:val="004D408C"/>
    <w:rsid w:val="004D5381"/>
    <w:rsid w:val="004D713A"/>
    <w:rsid w:val="004D7C2D"/>
    <w:rsid w:val="004E087C"/>
    <w:rsid w:val="004E1602"/>
    <w:rsid w:val="004E19D7"/>
    <w:rsid w:val="004E1B8A"/>
    <w:rsid w:val="004E3915"/>
    <w:rsid w:val="004E396E"/>
    <w:rsid w:val="004E439F"/>
    <w:rsid w:val="004E5378"/>
    <w:rsid w:val="004E57A2"/>
    <w:rsid w:val="004F058B"/>
    <w:rsid w:val="004F237E"/>
    <w:rsid w:val="004F7263"/>
    <w:rsid w:val="004F7903"/>
    <w:rsid w:val="0050109E"/>
    <w:rsid w:val="00502BB3"/>
    <w:rsid w:val="00502CE7"/>
    <w:rsid w:val="00503611"/>
    <w:rsid w:val="00503AE8"/>
    <w:rsid w:val="005046FE"/>
    <w:rsid w:val="0050777C"/>
    <w:rsid w:val="00513417"/>
    <w:rsid w:val="00520E0D"/>
    <w:rsid w:val="0052254F"/>
    <w:rsid w:val="00525D76"/>
    <w:rsid w:val="00530CB1"/>
    <w:rsid w:val="00530D98"/>
    <w:rsid w:val="00531189"/>
    <w:rsid w:val="005342E9"/>
    <w:rsid w:val="005346F3"/>
    <w:rsid w:val="00534BFE"/>
    <w:rsid w:val="00534D0D"/>
    <w:rsid w:val="005359CA"/>
    <w:rsid w:val="00540558"/>
    <w:rsid w:val="00541963"/>
    <w:rsid w:val="00543400"/>
    <w:rsid w:val="00544386"/>
    <w:rsid w:val="00546891"/>
    <w:rsid w:val="0055246C"/>
    <w:rsid w:val="00555B54"/>
    <w:rsid w:val="005626F1"/>
    <w:rsid w:val="00563CA1"/>
    <w:rsid w:val="00563F08"/>
    <w:rsid w:val="0056457D"/>
    <w:rsid w:val="00567751"/>
    <w:rsid w:val="00572297"/>
    <w:rsid w:val="005729A4"/>
    <w:rsid w:val="0057600E"/>
    <w:rsid w:val="00576E2F"/>
    <w:rsid w:val="00576F2C"/>
    <w:rsid w:val="00577EC1"/>
    <w:rsid w:val="0058053F"/>
    <w:rsid w:val="00580FD2"/>
    <w:rsid w:val="005814DB"/>
    <w:rsid w:val="005820D3"/>
    <w:rsid w:val="005823E4"/>
    <w:rsid w:val="005835AE"/>
    <w:rsid w:val="005838FE"/>
    <w:rsid w:val="0058416E"/>
    <w:rsid w:val="005842B3"/>
    <w:rsid w:val="00584F67"/>
    <w:rsid w:val="005856B9"/>
    <w:rsid w:val="005859E8"/>
    <w:rsid w:val="00586016"/>
    <w:rsid w:val="0058676A"/>
    <w:rsid w:val="005871DE"/>
    <w:rsid w:val="005901AB"/>
    <w:rsid w:val="00590A80"/>
    <w:rsid w:val="00590FC2"/>
    <w:rsid w:val="005938BE"/>
    <w:rsid w:val="00595FE8"/>
    <w:rsid w:val="00596CC5"/>
    <w:rsid w:val="005971BF"/>
    <w:rsid w:val="005A061B"/>
    <w:rsid w:val="005A1577"/>
    <w:rsid w:val="005A3374"/>
    <w:rsid w:val="005A3D43"/>
    <w:rsid w:val="005A557C"/>
    <w:rsid w:val="005A5B4A"/>
    <w:rsid w:val="005A679C"/>
    <w:rsid w:val="005A75AE"/>
    <w:rsid w:val="005B0AC6"/>
    <w:rsid w:val="005B0F57"/>
    <w:rsid w:val="005B1051"/>
    <w:rsid w:val="005B1CBB"/>
    <w:rsid w:val="005B207E"/>
    <w:rsid w:val="005B3FC3"/>
    <w:rsid w:val="005B4E7C"/>
    <w:rsid w:val="005C0029"/>
    <w:rsid w:val="005D0A55"/>
    <w:rsid w:val="005D0FA9"/>
    <w:rsid w:val="005D171B"/>
    <w:rsid w:val="005D3585"/>
    <w:rsid w:val="005D43FD"/>
    <w:rsid w:val="005D4634"/>
    <w:rsid w:val="005D4A41"/>
    <w:rsid w:val="005D6328"/>
    <w:rsid w:val="005D7E2C"/>
    <w:rsid w:val="005E2DAA"/>
    <w:rsid w:val="005E3081"/>
    <w:rsid w:val="005E33D6"/>
    <w:rsid w:val="005E475D"/>
    <w:rsid w:val="005E4CB0"/>
    <w:rsid w:val="005E7442"/>
    <w:rsid w:val="005F1C8B"/>
    <w:rsid w:val="005F5EB3"/>
    <w:rsid w:val="0060128A"/>
    <w:rsid w:val="0060228F"/>
    <w:rsid w:val="006024C9"/>
    <w:rsid w:val="0060263B"/>
    <w:rsid w:val="00602FDC"/>
    <w:rsid w:val="0060352A"/>
    <w:rsid w:val="0060412D"/>
    <w:rsid w:val="0060680A"/>
    <w:rsid w:val="006069B0"/>
    <w:rsid w:val="0060707F"/>
    <w:rsid w:val="006102E8"/>
    <w:rsid w:val="006110F0"/>
    <w:rsid w:val="00614074"/>
    <w:rsid w:val="006140CB"/>
    <w:rsid w:val="00614C17"/>
    <w:rsid w:val="00614C1D"/>
    <w:rsid w:val="00615D95"/>
    <w:rsid w:val="00620CD0"/>
    <w:rsid w:val="00621821"/>
    <w:rsid w:val="00624C9D"/>
    <w:rsid w:val="00627056"/>
    <w:rsid w:val="0062766B"/>
    <w:rsid w:val="0063134B"/>
    <w:rsid w:val="00631D1B"/>
    <w:rsid w:val="00632942"/>
    <w:rsid w:val="00634362"/>
    <w:rsid w:val="00634E42"/>
    <w:rsid w:val="00635C85"/>
    <w:rsid w:val="00636C00"/>
    <w:rsid w:val="0063741B"/>
    <w:rsid w:val="00642066"/>
    <w:rsid w:val="00642D21"/>
    <w:rsid w:val="00643AD1"/>
    <w:rsid w:val="006454A5"/>
    <w:rsid w:val="00645986"/>
    <w:rsid w:val="006516BF"/>
    <w:rsid w:val="00652691"/>
    <w:rsid w:val="0065295B"/>
    <w:rsid w:val="00655445"/>
    <w:rsid w:val="006559B2"/>
    <w:rsid w:val="0065639C"/>
    <w:rsid w:val="0066182A"/>
    <w:rsid w:val="00665DD2"/>
    <w:rsid w:val="00667FA5"/>
    <w:rsid w:val="00674DE7"/>
    <w:rsid w:val="00675437"/>
    <w:rsid w:val="0067550A"/>
    <w:rsid w:val="00675BCD"/>
    <w:rsid w:val="00677E33"/>
    <w:rsid w:val="006815C7"/>
    <w:rsid w:val="00682637"/>
    <w:rsid w:val="00683122"/>
    <w:rsid w:val="00687A15"/>
    <w:rsid w:val="00690D0F"/>
    <w:rsid w:val="006932FF"/>
    <w:rsid w:val="00697263"/>
    <w:rsid w:val="006979E8"/>
    <w:rsid w:val="006A0ABB"/>
    <w:rsid w:val="006A3AF1"/>
    <w:rsid w:val="006A437B"/>
    <w:rsid w:val="006A69FC"/>
    <w:rsid w:val="006A7A5C"/>
    <w:rsid w:val="006B1946"/>
    <w:rsid w:val="006B57B5"/>
    <w:rsid w:val="006B77E5"/>
    <w:rsid w:val="006C0624"/>
    <w:rsid w:val="006C0972"/>
    <w:rsid w:val="006C0D60"/>
    <w:rsid w:val="006C3BED"/>
    <w:rsid w:val="006C49B4"/>
    <w:rsid w:val="006C4D06"/>
    <w:rsid w:val="006C5BF9"/>
    <w:rsid w:val="006C69CF"/>
    <w:rsid w:val="006C7B47"/>
    <w:rsid w:val="006D1B14"/>
    <w:rsid w:val="006D1CDC"/>
    <w:rsid w:val="006D2084"/>
    <w:rsid w:val="006D3364"/>
    <w:rsid w:val="006D5B85"/>
    <w:rsid w:val="006D65E6"/>
    <w:rsid w:val="006D7E32"/>
    <w:rsid w:val="006E02F9"/>
    <w:rsid w:val="006E4FC1"/>
    <w:rsid w:val="006E6C76"/>
    <w:rsid w:val="006F11C7"/>
    <w:rsid w:val="006F1437"/>
    <w:rsid w:val="006F2973"/>
    <w:rsid w:val="006F2B56"/>
    <w:rsid w:val="006F32F0"/>
    <w:rsid w:val="006F4A94"/>
    <w:rsid w:val="006F599A"/>
    <w:rsid w:val="006F6DF9"/>
    <w:rsid w:val="006F722B"/>
    <w:rsid w:val="007003F5"/>
    <w:rsid w:val="00700EA0"/>
    <w:rsid w:val="0070124F"/>
    <w:rsid w:val="007012D5"/>
    <w:rsid w:val="00701865"/>
    <w:rsid w:val="007034FE"/>
    <w:rsid w:val="0070573A"/>
    <w:rsid w:val="0070742F"/>
    <w:rsid w:val="00710DAB"/>
    <w:rsid w:val="0071145C"/>
    <w:rsid w:val="00714040"/>
    <w:rsid w:val="007153C4"/>
    <w:rsid w:val="0071727A"/>
    <w:rsid w:val="00717360"/>
    <w:rsid w:val="00720CA1"/>
    <w:rsid w:val="00720E02"/>
    <w:rsid w:val="00722229"/>
    <w:rsid w:val="00724D78"/>
    <w:rsid w:val="007257FF"/>
    <w:rsid w:val="0072593A"/>
    <w:rsid w:val="007278B7"/>
    <w:rsid w:val="00730846"/>
    <w:rsid w:val="00730C80"/>
    <w:rsid w:val="00735782"/>
    <w:rsid w:val="00735862"/>
    <w:rsid w:val="00737A1A"/>
    <w:rsid w:val="00737C95"/>
    <w:rsid w:val="00743F65"/>
    <w:rsid w:val="00750738"/>
    <w:rsid w:val="007531EE"/>
    <w:rsid w:val="007535AF"/>
    <w:rsid w:val="00756B5E"/>
    <w:rsid w:val="0076058F"/>
    <w:rsid w:val="0076070C"/>
    <w:rsid w:val="00760AFC"/>
    <w:rsid w:val="00762093"/>
    <w:rsid w:val="00762442"/>
    <w:rsid w:val="007647E6"/>
    <w:rsid w:val="00764CE9"/>
    <w:rsid w:val="0076505A"/>
    <w:rsid w:val="00765FCE"/>
    <w:rsid w:val="00766FFA"/>
    <w:rsid w:val="007674F8"/>
    <w:rsid w:val="00767C70"/>
    <w:rsid w:val="007719A1"/>
    <w:rsid w:val="007809BC"/>
    <w:rsid w:val="00784415"/>
    <w:rsid w:val="007846CC"/>
    <w:rsid w:val="00786581"/>
    <w:rsid w:val="00786F2C"/>
    <w:rsid w:val="00787552"/>
    <w:rsid w:val="00787BA3"/>
    <w:rsid w:val="00790990"/>
    <w:rsid w:val="00790ACE"/>
    <w:rsid w:val="007913D6"/>
    <w:rsid w:val="00791749"/>
    <w:rsid w:val="00792083"/>
    <w:rsid w:val="007942B9"/>
    <w:rsid w:val="0079436D"/>
    <w:rsid w:val="00794AF1"/>
    <w:rsid w:val="007952C5"/>
    <w:rsid w:val="007A11EE"/>
    <w:rsid w:val="007A51EC"/>
    <w:rsid w:val="007A6569"/>
    <w:rsid w:val="007B1265"/>
    <w:rsid w:val="007B1FFA"/>
    <w:rsid w:val="007B4DF1"/>
    <w:rsid w:val="007B5CE2"/>
    <w:rsid w:val="007C13F1"/>
    <w:rsid w:val="007C3C9E"/>
    <w:rsid w:val="007C4CA0"/>
    <w:rsid w:val="007C599B"/>
    <w:rsid w:val="007C63D8"/>
    <w:rsid w:val="007C6C74"/>
    <w:rsid w:val="007D013B"/>
    <w:rsid w:val="007D10DD"/>
    <w:rsid w:val="007D10E7"/>
    <w:rsid w:val="007D1954"/>
    <w:rsid w:val="007E2DBF"/>
    <w:rsid w:val="007E6157"/>
    <w:rsid w:val="007E6194"/>
    <w:rsid w:val="007F0136"/>
    <w:rsid w:val="007F1A3F"/>
    <w:rsid w:val="007F3805"/>
    <w:rsid w:val="007F582A"/>
    <w:rsid w:val="007F650B"/>
    <w:rsid w:val="008009A6"/>
    <w:rsid w:val="00801A14"/>
    <w:rsid w:val="00804613"/>
    <w:rsid w:val="00811565"/>
    <w:rsid w:val="00812C82"/>
    <w:rsid w:val="008137EE"/>
    <w:rsid w:val="00814325"/>
    <w:rsid w:val="008150D6"/>
    <w:rsid w:val="00815660"/>
    <w:rsid w:val="0081624B"/>
    <w:rsid w:val="008173D2"/>
    <w:rsid w:val="008177E4"/>
    <w:rsid w:val="0082032C"/>
    <w:rsid w:val="00820827"/>
    <w:rsid w:val="00822BE8"/>
    <w:rsid w:val="00824577"/>
    <w:rsid w:val="00825A54"/>
    <w:rsid w:val="008266E5"/>
    <w:rsid w:val="00827790"/>
    <w:rsid w:val="00830394"/>
    <w:rsid w:val="00832397"/>
    <w:rsid w:val="00837DD8"/>
    <w:rsid w:val="00840921"/>
    <w:rsid w:val="00843CE8"/>
    <w:rsid w:val="008464E3"/>
    <w:rsid w:val="00850FAB"/>
    <w:rsid w:val="008512FA"/>
    <w:rsid w:val="00852006"/>
    <w:rsid w:val="00852B96"/>
    <w:rsid w:val="00852F53"/>
    <w:rsid w:val="00853637"/>
    <w:rsid w:val="00853EF2"/>
    <w:rsid w:val="00856954"/>
    <w:rsid w:val="00856F96"/>
    <w:rsid w:val="00861AA1"/>
    <w:rsid w:val="00861F98"/>
    <w:rsid w:val="00864E43"/>
    <w:rsid w:val="00865DF7"/>
    <w:rsid w:val="0086798E"/>
    <w:rsid w:val="00870917"/>
    <w:rsid w:val="008709E8"/>
    <w:rsid w:val="00872FC8"/>
    <w:rsid w:val="00874DDA"/>
    <w:rsid w:val="008755EC"/>
    <w:rsid w:val="0087688D"/>
    <w:rsid w:val="00877680"/>
    <w:rsid w:val="008777A1"/>
    <w:rsid w:val="00877FEF"/>
    <w:rsid w:val="008815A5"/>
    <w:rsid w:val="00883B4F"/>
    <w:rsid w:val="00886B8D"/>
    <w:rsid w:val="00887164"/>
    <w:rsid w:val="00887450"/>
    <w:rsid w:val="00890A28"/>
    <w:rsid w:val="008913A8"/>
    <w:rsid w:val="00891AEE"/>
    <w:rsid w:val="00892D4C"/>
    <w:rsid w:val="008B25B4"/>
    <w:rsid w:val="008B29D9"/>
    <w:rsid w:val="008B4041"/>
    <w:rsid w:val="008B453B"/>
    <w:rsid w:val="008B4E73"/>
    <w:rsid w:val="008B6723"/>
    <w:rsid w:val="008B7DC9"/>
    <w:rsid w:val="008C204D"/>
    <w:rsid w:val="008C22C5"/>
    <w:rsid w:val="008C645A"/>
    <w:rsid w:val="008C7DC5"/>
    <w:rsid w:val="008D34D0"/>
    <w:rsid w:val="008D4A38"/>
    <w:rsid w:val="008D4AB5"/>
    <w:rsid w:val="008D5DFF"/>
    <w:rsid w:val="008D632F"/>
    <w:rsid w:val="008E0A8F"/>
    <w:rsid w:val="008E1937"/>
    <w:rsid w:val="008E196F"/>
    <w:rsid w:val="008E2100"/>
    <w:rsid w:val="008E2AA4"/>
    <w:rsid w:val="008E67F8"/>
    <w:rsid w:val="008E7BF3"/>
    <w:rsid w:val="008F05B0"/>
    <w:rsid w:val="008F0891"/>
    <w:rsid w:val="008F1783"/>
    <w:rsid w:val="008F18AC"/>
    <w:rsid w:val="008F2E7D"/>
    <w:rsid w:val="008F5C66"/>
    <w:rsid w:val="008F67FE"/>
    <w:rsid w:val="008F76D9"/>
    <w:rsid w:val="009007C1"/>
    <w:rsid w:val="00900D0C"/>
    <w:rsid w:val="0090182F"/>
    <w:rsid w:val="00901BEE"/>
    <w:rsid w:val="00902847"/>
    <w:rsid w:val="00903063"/>
    <w:rsid w:val="00904115"/>
    <w:rsid w:val="00906B5E"/>
    <w:rsid w:val="00911149"/>
    <w:rsid w:val="009116F8"/>
    <w:rsid w:val="00913DAD"/>
    <w:rsid w:val="009143FC"/>
    <w:rsid w:val="009144F9"/>
    <w:rsid w:val="00914EE3"/>
    <w:rsid w:val="009152E5"/>
    <w:rsid w:val="009155DA"/>
    <w:rsid w:val="0091668F"/>
    <w:rsid w:val="009202B0"/>
    <w:rsid w:val="009206F0"/>
    <w:rsid w:val="009228D6"/>
    <w:rsid w:val="00923C4B"/>
    <w:rsid w:val="0092430B"/>
    <w:rsid w:val="00925AD3"/>
    <w:rsid w:val="00930F43"/>
    <w:rsid w:val="00932550"/>
    <w:rsid w:val="00935F34"/>
    <w:rsid w:val="00941815"/>
    <w:rsid w:val="009420FB"/>
    <w:rsid w:val="00942B3C"/>
    <w:rsid w:val="009434A4"/>
    <w:rsid w:val="00945984"/>
    <w:rsid w:val="009500DC"/>
    <w:rsid w:val="0095155E"/>
    <w:rsid w:val="00955821"/>
    <w:rsid w:val="00955CA8"/>
    <w:rsid w:val="00957CCE"/>
    <w:rsid w:val="00957EB4"/>
    <w:rsid w:val="009605DE"/>
    <w:rsid w:val="00961052"/>
    <w:rsid w:val="0096460F"/>
    <w:rsid w:val="00966760"/>
    <w:rsid w:val="0096706C"/>
    <w:rsid w:val="00967455"/>
    <w:rsid w:val="0097165A"/>
    <w:rsid w:val="0097177E"/>
    <w:rsid w:val="00973494"/>
    <w:rsid w:val="00973A8D"/>
    <w:rsid w:val="00975C5A"/>
    <w:rsid w:val="00975FDA"/>
    <w:rsid w:val="00976F20"/>
    <w:rsid w:val="009772FB"/>
    <w:rsid w:val="00977BD8"/>
    <w:rsid w:val="00977D64"/>
    <w:rsid w:val="00980DF5"/>
    <w:rsid w:val="00981B58"/>
    <w:rsid w:val="0098258D"/>
    <w:rsid w:val="009847BE"/>
    <w:rsid w:val="00987224"/>
    <w:rsid w:val="00990D31"/>
    <w:rsid w:val="00992174"/>
    <w:rsid w:val="00994947"/>
    <w:rsid w:val="00995090"/>
    <w:rsid w:val="00995DB7"/>
    <w:rsid w:val="009A39DC"/>
    <w:rsid w:val="009A46E3"/>
    <w:rsid w:val="009A71D9"/>
    <w:rsid w:val="009B1ED5"/>
    <w:rsid w:val="009B2303"/>
    <w:rsid w:val="009B4418"/>
    <w:rsid w:val="009B5D15"/>
    <w:rsid w:val="009B6080"/>
    <w:rsid w:val="009B68ED"/>
    <w:rsid w:val="009B702C"/>
    <w:rsid w:val="009B7E15"/>
    <w:rsid w:val="009C1455"/>
    <w:rsid w:val="009C2C0F"/>
    <w:rsid w:val="009C71D5"/>
    <w:rsid w:val="009D167E"/>
    <w:rsid w:val="009D3129"/>
    <w:rsid w:val="009D427E"/>
    <w:rsid w:val="009D5508"/>
    <w:rsid w:val="009E025A"/>
    <w:rsid w:val="009E3055"/>
    <w:rsid w:val="009E412A"/>
    <w:rsid w:val="009E4426"/>
    <w:rsid w:val="009E5F0A"/>
    <w:rsid w:val="009E6121"/>
    <w:rsid w:val="009E66B7"/>
    <w:rsid w:val="009F069D"/>
    <w:rsid w:val="009F1187"/>
    <w:rsid w:val="009F2A80"/>
    <w:rsid w:val="009F2C0E"/>
    <w:rsid w:val="009F3F29"/>
    <w:rsid w:val="009F44B8"/>
    <w:rsid w:val="009F5B5A"/>
    <w:rsid w:val="009F6D74"/>
    <w:rsid w:val="009F6E68"/>
    <w:rsid w:val="00A00498"/>
    <w:rsid w:val="00A02B9C"/>
    <w:rsid w:val="00A0304D"/>
    <w:rsid w:val="00A0352E"/>
    <w:rsid w:val="00A0447F"/>
    <w:rsid w:val="00A04E08"/>
    <w:rsid w:val="00A05019"/>
    <w:rsid w:val="00A06EA9"/>
    <w:rsid w:val="00A13E11"/>
    <w:rsid w:val="00A1735D"/>
    <w:rsid w:val="00A20379"/>
    <w:rsid w:val="00A20C7B"/>
    <w:rsid w:val="00A2542A"/>
    <w:rsid w:val="00A3004D"/>
    <w:rsid w:val="00A33066"/>
    <w:rsid w:val="00A33D4F"/>
    <w:rsid w:val="00A40498"/>
    <w:rsid w:val="00A4525F"/>
    <w:rsid w:val="00A457E3"/>
    <w:rsid w:val="00A45C76"/>
    <w:rsid w:val="00A47E93"/>
    <w:rsid w:val="00A506FE"/>
    <w:rsid w:val="00A57A31"/>
    <w:rsid w:val="00A61C0A"/>
    <w:rsid w:val="00A631D8"/>
    <w:rsid w:val="00A65BFF"/>
    <w:rsid w:val="00A65CA6"/>
    <w:rsid w:val="00A662DE"/>
    <w:rsid w:val="00A66E4C"/>
    <w:rsid w:val="00A70811"/>
    <w:rsid w:val="00A70E99"/>
    <w:rsid w:val="00A71DC6"/>
    <w:rsid w:val="00A75DC2"/>
    <w:rsid w:val="00A75FFB"/>
    <w:rsid w:val="00A76844"/>
    <w:rsid w:val="00A847D7"/>
    <w:rsid w:val="00A84ACB"/>
    <w:rsid w:val="00A858B1"/>
    <w:rsid w:val="00A86D4F"/>
    <w:rsid w:val="00A95494"/>
    <w:rsid w:val="00A9615A"/>
    <w:rsid w:val="00AA2F97"/>
    <w:rsid w:val="00AA7D25"/>
    <w:rsid w:val="00AA7FB3"/>
    <w:rsid w:val="00AB0026"/>
    <w:rsid w:val="00AB2B7B"/>
    <w:rsid w:val="00AB2F4F"/>
    <w:rsid w:val="00AC007E"/>
    <w:rsid w:val="00AC1482"/>
    <w:rsid w:val="00AC17E7"/>
    <w:rsid w:val="00AC1D3F"/>
    <w:rsid w:val="00AC742A"/>
    <w:rsid w:val="00AD1331"/>
    <w:rsid w:val="00AD14B4"/>
    <w:rsid w:val="00AD4C1F"/>
    <w:rsid w:val="00AD696D"/>
    <w:rsid w:val="00AE0032"/>
    <w:rsid w:val="00AE0ADE"/>
    <w:rsid w:val="00AE1FD6"/>
    <w:rsid w:val="00AE4A60"/>
    <w:rsid w:val="00AE5CDB"/>
    <w:rsid w:val="00AF0456"/>
    <w:rsid w:val="00AF0F17"/>
    <w:rsid w:val="00AF10D0"/>
    <w:rsid w:val="00AF243D"/>
    <w:rsid w:val="00AF327A"/>
    <w:rsid w:val="00AF36B0"/>
    <w:rsid w:val="00AF5571"/>
    <w:rsid w:val="00AF5C0A"/>
    <w:rsid w:val="00B009E9"/>
    <w:rsid w:val="00B00F46"/>
    <w:rsid w:val="00B02868"/>
    <w:rsid w:val="00B039A2"/>
    <w:rsid w:val="00B06B2A"/>
    <w:rsid w:val="00B1261E"/>
    <w:rsid w:val="00B13E4D"/>
    <w:rsid w:val="00B14949"/>
    <w:rsid w:val="00B14F58"/>
    <w:rsid w:val="00B16D82"/>
    <w:rsid w:val="00B20A8F"/>
    <w:rsid w:val="00B2270B"/>
    <w:rsid w:val="00B23423"/>
    <w:rsid w:val="00B23FD2"/>
    <w:rsid w:val="00B24320"/>
    <w:rsid w:val="00B24744"/>
    <w:rsid w:val="00B24AD4"/>
    <w:rsid w:val="00B24D7C"/>
    <w:rsid w:val="00B27AAD"/>
    <w:rsid w:val="00B27C03"/>
    <w:rsid w:val="00B320AB"/>
    <w:rsid w:val="00B333F3"/>
    <w:rsid w:val="00B337F0"/>
    <w:rsid w:val="00B3470E"/>
    <w:rsid w:val="00B35269"/>
    <w:rsid w:val="00B40640"/>
    <w:rsid w:val="00B46399"/>
    <w:rsid w:val="00B4667C"/>
    <w:rsid w:val="00B50BD0"/>
    <w:rsid w:val="00B51C1F"/>
    <w:rsid w:val="00B51C37"/>
    <w:rsid w:val="00B52975"/>
    <w:rsid w:val="00B5298C"/>
    <w:rsid w:val="00B53B49"/>
    <w:rsid w:val="00B53B64"/>
    <w:rsid w:val="00B53E7D"/>
    <w:rsid w:val="00B55E23"/>
    <w:rsid w:val="00B578EC"/>
    <w:rsid w:val="00B62A91"/>
    <w:rsid w:val="00B639B7"/>
    <w:rsid w:val="00B647A8"/>
    <w:rsid w:val="00B7103E"/>
    <w:rsid w:val="00B7132F"/>
    <w:rsid w:val="00B74422"/>
    <w:rsid w:val="00B7570E"/>
    <w:rsid w:val="00B7649F"/>
    <w:rsid w:val="00B773B6"/>
    <w:rsid w:val="00B7767D"/>
    <w:rsid w:val="00B82669"/>
    <w:rsid w:val="00B82729"/>
    <w:rsid w:val="00B8394D"/>
    <w:rsid w:val="00B91F99"/>
    <w:rsid w:val="00B959EC"/>
    <w:rsid w:val="00B97C50"/>
    <w:rsid w:val="00BA2556"/>
    <w:rsid w:val="00BA3507"/>
    <w:rsid w:val="00BA3C4B"/>
    <w:rsid w:val="00BA703D"/>
    <w:rsid w:val="00BA7513"/>
    <w:rsid w:val="00BA7BEC"/>
    <w:rsid w:val="00BB144D"/>
    <w:rsid w:val="00BB2BFD"/>
    <w:rsid w:val="00BB2F5A"/>
    <w:rsid w:val="00BB4DAB"/>
    <w:rsid w:val="00BC267F"/>
    <w:rsid w:val="00BC470F"/>
    <w:rsid w:val="00BC4B3E"/>
    <w:rsid w:val="00BC5A34"/>
    <w:rsid w:val="00BC7FFE"/>
    <w:rsid w:val="00BD15B8"/>
    <w:rsid w:val="00BD3365"/>
    <w:rsid w:val="00BD372C"/>
    <w:rsid w:val="00BD65C4"/>
    <w:rsid w:val="00BD6A07"/>
    <w:rsid w:val="00BD7811"/>
    <w:rsid w:val="00BE05DC"/>
    <w:rsid w:val="00BE1B7A"/>
    <w:rsid w:val="00BE4E3A"/>
    <w:rsid w:val="00BE58BD"/>
    <w:rsid w:val="00BE7E97"/>
    <w:rsid w:val="00BF2289"/>
    <w:rsid w:val="00BF60AE"/>
    <w:rsid w:val="00BF6AB7"/>
    <w:rsid w:val="00C00F68"/>
    <w:rsid w:val="00C10000"/>
    <w:rsid w:val="00C126B2"/>
    <w:rsid w:val="00C15859"/>
    <w:rsid w:val="00C1644C"/>
    <w:rsid w:val="00C17A0D"/>
    <w:rsid w:val="00C17A43"/>
    <w:rsid w:val="00C22B98"/>
    <w:rsid w:val="00C2302B"/>
    <w:rsid w:val="00C23C06"/>
    <w:rsid w:val="00C242D1"/>
    <w:rsid w:val="00C31E86"/>
    <w:rsid w:val="00C33A1B"/>
    <w:rsid w:val="00C33AE7"/>
    <w:rsid w:val="00C34895"/>
    <w:rsid w:val="00C34ABD"/>
    <w:rsid w:val="00C352FD"/>
    <w:rsid w:val="00C359D6"/>
    <w:rsid w:val="00C360C5"/>
    <w:rsid w:val="00C377D7"/>
    <w:rsid w:val="00C37C7E"/>
    <w:rsid w:val="00C40099"/>
    <w:rsid w:val="00C40C71"/>
    <w:rsid w:val="00C51FFD"/>
    <w:rsid w:val="00C53898"/>
    <w:rsid w:val="00C549D1"/>
    <w:rsid w:val="00C57E4B"/>
    <w:rsid w:val="00C601A9"/>
    <w:rsid w:val="00C61DAF"/>
    <w:rsid w:val="00C624C3"/>
    <w:rsid w:val="00C62965"/>
    <w:rsid w:val="00C63020"/>
    <w:rsid w:val="00C65367"/>
    <w:rsid w:val="00C6577C"/>
    <w:rsid w:val="00C66022"/>
    <w:rsid w:val="00C70E81"/>
    <w:rsid w:val="00C7427E"/>
    <w:rsid w:val="00C74D03"/>
    <w:rsid w:val="00C755AF"/>
    <w:rsid w:val="00C7722B"/>
    <w:rsid w:val="00C823A9"/>
    <w:rsid w:val="00C849CC"/>
    <w:rsid w:val="00C85AA1"/>
    <w:rsid w:val="00C8615A"/>
    <w:rsid w:val="00C86209"/>
    <w:rsid w:val="00C87F78"/>
    <w:rsid w:val="00C91E54"/>
    <w:rsid w:val="00C92AA9"/>
    <w:rsid w:val="00C9547B"/>
    <w:rsid w:val="00C96919"/>
    <w:rsid w:val="00CA0B63"/>
    <w:rsid w:val="00CA2252"/>
    <w:rsid w:val="00CA34C0"/>
    <w:rsid w:val="00CA526A"/>
    <w:rsid w:val="00CA6792"/>
    <w:rsid w:val="00CB1163"/>
    <w:rsid w:val="00CB5D3D"/>
    <w:rsid w:val="00CB6753"/>
    <w:rsid w:val="00CC0494"/>
    <w:rsid w:val="00CC1C48"/>
    <w:rsid w:val="00CC3D23"/>
    <w:rsid w:val="00CC5A58"/>
    <w:rsid w:val="00CC73F2"/>
    <w:rsid w:val="00CC7416"/>
    <w:rsid w:val="00CD03DF"/>
    <w:rsid w:val="00CD03F4"/>
    <w:rsid w:val="00CD0A05"/>
    <w:rsid w:val="00CD61F8"/>
    <w:rsid w:val="00CE0B2A"/>
    <w:rsid w:val="00CE12E2"/>
    <w:rsid w:val="00CE5994"/>
    <w:rsid w:val="00CE5AA3"/>
    <w:rsid w:val="00CE6EB6"/>
    <w:rsid w:val="00CE79EA"/>
    <w:rsid w:val="00CF0C11"/>
    <w:rsid w:val="00CF2B3D"/>
    <w:rsid w:val="00CF30D0"/>
    <w:rsid w:val="00CF3642"/>
    <w:rsid w:val="00CF4110"/>
    <w:rsid w:val="00CF58CC"/>
    <w:rsid w:val="00CF6C92"/>
    <w:rsid w:val="00D00279"/>
    <w:rsid w:val="00D030B1"/>
    <w:rsid w:val="00D0392C"/>
    <w:rsid w:val="00D043C5"/>
    <w:rsid w:val="00D0449A"/>
    <w:rsid w:val="00D072E0"/>
    <w:rsid w:val="00D11259"/>
    <w:rsid w:val="00D1583F"/>
    <w:rsid w:val="00D16B7B"/>
    <w:rsid w:val="00D2028C"/>
    <w:rsid w:val="00D2069F"/>
    <w:rsid w:val="00D221BB"/>
    <w:rsid w:val="00D2307E"/>
    <w:rsid w:val="00D23A60"/>
    <w:rsid w:val="00D251A6"/>
    <w:rsid w:val="00D25A7F"/>
    <w:rsid w:val="00D278A3"/>
    <w:rsid w:val="00D32013"/>
    <w:rsid w:val="00D35C22"/>
    <w:rsid w:val="00D365B0"/>
    <w:rsid w:val="00D36663"/>
    <w:rsid w:val="00D366C3"/>
    <w:rsid w:val="00D37E1E"/>
    <w:rsid w:val="00D37F68"/>
    <w:rsid w:val="00D40234"/>
    <w:rsid w:val="00D438AC"/>
    <w:rsid w:val="00D4459C"/>
    <w:rsid w:val="00D45035"/>
    <w:rsid w:val="00D457F3"/>
    <w:rsid w:val="00D51ADA"/>
    <w:rsid w:val="00D51D8B"/>
    <w:rsid w:val="00D53C4A"/>
    <w:rsid w:val="00D54952"/>
    <w:rsid w:val="00D56281"/>
    <w:rsid w:val="00D56BB0"/>
    <w:rsid w:val="00D6291F"/>
    <w:rsid w:val="00D659E5"/>
    <w:rsid w:val="00D6625D"/>
    <w:rsid w:val="00D66985"/>
    <w:rsid w:val="00D67270"/>
    <w:rsid w:val="00D6761F"/>
    <w:rsid w:val="00D67FDB"/>
    <w:rsid w:val="00D722C2"/>
    <w:rsid w:val="00D75602"/>
    <w:rsid w:val="00D75F1D"/>
    <w:rsid w:val="00D76003"/>
    <w:rsid w:val="00D77916"/>
    <w:rsid w:val="00D805B9"/>
    <w:rsid w:val="00D8111E"/>
    <w:rsid w:val="00D812A8"/>
    <w:rsid w:val="00D81EB7"/>
    <w:rsid w:val="00D8244D"/>
    <w:rsid w:val="00D825E7"/>
    <w:rsid w:val="00D826AB"/>
    <w:rsid w:val="00D8591E"/>
    <w:rsid w:val="00D85F36"/>
    <w:rsid w:val="00D8698F"/>
    <w:rsid w:val="00D92245"/>
    <w:rsid w:val="00D9275C"/>
    <w:rsid w:val="00D93418"/>
    <w:rsid w:val="00D93B87"/>
    <w:rsid w:val="00D94FBE"/>
    <w:rsid w:val="00D9668C"/>
    <w:rsid w:val="00DA0F8F"/>
    <w:rsid w:val="00DA1C05"/>
    <w:rsid w:val="00DA2DD7"/>
    <w:rsid w:val="00DA3BC6"/>
    <w:rsid w:val="00DA4B3F"/>
    <w:rsid w:val="00DA583A"/>
    <w:rsid w:val="00DB11EF"/>
    <w:rsid w:val="00DB1D36"/>
    <w:rsid w:val="00DB3BF1"/>
    <w:rsid w:val="00DB4248"/>
    <w:rsid w:val="00DB43BC"/>
    <w:rsid w:val="00DB49D3"/>
    <w:rsid w:val="00DB6091"/>
    <w:rsid w:val="00DB6B16"/>
    <w:rsid w:val="00DB748E"/>
    <w:rsid w:val="00DB74F3"/>
    <w:rsid w:val="00DB778F"/>
    <w:rsid w:val="00DC07F4"/>
    <w:rsid w:val="00DC459C"/>
    <w:rsid w:val="00DC6CB5"/>
    <w:rsid w:val="00DD04A5"/>
    <w:rsid w:val="00DD3A4E"/>
    <w:rsid w:val="00DD421F"/>
    <w:rsid w:val="00DD4FFD"/>
    <w:rsid w:val="00DD5BC3"/>
    <w:rsid w:val="00DD60FD"/>
    <w:rsid w:val="00DE0660"/>
    <w:rsid w:val="00DE12DE"/>
    <w:rsid w:val="00DE232E"/>
    <w:rsid w:val="00DE2B02"/>
    <w:rsid w:val="00DE42AF"/>
    <w:rsid w:val="00DE65DF"/>
    <w:rsid w:val="00DE665B"/>
    <w:rsid w:val="00DE7D6B"/>
    <w:rsid w:val="00DE7D94"/>
    <w:rsid w:val="00DF230F"/>
    <w:rsid w:val="00DF27C8"/>
    <w:rsid w:val="00DF2C6C"/>
    <w:rsid w:val="00DF3601"/>
    <w:rsid w:val="00DF3686"/>
    <w:rsid w:val="00DF4DB4"/>
    <w:rsid w:val="00DF53EA"/>
    <w:rsid w:val="00E001CE"/>
    <w:rsid w:val="00E02FE5"/>
    <w:rsid w:val="00E05A6F"/>
    <w:rsid w:val="00E10182"/>
    <w:rsid w:val="00E11EA1"/>
    <w:rsid w:val="00E121E4"/>
    <w:rsid w:val="00E1379F"/>
    <w:rsid w:val="00E2161A"/>
    <w:rsid w:val="00E22A51"/>
    <w:rsid w:val="00E22AFC"/>
    <w:rsid w:val="00E22F77"/>
    <w:rsid w:val="00E24C00"/>
    <w:rsid w:val="00E255F5"/>
    <w:rsid w:val="00E271F5"/>
    <w:rsid w:val="00E27384"/>
    <w:rsid w:val="00E30297"/>
    <w:rsid w:val="00E302F2"/>
    <w:rsid w:val="00E314BD"/>
    <w:rsid w:val="00E370B6"/>
    <w:rsid w:val="00E4427A"/>
    <w:rsid w:val="00E462A1"/>
    <w:rsid w:val="00E478FA"/>
    <w:rsid w:val="00E54C9C"/>
    <w:rsid w:val="00E554A2"/>
    <w:rsid w:val="00E57B32"/>
    <w:rsid w:val="00E6181F"/>
    <w:rsid w:val="00E62651"/>
    <w:rsid w:val="00E63540"/>
    <w:rsid w:val="00E646E9"/>
    <w:rsid w:val="00E67E17"/>
    <w:rsid w:val="00E70766"/>
    <w:rsid w:val="00E7255C"/>
    <w:rsid w:val="00E72686"/>
    <w:rsid w:val="00E73FAD"/>
    <w:rsid w:val="00E742B4"/>
    <w:rsid w:val="00E7481A"/>
    <w:rsid w:val="00E755A6"/>
    <w:rsid w:val="00E8108A"/>
    <w:rsid w:val="00E85C50"/>
    <w:rsid w:val="00E90ABA"/>
    <w:rsid w:val="00E916D7"/>
    <w:rsid w:val="00E91C32"/>
    <w:rsid w:val="00E92529"/>
    <w:rsid w:val="00E927D4"/>
    <w:rsid w:val="00E95A28"/>
    <w:rsid w:val="00EA0237"/>
    <w:rsid w:val="00EA042A"/>
    <w:rsid w:val="00EA226A"/>
    <w:rsid w:val="00EB24CE"/>
    <w:rsid w:val="00EB2DA8"/>
    <w:rsid w:val="00EB4453"/>
    <w:rsid w:val="00EB5011"/>
    <w:rsid w:val="00EB64BB"/>
    <w:rsid w:val="00EB6544"/>
    <w:rsid w:val="00EC005E"/>
    <w:rsid w:val="00EC0ACA"/>
    <w:rsid w:val="00EC6035"/>
    <w:rsid w:val="00EC673B"/>
    <w:rsid w:val="00EC7A0A"/>
    <w:rsid w:val="00ED052A"/>
    <w:rsid w:val="00ED0F07"/>
    <w:rsid w:val="00ED12A8"/>
    <w:rsid w:val="00ED35F1"/>
    <w:rsid w:val="00ED56FD"/>
    <w:rsid w:val="00EE01E1"/>
    <w:rsid w:val="00EE03DA"/>
    <w:rsid w:val="00EE17FC"/>
    <w:rsid w:val="00EE1F59"/>
    <w:rsid w:val="00EE4906"/>
    <w:rsid w:val="00EE6EC5"/>
    <w:rsid w:val="00EF1BF9"/>
    <w:rsid w:val="00EF248C"/>
    <w:rsid w:val="00EF5442"/>
    <w:rsid w:val="00EF68BB"/>
    <w:rsid w:val="00EF7D87"/>
    <w:rsid w:val="00EF7EA8"/>
    <w:rsid w:val="00F01B34"/>
    <w:rsid w:val="00F035CE"/>
    <w:rsid w:val="00F035FA"/>
    <w:rsid w:val="00F03D6F"/>
    <w:rsid w:val="00F03FE6"/>
    <w:rsid w:val="00F04F75"/>
    <w:rsid w:val="00F0506A"/>
    <w:rsid w:val="00F062C2"/>
    <w:rsid w:val="00F063B4"/>
    <w:rsid w:val="00F065B9"/>
    <w:rsid w:val="00F07F7C"/>
    <w:rsid w:val="00F10A90"/>
    <w:rsid w:val="00F15938"/>
    <w:rsid w:val="00F16BE8"/>
    <w:rsid w:val="00F1757E"/>
    <w:rsid w:val="00F178FB"/>
    <w:rsid w:val="00F227F7"/>
    <w:rsid w:val="00F22D9F"/>
    <w:rsid w:val="00F241F6"/>
    <w:rsid w:val="00F2461F"/>
    <w:rsid w:val="00F273F9"/>
    <w:rsid w:val="00F2780C"/>
    <w:rsid w:val="00F30E8A"/>
    <w:rsid w:val="00F334CB"/>
    <w:rsid w:val="00F338DB"/>
    <w:rsid w:val="00F34F34"/>
    <w:rsid w:val="00F36888"/>
    <w:rsid w:val="00F36FFE"/>
    <w:rsid w:val="00F42BD7"/>
    <w:rsid w:val="00F4487F"/>
    <w:rsid w:val="00F458BD"/>
    <w:rsid w:val="00F54B0B"/>
    <w:rsid w:val="00F5503F"/>
    <w:rsid w:val="00F55573"/>
    <w:rsid w:val="00F55B52"/>
    <w:rsid w:val="00F637C8"/>
    <w:rsid w:val="00F64402"/>
    <w:rsid w:val="00F66DA2"/>
    <w:rsid w:val="00F700BF"/>
    <w:rsid w:val="00F71A35"/>
    <w:rsid w:val="00F71B44"/>
    <w:rsid w:val="00F732CB"/>
    <w:rsid w:val="00F73DE4"/>
    <w:rsid w:val="00F750F3"/>
    <w:rsid w:val="00F8103C"/>
    <w:rsid w:val="00F81527"/>
    <w:rsid w:val="00F821F3"/>
    <w:rsid w:val="00F82407"/>
    <w:rsid w:val="00F83477"/>
    <w:rsid w:val="00F85ED5"/>
    <w:rsid w:val="00F86190"/>
    <w:rsid w:val="00F862AA"/>
    <w:rsid w:val="00F91C06"/>
    <w:rsid w:val="00F91DB7"/>
    <w:rsid w:val="00F929E2"/>
    <w:rsid w:val="00F9356B"/>
    <w:rsid w:val="00F9376F"/>
    <w:rsid w:val="00F93921"/>
    <w:rsid w:val="00F9416B"/>
    <w:rsid w:val="00F96489"/>
    <w:rsid w:val="00F9745A"/>
    <w:rsid w:val="00FA0231"/>
    <w:rsid w:val="00FA09D5"/>
    <w:rsid w:val="00FA1FE8"/>
    <w:rsid w:val="00FA230A"/>
    <w:rsid w:val="00FA3D1C"/>
    <w:rsid w:val="00FA4D92"/>
    <w:rsid w:val="00FA5E73"/>
    <w:rsid w:val="00FA62EA"/>
    <w:rsid w:val="00FA6FC5"/>
    <w:rsid w:val="00FA7115"/>
    <w:rsid w:val="00FA75D2"/>
    <w:rsid w:val="00FA769F"/>
    <w:rsid w:val="00FA7FB7"/>
    <w:rsid w:val="00FB1A38"/>
    <w:rsid w:val="00FB3111"/>
    <w:rsid w:val="00FB3F05"/>
    <w:rsid w:val="00FB4B0D"/>
    <w:rsid w:val="00FB4FC8"/>
    <w:rsid w:val="00FB52D3"/>
    <w:rsid w:val="00FB6667"/>
    <w:rsid w:val="00FC1A40"/>
    <w:rsid w:val="00FC5706"/>
    <w:rsid w:val="00FC676F"/>
    <w:rsid w:val="00FC7095"/>
    <w:rsid w:val="00FC7C1E"/>
    <w:rsid w:val="00FD069C"/>
    <w:rsid w:val="00FD33D9"/>
    <w:rsid w:val="00FD35D4"/>
    <w:rsid w:val="00FD5438"/>
    <w:rsid w:val="00FD5FC5"/>
    <w:rsid w:val="00FD7A79"/>
    <w:rsid w:val="00FE00C4"/>
    <w:rsid w:val="00FE0C26"/>
    <w:rsid w:val="00FE11A3"/>
    <w:rsid w:val="00FE1361"/>
    <w:rsid w:val="00FE59C2"/>
    <w:rsid w:val="00FF0893"/>
    <w:rsid w:val="00FF11C6"/>
    <w:rsid w:val="00FF1EE7"/>
    <w:rsid w:val="00FF50A6"/>
    <w:rsid w:val="00FF7F66"/>
    <w:rsid w:val="010108BA"/>
    <w:rsid w:val="01D877F9"/>
    <w:rsid w:val="022DD907"/>
    <w:rsid w:val="023D6CD6"/>
    <w:rsid w:val="038D50DD"/>
    <w:rsid w:val="03F31B15"/>
    <w:rsid w:val="043D6ED9"/>
    <w:rsid w:val="052382CA"/>
    <w:rsid w:val="054D1BB5"/>
    <w:rsid w:val="05C0EFD7"/>
    <w:rsid w:val="071ACABD"/>
    <w:rsid w:val="0723C2BA"/>
    <w:rsid w:val="079D4020"/>
    <w:rsid w:val="07BEA3E7"/>
    <w:rsid w:val="07BF52C4"/>
    <w:rsid w:val="0875CB14"/>
    <w:rsid w:val="087A4036"/>
    <w:rsid w:val="0A43D467"/>
    <w:rsid w:val="0A95B30F"/>
    <w:rsid w:val="0AEFBBC1"/>
    <w:rsid w:val="0B45B733"/>
    <w:rsid w:val="0B8AE757"/>
    <w:rsid w:val="0B991D42"/>
    <w:rsid w:val="0CAA01A4"/>
    <w:rsid w:val="0CD36023"/>
    <w:rsid w:val="0CE89E80"/>
    <w:rsid w:val="0D7A76C8"/>
    <w:rsid w:val="0E19CE46"/>
    <w:rsid w:val="0E47A5EA"/>
    <w:rsid w:val="0E537871"/>
    <w:rsid w:val="0E8CD40C"/>
    <w:rsid w:val="0EE91180"/>
    <w:rsid w:val="0EFCE7A0"/>
    <w:rsid w:val="0F1CB30D"/>
    <w:rsid w:val="10650681"/>
    <w:rsid w:val="109D0159"/>
    <w:rsid w:val="10F40E01"/>
    <w:rsid w:val="110093DD"/>
    <w:rsid w:val="1115E044"/>
    <w:rsid w:val="119CDEBC"/>
    <w:rsid w:val="11D4C38A"/>
    <w:rsid w:val="11E7578C"/>
    <w:rsid w:val="1202119E"/>
    <w:rsid w:val="12C0907E"/>
    <w:rsid w:val="12C32112"/>
    <w:rsid w:val="12EAB77B"/>
    <w:rsid w:val="12FDE2DF"/>
    <w:rsid w:val="137FF05C"/>
    <w:rsid w:val="13A20562"/>
    <w:rsid w:val="13F12AC3"/>
    <w:rsid w:val="14397907"/>
    <w:rsid w:val="143C637F"/>
    <w:rsid w:val="149FD1C9"/>
    <w:rsid w:val="159C4BEA"/>
    <w:rsid w:val="1622721E"/>
    <w:rsid w:val="1660B565"/>
    <w:rsid w:val="169507FA"/>
    <w:rsid w:val="16C5731E"/>
    <w:rsid w:val="171FCAB9"/>
    <w:rsid w:val="17217696"/>
    <w:rsid w:val="180233D1"/>
    <w:rsid w:val="187800AA"/>
    <w:rsid w:val="188267A2"/>
    <w:rsid w:val="1885EB4A"/>
    <w:rsid w:val="1967FEA6"/>
    <w:rsid w:val="19E0158F"/>
    <w:rsid w:val="1A591758"/>
    <w:rsid w:val="1A6B68D9"/>
    <w:rsid w:val="1ABB4C43"/>
    <w:rsid w:val="1B0887AA"/>
    <w:rsid w:val="1B44ECC5"/>
    <w:rsid w:val="1B56E4DE"/>
    <w:rsid w:val="1C205678"/>
    <w:rsid w:val="1CA9F46B"/>
    <w:rsid w:val="1D1FEADA"/>
    <w:rsid w:val="1D778FBD"/>
    <w:rsid w:val="1D85F42C"/>
    <w:rsid w:val="1DEE8760"/>
    <w:rsid w:val="1E0421ED"/>
    <w:rsid w:val="1E98CF64"/>
    <w:rsid w:val="1F6F4666"/>
    <w:rsid w:val="1FBF517B"/>
    <w:rsid w:val="1FCBF295"/>
    <w:rsid w:val="20330F98"/>
    <w:rsid w:val="205DA233"/>
    <w:rsid w:val="209F70F9"/>
    <w:rsid w:val="234460D6"/>
    <w:rsid w:val="238AB920"/>
    <w:rsid w:val="239F75CD"/>
    <w:rsid w:val="240ABDC4"/>
    <w:rsid w:val="24183F6C"/>
    <w:rsid w:val="2422946F"/>
    <w:rsid w:val="243E2325"/>
    <w:rsid w:val="243F214C"/>
    <w:rsid w:val="2560A08E"/>
    <w:rsid w:val="26431924"/>
    <w:rsid w:val="26906336"/>
    <w:rsid w:val="27D327BC"/>
    <w:rsid w:val="2808776B"/>
    <w:rsid w:val="2853278F"/>
    <w:rsid w:val="2862165E"/>
    <w:rsid w:val="287598D1"/>
    <w:rsid w:val="289F31BC"/>
    <w:rsid w:val="28D5CEC0"/>
    <w:rsid w:val="28E428AB"/>
    <w:rsid w:val="290929C0"/>
    <w:rsid w:val="29732602"/>
    <w:rsid w:val="29D5F141"/>
    <w:rsid w:val="2AF88D91"/>
    <w:rsid w:val="2B059CFA"/>
    <w:rsid w:val="2B0DE2F9"/>
    <w:rsid w:val="2B1D3699"/>
    <w:rsid w:val="2B82EA2C"/>
    <w:rsid w:val="2C435F4E"/>
    <w:rsid w:val="2C5919EC"/>
    <w:rsid w:val="2C5F7575"/>
    <w:rsid w:val="2C77EF38"/>
    <w:rsid w:val="2CA4FB04"/>
    <w:rsid w:val="2D5AC1B8"/>
    <w:rsid w:val="2D8CD026"/>
    <w:rsid w:val="2DCC88A7"/>
    <w:rsid w:val="2DE7C916"/>
    <w:rsid w:val="2E407721"/>
    <w:rsid w:val="2E469725"/>
    <w:rsid w:val="2E7EB46F"/>
    <w:rsid w:val="2EAFACDA"/>
    <w:rsid w:val="309D9FBB"/>
    <w:rsid w:val="30C50A2D"/>
    <w:rsid w:val="31B07AF3"/>
    <w:rsid w:val="320690E3"/>
    <w:rsid w:val="328206C1"/>
    <w:rsid w:val="32B3B255"/>
    <w:rsid w:val="33B0DADF"/>
    <w:rsid w:val="33CA033C"/>
    <w:rsid w:val="347A044F"/>
    <w:rsid w:val="367DA420"/>
    <w:rsid w:val="368C885F"/>
    <w:rsid w:val="3695D8FC"/>
    <w:rsid w:val="36C29D82"/>
    <w:rsid w:val="370B263B"/>
    <w:rsid w:val="37281492"/>
    <w:rsid w:val="375E1292"/>
    <w:rsid w:val="380F3063"/>
    <w:rsid w:val="382858C0"/>
    <w:rsid w:val="383E41A9"/>
    <w:rsid w:val="39103938"/>
    <w:rsid w:val="391A0E99"/>
    <w:rsid w:val="3A78DEDA"/>
    <w:rsid w:val="3B6046DE"/>
    <w:rsid w:val="3C0C20F4"/>
    <w:rsid w:val="3DBD7EE0"/>
    <w:rsid w:val="3E894515"/>
    <w:rsid w:val="3FFC0A72"/>
    <w:rsid w:val="4082C68A"/>
    <w:rsid w:val="408D3CD4"/>
    <w:rsid w:val="40DEA65B"/>
    <w:rsid w:val="40DEBFBE"/>
    <w:rsid w:val="40FF74A5"/>
    <w:rsid w:val="4185FDEC"/>
    <w:rsid w:val="41C561B0"/>
    <w:rsid w:val="42B15503"/>
    <w:rsid w:val="42B5BE6A"/>
    <w:rsid w:val="430B03FF"/>
    <w:rsid w:val="43601EEC"/>
    <w:rsid w:val="43E45C04"/>
    <w:rsid w:val="44BDBF8F"/>
    <w:rsid w:val="44CD86C1"/>
    <w:rsid w:val="44D20469"/>
    <w:rsid w:val="456E7D51"/>
    <w:rsid w:val="46C1D126"/>
    <w:rsid w:val="4770EC1C"/>
    <w:rsid w:val="477AA22D"/>
    <w:rsid w:val="48171534"/>
    <w:rsid w:val="482895E6"/>
    <w:rsid w:val="48B2B695"/>
    <w:rsid w:val="4908EDB1"/>
    <w:rsid w:val="491CD150"/>
    <w:rsid w:val="4972DBE7"/>
    <w:rsid w:val="49940FC1"/>
    <w:rsid w:val="49CF6070"/>
    <w:rsid w:val="4A3D4C1F"/>
    <w:rsid w:val="4A4FAE5F"/>
    <w:rsid w:val="4A84ADF5"/>
    <w:rsid w:val="4AB4E781"/>
    <w:rsid w:val="4B0D9258"/>
    <w:rsid w:val="4B998854"/>
    <w:rsid w:val="4BC7AED8"/>
    <w:rsid w:val="4D04FEB0"/>
    <w:rsid w:val="4D25D8B7"/>
    <w:rsid w:val="4DE09406"/>
    <w:rsid w:val="4E6B261F"/>
    <w:rsid w:val="4E9C8337"/>
    <w:rsid w:val="4ECE5609"/>
    <w:rsid w:val="4ED50033"/>
    <w:rsid w:val="4EE35A1E"/>
    <w:rsid w:val="503D0E5D"/>
    <w:rsid w:val="51D78417"/>
    <w:rsid w:val="52107E9F"/>
    <w:rsid w:val="526A46D2"/>
    <w:rsid w:val="52CE3548"/>
    <w:rsid w:val="530FFE47"/>
    <w:rsid w:val="536D41C6"/>
    <w:rsid w:val="53A44A08"/>
    <w:rsid w:val="53EFB5C2"/>
    <w:rsid w:val="54172034"/>
    <w:rsid w:val="546A05A9"/>
    <w:rsid w:val="54C13FF4"/>
    <w:rsid w:val="5573874A"/>
    <w:rsid w:val="5731245F"/>
    <w:rsid w:val="57F4A355"/>
    <w:rsid w:val="5841F16D"/>
    <w:rsid w:val="58E30973"/>
    <w:rsid w:val="58E6E17F"/>
    <w:rsid w:val="590E4309"/>
    <w:rsid w:val="5996903C"/>
    <w:rsid w:val="59CE7A39"/>
    <w:rsid w:val="5A9BC565"/>
    <w:rsid w:val="5AA73835"/>
    <w:rsid w:val="5B850E29"/>
    <w:rsid w:val="5BB2DBF5"/>
    <w:rsid w:val="5BF8CB04"/>
    <w:rsid w:val="5CCC88FB"/>
    <w:rsid w:val="5D117FEA"/>
    <w:rsid w:val="5D74135D"/>
    <w:rsid w:val="5D846017"/>
    <w:rsid w:val="5E1D1CEA"/>
    <w:rsid w:val="5E8146C7"/>
    <w:rsid w:val="5F4DEA41"/>
    <w:rsid w:val="5FD1076A"/>
    <w:rsid w:val="6002131A"/>
    <w:rsid w:val="601B8593"/>
    <w:rsid w:val="607DE9DF"/>
    <w:rsid w:val="609BB4AB"/>
    <w:rsid w:val="6100A15A"/>
    <w:rsid w:val="61954037"/>
    <w:rsid w:val="61C0D831"/>
    <w:rsid w:val="61D40743"/>
    <w:rsid w:val="62B338C2"/>
    <w:rsid w:val="62BB24CE"/>
    <w:rsid w:val="6456F52F"/>
    <w:rsid w:val="64DAD862"/>
    <w:rsid w:val="6523B50C"/>
    <w:rsid w:val="653433AE"/>
    <w:rsid w:val="6553275A"/>
    <w:rsid w:val="6570FF55"/>
    <w:rsid w:val="65C4EAD2"/>
    <w:rsid w:val="6601912E"/>
    <w:rsid w:val="660DE3B0"/>
    <w:rsid w:val="66876116"/>
    <w:rsid w:val="67439D07"/>
    <w:rsid w:val="67927F23"/>
    <w:rsid w:val="679A4D5F"/>
    <w:rsid w:val="67D470B9"/>
    <w:rsid w:val="6875E9D7"/>
    <w:rsid w:val="693FE0C0"/>
    <w:rsid w:val="6A00FC28"/>
    <w:rsid w:val="6A20DE1E"/>
    <w:rsid w:val="6B244851"/>
    <w:rsid w:val="6B60F5EE"/>
    <w:rsid w:val="6BEA0A76"/>
    <w:rsid w:val="6BFAB502"/>
    <w:rsid w:val="6C04CC9C"/>
    <w:rsid w:val="6C3C83C8"/>
    <w:rsid w:val="6C45D34A"/>
    <w:rsid w:val="6C8FCBA3"/>
    <w:rsid w:val="6CA68F18"/>
    <w:rsid w:val="6D1D0813"/>
    <w:rsid w:val="6DAE7DD5"/>
    <w:rsid w:val="6E079500"/>
    <w:rsid w:val="6E0C4FC5"/>
    <w:rsid w:val="6E5153AA"/>
    <w:rsid w:val="6EC0789E"/>
    <w:rsid w:val="6EEC9770"/>
    <w:rsid w:val="6F005826"/>
    <w:rsid w:val="6F3503DF"/>
    <w:rsid w:val="6FCC1AB6"/>
    <w:rsid w:val="6FED240B"/>
    <w:rsid w:val="7054ED50"/>
    <w:rsid w:val="705714B7"/>
    <w:rsid w:val="709523AF"/>
    <w:rsid w:val="71874A7F"/>
    <w:rsid w:val="721260FD"/>
    <w:rsid w:val="726FEAD3"/>
    <w:rsid w:val="72B10418"/>
    <w:rsid w:val="73360599"/>
    <w:rsid w:val="7346BC2B"/>
    <w:rsid w:val="73BC937D"/>
    <w:rsid w:val="73CA1D49"/>
    <w:rsid w:val="74029F22"/>
    <w:rsid w:val="741A00B3"/>
    <w:rsid w:val="748BF524"/>
    <w:rsid w:val="74C0D9CD"/>
    <w:rsid w:val="753A0BA7"/>
    <w:rsid w:val="75876810"/>
    <w:rsid w:val="76BF57CD"/>
    <w:rsid w:val="76DFB805"/>
    <w:rsid w:val="77A23024"/>
    <w:rsid w:val="781CBD04"/>
    <w:rsid w:val="7849CD24"/>
    <w:rsid w:val="786EFB71"/>
    <w:rsid w:val="7957DE63"/>
    <w:rsid w:val="797AC186"/>
    <w:rsid w:val="799F52D5"/>
    <w:rsid w:val="7A3C0655"/>
    <w:rsid w:val="7A5D6D7F"/>
    <w:rsid w:val="7B29216A"/>
    <w:rsid w:val="7B31B547"/>
    <w:rsid w:val="7B46B95C"/>
    <w:rsid w:val="7C35CE3D"/>
    <w:rsid w:val="7D08572A"/>
    <w:rsid w:val="7DAC6D43"/>
    <w:rsid w:val="7DEAC6FB"/>
    <w:rsid w:val="7EB53D64"/>
    <w:rsid w:val="7EEE95D5"/>
    <w:rsid w:val="7F2731D5"/>
    <w:rsid w:val="7F4B5A7A"/>
    <w:rsid w:val="7F6C94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8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MRP"/>
    <w:basedOn w:val="Normal"/>
    <w:link w:val="FootnoteTextChar"/>
    <w:uiPriority w:val="99"/>
    <w:qFormat/>
    <w:pPr>
      <w:spacing w:after="240"/>
    </w:pPr>
    <w:rPr>
      <w:sz w:val="24"/>
    </w:rPr>
  </w:style>
  <w:style w:type="paragraph" w:styleId="EndnoteText">
    <w:name w:val="endnote text"/>
    <w:basedOn w:val="Normal"/>
    <w:semiHidden/>
    <w:rPr>
      <w:sz w:val="20"/>
    </w:rPr>
  </w:style>
  <w:style w:type="paragraph" w:customStyle="1" w:styleId="standard">
    <w:name w:val="standard"/>
    <w:basedOn w:val="Normal"/>
    <w:link w:val="standardChar"/>
    <w:uiPriority w:val="99"/>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pPr>
  </w:style>
  <w:style w:type="character" w:styleId="EndnoteReference">
    <w:name w:val="endnote reference"/>
    <w:semiHidden/>
    <w:rPr>
      <w:vertAlign w:val="superscript"/>
    </w:rPr>
  </w:style>
  <w:style w:type="paragraph" w:customStyle="1" w:styleId="1ListIndent">
    <w:name w:val="1. List Indent"/>
    <w:basedOn w:val="num2"/>
    <w:pPr>
      <w:numPr>
        <w:numId w:val="2"/>
      </w:numPr>
    </w:pPr>
  </w:style>
  <w:style w:type="character" w:styleId="FootnoteReference">
    <w:name w:val="footnote reference"/>
    <w:aliases w:val="o,fr,o1,o2,o3,o4,o5,o6,o11,o21,o7,Style 3,Style 17,Style 12,(NECG) Footnote Reference,Style 20,Style 13,fr1,fr2,fr3,Style 15,Style 9,Style 18,Style 7,Styl,Style 8,Style 28,Style 19,Style 11,Style 16,Footnote Reference (EIS),fnr"/>
    <w:uiPriority w:val="99"/>
    <w:qFormat/>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character" w:customStyle="1" w:styleId="standardChar">
    <w:name w:val="standard Char"/>
    <w:link w:val="standard"/>
    <w:uiPriority w:val="99"/>
    <w:rPr>
      <w:rFonts w:ascii="Palatino" w:hAnsi="Palatino"/>
      <w:sz w:val="26"/>
      <w:lang w:val="en-US" w:eastAsia="en-US" w:bidi="ar-SA"/>
    </w:rPr>
  </w:style>
  <w:style w:type="paragraph" w:customStyle="1" w:styleId="Style2">
    <w:name w:val="Style2"/>
    <w:basedOn w:val="Normal"/>
  </w:style>
  <w:style w:type="paragraph" w:customStyle="1" w:styleId="Style3">
    <w:name w:val="Style3"/>
    <w:basedOn w:val="Normal"/>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customStyle="1" w:styleId="PlainTextChar">
    <w:name w:val="Plain Text Char"/>
    <w:link w:val="PlainText"/>
    <w:semiHidden/>
    <w:locked/>
    <w:rPr>
      <w:rFonts w:ascii="Consolas" w:hAnsi="Consolas"/>
      <w:color w:val="000000"/>
      <w:sz w:val="21"/>
      <w:szCs w:val="21"/>
      <w:lang w:bidi="ar-SA"/>
    </w:rPr>
  </w:style>
  <w:style w:type="paragraph" w:styleId="PlainText">
    <w:name w:val="Plain Text"/>
    <w:basedOn w:val="Normal"/>
    <w:link w:val="PlainTextChar"/>
    <w:semiHidden/>
    <w:rPr>
      <w:rFonts w:ascii="Consolas" w:hAnsi="Consolas"/>
      <w:color w:val="000000"/>
      <w:sz w:val="21"/>
      <w:szCs w:val="21"/>
    </w:rPr>
  </w:style>
  <w:style w:type="paragraph" w:customStyle="1" w:styleId="CM10">
    <w:name w:val="CM10"/>
    <w:basedOn w:val="Normal"/>
    <w:next w:val="Normal"/>
    <w:rsid w:val="00942B3C"/>
    <w:pPr>
      <w:widowControl w:val="0"/>
      <w:autoSpaceDE w:val="0"/>
      <w:autoSpaceDN w:val="0"/>
      <w:adjustRightInd w:val="0"/>
    </w:pPr>
    <w:rPr>
      <w:rFonts w:ascii="Lucida Bright" w:hAnsi="Lucida Bright"/>
      <w:sz w:val="24"/>
      <w:szCs w:val="24"/>
    </w:rPr>
  </w:style>
  <w:style w:type="character" w:customStyle="1" w:styleId="FootnoteTextChar">
    <w:name w:val="Footnote Text Char"/>
    <w:aliases w:val="Footnote Text Char1 Char1,Footnote Text Char Char Char2,Footnote Text Char2 Char Char1,Footnote Text Char Char Char Char1,Footnote Text Char2 Char Char Char Char1,Footnote Text Char Char Char Char Char Char1,fn Char1"/>
    <w:link w:val="FootnoteText"/>
    <w:uiPriority w:val="99"/>
    <w:locked/>
    <w:rsid w:val="00850FAB"/>
    <w:rPr>
      <w:rFonts w:ascii="Palatino" w:hAnsi="Palatino"/>
      <w:sz w:val="24"/>
      <w:lang w:val="en-US" w:eastAsia="en-US" w:bidi="ar-SA"/>
    </w:rPr>
  </w:style>
  <w:style w:type="paragraph" w:styleId="ListParagraph">
    <w:name w:val="List Paragraph"/>
    <w:basedOn w:val="Normal"/>
    <w:uiPriority w:val="34"/>
    <w:qFormat/>
    <w:rsid w:val="00DA0F8F"/>
    <w:pPr>
      <w:spacing w:after="200" w:line="276" w:lineRule="auto"/>
      <w:ind w:left="720"/>
      <w:contextualSpacing/>
    </w:pPr>
    <w:rPr>
      <w:rFonts w:ascii="Calibri" w:hAnsi="Calibri"/>
      <w:sz w:val="22"/>
      <w:szCs w:val="22"/>
    </w:rPr>
  </w:style>
  <w:style w:type="paragraph" w:styleId="Revision">
    <w:name w:val="Revision"/>
    <w:hidden/>
    <w:uiPriority w:val="99"/>
    <w:semiHidden/>
    <w:rsid w:val="00055BAF"/>
    <w:rPr>
      <w:rFonts w:ascii="Palatino" w:hAnsi="Palatino"/>
      <w:sz w:val="26"/>
    </w:r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uiPriority w:val="99"/>
    <w:rsid w:val="00973494"/>
    <w:rPr>
      <w:rFonts w:ascii="Palatino" w:hAnsi="Palatino"/>
      <w:sz w:val="24"/>
      <w:lang w:val="en-US" w:eastAsia="en-US" w:bidi="ar-SA"/>
    </w:rPr>
  </w:style>
  <w:style w:type="character" w:customStyle="1" w:styleId="CommentTextChar">
    <w:name w:val="Comment Text Char"/>
    <w:basedOn w:val="DefaultParagraphFont"/>
    <w:link w:val="CommentText"/>
    <w:rsid w:val="00973494"/>
    <w:rPr>
      <w:rFonts w:ascii="Palatino" w:hAnsi="Palatino"/>
    </w:rPr>
  </w:style>
  <w:style w:type="character" w:styleId="Hyperlink">
    <w:name w:val="Hyperlink"/>
    <w:uiPriority w:val="99"/>
    <w:rsid w:val="00BD65C4"/>
    <w:rPr>
      <w:color w:val="0000FF"/>
      <w:u w:val="single"/>
    </w:rPr>
  </w:style>
  <w:style w:type="paragraph" w:styleId="BodyText2">
    <w:name w:val="Body Text 2"/>
    <w:basedOn w:val="Normal"/>
    <w:link w:val="BodyText2Char"/>
    <w:rsid w:val="00BD65C4"/>
    <w:pPr>
      <w:overflowPunct w:val="0"/>
      <w:autoSpaceDE w:val="0"/>
      <w:autoSpaceDN w:val="0"/>
      <w:adjustRightInd w:val="0"/>
      <w:spacing w:line="480" w:lineRule="auto"/>
      <w:ind w:firstLine="720"/>
      <w:textAlignment w:val="baseline"/>
    </w:pPr>
    <w:rPr>
      <w:rFonts w:ascii="Times" w:hAnsi="Times"/>
      <w:sz w:val="24"/>
    </w:rPr>
  </w:style>
  <w:style w:type="character" w:customStyle="1" w:styleId="BodyText2Char">
    <w:name w:val="Body Text 2 Char"/>
    <w:basedOn w:val="DefaultParagraphFont"/>
    <w:link w:val="BodyText2"/>
    <w:rsid w:val="00BD65C4"/>
    <w:rPr>
      <w:rFonts w:ascii="Times" w:hAnsi="Times"/>
      <w:sz w:val="24"/>
    </w:rPr>
  </w:style>
  <w:style w:type="paragraph" w:customStyle="1" w:styleId="Default">
    <w:name w:val="Default"/>
    <w:rsid w:val="003B12AE"/>
    <w:pPr>
      <w:autoSpaceDE w:val="0"/>
      <w:autoSpaceDN w:val="0"/>
      <w:adjustRightInd w:val="0"/>
    </w:pPr>
    <w:rPr>
      <w:rFonts w:ascii="Century Gothic" w:hAnsi="Century Gothic" w:cs="Century Gothic"/>
      <w:color w:val="000000"/>
      <w:sz w:val="24"/>
      <w:szCs w:val="24"/>
    </w:rPr>
  </w:style>
  <w:style w:type="character" w:styleId="Mention">
    <w:name w:val="Mention"/>
    <w:basedOn w:val="DefaultParagraphFont"/>
    <w:uiPriority w:val="99"/>
    <w:unhideWhenUsed/>
    <w:rsid w:val="00534BFE"/>
    <w:rPr>
      <w:color w:val="2B579A"/>
      <w:shd w:val="clear" w:color="auto" w:fill="E1DFDD"/>
    </w:rPr>
  </w:style>
  <w:style w:type="character" w:styleId="UnresolvedMention">
    <w:name w:val="Unresolved Mention"/>
    <w:basedOn w:val="DefaultParagraphFont"/>
    <w:uiPriority w:val="99"/>
    <w:unhideWhenUsed/>
    <w:rsid w:val="00C7427E"/>
    <w:rPr>
      <w:color w:val="605E5C"/>
      <w:shd w:val="clear" w:color="auto" w:fill="E1DFDD"/>
    </w:rPr>
  </w:style>
  <w:style w:type="character" w:customStyle="1" w:styleId="FooterChar">
    <w:name w:val="Footer Char"/>
    <w:basedOn w:val="DefaultParagraphFont"/>
    <w:link w:val="Footer"/>
    <w:uiPriority w:val="99"/>
    <w:rsid w:val="00180028"/>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0646">
      <w:bodyDiv w:val="1"/>
      <w:marLeft w:val="0"/>
      <w:marRight w:val="0"/>
      <w:marTop w:val="0"/>
      <w:marBottom w:val="0"/>
      <w:divBdr>
        <w:top w:val="none" w:sz="0" w:space="0" w:color="auto"/>
        <w:left w:val="none" w:sz="0" w:space="0" w:color="auto"/>
        <w:bottom w:val="none" w:sz="0" w:space="0" w:color="auto"/>
        <w:right w:val="none" w:sz="0" w:space="0" w:color="auto"/>
      </w:divBdr>
    </w:div>
    <w:div w:id="92435119">
      <w:bodyDiv w:val="1"/>
      <w:marLeft w:val="0"/>
      <w:marRight w:val="0"/>
      <w:marTop w:val="0"/>
      <w:marBottom w:val="0"/>
      <w:divBdr>
        <w:top w:val="none" w:sz="0" w:space="0" w:color="auto"/>
        <w:left w:val="none" w:sz="0" w:space="0" w:color="auto"/>
        <w:bottom w:val="none" w:sz="0" w:space="0" w:color="auto"/>
        <w:right w:val="none" w:sz="0" w:space="0" w:color="auto"/>
      </w:divBdr>
    </w:div>
    <w:div w:id="312150079">
      <w:bodyDiv w:val="1"/>
      <w:marLeft w:val="0"/>
      <w:marRight w:val="0"/>
      <w:marTop w:val="0"/>
      <w:marBottom w:val="0"/>
      <w:divBdr>
        <w:top w:val="none" w:sz="0" w:space="0" w:color="auto"/>
        <w:left w:val="none" w:sz="0" w:space="0" w:color="auto"/>
        <w:bottom w:val="none" w:sz="0" w:space="0" w:color="auto"/>
        <w:right w:val="none" w:sz="0" w:space="0" w:color="auto"/>
      </w:divBdr>
      <w:divsChild>
        <w:div w:id="1526744716">
          <w:marLeft w:val="0"/>
          <w:marRight w:val="0"/>
          <w:marTop w:val="0"/>
          <w:marBottom w:val="0"/>
          <w:divBdr>
            <w:top w:val="none" w:sz="0" w:space="0" w:color="auto"/>
            <w:left w:val="none" w:sz="0" w:space="0" w:color="auto"/>
            <w:bottom w:val="none" w:sz="0" w:space="0" w:color="auto"/>
            <w:right w:val="none" w:sz="0" w:space="0" w:color="auto"/>
          </w:divBdr>
        </w:div>
      </w:divsChild>
    </w:div>
    <w:div w:id="861280587">
      <w:bodyDiv w:val="1"/>
      <w:marLeft w:val="0"/>
      <w:marRight w:val="0"/>
      <w:marTop w:val="0"/>
      <w:marBottom w:val="0"/>
      <w:divBdr>
        <w:top w:val="none" w:sz="0" w:space="0" w:color="auto"/>
        <w:left w:val="none" w:sz="0" w:space="0" w:color="auto"/>
        <w:bottom w:val="none" w:sz="0" w:space="0" w:color="auto"/>
        <w:right w:val="none" w:sz="0" w:space="0" w:color="auto"/>
      </w:divBdr>
    </w:div>
    <w:div w:id="883523304">
      <w:bodyDiv w:val="1"/>
      <w:marLeft w:val="0"/>
      <w:marRight w:val="0"/>
      <w:marTop w:val="0"/>
      <w:marBottom w:val="0"/>
      <w:divBdr>
        <w:top w:val="none" w:sz="0" w:space="0" w:color="auto"/>
        <w:left w:val="none" w:sz="0" w:space="0" w:color="auto"/>
        <w:bottom w:val="none" w:sz="0" w:space="0" w:color="auto"/>
        <w:right w:val="none" w:sz="0" w:space="0" w:color="auto"/>
      </w:divBdr>
    </w:div>
    <w:div w:id="1803230664">
      <w:bodyDiv w:val="1"/>
      <w:marLeft w:val="0"/>
      <w:marRight w:val="0"/>
      <w:marTop w:val="0"/>
      <w:marBottom w:val="0"/>
      <w:divBdr>
        <w:top w:val="none" w:sz="0" w:space="0" w:color="auto"/>
        <w:left w:val="none" w:sz="0" w:space="0" w:color="auto"/>
        <w:bottom w:val="none" w:sz="0" w:space="0" w:color="auto"/>
        <w:right w:val="none" w:sz="0" w:space="0" w:color="auto"/>
      </w:divBdr>
    </w:div>
    <w:div w:id="1913002897">
      <w:bodyDiv w:val="1"/>
      <w:marLeft w:val="0"/>
      <w:marRight w:val="0"/>
      <w:marTop w:val="0"/>
      <w:marBottom w:val="0"/>
      <w:divBdr>
        <w:top w:val="none" w:sz="0" w:space="0" w:color="auto"/>
        <w:left w:val="none" w:sz="0" w:space="0" w:color="auto"/>
        <w:bottom w:val="none" w:sz="0" w:space="0" w:color="auto"/>
        <w:right w:val="none" w:sz="0" w:space="0" w:color="auto"/>
      </w:divBdr>
      <w:divsChild>
        <w:div w:id="304119142">
          <w:marLeft w:val="0"/>
          <w:marRight w:val="0"/>
          <w:marTop w:val="0"/>
          <w:marBottom w:val="0"/>
          <w:divBdr>
            <w:top w:val="none" w:sz="0" w:space="0" w:color="auto"/>
            <w:left w:val="none" w:sz="0" w:space="0" w:color="auto"/>
            <w:bottom w:val="none" w:sz="0" w:space="0" w:color="auto"/>
            <w:right w:val="none" w:sz="0" w:space="0" w:color="auto"/>
          </w:divBdr>
        </w:div>
      </w:divsChild>
    </w:div>
    <w:div w:id="2063484260">
      <w:bodyDiv w:val="1"/>
      <w:marLeft w:val="0"/>
      <w:marRight w:val="0"/>
      <w:marTop w:val="0"/>
      <w:marBottom w:val="0"/>
      <w:divBdr>
        <w:top w:val="none" w:sz="0" w:space="0" w:color="auto"/>
        <w:left w:val="none" w:sz="0" w:space="0" w:color="auto"/>
        <w:bottom w:val="none" w:sz="0" w:space="0" w:color="auto"/>
        <w:right w:val="none" w:sz="0" w:space="0" w:color="auto"/>
      </w:divBdr>
      <w:divsChild>
        <w:div w:id="108553266">
          <w:marLeft w:val="0"/>
          <w:marRight w:val="0"/>
          <w:marTop w:val="0"/>
          <w:marBottom w:val="0"/>
          <w:divBdr>
            <w:top w:val="none" w:sz="0" w:space="0" w:color="auto"/>
            <w:left w:val="none" w:sz="0" w:space="0" w:color="auto"/>
            <w:bottom w:val="none" w:sz="0" w:space="0" w:color="auto"/>
            <w:right w:val="none" w:sz="0" w:space="0" w:color="auto"/>
          </w:divBdr>
        </w:div>
      </w:divsChild>
    </w:div>
    <w:div w:id="206964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hyperlink" Target="http://docs.cpuc.ca.gov/PublishedDocs/Published/G000/M504/K318/504318440.xlsx" TargetMode="External" Id="R0a81abf5a0e548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5F886-643F-48FD-B487-CD18BBA51CE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32</ap:Pages>
  <ap:Words>8759</ap:Words>
  <ap:Characters>52118</ap:Characters>
  <ap:Application>Microsoft Office Word</ap:Application>
  <ap:DocSecurity>0</ap:DocSecurity>
  <ap:Lines>983</ap:Lines>
  <ap:Paragraphs>271</ap:Paragraphs>
  <ap:ScaleCrop>false</ap:ScaleCrop>
  <ap:HeadingPairs>
    <vt:vector baseType="variant" size="2">
      <vt:variant>
        <vt:lpstr>Title</vt:lpstr>
      </vt:variant>
      <vt:variant>
        <vt:i4>1</vt:i4>
      </vt:variant>
    </vt:vector>
  </ap:HeadingPairs>
  <ap:TitlesOfParts>
    <vt:vector baseType="lpstr" size="1">
      <vt:lpstr>_</vt:lpstr>
    </vt:vector>
  </ap:TitlesOfParts>
  <ap:Manager/>
  <ap:Company/>
  <ap:LinksUpToDate>false</ap:LinksUpToDate>
  <ap:CharactersWithSpaces>60606</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2014-06-30T21:25:00Z</cp:lastPrinted>
  <dcterms:created xsi:type="dcterms:W3CDTF">2023-03-22T09:24:38Z</dcterms:created>
  <dcterms:modified xsi:type="dcterms:W3CDTF">2023-03-22T09:24:38Z</dcterms:modified>
</cp:coreProperties>
</file>