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C41" w:rsidP="00C516EF" w:rsidRDefault="00492C41" w14:paraId="25466CB3" w14:textId="2F160B45">
      <w:pPr>
        <w:tabs>
          <w:tab w:val="left" w:pos="4176"/>
          <w:tab w:val="left" w:pos="8240"/>
        </w:tabs>
        <w:spacing w:before="76"/>
        <w:rPr>
          <w:rFonts w:ascii="Book Antiqua" w:hAnsi="Book Antiqua"/>
          <w:b/>
          <w:bCs/>
          <w:sz w:val="26"/>
          <w:szCs w:val="26"/>
        </w:rPr>
      </w:pPr>
      <w:bookmarkStart w:name="A1812009_Agenda_Dec_A4NR_(P2)_IComp_PD" w:id="0"/>
      <w:bookmarkEnd w:id="0"/>
      <w:r w:rsidRPr="00D67E4F">
        <w:rPr>
          <w:rFonts w:ascii="Book Antiqua" w:hAnsi="Book Antiqua"/>
          <w:spacing w:val="-2"/>
          <w:sz w:val="26"/>
          <w:szCs w:val="26"/>
        </w:rPr>
        <w:t>ALJ/</w:t>
      </w:r>
      <w:r w:rsidR="00D73795">
        <w:rPr>
          <w:rFonts w:ascii="Book Antiqua" w:hAnsi="Book Antiqua"/>
          <w:spacing w:val="-2"/>
          <w:sz w:val="26"/>
          <w:szCs w:val="26"/>
        </w:rPr>
        <w:t>RWH</w:t>
      </w:r>
      <w:r w:rsidRPr="00D67E4F">
        <w:rPr>
          <w:rFonts w:ascii="Book Antiqua" w:hAnsi="Book Antiqua"/>
          <w:spacing w:val="-2"/>
          <w:sz w:val="26"/>
          <w:szCs w:val="26"/>
        </w:rPr>
        <w:t>/smt</w:t>
      </w:r>
      <w:r w:rsidRPr="00D67E4F">
        <w:rPr>
          <w:rFonts w:ascii="Book Antiqua" w:hAnsi="Book Antiqua"/>
          <w:sz w:val="26"/>
          <w:szCs w:val="26"/>
        </w:rPr>
        <w:t xml:space="preserve">     </w:t>
      </w:r>
      <w:r w:rsidRPr="00D67E4F" w:rsidR="00D67E4F">
        <w:rPr>
          <w:rFonts w:ascii="Book Antiqua" w:hAnsi="Book Antiqua"/>
          <w:sz w:val="26"/>
          <w:szCs w:val="26"/>
        </w:rPr>
        <w:t xml:space="preserve">       </w:t>
      </w:r>
      <w:r w:rsidR="00D73795">
        <w:rPr>
          <w:rFonts w:ascii="Book Antiqua" w:hAnsi="Book Antiqua"/>
          <w:sz w:val="26"/>
          <w:szCs w:val="26"/>
        </w:rPr>
        <w:t xml:space="preserve"> </w:t>
      </w:r>
      <w:r w:rsidR="00C516EF">
        <w:rPr>
          <w:rFonts w:ascii="Book Antiqua" w:hAnsi="Book Antiqua"/>
          <w:sz w:val="26"/>
          <w:szCs w:val="26"/>
        </w:rPr>
        <w:tab/>
        <w:t xml:space="preserve">                         </w:t>
      </w:r>
      <w:r w:rsidRPr="00C516EF" w:rsidR="00C516EF">
        <w:rPr>
          <w:rFonts w:ascii="Book Antiqua" w:hAnsi="Book Antiqua"/>
          <w:b/>
          <w:bCs/>
          <w:sz w:val="26"/>
          <w:szCs w:val="26"/>
        </w:rPr>
        <w:t>Date of Issuance 3/22/2023</w:t>
      </w:r>
    </w:p>
    <w:p w:rsidRPr="00C516EF" w:rsidR="00C516EF" w:rsidP="00C516EF" w:rsidRDefault="00C516EF" w14:paraId="7BBB1933" w14:textId="77777777">
      <w:pPr>
        <w:tabs>
          <w:tab w:val="left" w:pos="4176"/>
          <w:tab w:val="left" w:pos="8240"/>
        </w:tabs>
        <w:spacing w:before="76"/>
        <w:rPr>
          <w:b/>
          <w:bCs/>
          <w:sz w:val="26"/>
          <w:szCs w:val="26"/>
        </w:rPr>
      </w:pPr>
    </w:p>
    <w:p w:rsidRPr="00D67E4F" w:rsidR="00492C41" w:rsidRDefault="00492C41" w14:paraId="54B3684E" w14:textId="77777777">
      <w:pPr>
        <w:suppressAutoHyphens/>
        <w:rPr>
          <w:rFonts w:ascii="Book Antiqua" w:hAnsi="Book Antiqua"/>
          <w:color w:val="000000"/>
          <w:sz w:val="26"/>
          <w:szCs w:val="26"/>
        </w:rPr>
      </w:pPr>
    </w:p>
    <w:p w:rsidRPr="00D67E4F" w:rsidR="00A92D0B" w:rsidRDefault="00A92D0B" w14:paraId="5BDA9FD4" w14:textId="1F300238">
      <w:pPr>
        <w:suppressAutoHyphens/>
        <w:rPr>
          <w:rFonts w:ascii="Book Antiqua" w:hAnsi="Book Antiqua"/>
          <w:color w:val="000000"/>
          <w:sz w:val="26"/>
          <w:szCs w:val="26"/>
        </w:rPr>
      </w:pPr>
      <w:r w:rsidRPr="00D67E4F">
        <w:rPr>
          <w:rFonts w:ascii="Book Antiqua" w:hAnsi="Book Antiqua"/>
          <w:color w:val="000000"/>
          <w:sz w:val="26"/>
          <w:szCs w:val="26"/>
        </w:rPr>
        <w:t>Decis</w:t>
      </w:r>
      <w:r w:rsidR="00C516EF">
        <w:rPr>
          <w:rFonts w:ascii="Book Antiqua" w:hAnsi="Book Antiqua"/>
          <w:color w:val="000000"/>
          <w:sz w:val="26"/>
          <w:szCs w:val="26"/>
        </w:rPr>
        <w:t>ion 23-03-028  March 16, 2023</w:t>
      </w:r>
    </w:p>
    <w:p w:rsidRPr="007F620E" w:rsidR="00A92D0B" w:rsidRDefault="00A92D0B" w14:paraId="6D327C87" w14:textId="77777777">
      <w:pPr>
        <w:pStyle w:val="titlebar"/>
        <w:rPr>
          <w:rFonts w:ascii="Times New Roman" w:hAnsi="Times New Roman"/>
          <w:color w:val="000000"/>
          <w:sz w:val="24"/>
          <w:szCs w:val="24"/>
        </w:rPr>
      </w:pPr>
    </w:p>
    <w:p w:rsidRPr="007F620E" w:rsidR="00A92D0B" w:rsidRDefault="00A92D0B" w14:paraId="44E03231" w14:textId="77777777">
      <w:pPr>
        <w:pStyle w:val="titlebar"/>
        <w:rPr>
          <w:rFonts w:ascii="Times New Roman" w:hAnsi="Times New Roman"/>
          <w:color w:val="000000"/>
          <w:sz w:val="24"/>
          <w:szCs w:val="24"/>
        </w:rPr>
      </w:pPr>
    </w:p>
    <w:p w:rsidRPr="00492C41" w:rsidR="00A92D0B" w:rsidP="00765BA3" w:rsidRDefault="00A92D0B" w14:paraId="67F2520C" w14:textId="6C639215">
      <w:pPr>
        <w:pStyle w:val="titlebar"/>
        <w:tabs>
          <w:tab w:val="left" w:pos="720"/>
        </w:tabs>
        <w:ind w:left="270"/>
        <w:rPr>
          <w:rFonts w:ascii="Arial" w:hAnsi="Arial" w:cs="Arial"/>
          <w:color w:val="000000"/>
          <w:sz w:val="22"/>
          <w:szCs w:val="22"/>
        </w:rPr>
      </w:pPr>
      <w:r w:rsidRPr="00492C41">
        <w:rPr>
          <w:rFonts w:ascii="Arial" w:hAnsi="Arial" w:cs="Arial"/>
          <w:color w:val="000000"/>
          <w:sz w:val="22"/>
          <w:szCs w:val="22"/>
        </w:rPr>
        <w:t>BEFORE THE PUBLIC UTILITIES COMMISSION OF THE STATE OF CALIFORNIA</w:t>
      </w:r>
    </w:p>
    <w:tbl>
      <w:tblPr>
        <w:tblpPr w:leftFromText="180" w:rightFromText="180" w:vertAnchor="text" w:horzAnchor="margin" w:tblpX="-90" w:tblpY="194"/>
        <w:tblW w:w="9900" w:type="dxa"/>
        <w:tblLayout w:type="fixed"/>
        <w:tblCellMar>
          <w:left w:w="0" w:type="dxa"/>
          <w:right w:w="0" w:type="dxa"/>
        </w:tblCellMar>
        <w:tblLook w:val="01E0" w:firstRow="1" w:lastRow="1" w:firstColumn="1" w:lastColumn="1" w:noHBand="0" w:noVBand="0"/>
      </w:tblPr>
      <w:tblGrid>
        <w:gridCol w:w="5040"/>
        <w:gridCol w:w="4860"/>
      </w:tblGrid>
      <w:tr w:rsidRPr="00492C41" w:rsidR="00492C41" w:rsidTr="00E721FD" w14:paraId="58FB8DEF" w14:textId="77777777">
        <w:trPr>
          <w:trHeight w:val="1618"/>
        </w:trPr>
        <w:tc>
          <w:tcPr>
            <w:tcW w:w="5040" w:type="dxa"/>
            <w:tcBorders>
              <w:bottom w:val="single" w:color="000000" w:sz="8" w:space="0"/>
              <w:right w:val="single" w:color="000000" w:sz="8" w:space="0"/>
            </w:tcBorders>
          </w:tcPr>
          <w:p w:rsidRPr="00E721FD" w:rsidR="00E721FD" w:rsidP="00E721FD" w:rsidRDefault="00E721FD" w14:paraId="578E031A" w14:textId="5C6D739A">
            <w:pPr>
              <w:rPr>
                <w:rFonts w:ascii="Book Antiqua" w:hAnsi="Book Antiqua"/>
                <w:sz w:val="26"/>
                <w:szCs w:val="26"/>
              </w:rPr>
            </w:pPr>
            <w:r w:rsidRPr="00E721FD">
              <w:rPr>
                <w:rFonts w:ascii="Book Antiqua" w:hAnsi="Book Antiqua"/>
                <w:sz w:val="26"/>
                <w:szCs w:val="26"/>
              </w:rPr>
              <w:t xml:space="preserve">In the Matter of the Application of </w:t>
            </w:r>
            <w:r w:rsidR="0036677B">
              <w:rPr>
                <w:rFonts w:ascii="Book Antiqua" w:hAnsi="Book Antiqua"/>
                <w:sz w:val="26"/>
                <w:szCs w:val="26"/>
              </w:rPr>
              <w:br/>
            </w:r>
            <w:r w:rsidRPr="00E721FD">
              <w:rPr>
                <w:rFonts w:ascii="Book Antiqua" w:hAnsi="Book Antiqua"/>
                <w:sz w:val="26"/>
                <w:szCs w:val="26"/>
              </w:rPr>
              <w:t xml:space="preserve">Pacific Gas and Electric Company for </w:t>
            </w:r>
            <w:r w:rsidR="0036677B">
              <w:rPr>
                <w:rFonts w:ascii="Book Antiqua" w:hAnsi="Book Antiqua"/>
                <w:sz w:val="26"/>
                <w:szCs w:val="26"/>
              </w:rPr>
              <w:br/>
            </w:r>
            <w:r w:rsidRPr="00E721FD">
              <w:rPr>
                <w:rFonts w:ascii="Book Antiqua" w:hAnsi="Book Antiqua"/>
                <w:sz w:val="26"/>
                <w:szCs w:val="26"/>
              </w:rPr>
              <w:t xml:space="preserve">(1) Administration of Stress Test </w:t>
            </w:r>
            <w:r w:rsidR="0036677B">
              <w:rPr>
                <w:rFonts w:ascii="Book Antiqua" w:hAnsi="Book Antiqua"/>
                <w:sz w:val="26"/>
                <w:szCs w:val="26"/>
              </w:rPr>
              <w:br/>
            </w:r>
            <w:r w:rsidRPr="00E721FD">
              <w:rPr>
                <w:rFonts w:ascii="Book Antiqua" w:hAnsi="Book Antiqua"/>
                <w:sz w:val="26"/>
                <w:szCs w:val="26"/>
              </w:rPr>
              <w:t xml:space="preserve">Methodology Developed Pursuant to Public Utilities Code Section 451.2(b) and </w:t>
            </w:r>
            <w:r w:rsidR="004A727B">
              <w:rPr>
                <w:rFonts w:ascii="Book Antiqua" w:hAnsi="Book Antiqua"/>
                <w:sz w:val="26"/>
                <w:szCs w:val="26"/>
              </w:rPr>
              <w:br/>
            </w:r>
            <w:r w:rsidRPr="00E721FD">
              <w:rPr>
                <w:rFonts w:ascii="Book Antiqua" w:hAnsi="Book Antiqua"/>
                <w:sz w:val="26"/>
                <w:szCs w:val="26"/>
              </w:rPr>
              <w:t xml:space="preserve">(2) Determination That $7.5 Billion of </w:t>
            </w:r>
            <w:r w:rsidR="0036677B">
              <w:rPr>
                <w:rFonts w:ascii="Book Antiqua" w:hAnsi="Book Antiqua"/>
                <w:sz w:val="26"/>
                <w:szCs w:val="26"/>
              </w:rPr>
              <w:br/>
            </w:r>
            <w:r w:rsidRPr="00E721FD">
              <w:rPr>
                <w:rFonts w:ascii="Book Antiqua" w:hAnsi="Book Antiqua"/>
                <w:sz w:val="26"/>
                <w:szCs w:val="26"/>
              </w:rPr>
              <w:t>2017 Catastrophic Wildfire Costs and Expenses Are Stress Test Costs That May Be Financed Through Issuance of Recovery Bonds Pursuant to Section 451.2(c) and Section 850 et seq. (U39E)</w:t>
            </w:r>
          </w:p>
          <w:p w:rsidRPr="00492C41" w:rsidR="00492C41" w:rsidP="00765BA3" w:rsidRDefault="00492C41" w14:paraId="66594636" w14:textId="7875BAD9">
            <w:pPr>
              <w:pStyle w:val="TableParagraph"/>
              <w:spacing w:before="16" w:line="249" w:lineRule="auto"/>
              <w:ind w:left="102" w:right="222"/>
              <w:rPr>
                <w:rFonts w:ascii="Book Antiqua" w:hAnsi="Book Antiqua"/>
                <w:sz w:val="26"/>
                <w:szCs w:val="26"/>
              </w:rPr>
            </w:pPr>
          </w:p>
        </w:tc>
        <w:tc>
          <w:tcPr>
            <w:tcW w:w="4860" w:type="dxa"/>
            <w:tcBorders>
              <w:left w:val="single" w:color="000000" w:sz="8" w:space="0"/>
            </w:tcBorders>
          </w:tcPr>
          <w:p w:rsidRPr="00492C41" w:rsidR="00492C41" w:rsidP="00765BA3" w:rsidRDefault="00492C41" w14:paraId="09E77BEF" w14:textId="77777777">
            <w:pPr>
              <w:pStyle w:val="TableParagraph"/>
              <w:ind w:left="0"/>
              <w:rPr>
                <w:rFonts w:ascii="Book Antiqua" w:hAnsi="Book Antiqua"/>
                <w:sz w:val="26"/>
                <w:szCs w:val="26"/>
              </w:rPr>
            </w:pPr>
          </w:p>
          <w:p w:rsidRPr="00492C41" w:rsidR="00492C41" w:rsidP="00765BA3" w:rsidRDefault="00492C41" w14:paraId="108A2C09" w14:textId="77777777">
            <w:pPr>
              <w:pStyle w:val="TableParagraph"/>
              <w:spacing w:before="4"/>
              <w:ind w:left="0"/>
              <w:rPr>
                <w:rFonts w:ascii="Book Antiqua" w:hAnsi="Book Antiqua"/>
                <w:sz w:val="26"/>
                <w:szCs w:val="26"/>
              </w:rPr>
            </w:pPr>
          </w:p>
          <w:p w:rsidR="00E721FD" w:rsidP="00765BA3" w:rsidRDefault="00492C41" w14:paraId="6AB52A14" w14:textId="77777777">
            <w:pPr>
              <w:pStyle w:val="TableParagraph"/>
              <w:spacing w:before="1"/>
              <w:jc w:val="center"/>
              <w:rPr>
                <w:rFonts w:ascii="Book Antiqua" w:hAnsi="Book Antiqua"/>
                <w:sz w:val="26"/>
                <w:szCs w:val="26"/>
              </w:rPr>
            </w:pPr>
            <w:r>
              <w:rPr>
                <w:rFonts w:ascii="Book Antiqua" w:hAnsi="Book Antiqua"/>
                <w:sz w:val="26"/>
                <w:szCs w:val="26"/>
              </w:rPr>
              <w:t xml:space="preserve"> </w:t>
            </w:r>
          </w:p>
          <w:p w:rsidR="00E721FD" w:rsidP="00765BA3" w:rsidRDefault="00E721FD" w14:paraId="2A793343" w14:textId="77777777">
            <w:pPr>
              <w:pStyle w:val="TableParagraph"/>
              <w:spacing w:before="1"/>
              <w:jc w:val="center"/>
              <w:rPr>
                <w:rFonts w:ascii="Book Antiqua" w:hAnsi="Book Antiqua"/>
                <w:sz w:val="26"/>
                <w:szCs w:val="26"/>
              </w:rPr>
            </w:pPr>
          </w:p>
          <w:p w:rsidR="00E721FD" w:rsidP="00765BA3" w:rsidRDefault="00E721FD" w14:paraId="3948F2AB" w14:textId="77777777">
            <w:pPr>
              <w:pStyle w:val="TableParagraph"/>
              <w:spacing w:before="1"/>
              <w:jc w:val="center"/>
              <w:rPr>
                <w:rFonts w:ascii="Book Antiqua" w:hAnsi="Book Antiqua"/>
                <w:sz w:val="26"/>
                <w:szCs w:val="26"/>
              </w:rPr>
            </w:pPr>
          </w:p>
          <w:p w:rsidRPr="00492C41" w:rsidR="00492C41" w:rsidP="00765BA3" w:rsidRDefault="00492C41" w14:paraId="1FC80F31" w14:textId="6FE45350">
            <w:pPr>
              <w:pStyle w:val="TableParagraph"/>
              <w:spacing w:before="1"/>
              <w:jc w:val="center"/>
              <w:rPr>
                <w:rFonts w:ascii="Book Antiqua" w:hAnsi="Book Antiqua"/>
                <w:sz w:val="26"/>
                <w:szCs w:val="26"/>
              </w:rPr>
            </w:pPr>
            <w:r>
              <w:rPr>
                <w:rFonts w:ascii="Book Antiqua" w:hAnsi="Book Antiqua"/>
                <w:sz w:val="26"/>
                <w:szCs w:val="26"/>
              </w:rPr>
              <w:t xml:space="preserve">Application </w:t>
            </w:r>
            <w:r w:rsidR="00E721FD">
              <w:rPr>
                <w:rFonts w:ascii="Book Antiqua" w:hAnsi="Book Antiqua"/>
                <w:sz w:val="26"/>
                <w:szCs w:val="26"/>
              </w:rPr>
              <w:t>20-04-023</w:t>
            </w:r>
          </w:p>
        </w:tc>
      </w:tr>
    </w:tbl>
    <w:p w:rsidRPr="007F620E" w:rsidR="00952032" w:rsidP="00952032" w:rsidRDefault="00952032" w14:paraId="3CB65E00" w14:textId="77777777">
      <w:pPr>
        <w:rPr>
          <w:b/>
          <w:color w:val="000000"/>
        </w:rPr>
      </w:pPr>
    </w:p>
    <w:p w:rsidR="00D73795" w:rsidP="008711FE" w:rsidRDefault="00D73795" w14:paraId="2418D268" w14:textId="77777777">
      <w:pPr>
        <w:ind w:right="-720"/>
        <w:jc w:val="center"/>
        <w:rPr>
          <w:b/>
        </w:rPr>
      </w:pPr>
    </w:p>
    <w:p w:rsidRPr="00D73795" w:rsidR="00D73795" w:rsidP="00D73795" w:rsidRDefault="00D73795" w14:paraId="41702CAE" w14:textId="5D075118">
      <w:pPr>
        <w:jc w:val="center"/>
        <w:rPr>
          <w:b/>
        </w:rPr>
      </w:pPr>
      <w:r w:rsidRPr="00D73795">
        <w:rPr>
          <w:b/>
        </w:rPr>
        <w:t xml:space="preserve">DECISION GRANTING COMPENSATION TO AGRICULTURAL </w:t>
      </w:r>
      <w:r>
        <w:rPr>
          <w:b/>
        </w:rPr>
        <w:br/>
      </w:r>
      <w:r w:rsidRPr="00D73795">
        <w:rPr>
          <w:b/>
        </w:rPr>
        <w:t>ENERGY CONSUMERS ASSOCIATION</w:t>
      </w:r>
      <w:r>
        <w:rPr>
          <w:b/>
        </w:rPr>
        <w:t xml:space="preserve"> FOR SUBSTANTIAL</w:t>
      </w:r>
    </w:p>
    <w:p w:rsidRPr="00D73795" w:rsidR="00D73795" w:rsidP="00D73795" w:rsidRDefault="00D73795" w14:paraId="076EDA11" w14:textId="7CBEFBF4">
      <w:pPr>
        <w:jc w:val="center"/>
        <w:rPr>
          <w:b/>
          <w:shd w:val="clear" w:color="auto" w:fill="CCFFCC"/>
        </w:rPr>
      </w:pPr>
      <w:r w:rsidRPr="00D73795">
        <w:rPr>
          <w:b/>
        </w:rPr>
        <w:t>CONTRIBUTION TO DECISION 21-04-030</w:t>
      </w:r>
    </w:p>
    <w:p w:rsidRPr="00D73795" w:rsidR="00D73795" w:rsidP="00D73795" w:rsidRDefault="00D73795" w14:paraId="08A866F4" w14:textId="77777777">
      <w:pPr>
        <w:suppressAutoHyphens/>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45"/>
        <w:gridCol w:w="4883"/>
      </w:tblGrid>
      <w:tr w:rsidRPr="00D73795" w:rsidR="00D73795" w:rsidTr="00D73795" w14:paraId="5620FCC0" w14:textId="77777777">
        <w:tc>
          <w:tcPr>
            <w:tcW w:w="4945" w:type="dxa"/>
            <w:shd w:val="clear" w:color="auto" w:fill="auto"/>
          </w:tcPr>
          <w:p w:rsidRPr="00D73795" w:rsidR="00D73795" w:rsidP="00D73795" w:rsidRDefault="00D73795" w14:paraId="3F82484D" w14:textId="2DF78370">
            <w:pPr>
              <w:tabs>
                <w:tab w:val="left" w:pos="1620"/>
                <w:tab w:val="right" w:pos="4500"/>
              </w:tabs>
              <w:spacing w:before="120"/>
              <w:rPr>
                <w:color w:val="000000"/>
              </w:rPr>
            </w:pPr>
            <w:r w:rsidRPr="00D73795">
              <w:rPr>
                <w:b/>
                <w:color w:val="000000"/>
              </w:rPr>
              <w:t xml:space="preserve">Intervenor: </w:t>
            </w:r>
            <w:bookmarkStart w:name="_Hlk114649132" w:id="1"/>
            <w:r>
              <w:rPr>
                <w:b/>
                <w:color w:val="000000"/>
              </w:rPr>
              <w:t xml:space="preserve"> </w:t>
            </w:r>
            <w:r w:rsidRPr="00D73795">
              <w:rPr>
                <w:bCs/>
                <w:color w:val="000000"/>
              </w:rPr>
              <w:t>Agricultural Energy Consumers Association</w:t>
            </w:r>
            <w:bookmarkEnd w:id="1"/>
          </w:p>
        </w:tc>
        <w:tc>
          <w:tcPr>
            <w:tcW w:w="4883" w:type="dxa"/>
            <w:shd w:val="clear" w:color="auto" w:fill="auto"/>
          </w:tcPr>
          <w:p w:rsidRPr="00D73795" w:rsidR="00D73795" w:rsidP="00D73795" w:rsidRDefault="00D73795" w14:paraId="041C8B84" w14:textId="77777777">
            <w:pPr>
              <w:tabs>
                <w:tab w:val="left" w:pos="1872"/>
                <w:tab w:val="right" w:pos="3672"/>
              </w:tabs>
              <w:spacing w:before="120"/>
              <w:rPr>
                <w:b/>
                <w:color w:val="000000"/>
              </w:rPr>
            </w:pPr>
            <w:r w:rsidRPr="00D73795">
              <w:rPr>
                <w:b/>
                <w:color w:val="000000"/>
              </w:rPr>
              <w:t xml:space="preserve">For contribution to Decision (D.) </w:t>
            </w:r>
            <w:r w:rsidRPr="00D73795">
              <w:rPr>
                <w:b/>
                <w:bCs/>
                <w:color w:val="000000"/>
              </w:rPr>
              <w:t>21-04-030</w:t>
            </w:r>
          </w:p>
        </w:tc>
      </w:tr>
      <w:tr w:rsidRPr="00D73795" w:rsidR="00D73795" w:rsidTr="00D73795" w14:paraId="3F5FC609" w14:textId="77777777">
        <w:tc>
          <w:tcPr>
            <w:tcW w:w="4945" w:type="dxa"/>
            <w:shd w:val="clear" w:color="auto" w:fill="auto"/>
          </w:tcPr>
          <w:p w:rsidRPr="00D73795" w:rsidR="00D73795" w:rsidP="00D73795" w:rsidRDefault="00D73795" w14:paraId="4A8D3BA0" w14:textId="77777777">
            <w:pPr>
              <w:tabs>
                <w:tab w:val="left" w:pos="1620"/>
                <w:tab w:val="right" w:pos="4500"/>
              </w:tabs>
              <w:spacing w:before="120"/>
              <w:rPr>
                <w:b/>
                <w:color w:val="000000"/>
                <w:u w:val="single"/>
              </w:rPr>
            </w:pPr>
            <w:r w:rsidRPr="00D73795">
              <w:rPr>
                <w:b/>
                <w:color w:val="000000"/>
              </w:rPr>
              <w:t xml:space="preserve">Claimed:  </w:t>
            </w:r>
            <w:r w:rsidRPr="00D73795">
              <w:rPr>
                <w:bCs/>
                <w:color w:val="000000"/>
              </w:rPr>
              <w:t>$ 20,740.80 [2]</w:t>
            </w:r>
          </w:p>
        </w:tc>
        <w:tc>
          <w:tcPr>
            <w:tcW w:w="4883" w:type="dxa"/>
            <w:tcBorders>
              <w:bottom w:val="single" w:color="auto" w:sz="4" w:space="0"/>
            </w:tcBorders>
            <w:shd w:val="clear" w:color="auto" w:fill="auto"/>
          </w:tcPr>
          <w:p w:rsidRPr="00D73795" w:rsidR="00D73795" w:rsidP="00D73795" w:rsidRDefault="00D73795" w14:paraId="273535DA" w14:textId="77777777">
            <w:pPr>
              <w:tabs>
                <w:tab w:val="left" w:pos="1872"/>
                <w:tab w:val="right" w:pos="3672"/>
              </w:tabs>
              <w:spacing w:before="120"/>
              <w:rPr>
                <w:b/>
                <w:color w:val="000000"/>
                <w:u w:val="single"/>
              </w:rPr>
            </w:pPr>
            <w:r w:rsidRPr="00D73795">
              <w:rPr>
                <w:b/>
                <w:color w:val="000000"/>
              </w:rPr>
              <w:t xml:space="preserve">Awarded:  </w:t>
            </w:r>
            <w:r w:rsidRPr="00D73795">
              <w:rPr>
                <w:bCs/>
                <w:color w:val="000000"/>
              </w:rPr>
              <w:t>$27,328.50</w:t>
            </w:r>
          </w:p>
        </w:tc>
      </w:tr>
      <w:tr w:rsidRPr="00D73795" w:rsidR="00D73795" w:rsidTr="00D73795" w14:paraId="0B2E21C8" w14:textId="77777777">
        <w:tc>
          <w:tcPr>
            <w:tcW w:w="4945" w:type="dxa"/>
            <w:shd w:val="clear" w:color="auto" w:fill="auto"/>
          </w:tcPr>
          <w:p w:rsidRPr="00D73795" w:rsidR="00D73795" w:rsidP="00D73795" w:rsidRDefault="00D73795" w14:paraId="583D18F1" w14:textId="0113D37F">
            <w:pPr>
              <w:tabs>
                <w:tab w:val="left" w:pos="3060"/>
                <w:tab w:val="right" w:pos="4500"/>
              </w:tabs>
              <w:spacing w:before="120" w:after="120"/>
              <w:rPr>
                <w:color w:val="000000"/>
                <w:u w:val="single"/>
              </w:rPr>
            </w:pPr>
            <w:r w:rsidRPr="00D73795">
              <w:rPr>
                <w:b/>
                <w:color w:val="000000"/>
              </w:rPr>
              <w:t xml:space="preserve">Assigned Commissioner: </w:t>
            </w:r>
            <w:r>
              <w:rPr>
                <w:b/>
                <w:color w:val="000000"/>
              </w:rPr>
              <w:t xml:space="preserve"> </w:t>
            </w:r>
            <w:r w:rsidRPr="00D73795">
              <w:rPr>
                <w:bCs/>
                <w:color w:val="000000"/>
              </w:rPr>
              <w:t>Alice Reynolds</w:t>
            </w:r>
            <w:r w:rsidRPr="00D73795">
              <w:rPr>
                <w:bCs/>
                <w:color w:val="000000"/>
                <w:vertAlign w:val="superscript"/>
              </w:rPr>
              <w:footnoteReference w:id="1"/>
            </w:r>
          </w:p>
        </w:tc>
        <w:tc>
          <w:tcPr>
            <w:tcW w:w="4883" w:type="dxa"/>
            <w:shd w:val="clear" w:color="auto" w:fill="auto"/>
          </w:tcPr>
          <w:p w:rsidRPr="00D73795" w:rsidR="00D73795" w:rsidP="00D73795" w:rsidRDefault="00D73795" w14:paraId="3AF2AEF1" w14:textId="6EC47044">
            <w:pPr>
              <w:tabs>
                <w:tab w:val="left" w:pos="1872"/>
                <w:tab w:val="right" w:pos="3672"/>
              </w:tabs>
              <w:spacing w:before="120" w:after="120"/>
              <w:rPr>
                <w:color w:val="000000"/>
                <w:u w:val="single"/>
              </w:rPr>
            </w:pPr>
            <w:r w:rsidRPr="00D73795">
              <w:rPr>
                <w:b/>
                <w:color w:val="000000"/>
              </w:rPr>
              <w:t xml:space="preserve">Assigned ALJ: </w:t>
            </w:r>
            <w:r>
              <w:rPr>
                <w:b/>
                <w:color w:val="000000"/>
              </w:rPr>
              <w:t xml:space="preserve"> </w:t>
            </w:r>
            <w:r w:rsidRPr="00D73795">
              <w:rPr>
                <w:bCs/>
                <w:color w:val="000000"/>
              </w:rPr>
              <w:t>Robert Haga</w:t>
            </w:r>
          </w:p>
        </w:tc>
      </w:tr>
    </w:tbl>
    <w:p w:rsidRPr="00D73795" w:rsidR="00D73795" w:rsidP="00D73795" w:rsidRDefault="00D73795" w14:paraId="03D29B0D" w14:textId="77777777">
      <w:pPr>
        <w:rPr>
          <w:color w:val="000000"/>
        </w:rPr>
      </w:pPr>
    </w:p>
    <w:p w:rsidRPr="00D73795" w:rsidR="00D73795" w:rsidP="00D73795" w:rsidRDefault="00D73795" w14:paraId="4192E756" w14:textId="77777777">
      <w:pPr>
        <w:jc w:val="center"/>
        <w:rPr>
          <w:b/>
          <w:color w:val="000000"/>
        </w:rPr>
      </w:pPr>
      <w:r w:rsidRPr="00D73795">
        <w:rPr>
          <w:b/>
          <w:color w:val="000000"/>
        </w:rPr>
        <w:t>PART I:  PROCEDURAL ISSUES</w:t>
      </w:r>
    </w:p>
    <w:p w:rsidRPr="00D73795" w:rsidR="00D73795" w:rsidP="00D73795" w:rsidRDefault="00D73795" w14:paraId="3BC1AF20" w14:textId="77777777">
      <w:pPr>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6120"/>
      </w:tblGrid>
      <w:tr w:rsidRPr="00D73795" w:rsidR="00D73795" w:rsidTr="00355A28" w14:paraId="079A5F13" w14:textId="77777777">
        <w:tc>
          <w:tcPr>
            <w:tcW w:w="3708" w:type="dxa"/>
            <w:shd w:val="clear" w:color="auto" w:fill="auto"/>
          </w:tcPr>
          <w:p w:rsidRPr="00D73795" w:rsidR="00D73795" w:rsidP="00D73795" w:rsidRDefault="00D73795" w14:paraId="10683326" w14:textId="77777777">
            <w:pPr>
              <w:rPr>
                <w:b/>
                <w:color w:val="000000"/>
              </w:rPr>
            </w:pPr>
            <w:r w:rsidRPr="00D73795">
              <w:rPr>
                <w:b/>
                <w:color w:val="000000"/>
              </w:rPr>
              <w:t xml:space="preserve">A.  Brief description of Decision: </w:t>
            </w:r>
          </w:p>
        </w:tc>
        <w:tc>
          <w:tcPr>
            <w:tcW w:w="6120" w:type="dxa"/>
            <w:shd w:val="clear" w:color="auto" w:fill="auto"/>
          </w:tcPr>
          <w:p w:rsidRPr="00D73795" w:rsidR="00D73795" w:rsidP="00D73795" w:rsidRDefault="00D73795" w14:paraId="087EE817" w14:textId="5313C84A">
            <w:pPr>
              <w:rPr>
                <w:color w:val="000000"/>
              </w:rPr>
            </w:pPr>
            <w:r w:rsidRPr="00D73795">
              <w:rPr>
                <w:color w:val="000000"/>
              </w:rPr>
              <w:t xml:space="preserve">D.21-04-030 determines that Pacific Gas and Electric Company (PG&amp;E) satisfies the Stress Test Methodology created pursuant to Public Utilities </w:t>
            </w:r>
            <w:r w:rsidR="006A6523">
              <w:rPr>
                <w:color w:val="000000"/>
              </w:rPr>
              <w:t xml:space="preserve">(Pub. Util.) </w:t>
            </w:r>
            <w:r w:rsidRPr="00D73795">
              <w:rPr>
                <w:color w:val="000000"/>
              </w:rPr>
              <w:t>Code Section 451.2(b) and that $7.5 billion of 2017 catastrophic wildfire costs and expenses are Stress Test Costs that may be financed through the issuance of recovery bonds pursuant to Pub</w:t>
            </w:r>
            <w:r w:rsidR="006A6523">
              <w:rPr>
                <w:color w:val="000000"/>
              </w:rPr>
              <w:t>. Util.</w:t>
            </w:r>
            <w:r w:rsidRPr="00D73795">
              <w:rPr>
                <w:color w:val="000000"/>
              </w:rPr>
              <w:t xml:space="preserve"> Code Sections 850 </w:t>
            </w:r>
            <w:r w:rsidRPr="00D73795">
              <w:rPr>
                <w:i/>
                <w:iCs/>
                <w:color w:val="000000"/>
              </w:rPr>
              <w:t>et. seq.</w:t>
            </w:r>
            <w:r w:rsidRPr="00D73795">
              <w:rPr>
                <w:color w:val="000000"/>
              </w:rPr>
              <w:t xml:space="preserve"> </w:t>
            </w:r>
          </w:p>
        </w:tc>
      </w:tr>
    </w:tbl>
    <w:p w:rsidRPr="00D73795" w:rsidR="00D73795" w:rsidP="00D73795" w:rsidRDefault="00D73795" w14:paraId="0FE68DA8" w14:textId="77777777">
      <w:pPr>
        <w:numPr>
          <w:ilvl w:val="0"/>
          <w:numId w:val="5"/>
        </w:numPr>
        <w:rPr>
          <w:b/>
          <w:color w:val="000000"/>
        </w:rPr>
      </w:pPr>
      <w:r w:rsidRPr="00D73795">
        <w:rPr>
          <w:b/>
          <w:color w:val="000000"/>
        </w:rPr>
        <w:lastRenderedPageBreak/>
        <w:t>Intervenor must satisfy intervenor compensation requirements set forth in Pub. Util. Code §§ 1801-1812</w:t>
      </w:r>
      <w:r w:rsidRPr="00D73795">
        <w:rPr>
          <w:b/>
          <w:color w:val="000000"/>
          <w:vertAlign w:val="superscript"/>
        </w:rPr>
        <w:footnoteReference w:id="2"/>
      </w:r>
      <w:r w:rsidRPr="00D73795">
        <w:rPr>
          <w:b/>
          <w:color w:val="000000"/>
        </w:rPr>
        <w:t>:</w:t>
      </w:r>
    </w:p>
    <w:p w:rsidRPr="00D73795" w:rsidR="00D73795" w:rsidP="00D73795" w:rsidRDefault="00D73795" w14:paraId="1AD510D1" w14:textId="77777777">
      <w:pPr>
        <w:tabs>
          <w:tab w:val="left" w:pos="360"/>
        </w:tabs>
        <w:rPr>
          <w:color w:val="000000"/>
        </w:rPr>
      </w:pP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340"/>
        <w:gridCol w:w="2340"/>
      </w:tblGrid>
      <w:tr w:rsidRPr="00D73795" w:rsidR="00D73795" w:rsidTr="00355A28" w14:paraId="65F2B8E5" w14:textId="77777777">
        <w:tc>
          <w:tcPr>
            <w:tcW w:w="5040" w:type="dxa"/>
            <w:tcBorders>
              <w:bottom w:val="single" w:color="auto" w:sz="4" w:space="0"/>
            </w:tcBorders>
            <w:shd w:val="clear" w:color="auto" w:fill="auto"/>
          </w:tcPr>
          <w:p w:rsidRPr="00D73795" w:rsidR="00D73795" w:rsidP="00D73795" w:rsidRDefault="00D73795" w14:paraId="7AF2F0E6" w14:textId="77777777">
            <w:pPr>
              <w:tabs>
                <w:tab w:val="left" w:pos="360"/>
              </w:tabs>
              <w:spacing w:before="120"/>
              <w:jc w:val="center"/>
              <w:rPr>
                <w:color w:val="000000"/>
              </w:rPr>
            </w:pPr>
          </w:p>
        </w:tc>
        <w:tc>
          <w:tcPr>
            <w:tcW w:w="2340" w:type="dxa"/>
            <w:tcBorders>
              <w:bottom w:val="single" w:color="auto" w:sz="4" w:space="0"/>
            </w:tcBorders>
            <w:shd w:val="clear" w:color="auto" w:fill="auto"/>
          </w:tcPr>
          <w:p w:rsidRPr="00D73795" w:rsidR="00D73795" w:rsidP="00D73795" w:rsidRDefault="00D73795" w14:paraId="551092A0" w14:textId="77777777">
            <w:pPr>
              <w:tabs>
                <w:tab w:val="left" w:pos="360"/>
              </w:tabs>
              <w:spacing w:before="120"/>
              <w:jc w:val="center"/>
              <w:rPr>
                <w:b/>
                <w:color w:val="000000"/>
              </w:rPr>
            </w:pPr>
            <w:r w:rsidRPr="00D73795">
              <w:rPr>
                <w:b/>
                <w:color w:val="000000"/>
              </w:rPr>
              <w:t>Intervenor</w:t>
            </w:r>
          </w:p>
        </w:tc>
        <w:tc>
          <w:tcPr>
            <w:tcW w:w="2340" w:type="dxa"/>
            <w:tcBorders>
              <w:bottom w:val="single" w:color="auto" w:sz="4" w:space="0"/>
            </w:tcBorders>
            <w:shd w:val="clear" w:color="auto" w:fill="auto"/>
          </w:tcPr>
          <w:p w:rsidRPr="00D73795" w:rsidR="00D73795" w:rsidP="00D73795" w:rsidRDefault="00D73795" w14:paraId="77D5F3B1" w14:textId="77777777">
            <w:pPr>
              <w:tabs>
                <w:tab w:val="left" w:pos="360"/>
              </w:tabs>
              <w:spacing w:before="120"/>
              <w:jc w:val="center"/>
              <w:rPr>
                <w:b/>
                <w:color w:val="000000"/>
              </w:rPr>
            </w:pPr>
            <w:r w:rsidRPr="00D73795">
              <w:rPr>
                <w:b/>
                <w:color w:val="000000"/>
              </w:rPr>
              <w:t>CPUC Verification</w:t>
            </w:r>
          </w:p>
        </w:tc>
      </w:tr>
      <w:tr w:rsidRPr="00D73795" w:rsidR="00D73795" w:rsidTr="00355A28" w14:paraId="05CB643B"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73795" w:rsidR="00D73795" w:rsidP="00D73795" w:rsidRDefault="00D73795" w14:paraId="2BAC231A" w14:textId="77777777">
            <w:pPr>
              <w:tabs>
                <w:tab w:val="left" w:pos="360"/>
              </w:tabs>
              <w:spacing w:before="60"/>
              <w:jc w:val="center"/>
              <w:rPr>
                <w:b/>
              </w:rPr>
            </w:pPr>
            <w:r w:rsidRPr="00D73795">
              <w:rPr>
                <w:b/>
              </w:rPr>
              <w:t>Timely filing of notice of intent to claim compensation (NOI) (§ 1804(a)):</w:t>
            </w:r>
          </w:p>
        </w:tc>
      </w:tr>
      <w:tr w:rsidRPr="00D73795" w:rsidR="00D73795" w:rsidTr="00355A28" w14:paraId="403C7F71" w14:textId="77777777">
        <w:tc>
          <w:tcPr>
            <w:tcW w:w="5040" w:type="dxa"/>
            <w:tcBorders>
              <w:top w:val="single" w:color="auto" w:sz="4" w:space="0"/>
            </w:tcBorders>
            <w:shd w:val="clear" w:color="auto" w:fill="auto"/>
          </w:tcPr>
          <w:p w:rsidRPr="00D73795" w:rsidR="00D73795" w:rsidP="00D73795" w:rsidRDefault="00D73795" w14:paraId="66D0DF5B" w14:textId="183C4439">
            <w:pPr>
              <w:tabs>
                <w:tab w:val="left" w:pos="360"/>
              </w:tabs>
              <w:spacing w:before="120"/>
              <w:ind w:left="360" w:hanging="360"/>
              <w:rPr>
                <w:color w:val="000000"/>
              </w:rPr>
            </w:pPr>
            <w:r w:rsidRPr="00D73795">
              <w:rPr>
                <w:color w:val="000000"/>
              </w:rPr>
              <w:t xml:space="preserve"> 1.  Date of </w:t>
            </w:r>
            <w:r w:rsidR="006A6523">
              <w:rPr>
                <w:color w:val="000000"/>
              </w:rPr>
              <w:t>p</w:t>
            </w:r>
            <w:r w:rsidRPr="00D73795">
              <w:rPr>
                <w:color w:val="000000"/>
              </w:rPr>
              <w:t xml:space="preserve">rehearing </w:t>
            </w:r>
            <w:r w:rsidR="006A6523">
              <w:rPr>
                <w:color w:val="000000"/>
              </w:rPr>
              <w:t>c</w:t>
            </w:r>
            <w:r w:rsidRPr="00D73795">
              <w:rPr>
                <w:color w:val="000000"/>
              </w:rPr>
              <w:t>onference:</w:t>
            </w:r>
          </w:p>
        </w:tc>
        <w:tc>
          <w:tcPr>
            <w:tcW w:w="2340" w:type="dxa"/>
            <w:tcBorders>
              <w:top w:val="single" w:color="auto" w:sz="4" w:space="0"/>
            </w:tcBorders>
            <w:shd w:val="clear" w:color="auto" w:fill="auto"/>
          </w:tcPr>
          <w:p w:rsidRPr="00D73795" w:rsidR="00D73795" w:rsidP="006A6523" w:rsidRDefault="00D73795" w14:paraId="7615A18A" w14:textId="77777777">
            <w:pPr>
              <w:keepNext/>
              <w:keepLines/>
              <w:tabs>
                <w:tab w:val="left" w:pos="360"/>
              </w:tabs>
              <w:spacing w:before="120"/>
              <w:ind w:left="360" w:hanging="360"/>
              <w:jc w:val="center"/>
              <w:rPr>
                <w:color w:val="000000"/>
              </w:rPr>
            </w:pPr>
            <w:r w:rsidRPr="00D73795">
              <w:rPr>
                <w:color w:val="000000"/>
              </w:rPr>
              <w:t>June 18, 2020</w:t>
            </w:r>
          </w:p>
        </w:tc>
        <w:tc>
          <w:tcPr>
            <w:tcW w:w="2340" w:type="dxa"/>
            <w:tcBorders>
              <w:top w:val="single" w:color="auto" w:sz="4" w:space="0"/>
            </w:tcBorders>
            <w:shd w:val="clear" w:color="auto" w:fill="auto"/>
          </w:tcPr>
          <w:p w:rsidRPr="00D73795" w:rsidR="00D73795" w:rsidP="006A6523" w:rsidRDefault="00D73795" w14:paraId="36E31229" w14:textId="77777777">
            <w:pPr>
              <w:tabs>
                <w:tab w:val="left" w:pos="360"/>
              </w:tabs>
              <w:spacing w:before="120"/>
              <w:jc w:val="center"/>
              <w:rPr>
                <w:color w:val="000000"/>
              </w:rPr>
            </w:pPr>
            <w:r w:rsidRPr="00D73795">
              <w:rPr>
                <w:color w:val="000000"/>
              </w:rPr>
              <w:t>Verified</w:t>
            </w:r>
          </w:p>
        </w:tc>
      </w:tr>
      <w:tr w:rsidRPr="00D73795" w:rsidR="00D73795" w:rsidTr="00355A28" w14:paraId="4C5E224C" w14:textId="77777777">
        <w:tc>
          <w:tcPr>
            <w:tcW w:w="5040" w:type="dxa"/>
            <w:shd w:val="clear" w:color="auto" w:fill="auto"/>
          </w:tcPr>
          <w:p w:rsidRPr="00D73795" w:rsidR="00D73795" w:rsidP="00D73795" w:rsidRDefault="00D73795" w14:paraId="6BF1F601" w14:textId="77777777">
            <w:pPr>
              <w:tabs>
                <w:tab w:val="left" w:pos="360"/>
              </w:tabs>
              <w:spacing w:before="120"/>
              <w:ind w:left="360" w:hanging="360"/>
              <w:rPr>
                <w:color w:val="000000"/>
              </w:rPr>
            </w:pPr>
            <w:r w:rsidRPr="00D73795">
              <w:rPr>
                <w:color w:val="000000"/>
              </w:rPr>
              <w:t xml:space="preserve"> 2.  Other specified date for NOI:</w:t>
            </w:r>
          </w:p>
        </w:tc>
        <w:tc>
          <w:tcPr>
            <w:tcW w:w="2340" w:type="dxa"/>
            <w:shd w:val="clear" w:color="auto" w:fill="auto"/>
          </w:tcPr>
          <w:p w:rsidRPr="00D73795" w:rsidR="00D73795" w:rsidP="006A6523" w:rsidRDefault="00D73795" w14:paraId="3C776A0B" w14:textId="77777777">
            <w:pPr>
              <w:keepNext/>
              <w:keepLines/>
              <w:tabs>
                <w:tab w:val="left" w:pos="360"/>
              </w:tabs>
              <w:spacing w:before="120"/>
              <w:ind w:left="360" w:hanging="360"/>
              <w:jc w:val="center"/>
              <w:rPr>
                <w:color w:val="000000"/>
              </w:rPr>
            </w:pPr>
          </w:p>
        </w:tc>
        <w:tc>
          <w:tcPr>
            <w:tcW w:w="2340" w:type="dxa"/>
            <w:shd w:val="clear" w:color="auto" w:fill="auto"/>
          </w:tcPr>
          <w:p w:rsidRPr="00D73795" w:rsidR="00D73795" w:rsidP="006A6523" w:rsidRDefault="00D73795" w14:paraId="4C2BEE34" w14:textId="77777777">
            <w:pPr>
              <w:tabs>
                <w:tab w:val="left" w:pos="360"/>
              </w:tabs>
              <w:spacing w:before="120"/>
              <w:jc w:val="center"/>
              <w:rPr>
                <w:color w:val="000000"/>
              </w:rPr>
            </w:pPr>
          </w:p>
        </w:tc>
      </w:tr>
      <w:tr w:rsidRPr="00D73795" w:rsidR="00D73795" w:rsidTr="00355A28" w14:paraId="303E56A3" w14:textId="77777777">
        <w:tc>
          <w:tcPr>
            <w:tcW w:w="5040" w:type="dxa"/>
            <w:shd w:val="clear" w:color="auto" w:fill="auto"/>
          </w:tcPr>
          <w:p w:rsidRPr="00D73795" w:rsidR="00D73795" w:rsidP="00D73795" w:rsidRDefault="00D73795" w14:paraId="52569C8B" w14:textId="77777777">
            <w:pPr>
              <w:tabs>
                <w:tab w:val="left" w:pos="360"/>
              </w:tabs>
              <w:spacing w:before="120"/>
              <w:ind w:left="360" w:hanging="360"/>
              <w:rPr>
                <w:color w:val="000000"/>
              </w:rPr>
            </w:pPr>
            <w:r w:rsidRPr="00D73795">
              <w:rPr>
                <w:color w:val="000000"/>
              </w:rPr>
              <w:t xml:space="preserve"> 3.  Date NOI filed:</w:t>
            </w:r>
          </w:p>
        </w:tc>
        <w:tc>
          <w:tcPr>
            <w:tcW w:w="2340" w:type="dxa"/>
            <w:tcBorders>
              <w:bottom w:val="single" w:color="auto" w:sz="4" w:space="0"/>
            </w:tcBorders>
            <w:shd w:val="clear" w:color="auto" w:fill="auto"/>
          </w:tcPr>
          <w:p w:rsidRPr="00D73795" w:rsidR="00D73795" w:rsidP="006A6523" w:rsidRDefault="00D73795" w14:paraId="5FC05FA7" w14:textId="77777777">
            <w:pPr>
              <w:keepNext/>
              <w:keepLines/>
              <w:tabs>
                <w:tab w:val="left" w:pos="360"/>
              </w:tabs>
              <w:spacing w:before="120"/>
              <w:ind w:left="360" w:hanging="360"/>
              <w:jc w:val="center"/>
              <w:rPr>
                <w:color w:val="000000"/>
              </w:rPr>
            </w:pPr>
            <w:r w:rsidRPr="00D73795">
              <w:rPr>
                <w:color w:val="000000"/>
              </w:rPr>
              <w:t>July 17, 2020</w:t>
            </w:r>
          </w:p>
        </w:tc>
        <w:tc>
          <w:tcPr>
            <w:tcW w:w="2340" w:type="dxa"/>
            <w:tcBorders>
              <w:bottom w:val="single" w:color="auto" w:sz="4" w:space="0"/>
            </w:tcBorders>
            <w:shd w:val="clear" w:color="auto" w:fill="auto"/>
          </w:tcPr>
          <w:p w:rsidRPr="00D73795" w:rsidR="00D73795" w:rsidP="006A6523" w:rsidRDefault="00D73795" w14:paraId="72227DBB" w14:textId="77777777">
            <w:pPr>
              <w:tabs>
                <w:tab w:val="left" w:pos="360"/>
              </w:tabs>
              <w:spacing w:before="120"/>
              <w:jc w:val="center"/>
              <w:rPr>
                <w:color w:val="000000"/>
              </w:rPr>
            </w:pPr>
            <w:r w:rsidRPr="00D73795">
              <w:rPr>
                <w:color w:val="000000"/>
              </w:rPr>
              <w:t>Verified</w:t>
            </w:r>
          </w:p>
        </w:tc>
      </w:tr>
      <w:tr w:rsidRPr="00D73795" w:rsidR="00D73795" w:rsidTr="00355A28" w14:paraId="15974CFB" w14:textId="77777777">
        <w:tc>
          <w:tcPr>
            <w:tcW w:w="7380" w:type="dxa"/>
            <w:gridSpan w:val="2"/>
            <w:tcBorders>
              <w:bottom w:val="single" w:color="auto" w:sz="4" w:space="0"/>
            </w:tcBorders>
            <w:shd w:val="clear" w:color="auto" w:fill="auto"/>
          </w:tcPr>
          <w:p w:rsidRPr="00D73795" w:rsidR="00D73795" w:rsidP="00D73795" w:rsidRDefault="00D73795" w14:paraId="628E6DAD" w14:textId="77777777">
            <w:pPr>
              <w:tabs>
                <w:tab w:val="left" w:pos="360"/>
              </w:tabs>
              <w:spacing w:before="120"/>
              <w:ind w:left="360" w:hanging="360"/>
              <w:rPr>
                <w:color w:val="000000"/>
              </w:rPr>
            </w:pPr>
            <w:r w:rsidRPr="00D73795">
              <w:rPr>
                <w:color w:val="000000"/>
              </w:rPr>
              <w:t xml:space="preserve"> 4.  Was the NOI timely filed?</w:t>
            </w:r>
          </w:p>
        </w:tc>
        <w:tc>
          <w:tcPr>
            <w:tcW w:w="2340" w:type="dxa"/>
            <w:tcBorders>
              <w:bottom w:val="single" w:color="auto" w:sz="4" w:space="0"/>
            </w:tcBorders>
            <w:shd w:val="clear" w:color="auto" w:fill="auto"/>
          </w:tcPr>
          <w:p w:rsidRPr="00D73795" w:rsidR="00D73795" w:rsidP="006A6523" w:rsidRDefault="00D73795" w14:paraId="0D12641C" w14:textId="77777777">
            <w:pPr>
              <w:tabs>
                <w:tab w:val="left" w:pos="360"/>
              </w:tabs>
              <w:spacing w:before="120"/>
              <w:jc w:val="center"/>
              <w:rPr>
                <w:color w:val="000000"/>
              </w:rPr>
            </w:pPr>
            <w:r w:rsidRPr="00D73795">
              <w:rPr>
                <w:color w:val="000000"/>
              </w:rPr>
              <w:t>Yes</w:t>
            </w:r>
          </w:p>
        </w:tc>
      </w:tr>
      <w:tr w:rsidRPr="00D73795" w:rsidR="00D73795" w:rsidTr="00355A28" w14:paraId="52F11600"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D73795" w:rsidR="00D73795" w:rsidP="00D73795" w:rsidRDefault="00D73795" w14:paraId="6871059C" w14:textId="77777777">
            <w:pPr>
              <w:keepNext/>
              <w:keepLines/>
              <w:tabs>
                <w:tab w:val="left" w:pos="360"/>
              </w:tabs>
              <w:spacing w:before="60"/>
              <w:jc w:val="center"/>
              <w:rPr>
                <w:b/>
                <w:color w:val="000000"/>
              </w:rPr>
            </w:pPr>
            <w:r w:rsidRPr="00D73795">
              <w:rPr>
                <w:b/>
                <w:color w:val="000000"/>
              </w:rPr>
              <w:t>Showing of eligible customer status (§ 1802(b) or eligible local government entity status</w:t>
            </w:r>
            <w:r w:rsidRPr="00D73795">
              <w:rPr>
                <w:b/>
                <w:color w:val="000000"/>
              </w:rPr>
              <w:br/>
              <w:t>(§§ 1802(d), 1802.4):</w:t>
            </w:r>
          </w:p>
        </w:tc>
      </w:tr>
      <w:tr w:rsidRPr="00D73795" w:rsidR="00D73795" w:rsidTr="00355A28" w14:paraId="6C96314E" w14:textId="77777777">
        <w:tc>
          <w:tcPr>
            <w:tcW w:w="5040" w:type="dxa"/>
            <w:tcBorders>
              <w:top w:val="single" w:color="auto" w:sz="4" w:space="0"/>
            </w:tcBorders>
            <w:shd w:val="clear" w:color="auto" w:fill="auto"/>
          </w:tcPr>
          <w:p w:rsidRPr="00D73795" w:rsidR="00D73795" w:rsidP="00D73795" w:rsidRDefault="00D73795" w14:paraId="05E5E029" w14:textId="77777777">
            <w:pPr>
              <w:keepNext/>
              <w:keepLines/>
              <w:spacing w:before="120"/>
              <w:ind w:left="360" w:hanging="360"/>
              <w:rPr>
                <w:color w:val="000000"/>
              </w:rPr>
            </w:pPr>
            <w:r w:rsidRPr="00D73795">
              <w:rPr>
                <w:color w:val="000000"/>
              </w:rPr>
              <w:t xml:space="preserve"> 5.  Based on ALJ ruling issued in proceeding   number:</w:t>
            </w:r>
          </w:p>
        </w:tc>
        <w:tc>
          <w:tcPr>
            <w:tcW w:w="2340" w:type="dxa"/>
            <w:tcBorders>
              <w:top w:val="single" w:color="auto" w:sz="4" w:space="0"/>
            </w:tcBorders>
            <w:shd w:val="clear" w:color="auto" w:fill="auto"/>
          </w:tcPr>
          <w:p w:rsidRPr="00D73795" w:rsidR="00D73795" w:rsidP="006A6523" w:rsidRDefault="00D73795" w14:paraId="5ED5366C" w14:textId="77777777">
            <w:pPr>
              <w:keepNext/>
              <w:keepLines/>
              <w:tabs>
                <w:tab w:val="left" w:pos="360"/>
              </w:tabs>
              <w:spacing w:before="120"/>
              <w:ind w:left="360" w:hanging="360"/>
              <w:jc w:val="center"/>
              <w:rPr>
                <w:color w:val="000000"/>
              </w:rPr>
            </w:pPr>
            <w:r w:rsidRPr="00D73795">
              <w:rPr>
                <w:color w:val="000000"/>
              </w:rPr>
              <w:t>A.20-04-023</w:t>
            </w:r>
          </w:p>
        </w:tc>
        <w:tc>
          <w:tcPr>
            <w:tcW w:w="2340" w:type="dxa"/>
            <w:tcBorders>
              <w:top w:val="single" w:color="auto" w:sz="4" w:space="0"/>
            </w:tcBorders>
            <w:shd w:val="clear" w:color="auto" w:fill="auto"/>
          </w:tcPr>
          <w:p w:rsidRPr="00D73795" w:rsidR="00D73795" w:rsidP="006A6523" w:rsidRDefault="00D73795" w14:paraId="3495A98C" w14:textId="77777777">
            <w:pPr>
              <w:keepNext/>
              <w:keepLines/>
              <w:tabs>
                <w:tab w:val="left" w:pos="360"/>
              </w:tabs>
              <w:spacing w:before="120"/>
              <w:jc w:val="center"/>
              <w:rPr>
                <w:color w:val="000000"/>
              </w:rPr>
            </w:pPr>
            <w:r w:rsidRPr="00D73795">
              <w:rPr>
                <w:color w:val="000000"/>
              </w:rPr>
              <w:t>Verified</w:t>
            </w:r>
          </w:p>
        </w:tc>
      </w:tr>
      <w:tr w:rsidRPr="00D73795" w:rsidR="00D73795" w:rsidTr="00355A28" w14:paraId="063F094B" w14:textId="77777777">
        <w:tc>
          <w:tcPr>
            <w:tcW w:w="5040" w:type="dxa"/>
            <w:shd w:val="clear" w:color="auto" w:fill="auto"/>
          </w:tcPr>
          <w:p w:rsidRPr="00D73795" w:rsidR="00D73795" w:rsidP="00D73795" w:rsidRDefault="00D73795" w14:paraId="58EE682F" w14:textId="77777777">
            <w:pPr>
              <w:tabs>
                <w:tab w:val="left" w:pos="360"/>
              </w:tabs>
              <w:spacing w:before="120"/>
              <w:ind w:left="360" w:hanging="360"/>
              <w:rPr>
                <w:color w:val="000000"/>
              </w:rPr>
            </w:pPr>
            <w:r w:rsidRPr="00D73795">
              <w:rPr>
                <w:color w:val="000000"/>
              </w:rPr>
              <w:t xml:space="preserve"> 6.  Date of ALJ ruling:</w:t>
            </w:r>
          </w:p>
        </w:tc>
        <w:tc>
          <w:tcPr>
            <w:tcW w:w="2340" w:type="dxa"/>
            <w:shd w:val="clear" w:color="auto" w:fill="auto"/>
          </w:tcPr>
          <w:p w:rsidRPr="00D73795" w:rsidR="00D73795" w:rsidP="006A6523" w:rsidRDefault="00D73795" w14:paraId="4D1FADD0" w14:textId="77777777">
            <w:pPr>
              <w:tabs>
                <w:tab w:val="left" w:pos="360"/>
              </w:tabs>
              <w:spacing w:before="120"/>
              <w:jc w:val="center"/>
              <w:rPr>
                <w:color w:val="000000"/>
              </w:rPr>
            </w:pPr>
            <w:r w:rsidRPr="00D73795">
              <w:rPr>
                <w:color w:val="000000"/>
              </w:rPr>
              <w:t>November 20, 2020</w:t>
            </w:r>
          </w:p>
        </w:tc>
        <w:tc>
          <w:tcPr>
            <w:tcW w:w="2340" w:type="dxa"/>
            <w:shd w:val="clear" w:color="auto" w:fill="auto"/>
          </w:tcPr>
          <w:p w:rsidRPr="00D73795" w:rsidR="00D73795" w:rsidP="006A6523" w:rsidRDefault="00D73795" w14:paraId="535BDD20" w14:textId="77777777">
            <w:pPr>
              <w:tabs>
                <w:tab w:val="left" w:pos="360"/>
              </w:tabs>
              <w:spacing w:before="120"/>
              <w:jc w:val="center"/>
              <w:rPr>
                <w:color w:val="000000"/>
              </w:rPr>
            </w:pPr>
            <w:r w:rsidRPr="00D73795">
              <w:rPr>
                <w:color w:val="000000"/>
              </w:rPr>
              <w:t>Verified</w:t>
            </w:r>
          </w:p>
        </w:tc>
      </w:tr>
      <w:tr w:rsidRPr="00D73795" w:rsidR="00D73795" w:rsidTr="00355A28" w14:paraId="02F40CF4" w14:textId="77777777">
        <w:tc>
          <w:tcPr>
            <w:tcW w:w="5040" w:type="dxa"/>
            <w:shd w:val="clear" w:color="auto" w:fill="auto"/>
          </w:tcPr>
          <w:p w:rsidRPr="00D73795" w:rsidR="00D73795" w:rsidP="00D73795" w:rsidRDefault="00D73795" w14:paraId="3B542E9B" w14:textId="77777777">
            <w:pPr>
              <w:tabs>
                <w:tab w:val="left" w:pos="360"/>
              </w:tabs>
              <w:spacing w:before="120"/>
              <w:ind w:left="360" w:hanging="360"/>
              <w:rPr>
                <w:color w:val="000000"/>
              </w:rPr>
            </w:pPr>
            <w:r w:rsidRPr="00D73795">
              <w:rPr>
                <w:color w:val="000000"/>
              </w:rPr>
              <w:t xml:space="preserve"> 7.  Based on another CPUC determination (specify):</w:t>
            </w:r>
          </w:p>
        </w:tc>
        <w:tc>
          <w:tcPr>
            <w:tcW w:w="2340" w:type="dxa"/>
            <w:tcBorders>
              <w:bottom w:val="single" w:color="auto" w:sz="4" w:space="0"/>
            </w:tcBorders>
            <w:shd w:val="clear" w:color="auto" w:fill="auto"/>
          </w:tcPr>
          <w:p w:rsidRPr="00D73795" w:rsidR="00D73795" w:rsidP="00D73795" w:rsidRDefault="00D73795" w14:paraId="278CB82B" w14:textId="77777777">
            <w:pPr>
              <w:tabs>
                <w:tab w:val="left" w:pos="360"/>
              </w:tabs>
              <w:spacing w:before="120"/>
              <w:ind w:left="360" w:hanging="360"/>
              <w:rPr>
                <w:color w:val="000000"/>
              </w:rPr>
            </w:pPr>
          </w:p>
        </w:tc>
        <w:tc>
          <w:tcPr>
            <w:tcW w:w="2340" w:type="dxa"/>
            <w:tcBorders>
              <w:bottom w:val="single" w:color="auto" w:sz="4" w:space="0"/>
            </w:tcBorders>
            <w:shd w:val="clear" w:color="auto" w:fill="auto"/>
          </w:tcPr>
          <w:p w:rsidRPr="00D73795" w:rsidR="00D73795" w:rsidP="00D73795" w:rsidRDefault="00D73795" w14:paraId="5C820483" w14:textId="77777777">
            <w:pPr>
              <w:tabs>
                <w:tab w:val="left" w:pos="360"/>
              </w:tabs>
              <w:spacing w:before="120"/>
              <w:rPr>
                <w:color w:val="000000"/>
              </w:rPr>
            </w:pPr>
          </w:p>
        </w:tc>
      </w:tr>
      <w:tr w:rsidRPr="00D73795" w:rsidR="00D73795" w:rsidTr="00355A28" w14:paraId="0B1C5FA5" w14:textId="77777777">
        <w:tc>
          <w:tcPr>
            <w:tcW w:w="7380" w:type="dxa"/>
            <w:gridSpan w:val="2"/>
            <w:tcBorders>
              <w:bottom w:val="single" w:color="auto" w:sz="4" w:space="0"/>
            </w:tcBorders>
            <w:shd w:val="clear" w:color="auto" w:fill="auto"/>
          </w:tcPr>
          <w:p w:rsidRPr="00D73795" w:rsidR="00D73795" w:rsidP="00D73795" w:rsidRDefault="00D73795" w14:paraId="67A1ADAD" w14:textId="77777777">
            <w:pPr>
              <w:tabs>
                <w:tab w:val="left" w:pos="360"/>
              </w:tabs>
              <w:spacing w:before="120"/>
              <w:ind w:left="360" w:hanging="360"/>
              <w:rPr>
                <w:color w:val="000000"/>
              </w:rPr>
            </w:pPr>
            <w:r w:rsidRPr="00D73795">
              <w:rPr>
                <w:color w:val="000000"/>
              </w:rPr>
              <w:t xml:space="preserve"> 8.  Has the Intervenor demonstrated </w:t>
            </w:r>
            <w:r w:rsidRPr="00D73795">
              <w:t>customer</w:t>
            </w:r>
            <w:r w:rsidRPr="00D73795">
              <w:rPr>
                <w:color w:val="000000"/>
              </w:rPr>
              <w:t xml:space="preserve"> status or eligible government entity status?</w:t>
            </w:r>
          </w:p>
        </w:tc>
        <w:tc>
          <w:tcPr>
            <w:tcW w:w="2340" w:type="dxa"/>
            <w:tcBorders>
              <w:bottom w:val="single" w:color="auto" w:sz="4" w:space="0"/>
            </w:tcBorders>
            <w:shd w:val="clear" w:color="auto" w:fill="auto"/>
          </w:tcPr>
          <w:p w:rsidRPr="00D73795" w:rsidR="00D73795" w:rsidP="006A6523" w:rsidRDefault="00D73795" w14:paraId="4090B92A" w14:textId="77777777">
            <w:pPr>
              <w:tabs>
                <w:tab w:val="left" w:pos="360"/>
              </w:tabs>
              <w:spacing w:before="120"/>
              <w:jc w:val="center"/>
              <w:rPr>
                <w:color w:val="000000"/>
              </w:rPr>
            </w:pPr>
            <w:r w:rsidRPr="00D73795">
              <w:rPr>
                <w:color w:val="000000"/>
              </w:rPr>
              <w:t>Yes</w:t>
            </w:r>
          </w:p>
        </w:tc>
      </w:tr>
      <w:tr w:rsidRPr="00D73795" w:rsidR="00D73795" w:rsidTr="00355A28" w14:paraId="139D5B6A"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D73795" w:rsidR="00D73795" w:rsidP="00D73795" w:rsidRDefault="00D73795" w14:paraId="5A8DF92F" w14:textId="77777777">
            <w:pPr>
              <w:tabs>
                <w:tab w:val="left" w:pos="360"/>
              </w:tabs>
              <w:spacing w:before="60"/>
              <w:jc w:val="center"/>
              <w:rPr>
                <w:color w:val="000000"/>
              </w:rPr>
            </w:pPr>
            <w:r w:rsidRPr="00D73795">
              <w:rPr>
                <w:b/>
                <w:color w:val="000000"/>
              </w:rPr>
              <w:t>Showing of “significant financial hardship” (§1802(h) or §1803.1(b)):</w:t>
            </w:r>
          </w:p>
        </w:tc>
      </w:tr>
      <w:tr w:rsidRPr="00D73795" w:rsidR="00D73795" w:rsidTr="00355A28" w14:paraId="19C8B01F" w14:textId="77777777">
        <w:tc>
          <w:tcPr>
            <w:tcW w:w="5040" w:type="dxa"/>
            <w:tcBorders>
              <w:top w:val="single" w:color="auto" w:sz="4" w:space="0"/>
            </w:tcBorders>
            <w:shd w:val="clear" w:color="auto" w:fill="auto"/>
          </w:tcPr>
          <w:p w:rsidRPr="00D73795" w:rsidR="00D73795" w:rsidP="00D73795" w:rsidRDefault="00D73795" w14:paraId="16C8B519" w14:textId="77777777">
            <w:pPr>
              <w:tabs>
                <w:tab w:val="left" w:pos="315"/>
              </w:tabs>
              <w:spacing w:before="120"/>
              <w:ind w:left="360" w:hanging="360"/>
              <w:rPr>
                <w:color w:val="000000"/>
              </w:rPr>
            </w:pPr>
            <w:r w:rsidRPr="00D73795">
              <w:rPr>
                <w:color w:val="000000"/>
              </w:rPr>
              <w:t xml:space="preserve"> 9.  Based on ALJ ruling issued in proceeding number:</w:t>
            </w:r>
          </w:p>
        </w:tc>
        <w:tc>
          <w:tcPr>
            <w:tcW w:w="2340" w:type="dxa"/>
            <w:tcBorders>
              <w:top w:val="single" w:color="auto" w:sz="4" w:space="0"/>
            </w:tcBorders>
            <w:shd w:val="clear" w:color="auto" w:fill="auto"/>
          </w:tcPr>
          <w:p w:rsidRPr="00D73795" w:rsidR="00D73795" w:rsidP="006A6523" w:rsidRDefault="00D73795" w14:paraId="2CD82D6A" w14:textId="77777777">
            <w:pPr>
              <w:tabs>
                <w:tab w:val="left" w:pos="360"/>
              </w:tabs>
              <w:spacing w:before="120"/>
              <w:ind w:hanging="360"/>
              <w:jc w:val="center"/>
              <w:rPr>
                <w:color w:val="000000"/>
              </w:rPr>
            </w:pPr>
            <w:r w:rsidRPr="00D73795">
              <w:rPr>
                <w:color w:val="000000"/>
              </w:rPr>
              <w:t>R.A.20-04-023</w:t>
            </w:r>
          </w:p>
        </w:tc>
        <w:tc>
          <w:tcPr>
            <w:tcW w:w="2340" w:type="dxa"/>
            <w:tcBorders>
              <w:top w:val="single" w:color="auto" w:sz="4" w:space="0"/>
            </w:tcBorders>
            <w:shd w:val="clear" w:color="auto" w:fill="auto"/>
          </w:tcPr>
          <w:p w:rsidRPr="00D73795" w:rsidR="00D73795" w:rsidP="006A6523" w:rsidRDefault="00D73795" w14:paraId="7C531139" w14:textId="77777777">
            <w:pPr>
              <w:tabs>
                <w:tab w:val="left" w:pos="360"/>
              </w:tabs>
              <w:spacing w:before="120"/>
              <w:jc w:val="center"/>
              <w:rPr>
                <w:color w:val="000000"/>
              </w:rPr>
            </w:pPr>
            <w:r w:rsidRPr="00D73795">
              <w:rPr>
                <w:color w:val="000000"/>
              </w:rPr>
              <w:t>Verified</w:t>
            </w:r>
          </w:p>
        </w:tc>
      </w:tr>
      <w:tr w:rsidRPr="00D73795" w:rsidR="00D73795" w:rsidTr="00355A28" w14:paraId="0AC604C0" w14:textId="77777777">
        <w:tc>
          <w:tcPr>
            <w:tcW w:w="5040" w:type="dxa"/>
            <w:shd w:val="clear" w:color="auto" w:fill="auto"/>
          </w:tcPr>
          <w:p w:rsidRPr="00D73795" w:rsidR="00D73795" w:rsidP="00D73795" w:rsidRDefault="00D73795" w14:paraId="431944D7" w14:textId="77777777">
            <w:pPr>
              <w:tabs>
                <w:tab w:val="left" w:pos="315"/>
              </w:tabs>
              <w:spacing w:before="120"/>
              <w:ind w:left="360" w:hanging="360"/>
              <w:rPr>
                <w:color w:val="000000"/>
              </w:rPr>
            </w:pPr>
            <w:r w:rsidRPr="00D73795">
              <w:rPr>
                <w:color w:val="000000"/>
              </w:rPr>
              <w:t>10.</w:t>
            </w:r>
            <w:r w:rsidRPr="00D73795">
              <w:rPr>
                <w:color w:val="000000"/>
              </w:rPr>
              <w:tab/>
              <w:t xml:space="preserve"> Date of ALJ ruling:</w:t>
            </w:r>
          </w:p>
        </w:tc>
        <w:tc>
          <w:tcPr>
            <w:tcW w:w="2340" w:type="dxa"/>
            <w:shd w:val="clear" w:color="auto" w:fill="auto"/>
          </w:tcPr>
          <w:p w:rsidRPr="00D73795" w:rsidR="00D73795" w:rsidP="006A6523" w:rsidRDefault="00D73795" w14:paraId="3B72D30F" w14:textId="77777777">
            <w:pPr>
              <w:tabs>
                <w:tab w:val="center" w:pos="882"/>
              </w:tabs>
              <w:spacing w:before="120"/>
              <w:ind w:hanging="360"/>
              <w:jc w:val="center"/>
              <w:rPr>
                <w:color w:val="000000"/>
              </w:rPr>
            </w:pPr>
            <w:r w:rsidRPr="00D73795">
              <w:rPr>
                <w:color w:val="000000"/>
              </w:rPr>
              <w:t>12November 20, 2020</w:t>
            </w:r>
          </w:p>
        </w:tc>
        <w:tc>
          <w:tcPr>
            <w:tcW w:w="2340" w:type="dxa"/>
            <w:shd w:val="clear" w:color="auto" w:fill="auto"/>
          </w:tcPr>
          <w:p w:rsidRPr="00D73795" w:rsidR="00D73795" w:rsidP="006A6523" w:rsidRDefault="00D73795" w14:paraId="3F17AFF4" w14:textId="77777777">
            <w:pPr>
              <w:tabs>
                <w:tab w:val="left" w:pos="360"/>
              </w:tabs>
              <w:spacing w:before="120"/>
              <w:jc w:val="center"/>
              <w:rPr>
                <w:color w:val="000000"/>
              </w:rPr>
            </w:pPr>
            <w:r w:rsidRPr="00D73795">
              <w:rPr>
                <w:color w:val="000000"/>
              </w:rPr>
              <w:t>Verified</w:t>
            </w:r>
          </w:p>
        </w:tc>
      </w:tr>
      <w:tr w:rsidRPr="00D73795" w:rsidR="00D73795" w:rsidTr="00355A28" w14:paraId="0CC657E9" w14:textId="77777777">
        <w:tc>
          <w:tcPr>
            <w:tcW w:w="5040" w:type="dxa"/>
            <w:shd w:val="clear" w:color="auto" w:fill="auto"/>
          </w:tcPr>
          <w:p w:rsidRPr="00D73795" w:rsidR="00D73795" w:rsidP="00D73795" w:rsidRDefault="00D73795" w14:paraId="69B0FCCF" w14:textId="77777777">
            <w:pPr>
              <w:tabs>
                <w:tab w:val="left" w:pos="315"/>
              </w:tabs>
              <w:spacing w:before="120"/>
              <w:ind w:left="360" w:hanging="360"/>
              <w:rPr>
                <w:color w:val="000000"/>
              </w:rPr>
            </w:pPr>
            <w:r w:rsidRPr="00D73795">
              <w:rPr>
                <w:color w:val="000000"/>
              </w:rPr>
              <w:t>11. Based on another CPUC determination (specify):</w:t>
            </w:r>
          </w:p>
        </w:tc>
        <w:tc>
          <w:tcPr>
            <w:tcW w:w="2340" w:type="dxa"/>
            <w:shd w:val="clear" w:color="auto" w:fill="auto"/>
          </w:tcPr>
          <w:p w:rsidRPr="00D73795" w:rsidR="00D73795" w:rsidP="00D73795" w:rsidRDefault="00D73795" w14:paraId="45DF80D8" w14:textId="77777777">
            <w:pPr>
              <w:tabs>
                <w:tab w:val="left" w:pos="360"/>
              </w:tabs>
              <w:spacing w:before="120"/>
              <w:ind w:hanging="360"/>
              <w:rPr>
                <w:color w:val="000000"/>
              </w:rPr>
            </w:pPr>
          </w:p>
        </w:tc>
        <w:tc>
          <w:tcPr>
            <w:tcW w:w="2340" w:type="dxa"/>
            <w:shd w:val="clear" w:color="auto" w:fill="auto"/>
          </w:tcPr>
          <w:p w:rsidRPr="00D73795" w:rsidR="00D73795" w:rsidP="00D73795" w:rsidRDefault="00D73795" w14:paraId="2A5EAAAC" w14:textId="77777777">
            <w:pPr>
              <w:tabs>
                <w:tab w:val="left" w:pos="360"/>
              </w:tabs>
              <w:spacing w:before="120"/>
              <w:rPr>
                <w:color w:val="000000"/>
              </w:rPr>
            </w:pPr>
          </w:p>
        </w:tc>
      </w:tr>
      <w:tr w:rsidRPr="00D73795" w:rsidR="00D73795" w:rsidTr="00355A28" w14:paraId="36D7730A" w14:textId="77777777">
        <w:tc>
          <w:tcPr>
            <w:tcW w:w="7380" w:type="dxa"/>
            <w:gridSpan w:val="2"/>
            <w:tcBorders>
              <w:bottom w:val="single" w:color="auto" w:sz="4" w:space="0"/>
            </w:tcBorders>
            <w:shd w:val="clear" w:color="auto" w:fill="auto"/>
          </w:tcPr>
          <w:p w:rsidRPr="00D73795" w:rsidR="00D73795" w:rsidP="00D73795" w:rsidRDefault="00D73795" w14:paraId="30274DCD" w14:textId="77777777">
            <w:pPr>
              <w:tabs>
                <w:tab w:val="left" w:pos="360"/>
              </w:tabs>
              <w:spacing w:before="120"/>
              <w:ind w:hanging="360"/>
              <w:rPr>
                <w:color w:val="000000"/>
              </w:rPr>
            </w:pPr>
            <w:r w:rsidRPr="00D73795">
              <w:rPr>
                <w:color w:val="000000"/>
              </w:rPr>
              <w:t>12 12.  Has the Intervenor demonstrated significant financial hardship?</w:t>
            </w:r>
          </w:p>
        </w:tc>
        <w:tc>
          <w:tcPr>
            <w:tcW w:w="2340" w:type="dxa"/>
            <w:tcBorders>
              <w:bottom w:val="single" w:color="auto" w:sz="4" w:space="0"/>
            </w:tcBorders>
            <w:shd w:val="clear" w:color="auto" w:fill="auto"/>
          </w:tcPr>
          <w:p w:rsidRPr="00D73795" w:rsidR="00D73795" w:rsidP="006A6523" w:rsidRDefault="00D73795" w14:paraId="6EE0883D" w14:textId="77777777">
            <w:pPr>
              <w:tabs>
                <w:tab w:val="left" w:pos="360"/>
              </w:tabs>
              <w:spacing w:before="120"/>
              <w:jc w:val="center"/>
              <w:rPr>
                <w:color w:val="000000"/>
              </w:rPr>
            </w:pPr>
            <w:r w:rsidRPr="00D73795">
              <w:rPr>
                <w:color w:val="000000"/>
              </w:rPr>
              <w:t>Yes</w:t>
            </w:r>
          </w:p>
        </w:tc>
      </w:tr>
      <w:tr w:rsidRPr="00D73795" w:rsidR="00D73795" w:rsidTr="00355A28" w14:paraId="79207BB7"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D73795" w:rsidR="00D73795" w:rsidP="00D73795" w:rsidRDefault="00D73795" w14:paraId="02650940" w14:textId="77777777">
            <w:pPr>
              <w:keepNext/>
              <w:keepLines/>
              <w:tabs>
                <w:tab w:val="left" w:pos="360"/>
              </w:tabs>
              <w:spacing w:before="60"/>
              <w:jc w:val="center"/>
              <w:rPr>
                <w:color w:val="000000"/>
              </w:rPr>
            </w:pPr>
            <w:r w:rsidRPr="00D73795">
              <w:rPr>
                <w:b/>
                <w:color w:val="000000"/>
              </w:rPr>
              <w:lastRenderedPageBreak/>
              <w:t>Timely request for compensation (§ 1804(c)):</w:t>
            </w:r>
          </w:p>
        </w:tc>
      </w:tr>
      <w:tr w:rsidRPr="00D73795" w:rsidR="00D73795" w:rsidTr="00355A28" w14:paraId="36B0B855" w14:textId="77777777">
        <w:tc>
          <w:tcPr>
            <w:tcW w:w="5040" w:type="dxa"/>
            <w:tcBorders>
              <w:top w:val="single" w:color="auto" w:sz="4" w:space="0"/>
            </w:tcBorders>
            <w:shd w:val="clear" w:color="auto" w:fill="auto"/>
          </w:tcPr>
          <w:p w:rsidRPr="00D73795" w:rsidR="00D73795" w:rsidP="00D73795" w:rsidRDefault="00D73795" w14:paraId="6E3726C6" w14:textId="77777777">
            <w:pPr>
              <w:keepNext/>
              <w:keepLines/>
              <w:tabs>
                <w:tab w:val="left" w:pos="612"/>
              </w:tabs>
              <w:spacing w:before="120"/>
              <w:ind w:left="360" w:hanging="360"/>
              <w:rPr>
                <w:color w:val="000000"/>
              </w:rPr>
            </w:pPr>
            <w:r w:rsidRPr="00D73795">
              <w:rPr>
                <w:color w:val="000000"/>
              </w:rPr>
              <w:t>13.  Identify Final Decision:</w:t>
            </w:r>
          </w:p>
        </w:tc>
        <w:tc>
          <w:tcPr>
            <w:tcW w:w="2340" w:type="dxa"/>
            <w:tcBorders>
              <w:top w:val="single" w:color="auto" w:sz="4" w:space="0"/>
            </w:tcBorders>
            <w:shd w:val="clear" w:color="auto" w:fill="auto"/>
          </w:tcPr>
          <w:p w:rsidRPr="00D73795" w:rsidR="00D73795" w:rsidP="006A6523" w:rsidRDefault="00D73795" w14:paraId="54D75E1C" w14:textId="77777777">
            <w:pPr>
              <w:keepNext/>
              <w:keepLines/>
              <w:tabs>
                <w:tab w:val="left" w:pos="360"/>
              </w:tabs>
              <w:spacing w:before="120"/>
              <w:jc w:val="center"/>
              <w:rPr>
                <w:color w:val="000000"/>
              </w:rPr>
            </w:pPr>
            <w:r w:rsidRPr="00D73795">
              <w:rPr>
                <w:color w:val="000000"/>
              </w:rPr>
              <w:t>D.21-04-030</w:t>
            </w:r>
          </w:p>
        </w:tc>
        <w:tc>
          <w:tcPr>
            <w:tcW w:w="2340" w:type="dxa"/>
            <w:tcBorders>
              <w:top w:val="single" w:color="auto" w:sz="4" w:space="0"/>
            </w:tcBorders>
            <w:shd w:val="clear" w:color="auto" w:fill="auto"/>
          </w:tcPr>
          <w:p w:rsidRPr="00D73795" w:rsidR="00D73795" w:rsidP="006A6523" w:rsidRDefault="00D73795" w14:paraId="65422C77" w14:textId="77777777">
            <w:pPr>
              <w:keepNext/>
              <w:keepLines/>
              <w:tabs>
                <w:tab w:val="left" w:pos="360"/>
              </w:tabs>
              <w:spacing w:before="120"/>
              <w:jc w:val="center"/>
              <w:rPr>
                <w:color w:val="000000"/>
              </w:rPr>
            </w:pPr>
            <w:r w:rsidRPr="00D73795">
              <w:rPr>
                <w:color w:val="000000"/>
              </w:rPr>
              <w:t>Verified</w:t>
            </w:r>
          </w:p>
        </w:tc>
      </w:tr>
      <w:tr w:rsidRPr="00D73795" w:rsidR="00D73795" w:rsidTr="00355A28" w14:paraId="0BD91EC9" w14:textId="77777777">
        <w:tc>
          <w:tcPr>
            <w:tcW w:w="5040" w:type="dxa"/>
            <w:shd w:val="clear" w:color="auto" w:fill="auto"/>
          </w:tcPr>
          <w:p w:rsidRPr="00D73795" w:rsidR="00D73795" w:rsidP="00D73795" w:rsidRDefault="00D73795" w14:paraId="349C6C52" w14:textId="77777777">
            <w:pPr>
              <w:keepNext/>
              <w:tabs>
                <w:tab w:val="left" w:pos="612"/>
              </w:tabs>
              <w:spacing w:before="120"/>
              <w:ind w:left="360" w:hanging="360"/>
              <w:rPr>
                <w:color w:val="000000"/>
              </w:rPr>
            </w:pPr>
            <w:r w:rsidRPr="00D73795">
              <w:rPr>
                <w:color w:val="000000"/>
              </w:rPr>
              <w:t xml:space="preserve">14.  Date of issuance of Final Order or Decision:    </w:t>
            </w:r>
          </w:p>
        </w:tc>
        <w:tc>
          <w:tcPr>
            <w:tcW w:w="2340" w:type="dxa"/>
            <w:shd w:val="clear" w:color="auto" w:fill="auto"/>
          </w:tcPr>
          <w:p w:rsidRPr="00D73795" w:rsidR="00D73795" w:rsidP="006A6523" w:rsidRDefault="00D73795" w14:paraId="6FF45EA7" w14:textId="6E1BCCA8">
            <w:pPr>
              <w:tabs>
                <w:tab w:val="left" w:pos="360"/>
              </w:tabs>
              <w:spacing w:before="120"/>
              <w:jc w:val="center"/>
              <w:rPr>
                <w:color w:val="000000"/>
              </w:rPr>
            </w:pPr>
            <w:r w:rsidRPr="00D73795">
              <w:rPr>
                <w:color w:val="000000"/>
              </w:rPr>
              <w:t xml:space="preserve">April 23, 2021; Order Denying Rehearing of D.21-04-030 issued </w:t>
            </w:r>
            <w:r w:rsidR="006A6523">
              <w:rPr>
                <w:color w:val="000000"/>
              </w:rPr>
              <w:br/>
            </w:r>
            <w:r w:rsidRPr="00D73795">
              <w:rPr>
                <w:color w:val="000000"/>
              </w:rPr>
              <w:t xml:space="preserve">August 12, 2021 (D.21-08-023) (applications for rehearing addressed issues on which AECA believes it made a substantial contribution); request for compensation is timely filed pursuant to Commission </w:t>
            </w:r>
            <w:r w:rsidR="006A6523">
              <w:rPr>
                <w:color w:val="000000"/>
              </w:rPr>
              <w:br/>
            </w:r>
            <w:r w:rsidRPr="00D73795">
              <w:rPr>
                <w:color w:val="000000"/>
              </w:rPr>
              <w:t>Rule 17.3.</w:t>
            </w:r>
          </w:p>
        </w:tc>
        <w:tc>
          <w:tcPr>
            <w:tcW w:w="2340" w:type="dxa"/>
            <w:shd w:val="clear" w:color="auto" w:fill="auto"/>
          </w:tcPr>
          <w:p w:rsidRPr="00D73795" w:rsidR="00D73795" w:rsidP="006A6523" w:rsidRDefault="00D73795" w14:paraId="0CE016D8" w14:textId="3B7762F3">
            <w:pPr>
              <w:tabs>
                <w:tab w:val="left" w:pos="360"/>
              </w:tabs>
              <w:spacing w:before="120"/>
              <w:jc w:val="center"/>
              <w:rPr>
                <w:color w:val="000000"/>
              </w:rPr>
            </w:pPr>
            <w:r w:rsidRPr="00D73795">
              <w:rPr>
                <w:color w:val="000000"/>
              </w:rPr>
              <w:t xml:space="preserve">D.21-08-023 denied the application for rehearing. According to Rule 17.3 of the Rules of Practice and Procedure, if an application for rehearing challenges a decision on an </w:t>
            </w:r>
            <w:r w:rsidRPr="00D73795">
              <w:t xml:space="preserve">issue on which the intervenor believes it made a substantial contribution, the request for an award of compensation may be filed within </w:t>
            </w:r>
            <w:r w:rsidR="006A6523">
              <w:br/>
            </w:r>
            <w:r w:rsidRPr="00D73795">
              <w:t>60 days of the issuance of the decision denying rehearing on that issue.</w:t>
            </w:r>
          </w:p>
        </w:tc>
      </w:tr>
      <w:tr w:rsidRPr="00D73795" w:rsidR="00D73795" w:rsidTr="00355A28" w14:paraId="699B4454" w14:textId="77777777">
        <w:tc>
          <w:tcPr>
            <w:tcW w:w="5040" w:type="dxa"/>
            <w:shd w:val="clear" w:color="auto" w:fill="auto"/>
          </w:tcPr>
          <w:p w:rsidRPr="00D73795" w:rsidR="00D73795" w:rsidP="00D73795" w:rsidRDefault="00D73795" w14:paraId="237EAEFB" w14:textId="77777777">
            <w:pPr>
              <w:keepNext/>
              <w:tabs>
                <w:tab w:val="left" w:pos="612"/>
              </w:tabs>
              <w:spacing w:before="120"/>
              <w:ind w:left="360" w:hanging="360"/>
              <w:rPr>
                <w:color w:val="000000"/>
              </w:rPr>
            </w:pPr>
            <w:r w:rsidRPr="00D73795">
              <w:rPr>
                <w:color w:val="000000"/>
              </w:rPr>
              <w:t>15.  File date of compensation request:</w:t>
            </w:r>
          </w:p>
        </w:tc>
        <w:tc>
          <w:tcPr>
            <w:tcW w:w="2340" w:type="dxa"/>
            <w:shd w:val="clear" w:color="auto" w:fill="auto"/>
          </w:tcPr>
          <w:p w:rsidRPr="00D73795" w:rsidR="00D73795" w:rsidP="006A6523" w:rsidRDefault="00D73795" w14:paraId="4E0BA23B" w14:textId="77777777">
            <w:pPr>
              <w:tabs>
                <w:tab w:val="left" w:pos="360"/>
              </w:tabs>
              <w:spacing w:before="120"/>
              <w:jc w:val="center"/>
              <w:rPr>
                <w:color w:val="000000"/>
              </w:rPr>
            </w:pPr>
            <w:r w:rsidRPr="00D73795">
              <w:rPr>
                <w:color w:val="000000"/>
              </w:rPr>
              <w:t>September 29, 2021</w:t>
            </w:r>
          </w:p>
        </w:tc>
        <w:tc>
          <w:tcPr>
            <w:tcW w:w="2340" w:type="dxa"/>
            <w:shd w:val="clear" w:color="auto" w:fill="auto"/>
          </w:tcPr>
          <w:p w:rsidRPr="00D73795" w:rsidR="00D73795" w:rsidP="006A6523" w:rsidRDefault="00D73795" w14:paraId="2F5BA37A" w14:textId="77777777">
            <w:pPr>
              <w:tabs>
                <w:tab w:val="left" w:pos="360"/>
              </w:tabs>
              <w:spacing w:before="120"/>
              <w:jc w:val="center"/>
              <w:rPr>
                <w:color w:val="000000"/>
              </w:rPr>
            </w:pPr>
            <w:r w:rsidRPr="00D73795">
              <w:rPr>
                <w:color w:val="000000"/>
              </w:rPr>
              <w:t>Verified</w:t>
            </w:r>
          </w:p>
        </w:tc>
      </w:tr>
      <w:tr w:rsidRPr="00D73795" w:rsidR="00D73795" w:rsidTr="00355A28" w14:paraId="17C9E909" w14:textId="77777777">
        <w:tc>
          <w:tcPr>
            <w:tcW w:w="7380" w:type="dxa"/>
            <w:gridSpan w:val="2"/>
            <w:shd w:val="clear" w:color="auto" w:fill="auto"/>
          </w:tcPr>
          <w:p w:rsidRPr="00D73795" w:rsidR="00D73795" w:rsidP="00D73795" w:rsidRDefault="00D73795" w14:paraId="04992F86" w14:textId="77777777">
            <w:pPr>
              <w:tabs>
                <w:tab w:val="left" w:pos="360"/>
              </w:tabs>
              <w:spacing w:before="120"/>
              <w:ind w:left="360" w:hanging="360"/>
              <w:rPr>
                <w:color w:val="000000"/>
              </w:rPr>
            </w:pPr>
            <w:r w:rsidRPr="00D73795">
              <w:rPr>
                <w:color w:val="000000"/>
              </w:rPr>
              <w:t>16. Was the request for compensation timely?</w:t>
            </w:r>
          </w:p>
        </w:tc>
        <w:tc>
          <w:tcPr>
            <w:tcW w:w="2340" w:type="dxa"/>
            <w:shd w:val="clear" w:color="auto" w:fill="auto"/>
          </w:tcPr>
          <w:p w:rsidRPr="00D73795" w:rsidR="00D73795" w:rsidP="006A6523" w:rsidRDefault="00D73795" w14:paraId="03C0D577" w14:textId="77777777">
            <w:pPr>
              <w:tabs>
                <w:tab w:val="left" w:pos="360"/>
              </w:tabs>
              <w:spacing w:before="120"/>
              <w:jc w:val="center"/>
              <w:rPr>
                <w:color w:val="000000"/>
              </w:rPr>
            </w:pPr>
            <w:r w:rsidRPr="00D73795">
              <w:rPr>
                <w:color w:val="000000"/>
              </w:rPr>
              <w:t>Yes</w:t>
            </w:r>
          </w:p>
        </w:tc>
      </w:tr>
    </w:tbl>
    <w:p w:rsidRPr="00D73795" w:rsidR="00D73795" w:rsidP="00D73795" w:rsidRDefault="00D73795" w14:paraId="37FDB797" w14:textId="77777777">
      <w:pPr>
        <w:numPr>
          <w:ilvl w:val="0"/>
          <w:numId w:val="5"/>
        </w:numPr>
        <w:spacing w:before="240"/>
        <w:rPr>
          <w:b/>
          <w:color w:val="000000"/>
        </w:rPr>
      </w:pPr>
      <w:r w:rsidRPr="00D73795">
        <w:rPr>
          <w:b/>
          <w:color w:val="000000"/>
        </w:rPr>
        <w:t xml:space="preserve">Additional Comments on Part I: </w:t>
      </w:r>
    </w:p>
    <w:p w:rsidRPr="00D73795" w:rsidR="00D73795" w:rsidP="00D73795" w:rsidRDefault="00D73795" w14:paraId="1B78F3F9" w14:textId="77777777">
      <w:pPr>
        <w:tabs>
          <w:tab w:val="left" w:pos="360"/>
        </w:tabs>
        <w:rPr>
          <w:color w:val="000000"/>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2"/>
        <w:gridCol w:w="3896"/>
        <w:gridCol w:w="4950"/>
      </w:tblGrid>
      <w:tr w:rsidRPr="00D73795" w:rsidR="00D73795" w:rsidTr="00355A28" w14:paraId="5FBC2988" w14:textId="77777777">
        <w:trPr>
          <w:trHeight w:val="589"/>
        </w:trPr>
        <w:tc>
          <w:tcPr>
            <w:tcW w:w="892" w:type="dxa"/>
            <w:tcBorders>
              <w:bottom w:val="single" w:color="auto" w:sz="4" w:space="0"/>
            </w:tcBorders>
            <w:shd w:val="clear" w:color="auto" w:fill="D9D9D9" w:themeFill="background1" w:themeFillShade="D9"/>
          </w:tcPr>
          <w:p w:rsidRPr="00D73795" w:rsidR="00D73795" w:rsidP="00D73795" w:rsidRDefault="00D73795" w14:paraId="0A346250" w14:textId="77777777">
            <w:pPr>
              <w:tabs>
                <w:tab w:val="left" w:pos="360"/>
              </w:tabs>
              <w:spacing w:before="120"/>
              <w:jc w:val="center"/>
              <w:rPr>
                <w:b/>
                <w:color w:val="000000"/>
              </w:rPr>
            </w:pPr>
            <w:r w:rsidRPr="00D73795">
              <w:rPr>
                <w:b/>
                <w:color w:val="000000"/>
              </w:rPr>
              <w:t>#</w:t>
            </w:r>
          </w:p>
        </w:tc>
        <w:tc>
          <w:tcPr>
            <w:tcW w:w="3896" w:type="dxa"/>
            <w:tcBorders>
              <w:bottom w:val="single" w:color="auto" w:sz="4" w:space="0"/>
            </w:tcBorders>
            <w:shd w:val="clear" w:color="auto" w:fill="D9D9D9" w:themeFill="background1" w:themeFillShade="D9"/>
          </w:tcPr>
          <w:p w:rsidRPr="00D73795" w:rsidR="00D73795" w:rsidP="00D73795" w:rsidRDefault="00D73795" w14:paraId="16AC5C26" w14:textId="77777777">
            <w:pPr>
              <w:tabs>
                <w:tab w:val="left" w:pos="360"/>
              </w:tabs>
              <w:spacing w:before="120"/>
              <w:jc w:val="center"/>
              <w:rPr>
                <w:b/>
                <w:color w:val="000000"/>
              </w:rPr>
            </w:pPr>
            <w:r w:rsidRPr="00D73795">
              <w:rPr>
                <w:b/>
                <w:color w:val="000000"/>
              </w:rPr>
              <w:t>Intervenor’s Comment(s)</w:t>
            </w:r>
          </w:p>
        </w:tc>
        <w:tc>
          <w:tcPr>
            <w:tcW w:w="4950" w:type="dxa"/>
            <w:shd w:val="clear" w:color="auto" w:fill="D9D9D9" w:themeFill="background1" w:themeFillShade="D9"/>
          </w:tcPr>
          <w:p w:rsidRPr="00D73795" w:rsidR="00D73795" w:rsidP="00D73795" w:rsidRDefault="00D73795" w14:paraId="6D57E369" w14:textId="77777777">
            <w:pPr>
              <w:tabs>
                <w:tab w:val="left" w:pos="360"/>
              </w:tabs>
              <w:spacing w:before="120"/>
              <w:jc w:val="center"/>
              <w:rPr>
                <w:b/>
                <w:color w:val="000000"/>
              </w:rPr>
            </w:pPr>
            <w:r w:rsidRPr="00D73795">
              <w:rPr>
                <w:b/>
                <w:color w:val="000000"/>
              </w:rPr>
              <w:t>CPUC Discussion</w:t>
            </w:r>
          </w:p>
        </w:tc>
      </w:tr>
      <w:tr w:rsidRPr="00D73795" w:rsidR="00D73795" w:rsidTr="00355A28" w14:paraId="0CF4D406" w14:textId="77777777">
        <w:trPr>
          <w:trHeight w:val="67"/>
        </w:trPr>
        <w:tc>
          <w:tcPr>
            <w:tcW w:w="892" w:type="dxa"/>
            <w:shd w:val="clear" w:color="auto" w:fill="auto"/>
          </w:tcPr>
          <w:p w:rsidRPr="00D73795" w:rsidR="00D73795" w:rsidP="00D73795" w:rsidRDefault="00D73795" w14:paraId="50921FF2" w14:textId="77777777">
            <w:pPr>
              <w:tabs>
                <w:tab w:val="left" w:pos="360"/>
              </w:tabs>
              <w:spacing w:before="120"/>
              <w:rPr>
                <w:color w:val="000000"/>
              </w:rPr>
            </w:pPr>
          </w:p>
        </w:tc>
        <w:tc>
          <w:tcPr>
            <w:tcW w:w="3896" w:type="dxa"/>
            <w:shd w:val="clear" w:color="auto" w:fill="auto"/>
          </w:tcPr>
          <w:p w:rsidRPr="00D73795" w:rsidR="00D73795" w:rsidP="00D73795" w:rsidRDefault="00D73795" w14:paraId="10E06314" w14:textId="270B91B4">
            <w:pPr>
              <w:tabs>
                <w:tab w:val="left" w:pos="360"/>
              </w:tabs>
              <w:spacing w:before="120"/>
              <w:rPr>
                <w:color w:val="000000"/>
              </w:rPr>
            </w:pPr>
            <w:r w:rsidRPr="00D73795">
              <w:rPr>
                <w:color w:val="000000"/>
              </w:rPr>
              <w:t>In multiple decisions over the past two decades (</w:t>
            </w:r>
            <w:r w:rsidRPr="006A6523" w:rsidR="006A6523">
              <w:rPr>
                <w:i/>
                <w:iCs/>
                <w:color w:val="000000"/>
              </w:rPr>
              <w:t>S</w:t>
            </w:r>
            <w:r w:rsidRPr="00D73795">
              <w:rPr>
                <w:i/>
                <w:color w:val="000000"/>
              </w:rPr>
              <w:t>ee, e.g</w:t>
            </w:r>
            <w:r w:rsidRPr="00D73795">
              <w:rPr>
                <w:color w:val="000000"/>
              </w:rPr>
              <w:t xml:space="preserve">., D.95-07-093; D.96-08-040; D.96-11-048; </w:t>
            </w:r>
            <w:r w:rsidR="006A6523">
              <w:rPr>
                <w:color w:val="000000"/>
              </w:rPr>
              <w:br/>
            </w:r>
            <w:r w:rsidRPr="00D73795">
              <w:rPr>
                <w:color w:val="000000"/>
              </w:rPr>
              <w:t xml:space="preserve">D.02-06-014; D.03-09-067; </w:t>
            </w:r>
            <w:r w:rsidR="006A6523">
              <w:rPr>
                <w:color w:val="000000"/>
              </w:rPr>
              <w:br/>
            </w:r>
            <w:r w:rsidRPr="00D73795">
              <w:rPr>
                <w:color w:val="000000"/>
              </w:rPr>
              <w:t xml:space="preserve">D.06-04-065; D.13.02-019; </w:t>
            </w:r>
            <w:r w:rsidR="006A6523">
              <w:rPr>
                <w:color w:val="000000"/>
              </w:rPr>
              <w:br/>
            </w:r>
            <w:r w:rsidRPr="00D73795">
              <w:rPr>
                <w:color w:val="000000"/>
              </w:rPr>
              <w:t xml:space="preserve">D.13-02-019; D.14-12-069; </w:t>
            </w:r>
            <w:r w:rsidR="006A6523">
              <w:rPr>
                <w:color w:val="000000"/>
              </w:rPr>
              <w:br/>
            </w:r>
            <w:r w:rsidRPr="00D73795">
              <w:rPr>
                <w:color w:val="000000"/>
              </w:rPr>
              <w:t xml:space="preserve">D.15-12-014; D.16-08-013; </w:t>
            </w:r>
            <w:r w:rsidR="006A6523">
              <w:rPr>
                <w:color w:val="000000"/>
              </w:rPr>
              <w:br/>
            </w:r>
            <w:r w:rsidRPr="00D73795">
              <w:rPr>
                <w:color w:val="000000"/>
              </w:rPr>
              <w:t xml:space="preserve">D.19-04-032) and most recently in </w:t>
            </w:r>
            <w:r w:rsidR="006A6523">
              <w:rPr>
                <w:color w:val="000000"/>
              </w:rPr>
              <w:br/>
            </w:r>
            <w:r w:rsidRPr="00D73795">
              <w:rPr>
                <w:color w:val="000000"/>
              </w:rPr>
              <w:t xml:space="preserve">D. 19-11-010, the Commission has found that the Agricultural Energy Consumers Association (AECA) represents individual farmers who have annual electricity bills of less </w:t>
            </w:r>
            <w:r w:rsidRPr="00D73795">
              <w:rPr>
                <w:color w:val="000000"/>
              </w:rPr>
              <w:lastRenderedPageBreak/>
              <w:t>than $50,000, and that AECA’s members’ economic interest has been considered small in comparison to the costs of participation. AECA currently has 280 active individual members (excluding agricultural associations and water district members); 178 of those members have electricity bills of less than $50,000. As a result, AECA is seeking 64% (178÷280) of the total compensation found reasonable in this proceeding.</w:t>
            </w:r>
          </w:p>
        </w:tc>
        <w:tc>
          <w:tcPr>
            <w:tcW w:w="4950" w:type="dxa"/>
            <w:shd w:val="clear" w:color="auto" w:fill="auto"/>
          </w:tcPr>
          <w:p w:rsidRPr="00D73795" w:rsidR="00D73795" w:rsidP="006A6523" w:rsidRDefault="00D73795" w14:paraId="0B45B9C8" w14:textId="77777777">
            <w:pPr>
              <w:tabs>
                <w:tab w:val="left" w:pos="360"/>
              </w:tabs>
              <w:spacing w:before="120"/>
              <w:jc w:val="center"/>
              <w:rPr>
                <w:color w:val="000000"/>
              </w:rPr>
            </w:pPr>
            <w:r w:rsidRPr="00D73795">
              <w:rPr>
                <w:color w:val="000000"/>
              </w:rPr>
              <w:lastRenderedPageBreak/>
              <w:t>Verified</w:t>
            </w:r>
          </w:p>
        </w:tc>
      </w:tr>
    </w:tbl>
    <w:p w:rsidRPr="00D73795" w:rsidR="00D73795" w:rsidP="00D73795" w:rsidRDefault="00D73795" w14:paraId="27769DA8" w14:textId="77777777">
      <w:pPr>
        <w:ind w:left="900"/>
        <w:rPr>
          <w:color w:val="000000"/>
        </w:rPr>
      </w:pPr>
    </w:p>
    <w:p w:rsidRPr="00D73795" w:rsidR="00D73795" w:rsidP="00D73795" w:rsidRDefault="00D73795" w14:paraId="0C8B07B5" w14:textId="77777777">
      <w:pPr>
        <w:jc w:val="center"/>
        <w:rPr>
          <w:b/>
          <w:color w:val="000000"/>
        </w:rPr>
      </w:pPr>
      <w:r w:rsidRPr="00D73795">
        <w:rPr>
          <w:b/>
          <w:color w:val="000000"/>
        </w:rPr>
        <w:t>PART II:  SUBSTANTIAL CONTRIBUTION</w:t>
      </w:r>
    </w:p>
    <w:p w:rsidRPr="00D73795" w:rsidR="00D73795" w:rsidP="00D73795" w:rsidRDefault="00D73795" w14:paraId="4CB35DC8" w14:textId="77777777">
      <w:pPr>
        <w:rPr>
          <w:color w:val="000000"/>
        </w:rPr>
      </w:pPr>
    </w:p>
    <w:p w:rsidRPr="00D73795" w:rsidR="00D73795" w:rsidP="00D73795" w:rsidRDefault="00D73795" w14:paraId="18218FE2" w14:textId="77777777">
      <w:pPr>
        <w:numPr>
          <w:ilvl w:val="0"/>
          <w:numId w:val="1"/>
        </w:numPr>
        <w:tabs>
          <w:tab w:val="clear" w:pos="900"/>
          <w:tab w:val="num" w:pos="360"/>
        </w:tabs>
        <w:ind w:left="360"/>
        <w:rPr>
          <w:b/>
          <w:color w:val="000000"/>
        </w:rPr>
      </w:pPr>
      <w:r w:rsidRPr="00D73795">
        <w:rPr>
          <w:b/>
          <w:color w:val="000000"/>
        </w:rPr>
        <w:t>Did the Intervenor substantially contribute to the final decision (</w:t>
      </w:r>
      <w:r w:rsidRPr="00D73795">
        <w:rPr>
          <w:b/>
          <w:i/>
          <w:color w:val="000000"/>
        </w:rPr>
        <w:t>see</w:t>
      </w:r>
      <w:r w:rsidRPr="00D73795">
        <w:rPr>
          <w:b/>
          <w:color w:val="000000"/>
        </w:rPr>
        <w:t xml:space="preserve"> § 1802(j), </w:t>
      </w:r>
      <w:r w:rsidRPr="00D73795">
        <w:rPr>
          <w:b/>
          <w:color w:val="000000"/>
        </w:rPr>
        <w:br/>
        <w:t xml:space="preserve">§ 1803(a), 1803.1(a) and D.98-04-059): </w:t>
      </w:r>
    </w:p>
    <w:p w:rsidRPr="00D73795" w:rsidR="00D73795" w:rsidP="00D73795" w:rsidRDefault="00D73795" w14:paraId="5A999CDA" w14:textId="77777777">
      <w:pPr>
        <w:spacing w:after="120"/>
        <w:ind w:left="360"/>
        <w:rPr>
          <w:b/>
          <w:color w:val="000000"/>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8"/>
        <w:gridCol w:w="4230"/>
        <w:gridCol w:w="2340"/>
      </w:tblGrid>
      <w:tr w:rsidRPr="00D73795" w:rsidR="00D73795" w:rsidTr="00355A28" w14:paraId="7C11AB14" w14:textId="77777777">
        <w:tc>
          <w:tcPr>
            <w:tcW w:w="3168" w:type="dxa"/>
            <w:tcBorders>
              <w:bottom w:val="single" w:color="auto" w:sz="4" w:space="0"/>
            </w:tcBorders>
            <w:shd w:val="pct12" w:color="auto" w:fill="auto"/>
          </w:tcPr>
          <w:p w:rsidRPr="00D73795" w:rsidR="00D73795" w:rsidP="00D73795" w:rsidRDefault="00D73795" w14:paraId="52234989" w14:textId="77777777">
            <w:pPr>
              <w:spacing w:before="120"/>
              <w:jc w:val="center"/>
              <w:rPr>
                <w:b/>
                <w:color w:val="000000"/>
              </w:rPr>
            </w:pPr>
            <w:r w:rsidRPr="00D73795">
              <w:rPr>
                <w:b/>
                <w:color w:val="000000"/>
              </w:rPr>
              <w:t>Intervenor’s Claimed Contribution(s)</w:t>
            </w:r>
          </w:p>
        </w:tc>
        <w:tc>
          <w:tcPr>
            <w:tcW w:w="4230" w:type="dxa"/>
            <w:tcBorders>
              <w:bottom w:val="single" w:color="auto" w:sz="4" w:space="0"/>
            </w:tcBorders>
            <w:shd w:val="pct12" w:color="auto" w:fill="auto"/>
          </w:tcPr>
          <w:p w:rsidRPr="00D73795" w:rsidR="00D73795" w:rsidP="00D73795" w:rsidRDefault="00D73795" w14:paraId="2EC8EDA7" w14:textId="77777777">
            <w:pPr>
              <w:spacing w:before="120"/>
              <w:jc w:val="center"/>
              <w:rPr>
                <w:b/>
                <w:color w:val="000000"/>
              </w:rPr>
            </w:pPr>
            <w:r w:rsidRPr="00D73795">
              <w:rPr>
                <w:b/>
                <w:color w:val="000000"/>
              </w:rPr>
              <w:t>Specific References to Intervenor’s Claimed Contribution(s)</w:t>
            </w:r>
          </w:p>
        </w:tc>
        <w:tc>
          <w:tcPr>
            <w:tcW w:w="2340" w:type="dxa"/>
            <w:shd w:val="pct12" w:color="auto" w:fill="auto"/>
          </w:tcPr>
          <w:p w:rsidRPr="00D73795" w:rsidR="00D73795" w:rsidP="00D73795" w:rsidRDefault="00D73795" w14:paraId="6D51F42F" w14:textId="77777777">
            <w:pPr>
              <w:spacing w:before="120"/>
              <w:jc w:val="center"/>
              <w:rPr>
                <w:b/>
                <w:color w:val="000000"/>
              </w:rPr>
            </w:pPr>
            <w:r w:rsidRPr="00D73795">
              <w:rPr>
                <w:b/>
                <w:color w:val="000000"/>
              </w:rPr>
              <w:t>CPUC Discussion</w:t>
            </w:r>
          </w:p>
        </w:tc>
      </w:tr>
      <w:tr w:rsidRPr="00D73795" w:rsidR="00D73795" w:rsidTr="00355A28" w14:paraId="54EC6670" w14:textId="77777777">
        <w:tc>
          <w:tcPr>
            <w:tcW w:w="3168" w:type="dxa"/>
            <w:shd w:val="clear" w:color="auto" w:fill="auto"/>
          </w:tcPr>
          <w:p w:rsidRPr="00D73795" w:rsidR="00D73795" w:rsidP="00D73795" w:rsidRDefault="00D73795" w14:paraId="4CDD0FC8" w14:textId="77777777">
            <w:pPr>
              <w:spacing w:before="120" w:after="120"/>
              <w:rPr>
                <w:b/>
                <w:color w:val="000000"/>
              </w:rPr>
            </w:pPr>
            <w:r w:rsidRPr="00D73795">
              <w:rPr>
                <w:b/>
                <w:color w:val="000000"/>
              </w:rPr>
              <w:t>1.  AECA Participation</w:t>
            </w:r>
          </w:p>
          <w:p w:rsidRPr="00D73795" w:rsidR="00D73795" w:rsidP="00D73795" w:rsidRDefault="00D73795" w14:paraId="57B34CB0" w14:textId="77777777">
            <w:pPr>
              <w:spacing w:after="240"/>
              <w:rPr>
                <w:color w:val="000000"/>
              </w:rPr>
            </w:pPr>
            <w:r w:rsidRPr="00D73795">
              <w:rPr>
                <w:color w:val="000000"/>
              </w:rPr>
              <w:t xml:space="preserve">AECA was an active party in the proceeding, including filing or serving (as applicable) a response to the Application, a joint prehearing conference statement, direct testimony, opening and reply briefs, opening comments on the Proposed Decision, and comments on the applications for rehearing of D.21-04-030. Additionally, AECA served several data requests and responded to data requests. </w:t>
            </w:r>
          </w:p>
          <w:p w:rsidRPr="00D73795" w:rsidR="00D73795" w:rsidP="00D73795" w:rsidRDefault="00D73795" w14:paraId="1491DE65" w14:textId="77777777">
            <w:pPr>
              <w:spacing w:after="240"/>
              <w:rPr>
                <w:color w:val="000000"/>
              </w:rPr>
            </w:pPr>
            <w:r w:rsidRPr="00D73795">
              <w:rPr>
                <w:color w:val="000000"/>
              </w:rPr>
              <w:t>“In addition, the Agricultural Energy Consumers Association (AECA) submitted a response … .”</w:t>
            </w:r>
          </w:p>
          <w:p w:rsidRPr="00D73795" w:rsidR="00D73795" w:rsidP="00D73795" w:rsidRDefault="00D73795" w14:paraId="3B0D9618" w14:textId="77777777">
            <w:pPr>
              <w:spacing w:after="240"/>
              <w:rPr>
                <w:color w:val="000000"/>
              </w:rPr>
            </w:pPr>
            <w:r w:rsidRPr="00D73795">
              <w:rPr>
                <w:color w:val="000000"/>
              </w:rPr>
              <w:lastRenderedPageBreak/>
              <w:t>“A joint PHC Statement was filed on June 17, 2020 by …AECA… .”</w:t>
            </w:r>
          </w:p>
          <w:p w:rsidRPr="00D73795" w:rsidR="00D73795" w:rsidP="00D73795" w:rsidRDefault="00D73795" w14:paraId="1343E28D" w14:textId="2CE96B6C">
            <w:pPr>
              <w:keepNext/>
              <w:keepLines/>
              <w:spacing w:after="240"/>
              <w:rPr>
                <w:color w:val="000000"/>
              </w:rPr>
            </w:pPr>
            <w:r w:rsidRPr="00D73795">
              <w:rPr>
                <w:color w:val="000000"/>
              </w:rPr>
              <w:t xml:space="preserve">“Opening Briefs were filed by …, AECA…on </w:t>
            </w:r>
            <w:r w:rsidR="001B3A12">
              <w:rPr>
                <w:color w:val="000000"/>
              </w:rPr>
              <w:br/>
            </w:r>
            <w:r w:rsidRPr="00D73795">
              <w:rPr>
                <w:color w:val="000000"/>
              </w:rPr>
              <w:t>January 19, 2021.”</w:t>
            </w:r>
          </w:p>
          <w:p w:rsidRPr="00D73795" w:rsidR="00D73795" w:rsidP="00D73795" w:rsidRDefault="00D73795" w14:paraId="2E56E7CE" w14:textId="11CAD4BF">
            <w:pPr>
              <w:keepNext/>
              <w:keepLines/>
              <w:spacing w:after="240"/>
              <w:rPr>
                <w:color w:val="000000"/>
              </w:rPr>
            </w:pPr>
            <w:r w:rsidRPr="00D73795">
              <w:rPr>
                <w:color w:val="000000"/>
              </w:rPr>
              <w:t xml:space="preserve">“Reply Briefs were filed by… AECA……on </w:t>
            </w:r>
            <w:r w:rsidR="001B3A12">
              <w:rPr>
                <w:color w:val="000000"/>
              </w:rPr>
              <w:br/>
            </w:r>
            <w:r w:rsidRPr="00D73795">
              <w:rPr>
                <w:color w:val="000000"/>
              </w:rPr>
              <w:t>February 1, 2021.”</w:t>
            </w:r>
          </w:p>
          <w:p w:rsidRPr="00D73795" w:rsidR="00D73795" w:rsidP="00D73795" w:rsidRDefault="00D73795" w14:paraId="5707A699" w14:textId="2D5053F1">
            <w:pPr>
              <w:spacing w:after="240"/>
              <w:rPr>
                <w:color w:val="000000"/>
              </w:rPr>
            </w:pPr>
            <w:r w:rsidRPr="00D73795">
              <w:rPr>
                <w:color w:val="000000"/>
              </w:rPr>
              <w:t xml:space="preserve">“Comments [on Proposed Decision] were filed on </w:t>
            </w:r>
            <w:r w:rsidR="001B3A12">
              <w:rPr>
                <w:color w:val="000000"/>
              </w:rPr>
              <w:br/>
            </w:r>
            <w:r w:rsidRPr="00D73795">
              <w:rPr>
                <w:color w:val="000000"/>
              </w:rPr>
              <w:t>April 12, 2021 by …AECA… .”</w:t>
            </w:r>
          </w:p>
          <w:p w:rsidRPr="00D73795" w:rsidR="00D73795" w:rsidP="00D73795" w:rsidRDefault="00D73795" w14:paraId="5B8F1079" w14:textId="77777777">
            <w:pPr>
              <w:spacing w:before="120"/>
              <w:rPr>
                <w:color w:val="000000"/>
              </w:rPr>
            </w:pPr>
            <w:r w:rsidRPr="00D73795">
              <w:rPr>
                <w:color w:val="000000"/>
              </w:rPr>
              <w:t xml:space="preserve">As shown herein, AECA’s participation in this proceeding substantially contributed to the final Decision issued in this proceeding. </w:t>
            </w:r>
          </w:p>
        </w:tc>
        <w:tc>
          <w:tcPr>
            <w:tcW w:w="4230" w:type="dxa"/>
            <w:shd w:val="clear" w:color="auto" w:fill="auto"/>
          </w:tcPr>
          <w:p w:rsidRPr="00D73795" w:rsidR="00D73795" w:rsidP="001B3A12" w:rsidRDefault="00D73795" w14:paraId="1A77EA72" w14:textId="77777777">
            <w:pPr>
              <w:spacing w:before="120"/>
              <w:jc w:val="center"/>
              <w:rPr>
                <w:color w:val="000000"/>
              </w:rPr>
            </w:pPr>
          </w:p>
          <w:p w:rsidRPr="00D73795" w:rsidR="00D73795" w:rsidP="001B3A12" w:rsidRDefault="00D73795" w14:paraId="0569CDE4" w14:textId="77777777">
            <w:pPr>
              <w:spacing w:before="120"/>
              <w:jc w:val="center"/>
              <w:rPr>
                <w:color w:val="000000"/>
              </w:rPr>
            </w:pPr>
          </w:p>
          <w:p w:rsidRPr="00D73795" w:rsidR="00D73795" w:rsidP="001B3A12" w:rsidRDefault="00D73795" w14:paraId="470C5954" w14:textId="77777777">
            <w:pPr>
              <w:jc w:val="center"/>
              <w:rPr>
                <w:color w:val="000000"/>
              </w:rPr>
            </w:pPr>
          </w:p>
          <w:p w:rsidRPr="00D73795" w:rsidR="00D73795" w:rsidP="001B3A12" w:rsidRDefault="00D73795" w14:paraId="3FCBB984" w14:textId="77777777">
            <w:pPr>
              <w:jc w:val="center"/>
              <w:rPr>
                <w:color w:val="000000"/>
              </w:rPr>
            </w:pPr>
          </w:p>
          <w:p w:rsidRPr="00D73795" w:rsidR="00D73795" w:rsidP="001B3A12" w:rsidRDefault="00D73795" w14:paraId="0598DA2B" w14:textId="77777777">
            <w:pPr>
              <w:jc w:val="center"/>
              <w:rPr>
                <w:color w:val="000000"/>
              </w:rPr>
            </w:pPr>
          </w:p>
          <w:p w:rsidRPr="00D73795" w:rsidR="00D73795" w:rsidP="001B3A12" w:rsidRDefault="00D73795" w14:paraId="53F65599" w14:textId="77777777">
            <w:pPr>
              <w:jc w:val="center"/>
              <w:rPr>
                <w:color w:val="000000"/>
              </w:rPr>
            </w:pPr>
          </w:p>
          <w:p w:rsidRPr="00D73795" w:rsidR="00D73795" w:rsidP="001B3A12" w:rsidRDefault="00D73795" w14:paraId="2C3EAE58" w14:textId="77777777">
            <w:pPr>
              <w:jc w:val="center"/>
              <w:rPr>
                <w:color w:val="000000"/>
              </w:rPr>
            </w:pPr>
          </w:p>
          <w:p w:rsidRPr="00D73795" w:rsidR="00D73795" w:rsidP="001B3A12" w:rsidRDefault="00D73795" w14:paraId="7BB31EB0" w14:textId="77777777">
            <w:pPr>
              <w:jc w:val="center"/>
              <w:rPr>
                <w:color w:val="000000"/>
              </w:rPr>
            </w:pPr>
          </w:p>
          <w:p w:rsidRPr="00D73795" w:rsidR="00D73795" w:rsidP="001B3A12" w:rsidRDefault="00D73795" w14:paraId="21AD3309" w14:textId="77777777">
            <w:pPr>
              <w:jc w:val="center"/>
              <w:rPr>
                <w:color w:val="000000"/>
              </w:rPr>
            </w:pPr>
          </w:p>
          <w:p w:rsidRPr="00D73795" w:rsidR="00D73795" w:rsidP="001B3A12" w:rsidRDefault="00D73795" w14:paraId="0C8BA5BB" w14:textId="77777777">
            <w:pPr>
              <w:jc w:val="center"/>
              <w:rPr>
                <w:color w:val="000000"/>
              </w:rPr>
            </w:pPr>
          </w:p>
          <w:p w:rsidRPr="00D73795" w:rsidR="00D73795" w:rsidP="001B3A12" w:rsidRDefault="00D73795" w14:paraId="6461B905" w14:textId="77777777">
            <w:pPr>
              <w:jc w:val="center"/>
              <w:rPr>
                <w:color w:val="000000"/>
              </w:rPr>
            </w:pPr>
          </w:p>
          <w:p w:rsidRPr="00D73795" w:rsidR="00D73795" w:rsidP="001B3A12" w:rsidRDefault="00D73795" w14:paraId="1403D69A" w14:textId="77777777">
            <w:pPr>
              <w:jc w:val="center"/>
              <w:rPr>
                <w:color w:val="000000"/>
              </w:rPr>
            </w:pPr>
          </w:p>
          <w:p w:rsidRPr="00D73795" w:rsidR="00D73795" w:rsidP="001B3A12" w:rsidRDefault="00D73795" w14:paraId="724C86FE" w14:textId="77777777">
            <w:pPr>
              <w:jc w:val="center"/>
              <w:rPr>
                <w:color w:val="000000"/>
              </w:rPr>
            </w:pPr>
          </w:p>
          <w:p w:rsidRPr="00D73795" w:rsidR="00D73795" w:rsidP="001B3A12" w:rsidRDefault="00D73795" w14:paraId="7CE3AF30" w14:textId="77777777">
            <w:pPr>
              <w:jc w:val="center"/>
              <w:rPr>
                <w:color w:val="000000"/>
              </w:rPr>
            </w:pPr>
          </w:p>
          <w:p w:rsidRPr="00D73795" w:rsidR="00D73795" w:rsidP="001B3A12" w:rsidRDefault="00D73795" w14:paraId="45C4BA73" w14:textId="77777777">
            <w:pPr>
              <w:spacing w:after="240"/>
              <w:jc w:val="center"/>
              <w:rPr>
                <w:color w:val="000000"/>
              </w:rPr>
            </w:pPr>
          </w:p>
          <w:p w:rsidRPr="00D73795" w:rsidR="00D73795" w:rsidP="001B3A12" w:rsidRDefault="00D73795" w14:paraId="2731AAEA" w14:textId="27FCBE1C">
            <w:pPr>
              <w:jc w:val="center"/>
              <w:rPr>
                <w:color w:val="000000"/>
              </w:rPr>
            </w:pPr>
            <w:r w:rsidRPr="00D73795">
              <w:rPr>
                <w:color w:val="000000"/>
              </w:rPr>
              <w:t xml:space="preserve">D. 21-04-030, </w:t>
            </w:r>
            <w:r w:rsidR="001B3A12">
              <w:rPr>
                <w:color w:val="000000"/>
              </w:rPr>
              <w:t>at</w:t>
            </w:r>
            <w:r w:rsidRPr="00D73795">
              <w:rPr>
                <w:color w:val="000000"/>
              </w:rPr>
              <w:t xml:space="preserve"> 9.</w:t>
            </w:r>
          </w:p>
          <w:p w:rsidRPr="00D73795" w:rsidR="00D73795" w:rsidP="001B3A12" w:rsidRDefault="00D73795" w14:paraId="3776A461" w14:textId="77777777">
            <w:pPr>
              <w:jc w:val="center"/>
              <w:rPr>
                <w:color w:val="000000"/>
              </w:rPr>
            </w:pPr>
          </w:p>
          <w:p w:rsidRPr="00D73795" w:rsidR="00D73795" w:rsidP="001B3A12" w:rsidRDefault="00D73795" w14:paraId="5D8D011E" w14:textId="77777777">
            <w:pPr>
              <w:jc w:val="center"/>
              <w:rPr>
                <w:color w:val="000000"/>
              </w:rPr>
            </w:pPr>
          </w:p>
          <w:p w:rsidRPr="00D73795" w:rsidR="00D73795" w:rsidP="001B3A12" w:rsidRDefault="00D73795" w14:paraId="0570BA9D" w14:textId="77777777">
            <w:pPr>
              <w:spacing w:after="240"/>
              <w:jc w:val="center"/>
              <w:rPr>
                <w:color w:val="000000"/>
              </w:rPr>
            </w:pPr>
          </w:p>
          <w:p w:rsidRPr="00D73795" w:rsidR="00D73795" w:rsidP="001B3A12" w:rsidRDefault="00D73795" w14:paraId="50B3BCED" w14:textId="1810EA30">
            <w:pPr>
              <w:jc w:val="center"/>
              <w:rPr>
                <w:color w:val="000000"/>
              </w:rPr>
            </w:pPr>
            <w:r w:rsidRPr="00D73795">
              <w:rPr>
                <w:color w:val="000000"/>
              </w:rPr>
              <w:t xml:space="preserve">D. 21-04-030, </w:t>
            </w:r>
            <w:r w:rsidR="001B3A12">
              <w:rPr>
                <w:color w:val="000000"/>
              </w:rPr>
              <w:t xml:space="preserve">at </w:t>
            </w:r>
            <w:r w:rsidRPr="00D73795">
              <w:rPr>
                <w:color w:val="000000"/>
              </w:rPr>
              <w:t>9.</w:t>
            </w:r>
          </w:p>
          <w:p w:rsidRPr="00D73795" w:rsidR="00D73795" w:rsidP="001B3A12" w:rsidRDefault="00D73795" w14:paraId="1A63AA2A" w14:textId="77777777">
            <w:pPr>
              <w:jc w:val="center"/>
              <w:rPr>
                <w:color w:val="000000"/>
              </w:rPr>
            </w:pPr>
          </w:p>
          <w:p w:rsidRPr="00D73795" w:rsidR="00D73795" w:rsidP="001B3A12" w:rsidRDefault="00D73795" w14:paraId="7C83CD78" w14:textId="77777777">
            <w:pPr>
              <w:jc w:val="center"/>
              <w:rPr>
                <w:color w:val="000000"/>
              </w:rPr>
            </w:pPr>
          </w:p>
          <w:p w:rsidRPr="00D73795" w:rsidR="00D73795" w:rsidP="001B3A12" w:rsidRDefault="00D73795" w14:paraId="676E67FB" w14:textId="77777777">
            <w:pPr>
              <w:jc w:val="center"/>
              <w:rPr>
                <w:color w:val="000000"/>
              </w:rPr>
            </w:pPr>
          </w:p>
          <w:p w:rsidRPr="00D73795" w:rsidR="00D73795" w:rsidP="001B3A12" w:rsidRDefault="00D73795" w14:paraId="1197FDE6" w14:textId="77777777">
            <w:pPr>
              <w:jc w:val="center"/>
              <w:rPr>
                <w:color w:val="000000"/>
              </w:rPr>
            </w:pPr>
          </w:p>
          <w:p w:rsidRPr="00D73795" w:rsidR="00D73795" w:rsidP="001B3A12" w:rsidRDefault="00D73795" w14:paraId="0EF421BF" w14:textId="62852E06">
            <w:pPr>
              <w:keepNext/>
              <w:keepLines/>
              <w:spacing w:after="240"/>
              <w:jc w:val="center"/>
              <w:rPr>
                <w:color w:val="000000"/>
              </w:rPr>
            </w:pPr>
            <w:r w:rsidRPr="00D73795">
              <w:rPr>
                <w:color w:val="000000"/>
              </w:rPr>
              <w:t xml:space="preserve">D. 21-04-030, </w:t>
            </w:r>
            <w:r w:rsidR="001B3A12">
              <w:rPr>
                <w:color w:val="000000"/>
              </w:rPr>
              <w:t xml:space="preserve">at </w:t>
            </w:r>
            <w:r w:rsidRPr="00D73795">
              <w:rPr>
                <w:color w:val="000000"/>
              </w:rPr>
              <w:t>10.</w:t>
            </w:r>
          </w:p>
          <w:p w:rsidRPr="00D73795" w:rsidR="00D73795" w:rsidP="001B3A12" w:rsidRDefault="00D73795" w14:paraId="46BF50E9" w14:textId="77777777">
            <w:pPr>
              <w:keepNext/>
              <w:keepLines/>
              <w:spacing w:after="240"/>
              <w:jc w:val="center"/>
              <w:rPr>
                <w:color w:val="000000"/>
              </w:rPr>
            </w:pPr>
          </w:p>
          <w:p w:rsidRPr="00D73795" w:rsidR="00D73795" w:rsidP="001B3A12" w:rsidRDefault="00D73795" w14:paraId="348FE126" w14:textId="77FCDA44">
            <w:pPr>
              <w:jc w:val="center"/>
              <w:rPr>
                <w:color w:val="000000"/>
              </w:rPr>
            </w:pPr>
            <w:r w:rsidRPr="00D73795">
              <w:rPr>
                <w:color w:val="000000"/>
              </w:rPr>
              <w:t xml:space="preserve">D. 21-04-030, </w:t>
            </w:r>
            <w:r w:rsidR="001B3A12">
              <w:rPr>
                <w:color w:val="000000"/>
              </w:rPr>
              <w:t>at</w:t>
            </w:r>
            <w:r w:rsidRPr="00D73795">
              <w:rPr>
                <w:color w:val="000000"/>
              </w:rPr>
              <w:t xml:space="preserve"> 10.</w:t>
            </w:r>
          </w:p>
          <w:p w:rsidRPr="00D73795" w:rsidR="00D73795" w:rsidP="001B3A12" w:rsidRDefault="00D73795" w14:paraId="0EBD34DE" w14:textId="77777777">
            <w:pPr>
              <w:jc w:val="center"/>
              <w:rPr>
                <w:color w:val="000000"/>
              </w:rPr>
            </w:pPr>
          </w:p>
          <w:p w:rsidRPr="00D73795" w:rsidR="00D73795" w:rsidP="001B3A12" w:rsidRDefault="00D73795" w14:paraId="0BA1D5C2" w14:textId="77777777">
            <w:pPr>
              <w:spacing w:after="240"/>
              <w:jc w:val="center"/>
              <w:rPr>
                <w:color w:val="000000"/>
              </w:rPr>
            </w:pPr>
          </w:p>
          <w:p w:rsidRPr="00D73795" w:rsidR="00D73795" w:rsidP="001B3A12" w:rsidRDefault="00D73795" w14:paraId="5A92344A" w14:textId="2BFB7FA4">
            <w:pPr>
              <w:spacing w:before="120"/>
              <w:jc w:val="center"/>
              <w:rPr>
                <w:color w:val="000000"/>
              </w:rPr>
            </w:pPr>
            <w:r w:rsidRPr="00D73795">
              <w:rPr>
                <w:color w:val="000000"/>
              </w:rPr>
              <w:t xml:space="preserve">D. 21-04-030, </w:t>
            </w:r>
            <w:r w:rsidR="001B3A12">
              <w:rPr>
                <w:color w:val="000000"/>
              </w:rPr>
              <w:t>at 8</w:t>
            </w:r>
            <w:r w:rsidRPr="00D73795">
              <w:rPr>
                <w:color w:val="000000"/>
              </w:rPr>
              <w:t>2.</w:t>
            </w:r>
          </w:p>
          <w:p w:rsidRPr="00D73795" w:rsidR="00D73795" w:rsidP="001B3A12" w:rsidRDefault="00D73795" w14:paraId="35ECD94B" w14:textId="77777777">
            <w:pPr>
              <w:spacing w:before="120"/>
              <w:jc w:val="center"/>
              <w:rPr>
                <w:color w:val="000000"/>
              </w:rPr>
            </w:pPr>
          </w:p>
          <w:p w:rsidRPr="00D73795" w:rsidR="00D73795" w:rsidP="001B3A12" w:rsidRDefault="00D73795" w14:paraId="5A58E6FD" w14:textId="77777777">
            <w:pPr>
              <w:spacing w:before="120"/>
              <w:jc w:val="center"/>
              <w:rPr>
                <w:color w:val="000000"/>
              </w:rPr>
            </w:pPr>
          </w:p>
          <w:p w:rsidRPr="00D73795" w:rsidR="00D73795" w:rsidP="001B3A12" w:rsidRDefault="00D73795" w14:paraId="1FA26276" w14:textId="77777777">
            <w:pPr>
              <w:spacing w:before="120"/>
              <w:jc w:val="center"/>
              <w:rPr>
                <w:color w:val="000000"/>
              </w:rPr>
            </w:pPr>
          </w:p>
          <w:p w:rsidRPr="00D73795" w:rsidR="00D73795" w:rsidP="001B3A12" w:rsidRDefault="00D73795" w14:paraId="33A80795" w14:textId="77777777">
            <w:pPr>
              <w:spacing w:before="120"/>
              <w:jc w:val="center"/>
              <w:rPr>
                <w:color w:val="000000"/>
              </w:rPr>
            </w:pPr>
          </w:p>
          <w:p w:rsidRPr="00D73795" w:rsidR="00D73795" w:rsidP="001B3A12" w:rsidRDefault="00D73795" w14:paraId="5037BA3E" w14:textId="77777777">
            <w:pPr>
              <w:spacing w:before="120"/>
              <w:jc w:val="center"/>
              <w:rPr>
                <w:color w:val="000000"/>
              </w:rPr>
            </w:pPr>
          </w:p>
          <w:p w:rsidRPr="00D73795" w:rsidR="00D73795" w:rsidP="001B3A12" w:rsidRDefault="00D73795" w14:paraId="04F0B192" w14:textId="77777777">
            <w:pPr>
              <w:spacing w:before="120"/>
              <w:jc w:val="center"/>
              <w:rPr>
                <w:color w:val="000000"/>
              </w:rPr>
            </w:pPr>
          </w:p>
          <w:p w:rsidRPr="00D73795" w:rsidR="00D73795" w:rsidP="001B3A12" w:rsidRDefault="00D73795" w14:paraId="20D8E7BC" w14:textId="77777777">
            <w:pPr>
              <w:spacing w:before="120"/>
              <w:jc w:val="center"/>
              <w:rPr>
                <w:color w:val="000000"/>
              </w:rPr>
            </w:pPr>
          </w:p>
        </w:tc>
        <w:tc>
          <w:tcPr>
            <w:tcW w:w="2340" w:type="dxa"/>
            <w:shd w:val="clear" w:color="auto" w:fill="auto"/>
          </w:tcPr>
          <w:p w:rsidRPr="00D73795" w:rsidR="00D73795" w:rsidP="001B3A12" w:rsidRDefault="00D73795" w14:paraId="3C3EEBE4" w14:textId="77777777">
            <w:pPr>
              <w:spacing w:before="120"/>
              <w:jc w:val="center"/>
              <w:rPr>
                <w:color w:val="000000"/>
              </w:rPr>
            </w:pPr>
            <w:r w:rsidRPr="00D73795">
              <w:rPr>
                <w:color w:val="000000"/>
              </w:rPr>
              <w:lastRenderedPageBreak/>
              <w:t>Noted</w:t>
            </w:r>
          </w:p>
        </w:tc>
      </w:tr>
      <w:tr w:rsidRPr="00D73795" w:rsidR="00D73795" w:rsidTr="00355A28" w14:paraId="7FE12510" w14:textId="77777777">
        <w:tc>
          <w:tcPr>
            <w:tcW w:w="3168" w:type="dxa"/>
            <w:shd w:val="clear" w:color="auto" w:fill="auto"/>
          </w:tcPr>
          <w:p w:rsidRPr="00D73795" w:rsidR="00D73795" w:rsidP="00D73795" w:rsidRDefault="00D73795" w14:paraId="0C22C403" w14:textId="77777777">
            <w:pPr>
              <w:spacing w:after="240"/>
              <w:rPr>
                <w:b/>
                <w:bCs/>
              </w:rPr>
            </w:pPr>
            <w:r w:rsidRPr="00D73795">
              <w:rPr>
                <w:b/>
                <w:color w:val="000000"/>
              </w:rPr>
              <w:t xml:space="preserve">2.  </w:t>
            </w:r>
            <w:r w:rsidRPr="00D73795">
              <w:rPr>
                <w:b/>
                <w:bCs/>
              </w:rPr>
              <w:t>PG&amp;E’s proposal for securitization unreasonably poses substantial risk to ratepayers and is not revenue neutral.</w:t>
            </w:r>
          </w:p>
          <w:p w:rsidRPr="00D73795" w:rsidR="00D73795" w:rsidP="00D73795" w:rsidRDefault="00D73795" w14:paraId="2CC65B17" w14:textId="77777777">
            <w:r w:rsidRPr="00D73795">
              <w:rPr>
                <w:i/>
                <w:iCs/>
                <w:u w:val="single"/>
              </w:rPr>
              <w:t>Summary of AECA Contributions</w:t>
            </w:r>
            <w:r w:rsidRPr="00D73795">
              <w:t>:</w:t>
            </w:r>
          </w:p>
          <w:p w:rsidRPr="00D73795" w:rsidR="00D73795" w:rsidP="00D73795" w:rsidRDefault="00D73795" w14:paraId="50A15D71" w14:textId="77777777"/>
          <w:p w:rsidRPr="00D73795" w:rsidR="00D73795" w:rsidP="00D73795" w:rsidRDefault="00D73795" w14:paraId="598A9AF4" w14:textId="77777777">
            <w:r w:rsidRPr="00D73795">
              <w:t xml:space="preserve">“AECA also seeks to ensure that the proposed Securitization is revenue neutral…” </w:t>
            </w:r>
          </w:p>
          <w:p w:rsidRPr="00D73795" w:rsidR="00D73795" w:rsidP="00D73795" w:rsidRDefault="00D73795" w14:paraId="356779DA" w14:textId="77777777"/>
          <w:p w:rsidRPr="00D73795" w:rsidR="00D73795" w:rsidP="00D73795" w:rsidRDefault="00D73795" w14:paraId="5DBA79A9" w14:textId="77777777">
            <w:r w:rsidRPr="00D73795">
              <w:t xml:space="preserve">“AECA is additionally interested in avoiding a scenario where customers are asked to bear costs because funds in the Customer Credit Trust are exhausted before the repayment of the recovery bonds and associated financing costs.” </w:t>
            </w:r>
          </w:p>
          <w:p w:rsidRPr="00D73795" w:rsidR="00D73795" w:rsidP="00D73795" w:rsidRDefault="00D73795" w14:paraId="55DA1D96" w14:textId="77777777"/>
          <w:p w:rsidRPr="00D73795" w:rsidR="00D73795" w:rsidP="00D73795" w:rsidRDefault="00D73795" w14:paraId="2BADF17D" w14:textId="77777777">
            <w:r w:rsidRPr="00D73795">
              <w:t>“PG&amp;E’s approach, which requires ratepayers to pay the FRC [Fixed Recovery Charge] even if PG&amp;E’s forecasts and expectations are not realized and Customer Credits sufficient to offset the FRC do not exist, is not neutral, on average, to ratepayers.”</w:t>
            </w:r>
          </w:p>
          <w:p w:rsidRPr="00D73795" w:rsidR="00D73795" w:rsidP="00D73795" w:rsidRDefault="00D73795" w14:paraId="4B1614C3" w14:textId="77777777"/>
          <w:p w:rsidRPr="00D73795" w:rsidR="00D73795" w:rsidP="00D73795" w:rsidRDefault="00D73795" w14:paraId="29275A34" w14:textId="77777777">
            <w:pPr>
              <w:spacing w:after="240"/>
            </w:pPr>
            <w:r w:rsidRPr="00D73795">
              <w:t xml:space="preserve">“The unprecedented size and duration of the proposed Securitization emphasize the need to address the risk to ratepayers posed by a shortfall in PG&amp;E’s forecasts and expectations.” </w:t>
            </w:r>
          </w:p>
          <w:p w:rsidRPr="00D73795" w:rsidR="00D73795" w:rsidP="00D73795" w:rsidRDefault="00D73795" w14:paraId="65BC3CCD" w14:textId="77777777">
            <w:pPr>
              <w:spacing w:after="240"/>
            </w:pPr>
            <w:r w:rsidRPr="00D73795">
              <w:t>“Notwithstanding repeated assertions of favorable expectations and forecasts regarding the state of the Customer Trust and the availability of Customer Credits, PG&amp;E cannot, as discussed above, guarantee the structure of the Customer Trust. In fact PG&amp;E anticipates shortfalls in the Customer Credits from time to time… . PG&amp;E also acknowledges a scenario where the Customer Credit Trust is exhausted before the end of the 30-year period, resulting in a shortfall amount that would preclude a credit to customers.”</w:t>
            </w:r>
          </w:p>
          <w:p w:rsidRPr="00D73795" w:rsidR="00D73795" w:rsidP="00D73795" w:rsidRDefault="00D73795" w14:paraId="0175825B" w14:textId="77777777">
            <w:pPr>
              <w:spacing w:after="240"/>
            </w:pPr>
            <w:r w:rsidRPr="00D73795">
              <w:t xml:space="preserve">“Under PG&amp;E’s Securitization proposal, ratepayers are required to pay FRCs regardless of whether PG&amp;E is able to provide </w:t>
            </w:r>
            <w:r w:rsidRPr="00D73795">
              <w:lastRenderedPageBreak/>
              <w:t xml:space="preserve">speculative offsetting credits (which PG&amp;E cannot guarantee). PG&amp;E has not demonstrated that its proposal would provide other benefits to adequately mitigate this risk to ratepayers… Accordingly, PG&amp;E has not reasonably accounted for the risk to ratepayers and, therefore, has not demonstrated that its Securitization proposal is neutral to ratepayers as required by law and D.20-05-053.” </w:t>
            </w:r>
          </w:p>
          <w:p w:rsidRPr="00D73795" w:rsidR="00D73795" w:rsidP="00D73795" w:rsidRDefault="00D73795" w14:paraId="14169688" w14:textId="7CFD9B47">
            <w:r w:rsidRPr="00D73795">
              <w:t xml:space="preserve">“Under the Securitization proposed by PG&amp;E, ratepayers will be required to pay, through the nonbypassable FRC, actual debt service on securities issued to fund claims associated with 2017 wildfires over a period of 30 years. PG&amp;E ‘forecasts’ and ‘expects’ that it will be able to reimburse ratepayers for these payments and that it will be able to share 25% of any balance remaining in the Customer Credit Trust at the end of 30 years, but makes it clear it does not guarantee either result. This proposal, which puts the risk of an inadequately funded Customer Credit Trust squarely on ratepayers is not neutral, on average, as required by </w:t>
            </w:r>
            <w:r w:rsidR="00220150">
              <w:br/>
            </w:r>
            <w:r w:rsidRPr="00D73795">
              <w:t>D.20-05-053.”</w:t>
            </w:r>
          </w:p>
          <w:p w:rsidRPr="00D73795" w:rsidR="00D73795" w:rsidP="00D73795" w:rsidRDefault="00D73795" w14:paraId="41999F19" w14:textId="77777777"/>
          <w:p w:rsidRPr="00D73795" w:rsidR="00D73795" w:rsidP="00D73795" w:rsidRDefault="00D73795" w14:paraId="3D795032" w14:textId="3B9A931B">
            <w:pPr>
              <w:spacing w:after="240"/>
            </w:pPr>
            <w:r w:rsidRPr="00D73795">
              <w:t xml:space="preserve">“PG&amp;E’s proposed [ratepayer neutrality standard] requires ratepayers to cover the risk of </w:t>
            </w:r>
            <w:r w:rsidRPr="00D73795">
              <w:lastRenderedPageBreak/>
              <w:t>any shortfalls in the Customer Credit Trust over its expected 30-year life. … PG&amp;E’s proposed standard does not achieve the required ratepayer neutrality. It therefore also does not meet all legal requirements as determined by the CPUC (</w:t>
            </w:r>
            <w:r w:rsidRPr="00D73795">
              <w:rPr>
                <w:i/>
                <w:iCs/>
              </w:rPr>
              <w:t>e.g</w:t>
            </w:r>
            <w:r w:rsidRPr="00D73795">
              <w:t xml:space="preserve">., in </w:t>
            </w:r>
            <w:r w:rsidR="00220150">
              <w:br/>
            </w:r>
            <w:r w:rsidRPr="00D73795">
              <w:t>D.20-05-053), as contemplated by Governor Newsom.”</w:t>
            </w:r>
          </w:p>
          <w:p w:rsidRPr="00D73795" w:rsidR="00D73795" w:rsidP="00D73795" w:rsidRDefault="00D73795" w14:paraId="720662AE" w14:textId="77777777">
            <w:pPr>
              <w:spacing w:after="240"/>
            </w:pPr>
            <w:r w:rsidRPr="00D73795">
              <w:t>“PG&amp;E is clear that it will not guarantee or otherwise backstop a Customer Credit Trust Shortfall.”</w:t>
            </w:r>
          </w:p>
          <w:p w:rsidRPr="00D73795" w:rsidR="00D73795" w:rsidP="00D73795" w:rsidRDefault="00D73795" w14:paraId="7A04A937" w14:textId="77777777">
            <w:pPr>
              <w:spacing w:after="240"/>
            </w:pPr>
            <w:r w:rsidRPr="00D73795">
              <w:t>“PG&amp;E explicitly states that it cannot guarantee the sufficiency of Customer Credits … .”</w:t>
            </w:r>
          </w:p>
          <w:p w:rsidRPr="00D73795" w:rsidR="00D73795" w:rsidP="00D73795" w:rsidRDefault="00D73795" w14:paraId="1FDC9480" w14:textId="77777777">
            <w:pPr>
              <w:spacing w:after="240"/>
            </w:pPr>
            <w:r w:rsidRPr="00D73795">
              <w:t>“Customers face other substantial uncertainties with respect to the FRC during its 30-year term.”</w:t>
            </w:r>
          </w:p>
          <w:p w:rsidRPr="00D73795" w:rsidR="00D73795" w:rsidP="00D73795" w:rsidRDefault="00D73795" w14:paraId="6C39AD2B" w14:textId="7DC90FA5">
            <w:pPr>
              <w:spacing w:after="240"/>
            </w:pPr>
            <w:r w:rsidRPr="00D73795">
              <w:t xml:space="preserve">“PG&amp;E explains that other than the initial and additional shareholder contributions and the Customer Credit Trust investment returns, PG&amp;E is not obligated to make any contributions to the Customer Credit Trust. Based on PG&amp;E’s projections it will take approximately 15 years to fully fund the Customer Credit Trust. … To the extent there are deviations from the assumptions and projections used by PG&amp;E to develop the capped shareholder contribution amount of </w:t>
            </w:r>
            <w:r w:rsidR="00220150">
              <w:br/>
            </w:r>
            <w:r w:rsidRPr="00D73795">
              <w:t xml:space="preserve">$7.59 billion, there is a real </w:t>
            </w:r>
            <w:r w:rsidRPr="00D73795">
              <w:lastRenderedPageBreak/>
              <w:t>risk that there will not be sufficient funds in the Customer Credit Trust to cover FRCs over the planned 30-year amortization of the Securitization bonds. PG&amp;E’s allocation of risk is unreasonably lopsided – ratepayers’ potential exposure to cover insufficient Customer Credit Trust funds is not capped, while shareholder contributions to the Trust are capped. … The Commission should ensure that shareholders’ contributions to the Customer Credit Trust are in amounts that avoid these unreasonable ratepayer risks.”</w:t>
            </w:r>
          </w:p>
          <w:p w:rsidRPr="00D73795" w:rsidR="00D73795" w:rsidP="00D73795" w:rsidRDefault="00D73795" w14:paraId="7BB52D13" w14:textId="77777777">
            <w:pPr>
              <w:spacing w:after="240"/>
            </w:pPr>
            <w:r w:rsidRPr="00D73795">
              <w:t xml:space="preserve">“PG&amp;E’s argument that its securitization proposal is rate neutral is largely based on modeling, which in turn relies on assumptions that have been disputed. An extensive evidentiary record has been developed showing the deficiencies in PG&amp;E’s assumptions and forecasts and indicating the risk to customers is likely higher.” </w:t>
            </w:r>
          </w:p>
          <w:p w:rsidRPr="00D73795" w:rsidR="00D73795" w:rsidP="00D73795" w:rsidRDefault="00D73795" w14:paraId="708F25D0" w14:textId="77777777">
            <w:r w:rsidRPr="00D73795">
              <w:t xml:space="preserve">“The Proposed Decision correctly determines that ‘[a]s originally presented, PG&amp;E’s securitization plan was not likely to be neutral on average to ratepayers over the course of the 30 plus year term.’ The Proposed Decision identifies some of the ‘key risks’ that parties to the proceeding identified as PG&amp;E’s failure to meet its income projections (leading to delayed or </w:t>
            </w:r>
            <w:r w:rsidRPr="00D73795">
              <w:lastRenderedPageBreak/>
              <w:t>insufficient net operating loss (NOL) realization), the risk of catastrophic loss of the value of the NOLs, and the risk associated with investment returns.”</w:t>
            </w:r>
          </w:p>
          <w:p w:rsidRPr="00D73795" w:rsidR="00D73795" w:rsidP="00D73795" w:rsidRDefault="00D73795" w14:paraId="3EAA9CC4" w14:textId="77777777"/>
          <w:p w:rsidRPr="00D73795" w:rsidR="00D73795" w:rsidP="00D73795" w:rsidRDefault="00D73795" w14:paraId="324CDCF3" w14:textId="77777777">
            <w:r w:rsidRPr="00D73795">
              <w:t>“An extensive evidentiary record has been developed to support a Commission determination that PG&amp;E’s proposed securitization is not ratepayer neutral and should be denied. Additionally recent events highlight the ongoing risks posed to ratepayers by PG&amp;E’s actions and inactions. …”</w:t>
            </w:r>
          </w:p>
          <w:p w:rsidRPr="00D73795" w:rsidR="00D73795" w:rsidP="00D73795" w:rsidRDefault="00D73795" w14:paraId="49C536A3" w14:textId="77777777"/>
          <w:p w:rsidRPr="00D73795" w:rsidR="00D73795" w:rsidP="00D73795" w:rsidRDefault="00D73795" w14:paraId="2DCDD552" w14:textId="77777777">
            <w:r w:rsidRPr="00D73795">
              <w:t xml:space="preserve">“Clarity is required to determine whether the Commission’s interpretation of the ratepayer neutrality requirement is legally sound and whether a decision on PG&amp;E’s securitization proposal is based on a correct legal interpretation.” </w:t>
            </w:r>
          </w:p>
          <w:p w:rsidRPr="00D73795" w:rsidR="00D73795" w:rsidP="00D73795" w:rsidRDefault="00D73795" w14:paraId="4C7D76EA" w14:textId="77777777"/>
          <w:p w:rsidRPr="00D73795" w:rsidR="00D73795" w:rsidP="00D73795" w:rsidRDefault="00D73795" w14:paraId="0447DDD5" w14:textId="77777777">
            <w:pPr>
              <w:spacing w:before="120"/>
              <w:rPr>
                <w:color w:val="000000"/>
              </w:rPr>
            </w:pPr>
            <w:r w:rsidRPr="00D73795">
              <w:rPr>
                <w:i/>
                <w:color w:val="000000"/>
                <w:u w:val="single"/>
              </w:rPr>
              <w:t>Decision</w:t>
            </w:r>
            <w:r w:rsidRPr="00D73795">
              <w:rPr>
                <w:color w:val="000000"/>
              </w:rPr>
              <w:t>:</w:t>
            </w:r>
          </w:p>
          <w:p w:rsidRPr="00D73795" w:rsidR="00D73795" w:rsidP="00D73795" w:rsidRDefault="00D73795" w14:paraId="5415DA4B" w14:textId="77777777">
            <w:pPr>
              <w:rPr>
                <w:color w:val="000000"/>
              </w:rPr>
            </w:pPr>
          </w:p>
          <w:p w:rsidRPr="00D73795" w:rsidR="00D73795" w:rsidP="00D73795" w:rsidRDefault="00D73795" w14:paraId="656445A3" w14:textId="0D64DD48">
            <w:r w:rsidRPr="00D73795">
              <w:rPr>
                <w:color w:val="000000"/>
              </w:rPr>
              <w:t xml:space="preserve">“PG&amp;E presented a model evaluating projected returns that showed cash flow to customers is positive in </w:t>
            </w:r>
            <w:r w:rsidR="00220150">
              <w:rPr>
                <w:color w:val="000000"/>
              </w:rPr>
              <w:br/>
            </w:r>
            <w:r w:rsidRPr="00D73795">
              <w:rPr>
                <w:color w:val="000000"/>
              </w:rPr>
              <w:t>84 percent of the Monte Carlo simulations of returns.” (</w:t>
            </w:r>
            <w:r w:rsidRPr="00220150" w:rsidR="00220150">
              <w:rPr>
                <w:i/>
                <w:iCs/>
                <w:color w:val="000000"/>
              </w:rPr>
              <w:t>i</w:t>
            </w:r>
            <w:r w:rsidRPr="00D73795">
              <w:rPr>
                <w:i/>
                <w:iCs/>
                <w:color w:val="000000"/>
              </w:rPr>
              <w:t>.e</w:t>
            </w:r>
            <w:r w:rsidRPr="00D73795">
              <w:rPr>
                <w:color w:val="000000"/>
              </w:rPr>
              <w:t>., as discussed above “</w:t>
            </w:r>
            <w:r w:rsidRPr="00D73795">
              <w:t xml:space="preserve">Even under PG&amp;E’s projections, there is a 16 percent chance of a shortfall in the Customer Credit Trust that customers will have to cover.” </w:t>
            </w:r>
          </w:p>
          <w:p w:rsidRPr="00D73795" w:rsidR="00D73795" w:rsidP="00D73795" w:rsidRDefault="00D73795" w14:paraId="52D0689D" w14:textId="77777777"/>
          <w:p w:rsidRPr="00D73795" w:rsidR="00D73795" w:rsidP="00D73795" w:rsidRDefault="00D73795" w14:paraId="204A262E" w14:textId="77777777">
            <w:r w:rsidRPr="00D73795">
              <w:lastRenderedPageBreak/>
              <w:t xml:space="preserve">“In reviewing the options presented by this application there are risks associated with any decision we make. … As originally presented, PG&amp;E’s securitization plan was arguably neutral, on average to ratepayers over the course of the 30 plus year term. </w:t>
            </w:r>
          </w:p>
          <w:p w:rsidRPr="00D73795" w:rsidR="00D73795" w:rsidP="00D73795" w:rsidRDefault="00D73795" w14:paraId="57A76FB4" w14:textId="77777777">
            <w:pPr>
              <w:spacing w:after="240"/>
              <w:rPr>
                <w:color w:val="000000"/>
              </w:rPr>
            </w:pPr>
            <w:r w:rsidRPr="00D73795">
              <w:rPr>
                <w:color w:val="000000"/>
              </w:rPr>
              <w:t>However neutral it was, when taken as a whole, PG&amp;E’s modifications developed at and from the evidentiary hearing provide a higher level of assurance that the securitization plan will be neutral, on average.” (</w:t>
            </w:r>
            <w:r w:rsidRPr="00D73795">
              <w:rPr>
                <w:i/>
                <w:iCs/>
                <w:color w:val="000000"/>
              </w:rPr>
              <w:t>See also</w:t>
            </w:r>
            <w:r w:rsidRPr="00D73795">
              <w:rPr>
                <w:color w:val="000000"/>
              </w:rPr>
              <w:t>, discussion below regarding conditions/alternatives to PG&amp;E’s originally proposed securitization plan.)</w:t>
            </w:r>
          </w:p>
          <w:p w:rsidRPr="00D73795" w:rsidR="00D73795" w:rsidP="00D73795" w:rsidRDefault="00D73795" w14:paraId="4D7520AF" w14:textId="77777777">
            <w:pPr>
              <w:spacing w:after="240"/>
            </w:pPr>
            <w:r w:rsidRPr="00D73795">
              <w:t>It is only with the modifications proposed by PG&amp;E and “other changes described in this decision” that that the Commission was able “to determine that PG&amp;E has meet its burden to show the securitization is neutral, on average to ratepayers as required by D.20-05-053.”</w:t>
            </w:r>
          </w:p>
          <w:p w:rsidRPr="00D73795" w:rsidR="00D73795" w:rsidP="00D73795" w:rsidRDefault="00D73795" w14:paraId="2173C0AE" w14:textId="77777777">
            <w:pPr>
              <w:spacing w:after="240"/>
            </w:pPr>
            <w:r w:rsidRPr="00D73795">
              <w:t>“…[w]e have not waived an ability to utilize our standing regulatory authority to satisfy ratepayer neutrality arguments brought by Intervenors (with the expectation that such authority will never be invoked).”</w:t>
            </w:r>
          </w:p>
          <w:p w:rsidRPr="00D73795" w:rsidR="00D73795" w:rsidP="00D73795" w:rsidRDefault="00D73795" w14:paraId="70B38449" w14:textId="77777777">
            <w:r w:rsidRPr="00D73795">
              <w:t xml:space="preserve">“Therefore, rather than continue to seek to adjust the proposal in an attempt to </w:t>
            </w:r>
            <w:r w:rsidRPr="00D73795">
              <w:lastRenderedPageBreak/>
              <w:t>eliminate all risks that, structurally, will always remain, we conclude that the potential benefits are broad enough and the potential risk is narrow enough at this point to approve PG&amp;E’s proposal with a modified version of the subsequent proceeding that preserves the ability to consider ratemaking and other proposals in the unlikely event the conditions described above occur. We view these conditions as necessary to ensure rate neutrality.”</w:t>
            </w:r>
          </w:p>
          <w:p w:rsidRPr="00D73795" w:rsidR="00D73795" w:rsidP="00D73795" w:rsidRDefault="00D73795" w14:paraId="31E6E3C0" w14:textId="77777777">
            <w:pPr>
              <w:rPr>
                <w:color w:val="000000"/>
              </w:rPr>
            </w:pPr>
          </w:p>
        </w:tc>
        <w:tc>
          <w:tcPr>
            <w:tcW w:w="4230" w:type="dxa"/>
            <w:shd w:val="clear" w:color="auto" w:fill="auto"/>
          </w:tcPr>
          <w:p w:rsidRPr="00D73795" w:rsidR="00D73795" w:rsidP="001B3A12" w:rsidRDefault="00D73795" w14:paraId="01BC00B7" w14:textId="77777777">
            <w:pPr>
              <w:jc w:val="center"/>
            </w:pPr>
          </w:p>
          <w:p w:rsidRPr="00D73795" w:rsidR="00D73795" w:rsidP="001B3A12" w:rsidRDefault="00D73795" w14:paraId="2474164B" w14:textId="77777777">
            <w:pPr>
              <w:jc w:val="center"/>
            </w:pPr>
          </w:p>
          <w:p w:rsidRPr="00D73795" w:rsidR="00D73795" w:rsidP="001B3A12" w:rsidRDefault="00D73795" w14:paraId="1487FC5D" w14:textId="77777777">
            <w:pPr>
              <w:jc w:val="center"/>
            </w:pPr>
          </w:p>
          <w:p w:rsidRPr="00D73795" w:rsidR="00D73795" w:rsidP="001B3A12" w:rsidRDefault="00D73795" w14:paraId="3FE94058" w14:textId="77777777">
            <w:pPr>
              <w:jc w:val="center"/>
            </w:pPr>
          </w:p>
          <w:p w:rsidRPr="00D73795" w:rsidR="00D73795" w:rsidP="001B3A12" w:rsidRDefault="00D73795" w14:paraId="72565186" w14:textId="77777777">
            <w:pPr>
              <w:jc w:val="center"/>
            </w:pPr>
          </w:p>
          <w:p w:rsidRPr="00D73795" w:rsidR="00D73795" w:rsidP="001B3A12" w:rsidRDefault="00D73795" w14:paraId="74826E8C" w14:textId="77777777">
            <w:pPr>
              <w:jc w:val="center"/>
            </w:pPr>
          </w:p>
          <w:p w:rsidRPr="00D73795" w:rsidR="00D73795" w:rsidP="001B3A12" w:rsidRDefault="00D73795" w14:paraId="4AD7EE37" w14:textId="77777777">
            <w:pPr>
              <w:jc w:val="center"/>
            </w:pPr>
          </w:p>
          <w:p w:rsidRPr="00D73795" w:rsidR="00D73795" w:rsidP="001B3A12" w:rsidRDefault="00D73795" w14:paraId="58DA8979" w14:textId="77777777">
            <w:pPr>
              <w:jc w:val="center"/>
            </w:pPr>
          </w:p>
          <w:p w:rsidRPr="00D73795" w:rsidR="00D73795" w:rsidP="001B3A12" w:rsidRDefault="00D73795" w14:paraId="52D8CA76" w14:textId="77777777">
            <w:pPr>
              <w:jc w:val="center"/>
            </w:pPr>
          </w:p>
          <w:p w:rsidRPr="00D73795" w:rsidR="00D73795" w:rsidP="001B3A12" w:rsidRDefault="00D73795" w14:paraId="61DBF319" w14:textId="176A3FD9">
            <w:pPr>
              <w:jc w:val="center"/>
            </w:pPr>
            <w:r w:rsidRPr="00D73795">
              <w:t xml:space="preserve">Response of AECA to PG&amp;E’s Application, </w:t>
            </w:r>
            <w:r w:rsidR="001B3A12">
              <w:t xml:space="preserve">at </w:t>
            </w:r>
            <w:r w:rsidRPr="00D73795">
              <w:t>2.</w:t>
            </w:r>
          </w:p>
          <w:p w:rsidRPr="00D73795" w:rsidR="00D73795" w:rsidP="001B3A12" w:rsidRDefault="00D73795" w14:paraId="4E09E4F1" w14:textId="77777777">
            <w:pPr>
              <w:jc w:val="center"/>
            </w:pPr>
          </w:p>
          <w:p w:rsidRPr="00D73795" w:rsidR="00D73795" w:rsidP="001B3A12" w:rsidRDefault="00D73795" w14:paraId="6CA0C9BD" w14:textId="77777777">
            <w:pPr>
              <w:jc w:val="center"/>
            </w:pPr>
          </w:p>
          <w:p w:rsidRPr="00D73795" w:rsidR="00D73795" w:rsidP="001B3A12" w:rsidRDefault="00D73795" w14:paraId="6F684FD8" w14:textId="77777777">
            <w:pPr>
              <w:jc w:val="center"/>
            </w:pPr>
          </w:p>
          <w:p w:rsidRPr="00D73795" w:rsidR="00D73795" w:rsidP="001B3A12" w:rsidRDefault="00D73795" w14:paraId="0FCBF8CC" w14:textId="70997557">
            <w:pPr>
              <w:jc w:val="center"/>
            </w:pPr>
            <w:r w:rsidRPr="00D73795">
              <w:t xml:space="preserve">Response of AECA to PG&amp;E’s Application, </w:t>
            </w:r>
            <w:r w:rsidR="001B3A12">
              <w:t xml:space="preserve">at </w:t>
            </w:r>
            <w:r w:rsidRPr="00D73795">
              <w:t>2.</w:t>
            </w:r>
          </w:p>
          <w:p w:rsidRPr="00D73795" w:rsidR="00D73795" w:rsidP="001B3A12" w:rsidRDefault="00D73795" w14:paraId="1F14702B" w14:textId="77777777">
            <w:pPr>
              <w:jc w:val="center"/>
            </w:pPr>
          </w:p>
          <w:p w:rsidRPr="00D73795" w:rsidR="00D73795" w:rsidP="001B3A12" w:rsidRDefault="00D73795" w14:paraId="6E1FF517" w14:textId="77777777">
            <w:pPr>
              <w:jc w:val="center"/>
            </w:pPr>
          </w:p>
          <w:p w:rsidRPr="00D73795" w:rsidR="00D73795" w:rsidP="001B3A12" w:rsidRDefault="00D73795" w14:paraId="5B0A5A88" w14:textId="77777777">
            <w:pPr>
              <w:jc w:val="center"/>
            </w:pPr>
          </w:p>
          <w:p w:rsidRPr="00D73795" w:rsidR="00D73795" w:rsidP="001B3A12" w:rsidRDefault="00D73795" w14:paraId="373FF1E4" w14:textId="77777777">
            <w:pPr>
              <w:jc w:val="center"/>
            </w:pPr>
          </w:p>
          <w:p w:rsidRPr="00D73795" w:rsidR="00D73795" w:rsidP="001B3A12" w:rsidRDefault="00D73795" w14:paraId="2B2F938B" w14:textId="77777777">
            <w:pPr>
              <w:jc w:val="center"/>
            </w:pPr>
          </w:p>
          <w:p w:rsidRPr="00D73795" w:rsidR="00D73795" w:rsidP="001B3A12" w:rsidRDefault="00D73795" w14:paraId="5B3BFB8F" w14:textId="77777777">
            <w:pPr>
              <w:jc w:val="center"/>
            </w:pPr>
          </w:p>
          <w:p w:rsidRPr="00D73795" w:rsidR="00D73795" w:rsidP="001B3A12" w:rsidRDefault="00D73795" w14:paraId="272E8267" w14:textId="77777777">
            <w:pPr>
              <w:jc w:val="center"/>
            </w:pPr>
          </w:p>
          <w:p w:rsidRPr="00D73795" w:rsidR="00D73795" w:rsidP="001B3A12" w:rsidRDefault="00D73795" w14:paraId="3E4D8102" w14:textId="77777777">
            <w:pPr>
              <w:jc w:val="center"/>
            </w:pPr>
          </w:p>
          <w:p w:rsidRPr="00D73795" w:rsidR="00D73795" w:rsidP="001B3A12" w:rsidRDefault="00D73795" w14:paraId="3E5B1087" w14:textId="76BF80E3">
            <w:pPr>
              <w:jc w:val="center"/>
            </w:pPr>
            <w:r w:rsidRPr="00D73795">
              <w:t xml:space="preserve">Prepared Direct Testimony of </w:t>
            </w:r>
            <w:r w:rsidR="001B3A12">
              <w:br/>
            </w:r>
            <w:r w:rsidRPr="00D73795">
              <w:t>Michael Boccadoro,</w:t>
            </w:r>
            <w:r w:rsidR="001B3A12">
              <w:t xml:space="preserve"> at </w:t>
            </w:r>
            <w:r w:rsidRPr="00D73795">
              <w:t>5, lines 17-19.</w:t>
            </w:r>
          </w:p>
          <w:p w:rsidRPr="00D73795" w:rsidR="00D73795" w:rsidP="001B3A12" w:rsidRDefault="00D73795" w14:paraId="4695ECF9" w14:textId="77777777">
            <w:pPr>
              <w:jc w:val="center"/>
            </w:pPr>
          </w:p>
          <w:p w:rsidRPr="00D73795" w:rsidR="00D73795" w:rsidP="001B3A12" w:rsidRDefault="00D73795" w14:paraId="00B0F5CF" w14:textId="77777777">
            <w:pPr>
              <w:keepNext/>
              <w:keepLines/>
              <w:jc w:val="center"/>
              <w:rPr>
                <w:color w:val="000000"/>
              </w:rPr>
            </w:pPr>
          </w:p>
          <w:p w:rsidRPr="00D73795" w:rsidR="00D73795" w:rsidP="001B3A12" w:rsidRDefault="00D73795" w14:paraId="1FD2C883" w14:textId="77777777">
            <w:pPr>
              <w:jc w:val="center"/>
            </w:pPr>
          </w:p>
          <w:p w:rsidRPr="00D73795" w:rsidR="00D73795" w:rsidP="001B3A12" w:rsidRDefault="00D73795" w14:paraId="746319E9" w14:textId="77777777">
            <w:pPr>
              <w:jc w:val="center"/>
            </w:pPr>
          </w:p>
          <w:p w:rsidRPr="00D73795" w:rsidR="00D73795" w:rsidP="001B3A12" w:rsidRDefault="00D73795" w14:paraId="18E60090" w14:textId="77777777">
            <w:pPr>
              <w:jc w:val="center"/>
            </w:pPr>
          </w:p>
          <w:p w:rsidRPr="00D73795" w:rsidR="00D73795" w:rsidP="001B3A12" w:rsidRDefault="00D73795" w14:paraId="4AB04863" w14:textId="77777777">
            <w:pPr>
              <w:jc w:val="center"/>
            </w:pPr>
          </w:p>
          <w:p w:rsidRPr="00D73795" w:rsidR="00D73795" w:rsidP="001B3A12" w:rsidRDefault="00D73795" w14:paraId="67D5E105" w14:textId="77777777">
            <w:pPr>
              <w:jc w:val="center"/>
            </w:pPr>
          </w:p>
          <w:p w:rsidRPr="00D73795" w:rsidR="00D73795" w:rsidP="001B3A12" w:rsidRDefault="00D73795" w14:paraId="13265B9B" w14:textId="77777777">
            <w:pPr>
              <w:jc w:val="center"/>
            </w:pPr>
          </w:p>
          <w:p w:rsidRPr="00D73795" w:rsidR="00D73795" w:rsidP="001B3A12" w:rsidRDefault="00D73795" w14:paraId="4194F42B" w14:textId="6BA38069">
            <w:pPr>
              <w:jc w:val="center"/>
            </w:pPr>
            <w:r w:rsidRPr="00D73795">
              <w:t xml:space="preserve">Prepared Direct Testimony of </w:t>
            </w:r>
            <w:r w:rsidR="001B3A12">
              <w:br/>
            </w:r>
            <w:r w:rsidRPr="00D73795">
              <w:t xml:space="preserve">Michael Boccadoro, </w:t>
            </w:r>
            <w:r w:rsidR="001B3A12">
              <w:t xml:space="preserve">at </w:t>
            </w:r>
            <w:r w:rsidRPr="00D73795">
              <w:t>6, lines 10-12.</w:t>
            </w:r>
          </w:p>
          <w:p w:rsidRPr="00D73795" w:rsidR="00D73795" w:rsidP="001B3A12" w:rsidRDefault="00D73795" w14:paraId="0A67EB91" w14:textId="77777777">
            <w:pPr>
              <w:jc w:val="center"/>
              <w:rPr>
                <w:color w:val="000000"/>
              </w:rPr>
            </w:pPr>
          </w:p>
          <w:p w:rsidRPr="00D73795" w:rsidR="00D73795" w:rsidP="001B3A12" w:rsidRDefault="00D73795" w14:paraId="4FC4DA43" w14:textId="77777777">
            <w:pPr>
              <w:jc w:val="center"/>
              <w:rPr>
                <w:color w:val="000000"/>
              </w:rPr>
            </w:pPr>
          </w:p>
          <w:p w:rsidRPr="00D73795" w:rsidR="00D73795" w:rsidP="001B3A12" w:rsidRDefault="00D73795" w14:paraId="4DF62C35" w14:textId="77777777">
            <w:pPr>
              <w:jc w:val="center"/>
              <w:rPr>
                <w:color w:val="000000"/>
              </w:rPr>
            </w:pPr>
          </w:p>
          <w:p w:rsidRPr="00D73795" w:rsidR="00D73795" w:rsidP="001B3A12" w:rsidRDefault="00D73795" w14:paraId="780ACE5C" w14:textId="77777777">
            <w:pPr>
              <w:jc w:val="center"/>
              <w:rPr>
                <w:color w:val="000000"/>
              </w:rPr>
            </w:pPr>
          </w:p>
          <w:p w:rsidRPr="00D73795" w:rsidR="00D73795" w:rsidP="001B3A12" w:rsidRDefault="00D73795" w14:paraId="519B88D8" w14:textId="77777777">
            <w:pPr>
              <w:spacing w:after="240"/>
              <w:jc w:val="center"/>
              <w:rPr>
                <w:color w:val="000000"/>
              </w:rPr>
            </w:pPr>
          </w:p>
          <w:p w:rsidRPr="00D73795" w:rsidR="00D73795" w:rsidP="001B3A12" w:rsidRDefault="00D73795" w14:paraId="56DDB630" w14:textId="6B34E65C">
            <w:pPr>
              <w:jc w:val="center"/>
            </w:pPr>
            <w:r w:rsidRPr="00D73795">
              <w:t xml:space="preserve">Prepared Direct Testimony of </w:t>
            </w:r>
            <w:r w:rsidR="001B3A12">
              <w:br/>
            </w:r>
            <w:r w:rsidRPr="00D73795">
              <w:t xml:space="preserve">Michael Boccadoro, </w:t>
            </w:r>
            <w:r w:rsidR="001B3A12">
              <w:t xml:space="preserve">at </w:t>
            </w:r>
            <w:r w:rsidRPr="00D73795">
              <w:t xml:space="preserve">8, line 16 through </w:t>
            </w:r>
            <w:r w:rsidR="001B3A12">
              <w:t xml:space="preserve">at </w:t>
            </w:r>
            <w:r w:rsidRPr="00D73795">
              <w:t>9, line 3.</w:t>
            </w:r>
          </w:p>
          <w:p w:rsidRPr="00D73795" w:rsidR="00D73795" w:rsidP="001B3A12" w:rsidRDefault="00D73795" w14:paraId="12A3229C" w14:textId="77777777">
            <w:pPr>
              <w:jc w:val="center"/>
              <w:rPr>
                <w:color w:val="000000"/>
              </w:rPr>
            </w:pPr>
          </w:p>
          <w:p w:rsidRPr="00D73795" w:rsidR="00D73795" w:rsidP="001B3A12" w:rsidRDefault="00D73795" w14:paraId="177385FA" w14:textId="77777777">
            <w:pPr>
              <w:jc w:val="center"/>
            </w:pPr>
          </w:p>
          <w:p w:rsidRPr="00D73795" w:rsidR="00D73795" w:rsidP="001B3A12" w:rsidRDefault="00D73795" w14:paraId="45E7905A" w14:textId="77777777">
            <w:pPr>
              <w:jc w:val="center"/>
            </w:pPr>
          </w:p>
          <w:p w:rsidRPr="00D73795" w:rsidR="00D73795" w:rsidP="001B3A12" w:rsidRDefault="00D73795" w14:paraId="5F999FF0" w14:textId="77777777">
            <w:pPr>
              <w:jc w:val="center"/>
            </w:pPr>
          </w:p>
          <w:p w:rsidRPr="00D73795" w:rsidR="00D73795" w:rsidP="001B3A12" w:rsidRDefault="00D73795" w14:paraId="2399B2D3" w14:textId="77777777">
            <w:pPr>
              <w:jc w:val="center"/>
            </w:pPr>
          </w:p>
          <w:p w:rsidRPr="00D73795" w:rsidR="00D73795" w:rsidP="001B3A12" w:rsidRDefault="00D73795" w14:paraId="5A6E0D10" w14:textId="77777777">
            <w:pPr>
              <w:jc w:val="center"/>
            </w:pPr>
          </w:p>
          <w:p w:rsidRPr="00D73795" w:rsidR="00D73795" w:rsidP="001B3A12" w:rsidRDefault="00D73795" w14:paraId="4AF7F26F" w14:textId="77777777">
            <w:pPr>
              <w:jc w:val="center"/>
            </w:pPr>
          </w:p>
          <w:p w:rsidRPr="00D73795" w:rsidR="00D73795" w:rsidP="001B3A12" w:rsidRDefault="00D73795" w14:paraId="251C5B13" w14:textId="77777777">
            <w:pPr>
              <w:jc w:val="center"/>
            </w:pPr>
          </w:p>
          <w:p w:rsidRPr="00D73795" w:rsidR="00D73795" w:rsidP="001B3A12" w:rsidRDefault="00D73795" w14:paraId="4BDEBE12" w14:textId="77777777">
            <w:pPr>
              <w:jc w:val="center"/>
            </w:pPr>
          </w:p>
          <w:p w:rsidRPr="00D73795" w:rsidR="00D73795" w:rsidP="001B3A12" w:rsidRDefault="00D73795" w14:paraId="3B2E8E08" w14:textId="77777777">
            <w:pPr>
              <w:jc w:val="center"/>
            </w:pPr>
          </w:p>
          <w:p w:rsidRPr="00D73795" w:rsidR="00D73795" w:rsidP="001B3A12" w:rsidRDefault="00D73795" w14:paraId="040BAC6A" w14:textId="77777777">
            <w:pPr>
              <w:jc w:val="center"/>
            </w:pPr>
          </w:p>
          <w:p w:rsidRPr="00D73795" w:rsidR="00D73795" w:rsidP="001B3A12" w:rsidRDefault="00D73795" w14:paraId="4EE21A60" w14:textId="77777777">
            <w:pPr>
              <w:jc w:val="center"/>
            </w:pPr>
          </w:p>
          <w:p w:rsidRPr="00D73795" w:rsidR="00D73795" w:rsidP="001B3A12" w:rsidRDefault="00D73795" w14:paraId="531AB3BC" w14:textId="77777777">
            <w:pPr>
              <w:jc w:val="center"/>
            </w:pPr>
          </w:p>
          <w:p w:rsidRPr="00D73795" w:rsidR="00D73795" w:rsidP="001B3A12" w:rsidRDefault="00D73795" w14:paraId="426E0B7D" w14:textId="77777777">
            <w:pPr>
              <w:jc w:val="center"/>
            </w:pPr>
          </w:p>
          <w:p w:rsidRPr="00D73795" w:rsidR="00D73795" w:rsidP="001B3A12" w:rsidRDefault="00D73795" w14:paraId="12BB8C3C" w14:textId="77777777">
            <w:pPr>
              <w:jc w:val="center"/>
            </w:pPr>
          </w:p>
          <w:p w:rsidRPr="00D73795" w:rsidR="00D73795" w:rsidP="001B3A12" w:rsidRDefault="00D73795" w14:paraId="3FFF9AC3" w14:textId="77777777">
            <w:pPr>
              <w:jc w:val="center"/>
            </w:pPr>
          </w:p>
          <w:p w:rsidRPr="00D73795" w:rsidR="00D73795" w:rsidP="001B3A12" w:rsidRDefault="00D73795" w14:paraId="4BE0F0D3" w14:textId="77777777">
            <w:pPr>
              <w:spacing w:after="240"/>
              <w:jc w:val="center"/>
            </w:pPr>
          </w:p>
          <w:p w:rsidRPr="00D73795" w:rsidR="00D73795" w:rsidP="001B3A12" w:rsidRDefault="00D73795" w14:paraId="0F839B28" w14:textId="3059D19E">
            <w:pPr>
              <w:jc w:val="center"/>
            </w:pPr>
            <w:r w:rsidRPr="00D73795">
              <w:t xml:space="preserve">Prepared Direct Testimony of </w:t>
            </w:r>
            <w:r w:rsidR="001B3A12">
              <w:br/>
            </w:r>
            <w:r w:rsidRPr="00D73795">
              <w:t xml:space="preserve">Michael Boccadoro, </w:t>
            </w:r>
            <w:r w:rsidR="001B3A12">
              <w:t xml:space="preserve">at </w:t>
            </w:r>
            <w:r w:rsidRPr="00D73795">
              <w:t>10, lines 7-14.</w:t>
            </w:r>
          </w:p>
          <w:p w:rsidRPr="00D73795" w:rsidR="00D73795" w:rsidP="001B3A12" w:rsidRDefault="00D73795" w14:paraId="46E41277" w14:textId="77777777">
            <w:pPr>
              <w:spacing w:before="120"/>
              <w:jc w:val="center"/>
              <w:rPr>
                <w:color w:val="000000"/>
              </w:rPr>
            </w:pPr>
          </w:p>
          <w:p w:rsidRPr="00D73795" w:rsidR="00D73795" w:rsidP="001B3A12" w:rsidRDefault="00D73795" w14:paraId="36A53D44" w14:textId="77777777">
            <w:pPr>
              <w:spacing w:before="120"/>
              <w:jc w:val="center"/>
              <w:rPr>
                <w:color w:val="000000"/>
              </w:rPr>
            </w:pPr>
          </w:p>
          <w:p w:rsidRPr="00D73795" w:rsidR="00D73795" w:rsidP="001B3A12" w:rsidRDefault="00D73795" w14:paraId="7C2C31F7" w14:textId="77777777">
            <w:pPr>
              <w:jc w:val="center"/>
              <w:rPr>
                <w:iCs/>
              </w:rPr>
            </w:pPr>
          </w:p>
          <w:p w:rsidRPr="00D73795" w:rsidR="00D73795" w:rsidP="001B3A12" w:rsidRDefault="00D73795" w14:paraId="4685CFE2" w14:textId="77777777">
            <w:pPr>
              <w:jc w:val="center"/>
            </w:pPr>
          </w:p>
          <w:p w:rsidRPr="00D73795" w:rsidR="00D73795" w:rsidP="001B3A12" w:rsidRDefault="00D73795" w14:paraId="1684F462" w14:textId="77777777">
            <w:pPr>
              <w:jc w:val="center"/>
            </w:pPr>
          </w:p>
          <w:p w:rsidRPr="00D73795" w:rsidR="00D73795" w:rsidP="001B3A12" w:rsidRDefault="00D73795" w14:paraId="05A020EE" w14:textId="77777777">
            <w:pPr>
              <w:jc w:val="center"/>
            </w:pPr>
          </w:p>
          <w:p w:rsidRPr="00D73795" w:rsidR="00D73795" w:rsidP="001B3A12" w:rsidRDefault="00D73795" w14:paraId="6B1C0F51" w14:textId="77777777">
            <w:pPr>
              <w:jc w:val="center"/>
            </w:pPr>
          </w:p>
          <w:p w:rsidRPr="00D73795" w:rsidR="00D73795" w:rsidP="001B3A12" w:rsidRDefault="00D73795" w14:paraId="2E8493DB" w14:textId="77777777">
            <w:pPr>
              <w:jc w:val="center"/>
            </w:pPr>
          </w:p>
          <w:p w:rsidRPr="00D73795" w:rsidR="00D73795" w:rsidP="001B3A12" w:rsidRDefault="00D73795" w14:paraId="2F291519" w14:textId="77777777">
            <w:pPr>
              <w:jc w:val="center"/>
            </w:pPr>
          </w:p>
          <w:p w:rsidRPr="00D73795" w:rsidR="00D73795" w:rsidP="001B3A12" w:rsidRDefault="00D73795" w14:paraId="561B2012" w14:textId="77777777">
            <w:pPr>
              <w:jc w:val="center"/>
            </w:pPr>
          </w:p>
          <w:p w:rsidRPr="00D73795" w:rsidR="00D73795" w:rsidP="001B3A12" w:rsidRDefault="00D73795" w14:paraId="69AA3105" w14:textId="77777777">
            <w:pPr>
              <w:jc w:val="center"/>
              <w:rPr>
                <w:color w:val="000000"/>
              </w:rPr>
            </w:pPr>
          </w:p>
          <w:p w:rsidRPr="00D73795" w:rsidR="00D73795" w:rsidP="001B3A12" w:rsidRDefault="00D73795" w14:paraId="41278EE4" w14:textId="77777777">
            <w:pPr>
              <w:jc w:val="center"/>
              <w:rPr>
                <w:color w:val="000000"/>
              </w:rPr>
            </w:pPr>
          </w:p>
          <w:p w:rsidRPr="00D73795" w:rsidR="00D73795" w:rsidP="001B3A12" w:rsidRDefault="00D73795" w14:paraId="25A1A742" w14:textId="77777777">
            <w:pPr>
              <w:jc w:val="center"/>
              <w:rPr>
                <w:color w:val="000000"/>
              </w:rPr>
            </w:pPr>
          </w:p>
          <w:p w:rsidRPr="00D73795" w:rsidR="00D73795" w:rsidP="001B3A12" w:rsidRDefault="00D73795" w14:paraId="459A4E11" w14:textId="77777777">
            <w:pPr>
              <w:jc w:val="center"/>
              <w:rPr>
                <w:color w:val="000000"/>
              </w:rPr>
            </w:pPr>
          </w:p>
          <w:p w:rsidRPr="00D73795" w:rsidR="00D73795" w:rsidP="001B3A12" w:rsidRDefault="00D73795" w14:paraId="4BB1B9C4" w14:textId="77777777">
            <w:pPr>
              <w:jc w:val="center"/>
              <w:rPr>
                <w:color w:val="000000"/>
              </w:rPr>
            </w:pPr>
          </w:p>
          <w:p w:rsidRPr="00D73795" w:rsidR="00D73795" w:rsidP="001B3A12" w:rsidRDefault="00D73795" w14:paraId="7C307B00" w14:textId="77777777">
            <w:pPr>
              <w:jc w:val="center"/>
              <w:rPr>
                <w:color w:val="000000"/>
              </w:rPr>
            </w:pPr>
          </w:p>
          <w:p w:rsidRPr="00D73795" w:rsidR="00D73795" w:rsidP="001B3A12" w:rsidRDefault="00D73795" w14:paraId="6AEBB74B" w14:textId="77777777">
            <w:pPr>
              <w:jc w:val="center"/>
              <w:rPr>
                <w:color w:val="000000"/>
              </w:rPr>
            </w:pPr>
          </w:p>
          <w:p w:rsidRPr="00D73795" w:rsidR="00D73795" w:rsidP="001B3A12" w:rsidRDefault="00D73795" w14:paraId="6FE3A1AB" w14:textId="77777777">
            <w:pPr>
              <w:spacing w:after="240"/>
              <w:jc w:val="center"/>
              <w:rPr>
                <w:color w:val="000000"/>
              </w:rPr>
            </w:pPr>
          </w:p>
          <w:p w:rsidRPr="00D73795" w:rsidR="00D73795" w:rsidP="001B3A12" w:rsidRDefault="00D73795" w14:paraId="0ABE0CD8" w14:textId="5BF4F838">
            <w:pPr>
              <w:spacing w:before="120"/>
              <w:jc w:val="center"/>
              <w:rPr>
                <w:color w:val="000000"/>
              </w:rPr>
            </w:pPr>
            <w:r w:rsidRPr="00D73795">
              <w:rPr>
                <w:color w:val="000000"/>
              </w:rPr>
              <w:t>Opening Brief of AECA, p. 8.</w:t>
            </w:r>
          </w:p>
          <w:p w:rsidRPr="00D73795" w:rsidR="00D73795" w:rsidP="001B3A12" w:rsidRDefault="00D73795" w14:paraId="37FF675A" w14:textId="77777777">
            <w:pPr>
              <w:spacing w:before="120"/>
              <w:jc w:val="center"/>
              <w:rPr>
                <w:color w:val="000000"/>
              </w:rPr>
            </w:pPr>
          </w:p>
          <w:p w:rsidRPr="00D73795" w:rsidR="00D73795" w:rsidP="001B3A12" w:rsidRDefault="00D73795" w14:paraId="5C2CB9F7" w14:textId="77777777">
            <w:pPr>
              <w:spacing w:before="120"/>
              <w:jc w:val="center"/>
              <w:rPr>
                <w:color w:val="000000"/>
              </w:rPr>
            </w:pPr>
          </w:p>
          <w:p w:rsidRPr="00D73795" w:rsidR="00D73795" w:rsidP="001B3A12" w:rsidRDefault="00D73795" w14:paraId="3AE72381" w14:textId="77777777">
            <w:pPr>
              <w:spacing w:before="120"/>
              <w:jc w:val="center"/>
              <w:rPr>
                <w:color w:val="000000"/>
              </w:rPr>
            </w:pPr>
          </w:p>
          <w:p w:rsidRPr="00D73795" w:rsidR="00D73795" w:rsidP="001B3A12" w:rsidRDefault="00D73795" w14:paraId="5049DF7C" w14:textId="77777777">
            <w:pPr>
              <w:spacing w:before="120"/>
              <w:jc w:val="center"/>
              <w:rPr>
                <w:color w:val="000000"/>
              </w:rPr>
            </w:pPr>
          </w:p>
          <w:p w:rsidRPr="00D73795" w:rsidR="00D73795" w:rsidP="001B3A12" w:rsidRDefault="00D73795" w14:paraId="3D0F66CC" w14:textId="77777777">
            <w:pPr>
              <w:spacing w:before="120"/>
              <w:jc w:val="center"/>
              <w:rPr>
                <w:color w:val="000000"/>
              </w:rPr>
            </w:pPr>
          </w:p>
          <w:p w:rsidRPr="00D73795" w:rsidR="00D73795" w:rsidP="001B3A12" w:rsidRDefault="00D73795" w14:paraId="12E77648" w14:textId="77777777">
            <w:pPr>
              <w:spacing w:before="120"/>
              <w:jc w:val="center"/>
              <w:rPr>
                <w:color w:val="000000"/>
              </w:rPr>
            </w:pPr>
          </w:p>
          <w:p w:rsidRPr="00D73795" w:rsidR="00D73795" w:rsidP="001B3A12" w:rsidRDefault="00D73795" w14:paraId="54B15749" w14:textId="77777777">
            <w:pPr>
              <w:spacing w:before="120"/>
              <w:jc w:val="center"/>
              <w:rPr>
                <w:color w:val="000000"/>
              </w:rPr>
            </w:pPr>
          </w:p>
          <w:p w:rsidRPr="00D73795" w:rsidR="00D73795" w:rsidP="001B3A12" w:rsidRDefault="00D73795" w14:paraId="326E6F07" w14:textId="77777777">
            <w:pPr>
              <w:spacing w:before="120"/>
              <w:jc w:val="center"/>
              <w:rPr>
                <w:color w:val="000000"/>
              </w:rPr>
            </w:pPr>
          </w:p>
          <w:p w:rsidRPr="00D73795" w:rsidR="00D73795" w:rsidP="001B3A12" w:rsidRDefault="00D73795" w14:paraId="51A61B69" w14:textId="77777777">
            <w:pPr>
              <w:spacing w:before="120"/>
              <w:jc w:val="center"/>
              <w:rPr>
                <w:color w:val="000000"/>
              </w:rPr>
            </w:pPr>
          </w:p>
          <w:p w:rsidRPr="00D73795" w:rsidR="00D73795" w:rsidP="001B3A12" w:rsidRDefault="00D73795" w14:paraId="6C766A00" w14:textId="77777777">
            <w:pPr>
              <w:spacing w:before="120"/>
              <w:jc w:val="center"/>
              <w:rPr>
                <w:color w:val="000000"/>
              </w:rPr>
            </w:pPr>
          </w:p>
          <w:p w:rsidRPr="00D73795" w:rsidR="00D73795" w:rsidP="001B3A12" w:rsidRDefault="00D73795" w14:paraId="15CD808F" w14:textId="77777777">
            <w:pPr>
              <w:spacing w:before="120"/>
              <w:jc w:val="center"/>
              <w:rPr>
                <w:color w:val="000000"/>
              </w:rPr>
            </w:pPr>
          </w:p>
          <w:p w:rsidRPr="00D73795" w:rsidR="00D73795" w:rsidP="001B3A12" w:rsidRDefault="00D73795" w14:paraId="07C9997C" w14:textId="77777777">
            <w:pPr>
              <w:spacing w:before="120"/>
              <w:jc w:val="center"/>
              <w:rPr>
                <w:color w:val="000000"/>
              </w:rPr>
            </w:pPr>
          </w:p>
          <w:p w:rsidRPr="00D73795" w:rsidR="00D73795" w:rsidP="001B3A12" w:rsidRDefault="00D73795" w14:paraId="5C11F1FA" w14:textId="77777777">
            <w:pPr>
              <w:spacing w:before="120"/>
              <w:jc w:val="center"/>
              <w:rPr>
                <w:color w:val="000000"/>
              </w:rPr>
            </w:pPr>
          </w:p>
          <w:p w:rsidRPr="00D73795" w:rsidR="00D73795" w:rsidP="001B3A12" w:rsidRDefault="00D73795" w14:paraId="377CEC0C" w14:textId="77777777">
            <w:pPr>
              <w:spacing w:before="120"/>
              <w:jc w:val="center"/>
              <w:rPr>
                <w:color w:val="000000"/>
              </w:rPr>
            </w:pPr>
          </w:p>
          <w:p w:rsidRPr="00D73795" w:rsidR="00D73795" w:rsidP="001B3A12" w:rsidRDefault="00D73795" w14:paraId="4E78553C" w14:textId="77777777">
            <w:pPr>
              <w:spacing w:before="120"/>
              <w:jc w:val="center"/>
              <w:rPr>
                <w:color w:val="000000"/>
              </w:rPr>
            </w:pPr>
          </w:p>
          <w:p w:rsidRPr="00D73795" w:rsidR="00D73795" w:rsidP="001B3A12" w:rsidRDefault="00D73795" w14:paraId="796AC692" w14:textId="77777777">
            <w:pPr>
              <w:spacing w:before="120"/>
              <w:jc w:val="center"/>
              <w:rPr>
                <w:color w:val="000000"/>
              </w:rPr>
            </w:pPr>
          </w:p>
          <w:p w:rsidRPr="00D73795" w:rsidR="00D73795" w:rsidP="001B3A12" w:rsidRDefault="00D73795" w14:paraId="1050BED6" w14:textId="77777777">
            <w:pPr>
              <w:spacing w:before="120"/>
              <w:jc w:val="center"/>
              <w:rPr>
                <w:color w:val="000000"/>
              </w:rPr>
            </w:pPr>
          </w:p>
          <w:p w:rsidRPr="00D73795" w:rsidR="00D73795" w:rsidP="001B3A12" w:rsidRDefault="00D73795" w14:paraId="04B5CB86" w14:textId="5F3E8196">
            <w:pPr>
              <w:keepNext/>
              <w:keepLines/>
              <w:spacing w:before="120"/>
              <w:jc w:val="center"/>
              <w:rPr>
                <w:color w:val="000000"/>
              </w:rPr>
            </w:pPr>
            <w:r w:rsidRPr="00D73795">
              <w:rPr>
                <w:color w:val="000000"/>
              </w:rPr>
              <w:t xml:space="preserve">Opening Brief of AECA, </w:t>
            </w:r>
            <w:r w:rsidR="001B3A12">
              <w:rPr>
                <w:color w:val="000000"/>
              </w:rPr>
              <w:t xml:space="preserve">at </w:t>
            </w:r>
            <w:r w:rsidRPr="00D73795">
              <w:rPr>
                <w:color w:val="000000"/>
              </w:rPr>
              <w:t>9-10.</w:t>
            </w:r>
          </w:p>
          <w:p w:rsidRPr="00D73795" w:rsidR="00D73795" w:rsidP="001B3A12" w:rsidRDefault="00D73795" w14:paraId="4D4D747F" w14:textId="77777777">
            <w:pPr>
              <w:keepNext/>
              <w:keepLines/>
              <w:spacing w:before="120"/>
              <w:jc w:val="center"/>
              <w:rPr>
                <w:color w:val="000000"/>
              </w:rPr>
            </w:pPr>
          </w:p>
          <w:p w:rsidRPr="00D73795" w:rsidR="00D73795" w:rsidP="001B3A12" w:rsidRDefault="00D73795" w14:paraId="2F7B1B68" w14:textId="77777777">
            <w:pPr>
              <w:spacing w:before="120"/>
              <w:jc w:val="center"/>
              <w:rPr>
                <w:color w:val="000000"/>
              </w:rPr>
            </w:pPr>
          </w:p>
          <w:p w:rsidRPr="00D73795" w:rsidR="00D73795" w:rsidP="001B3A12" w:rsidRDefault="00D73795" w14:paraId="20D73482" w14:textId="77777777">
            <w:pPr>
              <w:spacing w:before="120"/>
              <w:jc w:val="center"/>
              <w:rPr>
                <w:color w:val="000000"/>
              </w:rPr>
            </w:pPr>
          </w:p>
          <w:p w:rsidRPr="00D73795" w:rsidR="00D73795" w:rsidP="001B3A12" w:rsidRDefault="00D73795" w14:paraId="7B061CE4" w14:textId="77777777">
            <w:pPr>
              <w:spacing w:before="120"/>
              <w:jc w:val="center"/>
              <w:rPr>
                <w:color w:val="000000"/>
              </w:rPr>
            </w:pPr>
          </w:p>
          <w:p w:rsidRPr="00D73795" w:rsidR="00D73795" w:rsidP="001B3A12" w:rsidRDefault="00D73795" w14:paraId="348F437A" w14:textId="77777777">
            <w:pPr>
              <w:spacing w:before="120"/>
              <w:jc w:val="center"/>
              <w:rPr>
                <w:color w:val="000000"/>
              </w:rPr>
            </w:pPr>
          </w:p>
          <w:p w:rsidRPr="00D73795" w:rsidR="00D73795" w:rsidP="001B3A12" w:rsidRDefault="00D73795" w14:paraId="771C617B" w14:textId="77777777">
            <w:pPr>
              <w:spacing w:before="120"/>
              <w:jc w:val="center"/>
              <w:rPr>
                <w:color w:val="000000"/>
              </w:rPr>
            </w:pPr>
          </w:p>
          <w:p w:rsidRPr="00D73795" w:rsidR="00D73795" w:rsidP="001B3A12" w:rsidRDefault="00D73795" w14:paraId="16D49470" w14:textId="77777777">
            <w:pPr>
              <w:jc w:val="center"/>
              <w:rPr>
                <w:color w:val="000000"/>
              </w:rPr>
            </w:pPr>
          </w:p>
          <w:p w:rsidRPr="00D73795" w:rsidR="00D73795" w:rsidP="001B3A12" w:rsidRDefault="00D73795" w14:paraId="744F3DC3" w14:textId="77777777">
            <w:pPr>
              <w:jc w:val="center"/>
              <w:rPr>
                <w:color w:val="000000"/>
              </w:rPr>
            </w:pPr>
          </w:p>
          <w:p w:rsidRPr="00D73795" w:rsidR="00D73795" w:rsidP="001B3A12" w:rsidRDefault="00D73795" w14:paraId="1F016112" w14:textId="77777777">
            <w:pPr>
              <w:jc w:val="center"/>
              <w:rPr>
                <w:color w:val="000000"/>
              </w:rPr>
            </w:pPr>
          </w:p>
          <w:p w:rsidRPr="00D73795" w:rsidR="00D73795" w:rsidP="001B3A12" w:rsidRDefault="00D73795" w14:paraId="12F5B381" w14:textId="77777777">
            <w:pPr>
              <w:spacing w:after="240"/>
              <w:jc w:val="center"/>
              <w:rPr>
                <w:color w:val="000000"/>
              </w:rPr>
            </w:pPr>
          </w:p>
          <w:p w:rsidRPr="00D73795" w:rsidR="00D73795" w:rsidP="001B3A12" w:rsidRDefault="00D73795" w14:paraId="76F405AC" w14:textId="0413D5C2">
            <w:pPr>
              <w:jc w:val="center"/>
              <w:rPr>
                <w:color w:val="000000"/>
              </w:rPr>
            </w:pPr>
            <w:r w:rsidRPr="00D73795">
              <w:rPr>
                <w:color w:val="000000"/>
              </w:rPr>
              <w:t xml:space="preserve">Opening Brief of AECA, </w:t>
            </w:r>
            <w:r w:rsidR="00220150">
              <w:rPr>
                <w:color w:val="000000"/>
              </w:rPr>
              <w:t>at</w:t>
            </w:r>
            <w:r w:rsidRPr="00D73795">
              <w:rPr>
                <w:color w:val="000000"/>
              </w:rPr>
              <w:t xml:space="preserve"> 9.</w:t>
            </w:r>
          </w:p>
          <w:p w:rsidRPr="00D73795" w:rsidR="00D73795" w:rsidP="001B3A12" w:rsidRDefault="00D73795" w14:paraId="0A8A7EF7" w14:textId="77777777">
            <w:pPr>
              <w:jc w:val="center"/>
              <w:rPr>
                <w:color w:val="000000"/>
              </w:rPr>
            </w:pPr>
          </w:p>
          <w:p w:rsidRPr="00D73795" w:rsidR="00D73795" w:rsidP="001B3A12" w:rsidRDefault="00D73795" w14:paraId="7E35775C" w14:textId="77777777">
            <w:pPr>
              <w:jc w:val="center"/>
              <w:rPr>
                <w:color w:val="000000"/>
              </w:rPr>
            </w:pPr>
          </w:p>
          <w:p w:rsidRPr="00D73795" w:rsidR="00D73795" w:rsidP="001B3A12" w:rsidRDefault="00D73795" w14:paraId="6430F603" w14:textId="77777777">
            <w:pPr>
              <w:spacing w:after="240"/>
              <w:jc w:val="center"/>
              <w:rPr>
                <w:color w:val="000000"/>
              </w:rPr>
            </w:pPr>
          </w:p>
          <w:p w:rsidRPr="00D73795" w:rsidR="00D73795" w:rsidP="001B3A12" w:rsidRDefault="00D73795" w14:paraId="455AB904" w14:textId="37117119">
            <w:pPr>
              <w:spacing w:before="120"/>
              <w:jc w:val="center"/>
              <w:rPr>
                <w:color w:val="000000"/>
              </w:rPr>
            </w:pPr>
            <w:r w:rsidRPr="00D73795">
              <w:rPr>
                <w:color w:val="000000"/>
              </w:rPr>
              <w:t xml:space="preserve">Opening Brief of AECA, </w:t>
            </w:r>
            <w:r w:rsidR="00220150">
              <w:rPr>
                <w:color w:val="000000"/>
              </w:rPr>
              <w:t>at</w:t>
            </w:r>
            <w:r w:rsidRPr="00D73795">
              <w:rPr>
                <w:color w:val="000000"/>
              </w:rPr>
              <w:t xml:space="preserve"> 10.</w:t>
            </w:r>
          </w:p>
          <w:p w:rsidRPr="00D73795" w:rsidR="00D73795" w:rsidP="001B3A12" w:rsidRDefault="00D73795" w14:paraId="4478A5D2" w14:textId="77777777">
            <w:pPr>
              <w:jc w:val="center"/>
              <w:rPr>
                <w:color w:val="000000"/>
              </w:rPr>
            </w:pPr>
          </w:p>
          <w:p w:rsidRPr="00D73795" w:rsidR="00D73795" w:rsidP="001B3A12" w:rsidRDefault="00D73795" w14:paraId="637E3B2F" w14:textId="77777777">
            <w:pPr>
              <w:jc w:val="center"/>
              <w:rPr>
                <w:color w:val="000000"/>
              </w:rPr>
            </w:pPr>
          </w:p>
          <w:p w:rsidRPr="00D73795" w:rsidR="00D73795" w:rsidP="001B3A12" w:rsidRDefault="00D73795" w14:paraId="7CB1685E" w14:textId="77777777">
            <w:pPr>
              <w:spacing w:after="240"/>
              <w:jc w:val="center"/>
              <w:rPr>
                <w:color w:val="000000"/>
              </w:rPr>
            </w:pPr>
          </w:p>
          <w:p w:rsidRPr="00D73795" w:rsidR="00D73795" w:rsidP="001B3A12" w:rsidRDefault="00D73795" w14:paraId="3CFDC660" w14:textId="5519FC2F">
            <w:pPr>
              <w:spacing w:before="120"/>
              <w:jc w:val="center"/>
              <w:rPr>
                <w:color w:val="000000"/>
              </w:rPr>
            </w:pPr>
            <w:r w:rsidRPr="00D73795">
              <w:rPr>
                <w:color w:val="000000"/>
              </w:rPr>
              <w:t xml:space="preserve">Opening Brief of AECA, </w:t>
            </w:r>
            <w:r w:rsidR="00220150">
              <w:rPr>
                <w:color w:val="000000"/>
              </w:rPr>
              <w:t>at</w:t>
            </w:r>
            <w:r w:rsidRPr="00D73795">
              <w:rPr>
                <w:color w:val="000000"/>
              </w:rPr>
              <w:t xml:space="preserve"> 11-12.</w:t>
            </w:r>
          </w:p>
          <w:p w:rsidRPr="00D73795" w:rsidR="00D73795" w:rsidP="001B3A12" w:rsidRDefault="00D73795" w14:paraId="6EB01DD3" w14:textId="77777777">
            <w:pPr>
              <w:jc w:val="center"/>
              <w:rPr>
                <w:color w:val="000000"/>
              </w:rPr>
            </w:pPr>
          </w:p>
          <w:p w:rsidRPr="00D73795" w:rsidR="00D73795" w:rsidP="001B3A12" w:rsidRDefault="00D73795" w14:paraId="75751665" w14:textId="77777777">
            <w:pPr>
              <w:jc w:val="center"/>
              <w:rPr>
                <w:color w:val="000000"/>
              </w:rPr>
            </w:pPr>
          </w:p>
          <w:p w:rsidRPr="00D73795" w:rsidR="00D73795" w:rsidP="001B3A12" w:rsidRDefault="00D73795" w14:paraId="27E90C84" w14:textId="77777777">
            <w:pPr>
              <w:spacing w:after="240"/>
              <w:jc w:val="center"/>
              <w:rPr>
                <w:color w:val="000000"/>
              </w:rPr>
            </w:pPr>
          </w:p>
          <w:p w:rsidRPr="00D73795" w:rsidR="00D73795" w:rsidP="001B3A12" w:rsidRDefault="00D73795" w14:paraId="3291E61E" w14:textId="0D407B5B">
            <w:pPr>
              <w:spacing w:before="120"/>
              <w:jc w:val="center"/>
              <w:rPr>
                <w:color w:val="000000"/>
              </w:rPr>
            </w:pPr>
            <w:r w:rsidRPr="00D73795">
              <w:rPr>
                <w:color w:val="000000"/>
              </w:rPr>
              <w:t xml:space="preserve">Opening Brief of AECA, </w:t>
            </w:r>
            <w:r w:rsidR="00220150">
              <w:rPr>
                <w:color w:val="000000"/>
              </w:rPr>
              <w:t>at</w:t>
            </w:r>
            <w:r w:rsidRPr="00D73795">
              <w:rPr>
                <w:color w:val="000000"/>
              </w:rPr>
              <w:t xml:space="preserve"> 12-14.</w:t>
            </w:r>
          </w:p>
          <w:p w:rsidRPr="00D73795" w:rsidR="00D73795" w:rsidP="001B3A12" w:rsidRDefault="00D73795" w14:paraId="2235CF49" w14:textId="77777777">
            <w:pPr>
              <w:spacing w:before="120"/>
              <w:jc w:val="center"/>
              <w:rPr>
                <w:color w:val="000000"/>
              </w:rPr>
            </w:pPr>
          </w:p>
          <w:p w:rsidRPr="00D73795" w:rsidR="00D73795" w:rsidP="001B3A12" w:rsidRDefault="00D73795" w14:paraId="055DFAD1" w14:textId="77777777">
            <w:pPr>
              <w:spacing w:before="120"/>
              <w:jc w:val="center"/>
              <w:rPr>
                <w:color w:val="000000"/>
              </w:rPr>
            </w:pPr>
          </w:p>
          <w:p w:rsidRPr="00D73795" w:rsidR="00D73795" w:rsidP="001B3A12" w:rsidRDefault="00D73795" w14:paraId="016BC87F" w14:textId="77777777">
            <w:pPr>
              <w:spacing w:before="120"/>
              <w:jc w:val="center"/>
              <w:rPr>
                <w:color w:val="000000"/>
              </w:rPr>
            </w:pPr>
          </w:p>
          <w:p w:rsidRPr="00D73795" w:rsidR="00D73795" w:rsidP="001B3A12" w:rsidRDefault="00D73795" w14:paraId="1EF755D4" w14:textId="77777777">
            <w:pPr>
              <w:spacing w:before="120"/>
              <w:jc w:val="center"/>
              <w:rPr>
                <w:color w:val="000000"/>
              </w:rPr>
            </w:pPr>
          </w:p>
          <w:p w:rsidRPr="00D73795" w:rsidR="00D73795" w:rsidP="001B3A12" w:rsidRDefault="00D73795" w14:paraId="11A46782" w14:textId="77777777">
            <w:pPr>
              <w:spacing w:before="120"/>
              <w:jc w:val="center"/>
              <w:rPr>
                <w:color w:val="000000"/>
              </w:rPr>
            </w:pPr>
          </w:p>
          <w:p w:rsidRPr="00D73795" w:rsidR="00D73795" w:rsidP="001B3A12" w:rsidRDefault="00D73795" w14:paraId="6B239BC3" w14:textId="77777777">
            <w:pPr>
              <w:spacing w:before="120"/>
              <w:jc w:val="center"/>
              <w:rPr>
                <w:color w:val="000000"/>
              </w:rPr>
            </w:pPr>
          </w:p>
          <w:p w:rsidRPr="00D73795" w:rsidR="00D73795" w:rsidP="001B3A12" w:rsidRDefault="00D73795" w14:paraId="501B6C81" w14:textId="77777777">
            <w:pPr>
              <w:spacing w:before="120"/>
              <w:jc w:val="center"/>
              <w:rPr>
                <w:color w:val="000000"/>
              </w:rPr>
            </w:pPr>
          </w:p>
          <w:p w:rsidRPr="00D73795" w:rsidR="00D73795" w:rsidP="001B3A12" w:rsidRDefault="00D73795" w14:paraId="471E7F3C" w14:textId="77777777">
            <w:pPr>
              <w:spacing w:before="120"/>
              <w:jc w:val="center"/>
              <w:rPr>
                <w:color w:val="000000"/>
              </w:rPr>
            </w:pPr>
          </w:p>
          <w:p w:rsidRPr="00D73795" w:rsidR="00D73795" w:rsidP="001B3A12" w:rsidRDefault="00D73795" w14:paraId="7803E9A0" w14:textId="77777777">
            <w:pPr>
              <w:spacing w:before="120"/>
              <w:jc w:val="center"/>
              <w:rPr>
                <w:color w:val="000000"/>
              </w:rPr>
            </w:pPr>
          </w:p>
          <w:p w:rsidRPr="00D73795" w:rsidR="00D73795" w:rsidP="001B3A12" w:rsidRDefault="00D73795" w14:paraId="49268E3E" w14:textId="77777777">
            <w:pPr>
              <w:spacing w:before="120"/>
              <w:jc w:val="center"/>
              <w:rPr>
                <w:color w:val="000000"/>
              </w:rPr>
            </w:pPr>
          </w:p>
          <w:p w:rsidRPr="00D73795" w:rsidR="00D73795" w:rsidP="001B3A12" w:rsidRDefault="00D73795" w14:paraId="672BC8BF" w14:textId="77777777">
            <w:pPr>
              <w:spacing w:before="120"/>
              <w:jc w:val="center"/>
              <w:rPr>
                <w:color w:val="000000"/>
              </w:rPr>
            </w:pPr>
          </w:p>
          <w:p w:rsidRPr="00D73795" w:rsidR="00D73795" w:rsidP="001B3A12" w:rsidRDefault="00D73795" w14:paraId="15C13AA1" w14:textId="77777777">
            <w:pPr>
              <w:spacing w:before="120"/>
              <w:jc w:val="center"/>
              <w:rPr>
                <w:color w:val="000000"/>
              </w:rPr>
            </w:pPr>
          </w:p>
          <w:p w:rsidRPr="00D73795" w:rsidR="00D73795" w:rsidP="001B3A12" w:rsidRDefault="00D73795" w14:paraId="30F2F3E7" w14:textId="77777777">
            <w:pPr>
              <w:spacing w:before="120"/>
              <w:jc w:val="center"/>
              <w:rPr>
                <w:color w:val="000000"/>
              </w:rPr>
            </w:pPr>
          </w:p>
          <w:p w:rsidRPr="00D73795" w:rsidR="00D73795" w:rsidP="001B3A12" w:rsidRDefault="00D73795" w14:paraId="7383AE58" w14:textId="77777777">
            <w:pPr>
              <w:spacing w:before="120"/>
              <w:jc w:val="center"/>
              <w:rPr>
                <w:color w:val="000000"/>
              </w:rPr>
            </w:pPr>
          </w:p>
          <w:p w:rsidRPr="00D73795" w:rsidR="00D73795" w:rsidP="001B3A12" w:rsidRDefault="00D73795" w14:paraId="1DC46679" w14:textId="77777777">
            <w:pPr>
              <w:spacing w:before="120"/>
              <w:jc w:val="center"/>
              <w:rPr>
                <w:color w:val="000000"/>
              </w:rPr>
            </w:pPr>
          </w:p>
          <w:p w:rsidRPr="00D73795" w:rsidR="00D73795" w:rsidP="001B3A12" w:rsidRDefault="00D73795" w14:paraId="129BF738" w14:textId="77777777">
            <w:pPr>
              <w:spacing w:before="120"/>
              <w:jc w:val="center"/>
              <w:rPr>
                <w:color w:val="000000"/>
              </w:rPr>
            </w:pPr>
          </w:p>
          <w:p w:rsidRPr="00D73795" w:rsidR="00D73795" w:rsidP="001B3A12" w:rsidRDefault="00D73795" w14:paraId="0467C8DC" w14:textId="77777777">
            <w:pPr>
              <w:spacing w:before="120"/>
              <w:jc w:val="center"/>
              <w:rPr>
                <w:color w:val="000000"/>
              </w:rPr>
            </w:pPr>
          </w:p>
          <w:p w:rsidRPr="00D73795" w:rsidR="00D73795" w:rsidP="001B3A12" w:rsidRDefault="00D73795" w14:paraId="1C91452A" w14:textId="77777777">
            <w:pPr>
              <w:spacing w:before="120"/>
              <w:jc w:val="center"/>
              <w:rPr>
                <w:color w:val="000000"/>
              </w:rPr>
            </w:pPr>
          </w:p>
          <w:p w:rsidRPr="00D73795" w:rsidR="00D73795" w:rsidP="001B3A12" w:rsidRDefault="00D73795" w14:paraId="0C171A4D" w14:textId="77777777">
            <w:pPr>
              <w:jc w:val="center"/>
              <w:rPr>
                <w:color w:val="000000"/>
              </w:rPr>
            </w:pPr>
          </w:p>
          <w:p w:rsidRPr="00D73795" w:rsidR="00D73795" w:rsidP="001B3A12" w:rsidRDefault="00D73795" w14:paraId="6D58BEBB" w14:textId="77777777">
            <w:pPr>
              <w:jc w:val="center"/>
              <w:rPr>
                <w:color w:val="000000"/>
              </w:rPr>
            </w:pPr>
          </w:p>
          <w:p w:rsidRPr="00D73795" w:rsidR="00D73795" w:rsidP="001B3A12" w:rsidRDefault="00D73795" w14:paraId="009A0612" w14:textId="77777777">
            <w:pPr>
              <w:jc w:val="center"/>
              <w:rPr>
                <w:color w:val="000000"/>
              </w:rPr>
            </w:pPr>
          </w:p>
          <w:p w:rsidRPr="00D73795" w:rsidR="00D73795" w:rsidP="001B3A12" w:rsidRDefault="00D73795" w14:paraId="2FE79703" w14:textId="77777777">
            <w:pPr>
              <w:jc w:val="center"/>
              <w:rPr>
                <w:color w:val="000000"/>
              </w:rPr>
            </w:pPr>
          </w:p>
          <w:p w:rsidRPr="00D73795" w:rsidR="00D73795" w:rsidP="001B3A12" w:rsidRDefault="00D73795" w14:paraId="629929F4" w14:textId="77777777">
            <w:pPr>
              <w:jc w:val="center"/>
              <w:rPr>
                <w:color w:val="000000"/>
              </w:rPr>
            </w:pPr>
          </w:p>
          <w:p w:rsidRPr="00D73795" w:rsidR="00D73795" w:rsidP="001B3A12" w:rsidRDefault="00D73795" w14:paraId="28EB4F25" w14:textId="77777777">
            <w:pPr>
              <w:jc w:val="center"/>
              <w:rPr>
                <w:color w:val="000000"/>
              </w:rPr>
            </w:pPr>
          </w:p>
          <w:p w:rsidRPr="00D73795" w:rsidR="00D73795" w:rsidP="001B3A12" w:rsidRDefault="00D73795" w14:paraId="664803F9" w14:textId="77777777">
            <w:pPr>
              <w:jc w:val="center"/>
              <w:rPr>
                <w:color w:val="000000"/>
              </w:rPr>
            </w:pPr>
          </w:p>
          <w:p w:rsidRPr="00D73795" w:rsidR="00D73795" w:rsidP="001B3A12" w:rsidRDefault="00D73795" w14:paraId="73CD56DF" w14:textId="77777777">
            <w:pPr>
              <w:jc w:val="center"/>
              <w:rPr>
                <w:color w:val="000000"/>
              </w:rPr>
            </w:pPr>
          </w:p>
          <w:p w:rsidRPr="00D73795" w:rsidR="00D73795" w:rsidP="001B3A12" w:rsidRDefault="00D73795" w14:paraId="278AAD0A" w14:textId="77777777">
            <w:pPr>
              <w:spacing w:after="240"/>
              <w:jc w:val="center"/>
              <w:rPr>
                <w:color w:val="000000"/>
              </w:rPr>
            </w:pPr>
          </w:p>
          <w:p w:rsidRPr="00D73795" w:rsidR="00D73795" w:rsidP="001B3A12" w:rsidRDefault="00D73795" w14:paraId="0E1D0E36" w14:textId="6D63EF40">
            <w:pPr>
              <w:spacing w:before="120"/>
              <w:jc w:val="center"/>
              <w:rPr>
                <w:color w:val="000000"/>
              </w:rPr>
            </w:pPr>
            <w:r w:rsidRPr="00D73795">
              <w:rPr>
                <w:color w:val="000000"/>
              </w:rPr>
              <w:t xml:space="preserve">Reply Brief of AECA, </w:t>
            </w:r>
            <w:r w:rsidR="00220150">
              <w:rPr>
                <w:color w:val="000000"/>
              </w:rPr>
              <w:t>at</w:t>
            </w:r>
            <w:r w:rsidRPr="00D73795">
              <w:rPr>
                <w:color w:val="000000"/>
              </w:rPr>
              <w:t xml:space="preserve"> 6.</w:t>
            </w:r>
          </w:p>
          <w:p w:rsidRPr="00D73795" w:rsidR="00D73795" w:rsidP="001B3A12" w:rsidRDefault="00D73795" w14:paraId="0BB6DC3A" w14:textId="77777777">
            <w:pPr>
              <w:jc w:val="center"/>
              <w:rPr>
                <w:color w:val="000000"/>
              </w:rPr>
            </w:pPr>
          </w:p>
          <w:p w:rsidRPr="00D73795" w:rsidR="00D73795" w:rsidP="001B3A12" w:rsidRDefault="00D73795" w14:paraId="012B4FCD" w14:textId="77777777">
            <w:pPr>
              <w:jc w:val="center"/>
              <w:rPr>
                <w:color w:val="000000"/>
              </w:rPr>
            </w:pPr>
          </w:p>
          <w:p w:rsidRPr="00D73795" w:rsidR="00D73795" w:rsidP="001B3A12" w:rsidRDefault="00D73795" w14:paraId="75A11DD2" w14:textId="77777777">
            <w:pPr>
              <w:jc w:val="center"/>
              <w:rPr>
                <w:color w:val="000000"/>
              </w:rPr>
            </w:pPr>
          </w:p>
          <w:p w:rsidRPr="00D73795" w:rsidR="00D73795" w:rsidP="001B3A12" w:rsidRDefault="00D73795" w14:paraId="410203E4" w14:textId="77777777">
            <w:pPr>
              <w:jc w:val="center"/>
              <w:rPr>
                <w:color w:val="000000"/>
              </w:rPr>
            </w:pPr>
          </w:p>
          <w:p w:rsidRPr="00D73795" w:rsidR="00D73795" w:rsidP="001B3A12" w:rsidRDefault="00D73795" w14:paraId="055C17ED" w14:textId="77777777">
            <w:pPr>
              <w:jc w:val="center"/>
              <w:rPr>
                <w:color w:val="000000"/>
              </w:rPr>
            </w:pPr>
          </w:p>
          <w:p w:rsidRPr="00D73795" w:rsidR="00D73795" w:rsidP="001B3A12" w:rsidRDefault="00D73795" w14:paraId="390E8743" w14:textId="77777777">
            <w:pPr>
              <w:jc w:val="center"/>
              <w:rPr>
                <w:color w:val="000000"/>
              </w:rPr>
            </w:pPr>
          </w:p>
          <w:p w:rsidRPr="00D73795" w:rsidR="00D73795" w:rsidP="001B3A12" w:rsidRDefault="00D73795" w14:paraId="7D67D699" w14:textId="77777777">
            <w:pPr>
              <w:jc w:val="center"/>
              <w:rPr>
                <w:color w:val="000000"/>
              </w:rPr>
            </w:pPr>
          </w:p>
          <w:p w:rsidRPr="00D73795" w:rsidR="00D73795" w:rsidP="001B3A12" w:rsidRDefault="00D73795" w14:paraId="13A0B3CE" w14:textId="77777777">
            <w:pPr>
              <w:jc w:val="center"/>
            </w:pPr>
          </w:p>
          <w:p w:rsidRPr="00D73795" w:rsidR="00D73795" w:rsidP="001B3A12" w:rsidRDefault="00D73795" w14:paraId="171EA202" w14:textId="77777777">
            <w:pPr>
              <w:jc w:val="center"/>
            </w:pPr>
          </w:p>
          <w:p w:rsidRPr="00D73795" w:rsidR="00D73795" w:rsidP="001B3A12" w:rsidRDefault="00D73795" w14:paraId="0D39D4BC" w14:textId="77777777">
            <w:pPr>
              <w:jc w:val="center"/>
            </w:pPr>
          </w:p>
          <w:p w:rsidRPr="00D73795" w:rsidR="00D73795" w:rsidP="001B3A12" w:rsidRDefault="00D73795" w14:paraId="7EA2F800" w14:textId="77777777">
            <w:pPr>
              <w:spacing w:after="240"/>
              <w:jc w:val="center"/>
            </w:pPr>
          </w:p>
          <w:p w:rsidRPr="00D73795" w:rsidR="00D73795" w:rsidP="001B3A12" w:rsidRDefault="00D73795" w14:paraId="4D1111AF" w14:textId="5A629A3A">
            <w:pPr>
              <w:jc w:val="center"/>
            </w:pPr>
            <w:r w:rsidRPr="00D73795">
              <w:t xml:space="preserve">Opening Comments of AECA on Proposed Decision, </w:t>
            </w:r>
            <w:r w:rsidR="00220150">
              <w:t>at</w:t>
            </w:r>
            <w:r w:rsidRPr="00D73795">
              <w:t xml:space="preserve"> 4.</w:t>
            </w:r>
          </w:p>
          <w:p w:rsidRPr="00D73795" w:rsidR="00D73795" w:rsidP="001B3A12" w:rsidRDefault="00D73795" w14:paraId="22E03FD1" w14:textId="77777777">
            <w:pPr>
              <w:jc w:val="center"/>
            </w:pPr>
          </w:p>
          <w:p w:rsidRPr="00D73795" w:rsidR="00D73795" w:rsidP="001B3A12" w:rsidRDefault="00D73795" w14:paraId="0FFCF538" w14:textId="77777777">
            <w:pPr>
              <w:jc w:val="center"/>
            </w:pPr>
          </w:p>
          <w:p w:rsidRPr="00D73795" w:rsidR="00D73795" w:rsidP="001B3A12" w:rsidRDefault="00D73795" w14:paraId="765812F9" w14:textId="77777777">
            <w:pPr>
              <w:jc w:val="center"/>
            </w:pPr>
          </w:p>
          <w:p w:rsidRPr="00D73795" w:rsidR="00D73795" w:rsidP="001B3A12" w:rsidRDefault="00D73795" w14:paraId="2BDCCC0D" w14:textId="77777777">
            <w:pPr>
              <w:jc w:val="center"/>
            </w:pPr>
          </w:p>
          <w:p w:rsidRPr="00D73795" w:rsidR="00D73795" w:rsidP="001B3A12" w:rsidRDefault="00D73795" w14:paraId="508CD049" w14:textId="77777777">
            <w:pPr>
              <w:jc w:val="center"/>
            </w:pPr>
          </w:p>
          <w:p w:rsidRPr="00D73795" w:rsidR="00D73795" w:rsidP="001B3A12" w:rsidRDefault="00D73795" w14:paraId="451F57E3" w14:textId="77777777">
            <w:pPr>
              <w:jc w:val="center"/>
            </w:pPr>
          </w:p>
          <w:p w:rsidRPr="00D73795" w:rsidR="00D73795" w:rsidP="001B3A12" w:rsidRDefault="00D73795" w14:paraId="5E7B715C" w14:textId="77777777">
            <w:pPr>
              <w:jc w:val="center"/>
            </w:pPr>
          </w:p>
          <w:p w:rsidRPr="00D73795" w:rsidR="00D73795" w:rsidP="001B3A12" w:rsidRDefault="00D73795" w14:paraId="40B8C4B7" w14:textId="77777777">
            <w:pPr>
              <w:jc w:val="center"/>
            </w:pPr>
          </w:p>
          <w:p w:rsidRPr="00D73795" w:rsidR="00D73795" w:rsidP="001B3A12" w:rsidRDefault="00D73795" w14:paraId="0B5F88B6" w14:textId="77777777">
            <w:pPr>
              <w:jc w:val="center"/>
            </w:pPr>
          </w:p>
          <w:p w:rsidRPr="00D73795" w:rsidR="00D73795" w:rsidP="001B3A12" w:rsidRDefault="00D73795" w14:paraId="6B0C54A1" w14:textId="77777777">
            <w:pPr>
              <w:jc w:val="center"/>
            </w:pPr>
          </w:p>
          <w:p w:rsidRPr="00D73795" w:rsidR="00D73795" w:rsidP="001B3A12" w:rsidRDefault="00D73795" w14:paraId="53178C43" w14:textId="77777777">
            <w:pPr>
              <w:jc w:val="center"/>
            </w:pPr>
          </w:p>
          <w:p w:rsidRPr="00D73795" w:rsidR="00D73795" w:rsidP="001B3A12" w:rsidRDefault="00D73795" w14:paraId="496CD635" w14:textId="77777777">
            <w:pPr>
              <w:jc w:val="center"/>
            </w:pPr>
          </w:p>
          <w:p w:rsidRPr="00D73795" w:rsidR="00D73795" w:rsidP="001B3A12" w:rsidRDefault="00D73795" w14:paraId="6F62905C" w14:textId="77777777">
            <w:pPr>
              <w:jc w:val="center"/>
            </w:pPr>
          </w:p>
          <w:p w:rsidRPr="00D73795" w:rsidR="00D73795" w:rsidP="001B3A12" w:rsidRDefault="00D73795" w14:paraId="334902D9" w14:textId="77777777">
            <w:pPr>
              <w:jc w:val="center"/>
            </w:pPr>
          </w:p>
          <w:p w:rsidRPr="00D73795" w:rsidR="00D73795" w:rsidP="001B3A12" w:rsidRDefault="00D73795" w14:paraId="12FF0831" w14:textId="77777777">
            <w:pPr>
              <w:jc w:val="center"/>
            </w:pPr>
          </w:p>
          <w:p w:rsidRPr="00D73795" w:rsidR="00D73795" w:rsidP="001B3A12" w:rsidRDefault="00D73795" w14:paraId="5CE9EC9B" w14:textId="77777777">
            <w:pPr>
              <w:jc w:val="center"/>
            </w:pPr>
          </w:p>
          <w:p w:rsidRPr="00D73795" w:rsidR="00D73795" w:rsidP="001B3A12" w:rsidRDefault="00D73795" w14:paraId="1526E7FA" w14:textId="77777777">
            <w:pPr>
              <w:jc w:val="center"/>
            </w:pPr>
          </w:p>
          <w:p w:rsidRPr="00D73795" w:rsidR="00D73795" w:rsidP="001B3A12" w:rsidRDefault="00D73795" w14:paraId="109E2A5B" w14:textId="77777777">
            <w:pPr>
              <w:jc w:val="center"/>
            </w:pPr>
          </w:p>
          <w:p w:rsidRPr="00D73795" w:rsidR="00D73795" w:rsidP="001B3A12" w:rsidRDefault="00D73795" w14:paraId="1ECB91F1" w14:textId="2D0C55A9">
            <w:pPr>
              <w:jc w:val="center"/>
            </w:pPr>
            <w:r w:rsidRPr="00D73795">
              <w:t xml:space="preserve">Opening Comments of AECA on Proposed Decision, </w:t>
            </w:r>
            <w:r w:rsidR="00220150">
              <w:t xml:space="preserve">at </w:t>
            </w:r>
            <w:r w:rsidRPr="00D73795">
              <w:t>3-5.</w:t>
            </w:r>
          </w:p>
          <w:p w:rsidRPr="00D73795" w:rsidR="00D73795" w:rsidP="001B3A12" w:rsidRDefault="00D73795" w14:paraId="02AA9CD3" w14:textId="77777777">
            <w:pPr>
              <w:jc w:val="center"/>
            </w:pPr>
          </w:p>
          <w:p w:rsidRPr="00D73795" w:rsidR="00D73795" w:rsidP="001B3A12" w:rsidRDefault="00D73795" w14:paraId="664F0F0F" w14:textId="77777777">
            <w:pPr>
              <w:jc w:val="center"/>
            </w:pPr>
          </w:p>
          <w:p w:rsidRPr="00D73795" w:rsidR="00D73795" w:rsidP="001B3A12" w:rsidRDefault="00D73795" w14:paraId="0201AC70" w14:textId="77777777">
            <w:pPr>
              <w:jc w:val="center"/>
            </w:pPr>
          </w:p>
          <w:p w:rsidRPr="00D73795" w:rsidR="00D73795" w:rsidP="001B3A12" w:rsidRDefault="00D73795" w14:paraId="15410414" w14:textId="77777777">
            <w:pPr>
              <w:jc w:val="center"/>
            </w:pPr>
          </w:p>
          <w:p w:rsidRPr="00D73795" w:rsidR="00D73795" w:rsidP="001B3A12" w:rsidRDefault="00D73795" w14:paraId="7A46405E" w14:textId="77777777">
            <w:pPr>
              <w:jc w:val="center"/>
            </w:pPr>
          </w:p>
          <w:p w:rsidRPr="00D73795" w:rsidR="00D73795" w:rsidP="001B3A12" w:rsidRDefault="00D73795" w14:paraId="74204377" w14:textId="77777777">
            <w:pPr>
              <w:jc w:val="center"/>
            </w:pPr>
          </w:p>
          <w:p w:rsidRPr="00D73795" w:rsidR="00D73795" w:rsidP="001B3A12" w:rsidRDefault="00D73795" w14:paraId="14C92D09" w14:textId="77777777">
            <w:pPr>
              <w:jc w:val="center"/>
            </w:pPr>
          </w:p>
          <w:p w:rsidRPr="00D73795" w:rsidR="00D73795" w:rsidP="001B3A12" w:rsidRDefault="00D73795" w14:paraId="04D16F0A" w14:textId="77777777">
            <w:pPr>
              <w:jc w:val="center"/>
            </w:pPr>
          </w:p>
          <w:p w:rsidRPr="00D73795" w:rsidR="00D73795" w:rsidP="001B3A12" w:rsidRDefault="00D73795" w14:paraId="719D9205" w14:textId="77777777">
            <w:pPr>
              <w:jc w:val="center"/>
            </w:pPr>
          </w:p>
          <w:p w:rsidRPr="00D73795" w:rsidR="00D73795" w:rsidP="001B3A12" w:rsidRDefault="00D73795" w14:paraId="44F7BD48" w14:textId="77777777">
            <w:pPr>
              <w:jc w:val="center"/>
            </w:pPr>
          </w:p>
          <w:p w:rsidRPr="00D73795" w:rsidR="00D73795" w:rsidP="001B3A12" w:rsidRDefault="00D73795" w14:paraId="6F25498C" w14:textId="4D3EEF36">
            <w:pPr>
              <w:jc w:val="center"/>
            </w:pPr>
            <w:r w:rsidRPr="00D73795">
              <w:t xml:space="preserve">Response of AECA in Support of Applications for Rehearing of </w:t>
            </w:r>
            <w:r w:rsidR="00220150">
              <w:br/>
            </w:r>
            <w:r w:rsidRPr="00D73795">
              <w:t>D.21-04-030</w:t>
            </w:r>
          </w:p>
          <w:p w:rsidRPr="00D73795" w:rsidR="00D73795" w:rsidP="001B3A12" w:rsidRDefault="00D73795" w14:paraId="04836A43" w14:textId="77777777">
            <w:pPr>
              <w:jc w:val="center"/>
              <w:rPr>
                <w:color w:val="000000"/>
              </w:rPr>
            </w:pPr>
          </w:p>
          <w:p w:rsidRPr="00D73795" w:rsidR="00D73795" w:rsidP="001B3A12" w:rsidRDefault="00D73795" w14:paraId="40903D1E" w14:textId="77777777">
            <w:pPr>
              <w:jc w:val="center"/>
              <w:rPr>
                <w:color w:val="000000"/>
              </w:rPr>
            </w:pPr>
          </w:p>
          <w:p w:rsidRPr="00D73795" w:rsidR="00D73795" w:rsidP="001B3A12" w:rsidRDefault="00D73795" w14:paraId="78858B40" w14:textId="77777777">
            <w:pPr>
              <w:jc w:val="center"/>
              <w:rPr>
                <w:color w:val="000000"/>
              </w:rPr>
            </w:pPr>
          </w:p>
          <w:p w:rsidRPr="00D73795" w:rsidR="00D73795" w:rsidP="001B3A12" w:rsidRDefault="00D73795" w14:paraId="363C10E9" w14:textId="77777777">
            <w:pPr>
              <w:jc w:val="center"/>
              <w:rPr>
                <w:color w:val="000000"/>
              </w:rPr>
            </w:pPr>
          </w:p>
          <w:p w:rsidRPr="00D73795" w:rsidR="00D73795" w:rsidP="001B3A12" w:rsidRDefault="00D73795" w14:paraId="39617B75" w14:textId="77777777">
            <w:pPr>
              <w:jc w:val="center"/>
              <w:rPr>
                <w:color w:val="000000"/>
              </w:rPr>
            </w:pPr>
          </w:p>
          <w:p w:rsidRPr="00D73795" w:rsidR="00D73795" w:rsidP="001B3A12" w:rsidRDefault="00D73795" w14:paraId="6BCA15E9" w14:textId="77777777">
            <w:pPr>
              <w:jc w:val="center"/>
              <w:rPr>
                <w:color w:val="000000"/>
              </w:rPr>
            </w:pPr>
          </w:p>
          <w:p w:rsidRPr="00D73795" w:rsidR="00D73795" w:rsidP="001B3A12" w:rsidRDefault="00D73795" w14:paraId="42B786C0" w14:textId="77777777">
            <w:pPr>
              <w:jc w:val="center"/>
              <w:rPr>
                <w:color w:val="000000"/>
              </w:rPr>
            </w:pPr>
          </w:p>
          <w:p w:rsidRPr="00D73795" w:rsidR="00D73795" w:rsidP="001B3A12" w:rsidRDefault="00D73795" w14:paraId="15B95E60" w14:textId="77777777">
            <w:pPr>
              <w:jc w:val="center"/>
              <w:rPr>
                <w:color w:val="000000"/>
              </w:rPr>
            </w:pPr>
          </w:p>
          <w:p w:rsidRPr="00D73795" w:rsidR="00D73795" w:rsidP="001B3A12" w:rsidRDefault="00D73795" w14:paraId="03664E90" w14:textId="77777777">
            <w:pPr>
              <w:jc w:val="center"/>
              <w:rPr>
                <w:color w:val="000000"/>
              </w:rPr>
            </w:pPr>
          </w:p>
          <w:p w:rsidRPr="00D73795" w:rsidR="00D73795" w:rsidP="001B3A12" w:rsidRDefault="00D73795" w14:paraId="06E09AF2" w14:textId="5CECDDFF">
            <w:pPr>
              <w:spacing w:before="120"/>
              <w:jc w:val="center"/>
              <w:rPr>
                <w:color w:val="000000"/>
              </w:rPr>
            </w:pPr>
            <w:r w:rsidRPr="00D73795">
              <w:rPr>
                <w:color w:val="000000"/>
              </w:rPr>
              <w:t xml:space="preserve">D.21-04-030, </w:t>
            </w:r>
            <w:r w:rsidR="00220150">
              <w:rPr>
                <w:color w:val="000000"/>
              </w:rPr>
              <w:t>at</w:t>
            </w:r>
            <w:r w:rsidRPr="00D73795">
              <w:rPr>
                <w:color w:val="000000"/>
              </w:rPr>
              <w:t xml:space="preserve"> 44.</w:t>
            </w:r>
          </w:p>
          <w:p w:rsidRPr="00D73795" w:rsidR="00D73795" w:rsidP="001B3A12" w:rsidRDefault="00D73795" w14:paraId="71A4E4F7" w14:textId="77777777">
            <w:pPr>
              <w:spacing w:before="120"/>
              <w:jc w:val="center"/>
              <w:rPr>
                <w:color w:val="000000"/>
              </w:rPr>
            </w:pPr>
          </w:p>
          <w:p w:rsidRPr="00D73795" w:rsidR="00D73795" w:rsidP="001B3A12" w:rsidRDefault="00D73795" w14:paraId="5DF0DAA1" w14:textId="77777777">
            <w:pPr>
              <w:spacing w:before="120"/>
              <w:jc w:val="center"/>
              <w:rPr>
                <w:color w:val="000000"/>
              </w:rPr>
            </w:pPr>
          </w:p>
          <w:p w:rsidRPr="00D73795" w:rsidR="00D73795" w:rsidP="001B3A12" w:rsidRDefault="00D73795" w14:paraId="7C0038E9" w14:textId="77777777">
            <w:pPr>
              <w:spacing w:before="120"/>
              <w:jc w:val="center"/>
              <w:rPr>
                <w:color w:val="000000"/>
              </w:rPr>
            </w:pPr>
          </w:p>
          <w:p w:rsidRPr="00D73795" w:rsidR="00D73795" w:rsidP="001B3A12" w:rsidRDefault="00D73795" w14:paraId="2F944E76" w14:textId="77777777">
            <w:pPr>
              <w:spacing w:before="120"/>
              <w:jc w:val="center"/>
              <w:rPr>
                <w:color w:val="000000"/>
              </w:rPr>
            </w:pPr>
          </w:p>
          <w:p w:rsidRPr="00D73795" w:rsidR="00D73795" w:rsidP="001B3A12" w:rsidRDefault="00D73795" w14:paraId="6792DC9B" w14:textId="77777777">
            <w:pPr>
              <w:spacing w:before="120"/>
              <w:jc w:val="center"/>
              <w:rPr>
                <w:color w:val="000000"/>
              </w:rPr>
            </w:pPr>
          </w:p>
          <w:p w:rsidRPr="00D73795" w:rsidR="00D73795" w:rsidP="001B3A12" w:rsidRDefault="00D73795" w14:paraId="08261B0D" w14:textId="77777777">
            <w:pPr>
              <w:spacing w:before="120"/>
              <w:jc w:val="center"/>
              <w:rPr>
                <w:color w:val="000000"/>
              </w:rPr>
            </w:pPr>
          </w:p>
          <w:p w:rsidRPr="00D73795" w:rsidR="00D73795" w:rsidP="001B3A12" w:rsidRDefault="00D73795" w14:paraId="38E8750D" w14:textId="77777777">
            <w:pPr>
              <w:spacing w:before="120"/>
              <w:jc w:val="center"/>
              <w:rPr>
                <w:color w:val="000000"/>
              </w:rPr>
            </w:pPr>
          </w:p>
          <w:p w:rsidRPr="00D73795" w:rsidR="00D73795" w:rsidP="001B3A12" w:rsidRDefault="00D73795" w14:paraId="48DF3775" w14:textId="77777777">
            <w:pPr>
              <w:spacing w:before="120"/>
              <w:jc w:val="center"/>
              <w:rPr>
                <w:color w:val="000000"/>
              </w:rPr>
            </w:pPr>
          </w:p>
          <w:p w:rsidRPr="00D73795" w:rsidR="00D73795" w:rsidP="001B3A12" w:rsidRDefault="00D73795" w14:paraId="365F6523" w14:textId="756A6300">
            <w:pPr>
              <w:spacing w:before="120"/>
              <w:jc w:val="center"/>
              <w:rPr>
                <w:color w:val="000000"/>
              </w:rPr>
            </w:pPr>
            <w:r w:rsidRPr="00D73795">
              <w:rPr>
                <w:color w:val="000000"/>
              </w:rPr>
              <w:t xml:space="preserve">D.21-04-030, </w:t>
            </w:r>
            <w:r w:rsidR="00220150">
              <w:rPr>
                <w:color w:val="000000"/>
              </w:rPr>
              <w:t xml:space="preserve">at </w:t>
            </w:r>
            <w:r w:rsidRPr="00D73795">
              <w:rPr>
                <w:color w:val="000000"/>
              </w:rPr>
              <w:t>53.</w:t>
            </w:r>
          </w:p>
          <w:p w:rsidRPr="00D73795" w:rsidR="00D73795" w:rsidP="001B3A12" w:rsidRDefault="00D73795" w14:paraId="04B7BD32" w14:textId="77777777">
            <w:pPr>
              <w:spacing w:before="120"/>
              <w:jc w:val="center"/>
              <w:rPr>
                <w:color w:val="000000"/>
              </w:rPr>
            </w:pPr>
          </w:p>
          <w:p w:rsidRPr="00D73795" w:rsidR="00D73795" w:rsidP="001B3A12" w:rsidRDefault="00D73795" w14:paraId="17E1D399" w14:textId="77777777">
            <w:pPr>
              <w:spacing w:before="120"/>
              <w:jc w:val="center"/>
              <w:rPr>
                <w:color w:val="000000"/>
              </w:rPr>
            </w:pPr>
          </w:p>
          <w:p w:rsidRPr="00D73795" w:rsidR="00D73795" w:rsidP="001B3A12" w:rsidRDefault="00D73795" w14:paraId="4D7F6368" w14:textId="77777777">
            <w:pPr>
              <w:spacing w:before="120"/>
              <w:jc w:val="center"/>
              <w:rPr>
                <w:color w:val="000000"/>
              </w:rPr>
            </w:pPr>
          </w:p>
          <w:p w:rsidRPr="00D73795" w:rsidR="00D73795" w:rsidP="001B3A12" w:rsidRDefault="00D73795" w14:paraId="2B1569EB" w14:textId="77777777">
            <w:pPr>
              <w:spacing w:before="120"/>
              <w:jc w:val="center"/>
              <w:rPr>
                <w:color w:val="000000"/>
              </w:rPr>
            </w:pPr>
          </w:p>
          <w:p w:rsidRPr="00D73795" w:rsidR="00D73795" w:rsidP="001B3A12" w:rsidRDefault="00D73795" w14:paraId="6F8D2DBE" w14:textId="77777777">
            <w:pPr>
              <w:spacing w:before="120"/>
              <w:jc w:val="center"/>
              <w:rPr>
                <w:color w:val="000000"/>
              </w:rPr>
            </w:pPr>
          </w:p>
          <w:p w:rsidRPr="00D73795" w:rsidR="00D73795" w:rsidP="001B3A12" w:rsidRDefault="00D73795" w14:paraId="1620B5E8" w14:textId="77777777">
            <w:pPr>
              <w:spacing w:before="120"/>
              <w:jc w:val="center"/>
              <w:rPr>
                <w:color w:val="000000"/>
              </w:rPr>
            </w:pPr>
          </w:p>
          <w:p w:rsidRPr="00D73795" w:rsidR="00D73795" w:rsidP="001B3A12" w:rsidRDefault="00D73795" w14:paraId="7FEF3DB3" w14:textId="77777777">
            <w:pPr>
              <w:spacing w:before="120"/>
              <w:jc w:val="center"/>
              <w:rPr>
                <w:color w:val="000000"/>
              </w:rPr>
            </w:pPr>
          </w:p>
          <w:p w:rsidRPr="00D73795" w:rsidR="00D73795" w:rsidP="001B3A12" w:rsidRDefault="00D73795" w14:paraId="181EF39E" w14:textId="77777777">
            <w:pPr>
              <w:spacing w:before="120"/>
              <w:jc w:val="center"/>
              <w:rPr>
                <w:color w:val="000000"/>
              </w:rPr>
            </w:pPr>
          </w:p>
          <w:p w:rsidRPr="00D73795" w:rsidR="00D73795" w:rsidP="001B3A12" w:rsidRDefault="00D73795" w14:paraId="7674A3FA" w14:textId="77777777">
            <w:pPr>
              <w:jc w:val="center"/>
              <w:rPr>
                <w:color w:val="000000"/>
              </w:rPr>
            </w:pPr>
          </w:p>
          <w:p w:rsidRPr="00D73795" w:rsidR="00D73795" w:rsidP="001B3A12" w:rsidRDefault="00D73795" w14:paraId="73C394C5" w14:textId="77777777">
            <w:pPr>
              <w:jc w:val="center"/>
              <w:rPr>
                <w:color w:val="000000"/>
              </w:rPr>
            </w:pPr>
          </w:p>
          <w:p w:rsidRPr="00D73795" w:rsidR="00D73795" w:rsidP="001B3A12" w:rsidRDefault="00D73795" w14:paraId="312F3996" w14:textId="77777777">
            <w:pPr>
              <w:jc w:val="center"/>
              <w:rPr>
                <w:color w:val="000000"/>
              </w:rPr>
            </w:pPr>
          </w:p>
          <w:p w:rsidRPr="00D73795" w:rsidR="00D73795" w:rsidP="001B3A12" w:rsidRDefault="00D73795" w14:paraId="7BC0F83F" w14:textId="77777777">
            <w:pPr>
              <w:jc w:val="center"/>
              <w:rPr>
                <w:color w:val="000000"/>
              </w:rPr>
            </w:pPr>
          </w:p>
          <w:p w:rsidRPr="00D73795" w:rsidR="00D73795" w:rsidP="001B3A12" w:rsidRDefault="00D73795" w14:paraId="3500710A" w14:textId="77777777">
            <w:pPr>
              <w:jc w:val="center"/>
              <w:rPr>
                <w:color w:val="000000"/>
              </w:rPr>
            </w:pPr>
          </w:p>
          <w:p w:rsidRPr="00D73795" w:rsidR="00D73795" w:rsidP="001B3A12" w:rsidRDefault="00D73795" w14:paraId="6CFD52B0" w14:textId="77777777">
            <w:pPr>
              <w:jc w:val="center"/>
              <w:rPr>
                <w:color w:val="000000"/>
              </w:rPr>
            </w:pPr>
          </w:p>
          <w:p w:rsidRPr="00D73795" w:rsidR="00D73795" w:rsidP="001B3A12" w:rsidRDefault="00D73795" w14:paraId="4D5A23C5" w14:textId="77777777">
            <w:pPr>
              <w:jc w:val="center"/>
              <w:rPr>
                <w:color w:val="000000"/>
              </w:rPr>
            </w:pPr>
          </w:p>
          <w:p w:rsidRPr="00D73795" w:rsidR="00D73795" w:rsidP="001B3A12" w:rsidRDefault="00D73795" w14:paraId="161B23E5" w14:textId="77777777">
            <w:pPr>
              <w:jc w:val="center"/>
              <w:rPr>
                <w:color w:val="000000"/>
              </w:rPr>
            </w:pPr>
          </w:p>
          <w:p w:rsidRPr="00D73795" w:rsidR="00D73795" w:rsidP="001B3A12" w:rsidRDefault="00D73795" w14:paraId="2A3CCE2D" w14:textId="77777777">
            <w:pPr>
              <w:jc w:val="center"/>
              <w:rPr>
                <w:color w:val="000000"/>
              </w:rPr>
            </w:pPr>
          </w:p>
          <w:p w:rsidRPr="00D73795" w:rsidR="00D73795" w:rsidP="001B3A12" w:rsidRDefault="00D73795" w14:paraId="79BE60D9" w14:textId="77777777">
            <w:pPr>
              <w:spacing w:after="240"/>
              <w:jc w:val="center"/>
              <w:rPr>
                <w:color w:val="000000"/>
              </w:rPr>
            </w:pPr>
          </w:p>
          <w:p w:rsidRPr="00D73795" w:rsidR="00D73795" w:rsidP="001B3A12" w:rsidRDefault="00D73795" w14:paraId="17965022" w14:textId="6936BB91">
            <w:pPr>
              <w:spacing w:before="120"/>
              <w:jc w:val="center"/>
              <w:rPr>
                <w:color w:val="000000"/>
              </w:rPr>
            </w:pPr>
            <w:r w:rsidRPr="00D73795">
              <w:rPr>
                <w:color w:val="000000"/>
              </w:rPr>
              <w:t xml:space="preserve">D.21-04-030, </w:t>
            </w:r>
            <w:r w:rsidR="00220150">
              <w:rPr>
                <w:color w:val="000000"/>
              </w:rPr>
              <w:t xml:space="preserve">at </w:t>
            </w:r>
            <w:r w:rsidRPr="00D73795">
              <w:rPr>
                <w:color w:val="000000"/>
              </w:rPr>
              <w:t>53-54.</w:t>
            </w:r>
          </w:p>
          <w:p w:rsidRPr="00D73795" w:rsidR="00D73795" w:rsidP="001B3A12" w:rsidRDefault="00D73795" w14:paraId="7C8CE005" w14:textId="77777777">
            <w:pPr>
              <w:jc w:val="center"/>
              <w:rPr>
                <w:color w:val="000000"/>
              </w:rPr>
            </w:pPr>
          </w:p>
          <w:p w:rsidRPr="00D73795" w:rsidR="00D73795" w:rsidP="001B3A12" w:rsidRDefault="00D73795" w14:paraId="437B1E72" w14:textId="77777777">
            <w:pPr>
              <w:jc w:val="center"/>
              <w:rPr>
                <w:color w:val="000000"/>
              </w:rPr>
            </w:pPr>
          </w:p>
          <w:p w:rsidRPr="00D73795" w:rsidR="00D73795" w:rsidP="001B3A12" w:rsidRDefault="00D73795" w14:paraId="654BD45A" w14:textId="77777777">
            <w:pPr>
              <w:jc w:val="center"/>
              <w:rPr>
                <w:color w:val="000000"/>
              </w:rPr>
            </w:pPr>
          </w:p>
          <w:p w:rsidRPr="00D73795" w:rsidR="00D73795" w:rsidP="001B3A12" w:rsidRDefault="00D73795" w14:paraId="291E71D7" w14:textId="77777777">
            <w:pPr>
              <w:jc w:val="center"/>
              <w:rPr>
                <w:color w:val="000000"/>
              </w:rPr>
            </w:pPr>
          </w:p>
          <w:p w:rsidRPr="00D73795" w:rsidR="00D73795" w:rsidP="001B3A12" w:rsidRDefault="00D73795" w14:paraId="10020339" w14:textId="77777777">
            <w:pPr>
              <w:jc w:val="center"/>
              <w:rPr>
                <w:color w:val="000000"/>
              </w:rPr>
            </w:pPr>
          </w:p>
          <w:p w:rsidRPr="00D73795" w:rsidR="00D73795" w:rsidP="001B3A12" w:rsidRDefault="00D73795" w14:paraId="38426B70" w14:textId="77777777">
            <w:pPr>
              <w:jc w:val="center"/>
              <w:rPr>
                <w:color w:val="000000"/>
              </w:rPr>
            </w:pPr>
          </w:p>
          <w:p w:rsidRPr="00D73795" w:rsidR="00D73795" w:rsidP="001B3A12" w:rsidRDefault="00D73795" w14:paraId="67207756" w14:textId="77777777">
            <w:pPr>
              <w:jc w:val="center"/>
              <w:rPr>
                <w:color w:val="000000"/>
              </w:rPr>
            </w:pPr>
          </w:p>
          <w:p w:rsidRPr="00D73795" w:rsidR="00D73795" w:rsidP="001B3A12" w:rsidRDefault="00D73795" w14:paraId="638EFB4D" w14:textId="77777777">
            <w:pPr>
              <w:jc w:val="center"/>
              <w:rPr>
                <w:color w:val="000000"/>
              </w:rPr>
            </w:pPr>
          </w:p>
          <w:p w:rsidRPr="00D73795" w:rsidR="00D73795" w:rsidP="001B3A12" w:rsidRDefault="00D73795" w14:paraId="7F4BA9BC" w14:textId="77777777">
            <w:pPr>
              <w:spacing w:after="240"/>
              <w:jc w:val="center"/>
              <w:rPr>
                <w:color w:val="000000"/>
              </w:rPr>
            </w:pPr>
          </w:p>
          <w:p w:rsidRPr="00D73795" w:rsidR="00D73795" w:rsidP="001B3A12" w:rsidRDefault="00D73795" w14:paraId="14BB9FAA" w14:textId="76468DBB">
            <w:pPr>
              <w:spacing w:before="120"/>
              <w:jc w:val="center"/>
              <w:rPr>
                <w:color w:val="000000"/>
              </w:rPr>
            </w:pPr>
            <w:r w:rsidRPr="00D73795">
              <w:rPr>
                <w:color w:val="000000"/>
              </w:rPr>
              <w:t xml:space="preserve">D.21-04-030, </w:t>
            </w:r>
            <w:r w:rsidR="00220150">
              <w:rPr>
                <w:color w:val="000000"/>
              </w:rPr>
              <w:t>at</w:t>
            </w:r>
            <w:r w:rsidRPr="00D73795">
              <w:rPr>
                <w:color w:val="000000"/>
              </w:rPr>
              <w:t xml:space="preserve"> 68.</w:t>
            </w:r>
          </w:p>
          <w:p w:rsidRPr="00D73795" w:rsidR="00D73795" w:rsidP="001B3A12" w:rsidRDefault="00D73795" w14:paraId="7CE8F4BA" w14:textId="77777777">
            <w:pPr>
              <w:jc w:val="center"/>
              <w:rPr>
                <w:color w:val="000000"/>
              </w:rPr>
            </w:pPr>
          </w:p>
          <w:p w:rsidRPr="00D73795" w:rsidR="00D73795" w:rsidP="001B3A12" w:rsidRDefault="00D73795" w14:paraId="100177B6" w14:textId="77777777">
            <w:pPr>
              <w:jc w:val="center"/>
              <w:rPr>
                <w:color w:val="000000"/>
              </w:rPr>
            </w:pPr>
          </w:p>
          <w:p w:rsidRPr="00D73795" w:rsidR="00D73795" w:rsidP="001B3A12" w:rsidRDefault="00D73795" w14:paraId="235A4993" w14:textId="77777777">
            <w:pPr>
              <w:jc w:val="center"/>
              <w:rPr>
                <w:color w:val="000000"/>
              </w:rPr>
            </w:pPr>
          </w:p>
          <w:p w:rsidRPr="00D73795" w:rsidR="00D73795" w:rsidP="001B3A12" w:rsidRDefault="00D73795" w14:paraId="59C558AE" w14:textId="77777777">
            <w:pPr>
              <w:jc w:val="center"/>
              <w:rPr>
                <w:color w:val="000000"/>
              </w:rPr>
            </w:pPr>
          </w:p>
          <w:p w:rsidRPr="00D73795" w:rsidR="00D73795" w:rsidP="001B3A12" w:rsidRDefault="00D73795" w14:paraId="02E7E19B" w14:textId="77777777">
            <w:pPr>
              <w:jc w:val="center"/>
              <w:rPr>
                <w:color w:val="000000"/>
              </w:rPr>
            </w:pPr>
          </w:p>
          <w:p w:rsidRPr="00D73795" w:rsidR="00D73795" w:rsidP="001B3A12" w:rsidRDefault="00D73795" w14:paraId="14C6BB59" w14:textId="77777777">
            <w:pPr>
              <w:jc w:val="center"/>
              <w:rPr>
                <w:color w:val="000000"/>
              </w:rPr>
            </w:pPr>
          </w:p>
          <w:p w:rsidRPr="00D73795" w:rsidR="00D73795" w:rsidP="001B3A12" w:rsidRDefault="00D73795" w14:paraId="270DF61D" w14:textId="77777777">
            <w:pPr>
              <w:spacing w:after="240"/>
              <w:jc w:val="center"/>
              <w:rPr>
                <w:color w:val="000000"/>
              </w:rPr>
            </w:pPr>
          </w:p>
          <w:p w:rsidRPr="00D73795" w:rsidR="00D73795" w:rsidP="001B3A12" w:rsidRDefault="00D73795" w14:paraId="5DA78A87" w14:textId="0BB82D88">
            <w:pPr>
              <w:spacing w:before="120"/>
              <w:jc w:val="center"/>
              <w:rPr>
                <w:color w:val="000000"/>
              </w:rPr>
            </w:pPr>
            <w:r w:rsidRPr="00D73795">
              <w:rPr>
                <w:color w:val="000000"/>
              </w:rPr>
              <w:t xml:space="preserve">D.21-04-030, </w:t>
            </w:r>
            <w:r w:rsidR="00220150">
              <w:rPr>
                <w:color w:val="000000"/>
              </w:rPr>
              <w:t>at</w:t>
            </w:r>
            <w:r w:rsidRPr="00D73795">
              <w:rPr>
                <w:color w:val="000000"/>
              </w:rPr>
              <w:t xml:space="preserve"> 72.</w:t>
            </w:r>
          </w:p>
          <w:p w:rsidRPr="00D73795" w:rsidR="00D73795" w:rsidP="001B3A12" w:rsidRDefault="00D73795" w14:paraId="7F7A4EA1" w14:textId="77777777">
            <w:pPr>
              <w:spacing w:before="120"/>
              <w:jc w:val="center"/>
              <w:rPr>
                <w:color w:val="000000"/>
              </w:rPr>
            </w:pPr>
          </w:p>
        </w:tc>
        <w:tc>
          <w:tcPr>
            <w:tcW w:w="2340" w:type="dxa"/>
            <w:shd w:val="clear" w:color="auto" w:fill="auto"/>
          </w:tcPr>
          <w:p w:rsidRPr="00D73795" w:rsidR="00D73795" w:rsidP="001B3A12" w:rsidRDefault="00D73795" w14:paraId="122784C8" w14:textId="5FE372CE">
            <w:pPr>
              <w:spacing w:before="120"/>
              <w:jc w:val="center"/>
              <w:rPr>
                <w:color w:val="000000"/>
              </w:rPr>
            </w:pPr>
            <w:r w:rsidRPr="00D73795">
              <w:rPr>
                <w:color w:val="000000"/>
              </w:rPr>
              <w:lastRenderedPageBreak/>
              <w:t>Verified</w:t>
            </w:r>
          </w:p>
          <w:p w:rsidRPr="00D73795" w:rsidR="00D73795" w:rsidP="001B3A12" w:rsidRDefault="00D73795" w14:paraId="111D9DBD" w14:textId="77777777">
            <w:pPr>
              <w:spacing w:before="120"/>
              <w:jc w:val="center"/>
              <w:rPr>
                <w:color w:val="000000"/>
              </w:rPr>
            </w:pPr>
          </w:p>
          <w:p w:rsidRPr="00D73795" w:rsidR="00D73795" w:rsidP="001B3A12" w:rsidRDefault="00D73795" w14:paraId="38390E2A" w14:textId="77777777">
            <w:pPr>
              <w:spacing w:before="120"/>
              <w:jc w:val="center"/>
              <w:rPr>
                <w:color w:val="000000"/>
              </w:rPr>
            </w:pPr>
          </w:p>
        </w:tc>
      </w:tr>
      <w:tr w:rsidRPr="00D73795" w:rsidR="00D73795" w:rsidTr="00355A28" w14:paraId="5FF548E6" w14:textId="77777777">
        <w:tc>
          <w:tcPr>
            <w:tcW w:w="3168" w:type="dxa"/>
            <w:shd w:val="clear" w:color="auto" w:fill="auto"/>
          </w:tcPr>
          <w:p w:rsidRPr="00D73795" w:rsidR="00D73795" w:rsidP="00D73795" w:rsidRDefault="00D73795" w14:paraId="7B57E5C6" w14:textId="77777777">
            <w:pPr>
              <w:rPr>
                <w:b/>
                <w:bCs/>
              </w:rPr>
            </w:pPr>
            <w:r w:rsidRPr="00D73795">
              <w:rPr>
                <w:b/>
                <w:color w:val="000000"/>
              </w:rPr>
              <w:lastRenderedPageBreak/>
              <w:t>3.  Conditions/Alternatives to PG&amp;E’s Proposal to Reduce Risk that Securitization Will Not Be Ratepayer Neutral</w:t>
            </w:r>
          </w:p>
          <w:p w:rsidRPr="00D73795" w:rsidR="00D73795" w:rsidP="00D73795" w:rsidRDefault="00D73795" w14:paraId="7616CCA5" w14:textId="77777777"/>
          <w:p w:rsidRPr="00D73795" w:rsidR="00D73795" w:rsidP="00D73795" w:rsidRDefault="00D73795" w14:paraId="63B5CF8C" w14:textId="77777777">
            <w:r w:rsidRPr="00D73795">
              <w:rPr>
                <w:i/>
                <w:iCs/>
                <w:u w:val="single"/>
              </w:rPr>
              <w:t>Summary of AECA Contributions</w:t>
            </w:r>
            <w:r w:rsidRPr="00D73795">
              <w:t>:</w:t>
            </w:r>
          </w:p>
          <w:p w:rsidRPr="00D73795" w:rsidR="00D73795" w:rsidP="00D73795" w:rsidRDefault="00D73795" w14:paraId="50E82691" w14:textId="77777777"/>
          <w:p w:rsidRPr="00D73795" w:rsidR="00D73795" w:rsidP="00D73795" w:rsidRDefault="00D73795" w14:paraId="751C7A6A" w14:textId="77777777">
            <w:r w:rsidRPr="00D73795">
              <w:t xml:space="preserve">“Ratepayers should not be asked to bear the risk that there will not be sufficient funds in the Customer Credit Trust to repay the Recovery Bonds. The Commission could consider denying PG&amp;E’s Securitization application, or requiring PG&amp;E to implement measures to avoid or minimize the risk to ratepayers.” For </w:t>
            </w:r>
            <w:r w:rsidRPr="00D73795">
              <w:rPr>
                <w:i/>
                <w:iCs/>
              </w:rPr>
              <w:t>example</w:t>
            </w:r>
            <w:r w:rsidRPr="00D73795">
              <w:t xml:space="preserve">, the Commission should consider :… dollar for dollar rate credit, use of cash flows from the net operating losses, continuation of implementation of meaningful cost control measures. </w:t>
            </w:r>
          </w:p>
          <w:p w:rsidRPr="00D73795" w:rsidR="00D73795" w:rsidP="00D73795" w:rsidRDefault="00D73795" w14:paraId="60912A5E" w14:textId="77777777"/>
          <w:p w:rsidRPr="00D73795" w:rsidR="00D73795" w:rsidP="00D73795" w:rsidRDefault="00D73795" w14:paraId="3C134DB6" w14:textId="77777777">
            <w:r w:rsidRPr="00D73795">
              <w:t xml:space="preserve"> </w:t>
            </w:r>
          </w:p>
          <w:p w:rsidRPr="00D73795" w:rsidR="00D73795" w:rsidP="00D73795" w:rsidRDefault="00D73795" w14:paraId="4B9918BB" w14:textId="77777777">
            <w:r w:rsidRPr="00D73795">
              <w:t xml:space="preserve">“In order to ensure the required ratepayer neutrality, … The Commission could consider denying PG&amp;E’s Securitization application, or it should properly apply the ratepayer neutrality requirement, and require PG&amp;E to implement measures to avoid or minimize the risk to ratepayers.” For </w:t>
            </w:r>
            <w:r w:rsidRPr="00D73795">
              <w:rPr>
                <w:i/>
                <w:iCs/>
              </w:rPr>
              <w:t>example</w:t>
            </w:r>
            <w:r w:rsidRPr="00D73795">
              <w:t xml:space="preserve">, the Commission should consider :… dollar for dollar rate credit, increase in initial shareholder contribution, use of cash flows from the net operating losses, continuation of implementation of meaningful cost control measures. </w:t>
            </w:r>
          </w:p>
          <w:p w:rsidRPr="00D73795" w:rsidR="00D73795" w:rsidP="00D73795" w:rsidRDefault="00D73795" w14:paraId="4B56A110" w14:textId="77777777"/>
          <w:p w:rsidRPr="00D73795" w:rsidR="00D73795" w:rsidP="00D73795" w:rsidRDefault="00D73795" w14:paraId="556DC890" w14:textId="77777777">
            <w:r w:rsidRPr="00D73795">
              <w:t>“If the Commission determines that it is appropriate to approve the Application, any such approval should include conditions that avoid the risk of a Customer Credit Trust shortfall, thereby satisfying the requirements of law and Commission order.”</w:t>
            </w:r>
          </w:p>
          <w:p w:rsidRPr="00D73795" w:rsidR="00D73795" w:rsidP="00D73795" w:rsidRDefault="00D73795" w14:paraId="6FB42FC6" w14:textId="77777777"/>
          <w:p w:rsidRPr="00D73795" w:rsidR="00D73795" w:rsidP="00D73795" w:rsidRDefault="00D73795" w14:paraId="6E99BB9C" w14:textId="77777777">
            <w:r w:rsidRPr="00D73795">
              <w:t xml:space="preserve">PG&amp;E’s proposed alternative structure is not sufficient to mitigate risk to ratepayers and achieve revenue neutrality. “According to PG&amp;E, the alternative structure would </w:t>
            </w:r>
            <w:r w:rsidRPr="00D73795">
              <w:rPr>
                <w:b/>
                <w:bCs/>
                <w:i/>
                <w:iCs/>
              </w:rPr>
              <w:t>reduce</w:t>
            </w:r>
            <w:r w:rsidRPr="00D73795">
              <w:t xml:space="preserve"> the risk of the shortfall in the Customer Credit Trust. PG&amp;E does not commit to </w:t>
            </w:r>
            <w:r w:rsidRPr="00D73795">
              <w:rPr>
                <w:b/>
                <w:bCs/>
                <w:i/>
                <w:iCs/>
              </w:rPr>
              <w:t>eliminating</w:t>
            </w:r>
            <w:r w:rsidRPr="00D73795">
              <w:t xml:space="preserve"> that risk.” … If the Commission determines </w:t>
            </w:r>
            <w:r w:rsidRPr="00D73795">
              <w:lastRenderedPageBreak/>
              <w:t>that the Application or PG&amp;E’s alternative should be approved, then AECA recommends that any such approval be conditioned to avoid risk to ratepayers. Parties have proposed reasonable measures … .”</w:t>
            </w:r>
          </w:p>
          <w:p w:rsidRPr="00D73795" w:rsidR="00D73795" w:rsidP="00D73795" w:rsidRDefault="00D73795" w14:paraId="1ABF331B" w14:textId="77777777"/>
          <w:p w:rsidRPr="00D73795" w:rsidR="00D73795" w:rsidP="00D73795" w:rsidRDefault="00D73795" w14:paraId="341847C9" w14:textId="766B7EB0">
            <w:r w:rsidRPr="00D73795">
              <w:t>“PG&amp;E, in response to concerns raised by parties and A</w:t>
            </w:r>
            <w:r w:rsidR="00220150">
              <w:t>LJ</w:t>
            </w:r>
            <w:r w:rsidRPr="00D73795">
              <w:t xml:space="preserve"> Haga, developed a modified proposal based on factors established in the record.”</w:t>
            </w:r>
          </w:p>
          <w:p w:rsidRPr="00D73795" w:rsidR="00D73795" w:rsidP="00D73795" w:rsidRDefault="00D73795" w14:paraId="2286AD9B" w14:textId="77777777"/>
          <w:p w:rsidRPr="00D73795" w:rsidR="00D73795" w:rsidP="00D73795" w:rsidRDefault="00D73795" w14:paraId="23BEE701" w14:textId="77777777">
            <w:r w:rsidRPr="00D73795">
              <w:t>“The Proposed Decision’s description of an expanded mechanism [for a subsequent Commission proceeding] is unfortunately general and brief, providing merely that if a subsequent proceeding is needed, ‘the Commission, with the participation of PG&amp;E and interested parties, would consider whether an appropriate regulatory solution can be developed, consistent with an appropriate overall rate structure for PG&amp;E.’”</w:t>
            </w:r>
          </w:p>
          <w:p w:rsidRPr="00D73795" w:rsidR="00D73795" w:rsidP="00D73795" w:rsidRDefault="00D73795" w14:paraId="6DB0E714" w14:textId="77777777"/>
          <w:p w:rsidRPr="00D73795" w:rsidR="00D73795" w:rsidP="00D73795" w:rsidRDefault="00D73795" w14:paraId="369DE2AD" w14:textId="77777777">
            <w:r w:rsidRPr="00D73795">
              <w:t xml:space="preserve">“Accordingly, if the Commission nonetheless determines it is appropriate to approve the proposed securitization … it should make clear that it will take whatever action is required, whenever it is required, to ensure the securitization is ratepayer neutral. The Commission should not agree to be constrained to a single </w:t>
            </w:r>
            <w:r w:rsidRPr="00D73795">
              <w:lastRenderedPageBreak/>
              <w:t xml:space="preserve">review of the sufficiency of the Customer Credit Trust in 2040 as PG&amp;E proposes. At a minimum, given the remaining risk to ratepayers even under the modified proposal, the Commission should commit to scheduled periodic reviews of the Customer Credit Trust… The Commission should retain the ability to modify the review schedule as necessary to make sure it has timely information regarding any shortfalls in the Customer Credit Trust. The Commission should also commit to take whatever action is necessary to ensure ratepayer neutrality.” </w:t>
            </w:r>
          </w:p>
          <w:p w:rsidRPr="00D73795" w:rsidR="00D73795" w:rsidP="00D73795" w:rsidRDefault="00D73795" w14:paraId="620DDCCA" w14:textId="77777777"/>
          <w:p w:rsidRPr="00D73795" w:rsidR="00D73795" w:rsidP="00D73795" w:rsidRDefault="00D73795" w14:paraId="48DC1856" w14:textId="77777777">
            <w:pPr>
              <w:spacing w:before="120"/>
              <w:rPr>
                <w:color w:val="000000"/>
              </w:rPr>
            </w:pPr>
            <w:r w:rsidRPr="00D73795">
              <w:rPr>
                <w:i/>
                <w:color w:val="000000"/>
                <w:u w:val="single"/>
              </w:rPr>
              <w:t>Decision</w:t>
            </w:r>
            <w:r w:rsidRPr="00D73795">
              <w:rPr>
                <w:color w:val="000000"/>
              </w:rPr>
              <w:t>:</w:t>
            </w:r>
          </w:p>
          <w:p w:rsidRPr="00D73795" w:rsidR="00D73795" w:rsidP="00D73795" w:rsidRDefault="00D73795" w14:paraId="3E9E64BF" w14:textId="77777777">
            <w:pPr>
              <w:rPr>
                <w:color w:val="000000"/>
              </w:rPr>
            </w:pPr>
          </w:p>
          <w:p w:rsidRPr="00D73795" w:rsidR="00D73795" w:rsidP="00D73795" w:rsidRDefault="00D73795" w14:paraId="5D8BD47E" w14:textId="77777777">
            <w:pPr>
              <w:spacing w:after="240"/>
              <w:rPr>
                <w:color w:val="000000"/>
              </w:rPr>
            </w:pPr>
            <w:r w:rsidRPr="00D73795">
              <w:rPr>
                <w:color w:val="000000"/>
              </w:rPr>
              <w:t xml:space="preserve">“Key risks identified through the presentation of testimony and briefs include the risk that PG&amp;E does not meet its income projections (resulting in delayed or insufficient NOL realization), the risk of catastrophic loss of value of the NOLs (including from events such as change of control for tax purposes, changes in tax law or enhanced enforcement), and the risk associated with investment returns. </w:t>
            </w:r>
          </w:p>
          <w:p w:rsidRPr="00D73795" w:rsidR="00D73795" w:rsidP="00D73795" w:rsidRDefault="00D73795" w14:paraId="5863CF32" w14:textId="77777777">
            <w:pPr>
              <w:spacing w:after="240"/>
              <w:rPr>
                <w:color w:val="000000"/>
              </w:rPr>
            </w:pPr>
            <w:r w:rsidRPr="00D73795">
              <w:rPr>
                <w:color w:val="000000"/>
              </w:rPr>
              <w:t>“While PG&amp;E’s modified proposal does help mitigate some of the highlighted key risks, it does not eliminate them entirely.”</w:t>
            </w:r>
          </w:p>
          <w:p w:rsidRPr="00D73795" w:rsidR="00D73795" w:rsidP="00D73795" w:rsidRDefault="00D73795" w14:paraId="0810A0D0" w14:textId="77777777">
            <w:pPr>
              <w:spacing w:after="240"/>
              <w:rPr>
                <w:color w:val="000000"/>
              </w:rPr>
            </w:pPr>
            <w:r w:rsidRPr="00D73795">
              <w:rPr>
                <w:color w:val="000000"/>
              </w:rPr>
              <w:lastRenderedPageBreak/>
              <w:t>The Commission adopted an additional requirement that, “if subsequent to the issuance of a financing order, PG&amp;E receives additional insurance proceeds, tax benefits other than Shareholder Tax Benefits or other amounts or reimbursements Catastrophic Wildfire Amounts included in the recovery costs addressed in a financing order, PG&amp;E shall credit customers in a manner determined at the time by the Commission.”</w:t>
            </w:r>
          </w:p>
          <w:p w:rsidRPr="00D73795" w:rsidR="00D73795" w:rsidP="00D73795" w:rsidRDefault="00D73795" w14:paraId="00F5F168" w14:textId="77777777">
            <w:pPr>
              <w:spacing w:after="240"/>
              <w:rPr>
                <w:color w:val="000000"/>
              </w:rPr>
            </w:pPr>
            <w:r w:rsidRPr="00D73795">
              <w:rPr>
                <w:color w:val="000000"/>
              </w:rPr>
              <w:t>“We view the risk of shortfall as real but not significant, … . The modifications made by PG&amp;E reduce the likelihood of shortfall due to insufficient funds in the early period of the Customer Credit Trust, but do not eliminate the possibility for any period.”</w:t>
            </w:r>
          </w:p>
          <w:p w:rsidRPr="00D73795" w:rsidR="00D73795" w:rsidP="00D73795" w:rsidRDefault="00D73795" w14:paraId="763ACBD7" w14:textId="77777777">
            <w:pPr>
              <w:spacing w:after="240"/>
              <w:rPr>
                <w:color w:val="000000"/>
              </w:rPr>
            </w:pPr>
            <w:r w:rsidRPr="00D73795">
              <w:rPr>
                <w:color w:val="000000"/>
              </w:rPr>
              <w:t xml:space="preserve">“The Commission will avail itself of any and all similar provisions of state and federal law to ensure the Customer Credit Trust operates as intended in any situation where a change of control (for tax purposes) might occur. In other words, the Customer Credits will be considered by the Commission in its review of future proposed transactions.” </w:t>
            </w:r>
          </w:p>
          <w:p w:rsidRPr="00D73795" w:rsidR="00D73795" w:rsidP="00D73795" w:rsidRDefault="00D73795" w14:paraId="48AAE5A0" w14:textId="77777777">
            <w:pPr>
              <w:spacing w:after="240"/>
              <w:rPr>
                <w:color w:val="000000"/>
              </w:rPr>
            </w:pPr>
            <w:r w:rsidRPr="00D73795">
              <w:rPr>
                <w:color w:val="000000"/>
              </w:rPr>
              <w:t xml:space="preserve">“Accordingly, with the exception of the surplus sharing discussed above, we approve PG&amp;E’s modified proposal, but will expand upon the mechanism PG&amp;E </w:t>
            </w:r>
            <w:r w:rsidRPr="00D73795">
              <w:rPr>
                <w:color w:val="000000"/>
              </w:rPr>
              <w:lastRenderedPageBreak/>
              <w:t>proposed where a subsequent Commission proceeding, commenced according to Commission procedures in effect at that time by an appropriate party, if needed, could address unexpected shortfalls in the Customer Credit Trust. If such subsequent Commission proceeding were needed, based on the criteria articulated below, the Commission, at that time, and with the participation of PG&amp;E and interested parties, would consider whether an appropriate regulatory solution can be developed, consistent with an appropriate overall rate structure for PG&amp;E.”</w:t>
            </w:r>
          </w:p>
          <w:p w:rsidRPr="00D73795" w:rsidR="00D73795" w:rsidP="00D73795" w:rsidRDefault="00D73795" w14:paraId="5F380D81" w14:textId="77777777">
            <w:pPr>
              <w:rPr>
                <w:color w:val="000000"/>
              </w:rPr>
            </w:pPr>
            <w:r w:rsidRPr="00D73795">
              <w:rPr>
                <w:color w:val="000000"/>
              </w:rPr>
              <w:t>“We view these conditions as necessary to ensure rate neutrality.”</w:t>
            </w:r>
          </w:p>
          <w:p w:rsidRPr="00D73795" w:rsidR="00D73795" w:rsidP="00D73795" w:rsidRDefault="00D73795" w14:paraId="046AFAAA" w14:textId="77777777">
            <w:pPr>
              <w:rPr>
                <w:color w:val="000000"/>
              </w:rPr>
            </w:pPr>
          </w:p>
        </w:tc>
        <w:tc>
          <w:tcPr>
            <w:tcW w:w="4230" w:type="dxa"/>
            <w:shd w:val="clear" w:color="auto" w:fill="auto"/>
          </w:tcPr>
          <w:p w:rsidRPr="00D73795" w:rsidR="00D73795" w:rsidP="00220150" w:rsidRDefault="00D73795" w14:paraId="171EF559" w14:textId="77777777">
            <w:pPr>
              <w:spacing w:before="120"/>
              <w:jc w:val="center"/>
              <w:rPr>
                <w:color w:val="000000"/>
              </w:rPr>
            </w:pPr>
          </w:p>
          <w:p w:rsidRPr="00D73795" w:rsidR="00D73795" w:rsidP="00220150" w:rsidRDefault="00D73795" w14:paraId="19B7038B" w14:textId="77777777">
            <w:pPr>
              <w:spacing w:before="120"/>
              <w:jc w:val="center"/>
              <w:rPr>
                <w:color w:val="000000"/>
              </w:rPr>
            </w:pPr>
          </w:p>
          <w:p w:rsidRPr="00D73795" w:rsidR="00D73795" w:rsidP="00220150" w:rsidRDefault="00D73795" w14:paraId="1D0FA56B" w14:textId="77777777">
            <w:pPr>
              <w:spacing w:before="120"/>
              <w:jc w:val="center"/>
              <w:rPr>
                <w:color w:val="000000"/>
              </w:rPr>
            </w:pPr>
          </w:p>
          <w:p w:rsidRPr="00D73795" w:rsidR="00D73795" w:rsidP="00220150" w:rsidRDefault="00D73795" w14:paraId="7C49BD01" w14:textId="77777777">
            <w:pPr>
              <w:spacing w:before="120"/>
              <w:jc w:val="center"/>
            </w:pPr>
          </w:p>
          <w:p w:rsidRPr="00D73795" w:rsidR="00D73795" w:rsidP="00220150" w:rsidRDefault="00D73795" w14:paraId="33E4C5FA" w14:textId="77777777">
            <w:pPr>
              <w:spacing w:before="120"/>
              <w:jc w:val="center"/>
            </w:pPr>
          </w:p>
          <w:p w:rsidRPr="00D73795" w:rsidR="00D73795" w:rsidP="00220150" w:rsidRDefault="00D73795" w14:paraId="6A8BCFF9" w14:textId="77777777">
            <w:pPr>
              <w:spacing w:before="120"/>
              <w:jc w:val="center"/>
              <w:rPr>
                <w:color w:val="000000"/>
              </w:rPr>
            </w:pPr>
          </w:p>
          <w:p w:rsidRPr="00D73795" w:rsidR="00D73795" w:rsidP="00220150" w:rsidRDefault="00D73795" w14:paraId="10B68097" w14:textId="250865C0">
            <w:pPr>
              <w:spacing w:before="120"/>
              <w:jc w:val="center"/>
              <w:rPr>
                <w:color w:val="000000"/>
              </w:rPr>
            </w:pPr>
            <w:r w:rsidRPr="00D73795">
              <w:rPr>
                <w:color w:val="000000"/>
              </w:rPr>
              <w:t xml:space="preserve">Prepared Testimony of </w:t>
            </w:r>
            <w:r w:rsidR="00220150">
              <w:rPr>
                <w:color w:val="000000"/>
              </w:rPr>
              <w:br/>
            </w:r>
            <w:r w:rsidRPr="00D73795">
              <w:rPr>
                <w:color w:val="000000"/>
              </w:rPr>
              <w:t xml:space="preserve">Michael Boccadoro, </w:t>
            </w:r>
            <w:r w:rsidR="00220150">
              <w:rPr>
                <w:color w:val="000000"/>
              </w:rPr>
              <w:t xml:space="preserve">at </w:t>
            </w:r>
            <w:r w:rsidRPr="00D73795">
              <w:rPr>
                <w:color w:val="000000"/>
              </w:rPr>
              <w:t xml:space="preserve">10, line 17, through </w:t>
            </w:r>
            <w:r w:rsidR="00220150">
              <w:rPr>
                <w:color w:val="000000"/>
              </w:rPr>
              <w:t xml:space="preserve">at </w:t>
            </w:r>
            <w:r w:rsidRPr="00D73795">
              <w:rPr>
                <w:color w:val="000000"/>
              </w:rPr>
              <w:t>12, line 11.</w:t>
            </w:r>
          </w:p>
          <w:p w:rsidRPr="00D73795" w:rsidR="00D73795" w:rsidP="00220150" w:rsidRDefault="00D73795" w14:paraId="446FE15E" w14:textId="77777777">
            <w:pPr>
              <w:spacing w:before="120"/>
              <w:jc w:val="center"/>
              <w:rPr>
                <w:color w:val="000000"/>
              </w:rPr>
            </w:pPr>
          </w:p>
          <w:p w:rsidRPr="00D73795" w:rsidR="00D73795" w:rsidP="00220150" w:rsidRDefault="00D73795" w14:paraId="1325BC0D" w14:textId="77777777">
            <w:pPr>
              <w:spacing w:before="120"/>
              <w:jc w:val="center"/>
              <w:rPr>
                <w:color w:val="000000"/>
              </w:rPr>
            </w:pPr>
          </w:p>
          <w:p w:rsidRPr="00D73795" w:rsidR="00D73795" w:rsidP="00220150" w:rsidRDefault="00D73795" w14:paraId="29ABFD97" w14:textId="77777777">
            <w:pPr>
              <w:spacing w:before="120"/>
              <w:jc w:val="center"/>
              <w:rPr>
                <w:color w:val="000000"/>
              </w:rPr>
            </w:pPr>
          </w:p>
          <w:p w:rsidRPr="00D73795" w:rsidR="00D73795" w:rsidP="00220150" w:rsidRDefault="00D73795" w14:paraId="462C4C8B" w14:textId="77777777">
            <w:pPr>
              <w:spacing w:before="120"/>
              <w:jc w:val="center"/>
              <w:rPr>
                <w:color w:val="000000"/>
              </w:rPr>
            </w:pPr>
          </w:p>
          <w:p w:rsidRPr="00D73795" w:rsidR="00D73795" w:rsidP="00220150" w:rsidRDefault="00D73795" w14:paraId="2C813D4D" w14:textId="77777777">
            <w:pPr>
              <w:spacing w:before="120"/>
              <w:jc w:val="center"/>
              <w:rPr>
                <w:color w:val="000000"/>
              </w:rPr>
            </w:pPr>
          </w:p>
          <w:p w:rsidRPr="00D73795" w:rsidR="00D73795" w:rsidP="00220150" w:rsidRDefault="00D73795" w14:paraId="75196D6A" w14:textId="77777777">
            <w:pPr>
              <w:spacing w:before="120"/>
              <w:jc w:val="center"/>
              <w:rPr>
                <w:color w:val="000000"/>
              </w:rPr>
            </w:pPr>
          </w:p>
          <w:p w:rsidRPr="00D73795" w:rsidR="00D73795" w:rsidP="00220150" w:rsidRDefault="00D73795" w14:paraId="6B876F6B" w14:textId="77777777">
            <w:pPr>
              <w:spacing w:before="120"/>
              <w:jc w:val="center"/>
              <w:rPr>
                <w:color w:val="000000"/>
              </w:rPr>
            </w:pPr>
          </w:p>
          <w:p w:rsidRPr="00D73795" w:rsidR="00D73795" w:rsidP="00220150" w:rsidRDefault="00D73795" w14:paraId="45CA5C13" w14:textId="77777777">
            <w:pPr>
              <w:spacing w:before="120"/>
              <w:jc w:val="center"/>
              <w:rPr>
                <w:color w:val="000000"/>
              </w:rPr>
            </w:pPr>
          </w:p>
          <w:p w:rsidRPr="00D73795" w:rsidR="00D73795" w:rsidP="00220150" w:rsidRDefault="00D73795" w14:paraId="7F3B16A5" w14:textId="77777777">
            <w:pPr>
              <w:spacing w:before="120"/>
              <w:jc w:val="center"/>
              <w:rPr>
                <w:color w:val="000000"/>
              </w:rPr>
            </w:pPr>
          </w:p>
          <w:p w:rsidRPr="00D73795" w:rsidR="00D73795" w:rsidP="00220150" w:rsidRDefault="00D73795" w14:paraId="18E0BEAA" w14:textId="77777777">
            <w:pPr>
              <w:spacing w:before="120"/>
              <w:jc w:val="center"/>
              <w:rPr>
                <w:color w:val="000000"/>
              </w:rPr>
            </w:pPr>
          </w:p>
          <w:p w:rsidRPr="00D73795" w:rsidR="00D73795" w:rsidP="00220150" w:rsidRDefault="00D73795" w14:paraId="00FF4A04" w14:textId="77777777">
            <w:pPr>
              <w:spacing w:before="120"/>
              <w:jc w:val="center"/>
              <w:rPr>
                <w:color w:val="000000"/>
              </w:rPr>
            </w:pPr>
          </w:p>
          <w:p w:rsidRPr="00D73795" w:rsidR="00D73795" w:rsidP="00220150" w:rsidRDefault="00D73795" w14:paraId="5CC72F27" w14:textId="77777777">
            <w:pPr>
              <w:spacing w:before="120"/>
              <w:jc w:val="center"/>
              <w:rPr>
                <w:color w:val="000000"/>
              </w:rPr>
            </w:pPr>
          </w:p>
          <w:p w:rsidRPr="00D73795" w:rsidR="00D73795" w:rsidP="00220150" w:rsidRDefault="00D73795" w14:paraId="6068D1BF" w14:textId="00ED4EDC">
            <w:pPr>
              <w:spacing w:before="120"/>
              <w:jc w:val="center"/>
              <w:rPr>
                <w:color w:val="000000"/>
              </w:rPr>
            </w:pPr>
            <w:r w:rsidRPr="00D73795">
              <w:rPr>
                <w:color w:val="000000"/>
              </w:rPr>
              <w:t xml:space="preserve">Opening Brief of AECA, </w:t>
            </w:r>
            <w:r w:rsidR="00220150">
              <w:rPr>
                <w:color w:val="000000"/>
              </w:rPr>
              <w:t xml:space="preserve">at </w:t>
            </w:r>
            <w:r w:rsidRPr="00D73795">
              <w:rPr>
                <w:color w:val="000000"/>
              </w:rPr>
              <w:t>14-16.</w:t>
            </w:r>
          </w:p>
          <w:p w:rsidRPr="00D73795" w:rsidR="00D73795" w:rsidP="00220150" w:rsidRDefault="00D73795" w14:paraId="304364E1" w14:textId="77777777">
            <w:pPr>
              <w:spacing w:before="120"/>
              <w:jc w:val="center"/>
            </w:pPr>
          </w:p>
          <w:p w:rsidRPr="00D73795" w:rsidR="00D73795" w:rsidP="00220150" w:rsidRDefault="00D73795" w14:paraId="2481D312" w14:textId="77777777">
            <w:pPr>
              <w:spacing w:before="120"/>
              <w:jc w:val="center"/>
            </w:pPr>
          </w:p>
          <w:p w:rsidRPr="00D73795" w:rsidR="00D73795" w:rsidP="00220150" w:rsidRDefault="00D73795" w14:paraId="238B3062" w14:textId="77777777">
            <w:pPr>
              <w:spacing w:before="120"/>
              <w:jc w:val="center"/>
            </w:pPr>
          </w:p>
          <w:p w:rsidRPr="00D73795" w:rsidR="00D73795" w:rsidP="00220150" w:rsidRDefault="00D73795" w14:paraId="2DCBE716" w14:textId="77777777">
            <w:pPr>
              <w:spacing w:before="120"/>
              <w:jc w:val="center"/>
            </w:pPr>
          </w:p>
          <w:p w:rsidRPr="00D73795" w:rsidR="00D73795" w:rsidP="00220150" w:rsidRDefault="00D73795" w14:paraId="026CF569" w14:textId="77777777">
            <w:pPr>
              <w:spacing w:before="120"/>
              <w:jc w:val="center"/>
            </w:pPr>
          </w:p>
          <w:p w:rsidRPr="00D73795" w:rsidR="00D73795" w:rsidP="00220150" w:rsidRDefault="00D73795" w14:paraId="290F7C63" w14:textId="77777777">
            <w:pPr>
              <w:spacing w:before="120"/>
              <w:jc w:val="center"/>
            </w:pPr>
          </w:p>
          <w:p w:rsidRPr="00D73795" w:rsidR="00D73795" w:rsidP="00220150" w:rsidRDefault="00D73795" w14:paraId="5223A122" w14:textId="77777777">
            <w:pPr>
              <w:spacing w:before="120"/>
              <w:jc w:val="center"/>
            </w:pPr>
          </w:p>
          <w:p w:rsidRPr="00D73795" w:rsidR="00D73795" w:rsidP="00220150" w:rsidRDefault="00D73795" w14:paraId="3BE9648D" w14:textId="77777777">
            <w:pPr>
              <w:spacing w:before="120"/>
              <w:jc w:val="center"/>
            </w:pPr>
          </w:p>
          <w:p w:rsidRPr="00D73795" w:rsidR="00D73795" w:rsidP="00220150" w:rsidRDefault="00D73795" w14:paraId="03C34ED7" w14:textId="77777777">
            <w:pPr>
              <w:spacing w:before="120"/>
              <w:jc w:val="center"/>
            </w:pPr>
          </w:p>
          <w:p w:rsidRPr="00D73795" w:rsidR="00D73795" w:rsidP="00220150" w:rsidRDefault="00D73795" w14:paraId="76B44ADF" w14:textId="77777777">
            <w:pPr>
              <w:spacing w:before="120"/>
              <w:jc w:val="center"/>
            </w:pPr>
          </w:p>
          <w:p w:rsidRPr="00D73795" w:rsidR="00D73795" w:rsidP="00220150" w:rsidRDefault="00D73795" w14:paraId="7DA932C3" w14:textId="77777777">
            <w:pPr>
              <w:spacing w:before="120"/>
              <w:jc w:val="center"/>
            </w:pPr>
          </w:p>
          <w:p w:rsidRPr="00D73795" w:rsidR="00D73795" w:rsidP="00220150" w:rsidRDefault="00D73795" w14:paraId="5F0D5674" w14:textId="77777777">
            <w:pPr>
              <w:spacing w:before="120"/>
              <w:jc w:val="center"/>
            </w:pPr>
          </w:p>
          <w:p w:rsidRPr="00D73795" w:rsidR="00D73795" w:rsidP="00220150" w:rsidRDefault="00D73795" w14:paraId="1DBA8479" w14:textId="77777777">
            <w:pPr>
              <w:spacing w:before="120"/>
              <w:jc w:val="center"/>
            </w:pPr>
          </w:p>
          <w:p w:rsidRPr="00D73795" w:rsidR="00D73795" w:rsidP="00220150" w:rsidRDefault="00D73795" w14:paraId="1778D1C1" w14:textId="77777777">
            <w:pPr>
              <w:spacing w:before="120"/>
              <w:jc w:val="center"/>
            </w:pPr>
          </w:p>
          <w:p w:rsidRPr="00D73795" w:rsidR="00D73795" w:rsidP="00220150" w:rsidRDefault="00D73795" w14:paraId="11138AA5" w14:textId="77777777">
            <w:pPr>
              <w:jc w:val="center"/>
            </w:pPr>
          </w:p>
          <w:p w:rsidRPr="00D73795" w:rsidR="00D73795" w:rsidP="00220150" w:rsidRDefault="00D73795" w14:paraId="35BA91E4" w14:textId="5A2CA302">
            <w:pPr>
              <w:jc w:val="center"/>
            </w:pPr>
            <w:r w:rsidRPr="00D73795">
              <w:t xml:space="preserve">Reply Brief of AECA, </w:t>
            </w:r>
            <w:r w:rsidR="00220150">
              <w:t xml:space="preserve">at </w:t>
            </w:r>
            <w:r w:rsidRPr="00D73795">
              <w:t>6.</w:t>
            </w:r>
          </w:p>
          <w:p w:rsidRPr="00D73795" w:rsidR="00D73795" w:rsidP="00220150" w:rsidRDefault="00D73795" w14:paraId="517BA946" w14:textId="77777777">
            <w:pPr>
              <w:jc w:val="center"/>
            </w:pPr>
          </w:p>
          <w:p w:rsidRPr="00D73795" w:rsidR="00D73795" w:rsidP="00220150" w:rsidRDefault="00D73795" w14:paraId="1019CD48" w14:textId="77777777">
            <w:pPr>
              <w:jc w:val="center"/>
            </w:pPr>
          </w:p>
          <w:p w:rsidRPr="00D73795" w:rsidR="00D73795" w:rsidP="00220150" w:rsidRDefault="00D73795" w14:paraId="48E4F762" w14:textId="77777777">
            <w:pPr>
              <w:jc w:val="center"/>
            </w:pPr>
          </w:p>
          <w:p w:rsidRPr="00D73795" w:rsidR="00D73795" w:rsidP="00220150" w:rsidRDefault="00D73795" w14:paraId="12F3353C" w14:textId="77777777">
            <w:pPr>
              <w:jc w:val="center"/>
            </w:pPr>
          </w:p>
          <w:p w:rsidRPr="00D73795" w:rsidR="00D73795" w:rsidP="00220150" w:rsidRDefault="00D73795" w14:paraId="174DEEFB" w14:textId="77777777">
            <w:pPr>
              <w:jc w:val="center"/>
            </w:pPr>
          </w:p>
          <w:p w:rsidRPr="00D73795" w:rsidR="00D73795" w:rsidP="00220150" w:rsidRDefault="00D73795" w14:paraId="23D5BECB" w14:textId="77777777">
            <w:pPr>
              <w:jc w:val="center"/>
            </w:pPr>
          </w:p>
          <w:p w:rsidRPr="00D73795" w:rsidR="00D73795" w:rsidP="00220150" w:rsidRDefault="00D73795" w14:paraId="5A0540A5" w14:textId="77777777">
            <w:pPr>
              <w:jc w:val="center"/>
            </w:pPr>
          </w:p>
          <w:p w:rsidRPr="00D73795" w:rsidR="00D73795" w:rsidP="00220150" w:rsidRDefault="00D73795" w14:paraId="168DDE0C" w14:textId="77777777">
            <w:pPr>
              <w:jc w:val="center"/>
            </w:pPr>
          </w:p>
          <w:p w:rsidRPr="00D73795" w:rsidR="00D73795" w:rsidP="00220150" w:rsidRDefault="00D73795" w14:paraId="5B8C3F9C" w14:textId="77777777">
            <w:pPr>
              <w:jc w:val="center"/>
            </w:pPr>
          </w:p>
          <w:p w:rsidRPr="00D73795" w:rsidR="00D73795" w:rsidP="00220150" w:rsidRDefault="00D73795" w14:paraId="2E7127ED" w14:textId="77777777">
            <w:pPr>
              <w:jc w:val="center"/>
            </w:pPr>
          </w:p>
          <w:p w:rsidRPr="00D73795" w:rsidR="00D73795" w:rsidP="00220150" w:rsidRDefault="00D73795" w14:paraId="46158A49" w14:textId="2547E033">
            <w:pPr>
              <w:jc w:val="center"/>
            </w:pPr>
            <w:r w:rsidRPr="00D73795">
              <w:t xml:space="preserve">Reply Brief of AECA, </w:t>
            </w:r>
            <w:r w:rsidR="00220150">
              <w:t>at</w:t>
            </w:r>
            <w:r w:rsidRPr="00D73795">
              <w:t xml:space="preserve"> 8-11 and 12.</w:t>
            </w:r>
          </w:p>
          <w:p w:rsidRPr="00D73795" w:rsidR="00D73795" w:rsidP="00220150" w:rsidRDefault="00D73795" w14:paraId="4366EE88" w14:textId="77777777">
            <w:pPr>
              <w:jc w:val="center"/>
            </w:pPr>
          </w:p>
          <w:p w:rsidRPr="00D73795" w:rsidR="00D73795" w:rsidP="00220150" w:rsidRDefault="00D73795" w14:paraId="5ED9B357" w14:textId="77777777">
            <w:pPr>
              <w:jc w:val="center"/>
            </w:pPr>
          </w:p>
          <w:p w:rsidRPr="00D73795" w:rsidR="00D73795" w:rsidP="00220150" w:rsidRDefault="00D73795" w14:paraId="60C20BF0" w14:textId="77777777">
            <w:pPr>
              <w:jc w:val="center"/>
            </w:pPr>
          </w:p>
          <w:p w:rsidRPr="00D73795" w:rsidR="00D73795" w:rsidP="00220150" w:rsidRDefault="00D73795" w14:paraId="0F50CF48" w14:textId="77777777">
            <w:pPr>
              <w:jc w:val="center"/>
            </w:pPr>
          </w:p>
          <w:p w:rsidRPr="00D73795" w:rsidR="00D73795" w:rsidP="00220150" w:rsidRDefault="00D73795" w14:paraId="2A2CAF82" w14:textId="77777777">
            <w:pPr>
              <w:jc w:val="center"/>
            </w:pPr>
          </w:p>
          <w:p w:rsidRPr="00D73795" w:rsidR="00D73795" w:rsidP="00220150" w:rsidRDefault="00D73795" w14:paraId="0F55EA77" w14:textId="77777777">
            <w:pPr>
              <w:jc w:val="center"/>
            </w:pPr>
          </w:p>
          <w:p w:rsidRPr="00D73795" w:rsidR="00D73795" w:rsidP="00220150" w:rsidRDefault="00D73795" w14:paraId="6E10A1B5" w14:textId="77777777">
            <w:pPr>
              <w:jc w:val="center"/>
            </w:pPr>
          </w:p>
          <w:p w:rsidRPr="00D73795" w:rsidR="00D73795" w:rsidP="00220150" w:rsidRDefault="00D73795" w14:paraId="0F188BBA" w14:textId="77777777">
            <w:pPr>
              <w:jc w:val="center"/>
            </w:pPr>
          </w:p>
          <w:p w:rsidRPr="00D73795" w:rsidR="00D73795" w:rsidP="00220150" w:rsidRDefault="00D73795" w14:paraId="3BB5127F" w14:textId="77777777">
            <w:pPr>
              <w:jc w:val="center"/>
            </w:pPr>
          </w:p>
          <w:p w:rsidRPr="00D73795" w:rsidR="00D73795" w:rsidP="00220150" w:rsidRDefault="00D73795" w14:paraId="2C936742" w14:textId="77777777">
            <w:pPr>
              <w:jc w:val="center"/>
            </w:pPr>
          </w:p>
          <w:p w:rsidRPr="00D73795" w:rsidR="00D73795" w:rsidP="00220150" w:rsidRDefault="00D73795" w14:paraId="2DED0FA4" w14:textId="77777777">
            <w:pPr>
              <w:jc w:val="center"/>
            </w:pPr>
          </w:p>
          <w:p w:rsidRPr="00D73795" w:rsidR="00D73795" w:rsidP="00220150" w:rsidRDefault="00D73795" w14:paraId="7A7DD70C" w14:textId="77777777">
            <w:pPr>
              <w:jc w:val="center"/>
            </w:pPr>
          </w:p>
          <w:p w:rsidRPr="00D73795" w:rsidR="00D73795" w:rsidP="00220150" w:rsidRDefault="00D73795" w14:paraId="48AFEAB5" w14:textId="77777777">
            <w:pPr>
              <w:jc w:val="center"/>
            </w:pPr>
          </w:p>
          <w:p w:rsidRPr="00D73795" w:rsidR="00D73795" w:rsidP="00220150" w:rsidRDefault="00D73795" w14:paraId="1FCC0BA1" w14:textId="77777777">
            <w:pPr>
              <w:jc w:val="center"/>
            </w:pPr>
          </w:p>
          <w:p w:rsidRPr="00D73795" w:rsidR="00D73795" w:rsidP="00220150" w:rsidRDefault="00D73795" w14:paraId="71E6EC36" w14:textId="77777777">
            <w:pPr>
              <w:jc w:val="center"/>
            </w:pPr>
          </w:p>
          <w:p w:rsidRPr="00D73795" w:rsidR="00D73795" w:rsidP="00220150" w:rsidRDefault="00D73795" w14:paraId="4300D3D2" w14:textId="77777777">
            <w:pPr>
              <w:jc w:val="center"/>
            </w:pPr>
          </w:p>
          <w:p w:rsidRPr="00D73795" w:rsidR="00D73795" w:rsidP="00220150" w:rsidRDefault="00D73795" w14:paraId="11CAF10A" w14:textId="77777777">
            <w:pPr>
              <w:jc w:val="center"/>
            </w:pPr>
          </w:p>
          <w:p w:rsidRPr="00D73795" w:rsidR="00D73795" w:rsidP="00220150" w:rsidRDefault="00D73795" w14:paraId="318DC6A1" w14:textId="77777777">
            <w:pPr>
              <w:jc w:val="center"/>
            </w:pPr>
          </w:p>
          <w:p w:rsidRPr="00D73795" w:rsidR="00D73795" w:rsidP="00220150" w:rsidRDefault="00D73795" w14:paraId="2709D898" w14:textId="77777777">
            <w:pPr>
              <w:jc w:val="center"/>
            </w:pPr>
          </w:p>
          <w:p w:rsidRPr="00D73795" w:rsidR="00D73795" w:rsidP="00220150" w:rsidRDefault="00D73795" w14:paraId="3FC70B59" w14:textId="64574D4C">
            <w:pPr>
              <w:jc w:val="center"/>
            </w:pPr>
            <w:r w:rsidRPr="00D73795">
              <w:t xml:space="preserve">Opening Comments of AECA on Proposed Decision, </w:t>
            </w:r>
            <w:r w:rsidR="00220150">
              <w:t>at</w:t>
            </w:r>
            <w:r w:rsidRPr="00D73795">
              <w:t xml:space="preserve"> 3.</w:t>
            </w:r>
          </w:p>
          <w:p w:rsidRPr="00D73795" w:rsidR="00D73795" w:rsidP="00220150" w:rsidRDefault="00D73795" w14:paraId="520B1DC9" w14:textId="77777777">
            <w:pPr>
              <w:jc w:val="center"/>
            </w:pPr>
          </w:p>
          <w:p w:rsidRPr="00D73795" w:rsidR="00D73795" w:rsidP="00220150" w:rsidRDefault="00D73795" w14:paraId="0F829AAA" w14:textId="77777777">
            <w:pPr>
              <w:jc w:val="center"/>
            </w:pPr>
          </w:p>
          <w:p w:rsidRPr="00D73795" w:rsidR="00D73795" w:rsidP="00220150" w:rsidRDefault="00D73795" w14:paraId="20741BCA" w14:textId="77777777">
            <w:pPr>
              <w:jc w:val="center"/>
            </w:pPr>
          </w:p>
          <w:p w:rsidRPr="00D73795" w:rsidR="00D73795" w:rsidP="00220150" w:rsidRDefault="00D73795" w14:paraId="215AD86B" w14:textId="77777777">
            <w:pPr>
              <w:jc w:val="center"/>
            </w:pPr>
          </w:p>
          <w:p w:rsidRPr="00D73795" w:rsidR="00D73795" w:rsidP="00220150" w:rsidRDefault="00D73795" w14:paraId="352D5804" w14:textId="77777777">
            <w:pPr>
              <w:jc w:val="center"/>
            </w:pPr>
          </w:p>
          <w:p w:rsidRPr="00D73795" w:rsidR="00D73795" w:rsidP="00220150" w:rsidRDefault="00D73795" w14:paraId="27964E72" w14:textId="13797B72">
            <w:pPr>
              <w:jc w:val="center"/>
            </w:pPr>
            <w:r w:rsidRPr="00D73795">
              <w:t xml:space="preserve">Opening Comments of AECA on Proposed Decision, </w:t>
            </w:r>
            <w:r w:rsidR="00220150">
              <w:t>at</w:t>
            </w:r>
            <w:r w:rsidRPr="00D73795">
              <w:t xml:space="preserve"> 5.</w:t>
            </w:r>
          </w:p>
          <w:p w:rsidRPr="00D73795" w:rsidR="00D73795" w:rsidP="00220150" w:rsidRDefault="00D73795" w14:paraId="4C4C3FB5" w14:textId="77777777">
            <w:pPr>
              <w:spacing w:before="120"/>
              <w:jc w:val="center"/>
              <w:rPr>
                <w:color w:val="000000"/>
              </w:rPr>
            </w:pPr>
          </w:p>
          <w:p w:rsidRPr="00D73795" w:rsidR="00D73795" w:rsidP="00220150" w:rsidRDefault="00D73795" w14:paraId="2434E9DB" w14:textId="77777777">
            <w:pPr>
              <w:spacing w:before="120"/>
              <w:jc w:val="center"/>
              <w:rPr>
                <w:color w:val="000000"/>
              </w:rPr>
            </w:pPr>
          </w:p>
          <w:p w:rsidRPr="00D73795" w:rsidR="00D73795" w:rsidP="00220150" w:rsidRDefault="00D73795" w14:paraId="1CFC4E01" w14:textId="77777777">
            <w:pPr>
              <w:spacing w:before="120"/>
              <w:jc w:val="center"/>
              <w:rPr>
                <w:color w:val="000000"/>
              </w:rPr>
            </w:pPr>
          </w:p>
          <w:p w:rsidRPr="00D73795" w:rsidR="00D73795" w:rsidP="00220150" w:rsidRDefault="00D73795" w14:paraId="16492EDE" w14:textId="77777777">
            <w:pPr>
              <w:spacing w:before="120"/>
              <w:jc w:val="center"/>
              <w:rPr>
                <w:color w:val="000000"/>
              </w:rPr>
            </w:pPr>
          </w:p>
          <w:p w:rsidRPr="00D73795" w:rsidR="00D73795" w:rsidP="00220150" w:rsidRDefault="00D73795" w14:paraId="1097BE76" w14:textId="77777777">
            <w:pPr>
              <w:spacing w:before="120"/>
              <w:jc w:val="center"/>
              <w:rPr>
                <w:color w:val="000000"/>
              </w:rPr>
            </w:pPr>
          </w:p>
          <w:p w:rsidRPr="00D73795" w:rsidR="00D73795" w:rsidP="00220150" w:rsidRDefault="00D73795" w14:paraId="2872771B" w14:textId="77777777">
            <w:pPr>
              <w:spacing w:before="120"/>
              <w:jc w:val="center"/>
              <w:rPr>
                <w:color w:val="000000"/>
              </w:rPr>
            </w:pPr>
          </w:p>
          <w:p w:rsidRPr="00D73795" w:rsidR="00D73795" w:rsidP="00220150" w:rsidRDefault="00D73795" w14:paraId="4A50102A" w14:textId="77777777">
            <w:pPr>
              <w:spacing w:before="120"/>
              <w:jc w:val="center"/>
              <w:rPr>
                <w:color w:val="000000"/>
              </w:rPr>
            </w:pPr>
          </w:p>
          <w:p w:rsidRPr="00D73795" w:rsidR="00D73795" w:rsidP="00220150" w:rsidRDefault="00D73795" w14:paraId="7C88EE6D" w14:textId="77777777">
            <w:pPr>
              <w:spacing w:before="120"/>
              <w:jc w:val="center"/>
              <w:rPr>
                <w:color w:val="000000"/>
              </w:rPr>
            </w:pPr>
          </w:p>
          <w:p w:rsidRPr="00D73795" w:rsidR="00D73795" w:rsidP="00220150" w:rsidRDefault="00D73795" w14:paraId="2C2FBD44" w14:textId="77777777">
            <w:pPr>
              <w:spacing w:before="120"/>
              <w:jc w:val="center"/>
              <w:rPr>
                <w:color w:val="000000"/>
              </w:rPr>
            </w:pPr>
          </w:p>
          <w:p w:rsidRPr="00D73795" w:rsidR="00D73795" w:rsidP="00220150" w:rsidRDefault="00D73795" w14:paraId="3E7CA24F" w14:textId="77777777">
            <w:pPr>
              <w:spacing w:before="120"/>
              <w:jc w:val="center"/>
              <w:rPr>
                <w:color w:val="000000"/>
              </w:rPr>
            </w:pPr>
          </w:p>
          <w:p w:rsidRPr="00D73795" w:rsidR="00D73795" w:rsidP="00220150" w:rsidRDefault="00D73795" w14:paraId="4E6B8AEA" w14:textId="1BD33030">
            <w:pPr>
              <w:spacing w:before="120"/>
              <w:jc w:val="center"/>
              <w:rPr>
                <w:color w:val="000000"/>
              </w:rPr>
            </w:pPr>
            <w:r w:rsidRPr="00D73795">
              <w:rPr>
                <w:color w:val="000000"/>
              </w:rPr>
              <w:t xml:space="preserve">Opening Comments of AECA on Proposed Decision, </w:t>
            </w:r>
            <w:r w:rsidR="00220150">
              <w:rPr>
                <w:color w:val="000000"/>
              </w:rPr>
              <w:t>at</w:t>
            </w:r>
            <w:r w:rsidRPr="00D73795">
              <w:rPr>
                <w:color w:val="000000"/>
              </w:rPr>
              <w:t xml:space="preserve"> 5.</w:t>
            </w:r>
          </w:p>
          <w:p w:rsidRPr="00D73795" w:rsidR="00D73795" w:rsidP="00220150" w:rsidRDefault="00D73795" w14:paraId="0EBD0129" w14:textId="77777777">
            <w:pPr>
              <w:spacing w:before="120"/>
              <w:jc w:val="center"/>
              <w:rPr>
                <w:color w:val="000000"/>
              </w:rPr>
            </w:pPr>
          </w:p>
          <w:p w:rsidRPr="00D73795" w:rsidR="00D73795" w:rsidP="00220150" w:rsidRDefault="00D73795" w14:paraId="03E246AF" w14:textId="77777777">
            <w:pPr>
              <w:spacing w:before="120"/>
              <w:jc w:val="center"/>
            </w:pPr>
          </w:p>
          <w:p w:rsidRPr="00D73795" w:rsidR="00D73795" w:rsidP="00220150" w:rsidRDefault="00D73795" w14:paraId="1ABE5150" w14:textId="77777777">
            <w:pPr>
              <w:spacing w:before="120"/>
              <w:jc w:val="center"/>
            </w:pPr>
          </w:p>
          <w:p w:rsidRPr="00D73795" w:rsidR="00D73795" w:rsidP="00220150" w:rsidRDefault="00D73795" w14:paraId="12422436" w14:textId="77777777">
            <w:pPr>
              <w:spacing w:before="120"/>
              <w:jc w:val="center"/>
            </w:pPr>
          </w:p>
          <w:p w:rsidRPr="00D73795" w:rsidR="00D73795" w:rsidP="00220150" w:rsidRDefault="00D73795" w14:paraId="0E73DD4C" w14:textId="77777777">
            <w:pPr>
              <w:jc w:val="center"/>
              <w:rPr>
                <w:color w:val="000000"/>
              </w:rPr>
            </w:pPr>
          </w:p>
          <w:p w:rsidRPr="00D73795" w:rsidR="00D73795" w:rsidP="00220150" w:rsidRDefault="00D73795" w14:paraId="0DFD707F" w14:textId="77777777">
            <w:pPr>
              <w:jc w:val="center"/>
              <w:rPr>
                <w:color w:val="000000"/>
              </w:rPr>
            </w:pPr>
          </w:p>
          <w:p w:rsidRPr="00D73795" w:rsidR="00D73795" w:rsidP="00220150" w:rsidRDefault="00D73795" w14:paraId="4ED18157" w14:textId="77777777">
            <w:pPr>
              <w:jc w:val="center"/>
              <w:rPr>
                <w:color w:val="000000"/>
              </w:rPr>
            </w:pPr>
          </w:p>
          <w:p w:rsidRPr="00D73795" w:rsidR="00D73795" w:rsidP="00220150" w:rsidRDefault="00D73795" w14:paraId="565BD234" w14:textId="77777777">
            <w:pPr>
              <w:spacing w:before="120"/>
              <w:jc w:val="center"/>
              <w:rPr>
                <w:color w:val="000000"/>
              </w:rPr>
            </w:pPr>
          </w:p>
          <w:p w:rsidRPr="00D73795" w:rsidR="00D73795" w:rsidP="00220150" w:rsidRDefault="00D73795" w14:paraId="1B9BE870" w14:textId="77777777">
            <w:pPr>
              <w:spacing w:before="120"/>
              <w:jc w:val="center"/>
              <w:rPr>
                <w:color w:val="000000"/>
              </w:rPr>
            </w:pPr>
          </w:p>
          <w:p w:rsidRPr="00D73795" w:rsidR="00D73795" w:rsidP="00220150" w:rsidRDefault="00D73795" w14:paraId="4730D878" w14:textId="77777777">
            <w:pPr>
              <w:spacing w:before="120"/>
              <w:jc w:val="center"/>
              <w:rPr>
                <w:color w:val="000000"/>
              </w:rPr>
            </w:pPr>
          </w:p>
          <w:p w:rsidRPr="00D73795" w:rsidR="00D73795" w:rsidP="00220150" w:rsidRDefault="00D73795" w14:paraId="37ED4DE2" w14:textId="77777777">
            <w:pPr>
              <w:spacing w:before="120"/>
              <w:jc w:val="center"/>
              <w:rPr>
                <w:color w:val="000000"/>
              </w:rPr>
            </w:pPr>
          </w:p>
          <w:p w:rsidRPr="00D73795" w:rsidR="00D73795" w:rsidP="00220150" w:rsidRDefault="00D73795" w14:paraId="25D1AC39" w14:textId="77777777">
            <w:pPr>
              <w:spacing w:before="120"/>
              <w:jc w:val="center"/>
              <w:rPr>
                <w:color w:val="000000"/>
              </w:rPr>
            </w:pPr>
          </w:p>
          <w:p w:rsidRPr="00D73795" w:rsidR="00D73795" w:rsidP="00220150" w:rsidRDefault="00D73795" w14:paraId="77C8C75E" w14:textId="77777777">
            <w:pPr>
              <w:spacing w:before="120"/>
              <w:jc w:val="center"/>
              <w:rPr>
                <w:color w:val="000000"/>
              </w:rPr>
            </w:pPr>
          </w:p>
          <w:p w:rsidRPr="00D73795" w:rsidR="00D73795" w:rsidP="00220150" w:rsidRDefault="00D73795" w14:paraId="6C9557FB" w14:textId="77777777">
            <w:pPr>
              <w:spacing w:before="120"/>
              <w:jc w:val="center"/>
              <w:rPr>
                <w:color w:val="000000"/>
              </w:rPr>
            </w:pPr>
          </w:p>
          <w:p w:rsidRPr="00D73795" w:rsidR="00D73795" w:rsidP="00220150" w:rsidRDefault="00D73795" w14:paraId="385D3BAF" w14:textId="77777777">
            <w:pPr>
              <w:spacing w:before="120"/>
              <w:jc w:val="center"/>
              <w:rPr>
                <w:color w:val="000000"/>
              </w:rPr>
            </w:pPr>
          </w:p>
          <w:p w:rsidRPr="00D73795" w:rsidR="00D73795" w:rsidP="00220150" w:rsidRDefault="00D73795" w14:paraId="6BC77A05" w14:textId="77777777">
            <w:pPr>
              <w:spacing w:before="120"/>
              <w:jc w:val="center"/>
              <w:rPr>
                <w:color w:val="000000"/>
              </w:rPr>
            </w:pPr>
          </w:p>
          <w:p w:rsidRPr="00D73795" w:rsidR="00D73795" w:rsidP="00220150" w:rsidRDefault="00D73795" w14:paraId="5EA0FCAA" w14:textId="77777777">
            <w:pPr>
              <w:spacing w:before="120"/>
              <w:jc w:val="center"/>
              <w:rPr>
                <w:color w:val="000000"/>
              </w:rPr>
            </w:pPr>
          </w:p>
          <w:p w:rsidRPr="00D73795" w:rsidR="00D73795" w:rsidP="00220150" w:rsidRDefault="00D73795" w14:paraId="6109E07F" w14:textId="77777777">
            <w:pPr>
              <w:spacing w:before="120"/>
              <w:jc w:val="center"/>
              <w:rPr>
                <w:color w:val="000000"/>
              </w:rPr>
            </w:pPr>
          </w:p>
          <w:p w:rsidRPr="00D73795" w:rsidR="00D73795" w:rsidP="00220150" w:rsidRDefault="00D73795" w14:paraId="52F640B3" w14:textId="77777777">
            <w:pPr>
              <w:spacing w:before="120"/>
              <w:jc w:val="center"/>
              <w:rPr>
                <w:color w:val="000000"/>
              </w:rPr>
            </w:pPr>
          </w:p>
          <w:p w:rsidRPr="00D73795" w:rsidR="00D73795" w:rsidP="00220150" w:rsidRDefault="00D73795" w14:paraId="4C1D07B1" w14:textId="77777777">
            <w:pPr>
              <w:spacing w:before="120"/>
              <w:jc w:val="center"/>
              <w:rPr>
                <w:color w:val="000000"/>
              </w:rPr>
            </w:pPr>
          </w:p>
          <w:p w:rsidRPr="00D73795" w:rsidR="00D73795" w:rsidP="00220150" w:rsidRDefault="00D73795" w14:paraId="10BCE406" w14:textId="77777777">
            <w:pPr>
              <w:spacing w:before="120"/>
              <w:jc w:val="center"/>
              <w:rPr>
                <w:color w:val="000000"/>
              </w:rPr>
            </w:pPr>
          </w:p>
          <w:p w:rsidRPr="00D73795" w:rsidR="00D73795" w:rsidP="00220150" w:rsidRDefault="00D73795" w14:paraId="39848209" w14:textId="77777777">
            <w:pPr>
              <w:spacing w:before="120"/>
              <w:jc w:val="center"/>
              <w:rPr>
                <w:color w:val="000000"/>
              </w:rPr>
            </w:pPr>
          </w:p>
          <w:p w:rsidRPr="00D73795" w:rsidR="00D73795" w:rsidP="00220150" w:rsidRDefault="00D73795" w14:paraId="2B7D7487" w14:textId="77777777">
            <w:pPr>
              <w:spacing w:before="120"/>
              <w:jc w:val="center"/>
              <w:rPr>
                <w:color w:val="000000"/>
              </w:rPr>
            </w:pPr>
          </w:p>
          <w:p w:rsidRPr="00D73795" w:rsidR="00D73795" w:rsidP="00220150" w:rsidRDefault="00D73795" w14:paraId="06EC300B" w14:textId="77777777">
            <w:pPr>
              <w:spacing w:before="120"/>
              <w:jc w:val="center"/>
              <w:rPr>
                <w:color w:val="000000"/>
              </w:rPr>
            </w:pPr>
          </w:p>
          <w:p w:rsidRPr="00D73795" w:rsidR="00D73795" w:rsidP="00220150" w:rsidRDefault="00D73795" w14:paraId="2DFBD709" w14:textId="2CDDE77E">
            <w:pPr>
              <w:spacing w:before="120"/>
              <w:jc w:val="center"/>
              <w:rPr>
                <w:color w:val="000000"/>
              </w:rPr>
            </w:pPr>
            <w:r w:rsidRPr="00D73795">
              <w:rPr>
                <w:color w:val="000000"/>
              </w:rPr>
              <w:t xml:space="preserve">D. 21-04-030, </w:t>
            </w:r>
            <w:r w:rsidR="00220150">
              <w:rPr>
                <w:color w:val="000000"/>
              </w:rPr>
              <w:t xml:space="preserve">at </w:t>
            </w:r>
            <w:r w:rsidRPr="00D73795">
              <w:rPr>
                <w:color w:val="000000"/>
              </w:rPr>
              <w:t>66</w:t>
            </w:r>
          </w:p>
          <w:p w:rsidRPr="00D73795" w:rsidR="00D73795" w:rsidP="00220150" w:rsidRDefault="00D73795" w14:paraId="31754139" w14:textId="77777777">
            <w:pPr>
              <w:jc w:val="center"/>
              <w:rPr>
                <w:color w:val="000000"/>
              </w:rPr>
            </w:pPr>
          </w:p>
          <w:p w:rsidRPr="00D73795" w:rsidR="00D73795" w:rsidP="00220150" w:rsidRDefault="00D73795" w14:paraId="7A53F016" w14:textId="77777777">
            <w:pPr>
              <w:jc w:val="center"/>
              <w:rPr>
                <w:color w:val="000000"/>
              </w:rPr>
            </w:pPr>
          </w:p>
          <w:p w:rsidRPr="00D73795" w:rsidR="00D73795" w:rsidP="00220150" w:rsidRDefault="00D73795" w14:paraId="012E67AB" w14:textId="77777777">
            <w:pPr>
              <w:jc w:val="center"/>
              <w:rPr>
                <w:color w:val="000000"/>
              </w:rPr>
            </w:pPr>
          </w:p>
          <w:p w:rsidRPr="00D73795" w:rsidR="00D73795" w:rsidP="00220150" w:rsidRDefault="00D73795" w14:paraId="6C4BBF58" w14:textId="77777777">
            <w:pPr>
              <w:jc w:val="center"/>
              <w:rPr>
                <w:color w:val="000000"/>
              </w:rPr>
            </w:pPr>
          </w:p>
          <w:p w:rsidRPr="00D73795" w:rsidR="00D73795" w:rsidP="00220150" w:rsidRDefault="00D73795" w14:paraId="30F883F7" w14:textId="77777777">
            <w:pPr>
              <w:jc w:val="center"/>
              <w:rPr>
                <w:color w:val="000000"/>
              </w:rPr>
            </w:pPr>
          </w:p>
          <w:p w:rsidRPr="00D73795" w:rsidR="00D73795" w:rsidP="00220150" w:rsidRDefault="00D73795" w14:paraId="48EB5673" w14:textId="77777777">
            <w:pPr>
              <w:jc w:val="center"/>
              <w:rPr>
                <w:color w:val="000000"/>
              </w:rPr>
            </w:pPr>
          </w:p>
          <w:p w:rsidRPr="00D73795" w:rsidR="00D73795" w:rsidP="00220150" w:rsidRDefault="00D73795" w14:paraId="07604AB4" w14:textId="77777777">
            <w:pPr>
              <w:jc w:val="center"/>
              <w:rPr>
                <w:color w:val="000000"/>
              </w:rPr>
            </w:pPr>
          </w:p>
          <w:p w:rsidRPr="00D73795" w:rsidR="00D73795" w:rsidP="00220150" w:rsidRDefault="00D73795" w14:paraId="141E9577" w14:textId="77777777">
            <w:pPr>
              <w:jc w:val="center"/>
              <w:rPr>
                <w:color w:val="000000"/>
              </w:rPr>
            </w:pPr>
          </w:p>
          <w:p w:rsidRPr="00D73795" w:rsidR="00D73795" w:rsidP="00220150" w:rsidRDefault="00D73795" w14:paraId="7458A0F0" w14:textId="77777777">
            <w:pPr>
              <w:jc w:val="center"/>
              <w:rPr>
                <w:color w:val="000000"/>
              </w:rPr>
            </w:pPr>
          </w:p>
          <w:p w:rsidRPr="00D73795" w:rsidR="00D73795" w:rsidP="00220150" w:rsidRDefault="00D73795" w14:paraId="07230590" w14:textId="77777777">
            <w:pPr>
              <w:jc w:val="center"/>
              <w:rPr>
                <w:color w:val="000000"/>
              </w:rPr>
            </w:pPr>
          </w:p>
          <w:p w:rsidRPr="00D73795" w:rsidR="00D73795" w:rsidP="00220150" w:rsidRDefault="00D73795" w14:paraId="659907DA" w14:textId="77777777">
            <w:pPr>
              <w:jc w:val="center"/>
              <w:rPr>
                <w:color w:val="000000"/>
              </w:rPr>
            </w:pPr>
          </w:p>
          <w:p w:rsidRPr="00D73795" w:rsidR="00D73795" w:rsidP="00220150" w:rsidRDefault="00D73795" w14:paraId="3ACF2C48" w14:textId="77777777">
            <w:pPr>
              <w:jc w:val="center"/>
              <w:rPr>
                <w:color w:val="000000"/>
              </w:rPr>
            </w:pPr>
          </w:p>
          <w:p w:rsidRPr="00D73795" w:rsidR="00D73795" w:rsidP="00220150" w:rsidRDefault="00D73795" w14:paraId="38E2AA30" w14:textId="77777777">
            <w:pPr>
              <w:jc w:val="center"/>
              <w:rPr>
                <w:color w:val="000000"/>
              </w:rPr>
            </w:pPr>
          </w:p>
          <w:p w:rsidRPr="00D73795" w:rsidR="00D73795" w:rsidP="00220150" w:rsidRDefault="00D73795" w14:paraId="6AA7B9B8" w14:textId="77777777">
            <w:pPr>
              <w:spacing w:after="240"/>
              <w:jc w:val="center"/>
              <w:rPr>
                <w:color w:val="000000"/>
              </w:rPr>
            </w:pPr>
          </w:p>
          <w:p w:rsidRPr="00D73795" w:rsidR="00D73795" w:rsidP="00220150" w:rsidRDefault="00D73795" w14:paraId="3F8CB038" w14:textId="18141F03">
            <w:pPr>
              <w:spacing w:before="120"/>
              <w:jc w:val="center"/>
              <w:rPr>
                <w:color w:val="000000"/>
              </w:rPr>
            </w:pPr>
            <w:r w:rsidRPr="00D73795">
              <w:rPr>
                <w:color w:val="000000"/>
              </w:rPr>
              <w:t xml:space="preserve">D.21-04-030, </w:t>
            </w:r>
            <w:r w:rsidR="00220150">
              <w:rPr>
                <w:color w:val="000000"/>
              </w:rPr>
              <w:t>at</w:t>
            </w:r>
            <w:r w:rsidRPr="00D73795">
              <w:rPr>
                <w:color w:val="000000"/>
              </w:rPr>
              <w:t xml:space="preserve"> 66.</w:t>
            </w:r>
          </w:p>
          <w:p w:rsidRPr="00D73795" w:rsidR="00D73795" w:rsidP="00220150" w:rsidRDefault="00D73795" w14:paraId="13512F29" w14:textId="77777777">
            <w:pPr>
              <w:jc w:val="center"/>
              <w:rPr>
                <w:color w:val="000000"/>
              </w:rPr>
            </w:pPr>
          </w:p>
          <w:p w:rsidRPr="00D73795" w:rsidR="00D73795" w:rsidP="00220150" w:rsidRDefault="00D73795" w14:paraId="2C8AF111" w14:textId="77777777">
            <w:pPr>
              <w:jc w:val="center"/>
              <w:rPr>
                <w:color w:val="000000"/>
              </w:rPr>
            </w:pPr>
          </w:p>
          <w:p w:rsidRPr="00D73795" w:rsidR="00D73795" w:rsidP="00220150" w:rsidRDefault="00D73795" w14:paraId="694EE35A" w14:textId="77777777">
            <w:pPr>
              <w:jc w:val="center"/>
              <w:rPr>
                <w:color w:val="000000"/>
              </w:rPr>
            </w:pPr>
          </w:p>
          <w:p w:rsidRPr="00D73795" w:rsidR="00D73795" w:rsidP="00220150" w:rsidRDefault="00D73795" w14:paraId="1274ED28" w14:textId="77777777">
            <w:pPr>
              <w:spacing w:after="240"/>
              <w:jc w:val="center"/>
              <w:rPr>
                <w:color w:val="000000"/>
              </w:rPr>
            </w:pPr>
          </w:p>
          <w:p w:rsidRPr="00D73795" w:rsidR="00D73795" w:rsidP="00220150" w:rsidRDefault="00D73795" w14:paraId="2ABADBDE" w14:textId="0785BE5E">
            <w:pPr>
              <w:jc w:val="center"/>
              <w:rPr>
                <w:color w:val="000000"/>
              </w:rPr>
            </w:pPr>
            <w:r w:rsidRPr="00D73795">
              <w:rPr>
                <w:color w:val="000000"/>
              </w:rPr>
              <w:lastRenderedPageBreak/>
              <w:t xml:space="preserve">D.21-04-030, </w:t>
            </w:r>
            <w:r w:rsidR="00220150">
              <w:rPr>
                <w:color w:val="000000"/>
              </w:rPr>
              <w:t>at</w:t>
            </w:r>
            <w:r w:rsidRPr="00D73795">
              <w:rPr>
                <w:color w:val="000000"/>
              </w:rPr>
              <w:t xml:space="preserve"> 67.</w:t>
            </w:r>
          </w:p>
          <w:p w:rsidRPr="00D73795" w:rsidR="00D73795" w:rsidP="00220150" w:rsidRDefault="00D73795" w14:paraId="5D91A04C" w14:textId="77777777">
            <w:pPr>
              <w:jc w:val="center"/>
              <w:rPr>
                <w:color w:val="000000"/>
              </w:rPr>
            </w:pPr>
          </w:p>
          <w:p w:rsidRPr="00D73795" w:rsidR="00D73795" w:rsidP="00220150" w:rsidRDefault="00D73795" w14:paraId="36BF7CD8" w14:textId="77777777">
            <w:pPr>
              <w:jc w:val="center"/>
              <w:rPr>
                <w:color w:val="000000"/>
              </w:rPr>
            </w:pPr>
          </w:p>
          <w:p w:rsidRPr="00D73795" w:rsidR="00D73795" w:rsidP="00220150" w:rsidRDefault="00D73795" w14:paraId="6B254042" w14:textId="77777777">
            <w:pPr>
              <w:jc w:val="center"/>
              <w:rPr>
                <w:color w:val="000000"/>
              </w:rPr>
            </w:pPr>
          </w:p>
          <w:p w:rsidRPr="00D73795" w:rsidR="00D73795" w:rsidP="00220150" w:rsidRDefault="00D73795" w14:paraId="0F1F235C" w14:textId="77777777">
            <w:pPr>
              <w:jc w:val="center"/>
              <w:rPr>
                <w:color w:val="000000"/>
              </w:rPr>
            </w:pPr>
          </w:p>
          <w:p w:rsidRPr="00D73795" w:rsidR="00D73795" w:rsidP="00220150" w:rsidRDefault="00D73795" w14:paraId="389C2BCE" w14:textId="77777777">
            <w:pPr>
              <w:jc w:val="center"/>
              <w:rPr>
                <w:color w:val="000000"/>
              </w:rPr>
            </w:pPr>
          </w:p>
          <w:p w:rsidRPr="00D73795" w:rsidR="00D73795" w:rsidP="00220150" w:rsidRDefault="00D73795" w14:paraId="5A495E31" w14:textId="77777777">
            <w:pPr>
              <w:jc w:val="center"/>
              <w:rPr>
                <w:color w:val="000000"/>
              </w:rPr>
            </w:pPr>
          </w:p>
          <w:p w:rsidRPr="00D73795" w:rsidR="00D73795" w:rsidP="00220150" w:rsidRDefault="00D73795" w14:paraId="4BAF6E45" w14:textId="77777777">
            <w:pPr>
              <w:jc w:val="center"/>
              <w:rPr>
                <w:color w:val="000000"/>
              </w:rPr>
            </w:pPr>
          </w:p>
          <w:p w:rsidRPr="00D73795" w:rsidR="00D73795" w:rsidP="00220150" w:rsidRDefault="00D73795" w14:paraId="24261932" w14:textId="77777777">
            <w:pPr>
              <w:jc w:val="center"/>
              <w:rPr>
                <w:color w:val="000000"/>
              </w:rPr>
            </w:pPr>
          </w:p>
          <w:p w:rsidRPr="00D73795" w:rsidR="00D73795" w:rsidP="00220150" w:rsidRDefault="00D73795" w14:paraId="64A15B9E" w14:textId="77777777">
            <w:pPr>
              <w:jc w:val="center"/>
              <w:rPr>
                <w:color w:val="000000"/>
              </w:rPr>
            </w:pPr>
          </w:p>
          <w:p w:rsidRPr="00D73795" w:rsidR="00D73795" w:rsidP="00220150" w:rsidRDefault="00D73795" w14:paraId="1D44AF0B" w14:textId="77777777">
            <w:pPr>
              <w:jc w:val="center"/>
              <w:rPr>
                <w:color w:val="000000"/>
              </w:rPr>
            </w:pPr>
          </w:p>
          <w:p w:rsidRPr="00D73795" w:rsidR="00D73795" w:rsidP="00220150" w:rsidRDefault="00D73795" w14:paraId="6EFBE906" w14:textId="77777777">
            <w:pPr>
              <w:jc w:val="center"/>
              <w:rPr>
                <w:color w:val="000000"/>
              </w:rPr>
            </w:pPr>
          </w:p>
          <w:p w:rsidRPr="00D73795" w:rsidR="00D73795" w:rsidP="00220150" w:rsidRDefault="00D73795" w14:paraId="51277594" w14:textId="77777777">
            <w:pPr>
              <w:jc w:val="center"/>
              <w:rPr>
                <w:color w:val="000000"/>
              </w:rPr>
            </w:pPr>
          </w:p>
          <w:p w:rsidRPr="00D73795" w:rsidR="00D73795" w:rsidP="00220150" w:rsidRDefault="00D73795" w14:paraId="71D685E8" w14:textId="77777777">
            <w:pPr>
              <w:jc w:val="center"/>
              <w:rPr>
                <w:color w:val="000000"/>
              </w:rPr>
            </w:pPr>
          </w:p>
          <w:p w:rsidRPr="00D73795" w:rsidR="00D73795" w:rsidP="00220150" w:rsidRDefault="00D73795" w14:paraId="4DDBF8A3" w14:textId="77777777">
            <w:pPr>
              <w:spacing w:after="240"/>
              <w:jc w:val="center"/>
              <w:rPr>
                <w:color w:val="000000"/>
              </w:rPr>
            </w:pPr>
          </w:p>
          <w:p w:rsidRPr="00D73795" w:rsidR="00D73795" w:rsidP="00220150" w:rsidRDefault="00D73795" w14:paraId="0ADE59AA" w14:textId="71A20097">
            <w:pPr>
              <w:spacing w:before="120"/>
              <w:jc w:val="center"/>
              <w:rPr>
                <w:color w:val="000000"/>
              </w:rPr>
            </w:pPr>
            <w:r w:rsidRPr="00D73795">
              <w:rPr>
                <w:color w:val="000000"/>
              </w:rPr>
              <w:t xml:space="preserve">D.21-04-030, </w:t>
            </w:r>
            <w:r w:rsidR="00220150">
              <w:rPr>
                <w:color w:val="000000"/>
              </w:rPr>
              <w:t>at</w:t>
            </w:r>
            <w:r w:rsidRPr="00D73795">
              <w:rPr>
                <w:color w:val="000000"/>
              </w:rPr>
              <w:t xml:space="preserve"> 67-68.</w:t>
            </w:r>
          </w:p>
          <w:p w:rsidRPr="00D73795" w:rsidR="00D73795" w:rsidP="00220150" w:rsidRDefault="00D73795" w14:paraId="0F227713" w14:textId="77777777">
            <w:pPr>
              <w:jc w:val="center"/>
              <w:rPr>
                <w:color w:val="000000"/>
              </w:rPr>
            </w:pPr>
          </w:p>
          <w:p w:rsidRPr="00D73795" w:rsidR="00D73795" w:rsidP="00220150" w:rsidRDefault="00D73795" w14:paraId="383EBCBD" w14:textId="77777777">
            <w:pPr>
              <w:jc w:val="center"/>
              <w:rPr>
                <w:color w:val="000000"/>
              </w:rPr>
            </w:pPr>
          </w:p>
          <w:p w:rsidRPr="00D73795" w:rsidR="00D73795" w:rsidP="00220150" w:rsidRDefault="00D73795" w14:paraId="59DB7846" w14:textId="77777777">
            <w:pPr>
              <w:jc w:val="center"/>
              <w:rPr>
                <w:color w:val="000000"/>
              </w:rPr>
            </w:pPr>
          </w:p>
          <w:p w:rsidRPr="00D73795" w:rsidR="00D73795" w:rsidP="00220150" w:rsidRDefault="00D73795" w14:paraId="53A1F88F" w14:textId="77777777">
            <w:pPr>
              <w:jc w:val="center"/>
              <w:rPr>
                <w:color w:val="000000"/>
              </w:rPr>
            </w:pPr>
          </w:p>
          <w:p w:rsidRPr="00D73795" w:rsidR="00D73795" w:rsidP="00220150" w:rsidRDefault="00D73795" w14:paraId="07C96BB5" w14:textId="77777777">
            <w:pPr>
              <w:jc w:val="center"/>
              <w:rPr>
                <w:color w:val="000000"/>
              </w:rPr>
            </w:pPr>
          </w:p>
          <w:p w:rsidRPr="00D73795" w:rsidR="00D73795" w:rsidP="00220150" w:rsidRDefault="00D73795" w14:paraId="5535A57E" w14:textId="77777777">
            <w:pPr>
              <w:jc w:val="center"/>
              <w:rPr>
                <w:color w:val="000000"/>
              </w:rPr>
            </w:pPr>
          </w:p>
          <w:p w:rsidRPr="00D73795" w:rsidR="00D73795" w:rsidP="00220150" w:rsidRDefault="00D73795" w14:paraId="061AA918" w14:textId="77777777">
            <w:pPr>
              <w:jc w:val="center"/>
              <w:rPr>
                <w:color w:val="000000"/>
              </w:rPr>
            </w:pPr>
          </w:p>
          <w:p w:rsidRPr="00D73795" w:rsidR="00D73795" w:rsidP="00220150" w:rsidRDefault="00D73795" w14:paraId="47D5BAC9" w14:textId="77777777">
            <w:pPr>
              <w:jc w:val="center"/>
              <w:rPr>
                <w:color w:val="000000"/>
              </w:rPr>
            </w:pPr>
          </w:p>
          <w:p w:rsidRPr="00D73795" w:rsidR="00D73795" w:rsidP="00220150" w:rsidRDefault="00D73795" w14:paraId="6D6B8C48" w14:textId="77777777">
            <w:pPr>
              <w:spacing w:after="240"/>
              <w:jc w:val="center"/>
              <w:rPr>
                <w:color w:val="000000"/>
              </w:rPr>
            </w:pPr>
          </w:p>
          <w:p w:rsidRPr="00D73795" w:rsidR="00D73795" w:rsidP="00220150" w:rsidRDefault="00D73795" w14:paraId="51F18923" w14:textId="5E0738AD">
            <w:pPr>
              <w:spacing w:before="120"/>
              <w:jc w:val="center"/>
              <w:rPr>
                <w:color w:val="000000"/>
              </w:rPr>
            </w:pPr>
            <w:r w:rsidRPr="00D73795">
              <w:rPr>
                <w:color w:val="000000"/>
              </w:rPr>
              <w:t xml:space="preserve">D.21-04-030, </w:t>
            </w:r>
            <w:r w:rsidR="00220150">
              <w:rPr>
                <w:color w:val="000000"/>
              </w:rPr>
              <w:t xml:space="preserve">at </w:t>
            </w:r>
            <w:r w:rsidRPr="00D73795">
              <w:rPr>
                <w:color w:val="000000"/>
              </w:rPr>
              <w:t>70.</w:t>
            </w:r>
          </w:p>
          <w:p w:rsidRPr="00D73795" w:rsidR="00D73795" w:rsidP="00220150" w:rsidRDefault="00D73795" w14:paraId="3A26DB9B" w14:textId="77777777">
            <w:pPr>
              <w:jc w:val="center"/>
              <w:rPr>
                <w:color w:val="000000"/>
              </w:rPr>
            </w:pPr>
          </w:p>
          <w:p w:rsidRPr="00D73795" w:rsidR="00D73795" w:rsidP="00220150" w:rsidRDefault="00D73795" w14:paraId="7FC3A59E" w14:textId="77777777">
            <w:pPr>
              <w:jc w:val="center"/>
              <w:rPr>
                <w:color w:val="000000"/>
              </w:rPr>
            </w:pPr>
          </w:p>
          <w:p w:rsidRPr="00D73795" w:rsidR="00D73795" w:rsidP="00220150" w:rsidRDefault="00D73795" w14:paraId="0FB59636" w14:textId="77777777">
            <w:pPr>
              <w:jc w:val="center"/>
              <w:rPr>
                <w:color w:val="000000"/>
              </w:rPr>
            </w:pPr>
          </w:p>
          <w:p w:rsidRPr="00D73795" w:rsidR="00D73795" w:rsidP="00220150" w:rsidRDefault="00D73795" w14:paraId="44505A2D" w14:textId="77777777">
            <w:pPr>
              <w:jc w:val="center"/>
              <w:rPr>
                <w:color w:val="000000"/>
              </w:rPr>
            </w:pPr>
          </w:p>
          <w:p w:rsidRPr="00D73795" w:rsidR="00D73795" w:rsidP="00220150" w:rsidRDefault="00D73795" w14:paraId="59A051E7" w14:textId="77777777">
            <w:pPr>
              <w:jc w:val="center"/>
              <w:rPr>
                <w:color w:val="000000"/>
              </w:rPr>
            </w:pPr>
          </w:p>
          <w:p w:rsidRPr="00D73795" w:rsidR="00D73795" w:rsidP="00220150" w:rsidRDefault="00D73795" w14:paraId="7672F7C9" w14:textId="77777777">
            <w:pPr>
              <w:jc w:val="center"/>
              <w:rPr>
                <w:color w:val="000000"/>
              </w:rPr>
            </w:pPr>
          </w:p>
          <w:p w:rsidRPr="00D73795" w:rsidR="00D73795" w:rsidP="00220150" w:rsidRDefault="00D73795" w14:paraId="3398D74D" w14:textId="77777777">
            <w:pPr>
              <w:jc w:val="center"/>
              <w:rPr>
                <w:color w:val="000000"/>
              </w:rPr>
            </w:pPr>
          </w:p>
          <w:p w:rsidRPr="00D73795" w:rsidR="00D73795" w:rsidP="00220150" w:rsidRDefault="00D73795" w14:paraId="0988736D" w14:textId="77777777">
            <w:pPr>
              <w:jc w:val="center"/>
              <w:rPr>
                <w:color w:val="000000"/>
              </w:rPr>
            </w:pPr>
          </w:p>
          <w:p w:rsidRPr="00D73795" w:rsidR="00D73795" w:rsidP="00220150" w:rsidRDefault="00D73795" w14:paraId="52C0D6E4" w14:textId="77777777">
            <w:pPr>
              <w:jc w:val="center"/>
              <w:rPr>
                <w:color w:val="000000"/>
              </w:rPr>
            </w:pPr>
          </w:p>
          <w:p w:rsidRPr="00D73795" w:rsidR="00D73795" w:rsidP="00220150" w:rsidRDefault="00D73795" w14:paraId="4B00CECE" w14:textId="77777777">
            <w:pPr>
              <w:jc w:val="center"/>
              <w:rPr>
                <w:color w:val="000000"/>
              </w:rPr>
            </w:pPr>
          </w:p>
          <w:p w:rsidRPr="00D73795" w:rsidR="00D73795" w:rsidP="00220150" w:rsidRDefault="00D73795" w14:paraId="790A96D7" w14:textId="77777777">
            <w:pPr>
              <w:jc w:val="center"/>
              <w:rPr>
                <w:color w:val="000000"/>
              </w:rPr>
            </w:pPr>
          </w:p>
          <w:p w:rsidRPr="00D73795" w:rsidR="00D73795" w:rsidP="00220150" w:rsidRDefault="00D73795" w14:paraId="2649A66D" w14:textId="77777777">
            <w:pPr>
              <w:spacing w:after="240"/>
              <w:jc w:val="center"/>
              <w:rPr>
                <w:color w:val="000000"/>
              </w:rPr>
            </w:pPr>
          </w:p>
          <w:p w:rsidRPr="00D73795" w:rsidR="00D73795" w:rsidP="00220150" w:rsidRDefault="00D73795" w14:paraId="728261DC" w14:textId="7B6C4BA0">
            <w:pPr>
              <w:spacing w:before="120"/>
              <w:jc w:val="center"/>
              <w:rPr>
                <w:color w:val="000000"/>
              </w:rPr>
            </w:pPr>
            <w:r w:rsidRPr="00D73795">
              <w:rPr>
                <w:color w:val="000000"/>
              </w:rPr>
              <w:t xml:space="preserve">D.21-04-030, </w:t>
            </w:r>
            <w:r w:rsidR="00220150">
              <w:rPr>
                <w:color w:val="000000"/>
              </w:rPr>
              <w:t xml:space="preserve">at </w:t>
            </w:r>
            <w:r w:rsidRPr="00D73795">
              <w:rPr>
                <w:color w:val="000000"/>
              </w:rPr>
              <w:t>71.</w:t>
            </w:r>
          </w:p>
          <w:p w:rsidRPr="00D73795" w:rsidR="00D73795" w:rsidP="00220150" w:rsidRDefault="00D73795" w14:paraId="0EF132F4" w14:textId="77777777">
            <w:pPr>
              <w:jc w:val="center"/>
              <w:rPr>
                <w:color w:val="000000"/>
              </w:rPr>
            </w:pPr>
          </w:p>
          <w:p w:rsidRPr="00D73795" w:rsidR="00D73795" w:rsidP="00220150" w:rsidRDefault="00D73795" w14:paraId="563C8232" w14:textId="77777777">
            <w:pPr>
              <w:jc w:val="center"/>
              <w:rPr>
                <w:color w:val="000000"/>
              </w:rPr>
            </w:pPr>
          </w:p>
          <w:p w:rsidRPr="00D73795" w:rsidR="00D73795" w:rsidP="00220150" w:rsidRDefault="00D73795" w14:paraId="6A5BA3E9" w14:textId="77777777">
            <w:pPr>
              <w:jc w:val="center"/>
              <w:rPr>
                <w:color w:val="000000"/>
              </w:rPr>
            </w:pPr>
          </w:p>
          <w:p w:rsidRPr="00D73795" w:rsidR="00D73795" w:rsidP="00220150" w:rsidRDefault="00D73795" w14:paraId="58AC0320" w14:textId="77777777">
            <w:pPr>
              <w:jc w:val="center"/>
              <w:rPr>
                <w:color w:val="000000"/>
              </w:rPr>
            </w:pPr>
          </w:p>
          <w:p w:rsidRPr="00D73795" w:rsidR="00D73795" w:rsidP="00220150" w:rsidRDefault="00D73795" w14:paraId="5A00C887" w14:textId="77777777">
            <w:pPr>
              <w:jc w:val="center"/>
              <w:rPr>
                <w:color w:val="000000"/>
              </w:rPr>
            </w:pPr>
          </w:p>
          <w:p w:rsidRPr="00D73795" w:rsidR="00D73795" w:rsidP="00220150" w:rsidRDefault="00D73795" w14:paraId="6B19BE14" w14:textId="77777777">
            <w:pPr>
              <w:jc w:val="center"/>
              <w:rPr>
                <w:color w:val="000000"/>
              </w:rPr>
            </w:pPr>
          </w:p>
          <w:p w:rsidRPr="00D73795" w:rsidR="00D73795" w:rsidP="00220150" w:rsidRDefault="00D73795" w14:paraId="559DF9B4" w14:textId="77777777">
            <w:pPr>
              <w:jc w:val="center"/>
              <w:rPr>
                <w:color w:val="000000"/>
              </w:rPr>
            </w:pPr>
          </w:p>
          <w:p w:rsidRPr="00D73795" w:rsidR="00D73795" w:rsidP="00220150" w:rsidRDefault="00D73795" w14:paraId="288152B9" w14:textId="77777777">
            <w:pPr>
              <w:jc w:val="center"/>
              <w:rPr>
                <w:color w:val="000000"/>
              </w:rPr>
            </w:pPr>
          </w:p>
          <w:p w:rsidRPr="00D73795" w:rsidR="00D73795" w:rsidP="00220150" w:rsidRDefault="00D73795" w14:paraId="044F3F01" w14:textId="77777777">
            <w:pPr>
              <w:jc w:val="center"/>
              <w:rPr>
                <w:color w:val="000000"/>
              </w:rPr>
            </w:pPr>
          </w:p>
          <w:p w:rsidRPr="00D73795" w:rsidR="00D73795" w:rsidP="00220150" w:rsidRDefault="00D73795" w14:paraId="6F30BAE3" w14:textId="77777777">
            <w:pPr>
              <w:jc w:val="center"/>
              <w:rPr>
                <w:color w:val="000000"/>
              </w:rPr>
            </w:pPr>
          </w:p>
          <w:p w:rsidRPr="00D73795" w:rsidR="00D73795" w:rsidP="00220150" w:rsidRDefault="00D73795" w14:paraId="3B7E9924" w14:textId="77777777">
            <w:pPr>
              <w:jc w:val="center"/>
              <w:rPr>
                <w:color w:val="000000"/>
              </w:rPr>
            </w:pPr>
          </w:p>
          <w:p w:rsidRPr="00D73795" w:rsidR="00D73795" w:rsidP="00220150" w:rsidRDefault="00D73795" w14:paraId="02C5CB87" w14:textId="77777777">
            <w:pPr>
              <w:jc w:val="center"/>
              <w:rPr>
                <w:color w:val="000000"/>
              </w:rPr>
            </w:pPr>
          </w:p>
          <w:p w:rsidRPr="00D73795" w:rsidR="00D73795" w:rsidP="00220150" w:rsidRDefault="00D73795" w14:paraId="791DBE86" w14:textId="77777777">
            <w:pPr>
              <w:jc w:val="center"/>
              <w:rPr>
                <w:color w:val="000000"/>
              </w:rPr>
            </w:pPr>
          </w:p>
          <w:p w:rsidRPr="00D73795" w:rsidR="00D73795" w:rsidP="00220150" w:rsidRDefault="00D73795" w14:paraId="05231BA3" w14:textId="77777777">
            <w:pPr>
              <w:jc w:val="center"/>
              <w:rPr>
                <w:color w:val="000000"/>
              </w:rPr>
            </w:pPr>
          </w:p>
          <w:p w:rsidRPr="00D73795" w:rsidR="00D73795" w:rsidP="00220150" w:rsidRDefault="00D73795" w14:paraId="2EE7F77C" w14:textId="77777777">
            <w:pPr>
              <w:jc w:val="center"/>
              <w:rPr>
                <w:color w:val="000000"/>
              </w:rPr>
            </w:pPr>
          </w:p>
          <w:p w:rsidRPr="00D73795" w:rsidR="00D73795" w:rsidP="00220150" w:rsidRDefault="00D73795" w14:paraId="140E1D87" w14:textId="77777777">
            <w:pPr>
              <w:jc w:val="center"/>
              <w:rPr>
                <w:color w:val="000000"/>
              </w:rPr>
            </w:pPr>
          </w:p>
          <w:p w:rsidRPr="00D73795" w:rsidR="00D73795" w:rsidP="00220150" w:rsidRDefault="00D73795" w14:paraId="7C8F7079" w14:textId="77777777">
            <w:pPr>
              <w:jc w:val="center"/>
              <w:rPr>
                <w:color w:val="000000"/>
              </w:rPr>
            </w:pPr>
          </w:p>
          <w:p w:rsidRPr="00D73795" w:rsidR="00D73795" w:rsidP="00220150" w:rsidRDefault="00D73795" w14:paraId="25DAC726" w14:textId="77777777">
            <w:pPr>
              <w:jc w:val="center"/>
              <w:rPr>
                <w:color w:val="000000"/>
              </w:rPr>
            </w:pPr>
          </w:p>
          <w:p w:rsidRPr="00D73795" w:rsidR="00D73795" w:rsidP="00220150" w:rsidRDefault="00D73795" w14:paraId="5516B394" w14:textId="77777777">
            <w:pPr>
              <w:jc w:val="center"/>
              <w:rPr>
                <w:color w:val="000000"/>
              </w:rPr>
            </w:pPr>
          </w:p>
          <w:p w:rsidRPr="00D73795" w:rsidR="00D73795" w:rsidP="00220150" w:rsidRDefault="00D73795" w14:paraId="62F40623" w14:textId="77777777">
            <w:pPr>
              <w:jc w:val="center"/>
              <w:rPr>
                <w:color w:val="000000"/>
              </w:rPr>
            </w:pPr>
          </w:p>
          <w:p w:rsidRPr="00D73795" w:rsidR="00D73795" w:rsidP="00220150" w:rsidRDefault="00D73795" w14:paraId="469C5098" w14:textId="77777777">
            <w:pPr>
              <w:jc w:val="center"/>
              <w:rPr>
                <w:color w:val="000000"/>
              </w:rPr>
            </w:pPr>
          </w:p>
          <w:p w:rsidRPr="00D73795" w:rsidR="00D73795" w:rsidP="00220150" w:rsidRDefault="00D73795" w14:paraId="75CCB5ED" w14:textId="77777777">
            <w:pPr>
              <w:jc w:val="center"/>
              <w:rPr>
                <w:color w:val="000000"/>
              </w:rPr>
            </w:pPr>
          </w:p>
          <w:p w:rsidRPr="00D73795" w:rsidR="00D73795" w:rsidP="00220150" w:rsidRDefault="00D73795" w14:paraId="496C35B7" w14:textId="77777777">
            <w:pPr>
              <w:jc w:val="center"/>
              <w:rPr>
                <w:color w:val="000000"/>
              </w:rPr>
            </w:pPr>
          </w:p>
          <w:p w:rsidRPr="00D73795" w:rsidR="00D73795" w:rsidP="00220150" w:rsidRDefault="00D73795" w14:paraId="5755879E" w14:textId="77777777">
            <w:pPr>
              <w:jc w:val="center"/>
              <w:rPr>
                <w:color w:val="000000"/>
              </w:rPr>
            </w:pPr>
          </w:p>
          <w:p w:rsidRPr="00D73795" w:rsidR="00D73795" w:rsidP="00220150" w:rsidRDefault="00D73795" w14:paraId="0740A5F3" w14:textId="77777777">
            <w:pPr>
              <w:jc w:val="center"/>
              <w:rPr>
                <w:color w:val="000000"/>
              </w:rPr>
            </w:pPr>
          </w:p>
          <w:p w:rsidRPr="00D73795" w:rsidR="00D73795" w:rsidP="00220150" w:rsidRDefault="00D73795" w14:paraId="562AFDD1" w14:textId="77777777">
            <w:pPr>
              <w:jc w:val="center"/>
              <w:rPr>
                <w:color w:val="000000"/>
              </w:rPr>
            </w:pPr>
          </w:p>
          <w:p w:rsidRPr="00D73795" w:rsidR="00D73795" w:rsidP="00220150" w:rsidRDefault="00D73795" w14:paraId="4A583103" w14:textId="77777777">
            <w:pPr>
              <w:spacing w:after="240"/>
              <w:jc w:val="center"/>
              <w:rPr>
                <w:color w:val="000000"/>
              </w:rPr>
            </w:pPr>
          </w:p>
          <w:p w:rsidRPr="00D73795" w:rsidR="00D73795" w:rsidP="00220150" w:rsidRDefault="00D73795" w14:paraId="345D241F" w14:textId="539FE737">
            <w:pPr>
              <w:jc w:val="center"/>
              <w:rPr>
                <w:color w:val="000000"/>
              </w:rPr>
            </w:pPr>
            <w:r w:rsidRPr="00D73795">
              <w:rPr>
                <w:color w:val="000000"/>
              </w:rPr>
              <w:t xml:space="preserve">D.21-04-030, </w:t>
            </w:r>
            <w:r w:rsidR="00220150">
              <w:rPr>
                <w:color w:val="000000"/>
              </w:rPr>
              <w:t xml:space="preserve">at </w:t>
            </w:r>
            <w:r w:rsidRPr="00D73795">
              <w:rPr>
                <w:color w:val="000000"/>
              </w:rPr>
              <w:t>72 (</w:t>
            </w:r>
            <w:r w:rsidRPr="00D73795">
              <w:rPr>
                <w:i/>
                <w:iCs/>
                <w:color w:val="000000"/>
              </w:rPr>
              <w:t>see also</w:t>
            </w:r>
            <w:r w:rsidRPr="00D73795">
              <w:rPr>
                <w:color w:val="000000"/>
              </w:rPr>
              <w:t xml:space="preserve"> Ordering Paragraph 17).</w:t>
            </w:r>
          </w:p>
          <w:p w:rsidRPr="00D73795" w:rsidR="00D73795" w:rsidP="00220150" w:rsidRDefault="00D73795" w14:paraId="743F7F8B" w14:textId="77777777">
            <w:pPr>
              <w:jc w:val="center"/>
              <w:rPr>
                <w:color w:val="000000"/>
              </w:rPr>
            </w:pPr>
          </w:p>
        </w:tc>
        <w:tc>
          <w:tcPr>
            <w:tcW w:w="2340" w:type="dxa"/>
            <w:shd w:val="clear" w:color="auto" w:fill="auto"/>
          </w:tcPr>
          <w:p w:rsidRPr="00D73795" w:rsidR="00D73795" w:rsidP="00220150" w:rsidRDefault="00D73795" w14:paraId="430CDFDF" w14:textId="77777777">
            <w:pPr>
              <w:spacing w:before="120"/>
              <w:jc w:val="center"/>
              <w:rPr>
                <w:color w:val="000000"/>
              </w:rPr>
            </w:pPr>
            <w:r w:rsidRPr="00D73795">
              <w:rPr>
                <w:color w:val="000000"/>
              </w:rPr>
              <w:lastRenderedPageBreak/>
              <w:t>Verified</w:t>
            </w:r>
          </w:p>
        </w:tc>
      </w:tr>
      <w:tr w:rsidRPr="00D73795" w:rsidR="00D73795" w:rsidTr="00355A28" w14:paraId="4A829C3A" w14:textId="77777777">
        <w:tc>
          <w:tcPr>
            <w:tcW w:w="3168" w:type="dxa"/>
            <w:shd w:val="clear" w:color="auto" w:fill="auto"/>
          </w:tcPr>
          <w:p w:rsidRPr="00D73795" w:rsidR="00D73795" w:rsidP="00D73795" w:rsidRDefault="00D73795" w14:paraId="5FFA860E" w14:textId="77777777">
            <w:pPr>
              <w:rPr>
                <w:b/>
                <w:color w:val="000000"/>
              </w:rPr>
            </w:pPr>
            <w:r w:rsidRPr="00D73795">
              <w:rPr>
                <w:b/>
                <w:color w:val="000000"/>
              </w:rPr>
              <w:lastRenderedPageBreak/>
              <w:t>4.  The Record Does Not Support a Finding that Improvement in PG&amp;E’s Credit Rating Will Be Accelerated.</w:t>
            </w:r>
          </w:p>
          <w:p w:rsidRPr="00D73795" w:rsidR="00D73795" w:rsidP="00D73795" w:rsidRDefault="00D73795" w14:paraId="28F5B382" w14:textId="77777777"/>
          <w:p w:rsidRPr="00D73795" w:rsidR="00D73795" w:rsidP="00D73795" w:rsidRDefault="00D73795" w14:paraId="74F455B2" w14:textId="77777777">
            <w:r w:rsidRPr="00D73795">
              <w:rPr>
                <w:i/>
                <w:iCs/>
                <w:u w:val="single"/>
              </w:rPr>
              <w:t>Summary of AECA Contributions</w:t>
            </w:r>
            <w:r w:rsidRPr="00D73795">
              <w:t>:</w:t>
            </w:r>
          </w:p>
          <w:p w:rsidRPr="00D73795" w:rsidR="00D73795" w:rsidP="00D73795" w:rsidRDefault="00D73795" w14:paraId="5C8874D7" w14:textId="77777777"/>
          <w:p w:rsidRPr="00D73795" w:rsidR="00D73795" w:rsidP="00D73795" w:rsidRDefault="00D73795" w14:paraId="79F73A96" w14:textId="77777777">
            <w:pPr>
              <w:spacing w:after="240"/>
            </w:pPr>
            <w:r w:rsidRPr="00D73795">
              <w:t xml:space="preserve">“PG&amp;E touts an earlier return to investment-grade credit rating as providing benefits to customers. PG&amp;E states that ‘[p]ursuant to the analysis of Citigroup Global Markets Inc., the proposed Securitization would provide PG&amp;E the </w:t>
            </w:r>
            <w:r w:rsidRPr="00D73795">
              <w:rPr>
                <w:b/>
                <w:bCs/>
                <w:i/>
                <w:iCs/>
              </w:rPr>
              <w:t>opportunity</w:t>
            </w:r>
            <w:r w:rsidRPr="00D73795">
              <w:t xml:space="preserve"> to achieve metrics consistent </w:t>
            </w:r>
            <w:r w:rsidRPr="00D73795">
              <w:lastRenderedPageBreak/>
              <w:t xml:space="preserve">with an investment-grade issuer credit rating under S&amp;P’s methodology within its five-year financial projections, </w:t>
            </w:r>
            <w:r w:rsidRPr="00D73795">
              <w:rPr>
                <w:b/>
                <w:bCs/>
                <w:i/>
                <w:iCs/>
              </w:rPr>
              <w:t>potentially</w:t>
            </w:r>
            <w:r w:rsidRPr="00D73795">
              <w:t xml:space="preserve"> two years or more before it otherwise would absent the Securitization.’ According to PG&amp;E’s testimony, this results in estimated nominal interest savings of $441 million. Compared to a $7.5 billion Securitization, the benefit to ratepayers of a potential two-year improvement in the schedule for PG&amp;E’s return to investment-grade status appears minimal, and would not offset the risk to customers of shortfalls in the Customer Credit Trust over a 30 year period. Additionally, while PG&amp;E would benefit from a ratepayer funded improvement in credit rating, it is possible that that benefit outweighs the interest savings to ratepayers that PG&amp;E has estimated.” </w:t>
            </w:r>
          </w:p>
          <w:p w:rsidRPr="00D73795" w:rsidR="00D73795" w:rsidP="00D73795" w:rsidRDefault="00D73795" w14:paraId="1C8F8E92" w14:textId="77777777">
            <w:pPr>
              <w:spacing w:after="240"/>
            </w:pPr>
            <w:r w:rsidRPr="00D73795">
              <w:t xml:space="preserve">“The analysis by three credit agencies that PG&amp;E provided does not support a conclusion that the proposed Securitization will accelerate improvement of PG&amp;E’s credit ratings. In fact, none of S&amp;P, Moody’s or Fitch indicates that securitization would motivate improved credit ratings for PG&amp;E. … The ratings agencies noted concerns regarding the ongoing risk of catastrophic wildfires, as well as ongoing </w:t>
            </w:r>
            <w:r w:rsidRPr="00D73795">
              <w:lastRenderedPageBreak/>
              <w:t xml:space="preserve">maintenance and governance issues.” </w:t>
            </w:r>
          </w:p>
          <w:p w:rsidRPr="00D73795" w:rsidR="00D73795" w:rsidP="00D73795" w:rsidRDefault="00D73795" w14:paraId="4A5D371A" w14:textId="77777777">
            <w:r w:rsidRPr="00D73795">
              <w:t xml:space="preserve">“The ratings agencies have indicated that PG&amp;E’s operational failures, ongoing concerns regarding wildfire risk, and doubts regarding management and governance create qualitative problems that cause them to state that it is ‘highly unlikely’ (S&amp;P) or ‘unlikely’ (Moody’s) that they would upgrade PG&amp;E’s credit rating over the near term.” </w:t>
            </w:r>
          </w:p>
          <w:p w:rsidRPr="00D73795" w:rsidR="00D73795" w:rsidP="00D73795" w:rsidRDefault="00D73795" w14:paraId="7517C5E5" w14:textId="77777777"/>
          <w:p w:rsidRPr="00D73795" w:rsidR="00D73795" w:rsidP="00D73795" w:rsidRDefault="00D73795" w14:paraId="2C0FE026" w14:textId="77777777">
            <w:pPr>
              <w:spacing w:before="120"/>
              <w:rPr>
                <w:color w:val="000000"/>
              </w:rPr>
            </w:pPr>
            <w:r w:rsidRPr="00D73795">
              <w:rPr>
                <w:i/>
                <w:iCs/>
                <w:color w:val="000000"/>
                <w:u w:val="single"/>
              </w:rPr>
              <w:t>Decision</w:t>
            </w:r>
            <w:r w:rsidRPr="00D73795">
              <w:rPr>
                <w:color w:val="000000"/>
              </w:rPr>
              <w:t>:</w:t>
            </w:r>
          </w:p>
          <w:p w:rsidRPr="00D73795" w:rsidR="00D73795" w:rsidP="00D73795" w:rsidRDefault="00D73795" w14:paraId="7816D251" w14:textId="77777777">
            <w:pPr>
              <w:rPr>
                <w:color w:val="000000"/>
              </w:rPr>
            </w:pPr>
          </w:p>
          <w:p w:rsidRPr="00D73795" w:rsidR="00D73795" w:rsidP="00D73795" w:rsidRDefault="00D73795" w14:paraId="1E8F5654" w14:textId="77777777">
            <w:pPr>
              <w:spacing w:after="240"/>
              <w:rPr>
                <w:color w:val="000000"/>
              </w:rPr>
            </w:pPr>
            <w:r w:rsidRPr="00D73795">
              <w:rPr>
                <w:color w:val="000000"/>
              </w:rPr>
              <w:t xml:space="preserve">PG&amp;E has met the requirement to show that it has a path to an investment grade credit rating. The requirement was not established to compare whether through application of the Stress Test Methodology an electric utility could achieve an investment grade rating or even if the application would accelerate its achievement of an investment grade rating. The requirement was that the utility establish a path toward financial health. PG&amp;E has complied with this requirement.”  </w:t>
            </w:r>
          </w:p>
          <w:p w:rsidRPr="00D73795" w:rsidR="00D73795" w:rsidP="00D73795" w:rsidRDefault="00D73795" w14:paraId="7BEF9361" w14:textId="77777777">
            <w:pPr>
              <w:rPr>
                <w:color w:val="000000"/>
              </w:rPr>
            </w:pPr>
            <w:r w:rsidRPr="00D73795">
              <w:rPr>
                <w:color w:val="000000"/>
              </w:rPr>
              <w:t xml:space="preserve">“In enacting AB 1054 the legislature recognized that credit ratings below investment grade jeopardize the ability of electric corporations to provide safe and reliable electric and gas </w:t>
            </w:r>
            <w:r w:rsidRPr="00D73795">
              <w:rPr>
                <w:color w:val="000000"/>
              </w:rPr>
              <w:lastRenderedPageBreak/>
              <w:t xml:space="preserve">service, provide service at just and reasonable rates, and meet other state goals. In reviewing the options presented by this application, there are risks associated with any decision we make.” </w:t>
            </w:r>
          </w:p>
          <w:p w:rsidRPr="00D73795" w:rsidR="00D73795" w:rsidP="00D73795" w:rsidRDefault="00D73795" w14:paraId="30F5D94A" w14:textId="77777777">
            <w:pPr>
              <w:spacing w:before="120"/>
              <w:rPr>
                <w:color w:val="000000"/>
              </w:rPr>
            </w:pPr>
          </w:p>
        </w:tc>
        <w:tc>
          <w:tcPr>
            <w:tcW w:w="4230" w:type="dxa"/>
            <w:shd w:val="clear" w:color="auto" w:fill="auto"/>
          </w:tcPr>
          <w:p w:rsidRPr="00D73795" w:rsidR="00D73795" w:rsidP="00220150" w:rsidRDefault="00D73795" w14:paraId="629DB8D5" w14:textId="77777777">
            <w:pPr>
              <w:spacing w:before="120"/>
              <w:jc w:val="center"/>
              <w:rPr>
                <w:color w:val="000000"/>
              </w:rPr>
            </w:pPr>
          </w:p>
          <w:p w:rsidRPr="00D73795" w:rsidR="00D73795" w:rsidP="00220150" w:rsidRDefault="00D73795" w14:paraId="57C8B21F" w14:textId="77777777">
            <w:pPr>
              <w:spacing w:before="120"/>
              <w:jc w:val="center"/>
              <w:rPr>
                <w:color w:val="000000"/>
              </w:rPr>
            </w:pPr>
          </w:p>
          <w:p w:rsidRPr="00D73795" w:rsidR="00D73795" w:rsidP="00220150" w:rsidRDefault="00D73795" w14:paraId="49663AEF" w14:textId="77777777">
            <w:pPr>
              <w:spacing w:before="120"/>
              <w:jc w:val="center"/>
              <w:rPr>
                <w:color w:val="000000"/>
              </w:rPr>
            </w:pPr>
          </w:p>
          <w:p w:rsidRPr="00D73795" w:rsidR="00D73795" w:rsidP="00220150" w:rsidRDefault="00D73795" w14:paraId="71EFBD56" w14:textId="77777777">
            <w:pPr>
              <w:spacing w:before="120"/>
              <w:jc w:val="center"/>
            </w:pPr>
          </w:p>
          <w:p w:rsidRPr="00D73795" w:rsidR="00D73795" w:rsidP="00220150" w:rsidRDefault="00D73795" w14:paraId="153F7645" w14:textId="77777777">
            <w:pPr>
              <w:jc w:val="center"/>
            </w:pPr>
          </w:p>
          <w:p w:rsidRPr="00D73795" w:rsidR="00D73795" w:rsidP="00220150" w:rsidRDefault="00D73795" w14:paraId="3EA8E971" w14:textId="77777777">
            <w:pPr>
              <w:jc w:val="center"/>
            </w:pPr>
          </w:p>
          <w:p w:rsidRPr="00D73795" w:rsidR="00D73795" w:rsidP="00220150" w:rsidRDefault="00D73795" w14:paraId="71106C9D" w14:textId="77777777">
            <w:pPr>
              <w:jc w:val="center"/>
            </w:pPr>
          </w:p>
          <w:p w:rsidRPr="00D73795" w:rsidR="00D73795" w:rsidP="00220150" w:rsidRDefault="00D73795" w14:paraId="1E23B7B3" w14:textId="3138657B">
            <w:pPr>
              <w:spacing w:before="120"/>
              <w:jc w:val="center"/>
              <w:rPr>
                <w:color w:val="000000"/>
              </w:rPr>
            </w:pPr>
            <w:r w:rsidRPr="00D73795">
              <w:t xml:space="preserve">Prepared Testimony of </w:t>
            </w:r>
            <w:r w:rsidR="00220150">
              <w:br/>
            </w:r>
            <w:r w:rsidRPr="00D73795">
              <w:t xml:space="preserve">Michael Boccadoro, </w:t>
            </w:r>
            <w:r w:rsidR="00220150">
              <w:t>at</w:t>
            </w:r>
            <w:r w:rsidRPr="00D73795">
              <w:t xml:space="preserve"> 9, lines 4-15; Opening Brief of AECA, </w:t>
            </w:r>
            <w:r w:rsidR="00220150">
              <w:t xml:space="preserve">at </w:t>
            </w:r>
            <w:r w:rsidRPr="00D73795">
              <w:t xml:space="preserve">6-7; Reply Brief of AECA, </w:t>
            </w:r>
            <w:r w:rsidR="00220150">
              <w:t>at</w:t>
            </w:r>
            <w:r w:rsidRPr="00D73795">
              <w:t xml:space="preserve"> 5.</w:t>
            </w:r>
          </w:p>
          <w:p w:rsidRPr="00D73795" w:rsidR="00D73795" w:rsidP="00220150" w:rsidRDefault="00D73795" w14:paraId="5B4B20D2" w14:textId="77777777">
            <w:pPr>
              <w:spacing w:before="120"/>
              <w:jc w:val="center"/>
              <w:rPr>
                <w:color w:val="000000"/>
              </w:rPr>
            </w:pPr>
          </w:p>
          <w:p w:rsidRPr="00D73795" w:rsidR="00D73795" w:rsidP="00220150" w:rsidRDefault="00D73795" w14:paraId="6C370D79" w14:textId="77777777">
            <w:pPr>
              <w:spacing w:before="120"/>
              <w:jc w:val="center"/>
              <w:rPr>
                <w:color w:val="000000"/>
              </w:rPr>
            </w:pPr>
          </w:p>
          <w:p w:rsidRPr="00D73795" w:rsidR="00D73795" w:rsidP="00220150" w:rsidRDefault="00D73795" w14:paraId="170CDE76" w14:textId="77777777">
            <w:pPr>
              <w:spacing w:before="120"/>
              <w:jc w:val="center"/>
              <w:rPr>
                <w:color w:val="000000"/>
              </w:rPr>
            </w:pPr>
          </w:p>
          <w:p w:rsidRPr="00D73795" w:rsidR="00D73795" w:rsidP="00220150" w:rsidRDefault="00D73795" w14:paraId="63BEFFF3" w14:textId="77777777">
            <w:pPr>
              <w:spacing w:before="120"/>
              <w:jc w:val="center"/>
              <w:rPr>
                <w:color w:val="000000"/>
              </w:rPr>
            </w:pPr>
          </w:p>
          <w:p w:rsidRPr="00D73795" w:rsidR="00D73795" w:rsidP="00220150" w:rsidRDefault="00D73795" w14:paraId="316DF820" w14:textId="77777777">
            <w:pPr>
              <w:spacing w:before="120"/>
              <w:jc w:val="center"/>
              <w:rPr>
                <w:color w:val="000000"/>
              </w:rPr>
            </w:pPr>
          </w:p>
          <w:p w:rsidRPr="00D73795" w:rsidR="00D73795" w:rsidP="00220150" w:rsidRDefault="00D73795" w14:paraId="62D4BE36" w14:textId="77777777">
            <w:pPr>
              <w:spacing w:before="120"/>
              <w:jc w:val="center"/>
              <w:rPr>
                <w:color w:val="000000"/>
              </w:rPr>
            </w:pPr>
          </w:p>
          <w:p w:rsidRPr="00D73795" w:rsidR="00D73795" w:rsidP="00220150" w:rsidRDefault="00D73795" w14:paraId="16920E9D" w14:textId="77777777">
            <w:pPr>
              <w:spacing w:before="120"/>
              <w:jc w:val="center"/>
              <w:rPr>
                <w:color w:val="000000"/>
              </w:rPr>
            </w:pPr>
          </w:p>
          <w:p w:rsidRPr="00D73795" w:rsidR="00D73795" w:rsidP="00220150" w:rsidRDefault="00D73795" w14:paraId="7C474D36" w14:textId="77777777">
            <w:pPr>
              <w:spacing w:before="120"/>
              <w:jc w:val="center"/>
              <w:rPr>
                <w:color w:val="000000"/>
              </w:rPr>
            </w:pPr>
          </w:p>
          <w:p w:rsidRPr="00D73795" w:rsidR="00D73795" w:rsidP="00220150" w:rsidRDefault="00D73795" w14:paraId="566A08F3" w14:textId="77777777">
            <w:pPr>
              <w:spacing w:before="120"/>
              <w:jc w:val="center"/>
              <w:rPr>
                <w:color w:val="000000"/>
              </w:rPr>
            </w:pPr>
          </w:p>
          <w:p w:rsidRPr="00D73795" w:rsidR="00D73795" w:rsidP="00220150" w:rsidRDefault="00D73795" w14:paraId="3CE647B1" w14:textId="77777777">
            <w:pPr>
              <w:spacing w:before="120"/>
              <w:jc w:val="center"/>
              <w:rPr>
                <w:color w:val="000000"/>
              </w:rPr>
            </w:pPr>
          </w:p>
          <w:p w:rsidRPr="00D73795" w:rsidR="00D73795" w:rsidP="00220150" w:rsidRDefault="00D73795" w14:paraId="69591CFA" w14:textId="77777777">
            <w:pPr>
              <w:spacing w:before="120"/>
              <w:jc w:val="center"/>
              <w:rPr>
                <w:color w:val="000000"/>
              </w:rPr>
            </w:pPr>
          </w:p>
          <w:p w:rsidRPr="00D73795" w:rsidR="00D73795" w:rsidP="00220150" w:rsidRDefault="00D73795" w14:paraId="1AB98E32" w14:textId="77777777">
            <w:pPr>
              <w:spacing w:before="120"/>
              <w:jc w:val="center"/>
              <w:rPr>
                <w:color w:val="000000"/>
              </w:rPr>
            </w:pPr>
          </w:p>
          <w:p w:rsidRPr="00D73795" w:rsidR="00D73795" w:rsidP="00220150" w:rsidRDefault="00D73795" w14:paraId="5B90D2CE" w14:textId="77777777">
            <w:pPr>
              <w:spacing w:before="120"/>
              <w:jc w:val="center"/>
              <w:rPr>
                <w:color w:val="000000"/>
              </w:rPr>
            </w:pPr>
          </w:p>
          <w:p w:rsidRPr="00D73795" w:rsidR="00D73795" w:rsidP="00220150" w:rsidRDefault="00D73795" w14:paraId="5DF3FCFB" w14:textId="77777777">
            <w:pPr>
              <w:spacing w:before="120"/>
              <w:jc w:val="center"/>
              <w:rPr>
                <w:color w:val="000000"/>
              </w:rPr>
            </w:pPr>
          </w:p>
          <w:p w:rsidRPr="00D73795" w:rsidR="00D73795" w:rsidP="00220150" w:rsidRDefault="00D73795" w14:paraId="743D0258" w14:textId="77777777">
            <w:pPr>
              <w:spacing w:before="120"/>
              <w:jc w:val="center"/>
              <w:rPr>
                <w:color w:val="000000"/>
              </w:rPr>
            </w:pPr>
          </w:p>
          <w:p w:rsidRPr="00D73795" w:rsidR="00D73795" w:rsidP="00220150" w:rsidRDefault="00D73795" w14:paraId="638FF003" w14:textId="77777777">
            <w:pPr>
              <w:spacing w:before="120"/>
              <w:jc w:val="center"/>
              <w:rPr>
                <w:color w:val="000000"/>
              </w:rPr>
            </w:pPr>
          </w:p>
          <w:p w:rsidRPr="00D73795" w:rsidR="00D73795" w:rsidP="00220150" w:rsidRDefault="00D73795" w14:paraId="23F7A1A5" w14:textId="77777777">
            <w:pPr>
              <w:spacing w:before="120"/>
              <w:jc w:val="center"/>
              <w:rPr>
                <w:color w:val="000000"/>
              </w:rPr>
            </w:pPr>
          </w:p>
          <w:p w:rsidRPr="00D73795" w:rsidR="00D73795" w:rsidP="00220150" w:rsidRDefault="00D73795" w14:paraId="6E0108C3" w14:textId="77777777">
            <w:pPr>
              <w:jc w:val="center"/>
              <w:rPr>
                <w:color w:val="000000"/>
              </w:rPr>
            </w:pPr>
          </w:p>
          <w:p w:rsidRPr="00D73795" w:rsidR="00D73795" w:rsidP="00220150" w:rsidRDefault="00D73795" w14:paraId="38BA082B" w14:textId="77777777">
            <w:pPr>
              <w:jc w:val="center"/>
              <w:rPr>
                <w:color w:val="000000"/>
              </w:rPr>
            </w:pPr>
          </w:p>
          <w:p w:rsidRPr="00D73795" w:rsidR="00D73795" w:rsidP="00220150" w:rsidRDefault="00D73795" w14:paraId="53D81FAE" w14:textId="77777777">
            <w:pPr>
              <w:jc w:val="center"/>
              <w:rPr>
                <w:color w:val="000000"/>
              </w:rPr>
            </w:pPr>
          </w:p>
          <w:p w:rsidRPr="00D73795" w:rsidR="00D73795" w:rsidP="00220150" w:rsidRDefault="00D73795" w14:paraId="254429AF" w14:textId="77777777">
            <w:pPr>
              <w:jc w:val="center"/>
              <w:rPr>
                <w:color w:val="000000"/>
              </w:rPr>
            </w:pPr>
          </w:p>
          <w:p w:rsidRPr="00D73795" w:rsidR="00D73795" w:rsidP="00220150" w:rsidRDefault="00D73795" w14:paraId="42FFDF63" w14:textId="77777777">
            <w:pPr>
              <w:jc w:val="center"/>
              <w:rPr>
                <w:color w:val="000000"/>
              </w:rPr>
            </w:pPr>
          </w:p>
          <w:p w:rsidRPr="00D73795" w:rsidR="00D73795" w:rsidP="00220150" w:rsidRDefault="00D73795" w14:paraId="6D29B75F" w14:textId="77777777">
            <w:pPr>
              <w:jc w:val="center"/>
              <w:rPr>
                <w:color w:val="000000"/>
              </w:rPr>
            </w:pPr>
          </w:p>
          <w:p w:rsidRPr="00D73795" w:rsidR="00D73795" w:rsidP="00220150" w:rsidRDefault="00D73795" w14:paraId="746CB29E" w14:textId="77777777">
            <w:pPr>
              <w:jc w:val="center"/>
              <w:rPr>
                <w:color w:val="000000"/>
              </w:rPr>
            </w:pPr>
          </w:p>
          <w:p w:rsidRPr="00D73795" w:rsidR="00D73795" w:rsidP="00220150" w:rsidRDefault="00D73795" w14:paraId="090D4206" w14:textId="77777777">
            <w:pPr>
              <w:jc w:val="center"/>
              <w:rPr>
                <w:color w:val="000000"/>
              </w:rPr>
            </w:pPr>
          </w:p>
          <w:p w:rsidRPr="00D73795" w:rsidR="00D73795" w:rsidP="00220150" w:rsidRDefault="00D73795" w14:paraId="5CAAA5F0" w14:textId="77777777">
            <w:pPr>
              <w:jc w:val="center"/>
              <w:rPr>
                <w:color w:val="000000"/>
              </w:rPr>
            </w:pPr>
          </w:p>
          <w:p w:rsidRPr="00D73795" w:rsidR="00D73795" w:rsidP="00220150" w:rsidRDefault="00D73795" w14:paraId="19ACC626" w14:textId="77777777">
            <w:pPr>
              <w:jc w:val="center"/>
              <w:rPr>
                <w:color w:val="000000"/>
              </w:rPr>
            </w:pPr>
          </w:p>
          <w:p w:rsidRPr="00D73795" w:rsidR="00D73795" w:rsidP="00220150" w:rsidRDefault="00D73795" w14:paraId="143A711B" w14:textId="77777777">
            <w:pPr>
              <w:spacing w:after="240"/>
              <w:jc w:val="center"/>
              <w:rPr>
                <w:color w:val="000000"/>
              </w:rPr>
            </w:pPr>
          </w:p>
          <w:p w:rsidRPr="00D73795" w:rsidR="00D73795" w:rsidP="00220150" w:rsidRDefault="00D73795" w14:paraId="2111CF5C" w14:textId="2A4FD75B">
            <w:pPr>
              <w:spacing w:before="120"/>
              <w:jc w:val="center"/>
              <w:rPr>
                <w:color w:val="000000"/>
              </w:rPr>
            </w:pPr>
            <w:r w:rsidRPr="00D73795">
              <w:rPr>
                <w:color w:val="000000"/>
              </w:rPr>
              <w:t>Opening Brief of AECA,</w:t>
            </w:r>
            <w:r w:rsidR="00220150">
              <w:rPr>
                <w:color w:val="000000"/>
              </w:rPr>
              <w:t xml:space="preserve"> at</w:t>
            </w:r>
            <w:r w:rsidRPr="00D73795">
              <w:rPr>
                <w:color w:val="000000"/>
              </w:rPr>
              <w:t xml:space="preserve"> 7-8.</w:t>
            </w:r>
          </w:p>
          <w:p w:rsidRPr="00D73795" w:rsidR="00D73795" w:rsidP="00220150" w:rsidRDefault="00D73795" w14:paraId="434CB8E4" w14:textId="77777777">
            <w:pPr>
              <w:jc w:val="center"/>
              <w:rPr>
                <w:color w:val="000000"/>
              </w:rPr>
            </w:pPr>
          </w:p>
          <w:p w:rsidRPr="00D73795" w:rsidR="00D73795" w:rsidP="00220150" w:rsidRDefault="00D73795" w14:paraId="715DCCB4" w14:textId="77777777">
            <w:pPr>
              <w:jc w:val="center"/>
              <w:rPr>
                <w:color w:val="000000"/>
              </w:rPr>
            </w:pPr>
          </w:p>
          <w:p w:rsidRPr="00D73795" w:rsidR="00D73795" w:rsidP="00220150" w:rsidRDefault="00D73795" w14:paraId="36831957" w14:textId="77777777">
            <w:pPr>
              <w:jc w:val="center"/>
              <w:rPr>
                <w:color w:val="000000"/>
              </w:rPr>
            </w:pPr>
          </w:p>
          <w:p w:rsidRPr="00D73795" w:rsidR="00D73795" w:rsidP="00220150" w:rsidRDefault="00D73795" w14:paraId="5E6FF37F" w14:textId="77777777">
            <w:pPr>
              <w:jc w:val="center"/>
              <w:rPr>
                <w:color w:val="000000"/>
              </w:rPr>
            </w:pPr>
          </w:p>
          <w:p w:rsidRPr="00D73795" w:rsidR="00D73795" w:rsidP="00220150" w:rsidRDefault="00D73795" w14:paraId="07DD47A0" w14:textId="77777777">
            <w:pPr>
              <w:jc w:val="center"/>
              <w:rPr>
                <w:color w:val="000000"/>
              </w:rPr>
            </w:pPr>
          </w:p>
          <w:p w:rsidRPr="00D73795" w:rsidR="00D73795" w:rsidP="00220150" w:rsidRDefault="00D73795" w14:paraId="4F117B99" w14:textId="77777777">
            <w:pPr>
              <w:jc w:val="center"/>
              <w:rPr>
                <w:color w:val="000000"/>
              </w:rPr>
            </w:pPr>
          </w:p>
          <w:p w:rsidRPr="00D73795" w:rsidR="00D73795" w:rsidP="00220150" w:rsidRDefault="00D73795" w14:paraId="6CBF7871" w14:textId="77777777">
            <w:pPr>
              <w:jc w:val="center"/>
              <w:rPr>
                <w:color w:val="000000"/>
              </w:rPr>
            </w:pPr>
          </w:p>
          <w:p w:rsidRPr="00D73795" w:rsidR="00D73795" w:rsidP="00220150" w:rsidRDefault="00D73795" w14:paraId="087C7B6B" w14:textId="77777777">
            <w:pPr>
              <w:jc w:val="center"/>
              <w:rPr>
                <w:color w:val="000000"/>
              </w:rPr>
            </w:pPr>
          </w:p>
          <w:p w:rsidRPr="00D73795" w:rsidR="00D73795" w:rsidP="00220150" w:rsidRDefault="00D73795" w14:paraId="2A976ECC" w14:textId="77777777">
            <w:pPr>
              <w:jc w:val="center"/>
              <w:rPr>
                <w:color w:val="000000"/>
              </w:rPr>
            </w:pPr>
          </w:p>
          <w:p w:rsidRPr="00D73795" w:rsidR="00D73795" w:rsidP="00220150" w:rsidRDefault="00D73795" w14:paraId="0E82410F" w14:textId="77777777">
            <w:pPr>
              <w:jc w:val="center"/>
              <w:rPr>
                <w:color w:val="000000"/>
              </w:rPr>
            </w:pPr>
          </w:p>
          <w:p w:rsidRPr="00D73795" w:rsidR="00D73795" w:rsidP="00220150" w:rsidRDefault="00D73795" w14:paraId="360691B9" w14:textId="77777777">
            <w:pPr>
              <w:jc w:val="center"/>
              <w:rPr>
                <w:color w:val="000000"/>
              </w:rPr>
            </w:pPr>
          </w:p>
          <w:p w:rsidRPr="00D73795" w:rsidR="00D73795" w:rsidP="00220150" w:rsidRDefault="00D73795" w14:paraId="351145AB" w14:textId="77777777">
            <w:pPr>
              <w:jc w:val="center"/>
              <w:rPr>
                <w:color w:val="000000"/>
              </w:rPr>
            </w:pPr>
          </w:p>
          <w:p w:rsidRPr="00D73795" w:rsidR="00D73795" w:rsidP="00220150" w:rsidRDefault="00D73795" w14:paraId="72AA7454" w14:textId="77777777">
            <w:pPr>
              <w:jc w:val="center"/>
              <w:rPr>
                <w:color w:val="000000"/>
              </w:rPr>
            </w:pPr>
          </w:p>
          <w:p w:rsidRPr="00D73795" w:rsidR="00D73795" w:rsidP="00220150" w:rsidRDefault="00D73795" w14:paraId="103DB819" w14:textId="77777777">
            <w:pPr>
              <w:jc w:val="center"/>
              <w:rPr>
                <w:color w:val="000000"/>
              </w:rPr>
            </w:pPr>
          </w:p>
          <w:p w:rsidRPr="00D73795" w:rsidR="00D73795" w:rsidP="00220150" w:rsidRDefault="00D73795" w14:paraId="2ACC5B0B" w14:textId="77777777">
            <w:pPr>
              <w:jc w:val="center"/>
              <w:rPr>
                <w:color w:val="000000"/>
              </w:rPr>
            </w:pPr>
          </w:p>
          <w:p w:rsidRPr="00D73795" w:rsidR="00D73795" w:rsidP="00220150" w:rsidRDefault="00D73795" w14:paraId="7CCD852A" w14:textId="77777777">
            <w:pPr>
              <w:spacing w:after="240"/>
              <w:jc w:val="center"/>
              <w:rPr>
                <w:color w:val="000000"/>
              </w:rPr>
            </w:pPr>
          </w:p>
          <w:p w:rsidRPr="00D73795" w:rsidR="00D73795" w:rsidP="00220150" w:rsidRDefault="00D73795" w14:paraId="737AAA18" w14:textId="40A970A7">
            <w:pPr>
              <w:spacing w:before="120"/>
              <w:jc w:val="center"/>
              <w:rPr>
                <w:color w:val="000000"/>
              </w:rPr>
            </w:pPr>
            <w:r w:rsidRPr="00D73795">
              <w:rPr>
                <w:color w:val="000000"/>
              </w:rPr>
              <w:t xml:space="preserve">Reply Brief of AECA, </w:t>
            </w:r>
            <w:r w:rsidR="00220150">
              <w:rPr>
                <w:color w:val="000000"/>
              </w:rPr>
              <w:t>at</w:t>
            </w:r>
            <w:r w:rsidRPr="00D73795">
              <w:rPr>
                <w:color w:val="000000"/>
              </w:rPr>
              <w:t xml:space="preserve"> 4-5.</w:t>
            </w:r>
          </w:p>
          <w:p w:rsidRPr="00D73795" w:rsidR="00D73795" w:rsidP="00220150" w:rsidRDefault="00D73795" w14:paraId="43DC5514" w14:textId="77777777">
            <w:pPr>
              <w:spacing w:before="120"/>
              <w:jc w:val="center"/>
              <w:rPr>
                <w:color w:val="000000"/>
              </w:rPr>
            </w:pPr>
          </w:p>
          <w:p w:rsidRPr="00D73795" w:rsidR="00D73795" w:rsidP="00220150" w:rsidRDefault="00D73795" w14:paraId="76B8AB91" w14:textId="77777777">
            <w:pPr>
              <w:spacing w:before="120"/>
              <w:jc w:val="center"/>
              <w:rPr>
                <w:color w:val="000000"/>
              </w:rPr>
            </w:pPr>
          </w:p>
          <w:p w:rsidRPr="00D73795" w:rsidR="00D73795" w:rsidP="00220150" w:rsidRDefault="00D73795" w14:paraId="259AC892" w14:textId="77777777">
            <w:pPr>
              <w:spacing w:before="120"/>
              <w:jc w:val="center"/>
              <w:rPr>
                <w:color w:val="000000"/>
              </w:rPr>
            </w:pPr>
          </w:p>
          <w:p w:rsidRPr="00D73795" w:rsidR="00D73795" w:rsidP="00220150" w:rsidRDefault="00D73795" w14:paraId="3E0D5C49" w14:textId="77777777">
            <w:pPr>
              <w:spacing w:before="120"/>
              <w:jc w:val="center"/>
              <w:rPr>
                <w:color w:val="000000"/>
              </w:rPr>
            </w:pPr>
          </w:p>
          <w:p w:rsidRPr="00D73795" w:rsidR="00D73795" w:rsidP="00220150" w:rsidRDefault="00D73795" w14:paraId="219A2ECB" w14:textId="77777777">
            <w:pPr>
              <w:spacing w:before="120"/>
              <w:jc w:val="center"/>
              <w:rPr>
                <w:color w:val="000000"/>
              </w:rPr>
            </w:pPr>
          </w:p>
          <w:p w:rsidRPr="00D73795" w:rsidR="00D73795" w:rsidP="00220150" w:rsidRDefault="00D73795" w14:paraId="3301E628" w14:textId="77777777">
            <w:pPr>
              <w:spacing w:before="120"/>
              <w:jc w:val="center"/>
              <w:rPr>
                <w:color w:val="000000"/>
              </w:rPr>
            </w:pPr>
          </w:p>
          <w:p w:rsidRPr="00D73795" w:rsidR="00D73795" w:rsidP="00220150" w:rsidRDefault="00D73795" w14:paraId="6AE76026" w14:textId="77777777">
            <w:pPr>
              <w:spacing w:before="120"/>
              <w:jc w:val="center"/>
              <w:rPr>
                <w:color w:val="000000"/>
              </w:rPr>
            </w:pPr>
          </w:p>
          <w:p w:rsidRPr="00D73795" w:rsidR="00D73795" w:rsidP="00220150" w:rsidRDefault="00D73795" w14:paraId="496086EB" w14:textId="77777777">
            <w:pPr>
              <w:spacing w:before="120"/>
              <w:jc w:val="center"/>
              <w:rPr>
                <w:color w:val="000000"/>
              </w:rPr>
            </w:pPr>
          </w:p>
          <w:p w:rsidRPr="00D73795" w:rsidR="00D73795" w:rsidP="00220150" w:rsidRDefault="00D73795" w14:paraId="1724BB9E" w14:textId="77777777">
            <w:pPr>
              <w:spacing w:before="120"/>
              <w:jc w:val="center"/>
              <w:rPr>
                <w:color w:val="000000"/>
              </w:rPr>
            </w:pPr>
          </w:p>
          <w:p w:rsidRPr="00D73795" w:rsidR="00D73795" w:rsidP="00220150" w:rsidRDefault="00D73795" w14:paraId="773E527E" w14:textId="77777777">
            <w:pPr>
              <w:spacing w:before="120"/>
              <w:jc w:val="center"/>
              <w:rPr>
                <w:color w:val="000000"/>
              </w:rPr>
            </w:pPr>
          </w:p>
          <w:p w:rsidRPr="00D73795" w:rsidR="00D73795" w:rsidP="00220150" w:rsidRDefault="00D73795" w14:paraId="2CEFB186" w14:textId="662EA99D">
            <w:pPr>
              <w:spacing w:before="120"/>
              <w:jc w:val="center"/>
              <w:rPr>
                <w:color w:val="000000"/>
              </w:rPr>
            </w:pPr>
            <w:r w:rsidRPr="00D73795">
              <w:rPr>
                <w:color w:val="000000"/>
              </w:rPr>
              <w:t xml:space="preserve">D.21-04-030, </w:t>
            </w:r>
            <w:r w:rsidR="00220150">
              <w:rPr>
                <w:color w:val="000000"/>
              </w:rPr>
              <w:t xml:space="preserve">at </w:t>
            </w:r>
            <w:r w:rsidRPr="00D73795">
              <w:rPr>
                <w:color w:val="000000"/>
              </w:rPr>
              <w:t xml:space="preserve">36; </w:t>
            </w:r>
            <w:r w:rsidRPr="00D73795">
              <w:rPr>
                <w:i/>
                <w:iCs/>
                <w:color w:val="000000"/>
              </w:rPr>
              <w:t>see also</w:t>
            </w:r>
            <w:r w:rsidRPr="00D73795">
              <w:rPr>
                <w:color w:val="000000"/>
              </w:rPr>
              <w:t xml:space="preserve"> Finding of Fact 4.</w:t>
            </w:r>
          </w:p>
          <w:p w:rsidRPr="00D73795" w:rsidR="00D73795" w:rsidP="00220150" w:rsidRDefault="00D73795" w14:paraId="027A1E00" w14:textId="77777777">
            <w:pPr>
              <w:jc w:val="center"/>
            </w:pPr>
          </w:p>
          <w:p w:rsidRPr="00D73795" w:rsidR="00D73795" w:rsidP="00220150" w:rsidRDefault="00D73795" w14:paraId="21DDA1F2" w14:textId="77777777">
            <w:pPr>
              <w:jc w:val="center"/>
              <w:rPr>
                <w:color w:val="000000"/>
              </w:rPr>
            </w:pPr>
          </w:p>
          <w:p w:rsidRPr="00D73795" w:rsidR="00D73795" w:rsidP="00220150" w:rsidRDefault="00D73795" w14:paraId="4E9A8061" w14:textId="77777777">
            <w:pPr>
              <w:jc w:val="center"/>
              <w:rPr>
                <w:color w:val="000000"/>
              </w:rPr>
            </w:pPr>
          </w:p>
          <w:p w:rsidRPr="00D73795" w:rsidR="00D73795" w:rsidP="00220150" w:rsidRDefault="00D73795" w14:paraId="183BF450" w14:textId="77777777">
            <w:pPr>
              <w:jc w:val="center"/>
              <w:rPr>
                <w:color w:val="000000"/>
              </w:rPr>
            </w:pPr>
          </w:p>
          <w:p w:rsidRPr="00D73795" w:rsidR="00D73795" w:rsidP="00220150" w:rsidRDefault="00D73795" w14:paraId="4F186A31" w14:textId="77777777">
            <w:pPr>
              <w:jc w:val="center"/>
              <w:rPr>
                <w:color w:val="000000"/>
              </w:rPr>
            </w:pPr>
          </w:p>
          <w:p w:rsidRPr="00D73795" w:rsidR="00D73795" w:rsidP="00220150" w:rsidRDefault="00D73795" w14:paraId="76AEBE6D" w14:textId="77777777">
            <w:pPr>
              <w:jc w:val="center"/>
              <w:rPr>
                <w:color w:val="000000"/>
              </w:rPr>
            </w:pPr>
          </w:p>
          <w:p w:rsidRPr="00D73795" w:rsidR="00D73795" w:rsidP="00220150" w:rsidRDefault="00D73795" w14:paraId="28CC59A1" w14:textId="77777777">
            <w:pPr>
              <w:jc w:val="center"/>
              <w:rPr>
                <w:color w:val="000000"/>
              </w:rPr>
            </w:pPr>
          </w:p>
          <w:p w:rsidRPr="00D73795" w:rsidR="00D73795" w:rsidP="00220150" w:rsidRDefault="00D73795" w14:paraId="42973D0C" w14:textId="77777777">
            <w:pPr>
              <w:jc w:val="center"/>
              <w:rPr>
                <w:color w:val="000000"/>
              </w:rPr>
            </w:pPr>
          </w:p>
          <w:p w:rsidRPr="00D73795" w:rsidR="00D73795" w:rsidP="00220150" w:rsidRDefault="00D73795" w14:paraId="3F0DBABE" w14:textId="77777777">
            <w:pPr>
              <w:jc w:val="center"/>
              <w:rPr>
                <w:color w:val="000000"/>
              </w:rPr>
            </w:pPr>
          </w:p>
          <w:p w:rsidRPr="00D73795" w:rsidR="00D73795" w:rsidP="00220150" w:rsidRDefault="00D73795" w14:paraId="0CC1EC82" w14:textId="77777777">
            <w:pPr>
              <w:jc w:val="center"/>
              <w:rPr>
                <w:color w:val="000000"/>
              </w:rPr>
            </w:pPr>
          </w:p>
          <w:p w:rsidRPr="00D73795" w:rsidR="00D73795" w:rsidP="00220150" w:rsidRDefault="00D73795" w14:paraId="069AF6C5" w14:textId="77777777">
            <w:pPr>
              <w:jc w:val="center"/>
              <w:rPr>
                <w:color w:val="000000"/>
              </w:rPr>
            </w:pPr>
          </w:p>
          <w:p w:rsidRPr="00D73795" w:rsidR="00D73795" w:rsidP="00220150" w:rsidRDefault="00D73795" w14:paraId="01F9983F" w14:textId="77777777">
            <w:pPr>
              <w:jc w:val="center"/>
              <w:rPr>
                <w:color w:val="000000"/>
              </w:rPr>
            </w:pPr>
          </w:p>
          <w:p w:rsidRPr="00D73795" w:rsidR="00D73795" w:rsidP="00220150" w:rsidRDefault="00D73795" w14:paraId="5F525099" w14:textId="77777777">
            <w:pPr>
              <w:jc w:val="center"/>
              <w:rPr>
                <w:color w:val="000000"/>
              </w:rPr>
            </w:pPr>
          </w:p>
          <w:p w:rsidRPr="00D73795" w:rsidR="00D73795" w:rsidP="00220150" w:rsidRDefault="00D73795" w14:paraId="73EAE1C3" w14:textId="77777777">
            <w:pPr>
              <w:jc w:val="center"/>
              <w:rPr>
                <w:color w:val="000000"/>
              </w:rPr>
            </w:pPr>
          </w:p>
          <w:p w:rsidRPr="00D73795" w:rsidR="00D73795" w:rsidP="00220150" w:rsidRDefault="00D73795" w14:paraId="14E3E111" w14:textId="77777777">
            <w:pPr>
              <w:jc w:val="center"/>
              <w:rPr>
                <w:color w:val="000000"/>
              </w:rPr>
            </w:pPr>
          </w:p>
          <w:p w:rsidRPr="00D73795" w:rsidR="00D73795" w:rsidP="00220150" w:rsidRDefault="00D73795" w14:paraId="053DF9F5" w14:textId="77777777">
            <w:pPr>
              <w:jc w:val="center"/>
              <w:rPr>
                <w:color w:val="000000"/>
              </w:rPr>
            </w:pPr>
          </w:p>
          <w:p w:rsidRPr="00D73795" w:rsidR="00D73795" w:rsidP="00220150" w:rsidRDefault="00D73795" w14:paraId="35AAE8FF" w14:textId="77777777">
            <w:pPr>
              <w:spacing w:after="240"/>
              <w:jc w:val="center"/>
              <w:rPr>
                <w:color w:val="000000"/>
              </w:rPr>
            </w:pPr>
          </w:p>
          <w:p w:rsidRPr="00D73795" w:rsidR="00D73795" w:rsidP="00220150" w:rsidRDefault="00D73795" w14:paraId="78B952EE" w14:textId="61BFA793">
            <w:pPr>
              <w:spacing w:before="120"/>
              <w:jc w:val="center"/>
              <w:rPr>
                <w:color w:val="000000"/>
              </w:rPr>
            </w:pPr>
            <w:r w:rsidRPr="00D73795">
              <w:rPr>
                <w:color w:val="000000"/>
              </w:rPr>
              <w:t xml:space="preserve">D.21-04-030, </w:t>
            </w:r>
            <w:r w:rsidR="00220150">
              <w:rPr>
                <w:color w:val="000000"/>
              </w:rPr>
              <w:t>at</w:t>
            </w:r>
            <w:r w:rsidRPr="00D73795">
              <w:rPr>
                <w:color w:val="000000"/>
              </w:rPr>
              <w:t xml:space="preserve"> 53.</w:t>
            </w:r>
          </w:p>
          <w:p w:rsidRPr="00D73795" w:rsidR="00D73795" w:rsidP="00220150" w:rsidRDefault="00D73795" w14:paraId="78AF5B8F" w14:textId="77777777">
            <w:pPr>
              <w:spacing w:before="120"/>
              <w:jc w:val="center"/>
              <w:rPr>
                <w:color w:val="000000"/>
              </w:rPr>
            </w:pPr>
          </w:p>
          <w:p w:rsidRPr="00D73795" w:rsidR="00D73795" w:rsidP="00220150" w:rsidRDefault="00D73795" w14:paraId="7A587AC0" w14:textId="77777777">
            <w:pPr>
              <w:jc w:val="center"/>
            </w:pPr>
          </w:p>
          <w:p w:rsidRPr="00D73795" w:rsidR="00D73795" w:rsidP="00220150" w:rsidRDefault="00D73795" w14:paraId="2F6A170E" w14:textId="77777777">
            <w:pPr>
              <w:jc w:val="center"/>
            </w:pPr>
          </w:p>
          <w:p w:rsidRPr="00D73795" w:rsidR="00D73795" w:rsidP="00220150" w:rsidRDefault="00D73795" w14:paraId="14033EF1" w14:textId="77777777">
            <w:pPr>
              <w:jc w:val="center"/>
            </w:pPr>
          </w:p>
          <w:p w:rsidRPr="00D73795" w:rsidR="00D73795" w:rsidP="00220150" w:rsidRDefault="00D73795" w14:paraId="5B9268A2" w14:textId="77777777">
            <w:pPr>
              <w:spacing w:before="120"/>
              <w:jc w:val="center"/>
              <w:rPr>
                <w:color w:val="000000"/>
              </w:rPr>
            </w:pPr>
          </w:p>
          <w:p w:rsidRPr="00D73795" w:rsidR="00D73795" w:rsidP="00220150" w:rsidRDefault="00D73795" w14:paraId="1AC4FAD3" w14:textId="77777777">
            <w:pPr>
              <w:spacing w:before="120"/>
              <w:jc w:val="center"/>
              <w:rPr>
                <w:color w:val="000000"/>
              </w:rPr>
            </w:pPr>
          </w:p>
        </w:tc>
        <w:tc>
          <w:tcPr>
            <w:tcW w:w="2340" w:type="dxa"/>
            <w:shd w:val="clear" w:color="auto" w:fill="auto"/>
          </w:tcPr>
          <w:p w:rsidRPr="00D73795" w:rsidR="00D73795" w:rsidP="00220150" w:rsidRDefault="00D73795" w14:paraId="11D740AE" w14:textId="250EA4AA">
            <w:pPr>
              <w:spacing w:before="120"/>
              <w:jc w:val="center"/>
              <w:rPr>
                <w:color w:val="000000"/>
              </w:rPr>
            </w:pPr>
            <w:r w:rsidRPr="00D73795">
              <w:rPr>
                <w:color w:val="000000"/>
              </w:rPr>
              <w:lastRenderedPageBreak/>
              <w:t>Verified</w:t>
            </w:r>
          </w:p>
          <w:p w:rsidRPr="00D73795" w:rsidR="00D73795" w:rsidP="00220150" w:rsidRDefault="00D73795" w14:paraId="09D90664" w14:textId="77777777">
            <w:pPr>
              <w:spacing w:before="120"/>
              <w:jc w:val="center"/>
              <w:rPr>
                <w:color w:val="000000"/>
              </w:rPr>
            </w:pPr>
          </w:p>
          <w:p w:rsidRPr="00D73795" w:rsidR="00D73795" w:rsidP="00220150" w:rsidRDefault="00D73795" w14:paraId="65D6E020" w14:textId="77777777">
            <w:pPr>
              <w:spacing w:before="120"/>
              <w:jc w:val="center"/>
              <w:rPr>
                <w:color w:val="000000"/>
              </w:rPr>
            </w:pPr>
          </w:p>
          <w:p w:rsidRPr="00D73795" w:rsidR="00D73795" w:rsidP="00220150" w:rsidRDefault="00D73795" w14:paraId="7F61157F" w14:textId="77777777">
            <w:pPr>
              <w:spacing w:before="120"/>
              <w:jc w:val="center"/>
              <w:rPr>
                <w:color w:val="000000"/>
              </w:rPr>
            </w:pPr>
          </w:p>
        </w:tc>
      </w:tr>
      <w:tr w:rsidRPr="00D73795" w:rsidR="00D73795" w:rsidTr="00355A28" w14:paraId="32E75A66" w14:textId="77777777">
        <w:tc>
          <w:tcPr>
            <w:tcW w:w="3168" w:type="dxa"/>
            <w:shd w:val="clear" w:color="auto" w:fill="auto"/>
          </w:tcPr>
          <w:p w:rsidRPr="00D73795" w:rsidR="00D73795" w:rsidP="00D73795" w:rsidRDefault="00D73795" w14:paraId="0FB036EA" w14:textId="77777777">
            <w:pPr>
              <w:rPr>
                <w:b/>
                <w:color w:val="000000"/>
              </w:rPr>
            </w:pPr>
            <w:r w:rsidRPr="00D73795">
              <w:rPr>
                <w:b/>
                <w:color w:val="000000"/>
              </w:rPr>
              <w:lastRenderedPageBreak/>
              <w:t>5. The Commission Should Ensure Proper Application of the Stress Test Methodology.</w:t>
            </w:r>
          </w:p>
          <w:p w:rsidRPr="00D73795" w:rsidR="00D73795" w:rsidP="00D73795" w:rsidRDefault="00D73795" w14:paraId="76375A50" w14:textId="77777777">
            <w:pPr>
              <w:rPr>
                <w:b/>
                <w:color w:val="000000"/>
              </w:rPr>
            </w:pPr>
          </w:p>
          <w:p w:rsidRPr="00D73795" w:rsidR="00D73795" w:rsidP="00D73795" w:rsidRDefault="00D73795" w14:paraId="4490AED1" w14:textId="77777777">
            <w:pPr>
              <w:spacing w:after="240"/>
            </w:pPr>
            <w:r w:rsidRPr="00D73795">
              <w:rPr>
                <w:i/>
                <w:iCs/>
                <w:u w:val="single"/>
              </w:rPr>
              <w:t>Summary of AECA Contributions</w:t>
            </w:r>
            <w:r w:rsidRPr="00D73795">
              <w:t>:</w:t>
            </w:r>
          </w:p>
          <w:p w:rsidRPr="00D73795" w:rsidR="00D73795" w:rsidP="00D73795" w:rsidRDefault="00D73795" w14:paraId="7D8F5639" w14:textId="5CA547C9">
            <w:pPr>
              <w:spacing w:after="240"/>
              <w:rPr>
                <w:bCs/>
                <w:color w:val="000000"/>
              </w:rPr>
            </w:pPr>
            <w:r w:rsidRPr="00D73795">
              <w:rPr>
                <w:bCs/>
                <w:color w:val="000000"/>
              </w:rPr>
              <w:t xml:space="preserve">“AECA intends to participate in this proceeding to ensure proper application of the Stress Test Methodology the Commission adopted in </w:t>
            </w:r>
            <w:r w:rsidR="00220150">
              <w:rPr>
                <w:bCs/>
                <w:color w:val="000000"/>
              </w:rPr>
              <w:br/>
            </w:r>
            <w:r w:rsidRPr="00D73795">
              <w:rPr>
                <w:bCs/>
                <w:color w:val="000000"/>
              </w:rPr>
              <w:t>D</w:t>
            </w:r>
            <w:r w:rsidR="00220150">
              <w:rPr>
                <w:bCs/>
                <w:color w:val="000000"/>
              </w:rPr>
              <w:t>.</w:t>
            </w:r>
            <w:r w:rsidRPr="00D73795">
              <w:rPr>
                <w:bCs/>
                <w:color w:val="000000"/>
              </w:rPr>
              <w:t>19-06-027.”</w:t>
            </w:r>
          </w:p>
          <w:p w:rsidRPr="00D73795" w:rsidR="00D73795" w:rsidP="00D73795" w:rsidRDefault="00D73795" w14:paraId="7EEBC1CA" w14:textId="775290A7">
            <w:pPr>
              <w:spacing w:after="240"/>
              <w:rPr>
                <w:bCs/>
                <w:color w:val="000000"/>
              </w:rPr>
            </w:pPr>
            <w:r w:rsidRPr="00D73795">
              <w:rPr>
                <w:bCs/>
                <w:color w:val="000000"/>
              </w:rPr>
              <w:t>“The Commission should address the threshold legal issue whether PG&amp;E is eligible for the Stress Test. … [I]n D.19-06-027, the Commission stated that ‘[a]n electrical corporation that has filed for relief under chapter 11 of the Bankruptcy Code may not access the Stress Test to recover costs in an application under Pub</w:t>
            </w:r>
            <w:r w:rsidR="00220150">
              <w:rPr>
                <w:bCs/>
                <w:color w:val="000000"/>
              </w:rPr>
              <w:t>.</w:t>
            </w:r>
            <w:r w:rsidRPr="00D73795">
              <w:rPr>
                <w:bCs/>
                <w:color w:val="000000"/>
              </w:rPr>
              <w:t xml:space="preserve"> Util</w:t>
            </w:r>
            <w:r w:rsidR="00220150">
              <w:rPr>
                <w:bCs/>
                <w:color w:val="000000"/>
              </w:rPr>
              <w:t>.</w:t>
            </w:r>
            <w:r w:rsidRPr="00D73795">
              <w:rPr>
                <w:bCs/>
                <w:color w:val="000000"/>
              </w:rPr>
              <w:t xml:space="preserve"> Code Section 452.2(b).’”</w:t>
            </w:r>
          </w:p>
          <w:p w:rsidRPr="00D73795" w:rsidR="00D73795" w:rsidP="00D73795" w:rsidRDefault="00D73795" w14:paraId="3576509A" w14:textId="314A77A8">
            <w:pPr>
              <w:spacing w:after="240"/>
              <w:rPr>
                <w:bCs/>
                <w:color w:val="000000"/>
              </w:rPr>
            </w:pPr>
            <w:r w:rsidRPr="00D73795">
              <w:rPr>
                <w:bCs/>
                <w:color w:val="000000"/>
              </w:rPr>
              <w:t xml:space="preserve">“D.19-06-027 appears to exclude from Stress Test eligibility applications of electrical corporations filed after bankruptcy. In order ‘for PG&amp;E to emerge from </w:t>
            </w:r>
            <w:r w:rsidR="00220150">
              <w:rPr>
                <w:bCs/>
                <w:color w:val="000000"/>
              </w:rPr>
              <w:br/>
            </w:r>
            <w:r w:rsidRPr="00D73795">
              <w:rPr>
                <w:bCs/>
                <w:color w:val="000000"/>
              </w:rPr>
              <w:t xml:space="preserve">chapter 11, the treatment of all of PG&amp;E’s pre-petition debt, </w:t>
            </w:r>
            <w:r w:rsidRPr="00D73795">
              <w:rPr>
                <w:bCs/>
                <w:color w:val="000000"/>
              </w:rPr>
              <w:lastRenderedPageBreak/>
              <w:t xml:space="preserve">including PG&amp;E’s wildfire liabilities for 2017 as well as 2018, must be addressed in a confirmed chapter 11 plan, subject to Commission regulatory approvals.’ </w:t>
            </w:r>
            <w:r w:rsidR="00220150">
              <w:rPr>
                <w:bCs/>
                <w:color w:val="000000"/>
              </w:rPr>
              <w:br/>
            </w:r>
            <w:r w:rsidRPr="00D73795">
              <w:rPr>
                <w:bCs/>
                <w:color w:val="000000"/>
              </w:rPr>
              <w:t>D.19-06-027 also states that ‘[a]ny reorganization plan of an electrical corporation in a chapter 11 case confirmed by the Bankruptcy Court and approved by the Commission in the future will inevitably address all pre-petition debts, including 2017 wildfire costs in the bankruptcy process.’”</w:t>
            </w:r>
          </w:p>
          <w:p w:rsidRPr="00D73795" w:rsidR="00D73795" w:rsidP="00D73795" w:rsidRDefault="00D73795" w14:paraId="16FF0548" w14:textId="77777777">
            <w:pPr>
              <w:spacing w:after="240"/>
              <w:rPr>
                <w:bCs/>
                <w:color w:val="000000"/>
              </w:rPr>
            </w:pPr>
            <w:r w:rsidRPr="00D73795">
              <w:rPr>
                <w:bCs/>
                <w:color w:val="000000"/>
              </w:rPr>
              <w:t>“PG&amp;E appears to acknowledge that D.19-06-27 may be inconsistent with its Application when it states ‘[b]ut even if some of the language of D.19-06-027 were inconsistent with the Application, the Commission has the authority to clarify its prior decision in this proceeding.’”</w:t>
            </w:r>
          </w:p>
          <w:p w:rsidRPr="00D73795" w:rsidR="00D73795" w:rsidP="00D73795" w:rsidRDefault="00D73795" w14:paraId="507A4CC2" w14:textId="77777777">
            <w:pPr>
              <w:spacing w:after="240"/>
              <w:rPr>
                <w:bCs/>
                <w:color w:val="000000"/>
              </w:rPr>
            </w:pPr>
            <w:r w:rsidRPr="00D73795">
              <w:rPr>
                <w:bCs/>
                <w:color w:val="000000"/>
              </w:rPr>
              <w:t>“AECA … notes in this testimony its support for clarification regarding PG&amp;E’s eligibility for the Stress Test.”</w:t>
            </w:r>
          </w:p>
          <w:p w:rsidRPr="00D73795" w:rsidR="00D73795" w:rsidP="00D73795" w:rsidRDefault="00D73795" w14:paraId="7EDF91C1" w14:textId="77777777">
            <w:pPr>
              <w:spacing w:after="240"/>
              <w:rPr>
                <w:bCs/>
                <w:color w:val="000000"/>
              </w:rPr>
            </w:pPr>
            <w:r w:rsidRPr="00D73795">
              <w:rPr>
                <w:bCs/>
                <w:color w:val="000000"/>
              </w:rPr>
              <w:t>“PG&amp;E has even filed an application for rehearing of D.19-06-027 regarding, among other issues, the provisions relating to the eligibility for the Stress Test of a utility that has filed for Chapter 11 relief.”</w:t>
            </w:r>
          </w:p>
          <w:p w:rsidRPr="00D73795" w:rsidR="00D73795" w:rsidP="00D73795" w:rsidRDefault="00D73795" w14:paraId="61E78CCD" w14:textId="77777777">
            <w:pPr>
              <w:spacing w:after="240"/>
              <w:rPr>
                <w:bCs/>
                <w:color w:val="000000"/>
              </w:rPr>
            </w:pPr>
            <w:r w:rsidRPr="00D73795">
              <w:rPr>
                <w:bCs/>
                <w:color w:val="000000"/>
              </w:rPr>
              <w:t xml:space="preserve">“The Commission should deny the Application, at least </w:t>
            </w:r>
            <w:r w:rsidRPr="00D73795">
              <w:rPr>
                <w:bCs/>
                <w:color w:val="000000"/>
              </w:rPr>
              <w:lastRenderedPageBreak/>
              <w:t>until it resolves PG&amp;E’s pending application for rehearing of D.19-06-026. If the Commission determines it is appropriate to approve PG&amp;E’s Application, it should do so only after requiring PG&amp;E to implement the measures (discussed herein) that avoid the risk to ratepayers posed by the Securitization.”</w:t>
            </w:r>
          </w:p>
          <w:p w:rsidRPr="00D73795" w:rsidR="00D73795" w:rsidP="00D73795" w:rsidRDefault="00D73795" w14:paraId="0B117FB3" w14:textId="77777777">
            <w:pPr>
              <w:spacing w:after="240"/>
              <w:rPr>
                <w:bCs/>
                <w:color w:val="000000"/>
              </w:rPr>
            </w:pPr>
            <w:r w:rsidRPr="00D73795">
              <w:rPr>
                <w:bCs/>
                <w:color w:val="000000"/>
              </w:rPr>
              <w:t>“PG&amp;E misleads with its truncated characterization of AECA’s position on the Stress Test eligibility issue… .”</w:t>
            </w:r>
          </w:p>
          <w:p w:rsidRPr="00D73795" w:rsidR="00D73795" w:rsidP="00D73795" w:rsidRDefault="00D73795" w14:paraId="395CA6BB" w14:textId="289E92FB">
            <w:pPr>
              <w:spacing w:before="120"/>
              <w:rPr>
                <w:bCs/>
                <w:color w:val="000000"/>
              </w:rPr>
            </w:pPr>
            <w:r w:rsidRPr="00D73795">
              <w:rPr>
                <w:bCs/>
                <w:color w:val="000000"/>
              </w:rPr>
              <w:t xml:space="preserve">“AECA’s position is that D.19-06-027, PG&amp;E’s statements regarding </w:t>
            </w:r>
            <w:r w:rsidR="00220150">
              <w:rPr>
                <w:bCs/>
                <w:color w:val="000000"/>
              </w:rPr>
              <w:br/>
            </w:r>
            <w:r w:rsidRPr="00D73795">
              <w:rPr>
                <w:bCs/>
                <w:color w:val="000000"/>
              </w:rPr>
              <w:t xml:space="preserve">D.19-06-027 and in connection with its bankruptcy proceedings, and its application for rehearing of D.19-06-027 provide ample basis for the Commission to affirm that Ordering Paragraph 3 of D.19-06-027 precludes Stress Test applications filed by an electrical corporation or to otherwise clarify its intent.” </w:t>
            </w:r>
          </w:p>
          <w:p w:rsidRPr="00D73795" w:rsidR="00D73795" w:rsidP="00D73795" w:rsidRDefault="00D73795" w14:paraId="32753052" w14:textId="77777777">
            <w:pPr>
              <w:spacing w:before="120"/>
              <w:rPr>
                <w:bCs/>
                <w:color w:val="000000"/>
              </w:rPr>
            </w:pPr>
          </w:p>
          <w:p w:rsidRPr="00D73795" w:rsidR="00D73795" w:rsidP="00D73795" w:rsidRDefault="00D73795" w14:paraId="54CB9234" w14:textId="77777777">
            <w:pPr>
              <w:spacing w:before="120"/>
              <w:rPr>
                <w:bCs/>
                <w:color w:val="000000"/>
              </w:rPr>
            </w:pPr>
            <w:r w:rsidRPr="00D73795">
              <w:rPr>
                <w:bCs/>
                <w:i/>
                <w:iCs/>
                <w:color w:val="000000"/>
                <w:u w:val="single"/>
              </w:rPr>
              <w:t>Decision</w:t>
            </w:r>
            <w:r w:rsidRPr="00D73795">
              <w:rPr>
                <w:bCs/>
                <w:color w:val="000000"/>
              </w:rPr>
              <w:t>:</w:t>
            </w:r>
          </w:p>
          <w:p w:rsidRPr="00D73795" w:rsidR="00D73795" w:rsidP="00D73795" w:rsidRDefault="00D73795" w14:paraId="20B4BB9F" w14:textId="77777777">
            <w:pPr>
              <w:spacing w:before="120"/>
              <w:rPr>
                <w:bCs/>
                <w:color w:val="000000"/>
              </w:rPr>
            </w:pPr>
            <w:r w:rsidRPr="00D73795">
              <w:rPr>
                <w:bCs/>
                <w:color w:val="000000"/>
              </w:rPr>
              <w:t>The Commission clarified that “[t]he proposed $7.5 billion of securitization bonds is allowable under the Stress Test methodology established pursuant to § 451.2(b).”</w:t>
            </w:r>
          </w:p>
          <w:p w:rsidRPr="00D73795" w:rsidR="00D73795" w:rsidP="00D73795" w:rsidRDefault="00D73795" w14:paraId="508E775C" w14:textId="77777777">
            <w:pPr>
              <w:spacing w:before="120"/>
              <w:rPr>
                <w:bCs/>
                <w:color w:val="000000"/>
              </w:rPr>
            </w:pPr>
          </w:p>
        </w:tc>
        <w:tc>
          <w:tcPr>
            <w:tcW w:w="4230" w:type="dxa"/>
            <w:shd w:val="clear" w:color="auto" w:fill="auto"/>
          </w:tcPr>
          <w:p w:rsidRPr="00D73795" w:rsidR="00D73795" w:rsidP="00220150" w:rsidRDefault="00D73795" w14:paraId="0485F1E5" w14:textId="77777777">
            <w:pPr>
              <w:jc w:val="center"/>
              <w:rPr>
                <w:color w:val="000000"/>
              </w:rPr>
            </w:pPr>
          </w:p>
          <w:p w:rsidRPr="00D73795" w:rsidR="00D73795" w:rsidP="00220150" w:rsidRDefault="00D73795" w14:paraId="219DA021" w14:textId="77777777">
            <w:pPr>
              <w:jc w:val="center"/>
              <w:rPr>
                <w:color w:val="000000"/>
              </w:rPr>
            </w:pPr>
          </w:p>
          <w:p w:rsidRPr="00D73795" w:rsidR="00D73795" w:rsidP="00220150" w:rsidRDefault="00D73795" w14:paraId="3714E5D5" w14:textId="77777777">
            <w:pPr>
              <w:jc w:val="center"/>
              <w:rPr>
                <w:color w:val="000000"/>
              </w:rPr>
            </w:pPr>
          </w:p>
          <w:p w:rsidRPr="00D73795" w:rsidR="00D73795" w:rsidP="00220150" w:rsidRDefault="00D73795" w14:paraId="37C20009" w14:textId="77777777">
            <w:pPr>
              <w:jc w:val="center"/>
              <w:rPr>
                <w:color w:val="000000"/>
              </w:rPr>
            </w:pPr>
          </w:p>
          <w:p w:rsidRPr="00D73795" w:rsidR="00D73795" w:rsidP="00220150" w:rsidRDefault="00D73795" w14:paraId="28882313" w14:textId="77777777">
            <w:pPr>
              <w:jc w:val="center"/>
              <w:rPr>
                <w:color w:val="000000"/>
              </w:rPr>
            </w:pPr>
          </w:p>
          <w:p w:rsidRPr="00D73795" w:rsidR="00D73795" w:rsidP="00220150" w:rsidRDefault="00D73795" w14:paraId="09B66686" w14:textId="77777777">
            <w:pPr>
              <w:jc w:val="center"/>
              <w:rPr>
                <w:color w:val="000000"/>
              </w:rPr>
            </w:pPr>
          </w:p>
          <w:p w:rsidRPr="00D73795" w:rsidR="00D73795" w:rsidP="00220150" w:rsidRDefault="00D73795" w14:paraId="3587D542" w14:textId="77777777">
            <w:pPr>
              <w:spacing w:after="240"/>
              <w:jc w:val="center"/>
              <w:rPr>
                <w:color w:val="000000"/>
              </w:rPr>
            </w:pPr>
          </w:p>
          <w:p w:rsidRPr="00D73795" w:rsidR="00D73795" w:rsidP="00220150" w:rsidRDefault="00D73795" w14:paraId="370D0FC2" w14:textId="3563DC43">
            <w:pPr>
              <w:spacing w:before="120"/>
              <w:jc w:val="center"/>
              <w:rPr>
                <w:color w:val="000000"/>
              </w:rPr>
            </w:pPr>
            <w:r w:rsidRPr="00D73795">
              <w:rPr>
                <w:color w:val="000000"/>
              </w:rPr>
              <w:t xml:space="preserve">Response of AECA to PG&amp;E’s Application, </w:t>
            </w:r>
            <w:r w:rsidR="00220150">
              <w:rPr>
                <w:color w:val="000000"/>
              </w:rPr>
              <w:t>at</w:t>
            </w:r>
            <w:r w:rsidRPr="00D73795">
              <w:rPr>
                <w:color w:val="000000"/>
              </w:rPr>
              <w:t xml:space="preserve"> 2.</w:t>
            </w:r>
          </w:p>
          <w:p w:rsidRPr="00D73795" w:rsidR="00D73795" w:rsidP="00220150" w:rsidRDefault="00D73795" w14:paraId="0B224398" w14:textId="77777777">
            <w:pPr>
              <w:jc w:val="center"/>
              <w:rPr>
                <w:color w:val="000000"/>
              </w:rPr>
            </w:pPr>
          </w:p>
          <w:p w:rsidRPr="00D73795" w:rsidR="00D73795" w:rsidP="00220150" w:rsidRDefault="00D73795" w14:paraId="3C87E7F3" w14:textId="77777777">
            <w:pPr>
              <w:jc w:val="center"/>
              <w:rPr>
                <w:color w:val="000000"/>
              </w:rPr>
            </w:pPr>
          </w:p>
          <w:p w:rsidRPr="00D73795" w:rsidR="00D73795" w:rsidP="00220150" w:rsidRDefault="00D73795" w14:paraId="44DA24ED" w14:textId="77777777">
            <w:pPr>
              <w:jc w:val="center"/>
              <w:rPr>
                <w:color w:val="000000"/>
              </w:rPr>
            </w:pPr>
          </w:p>
          <w:p w:rsidRPr="00D73795" w:rsidR="00D73795" w:rsidP="00220150" w:rsidRDefault="00D73795" w14:paraId="7FC77528" w14:textId="77777777">
            <w:pPr>
              <w:jc w:val="center"/>
              <w:rPr>
                <w:color w:val="000000"/>
              </w:rPr>
            </w:pPr>
          </w:p>
          <w:p w:rsidRPr="00D73795" w:rsidR="00D73795" w:rsidP="00220150" w:rsidRDefault="00D73795" w14:paraId="21E6704D" w14:textId="77777777">
            <w:pPr>
              <w:spacing w:after="240"/>
              <w:jc w:val="center"/>
              <w:rPr>
                <w:color w:val="000000"/>
              </w:rPr>
            </w:pPr>
          </w:p>
          <w:p w:rsidRPr="00D73795" w:rsidR="00D73795" w:rsidP="00220150" w:rsidRDefault="00D73795" w14:paraId="206EFBB0" w14:textId="51355506">
            <w:pPr>
              <w:spacing w:before="120"/>
              <w:jc w:val="center"/>
              <w:rPr>
                <w:color w:val="000000"/>
              </w:rPr>
            </w:pPr>
            <w:r w:rsidRPr="00D73795">
              <w:rPr>
                <w:color w:val="000000"/>
              </w:rPr>
              <w:t xml:space="preserve">Prepared Testimony of </w:t>
            </w:r>
            <w:r w:rsidR="00220150">
              <w:rPr>
                <w:color w:val="000000"/>
              </w:rPr>
              <w:br/>
            </w:r>
            <w:r w:rsidRPr="00D73795">
              <w:rPr>
                <w:color w:val="000000"/>
              </w:rPr>
              <w:t xml:space="preserve">Michael Boccadoro, </w:t>
            </w:r>
            <w:r w:rsidR="00220150">
              <w:rPr>
                <w:color w:val="000000"/>
              </w:rPr>
              <w:t xml:space="preserve">at </w:t>
            </w:r>
            <w:r w:rsidRPr="00D73795">
              <w:rPr>
                <w:color w:val="000000"/>
              </w:rPr>
              <w:t xml:space="preserve">3, lines 7-8 </w:t>
            </w:r>
            <w:r w:rsidR="00220150">
              <w:rPr>
                <w:color w:val="000000"/>
              </w:rPr>
              <w:br/>
            </w:r>
            <w:r w:rsidRPr="00D73795">
              <w:rPr>
                <w:color w:val="000000"/>
              </w:rPr>
              <w:t>and 10-12.</w:t>
            </w:r>
          </w:p>
          <w:p w:rsidRPr="00D73795" w:rsidR="00D73795" w:rsidP="00220150" w:rsidRDefault="00D73795" w14:paraId="5CBA4DE0" w14:textId="77777777">
            <w:pPr>
              <w:jc w:val="center"/>
              <w:rPr>
                <w:color w:val="000000"/>
              </w:rPr>
            </w:pPr>
          </w:p>
          <w:p w:rsidRPr="00D73795" w:rsidR="00D73795" w:rsidP="00220150" w:rsidRDefault="00D73795" w14:paraId="724A7A64" w14:textId="77777777">
            <w:pPr>
              <w:jc w:val="center"/>
              <w:rPr>
                <w:color w:val="000000"/>
              </w:rPr>
            </w:pPr>
          </w:p>
          <w:p w:rsidRPr="00D73795" w:rsidR="00D73795" w:rsidP="00220150" w:rsidRDefault="00D73795" w14:paraId="2E463D60" w14:textId="77777777">
            <w:pPr>
              <w:jc w:val="center"/>
              <w:rPr>
                <w:color w:val="000000"/>
              </w:rPr>
            </w:pPr>
          </w:p>
          <w:p w:rsidRPr="00D73795" w:rsidR="00D73795" w:rsidP="00220150" w:rsidRDefault="00D73795" w14:paraId="57AD46D8" w14:textId="77777777">
            <w:pPr>
              <w:jc w:val="center"/>
              <w:rPr>
                <w:color w:val="000000"/>
              </w:rPr>
            </w:pPr>
          </w:p>
          <w:p w:rsidRPr="00D73795" w:rsidR="00D73795" w:rsidP="00220150" w:rsidRDefault="00D73795" w14:paraId="2D83A470" w14:textId="77777777">
            <w:pPr>
              <w:jc w:val="center"/>
              <w:rPr>
                <w:color w:val="000000"/>
              </w:rPr>
            </w:pPr>
          </w:p>
          <w:p w:rsidRPr="00D73795" w:rsidR="00D73795" w:rsidP="00220150" w:rsidRDefault="00D73795" w14:paraId="2E48199B" w14:textId="77777777">
            <w:pPr>
              <w:jc w:val="center"/>
              <w:rPr>
                <w:color w:val="000000"/>
              </w:rPr>
            </w:pPr>
          </w:p>
          <w:p w:rsidRPr="00D73795" w:rsidR="00D73795" w:rsidP="00220150" w:rsidRDefault="00D73795" w14:paraId="1F0B1CA3" w14:textId="77777777">
            <w:pPr>
              <w:jc w:val="center"/>
              <w:rPr>
                <w:color w:val="000000"/>
              </w:rPr>
            </w:pPr>
          </w:p>
          <w:p w:rsidRPr="00D73795" w:rsidR="00D73795" w:rsidP="00220150" w:rsidRDefault="00D73795" w14:paraId="08565E14" w14:textId="77777777">
            <w:pPr>
              <w:jc w:val="center"/>
              <w:rPr>
                <w:color w:val="000000"/>
              </w:rPr>
            </w:pPr>
          </w:p>
          <w:p w:rsidRPr="00D73795" w:rsidR="00D73795" w:rsidP="00220150" w:rsidRDefault="00D73795" w14:paraId="7463D5F7" w14:textId="77777777">
            <w:pPr>
              <w:jc w:val="center"/>
              <w:rPr>
                <w:color w:val="000000"/>
              </w:rPr>
            </w:pPr>
          </w:p>
          <w:p w:rsidRPr="00D73795" w:rsidR="00D73795" w:rsidP="00220150" w:rsidRDefault="00D73795" w14:paraId="3514677B" w14:textId="77777777">
            <w:pPr>
              <w:jc w:val="center"/>
              <w:rPr>
                <w:color w:val="000000"/>
              </w:rPr>
            </w:pPr>
          </w:p>
          <w:p w:rsidRPr="00D73795" w:rsidR="00D73795" w:rsidP="00220150" w:rsidRDefault="00D73795" w14:paraId="6AD2B22C" w14:textId="77777777">
            <w:pPr>
              <w:jc w:val="center"/>
              <w:rPr>
                <w:color w:val="000000"/>
              </w:rPr>
            </w:pPr>
          </w:p>
          <w:p w:rsidRPr="00D73795" w:rsidR="00D73795" w:rsidP="00220150" w:rsidRDefault="00D73795" w14:paraId="300A2FAE" w14:textId="77777777">
            <w:pPr>
              <w:spacing w:after="240"/>
              <w:jc w:val="center"/>
              <w:rPr>
                <w:color w:val="000000"/>
              </w:rPr>
            </w:pPr>
          </w:p>
          <w:p w:rsidRPr="00D73795" w:rsidR="00D73795" w:rsidP="00220150" w:rsidRDefault="00D73795" w14:paraId="11D3FD0E" w14:textId="28278201">
            <w:pPr>
              <w:spacing w:before="120"/>
              <w:jc w:val="center"/>
              <w:rPr>
                <w:color w:val="000000"/>
              </w:rPr>
            </w:pPr>
            <w:r w:rsidRPr="00D73795">
              <w:rPr>
                <w:color w:val="000000"/>
              </w:rPr>
              <w:t xml:space="preserve">Prepared Testimony of Michael Boccadoro, </w:t>
            </w:r>
            <w:r w:rsidR="00220150">
              <w:rPr>
                <w:color w:val="000000"/>
              </w:rPr>
              <w:t xml:space="preserve">at </w:t>
            </w:r>
            <w:r w:rsidRPr="00D73795">
              <w:rPr>
                <w:color w:val="000000"/>
              </w:rPr>
              <w:t xml:space="preserve">3, lines 13-20; </w:t>
            </w:r>
            <w:r w:rsidRPr="00D73795">
              <w:rPr>
                <w:i/>
                <w:iCs/>
                <w:color w:val="000000"/>
              </w:rPr>
              <w:t>see also</w:t>
            </w:r>
            <w:r w:rsidRPr="00D73795">
              <w:rPr>
                <w:color w:val="000000"/>
              </w:rPr>
              <w:t xml:space="preserve"> Opening Brief of AECA, </w:t>
            </w:r>
            <w:r w:rsidR="00220150">
              <w:rPr>
                <w:color w:val="000000"/>
              </w:rPr>
              <w:t>at</w:t>
            </w:r>
            <w:r w:rsidRPr="00D73795">
              <w:rPr>
                <w:color w:val="000000"/>
              </w:rPr>
              <w:t xml:space="preserve"> 4.</w:t>
            </w:r>
          </w:p>
          <w:p w:rsidRPr="00D73795" w:rsidR="00D73795" w:rsidP="00220150" w:rsidRDefault="00D73795" w14:paraId="0C9FC992" w14:textId="77777777">
            <w:pPr>
              <w:jc w:val="center"/>
              <w:rPr>
                <w:color w:val="000000"/>
              </w:rPr>
            </w:pPr>
          </w:p>
          <w:p w:rsidRPr="00D73795" w:rsidR="00D73795" w:rsidP="00220150" w:rsidRDefault="00D73795" w14:paraId="6904A474" w14:textId="77777777">
            <w:pPr>
              <w:jc w:val="center"/>
              <w:rPr>
                <w:color w:val="000000"/>
              </w:rPr>
            </w:pPr>
          </w:p>
          <w:p w:rsidRPr="00D73795" w:rsidR="00D73795" w:rsidP="00220150" w:rsidRDefault="00D73795" w14:paraId="7225DBBE" w14:textId="77777777">
            <w:pPr>
              <w:jc w:val="center"/>
              <w:rPr>
                <w:color w:val="000000"/>
              </w:rPr>
            </w:pPr>
          </w:p>
          <w:p w:rsidRPr="00D73795" w:rsidR="00D73795" w:rsidP="00220150" w:rsidRDefault="00D73795" w14:paraId="316BED8D" w14:textId="77777777">
            <w:pPr>
              <w:jc w:val="center"/>
              <w:rPr>
                <w:color w:val="000000"/>
              </w:rPr>
            </w:pPr>
          </w:p>
          <w:p w:rsidRPr="00D73795" w:rsidR="00D73795" w:rsidP="00220150" w:rsidRDefault="00D73795" w14:paraId="148518DC" w14:textId="77777777">
            <w:pPr>
              <w:jc w:val="center"/>
              <w:rPr>
                <w:color w:val="000000"/>
              </w:rPr>
            </w:pPr>
          </w:p>
          <w:p w:rsidRPr="00D73795" w:rsidR="00D73795" w:rsidP="00220150" w:rsidRDefault="00D73795" w14:paraId="51177335" w14:textId="77777777">
            <w:pPr>
              <w:jc w:val="center"/>
              <w:rPr>
                <w:color w:val="000000"/>
              </w:rPr>
            </w:pPr>
          </w:p>
          <w:p w:rsidRPr="00D73795" w:rsidR="00D73795" w:rsidP="00220150" w:rsidRDefault="00D73795" w14:paraId="0BAB9671" w14:textId="77777777">
            <w:pPr>
              <w:jc w:val="center"/>
              <w:rPr>
                <w:color w:val="000000"/>
              </w:rPr>
            </w:pPr>
          </w:p>
          <w:p w:rsidRPr="00D73795" w:rsidR="00D73795" w:rsidP="00220150" w:rsidRDefault="00D73795" w14:paraId="50B72CE4" w14:textId="77777777">
            <w:pPr>
              <w:jc w:val="center"/>
              <w:rPr>
                <w:color w:val="000000"/>
              </w:rPr>
            </w:pPr>
          </w:p>
          <w:p w:rsidRPr="00D73795" w:rsidR="00D73795" w:rsidP="00220150" w:rsidRDefault="00D73795" w14:paraId="1E41F761" w14:textId="77777777">
            <w:pPr>
              <w:jc w:val="center"/>
              <w:rPr>
                <w:color w:val="000000"/>
              </w:rPr>
            </w:pPr>
          </w:p>
          <w:p w:rsidRPr="00D73795" w:rsidR="00D73795" w:rsidP="00220150" w:rsidRDefault="00D73795" w14:paraId="63BC01D4" w14:textId="77777777">
            <w:pPr>
              <w:jc w:val="center"/>
              <w:rPr>
                <w:color w:val="000000"/>
              </w:rPr>
            </w:pPr>
          </w:p>
          <w:p w:rsidRPr="00D73795" w:rsidR="00D73795" w:rsidP="00220150" w:rsidRDefault="00D73795" w14:paraId="3E9F07B2" w14:textId="77777777">
            <w:pPr>
              <w:jc w:val="center"/>
              <w:rPr>
                <w:color w:val="000000"/>
              </w:rPr>
            </w:pPr>
          </w:p>
          <w:p w:rsidRPr="00D73795" w:rsidR="00D73795" w:rsidP="00220150" w:rsidRDefault="00D73795" w14:paraId="75F6FDCB" w14:textId="77777777">
            <w:pPr>
              <w:jc w:val="center"/>
              <w:rPr>
                <w:color w:val="000000"/>
              </w:rPr>
            </w:pPr>
          </w:p>
          <w:p w:rsidRPr="00D73795" w:rsidR="00D73795" w:rsidP="00220150" w:rsidRDefault="00D73795" w14:paraId="1F73558D" w14:textId="77777777">
            <w:pPr>
              <w:jc w:val="center"/>
              <w:rPr>
                <w:color w:val="000000"/>
              </w:rPr>
            </w:pPr>
          </w:p>
          <w:p w:rsidRPr="00D73795" w:rsidR="00D73795" w:rsidP="00220150" w:rsidRDefault="00D73795" w14:paraId="26A5BEFE" w14:textId="77777777">
            <w:pPr>
              <w:jc w:val="center"/>
              <w:rPr>
                <w:color w:val="000000"/>
              </w:rPr>
            </w:pPr>
          </w:p>
          <w:p w:rsidRPr="00D73795" w:rsidR="00D73795" w:rsidP="00220150" w:rsidRDefault="00D73795" w14:paraId="3F9CD5AA" w14:textId="77777777">
            <w:pPr>
              <w:jc w:val="center"/>
              <w:rPr>
                <w:color w:val="000000"/>
              </w:rPr>
            </w:pPr>
          </w:p>
          <w:p w:rsidRPr="00D73795" w:rsidR="00D73795" w:rsidP="00220150" w:rsidRDefault="00D73795" w14:paraId="7EBDA7DB" w14:textId="77777777">
            <w:pPr>
              <w:jc w:val="center"/>
              <w:rPr>
                <w:color w:val="000000"/>
              </w:rPr>
            </w:pPr>
          </w:p>
          <w:p w:rsidRPr="00D73795" w:rsidR="00D73795" w:rsidP="00220150" w:rsidRDefault="00D73795" w14:paraId="4CDD793D" w14:textId="77777777">
            <w:pPr>
              <w:jc w:val="center"/>
              <w:rPr>
                <w:color w:val="000000"/>
              </w:rPr>
            </w:pPr>
          </w:p>
          <w:p w:rsidRPr="00D73795" w:rsidR="00D73795" w:rsidP="00220150" w:rsidRDefault="00D73795" w14:paraId="6780FC97" w14:textId="77777777">
            <w:pPr>
              <w:jc w:val="center"/>
              <w:rPr>
                <w:color w:val="000000"/>
              </w:rPr>
            </w:pPr>
          </w:p>
          <w:p w:rsidRPr="00D73795" w:rsidR="00D73795" w:rsidP="00220150" w:rsidRDefault="00D73795" w14:paraId="5A67081E" w14:textId="77777777">
            <w:pPr>
              <w:jc w:val="center"/>
              <w:rPr>
                <w:color w:val="000000"/>
              </w:rPr>
            </w:pPr>
          </w:p>
          <w:p w:rsidRPr="00D73795" w:rsidR="00D73795" w:rsidP="00220150" w:rsidRDefault="00D73795" w14:paraId="3DAF49E1" w14:textId="77777777">
            <w:pPr>
              <w:jc w:val="center"/>
              <w:rPr>
                <w:color w:val="000000"/>
              </w:rPr>
            </w:pPr>
          </w:p>
          <w:p w:rsidRPr="00D73795" w:rsidR="00D73795" w:rsidP="00220150" w:rsidRDefault="00D73795" w14:paraId="08B2148F" w14:textId="77777777">
            <w:pPr>
              <w:spacing w:after="240"/>
              <w:jc w:val="center"/>
              <w:rPr>
                <w:color w:val="000000"/>
              </w:rPr>
            </w:pPr>
          </w:p>
          <w:p w:rsidRPr="00D73795" w:rsidR="00D73795" w:rsidP="00220150" w:rsidRDefault="00D73795" w14:paraId="32CB60EE" w14:textId="51665204">
            <w:pPr>
              <w:spacing w:before="120"/>
              <w:jc w:val="center"/>
              <w:rPr>
                <w:color w:val="000000"/>
              </w:rPr>
            </w:pPr>
            <w:r w:rsidRPr="00D73795">
              <w:rPr>
                <w:color w:val="000000"/>
              </w:rPr>
              <w:t xml:space="preserve">Prepared Testimony of </w:t>
            </w:r>
            <w:r w:rsidR="00220150">
              <w:rPr>
                <w:color w:val="000000"/>
              </w:rPr>
              <w:br/>
            </w:r>
            <w:r w:rsidRPr="00D73795">
              <w:rPr>
                <w:color w:val="000000"/>
              </w:rPr>
              <w:t xml:space="preserve">Michael Boccadoro, </w:t>
            </w:r>
            <w:r w:rsidR="00220150">
              <w:rPr>
                <w:color w:val="000000"/>
              </w:rPr>
              <w:t xml:space="preserve">at </w:t>
            </w:r>
            <w:r w:rsidRPr="00D73795">
              <w:rPr>
                <w:color w:val="000000"/>
              </w:rPr>
              <w:t xml:space="preserve">4, lines 4-6; </w:t>
            </w:r>
            <w:r w:rsidRPr="00D73795">
              <w:rPr>
                <w:i/>
                <w:iCs/>
                <w:color w:val="000000"/>
              </w:rPr>
              <w:t>see also</w:t>
            </w:r>
            <w:r w:rsidRPr="00D73795">
              <w:rPr>
                <w:color w:val="000000"/>
              </w:rPr>
              <w:t xml:space="preserve"> Opening Brief of AECA, </w:t>
            </w:r>
            <w:r w:rsidR="00220150">
              <w:rPr>
                <w:color w:val="000000"/>
              </w:rPr>
              <w:t>at</w:t>
            </w:r>
            <w:r w:rsidRPr="00D73795">
              <w:rPr>
                <w:color w:val="000000"/>
              </w:rPr>
              <w:t xml:space="preserve"> 5.</w:t>
            </w:r>
          </w:p>
          <w:p w:rsidRPr="00D73795" w:rsidR="00D73795" w:rsidP="00220150" w:rsidRDefault="00D73795" w14:paraId="3F526008" w14:textId="77777777">
            <w:pPr>
              <w:jc w:val="center"/>
              <w:rPr>
                <w:color w:val="000000"/>
              </w:rPr>
            </w:pPr>
          </w:p>
          <w:p w:rsidRPr="00D73795" w:rsidR="00D73795" w:rsidP="00220150" w:rsidRDefault="00D73795" w14:paraId="563AD704" w14:textId="77777777">
            <w:pPr>
              <w:jc w:val="center"/>
              <w:rPr>
                <w:color w:val="000000"/>
              </w:rPr>
            </w:pPr>
          </w:p>
          <w:p w:rsidRPr="00D73795" w:rsidR="00D73795" w:rsidP="00220150" w:rsidRDefault="00D73795" w14:paraId="2A579291" w14:textId="77777777">
            <w:pPr>
              <w:jc w:val="center"/>
              <w:rPr>
                <w:color w:val="000000"/>
              </w:rPr>
            </w:pPr>
          </w:p>
          <w:p w:rsidRPr="00D73795" w:rsidR="00D73795" w:rsidP="00220150" w:rsidRDefault="00D73795" w14:paraId="7C9E7D8B" w14:textId="77777777">
            <w:pPr>
              <w:jc w:val="center"/>
              <w:rPr>
                <w:color w:val="000000"/>
              </w:rPr>
            </w:pPr>
          </w:p>
          <w:p w:rsidRPr="00D73795" w:rsidR="00D73795" w:rsidP="00220150" w:rsidRDefault="00D73795" w14:paraId="67433887" w14:textId="77777777">
            <w:pPr>
              <w:jc w:val="center"/>
              <w:rPr>
                <w:color w:val="000000"/>
              </w:rPr>
            </w:pPr>
          </w:p>
          <w:p w:rsidRPr="00D73795" w:rsidR="00D73795" w:rsidP="00220150" w:rsidRDefault="00D73795" w14:paraId="18DC76C6" w14:textId="77777777">
            <w:pPr>
              <w:jc w:val="center"/>
              <w:rPr>
                <w:color w:val="000000"/>
              </w:rPr>
            </w:pPr>
          </w:p>
          <w:p w:rsidRPr="00D73795" w:rsidR="00D73795" w:rsidP="00220150" w:rsidRDefault="00D73795" w14:paraId="5CC55AB3" w14:textId="77777777">
            <w:pPr>
              <w:jc w:val="center"/>
              <w:rPr>
                <w:color w:val="000000"/>
              </w:rPr>
            </w:pPr>
          </w:p>
          <w:p w:rsidRPr="00D73795" w:rsidR="00D73795" w:rsidP="00220150" w:rsidRDefault="00D73795" w14:paraId="1A357DE4" w14:textId="77777777">
            <w:pPr>
              <w:spacing w:after="240"/>
              <w:jc w:val="center"/>
              <w:rPr>
                <w:color w:val="000000"/>
              </w:rPr>
            </w:pPr>
          </w:p>
          <w:p w:rsidRPr="00D73795" w:rsidR="00D73795" w:rsidP="00220150" w:rsidRDefault="00D73795" w14:paraId="112B46C8" w14:textId="32701540">
            <w:pPr>
              <w:spacing w:before="120"/>
              <w:jc w:val="center"/>
              <w:rPr>
                <w:color w:val="000000"/>
              </w:rPr>
            </w:pPr>
            <w:r w:rsidRPr="00D73795">
              <w:rPr>
                <w:color w:val="000000"/>
              </w:rPr>
              <w:t xml:space="preserve">Prepared Testimony of </w:t>
            </w:r>
            <w:r w:rsidR="00220150">
              <w:rPr>
                <w:color w:val="000000"/>
              </w:rPr>
              <w:br/>
            </w:r>
            <w:r w:rsidRPr="00D73795">
              <w:rPr>
                <w:color w:val="000000"/>
              </w:rPr>
              <w:t xml:space="preserve">Michael Boccadoro, </w:t>
            </w:r>
            <w:r w:rsidR="00220150">
              <w:rPr>
                <w:color w:val="000000"/>
              </w:rPr>
              <w:t>at</w:t>
            </w:r>
            <w:r w:rsidRPr="00D73795">
              <w:rPr>
                <w:color w:val="000000"/>
              </w:rPr>
              <w:t xml:space="preserve"> 4, lines 8-10.</w:t>
            </w:r>
          </w:p>
          <w:p w:rsidRPr="00D73795" w:rsidR="00D73795" w:rsidP="00220150" w:rsidRDefault="00D73795" w14:paraId="44472DEA" w14:textId="77777777">
            <w:pPr>
              <w:jc w:val="center"/>
              <w:rPr>
                <w:color w:val="000000"/>
              </w:rPr>
            </w:pPr>
          </w:p>
          <w:p w:rsidRPr="00D73795" w:rsidR="00D73795" w:rsidP="00220150" w:rsidRDefault="00D73795" w14:paraId="79B939E1" w14:textId="77777777">
            <w:pPr>
              <w:jc w:val="center"/>
              <w:rPr>
                <w:color w:val="000000"/>
              </w:rPr>
            </w:pPr>
          </w:p>
          <w:p w:rsidRPr="00D73795" w:rsidR="00D73795" w:rsidP="00220150" w:rsidRDefault="00D73795" w14:paraId="51EE5EB4" w14:textId="77777777">
            <w:pPr>
              <w:spacing w:after="240"/>
              <w:jc w:val="center"/>
              <w:rPr>
                <w:color w:val="000000"/>
              </w:rPr>
            </w:pPr>
          </w:p>
          <w:p w:rsidRPr="00D73795" w:rsidR="00D73795" w:rsidP="00220150" w:rsidRDefault="00D73795" w14:paraId="40B403DF" w14:textId="201BEFFD">
            <w:pPr>
              <w:spacing w:before="120"/>
              <w:jc w:val="center"/>
              <w:rPr>
                <w:color w:val="000000"/>
              </w:rPr>
            </w:pPr>
            <w:r w:rsidRPr="00D73795">
              <w:rPr>
                <w:color w:val="000000"/>
              </w:rPr>
              <w:t xml:space="preserve">Opening Brief of AECA, </w:t>
            </w:r>
            <w:r w:rsidR="00220150">
              <w:rPr>
                <w:color w:val="000000"/>
              </w:rPr>
              <w:t>at</w:t>
            </w:r>
            <w:r w:rsidRPr="00D73795">
              <w:rPr>
                <w:color w:val="000000"/>
              </w:rPr>
              <w:t xml:space="preserve"> 5.</w:t>
            </w:r>
          </w:p>
          <w:p w:rsidRPr="00D73795" w:rsidR="00D73795" w:rsidP="00220150" w:rsidRDefault="00D73795" w14:paraId="55054BBD" w14:textId="77777777">
            <w:pPr>
              <w:jc w:val="center"/>
              <w:rPr>
                <w:color w:val="000000"/>
              </w:rPr>
            </w:pPr>
          </w:p>
          <w:p w:rsidRPr="00D73795" w:rsidR="00D73795" w:rsidP="00220150" w:rsidRDefault="00D73795" w14:paraId="473787AC" w14:textId="77777777">
            <w:pPr>
              <w:jc w:val="center"/>
              <w:rPr>
                <w:color w:val="000000"/>
              </w:rPr>
            </w:pPr>
          </w:p>
          <w:p w:rsidRPr="00D73795" w:rsidR="00D73795" w:rsidP="00220150" w:rsidRDefault="00D73795" w14:paraId="385CAE8C" w14:textId="77777777">
            <w:pPr>
              <w:jc w:val="center"/>
              <w:rPr>
                <w:color w:val="000000"/>
              </w:rPr>
            </w:pPr>
          </w:p>
          <w:p w:rsidRPr="00D73795" w:rsidR="00D73795" w:rsidP="00220150" w:rsidRDefault="00D73795" w14:paraId="56A0FB43" w14:textId="77777777">
            <w:pPr>
              <w:jc w:val="center"/>
              <w:rPr>
                <w:color w:val="000000"/>
              </w:rPr>
            </w:pPr>
          </w:p>
          <w:p w:rsidRPr="00D73795" w:rsidR="00D73795" w:rsidP="00220150" w:rsidRDefault="00D73795" w14:paraId="78D42156" w14:textId="77777777">
            <w:pPr>
              <w:jc w:val="center"/>
              <w:rPr>
                <w:color w:val="000000"/>
              </w:rPr>
            </w:pPr>
          </w:p>
          <w:p w:rsidRPr="00D73795" w:rsidR="00D73795" w:rsidP="00220150" w:rsidRDefault="00D73795" w14:paraId="7D0FE4F0" w14:textId="77777777">
            <w:pPr>
              <w:jc w:val="center"/>
              <w:rPr>
                <w:color w:val="000000"/>
              </w:rPr>
            </w:pPr>
          </w:p>
          <w:p w:rsidRPr="00D73795" w:rsidR="00D73795" w:rsidP="00220150" w:rsidRDefault="00D73795" w14:paraId="65CEBF66" w14:textId="77777777">
            <w:pPr>
              <w:spacing w:after="240"/>
              <w:jc w:val="center"/>
              <w:rPr>
                <w:color w:val="000000"/>
              </w:rPr>
            </w:pPr>
          </w:p>
          <w:p w:rsidRPr="00D73795" w:rsidR="00D73795" w:rsidP="00220150" w:rsidRDefault="00D73795" w14:paraId="4791A1C4" w14:textId="2D40AF55">
            <w:pPr>
              <w:spacing w:before="120"/>
              <w:jc w:val="center"/>
              <w:rPr>
                <w:color w:val="000000"/>
              </w:rPr>
            </w:pPr>
            <w:r w:rsidRPr="00D73795">
              <w:rPr>
                <w:color w:val="000000"/>
              </w:rPr>
              <w:t xml:space="preserve">Opening Brief of AECA, </w:t>
            </w:r>
            <w:r w:rsidR="00220150">
              <w:rPr>
                <w:color w:val="000000"/>
              </w:rPr>
              <w:t>at</w:t>
            </w:r>
            <w:r w:rsidRPr="00D73795">
              <w:rPr>
                <w:color w:val="000000"/>
              </w:rPr>
              <w:t xml:space="preserve"> 6.</w:t>
            </w:r>
          </w:p>
          <w:p w:rsidRPr="00D73795" w:rsidR="00D73795" w:rsidP="00220150" w:rsidRDefault="00D73795" w14:paraId="38F7C3C1" w14:textId="77777777">
            <w:pPr>
              <w:jc w:val="center"/>
              <w:rPr>
                <w:color w:val="000000"/>
              </w:rPr>
            </w:pPr>
          </w:p>
          <w:p w:rsidRPr="00D73795" w:rsidR="00D73795" w:rsidP="00220150" w:rsidRDefault="00D73795" w14:paraId="141D9E01" w14:textId="77777777">
            <w:pPr>
              <w:jc w:val="center"/>
              <w:rPr>
                <w:color w:val="000000"/>
              </w:rPr>
            </w:pPr>
          </w:p>
          <w:p w:rsidRPr="00D73795" w:rsidR="00D73795" w:rsidP="00220150" w:rsidRDefault="00D73795" w14:paraId="4F434C80" w14:textId="77777777">
            <w:pPr>
              <w:jc w:val="center"/>
              <w:rPr>
                <w:color w:val="000000"/>
              </w:rPr>
            </w:pPr>
          </w:p>
          <w:p w:rsidRPr="00D73795" w:rsidR="00D73795" w:rsidP="00220150" w:rsidRDefault="00D73795" w14:paraId="63DAB6EB" w14:textId="77777777">
            <w:pPr>
              <w:jc w:val="center"/>
              <w:rPr>
                <w:color w:val="000000"/>
              </w:rPr>
            </w:pPr>
          </w:p>
          <w:p w:rsidRPr="00D73795" w:rsidR="00D73795" w:rsidP="00220150" w:rsidRDefault="00D73795" w14:paraId="58A84F34" w14:textId="77777777">
            <w:pPr>
              <w:jc w:val="center"/>
              <w:rPr>
                <w:color w:val="000000"/>
              </w:rPr>
            </w:pPr>
          </w:p>
          <w:p w:rsidRPr="00D73795" w:rsidR="00D73795" w:rsidP="00220150" w:rsidRDefault="00D73795" w14:paraId="4BF36511" w14:textId="77777777">
            <w:pPr>
              <w:jc w:val="center"/>
              <w:rPr>
                <w:color w:val="000000"/>
              </w:rPr>
            </w:pPr>
          </w:p>
          <w:p w:rsidRPr="00D73795" w:rsidR="00D73795" w:rsidP="00220150" w:rsidRDefault="00D73795" w14:paraId="53791B96" w14:textId="77777777">
            <w:pPr>
              <w:jc w:val="center"/>
              <w:rPr>
                <w:color w:val="000000"/>
              </w:rPr>
            </w:pPr>
          </w:p>
          <w:p w:rsidRPr="00D73795" w:rsidR="00D73795" w:rsidP="00220150" w:rsidRDefault="00D73795" w14:paraId="68241E3C" w14:textId="77777777">
            <w:pPr>
              <w:jc w:val="center"/>
              <w:rPr>
                <w:color w:val="000000"/>
              </w:rPr>
            </w:pPr>
          </w:p>
          <w:p w:rsidRPr="00D73795" w:rsidR="00D73795" w:rsidP="00220150" w:rsidRDefault="00D73795" w14:paraId="4CA8CE58" w14:textId="77777777">
            <w:pPr>
              <w:jc w:val="center"/>
              <w:rPr>
                <w:color w:val="000000"/>
              </w:rPr>
            </w:pPr>
          </w:p>
          <w:p w:rsidRPr="00D73795" w:rsidR="00D73795" w:rsidP="00220150" w:rsidRDefault="00D73795" w14:paraId="0300EB0D" w14:textId="77777777">
            <w:pPr>
              <w:jc w:val="center"/>
              <w:rPr>
                <w:color w:val="000000"/>
              </w:rPr>
            </w:pPr>
          </w:p>
          <w:p w:rsidRPr="00D73795" w:rsidR="00D73795" w:rsidP="00220150" w:rsidRDefault="00D73795" w14:paraId="55460679" w14:textId="77777777">
            <w:pPr>
              <w:jc w:val="center"/>
              <w:rPr>
                <w:color w:val="000000"/>
              </w:rPr>
            </w:pPr>
          </w:p>
          <w:p w:rsidRPr="00D73795" w:rsidR="00D73795" w:rsidP="00220150" w:rsidRDefault="00D73795" w14:paraId="7A732500" w14:textId="77777777">
            <w:pPr>
              <w:jc w:val="center"/>
              <w:rPr>
                <w:color w:val="000000"/>
              </w:rPr>
            </w:pPr>
          </w:p>
          <w:p w:rsidRPr="00D73795" w:rsidR="00D73795" w:rsidP="00220150" w:rsidRDefault="00D73795" w14:paraId="2E5F6810" w14:textId="77777777">
            <w:pPr>
              <w:spacing w:after="240"/>
              <w:jc w:val="center"/>
              <w:rPr>
                <w:color w:val="000000"/>
              </w:rPr>
            </w:pPr>
          </w:p>
          <w:p w:rsidRPr="00D73795" w:rsidR="00D73795" w:rsidP="00220150" w:rsidRDefault="00D73795" w14:paraId="1D27F96B" w14:textId="647899F1">
            <w:pPr>
              <w:spacing w:before="120"/>
              <w:jc w:val="center"/>
              <w:rPr>
                <w:color w:val="000000"/>
              </w:rPr>
            </w:pPr>
            <w:r w:rsidRPr="00D73795">
              <w:rPr>
                <w:color w:val="000000"/>
              </w:rPr>
              <w:t xml:space="preserve">Reply Brief of AECA, </w:t>
            </w:r>
            <w:r w:rsidR="00220150">
              <w:rPr>
                <w:color w:val="000000"/>
              </w:rPr>
              <w:t>at</w:t>
            </w:r>
            <w:r w:rsidRPr="00D73795">
              <w:rPr>
                <w:color w:val="000000"/>
              </w:rPr>
              <w:t xml:space="preserve"> 3.</w:t>
            </w:r>
          </w:p>
          <w:p w:rsidRPr="00D73795" w:rsidR="00D73795" w:rsidP="00220150" w:rsidRDefault="00D73795" w14:paraId="21983BEA" w14:textId="77777777">
            <w:pPr>
              <w:jc w:val="center"/>
              <w:rPr>
                <w:color w:val="000000"/>
              </w:rPr>
            </w:pPr>
          </w:p>
          <w:p w:rsidRPr="00D73795" w:rsidR="00D73795" w:rsidP="00220150" w:rsidRDefault="00D73795" w14:paraId="683F42C4" w14:textId="77777777">
            <w:pPr>
              <w:jc w:val="center"/>
              <w:rPr>
                <w:color w:val="000000"/>
              </w:rPr>
            </w:pPr>
          </w:p>
          <w:p w:rsidRPr="00D73795" w:rsidR="00D73795" w:rsidP="00220150" w:rsidRDefault="00D73795" w14:paraId="5DF15356" w14:textId="77777777">
            <w:pPr>
              <w:spacing w:after="240"/>
              <w:jc w:val="center"/>
              <w:rPr>
                <w:color w:val="000000"/>
              </w:rPr>
            </w:pPr>
          </w:p>
          <w:p w:rsidRPr="00D73795" w:rsidR="00D73795" w:rsidP="00220150" w:rsidRDefault="00D73795" w14:paraId="0E16E6EF" w14:textId="4FF84DD4">
            <w:pPr>
              <w:spacing w:before="120"/>
              <w:jc w:val="center"/>
              <w:rPr>
                <w:color w:val="000000"/>
              </w:rPr>
            </w:pPr>
            <w:r w:rsidRPr="00D73795">
              <w:rPr>
                <w:color w:val="000000"/>
              </w:rPr>
              <w:t xml:space="preserve">Reply Brief of AECA, </w:t>
            </w:r>
            <w:r w:rsidR="00220150">
              <w:rPr>
                <w:color w:val="000000"/>
              </w:rPr>
              <w:t>at</w:t>
            </w:r>
            <w:r w:rsidRPr="00D73795">
              <w:rPr>
                <w:color w:val="000000"/>
              </w:rPr>
              <w:t xml:space="preserve"> 4.</w:t>
            </w:r>
          </w:p>
          <w:p w:rsidRPr="00D73795" w:rsidR="00D73795" w:rsidP="00220150" w:rsidRDefault="00D73795" w14:paraId="1FA60663" w14:textId="77777777">
            <w:pPr>
              <w:spacing w:before="120"/>
              <w:jc w:val="center"/>
              <w:rPr>
                <w:color w:val="000000"/>
              </w:rPr>
            </w:pPr>
          </w:p>
          <w:p w:rsidRPr="00D73795" w:rsidR="00D73795" w:rsidP="00220150" w:rsidRDefault="00D73795" w14:paraId="3F4FDA35" w14:textId="77777777">
            <w:pPr>
              <w:spacing w:before="120"/>
              <w:jc w:val="center"/>
              <w:rPr>
                <w:color w:val="000000"/>
              </w:rPr>
            </w:pPr>
          </w:p>
          <w:p w:rsidRPr="00D73795" w:rsidR="00D73795" w:rsidP="00220150" w:rsidRDefault="00D73795" w14:paraId="7572FFB6" w14:textId="77777777">
            <w:pPr>
              <w:spacing w:before="120"/>
              <w:jc w:val="center"/>
              <w:rPr>
                <w:color w:val="000000"/>
              </w:rPr>
            </w:pPr>
          </w:p>
          <w:p w:rsidRPr="00D73795" w:rsidR="00D73795" w:rsidP="00220150" w:rsidRDefault="00D73795" w14:paraId="57C8EEDD" w14:textId="77777777">
            <w:pPr>
              <w:spacing w:before="120"/>
              <w:jc w:val="center"/>
              <w:rPr>
                <w:color w:val="000000"/>
              </w:rPr>
            </w:pPr>
          </w:p>
          <w:p w:rsidRPr="00D73795" w:rsidR="00D73795" w:rsidP="00220150" w:rsidRDefault="00D73795" w14:paraId="528076F7" w14:textId="77777777">
            <w:pPr>
              <w:spacing w:before="120"/>
              <w:jc w:val="center"/>
              <w:rPr>
                <w:color w:val="000000"/>
              </w:rPr>
            </w:pPr>
          </w:p>
          <w:p w:rsidRPr="00D73795" w:rsidR="00D73795" w:rsidP="00220150" w:rsidRDefault="00D73795" w14:paraId="2560C40A" w14:textId="77777777">
            <w:pPr>
              <w:spacing w:before="120"/>
              <w:jc w:val="center"/>
              <w:rPr>
                <w:color w:val="000000"/>
              </w:rPr>
            </w:pPr>
          </w:p>
          <w:p w:rsidRPr="00D73795" w:rsidR="00D73795" w:rsidP="00220150" w:rsidRDefault="00D73795" w14:paraId="0C4D731A" w14:textId="77777777">
            <w:pPr>
              <w:spacing w:before="120"/>
              <w:jc w:val="center"/>
              <w:rPr>
                <w:color w:val="000000"/>
              </w:rPr>
            </w:pPr>
          </w:p>
          <w:p w:rsidRPr="00D73795" w:rsidR="00D73795" w:rsidP="00220150" w:rsidRDefault="00D73795" w14:paraId="12455A28" w14:textId="77777777">
            <w:pPr>
              <w:spacing w:before="120"/>
              <w:jc w:val="center"/>
              <w:rPr>
                <w:color w:val="000000"/>
              </w:rPr>
            </w:pPr>
          </w:p>
          <w:p w:rsidRPr="00D73795" w:rsidR="00D73795" w:rsidP="00220150" w:rsidRDefault="00D73795" w14:paraId="09A05C5E" w14:textId="77777777">
            <w:pPr>
              <w:spacing w:before="120"/>
              <w:jc w:val="center"/>
              <w:rPr>
                <w:color w:val="000000"/>
              </w:rPr>
            </w:pPr>
          </w:p>
          <w:p w:rsidRPr="00D73795" w:rsidR="00D73795" w:rsidP="00220150" w:rsidRDefault="00D73795" w14:paraId="68043F96" w14:textId="77777777">
            <w:pPr>
              <w:spacing w:before="120"/>
              <w:jc w:val="center"/>
              <w:rPr>
                <w:color w:val="000000"/>
              </w:rPr>
            </w:pPr>
          </w:p>
          <w:p w:rsidRPr="00D73795" w:rsidR="00D73795" w:rsidP="00220150" w:rsidRDefault="00D73795" w14:paraId="06085B9A" w14:textId="77777777">
            <w:pPr>
              <w:spacing w:before="120"/>
              <w:jc w:val="center"/>
              <w:rPr>
                <w:color w:val="000000"/>
              </w:rPr>
            </w:pPr>
          </w:p>
          <w:p w:rsidRPr="00D73795" w:rsidR="00D73795" w:rsidP="00220150" w:rsidRDefault="00D73795" w14:paraId="09AECAF6" w14:textId="3ACE2591">
            <w:pPr>
              <w:spacing w:before="120"/>
              <w:jc w:val="center"/>
              <w:rPr>
                <w:color w:val="000000"/>
              </w:rPr>
            </w:pPr>
            <w:r w:rsidRPr="00D73795">
              <w:rPr>
                <w:color w:val="000000"/>
              </w:rPr>
              <w:t>D.21-04-030, Finding of Fact 6 (</w:t>
            </w:r>
            <w:r w:rsidRPr="00D73795">
              <w:rPr>
                <w:i/>
                <w:iCs/>
                <w:color w:val="000000"/>
              </w:rPr>
              <w:t>see also</w:t>
            </w:r>
            <w:r w:rsidRPr="00D73795">
              <w:rPr>
                <w:color w:val="000000"/>
              </w:rPr>
              <w:t xml:space="preserve"> </w:t>
            </w:r>
            <w:r w:rsidR="00220150">
              <w:rPr>
                <w:color w:val="000000"/>
              </w:rPr>
              <w:t xml:space="preserve">at </w:t>
            </w:r>
            <w:r w:rsidRPr="00D73795">
              <w:rPr>
                <w:color w:val="000000"/>
              </w:rPr>
              <w:t>20-21).</w:t>
            </w:r>
          </w:p>
        </w:tc>
        <w:tc>
          <w:tcPr>
            <w:tcW w:w="2340" w:type="dxa"/>
            <w:shd w:val="clear" w:color="auto" w:fill="auto"/>
          </w:tcPr>
          <w:p w:rsidRPr="00D73795" w:rsidR="00D73795" w:rsidP="00220150" w:rsidRDefault="00D73795" w14:paraId="11ACF2B2" w14:textId="77777777">
            <w:pPr>
              <w:spacing w:before="120"/>
              <w:jc w:val="center"/>
              <w:rPr>
                <w:color w:val="000000"/>
              </w:rPr>
            </w:pPr>
            <w:r w:rsidRPr="00D73795">
              <w:rPr>
                <w:color w:val="000000"/>
              </w:rPr>
              <w:lastRenderedPageBreak/>
              <w:t>Verified</w:t>
            </w:r>
          </w:p>
        </w:tc>
      </w:tr>
    </w:tbl>
    <w:p w:rsidRPr="00D73795" w:rsidR="00D73795" w:rsidP="00D73795" w:rsidRDefault="00D73795" w14:paraId="7083DCAF" w14:textId="77777777">
      <w:pPr>
        <w:rPr>
          <w:color w:val="000000"/>
        </w:rPr>
      </w:pPr>
    </w:p>
    <w:p w:rsidRPr="00D73795" w:rsidR="00D73795" w:rsidP="00D73795" w:rsidRDefault="00D73795" w14:paraId="0DB6196B" w14:textId="77777777">
      <w:pPr>
        <w:keepNext/>
        <w:keepLines/>
        <w:numPr>
          <w:ilvl w:val="0"/>
          <w:numId w:val="1"/>
        </w:numPr>
        <w:tabs>
          <w:tab w:val="clear" w:pos="900"/>
          <w:tab w:val="num" w:pos="360"/>
        </w:tabs>
        <w:spacing w:after="240"/>
        <w:ind w:left="360"/>
        <w:rPr>
          <w:b/>
          <w:color w:val="000000"/>
        </w:rPr>
      </w:pPr>
      <w:r w:rsidRPr="00D73795">
        <w:rPr>
          <w:b/>
          <w:color w:val="000000"/>
        </w:rPr>
        <w:lastRenderedPageBreak/>
        <w:t>Duplication of Effort (§ 1801.3(f) and § 1802.5):</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48"/>
        <w:gridCol w:w="1710"/>
        <w:gridCol w:w="1980"/>
      </w:tblGrid>
      <w:tr w:rsidRPr="00D73795" w:rsidR="00D73795" w:rsidTr="00355A28" w14:paraId="208A07B0" w14:textId="77777777">
        <w:tc>
          <w:tcPr>
            <w:tcW w:w="6048" w:type="dxa"/>
            <w:shd w:val="clear" w:color="auto" w:fill="D9D9D9" w:themeFill="background1" w:themeFillShade="D9"/>
          </w:tcPr>
          <w:p w:rsidRPr="00D73795" w:rsidR="00D73795" w:rsidP="00D73795" w:rsidRDefault="00D73795" w14:paraId="1DF9CA75" w14:textId="77777777">
            <w:pPr>
              <w:keepNext/>
              <w:keepLines/>
              <w:spacing w:before="120"/>
              <w:rPr>
                <w:color w:val="000000"/>
              </w:rPr>
            </w:pPr>
            <w:r w:rsidRPr="00D73795">
              <w:rPr>
                <w:color w:val="000000"/>
              </w:rPr>
              <w:t xml:space="preserve"> </w:t>
            </w:r>
          </w:p>
        </w:tc>
        <w:tc>
          <w:tcPr>
            <w:tcW w:w="1710" w:type="dxa"/>
            <w:tcBorders>
              <w:bottom w:val="single" w:color="auto" w:sz="4" w:space="0"/>
            </w:tcBorders>
            <w:shd w:val="clear" w:color="auto" w:fill="D9D9D9" w:themeFill="background1" w:themeFillShade="D9"/>
          </w:tcPr>
          <w:p w:rsidRPr="00D73795" w:rsidR="00D73795" w:rsidP="00D73795" w:rsidRDefault="00D73795" w14:paraId="12D8A0E8" w14:textId="77777777">
            <w:pPr>
              <w:keepNext/>
              <w:keepLines/>
              <w:spacing w:before="120"/>
              <w:jc w:val="center"/>
              <w:rPr>
                <w:b/>
                <w:color w:val="000000"/>
              </w:rPr>
            </w:pPr>
            <w:r w:rsidRPr="00D73795">
              <w:rPr>
                <w:b/>
                <w:color w:val="000000"/>
              </w:rPr>
              <w:t>Intervenor’s Assertion</w:t>
            </w:r>
          </w:p>
        </w:tc>
        <w:tc>
          <w:tcPr>
            <w:tcW w:w="1980" w:type="dxa"/>
            <w:shd w:val="clear" w:color="auto" w:fill="D9D9D9" w:themeFill="background1" w:themeFillShade="D9"/>
          </w:tcPr>
          <w:p w:rsidRPr="00D73795" w:rsidR="00D73795" w:rsidP="00D73795" w:rsidRDefault="00D73795" w14:paraId="1BA192D0" w14:textId="77777777">
            <w:pPr>
              <w:keepNext/>
              <w:keepLines/>
              <w:spacing w:before="120"/>
              <w:jc w:val="center"/>
              <w:rPr>
                <w:b/>
                <w:color w:val="000000"/>
              </w:rPr>
            </w:pPr>
            <w:r w:rsidRPr="00D73795">
              <w:rPr>
                <w:b/>
                <w:color w:val="000000"/>
              </w:rPr>
              <w:t>CPUC Discussion</w:t>
            </w:r>
          </w:p>
        </w:tc>
      </w:tr>
      <w:tr w:rsidRPr="00D73795" w:rsidR="00D73795" w:rsidTr="00355A28" w14:paraId="5AE6ABDB" w14:textId="77777777">
        <w:tc>
          <w:tcPr>
            <w:tcW w:w="6048" w:type="dxa"/>
            <w:shd w:val="clear" w:color="auto" w:fill="auto"/>
          </w:tcPr>
          <w:p w:rsidRPr="00D73795" w:rsidR="00D73795" w:rsidP="00D73795" w:rsidRDefault="00D73795" w14:paraId="6A55A168" w14:textId="77777777">
            <w:pPr>
              <w:keepNext/>
              <w:keepLines/>
              <w:spacing w:before="120"/>
              <w:ind w:left="360" w:hanging="360"/>
              <w:rPr>
                <w:b/>
                <w:color w:val="000000"/>
              </w:rPr>
            </w:pPr>
            <w:r w:rsidRPr="00D73795">
              <w:rPr>
                <w:b/>
                <w:color w:val="000000"/>
              </w:rPr>
              <w:t>a.</w:t>
            </w:r>
            <w:r w:rsidRPr="00D73795">
              <w:rPr>
                <w:b/>
                <w:color w:val="000000"/>
              </w:rPr>
              <w:tab/>
            </w:r>
            <w:r w:rsidRPr="00D73795">
              <w:rPr>
                <w:b/>
              </w:rPr>
              <w:t>Was the Office of Ratepayer Advocates (ORA) a party to the proceeding</w:t>
            </w:r>
            <w:r w:rsidRPr="00D73795">
              <w:rPr>
                <w:b/>
                <w:color w:val="000000"/>
              </w:rPr>
              <w:t>?</w:t>
            </w:r>
          </w:p>
        </w:tc>
        <w:tc>
          <w:tcPr>
            <w:tcW w:w="1710" w:type="dxa"/>
            <w:shd w:val="clear" w:color="auto" w:fill="auto"/>
          </w:tcPr>
          <w:p w:rsidRPr="00D73795" w:rsidR="00D73795" w:rsidP="00220150" w:rsidRDefault="00D73795" w14:paraId="721E1501" w14:textId="77777777">
            <w:pPr>
              <w:keepNext/>
              <w:keepLines/>
              <w:spacing w:before="120"/>
              <w:jc w:val="center"/>
              <w:rPr>
                <w:color w:val="000000"/>
              </w:rPr>
            </w:pPr>
            <w:r w:rsidRPr="00D73795">
              <w:rPr>
                <w:color w:val="000000"/>
              </w:rPr>
              <w:t>Yes</w:t>
            </w:r>
          </w:p>
        </w:tc>
        <w:tc>
          <w:tcPr>
            <w:tcW w:w="1980" w:type="dxa"/>
            <w:shd w:val="clear" w:color="auto" w:fill="auto"/>
          </w:tcPr>
          <w:p w:rsidRPr="00D73795" w:rsidR="00D73795" w:rsidP="00220150" w:rsidRDefault="00D73795" w14:paraId="0718BBBB" w14:textId="77777777">
            <w:pPr>
              <w:keepNext/>
              <w:keepLines/>
              <w:spacing w:before="120"/>
              <w:jc w:val="center"/>
              <w:rPr>
                <w:color w:val="000000"/>
              </w:rPr>
            </w:pPr>
            <w:r w:rsidRPr="00D73795">
              <w:rPr>
                <w:color w:val="000000"/>
              </w:rPr>
              <w:t>Verified</w:t>
            </w:r>
          </w:p>
        </w:tc>
      </w:tr>
      <w:tr w:rsidRPr="00D73795" w:rsidR="00D73795" w:rsidTr="00355A28" w14:paraId="6EECBE65" w14:textId="77777777">
        <w:tc>
          <w:tcPr>
            <w:tcW w:w="6048" w:type="dxa"/>
            <w:shd w:val="clear" w:color="auto" w:fill="auto"/>
          </w:tcPr>
          <w:p w:rsidRPr="00D73795" w:rsidR="00D73795" w:rsidP="00D73795" w:rsidRDefault="00D73795" w14:paraId="5E5BCFDE" w14:textId="77777777">
            <w:pPr>
              <w:tabs>
                <w:tab w:val="left" w:pos="360"/>
              </w:tabs>
              <w:spacing w:before="120"/>
              <w:ind w:left="360" w:hanging="360"/>
              <w:rPr>
                <w:b/>
                <w:color w:val="000000"/>
                <w:highlight w:val="yellow"/>
              </w:rPr>
            </w:pPr>
            <w:r w:rsidRPr="00D73795">
              <w:rPr>
                <w:b/>
                <w:color w:val="000000"/>
              </w:rPr>
              <w:t>b.</w:t>
            </w:r>
            <w:r w:rsidRPr="00D73795">
              <w:rPr>
                <w:b/>
                <w:color w:val="000000"/>
              </w:rPr>
              <w:tab/>
              <w:t xml:space="preserve">Were there other parties to the proceeding with positions similar to yours? </w:t>
            </w:r>
          </w:p>
        </w:tc>
        <w:tc>
          <w:tcPr>
            <w:tcW w:w="1710" w:type="dxa"/>
            <w:shd w:val="clear" w:color="auto" w:fill="auto"/>
          </w:tcPr>
          <w:p w:rsidRPr="00D73795" w:rsidR="00D73795" w:rsidP="00220150" w:rsidRDefault="00D73795" w14:paraId="0342534A" w14:textId="77777777">
            <w:pPr>
              <w:spacing w:before="120"/>
              <w:jc w:val="center"/>
              <w:rPr>
                <w:color w:val="000000"/>
                <w:highlight w:val="yellow"/>
              </w:rPr>
            </w:pPr>
            <w:r w:rsidRPr="00D73795">
              <w:rPr>
                <w:color w:val="000000"/>
              </w:rPr>
              <w:t>Yes</w:t>
            </w:r>
          </w:p>
        </w:tc>
        <w:tc>
          <w:tcPr>
            <w:tcW w:w="1980" w:type="dxa"/>
            <w:shd w:val="clear" w:color="auto" w:fill="auto"/>
          </w:tcPr>
          <w:p w:rsidRPr="00D73795" w:rsidR="00D73795" w:rsidP="00220150" w:rsidRDefault="00D73795" w14:paraId="2281F6FB" w14:textId="77777777">
            <w:pPr>
              <w:spacing w:before="120"/>
              <w:jc w:val="center"/>
              <w:rPr>
                <w:color w:val="000000"/>
              </w:rPr>
            </w:pPr>
            <w:r w:rsidRPr="00D73795">
              <w:rPr>
                <w:color w:val="000000"/>
              </w:rPr>
              <w:t>Verified</w:t>
            </w:r>
          </w:p>
        </w:tc>
      </w:tr>
      <w:tr w:rsidRPr="00D73795" w:rsidR="00D73795" w:rsidTr="00355A28" w14:paraId="3D9953C9" w14:textId="77777777">
        <w:tc>
          <w:tcPr>
            <w:tcW w:w="7758" w:type="dxa"/>
            <w:gridSpan w:val="2"/>
            <w:shd w:val="clear" w:color="auto" w:fill="auto"/>
          </w:tcPr>
          <w:p w:rsidRPr="00D73795" w:rsidR="00D73795" w:rsidP="00220150" w:rsidRDefault="00D73795" w14:paraId="0B5116EA" w14:textId="77777777">
            <w:pPr>
              <w:ind w:left="360" w:hanging="360"/>
              <w:rPr>
                <w:color w:val="000000"/>
                <w:highlight w:val="yellow"/>
              </w:rPr>
            </w:pPr>
            <w:r w:rsidRPr="00D73795">
              <w:rPr>
                <w:b/>
                <w:color w:val="000000"/>
              </w:rPr>
              <w:t>c.</w:t>
            </w:r>
            <w:r w:rsidRPr="00D73795">
              <w:rPr>
                <w:b/>
                <w:color w:val="000000"/>
              </w:rPr>
              <w:tab/>
              <w:t>If so, provide name of other parties:</w:t>
            </w:r>
            <w:r w:rsidRPr="00D73795">
              <w:rPr>
                <w:color w:val="000000"/>
              </w:rPr>
              <w:t xml:space="preserve">  Alliance for Nuclear Responsibility (A4NR), California Large Energy Consumers Association, City and County of San Francisco, Energy Producers and Users Coalition, The Utility Reform Network, and Wild Tree Foundation took positions similar to or generally in line with AECA’s regarding ratepayer neutrality and accelerated credit rating issues, and the need for conditions or modifications to PG&amp;E’s proposal. </w:t>
            </w:r>
          </w:p>
        </w:tc>
        <w:tc>
          <w:tcPr>
            <w:tcW w:w="1980" w:type="dxa"/>
            <w:shd w:val="clear" w:color="auto" w:fill="auto"/>
          </w:tcPr>
          <w:p w:rsidRPr="00D73795" w:rsidR="00D73795" w:rsidP="00220150" w:rsidRDefault="00D73795" w14:paraId="40E8C9FA" w14:textId="77777777">
            <w:pPr>
              <w:spacing w:before="120"/>
              <w:jc w:val="center"/>
              <w:rPr>
                <w:color w:val="000000"/>
              </w:rPr>
            </w:pPr>
            <w:r w:rsidRPr="00D73795">
              <w:rPr>
                <w:color w:val="000000"/>
              </w:rPr>
              <w:t>Verified</w:t>
            </w:r>
          </w:p>
        </w:tc>
      </w:tr>
      <w:tr w:rsidRPr="00D73795" w:rsidR="00D73795" w:rsidTr="00355A28" w14:paraId="0F19D5CE" w14:textId="77777777">
        <w:tc>
          <w:tcPr>
            <w:tcW w:w="7758" w:type="dxa"/>
            <w:gridSpan w:val="2"/>
            <w:shd w:val="clear" w:color="auto" w:fill="auto"/>
          </w:tcPr>
          <w:p w:rsidRPr="00D73795" w:rsidR="00D73795" w:rsidP="00220150" w:rsidRDefault="00D73795" w14:paraId="3E30294D" w14:textId="7F146989">
            <w:pPr>
              <w:tabs>
                <w:tab w:val="left" w:pos="360"/>
              </w:tabs>
              <w:spacing w:after="240"/>
              <w:ind w:left="360" w:hanging="360"/>
              <w:rPr>
                <w:color w:val="000000"/>
              </w:rPr>
            </w:pPr>
            <w:r w:rsidRPr="00D73795">
              <w:rPr>
                <w:b/>
                <w:color w:val="000000"/>
              </w:rPr>
              <w:t>d.</w:t>
            </w:r>
            <w:r w:rsidRPr="00D73795">
              <w:rPr>
                <w:b/>
                <w:color w:val="000000"/>
              </w:rPr>
              <w:tab/>
              <w:t>Intervenor’s claim of non-duplication:</w:t>
            </w:r>
            <w:r w:rsidRPr="00D73795">
              <w:rPr>
                <w:color w:val="000000"/>
              </w:rPr>
              <w:t xml:space="preserve"> </w:t>
            </w:r>
            <w:r w:rsidR="00220150">
              <w:rPr>
                <w:color w:val="000000"/>
              </w:rPr>
              <w:t xml:space="preserve"> </w:t>
            </w:r>
            <w:r w:rsidRPr="00D73795">
              <w:rPr>
                <w:bCs/>
                <w:color w:val="000000"/>
              </w:rPr>
              <w:t xml:space="preserve">AECA is the only party in the proceeding representing the interests of agricultural customers. </w:t>
            </w:r>
            <w:r w:rsidRPr="00D73795">
              <w:rPr>
                <w:color w:val="000000"/>
              </w:rPr>
              <w:t xml:space="preserve">AECA carefully focused its efforts on the issues crucial to agricultural ratepayers and coordinated with other parties as appropriate to avoid duplication of effort by AECA. </w:t>
            </w:r>
          </w:p>
          <w:p w:rsidRPr="00D73795" w:rsidR="00D73795" w:rsidP="00220150" w:rsidRDefault="00D73795" w14:paraId="58AD3C4C" w14:textId="77777777">
            <w:pPr>
              <w:tabs>
                <w:tab w:val="left" w:pos="229"/>
              </w:tabs>
              <w:spacing w:after="240"/>
              <w:ind w:left="360"/>
              <w:rPr>
                <w:bCs/>
                <w:color w:val="000000"/>
              </w:rPr>
            </w:pPr>
            <w:r w:rsidRPr="00D73795">
              <w:rPr>
                <w:bCs/>
                <w:color w:val="000000"/>
              </w:rPr>
              <w:t xml:space="preserve">In order to directly present the perspective of agricultural customers, AECA’s witness was its Executive Director, Michael Boccadoro. Based on his decades of work in the agricultural industry, Mr. Boccadoro was able to analyze the potential effects of PG&amp;E’s application from the practical perspective of an agricultural customer. Additionally, this approach allowed AECA to avoid the cost and duplication of using a technical expert as its witness.  </w:t>
            </w:r>
          </w:p>
          <w:p w:rsidRPr="00D73795" w:rsidR="00D73795" w:rsidP="00220150" w:rsidRDefault="00D73795" w14:paraId="08EF1AD6" w14:textId="77777777">
            <w:pPr>
              <w:tabs>
                <w:tab w:val="left" w:pos="720"/>
              </w:tabs>
              <w:ind w:left="360"/>
              <w:rPr>
                <w:b/>
                <w:color w:val="000000"/>
              </w:rPr>
            </w:pPr>
            <w:r w:rsidRPr="00D73795">
              <w:rPr>
                <w:color w:val="000000"/>
              </w:rPr>
              <w:t xml:space="preserve">While impact to rates is important to all ratepayers, it is important to recognize the potential for harm to agricultural ratepayers due to the fact that farmers and food processors cannot pass on costs in a highly competitive market. AECA’s efforts to present a direct customer perspective and avoid duplication with other parties, and its dedicated pursuit of important issues to the agricultural community should be recognized by the Commission. </w:t>
            </w:r>
            <w:r w:rsidRPr="00D73795">
              <w:rPr>
                <w:b/>
                <w:color w:val="000000"/>
              </w:rPr>
              <w:t xml:space="preserve">     </w:t>
            </w:r>
          </w:p>
        </w:tc>
        <w:tc>
          <w:tcPr>
            <w:tcW w:w="1980" w:type="dxa"/>
            <w:shd w:val="clear" w:color="auto" w:fill="auto"/>
          </w:tcPr>
          <w:p w:rsidRPr="00D73795" w:rsidR="00D73795" w:rsidP="00220150" w:rsidRDefault="00D73795" w14:paraId="57E53472" w14:textId="77777777">
            <w:pPr>
              <w:tabs>
                <w:tab w:val="left" w:pos="360"/>
              </w:tabs>
              <w:spacing w:before="120"/>
              <w:ind w:left="360" w:hanging="360"/>
              <w:jc w:val="center"/>
              <w:rPr>
                <w:color w:val="000000"/>
              </w:rPr>
            </w:pPr>
            <w:r w:rsidRPr="00D73795">
              <w:rPr>
                <w:color w:val="000000"/>
              </w:rPr>
              <w:t>Noted</w:t>
            </w:r>
          </w:p>
        </w:tc>
      </w:tr>
    </w:tbl>
    <w:p w:rsidRPr="00D73795" w:rsidR="00D73795" w:rsidP="00D73795" w:rsidRDefault="00D73795" w14:paraId="49EB7831" w14:textId="77777777">
      <w:pPr>
        <w:tabs>
          <w:tab w:val="left" w:pos="1440"/>
        </w:tabs>
        <w:rPr>
          <w:color w:val="000000"/>
          <w:sz w:val="16"/>
          <w:szCs w:val="16"/>
        </w:rPr>
      </w:pPr>
    </w:p>
    <w:p w:rsidRPr="00D73795" w:rsidR="00D73795" w:rsidP="00D73795" w:rsidRDefault="00D73795" w14:paraId="696ECAD6" w14:textId="77777777">
      <w:pPr>
        <w:tabs>
          <w:tab w:val="left" w:pos="1260"/>
        </w:tabs>
        <w:ind w:left="1260" w:hanging="1260"/>
        <w:jc w:val="center"/>
        <w:rPr>
          <w:b/>
          <w:color w:val="000000"/>
        </w:rPr>
      </w:pPr>
      <w:r w:rsidRPr="00D73795">
        <w:rPr>
          <w:b/>
          <w:color w:val="000000"/>
        </w:rPr>
        <w:t>PART III:</w:t>
      </w:r>
      <w:r w:rsidRPr="00D73795">
        <w:rPr>
          <w:b/>
          <w:color w:val="000000"/>
        </w:rPr>
        <w:tab/>
        <w:t>REASONABLENESS OF REQUESTED COMPENSATION</w:t>
      </w:r>
    </w:p>
    <w:p w:rsidRPr="00D73795" w:rsidR="00D73795" w:rsidP="00D73795" w:rsidRDefault="00D73795" w14:paraId="727190E3" w14:textId="77777777">
      <w:pPr>
        <w:rPr>
          <w:color w:val="000000"/>
          <w:sz w:val="16"/>
          <w:szCs w:val="16"/>
        </w:rPr>
      </w:pPr>
    </w:p>
    <w:p w:rsidRPr="00D73795" w:rsidR="00D73795" w:rsidP="00D73795" w:rsidRDefault="00D73795" w14:paraId="09D04F0D" w14:textId="77777777">
      <w:pPr>
        <w:numPr>
          <w:ilvl w:val="0"/>
          <w:numId w:val="2"/>
        </w:numPr>
        <w:tabs>
          <w:tab w:val="clear" w:pos="900"/>
          <w:tab w:val="num" w:pos="360"/>
        </w:tabs>
        <w:spacing w:after="240"/>
        <w:ind w:left="360"/>
        <w:rPr>
          <w:b/>
          <w:color w:val="000000"/>
        </w:rPr>
      </w:pPr>
      <w:r w:rsidRPr="00D73795">
        <w:rPr>
          <w:b/>
          <w:color w:val="000000"/>
        </w:rPr>
        <w:t>General Claim of Reasonableness (§ 1801 and § 1806):</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8"/>
        <w:gridCol w:w="2250"/>
      </w:tblGrid>
      <w:tr w:rsidRPr="00D73795" w:rsidR="00D73795" w:rsidTr="00355A28" w14:paraId="1EF9FBBC" w14:textId="77777777">
        <w:tc>
          <w:tcPr>
            <w:tcW w:w="7488" w:type="dxa"/>
            <w:tcBorders>
              <w:bottom w:val="single" w:color="auto" w:sz="4" w:space="0"/>
            </w:tcBorders>
            <w:shd w:val="clear" w:color="auto" w:fill="D9D9D9" w:themeFill="background1" w:themeFillShade="D9"/>
          </w:tcPr>
          <w:p w:rsidRPr="00D73795" w:rsidR="00D73795" w:rsidP="00D73795" w:rsidRDefault="00D73795" w14:paraId="17755F7F" w14:textId="77777777">
            <w:pPr>
              <w:rPr>
                <w:b/>
                <w:color w:val="000000"/>
              </w:rPr>
            </w:pPr>
          </w:p>
        </w:tc>
        <w:tc>
          <w:tcPr>
            <w:tcW w:w="2250" w:type="dxa"/>
            <w:shd w:val="clear" w:color="auto" w:fill="D9D9D9" w:themeFill="background1" w:themeFillShade="D9"/>
          </w:tcPr>
          <w:p w:rsidRPr="00D73795" w:rsidR="00D73795" w:rsidP="00D73795" w:rsidRDefault="00D73795" w14:paraId="0CDD4057" w14:textId="77777777">
            <w:pPr>
              <w:spacing w:before="120"/>
              <w:rPr>
                <w:color w:val="000000"/>
              </w:rPr>
            </w:pPr>
            <w:r w:rsidRPr="00D73795">
              <w:rPr>
                <w:b/>
                <w:color w:val="000000"/>
              </w:rPr>
              <w:t>CPUC Discussion</w:t>
            </w:r>
          </w:p>
        </w:tc>
      </w:tr>
      <w:tr w:rsidRPr="00D73795" w:rsidR="00D73795" w:rsidTr="00355A28" w14:paraId="2D131B13" w14:textId="77777777">
        <w:tc>
          <w:tcPr>
            <w:tcW w:w="7488" w:type="dxa"/>
            <w:tcBorders>
              <w:bottom w:val="single" w:color="auto" w:sz="4" w:space="0"/>
            </w:tcBorders>
            <w:shd w:val="clear" w:color="auto" w:fill="auto"/>
          </w:tcPr>
          <w:p w:rsidRPr="00D73795" w:rsidR="00D73795" w:rsidP="00D73795" w:rsidRDefault="00D73795" w14:paraId="773B22A0" w14:textId="77777777">
            <w:pPr>
              <w:spacing w:line="480" w:lineRule="auto"/>
              <w:rPr>
                <w:color w:val="000000"/>
              </w:rPr>
            </w:pPr>
            <w:r w:rsidRPr="00D73795">
              <w:rPr>
                <w:b/>
                <w:color w:val="000000"/>
              </w:rPr>
              <w:t>a. Intervenor’s claim of cost reasonableness:</w:t>
            </w:r>
            <w:r w:rsidRPr="00D73795">
              <w:rPr>
                <w:color w:val="000000"/>
              </w:rPr>
              <w:t xml:space="preserve"> </w:t>
            </w:r>
          </w:p>
          <w:p w:rsidRPr="00D73795" w:rsidR="00D73795" w:rsidP="008624E8" w:rsidRDefault="00D73795" w14:paraId="32AC5155" w14:textId="77777777">
            <w:pPr>
              <w:rPr>
                <w:color w:val="000000"/>
              </w:rPr>
            </w:pPr>
            <w:r w:rsidRPr="00D73795">
              <w:rPr>
                <w:color w:val="000000"/>
              </w:rPr>
              <w:lastRenderedPageBreak/>
              <w:t>AECA requests an intervenor compensation award of $20,704.80      ($32,407.50 x .64). The requested amount is well below the NOI estimate of about $47,000. The requested award is reasonable in light of the benefits, summarized above, achieved through AECA’s participation in the proceeding. AECA’s efforts helped to minimize the risk that ratepayers will be responsible for any shortfalls in the Customer Trust. Finally, AECA diligently worked to avoid duplication of effort with other parties.</w:t>
            </w:r>
          </w:p>
        </w:tc>
        <w:tc>
          <w:tcPr>
            <w:tcW w:w="2250" w:type="dxa"/>
            <w:shd w:val="clear" w:color="auto" w:fill="auto"/>
          </w:tcPr>
          <w:p w:rsidRPr="00D73795" w:rsidR="00D73795" w:rsidP="00D73795" w:rsidRDefault="00D73795" w14:paraId="17B8F170" w14:textId="77777777">
            <w:pPr>
              <w:spacing w:before="120"/>
              <w:rPr>
                <w:color w:val="000000"/>
              </w:rPr>
            </w:pPr>
            <w:r w:rsidRPr="00D73795">
              <w:rPr>
                <w:color w:val="000000"/>
              </w:rPr>
              <w:lastRenderedPageBreak/>
              <w:t>Noted</w:t>
            </w:r>
          </w:p>
        </w:tc>
      </w:tr>
      <w:tr w:rsidRPr="00D73795" w:rsidR="00D73795" w:rsidTr="00355A28" w14:paraId="6FF7C12D" w14:textId="77777777">
        <w:tc>
          <w:tcPr>
            <w:tcW w:w="7488" w:type="dxa"/>
            <w:shd w:val="clear" w:color="auto" w:fill="auto"/>
          </w:tcPr>
          <w:p w:rsidRPr="00D73795" w:rsidR="00D73795" w:rsidP="008624E8" w:rsidRDefault="00D73795" w14:paraId="639D9CB8" w14:textId="58E3BCFB">
            <w:pPr>
              <w:keepNext/>
              <w:keepLines/>
              <w:rPr>
                <w:color w:val="000000"/>
              </w:rPr>
            </w:pPr>
            <w:r w:rsidRPr="00D73795">
              <w:rPr>
                <w:b/>
                <w:color w:val="000000"/>
              </w:rPr>
              <w:t>b. Reasonableness of hours claimed:</w:t>
            </w:r>
            <w:r w:rsidRPr="00D73795">
              <w:rPr>
                <w:color w:val="000000"/>
              </w:rPr>
              <w:t xml:space="preserve"> </w:t>
            </w:r>
            <w:r w:rsidR="008624E8">
              <w:rPr>
                <w:color w:val="000000"/>
              </w:rPr>
              <w:t xml:space="preserve"> </w:t>
            </w:r>
            <w:r w:rsidRPr="00D73795">
              <w:rPr>
                <w:color w:val="000000"/>
              </w:rPr>
              <w:t xml:space="preserve">AECA’s request is reasonable in light of the scope and magnitude of the proceeding. AECA is not seeking travel or other costs of participation. AECA submits that documented hours claimed are reasonable, both for each attorney and expert individually, and in the aggregate, and AECA respectfully asks that this request be granted.   </w:t>
            </w:r>
          </w:p>
        </w:tc>
        <w:tc>
          <w:tcPr>
            <w:tcW w:w="2250" w:type="dxa"/>
            <w:shd w:val="clear" w:color="auto" w:fill="auto"/>
          </w:tcPr>
          <w:p w:rsidRPr="00D73795" w:rsidR="00D73795" w:rsidP="008624E8" w:rsidRDefault="00D73795" w14:paraId="309219E2" w14:textId="77777777">
            <w:pPr>
              <w:keepNext/>
              <w:keepLines/>
              <w:spacing w:before="120"/>
              <w:jc w:val="center"/>
              <w:rPr>
                <w:color w:val="000000"/>
              </w:rPr>
            </w:pPr>
            <w:r w:rsidRPr="00D73795">
              <w:rPr>
                <w:color w:val="000000"/>
              </w:rPr>
              <w:t>Noted</w:t>
            </w:r>
          </w:p>
        </w:tc>
      </w:tr>
      <w:tr w:rsidRPr="00D73795" w:rsidR="00D73795" w:rsidTr="00355A28" w14:paraId="659356C6" w14:textId="77777777">
        <w:tc>
          <w:tcPr>
            <w:tcW w:w="7488" w:type="dxa"/>
            <w:shd w:val="clear" w:color="auto" w:fill="auto"/>
          </w:tcPr>
          <w:p w:rsidRPr="00D73795" w:rsidR="00D73795" w:rsidP="00D73795" w:rsidRDefault="00D73795" w14:paraId="0EBABF88" w14:textId="77777777">
            <w:pPr>
              <w:keepNext/>
              <w:keepLines/>
              <w:rPr>
                <w:color w:val="000000"/>
              </w:rPr>
            </w:pPr>
            <w:r w:rsidRPr="00D73795">
              <w:rPr>
                <w:b/>
                <w:color w:val="000000"/>
              </w:rPr>
              <w:t>c. Allocation of hours by issue:</w:t>
            </w:r>
            <w:r w:rsidRPr="00D73795">
              <w:rPr>
                <w:color w:val="000000"/>
              </w:rPr>
              <w:t xml:space="preserve"> Hours are allocated by issue as follows (</w:t>
            </w:r>
            <w:r w:rsidRPr="00D73795">
              <w:rPr>
                <w:i/>
                <w:iCs/>
                <w:color w:val="000000"/>
              </w:rPr>
              <w:t>see</w:t>
            </w:r>
            <w:r w:rsidRPr="00D73795">
              <w:rPr>
                <w:color w:val="000000"/>
              </w:rPr>
              <w:t xml:space="preserve"> Excel spreadsheet for further detail):</w:t>
            </w:r>
          </w:p>
          <w:p w:rsidRPr="00D73795" w:rsidR="00D73795" w:rsidP="00D73795" w:rsidRDefault="00D73795" w14:paraId="2D527257" w14:textId="77777777">
            <w:pPr>
              <w:keepNext/>
              <w:keepLines/>
              <w:rPr>
                <w:color w:val="000000"/>
              </w:rPr>
            </w:pPr>
          </w:p>
          <w:p w:rsidRPr="00D73795" w:rsidR="00D73795" w:rsidP="00D73795" w:rsidRDefault="00D73795" w14:paraId="4EF93458" w14:textId="77777777">
            <w:pPr>
              <w:keepNext/>
              <w:keepLines/>
              <w:rPr>
                <w:color w:val="000000"/>
              </w:rPr>
            </w:pPr>
            <w:r w:rsidRPr="00D73795">
              <w:rPr>
                <w:color w:val="000000"/>
              </w:rPr>
              <w:t>Proper Application of Stress Test: 14.4 hours/15.27%</w:t>
            </w:r>
          </w:p>
          <w:p w:rsidRPr="00D73795" w:rsidR="00D73795" w:rsidP="00D73795" w:rsidRDefault="00D73795" w14:paraId="4959EB69" w14:textId="77777777">
            <w:pPr>
              <w:keepNext/>
              <w:keepLines/>
              <w:rPr>
                <w:color w:val="000000"/>
              </w:rPr>
            </w:pPr>
            <w:r w:rsidRPr="00D73795">
              <w:rPr>
                <w:color w:val="000000"/>
              </w:rPr>
              <w:t>Credit Rating:                                 15.2 hours/16.17%</w:t>
            </w:r>
          </w:p>
          <w:p w:rsidRPr="00D73795" w:rsidR="00D73795" w:rsidP="00D73795" w:rsidRDefault="00D73795" w14:paraId="19A8F403" w14:textId="77777777">
            <w:pPr>
              <w:keepNext/>
              <w:keepLines/>
              <w:rPr>
                <w:color w:val="000000"/>
              </w:rPr>
            </w:pPr>
            <w:r w:rsidRPr="00D73795">
              <w:rPr>
                <w:color w:val="000000"/>
              </w:rPr>
              <w:t>Ratepayer Neutrality:                     40.1 hours/42.52%</w:t>
            </w:r>
          </w:p>
          <w:p w:rsidRPr="00D73795" w:rsidR="00D73795" w:rsidP="00D73795" w:rsidRDefault="00D73795" w14:paraId="01A5DAE7" w14:textId="77777777">
            <w:pPr>
              <w:keepNext/>
              <w:keepLines/>
              <w:rPr>
                <w:color w:val="000000"/>
              </w:rPr>
            </w:pPr>
            <w:r w:rsidRPr="00D73795">
              <w:rPr>
                <w:color w:val="000000"/>
              </w:rPr>
              <w:t xml:space="preserve">Conditions/Alternatives to </w:t>
            </w:r>
          </w:p>
          <w:p w:rsidRPr="00D73795" w:rsidR="00D73795" w:rsidP="00D73795" w:rsidRDefault="00D73795" w14:paraId="52CB9227" w14:textId="77777777">
            <w:pPr>
              <w:keepNext/>
              <w:keepLines/>
              <w:rPr>
                <w:color w:val="000000"/>
              </w:rPr>
            </w:pPr>
            <w:r w:rsidRPr="00D73795">
              <w:rPr>
                <w:color w:val="000000"/>
              </w:rPr>
              <w:t>PG&amp;E Proposal:                             15 hours/15.91%</w:t>
            </w:r>
          </w:p>
          <w:p w:rsidRPr="00D73795" w:rsidR="00D73795" w:rsidP="00D73795" w:rsidRDefault="00D73795" w14:paraId="66B2D1E3" w14:textId="77777777">
            <w:pPr>
              <w:keepNext/>
              <w:keepLines/>
              <w:rPr>
                <w:color w:val="000000"/>
              </w:rPr>
            </w:pPr>
            <w:r w:rsidRPr="00D73795">
              <w:rPr>
                <w:color w:val="000000"/>
              </w:rPr>
              <w:t>General Policy:                               9.5 hours/10.13%</w:t>
            </w:r>
          </w:p>
          <w:p w:rsidRPr="00D73795" w:rsidR="00D73795" w:rsidP="00D73795" w:rsidRDefault="00D73795" w14:paraId="752AD019" w14:textId="77777777">
            <w:pPr>
              <w:rPr>
                <w:color w:val="000000"/>
              </w:rPr>
            </w:pPr>
          </w:p>
          <w:p w:rsidRPr="00D73795" w:rsidR="00D73795" w:rsidP="00D73795" w:rsidRDefault="00D73795" w14:paraId="067E38BC" w14:textId="77777777">
            <w:pPr>
              <w:rPr>
                <w:color w:val="000000"/>
              </w:rPr>
            </w:pPr>
            <w:r w:rsidRPr="00D73795">
              <w:rPr>
                <w:color w:val="000000"/>
              </w:rPr>
              <w:t xml:space="preserve">Total:                                              94.3 hours/100% </w:t>
            </w:r>
          </w:p>
          <w:p w:rsidRPr="00D73795" w:rsidR="00D73795" w:rsidP="00D73795" w:rsidRDefault="00D73795" w14:paraId="33533C45" w14:textId="77777777">
            <w:pPr>
              <w:rPr>
                <w:color w:val="000000"/>
              </w:rPr>
            </w:pPr>
          </w:p>
        </w:tc>
        <w:tc>
          <w:tcPr>
            <w:tcW w:w="2250" w:type="dxa"/>
            <w:shd w:val="clear" w:color="auto" w:fill="auto"/>
          </w:tcPr>
          <w:p w:rsidRPr="00D73795" w:rsidR="00D73795" w:rsidP="008624E8" w:rsidRDefault="00D73795" w14:paraId="1B3BF0D8" w14:textId="77777777">
            <w:pPr>
              <w:spacing w:before="120"/>
              <w:jc w:val="center"/>
              <w:rPr>
                <w:color w:val="000000"/>
              </w:rPr>
            </w:pPr>
            <w:r w:rsidRPr="00D73795">
              <w:rPr>
                <w:color w:val="000000"/>
              </w:rPr>
              <w:t>Verified, 100%</w:t>
            </w:r>
          </w:p>
        </w:tc>
      </w:tr>
    </w:tbl>
    <w:p w:rsidRPr="00D73795" w:rsidR="00D73795" w:rsidP="00D73795" w:rsidRDefault="00D73795" w14:paraId="6074CEA2" w14:textId="77777777">
      <w:pPr>
        <w:keepNext/>
        <w:keepLines/>
        <w:rPr>
          <w:b/>
          <w:color w:val="000000"/>
        </w:rPr>
      </w:pPr>
    </w:p>
    <w:p w:rsidRPr="00D73795" w:rsidR="00D73795" w:rsidP="00D73795" w:rsidRDefault="00D73795" w14:paraId="7C27FB7C" w14:textId="77777777">
      <w:pPr>
        <w:keepNext/>
        <w:keepLines/>
        <w:numPr>
          <w:ilvl w:val="0"/>
          <w:numId w:val="2"/>
        </w:numPr>
        <w:tabs>
          <w:tab w:val="clear" w:pos="900"/>
          <w:tab w:val="num" w:pos="360"/>
        </w:tabs>
        <w:spacing w:after="240"/>
        <w:ind w:left="360"/>
        <w:rPr>
          <w:b/>
          <w:color w:val="000000"/>
        </w:rPr>
      </w:pPr>
      <w:r w:rsidRPr="00D73795">
        <w:rPr>
          <w:b/>
          <w:color w:val="000000"/>
        </w:rPr>
        <w:t>Specific Claim:*</w:t>
      </w:r>
    </w:p>
    <w:tbl>
      <w:tblPr>
        <w:tblW w:w="10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04"/>
        <w:gridCol w:w="774"/>
        <w:gridCol w:w="360"/>
        <w:gridCol w:w="473"/>
        <w:gridCol w:w="1001"/>
        <w:gridCol w:w="326"/>
        <w:gridCol w:w="1327"/>
        <w:gridCol w:w="833"/>
        <w:gridCol w:w="517"/>
        <w:gridCol w:w="1080"/>
        <w:gridCol w:w="1080"/>
        <w:gridCol w:w="1350"/>
      </w:tblGrid>
      <w:tr w:rsidRPr="00D73795" w:rsidR="00D73795" w:rsidTr="004A727B" w14:paraId="6EAC21C6" w14:textId="77777777">
        <w:trPr>
          <w:jc w:val="center"/>
        </w:trPr>
        <w:tc>
          <w:tcPr>
            <w:tcW w:w="7015" w:type="dxa"/>
            <w:gridSpan w:val="9"/>
            <w:tcBorders>
              <w:bottom w:val="single" w:color="auto" w:sz="4" w:space="0"/>
              <w:right w:val="single" w:color="auto" w:sz="24" w:space="0"/>
            </w:tcBorders>
            <w:shd w:val="clear" w:color="auto" w:fill="auto"/>
          </w:tcPr>
          <w:p w:rsidRPr="00D73795" w:rsidR="00D73795" w:rsidP="00D73795" w:rsidRDefault="00D73795" w14:paraId="24E7ADB3" w14:textId="77777777">
            <w:pPr>
              <w:keepNext/>
              <w:keepLines/>
              <w:spacing w:before="60" w:after="60"/>
              <w:jc w:val="center"/>
              <w:rPr>
                <w:b/>
                <w:smallCaps/>
                <w:color w:val="000000"/>
              </w:rPr>
            </w:pPr>
            <w:r w:rsidRPr="00D73795">
              <w:rPr>
                <w:b/>
                <w:smallCaps/>
                <w:color w:val="000000"/>
              </w:rPr>
              <w:t>Claimed</w:t>
            </w:r>
          </w:p>
        </w:tc>
        <w:tc>
          <w:tcPr>
            <w:tcW w:w="3510" w:type="dxa"/>
            <w:gridSpan w:val="3"/>
            <w:tcBorders>
              <w:left w:val="single" w:color="auto" w:sz="24" w:space="0"/>
              <w:bottom w:val="single" w:color="auto" w:sz="4" w:space="0"/>
            </w:tcBorders>
            <w:shd w:val="clear" w:color="auto" w:fill="auto"/>
          </w:tcPr>
          <w:p w:rsidRPr="00D73795" w:rsidR="00D73795" w:rsidP="00D73795" w:rsidRDefault="00D73795" w14:paraId="66FF63FF" w14:textId="77777777">
            <w:pPr>
              <w:keepNext/>
              <w:keepLines/>
              <w:spacing w:before="60" w:after="60"/>
              <w:jc w:val="center"/>
              <w:rPr>
                <w:b/>
                <w:smallCaps/>
                <w:color w:val="000000"/>
              </w:rPr>
            </w:pPr>
            <w:r w:rsidRPr="00D73795">
              <w:rPr>
                <w:b/>
                <w:smallCaps/>
                <w:color w:val="000000"/>
              </w:rPr>
              <w:t>CPUC Award</w:t>
            </w:r>
          </w:p>
        </w:tc>
      </w:tr>
      <w:tr w:rsidRPr="00D73795" w:rsidR="00D73795" w:rsidTr="004A727B" w14:paraId="64FCAD5C" w14:textId="77777777">
        <w:trPr>
          <w:jc w:val="center"/>
        </w:trPr>
        <w:tc>
          <w:tcPr>
            <w:tcW w:w="10525" w:type="dxa"/>
            <w:gridSpan w:val="12"/>
            <w:tcBorders>
              <w:top w:val="single" w:color="auto" w:sz="4" w:space="0"/>
              <w:left w:val="single" w:color="auto" w:sz="4" w:space="0"/>
              <w:bottom w:val="single" w:color="auto" w:sz="4" w:space="0"/>
              <w:right w:val="single" w:color="auto" w:sz="4" w:space="0"/>
            </w:tcBorders>
            <w:shd w:val="clear" w:color="auto" w:fill="E6E6E6"/>
          </w:tcPr>
          <w:p w:rsidRPr="00D73795" w:rsidR="00D73795" w:rsidP="00D73795" w:rsidRDefault="00D73795" w14:paraId="5C989799" w14:textId="77777777">
            <w:pPr>
              <w:keepNext/>
              <w:keepLines/>
              <w:spacing w:before="60" w:after="60"/>
              <w:jc w:val="center"/>
              <w:rPr>
                <w:b/>
              </w:rPr>
            </w:pPr>
            <w:r w:rsidRPr="00D73795">
              <w:rPr>
                <w:b/>
              </w:rPr>
              <w:t>ATTORNEY, EXPERT, AND ADVOCATE FEES</w:t>
            </w:r>
          </w:p>
        </w:tc>
      </w:tr>
      <w:tr w:rsidRPr="00D73795" w:rsidR="00D73795" w:rsidTr="004A727B" w14:paraId="4C83DCD4" w14:textId="77777777">
        <w:trPr>
          <w:jc w:val="center"/>
        </w:trPr>
        <w:tc>
          <w:tcPr>
            <w:tcW w:w="1404" w:type="dxa"/>
            <w:tcBorders>
              <w:top w:val="single" w:color="auto" w:sz="4" w:space="0"/>
              <w:bottom w:val="single" w:color="auto" w:sz="4" w:space="0"/>
            </w:tcBorders>
            <w:shd w:val="clear" w:color="auto" w:fill="auto"/>
            <w:vAlign w:val="bottom"/>
          </w:tcPr>
          <w:p w:rsidRPr="00D73795" w:rsidR="00D73795" w:rsidP="00D73795" w:rsidRDefault="00D73795" w14:paraId="4C938806" w14:textId="77777777">
            <w:pPr>
              <w:keepNext/>
              <w:keepLines/>
              <w:spacing w:before="60" w:after="60"/>
              <w:jc w:val="center"/>
              <w:rPr>
                <w:b/>
                <w:color w:val="000000"/>
                <w:sz w:val="22"/>
                <w:szCs w:val="22"/>
              </w:rPr>
            </w:pPr>
            <w:r w:rsidRPr="00D73795">
              <w:rPr>
                <w:b/>
                <w:color w:val="000000"/>
                <w:sz w:val="22"/>
                <w:szCs w:val="22"/>
              </w:rPr>
              <w:t>Item</w:t>
            </w:r>
          </w:p>
        </w:tc>
        <w:tc>
          <w:tcPr>
            <w:tcW w:w="774" w:type="dxa"/>
            <w:tcBorders>
              <w:top w:val="single" w:color="auto" w:sz="4" w:space="0"/>
              <w:bottom w:val="single" w:color="auto" w:sz="4" w:space="0"/>
            </w:tcBorders>
            <w:shd w:val="clear" w:color="auto" w:fill="auto"/>
            <w:vAlign w:val="bottom"/>
          </w:tcPr>
          <w:p w:rsidRPr="00D73795" w:rsidR="00D73795" w:rsidP="00D73795" w:rsidRDefault="00D73795" w14:paraId="52D633B5" w14:textId="77777777">
            <w:pPr>
              <w:keepNext/>
              <w:keepLines/>
              <w:spacing w:before="60" w:after="60"/>
              <w:jc w:val="center"/>
              <w:rPr>
                <w:b/>
                <w:color w:val="000000"/>
                <w:sz w:val="22"/>
                <w:szCs w:val="22"/>
              </w:rPr>
            </w:pPr>
            <w:r w:rsidRPr="00D73795">
              <w:rPr>
                <w:b/>
                <w:color w:val="000000"/>
                <w:sz w:val="22"/>
                <w:szCs w:val="22"/>
              </w:rPr>
              <w:t>Year</w:t>
            </w:r>
          </w:p>
        </w:tc>
        <w:tc>
          <w:tcPr>
            <w:tcW w:w="833" w:type="dxa"/>
            <w:gridSpan w:val="2"/>
            <w:tcBorders>
              <w:top w:val="single" w:color="auto" w:sz="4" w:space="0"/>
              <w:bottom w:val="single" w:color="auto" w:sz="4" w:space="0"/>
            </w:tcBorders>
            <w:shd w:val="clear" w:color="auto" w:fill="auto"/>
            <w:vAlign w:val="bottom"/>
          </w:tcPr>
          <w:p w:rsidRPr="00D73795" w:rsidR="00D73795" w:rsidP="00D73795" w:rsidRDefault="00D73795" w14:paraId="7E8A854F" w14:textId="77777777">
            <w:pPr>
              <w:keepNext/>
              <w:keepLines/>
              <w:spacing w:before="60" w:after="60"/>
              <w:jc w:val="center"/>
              <w:rPr>
                <w:b/>
                <w:color w:val="000000"/>
                <w:sz w:val="22"/>
                <w:szCs w:val="22"/>
              </w:rPr>
            </w:pPr>
            <w:r w:rsidRPr="00D73795">
              <w:rPr>
                <w:b/>
                <w:color w:val="000000"/>
                <w:sz w:val="22"/>
                <w:szCs w:val="22"/>
              </w:rPr>
              <w:t>Hours</w:t>
            </w:r>
          </w:p>
        </w:tc>
        <w:tc>
          <w:tcPr>
            <w:tcW w:w="1001" w:type="dxa"/>
            <w:tcBorders>
              <w:top w:val="single" w:color="auto" w:sz="4" w:space="0"/>
              <w:bottom w:val="single" w:color="auto" w:sz="4" w:space="0"/>
            </w:tcBorders>
            <w:shd w:val="clear" w:color="auto" w:fill="auto"/>
            <w:vAlign w:val="bottom"/>
          </w:tcPr>
          <w:p w:rsidRPr="00D73795" w:rsidR="00D73795" w:rsidP="00D73795" w:rsidRDefault="00D73795" w14:paraId="232930BF" w14:textId="77777777">
            <w:pPr>
              <w:keepNext/>
              <w:keepLines/>
              <w:spacing w:before="60" w:after="60"/>
              <w:jc w:val="center"/>
              <w:rPr>
                <w:b/>
                <w:color w:val="000000"/>
                <w:sz w:val="22"/>
                <w:szCs w:val="22"/>
              </w:rPr>
            </w:pPr>
            <w:r w:rsidRPr="00D73795">
              <w:rPr>
                <w:b/>
                <w:color w:val="000000"/>
                <w:sz w:val="22"/>
                <w:szCs w:val="22"/>
              </w:rPr>
              <w:t>Rate $</w:t>
            </w:r>
          </w:p>
        </w:tc>
        <w:tc>
          <w:tcPr>
            <w:tcW w:w="1653" w:type="dxa"/>
            <w:gridSpan w:val="2"/>
            <w:tcBorders>
              <w:top w:val="single" w:color="auto" w:sz="4" w:space="0"/>
              <w:bottom w:val="single" w:color="auto" w:sz="4" w:space="0"/>
              <w:right w:val="single" w:color="auto" w:sz="4" w:space="0"/>
            </w:tcBorders>
            <w:shd w:val="clear" w:color="auto" w:fill="auto"/>
            <w:vAlign w:val="bottom"/>
          </w:tcPr>
          <w:p w:rsidRPr="00D73795" w:rsidR="00D73795" w:rsidP="00D73795" w:rsidRDefault="00D73795" w14:paraId="7E3FCB67" w14:textId="77777777">
            <w:pPr>
              <w:keepNext/>
              <w:keepLines/>
              <w:spacing w:before="60" w:after="60"/>
              <w:jc w:val="center"/>
              <w:rPr>
                <w:b/>
                <w:color w:val="000000"/>
                <w:sz w:val="22"/>
                <w:szCs w:val="22"/>
              </w:rPr>
            </w:pPr>
            <w:r w:rsidRPr="00D73795">
              <w:rPr>
                <w:b/>
                <w:color w:val="000000"/>
                <w:sz w:val="22"/>
                <w:szCs w:val="22"/>
              </w:rPr>
              <w:t>Basis for Rate*</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D73795" w:rsidR="00D73795" w:rsidP="00D73795" w:rsidRDefault="00D73795" w14:paraId="706B1B36" w14:textId="77777777">
            <w:pPr>
              <w:keepNext/>
              <w:keepLines/>
              <w:spacing w:before="60" w:after="60"/>
              <w:jc w:val="center"/>
              <w:rPr>
                <w:b/>
                <w:color w:val="000000"/>
                <w:sz w:val="22"/>
                <w:szCs w:val="22"/>
              </w:rPr>
            </w:pPr>
            <w:r w:rsidRPr="00D73795">
              <w:rPr>
                <w:b/>
                <w:color w:val="000000"/>
                <w:sz w:val="22"/>
                <w:szCs w:val="22"/>
              </w:rPr>
              <w:t>Total $</w:t>
            </w:r>
          </w:p>
        </w:tc>
        <w:tc>
          <w:tcPr>
            <w:tcW w:w="1080" w:type="dxa"/>
            <w:tcBorders>
              <w:top w:val="single" w:color="auto" w:sz="4" w:space="0"/>
              <w:left w:val="single" w:color="auto" w:sz="4" w:space="0"/>
            </w:tcBorders>
            <w:shd w:val="clear" w:color="auto" w:fill="auto"/>
            <w:vAlign w:val="bottom"/>
          </w:tcPr>
          <w:p w:rsidRPr="00D73795" w:rsidR="00D73795" w:rsidP="00D73795" w:rsidRDefault="00D73795" w14:paraId="57FFDCEE" w14:textId="77777777">
            <w:pPr>
              <w:keepNext/>
              <w:keepLines/>
              <w:spacing w:before="60" w:after="60"/>
              <w:jc w:val="center"/>
              <w:rPr>
                <w:b/>
                <w:color w:val="000000"/>
                <w:sz w:val="22"/>
                <w:szCs w:val="22"/>
              </w:rPr>
            </w:pPr>
            <w:r w:rsidRPr="00D73795">
              <w:rPr>
                <w:b/>
                <w:color w:val="000000"/>
                <w:sz w:val="22"/>
                <w:szCs w:val="22"/>
              </w:rPr>
              <w:t>Hours</w:t>
            </w:r>
          </w:p>
        </w:tc>
        <w:tc>
          <w:tcPr>
            <w:tcW w:w="1080" w:type="dxa"/>
            <w:tcBorders>
              <w:top w:val="single" w:color="auto" w:sz="4" w:space="0"/>
            </w:tcBorders>
            <w:shd w:val="clear" w:color="auto" w:fill="auto"/>
            <w:vAlign w:val="bottom"/>
          </w:tcPr>
          <w:p w:rsidRPr="00D73795" w:rsidR="00D73795" w:rsidP="00D73795" w:rsidRDefault="00D73795" w14:paraId="0DCB691C" w14:textId="77777777">
            <w:pPr>
              <w:keepNext/>
              <w:keepLines/>
              <w:spacing w:before="60" w:after="60"/>
              <w:jc w:val="center"/>
              <w:rPr>
                <w:b/>
                <w:color w:val="000000"/>
                <w:sz w:val="22"/>
                <w:szCs w:val="22"/>
              </w:rPr>
            </w:pPr>
            <w:r w:rsidRPr="00D73795">
              <w:rPr>
                <w:b/>
                <w:color w:val="000000"/>
                <w:sz w:val="22"/>
                <w:szCs w:val="22"/>
              </w:rPr>
              <w:t>Rate $</w:t>
            </w:r>
          </w:p>
        </w:tc>
        <w:tc>
          <w:tcPr>
            <w:tcW w:w="1350" w:type="dxa"/>
            <w:tcBorders>
              <w:top w:val="single" w:color="auto" w:sz="4" w:space="0"/>
            </w:tcBorders>
            <w:shd w:val="clear" w:color="auto" w:fill="auto"/>
            <w:vAlign w:val="bottom"/>
          </w:tcPr>
          <w:p w:rsidRPr="00D73795" w:rsidR="00D73795" w:rsidP="00D73795" w:rsidRDefault="00D73795" w14:paraId="4F8C180F" w14:textId="77777777">
            <w:pPr>
              <w:keepNext/>
              <w:keepLines/>
              <w:spacing w:before="60" w:after="60"/>
              <w:jc w:val="center"/>
              <w:rPr>
                <w:b/>
                <w:color w:val="000000"/>
                <w:sz w:val="22"/>
                <w:szCs w:val="22"/>
              </w:rPr>
            </w:pPr>
            <w:r w:rsidRPr="00D73795">
              <w:rPr>
                <w:b/>
                <w:color w:val="000000"/>
                <w:sz w:val="22"/>
                <w:szCs w:val="22"/>
              </w:rPr>
              <w:t>Total $</w:t>
            </w:r>
          </w:p>
        </w:tc>
      </w:tr>
      <w:tr w:rsidRPr="00D73795" w:rsidR="00D73795" w:rsidTr="004A727B" w14:paraId="02ABDBAC" w14:textId="77777777">
        <w:trPr>
          <w:jc w:val="center"/>
        </w:trPr>
        <w:tc>
          <w:tcPr>
            <w:tcW w:w="1404" w:type="dxa"/>
            <w:shd w:val="clear" w:color="auto" w:fill="auto"/>
          </w:tcPr>
          <w:p w:rsidRPr="00D73795" w:rsidR="00D73795" w:rsidP="00D73795" w:rsidRDefault="00D73795" w14:paraId="79BB81A3" w14:textId="77777777">
            <w:pPr>
              <w:spacing w:before="60" w:after="60"/>
              <w:rPr>
                <w:color w:val="000000"/>
              </w:rPr>
            </w:pPr>
            <w:r w:rsidRPr="00D73795">
              <w:rPr>
                <w:color w:val="000000"/>
              </w:rPr>
              <w:t>Ann L. Trowbridge</w:t>
            </w:r>
          </w:p>
        </w:tc>
        <w:tc>
          <w:tcPr>
            <w:tcW w:w="774" w:type="dxa"/>
            <w:shd w:val="clear" w:color="auto" w:fill="auto"/>
          </w:tcPr>
          <w:p w:rsidRPr="00D73795" w:rsidR="00D73795" w:rsidP="004A727B" w:rsidRDefault="00D73795" w14:paraId="29693524" w14:textId="77777777">
            <w:pPr>
              <w:spacing w:before="60" w:after="60"/>
              <w:jc w:val="center"/>
              <w:rPr>
                <w:color w:val="000000"/>
              </w:rPr>
            </w:pPr>
            <w:r w:rsidRPr="00D73795">
              <w:rPr>
                <w:color w:val="000000"/>
              </w:rPr>
              <w:t>2020</w:t>
            </w:r>
          </w:p>
        </w:tc>
        <w:tc>
          <w:tcPr>
            <w:tcW w:w="833" w:type="dxa"/>
            <w:gridSpan w:val="2"/>
            <w:shd w:val="clear" w:color="auto" w:fill="auto"/>
          </w:tcPr>
          <w:p w:rsidRPr="00D73795" w:rsidR="00D73795" w:rsidP="004A727B" w:rsidRDefault="00D73795" w14:paraId="44286159" w14:textId="77777777">
            <w:pPr>
              <w:spacing w:before="60" w:after="60"/>
              <w:jc w:val="center"/>
              <w:rPr>
                <w:color w:val="000000"/>
              </w:rPr>
            </w:pPr>
            <w:r w:rsidRPr="00D73795">
              <w:rPr>
                <w:color w:val="000000"/>
              </w:rPr>
              <w:t>11.5</w:t>
            </w:r>
          </w:p>
        </w:tc>
        <w:tc>
          <w:tcPr>
            <w:tcW w:w="1001" w:type="dxa"/>
            <w:shd w:val="clear" w:color="auto" w:fill="auto"/>
          </w:tcPr>
          <w:p w:rsidRPr="00D73795" w:rsidR="00D73795" w:rsidP="004A727B" w:rsidRDefault="00D73795" w14:paraId="5C2B60CE" w14:textId="77777777">
            <w:pPr>
              <w:spacing w:before="60" w:after="60"/>
              <w:jc w:val="center"/>
              <w:rPr>
                <w:color w:val="000000"/>
              </w:rPr>
            </w:pPr>
            <w:r w:rsidRPr="00D73795">
              <w:rPr>
                <w:color w:val="000000"/>
              </w:rPr>
              <w:t>$425.00</w:t>
            </w:r>
          </w:p>
        </w:tc>
        <w:tc>
          <w:tcPr>
            <w:tcW w:w="1653" w:type="dxa"/>
            <w:gridSpan w:val="2"/>
            <w:tcBorders>
              <w:right w:val="single" w:color="auto" w:sz="4" w:space="0"/>
            </w:tcBorders>
            <w:shd w:val="clear" w:color="auto" w:fill="auto"/>
          </w:tcPr>
          <w:p w:rsidRPr="00D73795" w:rsidR="00D73795" w:rsidP="004A727B" w:rsidRDefault="00D73795" w14:paraId="072DB800" w14:textId="66FC3C33">
            <w:pPr>
              <w:spacing w:before="60" w:after="60"/>
              <w:jc w:val="center"/>
              <w:rPr>
                <w:color w:val="000000"/>
              </w:rPr>
            </w:pPr>
            <w:r w:rsidRPr="00D73795">
              <w:rPr>
                <w:color w:val="000000"/>
              </w:rPr>
              <w:t>D.19-11-010, and ALJ-357, ALJ-387,</w:t>
            </w:r>
          </w:p>
          <w:p w:rsidRPr="00D73795" w:rsidR="00D73795" w:rsidP="004A727B" w:rsidRDefault="00D73795" w14:paraId="7FF88075" w14:textId="77777777">
            <w:pPr>
              <w:spacing w:before="60" w:after="60"/>
              <w:jc w:val="center"/>
              <w:rPr>
                <w:color w:val="000000"/>
              </w:rPr>
            </w:pPr>
            <w:r w:rsidRPr="00D73795">
              <w:rPr>
                <w:color w:val="000000"/>
              </w:rPr>
              <w:t>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7B650C00" w14:textId="77777777">
            <w:pPr>
              <w:jc w:val="center"/>
            </w:pPr>
            <w:r w:rsidRPr="00D73795">
              <w:t>$4,887.50</w:t>
            </w:r>
          </w:p>
        </w:tc>
        <w:tc>
          <w:tcPr>
            <w:tcW w:w="1080" w:type="dxa"/>
            <w:tcBorders>
              <w:left w:val="single" w:color="auto" w:sz="4" w:space="0"/>
            </w:tcBorders>
            <w:shd w:val="clear" w:color="auto" w:fill="auto"/>
          </w:tcPr>
          <w:p w:rsidRPr="00D73795" w:rsidR="00D73795" w:rsidP="004A727B" w:rsidRDefault="00D73795" w14:paraId="6E8A53CF" w14:textId="77777777">
            <w:pPr>
              <w:spacing w:before="60" w:after="60"/>
              <w:jc w:val="center"/>
              <w:rPr>
                <w:color w:val="000000"/>
              </w:rPr>
            </w:pPr>
            <w:r w:rsidRPr="00D73795">
              <w:rPr>
                <w:color w:val="000000"/>
              </w:rPr>
              <w:t>34.4 [2]</w:t>
            </w:r>
          </w:p>
        </w:tc>
        <w:tc>
          <w:tcPr>
            <w:tcW w:w="1080" w:type="dxa"/>
            <w:shd w:val="clear" w:color="auto" w:fill="auto"/>
          </w:tcPr>
          <w:p w:rsidRPr="00D73795" w:rsidR="00D73795" w:rsidP="004A727B" w:rsidRDefault="00D73795" w14:paraId="4BBE171F" w14:textId="77777777">
            <w:pPr>
              <w:spacing w:before="60" w:after="60"/>
              <w:jc w:val="center"/>
              <w:rPr>
                <w:color w:val="000000"/>
              </w:rPr>
            </w:pPr>
            <w:r w:rsidRPr="00D73795">
              <w:rPr>
                <w:color w:val="000000"/>
              </w:rPr>
              <w:t>$435 [3]</w:t>
            </w:r>
          </w:p>
        </w:tc>
        <w:tc>
          <w:tcPr>
            <w:tcW w:w="1350" w:type="dxa"/>
            <w:shd w:val="clear" w:color="auto" w:fill="auto"/>
          </w:tcPr>
          <w:p w:rsidRPr="00D73795" w:rsidR="00D73795" w:rsidP="004A727B" w:rsidRDefault="00D73795" w14:paraId="5689E1E4" w14:textId="2846988B">
            <w:pPr>
              <w:spacing w:before="60" w:after="60"/>
              <w:jc w:val="center"/>
              <w:rPr>
                <w:color w:val="000000"/>
              </w:rPr>
            </w:pPr>
            <w:r w:rsidRPr="00D73795">
              <w:t>$14,964.00</w:t>
            </w:r>
          </w:p>
        </w:tc>
      </w:tr>
      <w:tr w:rsidRPr="00D73795" w:rsidR="00D73795" w:rsidTr="004A727B" w14:paraId="367AC8FC" w14:textId="77777777">
        <w:trPr>
          <w:jc w:val="center"/>
        </w:trPr>
        <w:tc>
          <w:tcPr>
            <w:tcW w:w="1404" w:type="dxa"/>
            <w:shd w:val="clear" w:color="auto" w:fill="auto"/>
          </w:tcPr>
          <w:p w:rsidRPr="00D73795" w:rsidR="00D73795" w:rsidP="00D73795" w:rsidRDefault="00D73795" w14:paraId="161701EB" w14:textId="77777777">
            <w:pPr>
              <w:spacing w:before="60" w:after="60"/>
              <w:jc w:val="center"/>
              <w:rPr>
                <w:color w:val="000000"/>
              </w:rPr>
            </w:pPr>
            <w:r w:rsidRPr="00D73795">
              <w:rPr>
                <w:color w:val="000000"/>
              </w:rPr>
              <w:t>Ann L. Trowbridge</w:t>
            </w:r>
          </w:p>
        </w:tc>
        <w:tc>
          <w:tcPr>
            <w:tcW w:w="774" w:type="dxa"/>
            <w:shd w:val="clear" w:color="auto" w:fill="auto"/>
          </w:tcPr>
          <w:p w:rsidRPr="00D73795" w:rsidR="00D73795" w:rsidP="004A727B" w:rsidRDefault="00D73795" w14:paraId="0BB16334" w14:textId="77777777">
            <w:pPr>
              <w:spacing w:before="60" w:after="60"/>
              <w:jc w:val="center"/>
              <w:rPr>
                <w:color w:val="000000"/>
              </w:rPr>
            </w:pPr>
            <w:r w:rsidRPr="00D73795">
              <w:rPr>
                <w:color w:val="000000"/>
              </w:rPr>
              <w:t>2021</w:t>
            </w:r>
          </w:p>
        </w:tc>
        <w:tc>
          <w:tcPr>
            <w:tcW w:w="833" w:type="dxa"/>
            <w:gridSpan w:val="2"/>
            <w:shd w:val="clear" w:color="auto" w:fill="auto"/>
          </w:tcPr>
          <w:p w:rsidRPr="00D73795" w:rsidR="00D73795" w:rsidP="004A727B" w:rsidRDefault="00D73795" w14:paraId="2F37694E" w14:textId="77777777">
            <w:pPr>
              <w:spacing w:before="60" w:after="60"/>
              <w:jc w:val="center"/>
              <w:rPr>
                <w:color w:val="000000"/>
              </w:rPr>
            </w:pPr>
            <w:r w:rsidRPr="00D73795">
              <w:rPr>
                <w:color w:val="000000"/>
              </w:rPr>
              <w:t>37.3</w:t>
            </w:r>
          </w:p>
        </w:tc>
        <w:tc>
          <w:tcPr>
            <w:tcW w:w="1001" w:type="dxa"/>
            <w:shd w:val="clear" w:color="auto" w:fill="auto"/>
          </w:tcPr>
          <w:p w:rsidRPr="00D73795" w:rsidR="00D73795" w:rsidP="004A727B" w:rsidRDefault="00D73795" w14:paraId="7BCF9DA3" w14:textId="77777777">
            <w:pPr>
              <w:spacing w:before="60" w:after="60"/>
              <w:jc w:val="center"/>
              <w:rPr>
                <w:color w:val="000000"/>
              </w:rPr>
            </w:pPr>
            <w:r w:rsidRPr="00D73795">
              <w:rPr>
                <w:color w:val="000000"/>
              </w:rPr>
              <w:t>$425.00</w:t>
            </w:r>
          </w:p>
        </w:tc>
        <w:tc>
          <w:tcPr>
            <w:tcW w:w="1653" w:type="dxa"/>
            <w:gridSpan w:val="2"/>
            <w:tcBorders>
              <w:right w:val="single" w:color="auto" w:sz="4" w:space="0"/>
            </w:tcBorders>
            <w:shd w:val="clear" w:color="auto" w:fill="auto"/>
          </w:tcPr>
          <w:p w:rsidRPr="00D73795" w:rsidR="00D73795" w:rsidP="004A727B" w:rsidRDefault="00D73795" w14:paraId="66DF8148" w14:textId="759E56CD">
            <w:pPr>
              <w:spacing w:before="60" w:after="60"/>
              <w:jc w:val="center"/>
              <w:rPr>
                <w:color w:val="000000"/>
              </w:rPr>
            </w:pPr>
            <w:r w:rsidRPr="00D73795">
              <w:rPr>
                <w:color w:val="000000"/>
              </w:rPr>
              <w:t>D.19-11-010, and ALJ-357, ALJ-387, 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276F85CB" w14:textId="77777777">
            <w:pPr>
              <w:spacing w:before="60" w:after="60"/>
              <w:jc w:val="center"/>
              <w:rPr>
                <w:color w:val="000000"/>
              </w:rPr>
            </w:pPr>
            <w:r w:rsidRPr="00D73795">
              <w:rPr>
                <w:color w:val="000000"/>
              </w:rPr>
              <w:t>$15,825.50</w:t>
            </w:r>
          </w:p>
        </w:tc>
        <w:tc>
          <w:tcPr>
            <w:tcW w:w="1080" w:type="dxa"/>
            <w:tcBorders>
              <w:left w:val="single" w:color="auto" w:sz="4" w:space="0"/>
            </w:tcBorders>
            <w:shd w:val="clear" w:color="auto" w:fill="auto"/>
          </w:tcPr>
          <w:p w:rsidRPr="00D73795" w:rsidR="00D73795" w:rsidP="004A727B" w:rsidRDefault="00D73795" w14:paraId="7C6C8007" w14:textId="3756E271">
            <w:pPr>
              <w:spacing w:before="60" w:after="60"/>
              <w:jc w:val="center"/>
              <w:rPr>
                <w:color w:val="000000"/>
              </w:rPr>
            </w:pPr>
            <w:r w:rsidRPr="00D73795">
              <w:rPr>
                <w:color w:val="000000"/>
              </w:rPr>
              <w:t>37.3</w:t>
            </w:r>
          </w:p>
        </w:tc>
        <w:tc>
          <w:tcPr>
            <w:tcW w:w="1080" w:type="dxa"/>
            <w:shd w:val="clear" w:color="auto" w:fill="auto"/>
          </w:tcPr>
          <w:p w:rsidRPr="00D73795" w:rsidR="00D73795" w:rsidP="004A727B" w:rsidRDefault="00D73795" w14:paraId="69789117" w14:textId="77777777">
            <w:pPr>
              <w:spacing w:before="60" w:after="60"/>
              <w:jc w:val="center"/>
              <w:rPr>
                <w:color w:val="000000"/>
              </w:rPr>
            </w:pPr>
            <w:r w:rsidRPr="00D73795">
              <w:rPr>
                <w:color w:val="000000"/>
              </w:rPr>
              <w:t>$435 [3]</w:t>
            </w:r>
          </w:p>
        </w:tc>
        <w:tc>
          <w:tcPr>
            <w:tcW w:w="1350" w:type="dxa"/>
            <w:shd w:val="clear" w:color="auto" w:fill="auto"/>
          </w:tcPr>
          <w:p w:rsidRPr="00D73795" w:rsidR="00D73795" w:rsidP="004A727B" w:rsidRDefault="00D73795" w14:paraId="516305A2" w14:textId="1B39C9A4">
            <w:pPr>
              <w:spacing w:before="60" w:after="60"/>
              <w:jc w:val="center"/>
            </w:pPr>
            <w:r w:rsidRPr="00D73795">
              <w:t>$</w:t>
            </w:r>
            <w:r w:rsidRPr="00D73795">
              <w:rPr>
                <w:color w:val="000000"/>
              </w:rPr>
              <w:t>16,225.50</w:t>
            </w:r>
          </w:p>
          <w:p w:rsidRPr="00D73795" w:rsidR="00D73795" w:rsidP="004A727B" w:rsidRDefault="00D73795" w14:paraId="5EDBEF5E" w14:textId="77777777">
            <w:pPr>
              <w:spacing w:before="60" w:after="60"/>
              <w:jc w:val="center"/>
              <w:rPr>
                <w:color w:val="000000"/>
              </w:rPr>
            </w:pPr>
          </w:p>
        </w:tc>
      </w:tr>
      <w:tr w:rsidRPr="00D73795" w:rsidR="00D73795" w:rsidTr="004A727B" w14:paraId="1D573C1A" w14:textId="77777777">
        <w:trPr>
          <w:jc w:val="center"/>
        </w:trPr>
        <w:tc>
          <w:tcPr>
            <w:tcW w:w="1404" w:type="dxa"/>
            <w:shd w:val="clear" w:color="auto" w:fill="auto"/>
          </w:tcPr>
          <w:p w:rsidRPr="00D73795" w:rsidR="00D73795" w:rsidP="00D73795" w:rsidRDefault="00D73795" w14:paraId="1F7D2B3D" w14:textId="77777777">
            <w:pPr>
              <w:spacing w:before="60" w:after="60"/>
              <w:rPr>
                <w:color w:val="000000"/>
              </w:rPr>
            </w:pPr>
            <w:r w:rsidRPr="00D73795">
              <w:rPr>
                <w:color w:val="000000"/>
              </w:rPr>
              <w:t>Michael Boccadoro</w:t>
            </w:r>
          </w:p>
        </w:tc>
        <w:tc>
          <w:tcPr>
            <w:tcW w:w="774" w:type="dxa"/>
            <w:shd w:val="clear" w:color="auto" w:fill="auto"/>
          </w:tcPr>
          <w:p w:rsidRPr="00D73795" w:rsidR="00D73795" w:rsidP="004A727B" w:rsidRDefault="00D73795" w14:paraId="1FF085C6" w14:textId="77777777">
            <w:pPr>
              <w:spacing w:before="60" w:after="60"/>
              <w:jc w:val="center"/>
              <w:rPr>
                <w:color w:val="000000"/>
              </w:rPr>
            </w:pPr>
            <w:r w:rsidRPr="00D73795">
              <w:rPr>
                <w:color w:val="000000"/>
              </w:rPr>
              <w:t>2020</w:t>
            </w:r>
          </w:p>
        </w:tc>
        <w:tc>
          <w:tcPr>
            <w:tcW w:w="833" w:type="dxa"/>
            <w:gridSpan w:val="2"/>
            <w:shd w:val="clear" w:color="auto" w:fill="auto"/>
          </w:tcPr>
          <w:p w:rsidRPr="00D73795" w:rsidR="00D73795" w:rsidP="004A727B" w:rsidRDefault="00D73795" w14:paraId="6948C2C3" w14:textId="77777777">
            <w:pPr>
              <w:spacing w:before="60" w:after="60"/>
              <w:jc w:val="center"/>
              <w:rPr>
                <w:color w:val="000000"/>
              </w:rPr>
            </w:pPr>
            <w:r w:rsidRPr="00D73795">
              <w:rPr>
                <w:color w:val="000000"/>
              </w:rPr>
              <w:t>31.55</w:t>
            </w:r>
          </w:p>
        </w:tc>
        <w:tc>
          <w:tcPr>
            <w:tcW w:w="1001" w:type="dxa"/>
            <w:shd w:val="clear" w:color="auto" w:fill="auto"/>
          </w:tcPr>
          <w:p w:rsidRPr="00D73795" w:rsidR="00D73795" w:rsidP="004A727B" w:rsidRDefault="00D73795" w14:paraId="276497C5" w14:textId="77777777">
            <w:pPr>
              <w:spacing w:before="60" w:after="60"/>
              <w:jc w:val="center"/>
              <w:rPr>
                <w:color w:val="000000"/>
              </w:rPr>
            </w:pPr>
            <w:r w:rsidRPr="00D73795">
              <w:rPr>
                <w:color w:val="000000"/>
              </w:rPr>
              <w:t>$215.00</w:t>
            </w:r>
          </w:p>
        </w:tc>
        <w:tc>
          <w:tcPr>
            <w:tcW w:w="1653" w:type="dxa"/>
            <w:gridSpan w:val="2"/>
            <w:tcBorders>
              <w:right w:val="single" w:color="auto" w:sz="4" w:space="0"/>
            </w:tcBorders>
            <w:shd w:val="clear" w:color="auto" w:fill="auto"/>
          </w:tcPr>
          <w:p w:rsidRPr="00D73795" w:rsidR="00D73795" w:rsidP="004A727B" w:rsidRDefault="00D73795" w14:paraId="591F2DBE" w14:textId="5674F45A">
            <w:pPr>
              <w:spacing w:before="60" w:after="60"/>
              <w:jc w:val="center"/>
              <w:rPr>
                <w:color w:val="000000"/>
              </w:rPr>
            </w:pPr>
            <w:r w:rsidRPr="00D73795">
              <w:rPr>
                <w:color w:val="000000"/>
              </w:rPr>
              <w:t>D.19-11-010 and ALJ-357, ALJ-387, 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1C2AAF50" w14:textId="77777777">
            <w:pPr>
              <w:spacing w:before="60" w:after="60"/>
              <w:jc w:val="center"/>
              <w:rPr>
                <w:color w:val="000000"/>
              </w:rPr>
            </w:pPr>
            <w:r w:rsidRPr="00D73795">
              <w:rPr>
                <w:color w:val="000000"/>
              </w:rPr>
              <w:t>$6,783.25</w:t>
            </w:r>
          </w:p>
        </w:tc>
        <w:tc>
          <w:tcPr>
            <w:tcW w:w="1080" w:type="dxa"/>
            <w:tcBorders>
              <w:left w:val="single" w:color="auto" w:sz="4" w:space="0"/>
            </w:tcBorders>
            <w:shd w:val="clear" w:color="auto" w:fill="auto"/>
          </w:tcPr>
          <w:p w:rsidRPr="00D73795" w:rsidR="00D73795" w:rsidP="004A727B" w:rsidRDefault="00D73795" w14:paraId="2C944902" w14:textId="701436B7">
            <w:pPr>
              <w:spacing w:before="60" w:after="60"/>
              <w:jc w:val="center"/>
              <w:rPr>
                <w:color w:val="000000"/>
              </w:rPr>
            </w:pPr>
            <w:r w:rsidRPr="00D73795">
              <w:rPr>
                <w:color w:val="000000"/>
              </w:rPr>
              <w:t>31.35</w:t>
            </w:r>
            <w:r w:rsidR="004A727B">
              <w:rPr>
                <w:color w:val="000000"/>
              </w:rPr>
              <w:t xml:space="preserve"> </w:t>
            </w:r>
            <w:r w:rsidRPr="00D73795">
              <w:rPr>
                <w:color w:val="000000"/>
              </w:rPr>
              <w:t>[4]</w:t>
            </w:r>
          </w:p>
        </w:tc>
        <w:tc>
          <w:tcPr>
            <w:tcW w:w="1080" w:type="dxa"/>
            <w:shd w:val="clear" w:color="auto" w:fill="auto"/>
          </w:tcPr>
          <w:p w:rsidRPr="00D73795" w:rsidR="00D73795" w:rsidP="004A727B" w:rsidRDefault="00D73795" w14:paraId="4FC1AD5D" w14:textId="77777777">
            <w:pPr>
              <w:spacing w:before="60" w:after="60"/>
              <w:jc w:val="center"/>
              <w:rPr>
                <w:color w:val="000000"/>
              </w:rPr>
            </w:pPr>
            <w:r w:rsidRPr="00D73795">
              <w:rPr>
                <w:color w:val="000000"/>
              </w:rPr>
              <w:t>$215</w:t>
            </w:r>
          </w:p>
        </w:tc>
        <w:tc>
          <w:tcPr>
            <w:tcW w:w="1350" w:type="dxa"/>
            <w:shd w:val="clear" w:color="auto" w:fill="auto"/>
          </w:tcPr>
          <w:p w:rsidRPr="00D73795" w:rsidR="00D73795" w:rsidP="004A727B" w:rsidRDefault="00D73795" w14:paraId="5424A83E" w14:textId="12F96216">
            <w:pPr>
              <w:spacing w:before="60" w:after="60"/>
              <w:jc w:val="center"/>
              <w:rPr>
                <w:color w:val="000000"/>
              </w:rPr>
            </w:pPr>
            <w:r w:rsidRPr="00D73795">
              <w:t>$6,740.25</w:t>
            </w:r>
          </w:p>
        </w:tc>
      </w:tr>
      <w:tr w:rsidRPr="00D73795" w:rsidR="00D73795" w:rsidTr="004A727B" w14:paraId="7133FE17" w14:textId="77777777">
        <w:trPr>
          <w:jc w:val="center"/>
        </w:trPr>
        <w:tc>
          <w:tcPr>
            <w:tcW w:w="1404" w:type="dxa"/>
            <w:shd w:val="clear" w:color="auto" w:fill="auto"/>
          </w:tcPr>
          <w:p w:rsidRPr="00D73795" w:rsidR="00D73795" w:rsidP="00D73795" w:rsidRDefault="00D73795" w14:paraId="36A9624D" w14:textId="77777777">
            <w:pPr>
              <w:spacing w:before="60" w:after="60"/>
              <w:rPr>
                <w:color w:val="000000"/>
              </w:rPr>
            </w:pPr>
            <w:r w:rsidRPr="00D73795">
              <w:rPr>
                <w:color w:val="000000"/>
              </w:rPr>
              <w:lastRenderedPageBreak/>
              <w:t>Michael Boccadoro</w:t>
            </w:r>
          </w:p>
        </w:tc>
        <w:tc>
          <w:tcPr>
            <w:tcW w:w="774" w:type="dxa"/>
            <w:shd w:val="clear" w:color="auto" w:fill="auto"/>
          </w:tcPr>
          <w:p w:rsidRPr="00D73795" w:rsidR="00D73795" w:rsidP="004A727B" w:rsidRDefault="00D73795" w14:paraId="1B2CE7EF" w14:textId="77777777">
            <w:pPr>
              <w:spacing w:before="60" w:after="60"/>
              <w:jc w:val="center"/>
              <w:rPr>
                <w:color w:val="000000"/>
              </w:rPr>
            </w:pPr>
            <w:r w:rsidRPr="00D73795">
              <w:rPr>
                <w:color w:val="000000"/>
              </w:rPr>
              <w:t>2021</w:t>
            </w:r>
          </w:p>
        </w:tc>
        <w:tc>
          <w:tcPr>
            <w:tcW w:w="833" w:type="dxa"/>
            <w:gridSpan w:val="2"/>
            <w:shd w:val="clear" w:color="auto" w:fill="auto"/>
          </w:tcPr>
          <w:p w:rsidRPr="00D73795" w:rsidR="00D73795" w:rsidP="004A727B" w:rsidRDefault="00D73795" w14:paraId="24CA8C00" w14:textId="77777777">
            <w:pPr>
              <w:spacing w:before="60" w:after="60"/>
              <w:jc w:val="center"/>
              <w:rPr>
                <w:color w:val="000000"/>
              </w:rPr>
            </w:pPr>
            <w:r w:rsidRPr="00D73795">
              <w:rPr>
                <w:color w:val="000000"/>
              </w:rPr>
              <w:t>13.95</w:t>
            </w:r>
          </w:p>
        </w:tc>
        <w:tc>
          <w:tcPr>
            <w:tcW w:w="1001" w:type="dxa"/>
            <w:shd w:val="clear" w:color="auto" w:fill="auto"/>
          </w:tcPr>
          <w:p w:rsidRPr="00D73795" w:rsidR="00D73795" w:rsidP="004A727B" w:rsidRDefault="00D73795" w14:paraId="09699D1E" w14:textId="77777777">
            <w:pPr>
              <w:spacing w:before="60" w:after="60"/>
              <w:jc w:val="center"/>
              <w:rPr>
                <w:color w:val="000000"/>
              </w:rPr>
            </w:pPr>
            <w:r w:rsidRPr="00D73795">
              <w:rPr>
                <w:color w:val="000000"/>
              </w:rPr>
              <w:t>$215.00</w:t>
            </w:r>
          </w:p>
        </w:tc>
        <w:tc>
          <w:tcPr>
            <w:tcW w:w="1653" w:type="dxa"/>
            <w:gridSpan w:val="2"/>
            <w:tcBorders>
              <w:right w:val="single" w:color="auto" w:sz="4" w:space="0"/>
            </w:tcBorders>
            <w:shd w:val="clear" w:color="auto" w:fill="auto"/>
          </w:tcPr>
          <w:p w:rsidRPr="00D73795" w:rsidR="00D73795" w:rsidP="004A727B" w:rsidRDefault="00D73795" w14:paraId="33BD3575" w14:textId="77777777">
            <w:pPr>
              <w:spacing w:before="60" w:after="60"/>
              <w:jc w:val="center"/>
              <w:rPr>
                <w:color w:val="000000"/>
              </w:rPr>
            </w:pPr>
            <w:r w:rsidRPr="00D73795">
              <w:rPr>
                <w:color w:val="000000"/>
              </w:rPr>
              <w:t>D. 19-11-010 and ALJ-357, ALJ-387,</w:t>
            </w:r>
          </w:p>
          <w:p w:rsidRPr="00D73795" w:rsidR="00D73795" w:rsidP="004A727B" w:rsidRDefault="00D73795" w14:paraId="7CB88DC3" w14:textId="77777777">
            <w:pPr>
              <w:spacing w:before="60" w:after="60"/>
              <w:jc w:val="center"/>
              <w:rPr>
                <w:color w:val="000000"/>
              </w:rPr>
            </w:pPr>
            <w:r w:rsidRPr="00D73795">
              <w:rPr>
                <w:color w:val="000000"/>
              </w:rPr>
              <w:t>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4F235DE3" w14:textId="77777777">
            <w:pPr>
              <w:spacing w:before="60" w:after="60"/>
              <w:jc w:val="center"/>
              <w:rPr>
                <w:color w:val="000000"/>
              </w:rPr>
            </w:pPr>
            <w:r w:rsidRPr="00D73795">
              <w:rPr>
                <w:color w:val="000000"/>
              </w:rPr>
              <w:t>$2,999.25</w:t>
            </w:r>
          </w:p>
        </w:tc>
        <w:tc>
          <w:tcPr>
            <w:tcW w:w="1080" w:type="dxa"/>
            <w:tcBorders>
              <w:left w:val="single" w:color="auto" w:sz="4" w:space="0"/>
            </w:tcBorders>
            <w:shd w:val="clear" w:color="auto" w:fill="auto"/>
          </w:tcPr>
          <w:p w:rsidRPr="00D73795" w:rsidR="00D73795" w:rsidP="004A727B" w:rsidRDefault="00D73795" w14:paraId="1AD5A49C" w14:textId="5283F3E7">
            <w:pPr>
              <w:spacing w:before="60" w:after="60"/>
              <w:jc w:val="center"/>
              <w:rPr>
                <w:color w:val="000000"/>
              </w:rPr>
            </w:pPr>
            <w:r w:rsidRPr="00D73795">
              <w:rPr>
                <w:color w:val="000000"/>
              </w:rPr>
              <w:t>13.95</w:t>
            </w:r>
          </w:p>
        </w:tc>
        <w:tc>
          <w:tcPr>
            <w:tcW w:w="1080" w:type="dxa"/>
            <w:shd w:val="clear" w:color="auto" w:fill="auto"/>
          </w:tcPr>
          <w:p w:rsidRPr="00D73795" w:rsidR="00D73795" w:rsidP="004A727B" w:rsidRDefault="00D73795" w14:paraId="1118B1AB" w14:textId="77777777">
            <w:pPr>
              <w:spacing w:before="60" w:after="60"/>
              <w:jc w:val="center"/>
              <w:rPr>
                <w:color w:val="000000"/>
              </w:rPr>
            </w:pPr>
            <w:r w:rsidRPr="00D73795">
              <w:rPr>
                <w:color w:val="000000"/>
              </w:rPr>
              <w:t>$220 [5]</w:t>
            </w:r>
          </w:p>
        </w:tc>
        <w:tc>
          <w:tcPr>
            <w:tcW w:w="1350" w:type="dxa"/>
            <w:shd w:val="clear" w:color="auto" w:fill="auto"/>
          </w:tcPr>
          <w:p w:rsidRPr="00D73795" w:rsidR="00D73795" w:rsidP="004A727B" w:rsidRDefault="00D73795" w14:paraId="7B649B0D" w14:textId="2B30D4A3">
            <w:pPr>
              <w:jc w:val="center"/>
            </w:pPr>
            <w:r w:rsidRPr="00D73795">
              <w:t>$3,069.00</w:t>
            </w:r>
          </w:p>
          <w:p w:rsidRPr="00D73795" w:rsidR="00D73795" w:rsidP="004A727B" w:rsidRDefault="00D73795" w14:paraId="5D9D28D3" w14:textId="77777777">
            <w:pPr>
              <w:spacing w:before="60" w:after="60"/>
              <w:jc w:val="center"/>
              <w:rPr>
                <w:color w:val="000000"/>
              </w:rPr>
            </w:pPr>
          </w:p>
        </w:tc>
      </w:tr>
      <w:tr w:rsidRPr="00D73795" w:rsidR="00D73795" w:rsidTr="004A727B" w14:paraId="12E96764" w14:textId="77777777">
        <w:trPr>
          <w:jc w:val="center"/>
        </w:trPr>
        <w:tc>
          <w:tcPr>
            <w:tcW w:w="7015" w:type="dxa"/>
            <w:gridSpan w:val="9"/>
            <w:tcBorders>
              <w:bottom w:val="single" w:color="auto" w:sz="4" w:space="0"/>
              <w:right w:val="single" w:color="auto" w:sz="24" w:space="0"/>
            </w:tcBorders>
            <w:shd w:val="clear" w:color="auto" w:fill="auto"/>
            <w:vAlign w:val="bottom"/>
          </w:tcPr>
          <w:p w:rsidRPr="00D73795" w:rsidR="00D73795" w:rsidP="00D73795" w:rsidRDefault="00D73795" w14:paraId="72A7B795" w14:textId="77777777">
            <w:pPr>
              <w:tabs>
                <w:tab w:val="left" w:pos="957"/>
              </w:tabs>
              <w:spacing w:before="60" w:after="60"/>
              <w:ind w:right="162"/>
              <w:jc w:val="right"/>
              <w:rPr>
                <w:b/>
                <w:i/>
                <w:color w:val="000000"/>
              </w:rPr>
            </w:pPr>
            <w:r w:rsidRPr="00D73795">
              <w:rPr>
                <w:b/>
                <w:i/>
                <w:color w:val="000000"/>
              </w:rPr>
              <w:t>Subtotal: $30,495.50</w:t>
            </w:r>
          </w:p>
        </w:tc>
        <w:tc>
          <w:tcPr>
            <w:tcW w:w="3510" w:type="dxa"/>
            <w:gridSpan w:val="3"/>
            <w:tcBorders>
              <w:left w:val="single" w:color="auto" w:sz="24" w:space="0"/>
              <w:bottom w:val="single" w:color="auto" w:sz="4" w:space="0"/>
            </w:tcBorders>
            <w:shd w:val="clear" w:color="auto" w:fill="auto"/>
            <w:vAlign w:val="bottom"/>
          </w:tcPr>
          <w:p w:rsidRPr="00D73795" w:rsidR="00D73795" w:rsidP="00D73795" w:rsidRDefault="00D73795" w14:paraId="273AB974" w14:textId="77777777">
            <w:pPr>
              <w:tabs>
                <w:tab w:val="left" w:pos="957"/>
              </w:tabs>
              <w:spacing w:before="60" w:after="60"/>
              <w:ind w:right="162"/>
              <w:jc w:val="right"/>
              <w:rPr>
                <w:color w:val="000000"/>
              </w:rPr>
            </w:pPr>
            <w:r w:rsidRPr="00D73795">
              <w:rPr>
                <w:b/>
                <w:i/>
                <w:color w:val="000000"/>
              </w:rPr>
              <w:t xml:space="preserve">Subtotal: </w:t>
            </w:r>
            <w:r w:rsidRPr="00D73795">
              <w:rPr>
                <w:b/>
                <w:color w:val="000000"/>
              </w:rPr>
              <w:t xml:space="preserve">$40,998.75  </w:t>
            </w:r>
          </w:p>
        </w:tc>
      </w:tr>
      <w:tr w:rsidRPr="00D73795" w:rsidR="00D73795" w:rsidTr="004A727B" w14:paraId="16979EF2" w14:textId="77777777">
        <w:trPr>
          <w:jc w:val="center"/>
        </w:trPr>
        <w:tc>
          <w:tcPr>
            <w:tcW w:w="10525" w:type="dxa"/>
            <w:gridSpan w:val="12"/>
            <w:tcBorders>
              <w:top w:val="single" w:color="auto" w:sz="4" w:space="0"/>
              <w:left w:val="single" w:color="auto" w:sz="4" w:space="0"/>
              <w:bottom w:val="single" w:color="auto" w:sz="4" w:space="0"/>
              <w:right w:val="single" w:color="auto" w:sz="4" w:space="0"/>
            </w:tcBorders>
            <w:shd w:val="clear" w:color="auto" w:fill="E6E6E6"/>
          </w:tcPr>
          <w:p w:rsidRPr="00D73795" w:rsidR="00D73795" w:rsidP="00D73795" w:rsidRDefault="00D73795" w14:paraId="1F302F69" w14:textId="77777777">
            <w:pPr>
              <w:spacing w:before="60" w:after="60"/>
              <w:jc w:val="center"/>
              <w:rPr>
                <w:color w:val="000000"/>
              </w:rPr>
            </w:pPr>
            <w:r w:rsidRPr="00D73795">
              <w:rPr>
                <w:b/>
                <w:color w:val="000000"/>
              </w:rPr>
              <w:t xml:space="preserve">INTERVENOR COMPENSATION CLAIM PREPARATION </w:t>
            </w:r>
            <w:r w:rsidRPr="00D73795">
              <w:rPr>
                <w:b/>
                <w:smallCaps/>
                <w:color w:val="000000"/>
              </w:rPr>
              <w:t xml:space="preserve"> **</w:t>
            </w:r>
          </w:p>
        </w:tc>
      </w:tr>
      <w:tr w:rsidRPr="00D73795" w:rsidR="00D73795" w:rsidTr="004A727B" w14:paraId="0AFE3760" w14:textId="77777777">
        <w:trPr>
          <w:jc w:val="center"/>
        </w:trPr>
        <w:tc>
          <w:tcPr>
            <w:tcW w:w="1404" w:type="dxa"/>
            <w:tcBorders>
              <w:top w:val="single" w:color="auto" w:sz="4" w:space="0"/>
              <w:bottom w:val="single" w:color="auto" w:sz="4" w:space="0"/>
            </w:tcBorders>
            <w:shd w:val="clear" w:color="auto" w:fill="auto"/>
          </w:tcPr>
          <w:p w:rsidRPr="00D73795" w:rsidR="00D73795" w:rsidP="00D73795" w:rsidRDefault="00D73795" w14:paraId="51B96E8C" w14:textId="77777777">
            <w:pPr>
              <w:spacing w:before="60" w:after="60"/>
              <w:jc w:val="center"/>
              <w:rPr>
                <w:b/>
                <w:color w:val="000000"/>
                <w:sz w:val="22"/>
                <w:szCs w:val="22"/>
              </w:rPr>
            </w:pPr>
            <w:r w:rsidRPr="00D73795">
              <w:rPr>
                <w:b/>
                <w:color w:val="000000"/>
                <w:sz w:val="22"/>
                <w:szCs w:val="22"/>
              </w:rPr>
              <w:t>Item</w:t>
            </w:r>
          </w:p>
        </w:tc>
        <w:tc>
          <w:tcPr>
            <w:tcW w:w="774" w:type="dxa"/>
            <w:tcBorders>
              <w:top w:val="single" w:color="auto" w:sz="4" w:space="0"/>
              <w:bottom w:val="single" w:color="auto" w:sz="4" w:space="0"/>
            </w:tcBorders>
            <w:shd w:val="clear" w:color="auto" w:fill="auto"/>
          </w:tcPr>
          <w:p w:rsidRPr="00D73795" w:rsidR="00D73795" w:rsidP="00D73795" w:rsidRDefault="00D73795" w14:paraId="51D2D962" w14:textId="77777777">
            <w:pPr>
              <w:spacing w:before="60" w:after="60"/>
              <w:jc w:val="center"/>
              <w:rPr>
                <w:b/>
                <w:color w:val="000000"/>
                <w:sz w:val="22"/>
                <w:szCs w:val="22"/>
              </w:rPr>
            </w:pPr>
            <w:r w:rsidRPr="00D73795">
              <w:rPr>
                <w:b/>
                <w:color w:val="000000"/>
                <w:sz w:val="22"/>
                <w:szCs w:val="22"/>
              </w:rPr>
              <w:t>Year</w:t>
            </w:r>
          </w:p>
        </w:tc>
        <w:tc>
          <w:tcPr>
            <w:tcW w:w="833" w:type="dxa"/>
            <w:gridSpan w:val="2"/>
            <w:tcBorders>
              <w:top w:val="single" w:color="auto" w:sz="4" w:space="0"/>
              <w:bottom w:val="single" w:color="auto" w:sz="4" w:space="0"/>
            </w:tcBorders>
            <w:shd w:val="clear" w:color="auto" w:fill="auto"/>
          </w:tcPr>
          <w:p w:rsidRPr="00D73795" w:rsidR="00D73795" w:rsidP="00D73795" w:rsidRDefault="00D73795" w14:paraId="20EA6D5B" w14:textId="77777777">
            <w:pPr>
              <w:spacing w:before="60" w:after="60"/>
              <w:jc w:val="center"/>
              <w:rPr>
                <w:b/>
                <w:color w:val="000000"/>
                <w:sz w:val="22"/>
                <w:szCs w:val="22"/>
              </w:rPr>
            </w:pPr>
            <w:r w:rsidRPr="00D73795">
              <w:rPr>
                <w:b/>
                <w:color w:val="000000"/>
                <w:sz w:val="22"/>
                <w:szCs w:val="22"/>
              </w:rPr>
              <w:t>Hours</w:t>
            </w:r>
          </w:p>
        </w:tc>
        <w:tc>
          <w:tcPr>
            <w:tcW w:w="1001" w:type="dxa"/>
            <w:tcBorders>
              <w:top w:val="single" w:color="auto" w:sz="4" w:space="0"/>
              <w:bottom w:val="single" w:color="auto" w:sz="4" w:space="0"/>
            </w:tcBorders>
            <w:shd w:val="clear" w:color="auto" w:fill="auto"/>
          </w:tcPr>
          <w:p w:rsidRPr="00D73795" w:rsidR="00D73795" w:rsidP="00D73795" w:rsidRDefault="00D73795" w14:paraId="5C71ECFC" w14:textId="77777777">
            <w:pPr>
              <w:spacing w:before="60" w:after="60"/>
              <w:jc w:val="center"/>
              <w:rPr>
                <w:b/>
                <w:color w:val="000000"/>
                <w:sz w:val="22"/>
                <w:szCs w:val="22"/>
              </w:rPr>
            </w:pPr>
            <w:r w:rsidRPr="00D73795">
              <w:rPr>
                <w:b/>
                <w:color w:val="000000"/>
                <w:sz w:val="22"/>
                <w:szCs w:val="22"/>
              </w:rPr>
              <w:t xml:space="preserve">Rate $ </w:t>
            </w:r>
          </w:p>
        </w:tc>
        <w:tc>
          <w:tcPr>
            <w:tcW w:w="1653" w:type="dxa"/>
            <w:gridSpan w:val="2"/>
            <w:tcBorders>
              <w:top w:val="single" w:color="auto" w:sz="4" w:space="0"/>
              <w:bottom w:val="single" w:color="auto" w:sz="4" w:space="0"/>
              <w:right w:val="single" w:color="auto" w:sz="4" w:space="0"/>
            </w:tcBorders>
            <w:shd w:val="clear" w:color="auto" w:fill="auto"/>
          </w:tcPr>
          <w:p w:rsidRPr="00D73795" w:rsidR="00D73795" w:rsidP="00D73795" w:rsidRDefault="00D73795" w14:paraId="199D70D7" w14:textId="77777777">
            <w:pPr>
              <w:spacing w:before="60" w:after="60"/>
              <w:jc w:val="center"/>
              <w:rPr>
                <w:b/>
                <w:color w:val="000000"/>
                <w:sz w:val="22"/>
                <w:szCs w:val="22"/>
              </w:rPr>
            </w:pPr>
            <w:r w:rsidRPr="00D73795">
              <w:rPr>
                <w:b/>
                <w:color w:val="000000"/>
                <w:sz w:val="22"/>
                <w:szCs w:val="22"/>
              </w:rPr>
              <w:t>Basis for Rate*</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D73795" w:rsidRDefault="00D73795" w14:paraId="47FEB428" w14:textId="77777777">
            <w:pPr>
              <w:spacing w:before="60" w:after="60"/>
              <w:jc w:val="center"/>
              <w:rPr>
                <w:b/>
                <w:color w:val="000000"/>
                <w:sz w:val="22"/>
                <w:szCs w:val="22"/>
              </w:rPr>
            </w:pPr>
            <w:r w:rsidRPr="00D73795">
              <w:rPr>
                <w:b/>
                <w:color w:val="000000"/>
                <w:sz w:val="22"/>
                <w:szCs w:val="22"/>
              </w:rPr>
              <w:t>Total $</w:t>
            </w:r>
          </w:p>
        </w:tc>
        <w:tc>
          <w:tcPr>
            <w:tcW w:w="1080" w:type="dxa"/>
            <w:tcBorders>
              <w:top w:val="single" w:color="auto" w:sz="4" w:space="0"/>
              <w:left w:val="single" w:color="auto" w:sz="4" w:space="0"/>
            </w:tcBorders>
            <w:shd w:val="clear" w:color="auto" w:fill="auto"/>
          </w:tcPr>
          <w:p w:rsidRPr="00D73795" w:rsidR="00D73795" w:rsidP="00D73795" w:rsidRDefault="00D73795" w14:paraId="11524A63" w14:textId="77777777">
            <w:pPr>
              <w:spacing w:before="60" w:after="60"/>
              <w:jc w:val="center"/>
              <w:rPr>
                <w:b/>
                <w:color w:val="000000"/>
                <w:sz w:val="22"/>
                <w:szCs w:val="22"/>
              </w:rPr>
            </w:pPr>
            <w:r w:rsidRPr="00D73795">
              <w:rPr>
                <w:b/>
                <w:color w:val="000000"/>
                <w:sz w:val="22"/>
                <w:szCs w:val="22"/>
              </w:rPr>
              <w:t>Hours</w:t>
            </w:r>
          </w:p>
        </w:tc>
        <w:tc>
          <w:tcPr>
            <w:tcW w:w="1080" w:type="dxa"/>
            <w:tcBorders>
              <w:top w:val="single" w:color="auto" w:sz="4" w:space="0"/>
            </w:tcBorders>
            <w:shd w:val="clear" w:color="auto" w:fill="auto"/>
          </w:tcPr>
          <w:p w:rsidRPr="00D73795" w:rsidR="00D73795" w:rsidP="00D73795" w:rsidRDefault="00D73795" w14:paraId="1CFC6201" w14:textId="77777777">
            <w:pPr>
              <w:spacing w:before="60" w:after="60"/>
              <w:jc w:val="center"/>
              <w:rPr>
                <w:b/>
                <w:color w:val="000000"/>
                <w:sz w:val="22"/>
                <w:szCs w:val="22"/>
              </w:rPr>
            </w:pPr>
            <w:r w:rsidRPr="00D73795">
              <w:rPr>
                <w:b/>
                <w:color w:val="000000"/>
                <w:sz w:val="22"/>
                <w:szCs w:val="22"/>
              </w:rPr>
              <w:t xml:space="preserve">Rate </w:t>
            </w:r>
          </w:p>
        </w:tc>
        <w:tc>
          <w:tcPr>
            <w:tcW w:w="1350" w:type="dxa"/>
            <w:tcBorders>
              <w:top w:val="single" w:color="auto" w:sz="4" w:space="0"/>
            </w:tcBorders>
            <w:shd w:val="clear" w:color="auto" w:fill="auto"/>
          </w:tcPr>
          <w:p w:rsidRPr="00D73795" w:rsidR="00D73795" w:rsidP="00D73795" w:rsidRDefault="00D73795" w14:paraId="19487005" w14:textId="77777777">
            <w:pPr>
              <w:spacing w:before="60" w:after="60"/>
              <w:jc w:val="center"/>
              <w:rPr>
                <w:b/>
                <w:color w:val="000000"/>
                <w:sz w:val="22"/>
                <w:szCs w:val="22"/>
              </w:rPr>
            </w:pPr>
            <w:r w:rsidRPr="00D73795">
              <w:rPr>
                <w:b/>
                <w:color w:val="000000"/>
                <w:sz w:val="22"/>
                <w:szCs w:val="22"/>
              </w:rPr>
              <w:t>Total $</w:t>
            </w:r>
          </w:p>
        </w:tc>
      </w:tr>
      <w:tr w:rsidRPr="00D73795" w:rsidR="00D73795" w:rsidTr="004A727B" w14:paraId="38F57373" w14:textId="77777777">
        <w:trPr>
          <w:jc w:val="center"/>
        </w:trPr>
        <w:tc>
          <w:tcPr>
            <w:tcW w:w="1404" w:type="dxa"/>
            <w:shd w:val="clear" w:color="auto" w:fill="auto"/>
          </w:tcPr>
          <w:p w:rsidRPr="00D73795" w:rsidR="00D73795" w:rsidP="00D73795" w:rsidRDefault="00D73795" w14:paraId="559F2342" w14:textId="77777777">
            <w:pPr>
              <w:spacing w:before="60" w:after="60"/>
              <w:rPr>
                <w:color w:val="000000"/>
              </w:rPr>
            </w:pPr>
            <w:r w:rsidRPr="00D73795">
              <w:rPr>
                <w:color w:val="000000"/>
              </w:rPr>
              <w:t>Michael Boccadoro</w:t>
            </w:r>
          </w:p>
        </w:tc>
        <w:tc>
          <w:tcPr>
            <w:tcW w:w="774" w:type="dxa"/>
            <w:shd w:val="clear" w:color="auto" w:fill="auto"/>
          </w:tcPr>
          <w:p w:rsidRPr="00D73795" w:rsidR="00D73795" w:rsidP="004A727B" w:rsidRDefault="00D73795" w14:paraId="55187C75" w14:textId="77777777">
            <w:pPr>
              <w:spacing w:before="60" w:after="60"/>
              <w:jc w:val="center"/>
              <w:rPr>
                <w:color w:val="000000"/>
              </w:rPr>
            </w:pPr>
            <w:r w:rsidRPr="00D73795">
              <w:rPr>
                <w:color w:val="000000"/>
              </w:rPr>
              <w:t>2020</w:t>
            </w:r>
          </w:p>
        </w:tc>
        <w:tc>
          <w:tcPr>
            <w:tcW w:w="833" w:type="dxa"/>
            <w:gridSpan w:val="2"/>
            <w:shd w:val="clear" w:color="auto" w:fill="auto"/>
          </w:tcPr>
          <w:p w:rsidRPr="00D73795" w:rsidR="00D73795" w:rsidP="004A727B" w:rsidRDefault="00D73795" w14:paraId="276B7A69" w14:textId="77777777">
            <w:pPr>
              <w:spacing w:before="60" w:after="60"/>
              <w:jc w:val="center"/>
              <w:rPr>
                <w:color w:val="000000"/>
              </w:rPr>
            </w:pPr>
            <w:r w:rsidRPr="00D73795">
              <w:rPr>
                <w:color w:val="000000"/>
              </w:rPr>
              <w:t>.5</w:t>
            </w:r>
          </w:p>
        </w:tc>
        <w:tc>
          <w:tcPr>
            <w:tcW w:w="1001" w:type="dxa"/>
            <w:shd w:val="clear" w:color="auto" w:fill="auto"/>
          </w:tcPr>
          <w:p w:rsidRPr="00D73795" w:rsidR="00D73795" w:rsidP="004A727B" w:rsidRDefault="00D73795" w14:paraId="6143C2D1" w14:textId="77777777">
            <w:pPr>
              <w:spacing w:before="60" w:after="60"/>
              <w:jc w:val="center"/>
              <w:rPr>
                <w:color w:val="000000"/>
              </w:rPr>
            </w:pPr>
            <w:r w:rsidRPr="00D73795">
              <w:rPr>
                <w:color w:val="000000"/>
              </w:rPr>
              <w:t>$107.50</w:t>
            </w:r>
          </w:p>
        </w:tc>
        <w:tc>
          <w:tcPr>
            <w:tcW w:w="1653" w:type="dxa"/>
            <w:gridSpan w:val="2"/>
            <w:tcBorders>
              <w:right w:val="single" w:color="auto" w:sz="4" w:space="0"/>
            </w:tcBorders>
            <w:shd w:val="clear" w:color="auto" w:fill="auto"/>
          </w:tcPr>
          <w:p w:rsidRPr="00D73795" w:rsidR="00D73795" w:rsidP="004A727B" w:rsidRDefault="00D73795" w14:paraId="7F95C05C" w14:textId="0B9628ED">
            <w:pPr>
              <w:spacing w:before="60" w:after="60"/>
              <w:jc w:val="center"/>
              <w:rPr>
                <w:color w:val="000000"/>
              </w:rPr>
            </w:pPr>
            <w:r w:rsidRPr="00D73795">
              <w:rPr>
                <w:color w:val="000000"/>
              </w:rPr>
              <w:t>D.19-11-010 and ALJ-357, ALJ-387, 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2F0193F7" w14:textId="08EBF335">
            <w:pPr>
              <w:spacing w:before="60" w:after="60"/>
              <w:jc w:val="center"/>
              <w:rPr>
                <w:color w:val="000000"/>
              </w:rPr>
            </w:pPr>
            <w:r w:rsidRPr="00D73795">
              <w:rPr>
                <w:color w:val="000000"/>
              </w:rPr>
              <w:t>$53.75</w:t>
            </w:r>
          </w:p>
        </w:tc>
        <w:tc>
          <w:tcPr>
            <w:tcW w:w="1080" w:type="dxa"/>
            <w:tcBorders>
              <w:left w:val="single" w:color="auto" w:sz="4" w:space="0"/>
              <w:right w:val="single" w:color="auto" w:sz="4" w:space="0"/>
            </w:tcBorders>
            <w:shd w:val="clear" w:color="auto" w:fill="auto"/>
          </w:tcPr>
          <w:p w:rsidRPr="00D73795" w:rsidR="00D73795" w:rsidP="004A727B" w:rsidRDefault="00D73795" w14:paraId="6A963F06" w14:textId="77777777">
            <w:pPr>
              <w:spacing w:before="60" w:after="60"/>
              <w:jc w:val="center"/>
              <w:rPr>
                <w:color w:val="000000"/>
              </w:rPr>
            </w:pPr>
            <w:r w:rsidRPr="00D73795">
              <w:rPr>
                <w:color w:val="000000"/>
              </w:rPr>
              <w:t>0.45 [7]</w:t>
            </w:r>
          </w:p>
        </w:tc>
        <w:tc>
          <w:tcPr>
            <w:tcW w:w="1080" w:type="dxa"/>
            <w:tcBorders>
              <w:left w:val="single" w:color="auto" w:sz="4" w:space="0"/>
            </w:tcBorders>
            <w:shd w:val="clear" w:color="auto" w:fill="auto"/>
          </w:tcPr>
          <w:p w:rsidRPr="00D73795" w:rsidR="00D73795" w:rsidP="004A727B" w:rsidRDefault="00D73795" w14:paraId="20FCB049" w14:textId="77777777">
            <w:pPr>
              <w:spacing w:before="60" w:after="60"/>
              <w:jc w:val="center"/>
              <w:rPr>
                <w:color w:val="000000"/>
              </w:rPr>
            </w:pPr>
            <w:r w:rsidRPr="00D73795">
              <w:rPr>
                <w:color w:val="000000"/>
              </w:rPr>
              <w:t>$107.50</w:t>
            </w:r>
          </w:p>
        </w:tc>
        <w:tc>
          <w:tcPr>
            <w:tcW w:w="1350" w:type="dxa"/>
            <w:shd w:val="clear" w:color="auto" w:fill="auto"/>
          </w:tcPr>
          <w:p w:rsidRPr="00D73795" w:rsidR="00D73795" w:rsidP="004A727B" w:rsidRDefault="00D73795" w14:paraId="1903919A" w14:textId="78E618FA">
            <w:pPr>
              <w:spacing w:before="60" w:after="60"/>
              <w:jc w:val="center"/>
              <w:rPr>
                <w:color w:val="000000"/>
              </w:rPr>
            </w:pPr>
            <w:r w:rsidRPr="00D73795">
              <w:t>$48.38</w:t>
            </w:r>
          </w:p>
        </w:tc>
      </w:tr>
      <w:tr w:rsidRPr="00D73795" w:rsidR="00D73795" w:rsidTr="004A727B" w14:paraId="13FAC14C" w14:textId="77777777">
        <w:trPr>
          <w:jc w:val="center"/>
        </w:trPr>
        <w:tc>
          <w:tcPr>
            <w:tcW w:w="1404" w:type="dxa"/>
            <w:shd w:val="clear" w:color="auto" w:fill="auto"/>
          </w:tcPr>
          <w:p w:rsidRPr="00D73795" w:rsidR="00D73795" w:rsidP="00D73795" w:rsidRDefault="00D73795" w14:paraId="3B5AC697" w14:textId="77777777">
            <w:pPr>
              <w:spacing w:before="60" w:after="60"/>
              <w:rPr>
                <w:color w:val="000000"/>
              </w:rPr>
            </w:pPr>
            <w:r w:rsidRPr="00D73795">
              <w:rPr>
                <w:color w:val="000000"/>
              </w:rPr>
              <w:t>Beth Olhasso</w:t>
            </w:r>
          </w:p>
        </w:tc>
        <w:tc>
          <w:tcPr>
            <w:tcW w:w="774" w:type="dxa"/>
            <w:shd w:val="clear" w:color="auto" w:fill="auto"/>
          </w:tcPr>
          <w:p w:rsidRPr="00D73795" w:rsidR="00D73795" w:rsidP="004A727B" w:rsidRDefault="00D73795" w14:paraId="24815118" w14:textId="77777777">
            <w:pPr>
              <w:spacing w:before="60" w:after="60"/>
              <w:jc w:val="center"/>
              <w:rPr>
                <w:color w:val="000000"/>
              </w:rPr>
            </w:pPr>
            <w:r w:rsidRPr="00D73795">
              <w:rPr>
                <w:color w:val="000000"/>
              </w:rPr>
              <w:t>2020</w:t>
            </w:r>
          </w:p>
        </w:tc>
        <w:tc>
          <w:tcPr>
            <w:tcW w:w="833" w:type="dxa"/>
            <w:gridSpan w:val="2"/>
            <w:shd w:val="clear" w:color="auto" w:fill="auto"/>
          </w:tcPr>
          <w:p w:rsidRPr="00D73795" w:rsidR="00D73795" w:rsidP="004A727B" w:rsidRDefault="00D73795" w14:paraId="1010CF14" w14:textId="77777777">
            <w:pPr>
              <w:spacing w:before="60" w:after="60"/>
              <w:jc w:val="center"/>
              <w:rPr>
                <w:color w:val="000000"/>
              </w:rPr>
            </w:pPr>
            <w:r w:rsidRPr="00D73795">
              <w:rPr>
                <w:color w:val="000000"/>
              </w:rPr>
              <w:t>1.8</w:t>
            </w:r>
          </w:p>
        </w:tc>
        <w:tc>
          <w:tcPr>
            <w:tcW w:w="1001" w:type="dxa"/>
            <w:shd w:val="clear" w:color="auto" w:fill="auto"/>
          </w:tcPr>
          <w:p w:rsidRPr="00D73795" w:rsidR="00D73795" w:rsidP="004A727B" w:rsidRDefault="00D73795" w14:paraId="6FE4DF12" w14:textId="77777777">
            <w:pPr>
              <w:spacing w:before="60" w:after="60"/>
              <w:jc w:val="center"/>
              <w:rPr>
                <w:color w:val="000000"/>
              </w:rPr>
            </w:pPr>
            <w:r w:rsidRPr="00D73795">
              <w:rPr>
                <w:color w:val="000000"/>
              </w:rPr>
              <w:t>$77.50</w:t>
            </w:r>
          </w:p>
        </w:tc>
        <w:tc>
          <w:tcPr>
            <w:tcW w:w="1653" w:type="dxa"/>
            <w:gridSpan w:val="2"/>
            <w:tcBorders>
              <w:right w:val="single" w:color="auto" w:sz="4" w:space="0"/>
            </w:tcBorders>
            <w:shd w:val="clear" w:color="auto" w:fill="auto"/>
          </w:tcPr>
          <w:p w:rsidRPr="00D73795" w:rsidR="00D73795" w:rsidP="004A727B" w:rsidRDefault="00D73795" w14:paraId="3A4EA735" w14:textId="1AACBD2E">
            <w:pPr>
              <w:spacing w:before="60" w:after="60"/>
              <w:jc w:val="center"/>
              <w:rPr>
                <w:color w:val="000000"/>
              </w:rPr>
            </w:pPr>
            <w:r w:rsidRPr="00D73795">
              <w:rPr>
                <w:color w:val="000000"/>
              </w:rPr>
              <w:t>D.19-11-010</w:t>
            </w:r>
            <w:r w:rsidR="004A727B">
              <w:rPr>
                <w:color w:val="000000"/>
              </w:rPr>
              <w:t xml:space="preserve"> </w:t>
            </w:r>
            <w:r w:rsidRPr="00D73795">
              <w:rPr>
                <w:color w:val="000000"/>
              </w:rPr>
              <w:t>and ALJ-357, ALJ-387, 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767164DB" w14:textId="23B433C6">
            <w:pPr>
              <w:spacing w:before="60" w:after="60"/>
              <w:jc w:val="center"/>
              <w:rPr>
                <w:color w:val="000000"/>
              </w:rPr>
            </w:pPr>
            <w:r w:rsidRPr="00D73795">
              <w:rPr>
                <w:color w:val="000000"/>
              </w:rPr>
              <w:t>$139.50</w:t>
            </w:r>
          </w:p>
        </w:tc>
        <w:tc>
          <w:tcPr>
            <w:tcW w:w="1080" w:type="dxa"/>
            <w:tcBorders>
              <w:left w:val="single" w:color="auto" w:sz="4" w:space="0"/>
              <w:right w:val="single" w:color="auto" w:sz="4" w:space="0"/>
            </w:tcBorders>
            <w:shd w:val="clear" w:color="auto" w:fill="auto"/>
          </w:tcPr>
          <w:p w:rsidRPr="00D73795" w:rsidR="00D73795" w:rsidP="004A727B" w:rsidRDefault="00D73795" w14:paraId="77372622" w14:textId="77777777">
            <w:pPr>
              <w:spacing w:before="60" w:after="60"/>
              <w:jc w:val="center"/>
              <w:rPr>
                <w:color w:val="000000"/>
              </w:rPr>
            </w:pPr>
            <w:r w:rsidRPr="00D73795">
              <w:rPr>
                <w:color w:val="000000"/>
              </w:rPr>
              <w:t>1.62 [7]</w:t>
            </w:r>
          </w:p>
        </w:tc>
        <w:tc>
          <w:tcPr>
            <w:tcW w:w="1080" w:type="dxa"/>
            <w:tcBorders>
              <w:left w:val="single" w:color="auto" w:sz="4" w:space="0"/>
            </w:tcBorders>
            <w:shd w:val="clear" w:color="auto" w:fill="auto"/>
          </w:tcPr>
          <w:p w:rsidRPr="00D73795" w:rsidR="00D73795" w:rsidP="004A727B" w:rsidRDefault="00D73795" w14:paraId="19BEDADE" w14:textId="77777777">
            <w:pPr>
              <w:spacing w:before="60" w:after="60"/>
              <w:jc w:val="center"/>
              <w:rPr>
                <w:color w:val="000000"/>
              </w:rPr>
            </w:pPr>
            <w:r w:rsidRPr="00D73795">
              <w:rPr>
                <w:color w:val="000000"/>
              </w:rPr>
              <w:t>$55.50</w:t>
            </w:r>
          </w:p>
        </w:tc>
        <w:tc>
          <w:tcPr>
            <w:tcW w:w="1350" w:type="dxa"/>
            <w:shd w:val="clear" w:color="auto" w:fill="auto"/>
          </w:tcPr>
          <w:p w:rsidRPr="00D73795" w:rsidR="00D73795" w:rsidP="004A727B" w:rsidRDefault="00D73795" w14:paraId="49DF3B82" w14:textId="2E592D3A">
            <w:pPr>
              <w:spacing w:before="60" w:after="60"/>
              <w:jc w:val="center"/>
              <w:rPr>
                <w:color w:val="000000"/>
              </w:rPr>
            </w:pPr>
            <w:r w:rsidRPr="00D73795">
              <w:t>$89.91</w:t>
            </w:r>
          </w:p>
        </w:tc>
      </w:tr>
      <w:tr w:rsidRPr="00D73795" w:rsidR="00D73795" w:rsidTr="004A727B" w14:paraId="7A4C42C1" w14:textId="77777777">
        <w:trPr>
          <w:jc w:val="center"/>
        </w:trPr>
        <w:tc>
          <w:tcPr>
            <w:tcW w:w="1404" w:type="dxa"/>
            <w:shd w:val="clear" w:color="auto" w:fill="auto"/>
          </w:tcPr>
          <w:p w:rsidRPr="00D73795" w:rsidR="00D73795" w:rsidP="00D73795" w:rsidRDefault="00D73795" w14:paraId="15D636A3" w14:textId="77777777">
            <w:pPr>
              <w:spacing w:before="60" w:after="60"/>
              <w:rPr>
                <w:color w:val="000000"/>
              </w:rPr>
            </w:pPr>
            <w:r w:rsidRPr="00D73795">
              <w:rPr>
                <w:color w:val="000000"/>
              </w:rPr>
              <w:t>Ann Trowbridge</w:t>
            </w:r>
          </w:p>
        </w:tc>
        <w:tc>
          <w:tcPr>
            <w:tcW w:w="774" w:type="dxa"/>
            <w:shd w:val="clear" w:color="auto" w:fill="auto"/>
          </w:tcPr>
          <w:p w:rsidRPr="00D73795" w:rsidR="00D73795" w:rsidP="004A727B" w:rsidRDefault="00D73795" w14:paraId="55FABD44" w14:textId="77777777">
            <w:pPr>
              <w:spacing w:before="60" w:after="60"/>
              <w:jc w:val="center"/>
              <w:rPr>
                <w:color w:val="000000"/>
              </w:rPr>
            </w:pPr>
            <w:r w:rsidRPr="00D73795">
              <w:rPr>
                <w:color w:val="000000"/>
              </w:rPr>
              <w:t>2020</w:t>
            </w:r>
          </w:p>
        </w:tc>
        <w:tc>
          <w:tcPr>
            <w:tcW w:w="833" w:type="dxa"/>
            <w:gridSpan w:val="2"/>
            <w:shd w:val="clear" w:color="auto" w:fill="auto"/>
          </w:tcPr>
          <w:p w:rsidRPr="00D73795" w:rsidR="00D73795" w:rsidP="004A727B" w:rsidRDefault="00D73795" w14:paraId="0F3BC06F" w14:textId="77777777">
            <w:pPr>
              <w:spacing w:before="60" w:after="60"/>
              <w:jc w:val="center"/>
              <w:rPr>
                <w:color w:val="000000"/>
              </w:rPr>
            </w:pPr>
            <w:r w:rsidRPr="00D73795">
              <w:rPr>
                <w:color w:val="000000"/>
              </w:rPr>
              <w:t>.6</w:t>
            </w:r>
          </w:p>
        </w:tc>
        <w:tc>
          <w:tcPr>
            <w:tcW w:w="1001" w:type="dxa"/>
            <w:shd w:val="clear" w:color="auto" w:fill="auto"/>
          </w:tcPr>
          <w:p w:rsidRPr="00D73795" w:rsidR="00D73795" w:rsidP="004A727B" w:rsidRDefault="00D73795" w14:paraId="025216EE" w14:textId="77777777">
            <w:pPr>
              <w:spacing w:before="60" w:after="60"/>
              <w:jc w:val="center"/>
              <w:rPr>
                <w:color w:val="000000"/>
              </w:rPr>
            </w:pPr>
            <w:r w:rsidRPr="00D73795">
              <w:rPr>
                <w:color w:val="000000"/>
              </w:rPr>
              <w:t>$212.50</w:t>
            </w:r>
          </w:p>
        </w:tc>
        <w:tc>
          <w:tcPr>
            <w:tcW w:w="1653" w:type="dxa"/>
            <w:gridSpan w:val="2"/>
            <w:tcBorders>
              <w:right w:val="single" w:color="auto" w:sz="4" w:space="0"/>
            </w:tcBorders>
            <w:shd w:val="clear" w:color="auto" w:fill="auto"/>
          </w:tcPr>
          <w:p w:rsidRPr="00D73795" w:rsidR="00D73795" w:rsidP="004A727B" w:rsidRDefault="00D73795" w14:paraId="22464935" w14:textId="6FE24036">
            <w:pPr>
              <w:spacing w:before="60" w:after="60"/>
              <w:jc w:val="center"/>
              <w:rPr>
                <w:color w:val="000000"/>
              </w:rPr>
            </w:pPr>
            <w:r w:rsidRPr="00D73795">
              <w:rPr>
                <w:color w:val="000000"/>
              </w:rPr>
              <w:t>D.19-11-010</w:t>
            </w:r>
            <w:r w:rsidR="004A727B">
              <w:rPr>
                <w:color w:val="000000"/>
              </w:rPr>
              <w:t xml:space="preserve"> </w:t>
            </w:r>
            <w:r w:rsidRPr="00D73795">
              <w:rPr>
                <w:color w:val="000000"/>
              </w:rPr>
              <w:t>and ALJ-357, ALJ-387, 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7D733831" w14:textId="737BF89E">
            <w:pPr>
              <w:spacing w:before="60" w:after="60"/>
              <w:jc w:val="center"/>
              <w:rPr>
                <w:color w:val="000000"/>
              </w:rPr>
            </w:pPr>
            <w:r w:rsidRPr="00D73795">
              <w:rPr>
                <w:color w:val="000000"/>
              </w:rPr>
              <w:t>$127.50</w:t>
            </w:r>
          </w:p>
          <w:p w:rsidRPr="00D73795" w:rsidR="00D73795" w:rsidP="004A727B" w:rsidRDefault="00D73795" w14:paraId="483F9AA6" w14:textId="77777777">
            <w:pPr>
              <w:spacing w:before="60" w:after="60"/>
              <w:jc w:val="center"/>
              <w:rPr>
                <w:color w:val="000000"/>
              </w:rPr>
            </w:pPr>
          </w:p>
        </w:tc>
        <w:tc>
          <w:tcPr>
            <w:tcW w:w="1080" w:type="dxa"/>
            <w:tcBorders>
              <w:left w:val="single" w:color="auto" w:sz="4" w:space="0"/>
              <w:right w:val="single" w:color="auto" w:sz="4" w:space="0"/>
            </w:tcBorders>
            <w:shd w:val="clear" w:color="auto" w:fill="auto"/>
          </w:tcPr>
          <w:p w:rsidRPr="00D73795" w:rsidR="00D73795" w:rsidP="004A727B" w:rsidRDefault="00D73795" w14:paraId="4B1CAD0B" w14:textId="77777777">
            <w:pPr>
              <w:spacing w:before="60" w:after="60"/>
              <w:jc w:val="center"/>
              <w:rPr>
                <w:color w:val="000000"/>
              </w:rPr>
            </w:pPr>
            <w:r w:rsidRPr="00D73795">
              <w:rPr>
                <w:color w:val="000000"/>
              </w:rPr>
              <w:t>0.54 [7]</w:t>
            </w:r>
          </w:p>
        </w:tc>
        <w:tc>
          <w:tcPr>
            <w:tcW w:w="1080" w:type="dxa"/>
            <w:tcBorders>
              <w:left w:val="single" w:color="auto" w:sz="4" w:space="0"/>
            </w:tcBorders>
            <w:shd w:val="clear" w:color="auto" w:fill="auto"/>
          </w:tcPr>
          <w:p w:rsidRPr="00D73795" w:rsidR="00D73795" w:rsidP="004A727B" w:rsidRDefault="00D73795" w14:paraId="26275790" w14:textId="77777777">
            <w:pPr>
              <w:spacing w:before="60" w:after="60"/>
              <w:jc w:val="center"/>
              <w:rPr>
                <w:color w:val="000000"/>
              </w:rPr>
            </w:pPr>
            <w:r w:rsidRPr="00D73795">
              <w:rPr>
                <w:color w:val="000000"/>
              </w:rPr>
              <w:t>$212.50 [3]</w:t>
            </w:r>
          </w:p>
        </w:tc>
        <w:tc>
          <w:tcPr>
            <w:tcW w:w="1350" w:type="dxa"/>
            <w:shd w:val="clear" w:color="auto" w:fill="auto"/>
          </w:tcPr>
          <w:p w:rsidRPr="00D73795" w:rsidR="00D73795" w:rsidP="004A727B" w:rsidRDefault="00D73795" w14:paraId="4E56FD9D" w14:textId="2E28CE08">
            <w:pPr>
              <w:spacing w:before="60" w:after="60"/>
              <w:jc w:val="center"/>
              <w:rPr>
                <w:color w:val="000000"/>
              </w:rPr>
            </w:pPr>
            <w:r w:rsidRPr="00D73795">
              <w:t>$114.75</w:t>
            </w:r>
          </w:p>
        </w:tc>
      </w:tr>
      <w:tr w:rsidRPr="00D73795" w:rsidR="00D73795" w:rsidTr="004A727B" w14:paraId="57D9A016" w14:textId="77777777">
        <w:trPr>
          <w:jc w:val="center"/>
        </w:trPr>
        <w:tc>
          <w:tcPr>
            <w:tcW w:w="1404" w:type="dxa"/>
            <w:shd w:val="clear" w:color="auto" w:fill="auto"/>
          </w:tcPr>
          <w:p w:rsidRPr="00D73795" w:rsidR="00D73795" w:rsidP="00D73795" w:rsidRDefault="00D73795" w14:paraId="5AA9D455" w14:textId="77777777">
            <w:pPr>
              <w:spacing w:before="60" w:after="60"/>
              <w:rPr>
                <w:color w:val="000000"/>
              </w:rPr>
            </w:pPr>
            <w:r w:rsidRPr="00D73795">
              <w:rPr>
                <w:color w:val="000000"/>
              </w:rPr>
              <w:t>Michael Boccadoro</w:t>
            </w:r>
          </w:p>
        </w:tc>
        <w:tc>
          <w:tcPr>
            <w:tcW w:w="774" w:type="dxa"/>
            <w:shd w:val="clear" w:color="auto" w:fill="auto"/>
          </w:tcPr>
          <w:p w:rsidRPr="00D73795" w:rsidR="00D73795" w:rsidP="004A727B" w:rsidRDefault="00D73795" w14:paraId="4043A236" w14:textId="77777777">
            <w:pPr>
              <w:spacing w:before="60" w:after="60"/>
              <w:jc w:val="center"/>
              <w:rPr>
                <w:color w:val="000000"/>
              </w:rPr>
            </w:pPr>
            <w:r w:rsidRPr="00D73795">
              <w:rPr>
                <w:color w:val="000000"/>
              </w:rPr>
              <w:t>2021</w:t>
            </w:r>
          </w:p>
        </w:tc>
        <w:tc>
          <w:tcPr>
            <w:tcW w:w="833" w:type="dxa"/>
            <w:gridSpan w:val="2"/>
            <w:shd w:val="clear" w:color="auto" w:fill="auto"/>
          </w:tcPr>
          <w:p w:rsidRPr="00D73795" w:rsidR="00D73795" w:rsidP="004A727B" w:rsidRDefault="00D73795" w14:paraId="7DB2C994" w14:textId="77777777">
            <w:pPr>
              <w:spacing w:before="60" w:after="60"/>
              <w:jc w:val="center"/>
              <w:rPr>
                <w:color w:val="000000"/>
              </w:rPr>
            </w:pPr>
            <w:r w:rsidRPr="00D73795">
              <w:rPr>
                <w:color w:val="000000"/>
              </w:rPr>
              <w:t>2.5</w:t>
            </w:r>
          </w:p>
        </w:tc>
        <w:tc>
          <w:tcPr>
            <w:tcW w:w="1001" w:type="dxa"/>
            <w:shd w:val="clear" w:color="auto" w:fill="auto"/>
          </w:tcPr>
          <w:p w:rsidRPr="00D73795" w:rsidR="00D73795" w:rsidP="004A727B" w:rsidRDefault="00D73795" w14:paraId="4EEC3C69" w14:textId="77777777">
            <w:pPr>
              <w:spacing w:before="60" w:after="60"/>
              <w:jc w:val="center"/>
              <w:rPr>
                <w:color w:val="000000"/>
              </w:rPr>
            </w:pPr>
            <w:r w:rsidRPr="00D73795">
              <w:rPr>
                <w:color w:val="000000"/>
              </w:rPr>
              <w:t>$107.50</w:t>
            </w:r>
          </w:p>
        </w:tc>
        <w:tc>
          <w:tcPr>
            <w:tcW w:w="1653" w:type="dxa"/>
            <w:gridSpan w:val="2"/>
            <w:tcBorders>
              <w:right w:val="single" w:color="auto" w:sz="4" w:space="0"/>
            </w:tcBorders>
            <w:shd w:val="clear" w:color="auto" w:fill="auto"/>
          </w:tcPr>
          <w:p w:rsidRPr="00D73795" w:rsidR="00D73795" w:rsidP="004A727B" w:rsidRDefault="00D73795" w14:paraId="57D6558B" w14:textId="55C641CA">
            <w:pPr>
              <w:spacing w:before="60" w:after="60"/>
              <w:jc w:val="center"/>
              <w:rPr>
                <w:color w:val="000000"/>
              </w:rPr>
            </w:pPr>
            <w:r w:rsidRPr="00D73795">
              <w:rPr>
                <w:color w:val="000000"/>
              </w:rPr>
              <w:t>D.19-11-010</w:t>
            </w:r>
            <w:r w:rsidR="004A727B">
              <w:rPr>
                <w:color w:val="000000"/>
              </w:rPr>
              <w:t xml:space="preserve"> </w:t>
            </w:r>
            <w:r w:rsidRPr="00D73795">
              <w:rPr>
                <w:color w:val="000000"/>
              </w:rPr>
              <w:t>and ALJ-357, ALJ-387, 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549CA7B0" w14:textId="4AE02C6B">
            <w:pPr>
              <w:spacing w:before="60" w:after="60"/>
              <w:jc w:val="center"/>
              <w:rPr>
                <w:color w:val="000000"/>
              </w:rPr>
            </w:pPr>
            <w:r w:rsidRPr="00D73795">
              <w:rPr>
                <w:color w:val="000000"/>
              </w:rPr>
              <w:t>$268.75</w:t>
            </w:r>
          </w:p>
        </w:tc>
        <w:tc>
          <w:tcPr>
            <w:tcW w:w="1080" w:type="dxa"/>
            <w:tcBorders>
              <w:left w:val="single" w:color="auto" w:sz="4" w:space="0"/>
              <w:right w:val="single" w:color="auto" w:sz="4" w:space="0"/>
            </w:tcBorders>
            <w:shd w:val="clear" w:color="auto" w:fill="auto"/>
          </w:tcPr>
          <w:p w:rsidRPr="00D73795" w:rsidR="00D73795" w:rsidP="004A727B" w:rsidRDefault="00D73795" w14:paraId="18D9DDE3" w14:textId="77777777">
            <w:pPr>
              <w:spacing w:before="60" w:after="60"/>
              <w:jc w:val="center"/>
              <w:rPr>
                <w:color w:val="000000"/>
              </w:rPr>
            </w:pPr>
            <w:r w:rsidRPr="00D73795">
              <w:rPr>
                <w:color w:val="000000"/>
              </w:rPr>
              <w:t>2.25 [7]</w:t>
            </w:r>
          </w:p>
        </w:tc>
        <w:tc>
          <w:tcPr>
            <w:tcW w:w="1080" w:type="dxa"/>
            <w:tcBorders>
              <w:left w:val="single" w:color="auto" w:sz="4" w:space="0"/>
            </w:tcBorders>
            <w:shd w:val="clear" w:color="auto" w:fill="auto"/>
          </w:tcPr>
          <w:p w:rsidRPr="00D73795" w:rsidR="00D73795" w:rsidP="004A727B" w:rsidRDefault="00D73795" w14:paraId="792203DC" w14:textId="77777777">
            <w:pPr>
              <w:spacing w:before="60" w:after="60"/>
              <w:jc w:val="center"/>
              <w:rPr>
                <w:color w:val="000000"/>
              </w:rPr>
            </w:pPr>
            <w:r w:rsidRPr="00D73795">
              <w:rPr>
                <w:color w:val="000000"/>
              </w:rPr>
              <w:t>$110 [5]</w:t>
            </w:r>
          </w:p>
        </w:tc>
        <w:tc>
          <w:tcPr>
            <w:tcW w:w="1350" w:type="dxa"/>
            <w:shd w:val="clear" w:color="auto" w:fill="auto"/>
          </w:tcPr>
          <w:p w:rsidRPr="00D73795" w:rsidR="00D73795" w:rsidP="004A727B" w:rsidRDefault="00D73795" w14:paraId="28FB0A2E" w14:textId="6E74D914">
            <w:pPr>
              <w:jc w:val="center"/>
              <w:rPr>
                <w:color w:val="000000"/>
              </w:rPr>
            </w:pPr>
            <w:r w:rsidRPr="00D73795">
              <w:rPr>
                <w:color w:val="000000"/>
              </w:rPr>
              <w:t>$247.50</w:t>
            </w:r>
          </w:p>
          <w:p w:rsidRPr="00D73795" w:rsidR="00D73795" w:rsidP="004A727B" w:rsidRDefault="00D73795" w14:paraId="41C258E8" w14:textId="77777777">
            <w:pPr>
              <w:spacing w:before="60" w:after="60"/>
              <w:jc w:val="center"/>
              <w:rPr>
                <w:color w:val="000000"/>
              </w:rPr>
            </w:pPr>
          </w:p>
        </w:tc>
      </w:tr>
      <w:tr w:rsidRPr="00D73795" w:rsidR="00D73795" w:rsidTr="004A727B" w14:paraId="46588B52" w14:textId="77777777">
        <w:trPr>
          <w:jc w:val="center"/>
        </w:trPr>
        <w:tc>
          <w:tcPr>
            <w:tcW w:w="1404" w:type="dxa"/>
            <w:shd w:val="clear" w:color="auto" w:fill="auto"/>
          </w:tcPr>
          <w:p w:rsidRPr="00D73795" w:rsidR="00D73795" w:rsidP="00D73795" w:rsidRDefault="00D73795" w14:paraId="52DF43BB" w14:textId="77777777">
            <w:pPr>
              <w:spacing w:before="60" w:after="60"/>
              <w:rPr>
                <w:color w:val="000000"/>
              </w:rPr>
            </w:pPr>
            <w:r w:rsidRPr="00D73795">
              <w:rPr>
                <w:color w:val="000000"/>
              </w:rPr>
              <w:t>Beth Olhasso</w:t>
            </w:r>
          </w:p>
        </w:tc>
        <w:tc>
          <w:tcPr>
            <w:tcW w:w="774" w:type="dxa"/>
            <w:shd w:val="clear" w:color="auto" w:fill="auto"/>
          </w:tcPr>
          <w:p w:rsidRPr="00D73795" w:rsidR="00D73795" w:rsidP="004A727B" w:rsidRDefault="00D73795" w14:paraId="5A3651AC" w14:textId="77777777">
            <w:pPr>
              <w:spacing w:before="60" w:after="60"/>
              <w:jc w:val="center"/>
              <w:rPr>
                <w:color w:val="000000"/>
              </w:rPr>
            </w:pPr>
            <w:r w:rsidRPr="00D73795">
              <w:rPr>
                <w:color w:val="000000"/>
              </w:rPr>
              <w:t>2021</w:t>
            </w:r>
          </w:p>
        </w:tc>
        <w:tc>
          <w:tcPr>
            <w:tcW w:w="833" w:type="dxa"/>
            <w:gridSpan w:val="2"/>
            <w:shd w:val="clear" w:color="auto" w:fill="auto"/>
          </w:tcPr>
          <w:p w:rsidRPr="00D73795" w:rsidR="00D73795" w:rsidP="004A727B" w:rsidRDefault="00D73795" w14:paraId="70E80D2C" w14:textId="77777777">
            <w:pPr>
              <w:spacing w:before="60" w:after="60"/>
              <w:jc w:val="center"/>
              <w:rPr>
                <w:color w:val="000000"/>
              </w:rPr>
            </w:pPr>
            <w:r w:rsidRPr="00D73795">
              <w:rPr>
                <w:color w:val="000000"/>
              </w:rPr>
              <w:t>5</w:t>
            </w:r>
          </w:p>
        </w:tc>
        <w:tc>
          <w:tcPr>
            <w:tcW w:w="1001" w:type="dxa"/>
            <w:shd w:val="clear" w:color="auto" w:fill="auto"/>
          </w:tcPr>
          <w:p w:rsidRPr="00D73795" w:rsidR="00D73795" w:rsidP="004A727B" w:rsidRDefault="00D73795" w14:paraId="114E3B16" w14:textId="77777777">
            <w:pPr>
              <w:spacing w:before="60" w:after="60"/>
              <w:jc w:val="center"/>
              <w:rPr>
                <w:color w:val="000000"/>
              </w:rPr>
            </w:pPr>
            <w:r w:rsidRPr="00D73795">
              <w:rPr>
                <w:color w:val="000000"/>
              </w:rPr>
              <w:t>$77.50</w:t>
            </w:r>
          </w:p>
        </w:tc>
        <w:tc>
          <w:tcPr>
            <w:tcW w:w="1653" w:type="dxa"/>
            <w:gridSpan w:val="2"/>
            <w:tcBorders>
              <w:right w:val="single" w:color="auto" w:sz="4" w:space="0"/>
            </w:tcBorders>
            <w:shd w:val="clear" w:color="auto" w:fill="auto"/>
          </w:tcPr>
          <w:p w:rsidRPr="00D73795" w:rsidR="00D73795" w:rsidP="004A727B" w:rsidRDefault="00D73795" w14:paraId="013D7644" w14:textId="7676BC15">
            <w:pPr>
              <w:spacing w:before="60" w:after="60"/>
              <w:jc w:val="center"/>
              <w:rPr>
                <w:color w:val="000000"/>
              </w:rPr>
            </w:pPr>
            <w:r w:rsidRPr="00D73795">
              <w:rPr>
                <w:color w:val="000000"/>
              </w:rPr>
              <w:t>D.19-11-010</w:t>
            </w:r>
            <w:r w:rsidR="004A727B">
              <w:rPr>
                <w:color w:val="000000"/>
              </w:rPr>
              <w:t xml:space="preserve"> </w:t>
            </w:r>
            <w:r w:rsidRPr="00D73795">
              <w:rPr>
                <w:color w:val="000000"/>
              </w:rPr>
              <w:t>and ALJ-357, ALJ-387, 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2DEEB5D1" w14:textId="5C7D1BD5">
            <w:pPr>
              <w:spacing w:before="60" w:after="60"/>
              <w:jc w:val="center"/>
              <w:rPr>
                <w:color w:val="000000"/>
              </w:rPr>
            </w:pPr>
            <w:r w:rsidRPr="00D73795">
              <w:rPr>
                <w:color w:val="000000"/>
              </w:rPr>
              <w:t>$4387.50</w:t>
            </w:r>
          </w:p>
          <w:p w:rsidRPr="00D73795" w:rsidR="00D73795" w:rsidP="004A727B" w:rsidRDefault="00D73795" w14:paraId="39C1E5B9" w14:textId="77777777">
            <w:pPr>
              <w:spacing w:before="60" w:after="60"/>
              <w:jc w:val="center"/>
              <w:rPr>
                <w:color w:val="000000"/>
              </w:rPr>
            </w:pPr>
          </w:p>
        </w:tc>
        <w:tc>
          <w:tcPr>
            <w:tcW w:w="1080" w:type="dxa"/>
            <w:tcBorders>
              <w:left w:val="single" w:color="auto" w:sz="4" w:space="0"/>
              <w:right w:val="single" w:color="auto" w:sz="4" w:space="0"/>
            </w:tcBorders>
            <w:shd w:val="clear" w:color="auto" w:fill="auto"/>
          </w:tcPr>
          <w:p w:rsidRPr="00D73795" w:rsidR="00D73795" w:rsidP="004A727B" w:rsidRDefault="00D73795" w14:paraId="58FE8127" w14:textId="0EA91147">
            <w:pPr>
              <w:spacing w:before="60" w:after="60"/>
              <w:jc w:val="center"/>
              <w:rPr>
                <w:color w:val="000000"/>
              </w:rPr>
            </w:pPr>
            <w:r w:rsidRPr="00D73795">
              <w:rPr>
                <w:color w:val="000000"/>
              </w:rPr>
              <w:t>4.5</w:t>
            </w:r>
            <w:r w:rsidR="004A727B">
              <w:rPr>
                <w:color w:val="000000"/>
              </w:rPr>
              <w:t xml:space="preserve"> </w:t>
            </w:r>
            <w:r w:rsidRPr="00D73795">
              <w:rPr>
                <w:color w:val="000000"/>
              </w:rPr>
              <w:t>[7]</w:t>
            </w:r>
          </w:p>
        </w:tc>
        <w:tc>
          <w:tcPr>
            <w:tcW w:w="1080" w:type="dxa"/>
            <w:tcBorders>
              <w:left w:val="single" w:color="auto" w:sz="4" w:space="0"/>
            </w:tcBorders>
            <w:shd w:val="clear" w:color="auto" w:fill="auto"/>
          </w:tcPr>
          <w:p w:rsidRPr="00D73795" w:rsidR="00D73795" w:rsidP="004A727B" w:rsidRDefault="00D73795" w14:paraId="36AD96A7" w14:textId="77777777">
            <w:pPr>
              <w:spacing w:before="60" w:after="60"/>
              <w:jc w:val="center"/>
              <w:rPr>
                <w:color w:val="000000"/>
              </w:rPr>
            </w:pPr>
            <w:r w:rsidRPr="00D73795">
              <w:rPr>
                <w:color w:val="000000"/>
              </w:rPr>
              <w:t>$80 [6]</w:t>
            </w:r>
          </w:p>
        </w:tc>
        <w:tc>
          <w:tcPr>
            <w:tcW w:w="1350" w:type="dxa"/>
            <w:shd w:val="clear" w:color="auto" w:fill="auto"/>
          </w:tcPr>
          <w:p w:rsidRPr="00D73795" w:rsidR="00D73795" w:rsidP="004A727B" w:rsidRDefault="00D73795" w14:paraId="3C794435" w14:textId="31073C05">
            <w:pPr>
              <w:jc w:val="center"/>
            </w:pPr>
            <w:r w:rsidRPr="00D73795">
              <w:t>$360.00</w:t>
            </w:r>
          </w:p>
          <w:p w:rsidRPr="00D73795" w:rsidR="00D73795" w:rsidP="004A727B" w:rsidRDefault="00D73795" w14:paraId="133A804B" w14:textId="77777777">
            <w:pPr>
              <w:spacing w:before="60" w:after="60"/>
              <w:jc w:val="center"/>
              <w:rPr>
                <w:color w:val="000000"/>
              </w:rPr>
            </w:pPr>
          </w:p>
        </w:tc>
      </w:tr>
      <w:tr w:rsidRPr="00D73795" w:rsidR="00D73795" w:rsidTr="004A727B" w14:paraId="3A1BE483" w14:textId="77777777">
        <w:trPr>
          <w:jc w:val="center"/>
        </w:trPr>
        <w:tc>
          <w:tcPr>
            <w:tcW w:w="1404" w:type="dxa"/>
            <w:shd w:val="clear" w:color="auto" w:fill="auto"/>
          </w:tcPr>
          <w:p w:rsidRPr="00D73795" w:rsidR="00D73795" w:rsidP="00D73795" w:rsidRDefault="00D73795" w14:paraId="4DE5ACF8" w14:textId="77777777">
            <w:pPr>
              <w:spacing w:before="60" w:after="60"/>
              <w:rPr>
                <w:color w:val="000000"/>
              </w:rPr>
            </w:pPr>
            <w:r w:rsidRPr="00D73795">
              <w:rPr>
                <w:color w:val="000000"/>
              </w:rPr>
              <w:t>Ann Trowbridge</w:t>
            </w:r>
          </w:p>
        </w:tc>
        <w:tc>
          <w:tcPr>
            <w:tcW w:w="774" w:type="dxa"/>
            <w:shd w:val="clear" w:color="auto" w:fill="auto"/>
          </w:tcPr>
          <w:p w:rsidRPr="00D73795" w:rsidR="00D73795" w:rsidP="004A727B" w:rsidRDefault="00D73795" w14:paraId="7F297A4F" w14:textId="77777777">
            <w:pPr>
              <w:spacing w:before="60" w:after="60"/>
              <w:jc w:val="center"/>
              <w:rPr>
                <w:color w:val="000000"/>
              </w:rPr>
            </w:pPr>
            <w:r w:rsidRPr="00D73795">
              <w:rPr>
                <w:color w:val="000000"/>
              </w:rPr>
              <w:t>2021</w:t>
            </w:r>
          </w:p>
        </w:tc>
        <w:tc>
          <w:tcPr>
            <w:tcW w:w="833" w:type="dxa"/>
            <w:gridSpan w:val="2"/>
            <w:shd w:val="clear" w:color="auto" w:fill="auto"/>
          </w:tcPr>
          <w:p w:rsidRPr="00D73795" w:rsidR="00D73795" w:rsidP="004A727B" w:rsidRDefault="00D73795" w14:paraId="75462F31" w14:textId="77777777">
            <w:pPr>
              <w:spacing w:before="60" w:after="60"/>
              <w:jc w:val="center"/>
              <w:rPr>
                <w:color w:val="000000"/>
              </w:rPr>
            </w:pPr>
            <w:r w:rsidRPr="00D73795">
              <w:rPr>
                <w:color w:val="000000"/>
              </w:rPr>
              <w:t>4.4</w:t>
            </w:r>
          </w:p>
        </w:tc>
        <w:tc>
          <w:tcPr>
            <w:tcW w:w="1001" w:type="dxa"/>
            <w:shd w:val="clear" w:color="auto" w:fill="auto"/>
          </w:tcPr>
          <w:p w:rsidRPr="00D73795" w:rsidR="00D73795" w:rsidP="004A727B" w:rsidRDefault="00D73795" w14:paraId="208D6CCE" w14:textId="77777777">
            <w:pPr>
              <w:spacing w:before="60" w:after="60"/>
              <w:jc w:val="center"/>
              <w:rPr>
                <w:color w:val="000000"/>
              </w:rPr>
            </w:pPr>
            <w:r w:rsidRPr="00D73795">
              <w:rPr>
                <w:color w:val="000000"/>
              </w:rPr>
              <w:t>$212.50</w:t>
            </w:r>
          </w:p>
        </w:tc>
        <w:tc>
          <w:tcPr>
            <w:tcW w:w="1653" w:type="dxa"/>
            <w:gridSpan w:val="2"/>
            <w:tcBorders>
              <w:right w:val="single" w:color="auto" w:sz="4" w:space="0"/>
            </w:tcBorders>
            <w:shd w:val="clear" w:color="auto" w:fill="auto"/>
          </w:tcPr>
          <w:p w:rsidRPr="00D73795" w:rsidR="00D73795" w:rsidP="004A727B" w:rsidRDefault="00D73795" w14:paraId="6C93D401" w14:textId="441A7727">
            <w:pPr>
              <w:spacing w:before="60" w:after="60"/>
              <w:jc w:val="center"/>
              <w:rPr>
                <w:color w:val="000000"/>
              </w:rPr>
            </w:pPr>
            <w:r w:rsidRPr="00D73795">
              <w:rPr>
                <w:color w:val="000000"/>
              </w:rPr>
              <w:t>D.19-11-010</w:t>
            </w:r>
            <w:r w:rsidR="004A727B">
              <w:rPr>
                <w:color w:val="000000"/>
              </w:rPr>
              <w:t xml:space="preserve"> </w:t>
            </w:r>
            <w:r w:rsidRPr="00D73795">
              <w:rPr>
                <w:color w:val="000000"/>
              </w:rPr>
              <w:t>and ALJ-357, ALJ-387, ALJ-393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D73795" w:rsidR="00D73795" w:rsidP="004A727B" w:rsidRDefault="00D73795" w14:paraId="7E391AE7" w14:textId="11C265D2">
            <w:pPr>
              <w:spacing w:before="60" w:after="60"/>
              <w:jc w:val="center"/>
              <w:rPr>
                <w:color w:val="000000"/>
              </w:rPr>
            </w:pPr>
            <w:r w:rsidRPr="00D73795">
              <w:rPr>
                <w:color w:val="000000"/>
              </w:rPr>
              <w:t>$935</w:t>
            </w:r>
          </w:p>
        </w:tc>
        <w:tc>
          <w:tcPr>
            <w:tcW w:w="1080" w:type="dxa"/>
            <w:tcBorders>
              <w:left w:val="single" w:color="auto" w:sz="4" w:space="0"/>
              <w:right w:val="single" w:color="auto" w:sz="4" w:space="0"/>
            </w:tcBorders>
            <w:shd w:val="clear" w:color="auto" w:fill="auto"/>
          </w:tcPr>
          <w:p w:rsidRPr="00D73795" w:rsidR="00D73795" w:rsidP="004A727B" w:rsidRDefault="00D73795" w14:paraId="6FCA0986" w14:textId="77777777">
            <w:pPr>
              <w:spacing w:before="60" w:after="60"/>
              <w:jc w:val="center"/>
              <w:rPr>
                <w:color w:val="000000"/>
              </w:rPr>
            </w:pPr>
            <w:r w:rsidRPr="00D73795">
              <w:rPr>
                <w:color w:val="000000"/>
              </w:rPr>
              <w:t>3.96 [7]</w:t>
            </w:r>
          </w:p>
        </w:tc>
        <w:tc>
          <w:tcPr>
            <w:tcW w:w="1080" w:type="dxa"/>
            <w:tcBorders>
              <w:left w:val="single" w:color="auto" w:sz="4" w:space="0"/>
            </w:tcBorders>
            <w:shd w:val="clear" w:color="auto" w:fill="auto"/>
          </w:tcPr>
          <w:p w:rsidRPr="00D73795" w:rsidR="00D73795" w:rsidP="004A727B" w:rsidRDefault="00D73795" w14:paraId="34DC5264" w14:textId="77777777">
            <w:pPr>
              <w:spacing w:before="60" w:after="60"/>
              <w:jc w:val="center"/>
              <w:rPr>
                <w:color w:val="000000"/>
              </w:rPr>
            </w:pPr>
            <w:r w:rsidRPr="00D73795">
              <w:rPr>
                <w:color w:val="000000"/>
              </w:rPr>
              <w:t>$212.50 [3]</w:t>
            </w:r>
          </w:p>
        </w:tc>
        <w:tc>
          <w:tcPr>
            <w:tcW w:w="1350" w:type="dxa"/>
            <w:shd w:val="clear" w:color="auto" w:fill="auto"/>
          </w:tcPr>
          <w:p w:rsidRPr="00D73795" w:rsidR="00D73795" w:rsidP="004A727B" w:rsidRDefault="00D73795" w14:paraId="035191C9" w14:textId="7D96570A">
            <w:pPr>
              <w:jc w:val="center"/>
              <w:rPr>
                <w:color w:val="000000"/>
              </w:rPr>
            </w:pPr>
            <w:r w:rsidRPr="00D73795">
              <w:rPr>
                <w:color w:val="000000"/>
              </w:rPr>
              <w:t>$841.50</w:t>
            </w:r>
          </w:p>
          <w:p w:rsidRPr="00D73795" w:rsidR="00D73795" w:rsidP="004A727B" w:rsidRDefault="00D73795" w14:paraId="6B527C1F" w14:textId="77777777">
            <w:pPr>
              <w:jc w:val="center"/>
              <w:rPr>
                <w:color w:val="000000"/>
              </w:rPr>
            </w:pPr>
          </w:p>
          <w:p w:rsidRPr="00D73795" w:rsidR="00D73795" w:rsidP="004A727B" w:rsidRDefault="00D73795" w14:paraId="5670A2A1" w14:textId="77777777">
            <w:pPr>
              <w:spacing w:before="60" w:after="60"/>
              <w:jc w:val="center"/>
              <w:rPr>
                <w:color w:val="000000"/>
              </w:rPr>
            </w:pPr>
          </w:p>
        </w:tc>
      </w:tr>
      <w:tr w:rsidRPr="00D73795" w:rsidR="00D73795" w:rsidTr="004A727B" w14:paraId="7039AD09" w14:textId="77777777">
        <w:trPr>
          <w:jc w:val="center"/>
        </w:trPr>
        <w:tc>
          <w:tcPr>
            <w:tcW w:w="7015" w:type="dxa"/>
            <w:gridSpan w:val="9"/>
            <w:tcBorders>
              <w:bottom w:val="single" w:color="auto" w:sz="4" w:space="0"/>
              <w:right w:val="single" w:color="auto" w:sz="24" w:space="0"/>
            </w:tcBorders>
            <w:shd w:val="clear" w:color="auto" w:fill="auto"/>
            <w:vAlign w:val="bottom"/>
          </w:tcPr>
          <w:p w:rsidRPr="00D73795" w:rsidR="00D73795" w:rsidP="00D73795" w:rsidRDefault="00D73795" w14:paraId="5B1A5040" w14:textId="77777777">
            <w:pPr>
              <w:tabs>
                <w:tab w:val="left" w:pos="957"/>
              </w:tabs>
              <w:spacing w:before="60" w:after="60"/>
              <w:ind w:right="162"/>
              <w:jc w:val="right"/>
              <w:rPr>
                <w:b/>
                <w:i/>
                <w:color w:val="000000"/>
              </w:rPr>
            </w:pPr>
            <w:r w:rsidRPr="00D73795">
              <w:rPr>
                <w:b/>
                <w:i/>
                <w:color w:val="000000"/>
              </w:rPr>
              <w:t>Subtotal: $1,912.00</w:t>
            </w:r>
          </w:p>
        </w:tc>
        <w:tc>
          <w:tcPr>
            <w:tcW w:w="3510" w:type="dxa"/>
            <w:gridSpan w:val="3"/>
            <w:tcBorders>
              <w:left w:val="single" w:color="auto" w:sz="24" w:space="0"/>
              <w:bottom w:val="single" w:color="auto" w:sz="4" w:space="0"/>
            </w:tcBorders>
            <w:shd w:val="clear" w:color="auto" w:fill="auto"/>
            <w:vAlign w:val="bottom"/>
          </w:tcPr>
          <w:p w:rsidRPr="00D73795" w:rsidR="00D73795" w:rsidP="00D73795" w:rsidRDefault="00D73795" w14:paraId="1B859F36" w14:textId="77777777">
            <w:pPr>
              <w:tabs>
                <w:tab w:val="left" w:pos="957"/>
              </w:tabs>
              <w:spacing w:before="60" w:after="60"/>
              <w:ind w:right="162"/>
              <w:jc w:val="right"/>
              <w:rPr>
                <w:b/>
                <w:i/>
                <w:color w:val="000000"/>
              </w:rPr>
            </w:pPr>
            <w:r w:rsidRPr="00D73795">
              <w:rPr>
                <w:b/>
                <w:i/>
                <w:color w:val="000000"/>
              </w:rPr>
              <w:t>Subtotal: $1,702.04</w:t>
            </w:r>
          </w:p>
        </w:tc>
      </w:tr>
      <w:tr w:rsidRPr="00D73795" w:rsidR="00D73795" w:rsidTr="004A727B" w14:paraId="0E3805C3" w14:textId="77777777">
        <w:trPr>
          <w:jc w:val="center"/>
        </w:trPr>
        <w:tc>
          <w:tcPr>
            <w:tcW w:w="7015" w:type="dxa"/>
            <w:gridSpan w:val="9"/>
            <w:tcBorders>
              <w:top w:val="single" w:color="auto" w:sz="4" w:space="0"/>
              <w:bottom w:val="single" w:color="auto" w:sz="4" w:space="0"/>
              <w:right w:val="single" w:color="auto" w:sz="24" w:space="0"/>
            </w:tcBorders>
            <w:shd w:val="clear" w:color="auto" w:fill="E6E6E6"/>
            <w:vAlign w:val="bottom"/>
          </w:tcPr>
          <w:p w:rsidRPr="00D73795" w:rsidR="00D73795" w:rsidP="00D73795" w:rsidRDefault="00D73795" w14:paraId="6FB02AFA" w14:textId="77777777">
            <w:pPr>
              <w:tabs>
                <w:tab w:val="left" w:pos="957"/>
              </w:tabs>
              <w:spacing w:before="60" w:after="60"/>
              <w:ind w:right="72"/>
              <w:jc w:val="right"/>
              <w:rPr>
                <w:b/>
                <w:color w:val="000000"/>
              </w:rPr>
            </w:pPr>
            <w:r w:rsidRPr="00D73795">
              <w:rPr>
                <w:b/>
                <w:i/>
                <w:color w:val="000000"/>
              </w:rPr>
              <w:t>TOTAL REQUEST: $32,407.50</w:t>
            </w:r>
          </w:p>
        </w:tc>
        <w:tc>
          <w:tcPr>
            <w:tcW w:w="3510" w:type="dxa"/>
            <w:gridSpan w:val="3"/>
            <w:tcBorders>
              <w:left w:val="single" w:color="auto" w:sz="24" w:space="0"/>
            </w:tcBorders>
            <w:shd w:val="clear" w:color="auto" w:fill="E6E6E6"/>
            <w:vAlign w:val="bottom"/>
          </w:tcPr>
          <w:p w:rsidRPr="00D73795" w:rsidR="00D73795" w:rsidP="00D73795" w:rsidRDefault="00D73795" w14:paraId="546DAAA3" w14:textId="77777777">
            <w:pPr>
              <w:tabs>
                <w:tab w:val="left" w:pos="957"/>
              </w:tabs>
              <w:spacing w:before="60" w:after="60"/>
              <w:ind w:right="72"/>
              <w:jc w:val="right"/>
              <w:rPr>
                <w:b/>
                <w:color w:val="000000"/>
              </w:rPr>
            </w:pPr>
            <w:r w:rsidRPr="00D73795">
              <w:rPr>
                <w:b/>
                <w:i/>
                <w:color w:val="000000"/>
              </w:rPr>
              <w:t>TOTAL AWARD: $42,700.79</w:t>
            </w:r>
          </w:p>
        </w:tc>
      </w:tr>
      <w:tr w:rsidRPr="00D73795" w:rsidR="00D73795" w:rsidTr="004A727B" w14:paraId="71C48FF3" w14:textId="77777777">
        <w:trPr>
          <w:trHeight w:val="638"/>
          <w:jc w:val="center"/>
        </w:trPr>
        <w:tc>
          <w:tcPr>
            <w:tcW w:w="7015" w:type="dxa"/>
            <w:gridSpan w:val="9"/>
            <w:tcBorders>
              <w:top w:val="single" w:color="auto" w:sz="4" w:space="0"/>
              <w:bottom w:val="single" w:color="auto" w:sz="4" w:space="0"/>
              <w:right w:val="single" w:color="auto" w:sz="24" w:space="0"/>
            </w:tcBorders>
            <w:shd w:val="clear" w:color="auto" w:fill="E6E6E6"/>
            <w:vAlign w:val="bottom"/>
          </w:tcPr>
          <w:p w:rsidRPr="00D73795" w:rsidR="00D73795" w:rsidP="00D73795" w:rsidRDefault="00D73795" w14:paraId="1641B573" w14:textId="77777777">
            <w:pPr>
              <w:tabs>
                <w:tab w:val="left" w:pos="957"/>
              </w:tabs>
              <w:spacing w:before="60" w:after="60"/>
              <w:ind w:right="72"/>
              <w:jc w:val="right"/>
              <w:rPr>
                <w:b/>
                <w:i/>
                <w:color w:val="000000"/>
              </w:rPr>
            </w:pPr>
          </w:p>
        </w:tc>
        <w:tc>
          <w:tcPr>
            <w:tcW w:w="3510" w:type="dxa"/>
            <w:gridSpan w:val="3"/>
            <w:tcBorders>
              <w:left w:val="single" w:color="auto" w:sz="24" w:space="0"/>
            </w:tcBorders>
            <w:shd w:val="clear" w:color="auto" w:fill="E6E6E6"/>
            <w:vAlign w:val="bottom"/>
          </w:tcPr>
          <w:p w:rsidRPr="00D73795" w:rsidR="00D73795" w:rsidP="00D73795" w:rsidRDefault="00D73795" w14:paraId="71DACBAD" w14:textId="77777777">
            <w:pPr>
              <w:tabs>
                <w:tab w:val="left" w:pos="957"/>
              </w:tabs>
              <w:spacing w:before="60" w:after="60"/>
              <w:ind w:right="72"/>
              <w:jc w:val="right"/>
              <w:rPr>
                <w:b/>
                <w:i/>
                <w:color w:val="000000"/>
              </w:rPr>
            </w:pPr>
            <w:r w:rsidRPr="00D73795">
              <w:rPr>
                <w:b/>
                <w:iCs/>
                <w:color w:val="000000"/>
              </w:rPr>
              <w:t xml:space="preserve">64% of TOTAL: </w:t>
            </w:r>
            <w:bookmarkStart w:name="_Hlk125042304" w:id="2"/>
            <w:r w:rsidRPr="00D73795">
              <w:rPr>
                <w:b/>
                <w:iCs/>
                <w:color w:val="000000"/>
              </w:rPr>
              <w:t xml:space="preserve">$27,328.50 </w:t>
            </w:r>
            <w:bookmarkEnd w:id="2"/>
            <w:r w:rsidRPr="00D73795">
              <w:rPr>
                <w:b/>
                <w:iCs/>
                <w:color w:val="000000"/>
              </w:rPr>
              <w:t xml:space="preserve">[1]  </w:t>
            </w:r>
          </w:p>
        </w:tc>
      </w:tr>
      <w:tr w:rsidRPr="00D73795" w:rsidR="00D73795" w:rsidTr="004A727B" w14:paraId="5224D711" w14:textId="77777777">
        <w:trPr>
          <w:jc w:val="center"/>
        </w:trPr>
        <w:tc>
          <w:tcPr>
            <w:tcW w:w="10525" w:type="dxa"/>
            <w:gridSpan w:val="12"/>
            <w:tcBorders>
              <w:top w:val="single" w:color="auto" w:sz="4" w:space="0"/>
              <w:bottom w:val="single" w:color="auto" w:sz="4" w:space="0"/>
            </w:tcBorders>
            <w:shd w:val="clear" w:color="auto" w:fill="auto"/>
          </w:tcPr>
          <w:p w:rsidRPr="00D73795" w:rsidR="00D73795" w:rsidP="00D73795" w:rsidRDefault="00D73795" w14:paraId="1CD350E5" w14:textId="77777777">
            <w:pPr>
              <w:spacing w:before="60" w:after="60"/>
              <w:rPr>
                <w:color w:val="000000"/>
              </w:rPr>
            </w:pPr>
            <w:r w:rsidRPr="00D73795">
              <w:rPr>
                <w:color w:val="000000"/>
              </w:rPr>
              <w:t xml:space="preserve">  *We remind all intervenors that Commission staff may audit </w:t>
            </w:r>
            <w:r w:rsidRPr="00D73795">
              <w:t>the records and books of the intervenors to the extent necessary to verify the basis for the award (§1804(d)).  I</w:t>
            </w:r>
            <w:r w:rsidRPr="00D73795">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w:t>
            </w:r>
            <w:r w:rsidRPr="00D73795">
              <w:rPr>
                <w:color w:val="000000"/>
              </w:rPr>
              <w:lastRenderedPageBreak/>
              <w:t xml:space="preserve">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D73795" w:rsidR="00D73795" w:rsidP="00D73795" w:rsidRDefault="00D73795" w14:paraId="1BE8EEFB" w14:textId="39C6D46E">
            <w:pPr>
              <w:spacing w:before="60" w:after="60"/>
              <w:rPr>
                <w:color w:val="000000"/>
              </w:rPr>
            </w:pPr>
            <w:r w:rsidRPr="00D73795">
              <w:rPr>
                <w:color w:val="000000"/>
              </w:rPr>
              <w:t>**Travel and Reasonable Claim preparation time are typically compensated at ½ of preparer’s normal hourly rate</w:t>
            </w:r>
            <w:r w:rsidR="004A727B">
              <w:rPr>
                <w:color w:val="000000"/>
              </w:rPr>
              <w:t>.</w:t>
            </w:r>
            <w:r w:rsidRPr="00D73795" w:rsidDel="00D075B1">
              <w:rPr>
                <w:color w:val="000000"/>
              </w:rPr>
              <w:t xml:space="preserve"> </w:t>
            </w:r>
          </w:p>
        </w:tc>
      </w:tr>
      <w:tr w:rsidRPr="00D73795" w:rsidR="00D73795" w:rsidTr="004A727B" w14:paraId="56B2E29F" w14:textId="77777777">
        <w:trPr>
          <w:jc w:val="center"/>
        </w:trPr>
        <w:tc>
          <w:tcPr>
            <w:tcW w:w="10525"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73795" w:rsidR="00D73795" w:rsidP="00D73795" w:rsidRDefault="00D73795" w14:paraId="6A5B96BE" w14:textId="77777777">
            <w:pPr>
              <w:keepNext/>
              <w:keepLines/>
              <w:spacing w:before="60" w:after="60"/>
              <w:jc w:val="center"/>
              <w:rPr>
                <w:b/>
                <w:smallCaps/>
                <w:color w:val="000000"/>
              </w:rPr>
            </w:pPr>
            <w:r w:rsidRPr="00D73795">
              <w:rPr>
                <w:b/>
                <w:smallCaps/>
                <w:color w:val="000000"/>
              </w:rPr>
              <w:lastRenderedPageBreak/>
              <w:t>ATTORNEY INFORMATION</w:t>
            </w:r>
          </w:p>
        </w:tc>
      </w:tr>
      <w:tr w:rsidRPr="00D73795" w:rsidR="00D73795" w:rsidTr="004A727B" w14:paraId="7E03E26E" w14:textId="77777777">
        <w:trPr>
          <w:trHeight w:val="173"/>
          <w:jc w:val="center"/>
        </w:trPr>
        <w:tc>
          <w:tcPr>
            <w:tcW w:w="2538" w:type="dxa"/>
            <w:gridSpan w:val="3"/>
            <w:tcBorders>
              <w:top w:val="single" w:color="auto" w:sz="4" w:space="0"/>
              <w:bottom w:val="single" w:color="auto" w:sz="4" w:space="0"/>
            </w:tcBorders>
            <w:shd w:val="clear" w:color="auto" w:fill="FFFFFF"/>
          </w:tcPr>
          <w:p w:rsidRPr="00D73795" w:rsidR="00D73795" w:rsidP="00D73795" w:rsidRDefault="00D73795" w14:paraId="27ACC14F" w14:textId="77777777">
            <w:pPr>
              <w:keepLines/>
              <w:spacing w:before="60" w:after="60"/>
              <w:jc w:val="center"/>
              <w:rPr>
                <w:b/>
                <w:color w:val="000000"/>
                <w:sz w:val="22"/>
                <w:szCs w:val="22"/>
              </w:rPr>
            </w:pPr>
            <w:r w:rsidRPr="00D73795">
              <w:rPr>
                <w:b/>
                <w:sz w:val="22"/>
                <w:szCs w:val="22"/>
              </w:rPr>
              <w:t>Attorney</w:t>
            </w:r>
          </w:p>
        </w:tc>
        <w:tc>
          <w:tcPr>
            <w:tcW w:w="1800" w:type="dxa"/>
            <w:gridSpan w:val="3"/>
            <w:tcBorders>
              <w:top w:val="single" w:color="auto" w:sz="4" w:space="0"/>
              <w:bottom w:val="single" w:color="auto" w:sz="4" w:space="0"/>
            </w:tcBorders>
            <w:shd w:val="clear" w:color="auto" w:fill="FFFFFF"/>
          </w:tcPr>
          <w:p w:rsidRPr="00D73795" w:rsidR="00D73795" w:rsidP="00D73795" w:rsidRDefault="00D73795" w14:paraId="2980BB7B" w14:textId="77777777">
            <w:pPr>
              <w:keepNext/>
              <w:keepLines/>
              <w:spacing w:before="60" w:after="60"/>
              <w:jc w:val="center"/>
              <w:rPr>
                <w:b/>
                <w:color w:val="000000"/>
                <w:sz w:val="22"/>
                <w:szCs w:val="22"/>
              </w:rPr>
            </w:pPr>
            <w:r w:rsidRPr="00D73795">
              <w:rPr>
                <w:b/>
                <w:sz w:val="22"/>
                <w:szCs w:val="22"/>
              </w:rPr>
              <w:t>Date Admitted to CA BAR</w:t>
            </w:r>
            <w:r w:rsidRPr="00D73795">
              <w:rPr>
                <w:b/>
                <w:sz w:val="22"/>
                <w:szCs w:val="22"/>
                <w:vertAlign w:val="superscript"/>
              </w:rPr>
              <w:footnoteReference w:id="3"/>
            </w:r>
          </w:p>
        </w:tc>
        <w:tc>
          <w:tcPr>
            <w:tcW w:w="2160" w:type="dxa"/>
            <w:gridSpan w:val="2"/>
            <w:tcBorders>
              <w:top w:val="single" w:color="auto" w:sz="4" w:space="0"/>
              <w:bottom w:val="single" w:color="auto" w:sz="4" w:space="0"/>
            </w:tcBorders>
            <w:shd w:val="clear" w:color="auto" w:fill="FFFFFF"/>
          </w:tcPr>
          <w:p w:rsidRPr="00D73795" w:rsidR="00D73795" w:rsidP="00D73795" w:rsidRDefault="00D73795" w14:paraId="4AA537F9" w14:textId="77777777">
            <w:pPr>
              <w:keepNext/>
              <w:keepLines/>
              <w:spacing w:before="60" w:after="60"/>
              <w:jc w:val="center"/>
              <w:rPr>
                <w:b/>
                <w:color w:val="000000"/>
                <w:sz w:val="22"/>
                <w:szCs w:val="22"/>
              </w:rPr>
            </w:pPr>
            <w:r w:rsidRPr="00D73795">
              <w:rPr>
                <w:b/>
                <w:sz w:val="22"/>
                <w:szCs w:val="22"/>
              </w:rPr>
              <w:t>Member Number</w:t>
            </w:r>
          </w:p>
        </w:tc>
        <w:tc>
          <w:tcPr>
            <w:tcW w:w="4027" w:type="dxa"/>
            <w:gridSpan w:val="4"/>
            <w:tcBorders>
              <w:top w:val="single" w:color="auto" w:sz="4" w:space="0"/>
              <w:bottom w:val="single" w:color="auto" w:sz="4" w:space="0"/>
            </w:tcBorders>
            <w:shd w:val="clear" w:color="auto" w:fill="FFFFFF"/>
          </w:tcPr>
          <w:p w:rsidRPr="00D73795" w:rsidR="00D73795" w:rsidP="00D73795" w:rsidRDefault="00D73795" w14:paraId="3F612093" w14:textId="77777777">
            <w:pPr>
              <w:keepNext/>
              <w:keepLines/>
              <w:spacing w:before="60" w:after="60"/>
              <w:jc w:val="center"/>
              <w:rPr>
                <w:b/>
                <w:sz w:val="22"/>
                <w:szCs w:val="22"/>
              </w:rPr>
            </w:pPr>
            <w:r w:rsidRPr="00D73795">
              <w:rPr>
                <w:b/>
                <w:sz w:val="22"/>
                <w:szCs w:val="22"/>
              </w:rPr>
              <w:t>Actions Affecting Eligibility (Yes/No?)</w:t>
            </w:r>
          </w:p>
          <w:p w:rsidRPr="00D73795" w:rsidR="00D73795" w:rsidP="00D73795" w:rsidRDefault="00D73795" w14:paraId="0C2B8E6F" w14:textId="77777777">
            <w:pPr>
              <w:keepNext/>
              <w:keepLines/>
              <w:spacing w:before="60" w:after="60"/>
              <w:jc w:val="center"/>
              <w:rPr>
                <w:b/>
                <w:color w:val="000000"/>
                <w:sz w:val="22"/>
                <w:szCs w:val="22"/>
              </w:rPr>
            </w:pPr>
            <w:r w:rsidRPr="00D73795">
              <w:rPr>
                <w:b/>
                <w:sz w:val="22"/>
                <w:szCs w:val="22"/>
              </w:rPr>
              <w:t>If “Yes”, attach explanation</w:t>
            </w:r>
          </w:p>
        </w:tc>
      </w:tr>
      <w:tr w:rsidRPr="00D73795" w:rsidR="00D73795" w:rsidTr="004A727B" w14:paraId="5221DC94" w14:textId="77777777">
        <w:trPr>
          <w:trHeight w:val="172"/>
          <w:jc w:val="center"/>
        </w:trPr>
        <w:tc>
          <w:tcPr>
            <w:tcW w:w="2538" w:type="dxa"/>
            <w:gridSpan w:val="3"/>
            <w:tcBorders>
              <w:top w:val="single" w:color="auto" w:sz="4" w:space="0"/>
              <w:bottom w:val="single" w:color="auto" w:sz="4" w:space="0"/>
            </w:tcBorders>
            <w:shd w:val="clear" w:color="auto" w:fill="auto"/>
          </w:tcPr>
          <w:p w:rsidRPr="00D73795" w:rsidR="00D73795" w:rsidP="00D73795" w:rsidRDefault="00D73795" w14:paraId="7612994F" w14:textId="77777777">
            <w:pPr>
              <w:keepLines/>
              <w:spacing w:before="60" w:after="60"/>
              <w:rPr>
                <w:color w:val="000000"/>
              </w:rPr>
            </w:pPr>
            <w:r w:rsidRPr="00D73795">
              <w:rPr>
                <w:color w:val="000000"/>
              </w:rPr>
              <w:t>Ann L. Trowbridge</w:t>
            </w:r>
          </w:p>
        </w:tc>
        <w:tc>
          <w:tcPr>
            <w:tcW w:w="1800" w:type="dxa"/>
            <w:gridSpan w:val="3"/>
            <w:tcBorders>
              <w:top w:val="single" w:color="auto" w:sz="4" w:space="0"/>
              <w:bottom w:val="single" w:color="auto" w:sz="4" w:space="0"/>
            </w:tcBorders>
            <w:shd w:val="clear" w:color="auto" w:fill="auto"/>
          </w:tcPr>
          <w:p w:rsidRPr="00D73795" w:rsidR="00D73795" w:rsidP="00D73795" w:rsidRDefault="00D73795" w14:paraId="42905593" w14:textId="77777777">
            <w:pPr>
              <w:keepNext/>
              <w:keepLines/>
              <w:spacing w:before="60" w:after="60"/>
              <w:jc w:val="center"/>
              <w:rPr>
                <w:color w:val="000000"/>
              </w:rPr>
            </w:pPr>
            <w:r w:rsidRPr="00D73795">
              <w:rPr>
                <w:color w:val="000000"/>
              </w:rPr>
              <w:t>December 1993</w:t>
            </w:r>
          </w:p>
        </w:tc>
        <w:tc>
          <w:tcPr>
            <w:tcW w:w="2160" w:type="dxa"/>
            <w:gridSpan w:val="2"/>
            <w:tcBorders>
              <w:top w:val="single" w:color="auto" w:sz="4" w:space="0"/>
              <w:bottom w:val="single" w:color="auto" w:sz="4" w:space="0"/>
            </w:tcBorders>
            <w:shd w:val="clear" w:color="auto" w:fill="auto"/>
          </w:tcPr>
          <w:p w:rsidRPr="00D73795" w:rsidR="00D73795" w:rsidP="00D73795" w:rsidRDefault="00D73795" w14:paraId="362FB534" w14:textId="77777777">
            <w:pPr>
              <w:keepNext/>
              <w:keepLines/>
              <w:spacing w:before="60" w:after="60"/>
              <w:jc w:val="center"/>
              <w:rPr>
                <w:color w:val="000000"/>
              </w:rPr>
            </w:pPr>
            <w:r w:rsidRPr="00D73795">
              <w:rPr>
                <w:color w:val="000000"/>
              </w:rPr>
              <w:t>169591</w:t>
            </w:r>
          </w:p>
        </w:tc>
        <w:tc>
          <w:tcPr>
            <w:tcW w:w="4027" w:type="dxa"/>
            <w:gridSpan w:val="4"/>
            <w:tcBorders>
              <w:top w:val="single" w:color="auto" w:sz="4" w:space="0"/>
              <w:bottom w:val="single" w:color="auto" w:sz="4" w:space="0"/>
            </w:tcBorders>
            <w:shd w:val="clear" w:color="auto" w:fill="auto"/>
          </w:tcPr>
          <w:p w:rsidRPr="00D73795" w:rsidR="00D73795" w:rsidP="00D73795" w:rsidRDefault="00D73795" w14:paraId="5F476CB2" w14:textId="77777777">
            <w:pPr>
              <w:keepNext/>
              <w:keepLines/>
              <w:spacing w:before="60" w:after="60"/>
              <w:jc w:val="center"/>
              <w:rPr>
                <w:color w:val="000000"/>
              </w:rPr>
            </w:pPr>
            <w:r w:rsidRPr="00D73795">
              <w:rPr>
                <w:color w:val="000000"/>
              </w:rPr>
              <w:t>No</w:t>
            </w:r>
          </w:p>
        </w:tc>
      </w:tr>
    </w:tbl>
    <w:p w:rsidRPr="00D73795" w:rsidR="00D73795" w:rsidP="00D73795" w:rsidRDefault="00D73795" w14:paraId="7817F387" w14:textId="77777777">
      <w:pPr>
        <w:keepNext/>
        <w:keepLines/>
        <w:numPr>
          <w:ilvl w:val="0"/>
          <w:numId w:val="2"/>
        </w:numPr>
        <w:tabs>
          <w:tab w:val="clear" w:pos="900"/>
          <w:tab w:val="num" w:pos="360"/>
        </w:tabs>
        <w:spacing w:before="240"/>
        <w:ind w:left="360"/>
        <w:rPr>
          <w:b/>
          <w:color w:val="000000"/>
        </w:rPr>
      </w:pPr>
      <w:r w:rsidRPr="00D73795">
        <w:rPr>
          <w:b/>
        </w:rPr>
        <w:t>Attachments Documenting Specific Claim and Comments on Part III:</w:t>
      </w:r>
      <w:r w:rsidRPr="00D73795">
        <w:rPr>
          <w:b/>
          <w:color w:val="000000"/>
        </w:rPr>
        <w:br/>
        <w:t xml:space="preserve"> (attachments not attached to final Decision)</w:t>
      </w:r>
      <w:r w:rsidRPr="00D73795">
        <w:rPr>
          <w:b/>
          <w:color w:val="000000"/>
        </w:rPr>
        <w:br/>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010"/>
      </w:tblGrid>
      <w:tr w:rsidRPr="00D73795" w:rsidR="00D73795" w:rsidTr="00355A28" w14:paraId="6E6DA54B" w14:textId="77777777">
        <w:tc>
          <w:tcPr>
            <w:tcW w:w="1548" w:type="dxa"/>
            <w:shd w:val="clear" w:color="auto" w:fill="D9D9D9" w:themeFill="background1" w:themeFillShade="D9"/>
          </w:tcPr>
          <w:p w:rsidRPr="00D73795" w:rsidR="00D73795" w:rsidP="00D73795" w:rsidRDefault="00D73795" w14:paraId="49E6731C" w14:textId="77777777">
            <w:pPr>
              <w:keepNext/>
              <w:keepLines/>
              <w:tabs>
                <w:tab w:val="left" w:pos="1260"/>
              </w:tabs>
              <w:spacing w:before="120"/>
              <w:jc w:val="center"/>
              <w:rPr>
                <w:b/>
                <w:color w:val="000000"/>
              </w:rPr>
            </w:pPr>
            <w:r w:rsidRPr="00D73795">
              <w:rPr>
                <w:b/>
                <w:color w:val="000000"/>
              </w:rPr>
              <w:t>Attachment or Comment  #</w:t>
            </w:r>
          </w:p>
        </w:tc>
        <w:tc>
          <w:tcPr>
            <w:tcW w:w="8010" w:type="dxa"/>
            <w:tcBorders>
              <w:bottom w:val="single" w:color="auto" w:sz="4" w:space="0"/>
            </w:tcBorders>
            <w:shd w:val="clear" w:color="auto" w:fill="D9D9D9" w:themeFill="background1" w:themeFillShade="D9"/>
          </w:tcPr>
          <w:p w:rsidRPr="00D73795" w:rsidR="00D73795" w:rsidP="00D73795" w:rsidRDefault="00D73795" w14:paraId="28DAD6C2" w14:textId="77777777">
            <w:pPr>
              <w:keepNext/>
              <w:keepLines/>
              <w:tabs>
                <w:tab w:val="left" w:pos="1260"/>
              </w:tabs>
              <w:spacing w:before="120"/>
              <w:jc w:val="center"/>
              <w:rPr>
                <w:b/>
                <w:color w:val="000000"/>
              </w:rPr>
            </w:pPr>
            <w:r w:rsidRPr="00D73795">
              <w:rPr>
                <w:b/>
                <w:color w:val="000000"/>
              </w:rPr>
              <w:t>Description/Comment</w:t>
            </w:r>
          </w:p>
        </w:tc>
      </w:tr>
      <w:tr w:rsidRPr="00D73795" w:rsidR="00D73795" w:rsidTr="00355A28" w14:paraId="7B2DB98A" w14:textId="77777777">
        <w:tc>
          <w:tcPr>
            <w:tcW w:w="1548" w:type="dxa"/>
            <w:tcBorders>
              <w:bottom w:val="single" w:color="auto" w:sz="4" w:space="0"/>
            </w:tcBorders>
            <w:shd w:val="clear" w:color="auto" w:fill="auto"/>
          </w:tcPr>
          <w:p w:rsidRPr="00D73795" w:rsidR="00D73795" w:rsidP="004A727B" w:rsidRDefault="00D73795" w14:paraId="7F6B1FC2" w14:textId="77777777">
            <w:pPr>
              <w:keepNext/>
              <w:keepLines/>
              <w:tabs>
                <w:tab w:val="left" w:pos="1260"/>
              </w:tabs>
              <w:spacing w:before="120"/>
              <w:jc w:val="center"/>
              <w:rPr>
                <w:color w:val="000000"/>
              </w:rPr>
            </w:pPr>
            <w:r w:rsidRPr="00D73795">
              <w:rPr>
                <w:color w:val="000000"/>
              </w:rPr>
              <w:t>1</w:t>
            </w:r>
          </w:p>
        </w:tc>
        <w:tc>
          <w:tcPr>
            <w:tcW w:w="8010" w:type="dxa"/>
            <w:tcBorders>
              <w:bottom w:val="single" w:color="auto" w:sz="4" w:space="0"/>
            </w:tcBorders>
            <w:shd w:val="clear" w:color="auto" w:fill="auto"/>
          </w:tcPr>
          <w:p w:rsidRPr="00D73795" w:rsidR="00D73795" w:rsidP="00D73795" w:rsidRDefault="00D73795" w14:paraId="4BAE5CDF" w14:textId="77777777">
            <w:pPr>
              <w:keepNext/>
              <w:keepLines/>
              <w:tabs>
                <w:tab w:val="left" w:pos="1260"/>
              </w:tabs>
              <w:spacing w:before="120"/>
              <w:rPr>
                <w:bCs/>
                <w:color w:val="000000"/>
              </w:rPr>
            </w:pPr>
            <w:r w:rsidRPr="00D73795">
              <w:rPr>
                <w:bCs/>
                <w:color w:val="000000"/>
              </w:rPr>
              <w:t>Certificate of Service</w:t>
            </w:r>
          </w:p>
        </w:tc>
      </w:tr>
      <w:tr w:rsidRPr="00D73795" w:rsidR="00D73795" w:rsidTr="00355A28" w14:paraId="6A84171E" w14:textId="77777777">
        <w:tc>
          <w:tcPr>
            <w:tcW w:w="1548" w:type="dxa"/>
            <w:shd w:val="clear" w:color="auto" w:fill="auto"/>
          </w:tcPr>
          <w:p w:rsidRPr="00D73795" w:rsidR="00D73795" w:rsidP="004A727B" w:rsidRDefault="00D73795" w14:paraId="2433DDDE" w14:textId="77777777">
            <w:pPr>
              <w:tabs>
                <w:tab w:val="left" w:pos="1260"/>
              </w:tabs>
              <w:spacing w:before="120"/>
              <w:jc w:val="center"/>
              <w:rPr>
                <w:color w:val="000000"/>
              </w:rPr>
            </w:pPr>
            <w:r w:rsidRPr="00D73795">
              <w:rPr>
                <w:color w:val="000000"/>
              </w:rPr>
              <w:t>2</w:t>
            </w:r>
          </w:p>
        </w:tc>
        <w:tc>
          <w:tcPr>
            <w:tcW w:w="8010" w:type="dxa"/>
            <w:shd w:val="clear" w:color="auto" w:fill="auto"/>
          </w:tcPr>
          <w:p w:rsidRPr="00D73795" w:rsidR="00D73795" w:rsidP="00D73795" w:rsidRDefault="00D73795" w14:paraId="74D35580" w14:textId="77777777">
            <w:pPr>
              <w:tabs>
                <w:tab w:val="left" w:pos="1260"/>
              </w:tabs>
              <w:spacing w:before="120"/>
              <w:rPr>
                <w:bCs/>
                <w:color w:val="000000"/>
              </w:rPr>
            </w:pPr>
            <w:r w:rsidRPr="00D73795">
              <w:rPr>
                <w:bCs/>
                <w:color w:val="000000"/>
              </w:rPr>
              <w:t>List of relevant AECA Submittals in A.20-04-023</w:t>
            </w:r>
          </w:p>
        </w:tc>
      </w:tr>
      <w:tr w:rsidRPr="00D73795" w:rsidR="00D73795" w:rsidTr="00355A28" w14:paraId="1B7201F9" w14:textId="77777777">
        <w:tc>
          <w:tcPr>
            <w:tcW w:w="1548" w:type="dxa"/>
            <w:shd w:val="clear" w:color="auto" w:fill="auto"/>
          </w:tcPr>
          <w:p w:rsidRPr="00D73795" w:rsidR="00D73795" w:rsidP="004A727B" w:rsidRDefault="00D73795" w14:paraId="6877D168" w14:textId="77777777">
            <w:pPr>
              <w:tabs>
                <w:tab w:val="left" w:pos="1260"/>
              </w:tabs>
              <w:spacing w:before="120"/>
              <w:jc w:val="center"/>
              <w:rPr>
                <w:color w:val="000000"/>
              </w:rPr>
            </w:pPr>
            <w:r w:rsidRPr="00D73795">
              <w:rPr>
                <w:color w:val="000000"/>
              </w:rPr>
              <w:t>3</w:t>
            </w:r>
          </w:p>
        </w:tc>
        <w:tc>
          <w:tcPr>
            <w:tcW w:w="8010" w:type="dxa"/>
            <w:shd w:val="clear" w:color="auto" w:fill="auto"/>
          </w:tcPr>
          <w:p w:rsidRPr="00D73795" w:rsidR="00D73795" w:rsidP="00D73795" w:rsidRDefault="00D73795" w14:paraId="57A9781E" w14:textId="77777777">
            <w:pPr>
              <w:tabs>
                <w:tab w:val="left" w:pos="1260"/>
              </w:tabs>
              <w:spacing w:before="120"/>
              <w:rPr>
                <w:bCs/>
                <w:color w:val="000000"/>
                <w:highlight w:val="yellow"/>
              </w:rPr>
            </w:pPr>
            <w:r w:rsidRPr="00D73795">
              <w:rPr>
                <w:bCs/>
                <w:color w:val="000000"/>
              </w:rPr>
              <w:t>Staff time records</w:t>
            </w:r>
          </w:p>
        </w:tc>
      </w:tr>
      <w:tr w:rsidRPr="00D73795" w:rsidR="00D73795" w:rsidTr="00355A28" w14:paraId="21D1A601" w14:textId="77777777">
        <w:tc>
          <w:tcPr>
            <w:tcW w:w="1548" w:type="dxa"/>
            <w:shd w:val="clear" w:color="auto" w:fill="auto"/>
          </w:tcPr>
          <w:p w:rsidRPr="00D73795" w:rsidR="00D73795" w:rsidP="00D73795" w:rsidRDefault="00D73795" w14:paraId="7FC27695" w14:textId="77777777">
            <w:pPr>
              <w:tabs>
                <w:tab w:val="left" w:pos="1260"/>
              </w:tabs>
              <w:spacing w:before="120"/>
              <w:rPr>
                <w:color w:val="000000"/>
              </w:rPr>
            </w:pPr>
            <w:r w:rsidRPr="00D73795">
              <w:rPr>
                <w:color w:val="000000"/>
              </w:rPr>
              <w:t>Comment 1</w:t>
            </w:r>
          </w:p>
        </w:tc>
        <w:tc>
          <w:tcPr>
            <w:tcW w:w="8010" w:type="dxa"/>
            <w:shd w:val="clear" w:color="auto" w:fill="auto"/>
          </w:tcPr>
          <w:p w:rsidRPr="00D73795" w:rsidR="00D73795" w:rsidP="00D73795" w:rsidRDefault="00D73795" w14:paraId="624C3D1E" w14:textId="77777777">
            <w:pPr>
              <w:tabs>
                <w:tab w:val="left" w:pos="1260"/>
              </w:tabs>
              <w:spacing w:before="120"/>
              <w:rPr>
                <w:bCs/>
                <w:color w:val="000000"/>
                <w:highlight w:val="yellow"/>
              </w:rPr>
            </w:pPr>
            <w:r w:rsidRPr="00D73795">
              <w:rPr>
                <w:bCs/>
                <w:color w:val="000000"/>
              </w:rPr>
              <w:t>AECA is not claiming any costs in this request. AECA has used electronic mail communication, phone and conference calls to reduce filing and meeting costs and keep overall costs to a minimum, further demonstrating the reasonableness of this claim.</w:t>
            </w:r>
          </w:p>
        </w:tc>
      </w:tr>
      <w:tr w:rsidRPr="00D73795" w:rsidR="00D73795" w:rsidTr="00355A28" w14:paraId="33AF0E6F" w14:textId="77777777">
        <w:tc>
          <w:tcPr>
            <w:tcW w:w="1548" w:type="dxa"/>
            <w:shd w:val="clear" w:color="auto" w:fill="auto"/>
          </w:tcPr>
          <w:p w:rsidRPr="00D73795" w:rsidR="00D73795" w:rsidP="00D73795" w:rsidRDefault="00D73795" w14:paraId="02DA42BE" w14:textId="77777777">
            <w:pPr>
              <w:tabs>
                <w:tab w:val="left" w:pos="1260"/>
              </w:tabs>
              <w:spacing w:before="120"/>
              <w:rPr>
                <w:color w:val="000000"/>
              </w:rPr>
            </w:pPr>
            <w:r w:rsidRPr="00D73795">
              <w:rPr>
                <w:color w:val="000000"/>
              </w:rPr>
              <w:t>Comment 2</w:t>
            </w:r>
          </w:p>
        </w:tc>
        <w:tc>
          <w:tcPr>
            <w:tcW w:w="8010" w:type="dxa"/>
            <w:shd w:val="clear" w:color="auto" w:fill="auto"/>
          </w:tcPr>
          <w:p w:rsidRPr="00D73795" w:rsidR="00D73795" w:rsidP="00D73795" w:rsidRDefault="00D73795" w14:paraId="0A3F265A" w14:textId="0B5A4464">
            <w:pPr>
              <w:tabs>
                <w:tab w:val="left" w:pos="1260"/>
              </w:tabs>
              <w:spacing w:before="120"/>
              <w:rPr>
                <w:bCs/>
                <w:color w:val="000000"/>
                <w:highlight w:val="yellow"/>
              </w:rPr>
            </w:pPr>
            <w:r w:rsidRPr="00D73795">
              <w:rPr>
                <w:bCs/>
                <w:color w:val="000000"/>
              </w:rPr>
              <w:t>Rationale for Ann Trowbridge’s hourly rate:  AECA is requesting an hourly rate of $425 for Ms. Trowbridge. Ms. Trowbridge last received $415 for work performed in 2018 (D.19-11-010). Her rate for 2020 and 2021 places her at the low end of the range for attorneys with 15-plus years of relevant experience (</w:t>
            </w:r>
            <w:r w:rsidRPr="004A727B">
              <w:rPr>
                <w:bCs/>
                <w:i/>
                <w:iCs/>
                <w:color w:val="000000"/>
              </w:rPr>
              <w:t>see</w:t>
            </w:r>
            <w:r w:rsidRPr="00D73795">
              <w:rPr>
                <w:bCs/>
                <w:color w:val="000000"/>
              </w:rPr>
              <w:t xml:space="preserve"> Res. ALJ-357, ALJ 387 and ALJ-393). Ms. Trowbridge graduated from University of the Pacific, McGeorge School of Law in 1993, and has practiced extensively before the Commission since the late 1990s.</w:t>
            </w:r>
          </w:p>
        </w:tc>
      </w:tr>
      <w:tr w:rsidRPr="00D73795" w:rsidR="00D73795" w:rsidTr="00355A28" w14:paraId="19C7199B" w14:textId="77777777">
        <w:tc>
          <w:tcPr>
            <w:tcW w:w="1548" w:type="dxa"/>
            <w:shd w:val="clear" w:color="auto" w:fill="auto"/>
          </w:tcPr>
          <w:p w:rsidRPr="00D73795" w:rsidR="00D73795" w:rsidP="00D73795" w:rsidRDefault="00D73795" w14:paraId="5DC98A96" w14:textId="77777777">
            <w:pPr>
              <w:tabs>
                <w:tab w:val="left" w:pos="1260"/>
              </w:tabs>
              <w:spacing w:before="120"/>
              <w:rPr>
                <w:color w:val="000000"/>
              </w:rPr>
            </w:pPr>
            <w:r w:rsidRPr="00D73795">
              <w:rPr>
                <w:color w:val="000000"/>
              </w:rPr>
              <w:t>Comment 3</w:t>
            </w:r>
          </w:p>
        </w:tc>
        <w:tc>
          <w:tcPr>
            <w:tcW w:w="8010" w:type="dxa"/>
            <w:shd w:val="clear" w:color="auto" w:fill="auto"/>
          </w:tcPr>
          <w:p w:rsidRPr="00D73795" w:rsidR="00D73795" w:rsidP="00D73795" w:rsidRDefault="00D73795" w14:paraId="17D67805" w14:textId="1F0265E6">
            <w:pPr>
              <w:tabs>
                <w:tab w:val="left" w:pos="1260"/>
              </w:tabs>
              <w:spacing w:before="120"/>
              <w:rPr>
                <w:bCs/>
                <w:color w:val="000000"/>
                <w:highlight w:val="yellow"/>
              </w:rPr>
            </w:pPr>
            <w:r w:rsidRPr="00D73795">
              <w:rPr>
                <w:bCs/>
                <w:color w:val="000000"/>
              </w:rPr>
              <w:t>Rationale for Michael Boccadoro’s hourly rate:  AECA is requesting an hourly rate of $215 for Mr. Boccadoro. He last received $215 for work performed in 2019 (D.19-11-010).  His rate of $215 for 2020, and 2021 places him at the low end of the range for experts with 13-plus years of relevant experience (</w:t>
            </w:r>
            <w:r w:rsidRPr="004A727B">
              <w:rPr>
                <w:bCs/>
                <w:i/>
                <w:iCs/>
                <w:color w:val="000000"/>
              </w:rPr>
              <w:t>see</w:t>
            </w:r>
            <w:r w:rsidRPr="00D73795">
              <w:rPr>
                <w:bCs/>
                <w:color w:val="000000"/>
              </w:rPr>
              <w:t xml:space="preserve"> </w:t>
            </w:r>
            <w:r w:rsidR="004A727B">
              <w:rPr>
                <w:bCs/>
                <w:color w:val="000000"/>
              </w:rPr>
              <w:br/>
            </w:r>
            <w:r w:rsidRPr="00D73795">
              <w:rPr>
                <w:bCs/>
                <w:color w:val="000000"/>
              </w:rPr>
              <w:t xml:space="preserve">Res. ALJ-357, ALJ-387 and ALJ-393). He has over 25 years of experience as an energy policy and resource management expert.  </w:t>
            </w:r>
          </w:p>
        </w:tc>
      </w:tr>
      <w:tr w:rsidRPr="00D73795" w:rsidR="00D73795" w:rsidTr="00355A28" w14:paraId="20A3E2CC" w14:textId="77777777">
        <w:tc>
          <w:tcPr>
            <w:tcW w:w="1548" w:type="dxa"/>
            <w:shd w:val="clear" w:color="auto" w:fill="auto"/>
          </w:tcPr>
          <w:p w:rsidRPr="00D73795" w:rsidR="00D73795" w:rsidP="00D73795" w:rsidRDefault="00D73795" w14:paraId="062E1538" w14:textId="77777777">
            <w:pPr>
              <w:tabs>
                <w:tab w:val="left" w:pos="1260"/>
              </w:tabs>
              <w:spacing w:before="120"/>
              <w:rPr>
                <w:color w:val="000000"/>
              </w:rPr>
            </w:pPr>
            <w:r w:rsidRPr="00D73795">
              <w:rPr>
                <w:color w:val="000000"/>
              </w:rPr>
              <w:lastRenderedPageBreak/>
              <w:t>Comment 4</w:t>
            </w:r>
          </w:p>
        </w:tc>
        <w:tc>
          <w:tcPr>
            <w:tcW w:w="8010" w:type="dxa"/>
            <w:shd w:val="clear" w:color="auto" w:fill="auto"/>
          </w:tcPr>
          <w:p w:rsidRPr="00D73795" w:rsidR="00D73795" w:rsidP="00D73795" w:rsidRDefault="00D73795" w14:paraId="30F0CAE1" w14:textId="27E7B6C1">
            <w:pPr>
              <w:tabs>
                <w:tab w:val="left" w:pos="1260"/>
              </w:tabs>
              <w:spacing w:before="120"/>
              <w:rPr>
                <w:bCs/>
                <w:color w:val="000000"/>
                <w:highlight w:val="yellow"/>
              </w:rPr>
            </w:pPr>
            <w:r w:rsidRPr="00D73795">
              <w:rPr>
                <w:bCs/>
                <w:color w:val="000000"/>
              </w:rPr>
              <w:t xml:space="preserve">Rationale for Beth Olhasso’s hourly rate:  AECA is requesting an hourly rate of $155 for Ms. Olhasso. She last received $155 for work performed in 2019 </w:t>
            </w:r>
            <w:r w:rsidR="004A727B">
              <w:rPr>
                <w:bCs/>
                <w:color w:val="000000"/>
              </w:rPr>
              <w:br/>
            </w:r>
            <w:r w:rsidRPr="00D73795">
              <w:rPr>
                <w:bCs/>
                <w:color w:val="000000"/>
              </w:rPr>
              <w:t>(D.19-11-010). Her rate of $155 for 2019 and 2021 places her at the low end of the range for experts with 0 to 6 years of relevant experience (</w:t>
            </w:r>
            <w:r w:rsidRPr="004A727B">
              <w:rPr>
                <w:bCs/>
                <w:i/>
                <w:iCs/>
                <w:color w:val="000000"/>
              </w:rPr>
              <w:t>see</w:t>
            </w:r>
            <w:r w:rsidRPr="00D73795">
              <w:rPr>
                <w:bCs/>
                <w:color w:val="000000"/>
              </w:rPr>
              <w:t xml:space="preserve"> Res. ALJ-357 and ALJ-387 and ALJ-393). She has approximately 10 years of relevant experience.</w:t>
            </w:r>
          </w:p>
        </w:tc>
      </w:tr>
    </w:tbl>
    <w:p w:rsidRPr="00D73795" w:rsidR="00D73795" w:rsidP="00D73795" w:rsidRDefault="00D73795" w14:paraId="23326892" w14:textId="77777777">
      <w:pPr>
        <w:spacing w:before="240" w:after="240"/>
        <w:ind w:left="540" w:hanging="540"/>
        <w:rPr>
          <w:b/>
          <w:color w:val="000000"/>
        </w:rPr>
      </w:pPr>
      <w:r w:rsidRPr="00D73795">
        <w:rPr>
          <w:b/>
          <w:color w:val="000000"/>
        </w:rPr>
        <w:t xml:space="preserve">D.  CPUC Comments, Disallowances, and Adjustments </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7955"/>
      </w:tblGrid>
      <w:tr w:rsidRPr="00D73795" w:rsidR="00D73795" w:rsidTr="00355A28" w14:paraId="452299FA" w14:textId="77777777">
        <w:tc>
          <w:tcPr>
            <w:tcW w:w="1548" w:type="dxa"/>
            <w:shd w:val="pct12" w:color="auto" w:fill="auto"/>
          </w:tcPr>
          <w:p w:rsidRPr="00D73795" w:rsidR="00D73795" w:rsidP="00D73795" w:rsidRDefault="00D73795" w14:paraId="5FE27012" w14:textId="77777777">
            <w:pPr>
              <w:tabs>
                <w:tab w:val="left" w:pos="1440"/>
              </w:tabs>
              <w:spacing w:before="120"/>
              <w:jc w:val="center"/>
              <w:rPr>
                <w:b/>
                <w:color w:val="000000"/>
              </w:rPr>
            </w:pPr>
            <w:r w:rsidRPr="00D73795">
              <w:rPr>
                <w:b/>
                <w:color w:val="000000"/>
              </w:rPr>
              <w:t>Item</w:t>
            </w:r>
          </w:p>
        </w:tc>
        <w:tc>
          <w:tcPr>
            <w:tcW w:w="8010" w:type="dxa"/>
            <w:shd w:val="pct12" w:color="auto" w:fill="auto"/>
          </w:tcPr>
          <w:p w:rsidRPr="00D73795" w:rsidR="00D73795" w:rsidP="00D73795" w:rsidRDefault="00D73795" w14:paraId="0CF243E0" w14:textId="77777777">
            <w:pPr>
              <w:tabs>
                <w:tab w:val="left" w:pos="1440"/>
              </w:tabs>
              <w:spacing w:before="120"/>
              <w:jc w:val="center"/>
              <w:rPr>
                <w:b/>
                <w:color w:val="000000"/>
              </w:rPr>
            </w:pPr>
            <w:r w:rsidRPr="00D73795">
              <w:rPr>
                <w:b/>
                <w:color w:val="000000"/>
              </w:rPr>
              <w:t>Reason</w:t>
            </w:r>
          </w:p>
        </w:tc>
      </w:tr>
      <w:tr w:rsidRPr="00D73795" w:rsidR="00D73795" w:rsidTr="00355A28" w14:paraId="13D6C1CB" w14:textId="77777777">
        <w:tc>
          <w:tcPr>
            <w:tcW w:w="1548" w:type="dxa"/>
            <w:shd w:val="clear" w:color="auto" w:fill="auto"/>
          </w:tcPr>
          <w:p w:rsidRPr="00D73795" w:rsidR="00D73795" w:rsidP="00D73795" w:rsidRDefault="00D73795" w14:paraId="5B79EF19" w14:textId="77777777">
            <w:pPr>
              <w:tabs>
                <w:tab w:val="left" w:pos="1440"/>
              </w:tabs>
              <w:spacing w:before="120"/>
              <w:rPr>
                <w:color w:val="000000"/>
              </w:rPr>
            </w:pPr>
            <w:r w:rsidRPr="00D73795">
              <w:rPr>
                <w:color w:val="000000"/>
              </w:rPr>
              <w:t>[1] Compensation %</w:t>
            </w:r>
          </w:p>
        </w:tc>
        <w:tc>
          <w:tcPr>
            <w:tcW w:w="8010" w:type="dxa"/>
            <w:shd w:val="clear" w:color="auto" w:fill="auto"/>
          </w:tcPr>
          <w:p w:rsidRPr="00D73795" w:rsidR="00D73795" w:rsidP="00D73795" w:rsidRDefault="00D73795" w14:paraId="6FD685C5" w14:textId="39F2BE94">
            <w:pPr>
              <w:tabs>
                <w:tab w:val="left" w:pos="1440"/>
              </w:tabs>
              <w:spacing w:before="120"/>
              <w:rPr>
                <w:color w:val="000000"/>
              </w:rPr>
            </w:pPr>
            <w:r w:rsidRPr="00D73795">
              <w:rPr>
                <w:color w:val="000000"/>
              </w:rPr>
              <w:t xml:space="preserve">In accordance with the additional guidance provided by ALJ Haga in the December 2, 2019, Ruling issued in R.19-01-006 on AECA’s Showing of Significant Financial Hardship, AECA shall provide information on the percentage of AECA members who are agricultural customers with annual electric bills below $50,000. For purposes of this proceeding, AECA currently has 280 active individual members (excluding agricultural associations and water district members); 178 of those members have electricity bills of less than $50,000. As a result, AECA is seeking 64% (178÷280) of the total compensation found reasonable in this proceeding. Pursuant to the </w:t>
            </w:r>
            <w:r w:rsidR="004A727B">
              <w:rPr>
                <w:color w:val="000000"/>
              </w:rPr>
              <w:br/>
            </w:r>
            <w:r w:rsidRPr="00D73795">
              <w:rPr>
                <w:color w:val="000000"/>
              </w:rPr>
              <w:t>December 2, 2019, Ruling, the total award of $42,614.16 found reasonable by the Commission shall be compensated at 64% for a total award of $27,273.06.</w:t>
            </w:r>
          </w:p>
        </w:tc>
      </w:tr>
      <w:tr w:rsidRPr="00D73795" w:rsidR="00D73795" w:rsidTr="00355A28" w14:paraId="56A9FED2" w14:textId="77777777">
        <w:tc>
          <w:tcPr>
            <w:tcW w:w="1548" w:type="dxa"/>
            <w:shd w:val="clear" w:color="auto" w:fill="auto"/>
          </w:tcPr>
          <w:p w:rsidRPr="00D73795" w:rsidR="00D73795" w:rsidP="00D73795" w:rsidRDefault="00D73795" w14:paraId="30D53987" w14:textId="77777777">
            <w:pPr>
              <w:tabs>
                <w:tab w:val="left" w:pos="1440"/>
              </w:tabs>
              <w:spacing w:before="120"/>
              <w:rPr>
                <w:color w:val="000000"/>
              </w:rPr>
            </w:pPr>
            <w:r w:rsidRPr="00D73795">
              <w:rPr>
                <w:color w:val="000000"/>
              </w:rPr>
              <w:t>[2] Ann L. Trowbridge (Trowbridge) 2020 hours</w:t>
            </w:r>
          </w:p>
        </w:tc>
        <w:tc>
          <w:tcPr>
            <w:tcW w:w="8010" w:type="dxa"/>
            <w:shd w:val="clear" w:color="auto" w:fill="auto"/>
          </w:tcPr>
          <w:p w:rsidRPr="00D73795" w:rsidR="00D73795" w:rsidP="00D73795" w:rsidRDefault="00D73795" w14:paraId="7F0CAD08" w14:textId="77777777">
            <w:pPr>
              <w:tabs>
                <w:tab w:val="left" w:pos="1440"/>
              </w:tabs>
              <w:spacing w:before="120"/>
              <w:rPr>
                <w:color w:val="000000"/>
              </w:rPr>
            </w:pPr>
            <w:r w:rsidRPr="00D73795">
              <w:rPr>
                <w:color w:val="000000"/>
              </w:rPr>
              <w:t xml:space="preserve">Trowbridge’s time records for 2020 substantiate 34.3 hours but AECA included only 11.2 hours in Part III. B. of this claim. There appears to be a calculation error in the excel timesheet provided. We adjust Trowbridge’s 2020 hours to reflect the hours itemized in the timesheet submitted by AECA. </w:t>
            </w:r>
          </w:p>
          <w:p w:rsidRPr="00D73795" w:rsidR="00D73795" w:rsidP="00D73795" w:rsidRDefault="00D73795" w14:paraId="24570691" w14:textId="77777777">
            <w:pPr>
              <w:tabs>
                <w:tab w:val="left" w:pos="1440"/>
              </w:tabs>
              <w:spacing w:before="120"/>
              <w:rPr>
                <w:color w:val="000000"/>
              </w:rPr>
            </w:pPr>
            <w:r w:rsidRPr="00D73795">
              <w:rPr>
                <w:color w:val="000000"/>
              </w:rPr>
              <w:t>We note that as this time was inadvertently omitted from calculations, the total amount requested should have been $27,408.55.</w:t>
            </w:r>
          </w:p>
          <w:p w:rsidRPr="00D73795" w:rsidR="00D73795" w:rsidP="00D73795" w:rsidRDefault="00D73795" w14:paraId="39A3A97D" w14:textId="77777777">
            <w:pPr>
              <w:tabs>
                <w:tab w:val="left" w:pos="1440"/>
              </w:tabs>
              <w:spacing w:before="120"/>
              <w:rPr>
                <w:color w:val="000000"/>
              </w:rPr>
            </w:pPr>
          </w:p>
        </w:tc>
      </w:tr>
      <w:tr w:rsidRPr="00D73795" w:rsidR="00D73795" w:rsidTr="00355A28" w14:paraId="5EF03B38" w14:textId="77777777">
        <w:tc>
          <w:tcPr>
            <w:tcW w:w="1548" w:type="dxa"/>
            <w:shd w:val="clear" w:color="auto" w:fill="auto"/>
          </w:tcPr>
          <w:p w:rsidRPr="00D73795" w:rsidR="00D73795" w:rsidP="00D73795" w:rsidRDefault="00D73795" w14:paraId="52A19308" w14:textId="77777777">
            <w:pPr>
              <w:tabs>
                <w:tab w:val="left" w:pos="1440"/>
              </w:tabs>
              <w:spacing w:before="120"/>
              <w:rPr>
                <w:color w:val="000000"/>
              </w:rPr>
            </w:pPr>
            <w:r w:rsidRPr="00D73795">
              <w:rPr>
                <w:color w:val="000000"/>
              </w:rPr>
              <w:t>[3] Trowbridge hourly rate</w:t>
            </w:r>
          </w:p>
        </w:tc>
        <w:tc>
          <w:tcPr>
            <w:tcW w:w="8010" w:type="dxa"/>
            <w:shd w:val="clear" w:color="auto" w:fill="auto"/>
          </w:tcPr>
          <w:p w:rsidRPr="00D73795" w:rsidR="00D73795" w:rsidP="00D73795" w:rsidRDefault="00D73795" w14:paraId="1B928475" w14:textId="77777777">
            <w:pPr>
              <w:tabs>
                <w:tab w:val="left" w:pos="1440"/>
              </w:tabs>
              <w:spacing w:before="120"/>
              <w:rPr>
                <w:color w:val="000000"/>
              </w:rPr>
            </w:pPr>
            <w:r w:rsidRPr="00D73795">
              <w:rPr>
                <w:color w:val="000000"/>
              </w:rPr>
              <w:t>D.22-06-016 approved a 2020 hourly rate of $435 for Trowbridge.</w:t>
            </w:r>
            <w:r w:rsidRPr="00D73795">
              <w:t xml:space="preserve"> In that Decision, AECA requested the Commission apply the 2020 COLA of 2.55% to Trowbridge’s approved 2019 rate of $425. Trowbridge’s resume indicates she is a consultant, so we assume the rate requested by AECA is the actual rate charged to AECA by the consulting firm. We approve the rate of $435 for 2021 also.</w:t>
            </w:r>
          </w:p>
        </w:tc>
      </w:tr>
      <w:tr w:rsidRPr="00D73795" w:rsidR="00D73795" w:rsidTr="00355A28" w14:paraId="14F241EC" w14:textId="77777777">
        <w:tc>
          <w:tcPr>
            <w:tcW w:w="1548" w:type="dxa"/>
            <w:shd w:val="clear" w:color="auto" w:fill="auto"/>
          </w:tcPr>
          <w:p w:rsidRPr="00D73795" w:rsidR="00D73795" w:rsidP="00D73795" w:rsidRDefault="00D73795" w14:paraId="411CAE75" w14:textId="77777777">
            <w:pPr>
              <w:tabs>
                <w:tab w:val="left" w:pos="1440"/>
              </w:tabs>
              <w:spacing w:before="120"/>
              <w:rPr>
                <w:color w:val="000000"/>
              </w:rPr>
            </w:pPr>
            <w:r w:rsidRPr="00D73795">
              <w:rPr>
                <w:color w:val="000000"/>
              </w:rPr>
              <w:t xml:space="preserve">[4] Michael Boccadoro (Boccadoro) 2020 hours </w:t>
            </w:r>
          </w:p>
        </w:tc>
        <w:tc>
          <w:tcPr>
            <w:tcW w:w="8010" w:type="dxa"/>
            <w:shd w:val="clear" w:color="auto" w:fill="auto"/>
          </w:tcPr>
          <w:p w:rsidRPr="00D73795" w:rsidR="00D73795" w:rsidP="00D73795" w:rsidRDefault="00D73795" w14:paraId="045D938D" w14:textId="77777777">
            <w:pPr>
              <w:tabs>
                <w:tab w:val="left" w:pos="1440"/>
              </w:tabs>
              <w:spacing w:before="120"/>
              <w:rPr>
                <w:color w:val="000000"/>
              </w:rPr>
            </w:pPr>
            <w:r w:rsidRPr="00D73795">
              <w:rPr>
                <w:color w:val="000000"/>
              </w:rPr>
              <w:t>We adjust Boccadoro’s 2020 hours to match the time records provided.</w:t>
            </w:r>
          </w:p>
        </w:tc>
      </w:tr>
      <w:tr w:rsidRPr="00D73795" w:rsidR="00D73795" w:rsidTr="00355A28" w14:paraId="27D33EED" w14:textId="77777777">
        <w:tc>
          <w:tcPr>
            <w:tcW w:w="1548" w:type="dxa"/>
            <w:shd w:val="clear" w:color="auto" w:fill="auto"/>
          </w:tcPr>
          <w:p w:rsidRPr="00D73795" w:rsidR="00D73795" w:rsidP="00D73795" w:rsidRDefault="00D73795" w14:paraId="2CD7A8F7" w14:textId="77777777">
            <w:pPr>
              <w:tabs>
                <w:tab w:val="left" w:pos="1440"/>
              </w:tabs>
              <w:spacing w:before="120"/>
              <w:rPr>
                <w:color w:val="000000"/>
              </w:rPr>
            </w:pPr>
            <w:r w:rsidRPr="00D73795">
              <w:rPr>
                <w:color w:val="000000"/>
              </w:rPr>
              <w:t>[5] Boccadoro 2021 hourly rate</w:t>
            </w:r>
          </w:p>
        </w:tc>
        <w:tc>
          <w:tcPr>
            <w:tcW w:w="8010" w:type="dxa"/>
            <w:shd w:val="clear" w:color="auto" w:fill="auto"/>
          </w:tcPr>
          <w:p w:rsidRPr="00D73795" w:rsidR="00D73795" w:rsidP="00D73795" w:rsidRDefault="00D73795" w14:paraId="6879E857" w14:textId="77777777">
            <w:pPr>
              <w:tabs>
                <w:tab w:val="left" w:pos="1440"/>
              </w:tabs>
              <w:spacing w:before="120"/>
              <w:rPr>
                <w:color w:val="000000"/>
              </w:rPr>
            </w:pPr>
            <w:r w:rsidRPr="00D73795">
              <w:rPr>
                <w:color w:val="000000"/>
              </w:rPr>
              <w:t xml:space="preserve">Boccadoro has over 30 years’ experience in Agriculture and Natural Resource Policy and a B.A. in Political Science and Economics. Although AECA requests a 2021 rate of $215 for Boccadoro, we ultimately adopt a rate of $220.   According to the hourly rate chart implemented by Resolution ALJ-393, the rate </w:t>
            </w:r>
            <w:r w:rsidRPr="00D73795">
              <w:rPr>
                <w:color w:val="000000"/>
              </w:rPr>
              <w:lastRenderedPageBreak/>
              <w:t>range for Expert- Energy and Resource Expert, Level V (15+ years) is $170 to $357. A rate near the median of the range is appropriate for Boccadoro.</w:t>
            </w:r>
          </w:p>
        </w:tc>
      </w:tr>
      <w:tr w:rsidRPr="00D73795" w:rsidR="00D73795" w:rsidTr="00355A28" w14:paraId="17B599A0" w14:textId="77777777">
        <w:tc>
          <w:tcPr>
            <w:tcW w:w="1548" w:type="dxa"/>
            <w:shd w:val="clear" w:color="auto" w:fill="auto"/>
          </w:tcPr>
          <w:p w:rsidRPr="00D73795" w:rsidR="00D73795" w:rsidP="00D73795" w:rsidRDefault="00D73795" w14:paraId="6E21E475" w14:textId="77777777">
            <w:pPr>
              <w:tabs>
                <w:tab w:val="left" w:pos="1440"/>
              </w:tabs>
              <w:spacing w:before="120"/>
              <w:rPr>
                <w:color w:val="000000"/>
              </w:rPr>
            </w:pPr>
            <w:r w:rsidRPr="00D73795">
              <w:rPr>
                <w:color w:val="000000"/>
              </w:rPr>
              <w:lastRenderedPageBreak/>
              <w:t>[6] Beth Olhasso (Olhasso) hourly rate</w:t>
            </w:r>
          </w:p>
        </w:tc>
        <w:tc>
          <w:tcPr>
            <w:tcW w:w="8010" w:type="dxa"/>
            <w:shd w:val="clear" w:color="auto" w:fill="auto"/>
          </w:tcPr>
          <w:p w:rsidRPr="00D73795" w:rsidR="00D73795" w:rsidP="00D73795" w:rsidRDefault="00D73795" w14:paraId="25465EF5" w14:textId="0101B7BF">
            <w:pPr>
              <w:tabs>
                <w:tab w:val="left" w:pos="1440"/>
              </w:tabs>
              <w:spacing w:before="120"/>
              <w:rPr>
                <w:color w:val="000000"/>
              </w:rPr>
            </w:pPr>
            <w:r w:rsidRPr="00D73795">
              <w:rPr>
                <w:color w:val="000000"/>
              </w:rPr>
              <w:t xml:space="preserve">Olhasso has 10 years’ experience as a Senior Account Executive with The Dolphin Group/ West Coast Advisors and a B.A. in Political Science and </w:t>
            </w:r>
            <w:r w:rsidR="004A727B">
              <w:rPr>
                <w:color w:val="000000"/>
              </w:rPr>
              <w:br/>
            </w:r>
            <w:r w:rsidRPr="00D73795">
              <w:rPr>
                <w:color w:val="000000"/>
              </w:rPr>
              <w:t>Public Administration. Although AECA requests a 2021 hourly rate of $155 for Olhasso, we ultimately adopt an hourly rate of $160</w:t>
            </w:r>
            <w:r w:rsidRPr="00D73795">
              <w:t xml:space="preserve">. </w:t>
            </w:r>
            <w:r w:rsidRPr="00D73795">
              <w:rPr>
                <w:color w:val="000000"/>
              </w:rPr>
              <w:t xml:space="preserve">According to the hourly rate chart implemented by Resolution ALJ-393, the rate range for Expert- Energy and Resource Expert, Level IV (10 - 15 years) is $157 to $331. A rate near the low end of the range is appropriate for Olhasso. </w:t>
            </w:r>
          </w:p>
        </w:tc>
      </w:tr>
      <w:tr w:rsidRPr="00D73795" w:rsidR="00D73795" w:rsidTr="00355A28" w14:paraId="11585EBE" w14:textId="77777777">
        <w:tc>
          <w:tcPr>
            <w:tcW w:w="1548" w:type="dxa"/>
            <w:shd w:val="clear" w:color="auto" w:fill="auto"/>
          </w:tcPr>
          <w:p w:rsidRPr="00D73795" w:rsidR="00D73795" w:rsidP="00D73795" w:rsidRDefault="00D73795" w14:paraId="2CD34094" w14:textId="77777777">
            <w:pPr>
              <w:tabs>
                <w:tab w:val="left" w:pos="1440"/>
              </w:tabs>
              <w:spacing w:before="120"/>
              <w:rPr>
                <w:color w:val="000000"/>
              </w:rPr>
            </w:pPr>
            <w:r w:rsidRPr="00D73795">
              <w:rPr>
                <w:color w:val="000000"/>
              </w:rPr>
              <w:t>[7] IComp Hours</w:t>
            </w:r>
          </w:p>
        </w:tc>
        <w:tc>
          <w:tcPr>
            <w:tcW w:w="8010" w:type="dxa"/>
            <w:shd w:val="clear" w:color="auto" w:fill="auto"/>
          </w:tcPr>
          <w:p w:rsidRPr="00D73795" w:rsidR="00D73795" w:rsidP="00D73795" w:rsidRDefault="00D73795" w14:paraId="3F61431C" w14:textId="575F6064">
            <w:pPr>
              <w:rPr>
                <w:b/>
                <w:i/>
                <w:color w:val="000000"/>
                <w:u w:val="single"/>
              </w:rPr>
            </w:pPr>
            <w:r w:rsidRPr="00D73795">
              <w:t xml:space="preserve">We remind AECA that they need to fully complete Part IV and Appendix of the claim </w:t>
            </w:r>
            <w:r w:rsidRPr="00D73795">
              <w:rPr>
                <w:b/>
                <w:i/>
                <w:color w:val="000000"/>
                <w:u w:val="single"/>
              </w:rPr>
              <w:t>(Green items to be completed by Intervenor)</w:t>
            </w:r>
            <w:r w:rsidRPr="00D73795">
              <w:t xml:space="preserve">. Claim preparation hours include completion of all parts to be completed by intervenor. We disallow </w:t>
            </w:r>
            <w:r w:rsidR="004A727B">
              <w:br/>
            </w:r>
            <w:r w:rsidRPr="00D73795">
              <w:t xml:space="preserve">10% of IComp hours claimed. </w:t>
            </w:r>
          </w:p>
        </w:tc>
      </w:tr>
    </w:tbl>
    <w:p w:rsidRPr="00D73795" w:rsidR="00D73795" w:rsidP="00D73795" w:rsidRDefault="00D73795" w14:paraId="06376323" w14:textId="77777777">
      <w:pPr>
        <w:keepNext/>
        <w:keepLines/>
        <w:tabs>
          <w:tab w:val="left" w:pos="1260"/>
        </w:tabs>
        <w:spacing w:before="240"/>
        <w:jc w:val="center"/>
        <w:rPr>
          <w:b/>
          <w:color w:val="000000"/>
        </w:rPr>
      </w:pPr>
      <w:r w:rsidRPr="00D73795">
        <w:rPr>
          <w:b/>
          <w:color w:val="000000"/>
        </w:rPr>
        <w:t>PART IV:</w:t>
      </w:r>
      <w:r w:rsidRPr="00D73795">
        <w:rPr>
          <w:b/>
          <w:color w:val="000000"/>
        </w:rPr>
        <w:tab/>
        <w:t>OPPOSITIONS AND COMMENTS</w:t>
      </w:r>
    </w:p>
    <w:p w:rsidRPr="00D73795" w:rsidR="00D73795" w:rsidP="00D73795" w:rsidRDefault="00D73795" w14:paraId="15E2ED77" w14:textId="77777777">
      <w:pPr>
        <w:keepNext/>
        <w:keepLines/>
        <w:tabs>
          <w:tab w:val="left" w:pos="1260"/>
        </w:tabs>
        <w:ind w:left="1267" w:right="-720" w:hanging="1267"/>
        <w:jc w:val="center"/>
        <w:rPr>
          <w:b/>
          <w:color w:val="000000"/>
        </w:rPr>
      </w:pPr>
      <w:r w:rsidRPr="00D73795">
        <w:rPr>
          <w:b/>
          <w:color w:val="000000"/>
        </w:rPr>
        <w:t>Within 30 days after service of this Claim, Commission Staff or any other party may file a response to the Claim (</w:t>
      </w:r>
      <w:r w:rsidRPr="00D73795">
        <w:rPr>
          <w:b/>
          <w:i/>
          <w:color w:val="000000"/>
        </w:rPr>
        <w:t>see</w:t>
      </w:r>
      <w:r w:rsidRPr="00D73795">
        <w:rPr>
          <w:b/>
          <w:color w:val="000000"/>
        </w:rPr>
        <w:t xml:space="preserve"> § 1804(c))</w:t>
      </w:r>
    </w:p>
    <w:p w:rsidRPr="00D73795" w:rsidR="00D73795" w:rsidP="00D73795" w:rsidRDefault="00D73795" w14:paraId="3DBCA71A" w14:textId="77777777">
      <w:pPr>
        <w:keepNext/>
        <w:keepLines/>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D73795" w:rsidR="00D73795" w:rsidTr="00355A28" w14:paraId="1AD75ABD" w14:textId="77777777">
        <w:tc>
          <w:tcPr>
            <w:tcW w:w="7488" w:type="dxa"/>
            <w:shd w:val="clear" w:color="auto" w:fill="auto"/>
          </w:tcPr>
          <w:p w:rsidRPr="00D73795" w:rsidR="00D73795" w:rsidP="00D73795" w:rsidRDefault="00D73795" w14:paraId="0963651E" w14:textId="77777777">
            <w:pPr>
              <w:keepNext/>
              <w:keepLines/>
              <w:spacing w:after="240"/>
              <w:rPr>
                <w:color w:val="000000"/>
              </w:rPr>
            </w:pPr>
            <w:r w:rsidRPr="00D73795">
              <w:rPr>
                <w:b/>
                <w:color w:val="000000"/>
              </w:rPr>
              <w:t>A.  Opposition:  Did any party oppose the Claim?</w:t>
            </w:r>
          </w:p>
        </w:tc>
        <w:tc>
          <w:tcPr>
            <w:tcW w:w="2070" w:type="dxa"/>
            <w:shd w:val="clear" w:color="auto" w:fill="auto"/>
          </w:tcPr>
          <w:p w:rsidRPr="00D73795" w:rsidR="00D73795" w:rsidP="00D73795" w:rsidRDefault="00D73795" w14:paraId="452AED1D" w14:textId="77777777">
            <w:pPr>
              <w:keepNext/>
              <w:keepLines/>
              <w:spacing w:after="240"/>
              <w:rPr>
                <w:color w:val="000000"/>
              </w:rPr>
            </w:pPr>
            <w:r w:rsidRPr="00D73795">
              <w:rPr>
                <w:color w:val="000000"/>
              </w:rPr>
              <w:t>No</w:t>
            </w:r>
          </w:p>
        </w:tc>
      </w:tr>
    </w:tbl>
    <w:p w:rsidRPr="00D73795" w:rsidR="00D73795" w:rsidP="00D73795" w:rsidRDefault="00D73795" w14:paraId="52C0B909" w14:textId="77777777">
      <w:pPr>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D73795" w:rsidR="00D73795" w:rsidTr="00355A28" w14:paraId="1438EEB8" w14:textId="77777777">
        <w:tc>
          <w:tcPr>
            <w:tcW w:w="7488" w:type="dxa"/>
            <w:shd w:val="clear" w:color="auto" w:fill="auto"/>
          </w:tcPr>
          <w:p w:rsidRPr="00D73795" w:rsidR="00D73795" w:rsidP="00D73795" w:rsidRDefault="00D73795" w14:paraId="468766D6" w14:textId="77777777">
            <w:pPr>
              <w:keepNext/>
              <w:keepLines/>
              <w:spacing w:after="240"/>
              <w:rPr>
                <w:color w:val="000000"/>
              </w:rPr>
            </w:pPr>
            <w:r w:rsidRPr="00D73795">
              <w:rPr>
                <w:b/>
                <w:color w:val="000000"/>
              </w:rPr>
              <w:t>B.  Comment Period:  Was the 30-day comment period waived (</w:t>
            </w:r>
            <w:r w:rsidRPr="00D73795">
              <w:rPr>
                <w:b/>
                <w:i/>
                <w:color w:val="000000"/>
              </w:rPr>
              <w:t>see</w:t>
            </w:r>
            <w:r w:rsidRPr="00D73795">
              <w:rPr>
                <w:b/>
                <w:color w:val="000000"/>
              </w:rPr>
              <w:t xml:space="preserve"> Rule 14.6(c)(6))?</w:t>
            </w:r>
          </w:p>
        </w:tc>
        <w:tc>
          <w:tcPr>
            <w:tcW w:w="2070" w:type="dxa"/>
            <w:shd w:val="clear" w:color="auto" w:fill="auto"/>
          </w:tcPr>
          <w:p w:rsidRPr="00D73795" w:rsidR="00D73795" w:rsidP="00D73795" w:rsidRDefault="00D73795" w14:paraId="5380EE0B" w14:textId="77777777">
            <w:pPr>
              <w:keepNext/>
              <w:keepLines/>
              <w:spacing w:after="240"/>
              <w:rPr>
                <w:color w:val="000000"/>
              </w:rPr>
            </w:pPr>
            <w:r w:rsidRPr="00D73795">
              <w:rPr>
                <w:color w:val="000000"/>
              </w:rPr>
              <w:t>Yes</w:t>
            </w:r>
          </w:p>
        </w:tc>
      </w:tr>
    </w:tbl>
    <w:p w:rsidRPr="00D73795" w:rsidR="004A727B" w:rsidP="004A727B" w:rsidRDefault="004A727B" w14:paraId="663679B1" w14:textId="77777777">
      <w:pPr>
        <w:rPr>
          <w:b/>
          <w:color w:val="000000"/>
          <w:u w:val="single"/>
        </w:rPr>
      </w:pPr>
    </w:p>
    <w:p w:rsidRPr="00D73795" w:rsidR="00D73795" w:rsidP="00D73795" w:rsidRDefault="00D73795" w14:paraId="4DCE306E" w14:textId="77777777">
      <w:pPr>
        <w:jc w:val="center"/>
        <w:rPr>
          <w:b/>
          <w:color w:val="000000"/>
          <w:u w:val="single"/>
        </w:rPr>
      </w:pPr>
      <w:r w:rsidRPr="00D73795">
        <w:rPr>
          <w:b/>
          <w:color w:val="000000"/>
          <w:u w:val="single"/>
        </w:rPr>
        <w:t>FINDINGS OF FACT</w:t>
      </w:r>
    </w:p>
    <w:p w:rsidRPr="00D73795" w:rsidR="00D73795" w:rsidP="00D73795" w:rsidRDefault="00D73795" w14:paraId="7A24BFE1" w14:textId="77777777">
      <w:pPr>
        <w:rPr>
          <w:color w:val="000000"/>
        </w:rPr>
      </w:pPr>
    </w:p>
    <w:p w:rsidRPr="00D73795" w:rsidR="00D73795" w:rsidP="00D73795" w:rsidRDefault="00D73795" w14:paraId="6EE2055C" w14:textId="77777777">
      <w:pPr>
        <w:numPr>
          <w:ilvl w:val="0"/>
          <w:numId w:val="3"/>
        </w:numPr>
        <w:tabs>
          <w:tab w:val="clear" w:pos="900"/>
          <w:tab w:val="num" w:pos="540"/>
        </w:tabs>
        <w:ind w:left="540" w:hanging="540"/>
      </w:pPr>
      <w:r w:rsidRPr="00D73795">
        <w:rPr>
          <w:bCs/>
          <w:color w:val="000000"/>
        </w:rPr>
        <w:t xml:space="preserve">Agricultural </w:t>
      </w:r>
      <w:r w:rsidRPr="00D73795">
        <w:t>Energy Consumers Association has made a substantial contribution to D.21-04-030.</w:t>
      </w:r>
    </w:p>
    <w:p w:rsidRPr="00D73795" w:rsidR="00D73795" w:rsidP="00D73795" w:rsidRDefault="00D73795" w14:paraId="6FF4868A" w14:textId="77777777">
      <w:pPr>
        <w:numPr>
          <w:ilvl w:val="0"/>
          <w:numId w:val="3"/>
        </w:numPr>
        <w:tabs>
          <w:tab w:val="clear" w:pos="900"/>
          <w:tab w:val="num" w:pos="540"/>
        </w:tabs>
        <w:spacing w:before="240"/>
        <w:ind w:left="547" w:hanging="547"/>
      </w:pPr>
      <w:r w:rsidRPr="00D73795">
        <w:t>The requested hourly rates for Agricultural Energy Consumers Association</w:t>
      </w:r>
      <w:r w:rsidRPr="00D73795" w:rsidDel="00132455">
        <w:t xml:space="preserve"> </w:t>
      </w:r>
      <w:r w:rsidRPr="00D73795">
        <w:t>’s representatives, as adjusted herein, are comparable to market rates paid to experts and advocates having comparable training and experience and offering similar services.</w:t>
      </w:r>
    </w:p>
    <w:p w:rsidRPr="00D73795" w:rsidR="00D73795" w:rsidP="00D73795" w:rsidRDefault="00D73795" w14:paraId="12DA6089" w14:textId="77777777">
      <w:pPr>
        <w:numPr>
          <w:ilvl w:val="0"/>
          <w:numId w:val="3"/>
        </w:numPr>
        <w:tabs>
          <w:tab w:val="clear" w:pos="900"/>
          <w:tab w:val="num" w:pos="540"/>
        </w:tabs>
        <w:spacing w:before="240"/>
        <w:ind w:left="547" w:hanging="547"/>
      </w:pPr>
      <w:r w:rsidRPr="00D73795">
        <w:t xml:space="preserve">The claimed costs and expenses, as adjusted herein, are reasonable and commensurate with the work performed. </w:t>
      </w:r>
    </w:p>
    <w:p w:rsidRPr="00D73795" w:rsidR="00D73795" w:rsidP="00D73795" w:rsidRDefault="00D73795" w14:paraId="5EB619BF" w14:textId="77777777">
      <w:pPr>
        <w:numPr>
          <w:ilvl w:val="0"/>
          <w:numId w:val="3"/>
        </w:numPr>
        <w:tabs>
          <w:tab w:val="clear" w:pos="900"/>
          <w:tab w:val="num" w:pos="540"/>
        </w:tabs>
        <w:spacing w:before="240"/>
        <w:ind w:left="547" w:hanging="547"/>
      </w:pPr>
      <w:r w:rsidRPr="00D73795">
        <w:t>The total of reasonable compensation is $27,328.50 .</w:t>
      </w:r>
    </w:p>
    <w:p w:rsidRPr="00D73795" w:rsidR="00D73795" w:rsidP="00D73795" w:rsidRDefault="00D73795" w14:paraId="0B069426" w14:textId="77777777">
      <w:pPr>
        <w:spacing w:before="120"/>
        <w:rPr>
          <w:color w:val="000000"/>
        </w:rPr>
      </w:pPr>
    </w:p>
    <w:p w:rsidRPr="00D73795" w:rsidR="00D73795" w:rsidP="00D73795" w:rsidRDefault="00D73795" w14:paraId="166E2E87" w14:textId="77777777">
      <w:pPr>
        <w:jc w:val="center"/>
        <w:rPr>
          <w:b/>
          <w:color w:val="000000"/>
          <w:u w:val="single"/>
        </w:rPr>
      </w:pPr>
      <w:r w:rsidRPr="00D73795">
        <w:rPr>
          <w:b/>
          <w:color w:val="000000"/>
          <w:u w:val="single"/>
        </w:rPr>
        <w:t>CONCLUSION OF LAW</w:t>
      </w:r>
    </w:p>
    <w:p w:rsidRPr="00D73795" w:rsidR="00D73795" w:rsidP="00D73795" w:rsidRDefault="00D73795" w14:paraId="1BFBB7C7" w14:textId="77777777">
      <w:pPr>
        <w:numPr>
          <w:ilvl w:val="0"/>
          <w:numId w:val="6"/>
        </w:numPr>
        <w:tabs>
          <w:tab w:val="num" w:pos="360"/>
        </w:tabs>
        <w:spacing w:before="240"/>
        <w:ind w:left="360"/>
        <w:rPr>
          <w:color w:val="000000"/>
        </w:rPr>
      </w:pPr>
      <w:r w:rsidRPr="00D73795">
        <w:rPr>
          <w:color w:val="000000"/>
        </w:rPr>
        <w:t>The Claim, with any adjustment set forth above, satisfies all requirements of Pub. Util. Code §§ 1801-1812.</w:t>
      </w:r>
    </w:p>
    <w:p w:rsidR="00D73795" w:rsidP="00D73795" w:rsidRDefault="00D73795" w14:paraId="22C612C1" w14:textId="20FE5545">
      <w:pPr>
        <w:jc w:val="center"/>
        <w:rPr>
          <w:b/>
          <w:color w:val="000000"/>
          <w:u w:val="single"/>
        </w:rPr>
      </w:pPr>
    </w:p>
    <w:p w:rsidRPr="00D73795" w:rsidR="004A727B" w:rsidP="00D73795" w:rsidRDefault="004A727B" w14:paraId="581A0099" w14:textId="77777777">
      <w:pPr>
        <w:jc w:val="center"/>
        <w:rPr>
          <w:b/>
          <w:color w:val="000000"/>
          <w:u w:val="single"/>
        </w:rPr>
      </w:pPr>
    </w:p>
    <w:p w:rsidRPr="00D73795" w:rsidR="00D73795" w:rsidP="00D73795" w:rsidRDefault="00D73795" w14:paraId="23CA3834" w14:textId="77777777">
      <w:pPr>
        <w:jc w:val="center"/>
        <w:rPr>
          <w:b/>
          <w:color w:val="000000"/>
          <w:u w:val="single"/>
        </w:rPr>
      </w:pPr>
      <w:r w:rsidRPr="00D73795">
        <w:rPr>
          <w:b/>
          <w:color w:val="000000"/>
          <w:u w:val="single"/>
        </w:rPr>
        <w:lastRenderedPageBreak/>
        <w:t>ORDER</w:t>
      </w:r>
    </w:p>
    <w:p w:rsidRPr="00D73795" w:rsidR="00D73795" w:rsidP="00D73795" w:rsidRDefault="00D73795" w14:paraId="1FDADE50" w14:textId="77777777">
      <w:pPr>
        <w:jc w:val="center"/>
        <w:rPr>
          <w:b/>
          <w:color w:val="000000"/>
          <w:u w:val="single"/>
        </w:rPr>
      </w:pPr>
    </w:p>
    <w:p w:rsidRPr="00D73795" w:rsidR="00D73795" w:rsidP="00D73795" w:rsidRDefault="00D73795" w14:paraId="2A8F581D" w14:textId="77777777">
      <w:pPr>
        <w:numPr>
          <w:ilvl w:val="0"/>
          <w:numId w:val="4"/>
        </w:numPr>
        <w:tabs>
          <w:tab w:val="clear" w:pos="900"/>
          <w:tab w:val="num" w:pos="540"/>
        </w:tabs>
        <w:ind w:left="540" w:hanging="540"/>
        <w:rPr>
          <w:bCs/>
          <w:color w:val="000000"/>
        </w:rPr>
      </w:pPr>
      <w:r w:rsidRPr="00D73795">
        <w:rPr>
          <w:bCs/>
          <w:color w:val="000000"/>
        </w:rPr>
        <w:t>Agricultural Energy Consumers Association</w:t>
      </w:r>
      <w:r w:rsidRPr="00D73795" w:rsidDel="00132455">
        <w:rPr>
          <w:bCs/>
          <w:color w:val="000000"/>
        </w:rPr>
        <w:t xml:space="preserve"> </w:t>
      </w:r>
      <w:r w:rsidRPr="00D73795">
        <w:rPr>
          <w:bCs/>
        </w:rPr>
        <w:t>is</w:t>
      </w:r>
      <w:r w:rsidRPr="00D73795">
        <w:rPr>
          <w:bCs/>
          <w:color w:val="000000"/>
        </w:rPr>
        <w:t xml:space="preserve"> awarded $27,328.50 .</w:t>
      </w:r>
    </w:p>
    <w:p w:rsidRPr="00D73795" w:rsidR="00D73795" w:rsidP="00D73795" w:rsidRDefault="00D73795" w14:paraId="58341B16" w14:textId="77777777">
      <w:pPr>
        <w:numPr>
          <w:ilvl w:val="0"/>
          <w:numId w:val="4"/>
        </w:numPr>
        <w:tabs>
          <w:tab w:val="clear" w:pos="900"/>
          <w:tab w:val="num" w:pos="540"/>
        </w:tabs>
        <w:spacing w:before="240"/>
        <w:ind w:left="547" w:hanging="547"/>
        <w:rPr>
          <w:bCs/>
        </w:rPr>
      </w:pPr>
      <w:r w:rsidRPr="00D73795">
        <w:rPr>
          <w:bCs/>
        </w:rPr>
        <w:t>Within 30 days of the effective date of this decision, Pacific Gas and Electric Company shall pay Agricultural Energy Consumers Association the total award. Payment of the award shall include compound interest at the rate earned on prime, three-month non-financial commercial paper as reported in Federal Reserve Statistical Release H.15, beginning December 13, 2021, the 75</w:t>
      </w:r>
      <w:r w:rsidRPr="00D73795">
        <w:rPr>
          <w:bCs/>
          <w:vertAlign w:val="superscript"/>
        </w:rPr>
        <w:t>th</w:t>
      </w:r>
      <w:r w:rsidRPr="00D73795">
        <w:rPr>
          <w:bCs/>
        </w:rPr>
        <w:t xml:space="preserve"> day after the filing of Agricultural Energy Consumers Association’s request, and continuing until full payment is made.</w:t>
      </w:r>
    </w:p>
    <w:p w:rsidRPr="00D73795" w:rsidR="00D73795" w:rsidP="00D73795" w:rsidRDefault="00D73795" w14:paraId="620010ED" w14:textId="77777777">
      <w:pPr>
        <w:keepNext/>
        <w:keepLines/>
        <w:numPr>
          <w:ilvl w:val="0"/>
          <w:numId w:val="4"/>
        </w:numPr>
        <w:tabs>
          <w:tab w:val="clear" w:pos="900"/>
          <w:tab w:val="num" w:pos="540"/>
        </w:tabs>
        <w:spacing w:before="240"/>
        <w:ind w:left="547" w:hanging="547"/>
      </w:pPr>
      <w:r w:rsidRPr="00D73795">
        <w:t>The comment period for today’s decision is waived.</w:t>
      </w:r>
    </w:p>
    <w:p w:rsidRPr="00D73795" w:rsidR="00D73795" w:rsidP="00D73795" w:rsidRDefault="00D73795" w14:paraId="3796508E" w14:textId="77777777">
      <w:pPr>
        <w:keepNext/>
        <w:keepLines/>
        <w:spacing w:before="240"/>
        <w:ind w:firstLine="547"/>
        <w:rPr>
          <w:color w:val="000000"/>
        </w:rPr>
      </w:pPr>
      <w:r w:rsidRPr="00D73795">
        <w:rPr>
          <w:color w:val="000000"/>
        </w:rPr>
        <w:t>This decision is effective today.</w:t>
      </w:r>
    </w:p>
    <w:p w:rsidR="00D73795" w:rsidP="00D73795" w:rsidRDefault="00D73795" w14:paraId="1C9D261D" w14:textId="3648B5DE">
      <w:pPr>
        <w:keepNext/>
        <w:keepLines/>
        <w:spacing w:before="240"/>
        <w:ind w:firstLine="547"/>
        <w:rPr>
          <w:color w:val="000000"/>
        </w:rPr>
      </w:pPr>
      <w:r w:rsidRPr="00D73795">
        <w:rPr>
          <w:color w:val="000000"/>
        </w:rPr>
        <w:t>Dated</w:t>
      </w:r>
      <w:r w:rsidR="00C516EF">
        <w:rPr>
          <w:color w:val="000000"/>
        </w:rPr>
        <w:t xml:space="preserve"> March 16, 2023</w:t>
      </w:r>
      <w:r w:rsidRPr="00D73795">
        <w:rPr>
          <w:color w:val="000000"/>
        </w:rPr>
        <w:t>, at San Francisco, California.</w:t>
      </w:r>
    </w:p>
    <w:p w:rsidRPr="00D73795" w:rsidR="00C516EF" w:rsidP="00D73795" w:rsidRDefault="00C516EF" w14:paraId="3213BF5F" w14:textId="77777777">
      <w:pPr>
        <w:keepNext/>
        <w:keepLines/>
        <w:spacing w:before="240"/>
        <w:ind w:firstLine="547"/>
        <w:rPr>
          <w:color w:val="000000"/>
        </w:rPr>
      </w:pPr>
    </w:p>
    <w:p w:rsidR="00D73795" w:rsidP="00D73795" w:rsidRDefault="00D73795" w14:paraId="53CBE7CC" w14:textId="67DCB6F1"/>
    <w:p w:rsidRPr="00AE0DE2" w:rsidR="00C516EF" w:rsidP="00C516EF" w:rsidRDefault="00C516EF" w14:paraId="359A463C" w14:textId="77777777">
      <w:pPr>
        <w:autoSpaceDE w:val="0"/>
        <w:autoSpaceDN w:val="0"/>
        <w:adjustRightInd w:val="0"/>
        <w:ind w:left="4320"/>
        <w:jc w:val="both"/>
        <w:rPr>
          <w:rFonts w:ascii="Book Antiqua" w:hAnsi="Book Antiqua"/>
          <w:sz w:val="26"/>
          <w:szCs w:val="20"/>
        </w:rPr>
      </w:pPr>
      <w:bookmarkStart w:name="_Hlk17215919" w:id="3"/>
      <w:r>
        <w:rPr>
          <w:rFonts w:ascii="Book Antiqua" w:hAnsi="Book Antiqua"/>
          <w:sz w:val="26"/>
          <w:szCs w:val="20"/>
        </w:rPr>
        <w:t>ALICE REYNOLDS</w:t>
      </w:r>
    </w:p>
    <w:p w:rsidR="00C516EF" w:rsidP="00C516EF" w:rsidRDefault="00C516EF" w14:paraId="7A854123" w14:textId="77777777">
      <w:pPr>
        <w:autoSpaceDE w:val="0"/>
        <w:autoSpaceDN w:val="0"/>
        <w:adjustRightInd w:val="0"/>
        <w:ind w:firstLine="720"/>
        <w:jc w:val="both"/>
        <w:rPr>
          <w:rFonts w:ascii="Book Antiqua" w:hAnsi="Book Antiqua"/>
          <w:sz w:val="26"/>
          <w:szCs w:val="20"/>
        </w:rPr>
      </w:pPr>
      <w:r w:rsidRPr="00AE0DE2">
        <w:rPr>
          <w:rFonts w:ascii="Book Antiqua" w:hAnsi="Book Antiqua"/>
          <w:sz w:val="26"/>
          <w:szCs w:val="20"/>
        </w:rPr>
        <w:tab/>
      </w:r>
      <w:r w:rsidRPr="00AE0DE2">
        <w:rPr>
          <w:rFonts w:ascii="Book Antiqua" w:hAnsi="Book Antiqua"/>
          <w:sz w:val="26"/>
          <w:szCs w:val="20"/>
        </w:rPr>
        <w:tab/>
      </w:r>
      <w:r w:rsidRPr="00AE0DE2">
        <w:rPr>
          <w:rFonts w:ascii="Book Antiqua" w:hAnsi="Book Antiqua"/>
          <w:sz w:val="26"/>
          <w:szCs w:val="20"/>
        </w:rPr>
        <w:tab/>
      </w:r>
      <w:r w:rsidRPr="00AE0DE2">
        <w:rPr>
          <w:rFonts w:ascii="Book Antiqua" w:hAnsi="Book Antiqua"/>
          <w:sz w:val="26"/>
          <w:szCs w:val="20"/>
        </w:rPr>
        <w:tab/>
      </w:r>
      <w:r w:rsidRPr="00AE0DE2">
        <w:rPr>
          <w:rFonts w:ascii="Book Antiqua" w:hAnsi="Book Antiqua"/>
          <w:sz w:val="26"/>
          <w:szCs w:val="20"/>
        </w:rPr>
        <w:tab/>
        <w:t xml:space="preserve">                       President</w:t>
      </w:r>
    </w:p>
    <w:p w:rsidR="00C516EF" w:rsidP="00C516EF" w:rsidRDefault="00C516EF" w14:paraId="6520D7A5" w14:textId="77777777">
      <w:pPr>
        <w:autoSpaceDE w:val="0"/>
        <w:autoSpaceDN w:val="0"/>
        <w:adjustRightInd w:val="0"/>
        <w:ind w:left="4320"/>
        <w:jc w:val="both"/>
        <w:rPr>
          <w:rFonts w:ascii="Book Antiqua" w:hAnsi="Book Antiqua"/>
          <w:sz w:val="26"/>
          <w:szCs w:val="20"/>
        </w:rPr>
      </w:pPr>
      <w:r w:rsidRPr="00AE0DE2">
        <w:rPr>
          <w:rFonts w:ascii="Book Antiqua" w:hAnsi="Book Antiqua"/>
          <w:sz w:val="26"/>
          <w:szCs w:val="20"/>
        </w:rPr>
        <w:t>GENEVIEVE SHIROMA</w:t>
      </w:r>
    </w:p>
    <w:p w:rsidR="00C516EF" w:rsidP="00C516EF" w:rsidRDefault="00C516EF" w14:paraId="37FDBF91" w14:textId="77777777">
      <w:pPr>
        <w:autoSpaceDE w:val="0"/>
        <w:autoSpaceDN w:val="0"/>
        <w:adjustRightInd w:val="0"/>
        <w:ind w:left="3600" w:firstLine="720"/>
        <w:jc w:val="both"/>
        <w:rPr>
          <w:rFonts w:ascii="Book Antiqua" w:hAnsi="Book Antiqua"/>
          <w:sz w:val="26"/>
          <w:szCs w:val="20"/>
        </w:rPr>
      </w:pPr>
      <w:r>
        <w:rPr>
          <w:rFonts w:ascii="Book Antiqua" w:hAnsi="Book Antiqua"/>
          <w:sz w:val="26"/>
          <w:szCs w:val="20"/>
        </w:rPr>
        <w:t>DARCIE L. HOUCK</w:t>
      </w:r>
    </w:p>
    <w:p w:rsidR="00C516EF" w:rsidP="00C516EF" w:rsidRDefault="00C516EF" w14:paraId="1CAAE35D" w14:textId="77777777">
      <w:pPr>
        <w:autoSpaceDE w:val="0"/>
        <w:autoSpaceDN w:val="0"/>
        <w:adjustRightInd w:val="0"/>
        <w:ind w:left="3600" w:firstLine="720"/>
        <w:jc w:val="both"/>
        <w:rPr>
          <w:rFonts w:ascii="Book Antiqua" w:hAnsi="Book Antiqua"/>
          <w:sz w:val="26"/>
          <w:szCs w:val="20"/>
        </w:rPr>
      </w:pPr>
      <w:r>
        <w:rPr>
          <w:rFonts w:ascii="Book Antiqua" w:hAnsi="Book Antiqua"/>
          <w:sz w:val="26"/>
          <w:szCs w:val="20"/>
        </w:rPr>
        <w:t>JOHN REYNOLDS</w:t>
      </w:r>
    </w:p>
    <w:p w:rsidRPr="00AE0DE2" w:rsidR="00C516EF" w:rsidP="00C516EF" w:rsidRDefault="00C516EF" w14:paraId="62E11769" w14:textId="77777777">
      <w:pPr>
        <w:autoSpaceDE w:val="0"/>
        <w:autoSpaceDN w:val="0"/>
        <w:adjustRightInd w:val="0"/>
        <w:ind w:left="3600" w:firstLine="720"/>
        <w:jc w:val="both"/>
        <w:rPr>
          <w:rFonts w:ascii="Book Antiqua" w:hAnsi="Book Antiqua"/>
          <w:sz w:val="26"/>
          <w:szCs w:val="20"/>
        </w:rPr>
      </w:pPr>
      <w:r>
        <w:rPr>
          <w:rFonts w:ascii="Book Antiqua" w:hAnsi="Book Antiqua"/>
          <w:sz w:val="26"/>
          <w:szCs w:val="20"/>
        </w:rPr>
        <w:t>KAREN DOUGLAS</w:t>
      </w:r>
    </w:p>
    <w:p w:rsidRPr="00AE0DE2" w:rsidR="00C516EF" w:rsidP="00C516EF" w:rsidRDefault="00C516EF" w14:paraId="704C12EC" w14:textId="77777777">
      <w:pPr>
        <w:autoSpaceDE w:val="0"/>
        <w:autoSpaceDN w:val="0"/>
        <w:adjustRightInd w:val="0"/>
        <w:ind w:left="4320" w:firstLine="720"/>
        <w:jc w:val="both"/>
        <w:rPr>
          <w:rFonts w:ascii="Book Antiqua" w:hAnsi="Book Antiqua"/>
          <w:sz w:val="26"/>
          <w:szCs w:val="20"/>
        </w:rPr>
      </w:pPr>
      <w:r w:rsidRPr="00AE0DE2">
        <w:rPr>
          <w:rFonts w:ascii="Book Antiqua" w:hAnsi="Book Antiqua"/>
          <w:sz w:val="26"/>
          <w:szCs w:val="20"/>
        </w:rPr>
        <w:t xml:space="preserve">            Commissioners</w:t>
      </w:r>
    </w:p>
    <w:bookmarkEnd w:id="3"/>
    <w:p w:rsidR="00C516EF" w:rsidP="00D73795" w:rsidRDefault="00C516EF" w14:paraId="19633011" w14:textId="0D37C0F7"/>
    <w:p w:rsidR="00C516EF" w:rsidP="00D73795" w:rsidRDefault="00C516EF" w14:paraId="2EF26D78" w14:textId="255E4EBD"/>
    <w:p w:rsidR="00C516EF" w:rsidP="00D73795" w:rsidRDefault="00C516EF" w14:paraId="2DFF80B4" w14:textId="3DF93D47"/>
    <w:p w:rsidR="00C516EF" w:rsidP="00D73795" w:rsidRDefault="00C516EF" w14:paraId="1DB09600" w14:textId="1A77433D"/>
    <w:p w:rsidR="00C516EF" w:rsidP="00D73795" w:rsidRDefault="00C516EF" w14:paraId="6C5B2857" w14:textId="00277FC1"/>
    <w:p w:rsidR="00C516EF" w:rsidP="00D73795" w:rsidRDefault="00C516EF" w14:paraId="065CC331" w14:textId="2FB8EB7F"/>
    <w:p w:rsidR="00C516EF" w:rsidP="00D73795" w:rsidRDefault="00C516EF" w14:paraId="642F2DEE" w14:textId="0101DF5D"/>
    <w:p w:rsidR="00C516EF" w:rsidP="00D73795" w:rsidRDefault="00C516EF" w14:paraId="3FE2B120" w14:textId="76B1F742"/>
    <w:p w:rsidR="00C516EF" w:rsidP="00D73795" w:rsidRDefault="00C516EF" w14:paraId="24679417" w14:textId="34A90C99"/>
    <w:p w:rsidR="00C516EF" w:rsidP="00D73795" w:rsidRDefault="00C516EF" w14:paraId="5455260B" w14:textId="61A15361"/>
    <w:p w:rsidR="00C516EF" w:rsidP="00D73795" w:rsidRDefault="00C516EF" w14:paraId="050892D9" w14:textId="34F643CF"/>
    <w:p w:rsidR="00C516EF" w:rsidP="00D73795" w:rsidRDefault="00C516EF" w14:paraId="66941FC8" w14:textId="5B9435B7"/>
    <w:p w:rsidR="00C516EF" w:rsidP="00D73795" w:rsidRDefault="00C516EF" w14:paraId="5FDD8332" w14:textId="4FFF0D93"/>
    <w:p w:rsidR="00C516EF" w:rsidP="00D73795" w:rsidRDefault="00C516EF" w14:paraId="06B89646" w14:textId="7269B50C"/>
    <w:p w:rsidR="00C516EF" w:rsidP="00D73795" w:rsidRDefault="00C516EF" w14:paraId="5C538159" w14:textId="0A961411"/>
    <w:p w:rsidR="00C516EF" w:rsidP="00D73795" w:rsidRDefault="00C516EF" w14:paraId="3A8C96C2" w14:textId="3E806E5D"/>
    <w:p w:rsidR="00C516EF" w:rsidP="00D73795" w:rsidRDefault="00C516EF" w14:paraId="6016B01D" w14:textId="616F2991"/>
    <w:p w:rsidRPr="00D73795" w:rsidR="00D73795" w:rsidP="00D73795" w:rsidRDefault="00D73795" w14:paraId="50885EF7" w14:textId="77777777"/>
    <w:p w:rsidRPr="00D73795" w:rsidR="00D73795" w:rsidP="00D73795" w:rsidRDefault="00D73795" w14:paraId="1AB00C1D" w14:textId="77777777">
      <w:pPr>
        <w:spacing w:line="360" w:lineRule="auto"/>
        <w:jc w:val="center"/>
        <w:rPr>
          <w:rFonts w:ascii="Helvetica" w:hAnsi="Helvetica"/>
          <w:b/>
          <w:sz w:val="26"/>
          <w:szCs w:val="26"/>
        </w:rPr>
      </w:pPr>
      <w:r w:rsidRPr="00D73795">
        <w:rPr>
          <w:rFonts w:ascii="Helvetica" w:hAnsi="Helvetica"/>
          <w:b/>
          <w:sz w:val="26"/>
          <w:szCs w:val="26"/>
        </w:rPr>
        <w:lastRenderedPageBreak/>
        <w:t>APPENDIX</w:t>
      </w:r>
    </w:p>
    <w:p w:rsidRPr="00D73795" w:rsidR="00D73795" w:rsidP="00D73795" w:rsidRDefault="00D73795" w14:paraId="6ECD7AF7" w14:textId="77777777">
      <w:pPr>
        <w:spacing w:line="360" w:lineRule="auto"/>
        <w:ind w:firstLine="720"/>
        <w:jc w:val="center"/>
        <w:rPr>
          <w:rFonts w:ascii="Palatino" w:hAnsi="Palatino"/>
          <w:sz w:val="26"/>
          <w:szCs w:val="20"/>
        </w:rPr>
      </w:pPr>
      <w:r w:rsidRPr="00D73795">
        <w:rPr>
          <w:rFonts w:ascii="Palatino" w:hAnsi="Palatino"/>
          <w:sz w:val="28"/>
          <w:szCs w:val="28"/>
        </w:rPr>
        <w:t>Compensation Decision Summary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Pr="00D73795" w:rsidR="00D73795" w:rsidTr="00355A28" w14:paraId="4F4DE350"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5BF34C0A" w14:textId="77777777">
            <w:r w:rsidRPr="00D73795">
              <w:t>Compensation Decision:</w:t>
            </w:r>
          </w:p>
        </w:tc>
        <w:tc>
          <w:tcPr>
            <w:tcW w:w="3735" w:type="dxa"/>
            <w:tcBorders>
              <w:top w:val="single" w:color="auto" w:sz="4" w:space="0"/>
              <w:left w:val="single" w:color="auto" w:sz="4" w:space="0"/>
              <w:bottom w:val="single" w:color="auto" w:sz="4" w:space="0"/>
              <w:right w:val="single" w:color="auto" w:sz="4" w:space="0"/>
            </w:tcBorders>
          </w:tcPr>
          <w:p w:rsidRPr="00D73795" w:rsidR="00D73795" w:rsidP="00D73795" w:rsidRDefault="00C516EF" w14:paraId="1FB914A5" w14:textId="3793AD7D">
            <w:r>
              <w:t>D2303028</w:t>
            </w:r>
          </w:p>
        </w:tc>
        <w:tc>
          <w:tcPr>
            <w:tcW w:w="2475"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1A59BED5" w14:textId="77777777">
            <w:r w:rsidRPr="00D73795">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Pr="00D73795" w:rsidR="00D73795" w:rsidP="00D73795" w:rsidRDefault="00D73795" w14:paraId="7FFAB064" w14:textId="77777777">
            <w:pPr>
              <w:jc w:val="center"/>
            </w:pPr>
            <w:r w:rsidRPr="00D73795">
              <w:t>No</w:t>
            </w:r>
          </w:p>
        </w:tc>
      </w:tr>
      <w:tr w:rsidRPr="00D73795" w:rsidR="00D73795" w:rsidTr="00355A28" w14:paraId="01EA9178"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7A165EFB" w14:textId="77777777">
            <w:r w:rsidRPr="00D73795">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D73795" w:rsidR="00D73795" w:rsidP="00D73795" w:rsidRDefault="00D73795" w14:paraId="4746CB1A" w14:textId="77777777">
            <w:r w:rsidRPr="00D73795">
              <w:t>D2104030</w:t>
            </w:r>
          </w:p>
        </w:tc>
      </w:tr>
      <w:tr w:rsidRPr="00D73795" w:rsidR="00D73795" w:rsidTr="00355A28" w14:paraId="60E605EF"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1EDB6716" w14:textId="77777777">
            <w:r w:rsidRPr="00D73795">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D73795" w:rsidR="00D73795" w:rsidP="00D73795" w:rsidRDefault="00D73795" w14:paraId="620E7D33" w14:textId="77777777">
            <w:r w:rsidRPr="00D73795">
              <w:t>A2004023</w:t>
            </w:r>
          </w:p>
        </w:tc>
      </w:tr>
      <w:tr w:rsidRPr="00D73795" w:rsidR="00D73795" w:rsidTr="00355A28" w14:paraId="3386033E"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737E9E0D" w14:textId="77777777">
            <w:r w:rsidRPr="00D73795">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5B825F11" w14:textId="77777777">
            <w:r w:rsidRPr="00D73795">
              <w:t>ALJ Robert Haga</w:t>
            </w:r>
          </w:p>
        </w:tc>
      </w:tr>
      <w:tr w:rsidRPr="00D73795" w:rsidR="00D73795" w:rsidTr="00355A28" w14:paraId="36778FA6" w14:textId="77777777">
        <w:trPr>
          <w:trHeight w:val="278"/>
        </w:trPr>
        <w:tc>
          <w:tcPr>
            <w:tcW w:w="288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373722DD" w14:textId="77777777">
            <w:r w:rsidRPr="00D73795">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59413ABF" w14:textId="77777777">
            <w:r w:rsidRPr="00D73795">
              <w:t>Pacific Gas and Electric Company</w:t>
            </w:r>
          </w:p>
        </w:tc>
      </w:tr>
    </w:tbl>
    <w:p w:rsidRPr="00D73795" w:rsidR="00D73795" w:rsidP="00D73795" w:rsidRDefault="00D73795" w14:paraId="23CE9A1D" w14:textId="77777777"/>
    <w:p w:rsidRPr="00D73795" w:rsidR="00D73795" w:rsidP="00D73795" w:rsidRDefault="00D73795" w14:paraId="47FB16F6" w14:textId="77777777"/>
    <w:p w:rsidRPr="00D73795" w:rsidR="00D73795" w:rsidP="00D73795" w:rsidRDefault="00D73795" w14:paraId="06ACBFB3" w14:textId="77777777">
      <w:pPr>
        <w:jc w:val="center"/>
        <w:rPr>
          <w:sz w:val="28"/>
          <w:szCs w:val="28"/>
        </w:rPr>
      </w:pPr>
      <w:r w:rsidRPr="00D73795">
        <w:rPr>
          <w:sz w:val="28"/>
          <w:szCs w:val="28"/>
        </w:rPr>
        <w:t>Intervenor Information</w:t>
      </w:r>
    </w:p>
    <w:p w:rsidRPr="00D73795" w:rsidR="00D73795" w:rsidP="00D73795" w:rsidRDefault="00D73795" w14:paraId="2C42F1D2" w14:textId="77777777"/>
    <w:tbl>
      <w:tblPr>
        <w:tblW w:w="1032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4"/>
        <w:gridCol w:w="1376"/>
        <w:gridCol w:w="1530"/>
        <w:gridCol w:w="1603"/>
        <w:gridCol w:w="1296"/>
        <w:gridCol w:w="2478"/>
      </w:tblGrid>
      <w:tr w:rsidRPr="00D73795" w:rsidR="00D73795" w:rsidTr="00355A28" w14:paraId="16C81E75" w14:textId="77777777">
        <w:tc>
          <w:tcPr>
            <w:tcW w:w="2044"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1F43DD2F" w14:textId="77777777">
            <w:pPr>
              <w:jc w:val="center"/>
            </w:pPr>
            <w:r w:rsidRPr="00D73795">
              <w:t>Intervenor</w:t>
            </w:r>
          </w:p>
        </w:tc>
        <w:tc>
          <w:tcPr>
            <w:tcW w:w="1376"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09890A07" w14:textId="77777777">
            <w:pPr>
              <w:jc w:val="center"/>
            </w:pPr>
            <w:r w:rsidRPr="00D73795">
              <w:t>Date Claim Filed</w:t>
            </w:r>
          </w:p>
        </w:tc>
        <w:tc>
          <w:tcPr>
            <w:tcW w:w="153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695259A0" w14:textId="77777777">
            <w:pPr>
              <w:jc w:val="center"/>
            </w:pPr>
            <w:r w:rsidRPr="00D73795">
              <w:t>Amount Requested</w:t>
            </w:r>
          </w:p>
        </w:tc>
        <w:tc>
          <w:tcPr>
            <w:tcW w:w="1603"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174539FA" w14:textId="77777777">
            <w:pPr>
              <w:jc w:val="center"/>
            </w:pPr>
            <w:r w:rsidRPr="00D73795">
              <w:t>Amount Awarded</w:t>
            </w:r>
          </w:p>
        </w:tc>
        <w:tc>
          <w:tcPr>
            <w:tcW w:w="1296"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55CDE00B" w14:textId="77777777">
            <w:pPr>
              <w:jc w:val="center"/>
            </w:pPr>
            <w:r w:rsidRPr="00D73795">
              <w:t>Multiplier?</w:t>
            </w:r>
          </w:p>
        </w:tc>
        <w:tc>
          <w:tcPr>
            <w:tcW w:w="2478"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5618F6FD" w14:textId="77777777">
            <w:pPr>
              <w:jc w:val="center"/>
            </w:pPr>
            <w:r w:rsidRPr="00D73795">
              <w:t>Reason Change/Disallowance</w:t>
            </w:r>
          </w:p>
        </w:tc>
      </w:tr>
      <w:tr w:rsidRPr="00D73795" w:rsidR="00D73795" w:rsidTr="00355A28" w14:paraId="7B59AA81" w14:textId="77777777">
        <w:trPr>
          <w:trHeight w:val="872"/>
        </w:trPr>
        <w:tc>
          <w:tcPr>
            <w:tcW w:w="2044" w:type="dxa"/>
            <w:tcBorders>
              <w:top w:val="single" w:color="auto" w:sz="4" w:space="0"/>
              <w:left w:val="single" w:color="auto" w:sz="4" w:space="0"/>
              <w:bottom w:val="single" w:color="auto" w:sz="4" w:space="0"/>
              <w:right w:val="single" w:color="auto" w:sz="4" w:space="0"/>
            </w:tcBorders>
            <w:shd w:val="clear" w:color="auto" w:fill="auto"/>
            <w:hideMark/>
          </w:tcPr>
          <w:p w:rsidRPr="00D73795" w:rsidR="00D73795" w:rsidP="00D73795" w:rsidRDefault="00D73795" w14:paraId="16451A1D" w14:textId="77777777">
            <w:pPr>
              <w:jc w:val="center"/>
              <w:rPr>
                <w:color w:val="000000"/>
              </w:rPr>
            </w:pPr>
            <w:r w:rsidRPr="00D73795">
              <w:rPr>
                <w:color w:val="000000"/>
              </w:rPr>
              <w:t>Agricultural Energy Consumers Association</w:t>
            </w:r>
          </w:p>
        </w:tc>
        <w:tc>
          <w:tcPr>
            <w:tcW w:w="1376" w:type="dxa"/>
            <w:tcBorders>
              <w:top w:val="single" w:color="auto" w:sz="4" w:space="0"/>
              <w:left w:val="single" w:color="auto" w:sz="4" w:space="0"/>
              <w:bottom w:val="single" w:color="auto" w:sz="4" w:space="0"/>
              <w:right w:val="single" w:color="auto" w:sz="4" w:space="0"/>
            </w:tcBorders>
            <w:shd w:val="clear" w:color="auto" w:fill="auto"/>
            <w:hideMark/>
          </w:tcPr>
          <w:p w:rsidRPr="00D73795" w:rsidR="00D73795" w:rsidP="00D73795" w:rsidRDefault="00D73795" w14:paraId="7407996F" w14:textId="77777777">
            <w:pPr>
              <w:jc w:val="center"/>
              <w:rPr>
                <w:color w:val="000000"/>
              </w:rPr>
            </w:pPr>
            <w:r w:rsidRPr="00D73795">
              <w:rPr>
                <w:color w:val="000000"/>
              </w:rPr>
              <w:t>9/29/2021</w:t>
            </w:r>
          </w:p>
          <w:p w:rsidRPr="00D73795" w:rsidR="00D73795" w:rsidP="00D73795" w:rsidRDefault="00D73795" w14:paraId="62961B6D" w14:textId="77777777">
            <w:pPr>
              <w:jc w:val="center"/>
              <w:rPr>
                <w:color w:val="000000"/>
              </w:rPr>
            </w:pP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D73795" w:rsidR="00D73795" w:rsidP="00D73795" w:rsidRDefault="00D73795" w14:paraId="33A71837" w14:textId="77777777">
            <w:pPr>
              <w:jc w:val="center"/>
              <w:rPr>
                <w:color w:val="000000"/>
              </w:rPr>
            </w:pPr>
            <w:r w:rsidRPr="00D73795">
              <w:rPr>
                <w:color w:val="000000"/>
              </w:rPr>
              <w:t>$20,740.80</w:t>
            </w:r>
          </w:p>
          <w:p w:rsidRPr="00D73795" w:rsidR="00D73795" w:rsidP="00D73795" w:rsidRDefault="00D73795" w14:paraId="2C58B3DF" w14:textId="77777777">
            <w:pPr>
              <w:jc w:val="center"/>
              <w:rPr>
                <w:color w:val="000000"/>
              </w:rPr>
            </w:pPr>
          </w:p>
        </w:tc>
        <w:tc>
          <w:tcPr>
            <w:tcW w:w="1603"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61F94D33" w14:textId="77777777">
            <w:pPr>
              <w:jc w:val="center"/>
            </w:pPr>
            <w:r w:rsidRPr="00D73795">
              <w:t>$27,328.50</w:t>
            </w:r>
          </w:p>
        </w:tc>
        <w:tc>
          <w:tcPr>
            <w:tcW w:w="1296"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3413798A" w14:textId="77777777">
            <w:pPr>
              <w:jc w:val="center"/>
            </w:pPr>
            <w:r w:rsidRPr="00D73795">
              <w:t>N/A</w:t>
            </w:r>
          </w:p>
        </w:tc>
        <w:tc>
          <w:tcPr>
            <w:tcW w:w="2478"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6A2A7F11" w14:textId="77777777">
            <w:pPr>
              <w:jc w:val="center"/>
            </w:pPr>
            <w:r w:rsidRPr="00D73795">
              <w:t>Hourly rate adjustment, hours adjusted to match timesheets provided</w:t>
            </w:r>
          </w:p>
        </w:tc>
      </w:tr>
    </w:tbl>
    <w:p w:rsidRPr="00D73795" w:rsidR="00D73795" w:rsidP="00D73795" w:rsidRDefault="00D73795" w14:paraId="39EF1651" w14:textId="77777777"/>
    <w:p w:rsidRPr="00D73795" w:rsidR="00D73795" w:rsidP="00D73795" w:rsidRDefault="00D73795" w14:paraId="2437FA38" w14:textId="77777777"/>
    <w:p w:rsidRPr="00D73795" w:rsidR="00D73795" w:rsidP="00D73795" w:rsidRDefault="00D73795" w14:paraId="1286F330" w14:textId="77777777">
      <w:pPr>
        <w:jc w:val="center"/>
        <w:rPr>
          <w:sz w:val="28"/>
          <w:szCs w:val="28"/>
        </w:rPr>
      </w:pPr>
      <w:r w:rsidRPr="00D73795">
        <w:rPr>
          <w:sz w:val="28"/>
          <w:szCs w:val="28"/>
        </w:rPr>
        <w:t>Hourly Fee Information</w:t>
      </w:r>
    </w:p>
    <w:p w:rsidRPr="00D73795" w:rsidR="00D73795" w:rsidP="00D73795" w:rsidRDefault="00D73795" w14:paraId="5E2C3ECB" w14:textId="77777777">
      <w:pPr>
        <w:jc w:val="center"/>
        <w:rPr>
          <w:shd w:val="clear" w:color="auto" w:fill="CCFFCC"/>
        </w:rPr>
      </w:pP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770"/>
        <w:gridCol w:w="1920"/>
        <w:gridCol w:w="1620"/>
        <w:gridCol w:w="1710"/>
        <w:gridCol w:w="1620"/>
      </w:tblGrid>
      <w:tr w:rsidRPr="00D73795" w:rsidR="00D73795" w:rsidTr="00355A28" w14:paraId="078B363A" w14:textId="77777777">
        <w:trPr>
          <w:trHeight w:val="288"/>
        </w:trPr>
        <w:tc>
          <w:tcPr>
            <w:tcW w:w="171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6271E116" w14:textId="77777777">
            <w:pPr>
              <w:jc w:val="center"/>
            </w:pPr>
            <w:r w:rsidRPr="00D73795">
              <w:t>First Name</w:t>
            </w:r>
          </w:p>
        </w:tc>
        <w:tc>
          <w:tcPr>
            <w:tcW w:w="177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45D5060C" w14:textId="77777777">
            <w:pPr>
              <w:jc w:val="center"/>
            </w:pPr>
            <w:r w:rsidRPr="00D73795">
              <w:t>Last Name</w:t>
            </w:r>
          </w:p>
        </w:tc>
        <w:tc>
          <w:tcPr>
            <w:tcW w:w="192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1855DA45" w14:textId="77777777">
            <w:pPr>
              <w:ind w:left="12" w:firstLine="12"/>
              <w:jc w:val="center"/>
              <w:rPr>
                <w:color w:val="000000"/>
              </w:rPr>
            </w:pPr>
            <w:r w:rsidRPr="00D73795">
              <w:rPr>
                <w:color w:val="000000"/>
              </w:rPr>
              <w:t>Attorney, Expert, or Advocate</w:t>
            </w:r>
          </w:p>
        </w:tc>
        <w:tc>
          <w:tcPr>
            <w:tcW w:w="162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30A34FBA" w14:textId="77777777">
            <w:pPr>
              <w:jc w:val="center"/>
            </w:pPr>
            <w:r w:rsidRPr="00D73795">
              <w:t>Hourly Fee Requested</w:t>
            </w:r>
          </w:p>
        </w:tc>
        <w:tc>
          <w:tcPr>
            <w:tcW w:w="171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04365111" w14:textId="77777777">
            <w:pPr>
              <w:jc w:val="center"/>
            </w:pPr>
            <w:r w:rsidRPr="00D73795">
              <w:t>Year Hourly Fee Requested</w:t>
            </w:r>
          </w:p>
        </w:tc>
        <w:tc>
          <w:tcPr>
            <w:tcW w:w="1620" w:type="dxa"/>
            <w:tcBorders>
              <w:top w:val="single" w:color="auto" w:sz="4" w:space="0"/>
              <w:left w:val="single" w:color="auto" w:sz="4" w:space="0"/>
              <w:bottom w:val="single" w:color="auto" w:sz="4" w:space="0"/>
              <w:right w:val="single" w:color="auto" w:sz="4" w:space="0"/>
            </w:tcBorders>
            <w:hideMark/>
          </w:tcPr>
          <w:p w:rsidRPr="00D73795" w:rsidR="00D73795" w:rsidP="00D73795" w:rsidRDefault="00D73795" w14:paraId="32D09905" w14:textId="77777777">
            <w:pPr>
              <w:jc w:val="center"/>
            </w:pPr>
            <w:r w:rsidRPr="00D73795">
              <w:t>Hourly Fee Adopted</w:t>
            </w:r>
          </w:p>
        </w:tc>
      </w:tr>
      <w:tr w:rsidRPr="00D73795" w:rsidR="00D73795" w:rsidTr="00355A28" w14:paraId="397440AC"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02AC07A5" w14:textId="77777777">
            <w:pPr>
              <w:jc w:val="center"/>
              <w:rPr>
                <w:shd w:val="clear" w:color="auto" w:fill="CCFFCC"/>
              </w:rPr>
            </w:pPr>
            <w:r w:rsidRPr="00D73795">
              <w:rPr>
                <w:color w:val="000000"/>
              </w:rPr>
              <w:t xml:space="preserve">Michael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1CADFDBD" w14:textId="77777777">
            <w:pPr>
              <w:jc w:val="center"/>
              <w:rPr>
                <w:shd w:val="clear" w:color="auto" w:fill="CCFFCC"/>
              </w:rPr>
            </w:pPr>
            <w:r w:rsidRPr="00D73795">
              <w:rPr>
                <w:color w:val="000000"/>
              </w:rPr>
              <w:t>Boccadoro</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59EC095D" w14:textId="77777777">
            <w:pPr>
              <w:jc w:val="center"/>
              <w:rPr>
                <w:color w:val="000000"/>
              </w:rPr>
            </w:pPr>
            <w:r w:rsidRPr="00D73795">
              <w:rPr>
                <w:color w:val="000000"/>
              </w:rPr>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4F300D20" w14:textId="77777777">
            <w:pPr>
              <w:jc w:val="center"/>
            </w:pPr>
            <w:r w:rsidRPr="00D73795">
              <w:t>$215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01746463" w14:textId="77777777">
            <w:pPr>
              <w:jc w:val="center"/>
            </w:pPr>
            <w:r w:rsidRPr="00D73795">
              <w:t>2020</w:t>
            </w:r>
          </w:p>
        </w:tc>
        <w:tc>
          <w:tcPr>
            <w:tcW w:w="1620" w:type="dxa"/>
            <w:tcBorders>
              <w:top w:val="single" w:color="auto" w:sz="4" w:space="0"/>
              <w:left w:val="single" w:color="auto" w:sz="4" w:space="0"/>
              <w:bottom w:val="single" w:color="auto" w:sz="4" w:space="0"/>
              <w:right w:val="single" w:color="auto" w:sz="4" w:space="0"/>
            </w:tcBorders>
          </w:tcPr>
          <w:p w:rsidRPr="00D73795" w:rsidR="00D73795" w:rsidP="00D73795" w:rsidRDefault="00D73795" w14:paraId="693BE2AF" w14:textId="77777777">
            <w:pPr>
              <w:jc w:val="center"/>
            </w:pPr>
            <w:r w:rsidRPr="00D73795">
              <w:t>$215</w:t>
            </w:r>
          </w:p>
        </w:tc>
      </w:tr>
      <w:tr w:rsidRPr="00D73795" w:rsidR="00D73795" w:rsidTr="00355A28" w14:paraId="039F0DFA"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3BE1D768" w14:textId="77777777">
            <w:pPr>
              <w:jc w:val="center"/>
              <w:rPr>
                <w:shd w:val="clear" w:color="auto" w:fill="CCFFCC"/>
              </w:rPr>
            </w:pPr>
            <w:r w:rsidRPr="00D73795">
              <w:rPr>
                <w:color w:val="000000"/>
              </w:rPr>
              <w:t xml:space="preserve">Beth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62119136" w14:textId="77777777">
            <w:pPr>
              <w:jc w:val="center"/>
              <w:rPr>
                <w:shd w:val="clear" w:color="auto" w:fill="CCFFCC"/>
              </w:rPr>
            </w:pPr>
            <w:r w:rsidRPr="00D73795">
              <w:rPr>
                <w:color w:val="000000"/>
              </w:rPr>
              <w:t>Olhasso</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56FCBC0D" w14:textId="77777777">
            <w:pPr>
              <w:jc w:val="center"/>
              <w:rPr>
                <w:color w:val="000000"/>
              </w:rPr>
            </w:pPr>
            <w:r w:rsidRPr="00D73795">
              <w:rPr>
                <w:color w:val="000000"/>
              </w:rPr>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38C72D18" w14:textId="77777777">
            <w:pPr>
              <w:jc w:val="center"/>
            </w:pPr>
            <w:r w:rsidRPr="00D73795">
              <w:t>$155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4C19BA8C" w14:textId="77777777">
            <w:pPr>
              <w:jc w:val="center"/>
            </w:pPr>
            <w:r w:rsidRPr="00D73795">
              <w:t>2020</w:t>
            </w:r>
          </w:p>
        </w:tc>
        <w:tc>
          <w:tcPr>
            <w:tcW w:w="1620" w:type="dxa"/>
            <w:tcBorders>
              <w:top w:val="single" w:color="auto" w:sz="4" w:space="0"/>
              <w:left w:val="single" w:color="auto" w:sz="4" w:space="0"/>
              <w:bottom w:val="single" w:color="auto" w:sz="4" w:space="0"/>
              <w:right w:val="single" w:color="auto" w:sz="4" w:space="0"/>
            </w:tcBorders>
          </w:tcPr>
          <w:p w:rsidRPr="00D73795" w:rsidR="00D73795" w:rsidP="00D73795" w:rsidRDefault="00D73795" w14:paraId="12167BFB" w14:textId="77777777">
            <w:pPr>
              <w:jc w:val="center"/>
            </w:pPr>
            <w:r w:rsidRPr="00D73795">
              <w:t>$155</w:t>
            </w:r>
          </w:p>
        </w:tc>
      </w:tr>
      <w:tr w:rsidRPr="00D73795" w:rsidR="00D73795" w:rsidTr="00355A28" w14:paraId="1D125196"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07E7CF5E" w14:textId="77777777">
            <w:pPr>
              <w:jc w:val="center"/>
              <w:rPr>
                <w:shd w:val="clear" w:color="auto" w:fill="CCFFCC"/>
              </w:rPr>
            </w:pPr>
            <w:r w:rsidRPr="00D73795">
              <w:rPr>
                <w:color w:val="000000"/>
              </w:rPr>
              <w:t xml:space="preserve">Ann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630B0EAE" w14:textId="77777777">
            <w:pPr>
              <w:jc w:val="center"/>
              <w:rPr>
                <w:shd w:val="clear" w:color="auto" w:fill="CCFFCC"/>
              </w:rPr>
            </w:pPr>
            <w:r w:rsidRPr="00D73795">
              <w:rPr>
                <w:color w:val="000000"/>
              </w:rPr>
              <w:t>Trowbridge</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3A3F18A1" w14:textId="77777777">
            <w:pPr>
              <w:jc w:val="center"/>
              <w:rPr>
                <w:color w:val="000000"/>
              </w:rPr>
            </w:pPr>
            <w:r w:rsidRPr="00D73795">
              <w:rPr>
                <w:color w:val="000000"/>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21A0B627" w14:textId="77777777">
            <w:pPr>
              <w:jc w:val="center"/>
            </w:pPr>
            <w:r w:rsidRPr="00D73795">
              <w:t>$425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2D78AB98" w14:textId="77777777">
            <w:pPr>
              <w:jc w:val="center"/>
            </w:pPr>
            <w:r w:rsidRPr="00D73795">
              <w:t>2020</w:t>
            </w:r>
          </w:p>
        </w:tc>
        <w:tc>
          <w:tcPr>
            <w:tcW w:w="1620" w:type="dxa"/>
            <w:tcBorders>
              <w:top w:val="single" w:color="auto" w:sz="4" w:space="0"/>
              <w:left w:val="single" w:color="auto" w:sz="4" w:space="0"/>
              <w:bottom w:val="single" w:color="auto" w:sz="4" w:space="0"/>
              <w:right w:val="single" w:color="auto" w:sz="4" w:space="0"/>
            </w:tcBorders>
          </w:tcPr>
          <w:p w:rsidRPr="00D73795" w:rsidR="00D73795" w:rsidP="00D73795" w:rsidRDefault="00D73795" w14:paraId="095BAD41" w14:textId="77777777">
            <w:pPr>
              <w:jc w:val="center"/>
            </w:pPr>
            <w:r w:rsidRPr="00D73795">
              <w:t>$435</w:t>
            </w:r>
          </w:p>
        </w:tc>
      </w:tr>
      <w:tr w:rsidRPr="00D73795" w:rsidR="00D73795" w:rsidTr="00355A28" w14:paraId="6DECE69A"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62D09918" w14:textId="77777777">
            <w:pPr>
              <w:jc w:val="center"/>
              <w:rPr>
                <w:shd w:val="clear" w:color="auto" w:fill="CCFFCC"/>
              </w:rPr>
            </w:pPr>
            <w:r w:rsidRPr="00D73795">
              <w:rPr>
                <w:color w:val="000000"/>
              </w:rPr>
              <w:t xml:space="preserve">Michael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778E10FF" w14:textId="77777777">
            <w:pPr>
              <w:jc w:val="center"/>
              <w:rPr>
                <w:shd w:val="clear" w:color="auto" w:fill="CCFFCC"/>
              </w:rPr>
            </w:pPr>
            <w:r w:rsidRPr="00D73795">
              <w:rPr>
                <w:color w:val="000000"/>
              </w:rPr>
              <w:t>Boccadoro</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202EFA54" w14:textId="77777777">
            <w:pPr>
              <w:jc w:val="center"/>
              <w:rPr>
                <w:color w:val="000000"/>
              </w:rPr>
            </w:pPr>
            <w:r w:rsidRPr="00D73795">
              <w:rPr>
                <w:color w:val="000000"/>
              </w:rPr>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45462D60" w14:textId="77777777">
            <w:pPr>
              <w:jc w:val="center"/>
            </w:pPr>
            <w:r w:rsidRPr="00D73795">
              <w:t>$215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304792F1" w14:textId="77777777">
            <w:pPr>
              <w:jc w:val="center"/>
            </w:pPr>
            <w:r w:rsidRPr="00D73795">
              <w:t>2021</w:t>
            </w:r>
          </w:p>
        </w:tc>
        <w:tc>
          <w:tcPr>
            <w:tcW w:w="1620" w:type="dxa"/>
            <w:tcBorders>
              <w:top w:val="single" w:color="auto" w:sz="4" w:space="0"/>
              <w:left w:val="single" w:color="auto" w:sz="4" w:space="0"/>
              <w:bottom w:val="single" w:color="auto" w:sz="4" w:space="0"/>
              <w:right w:val="single" w:color="auto" w:sz="4" w:space="0"/>
            </w:tcBorders>
          </w:tcPr>
          <w:p w:rsidRPr="00D73795" w:rsidR="00D73795" w:rsidP="00D73795" w:rsidRDefault="00D73795" w14:paraId="44DD03F0" w14:textId="77777777">
            <w:pPr>
              <w:jc w:val="center"/>
            </w:pPr>
            <w:r w:rsidRPr="00D73795">
              <w:t>$220</w:t>
            </w:r>
          </w:p>
        </w:tc>
      </w:tr>
      <w:tr w:rsidRPr="00D73795" w:rsidR="00D73795" w:rsidTr="00355A28" w14:paraId="52B5CC59"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345788AC" w14:textId="77777777">
            <w:pPr>
              <w:jc w:val="center"/>
              <w:rPr>
                <w:shd w:val="clear" w:color="auto" w:fill="CCFFCC"/>
              </w:rPr>
            </w:pPr>
            <w:r w:rsidRPr="00D73795">
              <w:rPr>
                <w:color w:val="000000"/>
              </w:rPr>
              <w:t xml:space="preserve">Beth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1D230986" w14:textId="77777777">
            <w:pPr>
              <w:jc w:val="center"/>
              <w:rPr>
                <w:shd w:val="clear" w:color="auto" w:fill="CCFFCC"/>
              </w:rPr>
            </w:pPr>
            <w:r w:rsidRPr="00D73795">
              <w:rPr>
                <w:color w:val="000000"/>
              </w:rPr>
              <w:t>Olhasso</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643127C1" w14:textId="77777777">
            <w:pPr>
              <w:jc w:val="center"/>
              <w:rPr>
                <w:color w:val="000000"/>
              </w:rPr>
            </w:pPr>
            <w:r w:rsidRPr="00D73795">
              <w:rPr>
                <w:color w:val="000000"/>
              </w:rPr>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4CCEFB4B" w14:textId="77777777">
            <w:pPr>
              <w:jc w:val="center"/>
            </w:pPr>
            <w:r w:rsidRPr="00D73795">
              <w:t>$155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3B8B4077" w14:textId="77777777">
            <w:pPr>
              <w:jc w:val="center"/>
            </w:pPr>
            <w:r w:rsidRPr="00D73795">
              <w:t>2021</w:t>
            </w:r>
          </w:p>
        </w:tc>
        <w:tc>
          <w:tcPr>
            <w:tcW w:w="1620" w:type="dxa"/>
            <w:tcBorders>
              <w:top w:val="single" w:color="auto" w:sz="4" w:space="0"/>
              <w:left w:val="single" w:color="auto" w:sz="4" w:space="0"/>
              <w:bottom w:val="single" w:color="auto" w:sz="4" w:space="0"/>
              <w:right w:val="single" w:color="auto" w:sz="4" w:space="0"/>
            </w:tcBorders>
          </w:tcPr>
          <w:p w:rsidRPr="00D73795" w:rsidR="00D73795" w:rsidP="00D73795" w:rsidRDefault="00D73795" w14:paraId="6834F55D" w14:textId="77777777">
            <w:pPr>
              <w:jc w:val="center"/>
            </w:pPr>
            <w:r w:rsidRPr="00D73795">
              <w:t>$160</w:t>
            </w:r>
          </w:p>
        </w:tc>
      </w:tr>
      <w:tr w:rsidRPr="00D73795" w:rsidR="00D73795" w:rsidTr="00355A28" w14:paraId="6AC9B5C3"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236D4AD3" w14:textId="77777777">
            <w:pPr>
              <w:jc w:val="center"/>
              <w:rPr>
                <w:shd w:val="clear" w:color="auto" w:fill="CCFFCC"/>
              </w:rPr>
            </w:pPr>
            <w:r w:rsidRPr="00D73795">
              <w:rPr>
                <w:color w:val="000000"/>
              </w:rPr>
              <w:t xml:space="preserve">Ann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32DC47FC" w14:textId="77777777">
            <w:pPr>
              <w:jc w:val="center"/>
              <w:rPr>
                <w:shd w:val="clear" w:color="auto" w:fill="CCFFCC"/>
              </w:rPr>
            </w:pPr>
            <w:r w:rsidRPr="00D73795">
              <w:rPr>
                <w:color w:val="000000"/>
              </w:rPr>
              <w:t>Trowbridge</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47C26563" w14:textId="77777777">
            <w:pPr>
              <w:jc w:val="center"/>
              <w:rPr>
                <w:color w:val="000000"/>
              </w:rPr>
            </w:pPr>
            <w:r w:rsidRPr="00D73795">
              <w:rPr>
                <w:color w:val="000000"/>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07B874D0" w14:textId="77777777">
            <w:pPr>
              <w:jc w:val="center"/>
            </w:pPr>
            <w:r w:rsidRPr="00D73795">
              <w:t>$425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73795" w:rsidR="00D73795" w:rsidP="00D73795" w:rsidRDefault="00D73795" w14:paraId="4A660DFA" w14:textId="77777777">
            <w:pPr>
              <w:jc w:val="center"/>
            </w:pPr>
            <w:r w:rsidRPr="00D73795">
              <w:t>2021</w:t>
            </w:r>
          </w:p>
        </w:tc>
        <w:tc>
          <w:tcPr>
            <w:tcW w:w="1620" w:type="dxa"/>
            <w:tcBorders>
              <w:top w:val="single" w:color="auto" w:sz="4" w:space="0"/>
              <w:left w:val="single" w:color="auto" w:sz="4" w:space="0"/>
              <w:bottom w:val="single" w:color="auto" w:sz="4" w:space="0"/>
              <w:right w:val="single" w:color="auto" w:sz="4" w:space="0"/>
            </w:tcBorders>
          </w:tcPr>
          <w:p w:rsidRPr="00D73795" w:rsidR="00D73795" w:rsidP="00D73795" w:rsidRDefault="00D73795" w14:paraId="4833156C" w14:textId="77777777">
            <w:pPr>
              <w:jc w:val="center"/>
            </w:pPr>
            <w:r w:rsidRPr="00D73795">
              <w:t>$435</w:t>
            </w:r>
          </w:p>
        </w:tc>
      </w:tr>
    </w:tbl>
    <w:p w:rsidRPr="00D73795" w:rsidR="00D73795" w:rsidP="00D73795" w:rsidRDefault="00D73795" w14:paraId="574ED866" w14:textId="77777777">
      <w:pPr>
        <w:spacing w:line="360" w:lineRule="auto"/>
        <w:rPr>
          <w:b/>
        </w:rPr>
      </w:pPr>
    </w:p>
    <w:p w:rsidRPr="00D73795" w:rsidR="00D73795" w:rsidP="00D73795" w:rsidRDefault="00D73795" w14:paraId="06D0A3E4" w14:textId="77777777">
      <w:pPr>
        <w:spacing w:line="360" w:lineRule="auto"/>
        <w:rPr>
          <w:b/>
        </w:rPr>
      </w:pPr>
    </w:p>
    <w:p w:rsidRPr="00D73795" w:rsidR="00D73795" w:rsidP="00D73795" w:rsidRDefault="00D73795" w14:paraId="0D2C0559" w14:textId="77777777">
      <w:pPr>
        <w:spacing w:line="360" w:lineRule="auto"/>
        <w:rPr>
          <w:b/>
        </w:rPr>
      </w:pPr>
    </w:p>
    <w:p w:rsidRPr="00D73795" w:rsidR="00D73795" w:rsidP="00D73795" w:rsidRDefault="00D73795" w14:paraId="6CD5DE8D" w14:textId="77777777">
      <w:pPr>
        <w:jc w:val="center"/>
        <w:rPr>
          <w:b/>
        </w:rPr>
      </w:pPr>
      <w:r w:rsidRPr="00D73795">
        <w:rPr>
          <w:rFonts w:ascii="Helvetica" w:hAnsi="Helvetica"/>
          <w:b/>
        </w:rPr>
        <w:t xml:space="preserve">(END OF </w:t>
      </w:r>
      <w:r w:rsidRPr="00D73795">
        <w:rPr>
          <w:rFonts w:ascii="Helvetica" w:hAnsi="Helvetica"/>
          <w:b/>
          <w:szCs w:val="26"/>
        </w:rPr>
        <w:t>APPENDIX</w:t>
      </w:r>
      <w:r w:rsidRPr="00D73795">
        <w:rPr>
          <w:rFonts w:ascii="Helvetica" w:hAnsi="Helvetica"/>
          <w:b/>
        </w:rPr>
        <w:t>)</w:t>
      </w:r>
    </w:p>
    <w:p w:rsidRPr="00D73795" w:rsidR="00D73795" w:rsidP="00D73795" w:rsidRDefault="00D73795" w14:paraId="63C7C267" w14:textId="77777777">
      <w:pPr>
        <w:jc w:val="center"/>
        <w:rPr>
          <w:b/>
        </w:rPr>
      </w:pPr>
    </w:p>
    <w:p w:rsidRPr="00D73795" w:rsidR="00D73795" w:rsidP="00D73795" w:rsidRDefault="00D73795" w14:paraId="0179DAF0" w14:textId="77777777"/>
    <w:sectPr w:rsidRPr="00D73795" w:rsidR="00D73795" w:rsidSect="00765BA3">
      <w:headerReference w:type="default" r:id="rId11"/>
      <w:footerReference w:type="default" r:id="rId12"/>
      <w:footerReference w:type="first" r:id="rId13"/>
      <w:pgSz w:w="12240" w:h="15840"/>
      <w:pgMar w:top="1440" w:right="1800" w:bottom="1440"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80DD" w14:textId="77777777" w:rsidR="005F3949" w:rsidRDefault="005F3949" w:rsidP="00885956">
      <w:r>
        <w:separator/>
      </w:r>
    </w:p>
  </w:endnote>
  <w:endnote w:type="continuationSeparator" w:id="0">
    <w:p w14:paraId="465943D6" w14:textId="77777777" w:rsidR="005F3949" w:rsidRDefault="005F3949"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0652"/>
      <w:docPartObj>
        <w:docPartGallery w:val="Page Numbers (Bottom of Page)"/>
        <w:docPartUnique/>
      </w:docPartObj>
    </w:sdtPr>
    <w:sdtEndPr>
      <w:rPr>
        <w:noProof/>
      </w:rPr>
    </w:sdtEndPr>
    <w:sdtContent>
      <w:p w14:paraId="28A020F4" w14:textId="3D5F2F43" w:rsidR="00E033B1" w:rsidRDefault="00E033B1">
        <w:pPr>
          <w:pStyle w:val="Footer"/>
          <w:jc w:val="center"/>
        </w:pPr>
        <w:r>
          <w:fldChar w:fldCharType="begin"/>
        </w:r>
        <w:r>
          <w:instrText xml:space="preserve"> PAGE   \* MERGEFORMAT </w:instrText>
        </w:r>
        <w:r>
          <w:fldChar w:fldCharType="separate"/>
        </w:r>
        <w:r>
          <w:rPr>
            <w:noProof/>
          </w:rPr>
          <w:t>- 8 -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9329"/>
      <w:docPartObj>
        <w:docPartGallery w:val="Page Numbers (Bottom of Page)"/>
        <w:docPartUnique/>
      </w:docPartObj>
    </w:sdtPr>
    <w:sdtEndPr>
      <w:rPr>
        <w:noProof/>
      </w:rPr>
    </w:sdtEndPr>
    <w:sdtContent>
      <w:p w14:paraId="560F7D5D" w14:textId="105A2D90" w:rsidR="00E033B1" w:rsidRDefault="00C516EF" w:rsidP="00304EE0">
        <w:pPr>
          <w:pStyle w:val="Footer"/>
        </w:pPr>
        <w:r w:rsidRPr="00C516EF">
          <w:rPr>
            <w:rFonts w:ascii="Book Antiqua" w:hAnsi="Book Antiqua"/>
            <w:sz w:val="16"/>
            <w:szCs w:val="16"/>
          </w:rPr>
          <w:t>504318570</w:t>
        </w:r>
        <w:r w:rsidR="00304EE0">
          <w:tab/>
        </w:r>
        <w:r w:rsidR="00E033B1">
          <w:fldChar w:fldCharType="begin"/>
        </w:r>
        <w:r w:rsidR="00E033B1">
          <w:instrText xml:space="preserve"> PAGE   \* MERGEFORMAT </w:instrText>
        </w:r>
        <w:r w:rsidR="00E033B1">
          <w:fldChar w:fldCharType="separate"/>
        </w:r>
        <w:r w:rsidR="00E033B1">
          <w:rPr>
            <w:noProof/>
          </w:rPr>
          <w:t>- 1 -</w:t>
        </w:r>
        <w:r w:rsidR="00E033B1">
          <w:rPr>
            <w:noProof/>
          </w:rPr>
          <w:fldChar w:fldCharType="end"/>
        </w:r>
      </w:p>
    </w:sdtContent>
  </w:sdt>
  <w:p w14:paraId="2B494C2D" w14:textId="77777777" w:rsidR="00E033B1" w:rsidRDefault="00E0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F6C8" w14:textId="77777777" w:rsidR="005F3949" w:rsidRDefault="005F3949" w:rsidP="00885956">
      <w:r>
        <w:separator/>
      </w:r>
    </w:p>
  </w:footnote>
  <w:footnote w:type="continuationSeparator" w:id="0">
    <w:p w14:paraId="4CC7CE85" w14:textId="77777777" w:rsidR="005F3949" w:rsidRDefault="005F3949" w:rsidP="00885956">
      <w:r>
        <w:continuationSeparator/>
      </w:r>
    </w:p>
  </w:footnote>
  <w:footnote w:id="1">
    <w:p w14:paraId="3AD0E3C8" w14:textId="77777777" w:rsidR="00D73795" w:rsidRDefault="00D73795" w:rsidP="00D73795">
      <w:pPr>
        <w:pStyle w:val="FootnoteText"/>
      </w:pPr>
      <w:r>
        <w:rPr>
          <w:rStyle w:val="FootnoteReference"/>
        </w:rPr>
        <w:footnoteRef/>
      </w:r>
      <w:r>
        <w:t xml:space="preserve"> This proceeding was re-assigned to President Alice Reynolds on May 05, 2022.</w:t>
      </w:r>
    </w:p>
  </w:footnote>
  <w:footnote w:id="2">
    <w:p w14:paraId="7ABF4B24" w14:textId="3E20951B" w:rsidR="00D73795" w:rsidRPr="00A5667D" w:rsidRDefault="00D73795" w:rsidP="00D73795">
      <w:pPr>
        <w:pStyle w:val="FootnoteText"/>
      </w:pPr>
      <w:r w:rsidRPr="00A5667D">
        <w:rPr>
          <w:rStyle w:val="FootnoteReference"/>
        </w:rPr>
        <w:footnoteRef/>
      </w:r>
      <w:r w:rsidRPr="00A5667D">
        <w:t xml:space="preserve"> All statutory references are to California Pu</w:t>
      </w:r>
      <w:r w:rsidR="006A6523">
        <w:t>b. Util.</w:t>
      </w:r>
      <w:r w:rsidRPr="00A5667D">
        <w:t xml:space="preserve"> Code unless indicated otherwise.</w:t>
      </w:r>
    </w:p>
  </w:footnote>
  <w:footnote w:id="3">
    <w:p w14:paraId="17B2A76E" w14:textId="1EBA20FC" w:rsidR="00D73795" w:rsidRPr="004A727B" w:rsidRDefault="00D73795" w:rsidP="004A727B">
      <w:pPr>
        <w:rPr>
          <w:rFonts w:ascii="Book Antiqua" w:hAnsi="Book Antiqua"/>
          <w:sz w:val="22"/>
          <w:szCs w:val="22"/>
        </w:rPr>
      </w:pPr>
      <w:r w:rsidRPr="009A37EB">
        <w:rPr>
          <w:rStyle w:val="FootnoteReference"/>
        </w:rPr>
        <w:footnoteRef/>
      </w:r>
      <w:r w:rsidRPr="009A37EB">
        <w:t xml:space="preserve"> </w:t>
      </w:r>
      <w:r w:rsidRPr="004A727B">
        <w:rPr>
          <w:rFonts w:ascii="Book Antiqua" w:hAnsi="Book Antiqua"/>
          <w:sz w:val="22"/>
          <w:szCs w:val="22"/>
        </w:rPr>
        <w:t xml:space="preserve">This information may be obtained through the State Bar of California’s website at </w:t>
      </w:r>
      <w:hyperlink r:id="rId1" w:history="1">
        <w:r w:rsidRPr="004A727B">
          <w:rPr>
            <w:rStyle w:val="Hyperlink"/>
            <w:rFonts w:ascii="Book Antiqua" w:hAnsi="Book Antiqua"/>
            <w:sz w:val="22"/>
            <w:szCs w:val="22"/>
          </w:rPr>
          <w:t>http://members.calbar.ca.gov/fal/MemberSearch/QuickSearch</w:t>
        </w:r>
      </w:hyperlink>
      <w:r w:rsidRPr="004A727B">
        <w:rPr>
          <w:rFonts w:ascii="Book Antiqua" w:hAnsi="Book Antiqua"/>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B221" w14:textId="7F979188" w:rsidR="00D15C3F" w:rsidRDefault="00D15C3F" w:rsidP="00D73795">
    <w:pPr>
      <w:pStyle w:val="Header"/>
      <w:rPr>
        <w:rFonts w:ascii="Book Antiqua" w:hAnsi="Book Antiqua"/>
        <w:b/>
        <w:bCs/>
        <w:sz w:val="26"/>
        <w:szCs w:val="26"/>
      </w:rPr>
    </w:pPr>
    <w:r w:rsidRPr="00D15C3F">
      <w:rPr>
        <w:rFonts w:ascii="Book Antiqua" w:hAnsi="Book Antiqua"/>
        <w:sz w:val="26"/>
        <w:szCs w:val="26"/>
      </w:rPr>
      <w:t>A</w:t>
    </w:r>
    <w:r w:rsidR="00D73795">
      <w:rPr>
        <w:rFonts w:ascii="Book Antiqua" w:hAnsi="Book Antiqua"/>
        <w:sz w:val="26"/>
        <w:szCs w:val="26"/>
      </w:rPr>
      <w:t>.20-04-023</w:t>
    </w:r>
    <w:r w:rsidRPr="00D15C3F">
      <w:rPr>
        <w:rFonts w:ascii="Book Antiqua" w:hAnsi="Book Antiqua"/>
        <w:sz w:val="26"/>
        <w:szCs w:val="26"/>
      </w:rPr>
      <w:t xml:space="preserve">  ALJ/</w:t>
    </w:r>
    <w:r w:rsidR="00D73795">
      <w:rPr>
        <w:rFonts w:ascii="Book Antiqua" w:hAnsi="Book Antiqua"/>
        <w:sz w:val="26"/>
        <w:szCs w:val="26"/>
      </w:rPr>
      <w:t>RWH</w:t>
    </w:r>
    <w:r w:rsidRPr="00D15C3F">
      <w:rPr>
        <w:rFonts w:ascii="Book Antiqua" w:hAnsi="Book Antiqua"/>
        <w:sz w:val="26"/>
        <w:szCs w:val="26"/>
      </w:rPr>
      <w:t>/smt</w:t>
    </w:r>
    <w:r w:rsidRPr="00D15C3F">
      <w:rPr>
        <w:rFonts w:ascii="Book Antiqua" w:hAnsi="Book Antiqua"/>
        <w:sz w:val="26"/>
        <w:szCs w:val="26"/>
      </w:rPr>
      <w:tab/>
    </w:r>
    <w:r w:rsidRPr="00D15C3F">
      <w:rPr>
        <w:rFonts w:ascii="Book Antiqua" w:hAnsi="Book Antiqua"/>
        <w:sz w:val="26"/>
        <w:szCs w:val="26"/>
      </w:rPr>
      <w:tab/>
    </w:r>
  </w:p>
  <w:p w14:paraId="176C454B" w14:textId="2FAB1D99" w:rsidR="00D15C3F" w:rsidRDefault="00D15C3F" w:rsidP="00D15C3F">
    <w:pPr>
      <w:pStyle w:val="Header"/>
      <w:ind w:left="-720"/>
      <w:rPr>
        <w:rFonts w:ascii="Book Antiqua" w:hAnsi="Book Antiqua"/>
        <w:sz w:val="26"/>
        <w:szCs w:val="26"/>
      </w:rPr>
    </w:pPr>
  </w:p>
  <w:p w14:paraId="529B37C5" w14:textId="77777777" w:rsidR="00D15C3F" w:rsidRPr="00D15C3F" w:rsidRDefault="00D15C3F" w:rsidP="00D15C3F">
    <w:pPr>
      <w:pStyle w:val="Header"/>
      <w:ind w:left="-720"/>
      <w:rPr>
        <w:rFonts w:ascii="Book Antiqua" w:hAnsi="Book Antiqua"/>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DC"/>
    <w:multiLevelType w:val="hybridMultilevel"/>
    <w:tmpl w:val="E284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6622"/>
    <w:multiLevelType w:val="hybridMultilevel"/>
    <w:tmpl w:val="DE4A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001DE"/>
    <w:multiLevelType w:val="hybridMultilevel"/>
    <w:tmpl w:val="C220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56836"/>
    <w:multiLevelType w:val="multilevel"/>
    <w:tmpl w:val="58C84702"/>
    <w:lvl w:ilvl="0">
      <w:start w:val="1"/>
      <w:numFmt w:val="none"/>
      <w:lvlText w:val=""/>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4140"/>
        </w:tabs>
        <w:ind w:left="4140" w:hanging="720"/>
      </w:pPr>
      <w:rPr>
        <w:rFonts w:cs="Times New Roman"/>
        <w:sz w:val="24"/>
        <w:szCs w:val="24"/>
      </w:rPr>
    </w:lvl>
    <w:lvl w:ilvl="3">
      <w:start w:val="1"/>
      <w:numFmt w:val="decimal"/>
      <w:lvlText w:val="%1%2.%3.%4."/>
      <w:lvlJc w:val="left"/>
      <w:pPr>
        <w:tabs>
          <w:tab w:val="num" w:pos="5850"/>
        </w:tabs>
        <w:ind w:left="5850" w:hanging="1080"/>
      </w:pPr>
      <w:rPr>
        <w:rFonts w:cs="Times New Roman"/>
        <w:sz w:val="24"/>
        <w:szCs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7A15A8"/>
    <w:multiLevelType w:val="hybridMultilevel"/>
    <w:tmpl w:val="12CE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5BC5ABD"/>
    <w:multiLevelType w:val="hybridMultilevel"/>
    <w:tmpl w:val="F10C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583C36A1"/>
    <w:multiLevelType w:val="hybridMultilevel"/>
    <w:tmpl w:val="5420AE44"/>
    <w:lvl w:ilvl="0" w:tplc="E0EC75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A6C73"/>
    <w:multiLevelType w:val="hybridMultilevel"/>
    <w:tmpl w:val="6DE0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6649458">
    <w:abstractNumId w:val="12"/>
  </w:num>
  <w:num w:numId="2" w16cid:durableId="1245605782">
    <w:abstractNumId w:val="2"/>
  </w:num>
  <w:num w:numId="3" w16cid:durableId="1144853219">
    <w:abstractNumId w:val="13"/>
  </w:num>
  <w:num w:numId="4" w16cid:durableId="764303228">
    <w:abstractNumId w:val="7"/>
  </w:num>
  <w:num w:numId="5" w16cid:durableId="826240344">
    <w:abstractNumId w:val="5"/>
  </w:num>
  <w:num w:numId="6" w16cid:durableId="1672416064">
    <w:abstractNumId w:val="9"/>
  </w:num>
  <w:num w:numId="7" w16cid:durableId="1707216610">
    <w:abstractNumId w:val="10"/>
  </w:num>
  <w:num w:numId="8" w16cid:durableId="600185124">
    <w:abstractNumId w:val="1"/>
  </w:num>
  <w:num w:numId="9" w16cid:durableId="1659265780">
    <w:abstractNumId w:val="0"/>
  </w:num>
  <w:num w:numId="10" w16cid:durableId="678774063">
    <w:abstractNumId w:val="11"/>
  </w:num>
  <w:num w:numId="11" w16cid:durableId="1339382723">
    <w:abstractNumId w:val="6"/>
  </w:num>
  <w:num w:numId="12" w16cid:durableId="947077100">
    <w:abstractNumId w:val="3"/>
  </w:num>
  <w:num w:numId="13" w16cid:durableId="2037265465">
    <w:abstractNumId w:val="8"/>
  </w:num>
  <w:num w:numId="14" w16cid:durableId="1255282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0806"/>
    <w:rsid w:val="00003A49"/>
    <w:rsid w:val="00010FE5"/>
    <w:rsid w:val="00020A15"/>
    <w:rsid w:val="00022AD0"/>
    <w:rsid w:val="00026A15"/>
    <w:rsid w:val="00034492"/>
    <w:rsid w:val="00034F57"/>
    <w:rsid w:val="00036F54"/>
    <w:rsid w:val="00037123"/>
    <w:rsid w:val="00042BA4"/>
    <w:rsid w:val="00045A2F"/>
    <w:rsid w:val="00046704"/>
    <w:rsid w:val="00050111"/>
    <w:rsid w:val="00052215"/>
    <w:rsid w:val="000645D8"/>
    <w:rsid w:val="000710E5"/>
    <w:rsid w:val="00072C81"/>
    <w:rsid w:val="00074AB2"/>
    <w:rsid w:val="0007735D"/>
    <w:rsid w:val="00080642"/>
    <w:rsid w:val="000B666A"/>
    <w:rsid w:val="000B7959"/>
    <w:rsid w:val="000C0A78"/>
    <w:rsid w:val="000C41E8"/>
    <w:rsid w:val="000C52E3"/>
    <w:rsid w:val="000C5BA2"/>
    <w:rsid w:val="000D151B"/>
    <w:rsid w:val="000D15D1"/>
    <w:rsid w:val="000D64BB"/>
    <w:rsid w:val="000D6CA0"/>
    <w:rsid w:val="000D6DF8"/>
    <w:rsid w:val="000E35D0"/>
    <w:rsid w:val="000E37E7"/>
    <w:rsid w:val="000E41D9"/>
    <w:rsid w:val="000E4F21"/>
    <w:rsid w:val="000E625E"/>
    <w:rsid w:val="000E6ABD"/>
    <w:rsid w:val="000E7559"/>
    <w:rsid w:val="000F595C"/>
    <w:rsid w:val="000F7670"/>
    <w:rsid w:val="0010480F"/>
    <w:rsid w:val="00110D89"/>
    <w:rsid w:val="00123103"/>
    <w:rsid w:val="00124D8B"/>
    <w:rsid w:val="00125492"/>
    <w:rsid w:val="001268A1"/>
    <w:rsid w:val="0013309E"/>
    <w:rsid w:val="001346EB"/>
    <w:rsid w:val="00141A4E"/>
    <w:rsid w:val="001468D0"/>
    <w:rsid w:val="00146D01"/>
    <w:rsid w:val="00151332"/>
    <w:rsid w:val="00151AA8"/>
    <w:rsid w:val="00151D83"/>
    <w:rsid w:val="00152DB7"/>
    <w:rsid w:val="00152F94"/>
    <w:rsid w:val="00167CAF"/>
    <w:rsid w:val="00171EBF"/>
    <w:rsid w:val="00172798"/>
    <w:rsid w:val="00173A7B"/>
    <w:rsid w:val="00175865"/>
    <w:rsid w:val="00180E8C"/>
    <w:rsid w:val="0018159F"/>
    <w:rsid w:val="001833CF"/>
    <w:rsid w:val="001962EB"/>
    <w:rsid w:val="001A0B74"/>
    <w:rsid w:val="001A18BF"/>
    <w:rsid w:val="001B1A09"/>
    <w:rsid w:val="001B3A12"/>
    <w:rsid w:val="001B4F40"/>
    <w:rsid w:val="001C0DD1"/>
    <w:rsid w:val="001C21AE"/>
    <w:rsid w:val="001D0C45"/>
    <w:rsid w:val="001D3ED2"/>
    <w:rsid w:val="001E77CF"/>
    <w:rsid w:val="001F03A9"/>
    <w:rsid w:val="001F238E"/>
    <w:rsid w:val="00204E3A"/>
    <w:rsid w:val="00207930"/>
    <w:rsid w:val="00212173"/>
    <w:rsid w:val="00212E10"/>
    <w:rsid w:val="00214B22"/>
    <w:rsid w:val="00217224"/>
    <w:rsid w:val="00220150"/>
    <w:rsid w:val="0022302F"/>
    <w:rsid w:val="00223FE8"/>
    <w:rsid w:val="00225606"/>
    <w:rsid w:val="00226C09"/>
    <w:rsid w:val="00230392"/>
    <w:rsid w:val="00236E96"/>
    <w:rsid w:val="002415DC"/>
    <w:rsid w:val="00242D11"/>
    <w:rsid w:val="002466F8"/>
    <w:rsid w:val="00255447"/>
    <w:rsid w:val="00256F00"/>
    <w:rsid w:val="00260518"/>
    <w:rsid w:val="00262E89"/>
    <w:rsid w:val="002631B9"/>
    <w:rsid w:val="00264333"/>
    <w:rsid w:val="00270E2E"/>
    <w:rsid w:val="00273208"/>
    <w:rsid w:val="0029140B"/>
    <w:rsid w:val="002A6C07"/>
    <w:rsid w:val="002B0381"/>
    <w:rsid w:val="002B1092"/>
    <w:rsid w:val="002C34D4"/>
    <w:rsid w:val="002C5655"/>
    <w:rsid w:val="002C6E49"/>
    <w:rsid w:val="002D21CA"/>
    <w:rsid w:val="002D53AA"/>
    <w:rsid w:val="002D6196"/>
    <w:rsid w:val="002D6FB7"/>
    <w:rsid w:val="002E5F83"/>
    <w:rsid w:val="002E77D8"/>
    <w:rsid w:val="002F6E68"/>
    <w:rsid w:val="00300842"/>
    <w:rsid w:val="003013BC"/>
    <w:rsid w:val="00303C2B"/>
    <w:rsid w:val="00304BB5"/>
    <w:rsid w:val="00304EE0"/>
    <w:rsid w:val="00306C88"/>
    <w:rsid w:val="00307E6F"/>
    <w:rsid w:val="0031058D"/>
    <w:rsid w:val="00312EEA"/>
    <w:rsid w:val="00324A7B"/>
    <w:rsid w:val="0032501A"/>
    <w:rsid w:val="00325DBC"/>
    <w:rsid w:val="00332EC5"/>
    <w:rsid w:val="00336A9E"/>
    <w:rsid w:val="00337E9C"/>
    <w:rsid w:val="00345ABD"/>
    <w:rsid w:val="003501DD"/>
    <w:rsid w:val="00351B8A"/>
    <w:rsid w:val="00357F1A"/>
    <w:rsid w:val="00360BE5"/>
    <w:rsid w:val="00361D67"/>
    <w:rsid w:val="00363A22"/>
    <w:rsid w:val="0036677B"/>
    <w:rsid w:val="00374FD1"/>
    <w:rsid w:val="00377884"/>
    <w:rsid w:val="00380703"/>
    <w:rsid w:val="00380D8E"/>
    <w:rsid w:val="00384D0F"/>
    <w:rsid w:val="00393511"/>
    <w:rsid w:val="003A1F11"/>
    <w:rsid w:val="003A1F1A"/>
    <w:rsid w:val="003A3D0D"/>
    <w:rsid w:val="003B1782"/>
    <w:rsid w:val="003B5EAC"/>
    <w:rsid w:val="003B6A1B"/>
    <w:rsid w:val="003C29CF"/>
    <w:rsid w:val="003C49AA"/>
    <w:rsid w:val="003C608A"/>
    <w:rsid w:val="003D359B"/>
    <w:rsid w:val="003D4455"/>
    <w:rsid w:val="003E0EEE"/>
    <w:rsid w:val="003E34FD"/>
    <w:rsid w:val="003E3C30"/>
    <w:rsid w:val="003F234B"/>
    <w:rsid w:val="003F2F60"/>
    <w:rsid w:val="00412836"/>
    <w:rsid w:val="00417804"/>
    <w:rsid w:val="00426AE7"/>
    <w:rsid w:val="00432667"/>
    <w:rsid w:val="00451ABF"/>
    <w:rsid w:val="004534E7"/>
    <w:rsid w:val="004609B7"/>
    <w:rsid w:val="00480BF6"/>
    <w:rsid w:val="004840D2"/>
    <w:rsid w:val="00485EA9"/>
    <w:rsid w:val="00487184"/>
    <w:rsid w:val="0048799A"/>
    <w:rsid w:val="00492C41"/>
    <w:rsid w:val="00493C3C"/>
    <w:rsid w:val="004A4459"/>
    <w:rsid w:val="004A5E97"/>
    <w:rsid w:val="004A727B"/>
    <w:rsid w:val="004B085C"/>
    <w:rsid w:val="004B1024"/>
    <w:rsid w:val="004C0961"/>
    <w:rsid w:val="004C39A1"/>
    <w:rsid w:val="004D3264"/>
    <w:rsid w:val="004D6B6D"/>
    <w:rsid w:val="004D779D"/>
    <w:rsid w:val="004E0395"/>
    <w:rsid w:val="004E3939"/>
    <w:rsid w:val="004E3D93"/>
    <w:rsid w:val="004E6C41"/>
    <w:rsid w:val="004F4B6C"/>
    <w:rsid w:val="00505134"/>
    <w:rsid w:val="00516CE7"/>
    <w:rsid w:val="0052149C"/>
    <w:rsid w:val="005215EF"/>
    <w:rsid w:val="00521B86"/>
    <w:rsid w:val="005223D1"/>
    <w:rsid w:val="00527FDB"/>
    <w:rsid w:val="005319DE"/>
    <w:rsid w:val="00533373"/>
    <w:rsid w:val="00547145"/>
    <w:rsid w:val="00551967"/>
    <w:rsid w:val="0055228B"/>
    <w:rsid w:val="005640C9"/>
    <w:rsid w:val="00564FEC"/>
    <w:rsid w:val="005757AB"/>
    <w:rsid w:val="005761FB"/>
    <w:rsid w:val="00577C3C"/>
    <w:rsid w:val="005836AE"/>
    <w:rsid w:val="005874B2"/>
    <w:rsid w:val="005912FA"/>
    <w:rsid w:val="005968D2"/>
    <w:rsid w:val="005A0FF7"/>
    <w:rsid w:val="005A53F1"/>
    <w:rsid w:val="005A63D4"/>
    <w:rsid w:val="005A65C2"/>
    <w:rsid w:val="005A7B11"/>
    <w:rsid w:val="005B1801"/>
    <w:rsid w:val="005B5BC8"/>
    <w:rsid w:val="005B7093"/>
    <w:rsid w:val="005C0209"/>
    <w:rsid w:val="005C327F"/>
    <w:rsid w:val="005D1810"/>
    <w:rsid w:val="005E6EB7"/>
    <w:rsid w:val="005F0AD1"/>
    <w:rsid w:val="005F3949"/>
    <w:rsid w:val="005F4D82"/>
    <w:rsid w:val="00611D76"/>
    <w:rsid w:val="0061273F"/>
    <w:rsid w:val="00613D87"/>
    <w:rsid w:val="00616144"/>
    <w:rsid w:val="00621A7C"/>
    <w:rsid w:val="00623DCF"/>
    <w:rsid w:val="006325B2"/>
    <w:rsid w:val="00632CD6"/>
    <w:rsid w:val="006358AB"/>
    <w:rsid w:val="0064214D"/>
    <w:rsid w:val="00646078"/>
    <w:rsid w:val="0065087E"/>
    <w:rsid w:val="00652DEA"/>
    <w:rsid w:val="006539EC"/>
    <w:rsid w:val="00655813"/>
    <w:rsid w:val="00656DCD"/>
    <w:rsid w:val="00660D7E"/>
    <w:rsid w:val="006637D2"/>
    <w:rsid w:val="00673595"/>
    <w:rsid w:val="00673EB1"/>
    <w:rsid w:val="00674E1A"/>
    <w:rsid w:val="00687F47"/>
    <w:rsid w:val="00690134"/>
    <w:rsid w:val="00691528"/>
    <w:rsid w:val="00692738"/>
    <w:rsid w:val="006A3596"/>
    <w:rsid w:val="006A6523"/>
    <w:rsid w:val="006A7272"/>
    <w:rsid w:val="006B1F01"/>
    <w:rsid w:val="006B41D9"/>
    <w:rsid w:val="006B7375"/>
    <w:rsid w:val="006C331D"/>
    <w:rsid w:val="006C3FC9"/>
    <w:rsid w:val="006C5BFC"/>
    <w:rsid w:val="006D0453"/>
    <w:rsid w:val="006D1BE0"/>
    <w:rsid w:val="006D4B0E"/>
    <w:rsid w:val="006D7795"/>
    <w:rsid w:val="006E2CA2"/>
    <w:rsid w:val="006E76B7"/>
    <w:rsid w:val="006F0ED4"/>
    <w:rsid w:val="006F1ED7"/>
    <w:rsid w:val="006F716D"/>
    <w:rsid w:val="00703D5A"/>
    <w:rsid w:val="00716253"/>
    <w:rsid w:val="007247F1"/>
    <w:rsid w:val="007266F7"/>
    <w:rsid w:val="00727A1A"/>
    <w:rsid w:val="00734D9B"/>
    <w:rsid w:val="0074620B"/>
    <w:rsid w:val="00757906"/>
    <w:rsid w:val="00757B44"/>
    <w:rsid w:val="007632B9"/>
    <w:rsid w:val="00765BA3"/>
    <w:rsid w:val="00777A7B"/>
    <w:rsid w:val="00780C7B"/>
    <w:rsid w:val="00785970"/>
    <w:rsid w:val="00797866"/>
    <w:rsid w:val="007A108B"/>
    <w:rsid w:val="007A2B80"/>
    <w:rsid w:val="007A3FCC"/>
    <w:rsid w:val="007A7DAC"/>
    <w:rsid w:val="007B4BE9"/>
    <w:rsid w:val="007B6368"/>
    <w:rsid w:val="007B741B"/>
    <w:rsid w:val="007C1B69"/>
    <w:rsid w:val="007C1C33"/>
    <w:rsid w:val="007C532F"/>
    <w:rsid w:val="007C752B"/>
    <w:rsid w:val="007D4178"/>
    <w:rsid w:val="007D498C"/>
    <w:rsid w:val="007E71C3"/>
    <w:rsid w:val="007E7E7C"/>
    <w:rsid w:val="007F620E"/>
    <w:rsid w:val="007F6CF5"/>
    <w:rsid w:val="00802101"/>
    <w:rsid w:val="00802701"/>
    <w:rsid w:val="00804719"/>
    <w:rsid w:val="0081163F"/>
    <w:rsid w:val="008136BD"/>
    <w:rsid w:val="00815993"/>
    <w:rsid w:val="00815F1F"/>
    <w:rsid w:val="0081626F"/>
    <w:rsid w:val="0082392F"/>
    <w:rsid w:val="00826322"/>
    <w:rsid w:val="00831989"/>
    <w:rsid w:val="00831BAD"/>
    <w:rsid w:val="0083350A"/>
    <w:rsid w:val="0085057C"/>
    <w:rsid w:val="00855FD7"/>
    <w:rsid w:val="00856B08"/>
    <w:rsid w:val="008579F5"/>
    <w:rsid w:val="008624E8"/>
    <w:rsid w:val="00864967"/>
    <w:rsid w:val="008711FE"/>
    <w:rsid w:val="008760F5"/>
    <w:rsid w:val="008828F3"/>
    <w:rsid w:val="008844B6"/>
    <w:rsid w:val="00885956"/>
    <w:rsid w:val="00886869"/>
    <w:rsid w:val="0088707C"/>
    <w:rsid w:val="00891A41"/>
    <w:rsid w:val="008B52B2"/>
    <w:rsid w:val="008B67E2"/>
    <w:rsid w:val="008C09F7"/>
    <w:rsid w:val="008C2208"/>
    <w:rsid w:val="008C5760"/>
    <w:rsid w:val="008C592A"/>
    <w:rsid w:val="008E3450"/>
    <w:rsid w:val="008E4336"/>
    <w:rsid w:val="008F62A4"/>
    <w:rsid w:val="00915118"/>
    <w:rsid w:val="00915CB8"/>
    <w:rsid w:val="009164DD"/>
    <w:rsid w:val="00923DB2"/>
    <w:rsid w:val="009246F5"/>
    <w:rsid w:val="00925FAB"/>
    <w:rsid w:val="00931FEA"/>
    <w:rsid w:val="00944661"/>
    <w:rsid w:val="00950C3F"/>
    <w:rsid w:val="00952032"/>
    <w:rsid w:val="00963EEF"/>
    <w:rsid w:val="00971463"/>
    <w:rsid w:val="009758B5"/>
    <w:rsid w:val="00993860"/>
    <w:rsid w:val="00995903"/>
    <w:rsid w:val="009A4AAF"/>
    <w:rsid w:val="009A5F37"/>
    <w:rsid w:val="009A62F6"/>
    <w:rsid w:val="009B311B"/>
    <w:rsid w:val="009C3FD6"/>
    <w:rsid w:val="009D0D7D"/>
    <w:rsid w:val="009E48E4"/>
    <w:rsid w:val="00A0032F"/>
    <w:rsid w:val="00A07A96"/>
    <w:rsid w:val="00A15ED5"/>
    <w:rsid w:val="00A24553"/>
    <w:rsid w:val="00A319DE"/>
    <w:rsid w:val="00A33EC0"/>
    <w:rsid w:val="00A3600F"/>
    <w:rsid w:val="00A3779D"/>
    <w:rsid w:val="00A41064"/>
    <w:rsid w:val="00A413E8"/>
    <w:rsid w:val="00A44417"/>
    <w:rsid w:val="00A444FA"/>
    <w:rsid w:val="00A467EF"/>
    <w:rsid w:val="00A5089D"/>
    <w:rsid w:val="00A67E89"/>
    <w:rsid w:val="00A75D2D"/>
    <w:rsid w:val="00A76296"/>
    <w:rsid w:val="00A86988"/>
    <w:rsid w:val="00A910F1"/>
    <w:rsid w:val="00A92D0B"/>
    <w:rsid w:val="00A96767"/>
    <w:rsid w:val="00AA06E4"/>
    <w:rsid w:val="00AA1740"/>
    <w:rsid w:val="00AB2F7F"/>
    <w:rsid w:val="00AB32F7"/>
    <w:rsid w:val="00AB3510"/>
    <w:rsid w:val="00AC4F6E"/>
    <w:rsid w:val="00AC5A4B"/>
    <w:rsid w:val="00AC5D05"/>
    <w:rsid w:val="00AD5797"/>
    <w:rsid w:val="00AD59EB"/>
    <w:rsid w:val="00AD742A"/>
    <w:rsid w:val="00AE429F"/>
    <w:rsid w:val="00AE42BC"/>
    <w:rsid w:val="00B00BCD"/>
    <w:rsid w:val="00B03003"/>
    <w:rsid w:val="00B1593B"/>
    <w:rsid w:val="00B23388"/>
    <w:rsid w:val="00B312DA"/>
    <w:rsid w:val="00B31565"/>
    <w:rsid w:val="00B33D16"/>
    <w:rsid w:val="00B35ED9"/>
    <w:rsid w:val="00B40143"/>
    <w:rsid w:val="00B430D8"/>
    <w:rsid w:val="00B51C2B"/>
    <w:rsid w:val="00B54991"/>
    <w:rsid w:val="00B55CCD"/>
    <w:rsid w:val="00B55D78"/>
    <w:rsid w:val="00B62AC0"/>
    <w:rsid w:val="00B66CF5"/>
    <w:rsid w:val="00B80025"/>
    <w:rsid w:val="00B87202"/>
    <w:rsid w:val="00B95869"/>
    <w:rsid w:val="00BA548C"/>
    <w:rsid w:val="00BB1577"/>
    <w:rsid w:val="00BB3DEC"/>
    <w:rsid w:val="00BB49BB"/>
    <w:rsid w:val="00BC0C0A"/>
    <w:rsid w:val="00BC791A"/>
    <w:rsid w:val="00BD6E33"/>
    <w:rsid w:val="00BE45D0"/>
    <w:rsid w:val="00BE531B"/>
    <w:rsid w:val="00BF2F45"/>
    <w:rsid w:val="00C02649"/>
    <w:rsid w:val="00C0471D"/>
    <w:rsid w:val="00C07106"/>
    <w:rsid w:val="00C132C4"/>
    <w:rsid w:val="00C13B3F"/>
    <w:rsid w:val="00C13CB0"/>
    <w:rsid w:val="00C14A87"/>
    <w:rsid w:val="00C16981"/>
    <w:rsid w:val="00C24267"/>
    <w:rsid w:val="00C372E0"/>
    <w:rsid w:val="00C516EF"/>
    <w:rsid w:val="00C62852"/>
    <w:rsid w:val="00C65C1C"/>
    <w:rsid w:val="00C70577"/>
    <w:rsid w:val="00C7227C"/>
    <w:rsid w:val="00C742D7"/>
    <w:rsid w:val="00C765A2"/>
    <w:rsid w:val="00C80771"/>
    <w:rsid w:val="00CA0E37"/>
    <w:rsid w:val="00CA4476"/>
    <w:rsid w:val="00CA5123"/>
    <w:rsid w:val="00CB0F9E"/>
    <w:rsid w:val="00CB180F"/>
    <w:rsid w:val="00CB5301"/>
    <w:rsid w:val="00CC2EA9"/>
    <w:rsid w:val="00CC2FF6"/>
    <w:rsid w:val="00CC4B40"/>
    <w:rsid w:val="00CC683B"/>
    <w:rsid w:val="00CD6886"/>
    <w:rsid w:val="00CD7D17"/>
    <w:rsid w:val="00CE1ED1"/>
    <w:rsid w:val="00CE7663"/>
    <w:rsid w:val="00CF04CC"/>
    <w:rsid w:val="00CF1129"/>
    <w:rsid w:val="00CF150B"/>
    <w:rsid w:val="00D01B64"/>
    <w:rsid w:val="00D068F0"/>
    <w:rsid w:val="00D075B1"/>
    <w:rsid w:val="00D10372"/>
    <w:rsid w:val="00D115D6"/>
    <w:rsid w:val="00D15C3F"/>
    <w:rsid w:val="00D26128"/>
    <w:rsid w:val="00D27D5F"/>
    <w:rsid w:val="00D30039"/>
    <w:rsid w:val="00D30C4F"/>
    <w:rsid w:val="00D36884"/>
    <w:rsid w:val="00D36927"/>
    <w:rsid w:val="00D4622B"/>
    <w:rsid w:val="00D502EB"/>
    <w:rsid w:val="00D56BCA"/>
    <w:rsid w:val="00D6156E"/>
    <w:rsid w:val="00D67E4F"/>
    <w:rsid w:val="00D70CE6"/>
    <w:rsid w:val="00D73795"/>
    <w:rsid w:val="00D74F4E"/>
    <w:rsid w:val="00D75107"/>
    <w:rsid w:val="00D84F94"/>
    <w:rsid w:val="00D8769E"/>
    <w:rsid w:val="00DA3AEE"/>
    <w:rsid w:val="00DA5C46"/>
    <w:rsid w:val="00DD52BB"/>
    <w:rsid w:val="00DD6457"/>
    <w:rsid w:val="00DE3A5D"/>
    <w:rsid w:val="00DE3DED"/>
    <w:rsid w:val="00E00990"/>
    <w:rsid w:val="00E00FCE"/>
    <w:rsid w:val="00E02F6C"/>
    <w:rsid w:val="00E033B1"/>
    <w:rsid w:val="00E118C7"/>
    <w:rsid w:val="00E15DC3"/>
    <w:rsid w:val="00E21EA5"/>
    <w:rsid w:val="00E25078"/>
    <w:rsid w:val="00E250D8"/>
    <w:rsid w:val="00E31A69"/>
    <w:rsid w:val="00E3786F"/>
    <w:rsid w:val="00E40140"/>
    <w:rsid w:val="00E42741"/>
    <w:rsid w:val="00E46ECB"/>
    <w:rsid w:val="00E52992"/>
    <w:rsid w:val="00E574FF"/>
    <w:rsid w:val="00E578F1"/>
    <w:rsid w:val="00E60942"/>
    <w:rsid w:val="00E71629"/>
    <w:rsid w:val="00E71B26"/>
    <w:rsid w:val="00E721FD"/>
    <w:rsid w:val="00E723BE"/>
    <w:rsid w:val="00E73C3A"/>
    <w:rsid w:val="00E75E09"/>
    <w:rsid w:val="00E9310D"/>
    <w:rsid w:val="00E93344"/>
    <w:rsid w:val="00E9366A"/>
    <w:rsid w:val="00E93DB1"/>
    <w:rsid w:val="00E959A0"/>
    <w:rsid w:val="00E961DF"/>
    <w:rsid w:val="00EA111C"/>
    <w:rsid w:val="00EA487E"/>
    <w:rsid w:val="00EB0F8D"/>
    <w:rsid w:val="00EB3587"/>
    <w:rsid w:val="00EB5E75"/>
    <w:rsid w:val="00EC3EBC"/>
    <w:rsid w:val="00ED59DF"/>
    <w:rsid w:val="00ED6B6B"/>
    <w:rsid w:val="00EE2ACB"/>
    <w:rsid w:val="00EE2F7B"/>
    <w:rsid w:val="00EE304A"/>
    <w:rsid w:val="00EE4895"/>
    <w:rsid w:val="00EF5F2F"/>
    <w:rsid w:val="00F04904"/>
    <w:rsid w:val="00F20061"/>
    <w:rsid w:val="00F2263F"/>
    <w:rsid w:val="00F26371"/>
    <w:rsid w:val="00F30DA8"/>
    <w:rsid w:val="00F337A4"/>
    <w:rsid w:val="00F34C1F"/>
    <w:rsid w:val="00F3745D"/>
    <w:rsid w:val="00F3772B"/>
    <w:rsid w:val="00F41841"/>
    <w:rsid w:val="00F41A5D"/>
    <w:rsid w:val="00F432F3"/>
    <w:rsid w:val="00F45ACF"/>
    <w:rsid w:val="00F47E87"/>
    <w:rsid w:val="00F55028"/>
    <w:rsid w:val="00F62771"/>
    <w:rsid w:val="00F63C29"/>
    <w:rsid w:val="00F650AE"/>
    <w:rsid w:val="00F7209D"/>
    <w:rsid w:val="00F739E0"/>
    <w:rsid w:val="00F8113B"/>
    <w:rsid w:val="00F81778"/>
    <w:rsid w:val="00F81D21"/>
    <w:rsid w:val="00F82DB8"/>
    <w:rsid w:val="00F84341"/>
    <w:rsid w:val="00FA29D0"/>
    <w:rsid w:val="00FA4732"/>
    <w:rsid w:val="00FB6A02"/>
    <w:rsid w:val="00FC08DD"/>
    <w:rsid w:val="00FC3AF0"/>
    <w:rsid w:val="00FC72B7"/>
    <w:rsid w:val="00FD5D95"/>
    <w:rsid w:val="00FD611E"/>
    <w:rsid w:val="00FE3BAE"/>
    <w:rsid w:val="00FE4E20"/>
    <w:rsid w:val="00FF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2F60"/>
    <w:rPr>
      <w:sz w:val="24"/>
      <w:szCs w:val="24"/>
    </w:rPr>
  </w:style>
  <w:style w:type="paragraph" w:styleId="Heading1">
    <w:name w:val="heading 1"/>
    <w:basedOn w:val="Normal"/>
    <w:link w:val="Heading1Char"/>
    <w:qFormat/>
    <w:rsid w:val="00492C41"/>
    <w:pPr>
      <w:widowControl w:val="0"/>
      <w:autoSpaceDE w:val="0"/>
      <w:autoSpaceDN w:val="0"/>
      <w:spacing w:before="21"/>
      <w:ind w:left="20"/>
      <w:outlineLvl w:val="0"/>
    </w:pPr>
    <w:rPr>
      <w:rFonts w:ascii="Book Antiqua" w:eastAsia="Book Antiqua" w:hAnsi="Book Antiqua" w:cs="Book Antiqua"/>
      <w:b/>
      <w:bCs/>
      <w:sz w:val="25"/>
      <w:szCs w:val="25"/>
    </w:rPr>
  </w:style>
  <w:style w:type="paragraph" w:styleId="Heading2">
    <w:name w:val="heading 2"/>
    <w:basedOn w:val="Normal"/>
    <w:next w:val="Normal"/>
    <w:link w:val="Heading2Char"/>
    <w:qFormat/>
    <w:rsid w:val="00D73795"/>
    <w:pPr>
      <w:keepNext/>
      <w:tabs>
        <w:tab w:val="num" w:pos="720"/>
      </w:tabs>
      <w:spacing w:before="240" w:after="240"/>
      <w:ind w:left="720" w:hanging="720"/>
      <w:outlineLvl w:val="1"/>
    </w:pPr>
    <w:rPr>
      <w:rFonts w:ascii="Arial Bold" w:hAnsi="Arial Bold"/>
      <w:b/>
      <w:szCs w:val="20"/>
    </w:rPr>
  </w:style>
  <w:style w:type="paragraph" w:styleId="Heading3">
    <w:name w:val="heading 3"/>
    <w:basedOn w:val="Normal"/>
    <w:next w:val="Normal"/>
    <w:link w:val="Heading3Char"/>
    <w:qFormat/>
    <w:rsid w:val="00D73795"/>
    <w:pPr>
      <w:keepNext/>
      <w:tabs>
        <w:tab w:val="num" w:pos="720"/>
        <w:tab w:val="num" w:pos="4140"/>
      </w:tabs>
      <w:spacing w:before="240" w:after="240"/>
      <w:ind w:left="720" w:hanging="720"/>
      <w:outlineLvl w:val="2"/>
    </w:pPr>
    <w:rPr>
      <w:rFonts w:ascii="Arial Bold" w:hAnsi="Arial Bold"/>
      <w:b/>
      <w:sz w:val="22"/>
      <w:szCs w:val="20"/>
    </w:rPr>
  </w:style>
  <w:style w:type="paragraph" w:styleId="Heading4">
    <w:name w:val="heading 4"/>
    <w:basedOn w:val="Normal"/>
    <w:next w:val="Normal"/>
    <w:link w:val="Heading4Char"/>
    <w:qFormat/>
    <w:rsid w:val="00D73795"/>
    <w:pPr>
      <w:keepNext/>
      <w:keepLines/>
      <w:tabs>
        <w:tab w:val="num" w:pos="2160"/>
        <w:tab w:val="num" w:pos="5850"/>
      </w:tabs>
      <w:spacing w:before="120" w:after="240"/>
      <w:ind w:left="2160" w:hanging="720"/>
      <w:outlineLvl w:val="3"/>
    </w:pPr>
    <w:rPr>
      <w:rFonts w:ascii="Arial Bold" w:hAnsi="Arial Bold"/>
      <w:b/>
      <w:sz w:val="20"/>
      <w:szCs w:val="20"/>
    </w:rPr>
  </w:style>
  <w:style w:type="paragraph" w:styleId="Heading5">
    <w:name w:val="heading 5"/>
    <w:basedOn w:val="Heading4"/>
    <w:next w:val="BodyText"/>
    <w:link w:val="Heading5Char"/>
    <w:qFormat/>
    <w:rsid w:val="00D73795"/>
    <w:pPr>
      <w:keepNext w:val="0"/>
      <w:tabs>
        <w:tab w:val="clear" w:pos="2160"/>
        <w:tab w:val="num" w:pos="2520"/>
      </w:tabs>
      <w:spacing w:before="240"/>
      <w:ind w:left="2232" w:hanging="792"/>
      <w:outlineLvl w:val="4"/>
    </w:pPr>
    <w:rPr>
      <w:color w:val="00000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aliases w:val="o,fr,Style 3,o1,o2,o3,o4,o5,o6,o11,o21,o7"/>
    <w:rsid w:val="00885956"/>
    <w:rPr>
      <w:vertAlign w:val="superscript"/>
    </w:rPr>
  </w:style>
  <w:style w:type="paragraph" w:styleId="ListParagraph">
    <w:name w:val="List Paragraph"/>
    <w:basedOn w:val="Normal"/>
    <w:uiPriority w:val="34"/>
    <w:qFormat/>
    <w:rsid w:val="004B085C"/>
    <w:pPr>
      <w:numPr>
        <w:numId w:val="7"/>
      </w:numPr>
      <w:spacing w:before="120"/>
    </w:pPr>
    <w:rPr>
      <w:rFonts w:eastAsia="Calibri"/>
      <w:color w:val="000000"/>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 w:type="paragraph" w:customStyle="1" w:styleId="p1">
    <w:name w:val="p1"/>
    <w:basedOn w:val="Normal"/>
    <w:rsid w:val="000C0A78"/>
    <w:rPr>
      <w:rFonts w:ascii="Book Antiqua" w:hAnsi="Book Antiqua"/>
      <w:sz w:val="18"/>
      <w:szCs w:val="18"/>
    </w:rPr>
  </w:style>
  <w:style w:type="paragraph" w:customStyle="1" w:styleId="p2">
    <w:name w:val="p2"/>
    <w:basedOn w:val="Normal"/>
    <w:rsid w:val="000C0A78"/>
    <w:rPr>
      <w:rFonts w:ascii="Book Antiqua" w:hAnsi="Book Antiqua"/>
      <w:sz w:val="20"/>
      <w:szCs w:val="20"/>
    </w:rPr>
  </w:style>
  <w:style w:type="character" w:customStyle="1" w:styleId="apple-converted-space">
    <w:name w:val="apple-converted-space"/>
    <w:basedOn w:val="DefaultParagraphFont"/>
    <w:rsid w:val="000C0A78"/>
  </w:style>
  <w:style w:type="character" w:customStyle="1" w:styleId="StyleFootnoteReferenceofrStyle3o1o2o3o4o5o6o11o21o7">
    <w:name w:val="Style Footnote ReferenceofrStyle 3o1o2o3o4o5o6o11o21o7 ..."/>
    <w:rsid w:val="00E118C7"/>
    <w:rPr>
      <w:rFonts w:ascii="Times New Roman" w:hAnsi="Times New Roman"/>
      <w:position w:val="6"/>
      <w:sz w:val="20"/>
      <w:vertAlign w:val="superscript"/>
    </w:rPr>
  </w:style>
  <w:style w:type="paragraph" w:customStyle="1" w:styleId="Footnote">
    <w:name w:val="Footnote"/>
    <w:basedOn w:val="FootnoteText"/>
    <w:link w:val="FootnoteChar"/>
    <w:rsid w:val="00E118C7"/>
    <w:pPr>
      <w:spacing w:after="120"/>
    </w:pPr>
  </w:style>
  <w:style w:type="character" w:customStyle="1" w:styleId="FootnoteChar">
    <w:name w:val="Footnote Char"/>
    <w:link w:val="Footnote"/>
    <w:rsid w:val="00E118C7"/>
  </w:style>
  <w:style w:type="character" w:customStyle="1" w:styleId="Heading1Char">
    <w:name w:val="Heading 1 Char"/>
    <w:basedOn w:val="DefaultParagraphFont"/>
    <w:link w:val="Heading1"/>
    <w:rsid w:val="00492C41"/>
    <w:rPr>
      <w:rFonts w:ascii="Book Antiqua" w:eastAsia="Book Antiqua" w:hAnsi="Book Antiqua" w:cs="Book Antiqua"/>
      <w:b/>
      <w:bCs/>
      <w:sz w:val="25"/>
      <w:szCs w:val="25"/>
    </w:rPr>
  </w:style>
  <w:style w:type="paragraph" w:styleId="BodyText">
    <w:name w:val="Body Text"/>
    <w:basedOn w:val="Normal"/>
    <w:link w:val="BodyTextChar"/>
    <w:qFormat/>
    <w:rsid w:val="00492C41"/>
    <w:pPr>
      <w:widowControl w:val="0"/>
      <w:autoSpaceDE w:val="0"/>
      <w:autoSpaceDN w:val="0"/>
    </w:pPr>
  </w:style>
  <w:style w:type="character" w:customStyle="1" w:styleId="BodyTextChar">
    <w:name w:val="Body Text Char"/>
    <w:basedOn w:val="DefaultParagraphFont"/>
    <w:link w:val="BodyText"/>
    <w:rsid w:val="00492C41"/>
    <w:rPr>
      <w:sz w:val="24"/>
      <w:szCs w:val="24"/>
    </w:rPr>
  </w:style>
  <w:style w:type="paragraph" w:customStyle="1" w:styleId="TableParagraph">
    <w:name w:val="Table Paragraph"/>
    <w:basedOn w:val="Normal"/>
    <w:uiPriority w:val="1"/>
    <w:qFormat/>
    <w:rsid w:val="00492C41"/>
    <w:pPr>
      <w:widowControl w:val="0"/>
      <w:autoSpaceDE w:val="0"/>
      <w:autoSpaceDN w:val="0"/>
      <w:ind w:left="118"/>
    </w:pPr>
    <w:rPr>
      <w:sz w:val="22"/>
      <w:szCs w:val="22"/>
    </w:rPr>
  </w:style>
  <w:style w:type="character" w:customStyle="1" w:styleId="Heading2Char">
    <w:name w:val="Heading 2 Char"/>
    <w:basedOn w:val="DefaultParagraphFont"/>
    <w:link w:val="Heading2"/>
    <w:rsid w:val="00D73795"/>
    <w:rPr>
      <w:rFonts w:ascii="Arial Bold" w:hAnsi="Arial Bold"/>
      <w:b/>
      <w:sz w:val="24"/>
    </w:rPr>
  </w:style>
  <w:style w:type="character" w:customStyle="1" w:styleId="Heading3Char">
    <w:name w:val="Heading 3 Char"/>
    <w:basedOn w:val="DefaultParagraphFont"/>
    <w:link w:val="Heading3"/>
    <w:rsid w:val="00D73795"/>
    <w:rPr>
      <w:rFonts w:ascii="Arial Bold" w:hAnsi="Arial Bold"/>
      <w:b/>
      <w:sz w:val="22"/>
    </w:rPr>
  </w:style>
  <w:style w:type="character" w:customStyle="1" w:styleId="Heading4Char">
    <w:name w:val="Heading 4 Char"/>
    <w:basedOn w:val="DefaultParagraphFont"/>
    <w:link w:val="Heading4"/>
    <w:rsid w:val="00D73795"/>
    <w:rPr>
      <w:rFonts w:ascii="Arial Bold" w:hAnsi="Arial Bold"/>
      <w:b/>
    </w:rPr>
  </w:style>
  <w:style w:type="character" w:customStyle="1" w:styleId="Heading5Char">
    <w:name w:val="Heading 5 Char"/>
    <w:basedOn w:val="DefaultParagraphFont"/>
    <w:link w:val="Heading5"/>
    <w:rsid w:val="00D73795"/>
    <w:rPr>
      <w:rFonts w:ascii="Arial Bold" w:hAnsi="Arial Bold"/>
      <w:b/>
      <w:color w:val="000000"/>
      <w:kern w:val="32"/>
    </w:rPr>
  </w:style>
  <w:style w:type="character" w:styleId="Emphasis">
    <w:name w:val="Emphasis"/>
    <w:basedOn w:val="DefaultParagraphFont"/>
    <w:qFormat/>
    <w:rsid w:val="00D73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621">
      <w:bodyDiv w:val="1"/>
      <w:marLeft w:val="0"/>
      <w:marRight w:val="0"/>
      <w:marTop w:val="0"/>
      <w:marBottom w:val="0"/>
      <w:divBdr>
        <w:top w:val="none" w:sz="0" w:space="0" w:color="auto"/>
        <w:left w:val="none" w:sz="0" w:space="0" w:color="auto"/>
        <w:bottom w:val="none" w:sz="0" w:space="0" w:color="auto"/>
        <w:right w:val="none" w:sz="0" w:space="0" w:color="auto"/>
      </w:divBdr>
    </w:div>
    <w:div w:id="306983046">
      <w:bodyDiv w:val="1"/>
      <w:marLeft w:val="0"/>
      <w:marRight w:val="0"/>
      <w:marTop w:val="0"/>
      <w:marBottom w:val="0"/>
      <w:divBdr>
        <w:top w:val="none" w:sz="0" w:space="0" w:color="auto"/>
        <w:left w:val="none" w:sz="0" w:space="0" w:color="auto"/>
        <w:bottom w:val="none" w:sz="0" w:space="0" w:color="auto"/>
        <w:right w:val="none" w:sz="0" w:space="0" w:color="auto"/>
      </w:divBdr>
    </w:div>
    <w:div w:id="428934668">
      <w:bodyDiv w:val="1"/>
      <w:marLeft w:val="0"/>
      <w:marRight w:val="0"/>
      <w:marTop w:val="0"/>
      <w:marBottom w:val="0"/>
      <w:divBdr>
        <w:top w:val="none" w:sz="0" w:space="0" w:color="auto"/>
        <w:left w:val="none" w:sz="0" w:space="0" w:color="auto"/>
        <w:bottom w:val="none" w:sz="0" w:space="0" w:color="auto"/>
        <w:right w:val="none" w:sz="0" w:space="0" w:color="auto"/>
      </w:divBdr>
    </w:div>
    <w:div w:id="503130069">
      <w:bodyDiv w:val="1"/>
      <w:marLeft w:val="0"/>
      <w:marRight w:val="0"/>
      <w:marTop w:val="0"/>
      <w:marBottom w:val="0"/>
      <w:divBdr>
        <w:top w:val="none" w:sz="0" w:space="0" w:color="auto"/>
        <w:left w:val="none" w:sz="0" w:space="0" w:color="auto"/>
        <w:bottom w:val="none" w:sz="0" w:space="0" w:color="auto"/>
        <w:right w:val="none" w:sz="0" w:space="0" w:color="auto"/>
      </w:divBdr>
    </w:div>
    <w:div w:id="605818225">
      <w:bodyDiv w:val="1"/>
      <w:marLeft w:val="0"/>
      <w:marRight w:val="0"/>
      <w:marTop w:val="0"/>
      <w:marBottom w:val="0"/>
      <w:divBdr>
        <w:top w:val="none" w:sz="0" w:space="0" w:color="auto"/>
        <w:left w:val="none" w:sz="0" w:space="0" w:color="auto"/>
        <w:bottom w:val="none" w:sz="0" w:space="0" w:color="auto"/>
        <w:right w:val="none" w:sz="0" w:space="0" w:color="auto"/>
      </w:divBdr>
    </w:div>
    <w:div w:id="825438671">
      <w:bodyDiv w:val="1"/>
      <w:marLeft w:val="0"/>
      <w:marRight w:val="0"/>
      <w:marTop w:val="0"/>
      <w:marBottom w:val="0"/>
      <w:divBdr>
        <w:top w:val="none" w:sz="0" w:space="0" w:color="auto"/>
        <w:left w:val="none" w:sz="0" w:space="0" w:color="auto"/>
        <w:bottom w:val="none" w:sz="0" w:space="0" w:color="auto"/>
        <w:right w:val="none" w:sz="0" w:space="0" w:color="auto"/>
      </w:divBdr>
    </w:div>
    <w:div w:id="830414635">
      <w:bodyDiv w:val="1"/>
      <w:marLeft w:val="0"/>
      <w:marRight w:val="0"/>
      <w:marTop w:val="0"/>
      <w:marBottom w:val="0"/>
      <w:divBdr>
        <w:top w:val="none" w:sz="0" w:space="0" w:color="auto"/>
        <w:left w:val="none" w:sz="0" w:space="0" w:color="auto"/>
        <w:bottom w:val="none" w:sz="0" w:space="0" w:color="auto"/>
        <w:right w:val="none" w:sz="0" w:space="0" w:color="auto"/>
      </w:divBdr>
    </w:div>
    <w:div w:id="889607876">
      <w:bodyDiv w:val="1"/>
      <w:marLeft w:val="0"/>
      <w:marRight w:val="0"/>
      <w:marTop w:val="0"/>
      <w:marBottom w:val="0"/>
      <w:divBdr>
        <w:top w:val="none" w:sz="0" w:space="0" w:color="auto"/>
        <w:left w:val="none" w:sz="0" w:space="0" w:color="auto"/>
        <w:bottom w:val="none" w:sz="0" w:space="0" w:color="auto"/>
        <w:right w:val="none" w:sz="0" w:space="0" w:color="auto"/>
      </w:divBdr>
    </w:div>
    <w:div w:id="890849009">
      <w:bodyDiv w:val="1"/>
      <w:marLeft w:val="0"/>
      <w:marRight w:val="0"/>
      <w:marTop w:val="0"/>
      <w:marBottom w:val="0"/>
      <w:divBdr>
        <w:top w:val="none" w:sz="0" w:space="0" w:color="auto"/>
        <w:left w:val="none" w:sz="0" w:space="0" w:color="auto"/>
        <w:bottom w:val="none" w:sz="0" w:space="0" w:color="auto"/>
        <w:right w:val="none" w:sz="0" w:space="0" w:color="auto"/>
      </w:divBdr>
    </w:div>
    <w:div w:id="1014914186">
      <w:bodyDiv w:val="1"/>
      <w:marLeft w:val="0"/>
      <w:marRight w:val="0"/>
      <w:marTop w:val="0"/>
      <w:marBottom w:val="0"/>
      <w:divBdr>
        <w:top w:val="none" w:sz="0" w:space="0" w:color="auto"/>
        <w:left w:val="none" w:sz="0" w:space="0" w:color="auto"/>
        <w:bottom w:val="none" w:sz="0" w:space="0" w:color="auto"/>
        <w:right w:val="none" w:sz="0" w:space="0" w:color="auto"/>
      </w:divBdr>
    </w:div>
    <w:div w:id="1140414856">
      <w:bodyDiv w:val="1"/>
      <w:marLeft w:val="0"/>
      <w:marRight w:val="0"/>
      <w:marTop w:val="0"/>
      <w:marBottom w:val="0"/>
      <w:divBdr>
        <w:top w:val="none" w:sz="0" w:space="0" w:color="auto"/>
        <w:left w:val="none" w:sz="0" w:space="0" w:color="auto"/>
        <w:bottom w:val="none" w:sz="0" w:space="0" w:color="auto"/>
        <w:right w:val="none" w:sz="0" w:space="0" w:color="auto"/>
      </w:divBdr>
    </w:div>
    <w:div w:id="1258245242">
      <w:bodyDiv w:val="1"/>
      <w:marLeft w:val="0"/>
      <w:marRight w:val="0"/>
      <w:marTop w:val="0"/>
      <w:marBottom w:val="0"/>
      <w:divBdr>
        <w:top w:val="none" w:sz="0" w:space="0" w:color="auto"/>
        <w:left w:val="none" w:sz="0" w:space="0" w:color="auto"/>
        <w:bottom w:val="none" w:sz="0" w:space="0" w:color="auto"/>
        <w:right w:val="none" w:sz="0" w:space="0" w:color="auto"/>
      </w:divBdr>
    </w:div>
    <w:div w:id="1281834660">
      <w:bodyDiv w:val="1"/>
      <w:marLeft w:val="0"/>
      <w:marRight w:val="0"/>
      <w:marTop w:val="0"/>
      <w:marBottom w:val="0"/>
      <w:divBdr>
        <w:top w:val="none" w:sz="0" w:space="0" w:color="auto"/>
        <w:left w:val="none" w:sz="0" w:space="0" w:color="auto"/>
        <w:bottom w:val="none" w:sz="0" w:space="0" w:color="auto"/>
        <w:right w:val="none" w:sz="0" w:space="0" w:color="auto"/>
      </w:divBdr>
    </w:div>
    <w:div w:id="1303579356">
      <w:bodyDiv w:val="1"/>
      <w:marLeft w:val="0"/>
      <w:marRight w:val="0"/>
      <w:marTop w:val="0"/>
      <w:marBottom w:val="0"/>
      <w:divBdr>
        <w:top w:val="none" w:sz="0" w:space="0" w:color="auto"/>
        <w:left w:val="none" w:sz="0" w:space="0" w:color="auto"/>
        <w:bottom w:val="none" w:sz="0" w:space="0" w:color="auto"/>
        <w:right w:val="none" w:sz="0" w:space="0" w:color="auto"/>
      </w:divBdr>
    </w:div>
    <w:div w:id="1402678244">
      <w:bodyDiv w:val="1"/>
      <w:marLeft w:val="0"/>
      <w:marRight w:val="0"/>
      <w:marTop w:val="0"/>
      <w:marBottom w:val="0"/>
      <w:divBdr>
        <w:top w:val="none" w:sz="0" w:space="0" w:color="auto"/>
        <w:left w:val="none" w:sz="0" w:space="0" w:color="auto"/>
        <w:bottom w:val="none" w:sz="0" w:space="0" w:color="auto"/>
        <w:right w:val="none" w:sz="0" w:space="0" w:color="auto"/>
      </w:divBdr>
    </w:div>
    <w:div w:id="1741899298">
      <w:bodyDiv w:val="1"/>
      <w:marLeft w:val="0"/>
      <w:marRight w:val="0"/>
      <w:marTop w:val="0"/>
      <w:marBottom w:val="0"/>
      <w:divBdr>
        <w:top w:val="none" w:sz="0" w:space="0" w:color="auto"/>
        <w:left w:val="none" w:sz="0" w:space="0" w:color="auto"/>
        <w:bottom w:val="none" w:sz="0" w:space="0" w:color="auto"/>
        <w:right w:val="none" w:sz="0" w:space="0" w:color="auto"/>
      </w:divBdr>
    </w:div>
    <w:div w:id="1790587357">
      <w:bodyDiv w:val="1"/>
      <w:marLeft w:val="0"/>
      <w:marRight w:val="0"/>
      <w:marTop w:val="0"/>
      <w:marBottom w:val="0"/>
      <w:divBdr>
        <w:top w:val="none" w:sz="0" w:space="0" w:color="auto"/>
        <w:left w:val="none" w:sz="0" w:space="0" w:color="auto"/>
        <w:bottom w:val="none" w:sz="0" w:space="0" w:color="auto"/>
        <w:right w:val="none" w:sz="0" w:space="0" w:color="auto"/>
      </w:divBdr>
    </w:div>
    <w:div w:id="1792284793">
      <w:bodyDiv w:val="1"/>
      <w:marLeft w:val="0"/>
      <w:marRight w:val="0"/>
      <w:marTop w:val="0"/>
      <w:marBottom w:val="0"/>
      <w:divBdr>
        <w:top w:val="none" w:sz="0" w:space="0" w:color="auto"/>
        <w:left w:val="none" w:sz="0" w:space="0" w:color="auto"/>
        <w:bottom w:val="none" w:sz="0" w:space="0" w:color="auto"/>
        <w:right w:val="none" w:sz="0" w:space="0" w:color="auto"/>
      </w:divBdr>
    </w:div>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 w:id="1941061737">
      <w:bodyDiv w:val="1"/>
      <w:marLeft w:val="0"/>
      <w:marRight w:val="0"/>
      <w:marTop w:val="0"/>
      <w:marBottom w:val="0"/>
      <w:divBdr>
        <w:top w:val="none" w:sz="0" w:space="0" w:color="auto"/>
        <w:left w:val="none" w:sz="0" w:space="0" w:color="auto"/>
        <w:bottom w:val="none" w:sz="0" w:space="0" w:color="auto"/>
        <w:right w:val="none" w:sz="0" w:space="0" w:color="auto"/>
      </w:divBdr>
    </w:div>
    <w:div w:id="202173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0EBE0BE9F128448262953A10C1DC94" ma:contentTypeVersion="10" ma:contentTypeDescription="Create a new document." ma:contentTypeScope="" ma:versionID="2b2e2960434ea23e0cb31dc202ef2ff9">
  <xsd:schema xmlns:xsd="http://www.w3.org/2001/XMLSchema" xmlns:xs="http://www.w3.org/2001/XMLSchema" xmlns:p="http://schemas.microsoft.com/office/2006/metadata/properties" xmlns:ns2="ebaf2e67-b144-4d62-9519-3988caf1a303" xmlns:ns3="2f6ee05b-6183-4f51-a3ed-d76ded0ae454" targetNamespace="http://schemas.microsoft.com/office/2006/metadata/properties" ma:root="true" ma:fieldsID="ba5973a6788d06a838ef7b5798b8b2cc" ns2:_="" ns3:_="">
    <xsd:import namespace="ebaf2e67-b144-4d62-9519-3988caf1a303"/>
    <xsd:import namespace="2f6ee05b-6183-4f51-a3ed-d76ded0ae4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f2e67-b144-4d62-9519-3988caf1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ee05b-6183-4f51-a3ed-d76ded0ae4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3DD0E-5183-7D43-A379-491CD08EDAF2}">
  <ds:schemaRefs>
    <ds:schemaRef ds:uri="http://schemas.openxmlformats.org/officeDocument/2006/bibliography"/>
  </ds:schemaRefs>
</ds:datastoreItem>
</file>

<file path=customXml/itemProps2.xml><?xml version="1.0" encoding="utf-8"?>
<ds:datastoreItem xmlns:ds="http://schemas.openxmlformats.org/officeDocument/2006/customXml" ds:itemID="{BD9C2562-6D03-46C2-8A4F-21B7B18A026D}">
  <ds:schemaRefs>
    <ds:schemaRef ds:uri="http://schemas.microsoft.com/sharepoint/v3/contenttype/forms"/>
  </ds:schemaRefs>
</ds:datastoreItem>
</file>

<file path=customXml/itemProps3.xml><?xml version="1.0" encoding="utf-8"?>
<ds:datastoreItem xmlns:ds="http://schemas.openxmlformats.org/officeDocument/2006/customXml" ds:itemID="{EE4C3166-F108-47B3-82D8-48F3DDE291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352AEB-8D99-42B0-9A5A-237446B1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f2e67-b144-4d62-9519-3988caf1a303"/>
    <ds:schemaRef ds:uri="2f6ee05b-6183-4f51-a3ed-d76ded0ae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30</ap:Pages>
  <ap:Words>6180</ap:Words>
  <ap:Characters>35226</ap:Characters>
  <ap:Application>Microsoft Office Word</ap:Application>
  <ap:DocSecurity>0</ap:DocSecurity>
  <ap:Lines>293</ap:Lines>
  <ap:Paragraphs>82</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LinksUpToDate>false</ap:LinksUpToDate>
  <ap:CharactersWithSpaces>41324</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2023-03-22T14:13:10Z</dcterms:created>
  <dcterms:modified xsi:type="dcterms:W3CDTF">2023-03-22T14:13:10Z</dcterms:modified>
</cp:coreProperties>
</file>