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3D7D" w:rsidR="00CF17DE" w:rsidRDefault="00CF17DE" w14:paraId="70BEAF91" w14:textId="77777777">
      <w:pPr>
        <w:pStyle w:val="titlebar"/>
        <w:rPr>
          <w:szCs w:val="26"/>
        </w:rPr>
      </w:pPr>
      <w:r w:rsidRPr="006B3D7D">
        <w:rPr>
          <w:szCs w:val="26"/>
        </w:rPr>
        <w:t>PUBLIC UTILITIES COMMISSION OF THE STATE OF CALIFORNIA</w:t>
      </w:r>
    </w:p>
    <w:p w:rsidR="00D865A9" w:rsidRDefault="00D865A9" w14:paraId="719EA9BA" w14:textId="77777777">
      <w:pPr>
        <w:suppressAutoHyphens/>
      </w:pPr>
    </w:p>
    <w:p w:rsidR="00D865A9" w:rsidP="00482457" w:rsidRDefault="00452C43" w14:paraId="41593225" w14:textId="130B699A">
      <w:pPr>
        <w:tabs>
          <w:tab w:val="left" w:pos="6270"/>
          <w:tab w:val="right" w:pos="8820"/>
        </w:tabs>
        <w:rPr>
          <w:rFonts w:ascii="Palatino Linotype" w:hAnsi="Palatino Linotype"/>
          <w:b/>
          <w:sz w:val="24"/>
          <w:szCs w:val="24"/>
        </w:rPr>
      </w:pPr>
      <w:r>
        <w:rPr>
          <w:rFonts w:ascii="Palatino Linotype" w:hAnsi="Palatino Linotype"/>
          <w:b/>
          <w:sz w:val="24"/>
          <w:szCs w:val="24"/>
        </w:rPr>
        <w:tab/>
      </w:r>
      <w:r w:rsidR="00482457">
        <w:rPr>
          <w:rFonts w:ascii="Palatino Linotype" w:hAnsi="Palatino Linotype"/>
          <w:b/>
          <w:sz w:val="24"/>
          <w:szCs w:val="24"/>
        </w:rPr>
        <w:t xml:space="preserve"> </w:t>
      </w:r>
      <w:r>
        <w:rPr>
          <w:rFonts w:ascii="Palatino Linotype" w:hAnsi="Palatino Linotype"/>
          <w:b/>
          <w:sz w:val="24"/>
          <w:szCs w:val="24"/>
        </w:rPr>
        <w:t>Agenda ID#</w:t>
      </w:r>
      <w:r w:rsidR="00482457">
        <w:rPr>
          <w:rFonts w:ascii="Palatino Linotype" w:hAnsi="Palatino Linotype"/>
          <w:b/>
          <w:sz w:val="24"/>
          <w:szCs w:val="24"/>
        </w:rPr>
        <w:t xml:space="preserve"> 21484</w:t>
      </w:r>
      <w:r w:rsidR="00D865A9">
        <w:rPr>
          <w:rFonts w:ascii="Palatino Linotype" w:hAnsi="Palatino Linotype"/>
          <w:b/>
          <w:sz w:val="24"/>
          <w:szCs w:val="24"/>
        </w:rPr>
        <w:tab/>
      </w:r>
    </w:p>
    <w:p w:rsidR="00CF17DE" w:rsidP="00D865A9" w:rsidRDefault="00593807" w14:paraId="7AE852C7" w14:textId="1FCC4070">
      <w:pPr>
        <w:tabs>
          <w:tab w:val="right" w:pos="8820"/>
        </w:tabs>
        <w:rPr>
          <w:rFonts w:ascii="Palatino Linotype" w:hAnsi="Palatino Linotype"/>
          <w:b/>
          <w:sz w:val="24"/>
          <w:szCs w:val="24"/>
        </w:rPr>
      </w:pPr>
      <w:r w:rsidRPr="00D865A9">
        <w:rPr>
          <w:rFonts w:ascii="Palatino Linotype" w:hAnsi="Palatino Linotype"/>
          <w:b/>
          <w:sz w:val="24"/>
          <w:szCs w:val="24"/>
        </w:rPr>
        <w:t>ENERGY DIVISION</w:t>
      </w:r>
      <w:r w:rsidRPr="00D865A9">
        <w:rPr>
          <w:rFonts w:ascii="Palatino Linotype" w:hAnsi="Palatino Linotype"/>
          <w:b/>
          <w:sz w:val="24"/>
          <w:szCs w:val="24"/>
        </w:rPr>
        <w:tab/>
      </w:r>
      <w:r w:rsidRPr="00D865A9" w:rsidR="00CF17DE">
        <w:rPr>
          <w:rFonts w:ascii="Palatino Linotype" w:hAnsi="Palatino Linotype"/>
          <w:b/>
          <w:sz w:val="24"/>
          <w:szCs w:val="24"/>
        </w:rPr>
        <w:t xml:space="preserve">RESOLUTION </w:t>
      </w:r>
      <w:r w:rsidRPr="00D50306" w:rsidR="00D50306">
        <w:rPr>
          <w:rFonts w:ascii="Palatino Linotype" w:hAnsi="Palatino Linotype"/>
          <w:b/>
          <w:sz w:val="24"/>
          <w:szCs w:val="24"/>
        </w:rPr>
        <w:t>G-3594</w:t>
      </w:r>
    </w:p>
    <w:p w:rsidRPr="00D865A9" w:rsidR="0020108F" w:rsidP="00482457" w:rsidRDefault="0020108F" w14:paraId="6A61AFB6" w14:textId="4451D473">
      <w:pPr>
        <w:tabs>
          <w:tab w:val="left" w:pos="6225"/>
          <w:tab w:val="right" w:pos="8820"/>
        </w:tabs>
        <w:rPr>
          <w:rFonts w:ascii="Palatino Linotype" w:hAnsi="Palatino Linotype"/>
          <w:b/>
          <w:sz w:val="24"/>
          <w:szCs w:val="24"/>
        </w:rPr>
      </w:pPr>
      <w:r>
        <w:rPr>
          <w:rFonts w:ascii="Palatino Linotype" w:hAnsi="Palatino Linotype"/>
          <w:b/>
          <w:sz w:val="24"/>
          <w:szCs w:val="24"/>
        </w:rPr>
        <w:tab/>
      </w:r>
      <w:r w:rsidR="00482457">
        <w:rPr>
          <w:rFonts w:ascii="Palatino Linotype" w:hAnsi="Palatino Linotype"/>
          <w:b/>
          <w:sz w:val="24"/>
          <w:szCs w:val="24"/>
        </w:rPr>
        <w:t xml:space="preserve">  </w:t>
      </w:r>
      <w:r w:rsidRPr="00C04190" w:rsidR="00C04190">
        <w:rPr>
          <w:rFonts w:ascii="Palatino Linotype" w:hAnsi="Palatino Linotype"/>
          <w:b/>
          <w:sz w:val="24"/>
          <w:szCs w:val="24"/>
        </w:rPr>
        <w:t>April 27, 202</w:t>
      </w:r>
      <w:r w:rsidR="00C04190">
        <w:rPr>
          <w:rFonts w:ascii="Palatino Linotype" w:hAnsi="Palatino Linotype"/>
          <w:b/>
          <w:sz w:val="24"/>
          <w:szCs w:val="24"/>
        </w:rPr>
        <w:t>3</w:t>
      </w:r>
    </w:p>
    <w:p w:rsidR="00CF17DE" w:rsidP="008C1771" w:rsidRDefault="00CF17DE" w14:paraId="061A7957" w14:textId="422192AA">
      <w:pPr>
        <w:tabs>
          <w:tab w:val="right" w:pos="8910"/>
        </w:tabs>
        <w:ind w:left="1440" w:firstLine="720"/>
        <w:rPr>
          <w:b/>
          <w:sz w:val="24"/>
        </w:rPr>
      </w:pPr>
      <w:r w:rsidRPr="00D865A9">
        <w:rPr>
          <w:rFonts w:ascii="Palatino Linotype" w:hAnsi="Palatino Linotype"/>
          <w:b/>
          <w:sz w:val="24"/>
          <w:szCs w:val="24"/>
        </w:rPr>
        <w:tab/>
      </w:r>
    </w:p>
    <w:p w:rsidRPr="006B3D7D" w:rsidR="00CF17DE" w:rsidRDefault="00CF17DE" w14:paraId="40ADBA19" w14:textId="77777777">
      <w:pPr>
        <w:pStyle w:val="mainex"/>
        <w:rPr>
          <w:sz w:val="24"/>
          <w:szCs w:val="24"/>
          <w:u w:val="single"/>
        </w:rPr>
      </w:pPr>
      <w:bookmarkStart w:name="_Ref404993683" w:id="0"/>
      <w:r w:rsidRPr="00452C43">
        <w:rPr>
          <w:rFonts w:ascii="Palatino Linotype" w:hAnsi="Palatino Linotype"/>
          <w:sz w:val="24"/>
          <w:szCs w:val="24"/>
          <w:u w:val="single"/>
        </w:rPr>
        <w:t>RESOLUTION</w:t>
      </w:r>
    </w:p>
    <w:p w:rsidR="00CF17DE" w:rsidRDefault="00CF17DE" w14:paraId="63C93376" w14:textId="77777777"/>
    <w:p w:rsidRPr="00DF107A" w:rsidR="00801D70" w:rsidP="00E271CC" w:rsidRDefault="00B927B5" w14:paraId="70E6A3B4" w14:textId="7AC59290">
      <w:pPr>
        <w:pStyle w:val="Res-Caption"/>
        <w:rPr>
          <w:rFonts w:ascii="Palatino Linotype" w:hAnsi="Palatino Linotype"/>
          <w:sz w:val="24"/>
          <w:szCs w:val="24"/>
        </w:rPr>
      </w:pPr>
      <w:r w:rsidRPr="008C1771">
        <w:rPr>
          <w:rFonts w:ascii="Palatino Linotype" w:hAnsi="Palatino Linotype"/>
          <w:b/>
          <w:bCs/>
          <w:sz w:val="24"/>
          <w:szCs w:val="24"/>
        </w:rPr>
        <w:t>Resolution</w:t>
      </w:r>
      <w:r w:rsidRPr="00DF107A">
        <w:rPr>
          <w:rFonts w:ascii="Palatino Linotype" w:hAnsi="Palatino Linotype"/>
          <w:sz w:val="24"/>
          <w:szCs w:val="24"/>
        </w:rPr>
        <w:t xml:space="preserve"> </w:t>
      </w:r>
      <w:r w:rsidRPr="00DF107A" w:rsidR="00C04190">
        <w:rPr>
          <w:rFonts w:ascii="Palatino Linotype" w:hAnsi="Palatino Linotype"/>
          <w:b/>
          <w:sz w:val="24"/>
          <w:szCs w:val="24"/>
        </w:rPr>
        <w:t>G-3594</w:t>
      </w:r>
      <w:r w:rsidRPr="00DF107A">
        <w:rPr>
          <w:rFonts w:ascii="Palatino Linotype" w:hAnsi="Palatino Linotype"/>
          <w:sz w:val="24"/>
          <w:szCs w:val="24"/>
        </w:rPr>
        <w:t xml:space="preserve">.  </w:t>
      </w:r>
      <w:r w:rsidRPr="00DF107A" w:rsidR="00AB7ABC">
        <w:rPr>
          <w:rFonts w:ascii="Palatino Linotype" w:hAnsi="Palatino Linotype"/>
          <w:sz w:val="24"/>
          <w:szCs w:val="24"/>
        </w:rPr>
        <w:t xml:space="preserve">Southwest Gas Tier 3 Advice Letter </w:t>
      </w:r>
      <w:r w:rsidRPr="00DF107A" w:rsidR="00791908">
        <w:rPr>
          <w:rFonts w:ascii="Palatino Linotype" w:hAnsi="Palatino Linotype"/>
          <w:sz w:val="24"/>
          <w:szCs w:val="24"/>
        </w:rPr>
        <w:t xml:space="preserve">1243-G Requesting Increase in Funding for </w:t>
      </w:r>
      <w:r w:rsidRPr="00DF107A" w:rsidR="00497E11">
        <w:rPr>
          <w:rFonts w:ascii="Palatino Linotype" w:hAnsi="Palatino Linotype"/>
          <w:sz w:val="24"/>
          <w:szCs w:val="24"/>
        </w:rPr>
        <w:t xml:space="preserve">Conservation and </w:t>
      </w:r>
      <w:r w:rsidRPr="00DF107A" w:rsidR="00791908">
        <w:rPr>
          <w:rFonts w:ascii="Palatino Linotype" w:hAnsi="Palatino Linotype"/>
          <w:sz w:val="24"/>
          <w:szCs w:val="24"/>
        </w:rPr>
        <w:t xml:space="preserve">Energy Efficiency Programs during Program Years 2023 through 2025. </w:t>
      </w:r>
    </w:p>
    <w:p w:rsidRPr="00DF107A" w:rsidR="00E271CC" w:rsidP="00E271CC" w:rsidRDefault="00E271CC" w14:paraId="1DDBCB08" w14:textId="77777777">
      <w:pPr>
        <w:pStyle w:val="Res-Caption"/>
        <w:rPr>
          <w:rFonts w:ascii="Palatino Linotype" w:hAnsi="Palatino Linotype"/>
          <w:sz w:val="24"/>
          <w:szCs w:val="24"/>
        </w:rPr>
      </w:pPr>
    </w:p>
    <w:p w:rsidRPr="008C1771" w:rsidR="00DF35CC" w:rsidP="00DF35CC" w:rsidRDefault="00801D70" w14:paraId="5B232953" w14:textId="77777777">
      <w:pPr>
        <w:pStyle w:val="Res-Caption"/>
        <w:rPr>
          <w:rFonts w:ascii="Palatino Linotype" w:hAnsi="Palatino Linotype"/>
          <w:b/>
          <w:bCs/>
          <w:sz w:val="24"/>
          <w:szCs w:val="24"/>
        </w:rPr>
      </w:pPr>
      <w:r w:rsidRPr="008C1771">
        <w:rPr>
          <w:rFonts w:ascii="Palatino Linotype" w:hAnsi="Palatino Linotype"/>
          <w:b/>
          <w:bCs/>
          <w:sz w:val="24"/>
          <w:szCs w:val="24"/>
        </w:rPr>
        <w:t>PROPOSED OUTCOME:</w:t>
      </w:r>
      <w:r w:rsidRPr="008C1771" w:rsidR="00142FB8">
        <w:rPr>
          <w:rFonts w:ascii="Palatino Linotype" w:hAnsi="Palatino Linotype"/>
          <w:b/>
          <w:bCs/>
          <w:sz w:val="24"/>
          <w:szCs w:val="24"/>
        </w:rPr>
        <w:t xml:space="preserve"> </w:t>
      </w:r>
    </w:p>
    <w:p w:rsidRPr="00490415" w:rsidR="00490415" w:rsidP="00DA0058" w:rsidRDefault="00490415" w14:paraId="28DAA5DD" w14:textId="2FB8FABA">
      <w:pPr>
        <w:pStyle w:val="Res-Caption"/>
        <w:numPr>
          <w:ilvl w:val="0"/>
          <w:numId w:val="7"/>
        </w:numPr>
        <w:rPr>
          <w:rFonts w:ascii="Palatino Linotype" w:hAnsi="Palatino Linotype"/>
          <w:sz w:val="24"/>
          <w:szCs w:val="24"/>
        </w:rPr>
      </w:pPr>
      <w:r w:rsidRPr="00490415">
        <w:rPr>
          <w:rFonts w:ascii="Palatino Linotype" w:hAnsi="Palatino Linotype"/>
          <w:sz w:val="24"/>
          <w:szCs w:val="24"/>
        </w:rPr>
        <w:t>Approves Southwest Gas Corporation (</w:t>
      </w:r>
      <w:r>
        <w:rPr>
          <w:rFonts w:ascii="Palatino Linotype" w:hAnsi="Palatino Linotype"/>
          <w:sz w:val="24"/>
          <w:szCs w:val="24"/>
        </w:rPr>
        <w:t>SWG</w:t>
      </w:r>
      <w:r w:rsidRPr="00490415">
        <w:rPr>
          <w:rFonts w:ascii="Palatino Linotype" w:hAnsi="Palatino Linotype"/>
          <w:sz w:val="24"/>
          <w:szCs w:val="24"/>
        </w:rPr>
        <w:t xml:space="preserve">) </w:t>
      </w:r>
      <w:r>
        <w:rPr>
          <w:rFonts w:ascii="Palatino Linotype" w:hAnsi="Palatino Linotype"/>
          <w:sz w:val="24"/>
          <w:szCs w:val="24"/>
        </w:rPr>
        <w:t xml:space="preserve">Tier 3 </w:t>
      </w:r>
      <w:r w:rsidRPr="00490415">
        <w:rPr>
          <w:rFonts w:ascii="Palatino Linotype" w:hAnsi="Palatino Linotype"/>
          <w:sz w:val="24"/>
          <w:szCs w:val="24"/>
        </w:rPr>
        <w:t xml:space="preserve">Advice Letter </w:t>
      </w:r>
      <w:r>
        <w:rPr>
          <w:rFonts w:ascii="Palatino Linotype" w:hAnsi="Palatino Linotype"/>
          <w:sz w:val="24"/>
          <w:szCs w:val="24"/>
        </w:rPr>
        <w:t>12</w:t>
      </w:r>
      <w:r w:rsidR="00896642">
        <w:rPr>
          <w:rFonts w:ascii="Palatino Linotype" w:hAnsi="Palatino Linotype"/>
          <w:sz w:val="24"/>
          <w:szCs w:val="24"/>
        </w:rPr>
        <w:t>43</w:t>
      </w:r>
      <w:r>
        <w:rPr>
          <w:rFonts w:ascii="Palatino Linotype" w:hAnsi="Palatino Linotype"/>
          <w:sz w:val="24"/>
          <w:szCs w:val="24"/>
        </w:rPr>
        <w:t xml:space="preserve">-G </w:t>
      </w:r>
      <w:r w:rsidRPr="00490415">
        <w:rPr>
          <w:rFonts w:ascii="Palatino Linotype" w:hAnsi="Palatino Linotype"/>
          <w:sz w:val="24"/>
          <w:szCs w:val="24"/>
        </w:rPr>
        <w:t xml:space="preserve">requesting an increase in its Conservation and Energy Efficiency (CEE) Program budget from the currently authorized amount of $250,000 per year to $500,000 per year effective </w:t>
      </w:r>
      <w:r w:rsidR="004F78A0">
        <w:rPr>
          <w:rFonts w:ascii="Palatino Linotype" w:hAnsi="Palatino Linotype"/>
          <w:sz w:val="24"/>
          <w:szCs w:val="24"/>
        </w:rPr>
        <w:br/>
      </w:r>
      <w:r w:rsidRPr="00490415">
        <w:rPr>
          <w:rFonts w:ascii="Palatino Linotype" w:hAnsi="Palatino Linotype"/>
          <w:sz w:val="24"/>
          <w:szCs w:val="24"/>
        </w:rPr>
        <w:t>January 1, 2023, and to remain at this level through the remainder of the</w:t>
      </w:r>
      <w:r>
        <w:rPr>
          <w:rFonts w:ascii="Palatino Linotype" w:hAnsi="Palatino Linotype"/>
          <w:sz w:val="24"/>
          <w:szCs w:val="24"/>
        </w:rPr>
        <w:t xml:space="preserve"> SWG’s</w:t>
      </w:r>
      <w:r w:rsidRPr="00490415">
        <w:rPr>
          <w:rFonts w:ascii="Palatino Linotype" w:hAnsi="Palatino Linotype"/>
          <w:sz w:val="24"/>
          <w:szCs w:val="24"/>
        </w:rPr>
        <w:t xml:space="preserve"> current general rate case cycle which ends </w:t>
      </w:r>
      <w:r w:rsidR="004F78A0">
        <w:rPr>
          <w:rFonts w:ascii="Palatino Linotype" w:hAnsi="Palatino Linotype"/>
          <w:sz w:val="24"/>
          <w:szCs w:val="24"/>
        </w:rPr>
        <w:br/>
      </w:r>
      <w:r w:rsidRPr="00490415">
        <w:rPr>
          <w:rFonts w:ascii="Palatino Linotype" w:hAnsi="Palatino Linotype"/>
          <w:sz w:val="24"/>
          <w:szCs w:val="24"/>
        </w:rPr>
        <w:t>December 31, 2025.</w:t>
      </w:r>
    </w:p>
    <w:p w:rsidRPr="00D865A9" w:rsidR="00F51F8B" w:rsidRDefault="00F51F8B" w14:paraId="65BE5ED4" w14:textId="77777777">
      <w:pPr>
        <w:pStyle w:val="Res-Caption"/>
        <w:rPr>
          <w:rFonts w:ascii="Palatino Linotype" w:hAnsi="Palatino Linotype"/>
          <w:sz w:val="24"/>
          <w:szCs w:val="24"/>
        </w:rPr>
      </w:pPr>
    </w:p>
    <w:p w:rsidRPr="008C1771" w:rsidR="00F51F8B" w:rsidRDefault="00F51F8B" w14:paraId="5348E825" w14:textId="77777777">
      <w:pPr>
        <w:pStyle w:val="Res-Caption"/>
        <w:rPr>
          <w:rFonts w:ascii="Palatino Linotype" w:hAnsi="Palatino Linotype"/>
          <w:b/>
          <w:bCs/>
          <w:sz w:val="24"/>
          <w:szCs w:val="24"/>
        </w:rPr>
      </w:pPr>
      <w:r w:rsidRPr="008C1771">
        <w:rPr>
          <w:rFonts w:ascii="Palatino Linotype" w:hAnsi="Palatino Linotype"/>
          <w:b/>
          <w:bCs/>
          <w:sz w:val="24"/>
          <w:szCs w:val="24"/>
        </w:rPr>
        <w:t>SAFETY CONSIDERATIONS:</w:t>
      </w:r>
    </w:p>
    <w:p w:rsidRPr="00EE5CD9" w:rsidR="00801D70" w:rsidP="00DA0058" w:rsidRDefault="003B28DC" w14:paraId="664CBB61" w14:textId="1B283153">
      <w:pPr>
        <w:pStyle w:val="Res-Caption"/>
        <w:numPr>
          <w:ilvl w:val="0"/>
          <w:numId w:val="6"/>
        </w:numPr>
        <w:rPr>
          <w:rFonts w:ascii="Palatino Linotype" w:hAnsi="Palatino Linotype"/>
          <w:sz w:val="24"/>
          <w:szCs w:val="24"/>
        </w:rPr>
      </w:pPr>
      <w:r w:rsidRPr="00EE5CD9">
        <w:rPr>
          <w:rFonts w:ascii="Palatino Linotype" w:hAnsi="Palatino Linotype"/>
          <w:sz w:val="24"/>
          <w:szCs w:val="24"/>
        </w:rPr>
        <w:t>There</w:t>
      </w:r>
      <w:r w:rsidRPr="00EE5CD9" w:rsidR="00EE5CD9">
        <w:t xml:space="preserve"> </w:t>
      </w:r>
      <w:r w:rsidRPr="00EE5CD9" w:rsidR="00EE5CD9">
        <w:rPr>
          <w:rFonts w:ascii="Palatino Linotype" w:hAnsi="Palatino Linotype"/>
          <w:sz w:val="24"/>
          <w:szCs w:val="24"/>
        </w:rPr>
        <w:t>are no safety considerations associated with this resolution.</w:t>
      </w:r>
      <w:r w:rsidRPr="00EE5CD9">
        <w:rPr>
          <w:rFonts w:ascii="Palatino Linotype" w:hAnsi="Palatino Linotype" w:cs="Segoe UI"/>
          <w:color w:val="201F1E"/>
          <w:bdr w:val="none" w:color="auto" w:sz="0" w:space="0" w:frame="1"/>
          <w:shd w:val="clear" w:color="auto" w:fill="FFFF00"/>
        </w:rPr>
        <w:t xml:space="preserve"> </w:t>
      </w:r>
    </w:p>
    <w:p w:rsidRPr="00EE5CD9" w:rsidR="00EE5CD9" w:rsidP="00EE5CD9" w:rsidRDefault="00EE5CD9" w14:paraId="7D9C9629" w14:textId="77777777">
      <w:pPr>
        <w:pStyle w:val="Res-Caption"/>
        <w:rPr>
          <w:rFonts w:ascii="Palatino Linotype" w:hAnsi="Palatino Linotype"/>
          <w:sz w:val="24"/>
          <w:szCs w:val="24"/>
        </w:rPr>
      </w:pPr>
    </w:p>
    <w:p w:rsidRPr="008C1771" w:rsidR="00801D70" w:rsidRDefault="00801D70" w14:paraId="28BD615D" w14:textId="77777777">
      <w:pPr>
        <w:pStyle w:val="Res-Caption"/>
        <w:rPr>
          <w:rFonts w:ascii="Palatino Linotype" w:hAnsi="Palatino Linotype"/>
          <w:b/>
          <w:bCs/>
          <w:sz w:val="24"/>
          <w:szCs w:val="24"/>
        </w:rPr>
      </w:pPr>
      <w:r w:rsidRPr="008C1771">
        <w:rPr>
          <w:rFonts w:ascii="Palatino Linotype" w:hAnsi="Palatino Linotype"/>
          <w:b/>
          <w:bCs/>
          <w:sz w:val="24"/>
          <w:szCs w:val="24"/>
        </w:rPr>
        <w:t xml:space="preserve">ESTIMATED COST:  </w:t>
      </w:r>
    </w:p>
    <w:p w:rsidR="00402E2F" w:rsidP="000C50E3" w:rsidRDefault="00402E2F" w14:paraId="09417020" w14:textId="349A7089">
      <w:pPr>
        <w:pStyle w:val="Res-Caption"/>
        <w:numPr>
          <w:ilvl w:val="0"/>
          <w:numId w:val="6"/>
        </w:numPr>
        <w:rPr>
          <w:rFonts w:ascii="Palatino Linotype" w:hAnsi="Palatino Linotype"/>
          <w:sz w:val="24"/>
          <w:szCs w:val="24"/>
        </w:rPr>
      </w:pPr>
      <w:r>
        <w:rPr>
          <w:rFonts w:ascii="Palatino Linotype" w:hAnsi="Palatino Linotype"/>
          <w:sz w:val="24"/>
          <w:szCs w:val="24"/>
        </w:rPr>
        <w:t xml:space="preserve">Authorizes </w:t>
      </w:r>
      <w:r w:rsidR="00B77097">
        <w:rPr>
          <w:rFonts w:ascii="Palatino Linotype" w:hAnsi="Palatino Linotype"/>
          <w:sz w:val="24"/>
          <w:szCs w:val="24"/>
        </w:rPr>
        <w:t xml:space="preserve">an additional $250,000 per year for </w:t>
      </w:r>
      <w:r w:rsidR="007D0D56">
        <w:rPr>
          <w:rFonts w:ascii="Palatino Linotype" w:hAnsi="Palatino Linotype"/>
          <w:sz w:val="24"/>
          <w:szCs w:val="24"/>
        </w:rPr>
        <w:t xml:space="preserve">Program Years </w:t>
      </w:r>
      <w:r w:rsidR="00B77097">
        <w:rPr>
          <w:rFonts w:ascii="Palatino Linotype" w:hAnsi="Palatino Linotype"/>
          <w:sz w:val="24"/>
          <w:szCs w:val="24"/>
        </w:rPr>
        <w:t xml:space="preserve">2023 </w:t>
      </w:r>
      <w:r w:rsidR="007D0D56">
        <w:rPr>
          <w:rFonts w:ascii="Palatino Linotype" w:hAnsi="Palatino Linotype"/>
          <w:sz w:val="24"/>
          <w:szCs w:val="24"/>
        </w:rPr>
        <w:t>through</w:t>
      </w:r>
      <w:r w:rsidR="00B77097">
        <w:rPr>
          <w:rFonts w:ascii="Palatino Linotype" w:hAnsi="Palatino Linotype"/>
          <w:sz w:val="24"/>
          <w:szCs w:val="24"/>
        </w:rPr>
        <w:t xml:space="preserve"> 20</w:t>
      </w:r>
      <w:r w:rsidR="007D0D56">
        <w:rPr>
          <w:rFonts w:ascii="Palatino Linotype" w:hAnsi="Palatino Linotype"/>
          <w:sz w:val="24"/>
          <w:szCs w:val="24"/>
        </w:rPr>
        <w:t>2</w:t>
      </w:r>
      <w:r w:rsidR="00B77097">
        <w:rPr>
          <w:rFonts w:ascii="Palatino Linotype" w:hAnsi="Palatino Linotype"/>
          <w:sz w:val="24"/>
          <w:szCs w:val="24"/>
        </w:rPr>
        <w:t>5 for a total Energy Efficiency budget of $500,000 per year. SWG ratepayers</w:t>
      </w:r>
      <w:r w:rsidR="00E327D0">
        <w:rPr>
          <w:rFonts w:ascii="Palatino Linotype" w:hAnsi="Palatino Linotype"/>
          <w:sz w:val="24"/>
          <w:szCs w:val="24"/>
        </w:rPr>
        <w:t xml:space="preserve"> will bear this </w:t>
      </w:r>
      <w:r w:rsidR="007D0D56">
        <w:rPr>
          <w:rFonts w:ascii="Palatino Linotype" w:hAnsi="Palatino Linotype"/>
          <w:sz w:val="24"/>
          <w:szCs w:val="24"/>
        </w:rPr>
        <w:t xml:space="preserve">additional </w:t>
      </w:r>
      <w:r w:rsidR="00E327D0">
        <w:rPr>
          <w:rFonts w:ascii="Palatino Linotype" w:hAnsi="Palatino Linotype"/>
          <w:sz w:val="24"/>
          <w:szCs w:val="24"/>
        </w:rPr>
        <w:t>cost</w:t>
      </w:r>
      <w:r w:rsidR="005C0DBF">
        <w:rPr>
          <w:rFonts w:ascii="Palatino Linotype" w:hAnsi="Palatino Linotype"/>
          <w:sz w:val="24"/>
          <w:szCs w:val="24"/>
        </w:rPr>
        <w:t xml:space="preserve"> via the Public Purpose Program surcharge. </w:t>
      </w:r>
    </w:p>
    <w:p w:rsidRPr="00D865A9" w:rsidR="000C50E3" w:rsidP="000C50E3" w:rsidRDefault="000C50E3" w14:paraId="7FD1037D" w14:textId="77777777">
      <w:pPr>
        <w:pStyle w:val="Res-Caption"/>
        <w:ind w:left="1440"/>
        <w:rPr>
          <w:rFonts w:ascii="Palatino Linotype" w:hAnsi="Palatino Linotype"/>
          <w:sz w:val="24"/>
          <w:szCs w:val="24"/>
        </w:rPr>
      </w:pPr>
    </w:p>
    <w:p w:rsidRPr="00D865A9" w:rsidR="00CF17DE" w:rsidRDefault="00CF17DE" w14:paraId="414B5F5B" w14:textId="77777777">
      <w:pPr>
        <w:pStyle w:val="Res-Caption"/>
        <w:rPr>
          <w:rFonts w:ascii="Palatino Linotype" w:hAnsi="Palatino Linotype"/>
          <w:sz w:val="24"/>
          <w:szCs w:val="24"/>
        </w:rPr>
      </w:pPr>
    </w:p>
    <w:p w:rsidRPr="00D865A9" w:rsidR="00CF17DE" w:rsidRDefault="00CF17DE" w14:paraId="0395FC4E" w14:textId="0994EFAD">
      <w:pPr>
        <w:pStyle w:val="Res-Caption"/>
        <w:rPr>
          <w:rFonts w:ascii="Palatino Linotype" w:hAnsi="Palatino Linotype"/>
          <w:sz w:val="24"/>
          <w:szCs w:val="24"/>
        </w:rPr>
      </w:pPr>
      <w:r w:rsidRPr="00D865A9">
        <w:rPr>
          <w:rFonts w:ascii="Palatino Linotype" w:hAnsi="Palatino Linotype"/>
          <w:sz w:val="24"/>
          <w:szCs w:val="24"/>
        </w:rPr>
        <w:t xml:space="preserve">By </w:t>
      </w:r>
      <w:r w:rsidR="0036612C">
        <w:rPr>
          <w:rFonts w:ascii="Palatino Linotype" w:hAnsi="Palatino Linotype"/>
          <w:sz w:val="24"/>
          <w:szCs w:val="24"/>
        </w:rPr>
        <w:t xml:space="preserve">Southwest Gas </w:t>
      </w:r>
      <w:r w:rsidRPr="00D865A9">
        <w:rPr>
          <w:rFonts w:ascii="Palatino Linotype" w:hAnsi="Palatino Linotype"/>
          <w:sz w:val="24"/>
          <w:szCs w:val="24"/>
        </w:rPr>
        <w:t xml:space="preserve">Advice Letter </w:t>
      </w:r>
      <w:r w:rsidR="00814CCF">
        <w:rPr>
          <w:rFonts w:ascii="Palatino Linotype" w:hAnsi="Palatino Linotype"/>
          <w:sz w:val="24"/>
          <w:szCs w:val="24"/>
        </w:rPr>
        <w:t>1243-G</w:t>
      </w:r>
      <w:r w:rsidRPr="00D865A9" w:rsidR="003F6E5A">
        <w:rPr>
          <w:rFonts w:ascii="Palatino Linotype" w:hAnsi="Palatino Linotype"/>
          <w:sz w:val="24"/>
          <w:szCs w:val="24"/>
        </w:rPr>
        <w:t>,</w:t>
      </w:r>
      <w:r w:rsidRPr="00D865A9">
        <w:rPr>
          <w:rFonts w:ascii="Palatino Linotype" w:hAnsi="Palatino Linotype"/>
          <w:sz w:val="24"/>
          <w:szCs w:val="24"/>
        </w:rPr>
        <w:t xml:space="preserve"> Filed on </w:t>
      </w:r>
      <w:r w:rsidRPr="00116F8C" w:rsidR="00116F8C">
        <w:rPr>
          <w:rFonts w:ascii="Palatino Linotype" w:hAnsi="Palatino Linotype"/>
          <w:sz w:val="24"/>
          <w:szCs w:val="24"/>
        </w:rPr>
        <w:t>December 22, 2022</w:t>
      </w:r>
      <w:r w:rsidRPr="00D865A9">
        <w:rPr>
          <w:rFonts w:ascii="Palatino Linotype" w:hAnsi="Palatino Linotype"/>
          <w:sz w:val="24"/>
          <w:szCs w:val="24"/>
        </w:rPr>
        <w:t xml:space="preserve">. </w:t>
      </w:r>
    </w:p>
    <w:p w:rsidRPr="00D865A9" w:rsidR="00CF17DE" w:rsidRDefault="00CF17DE" w14:paraId="2BFCF270" w14:textId="77777777">
      <w:pPr>
        <w:jc w:val="center"/>
        <w:rPr>
          <w:rFonts w:ascii="Palatino Linotype" w:hAnsi="Palatino Linotype"/>
          <w:sz w:val="24"/>
          <w:szCs w:val="24"/>
        </w:rPr>
      </w:pPr>
      <w:r w:rsidRPr="00D865A9">
        <w:rPr>
          <w:rFonts w:ascii="Palatino Linotype" w:hAnsi="Palatino Linotype"/>
          <w:sz w:val="24"/>
          <w:szCs w:val="24"/>
        </w:rPr>
        <w:t>__________________________________________________________</w:t>
      </w:r>
    </w:p>
    <w:p w:rsidRPr="00D865A9" w:rsidR="00CF17DE" w:rsidRDefault="00CF17DE" w14:paraId="21ED6BB6" w14:textId="77777777">
      <w:pPr>
        <w:rPr>
          <w:rFonts w:ascii="Palatino Linotype" w:hAnsi="Palatino Linotype"/>
          <w:b/>
          <w:sz w:val="24"/>
          <w:szCs w:val="24"/>
        </w:rPr>
      </w:pPr>
    </w:p>
    <w:p w:rsidRPr="00D865A9" w:rsidR="00CF17DE" w:rsidRDefault="00CF17DE" w14:paraId="2C49E15C" w14:textId="77777777">
      <w:pPr>
        <w:pStyle w:val="Heading1"/>
        <w:rPr>
          <w:rFonts w:ascii="Palatino Linotype" w:hAnsi="Palatino Linotype"/>
          <w:sz w:val="24"/>
          <w:szCs w:val="24"/>
        </w:rPr>
      </w:pPr>
      <w:r w:rsidRPr="00D865A9">
        <w:rPr>
          <w:rFonts w:ascii="Palatino Linotype" w:hAnsi="Palatino Linotype"/>
          <w:sz w:val="24"/>
          <w:szCs w:val="24"/>
        </w:rPr>
        <w:t>Summary</w:t>
      </w:r>
      <w:bookmarkEnd w:id="0"/>
    </w:p>
    <w:p w:rsidR="00C16B93" w:rsidRDefault="00CF17DE" w14:paraId="55FCB7F3" w14:textId="4A88F978">
      <w:pPr>
        <w:rPr>
          <w:rFonts w:ascii="Palatino Linotype" w:hAnsi="Palatino Linotype"/>
          <w:sz w:val="24"/>
          <w:szCs w:val="24"/>
        </w:rPr>
      </w:pPr>
      <w:r w:rsidRPr="00C16B93">
        <w:rPr>
          <w:rFonts w:ascii="Palatino Linotype" w:hAnsi="Palatino Linotype"/>
          <w:sz w:val="24"/>
          <w:szCs w:val="24"/>
        </w:rPr>
        <w:t xml:space="preserve">This </w:t>
      </w:r>
      <w:r w:rsidR="00DF107A">
        <w:rPr>
          <w:rFonts w:ascii="Palatino Linotype" w:hAnsi="Palatino Linotype"/>
          <w:sz w:val="24"/>
          <w:szCs w:val="24"/>
        </w:rPr>
        <w:t>r</w:t>
      </w:r>
      <w:r w:rsidRPr="00C16B93">
        <w:rPr>
          <w:rFonts w:ascii="Palatino Linotype" w:hAnsi="Palatino Linotype"/>
          <w:sz w:val="24"/>
          <w:szCs w:val="24"/>
        </w:rPr>
        <w:t>esolution</w:t>
      </w:r>
      <w:r w:rsidRPr="00C16B93" w:rsidR="00C16B93">
        <w:rPr>
          <w:rFonts w:ascii="Palatino Linotype" w:hAnsi="Palatino Linotype"/>
          <w:sz w:val="24"/>
          <w:szCs w:val="24"/>
        </w:rPr>
        <w:t xml:space="preserve"> approve</w:t>
      </w:r>
      <w:r w:rsidR="001A1052">
        <w:rPr>
          <w:rFonts w:ascii="Palatino Linotype" w:hAnsi="Palatino Linotype"/>
          <w:sz w:val="24"/>
          <w:szCs w:val="24"/>
        </w:rPr>
        <w:t>s</w:t>
      </w:r>
      <w:r w:rsidRPr="00C16B93" w:rsidR="00C16B93">
        <w:rPr>
          <w:rFonts w:ascii="Palatino Linotype" w:hAnsi="Palatino Linotype"/>
          <w:sz w:val="24"/>
          <w:szCs w:val="24"/>
        </w:rPr>
        <w:t xml:space="preserve"> Southwest Gas (SWG) Advice Letter</w:t>
      </w:r>
      <w:r w:rsidR="00063993">
        <w:rPr>
          <w:rFonts w:ascii="Palatino Linotype" w:hAnsi="Palatino Linotype"/>
          <w:sz w:val="24"/>
          <w:szCs w:val="24"/>
        </w:rPr>
        <w:t xml:space="preserve"> (AL)</w:t>
      </w:r>
      <w:r w:rsidRPr="00C16B93" w:rsidR="00C16B93">
        <w:rPr>
          <w:rFonts w:ascii="Palatino Linotype" w:hAnsi="Palatino Linotype"/>
          <w:sz w:val="24"/>
          <w:szCs w:val="24"/>
        </w:rPr>
        <w:t xml:space="preserve"> 1243-G</w:t>
      </w:r>
      <w:r w:rsidR="00C16B93">
        <w:rPr>
          <w:rFonts w:ascii="Palatino Linotype" w:hAnsi="Palatino Linotype"/>
          <w:sz w:val="24"/>
          <w:szCs w:val="24"/>
        </w:rPr>
        <w:t xml:space="preserve"> </w:t>
      </w:r>
      <w:r w:rsidR="001A1052">
        <w:rPr>
          <w:rFonts w:ascii="Palatino Linotype" w:hAnsi="Palatino Linotype"/>
          <w:sz w:val="24"/>
          <w:szCs w:val="24"/>
        </w:rPr>
        <w:t xml:space="preserve">which </w:t>
      </w:r>
      <w:r w:rsidRPr="001A1052" w:rsidR="001A1052">
        <w:rPr>
          <w:rFonts w:ascii="Palatino Linotype" w:hAnsi="Palatino Linotype"/>
          <w:sz w:val="24"/>
          <w:szCs w:val="24"/>
        </w:rPr>
        <w:t>request</w:t>
      </w:r>
      <w:r w:rsidR="001A1052">
        <w:rPr>
          <w:rFonts w:ascii="Palatino Linotype" w:hAnsi="Palatino Linotype"/>
          <w:sz w:val="24"/>
          <w:szCs w:val="24"/>
        </w:rPr>
        <w:t>s</w:t>
      </w:r>
      <w:r w:rsidRPr="001A1052" w:rsidR="001A1052">
        <w:rPr>
          <w:rFonts w:ascii="Palatino Linotype" w:hAnsi="Palatino Linotype"/>
          <w:sz w:val="24"/>
          <w:szCs w:val="24"/>
        </w:rPr>
        <w:t xml:space="preserve"> an increase in </w:t>
      </w:r>
      <w:r w:rsidR="001A1052">
        <w:rPr>
          <w:rFonts w:ascii="Palatino Linotype" w:hAnsi="Palatino Linotype"/>
          <w:sz w:val="24"/>
          <w:szCs w:val="24"/>
        </w:rPr>
        <w:t>SWG’s</w:t>
      </w:r>
      <w:r w:rsidRPr="001A1052" w:rsidR="001A1052">
        <w:rPr>
          <w:rFonts w:ascii="Palatino Linotype" w:hAnsi="Palatino Linotype"/>
          <w:sz w:val="24"/>
          <w:szCs w:val="24"/>
        </w:rPr>
        <w:t xml:space="preserve"> Conservation and Energy Efficiency (CEE) Program budget from the currently authorized amount of $250,000 per year to $500,000 per year effective January 1, 2023, and to remain at this level through the remainder of the </w:t>
      </w:r>
      <w:r w:rsidRPr="001A1052" w:rsidR="00CF13F5">
        <w:rPr>
          <w:rFonts w:ascii="Palatino Linotype" w:hAnsi="Palatino Linotype"/>
          <w:sz w:val="24"/>
          <w:szCs w:val="24"/>
        </w:rPr>
        <w:lastRenderedPageBreak/>
        <w:t xml:space="preserve">current </w:t>
      </w:r>
      <w:r w:rsidRPr="001A1052" w:rsidR="001A1052">
        <w:rPr>
          <w:rFonts w:ascii="Palatino Linotype" w:hAnsi="Palatino Linotype"/>
          <w:sz w:val="24"/>
          <w:szCs w:val="24"/>
        </w:rPr>
        <w:t>SWG general rate case cycle which ends December 31, 2025.</w:t>
      </w:r>
      <w:r w:rsidR="00063993">
        <w:rPr>
          <w:rFonts w:ascii="Palatino Linotype" w:hAnsi="Palatino Linotype"/>
          <w:sz w:val="24"/>
          <w:szCs w:val="24"/>
        </w:rPr>
        <w:t xml:space="preserve"> This AL was filed in compliance with Decision (D.)</w:t>
      </w:r>
      <w:r w:rsidR="00EC61F4">
        <w:rPr>
          <w:rFonts w:ascii="Palatino Linotype" w:hAnsi="Palatino Linotype"/>
          <w:sz w:val="24"/>
          <w:szCs w:val="24"/>
        </w:rPr>
        <w:t xml:space="preserve"> </w:t>
      </w:r>
      <w:r w:rsidRPr="00EC61F4" w:rsidR="00EC61F4">
        <w:rPr>
          <w:rFonts w:ascii="Palatino Linotype" w:hAnsi="Palatino Linotype"/>
          <w:sz w:val="24"/>
          <w:szCs w:val="24"/>
        </w:rPr>
        <w:t>21-03-052</w:t>
      </w:r>
      <w:r w:rsidR="00564418">
        <w:rPr>
          <w:rFonts w:ascii="Palatino Linotype" w:hAnsi="Palatino Linotype"/>
          <w:sz w:val="24"/>
          <w:szCs w:val="24"/>
        </w:rPr>
        <w:t xml:space="preserve">. </w:t>
      </w:r>
    </w:p>
    <w:p w:rsidR="00564418" w:rsidRDefault="00564418" w14:paraId="0EC8BBB4" w14:textId="77777777">
      <w:pPr>
        <w:rPr>
          <w:rFonts w:ascii="Palatino Linotype" w:hAnsi="Palatino Linotype"/>
          <w:sz w:val="24"/>
          <w:szCs w:val="24"/>
        </w:rPr>
      </w:pPr>
    </w:p>
    <w:p w:rsidR="00F649DA" w:rsidP="00182AFB" w:rsidRDefault="00D5121D" w14:paraId="4B7132AD" w14:textId="4FC3A780">
      <w:pPr>
        <w:rPr>
          <w:rFonts w:ascii="Palatino Linotype" w:hAnsi="Palatino Linotype"/>
          <w:sz w:val="24"/>
          <w:szCs w:val="24"/>
        </w:rPr>
      </w:pPr>
      <w:r>
        <w:rPr>
          <w:rFonts w:ascii="Palatino Linotype" w:hAnsi="Palatino Linotype"/>
          <w:sz w:val="24"/>
          <w:szCs w:val="24"/>
        </w:rPr>
        <w:t xml:space="preserve">In </w:t>
      </w:r>
      <w:r w:rsidR="00B126E0">
        <w:rPr>
          <w:rFonts w:ascii="Palatino Linotype" w:hAnsi="Palatino Linotype"/>
          <w:sz w:val="24"/>
          <w:szCs w:val="24"/>
        </w:rPr>
        <w:t xml:space="preserve">this decision, </w:t>
      </w:r>
      <w:r w:rsidR="00106B04">
        <w:rPr>
          <w:rFonts w:ascii="Palatino Linotype" w:hAnsi="Palatino Linotype"/>
          <w:sz w:val="24"/>
          <w:szCs w:val="24"/>
        </w:rPr>
        <w:t xml:space="preserve">SWG was approved to implement </w:t>
      </w:r>
      <w:r w:rsidRPr="0020234E" w:rsidR="0020234E">
        <w:rPr>
          <w:rFonts w:ascii="Palatino Linotype" w:hAnsi="Palatino Linotype"/>
          <w:sz w:val="24"/>
          <w:szCs w:val="24"/>
        </w:rPr>
        <w:t>Gas Conservation and Energy Efficiency Program</w:t>
      </w:r>
      <w:r w:rsidR="00106B04">
        <w:rPr>
          <w:rFonts w:ascii="Palatino Linotype" w:hAnsi="Palatino Linotype"/>
          <w:sz w:val="24"/>
          <w:szCs w:val="24"/>
        </w:rPr>
        <w:t>s</w:t>
      </w:r>
      <w:r w:rsidRPr="0020234E" w:rsidR="0020234E">
        <w:rPr>
          <w:rFonts w:ascii="Palatino Linotype" w:hAnsi="Palatino Linotype"/>
          <w:sz w:val="24"/>
          <w:szCs w:val="24"/>
        </w:rPr>
        <w:t xml:space="preserve"> with an</w:t>
      </w:r>
      <w:r w:rsidR="0020234E">
        <w:rPr>
          <w:rFonts w:ascii="Palatino Linotype" w:hAnsi="Palatino Linotype"/>
          <w:sz w:val="24"/>
          <w:szCs w:val="24"/>
        </w:rPr>
        <w:t xml:space="preserve"> </w:t>
      </w:r>
      <w:r w:rsidRPr="0020234E" w:rsidR="0020234E">
        <w:rPr>
          <w:rFonts w:ascii="Palatino Linotype" w:hAnsi="Palatino Linotype"/>
          <w:sz w:val="24"/>
          <w:szCs w:val="24"/>
        </w:rPr>
        <w:t>annual budget of $250,000 with the option to submit an advice letter to request</w:t>
      </w:r>
      <w:r w:rsidR="0020234E">
        <w:rPr>
          <w:rFonts w:ascii="Palatino Linotype" w:hAnsi="Palatino Linotype"/>
          <w:sz w:val="24"/>
          <w:szCs w:val="24"/>
        </w:rPr>
        <w:t xml:space="preserve"> </w:t>
      </w:r>
      <w:r w:rsidRPr="0020234E" w:rsidR="0020234E">
        <w:rPr>
          <w:rFonts w:ascii="Palatino Linotype" w:hAnsi="Palatino Linotype"/>
          <w:sz w:val="24"/>
          <w:szCs w:val="24"/>
        </w:rPr>
        <w:t>additional funding up to a maximum of $500,000 per year, beginning two years</w:t>
      </w:r>
      <w:r w:rsidR="0020234E">
        <w:rPr>
          <w:rFonts w:ascii="Palatino Linotype" w:hAnsi="Palatino Linotype"/>
          <w:sz w:val="24"/>
          <w:szCs w:val="24"/>
        </w:rPr>
        <w:t xml:space="preserve"> </w:t>
      </w:r>
      <w:r w:rsidRPr="0020234E" w:rsidR="0020234E">
        <w:rPr>
          <w:rFonts w:ascii="Palatino Linotype" w:hAnsi="Palatino Linotype"/>
          <w:sz w:val="24"/>
          <w:szCs w:val="24"/>
        </w:rPr>
        <w:t>after a Commission decision is issued in this proceeding</w:t>
      </w:r>
      <w:r w:rsidR="0020234E">
        <w:rPr>
          <w:rFonts w:ascii="Palatino Linotype" w:hAnsi="Palatino Linotype"/>
          <w:sz w:val="24"/>
          <w:szCs w:val="24"/>
        </w:rPr>
        <w:t>.</w:t>
      </w:r>
      <w:r w:rsidR="004E29F5">
        <w:rPr>
          <w:rFonts w:ascii="Palatino Linotype" w:hAnsi="Palatino Linotype"/>
          <w:sz w:val="24"/>
          <w:szCs w:val="24"/>
        </w:rPr>
        <w:t xml:space="preserve"> The decision also stated that such a request for additional funding must be submitted via Tier 3 AL. </w:t>
      </w:r>
    </w:p>
    <w:p w:rsidR="00F649DA" w:rsidP="00182AFB" w:rsidRDefault="00F649DA" w14:paraId="55CA3D57" w14:textId="77777777">
      <w:pPr>
        <w:rPr>
          <w:rFonts w:ascii="Palatino Linotype" w:hAnsi="Palatino Linotype"/>
          <w:sz w:val="24"/>
          <w:szCs w:val="24"/>
        </w:rPr>
      </w:pPr>
    </w:p>
    <w:p w:rsidRPr="00BF603D" w:rsidR="00182AFB" w:rsidP="002979F3" w:rsidRDefault="00182AFB" w14:paraId="445916AB" w14:textId="430CB7D1">
      <w:pPr>
        <w:rPr>
          <w:rFonts w:ascii="Palatino Linotype" w:hAnsi="Palatino Linotype"/>
          <w:sz w:val="24"/>
          <w:szCs w:val="24"/>
        </w:rPr>
      </w:pPr>
      <w:r w:rsidRPr="00BF603D">
        <w:rPr>
          <w:rFonts w:ascii="Palatino Linotype" w:hAnsi="Palatino Linotype"/>
          <w:sz w:val="24"/>
          <w:szCs w:val="24"/>
        </w:rPr>
        <w:t>On December 22, 2022, SWG filed Tier 3 AL</w:t>
      </w:r>
      <w:r w:rsidR="00C40F30">
        <w:rPr>
          <w:rFonts w:ascii="Palatino Linotype" w:hAnsi="Palatino Linotype"/>
          <w:sz w:val="24"/>
          <w:szCs w:val="24"/>
        </w:rPr>
        <w:t xml:space="preserve"> 1243</w:t>
      </w:r>
      <w:r w:rsidR="001300B0">
        <w:rPr>
          <w:rFonts w:ascii="Palatino Linotype" w:hAnsi="Palatino Linotype"/>
          <w:sz w:val="24"/>
          <w:szCs w:val="24"/>
        </w:rPr>
        <w:t>-G</w:t>
      </w:r>
      <w:r w:rsidRPr="00BF603D">
        <w:rPr>
          <w:rFonts w:ascii="Palatino Linotype" w:hAnsi="Palatino Linotype"/>
          <w:sz w:val="24"/>
          <w:szCs w:val="24"/>
        </w:rPr>
        <w:t xml:space="preserve"> requesting an increase in</w:t>
      </w:r>
      <w:r w:rsidR="004A3440">
        <w:rPr>
          <w:rFonts w:ascii="Palatino Linotype" w:hAnsi="Palatino Linotype"/>
          <w:sz w:val="24"/>
          <w:szCs w:val="24"/>
        </w:rPr>
        <w:t xml:space="preserve"> CEE program</w:t>
      </w:r>
      <w:r w:rsidRPr="00BF603D">
        <w:rPr>
          <w:rFonts w:ascii="Palatino Linotype" w:hAnsi="Palatino Linotype"/>
          <w:sz w:val="24"/>
          <w:szCs w:val="24"/>
        </w:rPr>
        <w:t xml:space="preserve"> funding to $500,000 per year for program years 2023 through 2025. </w:t>
      </w:r>
      <w:r w:rsidR="00F649DA">
        <w:rPr>
          <w:rFonts w:ascii="Palatino Linotype" w:hAnsi="Palatino Linotype"/>
          <w:sz w:val="24"/>
          <w:szCs w:val="24"/>
        </w:rPr>
        <w:t xml:space="preserve">Cal Advocates submitted </w:t>
      </w:r>
      <w:r w:rsidR="00C55174">
        <w:rPr>
          <w:rFonts w:ascii="Palatino Linotype" w:hAnsi="Palatino Linotype"/>
          <w:sz w:val="24"/>
          <w:szCs w:val="24"/>
        </w:rPr>
        <w:t xml:space="preserve">a </w:t>
      </w:r>
      <w:r w:rsidR="00F649DA">
        <w:rPr>
          <w:rFonts w:ascii="Palatino Linotype" w:hAnsi="Palatino Linotype"/>
          <w:sz w:val="24"/>
          <w:szCs w:val="24"/>
        </w:rPr>
        <w:t xml:space="preserve">late protest to this AL on </w:t>
      </w:r>
      <w:r w:rsidR="00357305">
        <w:rPr>
          <w:rFonts w:ascii="Palatino Linotype" w:hAnsi="Palatino Linotype"/>
          <w:sz w:val="24"/>
          <w:szCs w:val="24"/>
        </w:rPr>
        <w:t>January 18, 2023 stating</w:t>
      </w:r>
      <w:r w:rsidR="00F649DA">
        <w:rPr>
          <w:rFonts w:ascii="Palatino Linotype" w:hAnsi="Palatino Linotype"/>
          <w:sz w:val="24"/>
          <w:szCs w:val="24"/>
        </w:rPr>
        <w:t xml:space="preserve"> that </w:t>
      </w:r>
      <w:r w:rsidRPr="00F649DA" w:rsidR="00F649DA">
        <w:rPr>
          <w:rFonts w:ascii="Palatino Linotype" w:hAnsi="Palatino Linotype"/>
          <w:sz w:val="24"/>
          <w:szCs w:val="24"/>
        </w:rPr>
        <w:t>SWG fail</w:t>
      </w:r>
      <w:r w:rsidR="00F649DA">
        <w:rPr>
          <w:rFonts w:ascii="Palatino Linotype" w:hAnsi="Palatino Linotype"/>
          <w:sz w:val="24"/>
          <w:szCs w:val="24"/>
        </w:rPr>
        <w:t>ed</w:t>
      </w:r>
      <w:r w:rsidRPr="00F649DA" w:rsidR="00F649DA">
        <w:rPr>
          <w:rFonts w:ascii="Palatino Linotype" w:hAnsi="Palatino Linotype"/>
          <w:sz w:val="24"/>
          <w:szCs w:val="24"/>
        </w:rPr>
        <w:t xml:space="preserve"> to demonstrate demand for existing and new rebate programs</w:t>
      </w:r>
      <w:r w:rsidR="00F649DA">
        <w:rPr>
          <w:rFonts w:ascii="Palatino Linotype" w:hAnsi="Palatino Linotype"/>
          <w:sz w:val="24"/>
          <w:szCs w:val="24"/>
        </w:rPr>
        <w:t>,</w:t>
      </w:r>
      <w:r w:rsidR="00357305">
        <w:rPr>
          <w:rFonts w:ascii="Palatino Linotype" w:hAnsi="Palatino Linotype"/>
          <w:sz w:val="24"/>
          <w:szCs w:val="24"/>
        </w:rPr>
        <w:t xml:space="preserve"> SWG</w:t>
      </w:r>
      <w:r w:rsidR="00F649DA">
        <w:rPr>
          <w:rFonts w:ascii="Palatino Linotype" w:hAnsi="Palatino Linotype"/>
          <w:sz w:val="24"/>
          <w:szCs w:val="24"/>
        </w:rPr>
        <w:t xml:space="preserve"> </w:t>
      </w:r>
      <w:r w:rsidRPr="00F649DA" w:rsidR="00F649DA">
        <w:rPr>
          <w:rFonts w:ascii="Palatino Linotype" w:hAnsi="Palatino Linotype"/>
          <w:sz w:val="24"/>
          <w:szCs w:val="24"/>
        </w:rPr>
        <w:t>fail</w:t>
      </w:r>
      <w:r w:rsidR="00F649DA">
        <w:rPr>
          <w:rFonts w:ascii="Palatino Linotype" w:hAnsi="Palatino Linotype"/>
          <w:sz w:val="24"/>
          <w:szCs w:val="24"/>
        </w:rPr>
        <w:t>ed</w:t>
      </w:r>
      <w:r w:rsidRPr="00F649DA" w:rsidR="00F649DA">
        <w:rPr>
          <w:rFonts w:ascii="Palatino Linotype" w:hAnsi="Palatino Linotype"/>
          <w:sz w:val="24"/>
          <w:szCs w:val="24"/>
        </w:rPr>
        <w:t xml:space="preserve"> to provide sufficient evidence for the proposed increase from $250,000 to $500,000 per year</w:t>
      </w:r>
      <w:r w:rsidR="00F649DA">
        <w:rPr>
          <w:rFonts w:ascii="Palatino Linotype" w:hAnsi="Palatino Linotype"/>
          <w:sz w:val="24"/>
          <w:szCs w:val="24"/>
        </w:rPr>
        <w:t xml:space="preserve">, and </w:t>
      </w:r>
      <w:r w:rsidR="00357305">
        <w:rPr>
          <w:rFonts w:ascii="Palatino Linotype" w:hAnsi="Palatino Linotype"/>
          <w:sz w:val="24"/>
          <w:szCs w:val="24"/>
        </w:rPr>
        <w:t xml:space="preserve">SWG </w:t>
      </w:r>
      <w:r w:rsidR="00F649DA">
        <w:rPr>
          <w:rFonts w:ascii="Palatino Linotype" w:hAnsi="Palatino Linotype"/>
          <w:sz w:val="24"/>
          <w:szCs w:val="24"/>
        </w:rPr>
        <w:t xml:space="preserve">failed </w:t>
      </w:r>
      <w:r w:rsidRPr="00F649DA" w:rsidR="00F649DA">
        <w:rPr>
          <w:rFonts w:ascii="Palatino Linotype" w:hAnsi="Palatino Linotype"/>
          <w:sz w:val="24"/>
          <w:szCs w:val="24"/>
        </w:rPr>
        <w:t>to demonstrate that the proposed forecast methodology used to calculate the $500,000 is the most appropriate forecasting methodology.</w:t>
      </w:r>
      <w:r w:rsidR="00F649DA">
        <w:rPr>
          <w:rFonts w:ascii="Palatino Linotype" w:hAnsi="Palatino Linotype"/>
          <w:sz w:val="24"/>
          <w:szCs w:val="24"/>
        </w:rPr>
        <w:t xml:space="preserve"> SWG replied to </w:t>
      </w:r>
      <w:r w:rsidR="004E4399">
        <w:rPr>
          <w:rFonts w:ascii="Palatino Linotype" w:hAnsi="Palatino Linotype"/>
          <w:sz w:val="24"/>
          <w:szCs w:val="24"/>
        </w:rPr>
        <w:t xml:space="preserve">the </w:t>
      </w:r>
      <w:r w:rsidR="00FE4B6D">
        <w:rPr>
          <w:rFonts w:ascii="Palatino Linotype" w:hAnsi="Palatino Linotype"/>
          <w:sz w:val="24"/>
          <w:szCs w:val="24"/>
        </w:rPr>
        <w:t xml:space="preserve">Cal Advocates </w:t>
      </w:r>
      <w:r w:rsidR="00357305">
        <w:rPr>
          <w:rFonts w:ascii="Palatino Linotype" w:hAnsi="Palatino Linotype"/>
          <w:sz w:val="24"/>
          <w:szCs w:val="24"/>
        </w:rPr>
        <w:t xml:space="preserve">protest on </w:t>
      </w:r>
      <w:r w:rsidR="001307CD">
        <w:rPr>
          <w:rFonts w:ascii="Palatino Linotype" w:hAnsi="Palatino Linotype"/>
          <w:sz w:val="24"/>
          <w:szCs w:val="24"/>
        </w:rPr>
        <w:t xml:space="preserve">January 25, 2023 by providing additional documentation on </w:t>
      </w:r>
      <w:r w:rsidR="00195279">
        <w:rPr>
          <w:rFonts w:ascii="Palatino Linotype" w:hAnsi="Palatino Linotype"/>
          <w:sz w:val="24"/>
          <w:szCs w:val="24"/>
        </w:rPr>
        <w:t>E</w:t>
      </w:r>
      <w:r w:rsidR="001307CD">
        <w:rPr>
          <w:rFonts w:ascii="Palatino Linotype" w:hAnsi="Palatino Linotype"/>
          <w:sz w:val="24"/>
          <w:szCs w:val="24"/>
        </w:rPr>
        <w:t xml:space="preserve">nergy </w:t>
      </w:r>
      <w:r w:rsidR="00195279">
        <w:rPr>
          <w:rFonts w:ascii="Palatino Linotype" w:hAnsi="Palatino Linotype"/>
          <w:sz w:val="24"/>
          <w:szCs w:val="24"/>
        </w:rPr>
        <w:t>E</w:t>
      </w:r>
      <w:r w:rsidR="001307CD">
        <w:rPr>
          <w:rFonts w:ascii="Palatino Linotype" w:hAnsi="Palatino Linotype"/>
          <w:sz w:val="24"/>
          <w:szCs w:val="24"/>
        </w:rPr>
        <w:t xml:space="preserve">fficiency </w:t>
      </w:r>
      <w:r w:rsidR="00195279">
        <w:rPr>
          <w:rFonts w:ascii="Palatino Linotype" w:hAnsi="Palatino Linotype"/>
          <w:sz w:val="24"/>
          <w:szCs w:val="24"/>
        </w:rPr>
        <w:t xml:space="preserve">(EE) </w:t>
      </w:r>
      <w:r w:rsidR="001307CD">
        <w:rPr>
          <w:rFonts w:ascii="Palatino Linotype" w:hAnsi="Palatino Linotype"/>
          <w:sz w:val="24"/>
          <w:szCs w:val="24"/>
        </w:rPr>
        <w:t xml:space="preserve">program demand and why the full $500,000 annual budget is appropriate. </w:t>
      </w:r>
      <w:r w:rsidR="003A6A40">
        <w:rPr>
          <w:rFonts w:ascii="Palatino Linotype" w:hAnsi="Palatino Linotype"/>
          <w:sz w:val="24"/>
          <w:szCs w:val="24"/>
        </w:rPr>
        <w:t xml:space="preserve">SWG also offered an alternative funding </w:t>
      </w:r>
      <w:r w:rsidR="0067136B">
        <w:rPr>
          <w:rFonts w:ascii="Palatino Linotype" w:hAnsi="Palatino Linotype"/>
          <w:sz w:val="24"/>
          <w:szCs w:val="24"/>
        </w:rPr>
        <w:t xml:space="preserve">approach using the </w:t>
      </w:r>
      <w:r w:rsidRPr="0067136B" w:rsidR="0067136B">
        <w:rPr>
          <w:rFonts w:ascii="Palatino Linotype" w:hAnsi="Palatino Linotype"/>
          <w:sz w:val="24"/>
          <w:szCs w:val="24"/>
        </w:rPr>
        <w:t>Conservation and Energy Efficiency Balancing Account (CEEBA)</w:t>
      </w:r>
      <w:r w:rsidR="003C62EC">
        <w:rPr>
          <w:rFonts w:ascii="Palatino Linotype" w:hAnsi="Palatino Linotype"/>
          <w:sz w:val="24"/>
          <w:szCs w:val="24"/>
        </w:rPr>
        <w:t xml:space="preserve"> </w:t>
      </w:r>
      <w:r w:rsidR="002979F3">
        <w:rPr>
          <w:rFonts w:ascii="Palatino Linotype" w:hAnsi="Palatino Linotype"/>
          <w:sz w:val="24"/>
          <w:szCs w:val="24"/>
        </w:rPr>
        <w:t>for any</w:t>
      </w:r>
      <w:r w:rsidRPr="002979F3" w:rsidR="002979F3">
        <w:rPr>
          <w:rFonts w:ascii="Palatino Linotype" w:hAnsi="Palatino Linotype"/>
          <w:sz w:val="24"/>
          <w:szCs w:val="24"/>
        </w:rPr>
        <w:t xml:space="preserve"> amount spent above $250,000, up to $500,000</w:t>
      </w:r>
      <w:r w:rsidR="00E5637A">
        <w:rPr>
          <w:rFonts w:ascii="Palatino Linotype" w:hAnsi="Palatino Linotype"/>
          <w:sz w:val="24"/>
          <w:szCs w:val="24"/>
        </w:rPr>
        <w:t>,</w:t>
      </w:r>
      <w:r w:rsidRPr="002979F3" w:rsidR="002979F3">
        <w:rPr>
          <w:rFonts w:ascii="Palatino Linotype" w:hAnsi="Palatino Linotype"/>
          <w:sz w:val="24"/>
          <w:szCs w:val="24"/>
        </w:rPr>
        <w:t xml:space="preserve"> </w:t>
      </w:r>
      <w:r w:rsidR="002979F3">
        <w:rPr>
          <w:rFonts w:ascii="Palatino Linotype" w:hAnsi="Palatino Linotype"/>
          <w:sz w:val="24"/>
          <w:szCs w:val="24"/>
        </w:rPr>
        <w:t xml:space="preserve">that </w:t>
      </w:r>
      <w:r w:rsidRPr="002979F3" w:rsidR="002979F3">
        <w:rPr>
          <w:rFonts w:ascii="Palatino Linotype" w:hAnsi="Palatino Linotype"/>
          <w:sz w:val="24"/>
          <w:szCs w:val="24"/>
        </w:rPr>
        <w:t>will be recorded in the</w:t>
      </w:r>
      <w:r w:rsidR="00E43714">
        <w:rPr>
          <w:rFonts w:ascii="Palatino Linotype" w:hAnsi="Palatino Linotype"/>
          <w:sz w:val="24"/>
          <w:szCs w:val="24"/>
        </w:rPr>
        <w:t xml:space="preserve"> </w:t>
      </w:r>
      <w:r w:rsidRPr="002979F3" w:rsidR="002979F3">
        <w:rPr>
          <w:rFonts w:ascii="Palatino Linotype" w:hAnsi="Palatino Linotype"/>
          <w:sz w:val="24"/>
          <w:szCs w:val="24"/>
        </w:rPr>
        <w:t>CEEBA and recovered from customers the year after it is spent</w:t>
      </w:r>
      <w:r w:rsidR="002979F3">
        <w:rPr>
          <w:rFonts w:ascii="Palatino Linotype" w:hAnsi="Palatino Linotype"/>
          <w:sz w:val="24"/>
          <w:szCs w:val="24"/>
        </w:rPr>
        <w:t>.</w:t>
      </w:r>
    </w:p>
    <w:p w:rsidR="00182AFB" w:rsidP="0020234E" w:rsidRDefault="00182AFB" w14:paraId="12F4D8CF" w14:textId="77777777">
      <w:pPr>
        <w:rPr>
          <w:rFonts w:ascii="Palatino Linotype" w:hAnsi="Palatino Linotype"/>
          <w:sz w:val="24"/>
          <w:szCs w:val="24"/>
        </w:rPr>
      </w:pPr>
    </w:p>
    <w:p w:rsidR="00463637" w:rsidP="00463637" w:rsidRDefault="001307CD" w14:paraId="50CF3022" w14:textId="4E008136">
      <w:pPr>
        <w:rPr>
          <w:rFonts w:ascii="Palatino Linotype" w:hAnsi="Palatino Linotype"/>
          <w:sz w:val="24"/>
          <w:szCs w:val="24"/>
        </w:rPr>
      </w:pPr>
      <w:r>
        <w:rPr>
          <w:rFonts w:ascii="Palatino Linotype" w:hAnsi="Palatino Linotype"/>
          <w:sz w:val="24"/>
          <w:szCs w:val="24"/>
        </w:rPr>
        <w:t xml:space="preserve">This resolution approves SWG Tier 3 AL </w:t>
      </w:r>
      <w:r w:rsidR="001300B0">
        <w:rPr>
          <w:rFonts w:ascii="Palatino Linotype" w:hAnsi="Palatino Linotype"/>
          <w:sz w:val="24"/>
          <w:szCs w:val="24"/>
        </w:rPr>
        <w:t xml:space="preserve">1243-G </w:t>
      </w:r>
      <w:r>
        <w:rPr>
          <w:rFonts w:ascii="Palatino Linotype" w:hAnsi="Palatino Linotype"/>
          <w:sz w:val="24"/>
          <w:szCs w:val="24"/>
        </w:rPr>
        <w:t xml:space="preserve">per the guidelines and requirements in </w:t>
      </w:r>
      <w:r w:rsidRPr="001307CD">
        <w:rPr>
          <w:rFonts w:ascii="Palatino Linotype" w:hAnsi="Palatino Linotype"/>
          <w:sz w:val="24"/>
          <w:szCs w:val="24"/>
        </w:rPr>
        <w:t>D.21-03-052</w:t>
      </w:r>
      <w:r>
        <w:rPr>
          <w:rFonts w:ascii="Palatino Linotype" w:hAnsi="Palatino Linotype"/>
          <w:sz w:val="24"/>
          <w:szCs w:val="24"/>
        </w:rPr>
        <w:t xml:space="preserve">. </w:t>
      </w:r>
      <w:r w:rsidRPr="000C06E4" w:rsidR="00463637">
        <w:rPr>
          <w:rFonts w:ascii="Palatino Linotype" w:hAnsi="Palatino Linotype"/>
          <w:sz w:val="24"/>
          <w:szCs w:val="24"/>
        </w:rPr>
        <w:t xml:space="preserve">SWG’s timing of this funding request, the use of a Tier 3 AL and </w:t>
      </w:r>
      <w:r w:rsidR="00463637">
        <w:rPr>
          <w:rFonts w:ascii="Palatino Linotype" w:hAnsi="Palatino Linotype"/>
          <w:sz w:val="24"/>
          <w:szCs w:val="24"/>
        </w:rPr>
        <w:t>the amount requested are all</w:t>
      </w:r>
      <w:r w:rsidRPr="000C06E4" w:rsidR="00463637">
        <w:rPr>
          <w:rFonts w:ascii="Palatino Linotype" w:hAnsi="Palatino Linotype"/>
          <w:sz w:val="24"/>
          <w:szCs w:val="24"/>
        </w:rPr>
        <w:t xml:space="preserve"> complian</w:t>
      </w:r>
      <w:r w:rsidR="009D0CEE">
        <w:rPr>
          <w:rFonts w:ascii="Palatino Linotype" w:hAnsi="Palatino Linotype"/>
          <w:sz w:val="24"/>
          <w:szCs w:val="24"/>
        </w:rPr>
        <w:t>t</w:t>
      </w:r>
      <w:r w:rsidRPr="000C06E4" w:rsidR="00463637">
        <w:rPr>
          <w:rFonts w:ascii="Palatino Linotype" w:hAnsi="Palatino Linotype"/>
          <w:sz w:val="24"/>
          <w:szCs w:val="24"/>
        </w:rPr>
        <w:t xml:space="preserve"> </w:t>
      </w:r>
      <w:r w:rsidR="00A7615B">
        <w:rPr>
          <w:rFonts w:ascii="Palatino Linotype" w:hAnsi="Palatino Linotype"/>
          <w:sz w:val="24"/>
          <w:szCs w:val="24"/>
        </w:rPr>
        <w:t>with</w:t>
      </w:r>
      <w:r w:rsidRPr="000C06E4" w:rsidR="00A7615B">
        <w:rPr>
          <w:rFonts w:ascii="Palatino Linotype" w:hAnsi="Palatino Linotype"/>
          <w:sz w:val="24"/>
          <w:szCs w:val="24"/>
        </w:rPr>
        <w:t xml:space="preserve"> </w:t>
      </w:r>
      <w:r w:rsidRPr="000C06E4" w:rsidR="00463637">
        <w:rPr>
          <w:rFonts w:ascii="Palatino Linotype" w:hAnsi="Palatino Linotype"/>
          <w:sz w:val="24"/>
          <w:szCs w:val="24"/>
        </w:rPr>
        <w:t xml:space="preserve">the Settlement Agreement </w:t>
      </w:r>
      <w:r w:rsidR="0016184D">
        <w:rPr>
          <w:rFonts w:ascii="Palatino Linotype" w:hAnsi="Palatino Linotype"/>
          <w:sz w:val="24"/>
          <w:szCs w:val="24"/>
        </w:rPr>
        <w:t xml:space="preserve">approved </w:t>
      </w:r>
      <w:r w:rsidRPr="000C06E4" w:rsidR="00463637">
        <w:rPr>
          <w:rFonts w:ascii="Palatino Linotype" w:hAnsi="Palatino Linotype"/>
          <w:sz w:val="24"/>
          <w:szCs w:val="24"/>
        </w:rPr>
        <w:t xml:space="preserve">in </w:t>
      </w:r>
      <w:r w:rsidR="00452C43">
        <w:rPr>
          <w:rFonts w:ascii="Palatino Linotype" w:hAnsi="Palatino Linotype"/>
          <w:sz w:val="24"/>
          <w:szCs w:val="24"/>
        </w:rPr>
        <w:br/>
      </w:r>
      <w:r w:rsidRPr="000C06E4" w:rsidR="00463637">
        <w:rPr>
          <w:rFonts w:ascii="Palatino Linotype" w:hAnsi="Palatino Linotype"/>
          <w:sz w:val="24"/>
          <w:szCs w:val="24"/>
        </w:rPr>
        <w:t xml:space="preserve">D.21-03-052. </w:t>
      </w:r>
      <w:r w:rsidR="00463637">
        <w:rPr>
          <w:rFonts w:ascii="Palatino Linotype" w:hAnsi="Palatino Linotype"/>
          <w:sz w:val="24"/>
          <w:szCs w:val="24"/>
        </w:rPr>
        <w:t xml:space="preserve">Further, SWG has demonstrated that this request for additional budget is reasonable and justified due to the demand for these new, approved programs and the expenditures needed for the existing EE programs. </w:t>
      </w:r>
      <w:r w:rsidRPr="000C06E4" w:rsidR="00463637">
        <w:rPr>
          <w:rFonts w:ascii="Palatino Linotype" w:hAnsi="Palatino Linotype"/>
          <w:sz w:val="24"/>
          <w:szCs w:val="24"/>
        </w:rPr>
        <w:t>As such, SWG</w:t>
      </w:r>
      <w:r w:rsidR="00C67915">
        <w:rPr>
          <w:rFonts w:ascii="Palatino Linotype" w:hAnsi="Palatino Linotype"/>
          <w:sz w:val="24"/>
          <w:szCs w:val="24"/>
        </w:rPr>
        <w:t>’s</w:t>
      </w:r>
      <w:r w:rsidRPr="000C06E4" w:rsidR="00463637">
        <w:rPr>
          <w:rFonts w:ascii="Palatino Linotype" w:hAnsi="Palatino Linotype"/>
          <w:sz w:val="24"/>
          <w:szCs w:val="24"/>
        </w:rPr>
        <w:t xml:space="preserve"> CEE Program budget</w:t>
      </w:r>
      <w:r w:rsidR="00463637">
        <w:rPr>
          <w:rFonts w:ascii="Palatino Linotype" w:hAnsi="Palatino Linotype"/>
          <w:sz w:val="24"/>
          <w:szCs w:val="24"/>
        </w:rPr>
        <w:t xml:space="preserve"> request</w:t>
      </w:r>
      <w:r w:rsidRPr="000C06E4" w:rsidR="00463637">
        <w:rPr>
          <w:rFonts w:ascii="Palatino Linotype" w:hAnsi="Palatino Linotype"/>
          <w:sz w:val="24"/>
          <w:szCs w:val="24"/>
        </w:rPr>
        <w:t xml:space="preserve"> is </w:t>
      </w:r>
      <w:r w:rsidR="00463637">
        <w:rPr>
          <w:rFonts w:ascii="Palatino Linotype" w:hAnsi="Palatino Linotype"/>
          <w:sz w:val="24"/>
          <w:szCs w:val="24"/>
        </w:rPr>
        <w:t>approved</w:t>
      </w:r>
      <w:r w:rsidRPr="000C06E4" w:rsidR="00463637">
        <w:rPr>
          <w:rFonts w:ascii="Palatino Linotype" w:hAnsi="Palatino Linotype"/>
          <w:sz w:val="24"/>
          <w:szCs w:val="24"/>
        </w:rPr>
        <w:t xml:space="preserve"> for the amount of $500,000 per year effective January 1, 2023 through December 31, 2025. </w:t>
      </w:r>
      <w:r w:rsidRPr="00197A1E" w:rsidR="00463637">
        <w:rPr>
          <w:rFonts w:ascii="Palatino Linotype" w:hAnsi="Palatino Linotype"/>
          <w:sz w:val="24"/>
          <w:szCs w:val="24"/>
        </w:rPr>
        <w:t xml:space="preserve">These funds </w:t>
      </w:r>
      <w:r w:rsidR="00463637">
        <w:rPr>
          <w:rFonts w:ascii="Palatino Linotype" w:hAnsi="Palatino Linotype"/>
          <w:sz w:val="24"/>
          <w:szCs w:val="24"/>
        </w:rPr>
        <w:t>will be collected as part of the</w:t>
      </w:r>
      <w:r w:rsidRPr="00197A1E" w:rsidR="00463637">
        <w:rPr>
          <w:rFonts w:ascii="Palatino Linotype" w:hAnsi="Palatino Linotype"/>
          <w:sz w:val="24"/>
          <w:szCs w:val="24"/>
        </w:rPr>
        <w:t xml:space="preserve"> CEEBA component of the Public Purpose Program Surcharge</w:t>
      </w:r>
      <w:r w:rsidR="00463637">
        <w:rPr>
          <w:rFonts w:ascii="Palatino Linotype" w:hAnsi="Palatino Linotype"/>
          <w:sz w:val="24"/>
          <w:szCs w:val="24"/>
        </w:rPr>
        <w:t xml:space="preserve">. All unspent, uncommitted CEE program funds must be </w:t>
      </w:r>
      <w:r w:rsidR="003223B4">
        <w:rPr>
          <w:rFonts w:ascii="Palatino Linotype" w:hAnsi="Palatino Linotype"/>
          <w:sz w:val="24"/>
          <w:szCs w:val="24"/>
        </w:rPr>
        <w:t>used to offset collection in future year</w:t>
      </w:r>
      <w:r w:rsidR="004B09C4">
        <w:rPr>
          <w:rFonts w:ascii="Palatino Linotype" w:hAnsi="Palatino Linotype"/>
          <w:sz w:val="24"/>
          <w:szCs w:val="24"/>
        </w:rPr>
        <w:t>s</w:t>
      </w:r>
      <w:r w:rsidR="00B76DEF">
        <w:rPr>
          <w:rFonts w:ascii="Palatino Linotype" w:hAnsi="Palatino Linotype"/>
          <w:sz w:val="24"/>
          <w:szCs w:val="24"/>
        </w:rPr>
        <w:t xml:space="preserve">, </w:t>
      </w:r>
      <w:r w:rsidR="00877F88">
        <w:rPr>
          <w:rFonts w:ascii="Palatino Linotype" w:hAnsi="Palatino Linotype"/>
          <w:sz w:val="24"/>
          <w:szCs w:val="24"/>
        </w:rPr>
        <w:t xml:space="preserve">or otherwise returned </w:t>
      </w:r>
      <w:r w:rsidR="00463637">
        <w:rPr>
          <w:rFonts w:ascii="Palatino Linotype" w:hAnsi="Palatino Linotype"/>
          <w:sz w:val="24"/>
          <w:szCs w:val="24"/>
        </w:rPr>
        <w:t xml:space="preserve">to ratepayers </w:t>
      </w:r>
      <w:r w:rsidR="00877F88">
        <w:rPr>
          <w:rFonts w:ascii="Palatino Linotype" w:hAnsi="Palatino Linotype"/>
          <w:sz w:val="24"/>
          <w:szCs w:val="24"/>
        </w:rPr>
        <w:t>via</w:t>
      </w:r>
      <w:r w:rsidR="00463637">
        <w:rPr>
          <w:rFonts w:ascii="Palatino Linotype" w:hAnsi="Palatino Linotype"/>
          <w:sz w:val="24"/>
          <w:szCs w:val="24"/>
        </w:rPr>
        <w:t xml:space="preserve"> the </w:t>
      </w:r>
      <w:r w:rsidR="00865C4A">
        <w:rPr>
          <w:rFonts w:ascii="Palatino Linotype" w:hAnsi="Palatino Linotype"/>
          <w:sz w:val="24"/>
          <w:szCs w:val="24"/>
        </w:rPr>
        <w:t xml:space="preserve">annual </w:t>
      </w:r>
      <w:r w:rsidRPr="00375C6C" w:rsidR="00375C6C">
        <w:rPr>
          <w:rFonts w:ascii="Palatino Linotype" w:hAnsi="Palatino Linotype"/>
          <w:sz w:val="24"/>
          <w:szCs w:val="24"/>
        </w:rPr>
        <w:t>rate change implementation</w:t>
      </w:r>
      <w:r w:rsidR="00865C4A">
        <w:rPr>
          <w:rFonts w:ascii="Palatino Linotype" w:hAnsi="Palatino Linotype"/>
          <w:sz w:val="24"/>
          <w:szCs w:val="24"/>
        </w:rPr>
        <w:t>, or “true-up”</w:t>
      </w:r>
      <w:r w:rsidR="007B2029">
        <w:rPr>
          <w:rFonts w:ascii="Palatino Linotype" w:hAnsi="Palatino Linotype"/>
          <w:sz w:val="24"/>
          <w:szCs w:val="24"/>
        </w:rPr>
        <w:t>,</w:t>
      </w:r>
      <w:r w:rsidRPr="00375C6C" w:rsidR="00375C6C">
        <w:rPr>
          <w:rFonts w:ascii="Palatino Linotype" w:hAnsi="Palatino Linotype"/>
          <w:sz w:val="24"/>
          <w:szCs w:val="24"/>
        </w:rPr>
        <w:t xml:space="preserve"> advice letter</w:t>
      </w:r>
      <w:r w:rsidR="00865C4A">
        <w:rPr>
          <w:rFonts w:ascii="Palatino Linotype" w:hAnsi="Palatino Linotype"/>
          <w:sz w:val="24"/>
          <w:szCs w:val="24"/>
        </w:rPr>
        <w:t xml:space="preserve"> process</w:t>
      </w:r>
      <w:r w:rsidR="00881BE9">
        <w:rPr>
          <w:rFonts w:ascii="Palatino Linotype" w:hAnsi="Palatino Linotype"/>
          <w:sz w:val="24"/>
          <w:szCs w:val="24"/>
        </w:rPr>
        <w:t>.</w:t>
      </w:r>
    </w:p>
    <w:p w:rsidR="00C67915" w:rsidP="00463637" w:rsidRDefault="00C67915" w14:paraId="1BB1E5E9" w14:textId="77777777">
      <w:pPr>
        <w:rPr>
          <w:rFonts w:ascii="Palatino Linotype" w:hAnsi="Palatino Linotype"/>
          <w:sz w:val="24"/>
          <w:szCs w:val="24"/>
        </w:rPr>
      </w:pPr>
    </w:p>
    <w:p w:rsidRPr="00D865A9" w:rsidR="00CF17DE" w:rsidRDefault="00CF17DE" w14:paraId="0BFDDE4C" w14:textId="77777777">
      <w:pPr>
        <w:pStyle w:val="Heading1"/>
        <w:rPr>
          <w:rFonts w:ascii="Palatino Linotype" w:hAnsi="Palatino Linotype"/>
          <w:sz w:val="24"/>
          <w:szCs w:val="24"/>
        </w:rPr>
      </w:pPr>
      <w:r w:rsidRPr="00D865A9">
        <w:rPr>
          <w:rFonts w:ascii="Palatino Linotype" w:hAnsi="Palatino Linotype"/>
          <w:sz w:val="24"/>
          <w:szCs w:val="24"/>
        </w:rPr>
        <w:lastRenderedPageBreak/>
        <w:t>Background</w:t>
      </w:r>
    </w:p>
    <w:p w:rsidR="00D002AC" w:rsidRDefault="00D002AC" w14:paraId="7DB2F2D6" w14:textId="5AC6D713">
      <w:pPr>
        <w:rPr>
          <w:rFonts w:ascii="Palatino Linotype" w:hAnsi="Palatino Linotype"/>
          <w:sz w:val="24"/>
          <w:szCs w:val="24"/>
        </w:rPr>
      </w:pPr>
      <w:r w:rsidRPr="001E4AD8">
        <w:rPr>
          <w:rFonts w:ascii="Palatino Linotype" w:hAnsi="Palatino Linotype"/>
          <w:sz w:val="24"/>
          <w:szCs w:val="24"/>
        </w:rPr>
        <w:t>On March 2</w:t>
      </w:r>
      <w:r w:rsidR="0015093C">
        <w:rPr>
          <w:rFonts w:ascii="Palatino Linotype" w:hAnsi="Palatino Linotype"/>
          <w:sz w:val="24"/>
          <w:szCs w:val="24"/>
        </w:rPr>
        <w:t>5</w:t>
      </w:r>
      <w:r w:rsidRPr="001E4AD8">
        <w:rPr>
          <w:rFonts w:ascii="Palatino Linotype" w:hAnsi="Palatino Linotype"/>
          <w:sz w:val="24"/>
          <w:szCs w:val="24"/>
        </w:rPr>
        <w:t>, 2021, the Commission approved Decision (D.) 21-03-052 adopting the Settlement Agreement in Southwest Gas’</w:t>
      </w:r>
      <w:r w:rsidR="001659B7">
        <w:rPr>
          <w:rFonts w:ascii="Palatino Linotype" w:hAnsi="Palatino Linotype"/>
          <w:sz w:val="24"/>
          <w:szCs w:val="24"/>
        </w:rPr>
        <w:t>s</w:t>
      </w:r>
      <w:r w:rsidRPr="001E4AD8">
        <w:rPr>
          <w:rFonts w:ascii="Palatino Linotype" w:hAnsi="Palatino Linotype"/>
          <w:sz w:val="24"/>
          <w:szCs w:val="24"/>
        </w:rPr>
        <w:t xml:space="preserve"> Test Year (TY) 2021 General Rate Case</w:t>
      </w:r>
      <w:r w:rsidR="00085243">
        <w:rPr>
          <w:rFonts w:ascii="Palatino Linotype" w:hAnsi="Palatino Linotype"/>
          <w:sz w:val="24"/>
          <w:szCs w:val="24"/>
        </w:rPr>
        <w:t xml:space="preserve"> (GRC)</w:t>
      </w:r>
      <w:r w:rsidRPr="001E4AD8">
        <w:rPr>
          <w:rFonts w:ascii="Palatino Linotype" w:hAnsi="Palatino Linotype"/>
          <w:sz w:val="24"/>
          <w:szCs w:val="24"/>
        </w:rPr>
        <w:t>, Application (A.) 19-08-015, including post-TYs 2022 through 2025. D.21-03-052 approved Southwest Gas’</w:t>
      </w:r>
      <w:r w:rsidR="00FB7CC9">
        <w:rPr>
          <w:rFonts w:ascii="Palatino Linotype" w:hAnsi="Palatino Linotype"/>
          <w:sz w:val="24"/>
          <w:szCs w:val="24"/>
        </w:rPr>
        <w:t>s</w:t>
      </w:r>
      <w:r w:rsidRPr="001E4AD8">
        <w:rPr>
          <w:rFonts w:ascii="Palatino Linotype" w:hAnsi="Palatino Linotype"/>
          <w:sz w:val="24"/>
          <w:szCs w:val="24"/>
        </w:rPr>
        <w:t xml:space="preserve"> CEE </w:t>
      </w:r>
      <w:r w:rsidR="00A50480">
        <w:rPr>
          <w:rFonts w:ascii="Palatino Linotype" w:hAnsi="Palatino Linotype"/>
          <w:sz w:val="24"/>
          <w:szCs w:val="24"/>
        </w:rPr>
        <w:t>P</w:t>
      </w:r>
      <w:r w:rsidRPr="001E4AD8">
        <w:rPr>
          <w:rFonts w:ascii="Palatino Linotype" w:hAnsi="Palatino Linotype"/>
          <w:sz w:val="24"/>
          <w:szCs w:val="24"/>
        </w:rPr>
        <w:t>rogram portfolio for program years (PY) 2021-2025 that continued its Residential and Commercial Equipment Rebate Programs and authorized the Company to implement three new programs</w:t>
      </w:r>
      <w:r w:rsidR="00B3376A">
        <w:rPr>
          <w:rFonts w:ascii="Palatino Linotype" w:hAnsi="Palatino Linotype"/>
          <w:sz w:val="24"/>
          <w:szCs w:val="24"/>
        </w:rPr>
        <w:t>:</w:t>
      </w:r>
      <w:r w:rsidRPr="001E4AD8">
        <w:rPr>
          <w:rFonts w:ascii="Palatino Linotype" w:hAnsi="Palatino Linotype"/>
          <w:sz w:val="24"/>
          <w:szCs w:val="24"/>
        </w:rPr>
        <w:t xml:space="preserve"> 1) Residential Equipment Direct-Install (RED); 2) New Home Rebates; and 3) Solar Thermal Rebates. </w:t>
      </w:r>
    </w:p>
    <w:p w:rsidR="00C7418A" w:rsidRDefault="00C7418A" w14:paraId="5579B438" w14:textId="77777777">
      <w:pPr>
        <w:rPr>
          <w:rFonts w:ascii="Palatino Linotype" w:hAnsi="Palatino Linotype"/>
          <w:sz w:val="24"/>
          <w:szCs w:val="24"/>
        </w:rPr>
      </w:pPr>
    </w:p>
    <w:p w:rsidRPr="001E4AD8" w:rsidR="00C7418A" w:rsidRDefault="00C7418A" w14:paraId="5CDBE673" w14:textId="6DC7A1BE">
      <w:pPr>
        <w:rPr>
          <w:rFonts w:ascii="Palatino Linotype" w:hAnsi="Palatino Linotype"/>
          <w:sz w:val="24"/>
          <w:szCs w:val="24"/>
        </w:rPr>
      </w:pPr>
      <w:r>
        <w:rPr>
          <w:rFonts w:ascii="Palatino Linotype" w:hAnsi="Palatino Linotype"/>
          <w:sz w:val="24"/>
          <w:szCs w:val="24"/>
        </w:rPr>
        <w:t xml:space="preserve">Unlike the large </w:t>
      </w:r>
      <w:r w:rsidR="005A5D44">
        <w:rPr>
          <w:rFonts w:ascii="Palatino Linotype" w:hAnsi="Palatino Linotype"/>
          <w:sz w:val="24"/>
          <w:szCs w:val="24"/>
        </w:rPr>
        <w:t>Investor</w:t>
      </w:r>
      <w:r w:rsidR="00085243">
        <w:rPr>
          <w:rFonts w:ascii="Palatino Linotype" w:hAnsi="Palatino Linotype"/>
          <w:sz w:val="24"/>
          <w:szCs w:val="24"/>
        </w:rPr>
        <w:t>-</w:t>
      </w:r>
      <w:r w:rsidR="005A5D44">
        <w:rPr>
          <w:rFonts w:ascii="Palatino Linotype" w:hAnsi="Palatino Linotype"/>
          <w:sz w:val="24"/>
          <w:szCs w:val="24"/>
        </w:rPr>
        <w:t>Owned Utilities</w:t>
      </w:r>
      <w:r>
        <w:rPr>
          <w:rFonts w:ascii="Palatino Linotype" w:hAnsi="Palatino Linotype"/>
          <w:sz w:val="24"/>
          <w:szCs w:val="24"/>
        </w:rPr>
        <w:t xml:space="preserve"> </w:t>
      </w:r>
      <w:r w:rsidR="00085243">
        <w:rPr>
          <w:rFonts w:ascii="Palatino Linotype" w:hAnsi="Palatino Linotype"/>
          <w:sz w:val="24"/>
          <w:szCs w:val="24"/>
        </w:rPr>
        <w:t xml:space="preserve">that </w:t>
      </w:r>
      <w:r>
        <w:rPr>
          <w:rFonts w:ascii="Palatino Linotype" w:hAnsi="Palatino Linotype"/>
          <w:sz w:val="24"/>
          <w:szCs w:val="24"/>
        </w:rPr>
        <w:t>implement Market Rate Energy Efficiency programs and have specific proceeding</w:t>
      </w:r>
      <w:r w:rsidR="00085243">
        <w:rPr>
          <w:rFonts w:ascii="Palatino Linotype" w:hAnsi="Palatino Linotype"/>
          <w:sz w:val="24"/>
          <w:szCs w:val="24"/>
        </w:rPr>
        <w:t>s</w:t>
      </w:r>
      <w:r>
        <w:rPr>
          <w:rFonts w:ascii="Palatino Linotype" w:hAnsi="Palatino Linotype"/>
          <w:sz w:val="24"/>
          <w:szCs w:val="24"/>
        </w:rPr>
        <w:t xml:space="preserve"> dedicated to reviewing applications for EE programs</w:t>
      </w:r>
      <w:r w:rsidR="003306A7">
        <w:rPr>
          <w:rFonts w:ascii="Palatino Linotype" w:hAnsi="Palatino Linotype"/>
          <w:sz w:val="24"/>
          <w:szCs w:val="24"/>
        </w:rPr>
        <w:t>,</w:t>
      </w:r>
      <w:r>
        <w:rPr>
          <w:rStyle w:val="FootnoteReference"/>
          <w:rFonts w:ascii="Palatino Linotype" w:hAnsi="Palatino Linotype"/>
          <w:sz w:val="24"/>
          <w:szCs w:val="24"/>
        </w:rPr>
        <w:footnoteReference w:id="2"/>
      </w:r>
      <w:r>
        <w:rPr>
          <w:rFonts w:ascii="Palatino Linotype" w:hAnsi="Palatino Linotype"/>
          <w:sz w:val="24"/>
          <w:szCs w:val="24"/>
        </w:rPr>
        <w:t xml:space="preserve"> SWG uses </w:t>
      </w:r>
      <w:r w:rsidR="006C5E22">
        <w:rPr>
          <w:rFonts w:ascii="Palatino Linotype" w:hAnsi="Palatino Linotype"/>
          <w:sz w:val="24"/>
          <w:szCs w:val="24"/>
        </w:rPr>
        <w:t xml:space="preserve">its </w:t>
      </w:r>
      <w:r w:rsidR="004A3440">
        <w:rPr>
          <w:rFonts w:ascii="Palatino Linotype" w:hAnsi="Palatino Linotype"/>
          <w:sz w:val="24"/>
          <w:szCs w:val="24"/>
        </w:rPr>
        <w:t>GRC</w:t>
      </w:r>
      <w:r>
        <w:rPr>
          <w:rFonts w:ascii="Palatino Linotype" w:hAnsi="Palatino Linotype"/>
          <w:sz w:val="24"/>
          <w:szCs w:val="24"/>
        </w:rPr>
        <w:t xml:space="preserve"> to propose and receive approval o</w:t>
      </w:r>
      <w:r w:rsidR="003306A7">
        <w:rPr>
          <w:rFonts w:ascii="Palatino Linotype" w:hAnsi="Palatino Linotype"/>
          <w:sz w:val="24"/>
          <w:szCs w:val="24"/>
        </w:rPr>
        <w:t>f</w:t>
      </w:r>
      <w:r>
        <w:rPr>
          <w:rFonts w:ascii="Palatino Linotype" w:hAnsi="Palatino Linotype"/>
          <w:sz w:val="24"/>
          <w:szCs w:val="24"/>
        </w:rPr>
        <w:t xml:space="preserve"> </w:t>
      </w:r>
      <w:r w:rsidR="006C5E22">
        <w:rPr>
          <w:rFonts w:ascii="Palatino Linotype" w:hAnsi="Palatino Linotype"/>
          <w:sz w:val="24"/>
          <w:szCs w:val="24"/>
        </w:rPr>
        <w:t xml:space="preserve">its </w:t>
      </w:r>
      <w:r w:rsidR="00C94E66">
        <w:rPr>
          <w:rFonts w:ascii="Palatino Linotype" w:hAnsi="Palatino Linotype"/>
          <w:sz w:val="24"/>
          <w:szCs w:val="24"/>
        </w:rPr>
        <w:t>EE</w:t>
      </w:r>
      <w:r>
        <w:rPr>
          <w:rFonts w:ascii="Palatino Linotype" w:hAnsi="Palatino Linotype"/>
          <w:sz w:val="24"/>
          <w:szCs w:val="24"/>
        </w:rPr>
        <w:t xml:space="preserve"> programs. </w:t>
      </w:r>
    </w:p>
    <w:p w:rsidRPr="001E4AD8" w:rsidR="00620FA7" w:rsidRDefault="00620FA7" w14:paraId="0C5EF6E7" w14:textId="77777777">
      <w:pPr>
        <w:rPr>
          <w:rFonts w:ascii="Palatino Linotype" w:hAnsi="Palatino Linotype"/>
          <w:sz w:val="24"/>
          <w:szCs w:val="24"/>
        </w:rPr>
      </w:pPr>
    </w:p>
    <w:p w:rsidRPr="001E4AD8" w:rsidR="00036AF3" w:rsidRDefault="008B0353" w14:paraId="681B26E2" w14:textId="2480B423">
      <w:pPr>
        <w:rPr>
          <w:rFonts w:ascii="Palatino Linotype" w:hAnsi="Palatino Linotype"/>
          <w:sz w:val="24"/>
          <w:szCs w:val="24"/>
        </w:rPr>
      </w:pPr>
      <w:r w:rsidRPr="001E4AD8">
        <w:rPr>
          <w:rFonts w:ascii="Palatino Linotype" w:hAnsi="Palatino Linotype"/>
          <w:sz w:val="24"/>
          <w:szCs w:val="24"/>
        </w:rPr>
        <w:t xml:space="preserve">In </w:t>
      </w:r>
      <w:r w:rsidRPr="001E4AD8" w:rsidR="00620FA7">
        <w:rPr>
          <w:rFonts w:ascii="Palatino Linotype" w:hAnsi="Palatino Linotype"/>
          <w:sz w:val="24"/>
          <w:szCs w:val="24"/>
        </w:rPr>
        <w:t>D.21-03-052</w:t>
      </w:r>
      <w:r w:rsidRPr="001E4AD8">
        <w:rPr>
          <w:rFonts w:ascii="Palatino Linotype" w:hAnsi="Palatino Linotype"/>
          <w:sz w:val="24"/>
          <w:szCs w:val="24"/>
        </w:rPr>
        <w:t xml:space="preserve">, the Commission </w:t>
      </w:r>
      <w:r w:rsidRPr="001E4AD8" w:rsidR="00C14BAF">
        <w:rPr>
          <w:rFonts w:ascii="Palatino Linotype" w:hAnsi="Palatino Linotype"/>
          <w:sz w:val="24"/>
          <w:szCs w:val="24"/>
        </w:rPr>
        <w:t>state</w:t>
      </w:r>
      <w:r w:rsidR="0008639B">
        <w:rPr>
          <w:rFonts w:ascii="Palatino Linotype" w:hAnsi="Palatino Linotype"/>
          <w:sz w:val="24"/>
          <w:szCs w:val="24"/>
        </w:rPr>
        <w:t>d</w:t>
      </w:r>
      <w:r w:rsidRPr="001E4AD8">
        <w:rPr>
          <w:rFonts w:ascii="Palatino Linotype" w:hAnsi="Palatino Linotype"/>
          <w:sz w:val="24"/>
          <w:szCs w:val="24"/>
        </w:rPr>
        <w:t xml:space="preserve"> that SWG</w:t>
      </w:r>
      <w:r w:rsidRPr="001E4AD8" w:rsidR="00C14BAF">
        <w:rPr>
          <w:rFonts w:ascii="Palatino Linotype" w:hAnsi="Palatino Linotype"/>
          <w:sz w:val="24"/>
          <w:szCs w:val="24"/>
        </w:rPr>
        <w:t>’s</w:t>
      </w:r>
      <w:r w:rsidRPr="001E4AD8">
        <w:rPr>
          <w:rFonts w:ascii="Palatino Linotype" w:hAnsi="Palatino Linotype"/>
          <w:sz w:val="24"/>
          <w:szCs w:val="24"/>
        </w:rPr>
        <w:t xml:space="preserve"> </w:t>
      </w:r>
      <w:r w:rsidRPr="001E4AD8" w:rsidR="00036AF3">
        <w:rPr>
          <w:rFonts w:ascii="Palatino Linotype" w:hAnsi="Palatino Linotype"/>
          <w:sz w:val="24"/>
          <w:szCs w:val="24"/>
        </w:rPr>
        <w:t>“Gas Conservation and Energy Efficiency Program, including residential and commercial equipment rebate programs, including residential equipment direct-install, new home and solar thermal rebates will be implemented with an annual budget of $250,000 with the option to submit an advice letter to request additional funding up to a maximum of $500,000 per year, beginning two years after a Commission decision is issued in this proceeding.”</w:t>
      </w:r>
      <w:r w:rsidR="004979BC">
        <w:rPr>
          <w:rStyle w:val="FootnoteReference"/>
          <w:rFonts w:ascii="Palatino Linotype" w:hAnsi="Palatino Linotype"/>
          <w:sz w:val="24"/>
          <w:szCs w:val="24"/>
        </w:rPr>
        <w:footnoteReference w:id="3"/>
      </w:r>
      <w:r w:rsidRPr="001C7E94" w:rsidR="001C7E94">
        <w:rPr>
          <w:rFonts w:ascii="Palatino Linotype" w:hAnsi="Palatino Linotype"/>
          <w:sz w:val="24"/>
          <w:szCs w:val="24"/>
        </w:rPr>
        <w:t xml:space="preserve"> </w:t>
      </w:r>
      <w:r w:rsidR="001C7E94">
        <w:rPr>
          <w:rFonts w:ascii="Palatino Linotype" w:hAnsi="Palatino Linotype"/>
          <w:sz w:val="24"/>
          <w:szCs w:val="24"/>
        </w:rPr>
        <w:t xml:space="preserve">These funds </w:t>
      </w:r>
      <w:r w:rsidR="009D7FD5">
        <w:rPr>
          <w:rFonts w:ascii="Palatino Linotype" w:hAnsi="Palatino Linotype"/>
          <w:sz w:val="24"/>
          <w:szCs w:val="24"/>
        </w:rPr>
        <w:t>are</w:t>
      </w:r>
      <w:r w:rsidR="001C7E94">
        <w:rPr>
          <w:rFonts w:ascii="Palatino Linotype" w:hAnsi="Palatino Linotype"/>
          <w:sz w:val="24"/>
          <w:szCs w:val="24"/>
        </w:rPr>
        <w:t xml:space="preserve"> part of the </w:t>
      </w:r>
      <w:r w:rsidRPr="00F51AAD" w:rsidR="001C7E94">
        <w:rPr>
          <w:rFonts w:ascii="Palatino Linotype" w:hAnsi="Palatino Linotype"/>
          <w:sz w:val="24"/>
          <w:szCs w:val="24"/>
        </w:rPr>
        <w:t>Conservation and Energy Efficiency</w:t>
      </w:r>
      <w:r w:rsidRPr="001C7E94" w:rsidR="001C7E94">
        <w:t xml:space="preserve"> </w:t>
      </w:r>
      <w:r w:rsidRPr="001C7E94" w:rsidR="001C7E94">
        <w:rPr>
          <w:rFonts w:ascii="Palatino Linotype" w:hAnsi="Palatino Linotype"/>
          <w:sz w:val="24"/>
          <w:szCs w:val="24"/>
        </w:rPr>
        <w:t>Balancing</w:t>
      </w:r>
      <w:r w:rsidR="001C7E94">
        <w:t xml:space="preserve"> </w:t>
      </w:r>
      <w:r w:rsidRPr="001C7E94" w:rsidR="001C7E94">
        <w:rPr>
          <w:rFonts w:ascii="Palatino Linotype" w:hAnsi="Palatino Linotype"/>
          <w:sz w:val="24"/>
          <w:szCs w:val="24"/>
        </w:rPr>
        <w:t>Account (CEEBA) component of the Public Purpose</w:t>
      </w:r>
      <w:r w:rsidR="001C7E94">
        <w:rPr>
          <w:rFonts w:ascii="Palatino Linotype" w:hAnsi="Palatino Linotype"/>
          <w:sz w:val="24"/>
          <w:szCs w:val="24"/>
        </w:rPr>
        <w:t xml:space="preserve"> </w:t>
      </w:r>
      <w:r w:rsidRPr="001C7E94" w:rsidR="001C7E94">
        <w:rPr>
          <w:rFonts w:ascii="Palatino Linotype" w:hAnsi="Palatino Linotype"/>
          <w:sz w:val="24"/>
          <w:szCs w:val="24"/>
        </w:rPr>
        <w:t>Program Surcharge</w:t>
      </w:r>
      <w:r w:rsidR="001C7E94">
        <w:rPr>
          <w:rFonts w:ascii="Palatino Linotype" w:hAnsi="Palatino Linotype"/>
          <w:sz w:val="24"/>
          <w:szCs w:val="24"/>
        </w:rPr>
        <w:t>.</w:t>
      </w:r>
      <w:r w:rsidR="00930342">
        <w:rPr>
          <w:rStyle w:val="FootnoteReference"/>
          <w:rFonts w:ascii="Palatino Linotype" w:hAnsi="Palatino Linotype"/>
          <w:sz w:val="24"/>
          <w:szCs w:val="24"/>
        </w:rPr>
        <w:footnoteReference w:id="4"/>
      </w:r>
    </w:p>
    <w:p w:rsidRPr="001E4AD8" w:rsidR="00036AF3" w:rsidRDefault="00036AF3" w14:paraId="0E9DCA1C" w14:textId="77777777">
      <w:pPr>
        <w:rPr>
          <w:rFonts w:ascii="Palatino Linotype" w:hAnsi="Palatino Linotype"/>
          <w:sz w:val="24"/>
          <w:szCs w:val="24"/>
        </w:rPr>
      </w:pPr>
    </w:p>
    <w:p w:rsidRPr="001E4AD8" w:rsidR="00620FA7" w:rsidP="001C7E94" w:rsidRDefault="00C14BAF" w14:paraId="5FE98B8E" w14:textId="05D8EDF8">
      <w:pPr>
        <w:rPr>
          <w:rFonts w:ascii="Palatino Linotype" w:hAnsi="Palatino Linotype"/>
          <w:sz w:val="24"/>
          <w:szCs w:val="24"/>
        </w:rPr>
      </w:pPr>
      <w:r w:rsidRPr="001E4AD8">
        <w:rPr>
          <w:rFonts w:ascii="Palatino Linotype" w:hAnsi="Palatino Linotype"/>
          <w:sz w:val="24"/>
          <w:szCs w:val="24"/>
        </w:rPr>
        <w:t>Further, the Commission order</w:t>
      </w:r>
      <w:r w:rsidR="00E468CB">
        <w:rPr>
          <w:rFonts w:ascii="Palatino Linotype" w:hAnsi="Palatino Linotype"/>
          <w:sz w:val="24"/>
          <w:szCs w:val="24"/>
        </w:rPr>
        <w:t>ed</w:t>
      </w:r>
      <w:r w:rsidRPr="001E4AD8">
        <w:rPr>
          <w:rFonts w:ascii="Palatino Linotype" w:hAnsi="Palatino Linotype"/>
          <w:sz w:val="24"/>
          <w:szCs w:val="24"/>
        </w:rPr>
        <w:t xml:space="preserve"> SWG to</w:t>
      </w:r>
      <w:r w:rsidRPr="001E4AD8" w:rsidR="001D0B16">
        <w:rPr>
          <w:rFonts w:ascii="Palatino Linotype" w:hAnsi="Palatino Linotype"/>
          <w:sz w:val="24"/>
          <w:szCs w:val="24"/>
        </w:rPr>
        <w:t xml:space="preserve"> file </w:t>
      </w:r>
      <w:r w:rsidR="00EC7BC0">
        <w:rPr>
          <w:rFonts w:ascii="Palatino Linotype" w:hAnsi="Palatino Linotype"/>
          <w:sz w:val="24"/>
          <w:szCs w:val="24"/>
        </w:rPr>
        <w:t>a</w:t>
      </w:r>
      <w:r w:rsidRPr="001E4AD8" w:rsidR="00EC7BC0">
        <w:rPr>
          <w:rFonts w:ascii="Palatino Linotype" w:hAnsi="Palatino Linotype"/>
          <w:sz w:val="24"/>
          <w:szCs w:val="24"/>
        </w:rPr>
        <w:t xml:space="preserve"> </w:t>
      </w:r>
      <w:r w:rsidRPr="001E4AD8" w:rsidR="001D0B16">
        <w:rPr>
          <w:rFonts w:ascii="Palatino Linotype" w:hAnsi="Palatino Linotype"/>
          <w:sz w:val="24"/>
          <w:szCs w:val="24"/>
        </w:rPr>
        <w:t>Tier 3 Advice Letter</w:t>
      </w:r>
      <w:r w:rsidRPr="001E4AD8">
        <w:rPr>
          <w:rFonts w:ascii="Palatino Linotype" w:hAnsi="Palatino Linotype"/>
          <w:sz w:val="24"/>
          <w:szCs w:val="24"/>
        </w:rPr>
        <w:t xml:space="preserve"> for </w:t>
      </w:r>
      <w:r w:rsidRPr="001E4AD8" w:rsidR="001D0B16">
        <w:rPr>
          <w:rFonts w:ascii="Palatino Linotype" w:hAnsi="Palatino Linotype"/>
          <w:sz w:val="24"/>
          <w:szCs w:val="24"/>
        </w:rPr>
        <w:t xml:space="preserve">additional </w:t>
      </w:r>
      <w:r w:rsidR="00230EE6">
        <w:rPr>
          <w:rFonts w:ascii="Palatino Linotype" w:hAnsi="Palatino Linotype"/>
          <w:sz w:val="24"/>
          <w:szCs w:val="24"/>
        </w:rPr>
        <w:t>CEE</w:t>
      </w:r>
      <w:r w:rsidRPr="001E4AD8" w:rsidR="001D0B16">
        <w:rPr>
          <w:rFonts w:ascii="Palatino Linotype" w:hAnsi="Palatino Linotype"/>
          <w:sz w:val="24"/>
          <w:szCs w:val="24"/>
        </w:rPr>
        <w:t xml:space="preserve"> funding consistent with provisions of </w:t>
      </w:r>
      <w:r w:rsidRPr="001E4AD8" w:rsidR="001C3FCD">
        <w:rPr>
          <w:rFonts w:ascii="Palatino Linotype" w:hAnsi="Palatino Linotype"/>
          <w:sz w:val="24"/>
          <w:szCs w:val="24"/>
        </w:rPr>
        <w:t>this</w:t>
      </w:r>
      <w:r w:rsidRPr="001E4AD8" w:rsidR="001D0B16">
        <w:rPr>
          <w:rFonts w:ascii="Palatino Linotype" w:hAnsi="Palatino Linotype"/>
          <w:sz w:val="24"/>
          <w:szCs w:val="24"/>
        </w:rPr>
        <w:t xml:space="preserve"> Settlement Agreement</w:t>
      </w:r>
      <w:r w:rsidRPr="001E4AD8" w:rsidR="00E94CEF">
        <w:rPr>
          <w:rFonts w:ascii="Palatino Linotype" w:hAnsi="Palatino Linotype"/>
          <w:sz w:val="24"/>
          <w:szCs w:val="24"/>
        </w:rPr>
        <w:t xml:space="preserve">, </w:t>
      </w:r>
      <w:r w:rsidR="004751CB">
        <w:rPr>
          <w:rFonts w:ascii="Palatino Linotype" w:hAnsi="Palatino Linotype"/>
          <w:sz w:val="24"/>
          <w:szCs w:val="24"/>
        </w:rPr>
        <w:t>requiring</w:t>
      </w:r>
      <w:r w:rsidRPr="001E4AD8" w:rsidR="00114DF8">
        <w:rPr>
          <w:rFonts w:ascii="Palatino Linotype" w:hAnsi="Palatino Linotype"/>
          <w:sz w:val="24"/>
          <w:szCs w:val="24"/>
        </w:rPr>
        <w:t xml:space="preserve"> compl</w:t>
      </w:r>
      <w:r w:rsidR="00EC7BC0">
        <w:rPr>
          <w:rFonts w:ascii="Palatino Linotype" w:hAnsi="Palatino Linotype"/>
          <w:sz w:val="24"/>
          <w:szCs w:val="24"/>
        </w:rPr>
        <w:t>iance</w:t>
      </w:r>
      <w:r w:rsidRPr="001E4AD8" w:rsidR="00114DF8">
        <w:rPr>
          <w:rFonts w:ascii="Palatino Linotype" w:hAnsi="Palatino Linotype"/>
          <w:sz w:val="24"/>
          <w:szCs w:val="24"/>
        </w:rPr>
        <w:t xml:space="preserve"> with General Order 96 and approv</w:t>
      </w:r>
      <w:r w:rsidR="004751CB">
        <w:rPr>
          <w:rFonts w:ascii="Palatino Linotype" w:hAnsi="Palatino Linotype"/>
          <w:sz w:val="24"/>
          <w:szCs w:val="24"/>
        </w:rPr>
        <w:t>al</w:t>
      </w:r>
      <w:r w:rsidRPr="001E4AD8" w:rsidR="00114DF8">
        <w:rPr>
          <w:rFonts w:ascii="Palatino Linotype" w:hAnsi="Palatino Linotype"/>
          <w:sz w:val="24"/>
          <w:szCs w:val="24"/>
        </w:rPr>
        <w:t xml:space="preserve"> by the Commission's Energy Division.</w:t>
      </w:r>
      <w:r w:rsidRPr="001E4AD8" w:rsidR="00114DF8">
        <w:rPr>
          <w:rStyle w:val="FootnoteReference"/>
          <w:rFonts w:ascii="Palatino Linotype" w:hAnsi="Palatino Linotype"/>
          <w:sz w:val="24"/>
          <w:szCs w:val="24"/>
        </w:rPr>
        <w:footnoteReference w:id="5"/>
      </w:r>
      <w:r w:rsidR="00BF305C">
        <w:rPr>
          <w:rFonts w:ascii="Palatino Linotype" w:hAnsi="Palatino Linotype"/>
          <w:sz w:val="24"/>
          <w:szCs w:val="24"/>
        </w:rPr>
        <w:t xml:space="preserve"> </w:t>
      </w:r>
    </w:p>
    <w:p w:rsidRPr="001E4AD8" w:rsidR="001C3FCD" w:rsidRDefault="001C3FCD" w14:paraId="45391C52" w14:textId="77777777">
      <w:pPr>
        <w:rPr>
          <w:rFonts w:ascii="Palatino Linotype" w:hAnsi="Palatino Linotype"/>
          <w:sz w:val="24"/>
          <w:szCs w:val="24"/>
        </w:rPr>
      </w:pPr>
    </w:p>
    <w:p w:rsidRPr="001E4AD8" w:rsidR="0030186C" w:rsidRDefault="0090619B" w14:paraId="2B106F9D" w14:textId="40226958">
      <w:pPr>
        <w:rPr>
          <w:rFonts w:ascii="Palatino Linotype" w:hAnsi="Palatino Linotype"/>
          <w:sz w:val="24"/>
          <w:szCs w:val="24"/>
        </w:rPr>
      </w:pPr>
      <w:r w:rsidRPr="001E4AD8">
        <w:rPr>
          <w:rFonts w:ascii="Palatino Linotype" w:hAnsi="Palatino Linotype"/>
          <w:sz w:val="24"/>
          <w:szCs w:val="24"/>
        </w:rPr>
        <w:t xml:space="preserve">On December 22, 2022, SWG filed Tier 3 AL </w:t>
      </w:r>
      <w:r w:rsidR="005A2DEC">
        <w:rPr>
          <w:rFonts w:ascii="Palatino Linotype" w:hAnsi="Palatino Linotype"/>
          <w:sz w:val="24"/>
          <w:szCs w:val="24"/>
        </w:rPr>
        <w:t xml:space="preserve">1243-G </w:t>
      </w:r>
      <w:r w:rsidRPr="001E4AD8" w:rsidR="002F4F81">
        <w:rPr>
          <w:rFonts w:ascii="Palatino Linotype" w:hAnsi="Palatino Linotype"/>
          <w:sz w:val="24"/>
          <w:szCs w:val="24"/>
        </w:rPr>
        <w:t xml:space="preserve">requesting an increase in funding to $500,000 per year </w:t>
      </w:r>
      <w:r w:rsidRPr="001E4AD8">
        <w:rPr>
          <w:rFonts w:ascii="Palatino Linotype" w:hAnsi="Palatino Linotype"/>
          <w:sz w:val="24"/>
          <w:szCs w:val="24"/>
        </w:rPr>
        <w:t xml:space="preserve">for program years 2023 through 2025. </w:t>
      </w:r>
      <w:r w:rsidRPr="001E4AD8" w:rsidR="00466505">
        <w:rPr>
          <w:rFonts w:ascii="Palatino Linotype" w:hAnsi="Palatino Linotype"/>
          <w:sz w:val="24"/>
          <w:szCs w:val="24"/>
        </w:rPr>
        <w:t>Per GO 96</w:t>
      </w:r>
      <w:r w:rsidR="00594225">
        <w:rPr>
          <w:rFonts w:ascii="Palatino Linotype" w:hAnsi="Palatino Linotype"/>
          <w:sz w:val="24"/>
          <w:szCs w:val="24"/>
        </w:rPr>
        <w:t>-B</w:t>
      </w:r>
      <w:r w:rsidRPr="001E4AD8" w:rsidR="008311B6">
        <w:rPr>
          <w:rFonts w:ascii="Palatino Linotype" w:hAnsi="Palatino Linotype"/>
          <w:sz w:val="24"/>
          <w:szCs w:val="24"/>
        </w:rPr>
        <w:t xml:space="preserve">, </w:t>
      </w:r>
      <w:r w:rsidRPr="001E4AD8" w:rsidR="00FA00A2">
        <w:rPr>
          <w:rFonts w:ascii="Palatino Linotype" w:hAnsi="Palatino Linotype"/>
          <w:sz w:val="24"/>
          <w:szCs w:val="24"/>
        </w:rPr>
        <w:t>the disposition of a</w:t>
      </w:r>
      <w:r w:rsidRPr="001E4AD8" w:rsidR="008311B6">
        <w:rPr>
          <w:rFonts w:ascii="Palatino Linotype" w:hAnsi="Palatino Linotype"/>
          <w:sz w:val="24"/>
          <w:szCs w:val="24"/>
        </w:rPr>
        <w:t xml:space="preserve"> Tier 3 AL</w:t>
      </w:r>
      <w:r w:rsidRPr="001E4AD8" w:rsidR="00467C78">
        <w:rPr>
          <w:rFonts w:ascii="Palatino Linotype" w:hAnsi="Palatino Linotype"/>
          <w:sz w:val="24"/>
          <w:szCs w:val="24"/>
        </w:rPr>
        <w:t xml:space="preserve"> must be</w:t>
      </w:r>
      <w:r w:rsidRPr="001E4AD8" w:rsidR="00FA00A2">
        <w:rPr>
          <w:rFonts w:ascii="Palatino Linotype" w:hAnsi="Palatino Linotype"/>
          <w:sz w:val="24"/>
          <w:szCs w:val="24"/>
        </w:rPr>
        <w:t xml:space="preserve"> through </w:t>
      </w:r>
      <w:r w:rsidR="00594225">
        <w:rPr>
          <w:rFonts w:ascii="Palatino Linotype" w:hAnsi="Palatino Linotype"/>
          <w:sz w:val="24"/>
          <w:szCs w:val="24"/>
        </w:rPr>
        <w:t xml:space="preserve">a </w:t>
      </w:r>
      <w:r w:rsidR="00DF107A">
        <w:rPr>
          <w:rFonts w:ascii="Palatino Linotype" w:hAnsi="Palatino Linotype"/>
          <w:sz w:val="24"/>
          <w:szCs w:val="24"/>
        </w:rPr>
        <w:t>r</w:t>
      </w:r>
      <w:r w:rsidRPr="001E4AD8" w:rsidR="00FA00A2">
        <w:rPr>
          <w:rFonts w:ascii="Palatino Linotype" w:hAnsi="Palatino Linotype"/>
          <w:sz w:val="24"/>
          <w:szCs w:val="24"/>
        </w:rPr>
        <w:t>esolution</w:t>
      </w:r>
      <w:r w:rsidRPr="001E4AD8" w:rsidR="00A0561A">
        <w:rPr>
          <w:rFonts w:ascii="Palatino Linotype" w:hAnsi="Palatino Linotype"/>
          <w:sz w:val="24"/>
          <w:szCs w:val="24"/>
        </w:rPr>
        <w:t xml:space="preserve"> voted on by the Commission. </w:t>
      </w:r>
    </w:p>
    <w:p w:rsidRPr="00D865A9" w:rsidR="00CF17DE" w:rsidRDefault="00394B3A" w14:paraId="66788129" w14:textId="77777777">
      <w:pPr>
        <w:pStyle w:val="Heading1"/>
        <w:rPr>
          <w:rFonts w:ascii="Palatino Linotype" w:hAnsi="Palatino Linotype"/>
          <w:sz w:val="24"/>
          <w:szCs w:val="24"/>
        </w:rPr>
      </w:pPr>
      <w:r w:rsidRPr="00D865A9">
        <w:rPr>
          <w:rFonts w:ascii="Palatino Linotype" w:hAnsi="Palatino Linotype"/>
          <w:sz w:val="24"/>
          <w:szCs w:val="24"/>
        </w:rPr>
        <w:lastRenderedPageBreak/>
        <w:t>Notice</w:t>
      </w:r>
    </w:p>
    <w:p w:rsidRPr="00D865A9" w:rsidR="00CF17DE" w:rsidRDefault="00CF17DE" w14:paraId="37FFE207" w14:textId="35269065">
      <w:pPr>
        <w:rPr>
          <w:rFonts w:ascii="Palatino Linotype" w:hAnsi="Palatino Linotype"/>
          <w:sz w:val="24"/>
          <w:szCs w:val="24"/>
        </w:rPr>
      </w:pPr>
      <w:r w:rsidRPr="00D865A9">
        <w:rPr>
          <w:rFonts w:ascii="Palatino Linotype" w:hAnsi="Palatino Linotype"/>
          <w:sz w:val="24"/>
          <w:szCs w:val="24"/>
        </w:rPr>
        <w:t xml:space="preserve">Notice of AL </w:t>
      </w:r>
      <w:r w:rsidR="00F76B9E">
        <w:rPr>
          <w:rFonts w:ascii="Palatino Linotype" w:hAnsi="Palatino Linotype"/>
          <w:sz w:val="24"/>
          <w:szCs w:val="24"/>
        </w:rPr>
        <w:t>1243-G</w:t>
      </w:r>
      <w:r w:rsidRPr="00D865A9">
        <w:rPr>
          <w:rFonts w:ascii="Palatino Linotype" w:hAnsi="Palatino Linotype"/>
          <w:sz w:val="24"/>
          <w:szCs w:val="24"/>
        </w:rPr>
        <w:t xml:space="preserve"> was made by publication in the Commission’s Daily Calendar.  </w:t>
      </w:r>
      <w:r w:rsidR="00F76B9E">
        <w:rPr>
          <w:rFonts w:ascii="Palatino Linotype" w:hAnsi="Palatino Linotype"/>
          <w:sz w:val="24"/>
          <w:szCs w:val="24"/>
        </w:rPr>
        <w:t xml:space="preserve">Southwest Gas </w:t>
      </w:r>
      <w:r w:rsidRPr="00D865A9">
        <w:rPr>
          <w:rFonts w:ascii="Palatino Linotype" w:hAnsi="Palatino Linotype"/>
          <w:sz w:val="24"/>
          <w:szCs w:val="24"/>
        </w:rPr>
        <w:t>states that a copy of the Advice Letter was mailed and distributed in accordance with Sec</w:t>
      </w:r>
      <w:r w:rsidRPr="00D865A9" w:rsidR="00A1526C">
        <w:rPr>
          <w:rFonts w:ascii="Palatino Linotype" w:hAnsi="Palatino Linotype"/>
          <w:sz w:val="24"/>
          <w:szCs w:val="24"/>
        </w:rPr>
        <w:t xml:space="preserve">tion </w:t>
      </w:r>
      <w:r w:rsidRPr="00D865A9" w:rsidR="0069631C">
        <w:rPr>
          <w:rFonts w:ascii="Palatino Linotype" w:hAnsi="Palatino Linotype"/>
          <w:sz w:val="24"/>
          <w:szCs w:val="24"/>
        </w:rPr>
        <w:t>4</w:t>
      </w:r>
      <w:r w:rsidRPr="00D865A9" w:rsidR="00E928CF">
        <w:rPr>
          <w:rFonts w:ascii="Palatino Linotype" w:hAnsi="Palatino Linotype"/>
          <w:sz w:val="24"/>
          <w:szCs w:val="24"/>
        </w:rPr>
        <w:t xml:space="preserve"> of General Order 96-B</w:t>
      </w:r>
      <w:r w:rsidRPr="00D865A9">
        <w:rPr>
          <w:rFonts w:ascii="Palatino Linotype" w:hAnsi="Palatino Linotype"/>
          <w:sz w:val="24"/>
          <w:szCs w:val="24"/>
        </w:rPr>
        <w:t xml:space="preserve">. </w:t>
      </w:r>
    </w:p>
    <w:p w:rsidRPr="00D865A9" w:rsidR="00CF17DE" w:rsidRDefault="00CF17DE" w14:paraId="6E8F021A" w14:textId="77777777">
      <w:pPr>
        <w:rPr>
          <w:rFonts w:ascii="Palatino Linotype" w:hAnsi="Palatino Linotype"/>
          <w:sz w:val="24"/>
          <w:szCs w:val="24"/>
        </w:rPr>
      </w:pPr>
    </w:p>
    <w:p w:rsidRPr="00D865A9" w:rsidR="00CF17DE" w:rsidRDefault="00CF17DE" w14:paraId="7F509E4C" w14:textId="77777777">
      <w:pPr>
        <w:pStyle w:val="Heading1"/>
        <w:rPr>
          <w:rFonts w:ascii="Palatino Linotype" w:hAnsi="Palatino Linotype"/>
          <w:sz w:val="24"/>
          <w:szCs w:val="24"/>
        </w:rPr>
      </w:pPr>
      <w:r w:rsidRPr="00D865A9">
        <w:rPr>
          <w:rFonts w:ascii="Palatino Linotype" w:hAnsi="Palatino Linotype"/>
          <w:sz w:val="24"/>
          <w:szCs w:val="24"/>
        </w:rPr>
        <w:t>Protests</w:t>
      </w:r>
    </w:p>
    <w:p w:rsidRPr="001E4AD8" w:rsidR="00CF17DE" w:rsidRDefault="00CF17DE" w14:paraId="52D5B761" w14:textId="6E3536FE">
      <w:pPr>
        <w:rPr>
          <w:rFonts w:ascii="Palatino Linotype" w:hAnsi="Palatino Linotype"/>
          <w:sz w:val="24"/>
          <w:szCs w:val="24"/>
        </w:rPr>
      </w:pPr>
      <w:r w:rsidRPr="001E4AD8">
        <w:rPr>
          <w:rFonts w:ascii="Palatino Linotype" w:hAnsi="Palatino Linotype"/>
          <w:sz w:val="24"/>
          <w:szCs w:val="24"/>
        </w:rPr>
        <w:t xml:space="preserve">Advice Letter </w:t>
      </w:r>
      <w:r w:rsidRPr="001E4AD8" w:rsidR="00AE164D">
        <w:rPr>
          <w:rFonts w:ascii="Palatino Linotype" w:hAnsi="Palatino Linotype"/>
          <w:sz w:val="24"/>
          <w:szCs w:val="24"/>
        </w:rPr>
        <w:t xml:space="preserve">1243-G </w:t>
      </w:r>
      <w:r w:rsidRPr="001E4AD8">
        <w:rPr>
          <w:rFonts w:ascii="Palatino Linotype" w:hAnsi="Palatino Linotype"/>
          <w:sz w:val="24"/>
          <w:szCs w:val="24"/>
        </w:rPr>
        <w:t xml:space="preserve">was protested.  </w:t>
      </w:r>
    </w:p>
    <w:p w:rsidRPr="001E4AD8" w:rsidR="00CF17DE" w:rsidRDefault="00CF17DE" w14:paraId="6BE8E21F" w14:textId="77777777">
      <w:pPr>
        <w:rPr>
          <w:rFonts w:ascii="Palatino Linotype" w:hAnsi="Palatino Linotype"/>
          <w:sz w:val="24"/>
          <w:szCs w:val="24"/>
        </w:rPr>
      </w:pPr>
    </w:p>
    <w:p w:rsidRPr="001E4AD8" w:rsidR="00CF17DE" w:rsidRDefault="006C62F7" w14:paraId="536604AC" w14:textId="6994D779">
      <w:pPr>
        <w:rPr>
          <w:rFonts w:ascii="Palatino Linotype" w:hAnsi="Palatino Linotype"/>
          <w:sz w:val="24"/>
          <w:szCs w:val="24"/>
        </w:rPr>
      </w:pPr>
      <w:r w:rsidRPr="001E4AD8">
        <w:rPr>
          <w:rFonts w:ascii="Palatino Linotype" w:hAnsi="Palatino Linotype"/>
          <w:sz w:val="24"/>
          <w:szCs w:val="24"/>
        </w:rPr>
        <w:t>SWG</w:t>
      </w:r>
      <w:r w:rsidRPr="001E4AD8" w:rsidR="00CF17DE">
        <w:rPr>
          <w:rFonts w:ascii="Palatino Linotype" w:hAnsi="Palatino Linotype"/>
          <w:sz w:val="24"/>
          <w:szCs w:val="24"/>
        </w:rPr>
        <w:t xml:space="preserve">’s Advice Letter </w:t>
      </w:r>
      <w:r w:rsidRPr="001E4AD8">
        <w:rPr>
          <w:rFonts w:ascii="Palatino Linotype" w:hAnsi="Palatino Linotype"/>
          <w:sz w:val="24"/>
          <w:szCs w:val="24"/>
        </w:rPr>
        <w:t>1243-G</w:t>
      </w:r>
      <w:r w:rsidRPr="001E4AD8" w:rsidR="00CF17DE">
        <w:rPr>
          <w:rFonts w:ascii="Palatino Linotype" w:hAnsi="Palatino Linotype"/>
          <w:sz w:val="24"/>
          <w:szCs w:val="24"/>
        </w:rPr>
        <w:t xml:space="preserve"> was protested by </w:t>
      </w:r>
      <w:r w:rsidR="00DC79FD">
        <w:rPr>
          <w:rFonts w:ascii="Palatino Linotype" w:hAnsi="Palatino Linotype"/>
          <w:sz w:val="24"/>
          <w:szCs w:val="24"/>
        </w:rPr>
        <w:t xml:space="preserve">the </w:t>
      </w:r>
      <w:r w:rsidRPr="001E4AD8" w:rsidR="00095972">
        <w:rPr>
          <w:rFonts w:ascii="Palatino Linotype" w:hAnsi="Palatino Linotype"/>
          <w:sz w:val="24"/>
          <w:szCs w:val="24"/>
        </w:rPr>
        <w:t xml:space="preserve">Public Advocates Office at the California Public Utilities Commission (Cal Advocates) on January 18, 2023. This was not a timely protest as the protest period for AL 1243-G ended on </w:t>
      </w:r>
      <w:r w:rsidRPr="001E4AD8" w:rsidR="006F314B">
        <w:rPr>
          <w:rFonts w:ascii="Palatino Linotype" w:hAnsi="Palatino Linotype"/>
          <w:sz w:val="24"/>
          <w:szCs w:val="24"/>
        </w:rPr>
        <w:t>January 11, 2023.</w:t>
      </w:r>
      <w:r w:rsidR="006A1C07">
        <w:rPr>
          <w:rFonts w:ascii="Palatino Linotype" w:hAnsi="Palatino Linotype"/>
          <w:sz w:val="24"/>
          <w:szCs w:val="24"/>
        </w:rPr>
        <w:t xml:space="preserve"> Energy Division staff formally accepted </w:t>
      </w:r>
      <w:r w:rsidR="00DC79FD">
        <w:rPr>
          <w:rFonts w:ascii="Palatino Linotype" w:hAnsi="Palatino Linotype"/>
          <w:sz w:val="24"/>
          <w:szCs w:val="24"/>
        </w:rPr>
        <w:t xml:space="preserve">this </w:t>
      </w:r>
      <w:r w:rsidR="006A1C07">
        <w:rPr>
          <w:rFonts w:ascii="Palatino Linotype" w:hAnsi="Palatino Linotype"/>
          <w:sz w:val="24"/>
          <w:szCs w:val="24"/>
        </w:rPr>
        <w:t>late protest via email to the A.</w:t>
      </w:r>
      <w:r w:rsidRPr="00502CE0" w:rsidR="00502CE0">
        <w:rPr>
          <w:rFonts w:ascii="Palatino Linotype" w:hAnsi="Palatino Linotype"/>
          <w:sz w:val="24"/>
          <w:szCs w:val="24"/>
        </w:rPr>
        <w:t>19-08-015</w:t>
      </w:r>
      <w:r w:rsidR="00502CE0">
        <w:rPr>
          <w:rFonts w:ascii="Palatino Linotype" w:hAnsi="Palatino Linotype"/>
          <w:sz w:val="24"/>
          <w:szCs w:val="24"/>
        </w:rPr>
        <w:t xml:space="preserve"> service list on March 1, 2023. </w:t>
      </w:r>
    </w:p>
    <w:p w:rsidRPr="001E4AD8" w:rsidR="00095972" w:rsidRDefault="00095972" w14:paraId="249E5DC7" w14:textId="77777777">
      <w:pPr>
        <w:rPr>
          <w:rFonts w:ascii="Palatino Linotype" w:hAnsi="Palatino Linotype"/>
          <w:sz w:val="24"/>
          <w:szCs w:val="24"/>
        </w:rPr>
      </w:pPr>
    </w:p>
    <w:p w:rsidRPr="001E4AD8" w:rsidR="00547491" w:rsidRDefault="00547491" w14:paraId="02099D28" w14:textId="39C584E0">
      <w:pPr>
        <w:rPr>
          <w:rFonts w:ascii="Palatino Linotype" w:hAnsi="Palatino Linotype"/>
          <w:sz w:val="24"/>
          <w:szCs w:val="24"/>
        </w:rPr>
      </w:pPr>
      <w:r w:rsidRPr="001E4AD8">
        <w:rPr>
          <w:rFonts w:ascii="Palatino Linotype" w:hAnsi="Palatino Linotype"/>
          <w:sz w:val="24"/>
          <w:szCs w:val="24"/>
        </w:rPr>
        <w:t>Cal Advocates identifie</w:t>
      </w:r>
      <w:r w:rsidR="00502CE0">
        <w:rPr>
          <w:rFonts w:ascii="Palatino Linotype" w:hAnsi="Palatino Linotype"/>
          <w:sz w:val="24"/>
          <w:szCs w:val="24"/>
        </w:rPr>
        <w:t>d</w:t>
      </w:r>
      <w:r w:rsidRPr="001E4AD8">
        <w:rPr>
          <w:rFonts w:ascii="Palatino Linotype" w:hAnsi="Palatino Linotype"/>
          <w:sz w:val="24"/>
          <w:szCs w:val="24"/>
        </w:rPr>
        <w:t xml:space="preserve"> the following issues regarding SWG’s CEE Program request for funding increase.</w:t>
      </w:r>
    </w:p>
    <w:p w:rsidRPr="001E4AD8" w:rsidR="00547491" w:rsidP="00547491" w:rsidRDefault="00547491" w14:paraId="2DFA6414" w14:textId="75FB3F72">
      <w:pPr>
        <w:pStyle w:val="ListParagraph"/>
        <w:numPr>
          <w:ilvl w:val="0"/>
          <w:numId w:val="6"/>
        </w:numPr>
        <w:rPr>
          <w:rFonts w:ascii="Palatino Linotype" w:hAnsi="Palatino Linotype"/>
          <w:sz w:val="24"/>
          <w:szCs w:val="24"/>
        </w:rPr>
      </w:pPr>
      <w:r w:rsidRPr="001E4AD8">
        <w:rPr>
          <w:rFonts w:ascii="Palatino Linotype" w:hAnsi="Palatino Linotype"/>
          <w:sz w:val="24"/>
          <w:szCs w:val="24"/>
        </w:rPr>
        <w:t>SWG fail</w:t>
      </w:r>
      <w:r w:rsidR="001A4070">
        <w:rPr>
          <w:rFonts w:ascii="Palatino Linotype" w:hAnsi="Palatino Linotype"/>
          <w:sz w:val="24"/>
          <w:szCs w:val="24"/>
        </w:rPr>
        <w:t>ed</w:t>
      </w:r>
      <w:r w:rsidRPr="001E4AD8">
        <w:rPr>
          <w:rFonts w:ascii="Palatino Linotype" w:hAnsi="Palatino Linotype"/>
          <w:sz w:val="24"/>
          <w:szCs w:val="24"/>
        </w:rPr>
        <w:t xml:space="preserve"> to demonstrate that there is demand for existing and new rebate programs within the company’s Northern California, Southern California, and Lake Tahoe service territories. </w:t>
      </w:r>
    </w:p>
    <w:p w:rsidRPr="001E4AD8" w:rsidR="00547491" w:rsidP="00547491" w:rsidRDefault="00547491" w14:paraId="1C009C35" w14:textId="6E93CC3E">
      <w:pPr>
        <w:pStyle w:val="ListParagraph"/>
        <w:numPr>
          <w:ilvl w:val="0"/>
          <w:numId w:val="6"/>
        </w:numPr>
        <w:rPr>
          <w:rFonts w:ascii="Palatino Linotype" w:hAnsi="Palatino Linotype"/>
          <w:sz w:val="24"/>
          <w:szCs w:val="24"/>
        </w:rPr>
      </w:pPr>
      <w:r w:rsidRPr="001E4AD8">
        <w:rPr>
          <w:rFonts w:ascii="Palatino Linotype" w:hAnsi="Palatino Linotype"/>
          <w:sz w:val="24"/>
          <w:szCs w:val="24"/>
        </w:rPr>
        <w:t>SWG fail</w:t>
      </w:r>
      <w:r w:rsidR="001A4070">
        <w:rPr>
          <w:rFonts w:ascii="Palatino Linotype" w:hAnsi="Palatino Linotype"/>
          <w:sz w:val="24"/>
          <w:szCs w:val="24"/>
        </w:rPr>
        <w:t>ed</w:t>
      </w:r>
      <w:r w:rsidRPr="001E4AD8">
        <w:rPr>
          <w:rFonts w:ascii="Palatino Linotype" w:hAnsi="Palatino Linotype"/>
          <w:sz w:val="24"/>
          <w:szCs w:val="24"/>
        </w:rPr>
        <w:t xml:space="preserve"> to provide sufficient evidence for the proposed increase from $250,000 to $500,000 per year. </w:t>
      </w:r>
    </w:p>
    <w:p w:rsidRPr="001E4AD8" w:rsidR="00D133AC" w:rsidP="00547491" w:rsidRDefault="00547491" w14:paraId="785F4063" w14:textId="6A2F9C5E">
      <w:pPr>
        <w:pStyle w:val="ListParagraph"/>
        <w:numPr>
          <w:ilvl w:val="0"/>
          <w:numId w:val="6"/>
        </w:numPr>
        <w:rPr>
          <w:rFonts w:ascii="Palatino Linotype" w:hAnsi="Palatino Linotype"/>
          <w:sz w:val="24"/>
          <w:szCs w:val="24"/>
        </w:rPr>
      </w:pPr>
      <w:r w:rsidRPr="001E4AD8">
        <w:rPr>
          <w:rFonts w:ascii="Palatino Linotype" w:hAnsi="Palatino Linotype"/>
          <w:sz w:val="24"/>
          <w:szCs w:val="24"/>
        </w:rPr>
        <w:t>SWG fail</w:t>
      </w:r>
      <w:r w:rsidR="001A4070">
        <w:rPr>
          <w:rFonts w:ascii="Palatino Linotype" w:hAnsi="Palatino Linotype"/>
          <w:sz w:val="24"/>
          <w:szCs w:val="24"/>
        </w:rPr>
        <w:t>ed</w:t>
      </w:r>
      <w:r w:rsidRPr="001E4AD8">
        <w:rPr>
          <w:rFonts w:ascii="Palatino Linotype" w:hAnsi="Palatino Linotype"/>
          <w:sz w:val="24"/>
          <w:szCs w:val="24"/>
        </w:rPr>
        <w:t xml:space="preserve"> to demonstrate that the proposed forecast methodology used to calculate the $500,000 is the most appropriate forecasting methodology.</w:t>
      </w:r>
    </w:p>
    <w:p w:rsidRPr="001E4AD8" w:rsidR="00D133AC" w:rsidRDefault="00D133AC" w14:paraId="2A08EC70" w14:textId="77777777">
      <w:pPr>
        <w:rPr>
          <w:rFonts w:ascii="Palatino Linotype" w:hAnsi="Palatino Linotype"/>
          <w:sz w:val="24"/>
          <w:szCs w:val="24"/>
        </w:rPr>
      </w:pPr>
    </w:p>
    <w:p w:rsidR="003A643D" w:rsidP="0038361B" w:rsidRDefault="00F0196A" w14:paraId="1267E1E1" w14:textId="528843B8">
      <w:pPr>
        <w:rPr>
          <w:rFonts w:ascii="Palatino Linotype" w:hAnsi="Palatino Linotype"/>
          <w:sz w:val="24"/>
          <w:szCs w:val="24"/>
        </w:rPr>
      </w:pPr>
      <w:r w:rsidRPr="001E4AD8">
        <w:rPr>
          <w:rFonts w:ascii="Palatino Linotype" w:hAnsi="Palatino Linotype"/>
          <w:sz w:val="24"/>
          <w:szCs w:val="24"/>
        </w:rPr>
        <w:t>SWG</w:t>
      </w:r>
      <w:r w:rsidRPr="001E4AD8" w:rsidR="00CF17DE">
        <w:rPr>
          <w:rFonts w:ascii="Palatino Linotype" w:hAnsi="Palatino Linotype"/>
          <w:sz w:val="24"/>
          <w:szCs w:val="24"/>
        </w:rPr>
        <w:t xml:space="preserve"> responded to the protest of </w:t>
      </w:r>
      <w:r w:rsidRPr="001E4AD8">
        <w:rPr>
          <w:rFonts w:ascii="Palatino Linotype" w:hAnsi="Palatino Linotype"/>
          <w:sz w:val="24"/>
          <w:szCs w:val="24"/>
        </w:rPr>
        <w:t>Cal Advocates</w:t>
      </w:r>
      <w:r w:rsidRPr="001E4AD8" w:rsidR="00CF17DE">
        <w:rPr>
          <w:rFonts w:ascii="Palatino Linotype" w:hAnsi="Palatino Linotype"/>
          <w:sz w:val="24"/>
          <w:szCs w:val="24"/>
        </w:rPr>
        <w:t xml:space="preserve"> on </w:t>
      </w:r>
      <w:r w:rsidRPr="001E4AD8">
        <w:rPr>
          <w:rFonts w:ascii="Palatino Linotype" w:hAnsi="Palatino Linotype"/>
          <w:sz w:val="24"/>
          <w:szCs w:val="24"/>
        </w:rPr>
        <w:t>January 25, 2023.</w:t>
      </w:r>
      <w:r w:rsidRPr="001E4AD8" w:rsidR="00071C3B">
        <w:rPr>
          <w:rFonts w:ascii="Palatino Linotype" w:hAnsi="Palatino Linotype"/>
          <w:sz w:val="24"/>
          <w:szCs w:val="24"/>
        </w:rPr>
        <w:t xml:space="preserve"> In </w:t>
      </w:r>
      <w:r w:rsidR="0046465B">
        <w:rPr>
          <w:rFonts w:ascii="Palatino Linotype" w:hAnsi="Palatino Linotype"/>
          <w:sz w:val="24"/>
          <w:szCs w:val="24"/>
        </w:rPr>
        <w:t>its</w:t>
      </w:r>
      <w:r w:rsidRPr="001E4AD8" w:rsidR="0046465B">
        <w:rPr>
          <w:rFonts w:ascii="Palatino Linotype" w:hAnsi="Palatino Linotype"/>
          <w:sz w:val="24"/>
          <w:szCs w:val="24"/>
        </w:rPr>
        <w:t xml:space="preserve"> </w:t>
      </w:r>
      <w:r w:rsidRPr="001E4AD8" w:rsidR="00071C3B">
        <w:rPr>
          <w:rFonts w:ascii="Palatino Linotype" w:hAnsi="Palatino Linotype"/>
          <w:sz w:val="24"/>
          <w:szCs w:val="24"/>
        </w:rPr>
        <w:t xml:space="preserve">response, SWG addressed each of the points raised in </w:t>
      </w:r>
      <w:r w:rsidR="00461373">
        <w:rPr>
          <w:rFonts w:ascii="Palatino Linotype" w:hAnsi="Palatino Linotype"/>
          <w:sz w:val="24"/>
          <w:szCs w:val="24"/>
        </w:rPr>
        <w:t xml:space="preserve">the </w:t>
      </w:r>
      <w:r w:rsidRPr="001E4AD8" w:rsidR="00071C3B">
        <w:rPr>
          <w:rFonts w:ascii="Palatino Linotype" w:hAnsi="Palatino Linotype"/>
          <w:sz w:val="24"/>
          <w:szCs w:val="24"/>
        </w:rPr>
        <w:t xml:space="preserve">Cal Advocates protest. </w:t>
      </w:r>
      <w:r w:rsidRPr="001E4AD8" w:rsidR="00857453">
        <w:rPr>
          <w:rFonts w:ascii="Palatino Linotype" w:hAnsi="Palatino Linotype"/>
          <w:sz w:val="24"/>
          <w:szCs w:val="24"/>
        </w:rPr>
        <w:t xml:space="preserve">In relation to </w:t>
      </w:r>
      <w:r w:rsidRPr="001E4AD8" w:rsidR="00F50498">
        <w:rPr>
          <w:rFonts w:ascii="Palatino Linotype" w:hAnsi="Palatino Linotype"/>
          <w:sz w:val="24"/>
          <w:szCs w:val="24"/>
        </w:rPr>
        <w:t xml:space="preserve">demonstrating </w:t>
      </w:r>
      <w:r w:rsidRPr="001E4AD8" w:rsidR="00DD0FCA">
        <w:rPr>
          <w:rFonts w:ascii="Palatino Linotype" w:hAnsi="Palatino Linotype"/>
          <w:sz w:val="24"/>
          <w:szCs w:val="24"/>
        </w:rPr>
        <w:t xml:space="preserve">the need for increased EE budgets due to </w:t>
      </w:r>
      <w:r w:rsidR="008D0F95">
        <w:rPr>
          <w:rFonts w:ascii="Palatino Linotype" w:hAnsi="Palatino Linotype"/>
          <w:sz w:val="24"/>
          <w:szCs w:val="24"/>
        </w:rPr>
        <w:t>its</w:t>
      </w:r>
      <w:r w:rsidRPr="001E4AD8" w:rsidR="008D0F95">
        <w:rPr>
          <w:rFonts w:ascii="Palatino Linotype" w:hAnsi="Palatino Linotype"/>
          <w:sz w:val="24"/>
          <w:szCs w:val="24"/>
        </w:rPr>
        <w:t xml:space="preserve"> </w:t>
      </w:r>
      <w:r w:rsidRPr="001E4AD8" w:rsidR="001A4070">
        <w:rPr>
          <w:rFonts w:ascii="Palatino Linotype" w:hAnsi="Palatino Linotype"/>
          <w:sz w:val="24"/>
          <w:szCs w:val="24"/>
        </w:rPr>
        <w:t>current</w:t>
      </w:r>
      <w:r w:rsidRPr="001E4AD8" w:rsidR="00DD0FCA">
        <w:rPr>
          <w:rFonts w:ascii="Palatino Linotype" w:hAnsi="Palatino Linotype"/>
          <w:sz w:val="24"/>
          <w:szCs w:val="24"/>
        </w:rPr>
        <w:t xml:space="preserve"> authorized budgets being nearly spent</w:t>
      </w:r>
      <w:r w:rsidRPr="001E4AD8" w:rsidR="00F50498">
        <w:rPr>
          <w:rFonts w:ascii="Palatino Linotype" w:hAnsi="Palatino Linotype"/>
          <w:sz w:val="24"/>
          <w:szCs w:val="24"/>
        </w:rPr>
        <w:t xml:space="preserve">, SWG </w:t>
      </w:r>
      <w:r w:rsidRPr="001E4AD8" w:rsidR="00DD0FCA">
        <w:rPr>
          <w:rFonts w:ascii="Palatino Linotype" w:hAnsi="Palatino Linotype"/>
          <w:sz w:val="24"/>
          <w:szCs w:val="24"/>
        </w:rPr>
        <w:t>show</w:t>
      </w:r>
      <w:r w:rsidR="001A4070">
        <w:rPr>
          <w:rFonts w:ascii="Palatino Linotype" w:hAnsi="Palatino Linotype"/>
          <w:sz w:val="24"/>
          <w:szCs w:val="24"/>
        </w:rPr>
        <w:t>ed</w:t>
      </w:r>
      <w:r w:rsidRPr="001E4AD8" w:rsidR="00DD0FCA">
        <w:rPr>
          <w:rFonts w:ascii="Palatino Linotype" w:hAnsi="Palatino Linotype"/>
          <w:sz w:val="24"/>
          <w:szCs w:val="24"/>
        </w:rPr>
        <w:t xml:space="preserve"> that it spent a</w:t>
      </w:r>
      <w:r w:rsidRPr="001E4AD8" w:rsidR="00A6025D">
        <w:rPr>
          <w:rFonts w:ascii="Palatino Linotype" w:hAnsi="Palatino Linotype"/>
          <w:sz w:val="24"/>
          <w:szCs w:val="24"/>
        </w:rPr>
        <w:t xml:space="preserve"> total </w:t>
      </w:r>
      <w:r w:rsidRPr="001E4AD8" w:rsidR="00DD0FCA">
        <w:rPr>
          <w:rFonts w:ascii="Palatino Linotype" w:hAnsi="Palatino Linotype"/>
          <w:sz w:val="24"/>
          <w:szCs w:val="24"/>
        </w:rPr>
        <w:t>of</w:t>
      </w:r>
      <w:r w:rsidRPr="001E4AD8" w:rsidR="00A6025D">
        <w:rPr>
          <w:rFonts w:ascii="Palatino Linotype" w:hAnsi="Palatino Linotype"/>
          <w:sz w:val="24"/>
          <w:szCs w:val="24"/>
        </w:rPr>
        <w:t xml:space="preserve"> $241,000 </w:t>
      </w:r>
      <w:r w:rsidRPr="001E4AD8" w:rsidR="00DD0FCA">
        <w:rPr>
          <w:rFonts w:ascii="Palatino Linotype" w:hAnsi="Palatino Linotype"/>
          <w:sz w:val="24"/>
          <w:szCs w:val="24"/>
        </w:rPr>
        <w:t xml:space="preserve">in 2022, </w:t>
      </w:r>
      <w:r w:rsidRPr="001E4AD8" w:rsidR="00075ECF">
        <w:rPr>
          <w:rFonts w:ascii="Palatino Linotype" w:hAnsi="Palatino Linotype"/>
          <w:sz w:val="24"/>
          <w:szCs w:val="24"/>
        </w:rPr>
        <w:t>which</w:t>
      </w:r>
      <w:r w:rsidRPr="001E4AD8" w:rsidR="00A6025D">
        <w:rPr>
          <w:rFonts w:ascii="Palatino Linotype" w:hAnsi="Palatino Linotype"/>
          <w:sz w:val="24"/>
          <w:szCs w:val="24"/>
        </w:rPr>
        <w:t xml:space="preserve"> is very close to that of</w:t>
      </w:r>
      <w:r w:rsidRPr="001E4AD8" w:rsidR="00075ECF">
        <w:rPr>
          <w:rFonts w:ascii="Palatino Linotype" w:hAnsi="Palatino Linotype"/>
          <w:sz w:val="24"/>
          <w:szCs w:val="24"/>
        </w:rPr>
        <w:t xml:space="preserve"> its</w:t>
      </w:r>
      <w:r w:rsidRPr="001E4AD8" w:rsidR="00A6025D">
        <w:rPr>
          <w:rFonts w:ascii="Palatino Linotype" w:hAnsi="Palatino Linotype"/>
          <w:sz w:val="24"/>
          <w:szCs w:val="24"/>
        </w:rPr>
        <w:t xml:space="preserve"> 2021</w:t>
      </w:r>
      <w:r w:rsidRPr="001E4AD8" w:rsidR="00075ECF">
        <w:rPr>
          <w:rFonts w:ascii="Palatino Linotype" w:hAnsi="Palatino Linotype"/>
          <w:sz w:val="24"/>
          <w:szCs w:val="24"/>
        </w:rPr>
        <w:t xml:space="preserve"> </w:t>
      </w:r>
      <w:r w:rsidR="008D0F95">
        <w:rPr>
          <w:rFonts w:ascii="Palatino Linotype" w:hAnsi="Palatino Linotype"/>
          <w:sz w:val="24"/>
          <w:szCs w:val="24"/>
        </w:rPr>
        <w:t>spending</w:t>
      </w:r>
      <w:r w:rsidRPr="001E4AD8" w:rsidR="00075ECF">
        <w:rPr>
          <w:rFonts w:ascii="Palatino Linotype" w:hAnsi="Palatino Linotype"/>
          <w:sz w:val="24"/>
          <w:szCs w:val="24"/>
        </w:rPr>
        <w:t xml:space="preserve"> of $243,919.</w:t>
      </w:r>
      <w:r w:rsidRPr="001E4AD8" w:rsidR="00A6025D">
        <w:rPr>
          <w:rFonts w:ascii="Palatino Linotype" w:hAnsi="Palatino Linotype"/>
          <w:sz w:val="24"/>
          <w:szCs w:val="24"/>
        </w:rPr>
        <w:t xml:space="preserve"> </w:t>
      </w:r>
      <w:r w:rsidR="00E468CB">
        <w:rPr>
          <w:rFonts w:ascii="Palatino Linotype" w:hAnsi="Palatino Linotype"/>
          <w:sz w:val="24"/>
          <w:szCs w:val="24"/>
        </w:rPr>
        <w:t>All</w:t>
      </w:r>
      <w:r w:rsidR="00FE19EE">
        <w:rPr>
          <w:rFonts w:ascii="Palatino Linotype" w:hAnsi="Palatino Linotype"/>
          <w:sz w:val="24"/>
          <w:szCs w:val="24"/>
        </w:rPr>
        <w:t xml:space="preserve"> </w:t>
      </w:r>
      <w:r w:rsidR="00E01DD3">
        <w:rPr>
          <w:rFonts w:ascii="Palatino Linotype" w:hAnsi="Palatino Linotype"/>
          <w:sz w:val="24"/>
          <w:szCs w:val="24"/>
        </w:rPr>
        <w:t xml:space="preserve">of </w:t>
      </w:r>
      <w:r w:rsidR="00FE19EE">
        <w:rPr>
          <w:rFonts w:ascii="Palatino Linotype" w:hAnsi="Palatino Linotype"/>
          <w:sz w:val="24"/>
          <w:szCs w:val="24"/>
        </w:rPr>
        <w:t>this was spent on SWG’s</w:t>
      </w:r>
      <w:r w:rsidRPr="00FE19EE" w:rsidR="00FE19EE">
        <w:rPr>
          <w:rFonts w:ascii="Palatino Linotype" w:hAnsi="Palatino Linotype"/>
          <w:sz w:val="24"/>
          <w:szCs w:val="24"/>
        </w:rPr>
        <w:t xml:space="preserve"> Residential and Commercial</w:t>
      </w:r>
      <w:r w:rsidR="00FE19EE">
        <w:rPr>
          <w:rFonts w:ascii="Palatino Linotype" w:hAnsi="Palatino Linotype"/>
          <w:sz w:val="24"/>
          <w:szCs w:val="24"/>
        </w:rPr>
        <w:t xml:space="preserve"> </w:t>
      </w:r>
      <w:r w:rsidRPr="00FE19EE" w:rsidR="00FE19EE">
        <w:rPr>
          <w:rFonts w:ascii="Palatino Linotype" w:hAnsi="Palatino Linotype"/>
          <w:sz w:val="24"/>
          <w:szCs w:val="24"/>
        </w:rPr>
        <w:t>Equipment Rebate Programs</w:t>
      </w:r>
      <w:r w:rsidR="00E01DD3">
        <w:rPr>
          <w:rFonts w:ascii="Palatino Linotype" w:hAnsi="Palatino Linotype"/>
          <w:sz w:val="24"/>
          <w:szCs w:val="24"/>
        </w:rPr>
        <w:t>;</w:t>
      </w:r>
      <w:r w:rsidRPr="00FE19EE" w:rsidR="00FE19EE">
        <w:rPr>
          <w:rFonts w:ascii="Palatino Linotype" w:hAnsi="Palatino Linotype"/>
          <w:sz w:val="24"/>
          <w:szCs w:val="24"/>
        </w:rPr>
        <w:t xml:space="preserve"> </w:t>
      </w:r>
      <w:r w:rsidR="00333700">
        <w:rPr>
          <w:rFonts w:ascii="Palatino Linotype" w:hAnsi="Palatino Linotype"/>
          <w:sz w:val="24"/>
          <w:szCs w:val="24"/>
        </w:rPr>
        <w:t>SWG</w:t>
      </w:r>
      <w:r w:rsidRPr="00FE19EE" w:rsidR="00333700">
        <w:rPr>
          <w:rFonts w:ascii="Palatino Linotype" w:hAnsi="Palatino Linotype"/>
          <w:sz w:val="24"/>
          <w:szCs w:val="24"/>
        </w:rPr>
        <w:t xml:space="preserve"> </w:t>
      </w:r>
      <w:r w:rsidRPr="00FE19EE" w:rsidR="00FE19EE">
        <w:rPr>
          <w:rFonts w:ascii="Palatino Linotype" w:hAnsi="Palatino Linotype"/>
          <w:sz w:val="24"/>
          <w:szCs w:val="24"/>
        </w:rPr>
        <w:t xml:space="preserve">was </w:t>
      </w:r>
      <w:r w:rsidR="00E01DD3">
        <w:rPr>
          <w:rFonts w:ascii="Palatino Linotype" w:hAnsi="Palatino Linotype"/>
          <w:sz w:val="24"/>
          <w:szCs w:val="24"/>
        </w:rPr>
        <w:t>un</w:t>
      </w:r>
      <w:r w:rsidRPr="00FE19EE" w:rsidR="00FE19EE">
        <w:rPr>
          <w:rFonts w:ascii="Palatino Linotype" w:hAnsi="Palatino Linotype"/>
          <w:sz w:val="24"/>
          <w:szCs w:val="24"/>
        </w:rPr>
        <w:t xml:space="preserve">able to implement </w:t>
      </w:r>
      <w:r w:rsidRPr="00594225" w:rsidR="00594225">
        <w:rPr>
          <w:rFonts w:ascii="Palatino Linotype" w:hAnsi="Palatino Linotype"/>
          <w:sz w:val="24"/>
          <w:szCs w:val="24"/>
        </w:rPr>
        <w:t>Residential Equipment Direct-Install (RED)</w:t>
      </w:r>
      <w:r w:rsidR="00E01DD3">
        <w:rPr>
          <w:rFonts w:ascii="Palatino Linotype" w:hAnsi="Palatino Linotype"/>
          <w:sz w:val="24"/>
          <w:szCs w:val="24"/>
        </w:rPr>
        <w:t>,</w:t>
      </w:r>
      <w:r w:rsidRPr="00FE19EE" w:rsidR="00FE19EE">
        <w:rPr>
          <w:rFonts w:ascii="Palatino Linotype" w:hAnsi="Palatino Linotype"/>
          <w:sz w:val="24"/>
          <w:szCs w:val="24"/>
        </w:rPr>
        <w:t xml:space="preserve"> New Home Rebates</w:t>
      </w:r>
      <w:r w:rsidR="00E01DD3">
        <w:rPr>
          <w:rFonts w:ascii="Palatino Linotype" w:hAnsi="Palatino Linotype"/>
          <w:sz w:val="24"/>
          <w:szCs w:val="24"/>
        </w:rPr>
        <w:t>,</w:t>
      </w:r>
      <w:r w:rsidRPr="00FE19EE" w:rsidR="00FE19EE">
        <w:rPr>
          <w:rFonts w:ascii="Palatino Linotype" w:hAnsi="Palatino Linotype"/>
          <w:sz w:val="24"/>
          <w:szCs w:val="24"/>
        </w:rPr>
        <w:t xml:space="preserve"> or</w:t>
      </w:r>
      <w:r w:rsidR="00FE19EE">
        <w:rPr>
          <w:rFonts w:ascii="Palatino Linotype" w:hAnsi="Palatino Linotype"/>
          <w:sz w:val="24"/>
          <w:szCs w:val="24"/>
        </w:rPr>
        <w:t xml:space="preserve"> </w:t>
      </w:r>
      <w:r w:rsidRPr="00FE19EE" w:rsidR="00FE19EE">
        <w:rPr>
          <w:rFonts w:ascii="Palatino Linotype" w:hAnsi="Palatino Linotype"/>
          <w:sz w:val="24"/>
          <w:szCs w:val="24"/>
        </w:rPr>
        <w:t xml:space="preserve">Solar Thermal Rebate programs during the 2021 or 2022 program years </w:t>
      </w:r>
      <w:r w:rsidRPr="00FE19EE" w:rsidR="00E01DD3">
        <w:rPr>
          <w:rFonts w:ascii="Palatino Linotype" w:hAnsi="Palatino Linotype"/>
          <w:sz w:val="24"/>
          <w:szCs w:val="24"/>
        </w:rPr>
        <w:t xml:space="preserve">primarily </w:t>
      </w:r>
      <w:r w:rsidRPr="00FE19EE" w:rsidR="00FE19EE">
        <w:rPr>
          <w:rFonts w:ascii="Palatino Linotype" w:hAnsi="Palatino Linotype"/>
          <w:sz w:val="24"/>
          <w:szCs w:val="24"/>
        </w:rPr>
        <w:t>due to</w:t>
      </w:r>
      <w:r w:rsidR="00FE19EE">
        <w:rPr>
          <w:rFonts w:ascii="Palatino Linotype" w:hAnsi="Palatino Linotype"/>
          <w:sz w:val="24"/>
          <w:szCs w:val="24"/>
        </w:rPr>
        <w:t xml:space="preserve"> </w:t>
      </w:r>
      <w:r w:rsidRPr="00FE19EE" w:rsidR="00FE19EE">
        <w:rPr>
          <w:rFonts w:ascii="Palatino Linotype" w:hAnsi="Palatino Linotype"/>
          <w:sz w:val="24"/>
          <w:szCs w:val="24"/>
        </w:rPr>
        <w:t>a lack of available program funding.</w:t>
      </w:r>
    </w:p>
    <w:p w:rsidR="003A643D" w:rsidP="0038361B" w:rsidRDefault="003A643D" w14:paraId="62B73531" w14:textId="77777777">
      <w:pPr>
        <w:rPr>
          <w:rFonts w:ascii="Palatino Linotype" w:hAnsi="Palatino Linotype"/>
          <w:sz w:val="24"/>
          <w:szCs w:val="24"/>
        </w:rPr>
      </w:pPr>
    </w:p>
    <w:p w:rsidRPr="001E4AD8" w:rsidR="00DC3FCC" w:rsidP="0038361B" w:rsidRDefault="00967C8F" w14:paraId="23CA0EEF" w14:textId="3B051280">
      <w:pPr>
        <w:rPr>
          <w:rFonts w:ascii="Palatino Linotype" w:hAnsi="Palatino Linotype"/>
          <w:sz w:val="24"/>
          <w:szCs w:val="24"/>
        </w:rPr>
      </w:pPr>
      <w:r>
        <w:rPr>
          <w:rFonts w:ascii="Palatino Linotype" w:hAnsi="Palatino Linotype"/>
          <w:sz w:val="24"/>
          <w:szCs w:val="24"/>
        </w:rPr>
        <w:t xml:space="preserve">The </w:t>
      </w:r>
      <w:r w:rsidR="007F02E7">
        <w:rPr>
          <w:rFonts w:ascii="Palatino Linotype" w:hAnsi="Palatino Linotype"/>
          <w:sz w:val="24"/>
          <w:szCs w:val="24"/>
        </w:rPr>
        <w:t xml:space="preserve">Cal Advocates protest </w:t>
      </w:r>
      <w:r>
        <w:rPr>
          <w:rFonts w:ascii="Palatino Linotype" w:hAnsi="Palatino Linotype"/>
          <w:sz w:val="24"/>
          <w:szCs w:val="24"/>
        </w:rPr>
        <w:t xml:space="preserve">asserted </w:t>
      </w:r>
      <w:r w:rsidR="007F02E7">
        <w:rPr>
          <w:rFonts w:ascii="Palatino Linotype" w:hAnsi="Palatino Linotype"/>
          <w:sz w:val="24"/>
          <w:szCs w:val="24"/>
        </w:rPr>
        <w:t>that</w:t>
      </w:r>
      <w:r>
        <w:rPr>
          <w:rFonts w:ascii="Palatino Linotype" w:hAnsi="Palatino Linotype"/>
          <w:sz w:val="24"/>
          <w:szCs w:val="24"/>
        </w:rPr>
        <w:t>,</w:t>
      </w:r>
      <w:r w:rsidR="007F02E7">
        <w:rPr>
          <w:rFonts w:ascii="Palatino Linotype" w:hAnsi="Palatino Linotype"/>
          <w:sz w:val="24"/>
          <w:szCs w:val="24"/>
        </w:rPr>
        <w:t xml:space="preserve"> </w:t>
      </w:r>
      <w:r w:rsidR="00D3149E">
        <w:rPr>
          <w:rFonts w:ascii="Palatino Linotype" w:hAnsi="Palatino Linotype"/>
          <w:sz w:val="24"/>
          <w:szCs w:val="24"/>
        </w:rPr>
        <w:t>since</w:t>
      </w:r>
      <w:r w:rsidR="007F02E7">
        <w:rPr>
          <w:rFonts w:ascii="Palatino Linotype" w:hAnsi="Palatino Linotype"/>
          <w:sz w:val="24"/>
          <w:szCs w:val="24"/>
        </w:rPr>
        <w:t xml:space="preserve"> SWG</w:t>
      </w:r>
      <w:r w:rsidR="00D3149E">
        <w:rPr>
          <w:rFonts w:ascii="Palatino Linotype" w:hAnsi="Palatino Linotype"/>
          <w:sz w:val="24"/>
          <w:szCs w:val="24"/>
        </w:rPr>
        <w:t xml:space="preserve"> did</w:t>
      </w:r>
      <w:r w:rsidR="007F02E7">
        <w:rPr>
          <w:rFonts w:ascii="Palatino Linotype" w:hAnsi="Palatino Linotype"/>
          <w:sz w:val="24"/>
          <w:szCs w:val="24"/>
        </w:rPr>
        <w:t xml:space="preserve"> not spend the entire $250,000 </w:t>
      </w:r>
      <w:r w:rsidR="00444D0B">
        <w:rPr>
          <w:rFonts w:ascii="Palatino Linotype" w:hAnsi="Palatino Linotype"/>
          <w:sz w:val="24"/>
          <w:szCs w:val="24"/>
        </w:rPr>
        <w:br/>
      </w:r>
      <w:r w:rsidR="007F02E7">
        <w:rPr>
          <w:rFonts w:ascii="Palatino Linotype" w:hAnsi="Palatino Linotype"/>
          <w:sz w:val="24"/>
          <w:szCs w:val="24"/>
        </w:rPr>
        <w:t>of CEE annual budget</w:t>
      </w:r>
      <w:r w:rsidR="00326957">
        <w:rPr>
          <w:rFonts w:ascii="Palatino Linotype" w:hAnsi="Palatino Linotype"/>
          <w:sz w:val="24"/>
          <w:szCs w:val="24"/>
        </w:rPr>
        <w:t>,</w:t>
      </w:r>
      <w:r w:rsidR="007F02E7">
        <w:rPr>
          <w:rFonts w:ascii="Palatino Linotype" w:hAnsi="Palatino Linotype"/>
          <w:sz w:val="24"/>
          <w:szCs w:val="24"/>
        </w:rPr>
        <w:t xml:space="preserve"> demand for these programs</w:t>
      </w:r>
      <w:r w:rsidRPr="009F7284" w:rsidR="009F7284">
        <w:rPr>
          <w:rFonts w:ascii="Palatino Linotype" w:hAnsi="Palatino Linotype"/>
          <w:sz w:val="24"/>
          <w:szCs w:val="24"/>
        </w:rPr>
        <w:t xml:space="preserve"> </w:t>
      </w:r>
      <w:r w:rsidR="009F7284">
        <w:rPr>
          <w:rFonts w:ascii="Palatino Linotype" w:hAnsi="Palatino Linotype"/>
          <w:sz w:val="24"/>
          <w:szCs w:val="24"/>
        </w:rPr>
        <w:t>was lacking</w:t>
      </w:r>
      <w:r w:rsidR="007F02E7">
        <w:rPr>
          <w:rFonts w:ascii="Palatino Linotype" w:hAnsi="Palatino Linotype"/>
          <w:sz w:val="24"/>
          <w:szCs w:val="24"/>
        </w:rPr>
        <w:t>. SWG replied that</w:t>
      </w:r>
      <w:r w:rsidR="00033B6A">
        <w:rPr>
          <w:rFonts w:ascii="Palatino Linotype" w:hAnsi="Palatino Linotype"/>
          <w:sz w:val="24"/>
          <w:szCs w:val="24"/>
        </w:rPr>
        <w:t>,</w:t>
      </w:r>
      <w:r w:rsidR="007F02E7">
        <w:rPr>
          <w:rFonts w:ascii="Palatino Linotype" w:hAnsi="Palatino Linotype"/>
          <w:sz w:val="24"/>
          <w:szCs w:val="24"/>
        </w:rPr>
        <w:t xml:space="preserve"> </w:t>
      </w:r>
      <w:r w:rsidR="00EB2F7E">
        <w:rPr>
          <w:rFonts w:ascii="Palatino Linotype" w:hAnsi="Palatino Linotype"/>
          <w:sz w:val="24"/>
          <w:szCs w:val="24"/>
        </w:rPr>
        <w:t>because</w:t>
      </w:r>
      <w:r w:rsidR="00333700">
        <w:rPr>
          <w:rFonts w:ascii="Palatino Linotype" w:hAnsi="Palatino Linotype"/>
          <w:sz w:val="24"/>
          <w:szCs w:val="24"/>
        </w:rPr>
        <w:t xml:space="preserve"> </w:t>
      </w:r>
      <w:r w:rsidRPr="001E4AD8" w:rsidR="00075ECF">
        <w:rPr>
          <w:rFonts w:ascii="Palatino Linotype" w:hAnsi="Palatino Linotype"/>
          <w:sz w:val="24"/>
          <w:szCs w:val="24"/>
        </w:rPr>
        <w:t xml:space="preserve">the </w:t>
      </w:r>
      <w:r w:rsidRPr="001E4AD8" w:rsidR="0038361B">
        <w:rPr>
          <w:rFonts w:ascii="Palatino Linotype" w:hAnsi="Palatino Linotype"/>
          <w:sz w:val="24"/>
          <w:szCs w:val="24"/>
        </w:rPr>
        <w:t>Conservation and Energy Efficiency Balancing Account (CEEBA)</w:t>
      </w:r>
      <w:r w:rsidR="0074530D">
        <w:rPr>
          <w:rFonts w:ascii="Palatino Linotype" w:hAnsi="Palatino Linotype"/>
          <w:sz w:val="24"/>
          <w:szCs w:val="24"/>
        </w:rPr>
        <w:t xml:space="preserve"> </w:t>
      </w:r>
      <w:r w:rsidR="00EB2F7E">
        <w:rPr>
          <w:rFonts w:ascii="Palatino Linotype" w:hAnsi="Palatino Linotype"/>
          <w:sz w:val="24"/>
          <w:szCs w:val="24"/>
        </w:rPr>
        <w:t xml:space="preserve">is </w:t>
      </w:r>
      <w:r w:rsidR="00452C43">
        <w:rPr>
          <w:rFonts w:ascii="Palatino Linotype" w:hAnsi="Palatino Linotype"/>
          <w:sz w:val="24"/>
          <w:szCs w:val="24"/>
        </w:rPr>
        <w:br/>
      </w:r>
      <w:r w:rsidR="0074530D">
        <w:rPr>
          <w:rFonts w:ascii="Palatino Linotype" w:hAnsi="Palatino Linotype"/>
          <w:sz w:val="24"/>
          <w:szCs w:val="24"/>
        </w:rPr>
        <w:lastRenderedPageBreak/>
        <w:t>a one-way balancing account</w:t>
      </w:r>
      <w:r w:rsidRPr="001E4AD8" w:rsidR="0038361B">
        <w:rPr>
          <w:rFonts w:ascii="Palatino Linotype" w:hAnsi="Palatino Linotype"/>
          <w:sz w:val="24"/>
          <w:szCs w:val="24"/>
        </w:rPr>
        <w:t xml:space="preserve">, </w:t>
      </w:r>
      <w:r w:rsidR="00E644D7">
        <w:rPr>
          <w:rFonts w:ascii="Palatino Linotype" w:hAnsi="Palatino Linotype"/>
          <w:sz w:val="24"/>
          <w:szCs w:val="24"/>
        </w:rPr>
        <w:t xml:space="preserve">SWG necessarily </w:t>
      </w:r>
      <w:r w:rsidRPr="001E4AD8" w:rsidR="005E5D42">
        <w:rPr>
          <w:rFonts w:ascii="Palatino Linotype" w:hAnsi="Palatino Linotype"/>
          <w:sz w:val="24"/>
          <w:szCs w:val="24"/>
        </w:rPr>
        <w:t>must manage its CEE program expenses to ensure it spends less than the authorized amount annually. During 2021 and 2022, had the Company implemented its Commission</w:t>
      </w:r>
      <w:r w:rsidR="00077627">
        <w:rPr>
          <w:rFonts w:ascii="Palatino Linotype" w:hAnsi="Palatino Linotype"/>
          <w:sz w:val="24"/>
          <w:szCs w:val="24"/>
        </w:rPr>
        <w:t>-</w:t>
      </w:r>
      <w:r w:rsidRPr="001E4AD8" w:rsidR="005E5D42">
        <w:rPr>
          <w:rFonts w:ascii="Palatino Linotype" w:hAnsi="Palatino Linotype"/>
          <w:sz w:val="24"/>
          <w:szCs w:val="24"/>
        </w:rPr>
        <w:t>approved Residential Equipment Direct-Install (RED), New Home Rebates, and Solar Thermal Rebate program</w:t>
      </w:r>
      <w:r w:rsidR="00077627">
        <w:rPr>
          <w:rFonts w:ascii="Palatino Linotype" w:hAnsi="Palatino Linotype"/>
          <w:sz w:val="24"/>
          <w:szCs w:val="24"/>
        </w:rPr>
        <w:t>s</w:t>
      </w:r>
      <w:r w:rsidRPr="001E4AD8" w:rsidR="005E5D42">
        <w:rPr>
          <w:rFonts w:ascii="Palatino Linotype" w:hAnsi="Palatino Linotype"/>
          <w:sz w:val="24"/>
          <w:szCs w:val="24"/>
        </w:rPr>
        <w:t xml:space="preserve">, it would have exceeded the cost allowed by its current $250,000 budget given the </w:t>
      </w:r>
      <w:r w:rsidR="00077627">
        <w:rPr>
          <w:rFonts w:ascii="Palatino Linotype" w:hAnsi="Palatino Linotype"/>
          <w:sz w:val="24"/>
          <w:szCs w:val="24"/>
        </w:rPr>
        <w:t xml:space="preserve">actual </w:t>
      </w:r>
      <w:r w:rsidRPr="001E4AD8" w:rsidR="005E5D42">
        <w:rPr>
          <w:rFonts w:ascii="Palatino Linotype" w:hAnsi="Palatino Linotype"/>
          <w:sz w:val="24"/>
          <w:szCs w:val="24"/>
        </w:rPr>
        <w:t>spend was so close to its allowed budget.</w:t>
      </w:r>
      <w:r w:rsidR="009C00B6">
        <w:rPr>
          <w:rFonts w:ascii="Palatino Linotype" w:hAnsi="Palatino Linotype"/>
          <w:sz w:val="24"/>
          <w:szCs w:val="24"/>
        </w:rPr>
        <w:t xml:space="preserve"> </w:t>
      </w:r>
    </w:p>
    <w:p w:rsidR="00F2037D" w:rsidRDefault="00F2037D" w14:paraId="18AA96EB" w14:textId="77777777">
      <w:pPr>
        <w:rPr>
          <w:rFonts w:ascii="Palatino Linotype" w:hAnsi="Palatino Linotype" w:cs="Palatino"/>
          <w:b/>
          <w:bCs/>
          <w:color w:val="000000"/>
          <w:sz w:val="24"/>
          <w:szCs w:val="24"/>
        </w:rPr>
      </w:pPr>
    </w:p>
    <w:p w:rsidRPr="00896642" w:rsidR="001B791C" w:rsidRDefault="001B791C" w14:paraId="1F3F2304" w14:textId="4D7B3A0A">
      <w:pPr>
        <w:rPr>
          <w:rFonts w:ascii="Palatino Linotype" w:hAnsi="Palatino Linotype" w:cs="Palatino"/>
          <w:color w:val="000000"/>
          <w:sz w:val="24"/>
          <w:szCs w:val="24"/>
        </w:rPr>
      </w:pPr>
      <w:r w:rsidRPr="00896642">
        <w:rPr>
          <w:rFonts w:ascii="Palatino Linotype" w:hAnsi="Palatino Linotype" w:cs="Palatino"/>
          <w:color w:val="000000" w:themeColor="text1"/>
          <w:sz w:val="24"/>
          <w:szCs w:val="24"/>
        </w:rPr>
        <w:t xml:space="preserve">SWG </w:t>
      </w:r>
      <w:r w:rsidRPr="5D910161" w:rsidR="00DE5C88">
        <w:rPr>
          <w:rFonts w:ascii="Palatino Linotype" w:hAnsi="Palatino Linotype" w:cs="Palatino"/>
          <w:color w:val="000000" w:themeColor="text1"/>
          <w:sz w:val="24"/>
          <w:szCs w:val="24"/>
        </w:rPr>
        <w:t>responded</w:t>
      </w:r>
      <w:r w:rsidRPr="5D910161" w:rsidR="483C9B6D">
        <w:rPr>
          <w:rFonts w:ascii="Palatino Linotype" w:hAnsi="Palatino Linotype" w:cs="Palatino"/>
          <w:color w:val="000000" w:themeColor="text1"/>
          <w:sz w:val="24"/>
          <w:szCs w:val="24"/>
        </w:rPr>
        <w:t xml:space="preserve"> to</w:t>
      </w:r>
      <w:r w:rsidRPr="5D910161" w:rsidR="00A72321">
        <w:rPr>
          <w:rFonts w:ascii="Palatino Linotype" w:hAnsi="Palatino Linotype" w:cs="Palatino"/>
          <w:color w:val="000000" w:themeColor="text1"/>
          <w:sz w:val="24"/>
          <w:szCs w:val="24"/>
        </w:rPr>
        <w:t xml:space="preserve"> </w:t>
      </w:r>
      <w:r w:rsidR="00077627">
        <w:rPr>
          <w:rFonts w:ascii="Palatino Linotype" w:hAnsi="Palatino Linotype" w:cs="Palatino"/>
          <w:color w:val="000000" w:themeColor="text1"/>
          <w:sz w:val="24"/>
          <w:szCs w:val="24"/>
        </w:rPr>
        <w:t xml:space="preserve">the </w:t>
      </w:r>
      <w:r w:rsidRPr="5D910161" w:rsidR="000D0E98">
        <w:rPr>
          <w:rFonts w:ascii="Palatino Linotype" w:hAnsi="Palatino Linotype" w:cs="Palatino"/>
          <w:color w:val="000000" w:themeColor="text1"/>
          <w:sz w:val="24"/>
          <w:szCs w:val="24"/>
        </w:rPr>
        <w:t xml:space="preserve">Cal Advocates protest regarding forecast methodology of these budgets by providing </w:t>
      </w:r>
      <w:r w:rsidRPr="5D910161" w:rsidR="006B26AB">
        <w:rPr>
          <w:rFonts w:ascii="Palatino Linotype" w:hAnsi="Palatino Linotype" w:cs="Palatino"/>
          <w:color w:val="000000" w:themeColor="text1"/>
          <w:sz w:val="24"/>
          <w:szCs w:val="24"/>
        </w:rPr>
        <w:t xml:space="preserve">details on how </w:t>
      </w:r>
      <w:r w:rsidRPr="001E4AD8" w:rsidR="006B26AB">
        <w:rPr>
          <w:rFonts w:ascii="Palatino Linotype" w:hAnsi="Palatino Linotype"/>
          <w:sz w:val="24"/>
          <w:szCs w:val="24"/>
        </w:rPr>
        <w:t xml:space="preserve">SWG engaged implementation contractors </w:t>
      </w:r>
      <w:r w:rsidR="006B26AB">
        <w:rPr>
          <w:rFonts w:ascii="Palatino Linotype" w:hAnsi="Palatino Linotype"/>
          <w:sz w:val="24"/>
          <w:szCs w:val="24"/>
        </w:rPr>
        <w:t xml:space="preserve">and </w:t>
      </w:r>
      <w:r w:rsidRPr="001E4AD8" w:rsidR="006B26AB">
        <w:rPr>
          <w:rFonts w:ascii="Palatino Linotype" w:hAnsi="Palatino Linotype"/>
          <w:sz w:val="24"/>
          <w:szCs w:val="24"/>
        </w:rPr>
        <w:t>assessed customer</w:t>
      </w:r>
      <w:r w:rsidR="00877248">
        <w:rPr>
          <w:rFonts w:ascii="Palatino Linotype" w:hAnsi="Palatino Linotype"/>
          <w:sz w:val="24"/>
          <w:szCs w:val="24"/>
        </w:rPr>
        <w:t xml:space="preserve"> demand for these programs</w:t>
      </w:r>
      <w:r w:rsidRPr="001E4AD8" w:rsidR="006B26AB">
        <w:rPr>
          <w:rFonts w:ascii="Palatino Linotype" w:hAnsi="Palatino Linotype"/>
          <w:sz w:val="24"/>
          <w:szCs w:val="24"/>
        </w:rPr>
        <w:t xml:space="preserve">. </w:t>
      </w:r>
      <w:r w:rsidR="00CF771C">
        <w:rPr>
          <w:rFonts w:ascii="Palatino Linotype" w:hAnsi="Palatino Linotype"/>
          <w:sz w:val="24"/>
          <w:szCs w:val="24"/>
        </w:rPr>
        <w:t>SWG</w:t>
      </w:r>
      <w:r w:rsidRPr="001E4AD8" w:rsidR="006B26AB">
        <w:rPr>
          <w:rFonts w:ascii="Palatino Linotype" w:hAnsi="Palatino Linotype"/>
          <w:sz w:val="24"/>
          <w:szCs w:val="24"/>
        </w:rPr>
        <w:t xml:space="preserve"> </w:t>
      </w:r>
      <w:r w:rsidR="00877248">
        <w:rPr>
          <w:rFonts w:ascii="Palatino Linotype" w:hAnsi="Palatino Linotype"/>
          <w:sz w:val="24"/>
          <w:szCs w:val="24"/>
        </w:rPr>
        <w:t>identified</w:t>
      </w:r>
      <w:r w:rsidRPr="001E4AD8" w:rsidR="006B26AB">
        <w:rPr>
          <w:rFonts w:ascii="Palatino Linotype" w:hAnsi="Palatino Linotype"/>
          <w:sz w:val="24"/>
          <w:szCs w:val="24"/>
        </w:rPr>
        <w:t xml:space="preserve"> between 57 to 111 potential customers for the RED program</w:t>
      </w:r>
      <w:r w:rsidR="008851B4">
        <w:rPr>
          <w:rFonts w:ascii="Palatino Linotype" w:hAnsi="Palatino Linotype"/>
          <w:sz w:val="24"/>
          <w:szCs w:val="24"/>
        </w:rPr>
        <w:t>. E</w:t>
      </w:r>
      <w:r w:rsidRPr="001E4AD8" w:rsidR="006B26AB">
        <w:rPr>
          <w:rFonts w:ascii="Palatino Linotype" w:hAnsi="Palatino Linotype"/>
          <w:sz w:val="24"/>
          <w:szCs w:val="24"/>
        </w:rPr>
        <w:t xml:space="preserve">ach set of RED treatments are estimated to cost about $1,100 per customer so the estimated spend could range from $62,700 to $122,100. Given that the RED program does not have an income </w:t>
      </w:r>
      <w:r w:rsidR="00B25683">
        <w:rPr>
          <w:rFonts w:ascii="Palatino Linotype" w:hAnsi="Palatino Linotype"/>
          <w:sz w:val="24"/>
          <w:szCs w:val="24"/>
        </w:rPr>
        <w:t>restriction</w:t>
      </w:r>
      <w:r w:rsidRPr="001E4AD8" w:rsidR="00B25683">
        <w:rPr>
          <w:rFonts w:ascii="Palatino Linotype" w:hAnsi="Palatino Linotype"/>
          <w:sz w:val="24"/>
          <w:szCs w:val="24"/>
        </w:rPr>
        <w:t xml:space="preserve"> </w:t>
      </w:r>
      <w:r w:rsidR="005F16F5">
        <w:rPr>
          <w:rFonts w:ascii="Palatino Linotype" w:hAnsi="Palatino Linotype"/>
          <w:sz w:val="24"/>
          <w:szCs w:val="24"/>
        </w:rPr>
        <w:t>as</w:t>
      </w:r>
      <w:r w:rsidRPr="001E4AD8" w:rsidR="005F16F5">
        <w:rPr>
          <w:rFonts w:ascii="Palatino Linotype" w:hAnsi="Palatino Linotype"/>
          <w:sz w:val="24"/>
          <w:szCs w:val="24"/>
        </w:rPr>
        <w:t xml:space="preserve"> </w:t>
      </w:r>
      <w:r w:rsidR="005F16F5">
        <w:rPr>
          <w:rFonts w:ascii="Palatino Linotype" w:hAnsi="Palatino Linotype"/>
          <w:sz w:val="24"/>
          <w:szCs w:val="24"/>
        </w:rPr>
        <w:t xml:space="preserve">the Energy Savings Assistance Program </w:t>
      </w:r>
      <w:r w:rsidR="00A50C0C">
        <w:rPr>
          <w:rFonts w:ascii="Palatino Linotype" w:hAnsi="Palatino Linotype"/>
          <w:sz w:val="24"/>
          <w:szCs w:val="24"/>
        </w:rPr>
        <w:t xml:space="preserve">(ESA) </w:t>
      </w:r>
      <w:r w:rsidR="005F16F5">
        <w:rPr>
          <w:rFonts w:ascii="Palatino Linotype" w:hAnsi="Palatino Linotype"/>
          <w:sz w:val="24"/>
          <w:szCs w:val="24"/>
        </w:rPr>
        <w:t>does</w:t>
      </w:r>
      <w:r w:rsidRPr="001E4AD8" w:rsidR="006B26AB">
        <w:rPr>
          <w:rFonts w:ascii="Palatino Linotype" w:hAnsi="Palatino Linotype"/>
          <w:sz w:val="24"/>
          <w:szCs w:val="24"/>
        </w:rPr>
        <w:t xml:space="preserve">, </w:t>
      </w:r>
      <w:r w:rsidR="00473335">
        <w:rPr>
          <w:rFonts w:ascii="Palatino Linotype" w:hAnsi="Palatino Linotype"/>
          <w:sz w:val="24"/>
          <w:szCs w:val="24"/>
        </w:rPr>
        <w:t>SWG</w:t>
      </w:r>
      <w:r w:rsidRPr="001E4AD8" w:rsidR="006B26AB">
        <w:rPr>
          <w:rFonts w:ascii="Palatino Linotype" w:hAnsi="Palatino Linotype"/>
          <w:sz w:val="24"/>
          <w:szCs w:val="24"/>
        </w:rPr>
        <w:t xml:space="preserve"> estimates that the potential </w:t>
      </w:r>
      <w:r w:rsidR="00F71E02">
        <w:rPr>
          <w:rFonts w:ascii="Palatino Linotype" w:hAnsi="Palatino Linotype"/>
          <w:sz w:val="24"/>
          <w:szCs w:val="24"/>
        </w:rPr>
        <w:t>customer</w:t>
      </w:r>
      <w:r w:rsidRPr="001E4AD8" w:rsidR="00F71E02">
        <w:rPr>
          <w:rFonts w:ascii="Palatino Linotype" w:hAnsi="Palatino Linotype"/>
          <w:sz w:val="24"/>
          <w:szCs w:val="24"/>
        </w:rPr>
        <w:t xml:space="preserve"> </w:t>
      </w:r>
      <w:r w:rsidRPr="001E4AD8" w:rsidR="006B26AB">
        <w:rPr>
          <w:rFonts w:ascii="Palatino Linotype" w:hAnsi="Palatino Linotype"/>
          <w:sz w:val="24"/>
          <w:szCs w:val="24"/>
        </w:rPr>
        <w:t>pool will be larger.</w:t>
      </w:r>
      <w:r w:rsidR="006B26AB">
        <w:rPr>
          <w:rFonts w:ascii="Palatino Linotype" w:hAnsi="Palatino Linotype"/>
          <w:sz w:val="24"/>
          <w:szCs w:val="24"/>
        </w:rPr>
        <w:t xml:space="preserve"> </w:t>
      </w:r>
      <w:r w:rsidRPr="001E4AD8" w:rsidR="006B26AB">
        <w:rPr>
          <w:rFonts w:ascii="Palatino Linotype" w:hAnsi="Palatino Linotype"/>
          <w:sz w:val="24"/>
          <w:szCs w:val="24"/>
        </w:rPr>
        <w:t>SWG also state</w:t>
      </w:r>
      <w:r w:rsidR="006B26AB">
        <w:rPr>
          <w:rFonts w:ascii="Palatino Linotype" w:hAnsi="Palatino Linotype"/>
          <w:sz w:val="24"/>
          <w:szCs w:val="24"/>
        </w:rPr>
        <w:t xml:space="preserve">d in </w:t>
      </w:r>
      <w:r w:rsidR="00473335">
        <w:rPr>
          <w:rFonts w:ascii="Palatino Linotype" w:hAnsi="Palatino Linotype"/>
          <w:sz w:val="24"/>
          <w:szCs w:val="24"/>
        </w:rPr>
        <w:t xml:space="preserve">its </w:t>
      </w:r>
      <w:r w:rsidR="006B26AB">
        <w:rPr>
          <w:rFonts w:ascii="Palatino Linotype" w:hAnsi="Palatino Linotype"/>
          <w:sz w:val="24"/>
          <w:szCs w:val="24"/>
        </w:rPr>
        <w:t>Reply to Protest</w:t>
      </w:r>
      <w:r w:rsidRPr="001E4AD8" w:rsidR="006B26AB">
        <w:rPr>
          <w:rFonts w:ascii="Palatino Linotype" w:hAnsi="Palatino Linotype"/>
          <w:sz w:val="24"/>
          <w:szCs w:val="24"/>
        </w:rPr>
        <w:t xml:space="preserve"> that </w:t>
      </w:r>
      <w:r w:rsidR="00473335">
        <w:rPr>
          <w:rFonts w:ascii="Palatino Linotype" w:hAnsi="Palatino Linotype"/>
          <w:sz w:val="24"/>
          <w:szCs w:val="24"/>
        </w:rPr>
        <w:t>it</w:t>
      </w:r>
      <w:r w:rsidRPr="001E4AD8" w:rsidR="00473335">
        <w:rPr>
          <w:rFonts w:ascii="Palatino Linotype" w:hAnsi="Palatino Linotype"/>
          <w:sz w:val="24"/>
          <w:szCs w:val="24"/>
        </w:rPr>
        <w:t xml:space="preserve"> </w:t>
      </w:r>
      <w:r w:rsidR="00473335">
        <w:rPr>
          <w:rFonts w:ascii="Palatino Linotype" w:hAnsi="Palatino Linotype"/>
          <w:sz w:val="24"/>
          <w:szCs w:val="24"/>
        </w:rPr>
        <w:t>has</w:t>
      </w:r>
      <w:r w:rsidRPr="001E4AD8" w:rsidR="00473335">
        <w:rPr>
          <w:rFonts w:ascii="Palatino Linotype" w:hAnsi="Palatino Linotype"/>
          <w:sz w:val="24"/>
          <w:szCs w:val="24"/>
        </w:rPr>
        <w:t xml:space="preserve"> </w:t>
      </w:r>
      <w:r w:rsidRPr="001E4AD8" w:rsidR="006B26AB">
        <w:rPr>
          <w:rFonts w:ascii="Palatino Linotype" w:hAnsi="Palatino Linotype"/>
          <w:sz w:val="24"/>
          <w:szCs w:val="24"/>
        </w:rPr>
        <w:t>identified significant interest among implementation contractors in the deployment of the New Homes rebate program in California</w:t>
      </w:r>
      <w:r w:rsidR="0080044E">
        <w:rPr>
          <w:rFonts w:ascii="Palatino Linotype" w:hAnsi="Palatino Linotype"/>
          <w:sz w:val="24"/>
          <w:szCs w:val="24"/>
        </w:rPr>
        <w:t xml:space="preserve">, and </w:t>
      </w:r>
      <w:r w:rsidR="002B2C17">
        <w:rPr>
          <w:rFonts w:ascii="Palatino Linotype" w:hAnsi="Palatino Linotype"/>
          <w:sz w:val="24"/>
          <w:szCs w:val="24"/>
        </w:rPr>
        <w:t xml:space="preserve">has </w:t>
      </w:r>
      <w:r w:rsidR="0080044E">
        <w:rPr>
          <w:rFonts w:ascii="Palatino Linotype" w:hAnsi="Palatino Linotype"/>
          <w:sz w:val="24"/>
          <w:szCs w:val="24"/>
        </w:rPr>
        <w:t xml:space="preserve">estimated the demand in the California market </w:t>
      </w:r>
      <w:r w:rsidR="008F72D0">
        <w:rPr>
          <w:rFonts w:ascii="Palatino Linotype" w:hAnsi="Palatino Linotype"/>
          <w:sz w:val="24"/>
          <w:szCs w:val="24"/>
        </w:rPr>
        <w:t xml:space="preserve">compared to similar circumstances and programs </w:t>
      </w:r>
      <w:r w:rsidR="00F71E02">
        <w:rPr>
          <w:rFonts w:ascii="Palatino Linotype" w:hAnsi="Palatino Linotype"/>
          <w:sz w:val="24"/>
          <w:szCs w:val="24"/>
        </w:rPr>
        <w:t>it has</w:t>
      </w:r>
      <w:r w:rsidR="008F72D0">
        <w:rPr>
          <w:rFonts w:ascii="Palatino Linotype" w:hAnsi="Palatino Linotype"/>
          <w:sz w:val="24"/>
          <w:szCs w:val="24"/>
        </w:rPr>
        <w:t xml:space="preserve"> implemented in Arizona</w:t>
      </w:r>
      <w:r w:rsidRPr="001E4AD8" w:rsidR="006B26AB">
        <w:rPr>
          <w:rFonts w:ascii="Palatino Linotype" w:hAnsi="Palatino Linotype"/>
          <w:sz w:val="24"/>
          <w:szCs w:val="24"/>
        </w:rPr>
        <w:t xml:space="preserve">. </w:t>
      </w:r>
    </w:p>
    <w:p w:rsidRPr="001E4AD8" w:rsidR="001B791C" w:rsidRDefault="001B791C" w14:paraId="478FE072" w14:textId="77777777">
      <w:pPr>
        <w:rPr>
          <w:rFonts w:ascii="Palatino Linotype" w:hAnsi="Palatino Linotype" w:cs="Palatino"/>
          <w:b/>
          <w:bCs/>
          <w:color w:val="000000"/>
          <w:sz w:val="24"/>
          <w:szCs w:val="24"/>
        </w:rPr>
      </w:pPr>
    </w:p>
    <w:p w:rsidR="00F2037D" w:rsidRDefault="002B2C17" w14:paraId="5069A53A" w14:textId="6CD9D0E0">
      <w:pPr>
        <w:rPr>
          <w:rFonts w:ascii="Palatino Linotype" w:hAnsi="Palatino Linotype"/>
          <w:sz w:val="24"/>
          <w:szCs w:val="24"/>
        </w:rPr>
      </w:pPr>
      <w:r>
        <w:rPr>
          <w:rFonts w:ascii="Palatino Linotype" w:hAnsi="Palatino Linotype"/>
          <w:sz w:val="24"/>
          <w:szCs w:val="24"/>
        </w:rPr>
        <w:t xml:space="preserve">In its Reply to Protest, </w:t>
      </w:r>
      <w:r w:rsidRPr="001E4AD8" w:rsidR="00460C46">
        <w:rPr>
          <w:rFonts w:ascii="Palatino Linotype" w:hAnsi="Palatino Linotype"/>
          <w:sz w:val="24"/>
          <w:szCs w:val="24"/>
        </w:rPr>
        <w:t>SWG</w:t>
      </w:r>
      <w:r w:rsidR="00F147C2">
        <w:rPr>
          <w:rFonts w:ascii="Palatino Linotype" w:hAnsi="Palatino Linotype"/>
          <w:sz w:val="24"/>
          <w:szCs w:val="24"/>
        </w:rPr>
        <w:t xml:space="preserve"> also</w:t>
      </w:r>
      <w:r w:rsidRPr="001E4AD8" w:rsidR="00460C46">
        <w:rPr>
          <w:rFonts w:ascii="Palatino Linotype" w:hAnsi="Palatino Linotype"/>
          <w:sz w:val="24"/>
          <w:szCs w:val="24"/>
        </w:rPr>
        <w:t xml:space="preserve"> propose</w:t>
      </w:r>
      <w:r w:rsidR="001A4070">
        <w:rPr>
          <w:rFonts w:ascii="Palatino Linotype" w:hAnsi="Palatino Linotype"/>
          <w:sz w:val="24"/>
          <w:szCs w:val="24"/>
        </w:rPr>
        <w:t>d</w:t>
      </w:r>
      <w:r w:rsidRPr="001E4AD8" w:rsidR="00460C46">
        <w:rPr>
          <w:rFonts w:ascii="Palatino Linotype" w:hAnsi="Palatino Linotype"/>
          <w:sz w:val="24"/>
          <w:szCs w:val="24"/>
        </w:rPr>
        <w:t xml:space="preserve"> an alternative</w:t>
      </w:r>
      <w:r w:rsidR="00E468CB">
        <w:rPr>
          <w:rFonts w:ascii="Palatino Linotype" w:hAnsi="Palatino Linotype"/>
          <w:sz w:val="24"/>
          <w:szCs w:val="24"/>
        </w:rPr>
        <w:t xml:space="preserve"> funding approach</w:t>
      </w:r>
      <w:r w:rsidR="00F147C2">
        <w:rPr>
          <w:rFonts w:ascii="Palatino Linotype" w:hAnsi="Palatino Linotype"/>
          <w:sz w:val="24"/>
          <w:szCs w:val="24"/>
        </w:rPr>
        <w:t xml:space="preserve"> for the CEE programs</w:t>
      </w:r>
      <w:r w:rsidR="006B0505">
        <w:rPr>
          <w:rFonts w:ascii="Palatino Linotype" w:hAnsi="Palatino Linotype"/>
          <w:sz w:val="24"/>
          <w:szCs w:val="24"/>
        </w:rPr>
        <w:t>,</w:t>
      </w:r>
      <w:r w:rsidRPr="001E4AD8" w:rsidR="00460C46">
        <w:rPr>
          <w:rFonts w:ascii="Palatino Linotype" w:hAnsi="Palatino Linotype"/>
          <w:sz w:val="24"/>
          <w:szCs w:val="24"/>
        </w:rPr>
        <w:t xml:space="preserve"> </w:t>
      </w:r>
      <w:r w:rsidR="006B0505">
        <w:rPr>
          <w:rFonts w:ascii="Palatino Linotype" w:hAnsi="Palatino Linotype"/>
          <w:sz w:val="24"/>
          <w:szCs w:val="24"/>
        </w:rPr>
        <w:t xml:space="preserve">in the event </w:t>
      </w:r>
      <w:r w:rsidRPr="001E4AD8" w:rsidR="00061666">
        <w:rPr>
          <w:rFonts w:ascii="Palatino Linotype" w:hAnsi="Palatino Linotype"/>
          <w:sz w:val="24"/>
          <w:szCs w:val="24"/>
        </w:rPr>
        <w:t xml:space="preserve">the Commission </w:t>
      </w:r>
      <w:r w:rsidR="00392E31">
        <w:rPr>
          <w:rFonts w:ascii="Palatino Linotype" w:hAnsi="Palatino Linotype"/>
          <w:sz w:val="24"/>
          <w:szCs w:val="24"/>
        </w:rPr>
        <w:t>did</w:t>
      </w:r>
      <w:r w:rsidRPr="001E4AD8" w:rsidR="00061666">
        <w:rPr>
          <w:rFonts w:ascii="Palatino Linotype" w:hAnsi="Palatino Linotype"/>
          <w:sz w:val="24"/>
          <w:szCs w:val="24"/>
        </w:rPr>
        <w:t xml:space="preserve"> not grant </w:t>
      </w:r>
      <w:r w:rsidR="00720E4D">
        <w:rPr>
          <w:rFonts w:ascii="Palatino Linotype" w:hAnsi="Palatino Linotype"/>
          <w:sz w:val="24"/>
          <w:szCs w:val="24"/>
        </w:rPr>
        <w:t xml:space="preserve">the </w:t>
      </w:r>
      <w:r w:rsidR="00392E31">
        <w:rPr>
          <w:rFonts w:ascii="Palatino Linotype" w:hAnsi="Palatino Linotype"/>
          <w:sz w:val="24"/>
          <w:szCs w:val="24"/>
        </w:rPr>
        <w:t xml:space="preserve">primary </w:t>
      </w:r>
      <w:r w:rsidR="00720E4D">
        <w:rPr>
          <w:rFonts w:ascii="Palatino Linotype" w:hAnsi="Palatino Linotype"/>
          <w:sz w:val="24"/>
          <w:szCs w:val="24"/>
        </w:rPr>
        <w:t>request in AL 1243-G</w:t>
      </w:r>
      <w:r w:rsidR="00F147C2">
        <w:rPr>
          <w:rFonts w:ascii="Palatino Linotype" w:hAnsi="Palatino Linotype"/>
          <w:sz w:val="24"/>
          <w:szCs w:val="24"/>
        </w:rPr>
        <w:t>. This alternative was also intended to be responsive to the protest from Cal Advocates, and</w:t>
      </w:r>
      <w:r w:rsidR="00720E4D">
        <w:rPr>
          <w:rFonts w:ascii="Palatino Linotype" w:hAnsi="Palatino Linotype"/>
          <w:sz w:val="24"/>
          <w:szCs w:val="24"/>
        </w:rPr>
        <w:t xml:space="preserve"> contained three parts:</w:t>
      </w:r>
    </w:p>
    <w:p w:rsidR="00452C43" w:rsidRDefault="00452C43" w14:paraId="7B2F2146" w14:textId="5A1C7D07">
      <w:pPr>
        <w:rPr>
          <w:rFonts w:ascii="Palatino Linotype" w:hAnsi="Palatino Linotype"/>
          <w:sz w:val="24"/>
          <w:szCs w:val="24"/>
        </w:rPr>
      </w:pPr>
    </w:p>
    <w:p w:rsidRPr="001E4AD8" w:rsidR="00460C46" w:rsidP="00460C46" w:rsidRDefault="00460C46" w14:paraId="720E9DA8" w14:textId="44C8D3BD">
      <w:pPr>
        <w:pStyle w:val="ListParagraph"/>
        <w:numPr>
          <w:ilvl w:val="0"/>
          <w:numId w:val="14"/>
        </w:numPr>
        <w:rPr>
          <w:rFonts w:ascii="Palatino Linotype" w:hAnsi="Palatino Linotype"/>
          <w:sz w:val="24"/>
          <w:szCs w:val="24"/>
        </w:rPr>
      </w:pPr>
      <w:r w:rsidRPr="001E4AD8">
        <w:rPr>
          <w:rFonts w:ascii="Palatino Linotype" w:hAnsi="Palatino Linotype"/>
          <w:sz w:val="24"/>
          <w:szCs w:val="24"/>
        </w:rPr>
        <w:t xml:space="preserve">Southwest Gas is authorized </w:t>
      </w:r>
      <w:r w:rsidR="008914B9">
        <w:rPr>
          <w:rFonts w:ascii="Palatino Linotype" w:hAnsi="Palatino Linotype"/>
          <w:sz w:val="24"/>
          <w:szCs w:val="24"/>
        </w:rPr>
        <w:t>to</w:t>
      </w:r>
      <w:r w:rsidRPr="001E4AD8" w:rsidR="008914B9">
        <w:rPr>
          <w:rFonts w:ascii="Palatino Linotype" w:hAnsi="Palatino Linotype"/>
          <w:sz w:val="24"/>
          <w:szCs w:val="24"/>
        </w:rPr>
        <w:t xml:space="preserve"> </w:t>
      </w:r>
      <w:r w:rsidRPr="001E4AD8">
        <w:rPr>
          <w:rFonts w:ascii="Palatino Linotype" w:hAnsi="Palatino Linotype"/>
          <w:sz w:val="24"/>
          <w:szCs w:val="24"/>
        </w:rPr>
        <w:t>increase its annual CEE program budget to $500</w:t>
      </w:r>
      <w:r w:rsidR="008914B9">
        <w:rPr>
          <w:rFonts w:ascii="Palatino Linotype" w:hAnsi="Palatino Linotype"/>
          <w:sz w:val="24"/>
          <w:szCs w:val="24"/>
        </w:rPr>
        <w:t>,000</w:t>
      </w:r>
      <w:r w:rsidRPr="001E4AD8">
        <w:rPr>
          <w:rFonts w:ascii="Palatino Linotype" w:hAnsi="Palatino Linotype"/>
          <w:sz w:val="24"/>
          <w:szCs w:val="24"/>
        </w:rPr>
        <w:t xml:space="preserve"> from 2023 through 2025. </w:t>
      </w:r>
    </w:p>
    <w:p w:rsidRPr="001E4AD8" w:rsidR="00460C46" w:rsidP="00460C46" w:rsidRDefault="008914B9" w14:paraId="193E9900" w14:textId="676FC8B5">
      <w:pPr>
        <w:pStyle w:val="ListParagraph"/>
        <w:numPr>
          <w:ilvl w:val="0"/>
          <w:numId w:val="14"/>
        </w:numPr>
        <w:rPr>
          <w:rFonts w:ascii="Palatino Linotype" w:hAnsi="Palatino Linotype"/>
          <w:sz w:val="24"/>
          <w:szCs w:val="24"/>
        </w:rPr>
      </w:pPr>
      <w:r>
        <w:rPr>
          <w:rFonts w:ascii="Palatino Linotype" w:hAnsi="Palatino Linotype"/>
          <w:sz w:val="24"/>
          <w:szCs w:val="24"/>
        </w:rPr>
        <w:t>SWG</w:t>
      </w:r>
      <w:r w:rsidRPr="001E4AD8" w:rsidR="00460C46">
        <w:rPr>
          <w:rFonts w:ascii="Palatino Linotype" w:hAnsi="Palatino Linotype"/>
          <w:sz w:val="24"/>
          <w:szCs w:val="24"/>
        </w:rPr>
        <w:t>’</w:t>
      </w:r>
      <w:r>
        <w:rPr>
          <w:rFonts w:ascii="Palatino Linotype" w:hAnsi="Palatino Linotype"/>
          <w:sz w:val="24"/>
          <w:szCs w:val="24"/>
        </w:rPr>
        <w:t>s</w:t>
      </w:r>
      <w:r w:rsidRPr="001E4AD8" w:rsidR="00460C46">
        <w:rPr>
          <w:rFonts w:ascii="Palatino Linotype" w:hAnsi="Palatino Linotype"/>
          <w:sz w:val="24"/>
          <w:szCs w:val="24"/>
        </w:rPr>
        <w:t xml:space="preserve"> annual CEEBA surcharge will be based on the annual authorized budget of $250,000 per D.21-03-052. </w:t>
      </w:r>
    </w:p>
    <w:p w:rsidRPr="001E4AD8" w:rsidR="00460C46" w:rsidP="00460C46" w:rsidRDefault="00460C46" w14:paraId="666563CC" w14:textId="4673B9CB">
      <w:pPr>
        <w:pStyle w:val="ListParagraph"/>
        <w:numPr>
          <w:ilvl w:val="0"/>
          <w:numId w:val="14"/>
        </w:numPr>
        <w:rPr>
          <w:rFonts w:ascii="Palatino Linotype" w:hAnsi="Palatino Linotype"/>
          <w:sz w:val="24"/>
          <w:szCs w:val="24"/>
        </w:rPr>
      </w:pPr>
      <w:r w:rsidRPr="001E4AD8">
        <w:rPr>
          <w:rFonts w:ascii="Palatino Linotype" w:hAnsi="Palatino Linotype"/>
          <w:sz w:val="24"/>
          <w:szCs w:val="24"/>
        </w:rPr>
        <w:t>Any amount spent above $250,000, up to $500,000</w:t>
      </w:r>
      <w:r w:rsidR="002F5830">
        <w:rPr>
          <w:rFonts w:ascii="Palatino Linotype" w:hAnsi="Palatino Linotype"/>
          <w:sz w:val="24"/>
          <w:szCs w:val="24"/>
        </w:rPr>
        <w:t>,</w:t>
      </w:r>
      <w:r w:rsidRPr="001E4AD8">
        <w:rPr>
          <w:rFonts w:ascii="Palatino Linotype" w:hAnsi="Palatino Linotype"/>
          <w:sz w:val="24"/>
          <w:szCs w:val="24"/>
        </w:rPr>
        <w:t xml:space="preserve"> will be recorded in the CEEBA and recovered from customers the year after it is actually spent, i.e., any additional CEE program dollars expended in 2023 will be included in rates for recovery in 2024.</w:t>
      </w:r>
    </w:p>
    <w:p w:rsidRPr="00D865A9" w:rsidR="00CF17DE" w:rsidRDefault="00CF17DE" w14:paraId="7D3916F3" w14:textId="77777777">
      <w:pPr>
        <w:rPr>
          <w:rFonts w:ascii="Palatino Linotype" w:hAnsi="Palatino Linotype"/>
          <w:sz w:val="24"/>
          <w:szCs w:val="24"/>
        </w:rPr>
      </w:pPr>
    </w:p>
    <w:p w:rsidRPr="00D865A9" w:rsidR="00CF17DE" w:rsidRDefault="00CF17DE" w14:paraId="23E10AE5" w14:textId="77777777">
      <w:pPr>
        <w:pStyle w:val="Heading1"/>
        <w:rPr>
          <w:rFonts w:ascii="Palatino Linotype" w:hAnsi="Palatino Linotype"/>
          <w:sz w:val="24"/>
          <w:szCs w:val="24"/>
        </w:rPr>
      </w:pPr>
      <w:r w:rsidRPr="00D865A9">
        <w:rPr>
          <w:rFonts w:ascii="Palatino Linotype" w:hAnsi="Palatino Linotype"/>
          <w:sz w:val="24"/>
          <w:szCs w:val="24"/>
        </w:rPr>
        <w:t>Discussion</w:t>
      </w:r>
    </w:p>
    <w:p w:rsidR="000E7595" w:rsidP="000E7595" w:rsidRDefault="00A32525" w14:paraId="5F725009" w14:textId="551A2CA7">
      <w:pPr>
        <w:rPr>
          <w:rFonts w:ascii="Palatino Linotype" w:hAnsi="Palatino Linotype"/>
          <w:sz w:val="24"/>
          <w:szCs w:val="24"/>
        </w:rPr>
      </w:pPr>
      <w:r w:rsidRPr="000C06E4">
        <w:rPr>
          <w:rFonts w:ascii="Palatino Linotype" w:hAnsi="Palatino Linotype"/>
          <w:sz w:val="24"/>
          <w:szCs w:val="24"/>
        </w:rPr>
        <w:t>The Commission</w:t>
      </w:r>
      <w:r w:rsidRPr="000C06E4" w:rsidR="00CF17DE">
        <w:rPr>
          <w:rFonts w:ascii="Palatino Linotype" w:hAnsi="Palatino Linotype"/>
          <w:sz w:val="24"/>
          <w:szCs w:val="24"/>
        </w:rPr>
        <w:t xml:space="preserve"> has reviewed</w:t>
      </w:r>
      <w:r w:rsidRPr="000C06E4">
        <w:rPr>
          <w:rFonts w:ascii="Palatino Linotype" w:hAnsi="Palatino Linotype"/>
          <w:sz w:val="24"/>
          <w:szCs w:val="24"/>
        </w:rPr>
        <w:t xml:space="preserve"> Advice Letter</w:t>
      </w:r>
      <w:r w:rsidRPr="000C06E4" w:rsidR="003E1DAF">
        <w:rPr>
          <w:rFonts w:ascii="Palatino Linotype" w:hAnsi="Palatino Linotype"/>
          <w:sz w:val="24"/>
          <w:szCs w:val="24"/>
        </w:rPr>
        <w:t xml:space="preserve"> </w:t>
      </w:r>
      <w:r w:rsidR="00EF5E7C">
        <w:rPr>
          <w:rFonts w:ascii="Palatino Linotype" w:hAnsi="Palatino Linotype"/>
          <w:sz w:val="24"/>
          <w:szCs w:val="24"/>
        </w:rPr>
        <w:t xml:space="preserve">1243-G </w:t>
      </w:r>
      <w:r w:rsidRPr="000C06E4">
        <w:rPr>
          <w:rFonts w:ascii="Palatino Linotype" w:hAnsi="Palatino Linotype"/>
          <w:sz w:val="24"/>
          <w:szCs w:val="24"/>
        </w:rPr>
        <w:t>and finds</w:t>
      </w:r>
      <w:r w:rsidRPr="000C06E4" w:rsidR="003E1DAF">
        <w:rPr>
          <w:rFonts w:ascii="Palatino Linotype" w:hAnsi="Palatino Linotype"/>
          <w:sz w:val="24"/>
          <w:szCs w:val="24"/>
        </w:rPr>
        <w:t xml:space="preserve"> that SWG’s timing of this funding request, the use of a Tier 3 AL</w:t>
      </w:r>
      <w:r w:rsidR="008647E0">
        <w:rPr>
          <w:rFonts w:ascii="Palatino Linotype" w:hAnsi="Palatino Linotype"/>
          <w:sz w:val="24"/>
          <w:szCs w:val="24"/>
        </w:rPr>
        <w:t>,</w:t>
      </w:r>
      <w:r w:rsidRPr="000C06E4" w:rsidR="003E1DAF">
        <w:rPr>
          <w:rFonts w:ascii="Palatino Linotype" w:hAnsi="Palatino Linotype"/>
          <w:sz w:val="24"/>
          <w:szCs w:val="24"/>
        </w:rPr>
        <w:t xml:space="preserve"> and </w:t>
      </w:r>
      <w:r w:rsidR="001C4A8F">
        <w:rPr>
          <w:rFonts w:ascii="Palatino Linotype" w:hAnsi="Palatino Linotype"/>
          <w:sz w:val="24"/>
          <w:szCs w:val="24"/>
        </w:rPr>
        <w:t xml:space="preserve">the amount requested are </w:t>
      </w:r>
      <w:r w:rsidRPr="000C06E4" w:rsidR="003E1DAF">
        <w:rPr>
          <w:rFonts w:ascii="Palatino Linotype" w:hAnsi="Palatino Linotype"/>
          <w:sz w:val="24"/>
          <w:szCs w:val="24"/>
        </w:rPr>
        <w:t>complian</w:t>
      </w:r>
      <w:r w:rsidR="008647E0">
        <w:rPr>
          <w:rFonts w:ascii="Palatino Linotype" w:hAnsi="Palatino Linotype"/>
          <w:sz w:val="24"/>
          <w:szCs w:val="24"/>
        </w:rPr>
        <w:t>t</w:t>
      </w:r>
      <w:r w:rsidRPr="000C06E4" w:rsidR="003E1DAF">
        <w:rPr>
          <w:rFonts w:ascii="Palatino Linotype" w:hAnsi="Palatino Linotype"/>
          <w:sz w:val="24"/>
          <w:szCs w:val="24"/>
        </w:rPr>
        <w:t xml:space="preserve"> </w:t>
      </w:r>
      <w:r w:rsidR="008647E0">
        <w:rPr>
          <w:rFonts w:ascii="Palatino Linotype" w:hAnsi="Palatino Linotype"/>
          <w:sz w:val="24"/>
          <w:szCs w:val="24"/>
        </w:rPr>
        <w:t>with</w:t>
      </w:r>
      <w:r w:rsidRPr="000C06E4" w:rsidR="003E1DAF">
        <w:rPr>
          <w:rFonts w:ascii="Palatino Linotype" w:hAnsi="Palatino Linotype"/>
          <w:sz w:val="24"/>
          <w:szCs w:val="24"/>
        </w:rPr>
        <w:t xml:space="preserve"> the Settlement Agreement in D.21-03-052. </w:t>
      </w:r>
      <w:r w:rsidR="00102B43">
        <w:rPr>
          <w:rFonts w:ascii="Palatino Linotype" w:hAnsi="Palatino Linotype"/>
          <w:sz w:val="24"/>
          <w:szCs w:val="24"/>
        </w:rPr>
        <w:t xml:space="preserve">Further, SWG has demonstrated that </w:t>
      </w:r>
      <w:r w:rsidR="00391A40">
        <w:rPr>
          <w:rFonts w:ascii="Palatino Linotype" w:hAnsi="Palatino Linotype"/>
          <w:sz w:val="24"/>
          <w:szCs w:val="24"/>
        </w:rPr>
        <w:t xml:space="preserve">its </w:t>
      </w:r>
      <w:r w:rsidR="00102B43">
        <w:rPr>
          <w:rFonts w:ascii="Palatino Linotype" w:hAnsi="Palatino Linotype"/>
          <w:sz w:val="24"/>
          <w:szCs w:val="24"/>
        </w:rPr>
        <w:lastRenderedPageBreak/>
        <w:t>request for additional budget is reasonable and justified</w:t>
      </w:r>
      <w:r w:rsidR="00847759">
        <w:rPr>
          <w:rFonts w:ascii="Palatino Linotype" w:hAnsi="Palatino Linotype"/>
          <w:sz w:val="24"/>
          <w:szCs w:val="24"/>
        </w:rPr>
        <w:t xml:space="preserve">. </w:t>
      </w:r>
      <w:r w:rsidR="00020107">
        <w:rPr>
          <w:rFonts w:ascii="Palatino Linotype" w:hAnsi="Palatino Linotype"/>
          <w:sz w:val="24"/>
          <w:szCs w:val="24"/>
        </w:rPr>
        <w:t xml:space="preserve">The Commission </w:t>
      </w:r>
      <w:r w:rsidR="000E7595">
        <w:rPr>
          <w:rFonts w:ascii="Palatino Linotype" w:hAnsi="Palatino Linotype"/>
          <w:sz w:val="24"/>
          <w:szCs w:val="24"/>
        </w:rPr>
        <w:t>find</w:t>
      </w:r>
      <w:r w:rsidR="00020107">
        <w:rPr>
          <w:rFonts w:ascii="Palatino Linotype" w:hAnsi="Palatino Linotype"/>
          <w:sz w:val="24"/>
          <w:szCs w:val="24"/>
        </w:rPr>
        <w:t>s</w:t>
      </w:r>
      <w:r w:rsidR="000E7595">
        <w:rPr>
          <w:rFonts w:ascii="Palatino Linotype" w:hAnsi="Palatino Linotype"/>
          <w:sz w:val="24"/>
          <w:szCs w:val="24"/>
        </w:rPr>
        <w:t xml:space="preserve"> that SWG sufficiently addresses </w:t>
      </w:r>
      <w:r w:rsidR="00717683">
        <w:rPr>
          <w:rFonts w:ascii="Palatino Linotype" w:hAnsi="Palatino Linotype"/>
          <w:sz w:val="24"/>
          <w:szCs w:val="24"/>
        </w:rPr>
        <w:t xml:space="preserve">the </w:t>
      </w:r>
      <w:r w:rsidR="000E7595">
        <w:rPr>
          <w:rFonts w:ascii="Palatino Linotype" w:hAnsi="Palatino Linotype"/>
          <w:sz w:val="24"/>
          <w:szCs w:val="24"/>
        </w:rPr>
        <w:t xml:space="preserve">Cal Advocates protest in </w:t>
      </w:r>
      <w:r w:rsidR="000174B1">
        <w:rPr>
          <w:rFonts w:ascii="Palatino Linotype" w:hAnsi="Palatino Linotype"/>
          <w:sz w:val="24"/>
          <w:szCs w:val="24"/>
        </w:rPr>
        <w:t xml:space="preserve">its </w:t>
      </w:r>
      <w:r w:rsidR="000E7595">
        <w:rPr>
          <w:rFonts w:ascii="Palatino Linotype" w:hAnsi="Palatino Linotype"/>
          <w:sz w:val="24"/>
          <w:szCs w:val="24"/>
        </w:rPr>
        <w:t>Reply to Protest</w:t>
      </w:r>
      <w:r w:rsidR="00D30FDA">
        <w:rPr>
          <w:rFonts w:ascii="Palatino Linotype" w:hAnsi="Palatino Linotype"/>
          <w:sz w:val="24"/>
          <w:szCs w:val="24"/>
        </w:rPr>
        <w:t>, and w</w:t>
      </w:r>
      <w:r w:rsidR="00C93FF9">
        <w:rPr>
          <w:rFonts w:ascii="Palatino Linotype" w:hAnsi="Palatino Linotype"/>
          <w:sz w:val="24"/>
          <w:szCs w:val="24"/>
        </w:rPr>
        <w:t xml:space="preserve">e do not agree with Cal Advocates that SWG failed to demonstrate demand for </w:t>
      </w:r>
      <w:r w:rsidR="00B74224">
        <w:rPr>
          <w:rFonts w:ascii="Palatino Linotype" w:hAnsi="Palatino Linotype"/>
          <w:sz w:val="24"/>
          <w:szCs w:val="24"/>
        </w:rPr>
        <w:t xml:space="preserve">increasing </w:t>
      </w:r>
      <w:r w:rsidR="00C93FF9">
        <w:rPr>
          <w:rFonts w:ascii="Palatino Linotype" w:hAnsi="Palatino Linotype"/>
          <w:sz w:val="24"/>
          <w:szCs w:val="24"/>
        </w:rPr>
        <w:t xml:space="preserve">SWG’s CEE </w:t>
      </w:r>
      <w:r w:rsidRPr="00AD6F93" w:rsidR="00C93FF9">
        <w:rPr>
          <w:rFonts w:ascii="Palatino Linotype" w:hAnsi="Palatino Linotype"/>
          <w:sz w:val="24"/>
          <w:szCs w:val="24"/>
        </w:rPr>
        <w:t>program</w:t>
      </w:r>
      <w:r w:rsidR="00B74224">
        <w:rPr>
          <w:rFonts w:ascii="Palatino Linotype" w:hAnsi="Palatino Linotype"/>
          <w:sz w:val="24"/>
          <w:szCs w:val="24"/>
        </w:rPr>
        <w:t xml:space="preserve"> budgets</w:t>
      </w:r>
      <w:r w:rsidR="00C93FF9">
        <w:rPr>
          <w:rFonts w:ascii="Palatino Linotype" w:hAnsi="Palatino Linotype"/>
          <w:sz w:val="24"/>
          <w:szCs w:val="24"/>
        </w:rPr>
        <w:t xml:space="preserve">, </w:t>
      </w:r>
      <w:r w:rsidR="00D30FDA">
        <w:rPr>
          <w:rFonts w:ascii="Palatino Linotype" w:hAnsi="Palatino Linotype"/>
          <w:sz w:val="24"/>
          <w:szCs w:val="24"/>
        </w:rPr>
        <w:t>or</w:t>
      </w:r>
      <w:r w:rsidR="00C93FF9">
        <w:rPr>
          <w:rFonts w:ascii="Palatino Linotype" w:hAnsi="Palatino Linotype"/>
          <w:sz w:val="24"/>
          <w:szCs w:val="24"/>
        </w:rPr>
        <w:t xml:space="preserve"> that SWG did not provide enough evidence </w:t>
      </w:r>
      <w:r w:rsidRPr="00AD6F93" w:rsidR="00C93FF9">
        <w:rPr>
          <w:rFonts w:ascii="Palatino Linotype" w:hAnsi="Palatino Linotype"/>
          <w:sz w:val="24"/>
          <w:szCs w:val="24"/>
        </w:rPr>
        <w:t>for the proposed increase from $250,000 to $500,000 per year</w:t>
      </w:r>
      <w:r w:rsidR="00896642">
        <w:rPr>
          <w:rFonts w:ascii="Palatino Linotype" w:hAnsi="Palatino Linotype"/>
          <w:sz w:val="24"/>
          <w:szCs w:val="24"/>
        </w:rPr>
        <w:t xml:space="preserve">, </w:t>
      </w:r>
      <w:r w:rsidR="0046209E">
        <w:rPr>
          <w:rFonts w:ascii="Palatino Linotype" w:hAnsi="Palatino Linotype"/>
          <w:sz w:val="24"/>
          <w:szCs w:val="24"/>
        </w:rPr>
        <w:t>o</w:t>
      </w:r>
      <w:r w:rsidR="003778CB">
        <w:rPr>
          <w:rFonts w:ascii="Palatino Linotype" w:hAnsi="Palatino Linotype"/>
          <w:sz w:val="24"/>
          <w:szCs w:val="24"/>
        </w:rPr>
        <w:t xml:space="preserve">r </w:t>
      </w:r>
      <w:r w:rsidR="00896642">
        <w:rPr>
          <w:rFonts w:ascii="Palatino Linotype" w:hAnsi="Palatino Linotype"/>
          <w:sz w:val="24"/>
          <w:szCs w:val="24"/>
        </w:rPr>
        <w:t xml:space="preserve">that SWG did not </w:t>
      </w:r>
      <w:r w:rsidR="003778CB">
        <w:rPr>
          <w:rFonts w:ascii="Palatino Linotype" w:hAnsi="Palatino Linotype"/>
          <w:sz w:val="24"/>
          <w:szCs w:val="24"/>
        </w:rPr>
        <w:t xml:space="preserve">provide information on </w:t>
      </w:r>
      <w:r w:rsidR="0046465B">
        <w:rPr>
          <w:rFonts w:ascii="Palatino Linotype" w:hAnsi="Palatino Linotype"/>
          <w:sz w:val="24"/>
          <w:szCs w:val="24"/>
        </w:rPr>
        <w:t xml:space="preserve">its </w:t>
      </w:r>
      <w:r w:rsidR="003778CB">
        <w:rPr>
          <w:rFonts w:ascii="Palatino Linotype" w:hAnsi="Palatino Linotype"/>
          <w:sz w:val="24"/>
          <w:szCs w:val="24"/>
        </w:rPr>
        <w:t>budget forecast methodology</w:t>
      </w:r>
      <w:r w:rsidRPr="00AD6F93" w:rsidR="00C93FF9">
        <w:rPr>
          <w:rFonts w:ascii="Palatino Linotype" w:hAnsi="Palatino Linotype"/>
          <w:sz w:val="24"/>
          <w:szCs w:val="24"/>
        </w:rPr>
        <w:t>.</w:t>
      </w:r>
    </w:p>
    <w:p w:rsidR="000E7595" w:rsidP="003E1DAF" w:rsidRDefault="000E7595" w14:paraId="4C2EFA89" w14:textId="3F754A74">
      <w:pPr>
        <w:rPr>
          <w:rFonts w:ascii="Palatino Linotype" w:hAnsi="Palatino Linotype"/>
          <w:sz w:val="24"/>
          <w:szCs w:val="24"/>
        </w:rPr>
      </w:pPr>
    </w:p>
    <w:p w:rsidR="00B74224" w:rsidP="00B74224" w:rsidRDefault="002D6004" w14:paraId="04E431DE" w14:textId="7DB54299">
      <w:pPr>
        <w:rPr>
          <w:rFonts w:ascii="Palatino Linotype" w:hAnsi="Palatino Linotype"/>
          <w:sz w:val="24"/>
          <w:szCs w:val="24"/>
        </w:rPr>
      </w:pPr>
      <w:r>
        <w:rPr>
          <w:rFonts w:ascii="Palatino Linotype" w:hAnsi="Palatino Linotype"/>
          <w:sz w:val="24"/>
          <w:szCs w:val="24"/>
        </w:rPr>
        <w:t xml:space="preserve">We find </w:t>
      </w:r>
      <w:r w:rsidR="00D30FDA">
        <w:rPr>
          <w:rFonts w:ascii="Palatino Linotype" w:hAnsi="Palatino Linotype"/>
          <w:sz w:val="24"/>
          <w:szCs w:val="24"/>
        </w:rPr>
        <w:t xml:space="preserve">SWG’s explanation of </w:t>
      </w:r>
      <w:r w:rsidR="00B74224">
        <w:rPr>
          <w:rFonts w:ascii="Palatino Linotype" w:hAnsi="Palatino Linotype"/>
          <w:sz w:val="24"/>
          <w:szCs w:val="24"/>
        </w:rPr>
        <w:t xml:space="preserve">the demand for </w:t>
      </w:r>
      <w:r w:rsidR="0046465B">
        <w:rPr>
          <w:rFonts w:ascii="Palatino Linotype" w:hAnsi="Palatino Linotype"/>
          <w:sz w:val="24"/>
          <w:szCs w:val="24"/>
        </w:rPr>
        <w:t xml:space="preserve">its </w:t>
      </w:r>
      <w:r w:rsidR="00B74224">
        <w:rPr>
          <w:rFonts w:ascii="Palatino Linotype" w:hAnsi="Palatino Linotype"/>
          <w:sz w:val="24"/>
          <w:szCs w:val="24"/>
        </w:rPr>
        <w:t>CEE programs and the need for increased budgets</w:t>
      </w:r>
      <w:r>
        <w:rPr>
          <w:rFonts w:ascii="Palatino Linotype" w:hAnsi="Palatino Linotype"/>
          <w:sz w:val="24"/>
          <w:szCs w:val="24"/>
        </w:rPr>
        <w:t xml:space="preserve"> reasonable.</w:t>
      </w:r>
      <w:r w:rsidRPr="00B74224" w:rsidR="00B74224">
        <w:rPr>
          <w:rFonts w:ascii="Palatino Linotype" w:hAnsi="Palatino Linotype"/>
          <w:sz w:val="24"/>
          <w:szCs w:val="24"/>
        </w:rPr>
        <w:t xml:space="preserve"> </w:t>
      </w:r>
      <w:r w:rsidR="00B74224">
        <w:rPr>
          <w:rFonts w:ascii="Palatino Linotype" w:hAnsi="Palatino Linotype"/>
          <w:sz w:val="24"/>
          <w:szCs w:val="24"/>
        </w:rPr>
        <w:t xml:space="preserve">SWG explained in the AL and </w:t>
      </w:r>
      <w:r w:rsidR="00C219A7">
        <w:rPr>
          <w:rFonts w:ascii="Palatino Linotype" w:hAnsi="Palatino Linotype"/>
          <w:sz w:val="24"/>
          <w:szCs w:val="24"/>
        </w:rPr>
        <w:t xml:space="preserve">its </w:t>
      </w:r>
      <w:r w:rsidR="00B74224">
        <w:rPr>
          <w:rFonts w:ascii="Palatino Linotype" w:hAnsi="Palatino Linotype"/>
          <w:sz w:val="24"/>
          <w:szCs w:val="24"/>
        </w:rPr>
        <w:t xml:space="preserve">Reply to Protest that </w:t>
      </w:r>
      <w:r w:rsidR="001A3484">
        <w:rPr>
          <w:rFonts w:ascii="Palatino Linotype" w:hAnsi="Palatino Linotype"/>
          <w:sz w:val="24"/>
          <w:szCs w:val="24"/>
        </w:rPr>
        <w:t>it spent over 95 percent of</w:t>
      </w:r>
      <w:r w:rsidRPr="00414CCE" w:rsidR="001A3484">
        <w:rPr>
          <w:rFonts w:ascii="Palatino Linotype" w:hAnsi="Palatino Linotype"/>
          <w:sz w:val="24"/>
          <w:szCs w:val="24"/>
        </w:rPr>
        <w:t xml:space="preserve"> </w:t>
      </w:r>
      <w:r w:rsidR="001A3484">
        <w:rPr>
          <w:rFonts w:ascii="Palatino Linotype" w:hAnsi="Palatino Linotype"/>
          <w:sz w:val="24"/>
          <w:szCs w:val="24"/>
        </w:rPr>
        <w:t xml:space="preserve">its </w:t>
      </w:r>
      <w:r w:rsidRPr="00414CCE" w:rsidR="00B74224">
        <w:rPr>
          <w:rFonts w:ascii="Palatino Linotype" w:hAnsi="Palatino Linotype"/>
          <w:sz w:val="24"/>
          <w:szCs w:val="24"/>
        </w:rPr>
        <w:t>existing Residential and Commercial Equipment Rebate Programs</w:t>
      </w:r>
      <w:r w:rsidR="00B74224">
        <w:rPr>
          <w:rFonts w:ascii="Palatino Linotype" w:hAnsi="Palatino Linotype"/>
          <w:sz w:val="24"/>
          <w:szCs w:val="24"/>
        </w:rPr>
        <w:t xml:space="preserve"> budget in PY 2021 and 2022. The reason 100 percent of the budget was not expended was due to the nature of the one-way CEE balancing account, </w:t>
      </w:r>
      <w:r w:rsidR="00AA1969">
        <w:rPr>
          <w:rFonts w:ascii="Palatino Linotype" w:hAnsi="Palatino Linotype"/>
          <w:sz w:val="24"/>
          <w:szCs w:val="24"/>
        </w:rPr>
        <w:t xml:space="preserve">in </w:t>
      </w:r>
      <w:r w:rsidR="00B74224">
        <w:rPr>
          <w:rFonts w:ascii="Palatino Linotype" w:hAnsi="Palatino Linotype"/>
          <w:sz w:val="24"/>
          <w:szCs w:val="24"/>
        </w:rPr>
        <w:t xml:space="preserve">which any overage above $250,000 would not be recoverable by SWG. We find this a reasonable explanation for a one-way balancing account. </w:t>
      </w:r>
      <w:r w:rsidR="0038544B">
        <w:rPr>
          <w:rFonts w:ascii="Palatino Linotype" w:hAnsi="Palatino Linotype"/>
          <w:sz w:val="24"/>
          <w:szCs w:val="24"/>
        </w:rPr>
        <w:t xml:space="preserve">Furthermore, SWG provides </w:t>
      </w:r>
      <w:r w:rsidR="00DB77D6">
        <w:rPr>
          <w:rFonts w:ascii="Palatino Linotype" w:hAnsi="Palatino Linotype"/>
          <w:sz w:val="24"/>
          <w:szCs w:val="24"/>
        </w:rPr>
        <w:t>estimated household treatment data</w:t>
      </w:r>
      <w:r w:rsidR="006740D1">
        <w:rPr>
          <w:rFonts w:ascii="Palatino Linotype" w:hAnsi="Palatino Linotype"/>
          <w:sz w:val="24"/>
          <w:szCs w:val="24"/>
        </w:rPr>
        <w:t xml:space="preserve"> for the RED program</w:t>
      </w:r>
      <w:r w:rsidR="00DB77D6">
        <w:rPr>
          <w:rFonts w:ascii="Palatino Linotype" w:hAnsi="Palatino Linotype"/>
          <w:sz w:val="24"/>
          <w:szCs w:val="24"/>
        </w:rPr>
        <w:t xml:space="preserve">, </w:t>
      </w:r>
      <w:r w:rsidR="006740D1">
        <w:rPr>
          <w:rFonts w:ascii="Palatino Linotype" w:hAnsi="Palatino Linotype"/>
          <w:sz w:val="24"/>
          <w:szCs w:val="24"/>
        </w:rPr>
        <w:t xml:space="preserve">and </w:t>
      </w:r>
      <w:r w:rsidR="00DB77D6">
        <w:rPr>
          <w:rFonts w:ascii="Palatino Linotype" w:hAnsi="Palatino Linotype"/>
          <w:sz w:val="24"/>
          <w:szCs w:val="24"/>
        </w:rPr>
        <w:t>implementer perspective and comparative market research</w:t>
      </w:r>
      <w:r w:rsidR="006740D1">
        <w:rPr>
          <w:rFonts w:ascii="Palatino Linotype" w:hAnsi="Palatino Linotype"/>
          <w:sz w:val="24"/>
          <w:szCs w:val="24"/>
        </w:rPr>
        <w:t xml:space="preserve"> for </w:t>
      </w:r>
      <w:r w:rsidR="001B0DE4">
        <w:rPr>
          <w:rFonts w:ascii="Palatino Linotype" w:hAnsi="Palatino Linotype"/>
          <w:sz w:val="24"/>
          <w:szCs w:val="24"/>
        </w:rPr>
        <w:t xml:space="preserve">the </w:t>
      </w:r>
      <w:r w:rsidRPr="001E4AD8" w:rsidR="006740D1">
        <w:rPr>
          <w:rFonts w:ascii="Palatino Linotype" w:hAnsi="Palatino Linotype"/>
          <w:sz w:val="24"/>
          <w:szCs w:val="24"/>
        </w:rPr>
        <w:t>New Homes rebate program</w:t>
      </w:r>
      <w:r w:rsidR="006740D1">
        <w:rPr>
          <w:rFonts w:ascii="Palatino Linotype" w:hAnsi="Palatino Linotype"/>
          <w:sz w:val="24"/>
          <w:szCs w:val="24"/>
        </w:rPr>
        <w:t>.</w:t>
      </w:r>
      <w:r w:rsidR="00DB77D6">
        <w:rPr>
          <w:rFonts w:ascii="Palatino Linotype" w:hAnsi="Palatino Linotype"/>
          <w:sz w:val="24"/>
          <w:szCs w:val="24"/>
        </w:rPr>
        <w:t xml:space="preserve"> We find </w:t>
      </w:r>
      <w:r w:rsidR="00DE4AEA">
        <w:rPr>
          <w:rFonts w:ascii="Palatino Linotype" w:hAnsi="Palatino Linotype"/>
          <w:sz w:val="24"/>
          <w:szCs w:val="24"/>
        </w:rPr>
        <w:t>this</w:t>
      </w:r>
      <w:r w:rsidR="00DB77D6">
        <w:rPr>
          <w:rFonts w:ascii="Palatino Linotype" w:hAnsi="Palatino Linotype"/>
          <w:sz w:val="24"/>
          <w:szCs w:val="24"/>
        </w:rPr>
        <w:t xml:space="preserve"> information </w:t>
      </w:r>
      <w:r w:rsidR="00982D05">
        <w:rPr>
          <w:rFonts w:ascii="Palatino Linotype" w:hAnsi="Palatino Linotype"/>
          <w:sz w:val="24"/>
          <w:szCs w:val="24"/>
        </w:rPr>
        <w:t xml:space="preserve">supports </w:t>
      </w:r>
      <w:r w:rsidR="00357C9A">
        <w:rPr>
          <w:rFonts w:ascii="Palatino Linotype" w:hAnsi="Palatino Linotype"/>
          <w:sz w:val="24"/>
          <w:szCs w:val="24"/>
        </w:rPr>
        <w:t>SWG</w:t>
      </w:r>
      <w:r w:rsidR="00982D05">
        <w:rPr>
          <w:rFonts w:ascii="Palatino Linotype" w:hAnsi="Palatino Linotype"/>
          <w:sz w:val="24"/>
          <w:szCs w:val="24"/>
        </w:rPr>
        <w:t>’s</w:t>
      </w:r>
      <w:r w:rsidR="00357C9A">
        <w:rPr>
          <w:rFonts w:ascii="Palatino Linotype" w:hAnsi="Palatino Linotype"/>
          <w:sz w:val="24"/>
          <w:szCs w:val="24"/>
        </w:rPr>
        <w:t xml:space="preserve"> </w:t>
      </w:r>
      <w:r w:rsidR="00A74682">
        <w:rPr>
          <w:rFonts w:ascii="Palatino Linotype" w:hAnsi="Palatino Linotype"/>
          <w:sz w:val="24"/>
          <w:szCs w:val="24"/>
        </w:rPr>
        <w:t>claim that there is indeed demand for these CEE programs, and that</w:t>
      </w:r>
      <w:r w:rsidR="00357C9A">
        <w:rPr>
          <w:rFonts w:ascii="Palatino Linotype" w:hAnsi="Palatino Linotype"/>
          <w:sz w:val="24"/>
          <w:szCs w:val="24"/>
        </w:rPr>
        <w:t xml:space="preserve"> additional</w:t>
      </w:r>
      <w:r w:rsidR="00982D05">
        <w:rPr>
          <w:rFonts w:ascii="Palatino Linotype" w:hAnsi="Palatino Linotype"/>
          <w:sz w:val="24"/>
          <w:szCs w:val="24"/>
        </w:rPr>
        <w:t xml:space="preserve"> program</w:t>
      </w:r>
      <w:r w:rsidR="00357C9A">
        <w:rPr>
          <w:rFonts w:ascii="Palatino Linotype" w:hAnsi="Palatino Linotype"/>
          <w:sz w:val="24"/>
          <w:szCs w:val="24"/>
        </w:rPr>
        <w:t xml:space="preserve"> funding</w:t>
      </w:r>
      <w:r w:rsidR="00A74682">
        <w:rPr>
          <w:rFonts w:ascii="Palatino Linotype" w:hAnsi="Palatino Linotype"/>
          <w:sz w:val="24"/>
          <w:szCs w:val="24"/>
        </w:rPr>
        <w:t xml:space="preserve"> is </w:t>
      </w:r>
      <w:r w:rsidR="00323EEA">
        <w:rPr>
          <w:rFonts w:ascii="Palatino Linotype" w:hAnsi="Palatino Linotype"/>
          <w:sz w:val="24"/>
          <w:szCs w:val="24"/>
        </w:rPr>
        <w:t>justified</w:t>
      </w:r>
      <w:r w:rsidR="00357C9A">
        <w:rPr>
          <w:rFonts w:ascii="Palatino Linotype" w:hAnsi="Palatino Linotype"/>
          <w:sz w:val="24"/>
          <w:szCs w:val="24"/>
        </w:rPr>
        <w:t xml:space="preserve">. </w:t>
      </w:r>
    </w:p>
    <w:p w:rsidR="00B74224" w:rsidP="003E1DAF" w:rsidRDefault="00B74224" w14:paraId="2A66BEDF" w14:textId="4159B7CA">
      <w:pPr>
        <w:rPr>
          <w:rFonts w:ascii="Palatino Linotype" w:hAnsi="Palatino Linotype"/>
          <w:sz w:val="24"/>
          <w:szCs w:val="24"/>
        </w:rPr>
      </w:pPr>
    </w:p>
    <w:p w:rsidR="00026D24" w:rsidP="00FF12A0" w:rsidRDefault="002D6004" w14:paraId="1025B32E" w14:textId="4F76E08D">
      <w:pPr>
        <w:rPr>
          <w:rFonts w:ascii="Palatino Linotype" w:hAnsi="Palatino Linotype"/>
          <w:sz w:val="24"/>
          <w:szCs w:val="24"/>
        </w:rPr>
      </w:pPr>
      <w:r>
        <w:rPr>
          <w:rFonts w:ascii="Palatino Linotype" w:hAnsi="Palatino Linotype"/>
          <w:sz w:val="24"/>
          <w:szCs w:val="24"/>
        </w:rPr>
        <w:t xml:space="preserve">We also find </w:t>
      </w:r>
      <w:r w:rsidR="001B0DE4">
        <w:rPr>
          <w:rFonts w:ascii="Palatino Linotype" w:hAnsi="Palatino Linotype"/>
          <w:sz w:val="24"/>
          <w:szCs w:val="24"/>
        </w:rPr>
        <w:t xml:space="preserve">that </w:t>
      </w:r>
      <w:r w:rsidR="00B10E00">
        <w:rPr>
          <w:rFonts w:ascii="Palatino Linotype" w:hAnsi="Palatino Linotype"/>
          <w:sz w:val="24"/>
          <w:szCs w:val="24"/>
        </w:rPr>
        <w:t>SWG</w:t>
      </w:r>
      <w:r>
        <w:rPr>
          <w:rFonts w:ascii="Palatino Linotype" w:hAnsi="Palatino Linotype"/>
          <w:sz w:val="24"/>
          <w:szCs w:val="24"/>
        </w:rPr>
        <w:t>’s</w:t>
      </w:r>
      <w:r w:rsidR="00B10E00">
        <w:rPr>
          <w:rFonts w:ascii="Palatino Linotype" w:hAnsi="Palatino Linotype"/>
          <w:sz w:val="24"/>
          <w:szCs w:val="24"/>
        </w:rPr>
        <w:t xml:space="preserve"> budgeting forecast</w:t>
      </w:r>
      <w:r w:rsidR="007F296B">
        <w:rPr>
          <w:rFonts w:ascii="Palatino Linotype" w:hAnsi="Palatino Linotype"/>
          <w:sz w:val="24"/>
          <w:szCs w:val="24"/>
        </w:rPr>
        <w:t xml:space="preserve"> </w:t>
      </w:r>
      <w:r w:rsidR="00020E72">
        <w:rPr>
          <w:rFonts w:ascii="Palatino Linotype" w:hAnsi="Palatino Linotype"/>
          <w:sz w:val="24"/>
          <w:szCs w:val="24"/>
        </w:rPr>
        <w:t xml:space="preserve">for </w:t>
      </w:r>
      <w:r w:rsidR="00451B5A">
        <w:rPr>
          <w:rFonts w:ascii="Palatino Linotype" w:hAnsi="Palatino Linotype"/>
          <w:sz w:val="24"/>
          <w:szCs w:val="24"/>
        </w:rPr>
        <w:t xml:space="preserve">increasing the CEE budget from $250,000 </w:t>
      </w:r>
      <w:r w:rsidR="001B0DE4">
        <w:rPr>
          <w:rFonts w:ascii="Palatino Linotype" w:hAnsi="Palatino Linotype"/>
          <w:sz w:val="24"/>
          <w:szCs w:val="24"/>
        </w:rPr>
        <w:t>per</w:t>
      </w:r>
      <w:r w:rsidR="00451B5A">
        <w:rPr>
          <w:rFonts w:ascii="Palatino Linotype" w:hAnsi="Palatino Linotype"/>
          <w:sz w:val="24"/>
          <w:szCs w:val="24"/>
        </w:rPr>
        <w:t xml:space="preserve"> year to $500,000 </w:t>
      </w:r>
      <w:r w:rsidR="001B0DE4">
        <w:rPr>
          <w:rFonts w:ascii="Palatino Linotype" w:hAnsi="Palatino Linotype"/>
          <w:sz w:val="24"/>
          <w:szCs w:val="24"/>
        </w:rPr>
        <w:t>per</w:t>
      </w:r>
      <w:r w:rsidR="00451B5A">
        <w:rPr>
          <w:rFonts w:ascii="Palatino Linotype" w:hAnsi="Palatino Linotype"/>
          <w:sz w:val="24"/>
          <w:szCs w:val="24"/>
        </w:rPr>
        <w:t xml:space="preserve"> year</w:t>
      </w:r>
      <w:r w:rsidR="00122964">
        <w:rPr>
          <w:rFonts w:ascii="Palatino Linotype" w:hAnsi="Palatino Linotype"/>
          <w:sz w:val="24"/>
          <w:szCs w:val="24"/>
        </w:rPr>
        <w:t xml:space="preserve"> is</w:t>
      </w:r>
      <w:r>
        <w:rPr>
          <w:rFonts w:ascii="Palatino Linotype" w:hAnsi="Palatino Linotype"/>
          <w:sz w:val="24"/>
          <w:szCs w:val="24"/>
        </w:rPr>
        <w:t xml:space="preserve"> reasonable and justified.</w:t>
      </w:r>
      <w:r w:rsidR="00451B5A">
        <w:rPr>
          <w:rFonts w:ascii="Palatino Linotype" w:hAnsi="Palatino Linotype"/>
          <w:sz w:val="24"/>
          <w:szCs w:val="24"/>
        </w:rPr>
        <w:t xml:space="preserve"> </w:t>
      </w:r>
      <w:r w:rsidR="00480B5B">
        <w:rPr>
          <w:rFonts w:ascii="Palatino Linotype" w:hAnsi="Palatino Linotype"/>
          <w:sz w:val="24"/>
          <w:szCs w:val="24"/>
        </w:rPr>
        <w:t>SWG relied on</w:t>
      </w:r>
      <w:r w:rsidR="007F296B">
        <w:rPr>
          <w:rFonts w:ascii="Palatino Linotype" w:hAnsi="Palatino Linotype"/>
          <w:sz w:val="24"/>
          <w:szCs w:val="24"/>
        </w:rPr>
        <w:t xml:space="preserve"> </w:t>
      </w:r>
      <w:r w:rsidR="0074302C">
        <w:rPr>
          <w:rFonts w:ascii="Palatino Linotype" w:hAnsi="Palatino Linotype"/>
          <w:sz w:val="24"/>
          <w:szCs w:val="24"/>
        </w:rPr>
        <w:t xml:space="preserve">implementer </w:t>
      </w:r>
      <w:r w:rsidR="008677D2">
        <w:rPr>
          <w:rFonts w:ascii="Palatino Linotype" w:hAnsi="Palatino Linotype"/>
          <w:sz w:val="24"/>
          <w:szCs w:val="24"/>
        </w:rPr>
        <w:t>feedback</w:t>
      </w:r>
      <w:r w:rsidR="003B7C4C">
        <w:rPr>
          <w:rFonts w:ascii="Palatino Linotype" w:hAnsi="Palatino Linotype"/>
          <w:sz w:val="24"/>
          <w:szCs w:val="24"/>
        </w:rPr>
        <w:t xml:space="preserve">, </w:t>
      </w:r>
      <w:r w:rsidR="008677D2">
        <w:rPr>
          <w:rFonts w:ascii="Palatino Linotype" w:hAnsi="Palatino Linotype"/>
          <w:sz w:val="24"/>
          <w:szCs w:val="24"/>
        </w:rPr>
        <w:t xml:space="preserve">customer </w:t>
      </w:r>
      <w:r w:rsidR="00316AD6">
        <w:rPr>
          <w:rFonts w:ascii="Palatino Linotype" w:hAnsi="Palatino Linotype"/>
          <w:sz w:val="24"/>
          <w:szCs w:val="24"/>
        </w:rPr>
        <w:t>data</w:t>
      </w:r>
      <w:r w:rsidR="0046465B">
        <w:rPr>
          <w:rFonts w:ascii="Palatino Linotype" w:hAnsi="Palatino Linotype"/>
          <w:sz w:val="24"/>
          <w:szCs w:val="24"/>
        </w:rPr>
        <w:t>,</w:t>
      </w:r>
      <w:r w:rsidR="00316AD6">
        <w:rPr>
          <w:rFonts w:ascii="Palatino Linotype" w:hAnsi="Palatino Linotype"/>
          <w:sz w:val="24"/>
          <w:szCs w:val="24"/>
        </w:rPr>
        <w:t xml:space="preserve"> </w:t>
      </w:r>
      <w:r w:rsidR="003B7C4C">
        <w:rPr>
          <w:rFonts w:ascii="Palatino Linotype" w:hAnsi="Palatino Linotype"/>
          <w:sz w:val="24"/>
          <w:szCs w:val="24"/>
        </w:rPr>
        <w:t>and market research</w:t>
      </w:r>
      <w:r w:rsidR="00E64D76">
        <w:rPr>
          <w:rFonts w:ascii="Palatino Linotype" w:hAnsi="Palatino Linotype"/>
          <w:sz w:val="24"/>
          <w:szCs w:val="24"/>
        </w:rPr>
        <w:t xml:space="preserve"> for </w:t>
      </w:r>
      <w:r w:rsidR="0046465B">
        <w:rPr>
          <w:rFonts w:ascii="Palatino Linotype" w:hAnsi="Palatino Linotype"/>
          <w:sz w:val="24"/>
          <w:szCs w:val="24"/>
        </w:rPr>
        <w:t xml:space="preserve">its </w:t>
      </w:r>
      <w:r w:rsidR="00E64D76">
        <w:rPr>
          <w:rFonts w:ascii="Palatino Linotype" w:hAnsi="Palatino Linotype"/>
          <w:sz w:val="24"/>
          <w:szCs w:val="24"/>
        </w:rPr>
        <w:t xml:space="preserve">request. </w:t>
      </w:r>
      <w:r w:rsidR="003B7C4C">
        <w:rPr>
          <w:rFonts w:ascii="Palatino Linotype" w:hAnsi="Palatino Linotype"/>
          <w:sz w:val="24"/>
          <w:szCs w:val="24"/>
        </w:rPr>
        <w:t>SWG cites</w:t>
      </w:r>
      <w:r w:rsidR="00316AD6">
        <w:rPr>
          <w:rFonts w:ascii="Palatino Linotype" w:hAnsi="Palatino Linotype"/>
          <w:sz w:val="24"/>
          <w:szCs w:val="24"/>
        </w:rPr>
        <w:t xml:space="preserve"> </w:t>
      </w:r>
      <w:r w:rsidR="00426EB2">
        <w:rPr>
          <w:rFonts w:ascii="Palatino Linotype" w:hAnsi="Palatino Linotype"/>
          <w:sz w:val="24"/>
          <w:szCs w:val="24"/>
        </w:rPr>
        <w:t xml:space="preserve">residential program demand </w:t>
      </w:r>
      <w:r w:rsidR="00FE05AB">
        <w:rPr>
          <w:rFonts w:ascii="Palatino Linotype" w:hAnsi="Palatino Linotype"/>
          <w:sz w:val="24"/>
          <w:szCs w:val="24"/>
        </w:rPr>
        <w:t xml:space="preserve">for non-ESA eligible households, as well as similar market conditions in </w:t>
      </w:r>
      <w:r w:rsidR="003B7C4C">
        <w:rPr>
          <w:rFonts w:ascii="Palatino Linotype" w:hAnsi="Palatino Linotype"/>
          <w:sz w:val="24"/>
          <w:szCs w:val="24"/>
        </w:rPr>
        <w:t>nearby states (Arizona)</w:t>
      </w:r>
      <w:r w:rsidR="00FE05AB">
        <w:rPr>
          <w:rFonts w:ascii="Palatino Linotype" w:hAnsi="Palatino Linotype"/>
          <w:sz w:val="24"/>
          <w:szCs w:val="24"/>
        </w:rPr>
        <w:t xml:space="preserve"> </w:t>
      </w:r>
      <w:r w:rsidR="003B7C4C">
        <w:rPr>
          <w:rFonts w:ascii="Palatino Linotype" w:hAnsi="Palatino Linotype"/>
          <w:sz w:val="24"/>
          <w:szCs w:val="24"/>
        </w:rPr>
        <w:t>to explain the</w:t>
      </w:r>
      <w:r w:rsidR="00FE05AB">
        <w:rPr>
          <w:rFonts w:ascii="Palatino Linotype" w:hAnsi="Palatino Linotype"/>
          <w:sz w:val="24"/>
          <w:szCs w:val="24"/>
        </w:rPr>
        <w:t xml:space="preserve"> variables </w:t>
      </w:r>
      <w:r w:rsidR="003B7C4C">
        <w:rPr>
          <w:rFonts w:ascii="Palatino Linotype" w:hAnsi="Palatino Linotype"/>
          <w:sz w:val="24"/>
          <w:szCs w:val="24"/>
        </w:rPr>
        <w:t>use</w:t>
      </w:r>
      <w:r w:rsidR="00896642">
        <w:rPr>
          <w:rFonts w:ascii="Palatino Linotype" w:hAnsi="Palatino Linotype"/>
          <w:sz w:val="24"/>
          <w:szCs w:val="24"/>
        </w:rPr>
        <w:t>d</w:t>
      </w:r>
      <w:r w:rsidR="003B7C4C">
        <w:rPr>
          <w:rFonts w:ascii="Palatino Linotype" w:hAnsi="Palatino Linotype"/>
          <w:sz w:val="24"/>
          <w:szCs w:val="24"/>
        </w:rPr>
        <w:t xml:space="preserve"> to calculate both the potential</w:t>
      </w:r>
      <w:r w:rsidR="00FE05AB">
        <w:rPr>
          <w:rFonts w:ascii="Palatino Linotype" w:hAnsi="Palatino Linotype"/>
          <w:sz w:val="24"/>
          <w:szCs w:val="24"/>
        </w:rPr>
        <w:t xml:space="preserve"> demand for</w:t>
      </w:r>
      <w:r w:rsidR="003B7C4C">
        <w:rPr>
          <w:rFonts w:ascii="Palatino Linotype" w:hAnsi="Palatino Linotype"/>
          <w:sz w:val="24"/>
          <w:szCs w:val="24"/>
        </w:rPr>
        <w:t xml:space="preserve"> </w:t>
      </w:r>
      <w:r w:rsidR="00FE05AB">
        <w:rPr>
          <w:rFonts w:ascii="Palatino Linotype" w:hAnsi="Palatino Linotype"/>
          <w:sz w:val="24"/>
          <w:szCs w:val="24"/>
        </w:rPr>
        <w:t xml:space="preserve">these CEE programs </w:t>
      </w:r>
      <w:r w:rsidR="003B7C4C">
        <w:rPr>
          <w:rFonts w:ascii="Palatino Linotype" w:hAnsi="Palatino Linotype"/>
          <w:sz w:val="24"/>
          <w:szCs w:val="24"/>
        </w:rPr>
        <w:t>and the proposed</w:t>
      </w:r>
      <w:r w:rsidR="00FE05AB">
        <w:rPr>
          <w:rFonts w:ascii="Palatino Linotype" w:hAnsi="Palatino Linotype"/>
          <w:sz w:val="24"/>
          <w:szCs w:val="24"/>
        </w:rPr>
        <w:t xml:space="preserve"> budgets. </w:t>
      </w:r>
      <w:r w:rsidR="00B74A78">
        <w:rPr>
          <w:rFonts w:ascii="Palatino Linotype" w:hAnsi="Palatino Linotype"/>
          <w:sz w:val="24"/>
          <w:szCs w:val="24"/>
        </w:rPr>
        <w:t>Based on the information provided by SWG on estimated program demand</w:t>
      </w:r>
      <w:r w:rsidR="0066553A">
        <w:rPr>
          <w:rFonts w:ascii="Palatino Linotype" w:hAnsi="Palatino Linotype"/>
          <w:sz w:val="24"/>
          <w:szCs w:val="24"/>
        </w:rPr>
        <w:t xml:space="preserve"> and budget forecasts</w:t>
      </w:r>
      <w:r w:rsidR="00B74A78">
        <w:rPr>
          <w:rFonts w:ascii="Palatino Linotype" w:hAnsi="Palatino Linotype"/>
          <w:sz w:val="24"/>
          <w:szCs w:val="24"/>
        </w:rPr>
        <w:t xml:space="preserve"> for </w:t>
      </w:r>
      <w:r w:rsidR="007D5CB1">
        <w:rPr>
          <w:rFonts w:ascii="Palatino Linotype" w:hAnsi="Palatino Linotype"/>
          <w:sz w:val="24"/>
          <w:szCs w:val="24"/>
        </w:rPr>
        <w:t xml:space="preserve">the three new CEE programs, as well as the budget expenditures for the </w:t>
      </w:r>
      <w:r w:rsidR="0066553A">
        <w:rPr>
          <w:rFonts w:ascii="Palatino Linotype" w:hAnsi="Palatino Linotype"/>
          <w:sz w:val="24"/>
          <w:szCs w:val="24"/>
        </w:rPr>
        <w:t xml:space="preserve">existing </w:t>
      </w:r>
      <w:r w:rsidR="007D5CB1">
        <w:rPr>
          <w:rFonts w:ascii="Palatino Linotype" w:hAnsi="Palatino Linotype"/>
          <w:sz w:val="24"/>
          <w:szCs w:val="24"/>
        </w:rPr>
        <w:t xml:space="preserve">Residential and Commercial Equipment Rebate programs in program years 2021 and 2022, the estimated program expenditures for program years 2023 </w:t>
      </w:r>
      <w:r w:rsidR="00D036EC">
        <w:rPr>
          <w:rFonts w:ascii="Palatino Linotype" w:hAnsi="Palatino Linotype"/>
          <w:sz w:val="24"/>
          <w:szCs w:val="24"/>
        </w:rPr>
        <w:t xml:space="preserve">through </w:t>
      </w:r>
      <w:r w:rsidR="007D5CB1">
        <w:rPr>
          <w:rFonts w:ascii="Palatino Linotype" w:hAnsi="Palatino Linotype"/>
          <w:sz w:val="24"/>
          <w:szCs w:val="24"/>
        </w:rPr>
        <w:t xml:space="preserve">2025 are </w:t>
      </w:r>
      <w:r w:rsidR="0066553A">
        <w:rPr>
          <w:rFonts w:ascii="Palatino Linotype" w:hAnsi="Palatino Linotype"/>
          <w:sz w:val="24"/>
          <w:szCs w:val="24"/>
        </w:rPr>
        <w:t xml:space="preserve">reasonable and approved. </w:t>
      </w:r>
      <w:r w:rsidR="00890357">
        <w:rPr>
          <w:rFonts w:ascii="Palatino Linotype" w:hAnsi="Palatino Linotype"/>
          <w:sz w:val="24"/>
          <w:szCs w:val="24"/>
        </w:rPr>
        <w:t>Table 1 provides an overview of SWG’s proposed annual expenditures for program years 2023 through 2025.</w:t>
      </w:r>
    </w:p>
    <w:p w:rsidR="003606F7" w:rsidP="00FF12A0" w:rsidRDefault="003606F7" w14:paraId="1E9150F3" w14:textId="47DB37F1">
      <w:pPr>
        <w:rPr>
          <w:rFonts w:ascii="Palatino Linotype" w:hAnsi="Palatino Linotype"/>
          <w:sz w:val="24"/>
          <w:szCs w:val="24"/>
        </w:rPr>
      </w:pPr>
    </w:p>
    <w:p w:rsidR="003606F7" w:rsidP="00FF12A0" w:rsidRDefault="003606F7" w14:paraId="3FFE0532" w14:textId="0F1A378B">
      <w:pPr>
        <w:rPr>
          <w:rFonts w:ascii="Palatino Linotype" w:hAnsi="Palatino Linotype"/>
          <w:sz w:val="24"/>
          <w:szCs w:val="24"/>
        </w:rPr>
      </w:pPr>
    </w:p>
    <w:p w:rsidR="003606F7" w:rsidP="00FF12A0" w:rsidRDefault="003606F7" w14:paraId="7BD183F1" w14:textId="2FBFBA73">
      <w:pPr>
        <w:rPr>
          <w:rFonts w:ascii="Palatino Linotype" w:hAnsi="Palatino Linotype"/>
          <w:sz w:val="24"/>
          <w:szCs w:val="24"/>
        </w:rPr>
      </w:pPr>
    </w:p>
    <w:p w:rsidR="003606F7" w:rsidP="00FF12A0" w:rsidRDefault="003606F7" w14:paraId="69609807" w14:textId="39B544F9">
      <w:pPr>
        <w:rPr>
          <w:rFonts w:ascii="Palatino Linotype" w:hAnsi="Palatino Linotype"/>
          <w:sz w:val="24"/>
          <w:szCs w:val="24"/>
        </w:rPr>
      </w:pPr>
    </w:p>
    <w:p w:rsidR="003606F7" w:rsidP="00FF12A0" w:rsidRDefault="003606F7" w14:paraId="7A23C4AB" w14:textId="06D50E7C">
      <w:pPr>
        <w:rPr>
          <w:rFonts w:ascii="Palatino Linotype" w:hAnsi="Palatino Linotype"/>
          <w:sz w:val="24"/>
          <w:szCs w:val="24"/>
        </w:rPr>
      </w:pPr>
    </w:p>
    <w:p w:rsidR="00482457" w:rsidP="00FF12A0" w:rsidRDefault="00482457" w14:paraId="36996DE2" w14:textId="77777777">
      <w:pPr>
        <w:rPr>
          <w:rFonts w:ascii="Palatino Linotype" w:hAnsi="Palatino Linotype"/>
          <w:sz w:val="24"/>
          <w:szCs w:val="24"/>
        </w:rPr>
      </w:pPr>
    </w:p>
    <w:p w:rsidR="003606F7" w:rsidP="00FF12A0" w:rsidRDefault="003606F7" w14:paraId="3BBEBBF1" w14:textId="77777777">
      <w:pPr>
        <w:rPr>
          <w:rFonts w:ascii="Palatino Linotype" w:hAnsi="Palatino Linotype"/>
          <w:sz w:val="24"/>
          <w:szCs w:val="24"/>
        </w:rPr>
      </w:pPr>
    </w:p>
    <w:p w:rsidR="00564EF7" w:rsidP="00564EF7" w:rsidRDefault="00564EF7" w14:paraId="701A5480" w14:textId="77777777"/>
    <w:tbl>
      <w:tblPr>
        <w:tblStyle w:val="GridTable1Light"/>
        <w:tblW w:w="7637" w:type="dxa"/>
        <w:tblLook w:val="04A0" w:firstRow="1" w:lastRow="0" w:firstColumn="1" w:lastColumn="0" w:noHBand="0" w:noVBand="1"/>
      </w:tblPr>
      <w:tblGrid>
        <w:gridCol w:w="6301"/>
        <w:gridCol w:w="1336"/>
      </w:tblGrid>
      <w:tr w:rsidRPr="008859A5" w:rsidR="00564EF7" w:rsidTr="00DA0058" w14:paraId="59BEDEC7" w14:textId="77777777">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7637" w:type="dxa"/>
            <w:gridSpan w:val="2"/>
            <w:shd w:val="clear" w:color="auto" w:fill="D9D9D9" w:themeFill="background1" w:themeFillShade="D9"/>
            <w:noWrap/>
            <w:hideMark/>
          </w:tcPr>
          <w:p w:rsidRPr="008859A5" w:rsidR="00564EF7" w:rsidP="00DA0058" w:rsidRDefault="00564EF7" w14:paraId="3D289A93" w14:textId="4B1B60EB">
            <w:pPr>
              <w:rPr>
                <w:rFonts w:cs="Palatino"/>
                <w:color w:val="000000"/>
                <w:szCs w:val="26"/>
              </w:rPr>
            </w:pPr>
            <w:r w:rsidRPr="008859A5">
              <w:rPr>
                <w:rFonts w:cs="Palatino"/>
                <w:color w:val="000000"/>
                <w:szCs w:val="26"/>
              </w:rPr>
              <w:lastRenderedPageBreak/>
              <w:t xml:space="preserve">Table </w:t>
            </w:r>
            <w:r w:rsidR="0066553A">
              <w:rPr>
                <w:rFonts w:cs="Palatino"/>
                <w:color w:val="000000"/>
                <w:szCs w:val="26"/>
              </w:rPr>
              <w:t>1</w:t>
            </w:r>
            <w:r w:rsidRPr="008859A5">
              <w:rPr>
                <w:rFonts w:cs="Palatino"/>
                <w:color w:val="000000"/>
                <w:szCs w:val="26"/>
              </w:rPr>
              <w:t xml:space="preserve"> - PYs 2023-2025 </w:t>
            </w:r>
            <w:r w:rsidR="002420C3">
              <w:rPr>
                <w:rFonts w:cs="Palatino"/>
                <w:color w:val="000000"/>
                <w:szCs w:val="26"/>
              </w:rPr>
              <w:t>Proposed CEE</w:t>
            </w:r>
            <w:r w:rsidRPr="008859A5">
              <w:rPr>
                <w:rFonts w:cs="Palatino"/>
                <w:color w:val="000000"/>
                <w:szCs w:val="26"/>
              </w:rPr>
              <w:t xml:space="preserve"> Annual Expenditures </w:t>
            </w:r>
          </w:p>
        </w:tc>
      </w:tr>
      <w:tr w:rsidRPr="008859A5" w:rsidR="00564EF7" w:rsidTr="00DA0058" w14:paraId="2BF20B0A" w14:textId="77777777">
        <w:trPr>
          <w:trHeight w:val="312"/>
        </w:trPr>
        <w:tc>
          <w:tcPr>
            <w:cnfStyle w:val="001000000000" w:firstRow="0" w:lastRow="0" w:firstColumn="1" w:lastColumn="0" w:oddVBand="0" w:evenVBand="0" w:oddHBand="0" w:evenHBand="0" w:firstRowFirstColumn="0" w:firstRowLastColumn="0" w:lastRowFirstColumn="0" w:lastRowLastColumn="0"/>
            <w:tcW w:w="6301" w:type="dxa"/>
            <w:noWrap/>
            <w:hideMark/>
          </w:tcPr>
          <w:p w:rsidRPr="008859A5" w:rsidR="00564EF7" w:rsidP="00DA0058" w:rsidRDefault="00564EF7" w14:paraId="0A756F48" w14:textId="77777777">
            <w:pPr>
              <w:rPr>
                <w:rFonts w:cs="Palatino"/>
                <w:color w:val="000000"/>
                <w:szCs w:val="26"/>
              </w:rPr>
            </w:pPr>
            <w:r w:rsidRPr="008859A5">
              <w:rPr>
                <w:rFonts w:cs="Palatino"/>
                <w:color w:val="000000"/>
                <w:szCs w:val="26"/>
              </w:rPr>
              <w:t xml:space="preserve">Residential Equipment Rebates </w:t>
            </w:r>
          </w:p>
        </w:tc>
        <w:tc>
          <w:tcPr>
            <w:tcW w:w="1335" w:type="dxa"/>
            <w:noWrap/>
            <w:hideMark/>
          </w:tcPr>
          <w:p w:rsidRPr="008859A5" w:rsidR="00564EF7" w:rsidP="00DA0058" w:rsidRDefault="00564EF7" w14:paraId="563AE1B7" w14:textId="77777777">
            <w:pPr>
              <w:jc w:val="right"/>
              <w:cnfStyle w:val="000000000000" w:firstRow="0" w:lastRow="0" w:firstColumn="0" w:lastColumn="0" w:oddVBand="0" w:evenVBand="0" w:oddHBand="0" w:evenHBand="0" w:firstRowFirstColumn="0" w:firstRowLastColumn="0" w:lastRowFirstColumn="0" w:lastRowLastColumn="0"/>
              <w:rPr>
                <w:rFonts w:cs="Palatino"/>
                <w:b/>
                <w:bCs/>
                <w:color w:val="000000"/>
                <w:szCs w:val="26"/>
              </w:rPr>
            </w:pPr>
            <w:r>
              <w:rPr>
                <w:rFonts w:cs="Palatino"/>
                <w:b/>
                <w:bCs/>
                <w:color w:val="000000"/>
                <w:szCs w:val="26"/>
              </w:rPr>
              <w:t>$</w:t>
            </w:r>
            <w:r w:rsidRPr="008859A5">
              <w:rPr>
                <w:rFonts w:cs="Palatino"/>
                <w:b/>
                <w:bCs/>
                <w:color w:val="000000"/>
                <w:szCs w:val="26"/>
              </w:rPr>
              <w:t>120,000</w:t>
            </w:r>
          </w:p>
        </w:tc>
      </w:tr>
      <w:tr w:rsidRPr="008859A5" w:rsidR="00564EF7" w:rsidTr="00DA0058" w14:paraId="2CC9A117" w14:textId="77777777">
        <w:trPr>
          <w:trHeight w:val="312"/>
        </w:trPr>
        <w:tc>
          <w:tcPr>
            <w:cnfStyle w:val="001000000000" w:firstRow="0" w:lastRow="0" w:firstColumn="1" w:lastColumn="0" w:oddVBand="0" w:evenVBand="0" w:oddHBand="0" w:evenHBand="0" w:firstRowFirstColumn="0" w:firstRowLastColumn="0" w:lastRowFirstColumn="0" w:lastRowLastColumn="0"/>
            <w:tcW w:w="6301" w:type="dxa"/>
            <w:noWrap/>
            <w:hideMark/>
          </w:tcPr>
          <w:p w:rsidRPr="008859A5" w:rsidR="00564EF7" w:rsidP="00DA0058" w:rsidRDefault="00564EF7" w14:paraId="7F9E4523" w14:textId="77777777">
            <w:pPr>
              <w:rPr>
                <w:rFonts w:cs="Palatino"/>
                <w:color w:val="000000"/>
                <w:szCs w:val="26"/>
              </w:rPr>
            </w:pPr>
            <w:r w:rsidRPr="008859A5">
              <w:rPr>
                <w:rFonts w:cs="Palatino"/>
                <w:color w:val="000000"/>
                <w:szCs w:val="26"/>
              </w:rPr>
              <w:t xml:space="preserve">Commercial Equipment Rebates </w:t>
            </w:r>
          </w:p>
        </w:tc>
        <w:tc>
          <w:tcPr>
            <w:tcW w:w="1335" w:type="dxa"/>
            <w:noWrap/>
            <w:hideMark/>
          </w:tcPr>
          <w:p w:rsidRPr="008859A5" w:rsidR="00564EF7" w:rsidP="00DA0058" w:rsidRDefault="00564EF7" w14:paraId="75CF4CFE" w14:textId="77777777">
            <w:pPr>
              <w:jc w:val="right"/>
              <w:cnfStyle w:val="000000000000" w:firstRow="0" w:lastRow="0" w:firstColumn="0" w:lastColumn="0" w:oddVBand="0" w:evenVBand="0" w:oddHBand="0" w:evenHBand="0" w:firstRowFirstColumn="0" w:firstRowLastColumn="0" w:lastRowFirstColumn="0" w:lastRowLastColumn="0"/>
              <w:rPr>
                <w:rFonts w:cs="Palatino"/>
                <w:b/>
                <w:bCs/>
                <w:color w:val="000000"/>
                <w:szCs w:val="26"/>
              </w:rPr>
            </w:pPr>
            <w:r>
              <w:rPr>
                <w:rFonts w:cs="Palatino"/>
                <w:b/>
                <w:bCs/>
                <w:color w:val="000000"/>
                <w:szCs w:val="26"/>
              </w:rPr>
              <w:t>$</w:t>
            </w:r>
            <w:r w:rsidRPr="008859A5">
              <w:rPr>
                <w:rFonts w:cs="Palatino"/>
                <w:b/>
                <w:bCs/>
                <w:color w:val="000000"/>
                <w:szCs w:val="26"/>
              </w:rPr>
              <w:t>140,000</w:t>
            </w:r>
          </w:p>
        </w:tc>
      </w:tr>
      <w:tr w:rsidRPr="008859A5" w:rsidR="00564EF7" w:rsidTr="00DA0058" w14:paraId="1E61B50E" w14:textId="77777777">
        <w:trPr>
          <w:trHeight w:val="312"/>
        </w:trPr>
        <w:tc>
          <w:tcPr>
            <w:cnfStyle w:val="001000000000" w:firstRow="0" w:lastRow="0" w:firstColumn="1" w:lastColumn="0" w:oddVBand="0" w:evenVBand="0" w:oddHBand="0" w:evenHBand="0" w:firstRowFirstColumn="0" w:firstRowLastColumn="0" w:lastRowFirstColumn="0" w:lastRowLastColumn="0"/>
            <w:tcW w:w="6301" w:type="dxa"/>
            <w:noWrap/>
            <w:hideMark/>
          </w:tcPr>
          <w:p w:rsidRPr="008859A5" w:rsidR="00564EF7" w:rsidP="00DA0058" w:rsidRDefault="00564EF7" w14:paraId="4E35A9B9" w14:textId="77777777">
            <w:pPr>
              <w:rPr>
                <w:rFonts w:cs="Palatino"/>
                <w:color w:val="000000"/>
                <w:szCs w:val="26"/>
              </w:rPr>
            </w:pPr>
            <w:r w:rsidRPr="008859A5">
              <w:rPr>
                <w:rFonts w:cs="Palatino"/>
                <w:color w:val="000000"/>
                <w:szCs w:val="26"/>
              </w:rPr>
              <w:t xml:space="preserve">Solar Thermal Rebates </w:t>
            </w:r>
          </w:p>
        </w:tc>
        <w:tc>
          <w:tcPr>
            <w:tcW w:w="1335" w:type="dxa"/>
            <w:noWrap/>
            <w:hideMark/>
          </w:tcPr>
          <w:p w:rsidRPr="008859A5" w:rsidR="00564EF7" w:rsidP="00DA0058" w:rsidRDefault="00564EF7" w14:paraId="7BBD0B26" w14:textId="77777777">
            <w:pPr>
              <w:jc w:val="right"/>
              <w:cnfStyle w:val="000000000000" w:firstRow="0" w:lastRow="0" w:firstColumn="0" w:lastColumn="0" w:oddVBand="0" w:evenVBand="0" w:oddHBand="0" w:evenHBand="0" w:firstRowFirstColumn="0" w:firstRowLastColumn="0" w:lastRowFirstColumn="0" w:lastRowLastColumn="0"/>
              <w:rPr>
                <w:rFonts w:cs="Palatino"/>
                <w:b/>
                <w:bCs/>
                <w:color w:val="000000"/>
                <w:szCs w:val="26"/>
              </w:rPr>
            </w:pPr>
            <w:r>
              <w:rPr>
                <w:rFonts w:cs="Palatino"/>
                <w:b/>
                <w:bCs/>
                <w:color w:val="000000"/>
                <w:szCs w:val="26"/>
              </w:rPr>
              <w:t>$</w:t>
            </w:r>
            <w:r w:rsidRPr="008859A5">
              <w:rPr>
                <w:rFonts w:cs="Palatino"/>
                <w:b/>
                <w:bCs/>
                <w:color w:val="000000"/>
                <w:szCs w:val="26"/>
              </w:rPr>
              <w:t>20,000</w:t>
            </w:r>
          </w:p>
        </w:tc>
      </w:tr>
      <w:tr w:rsidRPr="008859A5" w:rsidR="00564EF7" w:rsidTr="00DA0058" w14:paraId="5D64957A" w14:textId="77777777">
        <w:trPr>
          <w:trHeight w:val="312"/>
        </w:trPr>
        <w:tc>
          <w:tcPr>
            <w:cnfStyle w:val="001000000000" w:firstRow="0" w:lastRow="0" w:firstColumn="1" w:lastColumn="0" w:oddVBand="0" w:evenVBand="0" w:oddHBand="0" w:evenHBand="0" w:firstRowFirstColumn="0" w:firstRowLastColumn="0" w:lastRowFirstColumn="0" w:lastRowLastColumn="0"/>
            <w:tcW w:w="6301" w:type="dxa"/>
            <w:noWrap/>
            <w:hideMark/>
          </w:tcPr>
          <w:p w:rsidRPr="008859A5" w:rsidR="00564EF7" w:rsidP="00DA0058" w:rsidRDefault="00564EF7" w14:paraId="256BA47E" w14:textId="77777777">
            <w:pPr>
              <w:rPr>
                <w:rFonts w:cs="Palatino"/>
                <w:color w:val="000000"/>
                <w:szCs w:val="26"/>
              </w:rPr>
            </w:pPr>
            <w:r w:rsidRPr="008859A5">
              <w:rPr>
                <w:rFonts w:cs="Palatino"/>
                <w:color w:val="000000"/>
                <w:szCs w:val="26"/>
              </w:rPr>
              <w:t xml:space="preserve">New Home Rebates </w:t>
            </w:r>
          </w:p>
        </w:tc>
        <w:tc>
          <w:tcPr>
            <w:tcW w:w="1335" w:type="dxa"/>
            <w:noWrap/>
            <w:hideMark/>
          </w:tcPr>
          <w:p w:rsidRPr="008859A5" w:rsidR="00564EF7" w:rsidP="00DA0058" w:rsidRDefault="00564EF7" w14:paraId="2D923769" w14:textId="77777777">
            <w:pPr>
              <w:jc w:val="right"/>
              <w:cnfStyle w:val="000000000000" w:firstRow="0" w:lastRow="0" w:firstColumn="0" w:lastColumn="0" w:oddVBand="0" w:evenVBand="0" w:oddHBand="0" w:evenHBand="0" w:firstRowFirstColumn="0" w:firstRowLastColumn="0" w:lastRowFirstColumn="0" w:lastRowLastColumn="0"/>
              <w:rPr>
                <w:rFonts w:cs="Palatino"/>
                <w:b/>
                <w:bCs/>
                <w:color w:val="000000"/>
                <w:szCs w:val="26"/>
              </w:rPr>
            </w:pPr>
            <w:r>
              <w:rPr>
                <w:rFonts w:cs="Palatino"/>
                <w:b/>
                <w:bCs/>
                <w:color w:val="000000"/>
                <w:szCs w:val="26"/>
              </w:rPr>
              <w:t>$</w:t>
            </w:r>
            <w:r w:rsidRPr="008859A5">
              <w:rPr>
                <w:rFonts w:cs="Palatino"/>
                <w:b/>
                <w:bCs/>
                <w:color w:val="000000"/>
                <w:szCs w:val="26"/>
              </w:rPr>
              <w:t>170,000</w:t>
            </w:r>
          </w:p>
        </w:tc>
      </w:tr>
      <w:tr w:rsidRPr="008859A5" w:rsidR="00564EF7" w:rsidTr="00DA0058" w14:paraId="4FFFBCC3" w14:textId="77777777">
        <w:trPr>
          <w:trHeight w:val="312"/>
        </w:trPr>
        <w:tc>
          <w:tcPr>
            <w:cnfStyle w:val="001000000000" w:firstRow="0" w:lastRow="0" w:firstColumn="1" w:lastColumn="0" w:oddVBand="0" w:evenVBand="0" w:oddHBand="0" w:evenHBand="0" w:firstRowFirstColumn="0" w:firstRowLastColumn="0" w:lastRowFirstColumn="0" w:lastRowLastColumn="0"/>
            <w:tcW w:w="6301" w:type="dxa"/>
            <w:tcBorders>
              <w:bottom w:val="single" w:color="999999" w:themeColor="text1" w:themeTint="66" w:sz="4" w:space="0"/>
            </w:tcBorders>
            <w:noWrap/>
            <w:hideMark/>
          </w:tcPr>
          <w:p w:rsidRPr="008859A5" w:rsidR="00564EF7" w:rsidP="00DA0058" w:rsidRDefault="00564EF7" w14:paraId="76C75D75" w14:textId="77777777">
            <w:pPr>
              <w:rPr>
                <w:rFonts w:cs="Palatino"/>
                <w:color w:val="000000"/>
                <w:szCs w:val="26"/>
              </w:rPr>
            </w:pPr>
            <w:r w:rsidRPr="008859A5">
              <w:rPr>
                <w:rFonts w:cs="Palatino"/>
                <w:color w:val="000000"/>
                <w:szCs w:val="26"/>
              </w:rPr>
              <w:t>RED</w:t>
            </w:r>
          </w:p>
        </w:tc>
        <w:tc>
          <w:tcPr>
            <w:tcW w:w="1335" w:type="dxa"/>
            <w:tcBorders>
              <w:bottom w:val="single" w:color="999999" w:themeColor="text1" w:themeTint="66" w:sz="4" w:space="0"/>
            </w:tcBorders>
            <w:noWrap/>
            <w:hideMark/>
          </w:tcPr>
          <w:p w:rsidRPr="008859A5" w:rsidR="00564EF7" w:rsidP="00DA0058" w:rsidRDefault="00564EF7" w14:paraId="5959402C" w14:textId="77777777">
            <w:pPr>
              <w:jc w:val="right"/>
              <w:cnfStyle w:val="000000000000" w:firstRow="0" w:lastRow="0" w:firstColumn="0" w:lastColumn="0" w:oddVBand="0" w:evenVBand="0" w:oddHBand="0" w:evenHBand="0" w:firstRowFirstColumn="0" w:firstRowLastColumn="0" w:lastRowFirstColumn="0" w:lastRowLastColumn="0"/>
              <w:rPr>
                <w:rFonts w:cs="Palatino"/>
                <w:b/>
                <w:bCs/>
                <w:color w:val="000000"/>
                <w:szCs w:val="26"/>
              </w:rPr>
            </w:pPr>
            <w:r>
              <w:rPr>
                <w:rFonts w:cs="Palatino"/>
                <w:b/>
                <w:bCs/>
                <w:color w:val="000000"/>
                <w:szCs w:val="26"/>
              </w:rPr>
              <w:t>$</w:t>
            </w:r>
            <w:r w:rsidRPr="008859A5">
              <w:rPr>
                <w:rFonts w:cs="Palatino"/>
                <w:b/>
                <w:bCs/>
                <w:color w:val="000000"/>
                <w:szCs w:val="26"/>
              </w:rPr>
              <w:t>40,000</w:t>
            </w:r>
          </w:p>
        </w:tc>
      </w:tr>
      <w:tr w:rsidRPr="008859A5" w:rsidR="00564EF7" w:rsidTr="00DA0058" w14:paraId="7F874A52" w14:textId="77777777">
        <w:trPr>
          <w:trHeight w:val="312"/>
        </w:trPr>
        <w:tc>
          <w:tcPr>
            <w:cnfStyle w:val="001000000000" w:firstRow="0" w:lastRow="0" w:firstColumn="1" w:lastColumn="0" w:oddVBand="0" w:evenVBand="0" w:oddHBand="0" w:evenHBand="0" w:firstRowFirstColumn="0" w:firstRowLastColumn="0" w:lastRowFirstColumn="0" w:lastRowLastColumn="0"/>
            <w:tcW w:w="6301" w:type="dxa"/>
            <w:tcBorders>
              <w:bottom w:val="single" w:color="auto" w:sz="4" w:space="0"/>
            </w:tcBorders>
            <w:noWrap/>
            <w:hideMark/>
          </w:tcPr>
          <w:p w:rsidRPr="008859A5" w:rsidR="00564EF7" w:rsidP="00DA0058" w:rsidRDefault="00564EF7" w14:paraId="20F96A72" w14:textId="77777777">
            <w:pPr>
              <w:rPr>
                <w:rFonts w:cs="Palatino"/>
                <w:color w:val="000000"/>
                <w:szCs w:val="26"/>
              </w:rPr>
            </w:pPr>
            <w:r w:rsidRPr="008859A5">
              <w:rPr>
                <w:rFonts w:cs="Palatino"/>
                <w:color w:val="000000"/>
                <w:szCs w:val="26"/>
              </w:rPr>
              <w:t xml:space="preserve">CEE Plan Administration </w:t>
            </w:r>
          </w:p>
        </w:tc>
        <w:tc>
          <w:tcPr>
            <w:tcW w:w="1335" w:type="dxa"/>
            <w:tcBorders>
              <w:bottom w:val="single" w:color="auto" w:sz="4" w:space="0"/>
            </w:tcBorders>
            <w:noWrap/>
            <w:hideMark/>
          </w:tcPr>
          <w:p w:rsidRPr="008859A5" w:rsidR="00564EF7" w:rsidP="00DA0058" w:rsidRDefault="00564EF7" w14:paraId="1B755695" w14:textId="77777777">
            <w:pPr>
              <w:jc w:val="right"/>
              <w:cnfStyle w:val="000000000000" w:firstRow="0" w:lastRow="0" w:firstColumn="0" w:lastColumn="0" w:oddVBand="0" w:evenVBand="0" w:oddHBand="0" w:evenHBand="0" w:firstRowFirstColumn="0" w:firstRowLastColumn="0" w:lastRowFirstColumn="0" w:lastRowLastColumn="0"/>
              <w:rPr>
                <w:rFonts w:cs="Palatino"/>
                <w:b/>
                <w:bCs/>
                <w:color w:val="000000"/>
                <w:szCs w:val="26"/>
              </w:rPr>
            </w:pPr>
            <w:r>
              <w:rPr>
                <w:rFonts w:cs="Palatino"/>
                <w:b/>
                <w:bCs/>
                <w:color w:val="000000"/>
                <w:szCs w:val="26"/>
              </w:rPr>
              <w:t>$</w:t>
            </w:r>
            <w:r w:rsidRPr="008859A5">
              <w:rPr>
                <w:rFonts w:cs="Palatino"/>
                <w:b/>
                <w:bCs/>
                <w:color w:val="000000"/>
                <w:szCs w:val="26"/>
              </w:rPr>
              <w:t>10,000</w:t>
            </w:r>
          </w:p>
        </w:tc>
      </w:tr>
      <w:tr w:rsidRPr="008859A5" w:rsidR="00564EF7" w:rsidTr="00DA0058" w14:paraId="74BE4C45" w14:textId="77777777">
        <w:trPr>
          <w:trHeight w:val="312"/>
        </w:trPr>
        <w:tc>
          <w:tcPr>
            <w:cnfStyle w:val="001000000000" w:firstRow="0" w:lastRow="0" w:firstColumn="1" w:lastColumn="0" w:oddVBand="0" w:evenVBand="0" w:oddHBand="0" w:evenHBand="0" w:firstRowFirstColumn="0" w:firstRowLastColumn="0" w:lastRowFirstColumn="0" w:lastRowLastColumn="0"/>
            <w:tcW w:w="6301" w:type="dxa"/>
            <w:tcBorders>
              <w:top w:val="single" w:color="auto" w:sz="4" w:space="0"/>
            </w:tcBorders>
            <w:noWrap/>
            <w:hideMark/>
          </w:tcPr>
          <w:p w:rsidRPr="008859A5" w:rsidR="00564EF7" w:rsidP="00DA0058" w:rsidRDefault="00564EF7" w14:paraId="043B34D6" w14:textId="77777777">
            <w:pPr>
              <w:rPr>
                <w:rFonts w:cs="Palatino"/>
                <w:color w:val="000000"/>
                <w:szCs w:val="26"/>
              </w:rPr>
            </w:pPr>
            <w:r w:rsidRPr="008859A5">
              <w:rPr>
                <w:rFonts w:cs="Palatino"/>
                <w:color w:val="000000"/>
                <w:szCs w:val="26"/>
              </w:rPr>
              <w:t xml:space="preserve">Total </w:t>
            </w:r>
          </w:p>
        </w:tc>
        <w:tc>
          <w:tcPr>
            <w:tcW w:w="1335" w:type="dxa"/>
            <w:tcBorders>
              <w:top w:val="single" w:color="auto" w:sz="4" w:space="0"/>
            </w:tcBorders>
            <w:noWrap/>
            <w:hideMark/>
          </w:tcPr>
          <w:p w:rsidRPr="008859A5" w:rsidR="00564EF7" w:rsidP="00DA0058" w:rsidRDefault="002420C3" w14:paraId="6E66B1C2" w14:textId="32479511">
            <w:pPr>
              <w:jc w:val="right"/>
              <w:cnfStyle w:val="000000000000" w:firstRow="0" w:lastRow="0" w:firstColumn="0" w:lastColumn="0" w:oddVBand="0" w:evenVBand="0" w:oddHBand="0" w:evenHBand="0" w:firstRowFirstColumn="0" w:firstRowLastColumn="0" w:lastRowFirstColumn="0" w:lastRowLastColumn="0"/>
              <w:rPr>
                <w:rFonts w:cs="Palatino"/>
                <w:b/>
                <w:bCs/>
                <w:color w:val="000000"/>
                <w:szCs w:val="26"/>
              </w:rPr>
            </w:pPr>
            <w:r>
              <w:rPr>
                <w:rFonts w:cs="Palatino"/>
                <w:b/>
                <w:bCs/>
                <w:color w:val="000000"/>
                <w:szCs w:val="26"/>
              </w:rPr>
              <w:t>$</w:t>
            </w:r>
            <w:r w:rsidRPr="008859A5" w:rsidR="00564EF7">
              <w:rPr>
                <w:rFonts w:cs="Palatino"/>
                <w:b/>
                <w:bCs/>
                <w:color w:val="000000"/>
                <w:szCs w:val="26"/>
              </w:rPr>
              <w:t>500,000</w:t>
            </w:r>
          </w:p>
        </w:tc>
      </w:tr>
    </w:tbl>
    <w:p w:rsidR="00FF12A0" w:rsidP="00556BC6" w:rsidRDefault="00FF12A0" w14:paraId="24183C32" w14:textId="77777777">
      <w:pPr>
        <w:rPr>
          <w:rFonts w:ascii="Palatino Linotype" w:hAnsi="Palatino Linotype"/>
          <w:sz w:val="24"/>
          <w:szCs w:val="24"/>
        </w:rPr>
      </w:pPr>
    </w:p>
    <w:p w:rsidR="00F007AC" w:rsidP="00556BC6" w:rsidRDefault="00F007AC" w14:paraId="42D61F27" w14:textId="77777777">
      <w:pPr>
        <w:rPr>
          <w:rFonts w:ascii="Palatino Linotype" w:hAnsi="Palatino Linotype"/>
          <w:sz w:val="24"/>
          <w:szCs w:val="24"/>
        </w:rPr>
      </w:pPr>
    </w:p>
    <w:p w:rsidR="00A4451B" w:rsidP="000F07FA" w:rsidRDefault="00CC2ABA" w14:paraId="3703A1DA" w14:textId="0E688C72">
      <w:pPr>
        <w:rPr>
          <w:rFonts w:ascii="Palatino Linotype" w:hAnsi="Palatino Linotype"/>
          <w:sz w:val="24"/>
          <w:szCs w:val="24"/>
        </w:rPr>
      </w:pPr>
      <w:r>
        <w:rPr>
          <w:rFonts w:ascii="Palatino Linotype" w:hAnsi="Palatino Linotype"/>
          <w:sz w:val="24"/>
          <w:szCs w:val="24"/>
        </w:rPr>
        <w:t xml:space="preserve">Lastly, </w:t>
      </w:r>
      <w:r w:rsidR="00A4451B">
        <w:rPr>
          <w:rFonts w:ascii="Palatino Linotype" w:hAnsi="Palatino Linotype"/>
          <w:sz w:val="24"/>
          <w:szCs w:val="24"/>
        </w:rPr>
        <w:t xml:space="preserve">SWG’s alternative </w:t>
      </w:r>
      <w:r w:rsidR="00443A7B">
        <w:rPr>
          <w:rFonts w:ascii="Palatino Linotype" w:hAnsi="Palatino Linotype"/>
          <w:sz w:val="24"/>
          <w:szCs w:val="24"/>
        </w:rPr>
        <w:t>funding</w:t>
      </w:r>
      <w:r w:rsidR="0066553A">
        <w:rPr>
          <w:rFonts w:ascii="Palatino Linotype" w:hAnsi="Palatino Linotype"/>
          <w:sz w:val="24"/>
          <w:szCs w:val="24"/>
        </w:rPr>
        <w:t xml:space="preserve"> </w:t>
      </w:r>
      <w:r w:rsidR="00A4451B">
        <w:rPr>
          <w:rFonts w:ascii="Palatino Linotype" w:hAnsi="Palatino Linotype"/>
          <w:sz w:val="24"/>
          <w:szCs w:val="24"/>
        </w:rPr>
        <w:t>proposal</w:t>
      </w:r>
      <w:r>
        <w:rPr>
          <w:rFonts w:ascii="Palatino Linotype" w:hAnsi="Palatino Linotype"/>
          <w:sz w:val="24"/>
          <w:szCs w:val="24"/>
        </w:rPr>
        <w:t xml:space="preserve"> in </w:t>
      </w:r>
      <w:r w:rsidR="00D036EC">
        <w:rPr>
          <w:rFonts w:ascii="Palatino Linotype" w:hAnsi="Palatino Linotype"/>
          <w:sz w:val="24"/>
          <w:szCs w:val="24"/>
        </w:rPr>
        <w:t xml:space="preserve">its </w:t>
      </w:r>
      <w:r>
        <w:rPr>
          <w:rFonts w:ascii="Palatino Linotype" w:hAnsi="Palatino Linotype"/>
          <w:sz w:val="24"/>
          <w:szCs w:val="24"/>
        </w:rPr>
        <w:t>Reply to Protest is rejected. Authorizing the full $500,000 per year but not collecting these funds</w:t>
      </w:r>
      <w:r w:rsidR="00A4451B">
        <w:rPr>
          <w:rFonts w:ascii="Palatino Linotype" w:hAnsi="Palatino Linotype"/>
          <w:sz w:val="24"/>
          <w:szCs w:val="24"/>
        </w:rPr>
        <w:t xml:space="preserve"> is not </w:t>
      </w:r>
      <w:r>
        <w:rPr>
          <w:rFonts w:ascii="Palatino Linotype" w:hAnsi="Palatino Linotype"/>
          <w:sz w:val="24"/>
          <w:szCs w:val="24"/>
        </w:rPr>
        <w:t>part of the</w:t>
      </w:r>
      <w:r w:rsidR="00A4451B">
        <w:rPr>
          <w:rFonts w:ascii="Palatino Linotype" w:hAnsi="Palatino Linotype"/>
          <w:sz w:val="24"/>
          <w:szCs w:val="24"/>
        </w:rPr>
        <w:t xml:space="preserve"> Settlement Agreement decision</w:t>
      </w:r>
      <w:r>
        <w:rPr>
          <w:rFonts w:ascii="Palatino Linotype" w:hAnsi="Palatino Linotype"/>
          <w:sz w:val="24"/>
          <w:szCs w:val="24"/>
        </w:rPr>
        <w:t xml:space="preserve"> funding requirements, nor</w:t>
      </w:r>
      <w:r w:rsidR="00A4451B">
        <w:rPr>
          <w:rFonts w:ascii="Palatino Linotype" w:hAnsi="Palatino Linotype"/>
          <w:sz w:val="24"/>
          <w:szCs w:val="24"/>
        </w:rPr>
        <w:t xml:space="preserve"> </w:t>
      </w:r>
      <w:r w:rsidR="00735DB8">
        <w:rPr>
          <w:rFonts w:ascii="Palatino Linotype" w:hAnsi="Palatino Linotype"/>
          <w:sz w:val="24"/>
          <w:szCs w:val="24"/>
        </w:rPr>
        <w:t xml:space="preserve">would </w:t>
      </w:r>
      <w:r>
        <w:rPr>
          <w:rFonts w:ascii="Palatino Linotype" w:hAnsi="Palatino Linotype"/>
          <w:sz w:val="24"/>
          <w:szCs w:val="24"/>
        </w:rPr>
        <w:t>it</w:t>
      </w:r>
      <w:r w:rsidR="00A4451B">
        <w:rPr>
          <w:rFonts w:ascii="Palatino Linotype" w:hAnsi="Palatino Linotype"/>
          <w:sz w:val="24"/>
          <w:szCs w:val="24"/>
        </w:rPr>
        <w:t xml:space="preserve"> provide certainty of </w:t>
      </w:r>
      <w:r w:rsidR="00735DB8">
        <w:rPr>
          <w:rFonts w:ascii="Palatino Linotype" w:hAnsi="Palatino Linotype"/>
          <w:sz w:val="24"/>
          <w:szCs w:val="24"/>
        </w:rPr>
        <w:t xml:space="preserve">the </w:t>
      </w:r>
      <w:r w:rsidR="00A4451B">
        <w:rPr>
          <w:rFonts w:ascii="Palatino Linotype" w:hAnsi="Palatino Linotype"/>
          <w:sz w:val="24"/>
          <w:szCs w:val="24"/>
        </w:rPr>
        <w:t>program funding that the Settlement Agreement authorized</w:t>
      </w:r>
      <w:r w:rsidR="009D2D35">
        <w:rPr>
          <w:rFonts w:ascii="Palatino Linotype" w:hAnsi="Palatino Linotype"/>
          <w:sz w:val="24"/>
          <w:szCs w:val="24"/>
        </w:rPr>
        <w:t xml:space="preserve">. SWG will continue to use </w:t>
      </w:r>
      <w:r w:rsidR="000C4E3B">
        <w:rPr>
          <w:rFonts w:ascii="Palatino Linotype" w:hAnsi="Palatino Linotype"/>
          <w:sz w:val="24"/>
          <w:szCs w:val="24"/>
        </w:rPr>
        <w:t xml:space="preserve">the </w:t>
      </w:r>
      <w:r w:rsidRPr="000C4E3B" w:rsidR="000C4E3B">
        <w:rPr>
          <w:rFonts w:ascii="Palatino Linotype" w:hAnsi="Palatino Linotype"/>
          <w:sz w:val="24"/>
          <w:szCs w:val="24"/>
        </w:rPr>
        <w:t>Conservation and Energy Efficiency Balancing Account (CEEBA)</w:t>
      </w:r>
      <w:r w:rsidRPr="000F07FA" w:rsidR="000F07FA">
        <w:t xml:space="preserve"> </w:t>
      </w:r>
      <w:r w:rsidRPr="000F07FA" w:rsidR="000F07FA">
        <w:rPr>
          <w:rFonts w:ascii="Palatino Linotype" w:hAnsi="Palatino Linotype"/>
          <w:sz w:val="24"/>
          <w:szCs w:val="24"/>
        </w:rPr>
        <w:t>pursuant to its California Gas Tariff</w:t>
      </w:r>
      <w:r w:rsidR="00CB09A0">
        <w:rPr>
          <w:rFonts w:ascii="Palatino Linotype" w:hAnsi="Palatino Linotype"/>
          <w:sz w:val="24"/>
          <w:szCs w:val="24"/>
        </w:rPr>
        <w:t xml:space="preserve"> </w:t>
      </w:r>
      <w:r w:rsidRPr="000F07FA" w:rsidR="000F07FA">
        <w:rPr>
          <w:rFonts w:ascii="Palatino Linotype" w:hAnsi="Palatino Linotype"/>
          <w:sz w:val="24"/>
          <w:szCs w:val="24"/>
        </w:rPr>
        <w:t>Preliminary Statement, Section 16.G.1</w:t>
      </w:r>
      <w:r w:rsidR="004B0412">
        <w:rPr>
          <w:rFonts w:ascii="Palatino Linotype" w:hAnsi="Palatino Linotype"/>
          <w:sz w:val="24"/>
          <w:szCs w:val="24"/>
        </w:rPr>
        <w:t xml:space="preserve"> for tracking the costs and expenditures of the approved budgets for CEE programs. </w:t>
      </w:r>
      <w:r w:rsidR="00AE6E92">
        <w:rPr>
          <w:rFonts w:ascii="Palatino Linotype" w:hAnsi="Palatino Linotype"/>
          <w:sz w:val="24"/>
          <w:szCs w:val="24"/>
        </w:rPr>
        <w:t>Any unspent</w:t>
      </w:r>
      <w:r w:rsidR="00AD18AB">
        <w:rPr>
          <w:rFonts w:ascii="Palatino Linotype" w:hAnsi="Palatino Linotype"/>
          <w:sz w:val="24"/>
          <w:szCs w:val="24"/>
        </w:rPr>
        <w:t xml:space="preserve">, </w:t>
      </w:r>
      <w:r w:rsidR="00AE6E92">
        <w:rPr>
          <w:rFonts w:ascii="Palatino Linotype" w:hAnsi="Palatino Linotype"/>
          <w:sz w:val="24"/>
          <w:szCs w:val="24"/>
        </w:rPr>
        <w:t>uncommitted</w:t>
      </w:r>
      <w:r w:rsidR="00115534">
        <w:rPr>
          <w:rFonts w:ascii="Palatino Linotype" w:hAnsi="Palatino Linotype"/>
          <w:sz w:val="24"/>
          <w:szCs w:val="24"/>
        </w:rPr>
        <w:t xml:space="preserve"> CEE program</w:t>
      </w:r>
      <w:r w:rsidR="00AE6E92">
        <w:rPr>
          <w:rFonts w:ascii="Palatino Linotype" w:hAnsi="Palatino Linotype"/>
          <w:sz w:val="24"/>
          <w:szCs w:val="24"/>
        </w:rPr>
        <w:t xml:space="preserve"> </w:t>
      </w:r>
      <w:r w:rsidR="00A646EA">
        <w:rPr>
          <w:rFonts w:ascii="Palatino Linotype" w:hAnsi="Palatino Linotype"/>
          <w:sz w:val="24"/>
          <w:szCs w:val="24"/>
        </w:rPr>
        <w:t xml:space="preserve">funds from each program year will be </w:t>
      </w:r>
      <w:r w:rsidR="00BE3BC1">
        <w:rPr>
          <w:rFonts w:ascii="Palatino Linotype" w:hAnsi="Palatino Linotype"/>
          <w:sz w:val="24"/>
          <w:szCs w:val="24"/>
        </w:rPr>
        <w:t xml:space="preserve">used to offset collection in future year, or otherwise </w:t>
      </w:r>
      <w:r w:rsidR="00A646EA">
        <w:rPr>
          <w:rFonts w:ascii="Palatino Linotype" w:hAnsi="Palatino Linotype"/>
          <w:sz w:val="24"/>
          <w:szCs w:val="24"/>
        </w:rPr>
        <w:t xml:space="preserve">returned to ratepayers </w:t>
      </w:r>
      <w:r w:rsidR="00AE0C3D">
        <w:rPr>
          <w:rFonts w:ascii="Palatino Linotype" w:hAnsi="Palatino Linotype"/>
          <w:snapToGrid w:val="0"/>
          <w:sz w:val="24"/>
          <w:szCs w:val="24"/>
        </w:rPr>
        <w:t>in</w:t>
      </w:r>
      <w:r w:rsidRPr="00662FB2" w:rsidR="00AE0C3D">
        <w:rPr>
          <w:rFonts w:ascii="Palatino Linotype" w:hAnsi="Palatino Linotype"/>
          <w:snapToGrid w:val="0"/>
          <w:sz w:val="24"/>
          <w:szCs w:val="24"/>
        </w:rPr>
        <w:t xml:space="preserve"> the </w:t>
      </w:r>
      <w:r w:rsidR="00717C24">
        <w:rPr>
          <w:rFonts w:ascii="Palatino Linotype" w:hAnsi="Palatino Linotype"/>
          <w:snapToGrid w:val="0"/>
          <w:sz w:val="24"/>
          <w:szCs w:val="24"/>
        </w:rPr>
        <w:t>rate change implementation</w:t>
      </w:r>
      <w:r w:rsidR="007D2F76">
        <w:rPr>
          <w:rFonts w:ascii="Palatino Linotype" w:hAnsi="Palatino Linotype"/>
          <w:snapToGrid w:val="0"/>
          <w:sz w:val="24"/>
          <w:szCs w:val="24"/>
        </w:rPr>
        <w:t xml:space="preserve">, or </w:t>
      </w:r>
      <w:r w:rsidR="00452C43">
        <w:rPr>
          <w:rFonts w:ascii="Palatino Linotype" w:hAnsi="Palatino Linotype"/>
          <w:snapToGrid w:val="0"/>
          <w:sz w:val="24"/>
          <w:szCs w:val="24"/>
        </w:rPr>
        <w:br/>
      </w:r>
      <w:r w:rsidR="007D2F76">
        <w:rPr>
          <w:rFonts w:ascii="Palatino Linotype" w:hAnsi="Palatino Linotype"/>
          <w:snapToGrid w:val="0"/>
          <w:sz w:val="24"/>
          <w:szCs w:val="24"/>
        </w:rPr>
        <w:t>“true-up”</w:t>
      </w:r>
      <w:r w:rsidR="00285E5B">
        <w:rPr>
          <w:rFonts w:ascii="Palatino Linotype" w:hAnsi="Palatino Linotype"/>
          <w:snapToGrid w:val="0"/>
          <w:sz w:val="24"/>
          <w:szCs w:val="24"/>
        </w:rPr>
        <w:t>, advice letter</w:t>
      </w:r>
      <w:r w:rsidR="00AE0C3D">
        <w:rPr>
          <w:rFonts w:ascii="Palatino Linotype" w:hAnsi="Palatino Linotype"/>
          <w:snapToGrid w:val="0"/>
          <w:sz w:val="24"/>
          <w:szCs w:val="24"/>
        </w:rPr>
        <w:t xml:space="preserve"> submitted by Southwest Gas</w:t>
      </w:r>
      <w:r w:rsidRPr="00662FB2" w:rsidR="00AE0C3D">
        <w:rPr>
          <w:rFonts w:ascii="Palatino Linotype" w:hAnsi="Palatino Linotype"/>
          <w:snapToGrid w:val="0"/>
          <w:sz w:val="24"/>
          <w:szCs w:val="24"/>
        </w:rPr>
        <w:t xml:space="preserve"> each year</w:t>
      </w:r>
      <w:r w:rsidR="00662A25">
        <w:rPr>
          <w:rFonts w:ascii="Palatino Linotype" w:hAnsi="Palatino Linotype"/>
          <w:sz w:val="24"/>
          <w:szCs w:val="24"/>
        </w:rPr>
        <w:t xml:space="preserve">. </w:t>
      </w:r>
    </w:p>
    <w:p w:rsidRPr="00B0230F" w:rsidR="00442738" w:rsidRDefault="00442738" w14:paraId="12A32514" w14:textId="77777777">
      <w:pPr>
        <w:rPr>
          <w:rFonts w:ascii="Palatino Linotype" w:hAnsi="Palatino Linotype"/>
          <w:color w:val="FF0000"/>
          <w:sz w:val="24"/>
          <w:szCs w:val="24"/>
        </w:rPr>
      </w:pPr>
    </w:p>
    <w:p w:rsidRPr="00D865A9" w:rsidR="00CF17DE" w:rsidRDefault="00CF17DE" w14:paraId="16A82360" w14:textId="77777777">
      <w:pPr>
        <w:pStyle w:val="Heading1"/>
        <w:rPr>
          <w:rFonts w:ascii="Palatino Linotype" w:hAnsi="Palatino Linotype"/>
          <w:sz w:val="24"/>
          <w:szCs w:val="24"/>
        </w:rPr>
      </w:pPr>
      <w:r w:rsidRPr="00D865A9">
        <w:rPr>
          <w:rFonts w:ascii="Palatino Linotype" w:hAnsi="Palatino Linotype"/>
          <w:sz w:val="24"/>
          <w:szCs w:val="24"/>
        </w:rPr>
        <w:t>Comments</w:t>
      </w:r>
    </w:p>
    <w:p w:rsidRPr="00D865A9" w:rsidR="00090457" w:rsidP="00090457" w:rsidRDefault="00090457" w14:paraId="029F8842" w14:textId="36E4DFB5">
      <w:pPr>
        <w:rPr>
          <w:rFonts w:ascii="Palatino Linotype" w:hAnsi="Palatino Linotype"/>
          <w:sz w:val="24"/>
          <w:szCs w:val="24"/>
        </w:rPr>
      </w:pPr>
      <w:r w:rsidRPr="00D865A9">
        <w:rPr>
          <w:rFonts w:ascii="Palatino Linotype" w:hAnsi="Palatino Linotype"/>
          <w:sz w:val="24"/>
          <w:szCs w:val="24"/>
        </w:rPr>
        <w:t xml:space="preserve">Public Utilities Code section 311(g)(1) provides that this Resolution must be served on all parties and subject to at least 30 days public review. Any comments are due within 20 days of the date of its mailing and publication on the Commission’s website and in accordance with any instructions accompanying the notice. Section 311(g)(2) provides that this 30-day review period and 20-day comment period may be reduced or waived upon the stipulation of all parties in the proceeding. </w:t>
      </w:r>
    </w:p>
    <w:p w:rsidRPr="00D865A9" w:rsidR="0024459D" w:rsidP="0024459D" w:rsidRDefault="0024459D" w14:paraId="1030F211" w14:textId="77777777">
      <w:pPr>
        <w:rPr>
          <w:rFonts w:ascii="Palatino Linotype" w:hAnsi="Palatino Linotype"/>
          <w:sz w:val="24"/>
          <w:szCs w:val="24"/>
        </w:rPr>
      </w:pPr>
    </w:p>
    <w:p w:rsidRPr="00D865A9" w:rsidR="0024459D" w:rsidP="0024459D" w:rsidRDefault="0024459D" w14:paraId="40C33EDB" w14:textId="577CECDA">
      <w:pPr>
        <w:rPr>
          <w:rFonts w:ascii="Palatino Linotype" w:hAnsi="Palatino Linotype"/>
          <w:sz w:val="24"/>
          <w:szCs w:val="24"/>
        </w:rPr>
      </w:pPr>
      <w:r w:rsidRPr="00D865A9">
        <w:rPr>
          <w:rFonts w:ascii="Palatino Linotype" w:hAnsi="Palatino Linotype"/>
          <w:sz w:val="24"/>
          <w:szCs w:val="24"/>
        </w:rPr>
        <w:t>The 30-day review and 20-day comment period for the draft of this resolution was neither waived nor reduced. Accordingly, this draft resolution was mailed to parties for comments, and will be placed on the Commission's agenda no earlier than 30 days from today.</w:t>
      </w:r>
    </w:p>
    <w:p w:rsidRPr="00D865A9" w:rsidR="0024459D" w:rsidP="0024459D" w:rsidRDefault="0024459D" w14:paraId="2A500E66" w14:textId="77777777">
      <w:pPr>
        <w:rPr>
          <w:rFonts w:ascii="Palatino Linotype" w:hAnsi="Palatino Linotype"/>
          <w:sz w:val="24"/>
          <w:szCs w:val="24"/>
        </w:rPr>
      </w:pPr>
    </w:p>
    <w:p w:rsidRPr="00D865A9" w:rsidR="00CF17DE" w:rsidRDefault="00CF17DE" w14:paraId="07618DBE" w14:textId="77777777">
      <w:pPr>
        <w:pStyle w:val="Heading1"/>
        <w:rPr>
          <w:rFonts w:ascii="Palatino Linotype" w:hAnsi="Palatino Linotype"/>
          <w:sz w:val="24"/>
          <w:szCs w:val="24"/>
        </w:rPr>
      </w:pPr>
      <w:r w:rsidRPr="00D865A9">
        <w:rPr>
          <w:rFonts w:ascii="Palatino Linotype" w:hAnsi="Palatino Linotype"/>
          <w:sz w:val="24"/>
          <w:szCs w:val="24"/>
        </w:rPr>
        <w:lastRenderedPageBreak/>
        <w:t>Findings</w:t>
      </w:r>
    </w:p>
    <w:p w:rsidRPr="001A731C" w:rsidR="007E5D2D" w:rsidP="007E5D2D" w:rsidRDefault="007E5D2D" w14:paraId="43693123" w14:textId="0908F097">
      <w:pPr>
        <w:numPr>
          <w:ilvl w:val="0"/>
          <w:numId w:val="4"/>
        </w:numPr>
        <w:rPr>
          <w:rFonts w:ascii="Palatino Linotype" w:hAnsi="Palatino Linotype"/>
          <w:sz w:val="24"/>
          <w:szCs w:val="24"/>
        </w:rPr>
      </w:pPr>
      <w:r w:rsidRPr="001A731C">
        <w:rPr>
          <w:rFonts w:ascii="Palatino Linotype" w:hAnsi="Palatino Linotype"/>
          <w:sz w:val="24"/>
          <w:szCs w:val="24"/>
        </w:rPr>
        <w:t>Commission Decision 21-03-052 adopted the Settlement Agreement in Southwest Gas’</w:t>
      </w:r>
      <w:r w:rsidR="00131F3B">
        <w:rPr>
          <w:rFonts w:ascii="Palatino Linotype" w:hAnsi="Palatino Linotype"/>
          <w:sz w:val="24"/>
          <w:szCs w:val="24"/>
        </w:rPr>
        <w:t>s</w:t>
      </w:r>
      <w:r w:rsidRPr="001A731C">
        <w:rPr>
          <w:rFonts w:ascii="Palatino Linotype" w:hAnsi="Palatino Linotype"/>
          <w:sz w:val="24"/>
          <w:szCs w:val="24"/>
        </w:rPr>
        <w:t xml:space="preserve"> Test Year 2021 General Rate Case, Application 19-08-015, including post-</w:t>
      </w:r>
      <w:r w:rsidRPr="001A731C" w:rsidR="001A731C">
        <w:rPr>
          <w:rFonts w:ascii="Palatino Linotype" w:hAnsi="Palatino Linotype"/>
          <w:sz w:val="24"/>
          <w:szCs w:val="24"/>
        </w:rPr>
        <w:t>Test Year</w:t>
      </w:r>
      <w:r w:rsidRPr="001A731C">
        <w:rPr>
          <w:rFonts w:ascii="Palatino Linotype" w:hAnsi="Palatino Linotype"/>
          <w:sz w:val="24"/>
          <w:szCs w:val="24"/>
        </w:rPr>
        <w:t xml:space="preserve">s 2022 through 2025. </w:t>
      </w:r>
    </w:p>
    <w:p w:rsidRPr="001A731C" w:rsidR="007E5D2D" w:rsidP="007E5D2D" w:rsidRDefault="007E5D2D" w14:paraId="62656585" w14:textId="6E974800">
      <w:pPr>
        <w:numPr>
          <w:ilvl w:val="0"/>
          <w:numId w:val="4"/>
        </w:numPr>
        <w:rPr>
          <w:rFonts w:ascii="Palatino Linotype" w:hAnsi="Palatino Linotype"/>
          <w:sz w:val="24"/>
          <w:szCs w:val="24"/>
        </w:rPr>
      </w:pPr>
      <w:r w:rsidRPr="001A731C">
        <w:rPr>
          <w:rFonts w:ascii="Palatino Linotype" w:hAnsi="Palatino Linotype"/>
          <w:sz w:val="24"/>
          <w:szCs w:val="24"/>
        </w:rPr>
        <w:t>Decision 21-03-052 approved Southwest Gas’</w:t>
      </w:r>
      <w:r w:rsidR="00131F3B">
        <w:rPr>
          <w:rFonts w:ascii="Palatino Linotype" w:hAnsi="Palatino Linotype"/>
          <w:sz w:val="24"/>
          <w:szCs w:val="24"/>
        </w:rPr>
        <w:t>s</w:t>
      </w:r>
      <w:r w:rsidRPr="001A731C">
        <w:rPr>
          <w:rFonts w:ascii="Palatino Linotype" w:hAnsi="Palatino Linotype"/>
          <w:sz w:val="24"/>
          <w:szCs w:val="24"/>
        </w:rPr>
        <w:t xml:space="preserve"> </w:t>
      </w:r>
      <w:r w:rsidRPr="001A731C" w:rsidR="001A731C">
        <w:rPr>
          <w:rFonts w:ascii="Palatino Linotype" w:hAnsi="Palatino Linotype"/>
          <w:sz w:val="24"/>
          <w:szCs w:val="24"/>
        </w:rPr>
        <w:t xml:space="preserve">Conservation and Energy Efficiency </w:t>
      </w:r>
      <w:r w:rsidR="001612CC">
        <w:rPr>
          <w:rFonts w:ascii="Palatino Linotype" w:hAnsi="Palatino Linotype"/>
          <w:sz w:val="24"/>
          <w:szCs w:val="24"/>
        </w:rPr>
        <w:t>P</w:t>
      </w:r>
      <w:r w:rsidRPr="001A731C">
        <w:rPr>
          <w:rFonts w:ascii="Palatino Linotype" w:hAnsi="Palatino Linotype"/>
          <w:sz w:val="24"/>
          <w:szCs w:val="24"/>
        </w:rPr>
        <w:t>rogram portfolio for program years 2021-2025 that continued its Residential and Commercial Equipment Rebate Programs and authorized the Company to implement three new programs</w:t>
      </w:r>
      <w:r w:rsidR="004349D2">
        <w:rPr>
          <w:rFonts w:ascii="Palatino Linotype" w:hAnsi="Palatino Linotype"/>
          <w:sz w:val="24"/>
          <w:szCs w:val="24"/>
        </w:rPr>
        <w:t>:</w:t>
      </w:r>
      <w:r w:rsidRPr="001A731C">
        <w:rPr>
          <w:rFonts w:ascii="Palatino Linotype" w:hAnsi="Palatino Linotype"/>
          <w:sz w:val="24"/>
          <w:szCs w:val="24"/>
        </w:rPr>
        <w:t xml:space="preserve"> 1) Residential Equipment Direct-Install; 2) New Home Rebates; and 3) Solar Thermal Rebates. </w:t>
      </w:r>
    </w:p>
    <w:p w:rsidR="007E5D2D" w:rsidP="007E5D2D" w:rsidRDefault="007E5D2D" w14:paraId="1CD33C5C" w14:textId="17E5B9D9">
      <w:pPr>
        <w:numPr>
          <w:ilvl w:val="0"/>
          <w:numId w:val="4"/>
        </w:numPr>
        <w:rPr>
          <w:rFonts w:ascii="Palatino Linotype" w:hAnsi="Palatino Linotype"/>
          <w:sz w:val="24"/>
          <w:szCs w:val="24"/>
        </w:rPr>
      </w:pPr>
      <w:r w:rsidRPr="001A731C">
        <w:rPr>
          <w:rFonts w:ascii="Palatino Linotype" w:hAnsi="Palatino Linotype"/>
          <w:sz w:val="24"/>
          <w:szCs w:val="24"/>
        </w:rPr>
        <w:t>Decision 21-03-052 authorized Southwest Gas Conservation and Energy Efficiency Program</w:t>
      </w:r>
      <w:r w:rsidRPr="001A731C" w:rsidR="001A731C">
        <w:rPr>
          <w:rFonts w:ascii="Palatino Linotype" w:hAnsi="Palatino Linotype"/>
          <w:sz w:val="24"/>
          <w:szCs w:val="24"/>
        </w:rPr>
        <w:t>s with an</w:t>
      </w:r>
      <w:r w:rsidRPr="001A731C">
        <w:rPr>
          <w:rFonts w:ascii="Palatino Linotype" w:hAnsi="Palatino Linotype"/>
          <w:sz w:val="24"/>
          <w:szCs w:val="24"/>
        </w:rPr>
        <w:t xml:space="preserve"> annual budget of $250,000 with the option to submit </w:t>
      </w:r>
      <w:r w:rsidRPr="001A731C" w:rsidR="001A731C">
        <w:rPr>
          <w:rFonts w:ascii="Palatino Linotype" w:hAnsi="Palatino Linotype"/>
          <w:sz w:val="24"/>
          <w:szCs w:val="24"/>
        </w:rPr>
        <w:t>a Tier 3</w:t>
      </w:r>
      <w:r w:rsidRPr="001A731C">
        <w:rPr>
          <w:rFonts w:ascii="Palatino Linotype" w:hAnsi="Palatino Linotype"/>
          <w:sz w:val="24"/>
          <w:szCs w:val="24"/>
        </w:rPr>
        <w:t xml:space="preserve"> advice letter to request additional funding up to a maximum of $500,000 per year, beginning two years after a Commission decision </w:t>
      </w:r>
      <w:r w:rsidR="00093E7D">
        <w:rPr>
          <w:rFonts w:ascii="Palatino Linotype" w:hAnsi="Palatino Linotype"/>
          <w:sz w:val="24"/>
          <w:szCs w:val="24"/>
        </w:rPr>
        <w:t>was</w:t>
      </w:r>
      <w:r w:rsidRPr="001A731C" w:rsidR="00093E7D">
        <w:rPr>
          <w:rFonts w:ascii="Palatino Linotype" w:hAnsi="Palatino Linotype"/>
          <w:sz w:val="24"/>
          <w:szCs w:val="24"/>
        </w:rPr>
        <w:t xml:space="preserve"> </w:t>
      </w:r>
      <w:r w:rsidRPr="001A731C">
        <w:rPr>
          <w:rFonts w:ascii="Palatino Linotype" w:hAnsi="Palatino Linotype"/>
          <w:sz w:val="24"/>
          <w:szCs w:val="24"/>
        </w:rPr>
        <w:t xml:space="preserve">issued in </w:t>
      </w:r>
      <w:r w:rsidR="00093E7D">
        <w:rPr>
          <w:rFonts w:ascii="Palatino Linotype" w:hAnsi="Palatino Linotype"/>
          <w:sz w:val="24"/>
          <w:szCs w:val="24"/>
        </w:rPr>
        <w:t>the</w:t>
      </w:r>
      <w:r w:rsidRPr="001A731C" w:rsidR="00093E7D">
        <w:rPr>
          <w:rFonts w:ascii="Palatino Linotype" w:hAnsi="Palatino Linotype"/>
          <w:sz w:val="24"/>
          <w:szCs w:val="24"/>
        </w:rPr>
        <w:t xml:space="preserve"> </w:t>
      </w:r>
      <w:r w:rsidRPr="001A731C">
        <w:rPr>
          <w:rFonts w:ascii="Palatino Linotype" w:hAnsi="Palatino Linotype"/>
          <w:sz w:val="24"/>
          <w:szCs w:val="24"/>
        </w:rPr>
        <w:t>proceeding.</w:t>
      </w:r>
    </w:p>
    <w:p w:rsidRPr="001A731C" w:rsidR="0030432E" w:rsidP="007E5D2D" w:rsidRDefault="0030432E" w14:paraId="78DB87E4" w14:textId="2B1F073A">
      <w:pPr>
        <w:numPr>
          <w:ilvl w:val="0"/>
          <w:numId w:val="4"/>
        </w:numPr>
        <w:rPr>
          <w:rFonts w:ascii="Palatino Linotype" w:hAnsi="Palatino Linotype"/>
          <w:sz w:val="24"/>
          <w:szCs w:val="24"/>
        </w:rPr>
      </w:pPr>
      <w:r w:rsidRPr="001A731C">
        <w:rPr>
          <w:rFonts w:ascii="Palatino Linotype" w:hAnsi="Palatino Linotype"/>
          <w:sz w:val="24"/>
          <w:szCs w:val="24"/>
        </w:rPr>
        <w:t>Decision 21-03-052</w:t>
      </w:r>
      <w:r>
        <w:rPr>
          <w:rFonts w:ascii="Palatino Linotype" w:hAnsi="Palatino Linotype"/>
          <w:sz w:val="24"/>
          <w:szCs w:val="24"/>
        </w:rPr>
        <w:t xml:space="preserve"> directed Southwest</w:t>
      </w:r>
      <w:r w:rsidR="00980E85">
        <w:rPr>
          <w:rFonts w:ascii="Palatino Linotype" w:hAnsi="Palatino Linotype"/>
          <w:sz w:val="24"/>
          <w:szCs w:val="24"/>
        </w:rPr>
        <w:t xml:space="preserve"> Gas </w:t>
      </w:r>
      <w:r w:rsidR="00DA0058">
        <w:rPr>
          <w:rFonts w:ascii="Palatino Linotype" w:hAnsi="Palatino Linotype"/>
          <w:sz w:val="24"/>
          <w:szCs w:val="24"/>
        </w:rPr>
        <w:t xml:space="preserve">to collect these </w:t>
      </w:r>
      <w:r w:rsidRPr="00980E85" w:rsidR="00980E85">
        <w:rPr>
          <w:rFonts w:ascii="Palatino Linotype" w:hAnsi="Palatino Linotype"/>
          <w:sz w:val="24"/>
          <w:szCs w:val="24"/>
        </w:rPr>
        <w:t xml:space="preserve">funds </w:t>
      </w:r>
      <w:r w:rsidR="00DA0058">
        <w:rPr>
          <w:rFonts w:ascii="Palatino Linotype" w:hAnsi="Palatino Linotype"/>
          <w:sz w:val="24"/>
          <w:szCs w:val="24"/>
        </w:rPr>
        <w:t>as</w:t>
      </w:r>
      <w:r w:rsidRPr="00980E85" w:rsidR="00980E85">
        <w:rPr>
          <w:rFonts w:ascii="Palatino Linotype" w:hAnsi="Palatino Linotype"/>
          <w:sz w:val="24"/>
          <w:szCs w:val="24"/>
        </w:rPr>
        <w:t xml:space="preserve"> part of the Conservation and Energy Efficiency Balancing Account (CEEBA) component of the Public Purpose Program Surcharge.</w:t>
      </w:r>
    </w:p>
    <w:p w:rsidRPr="001A731C" w:rsidR="001A731C" w:rsidP="00DA0058" w:rsidRDefault="00E818EA" w14:paraId="3D4C3AF3" w14:textId="1C025EE7">
      <w:pPr>
        <w:numPr>
          <w:ilvl w:val="0"/>
          <w:numId w:val="4"/>
        </w:numPr>
        <w:rPr>
          <w:rFonts w:ascii="Palatino Linotype" w:hAnsi="Palatino Linotype"/>
          <w:sz w:val="24"/>
          <w:szCs w:val="24"/>
        </w:rPr>
      </w:pPr>
      <w:r w:rsidRPr="001A731C">
        <w:rPr>
          <w:rFonts w:ascii="Palatino Linotype" w:hAnsi="Palatino Linotype"/>
          <w:sz w:val="24"/>
          <w:szCs w:val="24"/>
        </w:rPr>
        <w:t>Southwest Gas filed Tier 3 Advice Letter</w:t>
      </w:r>
      <w:r w:rsidRPr="001A731C" w:rsidR="001A731C">
        <w:rPr>
          <w:rFonts w:ascii="Palatino Linotype" w:hAnsi="Palatino Linotype"/>
          <w:sz w:val="24"/>
          <w:szCs w:val="24"/>
        </w:rPr>
        <w:t xml:space="preserve"> 1243-G</w:t>
      </w:r>
      <w:r w:rsidRPr="001A731C">
        <w:rPr>
          <w:rFonts w:ascii="Palatino Linotype" w:hAnsi="Palatino Linotype"/>
          <w:sz w:val="24"/>
          <w:szCs w:val="24"/>
        </w:rPr>
        <w:t xml:space="preserve"> on December 22, 2022</w:t>
      </w:r>
      <w:r w:rsidR="00E67526">
        <w:rPr>
          <w:rFonts w:ascii="Palatino Linotype" w:hAnsi="Palatino Linotype"/>
          <w:sz w:val="24"/>
          <w:szCs w:val="24"/>
        </w:rPr>
        <w:t>,</w:t>
      </w:r>
      <w:r w:rsidRPr="001A731C">
        <w:rPr>
          <w:rFonts w:ascii="Palatino Linotype" w:hAnsi="Palatino Linotype"/>
          <w:sz w:val="24"/>
          <w:szCs w:val="24"/>
        </w:rPr>
        <w:t xml:space="preserve"> requesting </w:t>
      </w:r>
      <w:r w:rsidR="004D2C2B">
        <w:rPr>
          <w:rFonts w:ascii="Palatino Linotype" w:hAnsi="Palatino Linotype"/>
          <w:sz w:val="24"/>
          <w:szCs w:val="24"/>
        </w:rPr>
        <w:t>to</w:t>
      </w:r>
      <w:r w:rsidRPr="001A731C" w:rsidR="004D2C2B">
        <w:rPr>
          <w:rFonts w:ascii="Palatino Linotype" w:hAnsi="Palatino Linotype"/>
          <w:sz w:val="24"/>
          <w:szCs w:val="24"/>
        </w:rPr>
        <w:t xml:space="preserve"> </w:t>
      </w:r>
      <w:r w:rsidRPr="001A731C">
        <w:rPr>
          <w:rFonts w:ascii="Palatino Linotype" w:hAnsi="Palatino Linotype"/>
          <w:sz w:val="24"/>
          <w:szCs w:val="24"/>
        </w:rPr>
        <w:t xml:space="preserve">increase </w:t>
      </w:r>
      <w:r w:rsidRPr="001A731C" w:rsidR="001A731C">
        <w:rPr>
          <w:rFonts w:ascii="Palatino Linotype" w:hAnsi="Palatino Linotype"/>
          <w:sz w:val="24"/>
          <w:szCs w:val="24"/>
        </w:rPr>
        <w:t xml:space="preserve">Conservation and Energy Efficiency </w:t>
      </w:r>
      <w:r w:rsidR="004D2C2B">
        <w:rPr>
          <w:rFonts w:ascii="Palatino Linotype" w:hAnsi="Palatino Linotype"/>
          <w:sz w:val="24"/>
          <w:szCs w:val="24"/>
        </w:rPr>
        <w:t>P</w:t>
      </w:r>
      <w:r w:rsidRPr="001A731C" w:rsidR="001A731C">
        <w:rPr>
          <w:rFonts w:ascii="Palatino Linotype" w:hAnsi="Palatino Linotype"/>
          <w:sz w:val="24"/>
          <w:szCs w:val="24"/>
        </w:rPr>
        <w:t xml:space="preserve">rogram </w:t>
      </w:r>
      <w:r w:rsidRPr="001A731C">
        <w:rPr>
          <w:rFonts w:ascii="Palatino Linotype" w:hAnsi="Palatino Linotype"/>
          <w:sz w:val="24"/>
          <w:szCs w:val="24"/>
        </w:rPr>
        <w:t xml:space="preserve">funding to $500,000 per year for program years 2023 through 2025. </w:t>
      </w:r>
      <w:r w:rsidRPr="001A731C" w:rsidR="009E2A05">
        <w:rPr>
          <w:rFonts w:ascii="Palatino Linotype" w:hAnsi="Palatino Linotype"/>
          <w:sz w:val="24"/>
          <w:szCs w:val="24"/>
        </w:rPr>
        <w:t>This request would increase Conservation and Energy Efficiency Program budgets beginning two years after the Commission decision</w:t>
      </w:r>
      <w:r w:rsidR="00042DC3">
        <w:rPr>
          <w:rFonts w:ascii="Palatino Linotype" w:hAnsi="Palatino Linotype"/>
          <w:sz w:val="24"/>
          <w:szCs w:val="24"/>
        </w:rPr>
        <w:t xml:space="preserve"> was issued</w:t>
      </w:r>
      <w:r w:rsidRPr="001A731C" w:rsidR="009E2A05">
        <w:rPr>
          <w:rFonts w:ascii="Palatino Linotype" w:hAnsi="Palatino Linotype"/>
          <w:sz w:val="24"/>
          <w:szCs w:val="24"/>
        </w:rPr>
        <w:t>.</w:t>
      </w:r>
    </w:p>
    <w:p w:rsidRPr="00E64D76" w:rsidR="0047128E" w:rsidP="00E64D76" w:rsidRDefault="0047128E" w14:paraId="59124FCF" w14:textId="311D7FD7">
      <w:pPr>
        <w:numPr>
          <w:ilvl w:val="0"/>
          <w:numId w:val="4"/>
        </w:numPr>
        <w:rPr>
          <w:rFonts w:ascii="Palatino Linotype" w:hAnsi="Palatino Linotype"/>
          <w:sz w:val="24"/>
          <w:szCs w:val="24"/>
        </w:rPr>
      </w:pPr>
      <w:r w:rsidRPr="00E64D76">
        <w:rPr>
          <w:rFonts w:ascii="Palatino Linotype" w:hAnsi="Palatino Linotype"/>
          <w:sz w:val="24"/>
          <w:szCs w:val="24"/>
        </w:rPr>
        <w:t xml:space="preserve">Southwest Gas Tier 3 Advice Letter 1243-G and </w:t>
      </w:r>
      <w:r w:rsidR="003E179A">
        <w:rPr>
          <w:rFonts w:ascii="Palatino Linotype" w:hAnsi="Palatino Linotype"/>
          <w:sz w:val="24"/>
          <w:szCs w:val="24"/>
        </w:rPr>
        <w:t>its</w:t>
      </w:r>
      <w:r w:rsidRPr="00E64D76" w:rsidR="003E179A">
        <w:rPr>
          <w:rFonts w:ascii="Palatino Linotype" w:hAnsi="Palatino Linotype"/>
          <w:sz w:val="24"/>
          <w:szCs w:val="24"/>
        </w:rPr>
        <w:t xml:space="preserve"> </w:t>
      </w:r>
      <w:r w:rsidRPr="00E64D76">
        <w:rPr>
          <w:rFonts w:ascii="Palatino Linotype" w:hAnsi="Palatino Linotype"/>
          <w:sz w:val="24"/>
          <w:szCs w:val="24"/>
        </w:rPr>
        <w:t xml:space="preserve">Reply to Protest from Cal Advocates describe the </w:t>
      </w:r>
      <w:r w:rsidRPr="00E64D76" w:rsidR="00A71F55">
        <w:rPr>
          <w:rFonts w:ascii="Palatino Linotype" w:hAnsi="Palatino Linotype"/>
          <w:sz w:val="24"/>
          <w:szCs w:val="24"/>
        </w:rPr>
        <w:t>programmatic demand</w:t>
      </w:r>
      <w:r w:rsidRPr="00E64D76">
        <w:rPr>
          <w:rFonts w:ascii="Palatino Linotype" w:hAnsi="Palatino Linotype"/>
          <w:sz w:val="24"/>
          <w:szCs w:val="24"/>
        </w:rPr>
        <w:t xml:space="preserve"> </w:t>
      </w:r>
      <w:r w:rsidRPr="00E64D76" w:rsidR="00A71F55">
        <w:rPr>
          <w:rFonts w:ascii="Palatino Linotype" w:hAnsi="Palatino Linotype"/>
          <w:sz w:val="24"/>
          <w:szCs w:val="24"/>
        </w:rPr>
        <w:t xml:space="preserve">and </w:t>
      </w:r>
      <w:r w:rsidR="00FA6AED">
        <w:rPr>
          <w:rFonts w:ascii="Palatino Linotype" w:hAnsi="Palatino Linotype"/>
          <w:sz w:val="24"/>
          <w:szCs w:val="24"/>
        </w:rPr>
        <w:t>budget forecasting</w:t>
      </w:r>
      <w:r w:rsidRPr="00E64D76" w:rsidR="00A71F55">
        <w:rPr>
          <w:rFonts w:ascii="Palatino Linotype" w:hAnsi="Palatino Linotype"/>
          <w:sz w:val="24"/>
          <w:szCs w:val="24"/>
        </w:rPr>
        <w:t xml:space="preserve"> </w:t>
      </w:r>
      <w:r w:rsidRPr="00E64D76">
        <w:rPr>
          <w:rFonts w:ascii="Palatino Linotype" w:hAnsi="Palatino Linotype"/>
          <w:sz w:val="24"/>
          <w:szCs w:val="24"/>
        </w:rPr>
        <w:t xml:space="preserve">for increasing the budgets for </w:t>
      </w:r>
      <w:r w:rsidR="003E179A">
        <w:rPr>
          <w:rFonts w:ascii="Palatino Linotype" w:hAnsi="Palatino Linotype"/>
          <w:sz w:val="24"/>
          <w:szCs w:val="24"/>
        </w:rPr>
        <w:t>its</w:t>
      </w:r>
      <w:r w:rsidRPr="00E64D76" w:rsidR="003E179A">
        <w:rPr>
          <w:rFonts w:ascii="Palatino Linotype" w:hAnsi="Palatino Linotype"/>
          <w:sz w:val="24"/>
          <w:szCs w:val="24"/>
        </w:rPr>
        <w:t xml:space="preserve"> </w:t>
      </w:r>
      <w:r w:rsidRPr="00E64D76">
        <w:rPr>
          <w:rFonts w:ascii="Palatino Linotype" w:hAnsi="Palatino Linotype"/>
          <w:sz w:val="24"/>
          <w:szCs w:val="24"/>
        </w:rPr>
        <w:t>Conservation and Energy Efficiency Programs</w:t>
      </w:r>
      <w:r w:rsidR="00614A00">
        <w:rPr>
          <w:rFonts w:ascii="Palatino Linotype" w:hAnsi="Palatino Linotype"/>
          <w:sz w:val="24"/>
          <w:szCs w:val="24"/>
        </w:rPr>
        <w:t xml:space="preserve"> </w:t>
      </w:r>
      <w:r w:rsidRPr="001A731C" w:rsidR="00614A00">
        <w:rPr>
          <w:rFonts w:ascii="Palatino Linotype" w:hAnsi="Palatino Linotype"/>
          <w:sz w:val="24"/>
          <w:szCs w:val="24"/>
        </w:rPr>
        <w:t>for program years 2023 through 2025</w:t>
      </w:r>
      <w:r w:rsidRPr="00E64D76">
        <w:rPr>
          <w:rFonts w:ascii="Palatino Linotype" w:hAnsi="Palatino Linotype"/>
          <w:sz w:val="24"/>
          <w:szCs w:val="24"/>
        </w:rPr>
        <w:t>.</w:t>
      </w:r>
    </w:p>
    <w:p w:rsidRPr="00D865A9" w:rsidR="00CF17DE" w:rsidRDefault="00CF17DE" w14:paraId="18C97720" w14:textId="77777777">
      <w:pPr>
        <w:rPr>
          <w:rFonts w:ascii="Palatino Linotype" w:hAnsi="Palatino Linotype"/>
          <w:b/>
          <w:sz w:val="24"/>
          <w:szCs w:val="24"/>
        </w:rPr>
      </w:pPr>
    </w:p>
    <w:p w:rsidRPr="00D865A9" w:rsidR="00CF17DE" w:rsidRDefault="00CF17DE" w14:paraId="03EBB768" w14:textId="77777777">
      <w:pPr>
        <w:pStyle w:val="Heading1"/>
        <w:rPr>
          <w:rFonts w:ascii="Palatino Linotype" w:hAnsi="Palatino Linotype"/>
          <w:sz w:val="24"/>
          <w:szCs w:val="24"/>
        </w:rPr>
      </w:pPr>
      <w:r w:rsidRPr="00D865A9">
        <w:rPr>
          <w:rFonts w:ascii="Palatino Linotype" w:hAnsi="Palatino Linotype"/>
          <w:sz w:val="24"/>
          <w:szCs w:val="24"/>
        </w:rPr>
        <w:t>Therefore it is ordered that:</w:t>
      </w:r>
    </w:p>
    <w:p w:rsidR="00662FB2" w:rsidRDefault="00CF17DE" w14:paraId="3E0F9307" w14:textId="53BE3ACA">
      <w:pPr>
        <w:numPr>
          <w:ilvl w:val="0"/>
          <w:numId w:val="5"/>
        </w:numPr>
        <w:rPr>
          <w:rFonts w:ascii="Palatino Linotype" w:hAnsi="Palatino Linotype"/>
          <w:snapToGrid w:val="0"/>
          <w:sz w:val="24"/>
          <w:szCs w:val="24"/>
        </w:rPr>
      </w:pPr>
      <w:r w:rsidRPr="001A731C">
        <w:rPr>
          <w:rFonts w:ascii="Palatino Linotype" w:hAnsi="Palatino Linotype"/>
          <w:snapToGrid w:val="0"/>
          <w:sz w:val="24"/>
          <w:szCs w:val="24"/>
        </w:rPr>
        <w:t xml:space="preserve">The request of </w:t>
      </w:r>
      <w:r w:rsidRPr="001A731C" w:rsidR="001A731C">
        <w:rPr>
          <w:rFonts w:ascii="Palatino Linotype" w:hAnsi="Palatino Linotype"/>
          <w:snapToGrid w:val="0"/>
          <w:sz w:val="24"/>
          <w:szCs w:val="24"/>
        </w:rPr>
        <w:t xml:space="preserve">Southwest Gas to increase the annual funding for </w:t>
      </w:r>
      <w:r w:rsidR="003E179A">
        <w:rPr>
          <w:rFonts w:ascii="Palatino Linotype" w:hAnsi="Palatino Linotype"/>
          <w:snapToGrid w:val="0"/>
          <w:sz w:val="24"/>
          <w:szCs w:val="24"/>
        </w:rPr>
        <w:t>its</w:t>
      </w:r>
      <w:r w:rsidRPr="001A731C" w:rsidR="003E179A">
        <w:rPr>
          <w:rFonts w:ascii="Palatino Linotype" w:hAnsi="Palatino Linotype"/>
          <w:snapToGrid w:val="0"/>
          <w:sz w:val="24"/>
          <w:szCs w:val="24"/>
        </w:rPr>
        <w:t xml:space="preserve"> </w:t>
      </w:r>
      <w:r w:rsidRPr="001A731C" w:rsidR="001A731C">
        <w:rPr>
          <w:rFonts w:ascii="Palatino Linotype" w:hAnsi="Palatino Linotype"/>
          <w:sz w:val="24"/>
          <w:szCs w:val="24"/>
        </w:rPr>
        <w:t>Conservation and Energy Efficiency Programs</w:t>
      </w:r>
      <w:r w:rsidRPr="001A731C" w:rsidR="001A731C">
        <w:rPr>
          <w:rFonts w:ascii="Palatino Linotype" w:hAnsi="Palatino Linotype"/>
          <w:snapToGrid w:val="0"/>
          <w:sz w:val="24"/>
          <w:szCs w:val="24"/>
        </w:rPr>
        <w:t xml:space="preserve"> for program years 2023 through 2025 </w:t>
      </w:r>
      <w:r w:rsidR="0042062F">
        <w:rPr>
          <w:rFonts w:ascii="Palatino Linotype" w:hAnsi="Palatino Linotype"/>
          <w:snapToGrid w:val="0"/>
          <w:sz w:val="24"/>
          <w:szCs w:val="24"/>
        </w:rPr>
        <w:t xml:space="preserve">from $250,000 per year to $500,000 per year, </w:t>
      </w:r>
      <w:r w:rsidRPr="001A731C">
        <w:rPr>
          <w:rFonts w:ascii="Palatino Linotype" w:hAnsi="Palatino Linotype"/>
          <w:snapToGrid w:val="0"/>
          <w:sz w:val="24"/>
          <w:szCs w:val="24"/>
        </w:rPr>
        <w:t xml:space="preserve">as requested in Advice Letter </w:t>
      </w:r>
      <w:r w:rsidRPr="001A731C" w:rsidR="001A731C">
        <w:rPr>
          <w:rFonts w:ascii="Palatino Linotype" w:hAnsi="Palatino Linotype"/>
          <w:sz w:val="24"/>
          <w:szCs w:val="24"/>
        </w:rPr>
        <w:t>1243-G</w:t>
      </w:r>
      <w:r w:rsidR="0042062F">
        <w:rPr>
          <w:rFonts w:ascii="Palatino Linotype" w:hAnsi="Palatino Linotype"/>
          <w:sz w:val="24"/>
          <w:szCs w:val="24"/>
        </w:rPr>
        <w:t>,</w:t>
      </w:r>
      <w:r w:rsidRPr="001A731C">
        <w:rPr>
          <w:rFonts w:ascii="Palatino Linotype" w:hAnsi="Palatino Linotype"/>
          <w:sz w:val="24"/>
          <w:szCs w:val="24"/>
        </w:rPr>
        <w:t xml:space="preserve"> </w:t>
      </w:r>
      <w:r w:rsidRPr="001A731C">
        <w:rPr>
          <w:rFonts w:ascii="Palatino Linotype" w:hAnsi="Palatino Linotype"/>
          <w:snapToGrid w:val="0"/>
          <w:sz w:val="24"/>
          <w:szCs w:val="24"/>
        </w:rPr>
        <w:t>is approved</w:t>
      </w:r>
      <w:r w:rsidRPr="001A731C" w:rsidR="001A731C">
        <w:rPr>
          <w:rFonts w:ascii="Palatino Linotype" w:hAnsi="Palatino Linotype"/>
          <w:snapToGrid w:val="0"/>
          <w:sz w:val="24"/>
          <w:szCs w:val="24"/>
        </w:rPr>
        <w:t>.</w:t>
      </w:r>
    </w:p>
    <w:p w:rsidRPr="00662FB2" w:rsidR="00CF17DE" w:rsidP="00662FB2" w:rsidRDefault="00662FB2" w14:paraId="04E7CDC7" w14:textId="43E22F80">
      <w:pPr>
        <w:numPr>
          <w:ilvl w:val="0"/>
          <w:numId w:val="5"/>
        </w:numPr>
        <w:rPr>
          <w:rFonts w:ascii="Palatino Linotype" w:hAnsi="Palatino Linotype"/>
          <w:snapToGrid w:val="0"/>
          <w:sz w:val="24"/>
          <w:szCs w:val="24"/>
        </w:rPr>
      </w:pPr>
      <w:r>
        <w:rPr>
          <w:rFonts w:ascii="Palatino Linotype" w:hAnsi="Palatino Linotype"/>
          <w:snapToGrid w:val="0"/>
          <w:sz w:val="24"/>
          <w:szCs w:val="24"/>
        </w:rPr>
        <w:t xml:space="preserve">Southwest Gas shall </w:t>
      </w:r>
      <w:r w:rsidRPr="00662FB2">
        <w:rPr>
          <w:rFonts w:ascii="Palatino Linotype" w:hAnsi="Palatino Linotype"/>
          <w:snapToGrid w:val="0"/>
          <w:sz w:val="24"/>
          <w:szCs w:val="24"/>
        </w:rPr>
        <w:t>continue to use the Conservation and Energy Efficiency Balancing Account</w:t>
      </w:r>
      <w:r w:rsidR="00DA0058">
        <w:rPr>
          <w:rFonts w:ascii="Palatino Linotype" w:hAnsi="Palatino Linotype"/>
          <w:snapToGrid w:val="0"/>
          <w:sz w:val="24"/>
          <w:szCs w:val="24"/>
        </w:rPr>
        <w:t xml:space="preserve"> </w:t>
      </w:r>
      <w:r w:rsidRPr="00662FB2">
        <w:rPr>
          <w:rFonts w:ascii="Palatino Linotype" w:hAnsi="Palatino Linotype"/>
          <w:snapToGrid w:val="0"/>
          <w:sz w:val="24"/>
          <w:szCs w:val="24"/>
        </w:rPr>
        <w:t xml:space="preserve">for tracking the costs and expenditures of the approved budgets for </w:t>
      </w:r>
      <w:r w:rsidRPr="00662FB2" w:rsidR="00DA0058">
        <w:rPr>
          <w:rFonts w:ascii="Palatino Linotype" w:hAnsi="Palatino Linotype"/>
          <w:snapToGrid w:val="0"/>
          <w:sz w:val="24"/>
          <w:szCs w:val="24"/>
        </w:rPr>
        <w:t xml:space="preserve">Conservation and Energy Efficiency </w:t>
      </w:r>
      <w:r w:rsidRPr="00662FB2">
        <w:rPr>
          <w:rFonts w:ascii="Palatino Linotype" w:hAnsi="Palatino Linotype"/>
          <w:snapToGrid w:val="0"/>
          <w:sz w:val="24"/>
          <w:szCs w:val="24"/>
        </w:rPr>
        <w:t xml:space="preserve">programs. </w:t>
      </w:r>
      <w:r w:rsidR="00FA6AED">
        <w:rPr>
          <w:rFonts w:ascii="Palatino Linotype" w:hAnsi="Palatino Linotype"/>
          <w:sz w:val="24"/>
          <w:szCs w:val="24"/>
        </w:rPr>
        <w:t xml:space="preserve">Any unspent, uncommitted </w:t>
      </w:r>
      <w:r w:rsidRPr="00662FB2" w:rsidR="00FA6AED">
        <w:rPr>
          <w:rFonts w:ascii="Palatino Linotype" w:hAnsi="Palatino Linotype"/>
          <w:snapToGrid w:val="0"/>
          <w:sz w:val="24"/>
          <w:szCs w:val="24"/>
        </w:rPr>
        <w:t xml:space="preserve">Conservation and Energy Efficiency </w:t>
      </w:r>
      <w:r w:rsidR="00FA6AED">
        <w:rPr>
          <w:rFonts w:ascii="Palatino Linotype" w:hAnsi="Palatino Linotype"/>
          <w:sz w:val="24"/>
          <w:szCs w:val="24"/>
        </w:rPr>
        <w:t xml:space="preserve">program funds from each program year will be used to offset collection in </w:t>
      </w:r>
      <w:r w:rsidR="003D4C6C">
        <w:rPr>
          <w:rFonts w:ascii="Palatino Linotype" w:hAnsi="Palatino Linotype"/>
          <w:sz w:val="24"/>
          <w:szCs w:val="24"/>
        </w:rPr>
        <w:t xml:space="preserve">a </w:t>
      </w:r>
      <w:r w:rsidR="00FA6AED">
        <w:rPr>
          <w:rFonts w:ascii="Palatino Linotype" w:hAnsi="Palatino Linotype"/>
          <w:sz w:val="24"/>
          <w:szCs w:val="24"/>
        </w:rPr>
        <w:t xml:space="preserve">future year, or otherwise returned to ratepayers </w:t>
      </w:r>
      <w:r w:rsidR="00FA6AED">
        <w:rPr>
          <w:rFonts w:ascii="Palatino Linotype" w:hAnsi="Palatino Linotype"/>
          <w:snapToGrid w:val="0"/>
          <w:sz w:val="24"/>
          <w:szCs w:val="24"/>
        </w:rPr>
        <w:t>in</w:t>
      </w:r>
      <w:r w:rsidRPr="00662FB2" w:rsidR="00FA6AED">
        <w:rPr>
          <w:rFonts w:ascii="Palatino Linotype" w:hAnsi="Palatino Linotype"/>
          <w:snapToGrid w:val="0"/>
          <w:sz w:val="24"/>
          <w:szCs w:val="24"/>
        </w:rPr>
        <w:t xml:space="preserve"> the </w:t>
      </w:r>
      <w:r w:rsidR="00FA6AED">
        <w:rPr>
          <w:rFonts w:ascii="Palatino Linotype" w:hAnsi="Palatino Linotype"/>
          <w:snapToGrid w:val="0"/>
          <w:sz w:val="24"/>
          <w:szCs w:val="24"/>
        </w:rPr>
        <w:t>rate change implementation, or “true-up”, advice letter submitted by Southwest Gas</w:t>
      </w:r>
      <w:r w:rsidRPr="00662FB2" w:rsidR="00FA6AED">
        <w:rPr>
          <w:rFonts w:ascii="Palatino Linotype" w:hAnsi="Palatino Linotype"/>
          <w:snapToGrid w:val="0"/>
          <w:sz w:val="24"/>
          <w:szCs w:val="24"/>
        </w:rPr>
        <w:t xml:space="preserve"> each year</w:t>
      </w:r>
      <w:r w:rsidR="00FA6AED">
        <w:rPr>
          <w:rFonts w:ascii="Palatino Linotype" w:hAnsi="Palatino Linotype"/>
          <w:sz w:val="24"/>
          <w:szCs w:val="24"/>
        </w:rPr>
        <w:t xml:space="preserve">. </w:t>
      </w:r>
    </w:p>
    <w:p w:rsidRPr="00D865A9" w:rsidR="00CF17DE" w:rsidRDefault="00CF17DE" w14:paraId="4BCDF939" w14:textId="77777777">
      <w:pPr>
        <w:tabs>
          <w:tab w:val="left" w:pos="720"/>
          <w:tab w:val="left" w:pos="1296"/>
          <w:tab w:val="left" w:pos="2016"/>
          <w:tab w:val="left" w:pos="2736"/>
          <w:tab w:val="left" w:pos="3456"/>
          <w:tab w:val="left" w:pos="4176"/>
          <w:tab w:val="left" w:pos="5760"/>
        </w:tabs>
        <w:rPr>
          <w:rFonts w:ascii="Palatino Linotype" w:hAnsi="Palatino Linotype"/>
          <w:sz w:val="24"/>
          <w:szCs w:val="24"/>
        </w:rPr>
      </w:pPr>
    </w:p>
    <w:p w:rsidRPr="00D865A9" w:rsidR="00CF17DE" w:rsidP="001A1DB2" w:rsidRDefault="00CF17DE" w14:paraId="37DEE6CF" w14:textId="77777777">
      <w:pPr>
        <w:keepNext/>
        <w:tabs>
          <w:tab w:val="left" w:pos="720"/>
          <w:tab w:val="left" w:pos="1296"/>
          <w:tab w:val="left" w:pos="2016"/>
          <w:tab w:val="left" w:pos="2736"/>
          <w:tab w:val="left" w:pos="3456"/>
          <w:tab w:val="left" w:pos="4176"/>
          <w:tab w:val="left" w:pos="5760"/>
        </w:tabs>
        <w:rPr>
          <w:rFonts w:ascii="Palatino Linotype" w:hAnsi="Palatino Linotype"/>
          <w:sz w:val="24"/>
          <w:szCs w:val="24"/>
        </w:rPr>
      </w:pPr>
      <w:r w:rsidRPr="00D865A9">
        <w:rPr>
          <w:rFonts w:ascii="Palatino Linotype" w:hAnsi="Palatino Linotype"/>
          <w:sz w:val="24"/>
          <w:szCs w:val="24"/>
        </w:rPr>
        <w:t>This Resolution is effective today.</w:t>
      </w:r>
    </w:p>
    <w:p w:rsidRPr="00D865A9" w:rsidR="00CB42C3" w:rsidP="001A1DB2" w:rsidRDefault="00CB42C3" w14:paraId="7D496AA3" w14:textId="77777777">
      <w:pPr>
        <w:keepNext/>
        <w:tabs>
          <w:tab w:val="left" w:pos="720"/>
          <w:tab w:val="left" w:pos="1296"/>
          <w:tab w:val="left" w:pos="2016"/>
          <w:tab w:val="left" w:pos="2736"/>
          <w:tab w:val="left" w:pos="3456"/>
          <w:tab w:val="left" w:pos="4176"/>
          <w:tab w:val="left" w:pos="5760"/>
        </w:tabs>
        <w:rPr>
          <w:rFonts w:ascii="Palatino Linotype" w:hAnsi="Palatino Linotype"/>
          <w:sz w:val="24"/>
          <w:szCs w:val="24"/>
        </w:rPr>
      </w:pPr>
    </w:p>
    <w:p w:rsidRPr="00D865A9" w:rsidR="00CF17DE" w:rsidP="001A1DB2" w:rsidRDefault="00CF17DE" w14:paraId="048CEE72" w14:textId="4DB20974">
      <w:pPr>
        <w:keepNext/>
        <w:rPr>
          <w:rFonts w:ascii="Palatino Linotype" w:hAnsi="Palatino Linotype"/>
          <w:snapToGrid w:val="0"/>
          <w:sz w:val="24"/>
          <w:szCs w:val="24"/>
        </w:rPr>
      </w:pPr>
      <w:r w:rsidRPr="00D865A9">
        <w:rPr>
          <w:rFonts w:ascii="Palatino Linotype" w:hAnsi="Palatino Linotype"/>
          <w:snapToGrid w:val="0"/>
          <w:sz w:val="24"/>
          <w:szCs w:val="24"/>
        </w:rPr>
        <w:t>I certify that the foregoing resolution was duly introduced, passed</w:t>
      </w:r>
      <w:r w:rsidR="00D865A9">
        <w:rPr>
          <w:rFonts w:ascii="Palatino Linotype" w:hAnsi="Palatino Linotype"/>
          <w:snapToGrid w:val="0"/>
          <w:sz w:val="24"/>
          <w:szCs w:val="24"/>
        </w:rPr>
        <w:t>,</w:t>
      </w:r>
      <w:r w:rsidRPr="00D865A9">
        <w:rPr>
          <w:rFonts w:ascii="Palatino Linotype" w:hAnsi="Palatino Linotype"/>
          <w:snapToGrid w:val="0"/>
          <w:sz w:val="24"/>
          <w:szCs w:val="24"/>
        </w:rPr>
        <w:t xml:space="preserve"> and adopted at a conference of the Public Utilities Commission of the State of California held on </w:t>
      </w:r>
      <w:r w:rsidR="008C1771">
        <w:rPr>
          <w:rFonts w:ascii="Palatino Linotype" w:hAnsi="Palatino Linotype"/>
          <w:snapToGrid w:val="0"/>
          <w:sz w:val="24"/>
          <w:szCs w:val="24"/>
        </w:rPr>
        <w:br/>
      </w:r>
      <w:r w:rsidR="00452C43">
        <w:rPr>
          <w:rFonts w:ascii="Palatino Linotype" w:hAnsi="Palatino Linotype"/>
          <w:snapToGrid w:val="0"/>
          <w:sz w:val="24"/>
          <w:szCs w:val="24"/>
        </w:rPr>
        <w:t>Ap</w:t>
      </w:r>
      <w:r w:rsidR="008C1771">
        <w:rPr>
          <w:rFonts w:ascii="Palatino Linotype" w:hAnsi="Palatino Linotype"/>
          <w:snapToGrid w:val="0"/>
          <w:sz w:val="24"/>
          <w:szCs w:val="24"/>
        </w:rPr>
        <w:t>ril 27, 2023;</w:t>
      </w:r>
      <w:r w:rsidRPr="00D865A9">
        <w:rPr>
          <w:rFonts w:ascii="Palatino Linotype" w:hAnsi="Palatino Linotype"/>
          <w:snapToGrid w:val="0"/>
          <w:sz w:val="24"/>
          <w:szCs w:val="24"/>
        </w:rPr>
        <w:t xml:space="preserve"> the following Commissioners voting favorably thereon:</w:t>
      </w:r>
    </w:p>
    <w:p w:rsidRPr="00D865A9" w:rsidR="00CF17DE" w:rsidRDefault="00CF17DE" w14:paraId="2DA44F60" w14:textId="77777777">
      <w:pPr>
        <w:tabs>
          <w:tab w:val="left" w:pos="720"/>
          <w:tab w:val="left" w:pos="1152"/>
          <w:tab w:val="left" w:pos="1728"/>
          <w:tab w:val="left" w:pos="3168"/>
          <w:tab w:val="left" w:pos="5040"/>
        </w:tabs>
        <w:ind w:right="144"/>
        <w:rPr>
          <w:rFonts w:ascii="Palatino Linotype" w:hAnsi="Palatino Linotype"/>
          <w:sz w:val="24"/>
          <w:szCs w:val="24"/>
        </w:rPr>
      </w:pPr>
    </w:p>
    <w:p w:rsidRPr="00D865A9" w:rsidR="00CF17DE" w:rsidRDefault="00CF17DE" w14:paraId="1385E60D" w14:textId="77777777">
      <w:pPr>
        <w:tabs>
          <w:tab w:val="left" w:pos="720"/>
          <w:tab w:val="left" w:pos="1152"/>
          <w:tab w:val="left" w:pos="1728"/>
          <w:tab w:val="left" w:pos="3168"/>
          <w:tab w:val="left" w:pos="5040"/>
        </w:tabs>
        <w:ind w:right="144"/>
        <w:rPr>
          <w:rFonts w:ascii="Palatino Linotype" w:hAnsi="Palatino Linotype"/>
          <w:sz w:val="24"/>
          <w:szCs w:val="24"/>
        </w:rPr>
      </w:pPr>
    </w:p>
    <w:p w:rsidRPr="00D865A9" w:rsidR="00CF17DE" w:rsidRDefault="00CF17DE" w14:paraId="12D741D7" w14:textId="77777777">
      <w:pPr>
        <w:tabs>
          <w:tab w:val="left" w:pos="720"/>
          <w:tab w:val="left" w:pos="1152"/>
          <w:tab w:val="left" w:pos="1728"/>
          <w:tab w:val="left" w:pos="3168"/>
          <w:tab w:val="left" w:pos="5040"/>
        </w:tabs>
        <w:ind w:right="144"/>
        <w:rPr>
          <w:rFonts w:ascii="Palatino Linotype" w:hAnsi="Palatino Linotype"/>
          <w:sz w:val="24"/>
          <w:szCs w:val="24"/>
        </w:rPr>
      </w:pPr>
    </w:p>
    <w:p w:rsidRPr="00D865A9" w:rsidR="00CF17DE" w:rsidRDefault="00CF17DE" w14:paraId="670582A9" w14:textId="77777777">
      <w:pPr>
        <w:tabs>
          <w:tab w:val="left" w:pos="720"/>
          <w:tab w:val="left" w:pos="1152"/>
          <w:tab w:val="left" w:pos="1728"/>
          <w:tab w:val="left" w:pos="3168"/>
          <w:tab w:val="left" w:pos="5040"/>
        </w:tabs>
        <w:ind w:right="144"/>
        <w:rPr>
          <w:rFonts w:ascii="Palatino Linotype" w:hAnsi="Palatino Linotype"/>
          <w:sz w:val="24"/>
          <w:szCs w:val="24"/>
        </w:rPr>
      </w:pPr>
    </w:p>
    <w:p w:rsidRPr="00D865A9" w:rsidR="00CF17DE" w:rsidRDefault="00CF17DE" w14:paraId="59727804" w14:textId="77777777">
      <w:pPr>
        <w:tabs>
          <w:tab w:val="left" w:pos="720"/>
          <w:tab w:val="left" w:pos="1152"/>
          <w:tab w:val="left" w:pos="1728"/>
          <w:tab w:val="left" w:pos="3168"/>
          <w:tab w:val="left" w:pos="5040"/>
        </w:tabs>
        <w:ind w:right="144"/>
        <w:rPr>
          <w:rFonts w:ascii="Palatino Linotype" w:hAnsi="Palatino Linotype"/>
          <w:sz w:val="24"/>
          <w:szCs w:val="24"/>
        </w:rPr>
      </w:pP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t>_______________</w:t>
      </w:r>
      <w:r w:rsidRPr="00D865A9" w:rsidR="008E6797">
        <w:rPr>
          <w:rFonts w:ascii="Palatino Linotype" w:hAnsi="Palatino Linotype"/>
          <w:sz w:val="24"/>
          <w:szCs w:val="24"/>
        </w:rPr>
        <w:t>______</w:t>
      </w:r>
    </w:p>
    <w:p w:rsidRPr="00D865A9" w:rsidR="00CF17DE" w:rsidRDefault="00CF17DE" w14:paraId="17731D81" w14:textId="66308528">
      <w:pPr>
        <w:rPr>
          <w:rFonts w:ascii="Palatino Linotype" w:hAnsi="Palatino Linotype"/>
          <w:sz w:val="24"/>
          <w:szCs w:val="24"/>
        </w:rPr>
      </w:pP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sidR="00FC2DE4">
        <w:rPr>
          <w:rFonts w:ascii="Palatino Linotype" w:hAnsi="Palatino Linotype"/>
          <w:sz w:val="24"/>
          <w:szCs w:val="24"/>
        </w:rPr>
        <w:t>Rachel Peterson</w:t>
      </w:r>
    </w:p>
    <w:p w:rsidRPr="00D865A9" w:rsidR="00CF17DE" w:rsidRDefault="00CF17DE" w14:paraId="363F8E7E" w14:textId="77777777">
      <w:pPr>
        <w:rPr>
          <w:rFonts w:ascii="Palatino Linotype" w:hAnsi="Palatino Linotype"/>
          <w:sz w:val="24"/>
          <w:szCs w:val="24"/>
        </w:rPr>
      </w:pP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r>
      <w:r w:rsidRPr="00D865A9">
        <w:rPr>
          <w:rFonts w:ascii="Palatino Linotype" w:hAnsi="Palatino Linotype"/>
          <w:sz w:val="24"/>
          <w:szCs w:val="24"/>
        </w:rPr>
        <w:tab/>
        <w:t>Executive Director</w:t>
      </w:r>
    </w:p>
    <w:sectPr w:rsidRPr="00D865A9" w:rsidR="00CF17DE">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98C5" w14:textId="77777777" w:rsidR="00B574DA" w:rsidRDefault="00B574DA">
      <w:r>
        <w:separator/>
      </w:r>
    </w:p>
  </w:endnote>
  <w:endnote w:type="continuationSeparator" w:id="0">
    <w:p w14:paraId="21B4B883" w14:textId="77777777" w:rsidR="00B574DA" w:rsidRDefault="00B574DA">
      <w:r>
        <w:continuationSeparator/>
      </w:r>
    </w:p>
  </w:endnote>
  <w:endnote w:type="continuationNotice" w:id="1">
    <w:p w14:paraId="72477BDF" w14:textId="77777777" w:rsidR="00B574DA" w:rsidRDefault="00B57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w:altName w:val="Palatino Linotype"/>
    <w:panose1 w:val="02020500000000000000"/>
    <w:charset w:val="00"/>
    <w:family w:val="roman"/>
    <w:pitch w:val="variable"/>
    <w:sig w:usb0="20000A87" w:usb1="08000000" w:usb2="00000008" w:usb3="00000000" w:csb0="000001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4"/>
        <w:szCs w:val="18"/>
      </w:rPr>
      <w:id w:val="-1998173742"/>
      <w:docPartObj>
        <w:docPartGallery w:val="Page Numbers (Bottom of Page)"/>
        <w:docPartUnique/>
      </w:docPartObj>
    </w:sdtPr>
    <w:sdtEndPr>
      <w:rPr>
        <w:noProof/>
      </w:rPr>
    </w:sdtEndPr>
    <w:sdtContent>
      <w:p w14:paraId="3B45770E" w14:textId="1BF49253" w:rsidR="00D865A9" w:rsidRPr="00D865A9" w:rsidRDefault="00D865A9" w:rsidP="00D865A9">
        <w:pPr>
          <w:pStyle w:val="Footer"/>
          <w:rPr>
            <w:rFonts w:ascii="Palatino Linotype" w:hAnsi="Palatino Linotype"/>
            <w:noProof/>
            <w:sz w:val="24"/>
            <w:szCs w:val="18"/>
          </w:rPr>
        </w:pPr>
        <w:r w:rsidRPr="00D865A9">
          <w:rPr>
            <w:rFonts w:ascii="Palatino Linotype" w:hAnsi="Palatino Linotype"/>
            <w:sz w:val="24"/>
            <w:szCs w:val="18"/>
          </w:rPr>
          <w:fldChar w:fldCharType="begin"/>
        </w:r>
        <w:r w:rsidRPr="00D865A9">
          <w:rPr>
            <w:rFonts w:ascii="Palatino Linotype" w:hAnsi="Palatino Linotype"/>
            <w:sz w:val="24"/>
            <w:szCs w:val="18"/>
          </w:rPr>
          <w:instrText xml:space="preserve"> PAGE   \* MERGEFORMAT </w:instrText>
        </w:r>
        <w:r w:rsidRPr="00D865A9">
          <w:rPr>
            <w:rFonts w:ascii="Palatino Linotype" w:hAnsi="Palatino Linotype"/>
            <w:sz w:val="24"/>
            <w:szCs w:val="18"/>
          </w:rPr>
          <w:fldChar w:fldCharType="separate"/>
        </w:r>
        <w:r w:rsidRPr="00D865A9">
          <w:rPr>
            <w:rFonts w:ascii="Palatino Linotype" w:hAnsi="Palatino Linotype"/>
            <w:noProof/>
            <w:sz w:val="24"/>
            <w:szCs w:val="18"/>
          </w:rPr>
          <w:t>2</w:t>
        </w:r>
        <w:r w:rsidRPr="00D865A9">
          <w:rPr>
            <w:rFonts w:ascii="Palatino Linotype" w:hAnsi="Palatino Linotype"/>
            <w:noProof/>
            <w:sz w:val="24"/>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51DFDBB3" w:rsidR="00CF17DE" w:rsidRPr="001A1DB2" w:rsidRDefault="00482457" w:rsidP="00482457">
    <w:pPr>
      <w:pStyle w:val="Footer"/>
      <w:tabs>
        <w:tab w:val="clear" w:pos="4320"/>
        <w:tab w:val="center" w:pos="4680"/>
      </w:tabs>
      <w:jc w:val="left"/>
      <w:rPr>
        <w:rFonts w:ascii="Palatino Linotype" w:hAnsi="Palatino Linotype"/>
        <w:sz w:val="24"/>
        <w:szCs w:val="18"/>
      </w:rPr>
    </w:pPr>
    <w:r w:rsidRPr="00482457">
      <w:rPr>
        <w:rFonts w:ascii="Tahoma" w:hAnsi="Tahoma" w:cs="Tahoma"/>
        <w:color w:val="000000"/>
        <w:sz w:val="20"/>
        <w:shd w:val="clear" w:color="auto" w:fill="FFFFFF"/>
      </w:rPr>
      <w:t>504488659</w:t>
    </w:r>
    <w:r>
      <w:rPr>
        <w:rFonts w:ascii="Arial" w:hAnsi="Arial" w:cs="Arial"/>
        <w:color w:val="000000"/>
        <w:sz w:val="18"/>
        <w:szCs w:val="18"/>
        <w:shd w:val="clear" w:color="auto" w:fill="FFFFFF"/>
      </w:rPr>
      <w:t> </w:t>
    </w:r>
    <w:r>
      <w:rPr>
        <w:rStyle w:val="PageNumber"/>
        <w:rFonts w:ascii="Palatino Linotype" w:hAnsi="Palatino Linotype"/>
        <w:sz w:val="24"/>
        <w:szCs w:val="18"/>
      </w:rPr>
      <w:tab/>
    </w:r>
    <w:r w:rsidR="00CF17DE" w:rsidRPr="001A1DB2">
      <w:rPr>
        <w:rStyle w:val="PageNumber"/>
        <w:rFonts w:ascii="Palatino Linotype" w:hAnsi="Palatino Linotype"/>
        <w:sz w:val="24"/>
        <w:szCs w:val="18"/>
      </w:rPr>
      <w:fldChar w:fldCharType="begin"/>
    </w:r>
    <w:r w:rsidR="00CF17DE" w:rsidRPr="001A1DB2">
      <w:rPr>
        <w:rStyle w:val="PageNumber"/>
        <w:rFonts w:ascii="Palatino Linotype" w:hAnsi="Palatino Linotype"/>
        <w:sz w:val="24"/>
        <w:szCs w:val="18"/>
      </w:rPr>
      <w:instrText xml:space="preserve"> PAGE </w:instrText>
    </w:r>
    <w:r w:rsidR="00CF17DE" w:rsidRPr="001A1DB2">
      <w:rPr>
        <w:rStyle w:val="PageNumber"/>
        <w:rFonts w:ascii="Palatino Linotype" w:hAnsi="Palatino Linotype"/>
        <w:sz w:val="24"/>
        <w:szCs w:val="18"/>
      </w:rPr>
      <w:fldChar w:fldCharType="separate"/>
    </w:r>
    <w:r w:rsidR="00946E2C" w:rsidRPr="001A1DB2">
      <w:rPr>
        <w:rStyle w:val="PageNumber"/>
        <w:rFonts w:ascii="Palatino Linotype" w:hAnsi="Palatino Linotype"/>
        <w:noProof/>
        <w:sz w:val="24"/>
        <w:szCs w:val="18"/>
      </w:rPr>
      <w:t>1</w:t>
    </w:r>
    <w:r w:rsidR="00CF17DE" w:rsidRPr="001A1DB2">
      <w:rPr>
        <w:rStyle w:val="PageNumber"/>
        <w:rFonts w:ascii="Palatino Linotype" w:hAnsi="Palatino Linotype"/>
        <w:sz w:val="2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5192" w14:textId="77777777" w:rsidR="00B574DA" w:rsidRDefault="00B574DA">
      <w:r>
        <w:separator/>
      </w:r>
    </w:p>
  </w:footnote>
  <w:footnote w:type="continuationSeparator" w:id="0">
    <w:p w14:paraId="492752EE" w14:textId="77777777" w:rsidR="00B574DA" w:rsidRDefault="00B574DA">
      <w:r>
        <w:continuationSeparator/>
      </w:r>
    </w:p>
  </w:footnote>
  <w:footnote w:type="continuationNotice" w:id="1">
    <w:p w14:paraId="56ADDB24" w14:textId="77777777" w:rsidR="00B574DA" w:rsidRDefault="00B574DA">
      <w:pPr>
        <w:rPr>
          <w:sz w:val="22"/>
        </w:rPr>
      </w:pPr>
    </w:p>
    <w:p w14:paraId="66BCD94E" w14:textId="77777777" w:rsidR="00B574DA" w:rsidRDefault="00B574DA">
      <w:pPr>
        <w:jc w:val="right"/>
        <w:rPr>
          <w:sz w:val="22"/>
        </w:rPr>
      </w:pPr>
      <w:r>
        <w:rPr>
          <w:i/>
          <w:sz w:val="22"/>
        </w:rPr>
        <w:t>Footnote continued on next page</w:t>
      </w:r>
    </w:p>
  </w:footnote>
  <w:footnote w:id="2">
    <w:p w14:paraId="03F2696E" w14:textId="590EE56B" w:rsidR="00C7418A" w:rsidRPr="00444D0B" w:rsidRDefault="00C7418A" w:rsidP="004F78A0">
      <w:pPr>
        <w:pStyle w:val="FootnoteText"/>
        <w:numPr>
          <w:ilvl w:val="0"/>
          <w:numId w:val="0"/>
        </w:numPr>
        <w:spacing w:after="0"/>
        <w:rPr>
          <w:rFonts w:ascii="Palatino Linotype" w:hAnsi="Palatino Linotype"/>
        </w:rPr>
      </w:pPr>
      <w:r w:rsidRPr="00444D0B">
        <w:rPr>
          <w:rStyle w:val="FootnoteReference"/>
          <w:rFonts w:ascii="Palatino Linotype" w:hAnsi="Palatino Linotype"/>
        </w:rPr>
        <w:footnoteRef/>
      </w:r>
      <w:r w:rsidRPr="00444D0B">
        <w:rPr>
          <w:rFonts w:ascii="Palatino Linotype" w:hAnsi="Palatino Linotype"/>
        </w:rPr>
        <w:t xml:space="preserve"> R.13-11-005 and most recently A</w:t>
      </w:r>
      <w:r w:rsidR="009866AE" w:rsidRPr="00444D0B">
        <w:rPr>
          <w:rFonts w:ascii="Palatino Linotype" w:hAnsi="Palatino Linotype"/>
        </w:rPr>
        <w:t>.22-02-005</w:t>
      </w:r>
      <w:r w:rsidR="003306A7" w:rsidRPr="00444D0B">
        <w:rPr>
          <w:rFonts w:ascii="Palatino Linotype" w:hAnsi="Palatino Linotype"/>
        </w:rPr>
        <w:t>.</w:t>
      </w:r>
    </w:p>
  </w:footnote>
  <w:footnote w:id="3">
    <w:p w14:paraId="5C5389B5" w14:textId="57450C5A" w:rsidR="004979BC" w:rsidRPr="00444D0B" w:rsidRDefault="004979BC" w:rsidP="004F78A0">
      <w:pPr>
        <w:pStyle w:val="FootnoteText"/>
        <w:numPr>
          <w:ilvl w:val="0"/>
          <w:numId w:val="0"/>
        </w:numPr>
        <w:spacing w:after="0"/>
        <w:rPr>
          <w:rFonts w:ascii="Palatino Linotype" w:hAnsi="Palatino Linotype"/>
        </w:rPr>
      </w:pPr>
      <w:r w:rsidRPr="00444D0B">
        <w:rPr>
          <w:rStyle w:val="FootnoteReference"/>
          <w:rFonts w:ascii="Palatino Linotype" w:hAnsi="Palatino Linotype"/>
        </w:rPr>
        <w:footnoteRef/>
      </w:r>
      <w:r w:rsidRPr="00444D0B">
        <w:rPr>
          <w:rFonts w:ascii="Palatino Linotype" w:hAnsi="Palatino Linotype"/>
        </w:rPr>
        <w:t xml:space="preserve"> </w:t>
      </w:r>
      <w:r w:rsidR="00930342" w:rsidRPr="00444D0B">
        <w:rPr>
          <w:rFonts w:ascii="Palatino Linotype" w:hAnsi="Palatino Linotype"/>
        </w:rPr>
        <w:t>D.21-03-052, p.10</w:t>
      </w:r>
      <w:r w:rsidR="003306A7" w:rsidRPr="00444D0B">
        <w:rPr>
          <w:rFonts w:ascii="Palatino Linotype" w:hAnsi="Palatino Linotype"/>
        </w:rPr>
        <w:t>.</w:t>
      </w:r>
    </w:p>
  </w:footnote>
  <w:footnote w:id="4">
    <w:p w14:paraId="505DE434" w14:textId="02904D1B" w:rsidR="00930342" w:rsidRPr="00444D0B" w:rsidRDefault="00930342" w:rsidP="004F78A0">
      <w:pPr>
        <w:pStyle w:val="FootnoteText"/>
        <w:numPr>
          <w:ilvl w:val="0"/>
          <w:numId w:val="0"/>
        </w:numPr>
        <w:spacing w:after="0"/>
        <w:rPr>
          <w:rFonts w:ascii="Palatino Linotype" w:hAnsi="Palatino Linotype"/>
        </w:rPr>
      </w:pPr>
      <w:r w:rsidRPr="00444D0B">
        <w:rPr>
          <w:rStyle w:val="FootnoteReference"/>
          <w:rFonts w:ascii="Palatino Linotype" w:hAnsi="Palatino Linotype"/>
        </w:rPr>
        <w:footnoteRef/>
      </w:r>
      <w:r w:rsidRPr="00444D0B">
        <w:rPr>
          <w:rFonts w:ascii="Palatino Linotype" w:hAnsi="Palatino Linotype"/>
        </w:rPr>
        <w:t xml:space="preserve"> Ibid, </w:t>
      </w:r>
      <w:r w:rsidR="00D97AD6" w:rsidRPr="00444D0B">
        <w:rPr>
          <w:rFonts w:ascii="Palatino Linotype" w:hAnsi="Palatino Linotype"/>
        </w:rPr>
        <w:t>pp.</w:t>
      </w:r>
      <w:r w:rsidR="00FB41E3" w:rsidRPr="00444D0B">
        <w:rPr>
          <w:rFonts w:ascii="Palatino Linotype" w:hAnsi="Palatino Linotype"/>
        </w:rPr>
        <w:t>14</w:t>
      </w:r>
      <w:r w:rsidR="00D97AD6" w:rsidRPr="00444D0B">
        <w:rPr>
          <w:rFonts w:ascii="Palatino Linotype" w:hAnsi="Palatino Linotype"/>
        </w:rPr>
        <w:t>-15</w:t>
      </w:r>
      <w:r w:rsidR="003306A7" w:rsidRPr="00444D0B">
        <w:rPr>
          <w:rFonts w:ascii="Palatino Linotype" w:hAnsi="Palatino Linotype"/>
        </w:rPr>
        <w:t>.</w:t>
      </w:r>
    </w:p>
  </w:footnote>
  <w:footnote w:id="5">
    <w:p w14:paraId="2401B05D" w14:textId="6DDADB74" w:rsidR="00114DF8" w:rsidRPr="00444D0B" w:rsidRDefault="00114DF8" w:rsidP="004F78A0">
      <w:pPr>
        <w:pStyle w:val="FootnoteText"/>
        <w:numPr>
          <w:ilvl w:val="0"/>
          <w:numId w:val="0"/>
        </w:numPr>
        <w:spacing w:after="0"/>
        <w:rPr>
          <w:rFonts w:ascii="Palatino Linotype" w:hAnsi="Palatino Linotype"/>
        </w:rPr>
      </w:pPr>
      <w:r w:rsidRPr="00444D0B">
        <w:rPr>
          <w:rStyle w:val="FootnoteReference"/>
          <w:rFonts w:ascii="Palatino Linotype" w:hAnsi="Palatino Linotype"/>
        </w:rPr>
        <w:footnoteRef/>
      </w:r>
      <w:r w:rsidRPr="00444D0B">
        <w:rPr>
          <w:rFonts w:ascii="Palatino Linotype" w:hAnsi="Palatino Linotype"/>
        </w:rPr>
        <w:t xml:space="preserve"> </w:t>
      </w:r>
      <w:r w:rsidR="00A37109" w:rsidRPr="00444D0B">
        <w:rPr>
          <w:rFonts w:ascii="Palatino Linotype" w:hAnsi="Palatino Linotype"/>
        </w:rPr>
        <w:t>Ibid</w:t>
      </w:r>
      <w:r w:rsidRPr="00444D0B">
        <w:rPr>
          <w:rFonts w:ascii="Palatino Linotype" w:hAnsi="Palatino Linotype"/>
        </w:rPr>
        <w:t>, OP</w:t>
      </w:r>
      <w:r w:rsidR="00911C72" w:rsidRPr="00444D0B">
        <w:rPr>
          <w:rFonts w:ascii="Palatino Linotype" w:hAnsi="Palatino Linotype"/>
        </w:rPr>
        <w:t xml:space="preserve"> </w:t>
      </w:r>
      <w:r w:rsidRPr="00444D0B">
        <w:rPr>
          <w:rFonts w:ascii="Palatino Linotype" w:hAnsi="Palatino Linotype"/>
        </w:rPr>
        <w:t>3</w:t>
      </w:r>
      <w:r w:rsidR="00911C72" w:rsidRPr="00444D0B">
        <w:rPr>
          <w:rFonts w:ascii="Palatino Linotype" w:hAnsi="Palatino Linotype"/>
        </w:rPr>
        <w:t xml:space="preserve"> at p.19.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6E5D3536" w:rsidR="00CF17DE" w:rsidRPr="00D865A9" w:rsidRDefault="00CF17DE">
    <w:pPr>
      <w:pStyle w:val="Header"/>
      <w:tabs>
        <w:tab w:val="clear" w:pos="4320"/>
        <w:tab w:val="clear" w:pos="8640"/>
        <w:tab w:val="center" w:pos="4680"/>
        <w:tab w:val="right" w:pos="9180"/>
      </w:tabs>
      <w:rPr>
        <w:rFonts w:ascii="Palatino Linotype" w:hAnsi="Palatino Linotype"/>
        <w:sz w:val="24"/>
        <w:szCs w:val="18"/>
      </w:rPr>
    </w:pPr>
    <w:r w:rsidRPr="00D865A9">
      <w:rPr>
        <w:rFonts w:ascii="Palatino Linotype" w:hAnsi="Palatino Linotype"/>
        <w:sz w:val="24"/>
        <w:szCs w:val="18"/>
      </w:rPr>
      <w:t xml:space="preserve">Resolution </w:t>
    </w:r>
    <w:r w:rsidR="009C3168" w:rsidRPr="00D50306">
      <w:rPr>
        <w:rFonts w:ascii="Palatino Linotype" w:hAnsi="Palatino Linotype"/>
        <w:b/>
        <w:sz w:val="24"/>
        <w:szCs w:val="24"/>
      </w:rPr>
      <w:t>G-3594</w:t>
    </w:r>
    <w:r w:rsidR="003F6E5A" w:rsidRPr="00D865A9">
      <w:rPr>
        <w:rFonts w:ascii="Palatino Linotype" w:hAnsi="Palatino Linotype"/>
        <w:sz w:val="24"/>
        <w:szCs w:val="18"/>
      </w:rPr>
      <w:tab/>
    </w:r>
    <w:r w:rsidRPr="00D865A9">
      <w:rPr>
        <w:rFonts w:ascii="Palatino Linotype" w:hAnsi="Palatino Linotype"/>
        <w:sz w:val="24"/>
        <w:szCs w:val="18"/>
      </w:rPr>
      <w:t>DRAFT</w:t>
    </w:r>
    <w:r w:rsidRPr="00D865A9">
      <w:rPr>
        <w:rFonts w:ascii="Palatino Linotype" w:hAnsi="Palatino Linotype"/>
        <w:sz w:val="24"/>
        <w:szCs w:val="18"/>
      </w:rPr>
      <w:tab/>
    </w:r>
    <w:r w:rsidR="009C3168">
      <w:rPr>
        <w:rFonts w:ascii="Palatino Linotype" w:hAnsi="Palatino Linotype"/>
        <w:sz w:val="24"/>
        <w:szCs w:val="18"/>
      </w:rPr>
      <w:t>April 27, 2023</w:t>
    </w:r>
  </w:p>
  <w:p w14:paraId="279E5C15" w14:textId="203CFCC1" w:rsidR="00CF17DE" w:rsidRPr="00D865A9" w:rsidRDefault="009C3168">
    <w:pPr>
      <w:pStyle w:val="Header"/>
      <w:tabs>
        <w:tab w:val="clear" w:pos="4320"/>
        <w:tab w:val="clear" w:pos="8640"/>
        <w:tab w:val="center" w:pos="4680"/>
        <w:tab w:val="right" w:pos="9180"/>
      </w:tabs>
      <w:rPr>
        <w:rFonts w:ascii="Palatino Linotype" w:hAnsi="Palatino Linotype"/>
        <w:sz w:val="24"/>
        <w:szCs w:val="18"/>
      </w:rPr>
    </w:pPr>
    <w:r>
      <w:rPr>
        <w:rFonts w:ascii="Palatino Linotype" w:hAnsi="Palatino Linotype"/>
        <w:sz w:val="24"/>
        <w:szCs w:val="18"/>
      </w:rPr>
      <w:t xml:space="preserve">Southwest Gas </w:t>
    </w:r>
    <w:r w:rsidR="00CF17DE" w:rsidRPr="00D865A9">
      <w:rPr>
        <w:rFonts w:ascii="Palatino Linotype" w:hAnsi="Palatino Linotype"/>
        <w:sz w:val="24"/>
        <w:szCs w:val="18"/>
      </w:rPr>
      <w:t xml:space="preserve">AL </w:t>
    </w:r>
    <w:r>
      <w:rPr>
        <w:rFonts w:ascii="Palatino Linotype" w:hAnsi="Palatino Linotype"/>
        <w:sz w:val="24"/>
        <w:szCs w:val="18"/>
      </w:rPr>
      <w:t>1243-G</w:t>
    </w:r>
    <w:r w:rsidR="00CF17DE" w:rsidRPr="00D865A9">
      <w:rPr>
        <w:rFonts w:ascii="Palatino Linotype" w:hAnsi="Palatino Linotype"/>
        <w:sz w:val="24"/>
        <w:szCs w:val="18"/>
      </w:rPr>
      <w:t>/</w:t>
    </w:r>
    <w:r>
      <w:rPr>
        <w:rFonts w:ascii="Palatino Linotype" w:hAnsi="Palatino Linotype"/>
        <w:sz w:val="24"/>
        <w:szCs w:val="18"/>
      </w:rPr>
      <w:t>JSO</w:t>
    </w:r>
  </w:p>
  <w:p w14:paraId="013F4CD4" w14:textId="77777777" w:rsidR="00CF17DE" w:rsidRPr="00D865A9" w:rsidRDefault="00CF17DE">
    <w:pPr>
      <w:pStyle w:val="Header"/>
      <w:rPr>
        <w:rFonts w:ascii="Palatino Linotype" w:hAnsi="Palatino Linotype"/>
        <w:sz w:val="24"/>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F806" w14:textId="77777777" w:rsidR="00CF17DE" w:rsidRPr="00D865A9" w:rsidRDefault="00CF17DE" w:rsidP="003F6E5A">
    <w:pPr>
      <w:pStyle w:val="Header"/>
      <w:jc w:val="center"/>
      <w:rPr>
        <w:rFonts w:ascii="Palatino Linotype" w:hAnsi="Palatino Linotype"/>
        <w:sz w:val="24"/>
        <w:szCs w:val="24"/>
      </w:rPr>
    </w:pPr>
    <w:r w:rsidRPr="00D865A9">
      <w:rPr>
        <w:rFonts w:ascii="Palatino Linotype" w:hAnsi="Palatino Linotype"/>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509AE"/>
    <w:multiLevelType w:val="hybridMultilevel"/>
    <w:tmpl w:val="F39A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3"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1040AD2"/>
    <w:multiLevelType w:val="hybridMultilevel"/>
    <w:tmpl w:val="9106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25CD61DC"/>
    <w:multiLevelType w:val="hybridMultilevel"/>
    <w:tmpl w:val="60A6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8414F"/>
    <w:multiLevelType w:val="hybridMultilevel"/>
    <w:tmpl w:val="87E6F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1"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C20E96"/>
    <w:multiLevelType w:val="hybridMultilevel"/>
    <w:tmpl w:val="616A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2476969">
    <w:abstractNumId w:val="2"/>
  </w:num>
  <w:num w:numId="2" w16cid:durableId="1179659355">
    <w:abstractNumId w:val="9"/>
  </w:num>
  <w:num w:numId="3" w16cid:durableId="1184857078">
    <w:abstractNumId w:val="6"/>
  </w:num>
  <w:num w:numId="4" w16cid:durableId="1697269902">
    <w:abstractNumId w:val="10"/>
  </w:num>
  <w:num w:numId="5" w16cid:durableId="2024938905">
    <w:abstractNumId w:val="3"/>
  </w:num>
  <w:num w:numId="6" w16cid:durableId="1129127765">
    <w:abstractNumId w:val="8"/>
  </w:num>
  <w:num w:numId="7" w16cid:durableId="245842286">
    <w:abstractNumId w:val="13"/>
  </w:num>
  <w:num w:numId="8" w16cid:durableId="423575508">
    <w:abstractNumId w:val="15"/>
  </w:num>
  <w:num w:numId="9" w16cid:durableId="174535851">
    <w:abstractNumId w:val="5"/>
  </w:num>
  <w:num w:numId="10" w16cid:durableId="1982341160">
    <w:abstractNumId w:val="11"/>
  </w:num>
  <w:num w:numId="11" w16cid:durableId="1902793005">
    <w:abstractNumId w:val="0"/>
  </w:num>
  <w:num w:numId="12" w16cid:durableId="1803886517">
    <w:abstractNumId w:val="12"/>
  </w:num>
  <w:num w:numId="13" w16cid:durableId="1648896246">
    <w:abstractNumId w:val="4"/>
  </w:num>
  <w:num w:numId="14" w16cid:durableId="1899628324">
    <w:abstractNumId w:val="7"/>
  </w:num>
  <w:num w:numId="15" w16cid:durableId="1897937183">
    <w:abstractNumId w:val="1"/>
  </w:num>
  <w:num w:numId="16" w16cid:durableId="439567697">
    <w:abstractNumId w:val="14"/>
  </w:num>
  <w:num w:numId="17" w16cid:durableId="44403374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65C"/>
    <w:rsid w:val="00003C83"/>
    <w:rsid w:val="00012D45"/>
    <w:rsid w:val="000174B1"/>
    <w:rsid w:val="00020107"/>
    <w:rsid w:val="00020E72"/>
    <w:rsid w:val="00024C89"/>
    <w:rsid w:val="00025975"/>
    <w:rsid w:val="00026313"/>
    <w:rsid w:val="00026D24"/>
    <w:rsid w:val="00033B6A"/>
    <w:rsid w:val="00036816"/>
    <w:rsid w:val="00036AF3"/>
    <w:rsid w:val="00042DC3"/>
    <w:rsid w:val="00046E2A"/>
    <w:rsid w:val="00055045"/>
    <w:rsid w:val="00055467"/>
    <w:rsid w:val="00061666"/>
    <w:rsid w:val="00063993"/>
    <w:rsid w:val="00065CD4"/>
    <w:rsid w:val="00071795"/>
    <w:rsid w:val="00071C3B"/>
    <w:rsid w:val="000754DD"/>
    <w:rsid w:val="00075ECF"/>
    <w:rsid w:val="00077627"/>
    <w:rsid w:val="00080EAF"/>
    <w:rsid w:val="000846FC"/>
    <w:rsid w:val="00085243"/>
    <w:rsid w:val="0008639B"/>
    <w:rsid w:val="000870B1"/>
    <w:rsid w:val="00087196"/>
    <w:rsid w:val="00090457"/>
    <w:rsid w:val="00093E7D"/>
    <w:rsid w:val="00095972"/>
    <w:rsid w:val="000969CC"/>
    <w:rsid w:val="000A6FC5"/>
    <w:rsid w:val="000B4362"/>
    <w:rsid w:val="000B5D11"/>
    <w:rsid w:val="000C06E4"/>
    <w:rsid w:val="000C0C4F"/>
    <w:rsid w:val="000C4071"/>
    <w:rsid w:val="000C4E3B"/>
    <w:rsid w:val="000C50E3"/>
    <w:rsid w:val="000D0E98"/>
    <w:rsid w:val="000D3A75"/>
    <w:rsid w:val="000E1C4C"/>
    <w:rsid w:val="000E7595"/>
    <w:rsid w:val="000F0529"/>
    <w:rsid w:val="000F07FA"/>
    <w:rsid w:val="000F2790"/>
    <w:rsid w:val="000F4DB5"/>
    <w:rsid w:val="00102B43"/>
    <w:rsid w:val="00106B04"/>
    <w:rsid w:val="001126EB"/>
    <w:rsid w:val="00114DF8"/>
    <w:rsid w:val="00115534"/>
    <w:rsid w:val="00116E47"/>
    <w:rsid w:val="00116F13"/>
    <w:rsid w:val="00116F8C"/>
    <w:rsid w:val="00121E75"/>
    <w:rsid w:val="00122964"/>
    <w:rsid w:val="001278F1"/>
    <w:rsid w:val="001300B0"/>
    <w:rsid w:val="001307CD"/>
    <w:rsid w:val="00131F3B"/>
    <w:rsid w:val="00135C49"/>
    <w:rsid w:val="00142FB8"/>
    <w:rsid w:val="0015093C"/>
    <w:rsid w:val="00150E49"/>
    <w:rsid w:val="001612CC"/>
    <w:rsid w:val="0016184D"/>
    <w:rsid w:val="00164C05"/>
    <w:rsid w:val="00165280"/>
    <w:rsid w:val="001656D2"/>
    <w:rsid w:val="001659B7"/>
    <w:rsid w:val="0017420A"/>
    <w:rsid w:val="00181582"/>
    <w:rsid w:val="00182AFB"/>
    <w:rsid w:val="00195279"/>
    <w:rsid w:val="00197A1E"/>
    <w:rsid w:val="001A0768"/>
    <w:rsid w:val="001A1052"/>
    <w:rsid w:val="001A1DB2"/>
    <w:rsid w:val="001A3484"/>
    <w:rsid w:val="001A4070"/>
    <w:rsid w:val="001A731C"/>
    <w:rsid w:val="001B0DE4"/>
    <w:rsid w:val="001B791C"/>
    <w:rsid w:val="001C3FCD"/>
    <w:rsid w:val="001C449A"/>
    <w:rsid w:val="001C4A8F"/>
    <w:rsid w:val="001C7E94"/>
    <w:rsid w:val="001D0B16"/>
    <w:rsid w:val="001D4CAF"/>
    <w:rsid w:val="001D64CE"/>
    <w:rsid w:val="001E21D0"/>
    <w:rsid w:val="001E4AD8"/>
    <w:rsid w:val="001F0ACD"/>
    <w:rsid w:val="001F1E60"/>
    <w:rsid w:val="001F4F26"/>
    <w:rsid w:val="001F5325"/>
    <w:rsid w:val="00200B21"/>
    <w:rsid w:val="0020108F"/>
    <w:rsid w:val="0020234E"/>
    <w:rsid w:val="00204DDB"/>
    <w:rsid w:val="00210A02"/>
    <w:rsid w:val="00215DD7"/>
    <w:rsid w:val="00230EE6"/>
    <w:rsid w:val="002420C3"/>
    <w:rsid w:val="002441D1"/>
    <w:rsid w:val="0024459D"/>
    <w:rsid w:val="00252A80"/>
    <w:rsid w:val="00262F1D"/>
    <w:rsid w:val="002701D6"/>
    <w:rsid w:val="002755D8"/>
    <w:rsid w:val="00282D87"/>
    <w:rsid w:val="00285E5B"/>
    <w:rsid w:val="002901CA"/>
    <w:rsid w:val="002979F3"/>
    <w:rsid w:val="002B26DC"/>
    <w:rsid w:val="002B2C17"/>
    <w:rsid w:val="002C1CEF"/>
    <w:rsid w:val="002C2420"/>
    <w:rsid w:val="002C3594"/>
    <w:rsid w:val="002C53DB"/>
    <w:rsid w:val="002D6004"/>
    <w:rsid w:val="002D782A"/>
    <w:rsid w:val="002E62FD"/>
    <w:rsid w:val="002F02AF"/>
    <w:rsid w:val="002F2D8B"/>
    <w:rsid w:val="002F3135"/>
    <w:rsid w:val="002F38AF"/>
    <w:rsid w:val="002F4F81"/>
    <w:rsid w:val="002F5830"/>
    <w:rsid w:val="002F6EA9"/>
    <w:rsid w:val="002F7C50"/>
    <w:rsid w:val="0030186C"/>
    <w:rsid w:val="0030432E"/>
    <w:rsid w:val="003067AA"/>
    <w:rsid w:val="0030736E"/>
    <w:rsid w:val="003112E0"/>
    <w:rsid w:val="00312BEA"/>
    <w:rsid w:val="00316AD6"/>
    <w:rsid w:val="003179E6"/>
    <w:rsid w:val="003223B4"/>
    <w:rsid w:val="00323EEA"/>
    <w:rsid w:val="00326957"/>
    <w:rsid w:val="003306A7"/>
    <w:rsid w:val="00333700"/>
    <w:rsid w:val="00341D9B"/>
    <w:rsid w:val="0034613E"/>
    <w:rsid w:val="0034613F"/>
    <w:rsid w:val="003463B2"/>
    <w:rsid w:val="003542C5"/>
    <w:rsid w:val="00357305"/>
    <w:rsid w:val="00357C9A"/>
    <w:rsid w:val="003606F7"/>
    <w:rsid w:val="003615C8"/>
    <w:rsid w:val="0036346E"/>
    <w:rsid w:val="0036612C"/>
    <w:rsid w:val="00375C6C"/>
    <w:rsid w:val="003774F8"/>
    <w:rsid w:val="003778CB"/>
    <w:rsid w:val="0038361B"/>
    <w:rsid w:val="0038544B"/>
    <w:rsid w:val="00391A40"/>
    <w:rsid w:val="00392E31"/>
    <w:rsid w:val="00394B3A"/>
    <w:rsid w:val="003A643D"/>
    <w:rsid w:val="003A6A40"/>
    <w:rsid w:val="003B1839"/>
    <w:rsid w:val="003B28DC"/>
    <w:rsid w:val="003B3EB8"/>
    <w:rsid w:val="003B60B7"/>
    <w:rsid w:val="003B7C4C"/>
    <w:rsid w:val="003C17E4"/>
    <w:rsid w:val="003C62EC"/>
    <w:rsid w:val="003D175C"/>
    <w:rsid w:val="003D4C6C"/>
    <w:rsid w:val="003D71ED"/>
    <w:rsid w:val="003E179A"/>
    <w:rsid w:val="003E1DAF"/>
    <w:rsid w:val="003F6E5A"/>
    <w:rsid w:val="00400F6B"/>
    <w:rsid w:val="00402E2F"/>
    <w:rsid w:val="00411D6C"/>
    <w:rsid w:val="004122B0"/>
    <w:rsid w:val="00412B66"/>
    <w:rsid w:val="00414270"/>
    <w:rsid w:val="00414CCE"/>
    <w:rsid w:val="0042062F"/>
    <w:rsid w:val="00426EB2"/>
    <w:rsid w:val="00431BF6"/>
    <w:rsid w:val="004349D2"/>
    <w:rsid w:val="00435CAF"/>
    <w:rsid w:val="00440AB7"/>
    <w:rsid w:val="00442738"/>
    <w:rsid w:val="00443A7B"/>
    <w:rsid w:val="00444D0B"/>
    <w:rsid w:val="00451B5A"/>
    <w:rsid w:val="00452C43"/>
    <w:rsid w:val="00454AC4"/>
    <w:rsid w:val="00460C46"/>
    <w:rsid w:val="00461373"/>
    <w:rsid w:val="0046209E"/>
    <w:rsid w:val="00462EF5"/>
    <w:rsid w:val="00463637"/>
    <w:rsid w:val="0046465B"/>
    <w:rsid w:val="00466505"/>
    <w:rsid w:val="00466BE3"/>
    <w:rsid w:val="00467956"/>
    <w:rsid w:val="00467C78"/>
    <w:rsid w:val="00470B9B"/>
    <w:rsid w:val="0047128E"/>
    <w:rsid w:val="0047254A"/>
    <w:rsid w:val="00473335"/>
    <w:rsid w:val="00474963"/>
    <w:rsid w:val="004751CB"/>
    <w:rsid w:val="00480B5B"/>
    <w:rsid w:val="00482457"/>
    <w:rsid w:val="00490415"/>
    <w:rsid w:val="004905D3"/>
    <w:rsid w:val="00492806"/>
    <w:rsid w:val="004979BC"/>
    <w:rsid w:val="00497E11"/>
    <w:rsid w:val="004A11DC"/>
    <w:rsid w:val="004A2E6D"/>
    <w:rsid w:val="004A31B2"/>
    <w:rsid w:val="004A3440"/>
    <w:rsid w:val="004B0412"/>
    <w:rsid w:val="004B09C4"/>
    <w:rsid w:val="004B292B"/>
    <w:rsid w:val="004B4428"/>
    <w:rsid w:val="004C1146"/>
    <w:rsid w:val="004C4626"/>
    <w:rsid w:val="004C5498"/>
    <w:rsid w:val="004C7384"/>
    <w:rsid w:val="004D2C2B"/>
    <w:rsid w:val="004D2E13"/>
    <w:rsid w:val="004D3212"/>
    <w:rsid w:val="004E29F5"/>
    <w:rsid w:val="004E4399"/>
    <w:rsid w:val="004E7CE5"/>
    <w:rsid w:val="004F084A"/>
    <w:rsid w:val="004F512F"/>
    <w:rsid w:val="004F78A0"/>
    <w:rsid w:val="00502CE0"/>
    <w:rsid w:val="00503D85"/>
    <w:rsid w:val="00505139"/>
    <w:rsid w:val="00510685"/>
    <w:rsid w:val="00510EBD"/>
    <w:rsid w:val="00512068"/>
    <w:rsid w:val="005150F6"/>
    <w:rsid w:val="005249DF"/>
    <w:rsid w:val="0053106C"/>
    <w:rsid w:val="00533135"/>
    <w:rsid w:val="00545B69"/>
    <w:rsid w:val="00547491"/>
    <w:rsid w:val="00556BC6"/>
    <w:rsid w:val="005572AA"/>
    <w:rsid w:val="00564418"/>
    <w:rsid w:val="00564B70"/>
    <w:rsid w:val="00564EF7"/>
    <w:rsid w:val="0057398B"/>
    <w:rsid w:val="005805BF"/>
    <w:rsid w:val="005844D6"/>
    <w:rsid w:val="0058582B"/>
    <w:rsid w:val="00591E5F"/>
    <w:rsid w:val="00593807"/>
    <w:rsid w:val="00593EF6"/>
    <w:rsid w:val="00594225"/>
    <w:rsid w:val="00595736"/>
    <w:rsid w:val="0059626E"/>
    <w:rsid w:val="005A2DEC"/>
    <w:rsid w:val="005A5D44"/>
    <w:rsid w:val="005B46A6"/>
    <w:rsid w:val="005B7768"/>
    <w:rsid w:val="005C0DBF"/>
    <w:rsid w:val="005C31CA"/>
    <w:rsid w:val="005C5FD2"/>
    <w:rsid w:val="005C628D"/>
    <w:rsid w:val="005C6433"/>
    <w:rsid w:val="005C7F15"/>
    <w:rsid w:val="005D02D9"/>
    <w:rsid w:val="005D36B5"/>
    <w:rsid w:val="005D60CA"/>
    <w:rsid w:val="005D618A"/>
    <w:rsid w:val="005E3F31"/>
    <w:rsid w:val="005E5D42"/>
    <w:rsid w:val="005F0114"/>
    <w:rsid w:val="005F16F5"/>
    <w:rsid w:val="005F1942"/>
    <w:rsid w:val="005F2641"/>
    <w:rsid w:val="006029BF"/>
    <w:rsid w:val="0060455C"/>
    <w:rsid w:val="00613C9A"/>
    <w:rsid w:val="00614A00"/>
    <w:rsid w:val="00620FA7"/>
    <w:rsid w:val="00632B3A"/>
    <w:rsid w:val="006338E7"/>
    <w:rsid w:val="0063703C"/>
    <w:rsid w:val="00640558"/>
    <w:rsid w:val="006545CF"/>
    <w:rsid w:val="00660E4C"/>
    <w:rsid w:val="00662090"/>
    <w:rsid w:val="00662A25"/>
    <w:rsid w:val="00662A45"/>
    <w:rsid w:val="00662FB2"/>
    <w:rsid w:val="0066553A"/>
    <w:rsid w:val="0067136B"/>
    <w:rsid w:val="006740D1"/>
    <w:rsid w:val="00675954"/>
    <w:rsid w:val="00692005"/>
    <w:rsid w:val="0069631C"/>
    <w:rsid w:val="006A1C07"/>
    <w:rsid w:val="006A4A0F"/>
    <w:rsid w:val="006B0505"/>
    <w:rsid w:val="006B05EE"/>
    <w:rsid w:val="006B1608"/>
    <w:rsid w:val="006B26AB"/>
    <w:rsid w:val="006B3D7D"/>
    <w:rsid w:val="006C0304"/>
    <w:rsid w:val="006C1A04"/>
    <w:rsid w:val="006C5E22"/>
    <w:rsid w:val="006C62F7"/>
    <w:rsid w:val="006C73DB"/>
    <w:rsid w:val="006C7C15"/>
    <w:rsid w:val="006D0218"/>
    <w:rsid w:val="006D37F5"/>
    <w:rsid w:val="006D384E"/>
    <w:rsid w:val="006D72D5"/>
    <w:rsid w:val="006E1BC7"/>
    <w:rsid w:val="006F0BD6"/>
    <w:rsid w:val="006F314B"/>
    <w:rsid w:val="00705F23"/>
    <w:rsid w:val="00707A86"/>
    <w:rsid w:val="007118F1"/>
    <w:rsid w:val="00717683"/>
    <w:rsid w:val="00717C24"/>
    <w:rsid w:val="00720E4D"/>
    <w:rsid w:val="00722E5E"/>
    <w:rsid w:val="0072697D"/>
    <w:rsid w:val="00735DB8"/>
    <w:rsid w:val="0074302C"/>
    <w:rsid w:val="0074530D"/>
    <w:rsid w:val="00747696"/>
    <w:rsid w:val="00766D11"/>
    <w:rsid w:val="00767ECD"/>
    <w:rsid w:val="007723E3"/>
    <w:rsid w:val="00782891"/>
    <w:rsid w:val="00784E6E"/>
    <w:rsid w:val="00791908"/>
    <w:rsid w:val="007A281A"/>
    <w:rsid w:val="007B0E42"/>
    <w:rsid w:val="007B1330"/>
    <w:rsid w:val="007B2029"/>
    <w:rsid w:val="007C55FF"/>
    <w:rsid w:val="007D0D56"/>
    <w:rsid w:val="007D2F76"/>
    <w:rsid w:val="007D578F"/>
    <w:rsid w:val="007D5CB1"/>
    <w:rsid w:val="007D67CA"/>
    <w:rsid w:val="007E18D6"/>
    <w:rsid w:val="007E1FAB"/>
    <w:rsid w:val="007E5D2D"/>
    <w:rsid w:val="007E6547"/>
    <w:rsid w:val="007E6BF3"/>
    <w:rsid w:val="007F02E7"/>
    <w:rsid w:val="007F13D5"/>
    <w:rsid w:val="007F296B"/>
    <w:rsid w:val="0080044E"/>
    <w:rsid w:val="00801D70"/>
    <w:rsid w:val="00802BE6"/>
    <w:rsid w:val="00805ED5"/>
    <w:rsid w:val="008118E9"/>
    <w:rsid w:val="00814582"/>
    <w:rsid w:val="00814CCF"/>
    <w:rsid w:val="00822061"/>
    <w:rsid w:val="008311B6"/>
    <w:rsid w:val="00834CC9"/>
    <w:rsid w:val="00847759"/>
    <w:rsid w:val="0085398A"/>
    <w:rsid w:val="00857453"/>
    <w:rsid w:val="008647E0"/>
    <w:rsid w:val="008647ED"/>
    <w:rsid w:val="00865C4A"/>
    <w:rsid w:val="008677D2"/>
    <w:rsid w:val="00870591"/>
    <w:rsid w:val="00877248"/>
    <w:rsid w:val="00877B87"/>
    <w:rsid w:val="00877F88"/>
    <w:rsid w:val="00881BE9"/>
    <w:rsid w:val="0088203F"/>
    <w:rsid w:val="008851B4"/>
    <w:rsid w:val="008859A5"/>
    <w:rsid w:val="00885E1F"/>
    <w:rsid w:val="00890357"/>
    <w:rsid w:val="008914B9"/>
    <w:rsid w:val="0089179F"/>
    <w:rsid w:val="00892404"/>
    <w:rsid w:val="0089620E"/>
    <w:rsid w:val="00896642"/>
    <w:rsid w:val="008B0353"/>
    <w:rsid w:val="008C1771"/>
    <w:rsid w:val="008C288F"/>
    <w:rsid w:val="008D0F95"/>
    <w:rsid w:val="008D7C06"/>
    <w:rsid w:val="008E2019"/>
    <w:rsid w:val="008E2ACA"/>
    <w:rsid w:val="008E2BA4"/>
    <w:rsid w:val="008E5F22"/>
    <w:rsid w:val="008E6797"/>
    <w:rsid w:val="008F08DE"/>
    <w:rsid w:val="008F13AD"/>
    <w:rsid w:val="008F72D0"/>
    <w:rsid w:val="00903562"/>
    <w:rsid w:val="0090619B"/>
    <w:rsid w:val="00911C72"/>
    <w:rsid w:val="00915739"/>
    <w:rsid w:val="00915E92"/>
    <w:rsid w:val="00930342"/>
    <w:rsid w:val="0093646C"/>
    <w:rsid w:val="00940815"/>
    <w:rsid w:val="009453B7"/>
    <w:rsid w:val="00946E2C"/>
    <w:rsid w:val="00956711"/>
    <w:rsid w:val="00962943"/>
    <w:rsid w:val="00966821"/>
    <w:rsid w:val="00967C8F"/>
    <w:rsid w:val="009809B1"/>
    <w:rsid w:val="00980E85"/>
    <w:rsid w:val="00982339"/>
    <w:rsid w:val="00982D05"/>
    <w:rsid w:val="00982D13"/>
    <w:rsid w:val="009866AE"/>
    <w:rsid w:val="009A24A8"/>
    <w:rsid w:val="009A50E0"/>
    <w:rsid w:val="009B152B"/>
    <w:rsid w:val="009B5CA7"/>
    <w:rsid w:val="009C00B6"/>
    <w:rsid w:val="009C3168"/>
    <w:rsid w:val="009C5F18"/>
    <w:rsid w:val="009D0CEE"/>
    <w:rsid w:val="009D2D35"/>
    <w:rsid w:val="009D63EA"/>
    <w:rsid w:val="009D7160"/>
    <w:rsid w:val="009D7FD5"/>
    <w:rsid w:val="009E2A05"/>
    <w:rsid w:val="009E7295"/>
    <w:rsid w:val="009F7284"/>
    <w:rsid w:val="00A03858"/>
    <w:rsid w:val="00A0561A"/>
    <w:rsid w:val="00A1526C"/>
    <w:rsid w:val="00A218B6"/>
    <w:rsid w:val="00A2713F"/>
    <w:rsid w:val="00A32525"/>
    <w:rsid w:val="00A32A99"/>
    <w:rsid w:val="00A34A9A"/>
    <w:rsid w:val="00A3511A"/>
    <w:rsid w:val="00A37109"/>
    <w:rsid w:val="00A4451B"/>
    <w:rsid w:val="00A50480"/>
    <w:rsid w:val="00A50C0C"/>
    <w:rsid w:val="00A52B76"/>
    <w:rsid w:val="00A60201"/>
    <w:rsid w:val="00A6025D"/>
    <w:rsid w:val="00A646EA"/>
    <w:rsid w:val="00A658DE"/>
    <w:rsid w:val="00A71F55"/>
    <w:rsid w:val="00A72321"/>
    <w:rsid w:val="00A737C5"/>
    <w:rsid w:val="00A74682"/>
    <w:rsid w:val="00A7615B"/>
    <w:rsid w:val="00A85743"/>
    <w:rsid w:val="00A90F57"/>
    <w:rsid w:val="00A92990"/>
    <w:rsid w:val="00AA1969"/>
    <w:rsid w:val="00AA37D3"/>
    <w:rsid w:val="00AB00E8"/>
    <w:rsid w:val="00AB0D02"/>
    <w:rsid w:val="00AB0D0B"/>
    <w:rsid w:val="00AB5F74"/>
    <w:rsid w:val="00AB7ABC"/>
    <w:rsid w:val="00AD1371"/>
    <w:rsid w:val="00AD18AB"/>
    <w:rsid w:val="00AD3B92"/>
    <w:rsid w:val="00AD559B"/>
    <w:rsid w:val="00AD6F93"/>
    <w:rsid w:val="00AD76A9"/>
    <w:rsid w:val="00AE0C3D"/>
    <w:rsid w:val="00AE164D"/>
    <w:rsid w:val="00AE646A"/>
    <w:rsid w:val="00AE664C"/>
    <w:rsid w:val="00AE6E92"/>
    <w:rsid w:val="00AF1DF6"/>
    <w:rsid w:val="00B0230F"/>
    <w:rsid w:val="00B05B98"/>
    <w:rsid w:val="00B061C7"/>
    <w:rsid w:val="00B10090"/>
    <w:rsid w:val="00B10E00"/>
    <w:rsid w:val="00B126E0"/>
    <w:rsid w:val="00B15637"/>
    <w:rsid w:val="00B15DF4"/>
    <w:rsid w:val="00B17D17"/>
    <w:rsid w:val="00B20AB3"/>
    <w:rsid w:val="00B222AE"/>
    <w:rsid w:val="00B24A82"/>
    <w:rsid w:val="00B25683"/>
    <w:rsid w:val="00B3376A"/>
    <w:rsid w:val="00B33D31"/>
    <w:rsid w:val="00B36503"/>
    <w:rsid w:val="00B41A0A"/>
    <w:rsid w:val="00B44029"/>
    <w:rsid w:val="00B440A9"/>
    <w:rsid w:val="00B53268"/>
    <w:rsid w:val="00B54B86"/>
    <w:rsid w:val="00B55918"/>
    <w:rsid w:val="00B574DA"/>
    <w:rsid w:val="00B57D83"/>
    <w:rsid w:val="00B61034"/>
    <w:rsid w:val="00B6206A"/>
    <w:rsid w:val="00B65C46"/>
    <w:rsid w:val="00B663BD"/>
    <w:rsid w:val="00B6677E"/>
    <w:rsid w:val="00B74224"/>
    <w:rsid w:val="00B74A78"/>
    <w:rsid w:val="00B76DEF"/>
    <w:rsid w:val="00B77097"/>
    <w:rsid w:val="00B83DB0"/>
    <w:rsid w:val="00B927B5"/>
    <w:rsid w:val="00B97391"/>
    <w:rsid w:val="00BC1617"/>
    <w:rsid w:val="00BC5C10"/>
    <w:rsid w:val="00BD4A2C"/>
    <w:rsid w:val="00BD6E9F"/>
    <w:rsid w:val="00BD6FF5"/>
    <w:rsid w:val="00BE3BC1"/>
    <w:rsid w:val="00BF2FF9"/>
    <w:rsid w:val="00BF305C"/>
    <w:rsid w:val="00BF603D"/>
    <w:rsid w:val="00C0147D"/>
    <w:rsid w:val="00C034B7"/>
    <w:rsid w:val="00C04190"/>
    <w:rsid w:val="00C106D8"/>
    <w:rsid w:val="00C14BAF"/>
    <w:rsid w:val="00C16B93"/>
    <w:rsid w:val="00C17BE8"/>
    <w:rsid w:val="00C17CC7"/>
    <w:rsid w:val="00C21961"/>
    <w:rsid w:val="00C219A7"/>
    <w:rsid w:val="00C219F3"/>
    <w:rsid w:val="00C24CD8"/>
    <w:rsid w:val="00C25671"/>
    <w:rsid w:val="00C33C32"/>
    <w:rsid w:val="00C40F30"/>
    <w:rsid w:val="00C54B14"/>
    <w:rsid w:val="00C55174"/>
    <w:rsid w:val="00C60893"/>
    <w:rsid w:val="00C66D41"/>
    <w:rsid w:val="00C67915"/>
    <w:rsid w:val="00C71426"/>
    <w:rsid w:val="00C7418A"/>
    <w:rsid w:val="00C841DA"/>
    <w:rsid w:val="00C930C4"/>
    <w:rsid w:val="00C93FF9"/>
    <w:rsid w:val="00C94E66"/>
    <w:rsid w:val="00C97FDE"/>
    <w:rsid w:val="00CA25DC"/>
    <w:rsid w:val="00CA28A1"/>
    <w:rsid w:val="00CB09A0"/>
    <w:rsid w:val="00CB1149"/>
    <w:rsid w:val="00CB42C3"/>
    <w:rsid w:val="00CB67BD"/>
    <w:rsid w:val="00CC2A20"/>
    <w:rsid w:val="00CC2ABA"/>
    <w:rsid w:val="00CC6A20"/>
    <w:rsid w:val="00CD5831"/>
    <w:rsid w:val="00CD6EB2"/>
    <w:rsid w:val="00CE0937"/>
    <w:rsid w:val="00CE73FE"/>
    <w:rsid w:val="00CF13F5"/>
    <w:rsid w:val="00CF17DE"/>
    <w:rsid w:val="00CF2F4D"/>
    <w:rsid w:val="00CF3A8A"/>
    <w:rsid w:val="00CF4A9D"/>
    <w:rsid w:val="00CF771C"/>
    <w:rsid w:val="00D002AC"/>
    <w:rsid w:val="00D036EC"/>
    <w:rsid w:val="00D0484A"/>
    <w:rsid w:val="00D04CC4"/>
    <w:rsid w:val="00D07438"/>
    <w:rsid w:val="00D10F4A"/>
    <w:rsid w:val="00D133AC"/>
    <w:rsid w:val="00D137B9"/>
    <w:rsid w:val="00D1382C"/>
    <w:rsid w:val="00D16878"/>
    <w:rsid w:val="00D20F6C"/>
    <w:rsid w:val="00D20FDD"/>
    <w:rsid w:val="00D2559A"/>
    <w:rsid w:val="00D30FDA"/>
    <w:rsid w:val="00D3149E"/>
    <w:rsid w:val="00D340E3"/>
    <w:rsid w:val="00D44050"/>
    <w:rsid w:val="00D449B6"/>
    <w:rsid w:val="00D50306"/>
    <w:rsid w:val="00D5121D"/>
    <w:rsid w:val="00D515F8"/>
    <w:rsid w:val="00D52F2C"/>
    <w:rsid w:val="00D6221A"/>
    <w:rsid w:val="00D62CAC"/>
    <w:rsid w:val="00D72859"/>
    <w:rsid w:val="00D77617"/>
    <w:rsid w:val="00D822FD"/>
    <w:rsid w:val="00D865A9"/>
    <w:rsid w:val="00D9189E"/>
    <w:rsid w:val="00D9328C"/>
    <w:rsid w:val="00D963B9"/>
    <w:rsid w:val="00D97AD6"/>
    <w:rsid w:val="00DA0058"/>
    <w:rsid w:val="00DA0512"/>
    <w:rsid w:val="00DA0680"/>
    <w:rsid w:val="00DA6B2D"/>
    <w:rsid w:val="00DA6B3E"/>
    <w:rsid w:val="00DB08CE"/>
    <w:rsid w:val="00DB619F"/>
    <w:rsid w:val="00DB6F2C"/>
    <w:rsid w:val="00DB77D6"/>
    <w:rsid w:val="00DC266A"/>
    <w:rsid w:val="00DC3FCC"/>
    <w:rsid w:val="00DC49A1"/>
    <w:rsid w:val="00DC54C3"/>
    <w:rsid w:val="00DC79FD"/>
    <w:rsid w:val="00DD0FCA"/>
    <w:rsid w:val="00DE3768"/>
    <w:rsid w:val="00DE4AEA"/>
    <w:rsid w:val="00DE5C88"/>
    <w:rsid w:val="00DF107A"/>
    <w:rsid w:val="00DF35CC"/>
    <w:rsid w:val="00DF3FA8"/>
    <w:rsid w:val="00DF62F4"/>
    <w:rsid w:val="00DF7C39"/>
    <w:rsid w:val="00E01DD3"/>
    <w:rsid w:val="00E02127"/>
    <w:rsid w:val="00E035BC"/>
    <w:rsid w:val="00E05781"/>
    <w:rsid w:val="00E070FA"/>
    <w:rsid w:val="00E07BBB"/>
    <w:rsid w:val="00E106E5"/>
    <w:rsid w:val="00E12330"/>
    <w:rsid w:val="00E271CC"/>
    <w:rsid w:val="00E2738C"/>
    <w:rsid w:val="00E3074D"/>
    <w:rsid w:val="00E327D0"/>
    <w:rsid w:val="00E423DB"/>
    <w:rsid w:val="00E42483"/>
    <w:rsid w:val="00E436B5"/>
    <w:rsid w:val="00E43714"/>
    <w:rsid w:val="00E45A5B"/>
    <w:rsid w:val="00E46169"/>
    <w:rsid w:val="00E468CB"/>
    <w:rsid w:val="00E509AD"/>
    <w:rsid w:val="00E5637A"/>
    <w:rsid w:val="00E56EE2"/>
    <w:rsid w:val="00E644D7"/>
    <w:rsid w:val="00E64D76"/>
    <w:rsid w:val="00E67526"/>
    <w:rsid w:val="00E818EA"/>
    <w:rsid w:val="00E83127"/>
    <w:rsid w:val="00E928CF"/>
    <w:rsid w:val="00E92C20"/>
    <w:rsid w:val="00E94CEF"/>
    <w:rsid w:val="00E97F75"/>
    <w:rsid w:val="00EA1A95"/>
    <w:rsid w:val="00EA4323"/>
    <w:rsid w:val="00EB2F7E"/>
    <w:rsid w:val="00EC26E1"/>
    <w:rsid w:val="00EC61F4"/>
    <w:rsid w:val="00EC7BC0"/>
    <w:rsid w:val="00ED4309"/>
    <w:rsid w:val="00EE54F0"/>
    <w:rsid w:val="00EE5CD9"/>
    <w:rsid w:val="00EE690F"/>
    <w:rsid w:val="00EF10DD"/>
    <w:rsid w:val="00EF3E6E"/>
    <w:rsid w:val="00EF4A31"/>
    <w:rsid w:val="00EF55FE"/>
    <w:rsid w:val="00EF5E7C"/>
    <w:rsid w:val="00EF7196"/>
    <w:rsid w:val="00F007AC"/>
    <w:rsid w:val="00F0196A"/>
    <w:rsid w:val="00F07146"/>
    <w:rsid w:val="00F075E8"/>
    <w:rsid w:val="00F10A8B"/>
    <w:rsid w:val="00F124BE"/>
    <w:rsid w:val="00F12998"/>
    <w:rsid w:val="00F147C2"/>
    <w:rsid w:val="00F162E2"/>
    <w:rsid w:val="00F2037D"/>
    <w:rsid w:val="00F23600"/>
    <w:rsid w:val="00F24996"/>
    <w:rsid w:val="00F25CBE"/>
    <w:rsid w:val="00F262EB"/>
    <w:rsid w:val="00F315DB"/>
    <w:rsid w:val="00F31FFC"/>
    <w:rsid w:val="00F33423"/>
    <w:rsid w:val="00F41EF0"/>
    <w:rsid w:val="00F50498"/>
    <w:rsid w:val="00F51AAD"/>
    <w:rsid w:val="00F51F8B"/>
    <w:rsid w:val="00F649DA"/>
    <w:rsid w:val="00F67A6A"/>
    <w:rsid w:val="00F70CA0"/>
    <w:rsid w:val="00F71E02"/>
    <w:rsid w:val="00F72F98"/>
    <w:rsid w:val="00F760AC"/>
    <w:rsid w:val="00F76B9E"/>
    <w:rsid w:val="00F8071F"/>
    <w:rsid w:val="00F9215B"/>
    <w:rsid w:val="00F94DFA"/>
    <w:rsid w:val="00FA00A2"/>
    <w:rsid w:val="00FA0811"/>
    <w:rsid w:val="00FA6AED"/>
    <w:rsid w:val="00FB016A"/>
    <w:rsid w:val="00FB41E3"/>
    <w:rsid w:val="00FB7CC9"/>
    <w:rsid w:val="00FC1504"/>
    <w:rsid w:val="00FC2DE4"/>
    <w:rsid w:val="00FD230E"/>
    <w:rsid w:val="00FD436F"/>
    <w:rsid w:val="00FD6A32"/>
    <w:rsid w:val="00FE05AB"/>
    <w:rsid w:val="00FE19EE"/>
    <w:rsid w:val="00FE32C3"/>
    <w:rsid w:val="00FE4B6D"/>
    <w:rsid w:val="00FE6C44"/>
    <w:rsid w:val="00FE6CAC"/>
    <w:rsid w:val="00FF12A0"/>
    <w:rsid w:val="00FF2CAD"/>
    <w:rsid w:val="00FF4AFC"/>
    <w:rsid w:val="00FF638D"/>
    <w:rsid w:val="483C9B6D"/>
    <w:rsid w:val="5D910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0C7BF"/>
  <w15:docId w15:val="{328968D1-89F0-4380-9124-A971DFE1D67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224"/>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D865A9"/>
    <w:rPr>
      <w:rFonts w:ascii="Palatino" w:hAnsi="Palatino"/>
      <w:sz w:val="26"/>
    </w:rPr>
  </w:style>
  <w:style w:type="table" w:styleId="GridTable1Light">
    <w:name w:val="Grid Table 1 Light"/>
    <w:basedOn w:val="TableNormal"/>
    <w:uiPriority w:val="46"/>
    <w:rsid w:val="008859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859A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semiHidden/>
    <w:unhideWhenUsed/>
    <w:rsid w:val="00AD3B92"/>
    <w:rPr>
      <w:sz w:val="16"/>
      <w:szCs w:val="16"/>
    </w:rPr>
  </w:style>
  <w:style w:type="paragraph" w:styleId="CommentText">
    <w:name w:val="annotation text"/>
    <w:basedOn w:val="Normal"/>
    <w:link w:val="CommentTextChar"/>
    <w:unhideWhenUsed/>
    <w:rsid w:val="00AD3B92"/>
    <w:rPr>
      <w:sz w:val="20"/>
    </w:rPr>
  </w:style>
  <w:style w:type="character" w:customStyle="1" w:styleId="CommentTextChar">
    <w:name w:val="Comment Text Char"/>
    <w:basedOn w:val="DefaultParagraphFont"/>
    <w:link w:val="CommentText"/>
    <w:rsid w:val="00AD3B92"/>
    <w:rPr>
      <w:rFonts w:ascii="Palatino" w:hAnsi="Palatino"/>
    </w:rPr>
  </w:style>
  <w:style w:type="paragraph" w:styleId="CommentSubject">
    <w:name w:val="annotation subject"/>
    <w:basedOn w:val="CommentText"/>
    <w:next w:val="CommentText"/>
    <w:link w:val="CommentSubjectChar"/>
    <w:semiHidden/>
    <w:unhideWhenUsed/>
    <w:rsid w:val="00AD3B92"/>
    <w:rPr>
      <w:b/>
      <w:bCs/>
    </w:rPr>
  </w:style>
  <w:style w:type="character" w:customStyle="1" w:styleId="CommentSubjectChar">
    <w:name w:val="Comment Subject Char"/>
    <w:basedOn w:val="CommentTextChar"/>
    <w:link w:val="CommentSubject"/>
    <w:semiHidden/>
    <w:rsid w:val="00AD3B92"/>
    <w:rPr>
      <w:rFonts w:ascii="Palatino" w:hAnsi="Palatino"/>
      <w:b/>
      <w:bCs/>
    </w:rPr>
  </w:style>
  <w:style w:type="paragraph" w:styleId="Revision">
    <w:name w:val="Revision"/>
    <w:hidden/>
    <w:uiPriority w:val="99"/>
    <w:semiHidden/>
    <w:rsid w:val="00805ED5"/>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873268738">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6610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14" ma:contentTypeDescription="Create a new document." ma:contentTypeScope="" ma:versionID="defbc4198adcc897b079b026f71f5613">
  <xsd:schema xmlns:xsd="http://www.w3.org/2001/XMLSchema" xmlns:xs="http://www.w3.org/2001/XMLSchema" xmlns:p="http://schemas.microsoft.com/office/2006/metadata/properties" xmlns:ns2="e5e22d63-cd76-4ad0-9cc0-8f2b2146ce9f" xmlns:ns3="1f515989-4afe-4bfb-8869-4f44a11afb39" targetNamespace="http://schemas.microsoft.com/office/2006/metadata/properties" ma:root="true" ma:fieldsID="af1e62eee8e8bee774d75a328b9bdbb9" ns2:_="" ns3:_="">
    <xsd:import namespace="e5e22d63-cd76-4ad0-9cc0-8f2b2146ce9f"/>
    <xsd:import namespace="1f515989-4afe-4bfb-8869-4f44a11afb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22d63-cd76-4ad0-9cc0-8f2b2146ce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dd8a72-922f-41b4-8eea-d4afec549737}" ma:internalName="TaxCatchAll" ma:showField="CatchAllData" ma:web="e5e22d63-cd76-4ad0-9cc0-8f2b2146ce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e22d63-cd76-4ad0-9cc0-8f2b2146ce9f" xsi:nil="true"/>
    <lcf76f155ced4ddcb4097134ff3c332f xmlns="1f515989-4afe-4bfb-8869-4f44a11afb39">
      <Terms xmlns="http://schemas.microsoft.com/office/infopath/2007/PartnerControls"/>
    </lcf76f155ced4ddcb4097134ff3c332f>
    <SharedWithUsers xmlns="e5e22d63-cd76-4ad0-9cc0-8f2b2146ce9f">
      <UserInfo>
        <DisplayName>Flaherty, Kevin</DisplayName>
        <AccountId>1276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D92E9-C6F2-428F-A5B5-48F09C2C4EB6}">
  <ds:schemaRefs>
    <ds:schemaRef ds:uri="http://schemas.microsoft.com/sharepoint/v3/contenttype/forms"/>
  </ds:schemaRefs>
</ds:datastoreItem>
</file>

<file path=customXml/itemProps2.xml><?xml version="1.0" encoding="utf-8"?>
<ds:datastoreItem xmlns:ds="http://schemas.openxmlformats.org/officeDocument/2006/customXml" ds:itemID="{7C20F35D-FF59-4DEF-881F-572903674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22d63-cd76-4ad0-9cc0-8f2b2146ce9f"/>
    <ds:schemaRef ds:uri="1f515989-4afe-4bfb-8869-4f44a11af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E302F-CFC2-4C68-87CC-2BE337162E6B}">
  <ds:schemaRefs>
    <ds:schemaRef ds:uri="http://schemas.microsoft.com/office/2006/metadata/properties"/>
    <ds:schemaRef ds:uri="http://schemas.microsoft.com/office/infopath/2007/PartnerControls"/>
    <ds:schemaRef ds:uri="e5e22d63-cd76-4ad0-9cc0-8f2b2146ce9f"/>
    <ds:schemaRef ds:uri="1f515989-4afe-4bfb-8869-4f44a11afb39"/>
  </ds:schemaRefs>
</ds:datastoreItem>
</file>

<file path=customXml/itemProps4.xml><?xml version="1.0" encoding="utf-8"?>
<ds:datastoreItem xmlns:ds="http://schemas.openxmlformats.org/officeDocument/2006/customXml" ds:itemID="{0BE5571B-5947-44D4-9E0D-5DEA8EB3AD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2591</ap:Words>
  <ap:Characters>14773</ap:Characters>
  <ap:Application>Microsoft Office Word</ap:Application>
  <ap:DocSecurity>0</ap:DocSecurity>
  <ap:Lines>123</ap:Lines>
  <ap:Paragraphs>34</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17330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2023-03-24T12:23:20Z</dcterms:created>
  <dcterms:modified xsi:type="dcterms:W3CDTF">2023-03-24T12:23:20Z</dcterms:modified>
</cp:coreProperties>
</file>