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F17DE" w:rsidP="1EDC5FC2" w:rsidRDefault="00CF17DE" w14:paraId="70BEAF91" w14:textId="77777777">
      <w:pPr>
        <w:pStyle w:val="titlebar"/>
      </w:pPr>
      <w:r>
        <w:t>PUBLIC UTILITIES COMMISSION OF THE STATE OF CALIFORNIA</w:t>
      </w:r>
    </w:p>
    <w:p w:rsidR="00CF17DE" w:rsidP="1EDC5FC2" w:rsidRDefault="00CF17DE" w14:paraId="5E624470" w14:textId="7E840AD6">
      <w:pPr>
        <w:suppressAutoHyphens/>
      </w:pPr>
    </w:p>
    <w:p w:rsidR="0081761B" w:rsidP="1EDC5FC2" w:rsidRDefault="0081761B" w14:paraId="2AA0AF4D" w14:textId="77777777">
      <w:pPr>
        <w:suppressAutoHyphens/>
      </w:pPr>
    </w:p>
    <w:p w:rsidRPr="0081761B" w:rsidR="00B913F1" w:rsidP="1EDC5FC2" w:rsidRDefault="00593807" w14:paraId="677FEEBD" w14:textId="4598437C">
      <w:pPr>
        <w:tabs>
          <w:tab w:val="right" w:pos="8914"/>
        </w:tabs>
        <w:rPr>
          <w:rFonts w:ascii="Palatino Linotype" w:hAnsi="Palatino Linotype"/>
          <w:b/>
          <w:bCs/>
          <w:sz w:val="24"/>
          <w:szCs w:val="18"/>
        </w:rPr>
      </w:pPr>
      <w:r w:rsidRPr="0081761B">
        <w:rPr>
          <w:b/>
          <w:bCs/>
        </w:rPr>
        <w:tab/>
      </w:r>
      <w:r w:rsidRPr="0081761B" w:rsidR="0081761B">
        <w:rPr>
          <w:rFonts w:ascii="Palatino Linotype" w:hAnsi="Palatino Linotype"/>
          <w:b/>
          <w:bCs/>
          <w:sz w:val="24"/>
          <w:szCs w:val="18"/>
        </w:rPr>
        <w:t>Agenda ID #21490</w:t>
      </w:r>
    </w:p>
    <w:p w:rsidR="00CF17DE" w:rsidP="1EDC5FC2" w:rsidRDefault="00B913F1" w14:paraId="7AE852C7" w14:textId="235E9E4F">
      <w:pPr>
        <w:tabs>
          <w:tab w:val="right" w:pos="8914"/>
        </w:tabs>
        <w:ind w:left="450"/>
        <w:rPr>
          <w:rFonts w:ascii="Palatino Linotype" w:hAnsi="Palatino Linotype" w:eastAsia="Palatino Linotype" w:cs="Palatino Linotype"/>
          <w:b/>
          <w:bCs/>
          <w:sz w:val="24"/>
          <w:szCs w:val="24"/>
        </w:rPr>
      </w:pPr>
      <w:r w:rsidRPr="1EDC5FC2">
        <w:rPr>
          <w:rFonts w:ascii="Palatino Linotype" w:hAnsi="Palatino Linotype" w:eastAsia="Palatino Linotype" w:cs="Palatino Linotype"/>
          <w:b/>
          <w:bCs/>
          <w:sz w:val="24"/>
          <w:szCs w:val="24"/>
        </w:rPr>
        <w:t>ENERGY DIVISION</w:t>
      </w:r>
      <w:r>
        <w:tab/>
      </w:r>
      <w:r w:rsidRPr="1EDC5FC2" w:rsidR="00CF17DE">
        <w:rPr>
          <w:rFonts w:ascii="Palatino Linotype" w:hAnsi="Palatino Linotype" w:eastAsia="Palatino Linotype" w:cs="Palatino Linotype"/>
          <w:b/>
          <w:bCs/>
          <w:sz w:val="24"/>
          <w:szCs w:val="24"/>
        </w:rPr>
        <w:t>RESOLUTION E-</w:t>
      </w:r>
      <w:r w:rsidR="003151FD">
        <w:rPr>
          <w:rFonts w:ascii="Palatino Linotype" w:hAnsi="Palatino Linotype" w:eastAsia="Palatino Linotype" w:cs="Palatino Linotype"/>
          <w:b/>
          <w:bCs/>
          <w:sz w:val="24"/>
          <w:szCs w:val="24"/>
        </w:rPr>
        <w:t>5261</w:t>
      </w:r>
    </w:p>
    <w:p w:rsidR="00B913F1" w:rsidP="00F834BE" w:rsidRDefault="5F2B8189" w14:paraId="720B2400" w14:textId="2319519B">
      <w:pPr>
        <w:tabs>
          <w:tab w:val="right" w:pos="8910"/>
        </w:tabs>
        <w:ind w:left="5760" w:right="432"/>
        <w:jc w:val="right"/>
        <w:rPr>
          <w:rFonts w:ascii="Palatino Linotype" w:hAnsi="Palatino Linotype" w:eastAsia="Palatino Linotype" w:cs="Palatino Linotype"/>
          <w:b/>
          <w:bCs/>
          <w:sz w:val="24"/>
          <w:szCs w:val="24"/>
        </w:rPr>
      </w:pPr>
      <w:r w:rsidRPr="1EDC5FC2">
        <w:rPr>
          <w:rFonts w:ascii="Palatino Linotype" w:hAnsi="Palatino Linotype" w:eastAsia="Palatino Linotype" w:cs="Palatino Linotype"/>
          <w:b/>
          <w:bCs/>
          <w:sz w:val="24"/>
          <w:szCs w:val="24"/>
        </w:rPr>
        <w:t xml:space="preserve">         </w:t>
      </w:r>
      <w:r w:rsidR="0045639E">
        <w:rPr>
          <w:rFonts w:ascii="Palatino Linotype" w:hAnsi="Palatino Linotype" w:eastAsia="Palatino Linotype" w:cs="Palatino Linotype"/>
          <w:b/>
          <w:bCs/>
          <w:sz w:val="24"/>
          <w:szCs w:val="24"/>
        </w:rPr>
        <w:t>April</w:t>
      </w:r>
      <w:r w:rsidR="00F834BE">
        <w:rPr>
          <w:rFonts w:ascii="Palatino Linotype" w:hAnsi="Palatino Linotype" w:eastAsia="Palatino Linotype" w:cs="Palatino Linotype"/>
          <w:b/>
          <w:bCs/>
          <w:sz w:val="24"/>
          <w:szCs w:val="24"/>
        </w:rPr>
        <w:t xml:space="preserve"> </w:t>
      </w:r>
      <w:r w:rsidR="003151FD">
        <w:rPr>
          <w:rFonts w:ascii="Palatino Linotype" w:hAnsi="Palatino Linotype" w:eastAsia="Palatino Linotype" w:cs="Palatino Linotype"/>
          <w:b/>
          <w:bCs/>
          <w:sz w:val="24"/>
          <w:szCs w:val="24"/>
        </w:rPr>
        <w:t>27</w:t>
      </w:r>
      <w:r w:rsidR="00F834BE">
        <w:rPr>
          <w:rFonts w:ascii="Palatino Linotype" w:hAnsi="Palatino Linotype" w:eastAsia="Palatino Linotype" w:cs="Palatino Linotype"/>
          <w:b/>
          <w:bCs/>
          <w:sz w:val="24"/>
          <w:szCs w:val="24"/>
        </w:rPr>
        <w:t>, 202</w:t>
      </w:r>
      <w:r w:rsidR="0045639E">
        <w:rPr>
          <w:rFonts w:ascii="Palatino Linotype" w:hAnsi="Palatino Linotype" w:eastAsia="Palatino Linotype" w:cs="Palatino Linotype"/>
          <w:b/>
          <w:bCs/>
          <w:sz w:val="24"/>
          <w:szCs w:val="24"/>
        </w:rPr>
        <w:t>3</w:t>
      </w:r>
    </w:p>
    <w:p w:rsidR="00B913F1" w:rsidP="1EDC5FC2" w:rsidRDefault="00B913F1" w14:paraId="089F73D4" w14:textId="3070F722">
      <w:pPr>
        <w:tabs>
          <w:tab w:val="right" w:pos="8914"/>
        </w:tabs>
        <w:rPr>
          <w:rFonts w:ascii="Palatino Linotype" w:hAnsi="Palatino Linotype" w:eastAsia="Palatino Linotype" w:cs="Palatino Linotype"/>
          <w:b/>
          <w:bCs/>
          <w:sz w:val="24"/>
          <w:szCs w:val="24"/>
        </w:rPr>
      </w:pPr>
    </w:p>
    <w:p w:rsidR="00CF17DE" w:rsidP="1EDC5FC2" w:rsidRDefault="00CF17DE" w14:paraId="061A7957" w14:textId="77777777">
      <w:pPr>
        <w:tabs>
          <w:tab w:val="right" w:pos="8910"/>
        </w:tabs>
        <w:ind w:left="1440" w:firstLine="720"/>
        <w:rPr>
          <w:b/>
          <w:bCs/>
          <w:sz w:val="24"/>
          <w:szCs w:val="24"/>
        </w:rPr>
      </w:pPr>
    </w:p>
    <w:p w:rsidR="00CF17DE" w:rsidP="1EDC5FC2" w:rsidRDefault="00CF17DE" w14:paraId="40ADBA19" w14:textId="78500062">
      <w:pPr>
        <w:pStyle w:val="mainex"/>
        <w:rPr>
          <w:u w:val="single"/>
        </w:rPr>
      </w:pPr>
      <w:bookmarkStart w:name="_Ref404993683" w:id="0"/>
      <w:r w:rsidRPr="1EDC5FC2">
        <w:rPr>
          <w:u w:val="single"/>
        </w:rPr>
        <w:t>RESOLUTION</w:t>
      </w:r>
    </w:p>
    <w:p w:rsidR="00CF17DE" w:rsidP="1EDC5FC2" w:rsidRDefault="00CF17DE" w14:paraId="63C93376" w14:textId="77777777">
      <w:pPr>
        <w:rPr>
          <w:rFonts w:ascii="Palatino Linotype" w:hAnsi="Palatino Linotype" w:eastAsia="Palatino Linotype" w:cs="Palatino Linotype"/>
        </w:rPr>
      </w:pPr>
    </w:p>
    <w:p w:rsidRPr="007963D3" w:rsidR="00B927B5" w:rsidP="1EDC5FC2" w:rsidRDefault="00B927B5" w14:paraId="38C822AA" w14:textId="78654D33">
      <w:pPr>
        <w:pStyle w:val="Res-Caption"/>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Resolution E-</w:t>
      </w:r>
      <w:r w:rsidR="003151FD">
        <w:rPr>
          <w:rFonts w:ascii="Palatino Linotype" w:hAnsi="Palatino Linotype" w:eastAsia="Palatino Linotype" w:cs="Palatino Linotype"/>
          <w:sz w:val="24"/>
          <w:szCs w:val="24"/>
        </w:rPr>
        <w:t>5261</w:t>
      </w:r>
      <w:r w:rsidRPr="1EDC5FC2">
        <w:rPr>
          <w:rFonts w:ascii="Palatino Linotype" w:hAnsi="Palatino Linotype" w:eastAsia="Palatino Linotype" w:cs="Palatino Linotype"/>
          <w:sz w:val="24"/>
          <w:szCs w:val="24"/>
        </w:rPr>
        <w:t xml:space="preserve">.  </w:t>
      </w:r>
      <w:r w:rsidR="00F12319">
        <w:rPr>
          <w:rFonts w:ascii="Palatino Linotype" w:hAnsi="Palatino Linotype" w:eastAsia="Palatino Linotype" w:cs="Palatino Linotype"/>
          <w:sz w:val="24"/>
          <w:szCs w:val="24"/>
        </w:rPr>
        <w:t xml:space="preserve">Pacific Gas and Electric Company. </w:t>
      </w:r>
      <w:r w:rsidRPr="0045639E" w:rsidR="0045639E">
        <w:rPr>
          <w:rFonts w:ascii="Palatino Linotype" w:hAnsi="Palatino Linotype" w:eastAsia="Palatino Linotype" w:cs="Palatino Linotype"/>
          <w:sz w:val="24"/>
          <w:szCs w:val="24"/>
        </w:rPr>
        <w:t>Plan to Develop a Clean Substation Microgrid Project and Associated Procurement Contract with Energy Vault</w:t>
      </w:r>
      <w:r w:rsidR="00F12319">
        <w:rPr>
          <w:rFonts w:ascii="Palatino Linotype" w:hAnsi="Palatino Linotype" w:eastAsia="Palatino Linotype" w:cs="Palatino Linotype"/>
          <w:sz w:val="24"/>
          <w:szCs w:val="24"/>
        </w:rPr>
        <w:t>.</w:t>
      </w:r>
    </w:p>
    <w:p w:rsidRPr="007963D3" w:rsidR="00801D70" w:rsidP="1EDC5FC2" w:rsidRDefault="00801D70" w14:paraId="70E6A3B4" w14:textId="77777777">
      <w:pPr>
        <w:pStyle w:val="Res-Caption"/>
        <w:rPr>
          <w:rFonts w:ascii="Palatino Linotype" w:hAnsi="Palatino Linotype" w:eastAsia="Palatino Linotype" w:cs="Palatino Linotype"/>
          <w:sz w:val="24"/>
          <w:szCs w:val="24"/>
        </w:rPr>
      </w:pPr>
    </w:p>
    <w:p w:rsidRPr="007963D3" w:rsidR="00DF35CC" w:rsidP="1EDC5FC2" w:rsidRDefault="00801D70" w14:paraId="5B232953" w14:textId="77777777">
      <w:pPr>
        <w:pStyle w:val="Res-Caption"/>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PROPOSED OUTCOME:</w:t>
      </w:r>
      <w:r w:rsidRPr="1EDC5FC2" w:rsidR="00142FB8">
        <w:rPr>
          <w:rFonts w:ascii="Palatino Linotype" w:hAnsi="Palatino Linotype" w:eastAsia="Palatino Linotype" w:cs="Palatino Linotype"/>
          <w:sz w:val="24"/>
          <w:szCs w:val="24"/>
        </w:rPr>
        <w:t xml:space="preserve"> </w:t>
      </w:r>
    </w:p>
    <w:p w:rsidRPr="00F12319" w:rsidR="413AE531" w:rsidP="00F12319" w:rsidRDefault="001273FF" w14:paraId="37233997" w14:textId="7F21A9D2">
      <w:pPr>
        <w:pStyle w:val="Res-Caption"/>
        <w:numPr>
          <w:ilvl w:val="0"/>
          <w:numId w:val="10"/>
        </w:num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Approves Pacific Gas and Electric’s (PG&amp;E) plan to develop a Clean Substation Microgrid Pilot Project to mitigate transmission-level P</w:t>
      </w:r>
      <w:r w:rsidR="003B5545">
        <w:rPr>
          <w:rFonts w:ascii="Palatino Linotype" w:hAnsi="Palatino Linotype" w:eastAsia="Palatino Linotype" w:cs="Palatino Linotype"/>
          <w:sz w:val="24"/>
          <w:szCs w:val="24"/>
        </w:rPr>
        <w:t>ublic Safety Power Shutoffs</w:t>
      </w:r>
      <w:r>
        <w:rPr>
          <w:rFonts w:ascii="Palatino Linotype" w:hAnsi="Palatino Linotype" w:eastAsia="Palatino Linotype" w:cs="Palatino Linotype"/>
          <w:sz w:val="24"/>
          <w:szCs w:val="24"/>
        </w:rPr>
        <w:t xml:space="preserve"> at the Calistoga substation, as required by </w:t>
      </w:r>
      <w:r w:rsidR="00566116">
        <w:rPr>
          <w:rFonts w:ascii="Palatino Linotype" w:hAnsi="Palatino Linotype" w:eastAsia="Palatino Linotype" w:cs="Palatino Linotype"/>
          <w:sz w:val="24"/>
          <w:szCs w:val="24"/>
        </w:rPr>
        <w:t>D.2</w:t>
      </w:r>
      <w:r>
        <w:rPr>
          <w:rFonts w:ascii="Palatino Linotype" w:hAnsi="Palatino Linotype" w:eastAsia="Palatino Linotype" w:cs="Palatino Linotype"/>
          <w:sz w:val="24"/>
          <w:szCs w:val="24"/>
        </w:rPr>
        <w:t>1-01-018 and Resolution E-5164</w:t>
      </w:r>
      <w:r w:rsidR="00F12319">
        <w:rPr>
          <w:rFonts w:ascii="Palatino Linotype" w:hAnsi="Palatino Linotype" w:eastAsia="Palatino Linotype" w:cs="Palatino Linotype"/>
          <w:sz w:val="24"/>
          <w:szCs w:val="24"/>
        </w:rPr>
        <w:t>.</w:t>
      </w:r>
    </w:p>
    <w:p w:rsidRPr="007963D3" w:rsidR="00F51F8B" w:rsidP="1EDC5FC2" w:rsidRDefault="00F51F8B" w14:paraId="65BE5ED4" w14:textId="77777777">
      <w:pPr>
        <w:pStyle w:val="Res-Caption"/>
        <w:rPr>
          <w:rFonts w:ascii="Palatino Linotype" w:hAnsi="Palatino Linotype" w:eastAsia="Palatino Linotype" w:cs="Palatino Linotype"/>
          <w:sz w:val="24"/>
          <w:szCs w:val="24"/>
        </w:rPr>
      </w:pPr>
    </w:p>
    <w:p w:rsidRPr="00F12319" w:rsidR="00F51F8B" w:rsidP="1EDC5FC2" w:rsidRDefault="00F51F8B" w14:paraId="5348E825" w14:textId="77777777">
      <w:pPr>
        <w:pStyle w:val="Res-Caption"/>
        <w:rPr>
          <w:rFonts w:ascii="Palatino Linotype" w:hAnsi="Palatino Linotype" w:eastAsia="Palatino Linotype" w:cs="Palatino Linotype"/>
          <w:sz w:val="24"/>
          <w:szCs w:val="24"/>
        </w:rPr>
      </w:pPr>
      <w:r w:rsidRPr="00F12319">
        <w:rPr>
          <w:rFonts w:ascii="Palatino Linotype" w:hAnsi="Palatino Linotype" w:eastAsia="Palatino Linotype" w:cs="Palatino Linotype"/>
          <w:sz w:val="24"/>
          <w:szCs w:val="24"/>
        </w:rPr>
        <w:t>SAFETY CONSIDERATIONS:</w:t>
      </w:r>
    </w:p>
    <w:p w:rsidRPr="001273FF" w:rsidR="001273FF" w:rsidP="3AFF16E8" w:rsidRDefault="001273FF" w14:paraId="3A12C2CB" w14:textId="2792C1E2">
      <w:pPr>
        <w:pStyle w:val="Res-Caption"/>
        <w:numPr>
          <w:ilvl w:val="0"/>
          <w:numId w:val="9"/>
        </w:numPr>
        <w:rPr>
          <w:rFonts w:ascii="Palatino Linotype" w:hAnsi="Palatino Linotype" w:eastAsia="Palatino Linotype" w:cs="Palatino Linotype"/>
          <w:color w:val="201F1E"/>
          <w:sz w:val="24"/>
          <w:szCs w:val="24"/>
        </w:rPr>
      </w:pPr>
      <w:r>
        <w:rPr>
          <w:rFonts w:ascii="Palatino Linotype" w:hAnsi="Palatino Linotype" w:eastAsia="Palatino Linotype" w:cs="Palatino Linotype"/>
          <w:color w:val="201F1E"/>
          <w:sz w:val="24"/>
          <w:szCs w:val="24"/>
        </w:rPr>
        <w:t>The project involves the trucking and storage of hydrogen fuel, and the development of a substation-level microgrid, which may present safety risks. PG&amp;E has evaluated these potential risks as detailed in its advice letter and reply to protests.</w:t>
      </w:r>
    </w:p>
    <w:p w:rsidRPr="00F12319" w:rsidR="6F740D13" w:rsidP="3AFF16E8" w:rsidRDefault="001273FF" w14:paraId="4C127C05" w14:textId="1372CD2C">
      <w:pPr>
        <w:pStyle w:val="Res-Caption"/>
        <w:numPr>
          <w:ilvl w:val="0"/>
          <w:numId w:val="9"/>
        </w:numPr>
        <w:rPr>
          <w:rFonts w:ascii="Palatino Linotype" w:hAnsi="Palatino Linotype" w:eastAsia="Palatino Linotype" w:cs="Palatino Linotype"/>
          <w:color w:val="201F1E"/>
          <w:sz w:val="24"/>
          <w:szCs w:val="24"/>
        </w:rPr>
      </w:pPr>
      <w:r w:rsidRPr="001273FF">
        <w:rPr>
          <w:rFonts w:ascii="Palatino Linotype" w:hAnsi="Palatino Linotype" w:eastAsia="Palatino Linotype" w:cs="Palatino Linotype"/>
          <w:sz w:val="24"/>
          <w:szCs w:val="24"/>
        </w:rPr>
        <w:t>This resolution is expected to reduce the use of diesel generators as temporary generation during PSPS events, thus reducing harmful air pollutants like particulate matter and NOx.</w:t>
      </w:r>
    </w:p>
    <w:p w:rsidRPr="00F12319" w:rsidR="00F572F1" w:rsidP="1EDC5FC2" w:rsidRDefault="00F572F1" w14:paraId="033CAFE3" w14:textId="77777777">
      <w:pPr>
        <w:pStyle w:val="Res-Caption"/>
        <w:ind w:left="1440"/>
        <w:rPr>
          <w:rFonts w:ascii="Palatino Linotype" w:hAnsi="Palatino Linotype" w:eastAsia="Palatino Linotype" w:cs="Palatino Linotype"/>
          <w:sz w:val="24"/>
          <w:szCs w:val="24"/>
        </w:rPr>
      </w:pPr>
    </w:p>
    <w:p w:rsidRPr="00F12319" w:rsidR="00801D70" w:rsidP="1EDC5FC2" w:rsidRDefault="00801D70" w14:paraId="28BD615D" w14:textId="77777777">
      <w:pPr>
        <w:pStyle w:val="Res-Caption"/>
        <w:rPr>
          <w:rFonts w:ascii="Palatino Linotype" w:hAnsi="Palatino Linotype" w:eastAsia="Palatino Linotype" w:cs="Palatino Linotype"/>
          <w:sz w:val="24"/>
          <w:szCs w:val="24"/>
        </w:rPr>
      </w:pPr>
      <w:r w:rsidRPr="00F12319">
        <w:rPr>
          <w:rFonts w:ascii="Palatino Linotype" w:hAnsi="Palatino Linotype" w:eastAsia="Palatino Linotype" w:cs="Palatino Linotype"/>
          <w:sz w:val="24"/>
          <w:szCs w:val="24"/>
        </w:rPr>
        <w:t xml:space="preserve">ESTIMATED COST:  </w:t>
      </w:r>
    </w:p>
    <w:p w:rsidRPr="00F12319" w:rsidR="3AD44ECD" w:rsidP="3AFF16E8" w:rsidRDefault="001273FF" w14:paraId="4D3F4B58" w14:textId="497CC883">
      <w:pPr>
        <w:pStyle w:val="Res-Caption"/>
        <w:numPr>
          <w:ilvl w:val="0"/>
          <w:numId w:val="9"/>
        </w:numPr>
        <w:rPr>
          <w:rFonts w:ascii="Palatino Linotype" w:hAnsi="Palatino Linotype" w:eastAsia="Palatino Linotype" w:cs="Palatino Linotype"/>
          <w:color w:val="201F1E"/>
          <w:sz w:val="24"/>
          <w:szCs w:val="24"/>
        </w:rPr>
      </w:pPr>
      <w:r>
        <w:rPr>
          <w:rFonts w:ascii="Palatino Linotype" w:hAnsi="Palatino Linotype" w:eastAsia="Palatino Linotype" w:cs="Palatino Linotype"/>
          <w:sz w:val="24"/>
          <w:szCs w:val="24"/>
        </w:rPr>
        <w:t>The project is covered by a one-way balancing account limited to $46.3 million</w:t>
      </w:r>
      <w:r w:rsidR="00BC06D6">
        <w:rPr>
          <w:rFonts w:ascii="Palatino Linotype" w:hAnsi="Palatino Linotype" w:eastAsia="Palatino Linotype" w:cs="Palatino Linotype"/>
          <w:sz w:val="24"/>
          <w:szCs w:val="24"/>
        </w:rPr>
        <w:t xml:space="preserve"> covering the 10.5-year life of the project</w:t>
      </w:r>
      <w:r w:rsidRPr="00F12319" w:rsidR="00D4071D">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The use of these funds was approved in </w:t>
      </w:r>
      <w:r w:rsidR="00566116">
        <w:rPr>
          <w:rFonts w:ascii="Palatino Linotype" w:hAnsi="Palatino Linotype" w:eastAsia="Palatino Linotype" w:cs="Palatino Linotype"/>
          <w:sz w:val="24"/>
          <w:szCs w:val="24"/>
        </w:rPr>
        <w:t>D.2</w:t>
      </w:r>
      <w:r>
        <w:rPr>
          <w:rFonts w:ascii="Palatino Linotype" w:hAnsi="Palatino Linotype" w:eastAsia="Palatino Linotype" w:cs="Palatino Linotype"/>
          <w:sz w:val="24"/>
          <w:szCs w:val="24"/>
        </w:rPr>
        <w:t>1-01-018.</w:t>
      </w:r>
    </w:p>
    <w:p w:rsidRPr="007963D3" w:rsidR="00CF17DE" w:rsidP="1EDC5FC2" w:rsidRDefault="00CF17DE" w14:paraId="414B5F5B" w14:textId="77777777">
      <w:pPr>
        <w:pStyle w:val="Res-Caption"/>
        <w:rPr>
          <w:rFonts w:ascii="Palatino Linotype" w:hAnsi="Palatino Linotype" w:eastAsia="Palatino Linotype" w:cs="Palatino Linotype"/>
          <w:sz w:val="24"/>
          <w:szCs w:val="24"/>
        </w:rPr>
      </w:pPr>
    </w:p>
    <w:p w:rsidRPr="007963D3" w:rsidR="00CF17DE" w:rsidP="1EDC5FC2" w:rsidRDefault="00CF17DE" w14:paraId="0395FC4E" w14:textId="6162186C">
      <w:pPr>
        <w:pStyle w:val="Res-Caption"/>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 xml:space="preserve">By Advice Letter </w:t>
      </w:r>
      <w:r w:rsidR="00D4071D">
        <w:rPr>
          <w:rFonts w:ascii="Palatino Linotype" w:hAnsi="Palatino Linotype" w:eastAsia="Palatino Linotype" w:cs="Palatino Linotype"/>
          <w:sz w:val="24"/>
          <w:szCs w:val="24"/>
        </w:rPr>
        <w:t>6</w:t>
      </w:r>
      <w:r w:rsidR="0045639E">
        <w:rPr>
          <w:rFonts w:ascii="Palatino Linotype" w:hAnsi="Palatino Linotype" w:eastAsia="Palatino Linotype" w:cs="Palatino Linotype"/>
          <w:sz w:val="24"/>
          <w:szCs w:val="24"/>
        </w:rPr>
        <w:t>808</w:t>
      </w:r>
      <w:r w:rsidR="00D4071D">
        <w:rPr>
          <w:rFonts w:ascii="Palatino Linotype" w:hAnsi="Palatino Linotype" w:eastAsia="Palatino Linotype" w:cs="Palatino Linotype"/>
          <w:sz w:val="24"/>
          <w:szCs w:val="24"/>
        </w:rPr>
        <w:t>-E</w:t>
      </w:r>
      <w:r w:rsidRPr="1EDC5FC2" w:rsidR="44783017">
        <w:rPr>
          <w:rFonts w:ascii="Palatino Linotype" w:hAnsi="Palatino Linotype" w:eastAsia="Palatino Linotype" w:cs="Palatino Linotype"/>
          <w:sz w:val="24"/>
          <w:szCs w:val="24"/>
        </w:rPr>
        <w:t xml:space="preserve">, Filed on </w:t>
      </w:r>
      <w:r w:rsidR="0045639E">
        <w:rPr>
          <w:rFonts w:ascii="Palatino Linotype" w:hAnsi="Palatino Linotype" w:eastAsia="Palatino Linotype" w:cs="Palatino Linotype"/>
          <w:sz w:val="24"/>
          <w:szCs w:val="24"/>
        </w:rPr>
        <w:t>December 30</w:t>
      </w:r>
      <w:r w:rsidR="00836B6F">
        <w:rPr>
          <w:rFonts w:ascii="Palatino Linotype" w:hAnsi="Palatino Linotype" w:eastAsia="Palatino Linotype" w:cs="Palatino Linotype"/>
          <w:sz w:val="24"/>
          <w:szCs w:val="24"/>
        </w:rPr>
        <w:t>, 2022</w:t>
      </w:r>
      <w:r w:rsidRPr="1EDC5FC2" w:rsidR="44783017">
        <w:rPr>
          <w:rFonts w:ascii="Palatino Linotype" w:hAnsi="Palatino Linotype" w:eastAsia="Palatino Linotype" w:cs="Palatino Linotype"/>
          <w:sz w:val="24"/>
          <w:szCs w:val="24"/>
        </w:rPr>
        <w:t>.</w:t>
      </w:r>
      <w:r w:rsidRPr="1EDC5FC2">
        <w:rPr>
          <w:rFonts w:ascii="Palatino Linotype" w:hAnsi="Palatino Linotype" w:eastAsia="Palatino Linotype" w:cs="Palatino Linotype"/>
          <w:sz w:val="24"/>
          <w:szCs w:val="24"/>
        </w:rPr>
        <w:t xml:space="preserve"> </w:t>
      </w:r>
    </w:p>
    <w:p w:rsidRPr="007963D3" w:rsidR="00CF17DE" w:rsidP="1EDC5FC2" w:rsidRDefault="00CF17DE" w14:paraId="2BFCF270" w14:textId="77777777">
      <w:pPr>
        <w:jc w:val="center"/>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__________________________________________________________</w:t>
      </w:r>
    </w:p>
    <w:p w:rsidRPr="007963D3" w:rsidR="00CF17DE" w:rsidP="1EDC5FC2" w:rsidRDefault="00CF17DE" w14:paraId="21ED6BB6" w14:textId="77777777">
      <w:pPr>
        <w:rPr>
          <w:rFonts w:ascii="Palatino Linotype" w:hAnsi="Palatino Linotype" w:eastAsia="Palatino Linotype" w:cs="Palatino Linotype"/>
          <w:b/>
          <w:bCs/>
          <w:sz w:val="24"/>
          <w:szCs w:val="24"/>
        </w:rPr>
      </w:pPr>
    </w:p>
    <w:p w:rsidR="000006AB" w:rsidP="1EDC5FC2" w:rsidRDefault="000006AB" w14:paraId="14CF3FF1" w14:textId="77777777">
      <w:pPr>
        <w:pStyle w:val="Heading1"/>
        <w:rPr>
          <w:rFonts w:ascii="Palatino Linotype" w:hAnsi="Palatino Linotype" w:eastAsia="Palatino Linotype" w:cs="Palatino Linotype"/>
          <w:sz w:val="24"/>
          <w:szCs w:val="24"/>
        </w:rPr>
      </w:pPr>
    </w:p>
    <w:p w:rsidRPr="007963D3" w:rsidR="00CF17DE" w:rsidP="1EDC5FC2" w:rsidRDefault="00CF17DE" w14:paraId="2C49E15C" w14:textId="6B180D9D">
      <w:pPr>
        <w:pStyle w:val="Heading1"/>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Summary</w:t>
      </w:r>
      <w:bookmarkEnd w:id="0"/>
    </w:p>
    <w:p w:rsidRPr="007963D3" w:rsidR="00CF17DE" w:rsidP="0086400F" w:rsidRDefault="0086400F" w14:paraId="295761C3" w14:textId="46ECD71F">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This Resolution approves Pacific Gas and Electric (PG&amp;E) Advice Letter (AL) 6</w:t>
      </w:r>
      <w:r w:rsidR="0045639E">
        <w:rPr>
          <w:rFonts w:ascii="Palatino Linotype" w:hAnsi="Palatino Linotype" w:eastAsia="Palatino Linotype" w:cs="Palatino Linotype"/>
          <w:sz w:val="24"/>
          <w:szCs w:val="24"/>
        </w:rPr>
        <w:t>808</w:t>
      </w:r>
      <w:r>
        <w:rPr>
          <w:rFonts w:ascii="Palatino Linotype" w:hAnsi="Palatino Linotype" w:eastAsia="Palatino Linotype" w:cs="Palatino Linotype"/>
          <w:sz w:val="24"/>
          <w:szCs w:val="24"/>
        </w:rPr>
        <w:t>-E.</w:t>
      </w:r>
      <w:r w:rsidR="00666AE3">
        <w:rPr>
          <w:rFonts w:ascii="Palatino Linotype" w:hAnsi="Palatino Linotype" w:eastAsia="Palatino Linotype" w:cs="Palatino Linotype"/>
          <w:sz w:val="24"/>
          <w:szCs w:val="24"/>
        </w:rPr>
        <w:t xml:space="preserve"> In </w:t>
      </w:r>
      <w:r w:rsidR="00566116">
        <w:rPr>
          <w:rFonts w:ascii="Palatino Linotype" w:hAnsi="Palatino Linotype" w:eastAsia="Palatino Linotype" w:cs="Palatino Linotype"/>
          <w:sz w:val="24"/>
          <w:szCs w:val="24"/>
        </w:rPr>
        <w:t>D.2</w:t>
      </w:r>
      <w:r w:rsidR="00666AE3">
        <w:rPr>
          <w:rFonts w:ascii="Palatino Linotype" w:hAnsi="Palatino Linotype" w:eastAsia="Palatino Linotype" w:cs="Palatino Linotype"/>
          <w:sz w:val="24"/>
          <w:szCs w:val="24"/>
        </w:rPr>
        <w:t>1-01-018</w:t>
      </w:r>
      <w:r w:rsidR="003B5545">
        <w:rPr>
          <w:rFonts w:ascii="Palatino Linotype" w:hAnsi="Palatino Linotype" w:eastAsia="Palatino Linotype" w:cs="Palatino Linotype"/>
          <w:sz w:val="24"/>
          <w:szCs w:val="24"/>
        </w:rPr>
        <w:t>, as amended</w:t>
      </w:r>
      <w:r w:rsidR="00666AE3">
        <w:rPr>
          <w:rFonts w:ascii="Palatino Linotype" w:hAnsi="Palatino Linotype" w:eastAsia="Palatino Linotype" w:cs="Palatino Linotype"/>
          <w:sz w:val="24"/>
          <w:szCs w:val="24"/>
        </w:rPr>
        <w:t xml:space="preserve"> in Resolution E-5164, the Commission ordered PG&amp;E to start the transition to clean backup generation by pursuing a</w:t>
      </w:r>
      <w:r w:rsidR="00BC06D6">
        <w:rPr>
          <w:rFonts w:ascii="Palatino Linotype" w:hAnsi="Palatino Linotype" w:eastAsia="Palatino Linotype" w:cs="Palatino Linotype"/>
          <w:sz w:val="24"/>
          <w:szCs w:val="24"/>
        </w:rPr>
        <w:t>t least one</w:t>
      </w:r>
      <w:r w:rsidR="00666AE3">
        <w:rPr>
          <w:rFonts w:ascii="Palatino Linotype" w:hAnsi="Palatino Linotype" w:eastAsia="Palatino Linotype" w:cs="Palatino Linotype"/>
          <w:sz w:val="24"/>
          <w:szCs w:val="24"/>
        </w:rPr>
        <w:t xml:space="preserve"> clean substation microgrid project</w:t>
      </w:r>
      <w:r w:rsidR="00BC06D6">
        <w:rPr>
          <w:rFonts w:ascii="Palatino Linotype" w:hAnsi="Palatino Linotype" w:eastAsia="Palatino Linotype" w:cs="Palatino Linotype"/>
          <w:sz w:val="24"/>
          <w:szCs w:val="24"/>
        </w:rPr>
        <w:t xml:space="preserve"> for </w:t>
      </w:r>
      <w:r w:rsidR="003B5545">
        <w:rPr>
          <w:rFonts w:ascii="Palatino Linotype" w:hAnsi="Palatino Linotype" w:eastAsia="Palatino Linotype" w:cs="Palatino Linotype"/>
          <w:sz w:val="24"/>
          <w:szCs w:val="24"/>
        </w:rPr>
        <w:t>Public Safety Power Shutoff (</w:t>
      </w:r>
      <w:r w:rsidR="00BC06D6">
        <w:rPr>
          <w:rFonts w:ascii="Palatino Linotype" w:hAnsi="Palatino Linotype" w:eastAsia="Palatino Linotype" w:cs="Palatino Linotype"/>
          <w:sz w:val="24"/>
          <w:szCs w:val="24"/>
        </w:rPr>
        <w:t>PSPS</w:t>
      </w:r>
      <w:r w:rsidR="003B5545">
        <w:rPr>
          <w:rFonts w:ascii="Palatino Linotype" w:hAnsi="Palatino Linotype" w:eastAsia="Palatino Linotype" w:cs="Palatino Linotype"/>
          <w:sz w:val="24"/>
          <w:szCs w:val="24"/>
        </w:rPr>
        <w:t>)</w:t>
      </w:r>
      <w:r w:rsidR="00BC06D6">
        <w:rPr>
          <w:rFonts w:ascii="Palatino Linotype" w:hAnsi="Palatino Linotype" w:eastAsia="Palatino Linotype" w:cs="Palatino Linotype"/>
          <w:sz w:val="24"/>
          <w:szCs w:val="24"/>
        </w:rPr>
        <w:t xml:space="preserve"> mitigation</w:t>
      </w:r>
      <w:r w:rsidR="00666AE3">
        <w:rPr>
          <w:rFonts w:ascii="Palatino Linotype" w:hAnsi="Palatino Linotype" w:eastAsia="Palatino Linotype" w:cs="Palatino Linotype"/>
          <w:sz w:val="24"/>
          <w:szCs w:val="24"/>
        </w:rPr>
        <w:t xml:space="preserve">. </w:t>
      </w:r>
      <w:r w:rsidR="00BC06D6">
        <w:rPr>
          <w:rFonts w:ascii="Palatino Linotype" w:hAnsi="Palatino Linotype" w:eastAsia="Palatino Linotype" w:cs="Palatino Linotype"/>
          <w:sz w:val="24"/>
          <w:szCs w:val="24"/>
        </w:rPr>
        <w:t xml:space="preserve">This resolution approves PG&amp;E’s plan to develop that project at the Calistoga substation, and the associated procurement contract with Energy Vault. PG&amp;E proposes </w:t>
      </w:r>
      <w:r w:rsidR="003B5545">
        <w:rPr>
          <w:rFonts w:ascii="Palatino Linotype" w:hAnsi="Palatino Linotype" w:eastAsia="Palatino Linotype" w:cs="Palatino Linotype"/>
          <w:sz w:val="24"/>
          <w:szCs w:val="24"/>
        </w:rPr>
        <w:t>an</w:t>
      </w:r>
      <w:r w:rsidR="00BC06D6">
        <w:rPr>
          <w:rFonts w:ascii="Palatino Linotype" w:hAnsi="Palatino Linotype" w:eastAsia="Palatino Linotype" w:cs="Palatino Linotype"/>
          <w:sz w:val="24"/>
          <w:szCs w:val="24"/>
        </w:rPr>
        <w:t xml:space="preserve"> 8.5</w:t>
      </w:r>
      <w:r w:rsidR="00DD7F86">
        <w:rPr>
          <w:rFonts w:ascii="Palatino Linotype" w:hAnsi="Palatino Linotype" w:eastAsia="Palatino Linotype" w:cs="Palatino Linotype"/>
          <w:sz w:val="24"/>
          <w:szCs w:val="24"/>
        </w:rPr>
        <w:t>-</w:t>
      </w:r>
      <w:r w:rsidR="00BC06D6">
        <w:rPr>
          <w:rFonts w:ascii="Palatino Linotype" w:hAnsi="Palatino Linotype" w:eastAsia="Palatino Linotype" w:cs="Palatino Linotype"/>
          <w:sz w:val="24"/>
          <w:szCs w:val="24"/>
        </w:rPr>
        <w:t>megawatt microgrid capable of powering the Calistoga substation for 48 hours, and thus keeping the substation energized during a PSPS event effecting the transmission system</w:t>
      </w:r>
      <w:r w:rsidR="008D0FC7">
        <w:rPr>
          <w:rFonts w:ascii="Palatino Linotype" w:hAnsi="Palatino Linotype" w:eastAsia="Palatino Linotype" w:cs="Palatino Linotype"/>
          <w:sz w:val="24"/>
          <w:szCs w:val="24"/>
        </w:rPr>
        <w:t xml:space="preserve"> that normally powers the substation</w:t>
      </w:r>
      <w:r w:rsidR="00BC06D6">
        <w:rPr>
          <w:rFonts w:ascii="Palatino Linotype" w:hAnsi="Palatino Linotype" w:eastAsia="Palatino Linotype" w:cs="Palatino Linotype"/>
          <w:sz w:val="24"/>
          <w:szCs w:val="24"/>
        </w:rPr>
        <w:t xml:space="preserve">. The microgrid would be developed by Energy Vault in coordination with PG&amp;E and would </w:t>
      </w:r>
      <w:r w:rsidR="008D0FC7">
        <w:rPr>
          <w:rFonts w:ascii="Palatino Linotype" w:hAnsi="Palatino Linotype" w:eastAsia="Palatino Linotype" w:cs="Palatino Linotype"/>
          <w:sz w:val="24"/>
          <w:szCs w:val="24"/>
        </w:rPr>
        <w:t xml:space="preserve">operate for 10.5 years starting in 2024. The microgrid would </w:t>
      </w:r>
      <w:r w:rsidR="00BC06D6">
        <w:rPr>
          <w:rFonts w:ascii="Palatino Linotype" w:hAnsi="Palatino Linotype" w:eastAsia="Palatino Linotype" w:cs="Palatino Linotype"/>
          <w:sz w:val="24"/>
          <w:szCs w:val="24"/>
        </w:rPr>
        <w:t xml:space="preserve">combine </w:t>
      </w:r>
      <w:r w:rsidR="008D0FC7">
        <w:rPr>
          <w:rFonts w:ascii="Palatino Linotype" w:hAnsi="Palatino Linotype" w:eastAsia="Palatino Linotype" w:cs="Palatino Linotype"/>
          <w:sz w:val="24"/>
          <w:szCs w:val="24"/>
        </w:rPr>
        <w:t xml:space="preserve">a battery energy storage system with </w:t>
      </w:r>
      <w:r w:rsidR="00BC06D6">
        <w:rPr>
          <w:rFonts w:ascii="Palatino Linotype" w:hAnsi="Palatino Linotype" w:eastAsia="Palatino Linotype" w:cs="Palatino Linotype"/>
          <w:sz w:val="24"/>
          <w:szCs w:val="24"/>
        </w:rPr>
        <w:t xml:space="preserve">a fuel cell fueled </w:t>
      </w:r>
      <w:r w:rsidR="008D0FC7">
        <w:rPr>
          <w:rFonts w:ascii="Palatino Linotype" w:hAnsi="Palatino Linotype" w:eastAsia="Palatino Linotype" w:cs="Palatino Linotype"/>
          <w:sz w:val="24"/>
          <w:szCs w:val="24"/>
        </w:rPr>
        <w:t>by</w:t>
      </w:r>
      <w:r w:rsidR="00BC06D6">
        <w:rPr>
          <w:rFonts w:ascii="Palatino Linotype" w:hAnsi="Palatino Linotype" w:eastAsia="Palatino Linotype" w:cs="Palatino Linotype"/>
          <w:sz w:val="24"/>
          <w:szCs w:val="24"/>
        </w:rPr>
        <w:t xml:space="preserve"> green hydrogen. This </w:t>
      </w:r>
      <w:r w:rsidR="008D0FC7">
        <w:rPr>
          <w:rFonts w:ascii="Palatino Linotype" w:hAnsi="Palatino Linotype" w:eastAsia="Palatino Linotype" w:cs="Palatino Linotype"/>
          <w:sz w:val="24"/>
          <w:szCs w:val="24"/>
        </w:rPr>
        <w:t xml:space="preserve">project </w:t>
      </w:r>
      <w:r w:rsidR="00BC06D6">
        <w:rPr>
          <w:rFonts w:ascii="Palatino Linotype" w:hAnsi="Palatino Linotype" w:eastAsia="Palatino Linotype" w:cs="Palatino Linotype"/>
          <w:sz w:val="24"/>
          <w:szCs w:val="24"/>
        </w:rPr>
        <w:t xml:space="preserve">would be the first long-term, clean energy, substation microgrid in the PG&amp;E service territory. Forecasted costs for the project fall below the benchmarks set in </w:t>
      </w:r>
      <w:r w:rsidR="00566116">
        <w:rPr>
          <w:rFonts w:ascii="Palatino Linotype" w:hAnsi="Palatino Linotype" w:eastAsia="Palatino Linotype" w:cs="Palatino Linotype"/>
          <w:sz w:val="24"/>
          <w:szCs w:val="24"/>
        </w:rPr>
        <w:t>D.2</w:t>
      </w:r>
      <w:r w:rsidR="008D0FC7">
        <w:rPr>
          <w:rFonts w:ascii="Palatino Linotype" w:hAnsi="Palatino Linotype" w:eastAsia="Palatino Linotype" w:cs="Palatino Linotype"/>
          <w:sz w:val="24"/>
          <w:szCs w:val="24"/>
        </w:rPr>
        <w:t xml:space="preserve">1-08-018, and the costs would be covered by a one-way balancing account capped at $46.3 million dollars. This Resolution also requires PG&amp;E to submit reports on the pilot project, detailing the actual costs incurred, </w:t>
      </w:r>
      <w:r w:rsidR="000006AB">
        <w:rPr>
          <w:rFonts w:ascii="Palatino Linotype" w:hAnsi="Palatino Linotype" w:eastAsia="Palatino Linotype" w:cs="Palatino Linotype"/>
          <w:sz w:val="24"/>
          <w:szCs w:val="24"/>
        </w:rPr>
        <w:t>its</w:t>
      </w:r>
      <w:r w:rsidR="008D0FC7">
        <w:rPr>
          <w:rFonts w:ascii="Palatino Linotype" w:hAnsi="Palatino Linotype" w:eastAsia="Palatino Linotype" w:cs="Palatino Linotype"/>
          <w:sz w:val="24"/>
          <w:szCs w:val="24"/>
        </w:rPr>
        <w:t xml:space="preserve"> technical performance, and any lessons learned</w:t>
      </w:r>
      <w:r w:rsidR="0089701A">
        <w:rPr>
          <w:rFonts w:ascii="Palatino Linotype" w:hAnsi="Palatino Linotype" w:eastAsia="Palatino Linotype" w:cs="Palatino Linotype"/>
          <w:sz w:val="24"/>
          <w:szCs w:val="24"/>
        </w:rPr>
        <w:t>, and to encourage the use of project resources during normal grid conditions</w:t>
      </w:r>
      <w:r w:rsidR="008D0FC7">
        <w:rPr>
          <w:rFonts w:ascii="Palatino Linotype" w:hAnsi="Palatino Linotype" w:eastAsia="Palatino Linotype" w:cs="Palatino Linotype"/>
          <w:sz w:val="24"/>
          <w:szCs w:val="24"/>
        </w:rPr>
        <w:t>.</w:t>
      </w:r>
    </w:p>
    <w:p w:rsidRPr="007963D3" w:rsidR="00CF17DE" w:rsidP="1EDC5FC2" w:rsidRDefault="00CF17DE" w14:paraId="184E396E" w14:textId="77777777">
      <w:pPr>
        <w:rPr>
          <w:rFonts w:ascii="Palatino Linotype" w:hAnsi="Palatino Linotype" w:eastAsia="Palatino Linotype" w:cs="Palatino Linotype"/>
          <w:sz w:val="24"/>
          <w:szCs w:val="24"/>
        </w:rPr>
      </w:pPr>
    </w:p>
    <w:p w:rsidRPr="007963D3" w:rsidR="00CF17DE" w:rsidP="1EDC5FC2" w:rsidRDefault="00CF17DE" w14:paraId="0BFDDE4C" w14:textId="77777777">
      <w:pPr>
        <w:pStyle w:val="Heading1"/>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Background</w:t>
      </w:r>
    </w:p>
    <w:p w:rsidR="005B261A" w:rsidP="00A264FD" w:rsidRDefault="005B261A" w14:paraId="44C0C2A8" w14:textId="21083F89">
      <w:pPr>
        <w:rPr>
          <w:rFonts w:ascii="Palatino Linotype" w:hAnsi="Palatino Linotype" w:eastAsia="Palatino Linotype" w:cs="Palatino Linotype"/>
          <w:sz w:val="24"/>
          <w:szCs w:val="24"/>
        </w:rPr>
      </w:pPr>
      <w:r w:rsidRPr="005B261A">
        <w:rPr>
          <w:rFonts w:ascii="Palatino Linotype" w:hAnsi="Palatino Linotype" w:eastAsia="Palatino Linotype" w:cs="Palatino Linotype"/>
          <w:sz w:val="24"/>
          <w:szCs w:val="24"/>
        </w:rPr>
        <w:t xml:space="preserve">On January 21, 2021, the CPUC issued </w:t>
      </w:r>
      <w:r w:rsidR="00566116">
        <w:rPr>
          <w:rFonts w:ascii="Palatino Linotype" w:hAnsi="Palatino Linotype" w:eastAsia="Palatino Linotype" w:cs="Palatino Linotype"/>
          <w:sz w:val="24"/>
          <w:szCs w:val="24"/>
        </w:rPr>
        <w:t>D.2</w:t>
      </w:r>
      <w:r w:rsidRPr="005B261A">
        <w:rPr>
          <w:rFonts w:ascii="Palatino Linotype" w:hAnsi="Palatino Linotype" w:eastAsia="Palatino Linotype" w:cs="Palatino Linotype"/>
          <w:sz w:val="24"/>
          <w:szCs w:val="24"/>
        </w:rPr>
        <w:t xml:space="preserve">1-01-018, which included an Appendix with guidelines for utilities seeking to reserve temporary generation to mitigate PSPS events. </w:t>
      </w:r>
      <w:r w:rsidRPr="00A264FD">
        <w:rPr>
          <w:rFonts w:ascii="Palatino Linotype" w:hAnsi="Palatino Linotype" w:eastAsia="Palatino Linotype" w:cs="Palatino Linotype"/>
          <w:sz w:val="24"/>
          <w:szCs w:val="24"/>
        </w:rPr>
        <w:t>Th</w:t>
      </w:r>
      <w:r>
        <w:rPr>
          <w:rFonts w:ascii="Palatino Linotype" w:hAnsi="Palatino Linotype" w:eastAsia="Palatino Linotype" w:cs="Palatino Linotype"/>
          <w:sz w:val="24"/>
          <w:szCs w:val="24"/>
        </w:rPr>
        <w:t>ese guidelines</w:t>
      </w:r>
      <w:r w:rsidRPr="00A264FD">
        <w:rPr>
          <w:rFonts w:ascii="Palatino Linotype" w:hAnsi="Palatino Linotype" w:eastAsia="Palatino Linotype" w:cs="Palatino Linotype"/>
          <w:sz w:val="24"/>
          <w:szCs w:val="24"/>
        </w:rPr>
        <w:t xml:space="preserve"> had the </w:t>
      </w:r>
      <w:r w:rsidR="003B5545">
        <w:rPr>
          <w:rFonts w:ascii="Palatino Linotype" w:hAnsi="Palatino Linotype" w:eastAsia="Palatino Linotype" w:cs="Palatino Linotype"/>
          <w:sz w:val="24"/>
          <w:szCs w:val="24"/>
        </w:rPr>
        <w:t>aim</w:t>
      </w:r>
      <w:r w:rsidRPr="00A264FD">
        <w:rPr>
          <w:rFonts w:ascii="Palatino Linotype" w:hAnsi="Palatino Linotype" w:eastAsia="Palatino Linotype" w:cs="Palatino Linotype"/>
          <w:sz w:val="24"/>
          <w:szCs w:val="24"/>
        </w:rPr>
        <w:t xml:space="preserve"> of keeping the lights on during broader grid outages while starting the transition towards clean </w:t>
      </w:r>
      <w:r>
        <w:rPr>
          <w:rFonts w:ascii="Palatino Linotype" w:hAnsi="Palatino Linotype" w:eastAsia="Palatino Linotype" w:cs="Palatino Linotype"/>
          <w:sz w:val="24"/>
          <w:szCs w:val="24"/>
        </w:rPr>
        <w:t>backup</w:t>
      </w:r>
      <w:r w:rsidRPr="00A264FD">
        <w:rPr>
          <w:rFonts w:ascii="Palatino Linotype" w:hAnsi="Palatino Linotype" w:eastAsia="Palatino Linotype" w:cs="Palatino Linotype"/>
          <w:sz w:val="24"/>
          <w:szCs w:val="24"/>
        </w:rPr>
        <w:t xml:space="preserve"> generation.</w:t>
      </w:r>
      <w:r>
        <w:rPr>
          <w:rFonts w:ascii="Palatino Linotype" w:hAnsi="Palatino Linotype" w:eastAsia="Palatino Linotype" w:cs="Palatino Linotype"/>
          <w:sz w:val="24"/>
          <w:szCs w:val="24"/>
        </w:rPr>
        <w:t xml:space="preserve"> </w:t>
      </w:r>
      <w:r w:rsidRPr="005B261A">
        <w:rPr>
          <w:rFonts w:ascii="Palatino Linotype" w:hAnsi="Palatino Linotype" w:eastAsia="Palatino Linotype" w:cs="Palatino Linotype"/>
          <w:sz w:val="24"/>
          <w:szCs w:val="24"/>
        </w:rPr>
        <w:t>Section I.2 of that Appendix aims</w:t>
      </w:r>
      <w:r w:rsidR="003B5545">
        <w:rPr>
          <w:rFonts w:ascii="Palatino Linotype" w:hAnsi="Palatino Linotype" w:eastAsia="Palatino Linotype" w:cs="Palatino Linotype"/>
          <w:sz w:val="24"/>
          <w:szCs w:val="24"/>
        </w:rPr>
        <w:t xml:space="preserve"> specifically</w:t>
      </w:r>
      <w:r w:rsidRPr="005B261A">
        <w:rPr>
          <w:rFonts w:ascii="Palatino Linotype" w:hAnsi="Palatino Linotype" w:eastAsia="Palatino Linotype" w:cs="Palatino Linotype"/>
          <w:sz w:val="24"/>
          <w:szCs w:val="24"/>
        </w:rPr>
        <w:t xml:space="preserve"> to “start the transition towards clean generation,” and requires that a utility reserving temporary generation pursue at least one clean substation microgrid project as an alternative to diesel backup generation. In its Tier 2 Advice Letter seeking to reserve temporary generation, the utility must either (1) “document its plans to establish clean substation microgrid projects located at, or able to serve, at least one substation,” or, (2) “document the specific conditions [for clean substation pilots] that have not been met.”</w:t>
      </w:r>
      <w:r w:rsidRPr="005B261A">
        <w:rPr>
          <w:rStyle w:val="FootnoteReference"/>
        </w:rPr>
        <w:t xml:space="preserve"> </w:t>
      </w:r>
      <w:r>
        <w:rPr>
          <w:rStyle w:val="FootnoteReference"/>
        </w:rPr>
        <w:footnoteReference w:id="2"/>
      </w:r>
    </w:p>
    <w:p w:rsidRPr="00A264FD" w:rsidR="00A264FD" w:rsidP="00A264FD" w:rsidRDefault="00A264FD" w14:paraId="096320D9" w14:textId="77777777">
      <w:pPr>
        <w:rPr>
          <w:rFonts w:ascii="Palatino Linotype" w:hAnsi="Palatino Linotype" w:eastAsia="Palatino Linotype" w:cs="Palatino Linotype"/>
          <w:sz w:val="24"/>
          <w:szCs w:val="24"/>
        </w:rPr>
      </w:pPr>
    </w:p>
    <w:p w:rsidR="00A264FD" w:rsidP="00A264FD" w:rsidRDefault="005B261A" w14:paraId="34B64C69" w14:textId="16334CCD">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lastRenderedPageBreak/>
        <w:t>PG&amp;E did reserve temporary generation in 2021, and then submitted Advice Letter 6204-E on June 9, 2021 that aimed to document specific conditions that were not met to pursue a Clean Substation Microgrid (CSM) project</w:t>
      </w:r>
      <w:r w:rsidRPr="00A264FD" w:rsidR="00A264FD">
        <w:rPr>
          <w:rFonts w:ascii="Palatino Linotype" w:hAnsi="Palatino Linotype" w:eastAsia="Palatino Linotype" w:cs="Palatino Linotype"/>
          <w:sz w:val="24"/>
          <w:szCs w:val="24"/>
        </w:rPr>
        <w:t xml:space="preserve">. </w:t>
      </w:r>
      <w:r w:rsidRPr="00A264FD" w:rsidR="000C5D4A">
        <w:rPr>
          <w:rFonts w:ascii="Palatino Linotype" w:hAnsi="Palatino Linotype" w:eastAsia="Palatino Linotype" w:cs="Palatino Linotype"/>
          <w:sz w:val="24"/>
          <w:szCs w:val="24"/>
        </w:rPr>
        <w:t>Resolution E-5164</w:t>
      </w:r>
      <w:r w:rsidR="000C5D4A">
        <w:rPr>
          <w:rFonts w:ascii="Palatino Linotype" w:hAnsi="Palatino Linotype" w:eastAsia="Palatino Linotype" w:cs="Palatino Linotype"/>
          <w:sz w:val="24"/>
          <w:szCs w:val="24"/>
        </w:rPr>
        <w:t xml:space="preserve"> disposed of that </w:t>
      </w:r>
      <w:r w:rsidR="00D05F8F">
        <w:rPr>
          <w:rFonts w:ascii="Palatino Linotype" w:hAnsi="Palatino Linotype" w:eastAsia="Palatino Linotype" w:cs="Palatino Linotype"/>
          <w:sz w:val="24"/>
          <w:szCs w:val="24"/>
        </w:rPr>
        <w:t>Advice Letter. The r</w:t>
      </w:r>
      <w:r w:rsidRPr="00A264FD" w:rsidR="00A264FD">
        <w:rPr>
          <w:rFonts w:ascii="Palatino Linotype" w:hAnsi="Palatino Linotype" w:eastAsia="Palatino Linotype" w:cs="Palatino Linotype"/>
          <w:sz w:val="24"/>
          <w:szCs w:val="24"/>
        </w:rPr>
        <w:t>esolution</w:t>
      </w:r>
      <w:r>
        <w:rPr>
          <w:rFonts w:ascii="Palatino Linotype" w:hAnsi="Palatino Linotype" w:eastAsia="Palatino Linotype" w:cs="Palatino Linotype"/>
          <w:sz w:val="24"/>
          <w:szCs w:val="24"/>
        </w:rPr>
        <w:t>, however,</w:t>
      </w:r>
      <w:r w:rsidRPr="00A264FD" w:rsidR="00A264FD">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 xml:space="preserve">found PG&amp;E had not adequately documented specific conditions that made a </w:t>
      </w:r>
      <w:r w:rsidR="009770B8">
        <w:rPr>
          <w:rFonts w:ascii="Palatino Linotype" w:hAnsi="Palatino Linotype" w:eastAsia="Palatino Linotype" w:cs="Palatino Linotype"/>
          <w:sz w:val="24"/>
          <w:szCs w:val="24"/>
        </w:rPr>
        <w:t>CSM project infeasible. The resolution</w:t>
      </w:r>
      <w:r>
        <w:rPr>
          <w:rFonts w:ascii="Palatino Linotype" w:hAnsi="Palatino Linotype" w:eastAsia="Palatino Linotype" w:cs="Palatino Linotype"/>
          <w:sz w:val="24"/>
          <w:szCs w:val="24"/>
        </w:rPr>
        <w:t xml:space="preserve"> </w:t>
      </w:r>
      <w:r w:rsidRPr="00A264FD" w:rsidR="00A264FD">
        <w:rPr>
          <w:rFonts w:ascii="Palatino Linotype" w:hAnsi="Palatino Linotype" w:eastAsia="Palatino Linotype" w:cs="Palatino Linotype"/>
          <w:sz w:val="24"/>
          <w:szCs w:val="24"/>
        </w:rPr>
        <w:t xml:space="preserve">provided further direction for the CSM RFO and required </w:t>
      </w:r>
      <w:r w:rsidR="003B5545">
        <w:rPr>
          <w:rFonts w:ascii="Palatino Linotype" w:hAnsi="Palatino Linotype" w:eastAsia="Palatino Linotype" w:cs="Palatino Linotype"/>
          <w:sz w:val="24"/>
          <w:szCs w:val="24"/>
        </w:rPr>
        <w:t>that PG&amp;E file a</w:t>
      </w:r>
      <w:r w:rsidRPr="00A264FD" w:rsidR="00A264FD">
        <w:rPr>
          <w:rFonts w:ascii="Palatino Linotype" w:hAnsi="Palatino Linotype" w:eastAsia="Palatino Linotype" w:cs="Palatino Linotype"/>
          <w:sz w:val="24"/>
          <w:szCs w:val="24"/>
        </w:rPr>
        <w:t xml:space="preserve"> Tier 3 Advice Letter by April 2022 detailing specific plans to develop a CSM pilot project. Resolution E-5164 require</w:t>
      </w:r>
      <w:r w:rsidR="003B5545">
        <w:rPr>
          <w:rFonts w:ascii="Palatino Linotype" w:hAnsi="Palatino Linotype" w:eastAsia="Palatino Linotype" w:cs="Palatino Linotype"/>
          <w:sz w:val="24"/>
          <w:szCs w:val="24"/>
        </w:rPr>
        <w:t>d</w:t>
      </w:r>
      <w:r w:rsidRPr="00A264FD" w:rsidR="00A264FD">
        <w:rPr>
          <w:rFonts w:ascii="Palatino Linotype" w:hAnsi="Palatino Linotype" w:eastAsia="Palatino Linotype" w:cs="Palatino Linotype"/>
          <w:sz w:val="24"/>
          <w:szCs w:val="24"/>
        </w:rPr>
        <w:t xml:space="preserve"> that the Advice Letter include documentation of PG&amp;E’s CSM Request </w:t>
      </w:r>
      <w:r w:rsidRPr="00A264FD" w:rsidR="003B5545">
        <w:rPr>
          <w:rFonts w:ascii="Palatino Linotype" w:hAnsi="Palatino Linotype" w:eastAsia="Palatino Linotype" w:cs="Palatino Linotype"/>
          <w:sz w:val="24"/>
          <w:szCs w:val="24"/>
        </w:rPr>
        <w:t>for</w:t>
      </w:r>
      <w:r w:rsidRPr="00A264FD" w:rsidR="00A264FD">
        <w:rPr>
          <w:rFonts w:ascii="Palatino Linotype" w:hAnsi="Palatino Linotype" w:eastAsia="Palatino Linotype" w:cs="Palatino Linotype"/>
          <w:sz w:val="24"/>
          <w:szCs w:val="24"/>
        </w:rPr>
        <w:t xml:space="preserve"> Proposals, estimate the costs of the project, and request that the Commission approve the project funded through a balancing account according to D.21-01-018.</w:t>
      </w:r>
    </w:p>
    <w:p w:rsidRPr="00A264FD" w:rsidR="00A264FD" w:rsidP="00A264FD" w:rsidRDefault="00A264FD" w14:paraId="1F94B180" w14:textId="77777777">
      <w:pPr>
        <w:rPr>
          <w:rFonts w:ascii="Palatino Linotype" w:hAnsi="Palatino Linotype" w:eastAsia="Palatino Linotype" w:cs="Palatino Linotype"/>
          <w:sz w:val="24"/>
          <w:szCs w:val="24"/>
        </w:rPr>
      </w:pPr>
    </w:p>
    <w:p w:rsidR="009770B8" w:rsidP="00A264FD" w:rsidRDefault="00A264FD" w14:paraId="57FEBDD0" w14:textId="3C71D901">
      <w:pPr>
        <w:rPr>
          <w:rFonts w:ascii="Palatino Linotype" w:hAnsi="Palatino Linotype" w:eastAsia="Palatino Linotype" w:cs="Palatino Linotype"/>
          <w:sz w:val="24"/>
          <w:szCs w:val="24"/>
        </w:rPr>
      </w:pPr>
      <w:r w:rsidRPr="00A264FD">
        <w:rPr>
          <w:rFonts w:ascii="Palatino Linotype" w:hAnsi="Palatino Linotype" w:eastAsia="Palatino Linotype" w:cs="Palatino Linotype"/>
          <w:sz w:val="24"/>
          <w:szCs w:val="24"/>
        </w:rPr>
        <w:t xml:space="preserve">By a letter dated April 11, 2022, the Commission extended the deadline to file this Advice Letter to July 31, 2022. On July 7, 2022, PGE submitted an additional extension request, outlining the reasons a further extension of time was required to determine the feasibility of the project before signing a contract. On August 1, 2022, the Commission by letter granted PG&amp;E’s extension of time, setting a new deadline of December 31, </w:t>
      </w:r>
      <w:r w:rsidRPr="00A264FD" w:rsidR="000006AB">
        <w:rPr>
          <w:rFonts w:ascii="Palatino Linotype" w:hAnsi="Palatino Linotype" w:eastAsia="Palatino Linotype" w:cs="Palatino Linotype"/>
          <w:sz w:val="24"/>
          <w:szCs w:val="24"/>
        </w:rPr>
        <w:t>2022,</w:t>
      </w:r>
      <w:r w:rsidR="009770B8">
        <w:rPr>
          <w:rFonts w:ascii="Palatino Linotype" w:hAnsi="Palatino Linotype" w:eastAsia="Palatino Linotype" w:cs="Palatino Linotype"/>
          <w:sz w:val="24"/>
          <w:szCs w:val="24"/>
        </w:rPr>
        <w:t xml:space="preserve"> for its advice letter and extending other deadlines for the project to 2024</w:t>
      </w:r>
      <w:r w:rsidRPr="00A264FD">
        <w:rPr>
          <w:rFonts w:ascii="Palatino Linotype" w:hAnsi="Palatino Linotype" w:eastAsia="Palatino Linotype" w:cs="Palatino Linotype"/>
          <w:sz w:val="24"/>
          <w:szCs w:val="24"/>
        </w:rPr>
        <w:t xml:space="preserve">. </w:t>
      </w:r>
    </w:p>
    <w:p w:rsidR="003B5545" w:rsidP="00A264FD" w:rsidRDefault="003B5545" w14:paraId="7928A893" w14:textId="77777777">
      <w:pPr>
        <w:rPr>
          <w:rFonts w:ascii="Palatino Linotype" w:hAnsi="Palatino Linotype" w:eastAsia="Palatino Linotype" w:cs="Palatino Linotype"/>
          <w:sz w:val="24"/>
          <w:szCs w:val="24"/>
        </w:rPr>
      </w:pPr>
    </w:p>
    <w:p w:rsidR="00A264FD" w:rsidP="00A264FD" w:rsidRDefault="009770B8" w14:paraId="1396B0F0" w14:textId="19C8D0EF">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I</w:t>
      </w:r>
      <w:r w:rsidRPr="00A264FD" w:rsidR="00A264FD">
        <w:rPr>
          <w:rFonts w:ascii="Palatino Linotype" w:hAnsi="Palatino Linotype" w:eastAsia="Palatino Linotype" w:cs="Palatino Linotype"/>
          <w:sz w:val="24"/>
          <w:szCs w:val="24"/>
        </w:rPr>
        <w:t xml:space="preserve">n compliance with that deadline, </w:t>
      </w:r>
      <w:r>
        <w:rPr>
          <w:rFonts w:ascii="Palatino Linotype" w:hAnsi="Palatino Linotype" w:eastAsia="Palatino Linotype" w:cs="Palatino Linotype"/>
          <w:sz w:val="24"/>
          <w:szCs w:val="24"/>
        </w:rPr>
        <w:t xml:space="preserve">PG&amp;E submitted AL 6808-E </w:t>
      </w:r>
      <w:r w:rsidRPr="00A264FD" w:rsidR="00A264FD">
        <w:rPr>
          <w:rFonts w:ascii="Palatino Linotype" w:hAnsi="Palatino Linotype" w:eastAsia="Palatino Linotype" w:cs="Palatino Linotype"/>
          <w:sz w:val="24"/>
          <w:szCs w:val="24"/>
        </w:rPr>
        <w:t xml:space="preserve">outlining </w:t>
      </w:r>
      <w:r>
        <w:rPr>
          <w:rFonts w:ascii="Palatino Linotype" w:hAnsi="Palatino Linotype" w:eastAsia="Palatino Linotype" w:cs="Palatino Linotype"/>
          <w:sz w:val="24"/>
          <w:szCs w:val="24"/>
        </w:rPr>
        <w:t>its proposed</w:t>
      </w:r>
      <w:r w:rsidRPr="00A264FD" w:rsidR="00A264FD">
        <w:rPr>
          <w:rFonts w:ascii="Palatino Linotype" w:hAnsi="Palatino Linotype" w:eastAsia="Palatino Linotype" w:cs="Palatino Linotype"/>
          <w:sz w:val="24"/>
          <w:szCs w:val="24"/>
        </w:rPr>
        <w:t xml:space="preserve"> CSM pilot project</w:t>
      </w:r>
      <w:r>
        <w:rPr>
          <w:rFonts w:ascii="Palatino Linotype" w:hAnsi="Palatino Linotype" w:eastAsia="Palatino Linotype" w:cs="Palatino Linotype"/>
          <w:sz w:val="24"/>
          <w:szCs w:val="24"/>
        </w:rPr>
        <w:t xml:space="preserve"> at the Calistoga substation and requesting approval for the associated contract with Energy Vault</w:t>
      </w:r>
      <w:r w:rsidRPr="00A264FD" w:rsidR="00A264FD">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w:t>
      </w:r>
      <w:r w:rsidR="003918CA">
        <w:rPr>
          <w:rFonts w:ascii="Palatino Linotype" w:hAnsi="Palatino Linotype" w:eastAsia="Palatino Linotype" w:cs="Palatino Linotype"/>
          <w:sz w:val="24"/>
          <w:szCs w:val="24"/>
        </w:rPr>
        <w:t>PG&amp;E selected Calistoga because, a</w:t>
      </w:r>
      <w:r>
        <w:rPr>
          <w:rFonts w:ascii="Palatino Linotype" w:hAnsi="Palatino Linotype" w:eastAsia="Palatino Linotype" w:cs="Palatino Linotype"/>
          <w:sz w:val="24"/>
          <w:szCs w:val="24"/>
        </w:rPr>
        <w:t>ccording to PG&amp;E’s 10-year Lookback Analysis,</w:t>
      </w:r>
      <w:r w:rsidRPr="009770B8">
        <w:rPr>
          <w:rFonts w:ascii="Palatino Linotype" w:hAnsi="Palatino Linotype" w:eastAsia="Palatino Linotype" w:cs="Palatino Linotype"/>
          <w:sz w:val="24"/>
          <w:szCs w:val="24"/>
        </w:rPr>
        <w:t xml:space="preserve"> the Calistoga substation has one of the highest frequencies of modeled direct impacts with </w:t>
      </w:r>
      <w:r>
        <w:rPr>
          <w:rFonts w:ascii="Palatino Linotype" w:hAnsi="Palatino Linotype" w:eastAsia="Palatino Linotype" w:cs="Palatino Linotype"/>
          <w:sz w:val="24"/>
          <w:szCs w:val="24"/>
        </w:rPr>
        <w:t>s</w:t>
      </w:r>
      <w:r w:rsidRPr="009770B8">
        <w:rPr>
          <w:rFonts w:ascii="Palatino Linotype" w:hAnsi="Palatino Linotype" w:eastAsia="Palatino Linotype" w:cs="Palatino Linotype"/>
          <w:sz w:val="24"/>
          <w:szCs w:val="24"/>
        </w:rPr>
        <w:t>afe-to-</w:t>
      </w:r>
      <w:r>
        <w:rPr>
          <w:rFonts w:ascii="Palatino Linotype" w:hAnsi="Palatino Linotype" w:eastAsia="Palatino Linotype" w:cs="Palatino Linotype"/>
          <w:sz w:val="24"/>
          <w:szCs w:val="24"/>
        </w:rPr>
        <w:t>e</w:t>
      </w:r>
      <w:r w:rsidRPr="009770B8">
        <w:rPr>
          <w:rFonts w:ascii="Palatino Linotype" w:hAnsi="Palatino Linotype" w:eastAsia="Palatino Linotype" w:cs="Palatino Linotype"/>
          <w:sz w:val="24"/>
          <w:szCs w:val="24"/>
        </w:rPr>
        <w:t>nergize customers. PG&amp;E select</w:t>
      </w:r>
      <w:r>
        <w:rPr>
          <w:rFonts w:ascii="Palatino Linotype" w:hAnsi="Palatino Linotype" w:eastAsia="Palatino Linotype" w:cs="Palatino Linotype"/>
          <w:sz w:val="24"/>
          <w:szCs w:val="24"/>
        </w:rPr>
        <w:t>ed</w:t>
      </w:r>
      <w:r w:rsidRPr="009770B8">
        <w:rPr>
          <w:rFonts w:ascii="Palatino Linotype" w:hAnsi="Palatino Linotype" w:eastAsia="Palatino Linotype" w:cs="Palatino Linotype"/>
          <w:sz w:val="24"/>
          <w:szCs w:val="24"/>
        </w:rPr>
        <w:t xml:space="preserve"> Energy Vault from a bidding process in which Energy Vault and three other companies offered a total of eight</w:t>
      </w:r>
      <w:r>
        <w:rPr>
          <w:rFonts w:ascii="Palatino Linotype" w:hAnsi="Palatino Linotype" w:eastAsia="Palatino Linotype" w:cs="Palatino Linotype"/>
          <w:sz w:val="24"/>
          <w:szCs w:val="24"/>
        </w:rPr>
        <w:t xml:space="preserve"> </w:t>
      </w:r>
      <w:r w:rsidRPr="009770B8">
        <w:rPr>
          <w:rFonts w:ascii="Palatino Linotype" w:hAnsi="Palatino Linotype" w:eastAsia="Palatino Linotype" w:cs="Palatino Linotype"/>
          <w:sz w:val="24"/>
          <w:szCs w:val="24"/>
        </w:rPr>
        <w:t>microgrid proposals.</w:t>
      </w:r>
      <w:r w:rsidR="006057B4">
        <w:rPr>
          <w:rStyle w:val="FootnoteReference"/>
          <w:rFonts w:eastAsia="Palatino Linotype" w:cs="Palatino Linotype"/>
          <w:szCs w:val="24"/>
        </w:rPr>
        <w:footnoteReference w:id="3"/>
      </w:r>
      <w:r w:rsidRPr="009770B8">
        <w:rPr>
          <w:rFonts w:ascii="Palatino Linotype" w:hAnsi="Palatino Linotype" w:eastAsia="Palatino Linotype" w:cs="Palatino Linotype"/>
          <w:sz w:val="24"/>
          <w:szCs w:val="24"/>
        </w:rPr>
        <w:t xml:space="preserve"> </w:t>
      </w:r>
      <w:r w:rsidR="006057B4">
        <w:rPr>
          <w:rFonts w:ascii="Palatino Linotype" w:hAnsi="Palatino Linotype" w:eastAsia="Palatino Linotype" w:cs="Palatino Linotype"/>
          <w:sz w:val="24"/>
          <w:szCs w:val="24"/>
        </w:rPr>
        <w:t>The proposed project includes</w:t>
      </w:r>
      <w:r w:rsidRPr="009770B8">
        <w:rPr>
          <w:rFonts w:ascii="Palatino Linotype" w:hAnsi="Palatino Linotype" w:eastAsia="Palatino Linotype" w:cs="Palatino Linotype"/>
          <w:sz w:val="24"/>
          <w:szCs w:val="24"/>
        </w:rPr>
        <w:t xml:space="preserve"> a hydrogen fuel cell and </w:t>
      </w:r>
      <w:r w:rsidR="006057B4">
        <w:rPr>
          <w:rFonts w:ascii="Palatino Linotype" w:hAnsi="Palatino Linotype" w:eastAsia="Palatino Linotype" w:cs="Palatino Linotype"/>
          <w:sz w:val="24"/>
          <w:szCs w:val="24"/>
        </w:rPr>
        <w:t xml:space="preserve">a </w:t>
      </w:r>
      <w:r w:rsidRPr="009770B8">
        <w:rPr>
          <w:rFonts w:ascii="Palatino Linotype" w:hAnsi="Palatino Linotype" w:eastAsia="Palatino Linotype" w:cs="Palatino Linotype"/>
          <w:sz w:val="24"/>
          <w:szCs w:val="24"/>
        </w:rPr>
        <w:t>lithium-ion battery</w:t>
      </w:r>
      <w:r w:rsidR="006057B4">
        <w:rPr>
          <w:rFonts w:ascii="Palatino Linotype" w:hAnsi="Palatino Linotype" w:eastAsia="Palatino Linotype" w:cs="Palatino Linotype"/>
          <w:sz w:val="24"/>
          <w:szCs w:val="24"/>
        </w:rPr>
        <w:t xml:space="preserve"> energy</w:t>
      </w:r>
      <w:r w:rsidRPr="009770B8">
        <w:rPr>
          <w:rFonts w:ascii="Palatino Linotype" w:hAnsi="Palatino Linotype" w:eastAsia="Palatino Linotype" w:cs="Palatino Linotype"/>
          <w:sz w:val="24"/>
          <w:szCs w:val="24"/>
        </w:rPr>
        <w:t xml:space="preserve"> storage</w:t>
      </w:r>
      <w:r w:rsidR="006057B4">
        <w:rPr>
          <w:rFonts w:ascii="Palatino Linotype" w:hAnsi="Palatino Linotype" w:eastAsia="Palatino Linotype" w:cs="Palatino Linotype"/>
          <w:sz w:val="24"/>
          <w:szCs w:val="24"/>
        </w:rPr>
        <w:t xml:space="preserve"> system</w:t>
      </w:r>
      <w:r w:rsidRPr="009770B8">
        <w:rPr>
          <w:rFonts w:ascii="Palatino Linotype" w:hAnsi="Palatino Linotype" w:eastAsia="Palatino Linotype" w:cs="Palatino Linotype"/>
          <w:sz w:val="24"/>
          <w:szCs w:val="24"/>
        </w:rPr>
        <w:t xml:space="preserve"> </w:t>
      </w:r>
      <w:r w:rsidR="006057B4">
        <w:rPr>
          <w:rFonts w:ascii="Palatino Linotype" w:hAnsi="Palatino Linotype" w:eastAsia="Palatino Linotype" w:cs="Palatino Linotype"/>
          <w:sz w:val="24"/>
          <w:szCs w:val="24"/>
        </w:rPr>
        <w:t>powering</w:t>
      </w:r>
      <w:r w:rsidRPr="009770B8">
        <w:rPr>
          <w:rFonts w:ascii="Palatino Linotype" w:hAnsi="Palatino Linotype" w:eastAsia="Palatino Linotype" w:cs="Palatino Linotype"/>
          <w:sz w:val="24"/>
          <w:szCs w:val="24"/>
        </w:rPr>
        <w:t xml:space="preserve"> a microgrid at the Calistoga substation</w:t>
      </w:r>
      <w:r w:rsidR="006057B4">
        <w:rPr>
          <w:rFonts w:ascii="Palatino Linotype" w:hAnsi="Palatino Linotype" w:eastAsia="Palatino Linotype" w:cs="Palatino Linotype"/>
          <w:sz w:val="24"/>
          <w:szCs w:val="24"/>
        </w:rPr>
        <w:t>, operating</w:t>
      </w:r>
      <w:r w:rsidRPr="009770B8">
        <w:rPr>
          <w:rFonts w:ascii="Palatino Linotype" w:hAnsi="Palatino Linotype" w:eastAsia="Palatino Linotype" w:cs="Palatino Linotype"/>
          <w:sz w:val="24"/>
          <w:szCs w:val="24"/>
        </w:rPr>
        <w:t xml:space="preserve"> by June 1, 2024 </w:t>
      </w:r>
      <w:r w:rsidR="003B5545">
        <w:rPr>
          <w:rFonts w:ascii="Palatino Linotype" w:hAnsi="Palatino Linotype" w:eastAsia="Palatino Linotype" w:cs="Palatino Linotype"/>
          <w:sz w:val="24"/>
          <w:szCs w:val="24"/>
        </w:rPr>
        <w:t xml:space="preserve">and </w:t>
      </w:r>
      <w:r w:rsidRPr="009770B8">
        <w:rPr>
          <w:rFonts w:ascii="Palatino Linotype" w:hAnsi="Palatino Linotype" w:eastAsia="Palatino Linotype" w:cs="Palatino Linotype"/>
          <w:sz w:val="24"/>
          <w:szCs w:val="24"/>
        </w:rPr>
        <w:t>for a period of 10.5 years</w:t>
      </w:r>
      <w:r w:rsidR="003918CA">
        <w:rPr>
          <w:rFonts w:ascii="Palatino Linotype" w:hAnsi="Palatino Linotype" w:eastAsia="Palatino Linotype" w:cs="Palatino Linotype"/>
          <w:sz w:val="24"/>
          <w:szCs w:val="24"/>
        </w:rPr>
        <w:t>. Th</w:t>
      </w:r>
      <w:r w:rsidRPr="009770B8">
        <w:rPr>
          <w:rFonts w:ascii="Palatino Linotype" w:hAnsi="Palatino Linotype" w:eastAsia="Palatino Linotype" w:cs="Palatino Linotype"/>
          <w:sz w:val="24"/>
          <w:szCs w:val="24"/>
        </w:rPr>
        <w:t>e</w:t>
      </w:r>
      <w:r w:rsidR="003918CA">
        <w:rPr>
          <w:rFonts w:ascii="Palatino Linotype" w:hAnsi="Palatino Linotype" w:eastAsia="Palatino Linotype" w:cs="Palatino Linotype"/>
          <w:sz w:val="24"/>
          <w:szCs w:val="24"/>
        </w:rPr>
        <w:t xml:space="preserve"> proposed</w:t>
      </w:r>
      <w:r w:rsidRPr="009770B8">
        <w:rPr>
          <w:rFonts w:ascii="Palatino Linotype" w:hAnsi="Palatino Linotype" w:eastAsia="Palatino Linotype" w:cs="Palatino Linotype"/>
          <w:sz w:val="24"/>
          <w:szCs w:val="24"/>
        </w:rPr>
        <w:t xml:space="preserve"> microgrid w</w:t>
      </w:r>
      <w:r w:rsidR="003918CA">
        <w:rPr>
          <w:rFonts w:ascii="Palatino Linotype" w:hAnsi="Palatino Linotype" w:eastAsia="Palatino Linotype" w:cs="Palatino Linotype"/>
          <w:sz w:val="24"/>
          <w:szCs w:val="24"/>
        </w:rPr>
        <w:t xml:space="preserve">ould </w:t>
      </w:r>
      <w:r w:rsidRPr="009770B8">
        <w:rPr>
          <w:rFonts w:ascii="Palatino Linotype" w:hAnsi="Palatino Linotype" w:eastAsia="Palatino Linotype" w:cs="Palatino Linotype"/>
          <w:sz w:val="24"/>
          <w:szCs w:val="24"/>
        </w:rPr>
        <w:t xml:space="preserve">have a capacity of 8.5 megawatts (MW) and </w:t>
      </w:r>
      <w:r w:rsidR="003918CA">
        <w:rPr>
          <w:rFonts w:ascii="Palatino Linotype" w:hAnsi="Palatino Linotype" w:eastAsia="Palatino Linotype" w:cs="Palatino Linotype"/>
          <w:sz w:val="24"/>
          <w:szCs w:val="24"/>
        </w:rPr>
        <w:t xml:space="preserve">be capable of </w:t>
      </w:r>
      <w:r w:rsidRPr="009770B8">
        <w:rPr>
          <w:rFonts w:ascii="Palatino Linotype" w:hAnsi="Palatino Linotype" w:eastAsia="Palatino Linotype" w:cs="Palatino Linotype"/>
          <w:sz w:val="24"/>
          <w:szCs w:val="24"/>
        </w:rPr>
        <w:t>provid</w:t>
      </w:r>
      <w:r w:rsidR="003918CA">
        <w:rPr>
          <w:rFonts w:ascii="Palatino Linotype" w:hAnsi="Palatino Linotype" w:eastAsia="Palatino Linotype" w:cs="Palatino Linotype"/>
          <w:sz w:val="24"/>
          <w:szCs w:val="24"/>
        </w:rPr>
        <w:t>ing</w:t>
      </w:r>
      <w:r w:rsidRPr="009770B8">
        <w:rPr>
          <w:rFonts w:ascii="Palatino Linotype" w:hAnsi="Palatino Linotype" w:eastAsia="Palatino Linotype" w:cs="Palatino Linotype"/>
          <w:sz w:val="24"/>
          <w:szCs w:val="24"/>
        </w:rPr>
        <w:t xml:space="preserve"> 293 megawatt-hours (MWhs) of electricity over a 48-hour period.</w:t>
      </w:r>
      <w:r w:rsidR="006057B4">
        <w:rPr>
          <w:rStyle w:val="FootnoteReference"/>
          <w:rFonts w:eastAsia="Palatino Linotype" w:cs="Palatino Linotype"/>
          <w:szCs w:val="24"/>
        </w:rPr>
        <w:footnoteReference w:id="4"/>
      </w:r>
      <w:r w:rsidRPr="009770B8">
        <w:rPr>
          <w:rFonts w:ascii="Palatino Linotype" w:hAnsi="Palatino Linotype" w:eastAsia="Palatino Linotype" w:cs="Palatino Linotype"/>
          <w:sz w:val="24"/>
          <w:szCs w:val="24"/>
        </w:rPr>
        <w:t xml:space="preserve"> </w:t>
      </w:r>
    </w:p>
    <w:p w:rsidRPr="00A264FD" w:rsidR="00A264FD" w:rsidP="00A264FD" w:rsidRDefault="00A264FD" w14:paraId="259565D6" w14:textId="77777777">
      <w:pPr>
        <w:rPr>
          <w:rFonts w:ascii="Palatino Linotype" w:hAnsi="Palatino Linotype" w:eastAsia="Palatino Linotype" w:cs="Palatino Linotype"/>
          <w:sz w:val="24"/>
          <w:szCs w:val="24"/>
        </w:rPr>
      </w:pPr>
    </w:p>
    <w:p w:rsidRPr="007963D3" w:rsidR="00CF17DE" w:rsidP="1EDC5FC2" w:rsidRDefault="00394B3A" w14:paraId="66788129" w14:textId="77777777">
      <w:pPr>
        <w:pStyle w:val="Heading1"/>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Notice</w:t>
      </w:r>
    </w:p>
    <w:p w:rsidRPr="007963D3" w:rsidR="00CF17DE" w:rsidP="1EDC5FC2" w:rsidRDefault="00CF17DE" w14:paraId="37FFE207" w14:textId="3D455ADF">
      <w:pPr>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 xml:space="preserve">Notice of AL </w:t>
      </w:r>
      <w:r w:rsidR="007E6B7A">
        <w:rPr>
          <w:rFonts w:ascii="Palatino Linotype" w:hAnsi="Palatino Linotype" w:eastAsia="Palatino Linotype" w:cs="Palatino Linotype"/>
          <w:sz w:val="24"/>
          <w:szCs w:val="24"/>
        </w:rPr>
        <w:t>6</w:t>
      </w:r>
      <w:r w:rsidR="0045639E">
        <w:rPr>
          <w:rFonts w:ascii="Palatino Linotype" w:hAnsi="Palatino Linotype" w:eastAsia="Palatino Linotype" w:cs="Palatino Linotype"/>
          <w:sz w:val="24"/>
          <w:szCs w:val="24"/>
        </w:rPr>
        <w:t>808</w:t>
      </w:r>
      <w:r w:rsidR="007E6B7A">
        <w:rPr>
          <w:rFonts w:ascii="Palatino Linotype" w:hAnsi="Palatino Linotype" w:eastAsia="Palatino Linotype" w:cs="Palatino Linotype"/>
          <w:sz w:val="24"/>
          <w:szCs w:val="24"/>
        </w:rPr>
        <w:t>-E</w:t>
      </w:r>
      <w:r w:rsidRPr="1EDC5FC2">
        <w:rPr>
          <w:rFonts w:ascii="Palatino Linotype" w:hAnsi="Palatino Linotype" w:eastAsia="Palatino Linotype" w:cs="Palatino Linotype"/>
          <w:sz w:val="24"/>
          <w:szCs w:val="24"/>
        </w:rPr>
        <w:t xml:space="preserve"> was made by publication in the Commission’s Daily Calendar.  </w:t>
      </w:r>
      <w:r w:rsidR="007E6B7A">
        <w:rPr>
          <w:rFonts w:ascii="Palatino Linotype" w:hAnsi="Palatino Linotype" w:eastAsia="Palatino Linotype" w:cs="Palatino Linotype"/>
          <w:sz w:val="24"/>
          <w:szCs w:val="24"/>
        </w:rPr>
        <w:t>PG&amp;E</w:t>
      </w:r>
      <w:r w:rsidRPr="1EDC5FC2">
        <w:rPr>
          <w:rFonts w:ascii="Palatino Linotype" w:hAnsi="Palatino Linotype" w:eastAsia="Palatino Linotype" w:cs="Palatino Linotype"/>
          <w:sz w:val="24"/>
          <w:szCs w:val="24"/>
        </w:rPr>
        <w:t xml:space="preserve"> states that a copy of the Advice Letter was mailed and distributed in accordance with Sec</w:t>
      </w:r>
      <w:r w:rsidRPr="1EDC5FC2" w:rsidR="00A1526C">
        <w:rPr>
          <w:rFonts w:ascii="Palatino Linotype" w:hAnsi="Palatino Linotype" w:eastAsia="Palatino Linotype" w:cs="Palatino Linotype"/>
          <w:sz w:val="24"/>
          <w:szCs w:val="24"/>
        </w:rPr>
        <w:t xml:space="preserve">tion </w:t>
      </w:r>
      <w:r w:rsidRPr="1EDC5FC2" w:rsidR="0069631C">
        <w:rPr>
          <w:rFonts w:ascii="Palatino Linotype" w:hAnsi="Palatino Linotype" w:eastAsia="Palatino Linotype" w:cs="Palatino Linotype"/>
          <w:sz w:val="24"/>
          <w:szCs w:val="24"/>
        </w:rPr>
        <w:t>4</w:t>
      </w:r>
      <w:r w:rsidRPr="1EDC5FC2" w:rsidR="00E928CF">
        <w:rPr>
          <w:rFonts w:ascii="Palatino Linotype" w:hAnsi="Palatino Linotype" w:eastAsia="Palatino Linotype" w:cs="Palatino Linotype"/>
          <w:sz w:val="24"/>
          <w:szCs w:val="24"/>
        </w:rPr>
        <w:t xml:space="preserve"> of General Order 96-B</w:t>
      </w:r>
      <w:r w:rsidRPr="1EDC5FC2">
        <w:rPr>
          <w:rFonts w:ascii="Palatino Linotype" w:hAnsi="Palatino Linotype" w:eastAsia="Palatino Linotype" w:cs="Palatino Linotype"/>
          <w:sz w:val="24"/>
          <w:szCs w:val="24"/>
        </w:rPr>
        <w:t xml:space="preserve">. </w:t>
      </w:r>
    </w:p>
    <w:p w:rsidRPr="007963D3" w:rsidR="00CF17DE" w:rsidP="1EDC5FC2" w:rsidRDefault="00CF17DE" w14:paraId="6E8F021A" w14:textId="77777777">
      <w:pPr>
        <w:rPr>
          <w:rFonts w:ascii="Palatino Linotype" w:hAnsi="Palatino Linotype" w:eastAsia="Palatino Linotype" w:cs="Palatino Linotype"/>
          <w:sz w:val="24"/>
          <w:szCs w:val="24"/>
        </w:rPr>
      </w:pPr>
    </w:p>
    <w:p w:rsidRPr="007963D3" w:rsidR="00CF17DE" w:rsidP="1EDC5FC2" w:rsidRDefault="00CF17DE" w14:paraId="7F509E4C" w14:textId="77777777">
      <w:pPr>
        <w:pStyle w:val="Heading1"/>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lastRenderedPageBreak/>
        <w:t>Protests</w:t>
      </w:r>
    </w:p>
    <w:p w:rsidRPr="007963D3" w:rsidR="00CF17DE" w:rsidP="1EDC5FC2" w:rsidRDefault="00CF17DE" w14:paraId="52D5B761" w14:textId="1C925641">
      <w:pPr>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 xml:space="preserve">Advice Letter </w:t>
      </w:r>
      <w:r w:rsidR="004E33D0">
        <w:rPr>
          <w:rFonts w:ascii="Palatino Linotype" w:hAnsi="Palatino Linotype" w:eastAsia="Palatino Linotype" w:cs="Palatino Linotype"/>
          <w:sz w:val="24"/>
          <w:szCs w:val="24"/>
        </w:rPr>
        <w:t>6</w:t>
      </w:r>
      <w:r w:rsidR="00BB2139">
        <w:rPr>
          <w:rFonts w:ascii="Palatino Linotype" w:hAnsi="Palatino Linotype" w:eastAsia="Palatino Linotype" w:cs="Palatino Linotype"/>
          <w:sz w:val="24"/>
          <w:szCs w:val="24"/>
        </w:rPr>
        <w:t>808</w:t>
      </w:r>
      <w:r w:rsidRPr="1EDC5FC2">
        <w:rPr>
          <w:rFonts w:ascii="Palatino Linotype" w:hAnsi="Palatino Linotype" w:eastAsia="Palatino Linotype" w:cs="Palatino Linotype"/>
          <w:sz w:val="24"/>
          <w:szCs w:val="24"/>
        </w:rPr>
        <w:t xml:space="preserve">-E was protested.  </w:t>
      </w:r>
    </w:p>
    <w:p w:rsidRPr="007963D3" w:rsidR="00CF17DE" w:rsidP="1EDC5FC2" w:rsidRDefault="00CF17DE" w14:paraId="6BE8E21F" w14:textId="77777777">
      <w:pPr>
        <w:rPr>
          <w:rFonts w:ascii="Palatino Linotype" w:hAnsi="Palatino Linotype" w:eastAsia="Palatino Linotype" w:cs="Palatino Linotype"/>
          <w:sz w:val="24"/>
          <w:szCs w:val="24"/>
        </w:rPr>
      </w:pPr>
    </w:p>
    <w:p w:rsidRPr="007963D3" w:rsidR="00CF17DE" w:rsidP="1EDC5FC2" w:rsidRDefault="008A07F4" w14:paraId="6037AFF4" w14:textId="6ADBE5F0">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PG&amp;E</w:t>
      </w:r>
      <w:r w:rsidRPr="1EDC5FC2" w:rsidR="00CF17DE">
        <w:rPr>
          <w:rFonts w:ascii="Palatino Linotype" w:hAnsi="Palatino Linotype" w:eastAsia="Palatino Linotype" w:cs="Palatino Linotype"/>
          <w:sz w:val="24"/>
          <w:szCs w:val="24"/>
        </w:rPr>
        <w:t xml:space="preserve">’s Advice Letter </w:t>
      </w:r>
      <w:r>
        <w:rPr>
          <w:rFonts w:ascii="Palatino Linotype" w:hAnsi="Palatino Linotype" w:eastAsia="Palatino Linotype" w:cs="Palatino Linotype"/>
          <w:sz w:val="24"/>
          <w:szCs w:val="24"/>
        </w:rPr>
        <w:t>6</w:t>
      </w:r>
      <w:r w:rsidR="00BB2139">
        <w:rPr>
          <w:rFonts w:ascii="Palatino Linotype" w:hAnsi="Palatino Linotype" w:eastAsia="Palatino Linotype" w:cs="Palatino Linotype"/>
          <w:sz w:val="24"/>
          <w:szCs w:val="24"/>
        </w:rPr>
        <w:t>808</w:t>
      </w:r>
      <w:r w:rsidRPr="1EDC5FC2" w:rsidR="00CF17DE">
        <w:rPr>
          <w:rFonts w:ascii="Palatino Linotype" w:hAnsi="Palatino Linotype" w:eastAsia="Palatino Linotype" w:cs="Palatino Linotype"/>
          <w:sz w:val="24"/>
          <w:szCs w:val="24"/>
        </w:rPr>
        <w:t xml:space="preserve">-E was timely protested by </w:t>
      </w:r>
      <w:r w:rsidR="00CE5FC0">
        <w:rPr>
          <w:rFonts w:ascii="Palatino Linotype" w:hAnsi="Palatino Linotype" w:eastAsia="Palatino Linotype" w:cs="Palatino Linotype"/>
          <w:sz w:val="24"/>
          <w:szCs w:val="24"/>
        </w:rPr>
        <w:t>the Public Advocates Office</w:t>
      </w:r>
      <w:r w:rsidR="00782D6D">
        <w:rPr>
          <w:rFonts w:ascii="Palatino Linotype" w:hAnsi="Palatino Linotype" w:eastAsia="Palatino Linotype" w:cs="Palatino Linotype"/>
          <w:sz w:val="24"/>
          <w:szCs w:val="24"/>
        </w:rPr>
        <w:t xml:space="preserve"> (PAO</w:t>
      </w:r>
      <w:r w:rsidR="00BB2139">
        <w:rPr>
          <w:rFonts w:ascii="Palatino Linotype" w:hAnsi="Palatino Linotype" w:eastAsia="Palatino Linotype" w:cs="Palatino Linotype"/>
          <w:sz w:val="24"/>
          <w:szCs w:val="24"/>
        </w:rPr>
        <w:t>) on January 19, 2023</w:t>
      </w:r>
      <w:r w:rsidRPr="1EDC5FC2" w:rsidR="00CF17DE">
        <w:rPr>
          <w:rFonts w:ascii="Palatino Linotype" w:hAnsi="Palatino Linotype" w:eastAsia="Palatino Linotype" w:cs="Palatino Linotype"/>
          <w:sz w:val="24"/>
          <w:szCs w:val="24"/>
        </w:rPr>
        <w:t>.</w:t>
      </w:r>
      <w:r w:rsidR="00BB2139">
        <w:rPr>
          <w:rFonts w:ascii="Palatino Linotype" w:hAnsi="Palatino Linotype" w:eastAsia="Palatino Linotype" w:cs="Palatino Linotype"/>
          <w:sz w:val="24"/>
          <w:szCs w:val="24"/>
        </w:rPr>
        <w:t xml:space="preserve"> Marin Clean Energy (MCE) submitted a response to the Advice Letter. </w:t>
      </w:r>
      <w:r w:rsidRPr="1EDC5FC2" w:rsidR="00CF17DE">
        <w:rPr>
          <w:rFonts w:ascii="Palatino Linotype" w:hAnsi="Palatino Linotype" w:eastAsia="Palatino Linotype" w:cs="Palatino Linotype"/>
          <w:sz w:val="24"/>
          <w:szCs w:val="24"/>
        </w:rPr>
        <w:t xml:space="preserve">  </w:t>
      </w:r>
    </w:p>
    <w:p w:rsidRPr="007963D3" w:rsidR="00CF17DE" w:rsidP="1EDC5FC2" w:rsidRDefault="00CF17DE" w14:paraId="536604AC" w14:textId="77777777">
      <w:pPr>
        <w:rPr>
          <w:rFonts w:ascii="Palatino Linotype" w:hAnsi="Palatino Linotype" w:eastAsia="Palatino Linotype" w:cs="Palatino Linotype"/>
          <w:sz w:val="24"/>
          <w:szCs w:val="24"/>
        </w:rPr>
      </w:pPr>
    </w:p>
    <w:p w:rsidRPr="007963D3" w:rsidR="00CF17DE" w:rsidP="1EDC5FC2" w:rsidRDefault="00300A6C" w14:paraId="0BCE1CF2" w14:textId="287C60A4">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PG&amp;E</w:t>
      </w:r>
      <w:r w:rsidRPr="1EDC5FC2" w:rsidR="00CF17DE">
        <w:rPr>
          <w:rFonts w:ascii="Palatino Linotype" w:hAnsi="Palatino Linotype" w:eastAsia="Palatino Linotype" w:cs="Palatino Linotype"/>
          <w:sz w:val="24"/>
          <w:szCs w:val="24"/>
        </w:rPr>
        <w:t xml:space="preserve"> responded to the protest of </w:t>
      </w:r>
      <w:r w:rsidR="00FC0568">
        <w:rPr>
          <w:rFonts w:ascii="Palatino Linotype" w:hAnsi="Palatino Linotype" w:eastAsia="Palatino Linotype" w:cs="Palatino Linotype"/>
          <w:sz w:val="24"/>
          <w:szCs w:val="24"/>
        </w:rPr>
        <w:t>PAO</w:t>
      </w:r>
      <w:r w:rsidR="00BB2139">
        <w:rPr>
          <w:rFonts w:ascii="Palatino Linotype" w:hAnsi="Palatino Linotype" w:eastAsia="Palatino Linotype" w:cs="Palatino Linotype"/>
          <w:sz w:val="24"/>
          <w:szCs w:val="24"/>
        </w:rPr>
        <w:t xml:space="preserve"> and the response of MCE</w:t>
      </w:r>
      <w:r w:rsidRPr="1EDC5FC2" w:rsidR="00CF17DE">
        <w:rPr>
          <w:rFonts w:ascii="Palatino Linotype" w:hAnsi="Palatino Linotype" w:eastAsia="Palatino Linotype" w:cs="Palatino Linotype"/>
          <w:sz w:val="24"/>
          <w:szCs w:val="24"/>
        </w:rPr>
        <w:t xml:space="preserve"> on </w:t>
      </w:r>
      <w:r w:rsidR="00BB2139">
        <w:rPr>
          <w:rFonts w:ascii="Palatino Linotype" w:hAnsi="Palatino Linotype" w:eastAsia="Palatino Linotype" w:cs="Palatino Linotype"/>
          <w:sz w:val="24"/>
          <w:szCs w:val="24"/>
        </w:rPr>
        <w:t>January 26</w:t>
      </w:r>
      <w:r w:rsidR="00FC0568">
        <w:rPr>
          <w:rFonts w:ascii="Palatino Linotype" w:hAnsi="Palatino Linotype" w:eastAsia="Palatino Linotype" w:cs="Palatino Linotype"/>
          <w:sz w:val="24"/>
          <w:szCs w:val="24"/>
        </w:rPr>
        <w:t>, 202</w:t>
      </w:r>
      <w:r w:rsidR="00BB2139">
        <w:rPr>
          <w:rFonts w:ascii="Palatino Linotype" w:hAnsi="Palatino Linotype" w:eastAsia="Palatino Linotype" w:cs="Palatino Linotype"/>
          <w:sz w:val="24"/>
          <w:szCs w:val="24"/>
        </w:rPr>
        <w:t>3</w:t>
      </w:r>
      <w:r w:rsidR="00FC0568">
        <w:rPr>
          <w:rFonts w:ascii="Palatino Linotype" w:hAnsi="Palatino Linotype" w:eastAsia="Palatino Linotype" w:cs="Palatino Linotype"/>
          <w:sz w:val="24"/>
          <w:szCs w:val="24"/>
        </w:rPr>
        <w:t>.</w:t>
      </w:r>
    </w:p>
    <w:p w:rsidRPr="007963D3" w:rsidR="00CF17DE" w:rsidP="1EDC5FC2" w:rsidRDefault="00CF17DE" w14:paraId="7D3916F3" w14:textId="77777777">
      <w:pPr>
        <w:rPr>
          <w:rFonts w:ascii="Palatino Linotype" w:hAnsi="Palatino Linotype" w:eastAsia="Palatino Linotype" w:cs="Palatino Linotype"/>
          <w:sz w:val="24"/>
          <w:szCs w:val="24"/>
        </w:rPr>
      </w:pPr>
    </w:p>
    <w:p w:rsidR="001F29CF" w:rsidP="1EDC5FC2" w:rsidRDefault="001F29CF" w14:paraId="21831F53" w14:textId="79239F37">
      <w:pPr>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PAO Protest – J</w:t>
      </w:r>
      <w:r w:rsidR="00BB2139">
        <w:rPr>
          <w:rFonts w:ascii="Palatino Linotype" w:hAnsi="Palatino Linotype" w:eastAsia="Palatino Linotype" w:cs="Palatino Linotype"/>
          <w:b/>
          <w:bCs/>
          <w:sz w:val="24"/>
          <w:szCs w:val="24"/>
        </w:rPr>
        <w:t>anuary 19</w:t>
      </w:r>
      <w:r>
        <w:rPr>
          <w:rFonts w:ascii="Palatino Linotype" w:hAnsi="Palatino Linotype" w:eastAsia="Palatino Linotype" w:cs="Palatino Linotype"/>
          <w:b/>
          <w:bCs/>
          <w:sz w:val="24"/>
          <w:szCs w:val="24"/>
        </w:rPr>
        <w:t>, 202</w:t>
      </w:r>
      <w:r w:rsidR="00BB2139">
        <w:rPr>
          <w:rFonts w:ascii="Palatino Linotype" w:hAnsi="Palatino Linotype" w:eastAsia="Palatino Linotype" w:cs="Palatino Linotype"/>
          <w:b/>
          <w:bCs/>
          <w:sz w:val="24"/>
          <w:szCs w:val="24"/>
        </w:rPr>
        <w:t>3</w:t>
      </w:r>
    </w:p>
    <w:p w:rsidR="001F29CF" w:rsidP="1EDC5FC2" w:rsidRDefault="001F29CF" w14:paraId="5175AE4B" w14:textId="77777777">
      <w:pPr>
        <w:rPr>
          <w:rFonts w:ascii="Palatino Linotype" w:hAnsi="Palatino Linotype" w:eastAsia="Palatino Linotype" w:cs="Palatino Linotype"/>
          <w:b/>
          <w:bCs/>
          <w:sz w:val="24"/>
          <w:szCs w:val="24"/>
        </w:rPr>
      </w:pPr>
    </w:p>
    <w:p w:rsidR="001F29CF" w:rsidP="1EDC5FC2" w:rsidRDefault="00643317" w14:paraId="2ED6D983" w14:textId="70F8FBE2">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In its protest, PAO recommends that PG&amp;E </w:t>
      </w:r>
      <w:r w:rsidR="00FF675E">
        <w:rPr>
          <w:rFonts w:ascii="Palatino Linotype" w:hAnsi="Palatino Linotype" w:eastAsia="Palatino Linotype" w:cs="Palatino Linotype"/>
          <w:sz w:val="24"/>
          <w:szCs w:val="24"/>
        </w:rPr>
        <w:t xml:space="preserve">be required to </w:t>
      </w:r>
      <w:r>
        <w:rPr>
          <w:rFonts w:ascii="Palatino Linotype" w:hAnsi="Palatino Linotype" w:eastAsia="Palatino Linotype" w:cs="Palatino Linotype"/>
          <w:sz w:val="24"/>
          <w:szCs w:val="24"/>
        </w:rPr>
        <w:t xml:space="preserve">supplement its Advice Letter </w:t>
      </w:r>
      <w:r w:rsidR="00FF675E">
        <w:rPr>
          <w:rFonts w:ascii="Palatino Linotype" w:hAnsi="Palatino Linotype" w:eastAsia="Palatino Linotype" w:cs="Palatino Linotype"/>
          <w:sz w:val="24"/>
          <w:szCs w:val="24"/>
        </w:rPr>
        <w:t>to justify PG&amp;E’s determination that the Calistoga Project is technically feasible, safe, and cost-effective</w:t>
      </w:r>
      <w:r w:rsidR="00544C74">
        <w:rPr>
          <w:rFonts w:ascii="Palatino Linotype" w:hAnsi="Palatino Linotype" w:eastAsia="Palatino Linotype" w:cs="Palatino Linotype"/>
          <w:sz w:val="24"/>
          <w:szCs w:val="24"/>
        </w:rPr>
        <w:t xml:space="preserve"> as required by </w:t>
      </w:r>
      <w:r w:rsidR="00566116">
        <w:rPr>
          <w:rFonts w:ascii="Palatino Linotype" w:hAnsi="Palatino Linotype" w:eastAsia="Palatino Linotype" w:cs="Palatino Linotype"/>
          <w:sz w:val="24"/>
          <w:szCs w:val="24"/>
        </w:rPr>
        <w:t>D.2</w:t>
      </w:r>
      <w:r w:rsidR="00544C74">
        <w:rPr>
          <w:rFonts w:ascii="Palatino Linotype" w:hAnsi="Palatino Linotype" w:eastAsia="Palatino Linotype" w:cs="Palatino Linotype"/>
          <w:sz w:val="24"/>
          <w:szCs w:val="24"/>
        </w:rPr>
        <w:t>1-01-018</w:t>
      </w:r>
      <w:r>
        <w:rPr>
          <w:rFonts w:ascii="Palatino Linotype" w:hAnsi="Palatino Linotype" w:eastAsia="Palatino Linotype" w:cs="Palatino Linotype"/>
          <w:sz w:val="24"/>
          <w:szCs w:val="24"/>
        </w:rPr>
        <w:t>.</w:t>
      </w:r>
      <w:r w:rsidR="009C1E1A">
        <w:rPr>
          <w:rFonts w:ascii="Palatino Linotype" w:hAnsi="Palatino Linotype" w:eastAsia="Palatino Linotype" w:cs="Palatino Linotype"/>
          <w:sz w:val="24"/>
          <w:szCs w:val="24"/>
        </w:rPr>
        <w:t xml:space="preserve"> PAO argues that PG&amp;E has not adequately compared the proposed clean substation microgrid to potential grid hardening alternatives, that PG&amp;E fails to demonstrate the technical feasibility of the project</w:t>
      </w:r>
      <w:r w:rsidR="00544C74">
        <w:rPr>
          <w:rFonts w:ascii="Palatino Linotype" w:hAnsi="Palatino Linotype" w:eastAsia="Palatino Linotype" w:cs="Palatino Linotype"/>
          <w:sz w:val="24"/>
          <w:szCs w:val="24"/>
        </w:rPr>
        <w:t xml:space="preserve"> and</w:t>
      </w:r>
      <w:r w:rsidR="009C1E1A">
        <w:rPr>
          <w:rFonts w:ascii="Palatino Linotype" w:hAnsi="Palatino Linotype" w:eastAsia="Palatino Linotype" w:cs="Palatino Linotype"/>
          <w:sz w:val="24"/>
          <w:szCs w:val="24"/>
        </w:rPr>
        <w:t xml:space="preserve"> instead defers responsibilities to Energy Vault, and that PG&amp;E fails to adequately demonstrate the project is financially competitive because the price of hydrogen fuel could vary.</w:t>
      </w:r>
    </w:p>
    <w:p w:rsidR="00643317" w:rsidP="1EDC5FC2" w:rsidRDefault="00643317" w14:paraId="173D8CA7" w14:textId="2F4998B1">
      <w:pPr>
        <w:rPr>
          <w:rFonts w:ascii="Palatino Linotype" w:hAnsi="Palatino Linotype" w:eastAsia="Palatino Linotype" w:cs="Palatino Linotype"/>
          <w:sz w:val="24"/>
          <w:szCs w:val="24"/>
        </w:rPr>
      </w:pPr>
    </w:p>
    <w:p w:rsidRPr="00643317" w:rsidR="00643317" w:rsidP="1EDC5FC2" w:rsidRDefault="00643317" w14:paraId="357396B8" w14:textId="3A9E394C">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PAO</w:t>
      </w:r>
      <w:r w:rsidR="009C1E1A">
        <w:rPr>
          <w:rFonts w:ascii="Palatino Linotype" w:hAnsi="Palatino Linotype" w:eastAsia="Palatino Linotype" w:cs="Palatino Linotype"/>
          <w:sz w:val="24"/>
          <w:szCs w:val="24"/>
        </w:rPr>
        <w:t xml:space="preserve"> </w:t>
      </w:r>
      <w:r w:rsidR="004224C5">
        <w:rPr>
          <w:rFonts w:ascii="Palatino Linotype" w:hAnsi="Palatino Linotype" w:eastAsia="Palatino Linotype" w:cs="Palatino Linotype"/>
          <w:sz w:val="24"/>
          <w:szCs w:val="24"/>
        </w:rPr>
        <w:t>also argues that the Commission should require PG&amp;E to provide annual reports on the proposed project beginning one year after the project’s in-service date, including the actual costs and technical performance of the project</w:t>
      </w:r>
      <w:r w:rsidR="00E029EE">
        <w:rPr>
          <w:rFonts w:ascii="Palatino Linotype" w:hAnsi="Palatino Linotype" w:eastAsia="Palatino Linotype" w:cs="Palatino Linotype"/>
          <w:sz w:val="24"/>
          <w:szCs w:val="24"/>
        </w:rPr>
        <w:t>.</w:t>
      </w:r>
    </w:p>
    <w:p w:rsidR="001F29CF" w:rsidP="1EDC5FC2" w:rsidRDefault="001F29CF" w14:paraId="10570892" w14:textId="77777777">
      <w:pPr>
        <w:rPr>
          <w:rFonts w:ascii="Palatino Linotype" w:hAnsi="Palatino Linotype" w:eastAsia="Palatino Linotype" w:cs="Palatino Linotype"/>
          <w:b/>
          <w:bCs/>
          <w:sz w:val="24"/>
          <w:szCs w:val="24"/>
        </w:rPr>
      </w:pPr>
    </w:p>
    <w:p w:rsidR="001F29CF" w:rsidP="1EDC5FC2" w:rsidRDefault="00BB2139" w14:paraId="29A5BA6F" w14:textId="21E79E2F">
      <w:pPr>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MCE Response</w:t>
      </w:r>
      <w:r w:rsidR="001F29CF">
        <w:rPr>
          <w:rFonts w:ascii="Palatino Linotype" w:hAnsi="Palatino Linotype" w:eastAsia="Palatino Linotype" w:cs="Palatino Linotype"/>
          <w:b/>
          <w:bCs/>
          <w:sz w:val="24"/>
          <w:szCs w:val="24"/>
        </w:rPr>
        <w:t xml:space="preserve"> – </w:t>
      </w:r>
      <w:r>
        <w:rPr>
          <w:rFonts w:ascii="Palatino Linotype" w:hAnsi="Palatino Linotype" w:eastAsia="Palatino Linotype" w:cs="Palatino Linotype"/>
          <w:b/>
          <w:bCs/>
          <w:sz w:val="24"/>
          <w:szCs w:val="24"/>
        </w:rPr>
        <w:t>January 19, 2023</w:t>
      </w:r>
    </w:p>
    <w:p w:rsidR="001F29CF" w:rsidP="1EDC5FC2" w:rsidRDefault="001F29CF" w14:paraId="7FB5C110" w14:textId="77777777">
      <w:pPr>
        <w:rPr>
          <w:rFonts w:ascii="Palatino Linotype" w:hAnsi="Palatino Linotype" w:eastAsia="Palatino Linotype" w:cs="Palatino Linotype"/>
          <w:b/>
          <w:bCs/>
          <w:sz w:val="24"/>
          <w:szCs w:val="24"/>
        </w:rPr>
      </w:pPr>
    </w:p>
    <w:p w:rsidR="001F29CF" w:rsidP="1EDC5FC2" w:rsidRDefault="00E029EE" w14:paraId="2AA51D1A" w14:textId="3FAAE45D">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In its </w:t>
      </w:r>
      <w:r w:rsidR="004224C5">
        <w:rPr>
          <w:rFonts w:ascii="Palatino Linotype" w:hAnsi="Palatino Linotype" w:eastAsia="Palatino Linotype" w:cs="Palatino Linotype"/>
          <w:sz w:val="24"/>
          <w:szCs w:val="24"/>
        </w:rPr>
        <w:t>response</w:t>
      </w:r>
      <w:r>
        <w:rPr>
          <w:rFonts w:ascii="Palatino Linotype" w:hAnsi="Palatino Linotype" w:eastAsia="Palatino Linotype" w:cs="Palatino Linotype"/>
          <w:sz w:val="24"/>
          <w:szCs w:val="24"/>
        </w:rPr>
        <w:t>,</w:t>
      </w:r>
      <w:r w:rsidR="004224C5">
        <w:rPr>
          <w:rFonts w:ascii="Palatino Linotype" w:hAnsi="Palatino Linotype" w:eastAsia="Palatino Linotype" w:cs="Palatino Linotype"/>
          <w:sz w:val="24"/>
          <w:szCs w:val="24"/>
        </w:rPr>
        <w:t xml:space="preserve"> MCE </w:t>
      </w:r>
      <w:r w:rsidR="003C6ED1">
        <w:rPr>
          <w:rFonts w:ascii="Palatino Linotype" w:hAnsi="Palatino Linotype" w:eastAsia="Palatino Linotype" w:cs="Palatino Linotype"/>
          <w:sz w:val="24"/>
          <w:szCs w:val="24"/>
        </w:rPr>
        <w:t>expressed its general support for the Calistoga clean substation microgrid project</w:t>
      </w:r>
      <w:r w:rsidR="00E21683">
        <w:rPr>
          <w:rFonts w:ascii="Palatino Linotype" w:hAnsi="Palatino Linotype" w:eastAsia="Palatino Linotype" w:cs="Palatino Linotype"/>
          <w:sz w:val="24"/>
          <w:szCs w:val="24"/>
        </w:rPr>
        <w:t xml:space="preserve">, </w:t>
      </w:r>
      <w:r w:rsidR="001E487E">
        <w:rPr>
          <w:rFonts w:ascii="Palatino Linotype" w:hAnsi="Palatino Linotype" w:eastAsia="Palatino Linotype" w:cs="Palatino Linotype"/>
          <w:sz w:val="24"/>
          <w:szCs w:val="24"/>
        </w:rPr>
        <w:t xml:space="preserve">noting that it appreciates the innovative nature of the project and thinks it can serve as an example for future clean substation microgrids. </w:t>
      </w:r>
      <w:r w:rsidR="003B2DDC">
        <w:rPr>
          <w:rFonts w:ascii="Palatino Linotype" w:hAnsi="Palatino Linotype" w:eastAsia="Palatino Linotype" w:cs="Palatino Linotype"/>
          <w:sz w:val="24"/>
          <w:szCs w:val="24"/>
        </w:rPr>
        <w:t xml:space="preserve">MCE also offered several recommendations for the project. </w:t>
      </w:r>
      <w:r w:rsidR="00E21683">
        <w:rPr>
          <w:rFonts w:ascii="Palatino Linotype" w:hAnsi="Palatino Linotype" w:eastAsia="Palatino Linotype" w:cs="Palatino Linotype"/>
          <w:sz w:val="24"/>
          <w:szCs w:val="24"/>
        </w:rPr>
        <w:t>First</w:t>
      </w:r>
      <w:r w:rsidR="00B63FE7">
        <w:rPr>
          <w:rFonts w:ascii="Palatino Linotype" w:hAnsi="Palatino Linotype" w:eastAsia="Palatino Linotype" w:cs="Palatino Linotype"/>
          <w:sz w:val="24"/>
          <w:szCs w:val="24"/>
        </w:rPr>
        <w:t>,</w:t>
      </w:r>
      <w:r w:rsidR="00E21683">
        <w:rPr>
          <w:rFonts w:ascii="Palatino Linotype" w:hAnsi="Palatino Linotype" w:eastAsia="Palatino Linotype" w:cs="Palatino Linotype"/>
          <w:sz w:val="24"/>
          <w:szCs w:val="24"/>
        </w:rPr>
        <w:t xml:space="preserve"> MCE recommended that PG&amp;E consider cleaner options than diesel trucks to transport the green hydrogen. Second, MCE recommended PG&amp;E be required to share lessons learned from the project</w:t>
      </w:r>
      <w:r w:rsidR="00BA180E">
        <w:rPr>
          <w:rFonts w:ascii="Palatino Linotype" w:hAnsi="Palatino Linotype" w:eastAsia="Palatino Linotype" w:cs="Palatino Linotype"/>
          <w:sz w:val="24"/>
          <w:szCs w:val="24"/>
        </w:rPr>
        <w:t xml:space="preserve">. </w:t>
      </w:r>
      <w:r w:rsidR="00E21683">
        <w:rPr>
          <w:rFonts w:ascii="Palatino Linotype" w:hAnsi="Palatino Linotype" w:eastAsia="Palatino Linotype" w:cs="Palatino Linotype"/>
          <w:sz w:val="24"/>
          <w:szCs w:val="24"/>
        </w:rPr>
        <w:t xml:space="preserve">Third, MCE recommended </w:t>
      </w:r>
      <w:r w:rsidR="003B2DDC">
        <w:rPr>
          <w:rFonts w:ascii="Palatino Linotype" w:hAnsi="Palatino Linotype" w:eastAsia="Palatino Linotype" w:cs="Palatino Linotype"/>
          <w:sz w:val="24"/>
          <w:szCs w:val="24"/>
        </w:rPr>
        <w:t>PG&amp;E</w:t>
      </w:r>
      <w:r w:rsidR="00E21683">
        <w:rPr>
          <w:rFonts w:ascii="Palatino Linotype" w:hAnsi="Palatino Linotype" w:eastAsia="Palatino Linotype" w:cs="Palatino Linotype"/>
          <w:sz w:val="24"/>
          <w:szCs w:val="24"/>
        </w:rPr>
        <w:t xml:space="preserve"> consider how to use the clean substation microgrid resources outside of PSPS </w:t>
      </w:r>
      <w:proofErr w:type="gramStart"/>
      <w:r w:rsidR="00E21683">
        <w:rPr>
          <w:rFonts w:ascii="Palatino Linotype" w:hAnsi="Palatino Linotype" w:eastAsia="Palatino Linotype" w:cs="Palatino Linotype"/>
          <w:sz w:val="24"/>
          <w:szCs w:val="24"/>
        </w:rPr>
        <w:t>events, and</w:t>
      </w:r>
      <w:proofErr w:type="gramEnd"/>
      <w:r w:rsidR="00E21683">
        <w:rPr>
          <w:rFonts w:ascii="Palatino Linotype" w:hAnsi="Palatino Linotype" w:eastAsia="Palatino Linotype" w:cs="Palatino Linotype"/>
          <w:sz w:val="24"/>
          <w:szCs w:val="24"/>
        </w:rPr>
        <w:t xml:space="preserve"> noted that the option to operate the project under a limited number of courtesy dispatches moves in this direction.</w:t>
      </w:r>
    </w:p>
    <w:p w:rsidRPr="00E029EE" w:rsidR="00BA180E" w:rsidP="1EDC5FC2" w:rsidRDefault="00BA180E" w14:paraId="4AAA8978" w14:textId="77777777">
      <w:pPr>
        <w:rPr>
          <w:rFonts w:ascii="Palatino Linotype" w:hAnsi="Palatino Linotype" w:eastAsia="Palatino Linotype" w:cs="Palatino Linotype"/>
          <w:sz w:val="24"/>
          <w:szCs w:val="24"/>
        </w:rPr>
      </w:pPr>
    </w:p>
    <w:p w:rsidR="00DF10C0" w:rsidP="001C32DD" w:rsidRDefault="00DF10C0" w14:paraId="6F14E56A" w14:textId="76F29FC7">
      <w:pPr>
        <w:keepNext/>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lastRenderedPageBreak/>
        <w:t>PG&amp;E Reply to Protests – J</w:t>
      </w:r>
      <w:r w:rsidR="00BB2139">
        <w:rPr>
          <w:rFonts w:ascii="Palatino Linotype" w:hAnsi="Palatino Linotype" w:eastAsia="Palatino Linotype" w:cs="Palatino Linotype"/>
          <w:b/>
          <w:bCs/>
          <w:sz w:val="24"/>
          <w:szCs w:val="24"/>
        </w:rPr>
        <w:t>anuary 26</w:t>
      </w:r>
      <w:r w:rsidR="003D680B">
        <w:rPr>
          <w:rFonts w:ascii="Palatino Linotype" w:hAnsi="Palatino Linotype" w:eastAsia="Palatino Linotype" w:cs="Palatino Linotype"/>
          <w:b/>
          <w:bCs/>
          <w:sz w:val="24"/>
          <w:szCs w:val="24"/>
        </w:rPr>
        <w:t>, 202</w:t>
      </w:r>
      <w:r w:rsidR="00BB2139">
        <w:rPr>
          <w:rFonts w:ascii="Palatino Linotype" w:hAnsi="Palatino Linotype" w:eastAsia="Palatino Linotype" w:cs="Palatino Linotype"/>
          <w:b/>
          <w:bCs/>
          <w:sz w:val="24"/>
          <w:szCs w:val="24"/>
        </w:rPr>
        <w:t>3</w:t>
      </w:r>
    </w:p>
    <w:p w:rsidR="001F29CF" w:rsidP="001C32DD" w:rsidRDefault="001F29CF" w14:paraId="35A6FAD1" w14:textId="742FE0D2">
      <w:pPr>
        <w:keepNext/>
        <w:rPr>
          <w:rFonts w:ascii="Palatino Linotype" w:hAnsi="Palatino Linotype" w:eastAsia="Palatino Linotype" w:cs="Palatino Linotype"/>
          <w:b/>
          <w:bCs/>
          <w:sz w:val="24"/>
          <w:szCs w:val="24"/>
        </w:rPr>
      </w:pPr>
    </w:p>
    <w:p w:rsidR="00B469CE" w:rsidP="001C32DD" w:rsidRDefault="00B469CE" w14:paraId="6BD0C741" w14:textId="472CB7DB">
      <w:pPr>
        <w:keepNext/>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In its reply to the </w:t>
      </w:r>
      <w:r w:rsidR="004224C5">
        <w:rPr>
          <w:rFonts w:ascii="Palatino Linotype" w:hAnsi="Palatino Linotype" w:eastAsia="Palatino Linotype" w:cs="Palatino Linotype"/>
          <w:sz w:val="24"/>
          <w:szCs w:val="24"/>
        </w:rPr>
        <w:t>protest and response</w:t>
      </w:r>
      <w:r>
        <w:rPr>
          <w:rFonts w:ascii="Palatino Linotype" w:hAnsi="Palatino Linotype" w:eastAsia="Palatino Linotype" w:cs="Palatino Linotype"/>
          <w:sz w:val="24"/>
          <w:szCs w:val="24"/>
        </w:rPr>
        <w:t xml:space="preserve">, </w:t>
      </w:r>
      <w:r w:rsidR="004450BE">
        <w:rPr>
          <w:rFonts w:ascii="Palatino Linotype" w:hAnsi="Palatino Linotype" w:eastAsia="Palatino Linotype" w:cs="Palatino Linotype"/>
          <w:sz w:val="24"/>
          <w:szCs w:val="24"/>
        </w:rPr>
        <w:t xml:space="preserve">PG&amp;E </w:t>
      </w:r>
      <w:r w:rsidR="005D7804">
        <w:rPr>
          <w:rFonts w:ascii="Palatino Linotype" w:hAnsi="Palatino Linotype" w:eastAsia="Palatino Linotype" w:cs="Palatino Linotype"/>
          <w:sz w:val="24"/>
          <w:szCs w:val="24"/>
        </w:rPr>
        <w:t>argues that its Advice Letter should be approved without further filings because it meets all requirements and is aligned with Commission and State policies</w:t>
      </w:r>
      <w:r w:rsidR="00726FC3">
        <w:rPr>
          <w:rFonts w:ascii="Palatino Linotype" w:hAnsi="Palatino Linotype" w:eastAsia="Palatino Linotype" w:cs="Palatino Linotype"/>
          <w:sz w:val="24"/>
          <w:szCs w:val="24"/>
        </w:rPr>
        <w:t>.</w:t>
      </w:r>
    </w:p>
    <w:p w:rsidR="0097325F" w:rsidP="1EDC5FC2" w:rsidRDefault="0097325F" w14:paraId="58A55421" w14:textId="599967BA">
      <w:pPr>
        <w:rPr>
          <w:rFonts w:ascii="Palatino Linotype" w:hAnsi="Palatino Linotype" w:eastAsia="Palatino Linotype" w:cs="Palatino Linotype"/>
          <w:sz w:val="24"/>
          <w:szCs w:val="24"/>
        </w:rPr>
      </w:pPr>
    </w:p>
    <w:p w:rsidR="0097325F" w:rsidP="1EDC5FC2" w:rsidRDefault="004224C5" w14:paraId="6D2D406E" w14:textId="50A276F3">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In its</w:t>
      </w:r>
      <w:r w:rsidR="00F81360">
        <w:rPr>
          <w:rFonts w:ascii="Palatino Linotype" w:hAnsi="Palatino Linotype" w:eastAsia="Palatino Linotype" w:cs="Palatino Linotype"/>
          <w:sz w:val="24"/>
          <w:szCs w:val="24"/>
        </w:rPr>
        <w:t xml:space="preserve"> response to </w:t>
      </w:r>
      <w:r>
        <w:rPr>
          <w:rFonts w:ascii="Palatino Linotype" w:hAnsi="Palatino Linotype" w:eastAsia="Palatino Linotype" w:cs="Palatino Linotype"/>
          <w:sz w:val="24"/>
          <w:szCs w:val="24"/>
        </w:rPr>
        <w:t>PAO</w:t>
      </w:r>
      <w:r w:rsidR="00F81360">
        <w:rPr>
          <w:rFonts w:ascii="Palatino Linotype" w:hAnsi="Palatino Linotype" w:eastAsia="Palatino Linotype" w:cs="Palatino Linotype"/>
          <w:sz w:val="24"/>
          <w:szCs w:val="24"/>
        </w:rPr>
        <w:t xml:space="preserve">, </w:t>
      </w:r>
      <w:r w:rsidR="0097325F">
        <w:rPr>
          <w:rFonts w:ascii="Palatino Linotype" w:hAnsi="Palatino Linotype" w:eastAsia="Palatino Linotype" w:cs="Palatino Linotype"/>
          <w:sz w:val="24"/>
          <w:szCs w:val="24"/>
        </w:rPr>
        <w:t>PG&amp;E</w:t>
      </w:r>
      <w:r w:rsidR="00726FC3">
        <w:rPr>
          <w:rFonts w:ascii="Palatino Linotype" w:hAnsi="Palatino Linotype" w:eastAsia="Palatino Linotype" w:cs="Palatino Linotype"/>
          <w:sz w:val="24"/>
          <w:szCs w:val="24"/>
        </w:rPr>
        <w:t xml:space="preserve"> </w:t>
      </w:r>
      <w:r w:rsidR="00544C74">
        <w:rPr>
          <w:rFonts w:ascii="Palatino Linotype" w:hAnsi="Palatino Linotype" w:eastAsia="Palatino Linotype" w:cs="Palatino Linotype"/>
          <w:sz w:val="24"/>
          <w:szCs w:val="24"/>
        </w:rPr>
        <w:t xml:space="preserve">argues that PAO’s assertions of non-compliance with </w:t>
      </w:r>
      <w:r w:rsidR="00566116">
        <w:rPr>
          <w:rFonts w:ascii="Palatino Linotype" w:hAnsi="Palatino Linotype" w:eastAsia="Palatino Linotype" w:cs="Palatino Linotype"/>
          <w:sz w:val="24"/>
          <w:szCs w:val="24"/>
        </w:rPr>
        <w:t>D.2</w:t>
      </w:r>
      <w:r w:rsidR="00544C74">
        <w:rPr>
          <w:rFonts w:ascii="Palatino Linotype" w:hAnsi="Palatino Linotype" w:eastAsia="Palatino Linotype" w:cs="Palatino Linotype"/>
          <w:sz w:val="24"/>
          <w:szCs w:val="24"/>
        </w:rPr>
        <w:t>1-01-018 are incorrect</w:t>
      </w:r>
      <w:r w:rsidR="00F81360">
        <w:rPr>
          <w:rFonts w:ascii="Palatino Linotype" w:hAnsi="Palatino Linotype" w:eastAsia="Palatino Linotype" w:cs="Palatino Linotype"/>
          <w:sz w:val="24"/>
          <w:szCs w:val="24"/>
        </w:rPr>
        <w:t>.</w:t>
      </w:r>
      <w:r w:rsidR="00544C74">
        <w:rPr>
          <w:rFonts w:ascii="Palatino Linotype" w:hAnsi="Palatino Linotype" w:eastAsia="Palatino Linotype" w:cs="Palatino Linotype"/>
          <w:sz w:val="24"/>
          <w:szCs w:val="24"/>
        </w:rPr>
        <w:t xml:space="preserve"> PG&amp;E notes that it complied with the site selection criteria in </w:t>
      </w:r>
      <w:r w:rsidR="00566116">
        <w:rPr>
          <w:rFonts w:ascii="Palatino Linotype" w:hAnsi="Palatino Linotype" w:eastAsia="Palatino Linotype" w:cs="Palatino Linotype"/>
          <w:sz w:val="24"/>
          <w:szCs w:val="24"/>
        </w:rPr>
        <w:t>D.2</w:t>
      </w:r>
      <w:r w:rsidR="00544C74">
        <w:rPr>
          <w:rFonts w:ascii="Palatino Linotype" w:hAnsi="Palatino Linotype" w:eastAsia="Palatino Linotype" w:cs="Palatino Linotype"/>
          <w:sz w:val="24"/>
          <w:szCs w:val="24"/>
        </w:rPr>
        <w:t xml:space="preserve">1-01-018, confirming that </w:t>
      </w:r>
      <w:r w:rsidR="004B5102">
        <w:rPr>
          <w:rFonts w:ascii="Palatino Linotype" w:hAnsi="Palatino Linotype" w:eastAsia="Palatino Linotype" w:cs="Palatino Linotype"/>
          <w:sz w:val="24"/>
          <w:szCs w:val="24"/>
        </w:rPr>
        <w:t xml:space="preserve">PG&amp;E </w:t>
      </w:r>
      <w:r w:rsidR="00544C74">
        <w:rPr>
          <w:rFonts w:ascii="Palatino Linotype" w:hAnsi="Palatino Linotype" w:eastAsia="Palatino Linotype" w:cs="Palatino Linotype"/>
          <w:sz w:val="24"/>
          <w:szCs w:val="24"/>
        </w:rPr>
        <w:t xml:space="preserve">does not have ongoing, </w:t>
      </w:r>
      <w:proofErr w:type="gramStart"/>
      <w:r w:rsidR="00544C74">
        <w:rPr>
          <w:rFonts w:ascii="Palatino Linotype" w:hAnsi="Palatino Linotype" w:eastAsia="Palatino Linotype" w:cs="Palatino Linotype"/>
          <w:sz w:val="24"/>
          <w:szCs w:val="24"/>
        </w:rPr>
        <w:t>planned</w:t>
      </w:r>
      <w:proofErr w:type="gramEnd"/>
      <w:r w:rsidR="00544C74">
        <w:rPr>
          <w:rFonts w:ascii="Palatino Linotype" w:hAnsi="Palatino Linotype" w:eastAsia="Palatino Linotype" w:cs="Palatino Linotype"/>
          <w:sz w:val="24"/>
          <w:szCs w:val="24"/>
        </w:rPr>
        <w:t xml:space="preserve"> or proposed grid hardening investments that would significantly reduce the risk of transmission-level PSPS </w:t>
      </w:r>
      <w:r w:rsidR="00D923E5">
        <w:rPr>
          <w:rFonts w:ascii="Palatino Linotype" w:hAnsi="Palatino Linotype" w:eastAsia="Palatino Linotype" w:cs="Palatino Linotype"/>
          <w:sz w:val="24"/>
          <w:szCs w:val="24"/>
        </w:rPr>
        <w:t xml:space="preserve">at this substation </w:t>
      </w:r>
      <w:r w:rsidR="00544C74">
        <w:rPr>
          <w:rFonts w:ascii="Palatino Linotype" w:hAnsi="Palatino Linotype" w:eastAsia="Palatino Linotype" w:cs="Palatino Linotype"/>
          <w:sz w:val="24"/>
          <w:szCs w:val="24"/>
        </w:rPr>
        <w:t>over the next 10 years, as required by the Decision</w:t>
      </w:r>
      <w:r w:rsidR="00AC66D3">
        <w:rPr>
          <w:rFonts w:ascii="Palatino Linotype" w:hAnsi="Palatino Linotype" w:eastAsia="Palatino Linotype" w:cs="Palatino Linotype"/>
          <w:sz w:val="24"/>
          <w:szCs w:val="24"/>
        </w:rPr>
        <w:t xml:space="preserve">. PG&amp;E also points out that it </w:t>
      </w:r>
      <w:r w:rsidR="00544C74">
        <w:rPr>
          <w:rFonts w:ascii="Palatino Linotype" w:hAnsi="Palatino Linotype" w:eastAsia="Palatino Linotype" w:cs="Palatino Linotype"/>
          <w:sz w:val="24"/>
          <w:szCs w:val="24"/>
        </w:rPr>
        <w:t xml:space="preserve">rejected other potential sites based on this exact analysis of alternative hardening </w:t>
      </w:r>
      <w:r w:rsidR="00AC66D3">
        <w:rPr>
          <w:rFonts w:ascii="Palatino Linotype" w:hAnsi="Palatino Linotype" w:eastAsia="Palatino Linotype" w:cs="Palatino Linotype"/>
          <w:sz w:val="24"/>
          <w:szCs w:val="24"/>
        </w:rPr>
        <w:t>investments</w:t>
      </w:r>
      <w:r w:rsidR="00544C74">
        <w:rPr>
          <w:rFonts w:ascii="Palatino Linotype" w:hAnsi="Palatino Linotype" w:eastAsia="Palatino Linotype" w:cs="Palatino Linotype"/>
          <w:sz w:val="24"/>
          <w:szCs w:val="24"/>
        </w:rPr>
        <w:t>.</w:t>
      </w:r>
      <w:r w:rsidR="00AC66D3">
        <w:rPr>
          <w:rFonts w:ascii="Palatino Linotype" w:hAnsi="Palatino Linotype" w:eastAsia="Palatino Linotype" w:cs="Palatino Linotype"/>
          <w:sz w:val="24"/>
          <w:szCs w:val="24"/>
        </w:rPr>
        <w:t xml:space="preserve"> </w:t>
      </w:r>
      <w:r w:rsidR="00E82297">
        <w:rPr>
          <w:rFonts w:ascii="Palatino Linotype" w:hAnsi="Palatino Linotype" w:eastAsia="Palatino Linotype" w:cs="Palatino Linotype"/>
          <w:sz w:val="24"/>
          <w:szCs w:val="24"/>
        </w:rPr>
        <w:t xml:space="preserve">PG&amp;E </w:t>
      </w:r>
      <w:r w:rsidR="005D7804">
        <w:rPr>
          <w:rFonts w:ascii="Palatino Linotype" w:hAnsi="Palatino Linotype" w:eastAsia="Palatino Linotype" w:cs="Palatino Linotype"/>
          <w:sz w:val="24"/>
          <w:szCs w:val="24"/>
        </w:rPr>
        <w:t>argues</w:t>
      </w:r>
      <w:r w:rsidR="00E82297">
        <w:rPr>
          <w:rFonts w:ascii="Palatino Linotype" w:hAnsi="Palatino Linotype" w:eastAsia="Palatino Linotype" w:cs="Palatino Linotype"/>
          <w:sz w:val="24"/>
          <w:szCs w:val="24"/>
        </w:rPr>
        <w:t xml:space="preserve"> that the project is technically feasible and </w:t>
      </w:r>
      <w:r w:rsidR="005D7804">
        <w:rPr>
          <w:rFonts w:ascii="Palatino Linotype" w:hAnsi="Palatino Linotype" w:eastAsia="Palatino Linotype" w:cs="Palatino Linotype"/>
          <w:sz w:val="24"/>
          <w:szCs w:val="24"/>
        </w:rPr>
        <w:t xml:space="preserve">notes </w:t>
      </w:r>
      <w:r w:rsidR="00E82297">
        <w:rPr>
          <w:rFonts w:ascii="Palatino Linotype" w:hAnsi="Palatino Linotype" w:eastAsia="Palatino Linotype" w:cs="Palatino Linotype"/>
          <w:sz w:val="24"/>
          <w:szCs w:val="24"/>
        </w:rPr>
        <w:t xml:space="preserve">that its engineers determined that the project is a capable of meeting the technical requirements from </w:t>
      </w:r>
      <w:r w:rsidR="00566116">
        <w:rPr>
          <w:rFonts w:ascii="Palatino Linotype" w:hAnsi="Palatino Linotype" w:eastAsia="Palatino Linotype" w:cs="Palatino Linotype"/>
          <w:sz w:val="24"/>
          <w:szCs w:val="24"/>
        </w:rPr>
        <w:t>D.2</w:t>
      </w:r>
      <w:r w:rsidR="00E82297">
        <w:rPr>
          <w:rFonts w:ascii="Palatino Linotype" w:hAnsi="Palatino Linotype" w:eastAsia="Palatino Linotype" w:cs="Palatino Linotype"/>
          <w:sz w:val="24"/>
          <w:szCs w:val="24"/>
        </w:rPr>
        <w:t xml:space="preserve">1-01-018. </w:t>
      </w:r>
      <w:r w:rsidR="005D7804">
        <w:rPr>
          <w:rFonts w:ascii="Palatino Linotype" w:hAnsi="Palatino Linotype" w:eastAsia="Palatino Linotype" w:cs="Palatino Linotype"/>
          <w:sz w:val="24"/>
          <w:szCs w:val="24"/>
        </w:rPr>
        <w:t>T</w:t>
      </w:r>
      <w:r w:rsidR="00E82297">
        <w:rPr>
          <w:rFonts w:ascii="Palatino Linotype" w:hAnsi="Palatino Linotype" w:eastAsia="Palatino Linotype" w:cs="Palatino Linotype"/>
          <w:sz w:val="24"/>
          <w:szCs w:val="24"/>
        </w:rPr>
        <w:t>he main grid</w:t>
      </w:r>
      <w:r w:rsidR="005D7804">
        <w:rPr>
          <w:rFonts w:ascii="Palatino Linotype" w:hAnsi="Palatino Linotype" w:eastAsia="Palatino Linotype" w:cs="Palatino Linotype"/>
          <w:sz w:val="24"/>
          <w:szCs w:val="24"/>
        </w:rPr>
        <w:t>-</w:t>
      </w:r>
      <w:r w:rsidR="00E82297">
        <w:rPr>
          <w:rFonts w:ascii="Palatino Linotype" w:hAnsi="Palatino Linotype" w:eastAsia="Palatino Linotype" w:cs="Palatino Linotype"/>
          <w:sz w:val="24"/>
          <w:szCs w:val="24"/>
        </w:rPr>
        <w:t xml:space="preserve">forming resource for the microgrid would be a battery energy storage system and related inverter, which are mature technologies which PG&amp;E has used for similar projects in the past. PG&amp;E also employed multiple levels of review to </w:t>
      </w:r>
      <w:r w:rsidR="005D7804">
        <w:rPr>
          <w:rFonts w:ascii="Palatino Linotype" w:hAnsi="Palatino Linotype" w:eastAsia="Palatino Linotype" w:cs="Palatino Linotype"/>
          <w:sz w:val="24"/>
          <w:szCs w:val="24"/>
        </w:rPr>
        <w:t>assess</w:t>
      </w:r>
      <w:r w:rsidR="00E82297">
        <w:rPr>
          <w:rFonts w:ascii="Palatino Linotype" w:hAnsi="Palatino Linotype" w:eastAsia="Palatino Linotype" w:cs="Palatino Linotype"/>
          <w:sz w:val="24"/>
          <w:szCs w:val="24"/>
        </w:rPr>
        <w:t xml:space="preserve"> the safety of the project, as detailed in confidential sections of its reply. Finally,</w:t>
      </w:r>
      <w:r w:rsidR="005D7804">
        <w:rPr>
          <w:rFonts w:ascii="Palatino Linotype" w:hAnsi="Palatino Linotype" w:eastAsia="Palatino Linotype" w:cs="Palatino Linotype"/>
          <w:sz w:val="24"/>
          <w:szCs w:val="24"/>
        </w:rPr>
        <w:t xml:space="preserve"> PG&amp;E argues that the project is financially competitive and falls below both of the cost-effectiveness benchmarks set in the </w:t>
      </w:r>
      <w:r w:rsidR="001C32DD">
        <w:rPr>
          <w:rFonts w:ascii="Palatino Linotype" w:hAnsi="Palatino Linotype" w:eastAsia="Palatino Linotype" w:cs="Palatino Linotype"/>
          <w:sz w:val="24"/>
          <w:szCs w:val="24"/>
        </w:rPr>
        <w:br/>
      </w:r>
      <w:r w:rsidR="002438AD">
        <w:rPr>
          <w:rFonts w:ascii="Palatino Linotype" w:hAnsi="Palatino Linotype" w:eastAsia="Palatino Linotype" w:cs="Palatino Linotype"/>
          <w:sz w:val="24"/>
          <w:szCs w:val="24"/>
        </w:rPr>
        <w:t>D.21-01-018</w:t>
      </w:r>
      <w:r w:rsidR="005D7804">
        <w:rPr>
          <w:rFonts w:ascii="Palatino Linotype" w:hAnsi="Palatino Linotype" w:eastAsia="Palatino Linotype" w:cs="Palatino Linotype"/>
          <w:sz w:val="24"/>
          <w:szCs w:val="24"/>
        </w:rPr>
        <w:t>.</w:t>
      </w:r>
    </w:p>
    <w:p w:rsidR="0097325F" w:rsidP="1EDC5FC2" w:rsidRDefault="0097325F" w14:paraId="1B217ACA" w14:textId="6E705CD7">
      <w:pPr>
        <w:rPr>
          <w:rFonts w:ascii="Palatino Linotype" w:hAnsi="Palatino Linotype" w:eastAsia="Palatino Linotype" w:cs="Palatino Linotype"/>
          <w:sz w:val="24"/>
          <w:szCs w:val="24"/>
        </w:rPr>
      </w:pPr>
    </w:p>
    <w:p w:rsidR="0097325F" w:rsidP="1EDC5FC2" w:rsidRDefault="004224C5" w14:paraId="67A68C8E" w14:textId="0B9E9C63">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In its response to MCE</w:t>
      </w:r>
      <w:r w:rsidR="00F81360">
        <w:rPr>
          <w:rFonts w:ascii="Palatino Linotype" w:hAnsi="Palatino Linotype" w:eastAsia="Palatino Linotype" w:cs="Palatino Linotype"/>
          <w:sz w:val="24"/>
          <w:szCs w:val="24"/>
        </w:rPr>
        <w:t xml:space="preserve">, PG&amp;E </w:t>
      </w:r>
      <w:r>
        <w:rPr>
          <w:rFonts w:ascii="Palatino Linotype" w:hAnsi="Palatino Linotype" w:eastAsia="Palatino Linotype" w:cs="Palatino Linotype"/>
          <w:sz w:val="24"/>
          <w:szCs w:val="24"/>
        </w:rPr>
        <w:t xml:space="preserve">notes </w:t>
      </w:r>
      <w:r w:rsidR="001E487E">
        <w:rPr>
          <w:rFonts w:ascii="Palatino Linotype" w:hAnsi="Palatino Linotype" w:eastAsia="Palatino Linotype" w:cs="Palatino Linotype"/>
          <w:sz w:val="24"/>
          <w:szCs w:val="24"/>
        </w:rPr>
        <w:t>MCE’s general support of the projects</w:t>
      </w:r>
      <w:r w:rsidR="00C262E8">
        <w:rPr>
          <w:rFonts w:ascii="Palatino Linotype" w:hAnsi="Palatino Linotype" w:eastAsia="Palatino Linotype" w:cs="Palatino Linotype"/>
          <w:sz w:val="24"/>
          <w:szCs w:val="24"/>
        </w:rPr>
        <w:t>.</w:t>
      </w:r>
      <w:r w:rsidR="001E487E">
        <w:rPr>
          <w:rFonts w:ascii="Palatino Linotype" w:hAnsi="Palatino Linotype" w:eastAsia="Palatino Linotype" w:cs="Palatino Linotype"/>
          <w:sz w:val="24"/>
          <w:szCs w:val="24"/>
        </w:rPr>
        <w:t xml:space="preserve"> PG&amp;E argues that no commercially viable alternative to the use of diesel trucks to deliver hydrogen currently exists. PG&amp;E also notes that it has no objection to the clean substation microgrid resources operating while connected to the larger grid, i.e. ‘blue sky’ operation. PG&amp;E has not prohibited this </w:t>
      </w:r>
      <w:r w:rsidR="00BE7B73">
        <w:rPr>
          <w:rFonts w:ascii="Palatino Linotype" w:hAnsi="Palatino Linotype" w:eastAsia="Palatino Linotype" w:cs="Palatino Linotype"/>
          <w:sz w:val="24"/>
          <w:szCs w:val="24"/>
        </w:rPr>
        <w:t xml:space="preserve">type of </w:t>
      </w:r>
      <w:r w:rsidR="001E487E">
        <w:rPr>
          <w:rFonts w:ascii="Palatino Linotype" w:hAnsi="Palatino Linotype" w:eastAsia="Palatino Linotype" w:cs="Palatino Linotype"/>
          <w:sz w:val="24"/>
          <w:szCs w:val="24"/>
        </w:rPr>
        <w:t>use, and if Energy Vault deems it cost effective</w:t>
      </w:r>
      <w:r w:rsidR="00347200">
        <w:rPr>
          <w:rFonts w:ascii="Palatino Linotype" w:hAnsi="Palatino Linotype" w:eastAsia="Palatino Linotype" w:cs="Palatino Linotype"/>
          <w:sz w:val="24"/>
          <w:szCs w:val="24"/>
        </w:rPr>
        <w:t>,</w:t>
      </w:r>
      <w:r w:rsidR="001E487E">
        <w:rPr>
          <w:rFonts w:ascii="Palatino Linotype" w:hAnsi="Palatino Linotype" w:eastAsia="Palatino Linotype" w:cs="Palatino Linotype"/>
          <w:sz w:val="24"/>
          <w:szCs w:val="24"/>
        </w:rPr>
        <w:t xml:space="preserve"> it may request to sell ‘blue sky’ products at a future date.</w:t>
      </w:r>
    </w:p>
    <w:p w:rsidR="003B2DDC" w:rsidP="1EDC5FC2" w:rsidRDefault="003B2DDC" w14:paraId="4F5303B6" w14:textId="3EC24E7C">
      <w:pPr>
        <w:rPr>
          <w:rFonts w:ascii="Palatino Linotype" w:hAnsi="Palatino Linotype" w:eastAsia="Palatino Linotype" w:cs="Palatino Linotype"/>
          <w:sz w:val="24"/>
          <w:szCs w:val="24"/>
        </w:rPr>
      </w:pPr>
    </w:p>
    <w:p w:rsidR="003B2DDC" w:rsidP="1EDC5FC2" w:rsidRDefault="005D7804" w14:paraId="3F49BE11" w14:textId="765BF8F2">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PG&amp;E also notes that it </w:t>
      </w:r>
      <w:r w:rsidR="00B140AE">
        <w:rPr>
          <w:rFonts w:ascii="Palatino Linotype" w:hAnsi="Palatino Linotype" w:eastAsia="Palatino Linotype" w:cs="Palatino Linotype"/>
          <w:sz w:val="24"/>
          <w:szCs w:val="24"/>
        </w:rPr>
        <w:t>does not</w:t>
      </w:r>
      <w:r>
        <w:rPr>
          <w:rFonts w:ascii="Palatino Linotype" w:hAnsi="Palatino Linotype" w:eastAsia="Palatino Linotype" w:cs="Palatino Linotype"/>
          <w:sz w:val="24"/>
          <w:szCs w:val="24"/>
        </w:rPr>
        <w:t xml:space="preserve"> oppose an additional reporting requirement to document the actual costs from the project as compared to cost forecasts. </w:t>
      </w:r>
      <w:r w:rsidR="00B140AE">
        <w:rPr>
          <w:rFonts w:ascii="Palatino Linotype" w:hAnsi="Palatino Linotype" w:eastAsia="Palatino Linotype" w:cs="Palatino Linotype"/>
          <w:sz w:val="24"/>
          <w:szCs w:val="24"/>
        </w:rPr>
        <w:t xml:space="preserve">PG&amp;E considers existing environmental performance reporting requirements from </w:t>
      </w:r>
      <w:r w:rsidR="00566116">
        <w:rPr>
          <w:rFonts w:ascii="Palatino Linotype" w:hAnsi="Palatino Linotype" w:eastAsia="Palatino Linotype" w:cs="Palatino Linotype"/>
          <w:sz w:val="24"/>
          <w:szCs w:val="24"/>
        </w:rPr>
        <w:t>D.2</w:t>
      </w:r>
      <w:r w:rsidR="00B140AE">
        <w:rPr>
          <w:rFonts w:ascii="Palatino Linotype" w:hAnsi="Palatino Linotype" w:eastAsia="Palatino Linotype" w:cs="Palatino Linotype"/>
          <w:sz w:val="24"/>
          <w:szCs w:val="24"/>
        </w:rPr>
        <w:t>2-11-009 to apply to this project as a multi-season substation microgrid.</w:t>
      </w:r>
      <w:r w:rsidR="001640DA">
        <w:rPr>
          <w:rStyle w:val="FootnoteReference"/>
          <w:rFonts w:eastAsia="Palatino Linotype" w:cs="Palatino Linotype"/>
          <w:szCs w:val="24"/>
        </w:rPr>
        <w:footnoteReference w:id="5"/>
      </w:r>
    </w:p>
    <w:p w:rsidR="00726FC3" w:rsidP="1EDC5FC2" w:rsidRDefault="00726FC3" w14:paraId="158367FF" w14:textId="6D394D05">
      <w:pPr>
        <w:rPr>
          <w:rFonts w:ascii="Palatino Linotype" w:hAnsi="Palatino Linotype" w:eastAsia="Palatino Linotype" w:cs="Palatino Linotype"/>
          <w:sz w:val="24"/>
          <w:szCs w:val="24"/>
        </w:rPr>
      </w:pPr>
    </w:p>
    <w:p w:rsidRPr="007963D3" w:rsidR="000D4BF4" w:rsidP="1EDC5FC2" w:rsidRDefault="000D4BF4" w14:paraId="688DD1D2" w14:textId="77777777">
      <w:pPr>
        <w:rPr>
          <w:rFonts w:ascii="Palatino Linotype" w:hAnsi="Palatino Linotype" w:eastAsia="Palatino Linotype" w:cs="Palatino Linotype"/>
          <w:sz w:val="24"/>
          <w:szCs w:val="24"/>
        </w:rPr>
      </w:pPr>
    </w:p>
    <w:p w:rsidRPr="007963D3" w:rsidR="00CF17DE" w:rsidP="1EDC5FC2" w:rsidRDefault="00CF17DE" w14:paraId="23E10AE5" w14:textId="77777777">
      <w:pPr>
        <w:pStyle w:val="Heading1"/>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lastRenderedPageBreak/>
        <w:t>Discussion</w:t>
      </w:r>
    </w:p>
    <w:p w:rsidR="00CA25DC" w:rsidP="1EDC5FC2" w:rsidRDefault="00A32525" w14:paraId="624009C3" w14:textId="416A5779">
      <w:pPr>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The Commission</w:t>
      </w:r>
      <w:r w:rsidRPr="1EDC5FC2" w:rsidR="00CF17DE">
        <w:rPr>
          <w:rFonts w:ascii="Palatino Linotype" w:hAnsi="Palatino Linotype" w:eastAsia="Palatino Linotype" w:cs="Palatino Linotype"/>
          <w:sz w:val="24"/>
          <w:szCs w:val="24"/>
        </w:rPr>
        <w:t xml:space="preserve"> has reviewed</w:t>
      </w:r>
      <w:r w:rsidRPr="1EDC5FC2">
        <w:rPr>
          <w:rFonts w:ascii="Palatino Linotype" w:hAnsi="Palatino Linotype" w:eastAsia="Palatino Linotype" w:cs="Palatino Linotype"/>
          <w:sz w:val="24"/>
          <w:szCs w:val="24"/>
        </w:rPr>
        <w:t xml:space="preserve"> the Advice Letter</w:t>
      </w:r>
      <w:r w:rsidR="00A63A0D">
        <w:rPr>
          <w:rFonts w:ascii="Palatino Linotype" w:hAnsi="Palatino Linotype" w:eastAsia="Palatino Linotype" w:cs="Palatino Linotype"/>
          <w:sz w:val="24"/>
          <w:szCs w:val="24"/>
        </w:rPr>
        <w:t xml:space="preserve"> and</w:t>
      </w:r>
      <w:r w:rsidRPr="1EDC5FC2">
        <w:rPr>
          <w:rFonts w:ascii="Palatino Linotype" w:hAnsi="Palatino Linotype" w:eastAsia="Palatino Linotype" w:cs="Palatino Linotype"/>
          <w:sz w:val="24"/>
          <w:szCs w:val="24"/>
        </w:rPr>
        <w:t xml:space="preserve"> the </w:t>
      </w:r>
      <w:proofErr w:type="gramStart"/>
      <w:r w:rsidRPr="1EDC5FC2">
        <w:rPr>
          <w:rFonts w:ascii="Palatino Linotype" w:hAnsi="Palatino Linotype" w:eastAsia="Palatino Linotype" w:cs="Palatino Linotype"/>
          <w:sz w:val="24"/>
          <w:szCs w:val="24"/>
        </w:rPr>
        <w:t>protest</w:t>
      </w:r>
      <w:r w:rsidR="00A63A0D">
        <w:rPr>
          <w:rFonts w:ascii="Palatino Linotype" w:hAnsi="Palatino Linotype" w:eastAsia="Palatino Linotype" w:cs="Palatino Linotype"/>
          <w:sz w:val="24"/>
          <w:szCs w:val="24"/>
        </w:rPr>
        <w:t>s</w:t>
      </w:r>
      <w:r w:rsidRPr="1EDC5FC2">
        <w:rPr>
          <w:rFonts w:ascii="Palatino Linotype" w:hAnsi="Palatino Linotype" w:eastAsia="Palatino Linotype" w:cs="Palatino Linotype"/>
          <w:sz w:val="24"/>
          <w:szCs w:val="24"/>
        </w:rPr>
        <w:t>, and</w:t>
      </w:r>
      <w:proofErr w:type="gramEnd"/>
      <w:r w:rsidRPr="1EDC5FC2">
        <w:rPr>
          <w:rFonts w:ascii="Palatino Linotype" w:hAnsi="Palatino Linotype" w:eastAsia="Palatino Linotype" w:cs="Palatino Linotype"/>
          <w:sz w:val="24"/>
          <w:szCs w:val="24"/>
        </w:rPr>
        <w:t xml:space="preserve"> finds</w:t>
      </w:r>
      <w:r w:rsidR="00A63A0D">
        <w:rPr>
          <w:rFonts w:ascii="Palatino Linotype" w:hAnsi="Palatino Linotype" w:eastAsia="Palatino Linotype" w:cs="Palatino Linotype"/>
          <w:sz w:val="24"/>
          <w:szCs w:val="24"/>
        </w:rPr>
        <w:t xml:space="preserve"> that PG&amp;E’s</w:t>
      </w:r>
      <w:r w:rsidR="00D161D2">
        <w:rPr>
          <w:rFonts w:ascii="Palatino Linotype" w:hAnsi="Palatino Linotype" w:eastAsia="Palatino Linotype" w:cs="Palatino Linotype"/>
          <w:sz w:val="24"/>
          <w:szCs w:val="24"/>
        </w:rPr>
        <w:t xml:space="preserve"> CSM pilot project reasonably follows earlier Commission direction and should be approved</w:t>
      </w:r>
      <w:r w:rsidR="00A63A0D">
        <w:rPr>
          <w:rFonts w:ascii="Palatino Linotype" w:hAnsi="Palatino Linotype" w:eastAsia="Palatino Linotype" w:cs="Palatino Linotype"/>
          <w:sz w:val="24"/>
          <w:szCs w:val="24"/>
        </w:rPr>
        <w:t>. In this section, we respond to various issues raised by party protests</w:t>
      </w:r>
      <w:r w:rsidR="00D161D2">
        <w:rPr>
          <w:rFonts w:ascii="Palatino Linotype" w:hAnsi="Palatino Linotype" w:eastAsia="Palatino Linotype" w:cs="Palatino Linotype"/>
          <w:sz w:val="24"/>
          <w:szCs w:val="24"/>
        </w:rPr>
        <w:t xml:space="preserve">, and confirm that the project meets the conditions set out in </w:t>
      </w:r>
      <w:r w:rsidR="00566116">
        <w:rPr>
          <w:rFonts w:ascii="Palatino Linotype" w:hAnsi="Palatino Linotype" w:eastAsia="Palatino Linotype" w:cs="Palatino Linotype"/>
          <w:sz w:val="24"/>
          <w:szCs w:val="24"/>
        </w:rPr>
        <w:t>D.2</w:t>
      </w:r>
      <w:r w:rsidR="00D161D2">
        <w:rPr>
          <w:rFonts w:ascii="Palatino Linotype" w:hAnsi="Palatino Linotype" w:eastAsia="Palatino Linotype" w:cs="Palatino Linotype"/>
          <w:sz w:val="24"/>
          <w:szCs w:val="24"/>
        </w:rPr>
        <w:t>1-01-018</w:t>
      </w:r>
      <w:r w:rsidRPr="1EDC5FC2">
        <w:rPr>
          <w:rFonts w:ascii="Palatino Linotype" w:hAnsi="Palatino Linotype" w:eastAsia="Palatino Linotype" w:cs="Palatino Linotype"/>
          <w:sz w:val="24"/>
          <w:szCs w:val="24"/>
        </w:rPr>
        <w:t xml:space="preserve">. </w:t>
      </w:r>
    </w:p>
    <w:p w:rsidR="00D161D2" w:rsidP="1EDC5FC2" w:rsidRDefault="00D161D2" w14:paraId="3797B5FF" w14:textId="0CE12898">
      <w:pPr>
        <w:rPr>
          <w:rFonts w:ascii="Palatino Linotype" w:hAnsi="Palatino Linotype" w:eastAsia="Palatino Linotype" w:cs="Palatino Linotype"/>
          <w:sz w:val="24"/>
          <w:szCs w:val="24"/>
        </w:rPr>
      </w:pPr>
    </w:p>
    <w:p w:rsidR="00D161D2" w:rsidP="1EDC5FC2" w:rsidRDefault="00D161D2" w14:paraId="34DEFEB9" w14:textId="27AA84AA">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Specifically, </w:t>
      </w:r>
      <w:r w:rsidR="00566116">
        <w:rPr>
          <w:rFonts w:ascii="Palatino Linotype" w:hAnsi="Palatino Linotype" w:eastAsia="Palatino Linotype" w:cs="Palatino Linotype"/>
          <w:sz w:val="24"/>
          <w:szCs w:val="24"/>
        </w:rPr>
        <w:t>D.2</w:t>
      </w:r>
      <w:r>
        <w:rPr>
          <w:rFonts w:ascii="Palatino Linotype" w:hAnsi="Palatino Linotype" w:eastAsia="Palatino Linotype" w:cs="Palatino Linotype"/>
          <w:sz w:val="24"/>
          <w:szCs w:val="24"/>
        </w:rPr>
        <w:t>1-01-018 required PG&amp;E “t</w:t>
      </w:r>
      <w:r w:rsidRPr="00D161D2">
        <w:rPr>
          <w:rFonts w:ascii="Palatino Linotype" w:hAnsi="Palatino Linotype" w:eastAsia="Palatino Linotype" w:cs="Palatino Linotype"/>
          <w:sz w:val="24"/>
          <w:szCs w:val="24"/>
        </w:rPr>
        <w:t>o document its plans to establish clean substation microgrid projects located at, or able to serve, at least one substation</w:t>
      </w:r>
      <w:r>
        <w:rPr>
          <w:rFonts w:ascii="Palatino Linotype" w:hAnsi="Palatino Linotype" w:eastAsia="Palatino Linotype" w:cs="Palatino Linotype"/>
          <w:sz w:val="24"/>
          <w:szCs w:val="24"/>
        </w:rPr>
        <w:t>” and laid out the following conditions for Clean Substation Microgrid</w:t>
      </w:r>
      <w:r w:rsidR="003B5545">
        <w:rPr>
          <w:rFonts w:ascii="Palatino Linotype" w:hAnsi="Palatino Linotype" w:eastAsia="Palatino Linotype" w:cs="Palatino Linotype"/>
          <w:sz w:val="24"/>
          <w:szCs w:val="24"/>
        </w:rPr>
        <w:t xml:space="preserve"> (CSM)</w:t>
      </w:r>
      <w:r>
        <w:rPr>
          <w:rFonts w:ascii="Palatino Linotype" w:hAnsi="Palatino Linotype" w:eastAsia="Palatino Linotype" w:cs="Palatino Linotype"/>
          <w:sz w:val="24"/>
          <w:szCs w:val="24"/>
        </w:rPr>
        <w:t xml:space="preserve"> pilot projects, which will be referenced below: </w:t>
      </w:r>
    </w:p>
    <w:p w:rsidR="00276916" w:rsidP="1EDC5FC2" w:rsidRDefault="00276916" w14:paraId="63673879" w14:textId="77777777">
      <w:pPr>
        <w:rPr>
          <w:rFonts w:ascii="Palatino Linotype" w:hAnsi="Palatino Linotype" w:eastAsia="Palatino Linotype" w:cs="Palatino Linotype"/>
          <w:sz w:val="24"/>
          <w:szCs w:val="24"/>
        </w:rPr>
      </w:pPr>
    </w:p>
    <w:p w:rsidRPr="00D161D2" w:rsidR="00D161D2" w:rsidP="00D161D2" w:rsidRDefault="00D161D2" w14:paraId="6ABFA53C" w14:textId="77777777">
      <w:pPr>
        <w:pStyle w:val="ListParagraph"/>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b/>
          <w:bCs/>
          <w:sz w:val="24"/>
          <w:szCs w:val="24"/>
        </w:rPr>
        <w:t>2.1.</w:t>
      </w:r>
      <w:r w:rsidRPr="00D161D2">
        <w:rPr>
          <w:rFonts w:ascii="Palatino Linotype" w:hAnsi="Palatino Linotype" w:eastAsia="Palatino Linotype" w:cs="Palatino Linotype"/>
          <w:sz w:val="24"/>
          <w:szCs w:val="24"/>
        </w:rPr>
        <w:t xml:space="preserve"> Projects may be either mobile or stationary, and either temporary or permanent. </w:t>
      </w:r>
    </w:p>
    <w:p w:rsidR="00D161D2" w:rsidP="00D161D2" w:rsidRDefault="00D161D2" w14:paraId="271F31B1" w14:textId="0AD84EE3">
      <w:pPr>
        <w:pStyle w:val="ListParagraph"/>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b/>
          <w:bCs/>
          <w:sz w:val="24"/>
          <w:szCs w:val="24"/>
        </w:rPr>
        <w:t>2.2.</w:t>
      </w:r>
      <w:r w:rsidRPr="00D161D2">
        <w:rPr>
          <w:rFonts w:ascii="Palatino Linotype" w:hAnsi="Palatino Linotype" w:eastAsia="Palatino Linotype" w:cs="Palatino Linotype"/>
          <w:sz w:val="24"/>
          <w:szCs w:val="24"/>
        </w:rPr>
        <w:t xml:space="preserve"> Projects that involve stationary installation of generation at a substation for longer</w:t>
      </w:r>
      <w:r>
        <w:rPr>
          <w:rFonts w:ascii="Palatino Linotype" w:hAnsi="Palatino Linotype" w:eastAsia="Palatino Linotype" w:cs="Palatino Linotype"/>
          <w:sz w:val="24"/>
          <w:szCs w:val="24"/>
        </w:rPr>
        <w:t xml:space="preserve"> </w:t>
      </w:r>
      <w:r w:rsidRPr="00D161D2">
        <w:rPr>
          <w:rFonts w:ascii="Palatino Linotype" w:hAnsi="Palatino Linotype" w:eastAsia="Palatino Linotype" w:cs="Palatino Linotype"/>
          <w:sz w:val="24"/>
          <w:szCs w:val="24"/>
        </w:rPr>
        <w:t xml:space="preserve">than 3 years can only be pursued at substations </w:t>
      </w:r>
      <w:proofErr w:type="gramStart"/>
      <w:r w:rsidRPr="00D161D2">
        <w:rPr>
          <w:rFonts w:ascii="Palatino Linotype" w:hAnsi="Palatino Linotype" w:eastAsia="Palatino Linotype" w:cs="Palatino Linotype"/>
          <w:sz w:val="24"/>
          <w:szCs w:val="24"/>
        </w:rPr>
        <w:t>where</w:t>
      </w:r>
      <w:proofErr w:type="gramEnd"/>
      <w:r w:rsidRPr="00D161D2">
        <w:rPr>
          <w:rFonts w:ascii="Palatino Linotype" w:hAnsi="Palatino Linotype" w:eastAsia="Palatino Linotype" w:cs="Palatino Linotype"/>
          <w:sz w:val="24"/>
          <w:szCs w:val="24"/>
        </w:rPr>
        <w:t>, with high confidence:</w:t>
      </w:r>
    </w:p>
    <w:p w:rsidRPr="00D161D2" w:rsidR="00D161D2" w:rsidP="00D161D2" w:rsidRDefault="00D161D2" w14:paraId="0A55028F" w14:textId="3DDB7D25">
      <w:pPr>
        <w:pStyle w:val="ListParagraph"/>
        <w:numPr>
          <w:ilvl w:val="0"/>
          <w:numId w:val="23"/>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Transmission lines serving the substation may be de-energized because of the fire risk, despite safe-to-energize load at the substation. The probability of transmission-level power loss affecting otherwise safe-to-energize load is relatively high and expected to persist; and</w:t>
      </w:r>
    </w:p>
    <w:p w:rsidR="00D161D2" w:rsidP="00D161D2" w:rsidRDefault="00D161D2" w14:paraId="275713DD" w14:textId="42D217E1">
      <w:pPr>
        <w:pStyle w:val="ListParagraph"/>
        <w:numPr>
          <w:ilvl w:val="0"/>
          <w:numId w:val="23"/>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 xml:space="preserve">Either, the utility does not have ongoing, planned, or proposed grid hardening investments that would significantly reduce the risk of de-energization at this substation over the next 10 </w:t>
      </w:r>
      <w:proofErr w:type="gramStart"/>
      <w:r w:rsidRPr="00D161D2">
        <w:rPr>
          <w:rFonts w:ascii="Palatino Linotype" w:hAnsi="Palatino Linotype" w:eastAsia="Palatino Linotype" w:cs="Palatino Linotype"/>
          <w:sz w:val="24"/>
          <w:szCs w:val="24"/>
        </w:rPr>
        <w:t>years;</w:t>
      </w:r>
      <w:proofErr w:type="gramEnd"/>
    </w:p>
    <w:p w:rsidR="00D161D2" w:rsidP="00D161D2" w:rsidRDefault="00D161D2" w14:paraId="348145A1" w14:textId="5CC9F858">
      <w:pPr>
        <w:pStyle w:val="ListParagraph"/>
        <w:numPr>
          <w:ilvl w:val="0"/>
          <w:numId w:val="23"/>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Or,</w:t>
      </w:r>
      <w:r>
        <w:rPr>
          <w:rFonts w:ascii="Palatino Linotype" w:hAnsi="Palatino Linotype" w:eastAsia="Palatino Linotype" w:cs="Palatino Linotype"/>
          <w:sz w:val="24"/>
          <w:szCs w:val="24"/>
        </w:rPr>
        <w:t xml:space="preserve"> </w:t>
      </w:r>
      <w:r w:rsidRPr="00D161D2">
        <w:rPr>
          <w:rFonts w:ascii="Palatino Linotype" w:hAnsi="Palatino Linotype" w:eastAsia="Palatino Linotype" w:cs="Palatino Linotype"/>
          <w:sz w:val="24"/>
          <w:szCs w:val="24"/>
        </w:rPr>
        <w:t>alternatively, the cost of proposed grid hardening investments exceed $10 million multiplied by the peak substation load in MW, and a permanent microgrid would replace the need for grid hardening.</w:t>
      </w:r>
    </w:p>
    <w:p w:rsidR="00D161D2" w:rsidP="00D161D2" w:rsidRDefault="00D161D2" w14:paraId="35E1F4F3" w14:textId="12FCA1D9">
      <w:pPr>
        <w:ind w:left="720"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b/>
          <w:bCs/>
          <w:sz w:val="24"/>
          <w:szCs w:val="24"/>
        </w:rPr>
        <w:t>2.3.</w:t>
      </w:r>
      <w:r w:rsidRPr="00D161D2">
        <w:rPr>
          <w:rFonts w:ascii="Palatino Linotype" w:hAnsi="Palatino Linotype" w:eastAsia="Palatino Linotype" w:cs="Palatino Linotype"/>
          <w:sz w:val="24"/>
          <w:szCs w:val="24"/>
        </w:rPr>
        <w:t xml:space="preserve"> Proposed projects must be judged technically feasible, safe, and financially competitive</w:t>
      </w:r>
      <w:r w:rsidRPr="00D161D2">
        <w:t xml:space="preserve"> </w:t>
      </w:r>
      <w:r w:rsidRPr="00D161D2">
        <w:rPr>
          <w:rFonts w:ascii="Palatino Linotype" w:hAnsi="Palatino Linotype" w:eastAsia="Palatino Linotype" w:cs="Palatino Linotype"/>
          <w:sz w:val="24"/>
          <w:szCs w:val="24"/>
        </w:rPr>
        <w:t>by the utility. At minimum, these solutions should meet the following requirements:</w:t>
      </w:r>
    </w:p>
    <w:p w:rsidRPr="00D161D2" w:rsidR="00D161D2" w:rsidP="00D161D2" w:rsidRDefault="00D161D2" w14:paraId="3F8614FD" w14:textId="56DC45D5">
      <w:pPr>
        <w:pStyle w:val="ListParagraph"/>
        <w:numPr>
          <w:ilvl w:val="0"/>
          <w:numId w:val="25"/>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Design should be capable of islanding for 48 hours.</w:t>
      </w:r>
    </w:p>
    <w:p w:rsidRPr="00D161D2" w:rsidR="00D161D2" w:rsidP="00D161D2" w:rsidRDefault="00D161D2" w14:paraId="15DFFEC3" w14:textId="72363770">
      <w:pPr>
        <w:pStyle w:val="ListParagraph"/>
        <w:numPr>
          <w:ilvl w:val="0"/>
          <w:numId w:val="25"/>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Design should be able to black start the substation load.</w:t>
      </w:r>
    </w:p>
    <w:p w:rsidRPr="00D161D2" w:rsidR="00D161D2" w:rsidP="00D161D2" w:rsidRDefault="00D161D2" w14:paraId="4D3D31F1" w14:textId="71313D0C">
      <w:pPr>
        <w:pStyle w:val="ListParagraph"/>
        <w:numPr>
          <w:ilvl w:val="0"/>
          <w:numId w:val="25"/>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 xml:space="preserve">Design should meet cold load pickup requirements. </w:t>
      </w:r>
    </w:p>
    <w:p w:rsidRPr="00D161D2" w:rsidR="00D161D2" w:rsidP="00D161D2" w:rsidRDefault="00D161D2" w14:paraId="3FB1BFBF" w14:textId="4C2E9A07">
      <w:pPr>
        <w:pStyle w:val="ListParagraph"/>
        <w:numPr>
          <w:ilvl w:val="0"/>
          <w:numId w:val="25"/>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Design must meet frequency and frequency response requirements.</w:t>
      </w:r>
    </w:p>
    <w:p w:rsidRPr="00D161D2" w:rsidR="00D161D2" w:rsidP="00D161D2" w:rsidRDefault="00D161D2" w14:paraId="2115CA05" w14:textId="3668D189">
      <w:pPr>
        <w:pStyle w:val="ListParagraph"/>
        <w:numPr>
          <w:ilvl w:val="0"/>
          <w:numId w:val="25"/>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Design should meet protection requirements or include protection upgrades.</w:t>
      </w:r>
    </w:p>
    <w:p w:rsidRPr="00D161D2" w:rsidR="00D161D2" w:rsidP="00D161D2" w:rsidRDefault="00D161D2" w14:paraId="00D9B2FD" w14:textId="710B77D9">
      <w:pPr>
        <w:pStyle w:val="ListParagraph"/>
        <w:numPr>
          <w:ilvl w:val="0"/>
          <w:numId w:val="25"/>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lastRenderedPageBreak/>
        <w:t>The cost of the project to ratepayers may not exceed twice the expected cost of utilizing backup diesel generation over the contract period. In total, the cost may not exceed the expected cost of 20 years of diesel rental and operation.</w:t>
      </w:r>
    </w:p>
    <w:p w:rsidR="00D161D2" w:rsidP="00D161D2" w:rsidRDefault="00D161D2" w14:paraId="5CE51824" w14:textId="70D48385">
      <w:pPr>
        <w:ind w:left="720"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b/>
          <w:bCs/>
          <w:sz w:val="24"/>
          <w:szCs w:val="24"/>
        </w:rPr>
        <w:t>2.4.</w:t>
      </w:r>
      <w:r w:rsidRPr="00D161D2">
        <w:rPr>
          <w:rFonts w:ascii="Palatino Linotype" w:hAnsi="Palatino Linotype" w:eastAsia="Palatino Linotype" w:cs="Palatino Linotype"/>
          <w:sz w:val="24"/>
          <w:szCs w:val="24"/>
        </w:rPr>
        <w:t xml:space="preserve"> Proposed solutions should meet the following general criteria:</w:t>
      </w:r>
    </w:p>
    <w:p w:rsidRPr="00D161D2" w:rsidR="00D161D2" w:rsidP="00D161D2" w:rsidRDefault="00D161D2" w14:paraId="51BDEECD" w14:textId="724E39E5">
      <w:pPr>
        <w:pStyle w:val="ListParagraph"/>
        <w:numPr>
          <w:ilvl w:val="0"/>
          <w:numId w:val="27"/>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If safe to do so, it is permissible for a subset of the project generation and/or storage resources to enter operation before the entire project is completed, allowing the project to progress in stages.</w:t>
      </w:r>
    </w:p>
    <w:p w:rsidRPr="00D161D2" w:rsidR="00D161D2" w:rsidP="00D161D2" w:rsidRDefault="00D161D2" w14:paraId="7E7F14F9" w14:textId="6B93ED2D">
      <w:pPr>
        <w:pStyle w:val="ListParagraph"/>
        <w:numPr>
          <w:ilvl w:val="0"/>
          <w:numId w:val="27"/>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By the 2022 fire season, September 1, 2022</w:t>
      </w:r>
      <w:r w:rsidR="003918CA">
        <w:rPr>
          <w:rFonts w:ascii="Palatino Linotype" w:hAnsi="Palatino Linotype" w:eastAsia="Palatino Linotype" w:cs="Palatino Linotype"/>
          <w:sz w:val="24"/>
          <w:szCs w:val="24"/>
        </w:rPr>
        <w:t xml:space="preserve"> [Extended to 2024 by </w:t>
      </w:r>
      <w:r w:rsidR="0058489F">
        <w:rPr>
          <w:rFonts w:ascii="Palatino Linotype" w:hAnsi="Palatino Linotype" w:eastAsia="Palatino Linotype" w:cs="Palatino Linotype"/>
          <w:sz w:val="24"/>
          <w:szCs w:val="24"/>
        </w:rPr>
        <w:t>Executive Director</w:t>
      </w:r>
      <w:r w:rsidR="003918CA">
        <w:rPr>
          <w:rFonts w:ascii="Palatino Linotype" w:hAnsi="Palatino Linotype" w:eastAsia="Palatino Linotype" w:cs="Palatino Linotype"/>
          <w:sz w:val="24"/>
          <w:szCs w:val="24"/>
        </w:rPr>
        <w:t xml:space="preserve"> letter</w:t>
      </w:r>
      <w:r w:rsidR="0058489F">
        <w:rPr>
          <w:rFonts w:ascii="Palatino Linotype" w:hAnsi="Palatino Linotype" w:eastAsia="Palatino Linotype" w:cs="Palatino Linotype"/>
          <w:sz w:val="24"/>
          <w:szCs w:val="24"/>
        </w:rPr>
        <w:t xml:space="preserve"> on August 1, 2022</w:t>
      </w:r>
      <w:r w:rsidR="003918CA">
        <w:rPr>
          <w:rFonts w:ascii="Palatino Linotype" w:hAnsi="Palatino Linotype" w:eastAsia="Palatino Linotype" w:cs="Palatino Linotype"/>
          <w:sz w:val="24"/>
          <w:szCs w:val="24"/>
        </w:rPr>
        <w:t>]</w:t>
      </w:r>
      <w:r w:rsidRPr="00D161D2">
        <w:rPr>
          <w:rFonts w:ascii="Palatino Linotype" w:hAnsi="Palatino Linotype" w:eastAsia="Palatino Linotype" w:cs="Palatino Linotype"/>
          <w:sz w:val="24"/>
          <w:szCs w:val="24"/>
        </w:rPr>
        <w:t>, emission from islanding the substation during PSPS events should be significantly reduced, including:</w:t>
      </w:r>
    </w:p>
    <w:p w:rsidRPr="00D161D2" w:rsidR="00D161D2" w:rsidP="00D161D2" w:rsidRDefault="00D161D2" w14:paraId="6C5480E0" w14:textId="3DAAA3FF">
      <w:pPr>
        <w:pStyle w:val="ListParagraph"/>
        <w:numPr>
          <w:ilvl w:val="1"/>
          <w:numId w:val="27"/>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At least a 90 percent reduction in PM emissions and NOx emissions compared to what would have been emitted if large Tier 2 Diesel Generators had been used instead of the project.</w:t>
      </w:r>
    </w:p>
    <w:p w:rsidRPr="00D161D2" w:rsidR="00D161D2" w:rsidP="00D161D2" w:rsidRDefault="00D161D2" w14:paraId="00E10B4A" w14:textId="004C9DB2">
      <w:pPr>
        <w:pStyle w:val="ListParagraph"/>
        <w:numPr>
          <w:ilvl w:val="1"/>
          <w:numId w:val="27"/>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Greenhouse gas emissions roughly equivalent to, or less than, emissions from the current grid mix.</w:t>
      </w:r>
    </w:p>
    <w:p w:rsidRPr="00D161D2" w:rsidR="00D161D2" w:rsidP="00D161D2" w:rsidRDefault="00D161D2" w14:paraId="547AB760" w14:textId="07A7A525">
      <w:pPr>
        <w:pStyle w:val="ListParagraph"/>
        <w:numPr>
          <w:ilvl w:val="1"/>
          <w:numId w:val="27"/>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Although only criteria (b) above need to be met by the</w:t>
      </w:r>
      <w:r w:rsidR="003918CA">
        <w:rPr>
          <w:rFonts w:ascii="Palatino Linotype" w:hAnsi="Palatino Linotype" w:eastAsia="Palatino Linotype" w:cs="Palatino Linotype"/>
          <w:sz w:val="24"/>
          <w:szCs w:val="24"/>
        </w:rPr>
        <w:t xml:space="preserve"> [2024]</w:t>
      </w:r>
      <w:r w:rsidRPr="00D161D2">
        <w:rPr>
          <w:rFonts w:ascii="Palatino Linotype" w:hAnsi="Palatino Linotype" w:eastAsia="Palatino Linotype" w:cs="Palatino Linotype"/>
          <w:sz w:val="24"/>
          <w:szCs w:val="24"/>
        </w:rPr>
        <w:t xml:space="preserve"> fire season, as an interim milestone, completed permanent projects must demonstrate a fully renewable microgrid.</w:t>
      </w:r>
    </w:p>
    <w:p w:rsidRPr="00D161D2" w:rsidR="00D161D2" w:rsidP="00D161D2" w:rsidRDefault="00D161D2" w14:paraId="23C67CE8" w14:textId="770EA63E">
      <w:pPr>
        <w:pStyle w:val="ListParagraph"/>
        <w:numPr>
          <w:ilvl w:val="1"/>
          <w:numId w:val="27"/>
        </w:numPr>
        <w:ind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The project may be capable of export during normal conditions, but it is not required to do so.</w:t>
      </w:r>
    </w:p>
    <w:p w:rsidR="00D161D2" w:rsidP="00D161D2" w:rsidRDefault="00D161D2" w14:paraId="1374BE1D" w14:textId="10970195">
      <w:pPr>
        <w:ind w:left="720" w:right="720"/>
        <w:rPr>
          <w:rFonts w:ascii="Palatino Linotype" w:hAnsi="Palatino Linotype" w:eastAsia="Palatino Linotype" w:cs="Palatino Linotype"/>
          <w:sz w:val="24"/>
          <w:szCs w:val="24"/>
        </w:rPr>
      </w:pPr>
      <w:r w:rsidRPr="00D161D2">
        <w:rPr>
          <w:rFonts w:ascii="Palatino Linotype" w:hAnsi="Palatino Linotype" w:eastAsia="Palatino Linotype" w:cs="Palatino Linotype"/>
          <w:b/>
          <w:bCs/>
          <w:sz w:val="24"/>
          <w:szCs w:val="24"/>
        </w:rPr>
        <w:t>2.5.</w:t>
      </w:r>
      <w:r>
        <w:rPr>
          <w:rFonts w:ascii="Palatino Linotype" w:hAnsi="Palatino Linotype" w:eastAsia="Palatino Linotype" w:cs="Palatino Linotype"/>
          <w:sz w:val="24"/>
          <w:szCs w:val="24"/>
        </w:rPr>
        <w:t xml:space="preserve"> </w:t>
      </w:r>
      <w:r w:rsidRPr="00D161D2">
        <w:rPr>
          <w:rFonts w:ascii="Palatino Linotype" w:hAnsi="Palatino Linotype" w:eastAsia="Palatino Linotype" w:cs="Palatino Linotype"/>
          <w:sz w:val="24"/>
          <w:szCs w:val="24"/>
        </w:rPr>
        <w:t>Total cost of all projects over their expected useful life may not exceed $350 million.</w:t>
      </w:r>
      <w:r>
        <w:rPr>
          <w:rStyle w:val="FootnoteReference"/>
          <w:rFonts w:eastAsia="Palatino Linotype" w:cs="Palatino Linotype"/>
          <w:szCs w:val="24"/>
        </w:rPr>
        <w:footnoteReference w:id="6"/>
      </w:r>
    </w:p>
    <w:p w:rsidR="00D161D2" w:rsidP="00D161D2" w:rsidRDefault="00D161D2" w14:paraId="329686C8" w14:textId="094B86CE">
      <w:pPr>
        <w:ind w:right="720"/>
        <w:rPr>
          <w:rFonts w:ascii="Palatino Linotype" w:hAnsi="Palatino Linotype" w:eastAsia="Palatino Linotype" w:cs="Palatino Linotype"/>
          <w:sz w:val="24"/>
          <w:szCs w:val="24"/>
        </w:rPr>
      </w:pPr>
    </w:p>
    <w:p w:rsidR="003918CA" w:rsidP="00D161D2" w:rsidRDefault="003918CA" w14:paraId="317F3034" w14:textId="0C875D52">
      <w:pPr>
        <w:ind w:right="720"/>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PG&amp;E’s proposal for a stationary and permanent (i.e.</w:t>
      </w:r>
      <w:r w:rsidR="00276916">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10.5 year) microgrid at the Calistoga substation meets condition 2.1 and triggers condition 2.2.</w:t>
      </w:r>
    </w:p>
    <w:p w:rsidR="00CA25DC" w:rsidP="1EDC5FC2" w:rsidRDefault="00CA25DC" w14:paraId="5B2F9290" w14:textId="169A8210">
      <w:pPr>
        <w:rPr>
          <w:rFonts w:ascii="Palatino Linotype" w:hAnsi="Palatino Linotype" w:eastAsia="Palatino Linotype" w:cs="Palatino Linotype"/>
          <w:sz w:val="24"/>
          <w:szCs w:val="24"/>
        </w:rPr>
      </w:pPr>
    </w:p>
    <w:p w:rsidRPr="007963D3" w:rsidR="003918CA" w:rsidP="1EDC5FC2" w:rsidRDefault="003918CA" w14:paraId="407C4CEB" w14:textId="77777777">
      <w:pPr>
        <w:rPr>
          <w:rFonts w:ascii="Palatino Linotype" w:hAnsi="Palatino Linotype" w:eastAsia="Palatino Linotype" w:cs="Palatino Linotype"/>
          <w:sz w:val="24"/>
          <w:szCs w:val="24"/>
        </w:rPr>
      </w:pPr>
    </w:p>
    <w:p w:rsidR="00CF17DE" w:rsidP="1EDC5FC2" w:rsidRDefault="00D161D2" w14:paraId="40E7C61D" w14:textId="2BBD7582">
      <w:pPr>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 xml:space="preserve">Calistoga is an adequate location for the Clean Substation Microgrid Pilot required by </w:t>
      </w:r>
      <w:r w:rsidR="00566116">
        <w:rPr>
          <w:rFonts w:ascii="Palatino Linotype" w:hAnsi="Palatino Linotype" w:eastAsia="Palatino Linotype" w:cs="Palatino Linotype"/>
          <w:b/>
          <w:bCs/>
          <w:sz w:val="24"/>
          <w:szCs w:val="24"/>
        </w:rPr>
        <w:t>D.2</w:t>
      </w:r>
      <w:r w:rsidRPr="00D161D2">
        <w:rPr>
          <w:rFonts w:ascii="Palatino Linotype" w:hAnsi="Palatino Linotype" w:eastAsia="Palatino Linotype" w:cs="Palatino Linotype"/>
          <w:b/>
          <w:bCs/>
          <w:sz w:val="24"/>
          <w:szCs w:val="24"/>
        </w:rPr>
        <w:t>1-01-018</w:t>
      </w:r>
      <w:r w:rsidR="00A63A0D">
        <w:rPr>
          <w:rFonts w:ascii="Palatino Linotype" w:hAnsi="Palatino Linotype" w:eastAsia="Palatino Linotype" w:cs="Palatino Linotype"/>
          <w:b/>
          <w:bCs/>
          <w:sz w:val="24"/>
          <w:szCs w:val="24"/>
        </w:rPr>
        <w:t>.</w:t>
      </w:r>
    </w:p>
    <w:p w:rsidR="00103538" w:rsidP="1EDC5FC2" w:rsidRDefault="00103538" w14:paraId="71C49E38" w14:textId="1EF6CFA5">
      <w:pPr>
        <w:rPr>
          <w:rFonts w:ascii="Palatino Linotype" w:hAnsi="Palatino Linotype" w:eastAsia="Palatino Linotype" w:cs="Palatino Linotype"/>
          <w:b/>
          <w:bCs/>
          <w:sz w:val="24"/>
          <w:szCs w:val="24"/>
        </w:rPr>
      </w:pPr>
    </w:p>
    <w:p w:rsidRPr="00C3395B" w:rsidR="00D161D2" w:rsidP="00D161D2" w:rsidRDefault="00D161D2" w14:paraId="3F95AA4F" w14:textId="05876B41">
      <w:pPr>
        <w:rPr>
          <w:rFonts w:ascii="Palatino Linotype" w:hAnsi="Palatino Linotype" w:eastAsia="Palatino Linotype" w:cs="Palatino Linotype"/>
          <w:sz w:val="24"/>
          <w:szCs w:val="24"/>
        </w:rPr>
      </w:pPr>
      <w:r w:rsidRPr="00D161D2">
        <w:rPr>
          <w:rFonts w:ascii="Palatino Linotype" w:hAnsi="Palatino Linotype"/>
          <w:sz w:val="24"/>
          <w:szCs w:val="24"/>
        </w:rPr>
        <w:t xml:space="preserve">PG&amp;E has adequately demonstrated the probability </w:t>
      </w:r>
      <w:r w:rsidR="003918CA">
        <w:rPr>
          <w:rFonts w:ascii="Palatino Linotype" w:hAnsi="Palatino Linotype"/>
          <w:sz w:val="24"/>
          <w:szCs w:val="24"/>
        </w:rPr>
        <w:t>of</w:t>
      </w:r>
      <w:r w:rsidRPr="00D161D2">
        <w:rPr>
          <w:rFonts w:ascii="Palatino Linotype" w:hAnsi="Palatino Linotype"/>
          <w:sz w:val="24"/>
          <w:szCs w:val="24"/>
        </w:rPr>
        <w:t xml:space="preserve"> a long-term need for a CSM solution at the Calistoga Substation, as required by condition 2.2 </w:t>
      </w:r>
      <w:r w:rsidR="003918CA">
        <w:rPr>
          <w:rFonts w:ascii="Palatino Linotype" w:hAnsi="Palatino Linotype"/>
          <w:sz w:val="24"/>
          <w:szCs w:val="24"/>
        </w:rPr>
        <w:t>listed above</w:t>
      </w:r>
      <w:r w:rsidRPr="00D161D2">
        <w:rPr>
          <w:rFonts w:ascii="Palatino Linotype" w:hAnsi="Palatino Linotype"/>
          <w:sz w:val="24"/>
          <w:szCs w:val="24"/>
        </w:rPr>
        <w:t xml:space="preserve">. </w:t>
      </w:r>
      <w:r>
        <w:rPr>
          <w:rFonts w:ascii="Palatino Linotype" w:hAnsi="Palatino Linotype"/>
          <w:sz w:val="24"/>
          <w:szCs w:val="24"/>
        </w:rPr>
        <w:lastRenderedPageBreak/>
        <w:t>Specifically, PG&amp;E used its historical lookback analysis to confirm that “</w:t>
      </w:r>
      <w:r>
        <w:rPr>
          <w:rFonts w:ascii="Palatino Linotype" w:hAnsi="Palatino Linotype" w:eastAsia="Palatino Linotype" w:cs="Palatino Linotype"/>
          <w:sz w:val="24"/>
          <w:szCs w:val="24"/>
        </w:rPr>
        <w:t>t</w:t>
      </w:r>
      <w:r w:rsidRPr="00D161D2">
        <w:rPr>
          <w:rFonts w:ascii="Palatino Linotype" w:hAnsi="Palatino Linotype" w:eastAsia="Palatino Linotype" w:cs="Palatino Linotype"/>
          <w:sz w:val="24"/>
          <w:szCs w:val="24"/>
        </w:rPr>
        <w:t>he probability of transmission-level power loss affecting otherwise safe-to-energize load is relatively high and expected to persist</w:t>
      </w:r>
      <w:r>
        <w:rPr>
          <w:rFonts w:ascii="Palatino Linotype" w:hAnsi="Palatino Linotype" w:eastAsia="Palatino Linotype" w:cs="Palatino Linotype"/>
          <w:sz w:val="24"/>
          <w:szCs w:val="24"/>
        </w:rPr>
        <w:t xml:space="preserve">” for the Calistoga substation, and added that there are no ongoing, planned, or proposed projects that would significantly mitigate that risk. The Calistoga substation has </w:t>
      </w:r>
      <w:r w:rsidR="003F0B68">
        <w:rPr>
          <w:rFonts w:ascii="Palatino Linotype" w:hAnsi="Palatino Linotype" w:eastAsia="Palatino Linotype" w:cs="Palatino Linotype"/>
          <w:sz w:val="24"/>
          <w:szCs w:val="24"/>
        </w:rPr>
        <w:t xml:space="preserve">eight </w:t>
      </w:r>
      <w:r>
        <w:rPr>
          <w:rFonts w:ascii="Palatino Linotype" w:hAnsi="Palatino Linotype" w:eastAsia="Palatino Linotype" w:cs="Palatino Linotype"/>
          <w:sz w:val="24"/>
          <w:szCs w:val="24"/>
        </w:rPr>
        <w:t>direct transmission-level impacts in the 2021 update of the historic lookback analysis submitted to the Commission,</w:t>
      </w:r>
      <w:r>
        <w:rPr>
          <w:rStyle w:val="FootnoteReference"/>
          <w:rFonts w:eastAsia="Palatino Linotype" w:cs="Palatino Linotype"/>
          <w:szCs w:val="24"/>
        </w:rPr>
        <w:footnoteReference w:id="7"/>
      </w:r>
      <w:r>
        <w:rPr>
          <w:rFonts w:ascii="Palatino Linotype" w:hAnsi="Palatino Linotype" w:eastAsia="Palatino Linotype" w:cs="Palatino Linotype"/>
          <w:sz w:val="24"/>
          <w:szCs w:val="24"/>
        </w:rPr>
        <w:t xml:space="preserve"> and PG&amp;E argues Calistoga is the only substation that (1) faces a high number of direct impacts, (2) meets basic feasibility criteria, such as having land availability, and (3) does</w:t>
      </w:r>
      <w:r w:rsidR="003B50AC">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n</w:t>
      </w:r>
      <w:r w:rsidR="003B50AC">
        <w:rPr>
          <w:rFonts w:ascii="Palatino Linotype" w:hAnsi="Palatino Linotype" w:eastAsia="Palatino Linotype" w:cs="Palatino Linotype"/>
          <w:sz w:val="24"/>
          <w:szCs w:val="24"/>
        </w:rPr>
        <w:t>o</w:t>
      </w:r>
      <w:r>
        <w:rPr>
          <w:rFonts w:ascii="Palatino Linotype" w:hAnsi="Palatino Linotype" w:eastAsia="Palatino Linotype" w:cs="Palatino Linotype"/>
          <w:sz w:val="24"/>
          <w:szCs w:val="24"/>
        </w:rPr>
        <w:t xml:space="preserve">t have an alternative potential mitigation. In the 2022 update to the historic lookback analysis, Calistoga continued to face </w:t>
      </w:r>
      <w:r w:rsidR="00BB7182">
        <w:rPr>
          <w:rFonts w:ascii="Palatino Linotype" w:hAnsi="Palatino Linotype" w:eastAsia="Palatino Linotype" w:cs="Palatino Linotype"/>
          <w:sz w:val="24"/>
          <w:szCs w:val="24"/>
        </w:rPr>
        <w:t xml:space="preserve">five </w:t>
      </w:r>
      <w:r>
        <w:rPr>
          <w:rFonts w:ascii="Palatino Linotype" w:hAnsi="Palatino Linotype" w:eastAsia="Palatino Linotype" w:cs="Palatino Linotype"/>
          <w:sz w:val="24"/>
          <w:szCs w:val="24"/>
        </w:rPr>
        <w:t>direct transmission-level impacts.</w:t>
      </w:r>
      <w:r>
        <w:rPr>
          <w:rStyle w:val="FootnoteReference"/>
          <w:rFonts w:eastAsia="Palatino Linotype" w:cs="Palatino Linotype"/>
          <w:szCs w:val="24"/>
        </w:rPr>
        <w:footnoteReference w:id="8"/>
      </w:r>
      <w:r>
        <w:rPr>
          <w:rFonts w:ascii="Palatino Linotype" w:hAnsi="Palatino Linotype" w:eastAsia="Palatino Linotype" w:cs="Palatino Linotype"/>
          <w:sz w:val="24"/>
          <w:szCs w:val="24"/>
        </w:rPr>
        <w:t xml:space="preserve"> </w:t>
      </w:r>
      <w:r w:rsidRPr="00D161D2">
        <w:rPr>
          <w:rFonts w:ascii="Palatino Linotype" w:hAnsi="Palatino Linotype"/>
          <w:sz w:val="24"/>
          <w:szCs w:val="24"/>
        </w:rPr>
        <w:t xml:space="preserve">PG&amp;E has </w:t>
      </w:r>
      <w:r>
        <w:rPr>
          <w:rFonts w:ascii="Palatino Linotype" w:hAnsi="Palatino Linotype"/>
          <w:sz w:val="24"/>
          <w:szCs w:val="24"/>
        </w:rPr>
        <w:t xml:space="preserve">also </w:t>
      </w:r>
      <w:r w:rsidRPr="00D161D2">
        <w:rPr>
          <w:rFonts w:ascii="Palatino Linotype" w:hAnsi="Palatino Linotype"/>
          <w:sz w:val="24"/>
          <w:szCs w:val="24"/>
        </w:rPr>
        <w:t>sought the input of local stakeholders, including the City of Calistoga and M</w:t>
      </w:r>
      <w:r>
        <w:rPr>
          <w:rFonts w:ascii="Palatino Linotype" w:hAnsi="Palatino Linotype"/>
          <w:sz w:val="24"/>
          <w:szCs w:val="24"/>
        </w:rPr>
        <w:t>CE</w:t>
      </w:r>
      <w:r w:rsidRPr="00D161D2">
        <w:rPr>
          <w:rFonts w:ascii="Palatino Linotype" w:hAnsi="Palatino Linotype"/>
          <w:sz w:val="24"/>
          <w:szCs w:val="24"/>
        </w:rPr>
        <w:t xml:space="preserve">, as part of its solicitation. </w:t>
      </w:r>
      <w:r>
        <w:rPr>
          <w:rFonts w:ascii="Palatino Linotype" w:hAnsi="Palatino Linotype"/>
          <w:sz w:val="24"/>
          <w:szCs w:val="24"/>
        </w:rPr>
        <w:t>The City of Calistoga wrote a letter of support for the project,</w:t>
      </w:r>
      <w:r w:rsidR="003D6449">
        <w:rPr>
          <w:rStyle w:val="FootnoteReference"/>
          <w:szCs w:val="24"/>
        </w:rPr>
        <w:footnoteReference w:id="9"/>
      </w:r>
      <w:r>
        <w:rPr>
          <w:rFonts w:ascii="Palatino Linotype" w:hAnsi="Palatino Linotype"/>
          <w:sz w:val="24"/>
          <w:szCs w:val="24"/>
        </w:rPr>
        <w:t xml:space="preserve"> and MCE noted its support in its response.</w:t>
      </w:r>
    </w:p>
    <w:p w:rsidRPr="00103538" w:rsidR="00D161D2" w:rsidP="00B140AE" w:rsidRDefault="00D161D2" w14:paraId="6E3F54A1" w14:textId="77777777">
      <w:pPr>
        <w:rPr>
          <w:rFonts w:ascii="Palatino Linotype" w:hAnsi="Palatino Linotype" w:eastAsia="Palatino Linotype" w:cs="Palatino Linotype"/>
          <w:sz w:val="24"/>
          <w:szCs w:val="24"/>
        </w:rPr>
      </w:pPr>
    </w:p>
    <w:p w:rsidR="00A63A0D" w:rsidP="1EDC5FC2" w:rsidRDefault="00A63A0D" w14:paraId="12F68320" w14:textId="16110C96">
      <w:pPr>
        <w:rPr>
          <w:rFonts w:ascii="Palatino Linotype" w:hAnsi="Palatino Linotype" w:eastAsia="Palatino Linotype" w:cs="Palatino Linotype"/>
          <w:b/>
          <w:bCs/>
          <w:sz w:val="24"/>
          <w:szCs w:val="24"/>
        </w:rPr>
      </w:pPr>
    </w:p>
    <w:p w:rsidR="00A63A0D" w:rsidP="1EDC5FC2" w:rsidRDefault="00D161D2" w14:paraId="271CA58B" w14:textId="29893B12">
      <w:pPr>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The pilot project has reasonably been deemed technologically feasible by PG&amp;E</w:t>
      </w:r>
      <w:r w:rsidR="00A63A0D">
        <w:rPr>
          <w:rFonts w:ascii="Palatino Linotype" w:hAnsi="Palatino Linotype" w:eastAsia="Palatino Linotype" w:cs="Palatino Linotype"/>
          <w:b/>
          <w:bCs/>
          <w:sz w:val="24"/>
          <w:szCs w:val="24"/>
        </w:rPr>
        <w:t>.</w:t>
      </w:r>
    </w:p>
    <w:p w:rsidR="00BC3E30" w:rsidP="1EDC5FC2" w:rsidRDefault="00BC3E30" w14:paraId="139D3940" w14:textId="11AA0BB8">
      <w:pPr>
        <w:rPr>
          <w:rFonts w:ascii="Palatino Linotype" w:hAnsi="Palatino Linotype" w:eastAsia="Palatino Linotype" w:cs="Palatino Linotype"/>
          <w:b/>
          <w:bCs/>
          <w:sz w:val="24"/>
          <w:szCs w:val="24"/>
        </w:rPr>
      </w:pPr>
    </w:p>
    <w:p w:rsidR="00D161D2" w:rsidP="00D161D2" w:rsidRDefault="00D161D2" w14:paraId="02ED2D07" w14:textId="0A237D73">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In its protest, PAO argues that PG&amp;E fails to demonstrate that its proposed CSM project is technologically feasible, noting that the project includes emerging </w:t>
      </w:r>
      <w:proofErr w:type="gramStart"/>
      <w:r>
        <w:rPr>
          <w:rFonts w:ascii="Palatino Linotype" w:hAnsi="Palatino Linotype" w:eastAsia="Palatino Linotype" w:cs="Palatino Linotype"/>
          <w:sz w:val="24"/>
          <w:szCs w:val="24"/>
        </w:rPr>
        <w:t>technologies</w:t>
      </w:r>
      <w:proofErr w:type="gramEnd"/>
      <w:r>
        <w:rPr>
          <w:rFonts w:ascii="Palatino Linotype" w:hAnsi="Palatino Linotype" w:eastAsia="Palatino Linotype" w:cs="Palatino Linotype"/>
          <w:sz w:val="24"/>
          <w:szCs w:val="24"/>
        </w:rPr>
        <w:t xml:space="preserve"> and that PG&amp;E does not demonstrate that Energy Vault has sufficient experience in with hydrogen fuel cells</w:t>
      </w:r>
      <w:r w:rsidRPr="00D161D2">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However, </w:t>
      </w:r>
      <w:r w:rsidR="00566116">
        <w:rPr>
          <w:rFonts w:ascii="Palatino Linotype" w:hAnsi="Palatino Linotype" w:eastAsia="Palatino Linotype" w:cs="Palatino Linotype"/>
          <w:sz w:val="24"/>
          <w:szCs w:val="24"/>
        </w:rPr>
        <w:t>D.2</w:t>
      </w:r>
      <w:r w:rsidR="006A5FA6">
        <w:rPr>
          <w:rFonts w:ascii="Palatino Linotype" w:hAnsi="Palatino Linotype" w:eastAsia="Palatino Linotype" w:cs="Palatino Linotype"/>
          <w:sz w:val="24"/>
          <w:szCs w:val="24"/>
        </w:rPr>
        <w:t xml:space="preserve">1-01-018 </w:t>
      </w:r>
      <w:r>
        <w:rPr>
          <w:rFonts w:ascii="Palatino Linotype" w:hAnsi="Palatino Linotype" w:eastAsia="Palatino Linotype" w:cs="Palatino Linotype"/>
          <w:sz w:val="24"/>
          <w:szCs w:val="24"/>
        </w:rPr>
        <w:t>explicitly states that “t</w:t>
      </w:r>
      <w:r w:rsidRPr="00D161D2">
        <w:rPr>
          <w:rFonts w:ascii="Palatino Linotype" w:hAnsi="Palatino Linotype" w:eastAsia="Palatino Linotype" w:cs="Palatino Linotype"/>
          <w:sz w:val="24"/>
          <w:szCs w:val="24"/>
        </w:rPr>
        <w:t>his opportunity is intended to be open to projects that are novel or not commercially tested</w:t>
      </w:r>
      <w:r>
        <w:rPr>
          <w:rFonts w:ascii="Palatino Linotype" w:hAnsi="Palatino Linotype" w:eastAsia="Palatino Linotype" w:cs="Palatino Linotype"/>
          <w:sz w:val="24"/>
          <w:szCs w:val="24"/>
        </w:rPr>
        <w:t>.”</w:t>
      </w:r>
      <w:r>
        <w:rPr>
          <w:rStyle w:val="FootnoteReference"/>
          <w:rFonts w:eastAsia="Palatino Linotype" w:cs="Palatino Linotype"/>
          <w:szCs w:val="24"/>
        </w:rPr>
        <w:footnoteReference w:id="10"/>
      </w:r>
      <w:r>
        <w:rPr>
          <w:rFonts w:ascii="Palatino Linotype" w:hAnsi="Palatino Linotype" w:eastAsia="Palatino Linotype" w:cs="Palatino Linotype"/>
          <w:sz w:val="24"/>
          <w:szCs w:val="24"/>
        </w:rPr>
        <w:t xml:space="preserve"> </w:t>
      </w:r>
      <w:r w:rsidR="00AB4FEE">
        <w:rPr>
          <w:rFonts w:ascii="Palatino Linotype" w:hAnsi="Palatino Linotype" w:eastAsia="Palatino Linotype" w:cs="Palatino Linotype"/>
          <w:sz w:val="24"/>
          <w:szCs w:val="24"/>
        </w:rPr>
        <w:t>In other words</w:t>
      </w:r>
      <w:r>
        <w:rPr>
          <w:rFonts w:ascii="Palatino Linotype" w:hAnsi="Palatino Linotype" w:eastAsia="Palatino Linotype" w:cs="Palatino Linotype"/>
          <w:sz w:val="24"/>
          <w:szCs w:val="24"/>
        </w:rPr>
        <w:t xml:space="preserve">, the Decision allows PG&amp;E to pursue novel projects </w:t>
      </w:r>
      <w:proofErr w:type="gramStart"/>
      <w:r>
        <w:rPr>
          <w:rFonts w:ascii="Palatino Linotype" w:hAnsi="Palatino Linotype" w:eastAsia="Palatino Linotype" w:cs="Palatino Linotype"/>
          <w:sz w:val="24"/>
          <w:szCs w:val="24"/>
        </w:rPr>
        <w:t>as long as</w:t>
      </w:r>
      <w:proofErr w:type="gramEnd"/>
      <w:r>
        <w:rPr>
          <w:rFonts w:ascii="Palatino Linotype" w:hAnsi="Palatino Linotype" w:eastAsia="Palatino Linotype" w:cs="Palatino Linotype"/>
          <w:sz w:val="24"/>
          <w:szCs w:val="24"/>
        </w:rPr>
        <w:t xml:space="preserve"> PG&amp;E uses its judgment to reject projects that it deems technologically infeasible. In its reply, PG&amp;E argues that the project is technically feasible and notes that its engineers determined that the project is a capable of meeting the technical requirements from </w:t>
      </w:r>
      <w:r w:rsidR="00566116">
        <w:rPr>
          <w:rFonts w:ascii="Palatino Linotype" w:hAnsi="Palatino Linotype" w:eastAsia="Palatino Linotype" w:cs="Palatino Linotype"/>
          <w:sz w:val="24"/>
          <w:szCs w:val="24"/>
        </w:rPr>
        <w:t>D.2</w:t>
      </w:r>
      <w:r>
        <w:rPr>
          <w:rFonts w:ascii="Palatino Linotype" w:hAnsi="Palatino Linotype" w:eastAsia="Palatino Linotype" w:cs="Palatino Linotype"/>
          <w:sz w:val="24"/>
          <w:szCs w:val="24"/>
        </w:rPr>
        <w:t>1-01-018. As noted above, the main grid-forming resource for the microgrid would be a battery energy storage system and related inverter, which are mature technologies that PG&amp;E has used for similar projects in the past. Based on its evaluation, PG&amp;E judged the proposed project</w:t>
      </w:r>
      <w:r w:rsidRPr="00D161D2">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capable of</w:t>
      </w:r>
      <w:r w:rsidRPr="00D161D2">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 xml:space="preserve">meeting </w:t>
      </w:r>
      <w:r w:rsidRPr="00D161D2">
        <w:rPr>
          <w:rFonts w:ascii="Palatino Linotype" w:hAnsi="Palatino Linotype" w:eastAsia="Palatino Linotype" w:cs="Palatino Linotype"/>
          <w:sz w:val="24"/>
          <w:szCs w:val="24"/>
        </w:rPr>
        <w:t xml:space="preserve">the minimum technical criteria set forth in condition 2.3 </w:t>
      </w:r>
      <w:r w:rsidR="003918CA">
        <w:rPr>
          <w:rFonts w:ascii="Palatino Linotype" w:hAnsi="Palatino Linotype" w:eastAsia="Palatino Linotype" w:cs="Palatino Linotype"/>
          <w:sz w:val="24"/>
          <w:szCs w:val="24"/>
        </w:rPr>
        <w:t>listed above</w:t>
      </w:r>
      <w:r w:rsidRPr="00D161D2">
        <w:rPr>
          <w:rFonts w:ascii="Palatino Linotype" w:hAnsi="Palatino Linotype" w:eastAsia="Palatino Linotype" w:cs="Palatino Linotype"/>
          <w:sz w:val="24"/>
          <w:szCs w:val="24"/>
        </w:rPr>
        <w:t xml:space="preserve">. These criteria include being capable of islanding for 48 hours, being able to black start the substation load, meeting cold load pickup requirements, </w:t>
      </w:r>
      <w:r w:rsidRPr="00D161D2">
        <w:rPr>
          <w:rFonts w:ascii="Palatino Linotype" w:hAnsi="Palatino Linotype" w:eastAsia="Palatino Linotype" w:cs="Palatino Linotype"/>
          <w:sz w:val="24"/>
          <w:szCs w:val="24"/>
        </w:rPr>
        <w:lastRenderedPageBreak/>
        <w:t>meeting frequency and frequency response requirements, and meeting protection requirements or including protection upgrades.</w:t>
      </w:r>
      <w:r>
        <w:rPr>
          <w:rFonts w:ascii="Palatino Linotype" w:hAnsi="Palatino Linotype" w:eastAsia="Palatino Linotype" w:cs="Palatino Linotype"/>
          <w:sz w:val="24"/>
          <w:szCs w:val="24"/>
        </w:rPr>
        <w:t xml:space="preserve"> PG&amp;E also conducted </w:t>
      </w:r>
      <w:r w:rsidR="003918CA">
        <w:rPr>
          <w:rFonts w:ascii="Palatino Linotype" w:hAnsi="Palatino Linotype" w:eastAsia="Palatino Linotype" w:cs="Palatino Linotype"/>
          <w:sz w:val="24"/>
          <w:szCs w:val="24"/>
        </w:rPr>
        <w:t xml:space="preserve">related </w:t>
      </w:r>
      <w:r>
        <w:rPr>
          <w:rFonts w:ascii="Palatino Linotype" w:hAnsi="Palatino Linotype" w:eastAsia="Palatino Linotype" w:cs="Palatino Linotype"/>
          <w:sz w:val="24"/>
          <w:szCs w:val="24"/>
        </w:rPr>
        <w:t xml:space="preserve">studies, including </w:t>
      </w:r>
      <w:r w:rsidR="003918CA">
        <w:rPr>
          <w:rFonts w:ascii="Palatino Linotype" w:hAnsi="Palatino Linotype" w:eastAsia="Palatino Linotype" w:cs="Palatino Linotype"/>
          <w:sz w:val="24"/>
          <w:szCs w:val="24"/>
        </w:rPr>
        <w:t>a study of the inverter’s capability to meet many of these technical requirements</w:t>
      </w:r>
      <w:r>
        <w:rPr>
          <w:rFonts w:ascii="Palatino Linotype" w:hAnsi="Palatino Linotype" w:eastAsia="Palatino Linotype" w:cs="Palatino Linotype"/>
          <w:sz w:val="24"/>
          <w:szCs w:val="24"/>
        </w:rPr>
        <w:t>. The project represents a novel</w:t>
      </w:r>
      <w:r w:rsidRPr="00D161D2">
        <w:rPr>
          <w:rFonts w:ascii="Palatino Linotype" w:hAnsi="Palatino Linotype" w:eastAsia="Palatino Linotype" w:cs="Palatino Linotype"/>
          <w:sz w:val="24"/>
          <w:szCs w:val="24"/>
        </w:rPr>
        <w:t xml:space="preserve"> combination of </w:t>
      </w:r>
      <w:r>
        <w:rPr>
          <w:rFonts w:ascii="Palatino Linotype" w:hAnsi="Palatino Linotype" w:eastAsia="Palatino Linotype" w:cs="Palatino Linotype"/>
          <w:sz w:val="24"/>
          <w:szCs w:val="24"/>
        </w:rPr>
        <w:t>multiple generation sources capable of powering an entire substation</w:t>
      </w:r>
      <w:r w:rsidRPr="00D161D2">
        <w:rPr>
          <w:rFonts w:ascii="Palatino Linotype" w:hAnsi="Palatino Linotype" w:eastAsia="Palatino Linotype" w:cs="Palatino Linotype"/>
          <w:sz w:val="24"/>
          <w:szCs w:val="24"/>
        </w:rPr>
        <w:t xml:space="preserve">, </w:t>
      </w:r>
      <w:r w:rsidR="003918CA">
        <w:rPr>
          <w:rFonts w:ascii="Palatino Linotype" w:hAnsi="Palatino Linotype" w:eastAsia="Palatino Linotype" w:cs="Palatino Linotype"/>
          <w:sz w:val="24"/>
          <w:szCs w:val="24"/>
        </w:rPr>
        <w:t xml:space="preserve">with infrastructure owned in part by third parties and in party by PG&amp;E, </w:t>
      </w:r>
      <w:r w:rsidRPr="00D161D2">
        <w:rPr>
          <w:rFonts w:ascii="Palatino Linotype" w:hAnsi="Palatino Linotype" w:eastAsia="Palatino Linotype" w:cs="Palatino Linotype"/>
          <w:sz w:val="24"/>
          <w:szCs w:val="24"/>
        </w:rPr>
        <w:t xml:space="preserve">and it will </w:t>
      </w:r>
      <w:r w:rsidR="00CE606F">
        <w:rPr>
          <w:rFonts w:ascii="Palatino Linotype" w:hAnsi="Palatino Linotype" w:eastAsia="Palatino Linotype" w:cs="Palatino Linotype"/>
          <w:sz w:val="24"/>
          <w:szCs w:val="24"/>
        </w:rPr>
        <w:t xml:space="preserve">likely </w:t>
      </w:r>
      <w:r w:rsidRPr="00D161D2">
        <w:rPr>
          <w:rFonts w:ascii="Palatino Linotype" w:hAnsi="Palatino Linotype" w:eastAsia="Palatino Linotype" w:cs="Palatino Linotype"/>
          <w:sz w:val="24"/>
          <w:szCs w:val="24"/>
        </w:rPr>
        <w:t>further the transition to cleaner sources of substation microgrid generation.</w:t>
      </w:r>
      <w:r>
        <w:rPr>
          <w:rFonts w:ascii="Palatino Linotype" w:hAnsi="Palatino Linotype" w:eastAsia="Palatino Linotype" w:cs="Palatino Linotype"/>
          <w:sz w:val="24"/>
          <w:szCs w:val="24"/>
        </w:rPr>
        <w:t xml:space="preserve"> </w:t>
      </w:r>
    </w:p>
    <w:p w:rsidR="00D161D2" w:rsidP="00D161D2" w:rsidRDefault="00D161D2" w14:paraId="2B8914C8" w14:textId="77777777">
      <w:pPr>
        <w:rPr>
          <w:rFonts w:ascii="Palatino Linotype" w:hAnsi="Palatino Linotype" w:eastAsia="Palatino Linotype" w:cs="Palatino Linotype"/>
          <w:sz w:val="24"/>
          <w:szCs w:val="24"/>
        </w:rPr>
      </w:pPr>
    </w:p>
    <w:p w:rsidR="00A63A0D" w:rsidP="1EDC5FC2" w:rsidRDefault="00A63A0D" w14:paraId="2B63A541" w14:textId="28C76862">
      <w:pPr>
        <w:rPr>
          <w:rFonts w:ascii="Palatino Linotype" w:hAnsi="Palatino Linotype" w:eastAsia="Palatino Linotype" w:cs="Palatino Linotype"/>
          <w:b/>
          <w:bCs/>
          <w:sz w:val="24"/>
          <w:szCs w:val="24"/>
        </w:rPr>
      </w:pPr>
    </w:p>
    <w:p w:rsidR="00A63A0D" w:rsidP="1EDC5FC2" w:rsidRDefault="00D161D2" w14:paraId="04FC532B" w14:textId="5D54A505">
      <w:pPr>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 xml:space="preserve">The pilot project meets the other requirements laid out in </w:t>
      </w:r>
      <w:r w:rsidR="00566116">
        <w:rPr>
          <w:rFonts w:ascii="Palatino Linotype" w:hAnsi="Palatino Linotype" w:eastAsia="Palatino Linotype" w:cs="Palatino Linotype"/>
          <w:b/>
          <w:bCs/>
          <w:sz w:val="24"/>
          <w:szCs w:val="24"/>
        </w:rPr>
        <w:t>D.2</w:t>
      </w:r>
      <w:r>
        <w:rPr>
          <w:rFonts w:ascii="Palatino Linotype" w:hAnsi="Palatino Linotype" w:eastAsia="Palatino Linotype" w:cs="Palatino Linotype"/>
          <w:b/>
          <w:bCs/>
          <w:sz w:val="24"/>
          <w:szCs w:val="24"/>
        </w:rPr>
        <w:t>1-01-018</w:t>
      </w:r>
      <w:r w:rsidR="00A63A0D">
        <w:rPr>
          <w:rFonts w:ascii="Palatino Linotype" w:hAnsi="Palatino Linotype" w:eastAsia="Palatino Linotype" w:cs="Palatino Linotype"/>
          <w:b/>
          <w:bCs/>
          <w:sz w:val="24"/>
          <w:szCs w:val="24"/>
        </w:rPr>
        <w:t>.</w:t>
      </w:r>
    </w:p>
    <w:p w:rsidR="007F09AE" w:rsidP="1EDC5FC2" w:rsidRDefault="007F09AE" w14:paraId="1FA76D46" w14:textId="7517E6D3">
      <w:pPr>
        <w:rPr>
          <w:rFonts w:ascii="Palatino Linotype" w:hAnsi="Palatino Linotype" w:eastAsia="Palatino Linotype" w:cs="Palatino Linotype"/>
          <w:b/>
          <w:bCs/>
          <w:sz w:val="24"/>
          <w:szCs w:val="24"/>
        </w:rPr>
      </w:pPr>
    </w:p>
    <w:p w:rsidR="00D161D2" w:rsidP="00B140AE" w:rsidRDefault="00D161D2" w14:paraId="56345D0F" w14:textId="517F9F6B">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Protests did not contest that PG&amp;E’s proposal meets many of the requirements laid out in </w:t>
      </w:r>
      <w:r w:rsidR="00566116">
        <w:rPr>
          <w:rFonts w:ascii="Palatino Linotype" w:hAnsi="Palatino Linotype" w:eastAsia="Palatino Linotype" w:cs="Palatino Linotype"/>
          <w:sz w:val="24"/>
          <w:szCs w:val="24"/>
        </w:rPr>
        <w:t>D.2</w:t>
      </w:r>
      <w:r>
        <w:rPr>
          <w:rFonts w:ascii="Palatino Linotype" w:hAnsi="Palatino Linotype" w:eastAsia="Palatino Linotype" w:cs="Palatino Linotype"/>
          <w:sz w:val="24"/>
          <w:szCs w:val="24"/>
        </w:rPr>
        <w:t xml:space="preserve">1-08-018. The Commission confirms that </w:t>
      </w:r>
      <w:r w:rsidRPr="00D161D2">
        <w:rPr>
          <w:rFonts w:ascii="Palatino Linotype" w:hAnsi="Palatino Linotype" w:eastAsia="Palatino Linotype" w:cs="Palatino Linotype"/>
          <w:sz w:val="24"/>
          <w:szCs w:val="24"/>
        </w:rPr>
        <w:t xml:space="preserve">PG&amp;E has adequately documented its plan to develop </w:t>
      </w:r>
      <w:r>
        <w:rPr>
          <w:rFonts w:ascii="Palatino Linotype" w:hAnsi="Palatino Linotype" w:eastAsia="Palatino Linotype" w:cs="Palatino Linotype"/>
          <w:sz w:val="24"/>
          <w:szCs w:val="24"/>
        </w:rPr>
        <w:t xml:space="preserve">at least one CSM project. This project, as a permanent, stationary project, meets the broad requirements of </w:t>
      </w:r>
      <w:r w:rsidRPr="00D161D2">
        <w:rPr>
          <w:rFonts w:ascii="Palatino Linotype" w:hAnsi="Palatino Linotype" w:eastAsia="Palatino Linotype" w:cs="Palatino Linotype"/>
          <w:sz w:val="24"/>
          <w:szCs w:val="24"/>
        </w:rPr>
        <w:t>condition 2.1</w:t>
      </w:r>
      <w:r>
        <w:rPr>
          <w:rFonts w:ascii="Palatino Linotype" w:hAnsi="Palatino Linotype" w:eastAsia="Palatino Linotype" w:cs="Palatino Linotype"/>
          <w:sz w:val="24"/>
          <w:szCs w:val="24"/>
        </w:rPr>
        <w:t xml:space="preserve"> listed above</w:t>
      </w:r>
      <w:r w:rsidRPr="00D161D2">
        <w:rPr>
          <w:rFonts w:ascii="Palatino Linotype" w:hAnsi="Palatino Linotype" w:eastAsia="Palatino Linotype" w:cs="Palatino Linotype"/>
          <w:sz w:val="24"/>
          <w:szCs w:val="24"/>
        </w:rPr>
        <w:t>. The Calistoga CSM Project is expected to achieve at least a 90 percent reduction in PM emissions and NOx emissions compared to what would have been emitted if large Tier 2 Diesel Generators had been used instead, while also achieving greenhouse gas emissions roughly equivalent to, or less than, emissions from the current grid mix. The completed Calistoga CSM Project will demonstrate a fully renewable microgrid, consistent with Appendix A to D.21-01-018.</w:t>
      </w:r>
      <w:r w:rsidR="003B5545">
        <w:rPr>
          <w:rFonts w:ascii="Palatino Linotype" w:hAnsi="Palatino Linotype" w:eastAsia="Palatino Linotype" w:cs="Palatino Linotype"/>
          <w:sz w:val="24"/>
          <w:szCs w:val="24"/>
        </w:rPr>
        <w:t xml:space="preserve"> </w:t>
      </w:r>
      <w:r w:rsidR="003761BD">
        <w:rPr>
          <w:rFonts w:ascii="Palatino Linotype" w:hAnsi="Palatino Linotype" w:eastAsia="Palatino Linotype" w:cs="Palatino Linotype"/>
          <w:sz w:val="24"/>
          <w:szCs w:val="24"/>
        </w:rPr>
        <w:t>Thus,</w:t>
      </w:r>
      <w:r w:rsidR="003B5545">
        <w:rPr>
          <w:rFonts w:ascii="Palatino Linotype" w:hAnsi="Palatino Linotype" w:eastAsia="Palatino Linotype" w:cs="Palatino Linotype"/>
          <w:sz w:val="24"/>
          <w:szCs w:val="24"/>
        </w:rPr>
        <w:t xml:space="preserve"> the project meets the requirements of condition 2.4 listed above.</w:t>
      </w:r>
      <w:r w:rsidRPr="00D161D2">
        <w:rPr>
          <w:rFonts w:ascii="Palatino Linotype" w:hAnsi="Palatino Linotype" w:eastAsia="Palatino Linotype" w:cs="Palatino Linotype"/>
          <w:sz w:val="24"/>
          <w:szCs w:val="24"/>
        </w:rPr>
        <w:t xml:space="preserve"> The contract between PG&amp;E and Energy Vault provides for an Initial Delivery Date of June 1, 2024, which is consistent with the partially and fully operational timelines set forth in Resolution E-5164</w:t>
      </w:r>
      <w:r w:rsidR="00B76345">
        <w:rPr>
          <w:rFonts w:ascii="Palatino Linotype" w:hAnsi="Palatino Linotype" w:eastAsia="Palatino Linotype" w:cs="Palatino Linotype"/>
          <w:sz w:val="24"/>
          <w:szCs w:val="24"/>
        </w:rPr>
        <w:t>,</w:t>
      </w:r>
      <w:r w:rsidRPr="00D161D2">
        <w:rPr>
          <w:rFonts w:ascii="Palatino Linotype" w:hAnsi="Palatino Linotype" w:eastAsia="Palatino Linotype" w:cs="Palatino Linotype"/>
          <w:sz w:val="24"/>
          <w:szCs w:val="24"/>
        </w:rPr>
        <w:t xml:space="preserve"> as those deadlines were most recently extended by letter from the Commission’s Executive Director on August 1, 2022.</w:t>
      </w:r>
      <w:r w:rsidR="003D6449">
        <w:rPr>
          <w:rStyle w:val="FootnoteReference"/>
          <w:rFonts w:eastAsia="Palatino Linotype" w:cs="Palatino Linotype"/>
          <w:szCs w:val="24"/>
        </w:rPr>
        <w:footnoteReference w:id="11"/>
      </w:r>
      <w:r w:rsidRPr="00D161D2">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 xml:space="preserve">Alongside the initial delivery date specified in the contract, it is reasonable for </w:t>
      </w:r>
      <w:r w:rsidRPr="00D161D2">
        <w:rPr>
          <w:rFonts w:ascii="Palatino Linotype" w:hAnsi="Palatino Linotype" w:eastAsia="Palatino Linotype" w:cs="Palatino Linotype"/>
          <w:sz w:val="24"/>
          <w:szCs w:val="24"/>
        </w:rPr>
        <w:t>the contract terms</w:t>
      </w:r>
      <w:r>
        <w:rPr>
          <w:rFonts w:ascii="Palatino Linotype" w:hAnsi="Palatino Linotype" w:eastAsia="Palatino Linotype" w:cs="Palatino Linotype"/>
          <w:sz w:val="24"/>
          <w:szCs w:val="24"/>
        </w:rPr>
        <w:t xml:space="preserve"> to</w:t>
      </w:r>
      <w:r w:rsidRPr="00D161D2">
        <w:rPr>
          <w:rFonts w:ascii="Palatino Linotype" w:hAnsi="Palatino Linotype" w:eastAsia="Palatino Linotype" w:cs="Palatino Linotype"/>
          <w:sz w:val="24"/>
          <w:szCs w:val="24"/>
        </w:rPr>
        <w:t xml:space="preserve"> allow for day-for-day extensions to the </w:t>
      </w:r>
      <w:r w:rsidRPr="00D161D2" w:rsidR="009970CE">
        <w:rPr>
          <w:rFonts w:ascii="Palatino Linotype" w:hAnsi="Palatino Linotype" w:eastAsia="Palatino Linotype" w:cs="Palatino Linotype"/>
          <w:sz w:val="24"/>
          <w:szCs w:val="24"/>
        </w:rPr>
        <w:t xml:space="preserve">initial delivery date </w:t>
      </w:r>
      <w:r w:rsidRPr="00D161D2">
        <w:rPr>
          <w:rFonts w:ascii="Palatino Linotype" w:hAnsi="Palatino Linotype" w:eastAsia="Palatino Linotype" w:cs="Palatino Linotype"/>
          <w:sz w:val="24"/>
          <w:szCs w:val="24"/>
        </w:rPr>
        <w:t>under certain circumstances, or for the payment of daily damages by Energy Vault in the event of certain other circumstances</w:t>
      </w:r>
      <w:r>
        <w:rPr>
          <w:rFonts w:ascii="Palatino Linotype" w:hAnsi="Palatino Linotype" w:eastAsia="Palatino Linotype" w:cs="Palatino Linotype"/>
          <w:sz w:val="24"/>
          <w:szCs w:val="24"/>
        </w:rPr>
        <w:t>, given the complexity and novelty of the project</w:t>
      </w:r>
      <w:r w:rsidRPr="00D161D2">
        <w:rPr>
          <w:rFonts w:ascii="Palatino Linotype" w:hAnsi="Palatino Linotype" w:eastAsia="Palatino Linotype" w:cs="Palatino Linotype"/>
          <w:sz w:val="24"/>
          <w:szCs w:val="24"/>
        </w:rPr>
        <w:t>.</w:t>
      </w:r>
    </w:p>
    <w:p w:rsidR="00BC3E30" w:rsidP="1EDC5FC2" w:rsidRDefault="00BC3E30" w14:paraId="0C48AAAE" w14:textId="05FD480A">
      <w:pPr>
        <w:rPr>
          <w:rFonts w:ascii="Palatino Linotype" w:hAnsi="Palatino Linotype" w:eastAsia="Palatino Linotype" w:cs="Palatino Linotype"/>
          <w:sz w:val="24"/>
          <w:szCs w:val="24"/>
        </w:rPr>
      </w:pPr>
    </w:p>
    <w:p w:rsidR="00D161D2" w:rsidP="1EDC5FC2" w:rsidRDefault="00D161D2" w14:paraId="60C1550A" w14:textId="77777777">
      <w:pPr>
        <w:rPr>
          <w:rFonts w:ascii="Palatino Linotype" w:hAnsi="Palatino Linotype" w:eastAsia="Palatino Linotype" w:cs="Palatino Linotype"/>
          <w:b/>
          <w:bCs/>
          <w:sz w:val="24"/>
          <w:szCs w:val="24"/>
        </w:rPr>
      </w:pPr>
    </w:p>
    <w:p w:rsidR="00BC3E30" w:rsidP="1EDC5FC2" w:rsidRDefault="00D161D2" w14:paraId="59E01D3B" w14:textId="57E474BB">
      <w:pPr>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 xml:space="preserve">The project meets the cost-effectiveness benchmarks from </w:t>
      </w:r>
      <w:r w:rsidR="00566116">
        <w:rPr>
          <w:rFonts w:ascii="Palatino Linotype" w:hAnsi="Palatino Linotype" w:eastAsia="Palatino Linotype" w:cs="Palatino Linotype"/>
          <w:b/>
          <w:bCs/>
          <w:sz w:val="24"/>
          <w:szCs w:val="24"/>
        </w:rPr>
        <w:t>D.2</w:t>
      </w:r>
      <w:r>
        <w:rPr>
          <w:rFonts w:ascii="Palatino Linotype" w:hAnsi="Palatino Linotype" w:eastAsia="Palatino Linotype" w:cs="Palatino Linotype"/>
          <w:b/>
          <w:bCs/>
          <w:sz w:val="24"/>
          <w:szCs w:val="24"/>
        </w:rPr>
        <w:t>1-01-018</w:t>
      </w:r>
      <w:r w:rsidR="00BC3E30">
        <w:rPr>
          <w:rFonts w:ascii="Palatino Linotype" w:hAnsi="Palatino Linotype" w:eastAsia="Palatino Linotype" w:cs="Palatino Linotype"/>
          <w:b/>
          <w:bCs/>
          <w:sz w:val="24"/>
          <w:szCs w:val="24"/>
        </w:rPr>
        <w:t>.</w:t>
      </w:r>
    </w:p>
    <w:p w:rsidR="00A63A0D" w:rsidP="1EDC5FC2" w:rsidRDefault="00A63A0D" w14:paraId="31BCD696" w14:textId="34811807">
      <w:pPr>
        <w:rPr>
          <w:rFonts w:ascii="Palatino Linotype" w:hAnsi="Palatino Linotype" w:eastAsia="Palatino Linotype" w:cs="Palatino Linotype"/>
          <w:b/>
          <w:bCs/>
          <w:sz w:val="24"/>
          <w:szCs w:val="24"/>
        </w:rPr>
      </w:pPr>
    </w:p>
    <w:p w:rsidR="00D161D2" w:rsidP="1EDC5FC2" w:rsidRDefault="00D161D2" w14:paraId="5DEEA3AB" w14:textId="6A37A738">
      <w:pPr>
        <w:rPr>
          <w:rFonts w:ascii="Palatino Linotype" w:hAnsi="Palatino Linotype" w:eastAsia="Palatino Linotype" w:cs="Palatino Linotype"/>
          <w:sz w:val="24"/>
          <w:szCs w:val="24"/>
        </w:rPr>
      </w:pPr>
      <w:r w:rsidRPr="00D161D2">
        <w:rPr>
          <w:rFonts w:ascii="Palatino Linotype" w:hAnsi="Palatino Linotype" w:eastAsia="Palatino Linotype" w:cs="Palatino Linotype"/>
          <w:sz w:val="24"/>
          <w:szCs w:val="24"/>
        </w:rPr>
        <w:t xml:space="preserve">The forecasted cost of the </w:t>
      </w:r>
      <w:r>
        <w:rPr>
          <w:rFonts w:ascii="Palatino Linotype" w:hAnsi="Palatino Linotype" w:eastAsia="Palatino Linotype" w:cs="Palatino Linotype"/>
          <w:sz w:val="24"/>
          <w:szCs w:val="24"/>
        </w:rPr>
        <w:t xml:space="preserve">Calistoga CSM </w:t>
      </w:r>
      <w:r w:rsidRPr="00D161D2">
        <w:rPr>
          <w:rFonts w:ascii="Palatino Linotype" w:hAnsi="Palatino Linotype" w:eastAsia="Palatino Linotype" w:cs="Palatino Linotype"/>
          <w:sz w:val="24"/>
          <w:szCs w:val="24"/>
        </w:rPr>
        <w:t xml:space="preserve">project does not exceed twice the expected cost of utilizing backup diesel generation over the contract </w:t>
      </w:r>
      <w:proofErr w:type="gramStart"/>
      <w:r w:rsidRPr="00D161D2">
        <w:rPr>
          <w:rFonts w:ascii="Palatino Linotype" w:hAnsi="Palatino Linotype" w:eastAsia="Palatino Linotype" w:cs="Palatino Linotype"/>
          <w:sz w:val="24"/>
          <w:szCs w:val="24"/>
        </w:rPr>
        <w:t>period, and</w:t>
      </w:r>
      <w:proofErr w:type="gramEnd"/>
      <w:r w:rsidRPr="00D161D2">
        <w:rPr>
          <w:rFonts w:ascii="Palatino Linotype" w:hAnsi="Palatino Linotype" w:eastAsia="Palatino Linotype" w:cs="Palatino Linotype"/>
          <w:sz w:val="24"/>
          <w:szCs w:val="24"/>
        </w:rPr>
        <w:t xml:space="preserve"> does not exceed the expected cost of 20 years of diesel rental and operation</w:t>
      </w:r>
      <w:r>
        <w:rPr>
          <w:rFonts w:ascii="Palatino Linotype" w:hAnsi="Palatino Linotype" w:eastAsia="Palatino Linotype" w:cs="Palatino Linotype"/>
          <w:sz w:val="24"/>
          <w:szCs w:val="24"/>
        </w:rPr>
        <w:t>, the cost benchmark from condition 2.3.f listed above</w:t>
      </w:r>
      <w:r w:rsidRPr="00D161D2">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 xml:space="preserve">In addition, the forecasted project costs fall below PG&amp;E’s </w:t>
      </w:r>
      <w:r>
        <w:rPr>
          <w:rFonts w:ascii="Palatino Linotype" w:hAnsi="Palatino Linotype" w:eastAsia="Palatino Linotype" w:cs="Palatino Linotype"/>
          <w:sz w:val="24"/>
          <w:szCs w:val="24"/>
        </w:rPr>
        <w:lastRenderedPageBreak/>
        <w:t xml:space="preserve">prorated cost cap of $46.3 million. This cap reflects the smaller scope of this project compared to the $350 million cost cap set in condition 2.5 listed above, which was based on the possibility of three CSM projects occurring at large substations instead of the single project proposed here. </w:t>
      </w:r>
      <w:r w:rsidRPr="00D161D2">
        <w:rPr>
          <w:rFonts w:ascii="Palatino Linotype" w:hAnsi="Palatino Linotype" w:eastAsia="Palatino Linotype" w:cs="Palatino Linotype"/>
          <w:sz w:val="24"/>
          <w:szCs w:val="24"/>
        </w:rPr>
        <w:t>To the extent the total actual expenses for the Calistoga CSM project are equal to or less than the prorated $46.3 million balancing account cap, it is reasonable for PG&amp;E to recover the actual costs and associated revenue requirement without further reasonableness review</w:t>
      </w:r>
      <w:r>
        <w:rPr>
          <w:rFonts w:ascii="Palatino Linotype" w:hAnsi="Palatino Linotype" w:eastAsia="Palatino Linotype" w:cs="Palatino Linotype"/>
          <w:sz w:val="24"/>
          <w:szCs w:val="24"/>
        </w:rPr>
        <w:t>.</w:t>
      </w:r>
    </w:p>
    <w:p w:rsidR="00D161D2" w:rsidP="1EDC5FC2" w:rsidRDefault="00D161D2" w14:paraId="74170CC5" w14:textId="3351E451">
      <w:pPr>
        <w:rPr>
          <w:rFonts w:ascii="Palatino Linotype" w:hAnsi="Palatino Linotype" w:eastAsia="Palatino Linotype" w:cs="Palatino Linotype"/>
          <w:sz w:val="24"/>
          <w:szCs w:val="24"/>
        </w:rPr>
      </w:pPr>
    </w:p>
    <w:p w:rsidR="00D161D2" w:rsidP="1EDC5FC2" w:rsidRDefault="00D161D2" w14:paraId="67B0CFEA" w14:textId="44CCB5D2">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In its protest PAO notes that, because the cost of hydrogen fuel on the market is variable and subject to change, PG&amp;E’s forecasts may be inaccurate and thus the project may end up exceeding the Decision’s cost benchmarks</w:t>
      </w:r>
      <w:r w:rsidR="003B5545">
        <w:rPr>
          <w:rFonts w:ascii="Palatino Linotype" w:hAnsi="Palatino Linotype" w:eastAsia="Palatino Linotype" w:cs="Palatino Linotype"/>
          <w:sz w:val="24"/>
          <w:szCs w:val="24"/>
        </w:rPr>
        <w:t xml:space="preserve"> based on diesel generation</w:t>
      </w:r>
      <w:r>
        <w:rPr>
          <w:rFonts w:ascii="Palatino Linotype" w:hAnsi="Palatino Linotype" w:eastAsia="Palatino Linotype" w:cs="Palatino Linotype"/>
          <w:sz w:val="24"/>
          <w:szCs w:val="24"/>
        </w:rPr>
        <w:t>. We note tha</w:t>
      </w:r>
      <w:r w:rsidR="003918CA">
        <w:rPr>
          <w:rFonts w:ascii="Palatino Linotype" w:hAnsi="Palatino Linotype" w:eastAsia="Palatino Linotype" w:cs="Palatino Linotype"/>
          <w:sz w:val="24"/>
          <w:szCs w:val="24"/>
        </w:rPr>
        <w:t>t</w:t>
      </w:r>
      <w:r>
        <w:rPr>
          <w:rFonts w:ascii="Palatino Linotype" w:hAnsi="Palatino Linotype" w:eastAsia="Palatino Linotype" w:cs="Palatino Linotype"/>
          <w:sz w:val="24"/>
          <w:szCs w:val="24"/>
        </w:rPr>
        <w:t xml:space="preserve"> elements of </w:t>
      </w:r>
      <w:r w:rsidR="003918CA">
        <w:rPr>
          <w:rFonts w:ascii="Palatino Linotype" w:hAnsi="Palatino Linotype" w:eastAsia="Palatino Linotype" w:cs="Palatino Linotype"/>
          <w:sz w:val="24"/>
          <w:szCs w:val="24"/>
        </w:rPr>
        <w:t xml:space="preserve">any </w:t>
      </w:r>
      <w:r>
        <w:rPr>
          <w:rFonts w:ascii="Palatino Linotype" w:hAnsi="Palatino Linotype" w:eastAsia="Palatino Linotype" w:cs="Palatino Linotype"/>
          <w:sz w:val="24"/>
          <w:szCs w:val="24"/>
        </w:rPr>
        <w:t xml:space="preserve">cost forecast may be </w:t>
      </w:r>
      <w:r w:rsidR="003918CA">
        <w:rPr>
          <w:rFonts w:ascii="Palatino Linotype" w:hAnsi="Palatino Linotype" w:eastAsia="Palatino Linotype" w:cs="Palatino Linotype"/>
          <w:sz w:val="24"/>
          <w:szCs w:val="24"/>
        </w:rPr>
        <w:t>imprecise</w:t>
      </w:r>
      <w:r>
        <w:rPr>
          <w:rFonts w:ascii="Palatino Linotype" w:hAnsi="Palatino Linotype" w:eastAsia="Palatino Linotype" w:cs="Palatino Linotype"/>
          <w:sz w:val="24"/>
          <w:szCs w:val="24"/>
        </w:rPr>
        <w:t>, including the forecasted cost of utilizing backup diesel generation that defines the</w:t>
      </w:r>
      <w:r w:rsidR="003B5545">
        <w:rPr>
          <w:rFonts w:ascii="Palatino Linotype" w:hAnsi="Palatino Linotype" w:eastAsia="Palatino Linotype" w:cs="Palatino Linotype"/>
          <w:sz w:val="24"/>
          <w:szCs w:val="24"/>
        </w:rPr>
        <w:t>se</w:t>
      </w:r>
      <w:r>
        <w:rPr>
          <w:rFonts w:ascii="Palatino Linotype" w:hAnsi="Palatino Linotype" w:eastAsia="Palatino Linotype" w:cs="Palatino Linotype"/>
          <w:sz w:val="24"/>
          <w:szCs w:val="24"/>
        </w:rPr>
        <w:t xml:space="preserve"> </w:t>
      </w:r>
      <w:r w:rsidR="003B5545">
        <w:rPr>
          <w:rFonts w:ascii="Palatino Linotype" w:hAnsi="Palatino Linotype" w:eastAsia="Palatino Linotype" w:cs="Palatino Linotype"/>
          <w:sz w:val="24"/>
          <w:szCs w:val="24"/>
        </w:rPr>
        <w:t xml:space="preserve">very </w:t>
      </w:r>
      <w:r>
        <w:rPr>
          <w:rFonts w:ascii="Palatino Linotype" w:hAnsi="Palatino Linotype" w:eastAsia="Palatino Linotype" w:cs="Palatino Linotype"/>
          <w:sz w:val="24"/>
          <w:szCs w:val="24"/>
        </w:rPr>
        <w:t>cost benchmark</w:t>
      </w:r>
      <w:r w:rsidR="003B5545">
        <w:rPr>
          <w:rFonts w:ascii="Palatino Linotype" w:hAnsi="Palatino Linotype" w:eastAsia="Palatino Linotype" w:cs="Palatino Linotype"/>
          <w:sz w:val="24"/>
          <w:szCs w:val="24"/>
        </w:rPr>
        <w:t>s</w:t>
      </w:r>
      <w:r>
        <w:rPr>
          <w:rFonts w:ascii="Palatino Linotype" w:hAnsi="Palatino Linotype" w:eastAsia="Palatino Linotype" w:cs="Palatino Linotype"/>
          <w:sz w:val="24"/>
          <w:szCs w:val="24"/>
        </w:rPr>
        <w:t xml:space="preserve">. Most actual projects will include some form of variable costs that cannot be </w:t>
      </w:r>
      <w:r w:rsidR="003918CA">
        <w:rPr>
          <w:rFonts w:ascii="Palatino Linotype" w:hAnsi="Palatino Linotype" w:eastAsia="Palatino Linotype" w:cs="Palatino Linotype"/>
          <w:sz w:val="24"/>
          <w:szCs w:val="24"/>
        </w:rPr>
        <w:t>perfectly</w:t>
      </w:r>
      <w:r>
        <w:rPr>
          <w:rFonts w:ascii="Palatino Linotype" w:hAnsi="Palatino Linotype" w:eastAsia="Palatino Linotype" w:cs="Palatino Linotype"/>
          <w:sz w:val="24"/>
          <w:szCs w:val="24"/>
        </w:rPr>
        <w:t xml:space="preserve"> anticipated in advance. Despite this uncertainty, forecasting costs remains useful and even necessary. </w:t>
      </w:r>
      <w:r w:rsidR="008A6D46">
        <w:rPr>
          <w:rFonts w:ascii="Palatino Linotype" w:hAnsi="Palatino Linotype" w:eastAsia="Palatino Linotype" w:cs="Palatino Linotype"/>
          <w:sz w:val="24"/>
          <w:szCs w:val="24"/>
        </w:rPr>
        <w:t>W</w:t>
      </w:r>
      <w:r>
        <w:rPr>
          <w:rFonts w:ascii="Palatino Linotype" w:hAnsi="Palatino Linotype" w:eastAsia="Palatino Linotype" w:cs="Palatino Linotype"/>
          <w:sz w:val="24"/>
          <w:szCs w:val="24"/>
        </w:rPr>
        <w:t xml:space="preserve">ithout </w:t>
      </w:r>
      <w:r w:rsidR="008A6D46">
        <w:rPr>
          <w:rFonts w:ascii="Palatino Linotype" w:hAnsi="Palatino Linotype" w:eastAsia="Palatino Linotype" w:cs="Palatino Linotype"/>
          <w:sz w:val="24"/>
          <w:szCs w:val="24"/>
        </w:rPr>
        <w:t xml:space="preserve">a </w:t>
      </w:r>
      <w:r>
        <w:rPr>
          <w:rFonts w:ascii="Palatino Linotype" w:hAnsi="Palatino Linotype" w:eastAsia="Palatino Linotype" w:cs="Palatino Linotype"/>
          <w:sz w:val="24"/>
          <w:szCs w:val="24"/>
        </w:rPr>
        <w:t>specific objection to PG&amp;E’s forecast</w:t>
      </w:r>
      <w:r w:rsidR="008A6D46">
        <w:rPr>
          <w:rFonts w:ascii="Palatino Linotype" w:hAnsi="Palatino Linotype" w:eastAsia="Palatino Linotype" w:cs="Palatino Linotype"/>
          <w:sz w:val="24"/>
          <w:szCs w:val="24"/>
        </w:rPr>
        <w:t xml:space="preserve"> or </w:t>
      </w:r>
      <w:r w:rsidR="009C7C08">
        <w:rPr>
          <w:rFonts w:ascii="Palatino Linotype" w:hAnsi="Palatino Linotype" w:eastAsia="Palatino Linotype" w:cs="Palatino Linotype"/>
          <w:sz w:val="24"/>
          <w:szCs w:val="24"/>
        </w:rPr>
        <w:t>a demonstration</w:t>
      </w:r>
      <w:r w:rsidR="00C05320">
        <w:rPr>
          <w:rFonts w:ascii="Palatino Linotype" w:hAnsi="Palatino Linotype" w:eastAsia="Palatino Linotype" w:cs="Palatino Linotype"/>
          <w:sz w:val="24"/>
          <w:szCs w:val="24"/>
        </w:rPr>
        <w:t xml:space="preserve"> that</w:t>
      </w:r>
      <w:r w:rsidR="008A6D46">
        <w:rPr>
          <w:rFonts w:ascii="Palatino Linotype" w:hAnsi="Palatino Linotype" w:eastAsia="Palatino Linotype" w:cs="Palatino Linotype"/>
          <w:sz w:val="24"/>
          <w:szCs w:val="24"/>
        </w:rPr>
        <w:t xml:space="preserve"> it</w:t>
      </w:r>
      <w:r>
        <w:rPr>
          <w:rFonts w:ascii="Palatino Linotype" w:hAnsi="Palatino Linotype" w:eastAsia="Palatino Linotype" w:cs="Palatino Linotype"/>
          <w:sz w:val="24"/>
          <w:szCs w:val="24"/>
        </w:rPr>
        <w:t xml:space="preserve"> underestimat</w:t>
      </w:r>
      <w:r w:rsidR="008A6D46">
        <w:rPr>
          <w:rFonts w:ascii="Palatino Linotype" w:hAnsi="Palatino Linotype" w:eastAsia="Palatino Linotype" w:cs="Palatino Linotype"/>
          <w:sz w:val="24"/>
          <w:szCs w:val="24"/>
        </w:rPr>
        <w:t>es</w:t>
      </w:r>
      <w:r>
        <w:rPr>
          <w:rFonts w:ascii="Palatino Linotype" w:hAnsi="Palatino Linotype" w:eastAsia="Palatino Linotype" w:cs="Palatino Linotype"/>
          <w:sz w:val="24"/>
          <w:szCs w:val="24"/>
        </w:rPr>
        <w:t xml:space="preserve"> true costs</w:t>
      </w:r>
      <w:r w:rsidR="008A6D46">
        <w:rPr>
          <w:rFonts w:ascii="Palatino Linotype" w:hAnsi="Palatino Linotype" w:eastAsia="Palatino Linotype" w:cs="Palatino Linotype"/>
          <w:sz w:val="24"/>
          <w:szCs w:val="24"/>
        </w:rPr>
        <w:t>, we choose not to reject PG&amp;E’s forecasts simply based on inherent uncertainty</w:t>
      </w:r>
      <w:r>
        <w:rPr>
          <w:rFonts w:ascii="Palatino Linotype" w:hAnsi="Palatino Linotype" w:eastAsia="Palatino Linotype" w:cs="Palatino Linotype"/>
          <w:sz w:val="24"/>
          <w:szCs w:val="24"/>
        </w:rPr>
        <w:t>.</w:t>
      </w:r>
      <w:r w:rsidR="003B5545">
        <w:rPr>
          <w:rFonts w:ascii="Palatino Linotype" w:hAnsi="Palatino Linotype" w:eastAsia="Palatino Linotype" w:cs="Palatino Linotype"/>
          <w:sz w:val="24"/>
          <w:szCs w:val="24"/>
        </w:rPr>
        <w:t xml:space="preserve"> We note that the costs for the project are </w:t>
      </w:r>
      <w:r w:rsidR="008A6D46">
        <w:rPr>
          <w:rFonts w:ascii="Palatino Linotype" w:hAnsi="Palatino Linotype" w:eastAsia="Palatino Linotype" w:cs="Palatino Linotype"/>
          <w:sz w:val="24"/>
          <w:szCs w:val="24"/>
        </w:rPr>
        <w:t xml:space="preserve">ultimately </w:t>
      </w:r>
      <w:r w:rsidR="003B5545">
        <w:rPr>
          <w:rFonts w:ascii="Palatino Linotype" w:hAnsi="Palatino Linotype" w:eastAsia="Palatino Linotype" w:cs="Palatino Linotype"/>
          <w:sz w:val="24"/>
          <w:szCs w:val="24"/>
        </w:rPr>
        <w:t>limited by the cap of $46.3 million on the related one-way balancing account.</w:t>
      </w:r>
    </w:p>
    <w:p w:rsidR="00D161D2" w:rsidP="1EDC5FC2" w:rsidRDefault="00D161D2" w14:paraId="50EDF533" w14:textId="77777777">
      <w:pPr>
        <w:rPr>
          <w:rFonts w:ascii="Palatino Linotype" w:hAnsi="Palatino Linotype" w:eastAsia="Palatino Linotype" w:cs="Palatino Linotype"/>
          <w:sz w:val="24"/>
          <w:szCs w:val="24"/>
        </w:rPr>
      </w:pPr>
    </w:p>
    <w:p w:rsidR="00D161D2" w:rsidP="00D161D2" w:rsidRDefault="00D161D2" w14:paraId="48E99F00" w14:textId="0DB17EA3">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In addition, no parties protested PG&amp;E’s plan for cost recovery and cost allocation. </w:t>
      </w:r>
      <w:r w:rsidR="00E430B0">
        <w:rPr>
          <w:rFonts w:ascii="Palatino Linotype" w:hAnsi="Palatino Linotype" w:eastAsia="Palatino Linotype" w:cs="Palatino Linotype"/>
          <w:sz w:val="24"/>
          <w:szCs w:val="24"/>
        </w:rPr>
        <w:t xml:space="preserve">Absent </w:t>
      </w:r>
      <w:r w:rsidR="00594C5B">
        <w:rPr>
          <w:rFonts w:ascii="Palatino Linotype" w:hAnsi="Palatino Linotype" w:eastAsia="Palatino Linotype" w:cs="Palatino Linotype"/>
          <w:sz w:val="24"/>
          <w:szCs w:val="24"/>
        </w:rPr>
        <w:t>any</w:t>
      </w:r>
      <w:r>
        <w:rPr>
          <w:rFonts w:ascii="Palatino Linotype" w:hAnsi="Palatino Linotype" w:eastAsia="Palatino Linotype" w:cs="Palatino Linotype"/>
          <w:sz w:val="24"/>
          <w:szCs w:val="24"/>
        </w:rPr>
        <w:t xml:space="preserve"> protest</w:t>
      </w:r>
      <w:r w:rsidR="00CE606F">
        <w:rPr>
          <w:rFonts w:ascii="Palatino Linotype" w:hAnsi="Palatino Linotype" w:eastAsia="Palatino Linotype" w:cs="Palatino Linotype"/>
          <w:sz w:val="24"/>
          <w:szCs w:val="24"/>
        </w:rPr>
        <w:t xml:space="preserve"> on these issues</w:t>
      </w:r>
      <w:r>
        <w:rPr>
          <w:rFonts w:ascii="Palatino Linotype" w:hAnsi="Palatino Linotype" w:eastAsia="Palatino Linotype" w:cs="Palatino Linotype"/>
          <w:sz w:val="24"/>
          <w:szCs w:val="24"/>
        </w:rPr>
        <w:t xml:space="preserve">, </w:t>
      </w:r>
      <w:r w:rsidR="00121154">
        <w:rPr>
          <w:rFonts w:ascii="Palatino Linotype" w:hAnsi="Palatino Linotype" w:eastAsia="Palatino Linotype" w:cs="Palatino Linotype"/>
          <w:sz w:val="24"/>
          <w:szCs w:val="24"/>
        </w:rPr>
        <w:t xml:space="preserve">and </w:t>
      </w:r>
      <w:r w:rsidR="003C0780">
        <w:rPr>
          <w:rFonts w:ascii="Palatino Linotype" w:hAnsi="Palatino Linotype" w:eastAsia="Palatino Linotype" w:cs="Palatino Linotype"/>
          <w:sz w:val="24"/>
          <w:szCs w:val="24"/>
        </w:rPr>
        <w:t xml:space="preserve">after </w:t>
      </w:r>
      <w:r w:rsidR="00594C5B">
        <w:rPr>
          <w:rFonts w:ascii="Palatino Linotype" w:hAnsi="Palatino Linotype" w:eastAsia="Palatino Linotype" w:cs="Palatino Linotype"/>
          <w:sz w:val="24"/>
          <w:szCs w:val="24"/>
        </w:rPr>
        <w:t>considering</w:t>
      </w:r>
      <w:r w:rsidR="003C0780">
        <w:rPr>
          <w:rFonts w:ascii="Palatino Linotype" w:hAnsi="Palatino Linotype" w:eastAsia="Palatino Linotype" w:cs="Palatino Linotype"/>
          <w:sz w:val="24"/>
          <w:szCs w:val="24"/>
        </w:rPr>
        <w:t xml:space="preserve"> PG&amp;E’s plan for cost recovery and </w:t>
      </w:r>
      <w:r w:rsidR="0038437A">
        <w:rPr>
          <w:rFonts w:ascii="Palatino Linotype" w:hAnsi="Palatino Linotype" w:eastAsia="Palatino Linotype" w:cs="Palatino Linotype"/>
          <w:sz w:val="24"/>
          <w:szCs w:val="24"/>
        </w:rPr>
        <w:t>cost allocation,</w:t>
      </w:r>
      <w:r w:rsidR="003C0780">
        <w:rPr>
          <w:rFonts w:ascii="Palatino Linotype" w:hAnsi="Palatino Linotype" w:eastAsia="Palatino Linotype" w:cs="Palatino Linotype"/>
          <w:sz w:val="24"/>
          <w:szCs w:val="24"/>
        </w:rPr>
        <w:t xml:space="preserve"> </w:t>
      </w:r>
      <w:r>
        <w:rPr>
          <w:rFonts w:ascii="Palatino Linotype" w:hAnsi="Palatino Linotype" w:eastAsia="Palatino Linotype" w:cs="Palatino Linotype"/>
          <w:sz w:val="24"/>
          <w:szCs w:val="24"/>
        </w:rPr>
        <w:t>we find PG&amp;E’s proposal broadly reasonable. I</w:t>
      </w:r>
      <w:r w:rsidRPr="00D161D2">
        <w:rPr>
          <w:rFonts w:ascii="Palatino Linotype" w:hAnsi="Palatino Linotype" w:eastAsia="Palatino Linotype" w:cs="Palatino Linotype"/>
          <w:sz w:val="24"/>
          <w:szCs w:val="24"/>
        </w:rPr>
        <w:t xml:space="preserve">t is reasonable for PG&amp;E to recover the incremental costs it has incurred in 2021-2022 to solicit the </w:t>
      </w:r>
      <w:r>
        <w:rPr>
          <w:rFonts w:ascii="Palatino Linotype" w:hAnsi="Palatino Linotype" w:eastAsia="Palatino Linotype" w:cs="Palatino Linotype"/>
          <w:sz w:val="24"/>
          <w:szCs w:val="24"/>
        </w:rPr>
        <w:t>current</w:t>
      </w:r>
      <w:r w:rsidRPr="00D161D2">
        <w:rPr>
          <w:rFonts w:ascii="Palatino Linotype" w:hAnsi="Palatino Linotype" w:eastAsia="Palatino Linotype" w:cs="Palatino Linotype"/>
          <w:sz w:val="24"/>
          <w:szCs w:val="24"/>
        </w:rPr>
        <w:t xml:space="preserve"> contract and to begin development of the Calistoga CSM Project</w:t>
      </w:r>
      <w:r>
        <w:rPr>
          <w:rFonts w:ascii="Palatino Linotype" w:hAnsi="Palatino Linotype" w:eastAsia="Palatino Linotype" w:cs="Palatino Linotype"/>
          <w:sz w:val="24"/>
          <w:szCs w:val="24"/>
        </w:rPr>
        <w:t>. F</w:t>
      </w:r>
      <w:r w:rsidRPr="00D161D2">
        <w:rPr>
          <w:rFonts w:ascii="Palatino Linotype" w:hAnsi="Palatino Linotype" w:eastAsia="Palatino Linotype" w:cs="Palatino Linotype"/>
          <w:sz w:val="24"/>
          <w:szCs w:val="24"/>
        </w:rPr>
        <w:t>or costs incurred during the period of 2023–2026, it is reasonable for PG&amp;E to annually transfer the balance of the Clean Substation Microgrid Program Subaccount of the M</w:t>
      </w:r>
      <w:r w:rsidR="00430432">
        <w:rPr>
          <w:rFonts w:ascii="Palatino Linotype" w:hAnsi="Palatino Linotype" w:eastAsia="Palatino Linotype" w:cs="Palatino Linotype"/>
          <w:sz w:val="24"/>
          <w:szCs w:val="24"/>
        </w:rPr>
        <w:t>icrogrids Balancing Account (MGBA)</w:t>
      </w:r>
      <w:r w:rsidRPr="00D161D2">
        <w:rPr>
          <w:rFonts w:ascii="Palatino Linotype" w:hAnsi="Palatino Linotype" w:eastAsia="Palatino Linotype" w:cs="Palatino Linotype"/>
          <w:sz w:val="24"/>
          <w:szCs w:val="24"/>
        </w:rPr>
        <w:t xml:space="preserve"> to the D</w:t>
      </w:r>
      <w:r w:rsidR="00430432">
        <w:rPr>
          <w:rFonts w:ascii="Palatino Linotype" w:hAnsi="Palatino Linotype" w:eastAsia="Palatino Linotype" w:cs="Palatino Linotype"/>
          <w:sz w:val="24"/>
          <w:szCs w:val="24"/>
        </w:rPr>
        <w:t>istribution Revenue Adjustment Mechanism (DRAM)</w:t>
      </w:r>
      <w:r w:rsidRPr="00D161D2">
        <w:rPr>
          <w:rFonts w:ascii="Palatino Linotype" w:hAnsi="Palatino Linotype" w:eastAsia="Palatino Linotype" w:cs="Palatino Linotype"/>
          <w:sz w:val="24"/>
          <w:szCs w:val="24"/>
        </w:rPr>
        <w:t xml:space="preserve"> in order to recover the actual costs and associated revenue requirement in distribution rates through the </w:t>
      </w:r>
      <w:r>
        <w:rPr>
          <w:rFonts w:ascii="Palatino Linotype" w:hAnsi="Palatino Linotype" w:eastAsia="Palatino Linotype" w:cs="Palatino Linotype"/>
          <w:sz w:val="24"/>
          <w:szCs w:val="24"/>
        </w:rPr>
        <w:t>Annual Electric True-up</w:t>
      </w:r>
      <w:r w:rsidRPr="00D161D2">
        <w:rPr>
          <w:rFonts w:ascii="Palatino Linotype" w:hAnsi="Palatino Linotype" w:eastAsia="Palatino Linotype" w:cs="Palatino Linotype"/>
          <w:sz w:val="24"/>
          <w:szCs w:val="24"/>
        </w:rPr>
        <w:t xml:space="preserve"> advice letter process. </w:t>
      </w:r>
      <w:r>
        <w:rPr>
          <w:rFonts w:ascii="Palatino Linotype" w:hAnsi="Palatino Linotype" w:eastAsia="Palatino Linotype" w:cs="Palatino Linotype"/>
          <w:sz w:val="24"/>
          <w:szCs w:val="24"/>
        </w:rPr>
        <w:t xml:space="preserve">After this period, it is reasonable for PG&amp;E to include these costs in its General Rate Case. </w:t>
      </w:r>
      <w:r w:rsidRPr="00D161D2">
        <w:rPr>
          <w:rFonts w:ascii="Palatino Linotype" w:hAnsi="Palatino Linotype" w:eastAsia="Palatino Linotype" w:cs="Palatino Linotype"/>
          <w:sz w:val="24"/>
          <w:szCs w:val="24"/>
        </w:rPr>
        <w:t>Additionally, it is reasonable for PG&amp;E to recover all expenditures for the Calistoga CSM project as expense to simplify the revenue requirement calculation and cost recovery, and to allocate the Calistoga CSM Project costs using the special revenue allocation methodology associated with wildfire mitigation efforts.</w:t>
      </w:r>
      <w:r>
        <w:rPr>
          <w:rFonts w:ascii="Palatino Linotype" w:hAnsi="Palatino Linotype" w:eastAsia="Palatino Linotype" w:cs="Palatino Linotype"/>
          <w:sz w:val="24"/>
          <w:szCs w:val="24"/>
        </w:rPr>
        <w:t xml:space="preserve"> </w:t>
      </w:r>
      <w:r w:rsidRPr="00D161D2">
        <w:rPr>
          <w:rFonts w:ascii="Palatino Linotype" w:hAnsi="Palatino Linotype" w:eastAsia="Palatino Linotype" w:cs="Palatino Linotype"/>
          <w:sz w:val="24"/>
          <w:szCs w:val="24"/>
        </w:rPr>
        <w:t xml:space="preserve">If </w:t>
      </w:r>
      <w:r>
        <w:rPr>
          <w:rFonts w:ascii="Palatino Linotype" w:hAnsi="Palatino Linotype" w:eastAsia="Palatino Linotype" w:cs="Palatino Linotype"/>
          <w:sz w:val="24"/>
          <w:szCs w:val="24"/>
        </w:rPr>
        <w:t>actual construction costs exceed the forecasts provided here</w:t>
      </w:r>
      <w:r w:rsidRPr="00D161D2">
        <w:rPr>
          <w:rFonts w:ascii="Palatino Linotype" w:hAnsi="Palatino Linotype" w:eastAsia="Palatino Linotype" w:cs="Palatino Linotype"/>
          <w:sz w:val="24"/>
          <w:szCs w:val="24"/>
        </w:rPr>
        <w:t xml:space="preserve"> upon completion of the initial construction of the Calistoga CSM Project</w:t>
      </w:r>
      <w:r>
        <w:rPr>
          <w:rFonts w:ascii="Palatino Linotype" w:hAnsi="Palatino Linotype" w:eastAsia="Palatino Linotype" w:cs="Palatino Linotype"/>
          <w:sz w:val="24"/>
          <w:szCs w:val="24"/>
        </w:rPr>
        <w:t xml:space="preserve">, </w:t>
      </w:r>
      <w:r w:rsidRPr="00D161D2">
        <w:rPr>
          <w:rFonts w:ascii="Palatino Linotype" w:hAnsi="Palatino Linotype" w:eastAsia="Palatino Linotype" w:cs="Palatino Linotype"/>
          <w:sz w:val="24"/>
          <w:szCs w:val="24"/>
        </w:rPr>
        <w:t xml:space="preserve">it is reasonable for PG&amp;E to file a Tier 1 Advice Letter </w:t>
      </w:r>
      <w:r>
        <w:rPr>
          <w:rFonts w:ascii="Palatino Linotype" w:hAnsi="Palatino Linotype" w:eastAsia="Palatino Linotype" w:cs="Palatino Linotype"/>
          <w:sz w:val="24"/>
          <w:szCs w:val="24"/>
        </w:rPr>
        <w:t>informing the Commission and presenting</w:t>
      </w:r>
      <w:r w:rsidRPr="00D161D2">
        <w:rPr>
          <w:rFonts w:ascii="Palatino Linotype" w:hAnsi="Palatino Linotype" w:eastAsia="Palatino Linotype" w:cs="Palatino Linotype"/>
          <w:sz w:val="24"/>
          <w:szCs w:val="24"/>
        </w:rPr>
        <w:t xml:space="preserve"> the forecasted costs at completion </w:t>
      </w:r>
      <w:r>
        <w:rPr>
          <w:rFonts w:ascii="Palatino Linotype" w:hAnsi="Palatino Linotype" w:eastAsia="Palatino Linotype" w:cs="Palatino Linotype"/>
          <w:sz w:val="24"/>
          <w:szCs w:val="24"/>
        </w:rPr>
        <w:t>compared</w:t>
      </w:r>
      <w:r w:rsidRPr="00D161D2">
        <w:rPr>
          <w:rFonts w:ascii="Palatino Linotype" w:hAnsi="Palatino Linotype" w:eastAsia="Palatino Linotype" w:cs="Palatino Linotype"/>
          <w:sz w:val="24"/>
          <w:szCs w:val="24"/>
        </w:rPr>
        <w:t xml:space="preserve"> to the established balancing account cap.</w:t>
      </w:r>
      <w:r>
        <w:rPr>
          <w:rFonts w:ascii="Palatino Linotype" w:hAnsi="Palatino Linotype" w:eastAsia="Palatino Linotype" w:cs="Palatino Linotype"/>
          <w:sz w:val="24"/>
          <w:szCs w:val="24"/>
        </w:rPr>
        <w:t xml:space="preserve"> Finally, g</w:t>
      </w:r>
      <w:r w:rsidRPr="00D161D2">
        <w:rPr>
          <w:rFonts w:ascii="Palatino Linotype" w:hAnsi="Palatino Linotype" w:eastAsia="Palatino Linotype" w:cs="Palatino Linotype"/>
          <w:sz w:val="24"/>
          <w:szCs w:val="24"/>
        </w:rPr>
        <w:t xml:space="preserve">iven the </w:t>
      </w:r>
      <w:r w:rsidRPr="00D161D2">
        <w:rPr>
          <w:rFonts w:ascii="Palatino Linotype" w:hAnsi="Palatino Linotype" w:eastAsia="Palatino Linotype" w:cs="Palatino Linotype"/>
          <w:sz w:val="24"/>
          <w:szCs w:val="24"/>
        </w:rPr>
        <w:lastRenderedPageBreak/>
        <w:t>parallel and coordinated development of the Calistoga CSM Project by PG&amp;E and by Energy Vault,</w:t>
      </w:r>
      <w:r>
        <w:rPr>
          <w:rFonts w:ascii="Palatino Linotype" w:hAnsi="Palatino Linotype" w:eastAsia="Palatino Linotype" w:cs="Palatino Linotype"/>
          <w:sz w:val="24"/>
          <w:szCs w:val="24"/>
        </w:rPr>
        <w:t xml:space="preserve"> we find it reasonable for PG&amp;E to proceed immediately upon approval with its own scope of work</w:t>
      </w:r>
      <w:r w:rsidRPr="00D161D2">
        <w:rPr>
          <w:rFonts w:ascii="Palatino Linotype" w:hAnsi="Palatino Linotype" w:eastAsia="Palatino Linotype" w:cs="Palatino Linotype"/>
          <w:sz w:val="24"/>
          <w:szCs w:val="24"/>
        </w:rPr>
        <w:t>.</w:t>
      </w:r>
      <w:r>
        <w:rPr>
          <w:rFonts w:ascii="Palatino Linotype" w:hAnsi="Palatino Linotype" w:eastAsia="Palatino Linotype" w:cs="Palatino Linotype"/>
          <w:sz w:val="24"/>
          <w:szCs w:val="24"/>
        </w:rPr>
        <w:t xml:space="preserve"> It is reasonable for</w:t>
      </w:r>
      <w:r w:rsidRPr="00D161D2">
        <w:rPr>
          <w:rFonts w:ascii="Palatino Linotype" w:hAnsi="Palatino Linotype" w:eastAsia="Palatino Linotype" w:cs="Palatino Linotype"/>
          <w:sz w:val="24"/>
          <w:szCs w:val="24"/>
        </w:rPr>
        <w:t xml:space="preserve"> PG&amp;E </w:t>
      </w:r>
      <w:r>
        <w:rPr>
          <w:rFonts w:ascii="Palatino Linotype" w:hAnsi="Palatino Linotype" w:eastAsia="Palatino Linotype" w:cs="Palatino Linotype"/>
          <w:sz w:val="24"/>
          <w:szCs w:val="24"/>
        </w:rPr>
        <w:t xml:space="preserve">to </w:t>
      </w:r>
      <w:r w:rsidRPr="00D161D2">
        <w:rPr>
          <w:rFonts w:ascii="Palatino Linotype" w:hAnsi="Palatino Linotype" w:eastAsia="Palatino Linotype" w:cs="Palatino Linotype"/>
          <w:sz w:val="24"/>
          <w:szCs w:val="24"/>
        </w:rPr>
        <w:t>recover the then-incurred costs for its scope of work</w:t>
      </w:r>
      <w:r>
        <w:rPr>
          <w:rFonts w:ascii="Palatino Linotype" w:hAnsi="Palatino Linotype" w:eastAsia="Palatino Linotype" w:cs="Palatino Linotype"/>
          <w:sz w:val="24"/>
          <w:szCs w:val="24"/>
        </w:rPr>
        <w:t xml:space="preserve"> even</w:t>
      </w:r>
      <w:r w:rsidRPr="00D161D2">
        <w:rPr>
          <w:rFonts w:ascii="Palatino Linotype" w:hAnsi="Palatino Linotype" w:eastAsia="Palatino Linotype" w:cs="Palatino Linotype"/>
          <w:sz w:val="24"/>
          <w:szCs w:val="24"/>
        </w:rPr>
        <w:t xml:space="preserve"> if Energy Vault</w:t>
      </w:r>
      <w:r>
        <w:rPr>
          <w:rFonts w:ascii="Palatino Linotype" w:hAnsi="Palatino Linotype" w:eastAsia="Palatino Linotype" w:cs="Palatino Linotype"/>
          <w:sz w:val="24"/>
          <w:szCs w:val="24"/>
        </w:rPr>
        <w:t xml:space="preserve"> terminates the contract or fails to fulfill its obligations</w:t>
      </w:r>
      <w:r w:rsidRPr="00D161D2">
        <w:rPr>
          <w:rFonts w:ascii="Palatino Linotype" w:hAnsi="Palatino Linotype" w:eastAsia="Palatino Linotype" w:cs="Palatino Linotype"/>
          <w:sz w:val="24"/>
          <w:szCs w:val="24"/>
        </w:rPr>
        <w:t>, so long as PG&amp;E reasonably mitigates the stranding of assets and other expense costs after the time it receives notice that the Energy Vault scope of work will fail or terminate.</w:t>
      </w:r>
    </w:p>
    <w:p w:rsidR="0081031A" w:rsidP="00D161D2" w:rsidRDefault="0081031A" w14:paraId="3A12FED6" w14:textId="05C71A6F">
      <w:pPr>
        <w:rPr>
          <w:rFonts w:ascii="Palatino Linotype" w:hAnsi="Palatino Linotype" w:eastAsia="Palatino Linotype" w:cs="Palatino Linotype"/>
          <w:sz w:val="24"/>
          <w:szCs w:val="24"/>
        </w:rPr>
      </w:pPr>
    </w:p>
    <w:p w:rsidR="0081031A" w:rsidP="0081031A" w:rsidRDefault="0081031A" w14:paraId="3B02ABA6" w14:textId="572FA554">
      <w:pPr>
        <w:rPr>
          <w:rFonts w:ascii="Palatino Linotype" w:hAnsi="Palatino Linotype" w:eastAsia="Palatino Linotype" w:cs="Palatino Linotype"/>
          <w:b/>
          <w:bCs/>
          <w:sz w:val="24"/>
          <w:szCs w:val="24"/>
        </w:rPr>
      </w:pPr>
      <w:r>
        <w:rPr>
          <w:rFonts w:ascii="Palatino Linotype" w:hAnsi="Palatino Linotype" w:eastAsia="Palatino Linotype" w:cs="Palatino Linotype"/>
          <w:b/>
          <w:bCs/>
          <w:sz w:val="24"/>
          <w:szCs w:val="24"/>
        </w:rPr>
        <w:t>PG&amp;E should report on the cost, performance, and learnings from this pilot project.</w:t>
      </w:r>
    </w:p>
    <w:p w:rsidR="0081031A" w:rsidP="00D161D2" w:rsidRDefault="0081031A" w14:paraId="424DBAC3" w14:textId="519C62EE">
      <w:pPr>
        <w:rPr>
          <w:rFonts w:ascii="Palatino Linotype" w:hAnsi="Palatino Linotype" w:eastAsia="Palatino Linotype" w:cs="Palatino Linotype"/>
          <w:sz w:val="24"/>
          <w:szCs w:val="24"/>
        </w:rPr>
      </w:pPr>
    </w:p>
    <w:p w:rsidR="0081031A" w:rsidP="00D161D2" w:rsidRDefault="0081031A" w14:paraId="778C33E0" w14:textId="0F6E0258">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In its response, MCE recommended that PG&amp;E be required to share lessons learned </w:t>
      </w:r>
      <w:r w:rsidR="008A6D46">
        <w:rPr>
          <w:rFonts w:ascii="Palatino Linotype" w:hAnsi="Palatino Linotype" w:eastAsia="Palatino Linotype" w:cs="Palatino Linotype"/>
          <w:sz w:val="24"/>
          <w:szCs w:val="24"/>
        </w:rPr>
        <w:t>from</w:t>
      </w:r>
      <w:r>
        <w:rPr>
          <w:rFonts w:ascii="Palatino Linotype" w:hAnsi="Palatino Linotype" w:eastAsia="Palatino Linotype" w:cs="Palatino Linotype"/>
          <w:sz w:val="24"/>
          <w:szCs w:val="24"/>
        </w:rPr>
        <w:t xml:space="preserve"> developing this project.</w:t>
      </w:r>
      <w:r>
        <w:rPr>
          <w:rStyle w:val="FootnoteReference"/>
          <w:rFonts w:eastAsia="Palatino Linotype" w:cs="Palatino Linotype"/>
          <w:szCs w:val="24"/>
        </w:rPr>
        <w:footnoteReference w:id="12"/>
      </w:r>
      <w:r w:rsidR="005B2A6A">
        <w:rPr>
          <w:rFonts w:ascii="Palatino Linotype" w:hAnsi="Palatino Linotype" w:eastAsia="Palatino Linotype" w:cs="Palatino Linotype"/>
          <w:sz w:val="24"/>
          <w:szCs w:val="24"/>
        </w:rPr>
        <w:t xml:space="preserve"> Relatedly, in its protest, PAO recommends PG&amp;E be required to provide annual reports on the project beginning one year after the project’s in-service date. Specifically, PAO requested these reports describe the actual cost and technical performance of the Calistoga project, including any test failures. PG&amp;E had no objections to these reporting requirements, only noting that it already plans to report on the project’s environmental performance. We find these reporting requirements to be reasonable. </w:t>
      </w:r>
    </w:p>
    <w:p w:rsidR="002F6E81" w:rsidP="00D161D2" w:rsidRDefault="002F6E81" w14:paraId="0A5C980E" w14:textId="1D41F966">
      <w:pPr>
        <w:rPr>
          <w:rFonts w:ascii="Palatino Linotype" w:hAnsi="Palatino Linotype" w:eastAsia="Palatino Linotype" w:cs="Palatino Linotype"/>
          <w:sz w:val="24"/>
          <w:szCs w:val="24"/>
        </w:rPr>
      </w:pPr>
    </w:p>
    <w:p w:rsidR="002F6E81" w:rsidP="00D161D2" w:rsidRDefault="002F6E81" w14:paraId="07098D42" w14:textId="0AFAB841">
      <w:pPr>
        <w:rPr>
          <w:rFonts w:ascii="Palatino Linotype" w:hAnsi="Palatino Linotype" w:eastAsia="Palatino Linotype" w:cs="Palatino Linotype"/>
          <w:b/>
          <w:bCs/>
          <w:sz w:val="24"/>
          <w:szCs w:val="24"/>
        </w:rPr>
      </w:pPr>
      <w:bookmarkStart w:name="_Hlk130377421" w:id="1"/>
      <w:r>
        <w:rPr>
          <w:rFonts w:ascii="Palatino Linotype" w:hAnsi="Palatino Linotype" w:eastAsia="Palatino Linotype" w:cs="Palatino Linotype"/>
          <w:b/>
          <w:bCs/>
          <w:sz w:val="24"/>
          <w:szCs w:val="24"/>
        </w:rPr>
        <w:t xml:space="preserve">PG&amp;E should work with Energy Vault and the Energy Division to </w:t>
      </w:r>
      <w:r w:rsidRPr="002F6E81">
        <w:rPr>
          <w:rFonts w:ascii="Palatino Linotype" w:hAnsi="Palatino Linotype" w:eastAsia="Palatino Linotype" w:cs="Palatino Linotype"/>
          <w:b/>
          <w:bCs/>
          <w:sz w:val="24"/>
          <w:szCs w:val="24"/>
        </w:rPr>
        <w:t>encourage the use of project resources, in particular the battery energy storage system, during normal grid conditions</w:t>
      </w:r>
      <w:r>
        <w:rPr>
          <w:rFonts w:ascii="Palatino Linotype" w:hAnsi="Palatino Linotype" w:eastAsia="Palatino Linotype" w:cs="Palatino Linotype"/>
          <w:b/>
          <w:bCs/>
          <w:sz w:val="24"/>
          <w:szCs w:val="24"/>
        </w:rPr>
        <w:t>.</w:t>
      </w:r>
    </w:p>
    <w:p w:rsidR="002F6E81" w:rsidP="00D161D2" w:rsidRDefault="002F6E81" w14:paraId="4F7B3E26" w14:textId="460C1BE9">
      <w:pPr>
        <w:rPr>
          <w:rFonts w:ascii="Palatino Linotype" w:hAnsi="Palatino Linotype" w:eastAsia="Palatino Linotype" w:cs="Palatino Linotype"/>
          <w:b/>
          <w:bCs/>
          <w:sz w:val="24"/>
          <w:szCs w:val="24"/>
        </w:rPr>
      </w:pPr>
    </w:p>
    <w:p w:rsidRPr="00774CB5" w:rsidR="002F6E81" w:rsidP="00D2719D" w:rsidRDefault="00774CB5" w14:paraId="599786E5" w14:textId="0964FF1E">
      <w:p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In its response, MCE encouraged the Commission and PG&amp;E to consider how the resources in this microgrid project can be used year-round. In its reply, PG&amp;E noted that it </w:t>
      </w:r>
      <w:r w:rsidR="00D2719D">
        <w:rPr>
          <w:rFonts w:ascii="Palatino Linotype" w:hAnsi="Palatino Linotype" w:eastAsia="Palatino Linotype" w:cs="Palatino Linotype"/>
          <w:sz w:val="24"/>
          <w:szCs w:val="24"/>
        </w:rPr>
        <w:t>allowed the use of microgrid resources during normal grid conditions in the Request for Offer for the project, either as a part of the contract or separately from the contract as long as it did not conflict with the primary obligation of providing backup power during PSPS events.</w:t>
      </w:r>
      <w:r w:rsidR="00E4248A">
        <w:rPr>
          <w:rStyle w:val="FootnoteReference"/>
          <w:rFonts w:eastAsia="Palatino Linotype" w:cs="Palatino Linotype"/>
          <w:szCs w:val="24"/>
        </w:rPr>
        <w:footnoteReference w:id="13"/>
      </w:r>
      <w:r w:rsidR="00D2719D">
        <w:rPr>
          <w:rFonts w:ascii="Palatino Linotype" w:hAnsi="Palatino Linotype" w:eastAsia="Palatino Linotype" w:cs="Palatino Linotype"/>
          <w:sz w:val="24"/>
          <w:szCs w:val="24"/>
        </w:rPr>
        <w:t xml:space="preserve"> PG&amp;E also noted it does not currently expect Energy Vault to utilize microgrid resources during normal grid conditions, but it has no objection with Energy Vault proposing this use at a future date. </w:t>
      </w:r>
      <w:r w:rsidR="00E4248A">
        <w:rPr>
          <w:rFonts w:ascii="Palatino Linotype" w:hAnsi="Palatino Linotype" w:eastAsia="Palatino Linotype" w:cs="Palatino Linotype"/>
          <w:sz w:val="24"/>
          <w:szCs w:val="24"/>
        </w:rPr>
        <w:t xml:space="preserve">The logistics and costs of procuring and delivering renewable hydrogen for use during normal grid conditions may be prohibitive, but we note that the use of the project battery energy storage system during normal grid conditions seems reasonable as long as it does not conflict with Energy Vault’s primary obligations. As such, we find it reasonable to direct PG&amp;E to work with Energy Vault and the Energy Division to encourage the use of the battery </w:t>
      </w:r>
      <w:r w:rsidR="00E4248A">
        <w:rPr>
          <w:rFonts w:ascii="Palatino Linotype" w:hAnsi="Palatino Linotype" w:eastAsia="Palatino Linotype" w:cs="Palatino Linotype"/>
          <w:sz w:val="24"/>
          <w:szCs w:val="24"/>
        </w:rPr>
        <w:lastRenderedPageBreak/>
        <w:t>energy storage system during normal grid conditions, understanding that this will not be explicitly covered under the current contract</w:t>
      </w:r>
      <w:r w:rsidR="0006242C">
        <w:rPr>
          <w:rFonts w:ascii="Palatino Linotype" w:hAnsi="Palatino Linotype" w:eastAsia="Palatino Linotype" w:cs="Palatino Linotype"/>
          <w:sz w:val="24"/>
          <w:szCs w:val="24"/>
        </w:rPr>
        <w:t xml:space="preserve"> terms</w:t>
      </w:r>
      <w:r w:rsidR="00E4248A">
        <w:rPr>
          <w:rFonts w:ascii="Palatino Linotype" w:hAnsi="Palatino Linotype" w:eastAsia="Palatino Linotype" w:cs="Palatino Linotype"/>
          <w:sz w:val="24"/>
          <w:szCs w:val="24"/>
        </w:rPr>
        <w:t>.</w:t>
      </w:r>
    </w:p>
    <w:bookmarkEnd w:id="1"/>
    <w:p w:rsidR="00B140AE" w:rsidP="1EDC5FC2" w:rsidRDefault="00B140AE" w14:paraId="79A94257" w14:textId="77777777">
      <w:pPr>
        <w:pStyle w:val="Heading1"/>
        <w:rPr>
          <w:rFonts w:ascii="Palatino Linotype" w:hAnsi="Palatino Linotype" w:eastAsia="Palatino Linotype" w:cs="Palatino Linotype"/>
          <w:sz w:val="24"/>
          <w:szCs w:val="24"/>
        </w:rPr>
      </w:pPr>
    </w:p>
    <w:p w:rsidRPr="007963D3" w:rsidR="00CF17DE" w:rsidP="1EDC5FC2" w:rsidRDefault="00CF17DE" w14:paraId="16A82360" w14:textId="0073E873">
      <w:pPr>
        <w:pStyle w:val="Heading1"/>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Comments</w:t>
      </w:r>
    </w:p>
    <w:p w:rsidRPr="007963D3" w:rsidR="00090457" w:rsidP="1EDC5FC2" w:rsidRDefault="00090457" w14:paraId="029F8842" w14:textId="6DE82356">
      <w:pPr>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 xml:space="preserve">Public Utilities Code section 311(g)(1) provides that this Resolution must be served on all parties and subject to at least 30 days public review.  Any comments are due within 20 days of the date of its mailing and publication on the Commission’s website and in accordance with any instructions accompanying the notice. Section 311(g)(2) provides that this 30-day review period and 20-day comment period may be reduced or waived upon the stipulation of all parties in the proceeding. </w:t>
      </w:r>
    </w:p>
    <w:p w:rsidRPr="007963D3" w:rsidR="0024459D" w:rsidP="1EDC5FC2" w:rsidRDefault="0024459D" w14:paraId="1030F211" w14:textId="77777777">
      <w:pPr>
        <w:rPr>
          <w:rFonts w:ascii="Palatino Linotype" w:hAnsi="Palatino Linotype" w:eastAsia="Palatino Linotype" w:cs="Palatino Linotype"/>
          <w:sz w:val="24"/>
          <w:szCs w:val="24"/>
        </w:rPr>
      </w:pPr>
    </w:p>
    <w:p w:rsidRPr="007963D3" w:rsidR="0024459D" w:rsidP="1EDC5FC2" w:rsidRDefault="0024459D" w14:paraId="40C33EDB" w14:textId="75FE784B">
      <w:pPr>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The 30-day review and 20-day comment period for the draft of this resolution was neither waived nor reduced.  Accordingly, this draft resolution was mailed to parties for comments, and will be placed on the Commission's agenda no earlier than 30 days from today.</w:t>
      </w:r>
    </w:p>
    <w:p w:rsidRPr="007963D3" w:rsidR="00CF17DE" w:rsidP="1EDC5FC2" w:rsidRDefault="00CF17DE" w14:paraId="22D603EE" w14:textId="44ACC296">
      <w:pPr>
        <w:pStyle w:val="Style1"/>
        <w:suppressAutoHyphens w:val="0"/>
        <w:spacing w:after="0"/>
        <w:rPr>
          <w:rFonts w:ascii="Palatino Linotype" w:hAnsi="Palatino Linotype" w:eastAsia="Palatino Linotype" w:cs="Palatino Linotype"/>
          <w:sz w:val="24"/>
          <w:szCs w:val="24"/>
        </w:rPr>
      </w:pPr>
    </w:p>
    <w:p w:rsidRPr="007963D3" w:rsidR="00CF17DE" w:rsidP="1EDC5FC2" w:rsidRDefault="00CF17DE" w14:paraId="07618DBE" w14:textId="77777777">
      <w:pPr>
        <w:pStyle w:val="Heading1"/>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Findings</w:t>
      </w:r>
    </w:p>
    <w:p w:rsidRPr="00C3395B" w:rsidR="00C3395B" w:rsidP="00D161D2" w:rsidRDefault="00C3395B" w14:paraId="1EEC23DB" w14:textId="1BA8BC68">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PG&amp;E has adequately documented its plan to develop at least one CSM Pilot Project pursuant to Section 2 of Appendix A to D.21-01-018.</w:t>
      </w:r>
    </w:p>
    <w:p w:rsidRPr="00C3395B" w:rsidR="00C3395B" w:rsidP="00D161D2" w:rsidRDefault="00C3395B" w14:paraId="642853DC" w14:textId="042D6D67">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 xml:space="preserve">The Calistoga CSM Project would demonstrate a novel combination of </w:t>
      </w:r>
      <w:r w:rsidRPr="00C3395B" w:rsidR="0081031A">
        <w:rPr>
          <w:rFonts w:ascii="Palatino Linotype" w:hAnsi="Palatino Linotype" w:eastAsia="Palatino Linotype" w:cs="Palatino Linotype"/>
          <w:sz w:val="24"/>
          <w:szCs w:val="24"/>
        </w:rPr>
        <w:t>third party</w:t>
      </w:r>
      <w:r w:rsidRPr="00C3395B">
        <w:rPr>
          <w:rFonts w:ascii="Palatino Linotype" w:hAnsi="Palatino Linotype" w:eastAsia="Palatino Linotype" w:cs="Palatino Linotype"/>
          <w:sz w:val="24"/>
          <w:szCs w:val="24"/>
        </w:rPr>
        <w:t>-owned, clean generation technologies in combination with existing utility infrastructure, and it will further the transition to cleaner sources of substation microgrid generation.</w:t>
      </w:r>
    </w:p>
    <w:p w:rsidRPr="00C3395B" w:rsidR="00C3395B" w:rsidP="00D161D2" w:rsidRDefault="00C3395B" w14:paraId="7A260DD0" w14:textId="44D245B6">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As a permanent, stationary CSM project, the Calistoga CSM Project meets condition 2.1 of Section 2 of Appendix A to D.21-01-018.</w:t>
      </w:r>
    </w:p>
    <w:p w:rsidRPr="00C3395B" w:rsidR="00C3395B" w:rsidP="00D161D2" w:rsidRDefault="00C3395B" w14:paraId="20ECDE2C" w14:textId="6F6BB18F">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As a permanent (i</w:t>
      </w:r>
      <w:r w:rsidR="00430432">
        <w:rPr>
          <w:rFonts w:ascii="Palatino Linotype" w:hAnsi="Palatino Linotype" w:eastAsia="Palatino Linotype" w:cs="Palatino Linotype"/>
          <w:sz w:val="24"/>
          <w:szCs w:val="24"/>
        </w:rPr>
        <w:t>.</w:t>
      </w:r>
      <w:r w:rsidRPr="00C3395B">
        <w:rPr>
          <w:rFonts w:ascii="Palatino Linotype" w:hAnsi="Palatino Linotype" w:eastAsia="Palatino Linotype" w:cs="Palatino Linotype"/>
          <w:sz w:val="24"/>
          <w:szCs w:val="24"/>
        </w:rPr>
        <w:t>e.</w:t>
      </w:r>
      <w:r w:rsidR="00F8716A">
        <w:rPr>
          <w:rFonts w:ascii="Palatino Linotype" w:hAnsi="Palatino Linotype" w:eastAsia="Palatino Linotype" w:cs="Palatino Linotype"/>
          <w:sz w:val="24"/>
          <w:szCs w:val="24"/>
        </w:rPr>
        <w:t>,</w:t>
      </w:r>
      <w:r w:rsidRPr="00C3395B">
        <w:rPr>
          <w:rFonts w:ascii="Palatino Linotype" w:hAnsi="Palatino Linotype" w:eastAsia="Palatino Linotype" w:cs="Palatino Linotype"/>
          <w:sz w:val="24"/>
          <w:szCs w:val="24"/>
        </w:rPr>
        <w:t xml:space="preserve"> long-term) CSM project, PG&amp;E has adequately demonstrated the probability for a long-term need for a CSM solution at the Calistoga Substation and has therefore met condition 2.2 of Section 2 of Appendix A to D.21-01-018.</w:t>
      </w:r>
    </w:p>
    <w:p w:rsidRPr="00C3395B" w:rsidR="00C3395B" w:rsidP="00D161D2" w:rsidRDefault="00430432" w14:paraId="3A141055" w14:textId="19CAC03B">
      <w:pPr>
        <w:pStyle w:val="ListParagraph"/>
        <w:numPr>
          <w:ilvl w:val="0"/>
          <w:numId w:val="20"/>
        </w:num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 xml:space="preserve">PG&amp;E has reasonably judged the </w:t>
      </w:r>
      <w:r w:rsidRPr="00C3395B" w:rsidR="00C3395B">
        <w:rPr>
          <w:rFonts w:ascii="Palatino Linotype" w:hAnsi="Palatino Linotype" w:eastAsia="Palatino Linotype" w:cs="Palatino Linotype"/>
          <w:sz w:val="24"/>
          <w:szCs w:val="24"/>
        </w:rPr>
        <w:t xml:space="preserve">Calistoga CSM Project </w:t>
      </w:r>
      <w:r>
        <w:rPr>
          <w:rFonts w:ascii="Palatino Linotype" w:hAnsi="Palatino Linotype" w:eastAsia="Palatino Linotype" w:cs="Palatino Linotype"/>
          <w:sz w:val="24"/>
          <w:szCs w:val="24"/>
        </w:rPr>
        <w:t>to be</w:t>
      </w:r>
      <w:r w:rsidRPr="00C3395B" w:rsidR="00C3395B">
        <w:rPr>
          <w:rFonts w:ascii="Palatino Linotype" w:hAnsi="Palatino Linotype" w:eastAsia="Palatino Linotype" w:cs="Palatino Linotype"/>
          <w:sz w:val="24"/>
          <w:szCs w:val="24"/>
        </w:rPr>
        <w:t xml:space="preserve"> technically feasible, safe, and financially competitive, meeting the minimum technical criteria set forth in condition 2.3 of Section 2 of Appendix A to D.21-01-018.</w:t>
      </w:r>
    </w:p>
    <w:p w:rsidRPr="00C3395B" w:rsidR="00C3395B" w:rsidP="00D161D2" w:rsidRDefault="00C3395B" w14:paraId="2EC35842" w14:textId="1070DBE9">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The forecasted cost of the Calistoga CSM Project to ratepayers does not exceed twice the expected cost of utilizing backup diesel generation over the contract period, consistent with condition 2.3 of Section 2 of Appendix A to D.21-01-018.</w:t>
      </w:r>
    </w:p>
    <w:p w:rsidRPr="00C3395B" w:rsidR="00C3395B" w:rsidP="00D161D2" w:rsidRDefault="00C3395B" w14:paraId="171DAB7A" w14:textId="351BFEF3">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lastRenderedPageBreak/>
        <w:t>In total, the forecasted cost of the Calistoga CSM Project does not exceed the expected cost of 20 years of diesel rental and operation, consistent with condition 2.3 of Section 2 of Appendix A to D.21-01-018.</w:t>
      </w:r>
    </w:p>
    <w:p w:rsidRPr="00C3395B" w:rsidR="00C3395B" w:rsidP="00D161D2" w:rsidRDefault="00C3395B" w14:paraId="583BD9C3" w14:textId="77777777">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The Calistoga CSM Project is expected to achieve at least a 90 percent reduction in PM emissions and NOx emissions compared to what would have been emitted if large Tier 2 Diesel Generators had been used instead of the project, consistent with Appendix A to D.21-01-018.</w:t>
      </w:r>
    </w:p>
    <w:p w:rsidRPr="00C3395B" w:rsidR="00C3395B" w:rsidP="00D161D2" w:rsidRDefault="00C3395B" w14:paraId="524FE974" w14:textId="4FB7C636">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The Calistoga CSM Project is expected to achieve greenhouse gas emissions roughly equivalent to, or less than, emissions from the current grid mix, consistent with Appendix A to D.21-01-018.</w:t>
      </w:r>
    </w:p>
    <w:p w:rsidRPr="00C3395B" w:rsidR="00C3395B" w:rsidP="00D161D2" w:rsidRDefault="00C3395B" w14:paraId="5EBBE732" w14:textId="77D0FA2D">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The completed Calistoga CSM Project will demonstrate a fully renewable microgrid, consistent with Appendix A to D.21-01-018 as further elaborated by Resolution E-5164.</w:t>
      </w:r>
    </w:p>
    <w:p w:rsidRPr="00C3395B" w:rsidR="00C3395B" w:rsidP="00D161D2" w:rsidRDefault="00C3395B" w14:paraId="6F8AD5DF" w14:textId="2CF4AFAD">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PG&amp;E has sought the input of local stakeholders, including the City of Calistoga and Marin Clean Energy, as part of its solicitation and initial study processes.</w:t>
      </w:r>
    </w:p>
    <w:p w:rsidRPr="00C3395B" w:rsidR="00C3395B" w:rsidP="00D161D2" w:rsidRDefault="00C3395B" w14:paraId="3C3BB955" w14:textId="12C47BCE">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The Calistoga CSM Project has received support from local community stakeholders.</w:t>
      </w:r>
    </w:p>
    <w:p w:rsidRPr="00C3395B" w:rsidR="00C3395B" w:rsidP="00D161D2" w:rsidRDefault="00C3395B" w14:paraId="2948227C" w14:textId="5F11B5DF">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The total cost of the Calistoga CSM Project is not expected to exceed PG&amp;E’s proposed prorated balancing account cap of $46.3 million</w:t>
      </w:r>
      <w:r w:rsidR="00D161D2">
        <w:rPr>
          <w:rFonts w:ascii="Palatino Linotype" w:hAnsi="Palatino Linotype" w:eastAsia="Palatino Linotype" w:cs="Palatino Linotype"/>
          <w:sz w:val="24"/>
          <w:szCs w:val="24"/>
        </w:rPr>
        <w:t xml:space="preserve">, leaving it well below the total cap for the Pilot Program of $350 million </w:t>
      </w:r>
      <w:r w:rsidRPr="00C3395B" w:rsidR="00D161D2">
        <w:rPr>
          <w:rFonts w:ascii="Palatino Linotype" w:hAnsi="Palatino Linotype" w:eastAsia="Palatino Linotype" w:cs="Palatino Linotype"/>
          <w:sz w:val="24"/>
          <w:szCs w:val="24"/>
        </w:rPr>
        <w:t>established in condition 2.5 of Section 2 of Appendix A to D.21-01-018</w:t>
      </w:r>
      <w:r w:rsidRPr="00C3395B">
        <w:rPr>
          <w:rFonts w:ascii="Palatino Linotype" w:hAnsi="Palatino Linotype" w:eastAsia="Palatino Linotype" w:cs="Palatino Linotype"/>
          <w:sz w:val="24"/>
          <w:szCs w:val="24"/>
        </w:rPr>
        <w:t>.</w:t>
      </w:r>
    </w:p>
    <w:p w:rsidRPr="00C3395B" w:rsidR="00C3395B" w:rsidP="00D161D2" w:rsidRDefault="00C3395B" w14:paraId="4F5FA778" w14:textId="4DCD2D05">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 xml:space="preserve">To the extent the total actual expenses for the Calistoga CSM project are equal to or less than the prorated $46.3 million balancing account cap, </w:t>
      </w:r>
      <w:r w:rsidR="00D161D2">
        <w:rPr>
          <w:rFonts w:ascii="Palatino Linotype" w:hAnsi="Palatino Linotype" w:eastAsia="Palatino Linotype" w:cs="Palatino Linotype"/>
          <w:sz w:val="24"/>
          <w:szCs w:val="24"/>
        </w:rPr>
        <w:t xml:space="preserve">it is reasonable for </w:t>
      </w:r>
      <w:r w:rsidRPr="00C3395B">
        <w:rPr>
          <w:rFonts w:ascii="Palatino Linotype" w:hAnsi="Palatino Linotype" w:eastAsia="Palatino Linotype" w:cs="Palatino Linotype"/>
          <w:sz w:val="24"/>
          <w:szCs w:val="24"/>
        </w:rPr>
        <w:t>PG&amp;E to recover, without further reasonableness review, the actual costs and associated revenue requirement.</w:t>
      </w:r>
    </w:p>
    <w:p w:rsidRPr="00C3395B" w:rsidR="00C3395B" w:rsidP="00D161D2" w:rsidRDefault="00C3395B" w14:paraId="23A877D1" w14:textId="5883FF97">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 xml:space="preserve">If costs exceed the forecasted total cost of the Calistoga CSM Project detailed in Confidential Appendix E of the Advice Letter, then upon completion of the initial construction of the Calistoga CSM Project, </w:t>
      </w:r>
      <w:r w:rsidR="00D161D2">
        <w:rPr>
          <w:rFonts w:ascii="Palatino Linotype" w:hAnsi="Palatino Linotype" w:eastAsia="Palatino Linotype" w:cs="Palatino Linotype"/>
          <w:sz w:val="24"/>
          <w:szCs w:val="24"/>
        </w:rPr>
        <w:t xml:space="preserve">it is reasonable for </w:t>
      </w:r>
      <w:r w:rsidRPr="00C3395B">
        <w:rPr>
          <w:rFonts w:ascii="Palatino Linotype" w:hAnsi="Palatino Linotype" w:eastAsia="Palatino Linotype" w:cs="Palatino Linotype"/>
          <w:sz w:val="24"/>
          <w:szCs w:val="24"/>
        </w:rPr>
        <w:t xml:space="preserve">PG&amp;E </w:t>
      </w:r>
      <w:r w:rsidR="00D161D2">
        <w:rPr>
          <w:rFonts w:ascii="Palatino Linotype" w:hAnsi="Palatino Linotype" w:eastAsia="Palatino Linotype" w:cs="Palatino Linotype"/>
          <w:sz w:val="24"/>
          <w:szCs w:val="24"/>
        </w:rPr>
        <w:t>to</w:t>
      </w:r>
      <w:r w:rsidRPr="00C3395B">
        <w:rPr>
          <w:rFonts w:ascii="Palatino Linotype" w:hAnsi="Palatino Linotype" w:eastAsia="Palatino Linotype" w:cs="Palatino Linotype"/>
          <w:sz w:val="24"/>
          <w:szCs w:val="24"/>
        </w:rPr>
        <w:t xml:space="preserve"> file a Tier 1 Advice Letter to present the forecasted costs at completion and a comparison to the established balancing account cap.</w:t>
      </w:r>
    </w:p>
    <w:p w:rsidRPr="00C3395B" w:rsidR="00C3395B" w:rsidP="00D161D2" w:rsidRDefault="00C3395B" w14:paraId="110962DF" w14:textId="7985BF0F">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 xml:space="preserve">It is reasonable for PG&amp;E to recover the incremental costs it has incurred in 2021-2022 to solicit the DGEMS contract and to begin development of the Calistoga CSM Project </w:t>
      </w:r>
      <w:r w:rsidR="00430432">
        <w:rPr>
          <w:rFonts w:ascii="Palatino Linotype" w:hAnsi="Palatino Linotype" w:eastAsia="Palatino Linotype" w:cs="Palatino Linotype"/>
          <w:sz w:val="24"/>
          <w:szCs w:val="24"/>
        </w:rPr>
        <w:t>because</w:t>
      </w:r>
      <w:r w:rsidRPr="00C3395B">
        <w:rPr>
          <w:rFonts w:ascii="Palatino Linotype" w:hAnsi="Palatino Linotype" w:eastAsia="Palatino Linotype" w:cs="Palatino Linotype"/>
          <w:sz w:val="24"/>
          <w:szCs w:val="24"/>
        </w:rPr>
        <w:t xml:space="preserve"> these costs were incurred following approval by the Commission of the Clean Substation Microgrid Pilot Program in D.21-01-018 and the approval to establish a Clean Substation Microgrid Program Subaccount in the Microgrids Balancing Account in February 2021.  These incremental incurred costs should be subject to the one-way cap on the Clean Substation Microgrid Program Subaccount established in this Advice Letter and should be recovered via a true-up of rates through PG&amp;E’s Annual Electric True-Up filing for 2024.</w:t>
      </w:r>
    </w:p>
    <w:p w:rsidRPr="00C3395B" w:rsidR="00C3395B" w:rsidP="00D161D2" w:rsidRDefault="00C3395B" w14:paraId="3022C59A" w14:textId="421F8EBA">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lastRenderedPageBreak/>
        <w:t xml:space="preserve">For costs incurred during the period of 2023–2026, </w:t>
      </w:r>
      <w:r w:rsidR="00D161D2">
        <w:rPr>
          <w:rFonts w:ascii="Palatino Linotype" w:hAnsi="Palatino Linotype" w:eastAsia="Palatino Linotype" w:cs="Palatino Linotype"/>
          <w:sz w:val="24"/>
          <w:szCs w:val="24"/>
        </w:rPr>
        <w:t xml:space="preserve">it is reasonable for PG&amp;E to annually transfer </w:t>
      </w:r>
      <w:r w:rsidRPr="00C3395B">
        <w:rPr>
          <w:rFonts w:ascii="Palatino Linotype" w:hAnsi="Palatino Linotype" w:eastAsia="Palatino Linotype" w:cs="Palatino Linotype"/>
          <w:sz w:val="24"/>
          <w:szCs w:val="24"/>
        </w:rPr>
        <w:t xml:space="preserve">the balance of the Clean Substation Microgrid Program Subaccount of the MGBA to the DRAM in order to recover the actual costs and associated revenue requirement in distribution rates through the </w:t>
      </w:r>
      <w:r w:rsidRPr="00C3395B" w:rsidR="007925C0">
        <w:rPr>
          <w:rFonts w:ascii="Palatino Linotype" w:hAnsi="Palatino Linotype" w:eastAsia="Palatino Linotype" w:cs="Palatino Linotype"/>
          <w:sz w:val="24"/>
          <w:szCs w:val="24"/>
        </w:rPr>
        <w:t xml:space="preserve">Annual Electric True-Up </w:t>
      </w:r>
      <w:r w:rsidRPr="00C3395B">
        <w:rPr>
          <w:rFonts w:ascii="Palatino Linotype" w:hAnsi="Palatino Linotype" w:eastAsia="Palatino Linotype" w:cs="Palatino Linotype"/>
          <w:sz w:val="24"/>
          <w:szCs w:val="24"/>
        </w:rPr>
        <w:t>advice letter process.</w:t>
      </w:r>
    </w:p>
    <w:p w:rsidRPr="00C3395B" w:rsidR="00C3395B" w:rsidP="00D161D2" w:rsidRDefault="00C3395B" w14:paraId="41036E73" w14:textId="3C997948">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 xml:space="preserve">Beginning with the 2027 </w:t>
      </w:r>
      <w:r w:rsidR="008A6D46">
        <w:rPr>
          <w:rFonts w:ascii="Palatino Linotype" w:hAnsi="Palatino Linotype" w:eastAsia="Palatino Linotype" w:cs="Palatino Linotype"/>
          <w:sz w:val="24"/>
          <w:szCs w:val="24"/>
        </w:rPr>
        <w:t>General Rate Case</w:t>
      </w:r>
      <w:r w:rsidRPr="00C3395B">
        <w:rPr>
          <w:rFonts w:ascii="Palatino Linotype" w:hAnsi="Palatino Linotype" w:eastAsia="Palatino Linotype" w:cs="Palatino Linotype"/>
          <w:sz w:val="24"/>
          <w:szCs w:val="24"/>
        </w:rPr>
        <w:t xml:space="preserve"> cycle, </w:t>
      </w:r>
      <w:r w:rsidR="00D161D2">
        <w:rPr>
          <w:rFonts w:ascii="Palatino Linotype" w:hAnsi="Palatino Linotype" w:eastAsia="Palatino Linotype" w:cs="Palatino Linotype"/>
          <w:sz w:val="24"/>
          <w:szCs w:val="24"/>
        </w:rPr>
        <w:t xml:space="preserve">it is reasonable for </w:t>
      </w:r>
      <w:r w:rsidRPr="00C3395B">
        <w:rPr>
          <w:rFonts w:ascii="Palatino Linotype" w:hAnsi="Palatino Linotype" w:eastAsia="Palatino Linotype" w:cs="Palatino Linotype"/>
          <w:sz w:val="24"/>
          <w:szCs w:val="24"/>
        </w:rPr>
        <w:t xml:space="preserve">PG&amp;E </w:t>
      </w:r>
      <w:r w:rsidR="00D161D2">
        <w:rPr>
          <w:rFonts w:ascii="Palatino Linotype" w:hAnsi="Palatino Linotype" w:eastAsia="Palatino Linotype" w:cs="Palatino Linotype"/>
          <w:sz w:val="24"/>
          <w:szCs w:val="24"/>
        </w:rPr>
        <w:t>to</w:t>
      </w:r>
      <w:r w:rsidRPr="00C3395B">
        <w:rPr>
          <w:rFonts w:ascii="Palatino Linotype" w:hAnsi="Palatino Linotype" w:eastAsia="Palatino Linotype" w:cs="Palatino Linotype"/>
          <w:sz w:val="24"/>
          <w:szCs w:val="24"/>
        </w:rPr>
        <w:t xml:space="preserve"> include the revenue requirement for the Calistoga CSM Project in its G</w:t>
      </w:r>
      <w:r w:rsidR="008A6D46">
        <w:rPr>
          <w:rFonts w:ascii="Palatino Linotype" w:hAnsi="Palatino Linotype" w:eastAsia="Palatino Linotype" w:cs="Palatino Linotype"/>
          <w:sz w:val="24"/>
          <w:szCs w:val="24"/>
        </w:rPr>
        <w:t>eneral Rate Case</w:t>
      </w:r>
      <w:r w:rsidRPr="00C3395B">
        <w:rPr>
          <w:rFonts w:ascii="Palatino Linotype" w:hAnsi="Palatino Linotype" w:eastAsia="Palatino Linotype" w:cs="Palatino Linotype"/>
          <w:sz w:val="24"/>
          <w:szCs w:val="24"/>
        </w:rPr>
        <w:t xml:space="preserve"> application for recovery through distribution rates.</w:t>
      </w:r>
    </w:p>
    <w:p w:rsidRPr="00C3395B" w:rsidR="00C3395B" w:rsidP="00D161D2" w:rsidRDefault="00C3395B" w14:paraId="049705BF" w14:textId="0B1DE702">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It is reasonable, on a non-precedential basis, for PG&amp;E to recover all expenditures for the Calistoga CSM project as expense to simplify the revenue requirement calculation and cost recovery.</w:t>
      </w:r>
    </w:p>
    <w:p w:rsidRPr="00C3395B" w:rsidR="00C3395B" w:rsidP="00D161D2" w:rsidRDefault="00D161D2" w14:paraId="1BB63DA5" w14:textId="517447F3">
      <w:pPr>
        <w:pStyle w:val="ListParagraph"/>
        <w:numPr>
          <w:ilvl w:val="0"/>
          <w:numId w:val="20"/>
        </w:num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It is reasonable to allocate t</w:t>
      </w:r>
      <w:r w:rsidRPr="00C3395B" w:rsidR="00C3395B">
        <w:rPr>
          <w:rFonts w:ascii="Palatino Linotype" w:hAnsi="Palatino Linotype" w:eastAsia="Palatino Linotype" w:cs="Palatino Linotype"/>
          <w:sz w:val="24"/>
          <w:szCs w:val="24"/>
        </w:rPr>
        <w:t xml:space="preserve">he Calistoga CSM Project costs using the special revenue allocation methodology that was originally approved in Phase II of PG&amp;E’s 2020 </w:t>
      </w:r>
      <w:r w:rsidR="008A6D46">
        <w:rPr>
          <w:rFonts w:ascii="Palatino Linotype" w:hAnsi="Palatino Linotype" w:eastAsia="Palatino Linotype" w:cs="Palatino Linotype"/>
          <w:sz w:val="24"/>
          <w:szCs w:val="24"/>
        </w:rPr>
        <w:t>General Rate Case</w:t>
      </w:r>
      <w:r w:rsidRPr="00C3395B" w:rsidR="00C3395B">
        <w:rPr>
          <w:rFonts w:ascii="Palatino Linotype" w:hAnsi="Palatino Linotype" w:eastAsia="Palatino Linotype" w:cs="Palatino Linotype"/>
          <w:sz w:val="24"/>
          <w:szCs w:val="24"/>
        </w:rPr>
        <w:t>, D.21-11-016, for costs associated with wildfire mitigation efforts.</w:t>
      </w:r>
    </w:p>
    <w:p w:rsidRPr="00C3395B" w:rsidR="00C3395B" w:rsidP="00D161D2" w:rsidRDefault="00C3395B" w14:paraId="3967B49D" w14:textId="2358597E">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 xml:space="preserve">Given the parallel and coordinated development of the Calistoga CSM Project by PG&amp;E and by Energy Vault, it is reasonable for PG&amp;E to proceed immediately upon approval with its scope of work.  </w:t>
      </w:r>
      <w:r w:rsidR="00430432">
        <w:rPr>
          <w:rFonts w:ascii="Palatino Linotype" w:hAnsi="Palatino Linotype" w:eastAsia="Palatino Linotype" w:cs="Palatino Linotype"/>
          <w:sz w:val="24"/>
          <w:szCs w:val="24"/>
        </w:rPr>
        <w:t>It is reasonable for PG&amp;E to</w:t>
      </w:r>
      <w:r w:rsidRPr="00C3395B">
        <w:rPr>
          <w:rFonts w:ascii="Palatino Linotype" w:hAnsi="Palatino Linotype" w:eastAsia="Palatino Linotype" w:cs="Palatino Linotype"/>
          <w:sz w:val="24"/>
          <w:szCs w:val="24"/>
        </w:rPr>
        <w:t xml:space="preserve"> recover the then-incurred costs for its scope of work in the event that the Energy Vault scope of work is terminated or otherwise fails to function as anticipated, so long as PG&amp;E reasonably mitigates the stranding of assets and other expense costs after the time, if any, at which it receives notice that the Energy Vault scope of work will fail or terminate.</w:t>
      </w:r>
    </w:p>
    <w:p w:rsidRPr="00C3395B" w:rsidR="00C3395B" w:rsidP="00D161D2" w:rsidRDefault="00C3395B" w14:paraId="5A88C46C" w14:textId="261C7FD3">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The contract between PG&amp;E and Energy Vault provides for an Initial Delivery Date of June 1, 2024, which is consistent with the partially and fully operational timelines set forth in Resolution E-5164 as those deadlines were most recently extended by letter from the Commission’s Executive Director on August 1, 2022.</w:t>
      </w:r>
    </w:p>
    <w:p w:rsidR="00C3395B" w:rsidP="00D161D2" w:rsidRDefault="00C3395B" w14:paraId="1533F10D" w14:textId="18894D72">
      <w:pPr>
        <w:pStyle w:val="ListParagraph"/>
        <w:numPr>
          <w:ilvl w:val="0"/>
          <w:numId w:val="20"/>
        </w:numPr>
        <w:rPr>
          <w:rFonts w:ascii="Palatino Linotype" w:hAnsi="Palatino Linotype" w:eastAsia="Palatino Linotype" w:cs="Palatino Linotype"/>
          <w:sz w:val="24"/>
          <w:szCs w:val="24"/>
        </w:rPr>
      </w:pPr>
      <w:r w:rsidRPr="00C3395B">
        <w:rPr>
          <w:rFonts w:ascii="Palatino Linotype" w:hAnsi="Palatino Linotype" w:eastAsia="Palatino Linotype" w:cs="Palatino Linotype"/>
          <w:sz w:val="24"/>
          <w:szCs w:val="24"/>
        </w:rPr>
        <w:t xml:space="preserve">Contract terms that allow day-for-day extensions to the Initial Delivery Date under certain circumstances described in the contract terms, or for the payment of daily damages by Energy Vault in the event of certain other circumstances described in the contract terms, are reasonable given the complexity and novelty of the pilot project and the relatively limited additional time that may be allowed under these </w:t>
      </w:r>
      <w:r w:rsidR="008A6D46">
        <w:rPr>
          <w:rFonts w:ascii="Palatino Linotype" w:hAnsi="Palatino Linotype" w:eastAsia="Palatino Linotype" w:cs="Palatino Linotype"/>
          <w:sz w:val="24"/>
          <w:szCs w:val="24"/>
        </w:rPr>
        <w:t xml:space="preserve">contract </w:t>
      </w:r>
      <w:r w:rsidRPr="00C3395B">
        <w:rPr>
          <w:rFonts w:ascii="Palatino Linotype" w:hAnsi="Palatino Linotype" w:eastAsia="Palatino Linotype" w:cs="Palatino Linotype"/>
          <w:sz w:val="24"/>
          <w:szCs w:val="24"/>
        </w:rPr>
        <w:t>provisions.</w:t>
      </w:r>
    </w:p>
    <w:p w:rsidR="0081031A" w:rsidP="00D161D2" w:rsidRDefault="0081031A" w14:paraId="775124CB" w14:textId="3AC84E28">
      <w:pPr>
        <w:pStyle w:val="ListParagraph"/>
        <w:numPr>
          <w:ilvl w:val="0"/>
          <w:numId w:val="20"/>
        </w:numPr>
        <w:rPr>
          <w:rFonts w:ascii="Palatino Linotype" w:hAnsi="Palatino Linotype" w:eastAsia="Palatino Linotype" w:cs="Palatino Linotype"/>
          <w:sz w:val="24"/>
          <w:szCs w:val="24"/>
        </w:rPr>
      </w:pPr>
      <w:r>
        <w:rPr>
          <w:rFonts w:ascii="Palatino Linotype" w:hAnsi="Palatino Linotype" w:eastAsia="Palatino Linotype" w:cs="Palatino Linotype"/>
          <w:sz w:val="24"/>
          <w:szCs w:val="24"/>
        </w:rPr>
        <w:t>It is reasonable for PG&amp;E to submit yearly reports, beginning one year after the Calistoga project’s in-service date and continuing for the life of the project, detailing the project’s actual cost and technical performance, and summarizing lessons learned.</w:t>
      </w:r>
    </w:p>
    <w:p w:rsidRPr="00C3395B" w:rsidR="002F6E81" w:rsidP="00D161D2" w:rsidRDefault="002F6E81" w14:paraId="316B35F0" w14:textId="7F6BB5B2">
      <w:pPr>
        <w:pStyle w:val="ListParagraph"/>
        <w:numPr>
          <w:ilvl w:val="0"/>
          <w:numId w:val="20"/>
        </w:numPr>
        <w:rPr>
          <w:rFonts w:ascii="Palatino Linotype" w:hAnsi="Palatino Linotype" w:eastAsia="Palatino Linotype" w:cs="Palatino Linotype"/>
          <w:sz w:val="24"/>
          <w:szCs w:val="24"/>
        </w:rPr>
      </w:pPr>
      <w:bookmarkStart w:name="_Hlk130377471" w:id="2"/>
      <w:r>
        <w:rPr>
          <w:rFonts w:ascii="Palatino Linotype" w:hAnsi="Palatino Linotype" w:eastAsia="Palatino Linotype" w:cs="Palatino Linotype"/>
          <w:sz w:val="24"/>
          <w:szCs w:val="24"/>
        </w:rPr>
        <w:lastRenderedPageBreak/>
        <w:t>It is reasonable for PG&amp;E to work with both Energy Vault and the Energy Division to encourage the use of project resources, in particular the battery energy storage system, during normal grid conditions.</w:t>
      </w:r>
    </w:p>
    <w:bookmarkEnd w:id="2"/>
    <w:p w:rsidRPr="007963D3" w:rsidR="00CF17DE" w:rsidP="1EDC5FC2" w:rsidRDefault="00CF17DE" w14:paraId="18C97720" w14:textId="77777777">
      <w:pPr>
        <w:rPr>
          <w:rFonts w:ascii="Palatino Linotype" w:hAnsi="Palatino Linotype" w:eastAsia="Palatino Linotype" w:cs="Palatino Linotype"/>
          <w:b/>
          <w:bCs/>
          <w:sz w:val="24"/>
          <w:szCs w:val="24"/>
        </w:rPr>
      </w:pPr>
    </w:p>
    <w:p w:rsidRPr="007963D3" w:rsidR="00CF17DE" w:rsidP="1EDC5FC2" w:rsidRDefault="00CF17DE" w14:paraId="03EBB768" w14:textId="77777777">
      <w:pPr>
        <w:pStyle w:val="Heading1"/>
        <w:rPr>
          <w:rFonts w:ascii="Palatino Linotype" w:hAnsi="Palatino Linotype" w:eastAsia="Palatino Linotype" w:cs="Palatino Linotype"/>
          <w:sz w:val="24"/>
          <w:szCs w:val="24"/>
        </w:rPr>
      </w:pPr>
      <w:proofErr w:type="gramStart"/>
      <w:r w:rsidRPr="1EDC5FC2">
        <w:rPr>
          <w:rFonts w:ascii="Palatino Linotype" w:hAnsi="Palatino Linotype" w:eastAsia="Palatino Linotype" w:cs="Palatino Linotype"/>
          <w:sz w:val="24"/>
          <w:szCs w:val="24"/>
        </w:rPr>
        <w:t>Therefore</w:t>
      </w:r>
      <w:proofErr w:type="gramEnd"/>
      <w:r w:rsidRPr="1EDC5FC2">
        <w:rPr>
          <w:rFonts w:ascii="Palatino Linotype" w:hAnsi="Palatino Linotype" w:eastAsia="Palatino Linotype" w:cs="Palatino Linotype"/>
          <w:sz w:val="24"/>
          <w:szCs w:val="24"/>
        </w:rPr>
        <w:t xml:space="preserve"> it is ordered that:</w:t>
      </w:r>
    </w:p>
    <w:p w:rsidRPr="00430432" w:rsidR="00A12FF6" w:rsidP="00A12FF6" w:rsidRDefault="00FD3566" w14:paraId="2139CDC0" w14:textId="43F6449E">
      <w:pPr>
        <w:numPr>
          <w:ilvl w:val="0"/>
          <w:numId w:val="8"/>
        </w:numPr>
        <w:rPr>
          <w:rFonts w:ascii="Palatino Linotype" w:hAnsi="Palatino Linotype" w:eastAsia="Palatino Linotype" w:cs="Palatino Linotype"/>
          <w:sz w:val="24"/>
          <w:szCs w:val="24"/>
        </w:rPr>
      </w:pPr>
      <w:r>
        <w:rPr>
          <w:rFonts w:ascii="Palatino Linotype" w:hAnsi="Palatino Linotype" w:eastAsia="Palatino Linotype" w:cs="Palatino Linotype"/>
          <w:snapToGrid w:val="0"/>
          <w:sz w:val="24"/>
          <w:szCs w:val="24"/>
        </w:rPr>
        <w:t xml:space="preserve">Pacific Gas </w:t>
      </w:r>
      <w:r w:rsidR="0081031A">
        <w:rPr>
          <w:rFonts w:ascii="Palatino Linotype" w:hAnsi="Palatino Linotype" w:eastAsia="Palatino Linotype" w:cs="Palatino Linotype"/>
          <w:snapToGrid w:val="0"/>
          <w:sz w:val="24"/>
          <w:szCs w:val="24"/>
        </w:rPr>
        <w:t>and</w:t>
      </w:r>
      <w:r>
        <w:rPr>
          <w:rFonts w:ascii="Palatino Linotype" w:hAnsi="Palatino Linotype" w:eastAsia="Palatino Linotype" w:cs="Palatino Linotype"/>
          <w:snapToGrid w:val="0"/>
          <w:sz w:val="24"/>
          <w:szCs w:val="24"/>
        </w:rPr>
        <w:t xml:space="preserve"> Electric Company’</w:t>
      </w:r>
      <w:r w:rsidR="00A0789A">
        <w:rPr>
          <w:rFonts w:ascii="Palatino Linotype" w:hAnsi="Palatino Linotype" w:eastAsia="Palatino Linotype" w:cs="Palatino Linotype"/>
          <w:snapToGrid w:val="0"/>
          <w:sz w:val="24"/>
          <w:szCs w:val="24"/>
        </w:rPr>
        <w:t xml:space="preserve">s plan to develop a clean substation microgrid project and the associated procurement contract with Energy Vault, as described in Advice Letter 6808-E, is approved. </w:t>
      </w:r>
    </w:p>
    <w:p w:rsidRPr="00666AE3" w:rsidR="00430432" w:rsidP="00A12FF6" w:rsidRDefault="00430432" w14:paraId="0AF93A4D" w14:textId="7EBF89E1">
      <w:pPr>
        <w:numPr>
          <w:ilvl w:val="0"/>
          <w:numId w:val="8"/>
        </w:numPr>
        <w:rPr>
          <w:rFonts w:ascii="Palatino Linotype" w:hAnsi="Palatino Linotype" w:eastAsia="Palatino Linotype" w:cs="Palatino Linotype"/>
          <w:sz w:val="24"/>
          <w:szCs w:val="24"/>
        </w:rPr>
      </w:pPr>
      <w:r>
        <w:rPr>
          <w:rFonts w:ascii="Palatino Linotype" w:hAnsi="Palatino Linotype" w:eastAsia="Palatino Linotype" w:cs="Palatino Linotype"/>
          <w:snapToGrid w:val="0"/>
          <w:sz w:val="24"/>
          <w:szCs w:val="24"/>
        </w:rPr>
        <w:t>As noted in PG&amp;E’s advice letter, the one-way balancing account for the project and all associated costs is capped at $46.3 million.</w:t>
      </w:r>
    </w:p>
    <w:p w:rsidRPr="002F6E81" w:rsidR="00CF17DE" w:rsidP="1EDC5FC2" w:rsidRDefault="00D61D69" w14:paraId="04E7CDC7" w14:textId="147CD03B">
      <w:pPr>
        <w:numPr>
          <w:ilvl w:val="0"/>
          <w:numId w:val="8"/>
        </w:numPr>
        <w:rPr>
          <w:rFonts w:ascii="Palatino Linotype" w:hAnsi="Palatino Linotype" w:eastAsia="Palatino Linotype" w:cs="Palatino Linotype"/>
          <w:sz w:val="24"/>
          <w:szCs w:val="24"/>
        </w:rPr>
      </w:pPr>
      <w:r>
        <w:rPr>
          <w:rFonts w:ascii="Palatino Linotype" w:hAnsi="Palatino Linotype" w:eastAsia="Palatino Linotype" w:cs="Palatino Linotype"/>
          <w:snapToGrid w:val="0"/>
          <w:sz w:val="24"/>
          <w:szCs w:val="24"/>
        </w:rPr>
        <w:t>PG&amp;E must submit yearly reports, beginning one year after the</w:t>
      </w:r>
      <w:r w:rsidR="00430432">
        <w:rPr>
          <w:rFonts w:ascii="Palatino Linotype" w:hAnsi="Palatino Linotype" w:eastAsia="Palatino Linotype" w:cs="Palatino Linotype"/>
          <w:snapToGrid w:val="0"/>
          <w:sz w:val="24"/>
          <w:szCs w:val="24"/>
        </w:rPr>
        <w:t xml:space="preserve"> Calistoga</w:t>
      </w:r>
      <w:r>
        <w:rPr>
          <w:rFonts w:ascii="Palatino Linotype" w:hAnsi="Palatino Linotype" w:eastAsia="Palatino Linotype" w:cs="Palatino Linotype"/>
          <w:snapToGrid w:val="0"/>
          <w:sz w:val="24"/>
          <w:szCs w:val="24"/>
        </w:rPr>
        <w:t xml:space="preserve"> project</w:t>
      </w:r>
      <w:r w:rsidR="00430432">
        <w:rPr>
          <w:rFonts w:ascii="Palatino Linotype" w:hAnsi="Palatino Linotype" w:eastAsia="Palatino Linotype" w:cs="Palatino Linotype"/>
          <w:snapToGrid w:val="0"/>
          <w:sz w:val="24"/>
          <w:szCs w:val="24"/>
        </w:rPr>
        <w:t>’</w:t>
      </w:r>
      <w:r>
        <w:rPr>
          <w:rFonts w:ascii="Palatino Linotype" w:hAnsi="Palatino Linotype" w:eastAsia="Palatino Linotype" w:cs="Palatino Linotype"/>
          <w:snapToGrid w:val="0"/>
          <w:sz w:val="24"/>
          <w:szCs w:val="24"/>
        </w:rPr>
        <w:t>s in-service date and continuing for the life of the project, detailing the</w:t>
      </w:r>
      <w:r w:rsidR="00430432">
        <w:rPr>
          <w:rFonts w:ascii="Palatino Linotype" w:hAnsi="Palatino Linotype" w:eastAsia="Palatino Linotype" w:cs="Palatino Linotype"/>
          <w:snapToGrid w:val="0"/>
          <w:sz w:val="24"/>
          <w:szCs w:val="24"/>
        </w:rPr>
        <w:t xml:space="preserve"> project’s</w:t>
      </w:r>
      <w:r>
        <w:rPr>
          <w:rFonts w:ascii="Palatino Linotype" w:hAnsi="Palatino Linotype" w:eastAsia="Palatino Linotype" w:cs="Palatino Linotype"/>
          <w:snapToGrid w:val="0"/>
          <w:sz w:val="24"/>
          <w:szCs w:val="24"/>
        </w:rPr>
        <w:t xml:space="preserve"> actual cost and technical </w:t>
      </w:r>
      <w:r w:rsidR="0081031A">
        <w:rPr>
          <w:rFonts w:ascii="Palatino Linotype" w:hAnsi="Palatino Linotype" w:eastAsia="Palatino Linotype" w:cs="Palatino Linotype"/>
          <w:snapToGrid w:val="0"/>
          <w:sz w:val="24"/>
          <w:szCs w:val="24"/>
        </w:rPr>
        <w:t>performance,</w:t>
      </w:r>
      <w:r>
        <w:rPr>
          <w:rFonts w:ascii="Palatino Linotype" w:hAnsi="Palatino Linotype" w:eastAsia="Palatino Linotype" w:cs="Palatino Linotype"/>
          <w:snapToGrid w:val="0"/>
          <w:sz w:val="24"/>
          <w:szCs w:val="24"/>
        </w:rPr>
        <w:t xml:space="preserve"> </w:t>
      </w:r>
      <w:r w:rsidR="00430432">
        <w:rPr>
          <w:rFonts w:ascii="Palatino Linotype" w:hAnsi="Palatino Linotype" w:eastAsia="Palatino Linotype" w:cs="Palatino Linotype"/>
          <w:snapToGrid w:val="0"/>
          <w:sz w:val="24"/>
          <w:szCs w:val="24"/>
        </w:rPr>
        <w:t>and summarizing lessons learned related to clean substation microgrid development</w:t>
      </w:r>
      <w:r w:rsidR="00A66D98">
        <w:rPr>
          <w:rFonts w:ascii="Palatino Linotype" w:hAnsi="Palatino Linotype" w:eastAsia="Palatino Linotype" w:cs="Palatino Linotype"/>
          <w:snapToGrid w:val="0"/>
          <w:sz w:val="24"/>
          <w:szCs w:val="24"/>
        </w:rPr>
        <w:t>.</w:t>
      </w:r>
      <w:r w:rsidR="00430432">
        <w:rPr>
          <w:rFonts w:ascii="Palatino Linotype" w:hAnsi="Palatino Linotype" w:eastAsia="Palatino Linotype" w:cs="Palatino Linotype"/>
          <w:snapToGrid w:val="0"/>
          <w:sz w:val="24"/>
          <w:szCs w:val="24"/>
        </w:rPr>
        <w:t xml:space="preserve"> Thes</w:t>
      </w:r>
      <w:r w:rsidR="00FD3566">
        <w:rPr>
          <w:rFonts w:ascii="Palatino Linotype" w:hAnsi="Palatino Linotype" w:eastAsia="Palatino Linotype" w:cs="Palatino Linotype"/>
          <w:snapToGrid w:val="0"/>
          <w:sz w:val="24"/>
          <w:szCs w:val="24"/>
        </w:rPr>
        <w:t xml:space="preserve">e reports may be combined with </w:t>
      </w:r>
      <w:r w:rsidR="00982EE2">
        <w:rPr>
          <w:rFonts w:ascii="Palatino Linotype" w:hAnsi="Palatino Linotype" w:eastAsia="Palatino Linotype" w:cs="Palatino Linotype"/>
          <w:snapToGrid w:val="0"/>
          <w:sz w:val="24"/>
          <w:szCs w:val="24"/>
        </w:rPr>
        <w:t>PG&amp;E’s other filings on temporary generation or clean substation microgrids, and</w:t>
      </w:r>
      <w:r w:rsidR="00FD3566">
        <w:rPr>
          <w:rFonts w:ascii="Palatino Linotype" w:hAnsi="Palatino Linotype" w:eastAsia="Palatino Linotype" w:cs="Palatino Linotype"/>
          <w:snapToGrid w:val="0"/>
          <w:sz w:val="24"/>
          <w:szCs w:val="24"/>
        </w:rPr>
        <w:t xml:space="preserve"> </w:t>
      </w:r>
      <w:r w:rsidR="00982EE2">
        <w:rPr>
          <w:rFonts w:ascii="Palatino Linotype" w:hAnsi="Palatino Linotype" w:eastAsia="Palatino Linotype" w:cs="Palatino Linotype"/>
          <w:snapToGrid w:val="0"/>
          <w:sz w:val="24"/>
          <w:szCs w:val="24"/>
        </w:rPr>
        <w:t xml:space="preserve">should be submitted </w:t>
      </w:r>
      <w:r w:rsidR="00FD3566">
        <w:rPr>
          <w:rFonts w:ascii="Palatino Linotype" w:hAnsi="Palatino Linotype" w:eastAsia="Palatino Linotype" w:cs="Palatino Linotype"/>
          <w:snapToGrid w:val="0"/>
          <w:sz w:val="24"/>
          <w:szCs w:val="24"/>
        </w:rPr>
        <w:t>via Compliance Filing with the Energy Division and to the R.19-09-009 Service List.</w:t>
      </w:r>
    </w:p>
    <w:p w:rsidRPr="007963D3" w:rsidR="002F6E81" w:rsidP="1EDC5FC2" w:rsidRDefault="002F6E81" w14:paraId="134D2434" w14:textId="454C7339">
      <w:pPr>
        <w:numPr>
          <w:ilvl w:val="0"/>
          <w:numId w:val="8"/>
        </w:numPr>
        <w:rPr>
          <w:rFonts w:ascii="Palatino Linotype" w:hAnsi="Palatino Linotype" w:eastAsia="Palatino Linotype" w:cs="Palatino Linotype"/>
          <w:sz w:val="24"/>
          <w:szCs w:val="24"/>
        </w:rPr>
      </w:pPr>
      <w:bookmarkStart w:name="_Hlk130377485" w:id="3"/>
      <w:r w:rsidRPr="002F6E81">
        <w:rPr>
          <w:rFonts w:ascii="Palatino Linotype" w:hAnsi="Palatino Linotype" w:eastAsia="Palatino Linotype" w:cs="Palatino Linotype"/>
          <w:sz w:val="24"/>
          <w:szCs w:val="24"/>
        </w:rPr>
        <w:t xml:space="preserve">PG&amp;E should encourage Energy Vault to </w:t>
      </w:r>
      <w:r>
        <w:rPr>
          <w:rFonts w:ascii="Palatino Linotype" w:hAnsi="Palatino Linotype" w:eastAsia="Palatino Linotype" w:cs="Palatino Linotype"/>
          <w:sz w:val="24"/>
          <w:szCs w:val="24"/>
        </w:rPr>
        <w:t>utilize</w:t>
      </w:r>
      <w:r w:rsidRPr="002F6E81">
        <w:rPr>
          <w:rFonts w:ascii="Palatino Linotype" w:hAnsi="Palatino Linotype" w:eastAsia="Palatino Linotype" w:cs="Palatino Linotype"/>
          <w:sz w:val="24"/>
          <w:szCs w:val="24"/>
        </w:rPr>
        <w:t xml:space="preserve"> the project battery energy storage system during normal grid conditions, and </w:t>
      </w:r>
      <w:r>
        <w:rPr>
          <w:rFonts w:ascii="Palatino Linotype" w:hAnsi="Palatino Linotype" w:eastAsia="Palatino Linotype" w:cs="Palatino Linotype"/>
          <w:sz w:val="24"/>
          <w:szCs w:val="24"/>
        </w:rPr>
        <w:t>should</w:t>
      </w:r>
      <w:r w:rsidRPr="002F6E81">
        <w:rPr>
          <w:rFonts w:ascii="Palatino Linotype" w:hAnsi="Palatino Linotype" w:eastAsia="Palatino Linotype" w:cs="Palatino Linotype"/>
          <w:sz w:val="24"/>
          <w:szCs w:val="24"/>
        </w:rPr>
        <w:t xml:space="preserve"> meet with Energy Division to discuss using the microgrid resources during normal grid conditions.</w:t>
      </w:r>
    </w:p>
    <w:bookmarkEnd w:id="3"/>
    <w:p w:rsidRPr="007963D3" w:rsidR="00CF17DE" w:rsidP="1EDC5FC2" w:rsidRDefault="00CF17DE" w14:paraId="4BCDF939" w14:textId="77777777">
      <w:pPr>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p>
    <w:p w:rsidRPr="007963D3" w:rsidR="00CF17DE" w:rsidP="1EDC5FC2" w:rsidRDefault="00CF17DE" w14:paraId="37DEE6CF"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r w:rsidRPr="1EDC5FC2">
        <w:rPr>
          <w:rFonts w:ascii="Palatino Linotype" w:hAnsi="Palatino Linotype" w:eastAsia="Palatino Linotype" w:cs="Palatino Linotype"/>
          <w:sz w:val="24"/>
          <w:szCs w:val="24"/>
        </w:rPr>
        <w:t>This Resolution is effective today.</w:t>
      </w:r>
    </w:p>
    <w:p w:rsidRPr="007963D3" w:rsidR="00CB42C3" w:rsidP="1EDC5FC2" w:rsidRDefault="00CB42C3" w14:paraId="7D496AA3" w14:textId="77777777">
      <w:pPr>
        <w:keepNext/>
        <w:tabs>
          <w:tab w:val="left" w:pos="720"/>
          <w:tab w:val="left" w:pos="1296"/>
          <w:tab w:val="left" w:pos="2016"/>
          <w:tab w:val="left" w:pos="2736"/>
          <w:tab w:val="left" w:pos="3456"/>
          <w:tab w:val="left" w:pos="4176"/>
          <w:tab w:val="left" w:pos="5760"/>
        </w:tabs>
        <w:rPr>
          <w:rFonts w:ascii="Palatino Linotype" w:hAnsi="Palatino Linotype" w:eastAsia="Palatino Linotype" w:cs="Palatino Linotype"/>
          <w:sz w:val="24"/>
          <w:szCs w:val="24"/>
        </w:rPr>
      </w:pPr>
    </w:p>
    <w:p w:rsidRPr="007963D3" w:rsidR="00CF17DE" w:rsidP="1EDC5FC2" w:rsidRDefault="00CF17DE" w14:paraId="048CEE72" w14:textId="154E9AFF">
      <w:pPr>
        <w:keepNext/>
        <w:rPr>
          <w:rFonts w:ascii="Palatino Linotype" w:hAnsi="Palatino Linotype" w:eastAsia="Palatino Linotype" w:cs="Palatino Linotype"/>
          <w:snapToGrid w:val="0"/>
          <w:sz w:val="24"/>
          <w:szCs w:val="24"/>
        </w:rPr>
      </w:pPr>
      <w:r w:rsidRPr="007963D3">
        <w:rPr>
          <w:rFonts w:ascii="Palatino Linotype" w:hAnsi="Palatino Linotype" w:eastAsia="Palatino Linotype" w:cs="Palatino Linotype"/>
          <w:snapToGrid w:val="0"/>
          <w:sz w:val="24"/>
          <w:szCs w:val="24"/>
        </w:rPr>
        <w:t>I certify that the foregoing resolution was duly introduced, passed</w:t>
      </w:r>
      <w:r w:rsidR="007963D3">
        <w:rPr>
          <w:rFonts w:ascii="Palatino Linotype" w:hAnsi="Palatino Linotype" w:eastAsia="Palatino Linotype" w:cs="Palatino Linotype"/>
          <w:snapToGrid w:val="0"/>
          <w:sz w:val="24"/>
          <w:szCs w:val="24"/>
        </w:rPr>
        <w:t>,</w:t>
      </w:r>
      <w:r w:rsidRPr="007963D3">
        <w:rPr>
          <w:rFonts w:ascii="Palatino Linotype" w:hAnsi="Palatino Linotype" w:eastAsia="Palatino Linotype" w:cs="Palatino Linotype"/>
          <w:snapToGrid w:val="0"/>
          <w:sz w:val="24"/>
          <w:szCs w:val="24"/>
        </w:rPr>
        <w:t xml:space="preserve"> and adopted at a conference of the Public Utilities Commission of the State of California held on </w:t>
      </w:r>
      <w:r w:rsidR="001C32DD">
        <w:rPr>
          <w:rFonts w:ascii="Palatino Linotype" w:hAnsi="Palatino Linotype" w:eastAsia="Palatino Linotype" w:cs="Palatino Linotype"/>
          <w:snapToGrid w:val="0"/>
          <w:sz w:val="24"/>
          <w:szCs w:val="24"/>
        </w:rPr>
        <w:br/>
      </w:r>
      <w:r w:rsidR="00D61D69">
        <w:rPr>
          <w:rFonts w:ascii="Palatino Linotype" w:hAnsi="Palatino Linotype" w:eastAsia="Palatino Linotype" w:cs="Palatino Linotype"/>
          <w:snapToGrid w:val="0"/>
          <w:sz w:val="24"/>
          <w:szCs w:val="24"/>
        </w:rPr>
        <w:t xml:space="preserve">April </w:t>
      </w:r>
      <w:r w:rsidR="00D161D2">
        <w:rPr>
          <w:rFonts w:ascii="Palatino Linotype" w:hAnsi="Palatino Linotype" w:eastAsia="Palatino Linotype" w:cs="Palatino Linotype"/>
          <w:snapToGrid w:val="0"/>
          <w:sz w:val="24"/>
          <w:szCs w:val="24"/>
        </w:rPr>
        <w:t>27</w:t>
      </w:r>
      <w:r w:rsidR="003D680B">
        <w:rPr>
          <w:rFonts w:ascii="Palatino Linotype" w:hAnsi="Palatino Linotype" w:eastAsia="Palatino Linotype" w:cs="Palatino Linotype"/>
          <w:snapToGrid w:val="0"/>
          <w:sz w:val="24"/>
          <w:szCs w:val="24"/>
        </w:rPr>
        <w:t>, 202</w:t>
      </w:r>
      <w:r w:rsidR="00D61D69">
        <w:rPr>
          <w:rFonts w:ascii="Palatino Linotype" w:hAnsi="Palatino Linotype" w:eastAsia="Palatino Linotype" w:cs="Palatino Linotype"/>
          <w:snapToGrid w:val="0"/>
          <w:sz w:val="24"/>
          <w:szCs w:val="24"/>
        </w:rPr>
        <w:t>3</w:t>
      </w:r>
      <w:r w:rsidRPr="007963D3">
        <w:rPr>
          <w:rFonts w:ascii="Palatino Linotype" w:hAnsi="Palatino Linotype" w:eastAsia="Palatino Linotype" w:cs="Palatino Linotype"/>
          <w:snapToGrid w:val="0"/>
          <w:sz w:val="24"/>
          <w:szCs w:val="24"/>
        </w:rPr>
        <w:t>; the following Commissioners voting favorably thereon:</w:t>
      </w:r>
    </w:p>
    <w:p w:rsidRPr="007963D3" w:rsidR="00CF17DE" w:rsidP="1EDC5FC2" w:rsidRDefault="00CF17DE" w14:paraId="2DA44F60" w14:textId="77777777">
      <w:pPr>
        <w:tabs>
          <w:tab w:val="left" w:pos="720"/>
          <w:tab w:val="left" w:pos="1152"/>
          <w:tab w:val="left" w:pos="1728"/>
          <w:tab w:val="left" w:pos="3168"/>
          <w:tab w:val="left" w:pos="5040"/>
        </w:tabs>
        <w:ind w:right="144"/>
        <w:rPr>
          <w:rFonts w:ascii="Palatino Linotype" w:hAnsi="Palatino Linotype" w:eastAsia="Palatino Linotype" w:cs="Palatino Linotype"/>
          <w:sz w:val="24"/>
          <w:szCs w:val="24"/>
        </w:rPr>
      </w:pPr>
    </w:p>
    <w:p w:rsidRPr="007963D3" w:rsidR="00CF17DE" w:rsidP="1EDC5FC2" w:rsidRDefault="00CF17DE" w14:paraId="1385E60D" w14:textId="77777777">
      <w:pPr>
        <w:tabs>
          <w:tab w:val="left" w:pos="720"/>
          <w:tab w:val="left" w:pos="1152"/>
          <w:tab w:val="left" w:pos="1728"/>
          <w:tab w:val="left" w:pos="3168"/>
          <w:tab w:val="left" w:pos="5040"/>
        </w:tabs>
        <w:ind w:right="144"/>
        <w:rPr>
          <w:rFonts w:ascii="Palatino Linotype" w:hAnsi="Palatino Linotype" w:eastAsia="Palatino Linotype" w:cs="Palatino Linotype"/>
          <w:sz w:val="24"/>
          <w:szCs w:val="24"/>
        </w:rPr>
      </w:pPr>
    </w:p>
    <w:p w:rsidRPr="007963D3" w:rsidR="00CF17DE" w:rsidP="1EDC5FC2" w:rsidRDefault="00CF17DE" w14:paraId="12D741D7" w14:textId="77777777">
      <w:pPr>
        <w:tabs>
          <w:tab w:val="left" w:pos="720"/>
          <w:tab w:val="left" w:pos="1152"/>
          <w:tab w:val="left" w:pos="1728"/>
          <w:tab w:val="left" w:pos="3168"/>
          <w:tab w:val="left" w:pos="5040"/>
        </w:tabs>
        <w:ind w:right="144"/>
        <w:rPr>
          <w:rFonts w:ascii="Palatino Linotype" w:hAnsi="Palatino Linotype" w:eastAsia="Palatino Linotype" w:cs="Palatino Linotype"/>
          <w:sz w:val="24"/>
          <w:szCs w:val="24"/>
        </w:rPr>
      </w:pPr>
    </w:p>
    <w:p w:rsidRPr="007963D3" w:rsidR="00CF17DE" w:rsidP="1EDC5FC2" w:rsidRDefault="00CF17DE" w14:paraId="670582A9" w14:textId="77777777">
      <w:pPr>
        <w:tabs>
          <w:tab w:val="left" w:pos="720"/>
          <w:tab w:val="left" w:pos="1152"/>
          <w:tab w:val="left" w:pos="1728"/>
          <w:tab w:val="left" w:pos="3168"/>
          <w:tab w:val="left" w:pos="5040"/>
        </w:tabs>
        <w:ind w:right="144"/>
        <w:rPr>
          <w:rFonts w:ascii="Palatino Linotype" w:hAnsi="Palatino Linotype" w:eastAsia="Palatino Linotype" w:cs="Palatino Linotype"/>
          <w:sz w:val="24"/>
          <w:szCs w:val="24"/>
        </w:rPr>
      </w:pPr>
    </w:p>
    <w:p w:rsidRPr="007963D3" w:rsidR="00CF17DE" w:rsidP="1EDC5FC2" w:rsidRDefault="00CF17DE" w14:paraId="59727804" w14:textId="77777777">
      <w:pPr>
        <w:tabs>
          <w:tab w:val="left" w:pos="720"/>
          <w:tab w:val="left" w:pos="1152"/>
          <w:tab w:val="left" w:pos="1728"/>
          <w:tab w:val="left" w:pos="3168"/>
          <w:tab w:val="left" w:pos="5040"/>
        </w:tabs>
        <w:ind w:right="144"/>
        <w:rPr>
          <w:rFonts w:ascii="Palatino Linotype" w:hAnsi="Palatino Linotype" w:eastAsia="Palatino Linotype" w:cs="Palatino Linotype"/>
          <w:sz w:val="24"/>
          <w:szCs w:val="24"/>
        </w:rPr>
      </w:pP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eastAsia="Palatino Linotype" w:cs="Palatino Linotype"/>
          <w:sz w:val="24"/>
          <w:szCs w:val="24"/>
        </w:rPr>
        <w:t>_______________</w:t>
      </w:r>
      <w:r w:rsidRPr="007963D3" w:rsidR="008E6797">
        <w:rPr>
          <w:rFonts w:ascii="Palatino Linotype" w:hAnsi="Palatino Linotype" w:eastAsia="Palatino Linotype" w:cs="Palatino Linotype"/>
          <w:sz w:val="24"/>
          <w:szCs w:val="24"/>
        </w:rPr>
        <w:t>______</w:t>
      </w:r>
    </w:p>
    <w:p w:rsidRPr="007963D3" w:rsidR="00CF17DE" w:rsidP="1EDC5FC2" w:rsidRDefault="00CF17DE" w14:paraId="17731D81" w14:textId="66308528">
      <w:pPr>
        <w:rPr>
          <w:rFonts w:ascii="Palatino Linotype" w:hAnsi="Palatino Linotype" w:eastAsia="Palatino Linotype" w:cs="Palatino Linotype"/>
          <w:sz w:val="24"/>
          <w:szCs w:val="24"/>
        </w:rPr>
      </w:pP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sidR="00FC2DE4">
        <w:rPr>
          <w:rFonts w:ascii="Palatino Linotype" w:hAnsi="Palatino Linotype" w:eastAsia="Palatino Linotype" w:cs="Palatino Linotype"/>
          <w:sz w:val="24"/>
          <w:szCs w:val="24"/>
        </w:rPr>
        <w:t>Rachel Peterson</w:t>
      </w:r>
    </w:p>
    <w:p w:rsidRPr="007963D3" w:rsidR="00CF17DE" w:rsidP="1EDC5FC2" w:rsidRDefault="00CF17DE" w14:paraId="363F8E7E" w14:textId="77777777">
      <w:pPr>
        <w:rPr>
          <w:rFonts w:ascii="Palatino Linotype" w:hAnsi="Palatino Linotype" w:eastAsia="Palatino Linotype" w:cs="Palatino Linotype"/>
          <w:sz w:val="24"/>
          <w:szCs w:val="24"/>
        </w:rPr>
      </w:pP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sz w:val="24"/>
          <w:szCs w:val="24"/>
        </w:rPr>
        <w:tab/>
      </w:r>
      <w:r w:rsidRPr="007963D3">
        <w:rPr>
          <w:rFonts w:ascii="Palatino Linotype" w:hAnsi="Palatino Linotype" w:eastAsia="Palatino Linotype" w:cs="Palatino Linotype"/>
          <w:sz w:val="24"/>
          <w:szCs w:val="24"/>
        </w:rPr>
        <w:t>Executive Director</w:t>
      </w:r>
    </w:p>
    <w:sectPr w:rsidRPr="007963D3" w:rsidR="00CF17DE">
      <w:headerReference w:type="default"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7F800" w14:textId="77777777" w:rsidR="006E1207" w:rsidRDefault="006E1207">
      <w:r>
        <w:separator/>
      </w:r>
    </w:p>
  </w:endnote>
  <w:endnote w:type="continuationSeparator" w:id="0">
    <w:p w14:paraId="1A28BB0C" w14:textId="77777777" w:rsidR="006E1207" w:rsidRDefault="006E1207">
      <w:r>
        <w:continuationSeparator/>
      </w:r>
    </w:p>
  </w:endnote>
  <w:endnote w:type="continuationNotice" w:id="1">
    <w:p w14:paraId="3A6875FB" w14:textId="77777777" w:rsidR="006E1207" w:rsidRDefault="006E12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Segoe UI Historic"/>
    <w:panose1 w:val="00000000000000000000"/>
    <w:charset w:val="00"/>
    <w:family w:val="roman"/>
    <w:pitch w:val="variable"/>
    <w:sig w:usb0="20000A87" w:usb1="08000000" w:usb2="00000008" w:usb3="00000000" w:csb0="00000101" w:csb1="00000000"/>
  </w:font>
  <w:font w:name="Helvetica">
    <w:panose1 w:val="020B0604020202020204"/>
    <w:charset w:val="00"/>
    <w:family w:val="auto"/>
    <w:pitch w:val="variable"/>
    <w:sig w:usb0="E00002FF" w:usb1="5000785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816544"/>
      <w:docPartObj>
        <w:docPartGallery w:val="Page Numbers (Bottom of Page)"/>
        <w:docPartUnique/>
      </w:docPartObj>
    </w:sdtPr>
    <w:sdtEndPr>
      <w:rPr>
        <w:rFonts w:ascii="Palatino Linotype" w:hAnsi="Palatino Linotype"/>
        <w:noProof/>
        <w:sz w:val="24"/>
        <w:szCs w:val="24"/>
      </w:rPr>
    </w:sdtEndPr>
    <w:sdtContent>
      <w:p w14:paraId="071568B7" w14:textId="4D1266DF" w:rsidR="00B913F1" w:rsidRPr="00B913F1" w:rsidRDefault="00B913F1">
        <w:pPr>
          <w:pStyle w:val="Footer"/>
          <w:rPr>
            <w:rFonts w:ascii="Palatino Linotype" w:hAnsi="Palatino Linotype"/>
            <w:sz w:val="24"/>
            <w:szCs w:val="24"/>
          </w:rPr>
        </w:pPr>
        <w:r w:rsidRPr="00B913F1">
          <w:rPr>
            <w:rFonts w:ascii="Palatino Linotype" w:hAnsi="Palatino Linotype"/>
            <w:sz w:val="24"/>
            <w:szCs w:val="24"/>
          </w:rPr>
          <w:fldChar w:fldCharType="begin"/>
        </w:r>
        <w:r w:rsidRPr="00B913F1">
          <w:rPr>
            <w:rFonts w:ascii="Palatino Linotype" w:hAnsi="Palatino Linotype"/>
            <w:sz w:val="24"/>
            <w:szCs w:val="24"/>
          </w:rPr>
          <w:instrText xml:space="preserve"> PAGE   \* MERGEFORMAT </w:instrText>
        </w:r>
        <w:r w:rsidRPr="00B913F1">
          <w:rPr>
            <w:rFonts w:ascii="Palatino Linotype" w:hAnsi="Palatino Linotype"/>
            <w:sz w:val="24"/>
            <w:szCs w:val="24"/>
          </w:rPr>
          <w:fldChar w:fldCharType="separate"/>
        </w:r>
        <w:r w:rsidRPr="00B913F1">
          <w:rPr>
            <w:rFonts w:ascii="Palatino Linotype" w:hAnsi="Palatino Linotype"/>
            <w:noProof/>
            <w:sz w:val="24"/>
            <w:szCs w:val="24"/>
          </w:rPr>
          <w:t>2</w:t>
        </w:r>
        <w:r w:rsidRPr="00B913F1">
          <w:rPr>
            <w:rFonts w:ascii="Palatino Linotype" w:hAnsi="Palatino Linotype"/>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3D63" w14:textId="1567DCF8" w:rsidR="00CF17DE" w:rsidRPr="00F705C8" w:rsidRDefault="00F4175B" w:rsidP="00F4175B">
    <w:pPr>
      <w:pStyle w:val="Footer"/>
      <w:tabs>
        <w:tab w:val="clear" w:pos="4320"/>
        <w:tab w:val="center" w:pos="4680"/>
      </w:tabs>
      <w:jc w:val="left"/>
      <w:rPr>
        <w:rFonts w:ascii="Palatino Linotype" w:hAnsi="Palatino Linotype"/>
        <w:sz w:val="24"/>
        <w:szCs w:val="24"/>
      </w:rPr>
    </w:pPr>
    <w:r w:rsidRPr="00F4175B">
      <w:rPr>
        <w:rStyle w:val="PageNumber"/>
        <w:rFonts w:ascii="Tahoma" w:hAnsi="Tahoma" w:cs="Tahoma"/>
        <w:sz w:val="20"/>
      </w:rPr>
      <w:t>504799896</w:t>
    </w:r>
    <w:r>
      <w:rPr>
        <w:rStyle w:val="PageNumber"/>
        <w:rFonts w:ascii="Palatino Linotype" w:hAnsi="Palatino Linotype"/>
        <w:sz w:val="24"/>
        <w:szCs w:val="24"/>
      </w:rPr>
      <w:tab/>
    </w:r>
    <w:r w:rsidR="00CF17DE" w:rsidRPr="00F705C8">
      <w:rPr>
        <w:rStyle w:val="PageNumber"/>
        <w:rFonts w:ascii="Palatino Linotype" w:hAnsi="Palatino Linotype"/>
        <w:sz w:val="24"/>
        <w:szCs w:val="24"/>
      </w:rPr>
      <w:fldChar w:fldCharType="begin"/>
    </w:r>
    <w:r w:rsidR="00CF17DE" w:rsidRPr="00F705C8">
      <w:rPr>
        <w:rStyle w:val="PageNumber"/>
        <w:rFonts w:ascii="Palatino Linotype" w:hAnsi="Palatino Linotype"/>
        <w:sz w:val="24"/>
        <w:szCs w:val="24"/>
      </w:rPr>
      <w:instrText xml:space="preserve"> PAGE </w:instrText>
    </w:r>
    <w:r w:rsidR="00CF17DE" w:rsidRPr="00F705C8">
      <w:rPr>
        <w:rStyle w:val="PageNumber"/>
        <w:rFonts w:ascii="Palatino Linotype" w:hAnsi="Palatino Linotype"/>
        <w:sz w:val="24"/>
        <w:szCs w:val="24"/>
      </w:rPr>
      <w:fldChar w:fldCharType="separate"/>
    </w:r>
    <w:r w:rsidR="00946E2C" w:rsidRPr="00F705C8">
      <w:rPr>
        <w:rStyle w:val="PageNumber"/>
        <w:rFonts w:ascii="Palatino Linotype" w:hAnsi="Palatino Linotype"/>
        <w:noProof/>
        <w:sz w:val="24"/>
        <w:szCs w:val="24"/>
      </w:rPr>
      <w:t>1</w:t>
    </w:r>
    <w:r w:rsidR="00CF17DE" w:rsidRPr="00F705C8">
      <w:rPr>
        <w:rStyle w:val="PageNumber"/>
        <w:rFonts w:ascii="Palatino Linotype" w:hAnsi="Palatino Linotype"/>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798357" w14:textId="77777777" w:rsidR="006E1207" w:rsidRDefault="006E1207">
      <w:r>
        <w:separator/>
      </w:r>
    </w:p>
  </w:footnote>
  <w:footnote w:type="continuationSeparator" w:id="0">
    <w:p w14:paraId="109E9863" w14:textId="77777777" w:rsidR="006E1207" w:rsidRDefault="006E1207">
      <w:r>
        <w:continuationSeparator/>
      </w:r>
    </w:p>
  </w:footnote>
  <w:footnote w:type="continuationNotice" w:id="1">
    <w:p w14:paraId="151ADEC3" w14:textId="77777777" w:rsidR="006E1207" w:rsidRDefault="006E1207">
      <w:pPr>
        <w:rPr>
          <w:sz w:val="22"/>
        </w:rPr>
      </w:pPr>
    </w:p>
    <w:p w14:paraId="42E08C79" w14:textId="77777777" w:rsidR="006E1207" w:rsidRDefault="006E1207">
      <w:pPr>
        <w:jc w:val="right"/>
        <w:rPr>
          <w:sz w:val="22"/>
        </w:rPr>
      </w:pPr>
      <w:r>
        <w:rPr>
          <w:i/>
          <w:sz w:val="22"/>
        </w:rPr>
        <w:t xml:space="preserve">Footnote continued on next </w:t>
      </w:r>
      <w:proofErr w:type="gramStart"/>
      <w:r>
        <w:rPr>
          <w:i/>
          <w:sz w:val="22"/>
        </w:rPr>
        <w:t>page</w:t>
      </w:r>
      <w:proofErr w:type="gramEnd"/>
    </w:p>
  </w:footnote>
  <w:footnote w:id="2">
    <w:p w14:paraId="28CAD1C1" w14:textId="77777777" w:rsidR="005B261A" w:rsidRDefault="005B261A" w:rsidP="005B261A">
      <w:pPr>
        <w:pStyle w:val="FootnoteText"/>
        <w:ind w:left="360" w:hanging="360"/>
      </w:pPr>
      <w:r>
        <w:rPr>
          <w:rStyle w:val="FootnoteReference"/>
        </w:rPr>
        <w:footnoteRef/>
      </w:r>
      <w:r>
        <w:t xml:space="preserve"> Decision 21-01-018, Page A-4.</w:t>
      </w:r>
    </w:p>
  </w:footnote>
  <w:footnote w:id="3">
    <w:p w14:paraId="1994EA34" w14:textId="2D8B5A6E" w:rsidR="006057B4" w:rsidRDefault="006057B4">
      <w:pPr>
        <w:pStyle w:val="FootnoteText"/>
      </w:pPr>
      <w:r>
        <w:rPr>
          <w:rStyle w:val="FootnoteReference"/>
        </w:rPr>
        <w:footnoteRef/>
      </w:r>
      <w:r>
        <w:t xml:space="preserve"> AL 6808-E at 7.</w:t>
      </w:r>
    </w:p>
  </w:footnote>
  <w:footnote w:id="4">
    <w:p w14:paraId="4A23C739" w14:textId="378D042F" w:rsidR="006057B4" w:rsidRDefault="006057B4">
      <w:pPr>
        <w:pStyle w:val="FootnoteText"/>
      </w:pPr>
      <w:r>
        <w:rPr>
          <w:rStyle w:val="FootnoteReference"/>
        </w:rPr>
        <w:footnoteRef/>
      </w:r>
      <w:r>
        <w:t xml:space="preserve"> AL 6808-E at 12.</w:t>
      </w:r>
    </w:p>
  </w:footnote>
  <w:footnote w:id="5">
    <w:p w14:paraId="1A2A7C9E" w14:textId="77777777" w:rsidR="001640DA" w:rsidRDefault="001640DA" w:rsidP="001640DA">
      <w:pPr>
        <w:pStyle w:val="FootnoteText"/>
      </w:pPr>
      <w:r>
        <w:rPr>
          <w:rStyle w:val="FootnoteReference"/>
        </w:rPr>
        <w:footnoteRef/>
      </w:r>
      <w:r>
        <w:t xml:space="preserve"> D.22-22-009 adopted a framework for substation microgrid resiliency solutions to mitigate public safety power shutoffs in PG&amp;E territory.</w:t>
      </w:r>
    </w:p>
  </w:footnote>
  <w:footnote w:id="6">
    <w:p w14:paraId="71257F8C" w14:textId="4FB34751" w:rsidR="00D161D2" w:rsidRDefault="00D161D2">
      <w:pPr>
        <w:pStyle w:val="FootnoteText"/>
      </w:pPr>
      <w:r>
        <w:rPr>
          <w:rStyle w:val="FootnoteReference"/>
        </w:rPr>
        <w:footnoteRef/>
      </w:r>
      <w:r>
        <w:t xml:space="preserve"> </w:t>
      </w:r>
      <w:r w:rsidR="00566116">
        <w:t>D.2</w:t>
      </w:r>
      <w:r>
        <w:t>1-01-018, Appendix A, Pages A-</w:t>
      </w:r>
      <w:proofErr w:type="gramStart"/>
      <w:r>
        <w:t>4</w:t>
      </w:r>
      <w:proofErr w:type="gramEnd"/>
      <w:r>
        <w:t xml:space="preserve"> and A-5. </w:t>
      </w:r>
    </w:p>
  </w:footnote>
  <w:footnote w:id="7">
    <w:p w14:paraId="1C771BFB" w14:textId="1EA2DA86" w:rsidR="00D161D2" w:rsidRDefault="00D161D2">
      <w:pPr>
        <w:pStyle w:val="FootnoteText"/>
      </w:pPr>
      <w:r>
        <w:rPr>
          <w:rStyle w:val="FootnoteReference"/>
        </w:rPr>
        <w:footnoteRef/>
      </w:r>
      <w:r>
        <w:t xml:space="preserve"> PG&amp;E 10-Year Historic Lookback 2021 Update, Supplemental Testimony in Application 21-06-022 submitted </w:t>
      </w:r>
      <w:proofErr w:type="gramStart"/>
      <w:r>
        <w:t>December,</w:t>
      </w:r>
      <w:proofErr w:type="gramEnd"/>
      <w:r>
        <w:t xml:space="preserve"> 2021.</w:t>
      </w:r>
    </w:p>
  </w:footnote>
  <w:footnote w:id="8">
    <w:p w14:paraId="201934DC" w14:textId="03BA189B" w:rsidR="00D161D2" w:rsidRDefault="00D161D2">
      <w:pPr>
        <w:pStyle w:val="FootnoteText"/>
      </w:pPr>
      <w:r>
        <w:rPr>
          <w:rStyle w:val="FootnoteReference"/>
        </w:rPr>
        <w:footnoteRef/>
      </w:r>
      <w:r>
        <w:t xml:space="preserve"> Compliance filing from PG&amp;E following Ordering Paragraph 1 of </w:t>
      </w:r>
      <w:r w:rsidR="00566116">
        <w:t>D.2</w:t>
      </w:r>
      <w:r>
        <w:t xml:space="preserve">2-11-009, submitted </w:t>
      </w:r>
      <w:r w:rsidR="001C32DD">
        <w:br/>
      </w:r>
      <w:r>
        <w:t>February 16, 2023.</w:t>
      </w:r>
    </w:p>
  </w:footnote>
  <w:footnote w:id="9">
    <w:p w14:paraId="372A3D35" w14:textId="2FBC5905" w:rsidR="003D6449" w:rsidRDefault="003D6449">
      <w:pPr>
        <w:pStyle w:val="FootnoteText"/>
      </w:pPr>
      <w:r>
        <w:rPr>
          <w:rStyle w:val="FootnoteReference"/>
        </w:rPr>
        <w:footnoteRef/>
      </w:r>
      <w:r>
        <w:t xml:space="preserve"> PG&amp;E AL 6808-E, Appendix J.</w:t>
      </w:r>
    </w:p>
  </w:footnote>
  <w:footnote w:id="10">
    <w:p w14:paraId="0C19809C" w14:textId="11E0BF20" w:rsidR="00D161D2" w:rsidRDefault="00D161D2">
      <w:pPr>
        <w:pStyle w:val="FootnoteText"/>
      </w:pPr>
      <w:r>
        <w:rPr>
          <w:rStyle w:val="FootnoteReference"/>
        </w:rPr>
        <w:footnoteRef/>
      </w:r>
      <w:r>
        <w:t xml:space="preserve"> </w:t>
      </w:r>
      <w:r w:rsidR="00566116">
        <w:t>D.2</w:t>
      </w:r>
      <w:r>
        <w:t>1-08-009, page A-4.</w:t>
      </w:r>
    </w:p>
  </w:footnote>
  <w:footnote w:id="11">
    <w:p w14:paraId="2813AC02" w14:textId="5018D94A" w:rsidR="003D6449" w:rsidRDefault="003D6449">
      <w:pPr>
        <w:pStyle w:val="FootnoteText"/>
      </w:pPr>
      <w:r>
        <w:rPr>
          <w:rStyle w:val="FootnoteReference"/>
        </w:rPr>
        <w:footnoteRef/>
      </w:r>
      <w:r>
        <w:t xml:space="preserve"> Letter served August 1, 2022</w:t>
      </w:r>
      <w:r w:rsidR="00982EE2">
        <w:t>,</w:t>
      </w:r>
      <w:r>
        <w:t xml:space="preserve"> to the R. 19-09-009 Service List.</w:t>
      </w:r>
    </w:p>
  </w:footnote>
  <w:footnote w:id="12">
    <w:p w14:paraId="3D472358" w14:textId="36378771" w:rsidR="0081031A" w:rsidRDefault="0081031A">
      <w:pPr>
        <w:pStyle w:val="FootnoteText"/>
      </w:pPr>
      <w:r>
        <w:rPr>
          <w:rStyle w:val="FootnoteReference"/>
        </w:rPr>
        <w:footnoteRef/>
      </w:r>
      <w:r>
        <w:t xml:space="preserve"> MCE Response at 2.</w:t>
      </w:r>
    </w:p>
  </w:footnote>
  <w:footnote w:id="13">
    <w:p w14:paraId="0179D2E9" w14:textId="4E8BDF19" w:rsidR="00E4248A" w:rsidRDefault="00E4248A">
      <w:pPr>
        <w:pStyle w:val="FootnoteText"/>
      </w:pPr>
      <w:r>
        <w:rPr>
          <w:rStyle w:val="FootnoteReference"/>
        </w:rPr>
        <w:footnoteRef/>
      </w:r>
      <w:r>
        <w:t xml:space="preserve"> PG&amp;E Reply at 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8D349" w14:textId="1A948712" w:rsidR="00CF17DE" w:rsidRPr="00F705C8" w:rsidRDefault="61C943AB">
    <w:pPr>
      <w:pStyle w:val="Header"/>
      <w:tabs>
        <w:tab w:val="clear" w:pos="4320"/>
        <w:tab w:val="clear" w:pos="8640"/>
        <w:tab w:val="center" w:pos="4680"/>
        <w:tab w:val="right" w:pos="9180"/>
      </w:tabs>
      <w:rPr>
        <w:rFonts w:ascii="Palatino Linotype" w:hAnsi="Palatino Linotype"/>
        <w:sz w:val="24"/>
        <w:szCs w:val="24"/>
      </w:rPr>
    </w:pPr>
    <w:r w:rsidRPr="00F705C8">
      <w:rPr>
        <w:rFonts w:ascii="Palatino Linotype" w:hAnsi="Palatino Linotype"/>
        <w:sz w:val="24"/>
        <w:szCs w:val="24"/>
      </w:rPr>
      <w:t>Resolution E-</w:t>
    </w:r>
    <w:r w:rsidR="003151FD">
      <w:rPr>
        <w:rFonts w:ascii="Palatino Linotype" w:hAnsi="Palatino Linotype"/>
        <w:sz w:val="24"/>
        <w:szCs w:val="24"/>
      </w:rPr>
      <w:t>5261</w:t>
    </w:r>
    <w:r w:rsidR="00CF17DE" w:rsidRPr="00F705C8">
      <w:rPr>
        <w:rFonts w:ascii="Palatino Linotype" w:hAnsi="Palatino Linotype"/>
        <w:sz w:val="24"/>
        <w:szCs w:val="24"/>
      </w:rPr>
      <w:tab/>
    </w:r>
    <w:r w:rsidRPr="00F705C8">
      <w:rPr>
        <w:rFonts w:ascii="Palatino Linotype" w:hAnsi="Palatino Linotype"/>
        <w:sz w:val="24"/>
        <w:szCs w:val="24"/>
      </w:rPr>
      <w:t>DRAFT</w:t>
    </w:r>
    <w:r w:rsidR="00CF17DE" w:rsidRPr="00F705C8">
      <w:rPr>
        <w:rFonts w:ascii="Palatino Linotype" w:hAnsi="Palatino Linotype"/>
        <w:sz w:val="24"/>
        <w:szCs w:val="24"/>
      </w:rPr>
      <w:tab/>
    </w:r>
    <w:r w:rsidR="0045639E">
      <w:rPr>
        <w:rFonts w:ascii="Palatino Linotype" w:hAnsi="Palatino Linotype"/>
        <w:sz w:val="24"/>
        <w:szCs w:val="24"/>
      </w:rPr>
      <w:t xml:space="preserve">April </w:t>
    </w:r>
    <w:r w:rsidR="003151FD">
      <w:rPr>
        <w:rFonts w:ascii="Palatino Linotype" w:hAnsi="Palatino Linotype"/>
        <w:sz w:val="24"/>
        <w:szCs w:val="24"/>
      </w:rPr>
      <w:t>27</w:t>
    </w:r>
    <w:r w:rsidR="00C53AD2">
      <w:rPr>
        <w:rFonts w:ascii="Palatino Linotype" w:hAnsi="Palatino Linotype"/>
        <w:sz w:val="24"/>
        <w:szCs w:val="24"/>
      </w:rPr>
      <w:t>, 202</w:t>
    </w:r>
    <w:r w:rsidR="0045639E">
      <w:rPr>
        <w:rFonts w:ascii="Palatino Linotype" w:hAnsi="Palatino Linotype"/>
        <w:sz w:val="24"/>
        <w:szCs w:val="24"/>
      </w:rPr>
      <w:t>3</w:t>
    </w:r>
  </w:p>
  <w:p w14:paraId="66D09051" w14:textId="1E37DB6E" w:rsidR="61C943AB" w:rsidRPr="00F705C8" w:rsidRDefault="00C53AD2" w:rsidP="61C943AB">
    <w:pPr>
      <w:tabs>
        <w:tab w:val="center" w:pos="4680"/>
        <w:tab w:val="right" w:pos="9180"/>
      </w:tabs>
      <w:rPr>
        <w:rFonts w:ascii="Palatino Linotype" w:hAnsi="Palatino Linotype"/>
        <w:sz w:val="24"/>
        <w:szCs w:val="24"/>
      </w:rPr>
    </w:pPr>
    <w:r>
      <w:rPr>
        <w:rFonts w:ascii="Palatino Linotype" w:hAnsi="Palatino Linotype"/>
        <w:sz w:val="24"/>
        <w:szCs w:val="24"/>
      </w:rPr>
      <w:t>Pacific Gas and Electric</w:t>
    </w:r>
    <w:r w:rsidR="61C943AB" w:rsidRPr="00F705C8">
      <w:rPr>
        <w:rFonts w:ascii="Palatino Linotype" w:hAnsi="Palatino Linotype"/>
        <w:sz w:val="24"/>
        <w:szCs w:val="24"/>
      </w:rPr>
      <w:t xml:space="preserve"> AL </w:t>
    </w:r>
    <w:r w:rsidR="00A11758">
      <w:rPr>
        <w:rFonts w:ascii="Palatino Linotype" w:hAnsi="Palatino Linotype"/>
        <w:sz w:val="24"/>
        <w:szCs w:val="24"/>
      </w:rPr>
      <w:t>6</w:t>
    </w:r>
    <w:r w:rsidR="0045639E">
      <w:rPr>
        <w:rFonts w:ascii="Palatino Linotype" w:hAnsi="Palatino Linotype"/>
        <w:sz w:val="24"/>
        <w:szCs w:val="24"/>
      </w:rPr>
      <w:t>808</w:t>
    </w:r>
    <w:r w:rsidR="61C943AB" w:rsidRPr="00F705C8">
      <w:rPr>
        <w:rFonts w:ascii="Palatino Linotype" w:hAnsi="Palatino Linotype"/>
        <w:sz w:val="24"/>
        <w:szCs w:val="24"/>
      </w:rPr>
      <w:t>-E</w:t>
    </w:r>
    <w:r w:rsidR="00A11758">
      <w:rPr>
        <w:rFonts w:ascii="Palatino Linotype" w:hAnsi="Palatino Linotype"/>
        <w:sz w:val="24"/>
        <w:szCs w:val="24"/>
      </w:rPr>
      <w:t xml:space="preserve"> / TUT</w:t>
    </w:r>
  </w:p>
  <w:p w14:paraId="013F4CD4" w14:textId="77777777" w:rsidR="00CF17DE" w:rsidRDefault="00CF17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F806" w14:textId="77777777" w:rsidR="00CF17DE" w:rsidRPr="00F705C8" w:rsidRDefault="00CF17DE" w:rsidP="003F6E5A">
    <w:pPr>
      <w:pStyle w:val="Header"/>
      <w:jc w:val="center"/>
      <w:rPr>
        <w:rFonts w:ascii="Palatino Linotype" w:hAnsi="Palatino Linotype"/>
        <w:sz w:val="24"/>
        <w:szCs w:val="24"/>
      </w:rPr>
    </w:pPr>
    <w:r w:rsidRPr="00F705C8">
      <w:rPr>
        <w:rFonts w:ascii="Palatino Linotype" w:hAnsi="Palatino Linotype"/>
        <w:sz w:val="24"/>
        <w:szCs w:val="24"/>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04A7"/>
    <w:multiLevelType w:val="multilevel"/>
    <w:tmpl w:val="3E661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C87612"/>
    <w:multiLevelType w:val="hybridMultilevel"/>
    <w:tmpl w:val="D3C82C26"/>
    <w:lvl w:ilvl="0" w:tplc="B0C636E2">
      <w:start w:val="1"/>
      <w:numFmt w:val="lowerLetter"/>
      <w:lvlText w:val="%1."/>
      <w:lvlJc w:val="left"/>
      <w:pPr>
        <w:ind w:left="1800" w:hanging="360"/>
      </w:pPr>
      <w:rPr>
        <w:rFonts w:hint="default"/>
      </w:rPr>
    </w:lvl>
    <w:lvl w:ilvl="1" w:tplc="003EB3F4">
      <w:start w:val="1"/>
      <w:numFmt w:val="lowerRoman"/>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0B2F13"/>
    <w:multiLevelType w:val="hybridMultilevel"/>
    <w:tmpl w:val="2B280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4" w15:restartNumberingAfterBreak="0">
    <w:nsid w:val="0BDB7819"/>
    <w:multiLevelType w:val="hybridMultilevel"/>
    <w:tmpl w:val="0409000F"/>
    <w:lvl w:ilvl="0" w:tplc="E74AAC4A">
      <w:start w:val="1"/>
      <w:numFmt w:val="decimal"/>
      <w:lvlText w:val="%1."/>
      <w:lvlJc w:val="left"/>
      <w:pPr>
        <w:tabs>
          <w:tab w:val="num" w:pos="360"/>
        </w:tabs>
        <w:ind w:left="360" w:hanging="360"/>
      </w:pPr>
    </w:lvl>
    <w:lvl w:ilvl="1" w:tplc="40C640C8">
      <w:numFmt w:val="decimal"/>
      <w:lvlText w:val=""/>
      <w:lvlJc w:val="left"/>
    </w:lvl>
    <w:lvl w:ilvl="2" w:tplc="A722427E">
      <w:numFmt w:val="decimal"/>
      <w:lvlText w:val=""/>
      <w:lvlJc w:val="left"/>
    </w:lvl>
    <w:lvl w:ilvl="3" w:tplc="3372F162">
      <w:numFmt w:val="decimal"/>
      <w:lvlText w:val=""/>
      <w:lvlJc w:val="left"/>
    </w:lvl>
    <w:lvl w:ilvl="4" w:tplc="D7B27552">
      <w:numFmt w:val="decimal"/>
      <w:lvlText w:val=""/>
      <w:lvlJc w:val="left"/>
    </w:lvl>
    <w:lvl w:ilvl="5" w:tplc="39108616">
      <w:numFmt w:val="decimal"/>
      <w:lvlText w:val=""/>
      <w:lvlJc w:val="left"/>
    </w:lvl>
    <w:lvl w:ilvl="6" w:tplc="90C8B396">
      <w:numFmt w:val="decimal"/>
      <w:lvlText w:val=""/>
      <w:lvlJc w:val="left"/>
    </w:lvl>
    <w:lvl w:ilvl="7" w:tplc="04CC7B2C">
      <w:numFmt w:val="decimal"/>
      <w:lvlText w:val=""/>
      <w:lvlJc w:val="left"/>
    </w:lvl>
    <w:lvl w:ilvl="8" w:tplc="D6204144">
      <w:numFmt w:val="decimal"/>
      <w:lvlText w:val=""/>
      <w:lvlJc w:val="left"/>
    </w:lvl>
  </w:abstractNum>
  <w:abstractNum w:abstractNumId="5" w15:restartNumberingAfterBreak="0">
    <w:nsid w:val="0BEF0B24"/>
    <w:multiLevelType w:val="hybridMultilevel"/>
    <w:tmpl w:val="461058A4"/>
    <w:lvl w:ilvl="0" w:tplc="FFFFFFF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0D622C02"/>
    <w:multiLevelType w:val="hybridMultilevel"/>
    <w:tmpl w:val="2B280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237998"/>
    <w:multiLevelType w:val="hybridMultilevel"/>
    <w:tmpl w:val="2F229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9" w15:restartNumberingAfterBreak="0">
    <w:nsid w:val="26F8414F"/>
    <w:multiLevelType w:val="hybridMultilevel"/>
    <w:tmpl w:val="250802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9A4C11"/>
    <w:multiLevelType w:val="hybridMultilevel"/>
    <w:tmpl w:val="2B280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DF66630"/>
    <w:multiLevelType w:val="hybridMultilevel"/>
    <w:tmpl w:val="DD046746"/>
    <w:lvl w:ilvl="0" w:tplc="B0C636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3B607BE"/>
    <w:multiLevelType w:val="hybridMultilevel"/>
    <w:tmpl w:val="772AE192"/>
    <w:lvl w:ilvl="0" w:tplc="1DF0C2B8">
      <w:start w:val="1"/>
      <w:numFmt w:val="bullet"/>
      <w:lvlText w:val="·"/>
      <w:lvlJc w:val="left"/>
      <w:pPr>
        <w:ind w:left="720" w:hanging="360"/>
      </w:pPr>
      <w:rPr>
        <w:rFonts w:ascii="Symbol" w:hAnsi="Symbol" w:hint="default"/>
      </w:rPr>
    </w:lvl>
    <w:lvl w:ilvl="1" w:tplc="82C07882">
      <w:start w:val="1"/>
      <w:numFmt w:val="bullet"/>
      <w:lvlText w:val="o"/>
      <w:lvlJc w:val="left"/>
      <w:pPr>
        <w:ind w:left="1440" w:hanging="360"/>
      </w:pPr>
      <w:rPr>
        <w:rFonts w:ascii="Courier New" w:hAnsi="Courier New" w:hint="default"/>
      </w:rPr>
    </w:lvl>
    <w:lvl w:ilvl="2" w:tplc="ABE01C7A">
      <w:start w:val="1"/>
      <w:numFmt w:val="bullet"/>
      <w:lvlText w:val=""/>
      <w:lvlJc w:val="left"/>
      <w:pPr>
        <w:ind w:left="2160" w:hanging="360"/>
      </w:pPr>
      <w:rPr>
        <w:rFonts w:ascii="Wingdings" w:hAnsi="Wingdings" w:hint="default"/>
      </w:rPr>
    </w:lvl>
    <w:lvl w:ilvl="3" w:tplc="E92E2906">
      <w:start w:val="1"/>
      <w:numFmt w:val="bullet"/>
      <w:lvlText w:val=""/>
      <w:lvlJc w:val="left"/>
      <w:pPr>
        <w:ind w:left="2880" w:hanging="360"/>
      </w:pPr>
      <w:rPr>
        <w:rFonts w:ascii="Symbol" w:hAnsi="Symbol" w:hint="default"/>
      </w:rPr>
    </w:lvl>
    <w:lvl w:ilvl="4" w:tplc="10AE2F64">
      <w:start w:val="1"/>
      <w:numFmt w:val="bullet"/>
      <w:lvlText w:val="o"/>
      <w:lvlJc w:val="left"/>
      <w:pPr>
        <w:ind w:left="3600" w:hanging="360"/>
      </w:pPr>
      <w:rPr>
        <w:rFonts w:ascii="Courier New" w:hAnsi="Courier New" w:hint="default"/>
      </w:rPr>
    </w:lvl>
    <w:lvl w:ilvl="5" w:tplc="798C6B34">
      <w:start w:val="1"/>
      <w:numFmt w:val="bullet"/>
      <w:lvlText w:val=""/>
      <w:lvlJc w:val="left"/>
      <w:pPr>
        <w:ind w:left="4320" w:hanging="360"/>
      </w:pPr>
      <w:rPr>
        <w:rFonts w:ascii="Wingdings" w:hAnsi="Wingdings" w:hint="default"/>
      </w:rPr>
    </w:lvl>
    <w:lvl w:ilvl="6" w:tplc="3B50EA0A">
      <w:start w:val="1"/>
      <w:numFmt w:val="bullet"/>
      <w:lvlText w:val=""/>
      <w:lvlJc w:val="left"/>
      <w:pPr>
        <w:ind w:left="5040" w:hanging="360"/>
      </w:pPr>
      <w:rPr>
        <w:rFonts w:ascii="Symbol" w:hAnsi="Symbol" w:hint="default"/>
      </w:rPr>
    </w:lvl>
    <w:lvl w:ilvl="7" w:tplc="44A276DE">
      <w:start w:val="1"/>
      <w:numFmt w:val="bullet"/>
      <w:lvlText w:val="o"/>
      <w:lvlJc w:val="left"/>
      <w:pPr>
        <w:ind w:left="5760" w:hanging="360"/>
      </w:pPr>
      <w:rPr>
        <w:rFonts w:ascii="Courier New" w:hAnsi="Courier New" w:hint="default"/>
      </w:rPr>
    </w:lvl>
    <w:lvl w:ilvl="8" w:tplc="7C682E76">
      <w:start w:val="1"/>
      <w:numFmt w:val="bullet"/>
      <w:lvlText w:val=""/>
      <w:lvlJc w:val="left"/>
      <w:pPr>
        <w:ind w:left="6480" w:hanging="360"/>
      </w:pPr>
      <w:rPr>
        <w:rFonts w:ascii="Wingdings" w:hAnsi="Wingdings" w:hint="default"/>
      </w:rPr>
    </w:lvl>
  </w:abstractNum>
  <w:abstractNum w:abstractNumId="13" w15:restartNumberingAfterBreak="0">
    <w:nsid w:val="3AA16231"/>
    <w:multiLevelType w:val="hybridMultilevel"/>
    <w:tmpl w:val="954AC3F0"/>
    <w:lvl w:ilvl="0" w:tplc="4A0C3290">
      <w:start w:val="1"/>
      <w:numFmt w:val="bullet"/>
      <w:lvlText w:val="·"/>
      <w:lvlJc w:val="left"/>
      <w:pPr>
        <w:ind w:left="720" w:hanging="360"/>
      </w:pPr>
      <w:rPr>
        <w:rFonts w:ascii="Symbol" w:hAnsi="Symbol" w:hint="default"/>
      </w:rPr>
    </w:lvl>
    <w:lvl w:ilvl="1" w:tplc="3CD0474A">
      <w:start w:val="1"/>
      <w:numFmt w:val="bullet"/>
      <w:lvlText w:val="o"/>
      <w:lvlJc w:val="left"/>
      <w:pPr>
        <w:ind w:left="1440" w:hanging="360"/>
      </w:pPr>
      <w:rPr>
        <w:rFonts w:ascii="Courier New" w:hAnsi="Courier New" w:hint="default"/>
      </w:rPr>
    </w:lvl>
    <w:lvl w:ilvl="2" w:tplc="3D681224">
      <w:start w:val="1"/>
      <w:numFmt w:val="bullet"/>
      <w:lvlText w:val=""/>
      <w:lvlJc w:val="left"/>
      <w:pPr>
        <w:ind w:left="2160" w:hanging="360"/>
      </w:pPr>
      <w:rPr>
        <w:rFonts w:ascii="Wingdings" w:hAnsi="Wingdings" w:hint="default"/>
      </w:rPr>
    </w:lvl>
    <w:lvl w:ilvl="3" w:tplc="46B61AA2">
      <w:start w:val="1"/>
      <w:numFmt w:val="bullet"/>
      <w:lvlText w:val=""/>
      <w:lvlJc w:val="left"/>
      <w:pPr>
        <w:ind w:left="2880" w:hanging="360"/>
      </w:pPr>
      <w:rPr>
        <w:rFonts w:ascii="Symbol" w:hAnsi="Symbol" w:hint="default"/>
      </w:rPr>
    </w:lvl>
    <w:lvl w:ilvl="4" w:tplc="061CBAA0">
      <w:start w:val="1"/>
      <w:numFmt w:val="bullet"/>
      <w:lvlText w:val="o"/>
      <w:lvlJc w:val="left"/>
      <w:pPr>
        <w:ind w:left="3600" w:hanging="360"/>
      </w:pPr>
      <w:rPr>
        <w:rFonts w:ascii="Courier New" w:hAnsi="Courier New" w:hint="default"/>
      </w:rPr>
    </w:lvl>
    <w:lvl w:ilvl="5" w:tplc="311210CA">
      <w:start w:val="1"/>
      <w:numFmt w:val="bullet"/>
      <w:lvlText w:val=""/>
      <w:lvlJc w:val="left"/>
      <w:pPr>
        <w:ind w:left="4320" w:hanging="360"/>
      </w:pPr>
      <w:rPr>
        <w:rFonts w:ascii="Wingdings" w:hAnsi="Wingdings" w:hint="default"/>
      </w:rPr>
    </w:lvl>
    <w:lvl w:ilvl="6" w:tplc="705C039A">
      <w:start w:val="1"/>
      <w:numFmt w:val="bullet"/>
      <w:lvlText w:val=""/>
      <w:lvlJc w:val="left"/>
      <w:pPr>
        <w:ind w:left="5040" w:hanging="360"/>
      </w:pPr>
      <w:rPr>
        <w:rFonts w:ascii="Symbol" w:hAnsi="Symbol" w:hint="default"/>
      </w:rPr>
    </w:lvl>
    <w:lvl w:ilvl="7" w:tplc="6C72A9A2">
      <w:start w:val="1"/>
      <w:numFmt w:val="bullet"/>
      <w:lvlText w:val="o"/>
      <w:lvlJc w:val="left"/>
      <w:pPr>
        <w:ind w:left="5760" w:hanging="360"/>
      </w:pPr>
      <w:rPr>
        <w:rFonts w:ascii="Courier New" w:hAnsi="Courier New" w:hint="default"/>
      </w:rPr>
    </w:lvl>
    <w:lvl w:ilvl="8" w:tplc="54801EA2">
      <w:start w:val="1"/>
      <w:numFmt w:val="bullet"/>
      <w:lvlText w:val=""/>
      <w:lvlJc w:val="left"/>
      <w:pPr>
        <w:ind w:left="6480" w:hanging="360"/>
      </w:pPr>
      <w:rPr>
        <w:rFonts w:ascii="Wingdings" w:hAnsi="Wingdings" w:hint="default"/>
      </w:rPr>
    </w:lvl>
  </w:abstractNum>
  <w:abstractNum w:abstractNumId="14" w15:restartNumberingAfterBreak="0">
    <w:nsid w:val="3AFA4B9B"/>
    <w:multiLevelType w:val="hybridMultilevel"/>
    <w:tmpl w:val="9F04C2AC"/>
    <w:lvl w:ilvl="0" w:tplc="B0C636E2">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99D488D"/>
    <w:multiLevelType w:val="hybridMultilevel"/>
    <w:tmpl w:val="3B44ED38"/>
    <w:lvl w:ilvl="0" w:tplc="2BF49CE6">
      <w:start w:val="1"/>
      <w:numFmt w:val="bullet"/>
      <w:lvlText w:val="·"/>
      <w:lvlJc w:val="left"/>
      <w:pPr>
        <w:ind w:left="720" w:hanging="360"/>
      </w:pPr>
      <w:rPr>
        <w:rFonts w:ascii="Symbol" w:hAnsi="Symbol" w:hint="default"/>
      </w:rPr>
    </w:lvl>
    <w:lvl w:ilvl="1" w:tplc="8B1AF868">
      <w:start w:val="1"/>
      <w:numFmt w:val="bullet"/>
      <w:lvlText w:val="o"/>
      <w:lvlJc w:val="left"/>
      <w:pPr>
        <w:ind w:left="1440" w:hanging="360"/>
      </w:pPr>
      <w:rPr>
        <w:rFonts w:ascii="Courier New" w:hAnsi="Courier New" w:hint="default"/>
      </w:rPr>
    </w:lvl>
    <w:lvl w:ilvl="2" w:tplc="5AF26B70">
      <w:start w:val="1"/>
      <w:numFmt w:val="bullet"/>
      <w:lvlText w:val=""/>
      <w:lvlJc w:val="left"/>
      <w:pPr>
        <w:ind w:left="2160" w:hanging="360"/>
      </w:pPr>
      <w:rPr>
        <w:rFonts w:ascii="Wingdings" w:hAnsi="Wingdings" w:hint="default"/>
      </w:rPr>
    </w:lvl>
    <w:lvl w:ilvl="3" w:tplc="0F209156">
      <w:start w:val="1"/>
      <w:numFmt w:val="bullet"/>
      <w:lvlText w:val=""/>
      <w:lvlJc w:val="left"/>
      <w:pPr>
        <w:ind w:left="2880" w:hanging="360"/>
      </w:pPr>
      <w:rPr>
        <w:rFonts w:ascii="Symbol" w:hAnsi="Symbol" w:hint="default"/>
      </w:rPr>
    </w:lvl>
    <w:lvl w:ilvl="4" w:tplc="34563A3A">
      <w:start w:val="1"/>
      <w:numFmt w:val="bullet"/>
      <w:lvlText w:val="o"/>
      <w:lvlJc w:val="left"/>
      <w:pPr>
        <w:ind w:left="3600" w:hanging="360"/>
      </w:pPr>
      <w:rPr>
        <w:rFonts w:ascii="Courier New" w:hAnsi="Courier New" w:hint="default"/>
      </w:rPr>
    </w:lvl>
    <w:lvl w:ilvl="5" w:tplc="38DCAC46">
      <w:start w:val="1"/>
      <w:numFmt w:val="bullet"/>
      <w:lvlText w:val=""/>
      <w:lvlJc w:val="left"/>
      <w:pPr>
        <w:ind w:left="4320" w:hanging="360"/>
      </w:pPr>
      <w:rPr>
        <w:rFonts w:ascii="Wingdings" w:hAnsi="Wingdings" w:hint="default"/>
      </w:rPr>
    </w:lvl>
    <w:lvl w:ilvl="6" w:tplc="811EE2E2">
      <w:start w:val="1"/>
      <w:numFmt w:val="bullet"/>
      <w:lvlText w:val=""/>
      <w:lvlJc w:val="left"/>
      <w:pPr>
        <w:ind w:left="5040" w:hanging="360"/>
      </w:pPr>
      <w:rPr>
        <w:rFonts w:ascii="Symbol" w:hAnsi="Symbol" w:hint="default"/>
      </w:rPr>
    </w:lvl>
    <w:lvl w:ilvl="7" w:tplc="A8E27266">
      <w:start w:val="1"/>
      <w:numFmt w:val="bullet"/>
      <w:lvlText w:val="o"/>
      <w:lvlJc w:val="left"/>
      <w:pPr>
        <w:ind w:left="5760" w:hanging="360"/>
      </w:pPr>
      <w:rPr>
        <w:rFonts w:ascii="Courier New" w:hAnsi="Courier New" w:hint="default"/>
      </w:rPr>
    </w:lvl>
    <w:lvl w:ilvl="8" w:tplc="0F20B61C">
      <w:start w:val="1"/>
      <w:numFmt w:val="bullet"/>
      <w:lvlText w:val=""/>
      <w:lvlJc w:val="left"/>
      <w:pPr>
        <w:ind w:left="6480" w:hanging="360"/>
      </w:pPr>
      <w:rPr>
        <w:rFonts w:ascii="Wingdings" w:hAnsi="Wingdings" w:hint="default"/>
      </w:rPr>
    </w:lvl>
  </w:abstractNum>
  <w:abstractNum w:abstractNumId="17" w15:restartNumberingAfterBreak="0">
    <w:nsid w:val="4AFC6363"/>
    <w:multiLevelType w:val="hybridMultilevel"/>
    <w:tmpl w:val="2B280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72565C7"/>
    <w:multiLevelType w:val="hybridMultilevel"/>
    <w:tmpl w:val="B4D29030"/>
    <w:lvl w:ilvl="0" w:tplc="DAC8EB02">
      <w:start w:val="1"/>
      <w:numFmt w:val="decimal"/>
      <w:lvlText w:val="%1."/>
      <w:lvlJc w:val="left"/>
      <w:pPr>
        <w:tabs>
          <w:tab w:val="num" w:pos="420"/>
        </w:tabs>
        <w:ind w:left="420" w:hanging="420"/>
      </w:pPr>
      <w:rPr>
        <w:rFonts w:hint="default"/>
      </w:rPr>
    </w:lvl>
    <w:lvl w:ilvl="1" w:tplc="37342A62">
      <w:numFmt w:val="decimal"/>
      <w:lvlText w:val=""/>
      <w:lvlJc w:val="left"/>
    </w:lvl>
    <w:lvl w:ilvl="2" w:tplc="6C30D27C">
      <w:numFmt w:val="decimal"/>
      <w:lvlText w:val=""/>
      <w:lvlJc w:val="left"/>
    </w:lvl>
    <w:lvl w:ilvl="3" w:tplc="906A956A">
      <w:numFmt w:val="decimal"/>
      <w:lvlText w:val=""/>
      <w:lvlJc w:val="left"/>
    </w:lvl>
    <w:lvl w:ilvl="4" w:tplc="714A959A">
      <w:numFmt w:val="decimal"/>
      <w:lvlText w:val=""/>
      <w:lvlJc w:val="left"/>
    </w:lvl>
    <w:lvl w:ilvl="5" w:tplc="A2E6D724">
      <w:numFmt w:val="decimal"/>
      <w:lvlText w:val=""/>
      <w:lvlJc w:val="left"/>
    </w:lvl>
    <w:lvl w:ilvl="6" w:tplc="0770D728">
      <w:numFmt w:val="decimal"/>
      <w:lvlText w:val=""/>
      <w:lvlJc w:val="left"/>
    </w:lvl>
    <w:lvl w:ilvl="7" w:tplc="96420A92">
      <w:numFmt w:val="decimal"/>
      <w:lvlText w:val=""/>
      <w:lvlJc w:val="left"/>
    </w:lvl>
    <w:lvl w:ilvl="8" w:tplc="EC2AB0B4">
      <w:numFmt w:val="decimal"/>
      <w:lvlText w:val=""/>
      <w:lvlJc w:val="left"/>
    </w:lvl>
  </w:abstractNum>
  <w:abstractNum w:abstractNumId="19" w15:restartNumberingAfterBreak="0">
    <w:nsid w:val="57A23154"/>
    <w:multiLevelType w:val="hybridMultilevel"/>
    <w:tmpl w:val="2B280C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B3B32E4"/>
    <w:multiLevelType w:val="hybridMultilevel"/>
    <w:tmpl w:val="514AE7FA"/>
    <w:lvl w:ilvl="0" w:tplc="BCEE72C4">
      <w:start w:val="3232"/>
      <w:numFmt w:val="bullet"/>
      <w:lvlText w:val="•"/>
      <w:lvlJc w:val="left"/>
      <w:pPr>
        <w:ind w:left="720" w:hanging="360"/>
      </w:pPr>
      <w:rPr>
        <w:rFonts w:ascii="Palatino" w:eastAsia="Times New Roman" w:hAnsi="Palatin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90064"/>
    <w:multiLevelType w:val="hybridMultilevel"/>
    <w:tmpl w:val="77D6CA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F248C"/>
    <w:multiLevelType w:val="multilevel"/>
    <w:tmpl w:val="80967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BB84711"/>
    <w:multiLevelType w:val="hybridMultilevel"/>
    <w:tmpl w:val="3CA61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B3067D"/>
    <w:multiLevelType w:val="hybridMultilevel"/>
    <w:tmpl w:val="39BA274A"/>
    <w:lvl w:ilvl="0" w:tplc="B0C636E2">
      <w:start w:val="1"/>
      <w:numFmt w:val="lowerLetter"/>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7A372F0"/>
    <w:multiLevelType w:val="hybridMultilevel"/>
    <w:tmpl w:val="7AFC9390"/>
    <w:lvl w:ilvl="0" w:tplc="B0C636E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089422359">
    <w:abstractNumId w:val="16"/>
  </w:num>
  <w:num w:numId="2" w16cid:durableId="961425955">
    <w:abstractNumId w:val="13"/>
  </w:num>
  <w:num w:numId="3" w16cid:durableId="1705713582">
    <w:abstractNumId w:val="12"/>
  </w:num>
  <w:num w:numId="4" w16cid:durableId="963921878">
    <w:abstractNumId w:val="3"/>
  </w:num>
  <w:num w:numId="5" w16cid:durableId="1883705939">
    <w:abstractNumId w:val="15"/>
  </w:num>
  <w:num w:numId="6" w16cid:durableId="180945800">
    <w:abstractNumId w:val="8"/>
  </w:num>
  <w:num w:numId="7" w16cid:durableId="944842790">
    <w:abstractNumId w:val="18"/>
  </w:num>
  <w:num w:numId="8" w16cid:durableId="1991593136">
    <w:abstractNumId w:val="4"/>
  </w:num>
  <w:num w:numId="9" w16cid:durableId="1754620235">
    <w:abstractNumId w:val="9"/>
  </w:num>
  <w:num w:numId="10" w16cid:durableId="969365539">
    <w:abstractNumId w:val="23"/>
  </w:num>
  <w:num w:numId="11" w16cid:durableId="1671978658">
    <w:abstractNumId w:val="26"/>
  </w:num>
  <w:num w:numId="12" w16cid:durableId="1982611534">
    <w:abstractNumId w:val="7"/>
  </w:num>
  <w:num w:numId="13" w16cid:durableId="468133998">
    <w:abstractNumId w:val="20"/>
  </w:num>
  <w:num w:numId="14" w16cid:durableId="307590920">
    <w:abstractNumId w:val="0"/>
  </w:num>
  <w:num w:numId="15" w16cid:durableId="452137340">
    <w:abstractNumId w:val="22"/>
  </w:num>
  <w:num w:numId="16" w16cid:durableId="2000960812">
    <w:abstractNumId w:val="6"/>
  </w:num>
  <w:num w:numId="17" w16cid:durableId="224688707">
    <w:abstractNumId w:val="17"/>
  </w:num>
  <w:num w:numId="18" w16cid:durableId="731734297">
    <w:abstractNumId w:val="2"/>
  </w:num>
  <w:num w:numId="19" w16cid:durableId="503666800">
    <w:abstractNumId w:val="19"/>
  </w:num>
  <w:num w:numId="20" w16cid:durableId="2055495538">
    <w:abstractNumId w:val="10"/>
  </w:num>
  <w:num w:numId="21" w16cid:durableId="1602371159">
    <w:abstractNumId w:val="21"/>
  </w:num>
  <w:num w:numId="22" w16cid:durableId="870846975">
    <w:abstractNumId w:val="5"/>
  </w:num>
  <w:num w:numId="23" w16cid:durableId="1604415117">
    <w:abstractNumId w:val="11"/>
  </w:num>
  <w:num w:numId="24" w16cid:durableId="763577009">
    <w:abstractNumId w:val="14"/>
  </w:num>
  <w:num w:numId="25" w16cid:durableId="58553032">
    <w:abstractNumId w:val="25"/>
  </w:num>
  <w:num w:numId="26" w16cid:durableId="1547645974">
    <w:abstractNumId w:val="24"/>
  </w:num>
  <w:num w:numId="27" w16cid:durableId="1857696941">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US" w:vendorID="8" w:dllVersion="513" w:checkStyle="1" w:appName="MSWord"/>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70"/>
    <w:rsid w:val="000006AB"/>
    <w:rsid w:val="00012D45"/>
    <w:rsid w:val="00020F92"/>
    <w:rsid w:val="000242F7"/>
    <w:rsid w:val="00024C89"/>
    <w:rsid w:val="00025975"/>
    <w:rsid w:val="00027155"/>
    <w:rsid w:val="00034A6F"/>
    <w:rsid w:val="000416B1"/>
    <w:rsid w:val="00046734"/>
    <w:rsid w:val="00055467"/>
    <w:rsid w:val="00056890"/>
    <w:rsid w:val="0006242C"/>
    <w:rsid w:val="00081F4D"/>
    <w:rsid w:val="000870B1"/>
    <w:rsid w:val="00090457"/>
    <w:rsid w:val="000A12AA"/>
    <w:rsid w:val="000A2B95"/>
    <w:rsid w:val="000B5D11"/>
    <w:rsid w:val="000C1D34"/>
    <w:rsid w:val="000C5D4A"/>
    <w:rsid w:val="000D3A75"/>
    <w:rsid w:val="000D4BF4"/>
    <w:rsid w:val="000E1C4C"/>
    <w:rsid w:val="000E5B14"/>
    <w:rsid w:val="000F2FE1"/>
    <w:rsid w:val="00101884"/>
    <w:rsid w:val="00103538"/>
    <w:rsid w:val="00106751"/>
    <w:rsid w:val="00121154"/>
    <w:rsid w:val="001273FF"/>
    <w:rsid w:val="00130D64"/>
    <w:rsid w:val="00142FB8"/>
    <w:rsid w:val="00155A9F"/>
    <w:rsid w:val="001640DA"/>
    <w:rsid w:val="00165280"/>
    <w:rsid w:val="001907A0"/>
    <w:rsid w:val="0019387C"/>
    <w:rsid w:val="00195394"/>
    <w:rsid w:val="001C2EC5"/>
    <w:rsid w:val="001C32DD"/>
    <w:rsid w:val="001C74D3"/>
    <w:rsid w:val="001E487E"/>
    <w:rsid w:val="001F29CF"/>
    <w:rsid w:val="001F5325"/>
    <w:rsid w:val="002001C1"/>
    <w:rsid w:val="002403CE"/>
    <w:rsid w:val="00242FF8"/>
    <w:rsid w:val="002438AD"/>
    <w:rsid w:val="0024459D"/>
    <w:rsid w:val="00276916"/>
    <w:rsid w:val="00282D87"/>
    <w:rsid w:val="0028786B"/>
    <w:rsid w:val="0029444C"/>
    <w:rsid w:val="002B76AC"/>
    <w:rsid w:val="002F1725"/>
    <w:rsid w:val="002F6E81"/>
    <w:rsid w:val="00300A6C"/>
    <w:rsid w:val="00313D63"/>
    <w:rsid w:val="003151FD"/>
    <w:rsid w:val="0034282C"/>
    <w:rsid w:val="00347200"/>
    <w:rsid w:val="00354CDB"/>
    <w:rsid w:val="003761BD"/>
    <w:rsid w:val="003774F8"/>
    <w:rsid w:val="0038437A"/>
    <w:rsid w:val="003918CA"/>
    <w:rsid w:val="00394B3A"/>
    <w:rsid w:val="003B1839"/>
    <w:rsid w:val="003B28DC"/>
    <w:rsid w:val="003B2DDC"/>
    <w:rsid w:val="003B50AC"/>
    <w:rsid w:val="003B5545"/>
    <w:rsid w:val="003C0780"/>
    <w:rsid w:val="003C1687"/>
    <w:rsid w:val="003C17E4"/>
    <w:rsid w:val="003C6ED1"/>
    <w:rsid w:val="003D4609"/>
    <w:rsid w:val="003D6449"/>
    <w:rsid w:val="003D680B"/>
    <w:rsid w:val="003F0B68"/>
    <w:rsid w:val="003F17E1"/>
    <w:rsid w:val="003F6E5A"/>
    <w:rsid w:val="00400F6B"/>
    <w:rsid w:val="004046FE"/>
    <w:rsid w:val="00411D6C"/>
    <w:rsid w:val="0041587E"/>
    <w:rsid w:val="004224C5"/>
    <w:rsid w:val="00430432"/>
    <w:rsid w:val="00431BF6"/>
    <w:rsid w:val="0043742B"/>
    <w:rsid w:val="00440AB7"/>
    <w:rsid w:val="004450BE"/>
    <w:rsid w:val="00453D64"/>
    <w:rsid w:val="0045639E"/>
    <w:rsid w:val="00467956"/>
    <w:rsid w:val="00470B9B"/>
    <w:rsid w:val="004905D3"/>
    <w:rsid w:val="00492C4D"/>
    <w:rsid w:val="004B5102"/>
    <w:rsid w:val="004D1508"/>
    <w:rsid w:val="004D3212"/>
    <w:rsid w:val="004D43EB"/>
    <w:rsid w:val="004E33D0"/>
    <w:rsid w:val="004E3FA0"/>
    <w:rsid w:val="004E7CE5"/>
    <w:rsid w:val="004F669A"/>
    <w:rsid w:val="005060D6"/>
    <w:rsid w:val="00506771"/>
    <w:rsid w:val="005249DF"/>
    <w:rsid w:val="00526405"/>
    <w:rsid w:val="00544C74"/>
    <w:rsid w:val="005450CC"/>
    <w:rsid w:val="00562070"/>
    <w:rsid w:val="00566116"/>
    <w:rsid w:val="0057398B"/>
    <w:rsid w:val="005805BF"/>
    <w:rsid w:val="0058489F"/>
    <w:rsid w:val="00593807"/>
    <w:rsid w:val="00594C5B"/>
    <w:rsid w:val="005B261A"/>
    <w:rsid w:val="005B2A6A"/>
    <w:rsid w:val="005C3BA0"/>
    <w:rsid w:val="005C6433"/>
    <w:rsid w:val="005D7804"/>
    <w:rsid w:val="005F1942"/>
    <w:rsid w:val="006057B4"/>
    <w:rsid w:val="00613C9A"/>
    <w:rsid w:val="00614CDB"/>
    <w:rsid w:val="006207DC"/>
    <w:rsid w:val="006325B4"/>
    <w:rsid w:val="00633DDF"/>
    <w:rsid w:val="00643317"/>
    <w:rsid w:val="00653A33"/>
    <w:rsid w:val="006566EE"/>
    <w:rsid w:val="006570D2"/>
    <w:rsid w:val="00657FB1"/>
    <w:rsid w:val="006631F6"/>
    <w:rsid w:val="00663232"/>
    <w:rsid w:val="00666AE3"/>
    <w:rsid w:val="0067027F"/>
    <w:rsid w:val="006836F7"/>
    <w:rsid w:val="0069631C"/>
    <w:rsid w:val="00697719"/>
    <w:rsid w:val="006A5FA6"/>
    <w:rsid w:val="006B05EE"/>
    <w:rsid w:val="006B1608"/>
    <w:rsid w:val="006C7C15"/>
    <w:rsid w:val="006D0218"/>
    <w:rsid w:val="006E1207"/>
    <w:rsid w:val="00707A86"/>
    <w:rsid w:val="0071034C"/>
    <w:rsid w:val="007268AA"/>
    <w:rsid w:val="00726FC3"/>
    <w:rsid w:val="007374F3"/>
    <w:rsid w:val="00766D11"/>
    <w:rsid w:val="00774CB5"/>
    <w:rsid w:val="00774D65"/>
    <w:rsid w:val="00782D6D"/>
    <w:rsid w:val="007925C0"/>
    <w:rsid w:val="007963D3"/>
    <w:rsid w:val="007A281A"/>
    <w:rsid w:val="007D578F"/>
    <w:rsid w:val="007D67CA"/>
    <w:rsid w:val="007E6B7A"/>
    <w:rsid w:val="007F09AE"/>
    <w:rsid w:val="007F5778"/>
    <w:rsid w:val="00801D70"/>
    <w:rsid w:val="0081031A"/>
    <w:rsid w:val="0081761B"/>
    <w:rsid w:val="00822061"/>
    <w:rsid w:val="00830212"/>
    <w:rsid w:val="00836B6F"/>
    <w:rsid w:val="0086400F"/>
    <w:rsid w:val="0089620E"/>
    <w:rsid w:val="0089701A"/>
    <w:rsid w:val="008A07F4"/>
    <w:rsid w:val="008A6CF6"/>
    <w:rsid w:val="008A6D46"/>
    <w:rsid w:val="008B7BB6"/>
    <w:rsid w:val="008D0FC7"/>
    <w:rsid w:val="008E6797"/>
    <w:rsid w:val="00905951"/>
    <w:rsid w:val="00915E92"/>
    <w:rsid w:val="00946E2C"/>
    <w:rsid w:val="00954738"/>
    <w:rsid w:val="00965782"/>
    <w:rsid w:val="00966821"/>
    <w:rsid w:val="00972834"/>
    <w:rsid w:val="0097325F"/>
    <w:rsid w:val="00974FDB"/>
    <w:rsid w:val="009770B8"/>
    <w:rsid w:val="009809B1"/>
    <w:rsid w:val="0098293D"/>
    <w:rsid w:val="00982EE2"/>
    <w:rsid w:val="009970CE"/>
    <w:rsid w:val="009A24A8"/>
    <w:rsid w:val="009A50E0"/>
    <w:rsid w:val="009B5CA7"/>
    <w:rsid w:val="009C1E1A"/>
    <w:rsid w:val="009C7C08"/>
    <w:rsid w:val="009D63EA"/>
    <w:rsid w:val="009D7160"/>
    <w:rsid w:val="009F52E0"/>
    <w:rsid w:val="00A008DF"/>
    <w:rsid w:val="00A0789A"/>
    <w:rsid w:val="00A106AD"/>
    <w:rsid w:val="00A11758"/>
    <w:rsid w:val="00A12FF6"/>
    <w:rsid w:val="00A1526C"/>
    <w:rsid w:val="00A15AA3"/>
    <w:rsid w:val="00A218B6"/>
    <w:rsid w:val="00A264FD"/>
    <w:rsid w:val="00A2652C"/>
    <w:rsid w:val="00A32525"/>
    <w:rsid w:val="00A517F7"/>
    <w:rsid w:val="00A57225"/>
    <w:rsid w:val="00A60201"/>
    <w:rsid w:val="00A63A0D"/>
    <w:rsid w:val="00A66D98"/>
    <w:rsid w:val="00AB4FEE"/>
    <w:rsid w:val="00AB64B7"/>
    <w:rsid w:val="00AC3878"/>
    <w:rsid w:val="00AC66D3"/>
    <w:rsid w:val="00AE664C"/>
    <w:rsid w:val="00AF1DF6"/>
    <w:rsid w:val="00B061C7"/>
    <w:rsid w:val="00B140AE"/>
    <w:rsid w:val="00B15637"/>
    <w:rsid w:val="00B20AB3"/>
    <w:rsid w:val="00B22B3A"/>
    <w:rsid w:val="00B37483"/>
    <w:rsid w:val="00B41C18"/>
    <w:rsid w:val="00B469CE"/>
    <w:rsid w:val="00B53268"/>
    <w:rsid w:val="00B61034"/>
    <w:rsid w:val="00B62A12"/>
    <w:rsid w:val="00B63FE7"/>
    <w:rsid w:val="00B7140C"/>
    <w:rsid w:val="00B76345"/>
    <w:rsid w:val="00B841C9"/>
    <w:rsid w:val="00B913F1"/>
    <w:rsid w:val="00B927B5"/>
    <w:rsid w:val="00BA180E"/>
    <w:rsid w:val="00BB2139"/>
    <w:rsid w:val="00BB7182"/>
    <w:rsid w:val="00BC06D6"/>
    <w:rsid w:val="00BC3E30"/>
    <w:rsid w:val="00BD6FF5"/>
    <w:rsid w:val="00BE7B73"/>
    <w:rsid w:val="00BF7A75"/>
    <w:rsid w:val="00C034B7"/>
    <w:rsid w:val="00C04CE7"/>
    <w:rsid w:val="00C05320"/>
    <w:rsid w:val="00C2034E"/>
    <w:rsid w:val="00C253EA"/>
    <w:rsid w:val="00C262E8"/>
    <w:rsid w:val="00C3395B"/>
    <w:rsid w:val="00C53AD2"/>
    <w:rsid w:val="00C7347C"/>
    <w:rsid w:val="00C77D76"/>
    <w:rsid w:val="00CA25DC"/>
    <w:rsid w:val="00CA28A1"/>
    <w:rsid w:val="00CA70FB"/>
    <w:rsid w:val="00CB42C3"/>
    <w:rsid w:val="00CC1457"/>
    <w:rsid w:val="00CD641D"/>
    <w:rsid w:val="00CE5FC0"/>
    <w:rsid w:val="00CE606F"/>
    <w:rsid w:val="00CF17DE"/>
    <w:rsid w:val="00CF421D"/>
    <w:rsid w:val="00D0484A"/>
    <w:rsid w:val="00D05F8F"/>
    <w:rsid w:val="00D137B9"/>
    <w:rsid w:val="00D161D2"/>
    <w:rsid w:val="00D20F6C"/>
    <w:rsid w:val="00D2719D"/>
    <w:rsid w:val="00D340E3"/>
    <w:rsid w:val="00D4071D"/>
    <w:rsid w:val="00D515F8"/>
    <w:rsid w:val="00D52F2C"/>
    <w:rsid w:val="00D61D69"/>
    <w:rsid w:val="00D80C99"/>
    <w:rsid w:val="00D822FD"/>
    <w:rsid w:val="00D90DA0"/>
    <w:rsid w:val="00D923E5"/>
    <w:rsid w:val="00DA1EE1"/>
    <w:rsid w:val="00DA6B3E"/>
    <w:rsid w:val="00DB08CE"/>
    <w:rsid w:val="00DB5D30"/>
    <w:rsid w:val="00DB619F"/>
    <w:rsid w:val="00DB6F2C"/>
    <w:rsid w:val="00DD74C4"/>
    <w:rsid w:val="00DD7F86"/>
    <w:rsid w:val="00DF10C0"/>
    <w:rsid w:val="00DF35CC"/>
    <w:rsid w:val="00DF62F4"/>
    <w:rsid w:val="00E02127"/>
    <w:rsid w:val="00E029EE"/>
    <w:rsid w:val="00E070FA"/>
    <w:rsid w:val="00E106E5"/>
    <w:rsid w:val="00E12330"/>
    <w:rsid w:val="00E16D8A"/>
    <w:rsid w:val="00E21683"/>
    <w:rsid w:val="00E423DB"/>
    <w:rsid w:val="00E4248A"/>
    <w:rsid w:val="00E430B0"/>
    <w:rsid w:val="00E46169"/>
    <w:rsid w:val="00E56EE2"/>
    <w:rsid w:val="00E77CB0"/>
    <w:rsid w:val="00E82297"/>
    <w:rsid w:val="00E928CF"/>
    <w:rsid w:val="00EC0CA3"/>
    <w:rsid w:val="00EC233B"/>
    <w:rsid w:val="00EE690F"/>
    <w:rsid w:val="00EF4A31"/>
    <w:rsid w:val="00F01A9E"/>
    <w:rsid w:val="00F1148E"/>
    <w:rsid w:val="00F12319"/>
    <w:rsid w:val="00F24996"/>
    <w:rsid w:val="00F37CBE"/>
    <w:rsid w:val="00F4175B"/>
    <w:rsid w:val="00F51F8B"/>
    <w:rsid w:val="00F572F1"/>
    <w:rsid w:val="00F623A8"/>
    <w:rsid w:val="00F65A58"/>
    <w:rsid w:val="00F67A6A"/>
    <w:rsid w:val="00F705C8"/>
    <w:rsid w:val="00F81360"/>
    <w:rsid w:val="00F834BE"/>
    <w:rsid w:val="00F8716A"/>
    <w:rsid w:val="00FB4B62"/>
    <w:rsid w:val="00FC0568"/>
    <w:rsid w:val="00FC2DE4"/>
    <w:rsid w:val="00FC6C7A"/>
    <w:rsid w:val="00FD2473"/>
    <w:rsid w:val="00FD3566"/>
    <w:rsid w:val="00FD436F"/>
    <w:rsid w:val="00FE6C44"/>
    <w:rsid w:val="00FE6CAC"/>
    <w:rsid w:val="00FF4AFC"/>
    <w:rsid w:val="00FF675E"/>
    <w:rsid w:val="00FF7881"/>
    <w:rsid w:val="02960000"/>
    <w:rsid w:val="0DEDA953"/>
    <w:rsid w:val="0F069B70"/>
    <w:rsid w:val="12EE3726"/>
    <w:rsid w:val="140743A4"/>
    <w:rsid w:val="170A6FC5"/>
    <w:rsid w:val="1E9D4DCF"/>
    <w:rsid w:val="1EDC5FC2"/>
    <w:rsid w:val="263836AA"/>
    <w:rsid w:val="34BE6DAE"/>
    <w:rsid w:val="3AD44ECD"/>
    <w:rsid w:val="3AFF16E8"/>
    <w:rsid w:val="3EE098B0"/>
    <w:rsid w:val="413AE531"/>
    <w:rsid w:val="44783017"/>
    <w:rsid w:val="4BA7214B"/>
    <w:rsid w:val="4EA21D4B"/>
    <w:rsid w:val="503DEDAC"/>
    <w:rsid w:val="5288D8FA"/>
    <w:rsid w:val="5AA0E0F5"/>
    <w:rsid w:val="5D76A8DB"/>
    <w:rsid w:val="5F2B8189"/>
    <w:rsid w:val="61C943AB"/>
    <w:rsid w:val="61C9CAA9"/>
    <w:rsid w:val="6365140C"/>
    <w:rsid w:val="669CB4CE"/>
    <w:rsid w:val="6F740D13"/>
    <w:rsid w:val="73EE206C"/>
    <w:rsid w:val="76A4FC30"/>
    <w:rsid w:val="77400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0C7BF"/>
  <w15:docId w15:val="{92A7B8E6-E4EA-4382-916C-9CF300C0A3EB}"/>
  <w:removePersonalInformatio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Palatino" w:hAnsi="Palatino"/>
      <w:sz w:val="26"/>
    </w:rPr>
  </w:style>
  <w:style w:type="paragraph" w:styleId="Heading1">
    <w:name w:val="heading 1"/>
    <w:basedOn w:val="Normal"/>
    <w:next w:val="standard"/>
    <w:qFormat/>
    <w:pPr>
      <w:keepNext/>
      <w:spacing w:before="120" w:after="240"/>
      <w:outlineLvl w:val="0"/>
    </w:pPr>
    <w:rPr>
      <w:rFonts w:ascii="Helvetica" w:hAnsi="Helvetica"/>
      <w:b/>
      <w:caps/>
      <w:kern w:val="28"/>
      <w:u w:val="single"/>
    </w:rPr>
  </w:style>
  <w:style w:type="paragraph" w:styleId="Heading2">
    <w:name w:val="heading 2"/>
    <w:basedOn w:val="Normal"/>
    <w:next w:val="sub1"/>
    <w:qFormat/>
    <w:pPr>
      <w:keepNext/>
      <w:numPr>
        <w:ilvl w:val="1"/>
        <w:numId w:val="6"/>
      </w:numPr>
      <w:spacing w:before="120" w:after="120"/>
      <w:outlineLvl w:val="1"/>
    </w:pPr>
    <w:rPr>
      <w:rFonts w:ascii="Helvetica" w:hAnsi="Helvetica"/>
      <w:b/>
      <w:i/>
    </w:rPr>
  </w:style>
  <w:style w:type="paragraph" w:styleId="Heading3">
    <w:name w:val="heading 3"/>
    <w:basedOn w:val="Normal"/>
    <w:next w:val="sub2"/>
    <w:qFormat/>
    <w:pPr>
      <w:keepNext/>
      <w:spacing w:before="120" w:after="120"/>
      <w:ind w:firstLine="2160"/>
      <w:outlineLvl w:val="2"/>
    </w:pPr>
    <w:rPr>
      <w:rFonts w:ascii="Helvetica" w:hAnsi="Helvetica"/>
      <w:b/>
    </w:rPr>
  </w:style>
  <w:style w:type="paragraph" w:styleId="Heading4">
    <w:name w:val="heading 4"/>
    <w:basedOn w:val="Normal"/>
    <w:next w:val="sub3"/>
    <w:qFormat/>
    <w:pPr>
      <w:keepNext/>
      <w:spacing w:before="120" w:after="120"/>
      <w:ind w:firstLine="2880"/>
      <w:outlineLvl w:val="3"/>
    </w:pPr>
    <w:rPr>
      <w:rFonts w:ascii="Helvetica" w:hAnsi="Helvetica"/>
      <w:b/>
      <w:i/>
    </w:rPr>
  </w:style>
  <w:style w:type="paragraph" w:styleId="Heading5">
    <w:name w:val="heading 5"/>
    <w:basedOn w:val="Normal"/>
    <w:next w:val="sub4"/>
    <w:qFormat/>
    <w:pPr>
      <w:spacing w:before="120" w:after="120"/>
      <w:ind w:firstLine="3600"/>
      <w:outlineLvl w:val="4"/>
    </w:pPr>
    <w:rPr>
      <w:rFonts w:ascii="Helvetica" w:hAnsi="Helvetica"/>
      <w:b/>
    </w:rPr>
  </w:style>
  <w:style w:type="paragraph" w:styleId="Heading6">
    <w:name w:val="heading 6"/>
    <w:basedOn w:val="Normal"/>
    <w:next w:val="Normal"/>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965782"/>
    <w:rPr>
      <w:rFonts w:ascii="Palatino Linotype" w:hAnsi="Palatino Linotype"/>
      <w:sz w:val="20"/>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4"/>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5"/>
      </w:numPr>
      <w:ind w:left="1080"/>
    </w:pPr>
  </w:style>
  <w:style w:type="character" w:styleId="FootnoteReference">
    <w:name w:val="footnote reference"/>
    <w:semiHidden/>
    <w:rsid w:val="00965782"/>
    <w:rPr>
      <w:rFonts w:ascii="Palatino Linotype" w:hAnsi="Palatino Linotype"/>
      <w:sz w:val="22"/>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paragraph" w:styleId="ListParagraph">
    <w:name w:val="List Paragraph"/>
    <w:basedOn w:val="Normal"/>
    <w:uiPriority w:val="34"/>
    <w:qFormat/>
    <w:rsid w:val="003F6E5A"/>
    <w:pPr>
      <w:ind w:left="720"/>
      <w:contextualSpacing/>
    </w:pPr>
  </w:style>
  <w:style w:type="paragraph" w:styleId="BalloonText">
    <w:name w:val="Balloon Text"/>
    <w:basedOn w:val="Normal"/>
    <w:link w:val="BalloonTextChar"/>
    <w:rsid w:val="00D822FD"/>
    <w:rPr>
      <w:rFonts w:ascii="Segoe UI" w:hAnsi="Segoe UI" w:cs="Segoe UI"/>
      <w:sz w:val="18"/>
      <w:szCs w:val="18"/>
    </w:rPr>
  </w:style>
  <w:style w:type="character" w:customStyle="1" w:styleId="BalloonTextChar">
    <w:name w:val="Balloon Text Char"/>
    <w:basedOn w:val="DefaultParagraphFont"/>
    <w:link w:val="BalloonText"/>
    <w:rsid w:val="00D822FD"/>
    <w:rPr>
      <w:rFonts w:ascii="Segoe UI" w:hAnsi="Segoe UI" w:cs="Segoe UI"/>
      <w:sz w:val="18"/>
      <w:szCs w:val="18"/>
    </w:rPr>
  </w:style>
  <w:style w:type="character" w:styleId="Hyperlink">
    <w:name w:val="Hyperlink"/>
    <w:basedOn w:val="DefaultParagraphFont"/>
    <w:unhideWhenUsed/>
    <w:rsid w:val="009D63EA"/>
    <w:rPr>
      <w:color w:val="0000FF" w:themeColor="hyperlink"/>
      <w:u w:val="single"/>
    </w:rPr>
  </w:style>
  <w:style w:type="character" w:styleId="UnresolvedMention">
    <w:name w:val="Unresolved Mention"/>
    <w:basedOn w:val="DefaultParagraphFont"/>
    <w:uiPriority w:val="99"/>
    <w:semiHidden/>
    <w:unhideWhenUsed/>
    <w:rsid w:val="009D63EA"/>
    <w:rPr>
      <w:color w:val="605E5C"/>
      <w:shd w:val="clear" w:color="auto" w:fill="E1DFDD"/>
    </w:rPr>
  </w:style>
  <w:style w:type="character" w:styleId="FollowedHyperlink">
    <w:name w:val="FollowedHyperlink"/>
    <w:basedOn w:val="DefaultParagraphFont"/>
    <w:semiHidden/>
    <w:unhideWhenUsed/>
    <w:rsid w:val="00D515F8"/>
    <w:rPr>
      <w:color w:val="800080" w:themeColor="followedHyperlink"/>
      <w:u w:val="single"/>
    </w:rPr>
  </w:style>
  <w:style w:type="paragraph" w:customStyle="1" w:styleId="xres-caption">
    <w:name w:val="x_res-caption"/>
    <w:basedOn w:val="Normal"/>
    <w:rsid w:val="003B28DC"/>
    <w:pPr>
      <w:spacing w:before="100" w:beforeAutospacing="1" w:after="100" w:afterAutospacing="1"/>
    </w:pPr>
    <w:rPr>
      <w:rFonts w:ascii="Times New Roman" w:hAnsi="Times New Roman"/>
      <w:sz w:val="24"/>
      <w:szCs w:val="24"/>
    </w:rPr>
  </w:style>
  <w:style w:type="character" w:customStyle="1" w:styleId="FooterChar">
    <w:name w:val="Footer Char"/>
    <w:basedOn w:val="DefaultParagraphFont"/>
    <w:link w:val="Footer"/>
    <w:uiPriority w:val="99"/>
    <w:rsid w:val="00B913F1"/>
    <w:rPr>
      <w:rFonts w:ascii="Palatino" w:hAnsi="Palatino"/>
      <w:sz w:val="26"/>
    </w:rPr>
  </w:style>
  <w:style w:type="paragraph" w:styleId="NoSpacing">
    <w:name w:val="No Spacing"/>
    <w:uiPriority w:val="1"/>
    <w:qFormat/>
    <w:rsid w:val="00D90DA0"/>
  </w:style>
  <w:style w:type="character" w:styleId="CommentReference">
    <w:name w:val="annotation reference"/>
    <w:basedOn w:val="DefaultParagraphFont"/>
    <w:semiHidden/>
    <w:unhideWhenUsed/>
    <w:rsid w:val="007E6B7A"/>
    <w:rPr>
      <w:sz w:val="16"/>
      <w:szCs w:val="16"/>
    </w:rPr>
  </w:style>
  <w:style w:type="paragraph" w:styleId="CommentText">
    <w:name w:val="annotation text"/>
    <w:basedOn w:val="Normal"/>
    <w:link w:val="CommentTextChar"/>
    <w:unhideWhenUsed/>
    <w:rsid w:val="007E6B7A"/>
    <w:rPr>
      <w:sz w:val="20"/>
    </w:rPr>
  </w:style>
  <w:style w:type="character" w:customStyle="1" w:styleId="CommentTextChar">
    <w:name w:val="Comment Text Char"/>
    <w:basedOn w:val="DefaultParagraphFont"/>
    <w:link w:val="CommentText"/>
    <w:rsid w:val="007E6B7A"/>
    <w:rPr>
      <w:rFonts w:ascii="Palatino" w:hAnsi="Palatino"/>
    </w:rPr>
  </w:style>
  <w:style w:type="paragraph" w:styleId="CommentSubject">
    <w:name w:val="annotation subject"/>
    <w:basedOn w:val="CommentText"/>
    <w:next w:val="CommentText"/>
    <w:link w:val="CommentSubjectChar"/>
    <w:semiHidden/>
    <w:unhideWhenUsed/>
    <w:rsid w:val="007E6B7A"/>
    <w:rPr>
      <w:b/>
      <w:bCs/>
    </w:rPr>
  </w:style>
  <w:style w:type="character" w:customStyle="1" w:styleId="CommentSubjectChar">
    <w:name w:val="Comment Subject Char"/>
    <w:basedOn w:val="CommentTextChar"/>
    <w:link w:val="CommentSubject"/>
    <w:semiHidden/>
    <w:rsid w:val="007E6B7A"/>
    <w:rPr>
      <w:rFonts w:ascii="Palatino" w:hAnsi="Palatino"/>
      <w:b/>
      <w:bCs/>
    </w:rPr>
  </w:style>
  <w:style w:type="character" w:customStyle="1" w:styleId="FootnoteTextChar">
    <w:name w:val="Footnote Text Char"/>
    <w:basedOn w:val="DefaultParagraphFont"/>
    <w:link w:val="FootnoteText"/>
    <w:rsid w:val="005B261A"/>
    <w:rPr>
      <w:rFonts w:ascii="Palatino Linotype" w:hAnsi="Palatino Linotype"/>
    </w:rPr>
  </w:style>
  <w:style w:type="paragraph" w:styleId="Revision">
    <w:name w:val="Revision"/>
    <w:hidden/>
    <w:uiPriority w:val="99"/>
    <w:semiHidden/>
    <w:rsid w:val="00DD7F86"/>
    <w:rPr>
      <w:rFonts w:ascii="Palatino" w:hAnsi="Palatino"/>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27587">
      <w:bodyDiv w:val="1"/>
      <w:marLeft w:val="0"/>
      <w:marRight w:val="0"/>
      <w:marTop w:val="0"/>
      <w:marBottom w:val="0"/>
      <w:divBdr>
        <w:top w:val="none" w:sz="0" w:space="0" w:color="auto"/>
        <w:left w:val="none" w:sz="0" w:space="0" w:color="auto"/>
        <w:bottom w:val="none" w:sz="0" w:space="0" w:color="auto"/>
        <w:right w:val="none" w:sz="0" w:space="0" w:color="auto"/>
      </w:divBdr>
    </w:div>
    <w:div w:id="346491164">
      <w:bodyDiv w:val="1"/>
      <w:marLeft w:val="0"/>
      <w:marRight w:val="0"/>
      <w:marTop w:val="0"/>
      <w:marBottom w:val="0"/>
      <w:divBdr>
        <w:top w:val="none" w:sz="0" w:space="0" w:color="auto"/>
        <w:left w:val="none" w:sz="0" w:space="0" w:color="auto"/>
        <w:bottom w:val="none" w:sz="0" w:space="0" w:color="auto"/>
        <w:right w:val="none" w:sz="0" w:space="0" w:color="auto"/>
      </w:divBdr>
    </w:div>
    <w:div w:id="9921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otes xmlns="3e861da3-3f5c-49e8-8199-910d1ca57fe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D62BB367C13449AA1A194F617A76E4" ma:contentTypeVersion="13" ma:contentTypeDescription="Create a new document." ma:contentTypeScope="" ma:versionID="b52f89288e99e85da019bc5b1ef3484f">
  <xsd:schema xmlns:xsd="http://www.w3.org/2001/XMLSchema" xmlns:xs="http://www.w3.org/2001/XMLSchema" xmlns:p="http://schemas.microsoft.com/office/2006/metadata/properties" xmlns:ns2="c3792811-17d4-4d84-9dea-2aac61cb402c" xmlns:ns3="3e861da3-3f5c-49e8-8199-910d1ca57fe2" targetNamespace="http://schemas.microsoft.com/office/2006/metadata/properties" ma:root="true" ma:fieldsID="aa6db2f8471788ae9782ab57a86dfc69" ns2:_="" ns3:_="">
    <xsd:import namespace="c3792811-17d4-4d84-9dea-2aac61cb402c"/>
    <xsd:import namespace="3e861da3-3f5c-49e8-8199-910d1ca57f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Note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92811-17d4-4d84-9dea-2aac61cb402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861da3-3f5c-49e8-8199-910d1ca57f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Notes" ma:index="12" nillable="true" ma:displayName="Notes" ma:format="Dropdown" ma:internalName="Notes">
      <xsd:simpleType>
        <xsd:restriction base="dms:Text">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AE118B-A6DC-45E7-BB8D-54B246C6E212}">
  <ds:schemaRefs>
    <ds:schemaRef ds:uri="http://schemas.microsoft.com/sharepoint/v3/contenttype/forms"/>
  </ds:schemaRefs>
</ds:datastoreItem>
</file>

<file path=customXml/itemProps2.xml><?xml version="1.0" encoding="utf-8"?>
<ds:datastoreItem xmlns:ds="http://schemas.openxmlformats.org/officeDocument/2006/customXml" ds:itemID="{F0F54526-F973-479E-9E6C-9A17D746A63C}">
  <ds:schemaRefs>
    <ds:schemaRef ds:uri="http://schemas.microsoft.com/office/2006/metadata/properties"/>
    <ds:schemaRef ds:uri="http://schemas.microsoft.com/office/infopath/2007/PartnerControls"/>
    <ds:schemaRef ds:uri="3e861da3-3f5c-49e8-8199-910d1ca57fe2"/>
  </ds:schemaRefs>
</ds:datastoreItem>
</file>

<file path=customXml/itemProps3.xml><?xml version="1.0" encoding="utf-8"?>
<ds:datastoreItem xmlns:ds="http://schemas.openxmlformats.org/officeDocument/2006/customXml" ds:itemID="{D207CA44-74C6-41AF-9D9A-6C0E902B78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92811-17d4-4d84-9dea-2aac61cb402c"/>
    <ds:schemaRef ds:uri="3e861da3-3f5c-49e8-8199-910d1ca57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995425-280A-47AE-88D0-D9B292CD73F0}">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15</ap:Pages>
  <ap:Words>4741</ap:Words>
  <ap:Characters>29158</ap:Characters>
  <ap:Application>Microsoft Office Word</ap:Application>
  <ap:DocSecurity>0</ap:DocSecurity>
  <ap:Lines>747</ap:Lines>
  <ap:Paragraphs>574</ap:Paragraphs>
  <ap:ScaleCrop>false</ap:ScaleCrop>
  <ap:HeadingPairs>
    <vt:vector baseType="variant" size="2">
      <vt:variant>
        <vt:lpstr>Title</vt:lpstr>
      </vt:variant>
      <vt:variant>
        <vt:i4>1</vt:i4>
      </vt:variant>
    </vt:vector>
  </ap:HeadingPairs>
  <ap:TitlesOfParts>
    <vt:vector baseType="lpstr" size="1">
      <vt:lpstr>Resolution Template</vt:lpstr>
    </vt:vector>
  </ap:TitlesOfParts>
  <ap:Company/>
  <ap:LinksUpToDate>false</ap:LinksUpToDate>
  <ap:CharactersWithSpaces>33325</ap:CharactersWithSpaces>
  <ap:SharedDoc>false</ap:SharedDoc>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2022-10-15T01:58:00Z</cp:lastPrinted>
  <dcterms:created xsi:type="dcterms:W3CDTF">2023-03-28T11:17:57Z</dcterms:created>
  <dcterms:modified xsi:type="dcterms:W3CDTF">2023-03-28T11:17:57Z</dcterms:modified>
</cp:coreProperties>
</file>