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0FEE" w:rsidRDefault="00A0376E" w14:paraId="7FEDB587" w14:textId="2C64E393">
      <w:pPr>
        <w:tabs>
          <w:tab w:val="center" w:pos="4680"/>
          <w:tab w:val="right" w:pos="9360"/>
        </w:tabs>
        <w:spacing w:line="240" w:lineRule="auto"/>
        <w:ind w:firstLine="0"/>
      </w:pPr>
      <w:r>
        <w:t>ALJ</w:t>
      </w:r>
      <w:r w:rsidR="00DA7B5D">
        <w:t>/</w:t>
      </w:r>
      <w:r>
        <w:t>VUK</w:t>
      </w:r>
      <w:r w:rsidR="00DA7B5D">
        <w:t>/</w:t>
      </w:r>
      <w:r>
        <w:t>JF2</w:t>
      </w:r>
      <w:r w:rsidR="009D495A">
        <w:t>/</w:t>
      </w:r>
      <w:r w:rsidR="001A45A6">
        <w:t>mef</w:t>
      </w:r>
      <w:r w:rsidR="006D78E6">
        <w:t xml:space="preserve">    </w:t>
      </w:r>
      <w:r w:rsidR="00DA7B5D">
        <w:rPr>
          <w:rFonts w:ascii="Arial" w:hAnsi="Arial" w:cs="Arial"/>
          <w:b/>
          <w:sz w:val="32"/>
          <w:szCs w:val="32"/>
        </w:rPr>
        <w:t>PROPOSED DECISION</w:t>
      </w:r>
      <w:r w:rsidR="00DA7B5D">
        <w:tab/>
      </w:r>
      <w:r w:rsidRPr="00EE4315" w:rsidR="00DA7B5D">
        <w:rPr>
          <w:b/>
        </w:rPr>
        <w:t>Agenda ID #</w:t>
      </w:r>
      <w:r w:rsidRPr="00BC2403" w:rsidR="00BC2403">
        <w:rPr>
          <w:b/>
        </w:rPr>
        <w:t>21424</w:t>
      </w:r>
      <w:r w:rsidR="006D78E6">
        <w:rPr>
          <w:b/>
        </w:rPr>
        <w:t xml:space="preserve">  (Rev. 1)</w:t>
      </w:r>
    </w:p>
    <w:p w:rsidR="00DA7B5D" w:rsidP="00632207" w:rsidRDefault="00A0376E" w14:paraId="5D59EA69" w14:textId="357B3FF7">
      <w:pPr>
        <w:spacing w:line="240" w:lineRule="auto"/>
        <w:jc w:val="right"/>
        <w:rPr>
          <w:b/>
        </w:rPr>
      </w:pPr>
      <w:r>
        <w:rPr>
          <w:b/>
        </w:rPr>
        <w:t>Ratesetting</w:t>
      </w:r>
    </w:p>
    <w:p w:rsidRPr="00EE4315" w:rsidR="006D78E6" w:rsidP="00632207" w:rsidRDefault="006D78E6" w14:paraId="5451BE19" w14:textId="52A04508">
      <w:pPr>
        <w:spacing w:line="240" w:lineRule="auto"/>
        <w:jc w:val="right"/>
        <w:rPr>
          <w:b/>
        </w:rPr>
      </w:pPr>
      <w:r>
        <w:rPr>
          <w:b/>
        </w:rPr>
        <w:t>4/6/2023 Item #15</w:t>
      </w:r>
    </w:p>
    <w:p w:rsidR="00DA7B5D" w:rsidP="008F0116" w:rsidRDefault="00DA7B5D" w14:paraId="5D82AD69" w14:textId="77777777">
      <w:pPr>
        <w:ind w:firstLine="0"/>
      </w:pPr>
    </w:p>
    <w:p w:rsidRPr="00012E83" w:rsidR="00012E83" w:rsidP="00012E83" w:rsidRDefault="00DA7B5D" w14:paraId="280CFE69" w14:textId="4E963530">
      <w:pPr>
        <w:spacing w:line="240" w:lineRule="auto"/>
        <w:ind w:left="1080" w:hanging="1080"/>
        <w:rPr>
          <w:b/>
          <w:bCs/>
        </w:rPr>
      </w:pPr>
      <w:r>
        <w:t xml:space="preserve">Decision </w:t>
      </w:r>
      <w:r w:rsidRPr="00012E83" w:rsidR="00012E83">
        <w:rPr>
          <w:b/>
          <w:bCs/>
          <w:u w:val="single"/>
        </w:rPr>
        <w:t>PROPOSED DECISION OF ALJ</w:t>
      </w:r>
      <w:r w:rsidR="00BD691C">
        <w:rPr>
          <w:b/>
          <w:bCs/>
          <w:u w:val="single"/>
        </w:rPr>
        <w:t xml:space="preserve"> </w:t>
      </w:r>
      <w:r w:rsidRPr="00012E83" w:rsidR="00012E83">
        <w:rPr>
          <w:b/>
          <w:bCs/>
          <w:u w:val="single"/>
        </w:rPr>
        <w:t>VALERIE U. KAO AND ALJ</w:t>
      </w:r>
      <w:r w:rsidR="00012E83">
        <w:rPr>
          <w:b/>
          <w:bCs/>
          <w:u w:val="single"/>
        </w:rPr>
        <w:t> </w:t>
      </w:r>
      <w:r w:rsidRPr="00012E83" w:rsidR="00012E83">
        <w:rPr>
          <w:b/>
          <w:bCs/>
          <w:u w:val="single"/>
        </w:rPr>
        <w:t>JULIE A. FITCH</w:t>
      </w:r>
      <w:r w:rsidR="00012E83">
        <w:rPr>
          <w:b/>
          <w:bCs/>
        </w:rPr>
        <w:t xml:space="preserve"> (</w:t>
      </w:r>
      <w:r w:rsidRPr="00012E83" w:rsidR="00012E83">
        <w:rPr>
          <w:b/>
          <w:bCs/>
        </w:rPr>
        <w:t>Mailed 3/3/2023</w:t>
      </w:r>
      <w:r w:rsidR="00012E83">
        <w:rPr>
          <w:b/>
          <w:bCs/>
        </w:rPr>
        <w:t>)</w:t>
      </w:r>
    </w:p>
    <w:p w:rsidR="00DA7B5D" w:rsidP="00BB0243" w:rsidRDefault="00DA7B5D" w14:paraId="2F413A77" w14:textId="77777777">
      <w:pPr>
        <w:spacing w:line="240" w:lineRule="auto"/>
        <w:jc w:val="center"/>
        <w:rPr>
          <w:u w:val="single"/>
        </w:rPr>
      </w:pPr>
    </w:p>
    <w:p w:rsidR="00DA7B5D" w:rsidP="00BB0243" w:rsidRDefault="00DA7B5D" w14:paraId="746CAD96"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84C42D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B3E4462"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A0376E" w14:paraId="70ACE295" w14:textId="55CF3DA5">
            <w:pPr>
              <w:spacing w:line="240" w:lineRule="auto"/>
              <w:ind w:firstLine="0"/>
              <w:rPr>
                <w:rFonts w:cs="Arial"/>
                <w:szCs w:val="26"/>
              </w:rPr>
            </w:pPr>
            <w:r w:rsidRPr="00A0376E">
              <w:rPr>
                <w:rFonts w:cs="Arial"/>
                <w:szCs w:val="26"/>
              </w:rPr>
              <w:t>Order Instituting Rulemaking Concerning Energy Efficiency Rolling Portfolios, Policies, Programs, Evaluation, and Related Issues.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A0376E" w14:paraId="337D5BFA" w14:textId="3F245A19">
            <w:pPr>
              <w:spacing w:line="240" w:lineRule="auto"/>
              <w:ind w:firstLine="0"/>
              <w:jc w:val="center"/>
              <w:rPr>
                <w:rFonts w:cs="Arial"/>
                <w:szCs w:val="26"/>
              </w:rPr>
            </w:pPr>
            <w:r>
              <w:rPr>
                <w:rFonts w:cs="Arial"/>
                <w:szCs w:val="26"/>
              </w:rPr>
              <w:t>Rulemaking 13-11-005</w:t>
            </w:r>
          </w:p>
        </w:tc>
      </w:tr>
    </w:tbl>
    <w:p w:rsidR="00DA7B5D" w:rsidP="008F0116" w:rsidRDefault="00DA7B5D" w14:paraId="4ED25724" w14:textId="77777777">
      <w:pPr>
        <w:spacing w:line="240" w:lineRule="auto"/>
        <w:ind w:firstLine="0"/>
        <w:rPr>
          <w:rFonts w:ascii="Arial" w:hAnsi="Arial" w:cs="Arial"/>
          <w:sz w:val="24"/>
          <w:szCs w:val="24"/>
        </w:rPr>
      </w:pPr>
    </w:p>
    <w:p w:rsidR="00DA7B5D" w:rsidP="008F0116" w:rsidRDefault="00DA7B5D" w14:paraId="7665DD83" w14:textId="77777777">
      <w:pPr>
        <w:spacing w:line="240" w:lineRule="auto"/>
        <w:ind w:firstLine="0"/>
        <w:rPr>
          <w:rFonts w:ascii="Arial" w:hAnsi="Arial" w:cs="Arial"/>
          <w:sz w:val="24"/>
          <w:szCs w:val="24"/>
        </w:rPr>
      </w:pPr>
    </w:p>
    <w:p w:rsidR="00A0376E" w:rsidP="00A0376E" w:rsidRDefault="00A0376E" w14:paraId="667EB3AF" w14:textId="1DF76BF4">
      <w:pPr>
        <w:pStyle w:val="Dummy"/>
        <w:jc w:val="center"/>
      </w:pPr>
      <w:r>
        <w:t>DECISION GRANTING SOUTHERN CALIFORNIA REGIONAL ENERGY NETWORK</w:t>
      </w:r>
      <w:r w:rsidR="00613C55">
        <w:t>’S</w:t>
      </w:r>
      <w:r>
        <w:t xml:space="preserve"> MOTION TO AUTHORIZE USE OF UNSPENT ENERGY EFFICIENCY FUNDING FOR CALIFORNIA ENERGY EFFICIENCY COORDINATING COMMITTEE COMPENSATION PILOT</w:t>
      </w:r>
    </w:p>
    <w:p w:rsidR="00A0376E" w:rsidP="00A0376E" w:rsidRDefault="00A0376E" w14:paraId="562C8165" w14:textId="77777777"/>
    <w:p w:rsidRPr="00A0376E" w:rsidR="00A0376E" w:rsidP="00A0376E" w:rsidRDefault="00A0376E" w14:paraId="14092911" w14:textId="25C01D30">
      <w:pPr>
        <w:sectPr w:rsidRPr="00A0376E" w:rsidR="00A0376E" w:rsidSect="00FE64D4">
          <w:headerReference w:type="first" r:id="rId11"/>
          <w:footerReference w:type="first" r:id="rId12"/>
          <w:pgSz w:w="12240" w:h="15840"/>
          <w:pgMar w:top="1440" w:right="1440" w:bottom="1440" w:left="1440" w:header="720" w:footer="720" w:gutter="0"/>
          <w:pgNumType w:start="1"/>
          <w:cols w:space="720"/>
          <w:titlePg/>
          <w:docGrid w:linePitch="360"/>
        </w:sectPr>
      </w:pPr>
    </w:p>
    <w:p w:rsidR="006F71D1" w:rsidP="006F71D1" w:rsidRDefault="006F71D1" w14:paraId="7F77C404" w14:textId="2188F5E7">
      <w:pPr>
        <w:pStyle w:val="Dummy"/>
        <w:jc w:val="center"/>
      </w:pPr>
      <w:bookmarkStart w:name="_Toc8123714" w:id="0"/>
      <w:bookmarkStart w:name="_Toc119415983" w:id="1"/>
      <w:r>
        <w:lastRenderedPageBreak/>
        <w:t>DECISION GRANTING SOUTHERN CALIFORNIA REGIONAL ENERGY NETWORK</w:t>
      </w:r>
      <w:r w:rsidR="00613C55">
        <w:t>’S</w:t>
      </w:r>
      <w:r>
        <w:t xml:space="preserve"> MOTION TO AUTHORIZE USE OF UNSPENT ENERGY EFFICIENCY FUNDING FOR CALIFORNIA ENERGY EFFICIENCY COORDINATING COMMITTEE COMPENSATION PILOT</w:t>
      </w:r>
    </w:p>
    <w:p w:rsidR="005A148C" w:rsidP="005A148C" w:rsidRDefault="005A148C" w14:paraId="49C6E212" w14:textId="77777777">
      <w:pPr>
        <w:pStyle w:val="Dummy"/>
      </w:pPr>
      <w:r>
        <w:t>Summary</w:t>
      </w:r>
      <w:bookmarkEnd w:id="0"/>
      <w:bookmarkEnd w:id="1"/>
    </w:p>
    <w:p w:rsidR="00A0376E" w:rsidP="00A0376E" w:rsidRDefault="00A0376E" w14:paraId="50C63B0A" w14:textId="2A3F82B2">
      <w:pPr>
        <w:pStyle w:val="Standard"/>
      </w:pPr>
      <w:r>
        <w:t xml:space="preserve">This decision grants the motion of Southern California Regional Energy Network, on behalf of the California Energy Efficiency Coordinating Committee (CAEECC), requesting authorization for the energy efficiency program administrators to use unspent and uncommitted energy efficiency funds up to $185,000 to fund a compensation pilot recommended in the Final Report of the CAEECC Compensation Task Force. </w:t>
      </w:r>
    </w:p>
    <w:p w:rsidR="0073353F" w:rsidP="00A0376E" w:rsidRDefault="00782F1D" w14:paraId="5FAED432" w14:textId="786CF012">
      <w:pPr>
        <w:pStyle w:val="Standard"/>
      </w:pPr>
      <w:r>
        <w:rPr>
          <w:rFonts w:cs="Arial"/>
          <w:szCs w:val="26"/>
        </w:rPr>
        <w:t>Rulemaking 13-11-005</w:t>
      </w:r>
      <w:r w:rsidR="00A0376E">
        <w:t xml:space="preserve"> remains open.</w:t>
      </w:r>
    </w:p>
    <w:p w:rsidR="005A148C" w:rsidP="00B37518" w:rsidRDefault="002C7FE9" w14:paraId="510F636C" w14:textId="160D278B">
      <w:pPr>
        <w:pStyle w:val="Heading1"/>
      </w:pPr>
      <w:bookmarkStart w:name="_Toc8123715" w:id="2"/>
      <w:bookmarkStart w:name="_Toc119415984" w:id="3"/>
      <w:r w:rsidRPr="00121089">
        <w:t>Background</w:t>
      </w:r>
      <w:bookmarkEnd w:id="2"/>
      <w:bookmarkEnd w:id="3"/>
    </w:p>
    <w:p w:rsidR="00A0376E" w:rsidP="00A0376E" w:rsidRDefault="00A0376E" w14:paraId="0019DDCA" w14:textId="4E71901E">
      <w:pPr>
        <w:pStyle w:val="Standard"/>
      </w:pPr>
      <w:r>
        <w:t>On November</w:t>
      </w:r>
      <w:r w:rsidR="00BF3419">
        <w:t> </w:t>
      </w:r>
      <w:r>
        <w:t>29,</w:t>
      </w:r>
      <w:r w:rsidR="00BF3419">
        <w:t> </w:t>
      </w:r>
      <w:r>
        <w:t>2022, the Southern</w:t>
      </w:r>
      <w:r w:rsidR="00BF3419">
        <w:t> </w:t>
      </w:r>
      <w:r>
        <w:t>California Regional Energy Network (SoCalREN) filed a motion on behalf of the CAEECC requesting the California Public</w:t>
      </w:r>
      <w:r w:rsidR="00BF3419">
        <w:t> </w:t>
      </w:r>
      <w:r>
        <w:t xml:space="preserve">Utilities Commission (Commission) authorize the current energy efficiency program administrators to collectively use up to $185,000 of unspent and uncommitted energy efficiency funds for </w:t>
      </w:r>
      <w:r w:rsidR="00765EEF">
        <w:t>a compensation pilot (</w:t>
      </w:r>
      <w:r>
        <w:t>Compensation Pilot</w:t>
      </w:r>
      <w:r w:rsidR="00765EEF">
        <w:t>)</w:t>
      </w:r>
      <w:r>
        <w:t>.</w:t>
      </w:r>
      <w:r w:rsidR="00922357">
        <w:rPr>
          <w:rStyle w:val="FootnoteReference"/>
        </w:rPr>
        <w:footnoteReference w:id="2"/>
      </w:r>
      <w:r>
        <w:t xml:space="preserve"> The motion describes the background leading up to its filing and the activities to which the requested funding would be dedicated. </w:t>
      </w:r>
    </w:p>
    <w:p w:rsidR="00A0376E" w:rsidP="00A0376E" w:rsidRDefault="00A0376E" w14:paraId="7B5E3EB5" w14:textId="0CA378FF">
      <w:pPr>
        <w:pStyle w:val="Standard"/>
      </w:pPr>
      <w:r>
        <w:t>In summary, the CAEECC formed a Composition, Diversity, Equity, and Inclusion Working Group (CDEI</w:t>
      </w:r>
      <w:r w:rsidR="00BF3419">
        <w:t> </w:t>
      </w:r>
      <w:r>
        <w:t xml:space="preserve">WG) to focus on membership composition and, </w:t>
      </w:r>
      <w:r>
        <w:lastRenderedPageBreak/>
        <w:t>in consideration of the Commission’s Environmental and Social</w:t>
      </w:r>
      <w:r w:rsidR="00BF3419">
        <w:t> </w:t>
      </w:r>
      <w:r>
        <w:t>Justice</w:t>
      </w:r>
      <w:r w:rsidR="00BF3419">
        <w:t xml:space="preserve"> (ESJ) </w:t>
      </w:r>
      <w:r>
        <w:t>Action</w:t>
      </w:r>
      <w:r w:rsidR="00BF3419">
        <w:t> </w:t>
      </w:r>
      <w:r>
        <w:t xml:space="preserve">Plan goals, </w:t>
      </w:r>
      <w:r w:rsidR="00317DAF">
        <w:t xml:space="preserve">to </w:t>
      </w:r>
      <w:r>
        <w:t>develop a pathway for marginalized people and communities to participate in CAEECC activities</w:t>
      </w:r>
      <w:r w:rsidR="00317DAF">
        <w:t>,</w:t>
      </w:r>
      <w:r>
        <w:t xml:space="preserve"> and to inform the future of energy efficiency programs. The CDEI</w:t>
      </w:r>
      <w:r w:rsidR="00BF3419">
        <w:t> </w:t>
      </w:r>
      <w:r>
        <w:t xml:space="preserve">WG recommended convening a </w:t>
      </w:r>
      <w:r w:rsidR="008A328D">
        <w:t>t</w:t>
      </w:r>
      <w:r>
        <w:t xml:space="preserve">ask </w:t>
      </w:r>
      <w:r w:rsidR="008A328D">
        <w:t>f</w:t>
      </w:r>
      <w:r>
        <w:t>orce to explore a pilot compensation process for a successor CAEECC working group that would take up further consideration of CAEECC’s role and capacity to advance more equitable energy efficiency program implementation. The motion include</w:t>
      </w:r>
      <w:r w:rsidR="00765EEF">
        <w:t>d</w:t>
      </w:r>
      <w:r>
        <w:t xml:space="preserve"> the Final Report of the Compensation Task Force (Final</w:t>
      </w:r>
      <w:r w:rsidR="00BF3419">
        <w:t> </w:t>
      </w:r>
      <w:r>
        <w:t xml:space="preserve">Report) as an attachment. </w:t>
      </w:r>
    </w:p>
    <w:p w:rsidR="00A0376E" w:rsidP="00A0376E" w:rsidRDefault="00A0376E" w14:paraId="6998AC06" w14:textId="398EEF91">
      <w:pPr>
        <w:pStyle w:val="Standard"/>
      </w:pPr>
      <w:r>
        <w:t>On December</w:t>
      </w:r>
      <w:r w:rsidR="00BF3419">
        <w:t> </w:t>
      </w:r>
      <w:r>
        <w:t>14,</w:t>
      </w:r>
      <w:r w:rsidR="00BF3419">
        <w:t> </w:t>
      </w:r>
      <w:r>
        <w:t>2022, the Public</w:t>
      </w:r>
      <w:r w:rsidR="00BF3419">
        <w:t> </w:t>
      </w:r>
      <w:r>
        <w:t>Advocate’s</w:t>
      </w:r>
      <w:r w:rsidR="00BF3419">
        <w:t> </w:t>
      </w:r>
      <w:r>
        <w:t>Office of the Public</w:t>
      </w:r>
      <w:r w:rsidR="00BF3419">
        <w:t> </w:t>
      </w:r>
      <w:r>
        <w:t>Utilities Commission (Cal</w:t>
      </w:r>
      <w:r w:rsidR="00BF3419">
        <w:t> </w:t>
      </w:r>
      <w:r>
        <w:t>Advocates) timely filed a response to the motion. Cal</w:t>
      </w:r>
      <w:r w:rsidR="00BF3419">
        <w:t> </w:t>
      </w:r>
      <w:r>
        <w:t>Advocates asserts the proposed pilot requires criteria that candidates must meet to qualify as underrepresented, noting the risk that better</w:t>
      </w:r>
      <w:r w:rsidR="00BF3419">
        <w:noBreakHyphen/>
      </w:r>
      <w:r>
        <w:t>resourced entities could use the pilot to amplify their views rather than expand the diversity of viewpoints. Cal</w:t>
      </w:r>
      <w:r w:rsidR="00BF3419">
        <w:t> </w:t>
      </w:r>
      <w:r>
        <w:t>Advocates further recommends that CAECC members be advised of rules governing conflicts of roles and interest, cautioning that CAEECC membership may impede an individual’s or organization’s eligibility for intervenor compensation where (1)</w:t>
      </w:r>
      <w:r w:rsidR="00BF3419">
        <w:t> </w:t>
      </w:r>
      <w:r>
        <w:t>there is a financial conflict of interest in the decision to make funding available to third parties, (2)</w:t>
      </w:r>
      <w:r w:rsidR="00BF3419">
        <w:t> </w:t>
      </w:r>
      <w:r>
        <w:t>participants are funded by utilities for work on the CAEECC or energy efficiency proceeding, or (3)</w:t>
      </w:r>
      <w:r w:rsidR="00BF3419">
        <w:t> </w:t>
      </w:r>
      <w:r>
        <w:t xml:space="preserve">reimbursement is sought for duplicative purposes. </w:t>
      </w:r>
    </w:p>
    <w:p w:rsidRPr="00216AF0" w:rsidR="00216AF0" w:rsidP="00A0376E" w:rsidRDefault="00A0376E" w14:paraId="23E95279" w14:textId="1DC8AD7F">
      <w:pPr>
        <w:pStyle w:val="Standard"/>
      </w:pPr>
      <w:r>
        <w:t>The Commission did not receive other responses to the motion, or a reply to Cal</w:t>
      </w:r>
      <w:r w:rsidR="00BF3419">
        <w:t> </w:t>
      </w:r>
      <w:r>
        <w:t>Advocates’ response.</w:t>
      </w:r>
    </w:p>
    <w:p w:rsidR="00B37518" w:rsidP="00B37518" w:rsidRDefault="00B37518" w14:paraId="21033527" w14:textId="38A0F65D">
      <w:pPr>
        <w:pStyle w:val="Heading1"/>
      </w:pPr>
      <w:r w:rsidRPr="00B37518">
        <w:t xml:space="preserve">The </w:t>
      </w:r>
      <w:r w:rsidR="00765EEF">
        <w:t>M</w:t>
      </w:r>
      <w:r w:rsidRPr="00B37518">
        <w:t xml:space="preserve">otion is </w:t>
      </w:r>
      <w:r w:rsidR="00765EEF">
        <w:t>G</w:t>
      </w:r>
      <w:r w:rsidRPr="00B37518">
        <w:t xml:space="preserve">ranted </w:t>
      </w:r>
      <w:r w:rsidR="00765EEF">
        <w:t>W</w:t>
      </w:r>
      <w:r w:rsidRPr="00B37518">
        <w:t xml:space="preserve">ithout </w:t>
      </w:r>
      <w:r w:rsidR="00765EEF">
        <w:t>M</w:t>
      </w:r>
      <w:r w:rsidRPr="00B37518">
        <w:t>odification</w:t>
      </w:r>
    </w:p>
    <w:p w:rsidR="00B37518" w:rsidP="00B37518" w:rsidRDefault="00B37518" w14:paraId="0B243A18" w14:textId="12181B6A">
      <w:pPr>
        <w:pStyle w:val="Standard"/>
      </w:pPr>
      <w:r>
        <w:t xml:space="preserve">This decision grants SoCalREN’s motion without modification. As the motion describes, the purpose of the </w:t>
      </w:r>
      <w:r w:rsidR="008279AB">
        <w:t>Compensation P</w:t>
      </w:r>
      <w:r>
        <w:t xml:space="preserve">ilot is to address a financial </w:t>
      </w:r>
      <w:r>
        <w:lastRenderedPageBreak/>
        <w:t>barrier that prevents historically underrepresented groups from participating in CAEECC activities. The motion anticipates that selected entities will participate in the successor CAEECC working</w:t>
      </w:r>
      <w:r w:rsidR="00BF3419">
        <w:t> </w:t>
      </w:r>
      <w:r>
        <w:t xml:space="preserve">group that will take up further consideration of CAEECC’s role and capacity to advance more equitable energy efficiency program implementation. The Commission supports this endeavor and recognizes that activities proposed in the motion are intended to address and correct for systemic marginalization of communities, which requires a considerable, deliberate and consistent effort. </w:t>
      </w:r>
    </w:p>
    <w:p w:rsidR="00B37518" w:rsidP="00B37518" w:rsidRDefault="00B37518" w14:paraId="07D553C9" w14:textId="501E0A1D">
      <w:pPr>
        <w:pStyle w:val="Standard"/>
      </w:pPr>
      <w:r>
        <w:t>The Commission acknowledges and agrees with Cal</w:t>
      </w:r>
      <w:r w:rsidR="00BF3419">
        <w:t> </w:t>
      </w:r>
      <w:r>
        <w:t>Advocates’ concern regarding the potential for better</w:t>
      </w:r>
      <w:r w:rsidR="00BF3419">
        <w:noBreakHyphen/>
      </w:r>
      <w:r>
        <w:t>resourced entities to participate in the Compensation Pilot and thereby amplify their views rather than expand the diversity of viewpoints. However, we find the proposed recruitment and application processes, as described in the Final</w:t>
      </w:r>
      <w:r w:rsidR="00BF3419">
        <w:t> </w:t>
      </w:r>
      <w:r>
        <w:t xml:space="preserve">Report, reasonably adequate to minimize </w:t>
      </w:r>
      <w:r w:rsidR="000D2089">
        <w:t xml:space="preserve">such </w:t>
      </w:r>
      <w:r>
        <w:t>risk. Further, we note that the Final Report recommends a pilot evaluation that would report on the diversity of perspectives included in the successor CAEECC working group, including more specifically the percentage of this working group that represents an ESJ</w:t>
      </w:r>
      <w:r w:rsidR="00BF3419">
        <w:t> </w:t>
      </w:r>
      <w:r>
        <w:t>community. Although the motion does not seek Commission approval of the Final</w:t>
      </w:r>
      <w:r w:rsidR="00BF3419">
        <w:t> </w:t>
      </w:r>
      <w:r>
        <w:t xml:space="preserve">Report and this decision does not provide such approval, in favor of affording flexibility to the Pilot Administrator, we anticipate </w:t>
      </w:r>
      <w:r w:rsidR="00731D75">
        <w:t xml:space="preserve">one outcome of </w:t>
      </w:r>
      <w:r>
        <w:t xml:space="preserve">the </w:t>
      </w:r>
      <w:r w:rsidR="00731D75">
        <w:t>pilot</w:t>
      </w:r>
      <w:r>
        <w:t xml:space="preserve"> will </w:t>
      </w:r>
      <w:r w:rsidR="00731D75">
        <w:t xml:space="preserve">be to </w:t>
      </w:r>
      <w:r>
        <w:t>identif</w:t>
      </w:r>
      <w:r w:rsidR="00A476BC">
        <w:t>y</w:t>
      </w:r>
      <w:r>
        <w:t xml:space="preserve"> the entities that were selected and received funds as part of the pilot. We also anticipate </w:t>
      </w:r>
      <w:r w:rsidR="001E4A67">
        <w:t>another outcome</w:t>
      </w:r>
      <w:r>
        <w:t xml:space="preserve"> will </w:t>
      </w:r>
      <w:r w:rsidR="001E4A67">
        <w:t xml:space="preserve">be to </w:t>
      </w:r>
      <w:r>
        <w:t>identify more sustainable funding options for any potential similar activities that may subsequently be proposed.</w:t>
      </w:r>
    </w:p>
    <w:p w:rsidR="00B37518" w:rsidP="00B37518" w:rsidRDefault="00B37518" w14:paraId="1DFBE7D1" w14:textId="487AE7AD">
      <w:pPr>
        <w:pStyle w:val="Standard"/>
      </w:pPr>
      <w:r>
        <w:t>With respect to Cal</w:t>
      </w:r>
      <w:r w:rsidR="00BF3419">
        <w:t> </w:t>
      </w:r>
      <w:r>
        <w:t xml:space="preserve">Advocates’ concern regarding distinguishing between advisory and potential intervenor roles, this decision confirms that all parties bear responsibility to fully understand the statutory requirements of the </w:t>
      </w:r>
      <w:r>
        <w:lastRenderedPageBreak/>
        <w:t xml:space="preserve">Commission’s intervenor compensation program, including conflicts of interest that would disqualify a party from receiving intervenor compensation. </w:t>
      </w:r>
    </w:p>
    <w:p w:rsidR="00B37518" w:rsidP="00B37518" w:rsidRDefault="00B37518" w14:paraId="63F8ED54" w14:textId="42CB4557">
      <w:pPr>
        <w:pStyle w:val="Standard"/>
      </w:pPr>
      <w:r>
        <w:t>No party raises concern with authorizing the use of unspent and uncommitted energy efficiency funds for the Compensation Pilot, and the Commission has not identified explicit constraints placed on current authorized, unspent and uncommitted energy efficiency funds that would preclude their use for the Compensation Pilot.</w:t>
      </w:r>
      <w:r>
        <w:rPr>
          <w:rStyle w:val="FootnoteReference"/>
        </w:rPr>
        <w:footnoteReference w:id="3"/>
      </w:r>
      <w:r>
        <w:t xml:space="preserve"> This decision must nevertheless address the appropriateness of utilizing ratepayer funds that were authorized for energy</w:t>
      </w:r>
      <w:r w:rsidR="00BF3419">
        <w:t> </w:t>
      </w:r>
      <w:r>
        <w:t>efficiency programs for purposes of the Compensation Pilot. Pursuant to Assembly</w:t>
      </w:r>
      <w:r w:rsidR="00BF3419">
        <w:t> </w:t>
      </w:r>
      <w:r>
        <w:t>Bill</w:t>
      </w:r>
      <w:r w:rsidR="00BF3419">
        <w:t> </w:t>
      </w:r>
      <w:r>
        <w:t>841 (Stats.</w:t>
      </w:r>
      <w:r w:rsidR="00BF3419">
        <w:t> </w:t>
      </w:r>
      <w:r>
        <w:t>2020,</w:t>
      </w:r>
      <w:r w:rsidR="00BF3419">
        <w:t> </w:t>
      </w:r>
      <w:r>
        <w:t>Ch.</w:t>
      </w:r>
      <w:r w:rsidR="00BF3419">
        <w:t> </w:t>
      </w:r>
      <w:r>
        <w:t>372), ratepayer funds that were authorized for the investor</w:t>
      </w:r>
      <w:r w:rsidR="00BF3419">
        <w:noBreakHyphen/>
      </w:r>
      <w:r>
        <w:t>owned</w:t>
      </w:r>
      <w:r w:rsidR="00BF3419">
        <w:t> </w:t>
      </w:r>
      <w:r>
        <w:t>utilities’ (IOU) program years</w:t>
      </w:r>
      <w:r w:rsidR="00BF3419">
        <w:t> </w:t>
      </w:r>
      <w:r>
        <w:t>2020</w:t>
      </w:r>
      <w:r w:rsidR="00BF3419">
        <w:noBreakHyphen/>
      </w:r>
      <w:r>
        <w:t>2022 energy</w:t>
      </w:r>
      <w:r w:rsidR="00BF3419">
        <w:t> </w:t>
      </w:r>
      <w:r>
        <w:t xml:space="preserve">efficiency portfolios and were unspent and uncommitted as of the end of each of those program years must </w:t>
      </w:r>
      <w:r w:rsidR="006A3358">
        <w:t xml:space="preserve">be </w:t>
      </w:r>
      <w:r>
        <w:t>transfer</w:t>
      </w:r>
      <w:r w:rsidR="006A3358">
        <w:t>red</w:t>
      </w:r>
      <w:r>
        <w:t xml:space="preserve"> to the California Energy Commission for the California Schools Healthy Air, Plumbing, and Efficiency Program. According to their approved 2022-2023 budget advice letters and most recent quarterly reports, SoCalREN, Bay</w:t>
      </w:r>
      <w:r w:rsidR="00BF3419">
        <w:t> </w:t>
      </w:r>
      <w:r>
        <w:t>Area Regional Energy Network (BayREN), Tri</w:t>
      </w:r>
      <w:r w:rsidR="00BF3419">
        <w:noBreakHyphen/>
      </w:r>
      <w:r>
        <w:t>County Regional Energy Network (3C</w:t>
      </w:r>
      <w:r w:rsidR="00BF3419">
        <w:noBreakHyphen/>
      </w:r>
      <w:r>
        <w:t>REN) and Marin Clean Energy (MCE) have approximately $188 million in unspent funds from their 2022</w:t>
      </w:r>
      <w:r w:rsidR="00BF3419">
        <w:noBreakHyphen/>
      </w:r>
      <w:r>
        <w:t>2023 budgets.</w:t>
      </w:r>
      <w:r>
        <w:rPr>
          <w:rStyle w:val="FootnoteReference"/>
        </w:rPr>
        <w:footnoteReference w:id="4"/>
      </w:r>
      <w:r>
        <w:t xml:space="preserve"> Also, the IOUs have funds authorized for program year 2023 that they may </w:t>
      </w:r>
      <w:r>
        <w:lastRenderedPageBreak/>
        <w:t>contribute toward</w:t>
      </w:r>
      <w:r w:rsidR="005A252D">
        <w:t>s</w:t>
      </w:r>
      <w:r>
        <w:t xml:space="preserve"> the Compensation Pilot, if we find here that the Compensation Pilot activities are within scope of </w:t>
      </w:r>
      <w:r w:rsidR="005A252D">
        <w:t xml:space="preserve">the </w:t>
      </w:r>
      <w:r>
        <w:t xml:space="preserve">IOUs’ currently authorized energy efficiency programs. </w:t>
      </w:r>
    </w:p>
    <w:p w:rsidR="00B37518" w:rsidP="00B37518" w:rsidRDefault="00B37518" w14:paraId="5FB59664" w14:textId="2D9C3846">
      <w:pPr>
        <w:pStyle w:val="Standard"/>
      </w:pPr>
      <w:r>
        <w:t>This decision finds that the activities to be undertaken as part of the Compensation Pilot are within scope of current authorized energy efficiency programs and associated activities. In D.21</w:t>
      </w:r>
      <w:r w:rsidR="001B2EEE">
        <w:noBreakHyphen/>
      </w:r>
      <w:r>
        <w:t>05</w:t>
      </w:r>
      <w:r w:rsidR="001B2EEE">
        <w:noBreakHyphen/>
      </w:r>
      <w:r>
        <w:t>031 the Commission directed the energy efficiency program administrators to segment their portfolios according to the primary program purpose, and identified a new equity segment that consists of programs with a primary purpose of providing energy</w:t>
      </w:r>
      <w:r w:rsidR="001B2EEE">
        <w:t> </w:t>
      </w:r>
      <w:r>
        <w:t>efficiency to hard</w:t>
      </w:r>
      <w:r w:rsidR="001B2EEE">
        <w:noBreakHyphen/>
      </w:r>
      <w:r>
        <w:t>to</w:t>
      </w:r>
      <w:r w:rsidR="001B2EEE">
        <w:noBreakHyphen/>
      </w:r>
      <w:r>
        <w:t>reach or underserved customers and disadvantaged communities in advancement of the Commission’s ESJ</w:t>
      </w:r>
      <w:r w:rsidR="001B2EEE">
        <w:t> </w:t>
      </w:r>
      <w:r>
        <w:t>Action</w:t>
      </w:r>
      <w:r w:rsidR="001B2EEE">
        <w:t> </w:t>
      </w:r>
      <w:r>
        <w:t>Plan. The stated purpose of the Compensation Pilot is to create an accessible, accepting environment that better includes and considers the perspectives of underrepresented communities in the work of the CAEECC.</w:t>
      </w:r>
      <w:r>
        <w:rPr>
          <w:rStyle w:val="FootnoteReference"/>
        </w:rPr>
        <w:footnoteReference w:id="5"/>
      </w:r>
      <w:r>
        <w:t xml:space="preserve"> This effort is integral to both designing and developing successful equity segment programs, as well as to achieving Goals</w:t>
      </w:r>
      <w:r w:rsidR="001B2EEE">
        <w:t> </w:t>
      </w:r>
      <w:r>
        <w:t>1,</w:t>
      </w:r>
      <w:r w:rsidR="001B2EEE">
        <w:t> </w:t>
      </w:r>
      <w:r>
        <w:t>2 and 5 of the ESJ</w:t>
      </w:r>
      <w:r w:rsidR="001B2EEE">
        <w:t> </w:t>
      </w:r>
      <w:r>
        <w:t>Action</w:t>
      </w:r>
      <w:r w:rsidR="001B2EEE">
        <w:t> </w:t>
      </w:r>
      <w:r>
        <w:t>Plan</w:t>
      </w:r>
      <w:r w:rsidR="00AA0597">
        <w:t xml:space="preserve"> because it will </w:t>
      </w:r>
      <w:r w:rsidR="00C859D8">
        <w:t xml:space="preserve">seek to include the perspectives of </w:t>
      </w:r>
      <w:r w:rsidR="00704180">
        <w:t xml:space="preserve">communities </w:t>
      </w:r>
      <w:r w:rsidR="0096468F">
        <w:t xml:space="preserve">that </w:t>
      </w:r>
      <w:r w:rsidR="00D87B9A">
        <w:t>th</w:t>
      </w:r>
      <w:r w:rsidR="00DB2B37">
        <w:t>e</w:t>
      </w:r>
      <w:r w:rsidR="00D87B9A">
        <w:t>se goals serve</w:t>
      </w:r>
      <w:r>
        <w:t>:</w:t>
      </w:r>
    </w:p>
    <w:p w:rsidR="00B37518" w:rsidP="001B2EEE" w:rsidRDefault="00B37518" w14:paraId="5457633A" w14:textId="77706256">
      <w:pPr>
        <w:pStyle w:val="Standard"/>
        <w:spacing w:after="120" w:line="240" w:lineRule="auto"/>
        <w:ind w:left="1656" w:right="1440" w:hanging="936"/>
      </w:pPr>
      <w:r>
        <w:t>Goal 1:</w:t>
      </w:r>
      <w:r w:rsidR="001B2EEE">
        <w:t xml:space="preserve">  </w:t>
      </w:r>
      <w:r>
        <w:t>Consistently integrate equity and access considerations throughout CPUC proceedings and other efforts;</w:t>
      </w:r>
    </w:p>
    <w:p w:rsidR="00B37518" w:rsidP="001B2EEE" w:rsidRDefault="00B37518" w14:paraId="37868D4D" w14:textId="55563D28">
      <w:pPr>
        <w:pStyle w:val="Standard"/>
        <w:spacing w:after="120" w:line="240" w:lineRule="auto"/>
        <w:ind w:left="1656" w:right="1440" w:hanging="936"/>
      </w:pPr>
      <w:r>
        <w:t>Goal 2:</w:t>
      </w:r>
      <w:r w:rsidR="001B2EEE">
        <w:t xml:space="preserve">  </w:t>
      </w:r>
      <w:r>
        <w:t>Increase investment in clean energy resources to benefit ESJ communities, especially to improve local</w:t>
      </w:r>
      <w:r w:rsidR="001B2EEE">
        <w:t> </w:t>
      </w:r>
      <w:r>
        <w:t>air quality and public health;</w:t>
      </w:r>
      <w:r w:rsidR="001B2EEE">
        <w:t xml:space="preserve"> and</w:t>
      </w:r>
    </w:p>
    <w:p w:rsidR="00B37518" w:rsidP="001B2EEE" w:rsidRDefault="00B37518" w14:paraId="3FE785A9" w14:textId="5FB5F59E">
      <w:pPr>
        <w:pStyle w:val="Standard"/>
        <w:spacing w:after="120" w:line="240" w:lineRule="auto"/>
        <w:ind w:left="1656" w:right="1440" w:hanging="936"/>
      </w:pPr>
      <w:r>
        <w:t>Goal 5:</w:t>
      </w:r>
      <w:r w:rsidR="001B2EEE">
        <w:t xml:space="preserve">  </w:t>
      </w:r>
      <w:r>
        <w:t>Enhance outreach and public participation opportunities for ESJ communities to meaningfully participate in the CPUC’s decision-making process and benefit from CPUC programs.</w:t>
      </w:r>
    </w:p>
    <w:p w:rsidR="00B37518" w:rsidP="00B37518" w:rsidRDefault="00B37518" w14:paraId="2FFF7133" w14:textId="6D582007">
      <w:pPr>
        <w:pStyle w:val="Standard"/>
      </w:pPr>
      <w:r>
        <w:lastRenderedPageBreak/>
        <w:t>We further find that the Final</w:t>
      </w:r>
      <w:r w:rsidR="001B2EEE">
        <w:t> </w:t>
      </w:r>
      <w:r>
        <w:t>Report provides sufficient detail and transparency to ensure the reasonable stewardship of ratepayer funds. Section</w:t>
      </w:r>
      <w:r w:rsidR="001B2EEE">
        <w:t> </w:t>
      </w:r>
      <w:r>
        <w:t>C of the Final</w:t>
      </w:r>
      <w:r w:rsidR="001B2EEE">
        <w:t> </w:t>
      </w:r>
      <w:r>
        <w:t>Report details the recommended administration and oversight elements, including documentation and status updates to the full CAEECC, data collection and evaluations for a Mid</w:t>
      </w:r>
      <w:r w:rsidR="001B2EEE">
        <w:noBreakHyphen/>
      </w:r>
      <w:r>
        <w:t>Pilot Report and Final</w:t>
      </w:r>
      <w:r w:rsidR="001B2EEE">
        <w:t> P</w:t>
      </w:r>
      <w:r>
        <w:t>ilot</w:t>
      </w:r>
      <w:r w:rsidR="001B2EEE">
        <w:t> </w:t>
      </w:r>
      <w:r>
        <w:t>Report, and consultation with the CAEECC and Energy Division on any executive decisions about the pilot.</w:t>
      </w:r>
    </w:p>
    <w:p w:rsidR="00B37518" w:rsidP="00B37518" w:rsidRDefault="00B37518" w14:paraId="75A66BF8" w14:textId="426ECF6E">
      <w:pPr>
        <w:pStyle w:val="Standard"/>
      </w:pPr>
      <w:r>
        <w:t>We therefore find it reasonable and appropriate to permit and direct the RENs and MCE to use unspent funds for the Compensation Pilot. The IOUs may also contribute funds from their authorized program</w:t>
      </w:r>
      <w:r w:rsidR="001B2EEE">
        <w:t> </w:t>
      </w:r>
      <w:r>
        <w:t>year</w:t>
      </w:r>
      <w:r w:rsidR="001B2EEE">
        <w:t> </w:t>
      </w:r>
      <w:r>
        <w:t xml:space="preserve">2023 budgets to help fund the Compensation Pilot. The RENs, MCE and the IOUs may work out a fund sharing </w:t>
      </w:r>
      <w:r w:rsidR="001B2EEE">
        <w:t>agreement and</w:t>
      </w:r>
      <w:r>
        <w:t xml:space="preserve"> should do so as soon as possible </w:t>
      </w:r>
      <w:r w:rsidR="00973C2F">
        <w:t>(</w:t>
      </w:r>
      <w:r>
        <w:t>if needed</w:t>
      </w:r>
      <w:r w:rsidR="00973C2F">
        <w:t>)</w:t>
      </w:r>
      <w:r>
        <w:t>. We do</w:t>
      </w:r>
      <w:r w:rsidR="001B2EEE">
        <w:t> </w:t>
      </w:r>
      <w:r>
        <w:t>not require that all program administrators contribute to funding the Compensation Pilot. The total amount of funding authorized for the Compensation Pilot is $185,000.</w:t>
      </w:r>
    </w:p>
    <w:p w:rsidR="00B37518" w:rsidP="00B37518" w:rsidRDefault="00B37518" w14:paraId="5B6DBFD3" w14:textId="59A99FFB">
      <w:pPr>
        <w:pStyle w:val="Heading1"/>
      </w:pPr>
      <w:r w:rsidRPr="00B37518">
        <w:t>Summary of Public Comment</w:t>
      </w:r>
      <w:r w:rsidR="00F31CDC">
        <w:t>s</w:t>
      </w:r>
    </w:p>
    <w:p w:rsidRPr="00B37518" w:rsidR="00B37518" w:rsidP="00B37518" w:rsidRDefault="00B37518" w14:paraId="71C54E97" w14:textId="21A4C439">
      <w:pPr>
        <w:pStyle w:val="Standard"/>
      </w:pPr>
      <w:r w:rsidRPr="003B6607">
        <w:t>Rule</w:t>
      </w:r>
      <w:r w:rsidR="001B2EEE">
        <w:t> </w:t>
      </w:r>
      <w:r w:rsidRPr="003B6607">
        <w:t xml:space="preserve">1.18 </w:t>
      </w:r>
      <w:r>
        <w:t xml:space="preserve">of the Commission’s Rules of Practice and Procedure </w:t>
      </w:r>
      <w:r w:rsidRPr="003B6607">
        <w:t>allows any member of the public to submit written comment</w:t>
      </w:r>
      <w:r w:rsidR="002110DA">
        <w:t>s</w:t>
      </w:r>
      <w:r w:rsidRPr="003B6607">
        <w:t xml:space="preserve"> in any Commission proceeding using the “Public Comment” tab of the online Docket Card for that proceeding on the Commission’s website.</w:t>
      </w:r>
      <w:r w:rsidR="001B2EEE">
        <w:t xml:space="preserve"> </w:t>
      </w:r>
      <w:r w:rsidRPr="003B6607">
        <w:t>Rule</w:t>
      </w:r>
      <w:r w:rsidR="001B2EEE">
        <w:t> </w:t>
      </w:r>
      <w:r w:rsidRPr="003B6607">
        <w:t>1.18(b) requires that relevant written comment</w:t>
      </w:r>
      <w:r w:rsidR="002110DA">
        <w:t>s</w:t>
      </w:r>
      <w:r w:rsidRPr="003B6607">
        <w:t xml:space="preserve"> submitted in a proceeding be summarized in the final decision issued in that proceeding.</w:t>
      </w:r>
      <w:r w:rsidR="00B30BD3">
        <w:t xml:space="preserve"> The Commission received no public comments addressing </w:t>
      </w:r>
      <w:r w:rsidR="002F1B1F">
        <w:t>or relating to SoCalREN’s motion.</w:t>
      </w:r>
    </w:p>
    <w:p w:rsidR="00B37518" w:rsidP="00B37518" w:rsidRDefault="00B37518" w14:paraId="412F13BE" w14:textId="29DDD272">
      <w:pPr>
        <w:pStyle w:val="Heading1"/>
      </w:pPr>
      <w:r w:rsidRPr="00B37518">
        <w:t>Comments on Proposed Decision</w:t>
      </w:r>
    </w:p>
    <w:p w:rsidR="00B37518" w:rsidP="00B37518" w:rsidRDefault="00B37518" w14:paraId="2E46EED3" w14:textId="625FDEA1">
      <w:pPr>
        <w:pStyle w:val="Standard"/>
      </w:pPr>
      <w:r w:rsidRPr="003B6607">
        <w:t>The proposed decision of A</w:t>
      </w:r>
      <w:r>
        <w:t xml:space="preserve">dministrative </w:t>
      </w:r>
      <w:r w:rsidRPr="003B6607">
        <w:t>L</w:t>
      </w:r>
      <w:r>
        <w:t xml:space="preserve">aw </w:t>
      </w:r>
      <w:r w:rsidRPr="003B6607">
        <w:t>J</w:t>
      </w:r>
      <w:r>
        <w:t>udge (ALJ)</w:t>
      </w:r>
      <w:r w:rsidRPr="003B6607">
        <w:t xml:space="preserve"> Valerie</w:t>
      </w:r>
      <w:r w:rsidR="001B2EEE">
        <w:t> </w:t>
      </w:r>
      <w:r w:rsidRPr="003B6607">
        <w:t>U.</w:t>
      </w:r>
      <w:r w:rsidR="001B2EEE">
        <w:t> </w:t>
      </w:r>
      <w:r w:rsidRPr="003B6607">
        <w:t xml:space="preserve">Kao </w:t>
      </w:r>
      <w:r w:rsidR="00012E83">
        <w:t>and ALJ Julie A. Fitch</w:t>
      </w:r>
      <w:r w:rsidRPr="003B6607" w:rsidR="00012E83">
        <w:t xml:space="preserve"> </w:t>
      </w:r>
      <w:r w:rsidRPr="003B6607">
        <w:t>in this matter was mailed to</w:t>
      </w:r>
      <w:r>
        <w:t xml:space="preserve"> the parties in accordance with </w:t>
      </w:r>
      <w:r>
        <w:lastRenderedPageBreak/>
        <w:t>Section</w:t>
      </w:r>
      <w:r w:rsidR="001B2EEE">
        <w:t> </w:t>
      </w:r>
      <w:r>
        <w:t>311 of the Public</w:t>
      </w:r>
      <w:r w:rsidR="001B2EEE">
        <w:t> </w:t>
      </w:r>
      <w:r>
        <w:t>Utilities Code and comments were allowed under Rule</w:t>
      </w:r>
      <w:r w:rsidR="001B2EEE">
        <w:t> </w:t>
      </w:r>
      <w:r>
        <w:t xml:space="preserve">14.3 of the Commission’s Rules of Practice and Procedure.  </w:t>
      </w:r>
      <w:r w:rsidR="003E30F9">
        <w:t>The California Efficiency + Demand Management Council timely</w:t>
      </w:r>
      <w:r>
        <w:t xml:space="preserve"> filed </w:t>
      </w:r>
      <w:r w:rsidR="003E30F9">
        <w:t>comments</w:t>
      </w:r>
      <w:r w:rsidR="00384655">
        <w:t xml:space="preserve"> in support of the proposed decision </w:t>
      </w:r>
      <w:r>
        <w:t xml:space="preserve">on </w:t>
      </w:r>
      <w:r w:rsidR="003E30F9">
        <w:t>March 23, 2023</w:t>
      </w:r>
      <w:r w:rsidR="00771918">
        <w:t>; the Commission received no</w:t>
      </w:r>
      <w:r>
        <w:t xml:space="preserve"> reply comments.</w:t>
      </w:r>
      <w:r w:rsidRPr="00C878D5">
        <w:t xml:space="preserve"> </w:t>
      </w:r>
    </w:p>
    <w:p w:rsidR="00B37518" w:rsidP="00B37518" w:rsidRDefault="00B37518" w14:paraId="7C102215" w14:textId="10C369C6">
      <w:pPr>
        <w:pStyle w:val="Heading1"/>
      </w:pPr>
      <w:r w:rsidRPr="00B37518">
        <w:t>Assignment of Proceeding</w:t>
      </w:r>
    </w:p>
    <w:p w:rsidR="00B37518" w:rsidP="00B37518" w:rsidRDefault="00B37518" w14:paraId="06BBB068" w14:textId="5148CB2E">
      <w:pPr>
        <w:pStyle w:val="Standard"/>
      </w:pPr>
      <w:r>
        <w:t>Genevieve</w:t>
      </w:r>
      <w:r w:rsidR="00FE64D4">
        <w:t> </w:t>
      </w:r>
      <w:r>
        <w:t xml:space="preserve">Shiroma is the assigned Commissioner and </w:t>
      </w:r>
      <w:r w:rsidR="00FE64D4">
        <w:t xml:space="preserve">Valerie U. Kao and </w:t>
      </w:r>
      <w:r>
        <w:t>Julie</w:t>
      </w:r>
      <w:r w:rsidR="00FE64D4">
        <w:t> </w:t>
      </w:r>
      <w:r>
        <w:t>A.</w:t>
      </w:r>
      <w:r w:rsidR="00FE64D4">
        <w:t> </w:t>
      </w:r>
      <w:r>
        <w:t>Fitch are the assigned ALJs in this proceeding.</w:t>
      </w:r>
    </w:p>
    <w:p w:rsidR="00932865" w:rsidP="00B37518" w:rsidRDefault="00B37518" w14:paraId="48603763" w14:textId="1C67E6DB">
      <w:pPr>
        <w:pStyle w:val="Dummy"/>
      </w:pPr>
      <w:bookmarkStart w:name="_Toc8123725" w:id="4"/>
      <w:bookmarkStart w:name="_Toc119415996" w:id="5"/>
      <w:r>
        <w:t>Findings of Fact</w:t>
      </w:r>
      <w:bookmarkEnd w:id="4"/>
      <w:bookmarkEnd w:id="5"/>
    </w:p>
    <w:p w:rsidR="00B37518" w:rsidP="00A534EE" w:rsidRDefault="00B37518" w14:paraId="0EE56925" w14:textId="6FFA6516">
      <w:pPr>
        <w:pStyle w:val="FoF"/>
      </w:pPr>
      <w:r>
        <w:t>D.21</w:t>
      </w:r>
      <w:r w:rsidR="00FE64D4">
        <w:noBreakHyphen/>
      </w:r>
      <w:r>
        <w:t>05</w:t>
      </w:r>
      <w:r w:rsidR="00FE64D4">
        <w:noBreakHyphen/>
      </w:r>
      <w:r>
        <w:t>031 directed the energy</w:t>
      </w:r>
      <w:r w:rsidR="00FE64D4">
        <w:t> </w:t>
      </w:r>
      <w:r>
        <w:t>efficiency program administrators to segment their portfolios according to the primary program purpose, and identified a new equity segment that consists of programs with a primary purpose of providing energy efficiency to hard</w:t>
      </w:r>
      <w:r w:rsidR="00FE64D4">
        <w:noBreakHyphen/>
      </w:r>
      <w:r>
        <w:t>to</w:t>
      </w:r>
      <w:r w:rsidR="00FE64D4">
        <w:noBreakHyphen/>
      </w:r>
      <w:r>
        <w:t>reach or underserved customers and disadvantaged communities in advancement of the Commission’s ESJ Action</w:t>
      </w:r>
      <w:r w:rsidR="00FE64D4">
        <w:t> </w:t>
      </w:r>
      <w:r>
        <w:t>Plan.</w:t>
      </w:r>
    </w:p>
    <w:p w:rsidR="00B37518" w:rsidP="00A534EE" w:rsidRDefault="00B37518" w14:paraId="11FF6F62" w14:textId="2A8A0905">
      <w:pPr>
        <w:pStyle w:val="FoF"/>
      </w:pPr>
      <w:r>
        <w:t>The Commission’s ESJ Action</w:t>
      </w:r>
      <w:r w:rsidR="00FE64D4">
        <w:t> </w:t>
      </w:r>
      <w:r>
        <w:t xml:space="preserve">Plan includes goals to consistently integrate equity and access considerations through </w:t>
      </w:r>
      <w:r w:rsidR="002110DA">
        <w:t xml:space="preserve">Commission </w:t>
      </w:r>
      <w:r>
        <w:t>regulatory activities, and to enhance opportunities for ESJ</w:t>
      </w:r>
      <w:r w:rsidR="00FE64D4">
        <w:t> </w:t>
      </w:r>
      <w:r>
        <w:t xml:space="preserve">communities to meaningfully participate in the </w:t>
      </w:r>
      <w:r w:rsidR="002110DA">
        <w:t>Commission</w:t>
      </w:r>
      <w:r>
        <w:t xml:space="preserve">’s decision-making process and benefit from </w:t>
      </w:r>
      <w:r w:rsidR="002110DA">
        <w:t>Commission</w:t>
      </w:r>
      <w:r>
        <w:t xml:space="preserve"> programs.</w:t>
      </w:r>
    </w:p>
    <w:p w:rsidRPr="001E2A62" w:rsidR="00B37518" w:rsidP="00A534EE" w:rsidRDefault="00B37518" w14:paraId="0F60CC42" w14:textId="0C88CB8D">
      <w:pPr>
        <w:pStyle w:val="FoF"/>
      </w:pPr>
      <w:r>
        <w:t xml:space="preserve">SoCalREN’s motion seeks authorization for energy efficiency program administrators to use already authorized energy efficiency funds totaling up to $185,000 to fund a </w:t>
      </w:r>
      <w:r w:rsidR="00003739">
        <w:t>Compensation P</w:t>
      </w:r>
      <w:r>
        <w:t>ilot that would address a financial barrier to historically underrepresented groups from participating in CAEECC activities.</w:t>
      </w:r>
    </w:p>
    <w:p w:rsidR="00B37518" w:rsidP="00A534EE" w:rsidRDefault="00B37518" w14:paraId="0F88C8A9" w14:textId="2D2161BA">
      <w:pPr>
        <w:pStyle w:val="FoF"/>
      </w:pPr>
      <w:r>
        <w:t>SoCalREN, BayREN, 3C-REN and MCE have approximately $188</w:t>
      </w:r>
      <w:r w:rsidR="00FE64D4">
        <w:t> </w:t>
      </w:r>
      <w:r>
        <w:t>million in unspent funds from their 2022</w:t>
      </w:r>
      <w:r w:rsidR="00FE64D4">
        <w:noBreakHyphen/>
      </w:r>
      <w:r>
        <w:t>2023 budgets.</w:t>
      </w:r>
    </w:p>
    <w:p w:rsidR="00B37518" w:rsidP="00A534EE" w:rsidRDefault="00B37518" w14:paraId="0D86B637" w14:textId="76F5A5AE">
      <w:pPr>
        <w:pStyle w:val="FoF"/>
      </w:pPr>
      <w:r>
        <w:lastRenderedPageBreak/>
        <w:t xml:space="preserve">The IOUs have funds authorized for program year 2023 that they </w:t>
      </w:r>
      <w:r w:rsidR="002110DA">
        <w:t xml:space="preserve">can </w:t>
      </w:r>
      <w:r>
        <w:t>contribute toward the Compensation Pilot.</w:t>
      </w:r>
    </w:p>
    <w:p w:rsidRPr="001E2A62" w:rsidR="00B37518" w:rsidP="00A534EE" w:rsidRDefault="00B37518" w14:paraId="04092603" w14:textId="77777777">
      <w:pPr>
        <w:pStyle w:val="FoF"/>
      </w:pPr>
      <w:r>
        <w:t>The activities to be undertaken as part of the Compensation Pilot are within scope of current energy efficiency programs.</w:t>
      </w:r>
    </w:p>
    <w:p w:rsidR="00B37518" w:rsidP="00B37518" w:rsidRDefault="00B37518" w14:paraId="3A874B50" w14:textId="77777777">
      <w:pPr>
        <w:pStyle w:val="Dummy"/>
      </w:pPr>
      <w:bookmarkStart w:name="_Toc8123726" w:id="6"/>
      <w:bookmarkStart w:name="_Toc119415997" w:id="7"/>
      <w:r>
        <w:t>Conclusions of Law</w:t>
      </w:r>
      <w:bookmarkEnd w:id="6"/>
      <w:bookmarkEnd w:id="7"/>
    </w:p>
    <w:p w:rsidRPr="001E2A62" w:rsidR="00B37518" w:rsidP="00A534EE" w:rsidRDefault="00B37518" w14:paraId="07E44529" w14:textId="77777777">
      <w:pPr>
        <w:pStyle w:val="CoL"/>
      </w:pPr>
      <w:r>
        <w:t xml:space="preserve">It is reasonable to grant SoCalREN’s motion. </w:t>
      </w:r>
    </w:p>
    <w:p w:rsidRPr="00B37518" w:rsidR="00B37518" w:rsidP="00A534EE" w:rsidRDefault="00B37518" w14:paraId="59101222" w14:textId="09120200">
      <w:pPr>
        <w:pStyle w:val="CoL"/>
      </w:pPr>
      <w:r>
        <w:t xml:space="preserve">It is reasonable to permit the RENs and MCE to use unspent </w:t>
      </w:r>
      <w:r w:rsidR="00166BF6">
        <w:t xml:space="preserve">and uncommitted </w:t>
      </w:r>
      <w:r>
        <w:t>funds for the Compensation Pilot, and for the IOUs to contribute funds from their authorized program</w:t>
      </w:r>
      <w:r w:rsidR="00FE64D4">
        <w:t> </w:t>
      </w:r>
      <w:r>
        <w:t>year</w:t>
      </w:r>
      <w:r w:rsidR="00FE64D4">
        <w:t> </w:t>
      </w:r>
      <w:r>
        <w:t xml:space="preserve">2023 budgets toward the Compensation Pilot. </w:t>
      </w:r>
    </w:p>
    <w:p w:rsidR="00BB0243" w:rsidP="00B37518" w:rsidRDefault="005939A5" w14:paraId="55920CA0" w14:textId="77777777">
      <w:pPr>
        <w:pStyle w:val="Mainex"/>
        <w:spacing w:before="240"/>
      </w:pPr>
      <w:bookmarkStart w:name="_Toc119415998" w:id="8"/>
      <w:r>
        <w:t>O</w:t>
      </w:r>
      <w:r w:rsidR="00722850">
        <w:t>RDER</w:t>
      </w:r>
      <w:bookmarkEnd w:id="8"/>
    </w:p>
    <w:p w:rsidR="00BB0243" w:rsidP="000A6E05" w:rsidRDefault="00BB0243" w14:paraId="5EFB2CAA" w14:textId="77777777">
      <w:pPr>
        <w:keepNext/>
      </w:pPr>
      <w:r w:rsidRPr="00BB0243">
        <w:rPr>
          <w:b/>
        </w:rPr>
        <w:t>IT IS ORDERED</w:t>
      </w:r>
      <w:r>
        <w:t xml:space="preserve"> that:</w:t>
      </w:r>
    </w:p>
    <w:p w:rsidRPr="001E2A62" w:rsidR="00B37518" w:rsidP="00B37518" w:rsidRDefault="00B37518" w14:paraId="75E08250" w14:textId="3C76E681">
      <w:pPr>
        <w:pStyle w:val="OP"/>
      </w:pPr>
      <w:r>
        <w:t>The November</w:t>
      </w:r>
      <w:r w:rsidR="00FE64D4">
        <w:t> </w:t>
      </w:r>
      <w:r>
        <w:t>29,</w:t>
      </w:r>
      <w:r w:rsidR="00FE64D4">
        <w:t> 2022,</w:t>
      </w:r>
      <w:r>
        <w:t xml:space="preserve"> </w:t>
      </w:r>
      <w:r w:rsidRPr="00D00218">
        <w:rPr>
          <w:i/>
          <w:iCs/>
        </w:rPr>
        <w:t>Southern</w:t>
      </w:r>
      <w:r w:rsidR="00FE64D4">
        <w:rPr>
          <w:i/>
          <w:iCs/>
        </w:rPr>
        <w:t> </w:t>
      </w:r>
      <w:r w:rsidRPr="00D00218">
        <w:rPr>
          <w:i/>
          <w:iCs/>
        </w:rPr>
        <w:t>California Regional Energy Network’s Motion Seeking Authorization for the Compensation Pilot Presented in the California Energy Efficiency Coordinating Committee Compensation Task Force Final Report</w:t>
      </w:r>
      <w:r>
        <w:t xml:space="preserve"> is granted without modification</w:t>
      </w:r>
      <w:r w:rsidRPr="001E2A62">
        <w:t>.</w:t>
      </w:r>
    </w:p>
    <w:p w:rsidR="00F6397D" w:rsidP="00B37518" w:rsidRDefault="00B37518" w14:paraId="03A55D9F" w14:textId="25CE098B">
      <w:pPr>
        <w:pStyle w:val="OP"/>
      </w:pPr>
      <w:r>
        <w:t>Rulemaking</w:t>
      </w:r>
      <w:r w:rsidR="00FE64D4">
        <w:t> </w:t>
      </w:r>
      <w:r>
        <w:t>13</w:t>
      </w:r>
      <w:r w:rsidR="00FE64D4">
        <w:noBreakHyphen/>
      </w:r>
      <w:r>
        <w:t>11</w:t>
      </w:r>
      <w:r w:rsidR="00FE64D4">
        <w:noBreakHyphen/>
      </w:r>
      <w:r>
        <w:t>005 remains open</w:t>
      </w:r>
      <w:r w:rsidRPr="001E2A62">
        <w:t>.</w:t>
      </w:r>
    </w:p>
    <w:p w:rsidR="008F0116" w:rsidP="008F0116" w:rsidRDefault="008F0116" w14:paraId="7A055A80" w14:textId="77777777">
      <w:r>
        <w:t>This order is effective today.</w:t>
      </w:r>
    </w:p>
    <w:p w:rsidRPr="00714CF2" w:rsidR="00714CF2" w:rsidP="00816E05" w:rsidRDefault="008F0116" w14:paraId="3A6DD41D" w14:textId="77777777">
      <w:r>
        <w:t xml:space="preserve">Dated </w:t>
      </w:r>
      <w:r>
        <w:rPr>
          <w:u w:val="single"/>
        </w:rPr>
        <w:tab/>
      </w:r>
      <w:r>
        <w:rPr>
          <w:u w:val="single"/>
        </w:rPr>
        <w:tab/>
      </w:r>
      <w:r>
        <w:rPr>
          <w:u w:val="single"/>
        </w:rPr>
        <w:tab/>
      </w:r>
      <w:r>
        <w:rPr>
          <w:u w:val="single"/>
        </w:rPr>
        <w:tab/>
      </w:r>
      <w:r>
        <w:rPr>
          <w:u w:val="single"/>
        </w:rPr>
        <w:tab/>
      </w:r>
      <w:r>
        <w:t>, at San Francisco, California</w:t>
      </w:r>
    </w:p>
    <w:sectPr w:rsidRPr="00714CF2" w:rsidR="00714CF2" w:rsidSect="00216AF0">
      <w:headerReference w:type="default" r:id="rId13"/>
      <w:footerReference w:type="default" r:id="rId14"/>
      <w:pgSz w:w="12240" w:h="15840" w:code="1"/>
      <w:pgMar w:top="1728" w:right="1440" w:bottom="1440" w:left="1440" w:header="720" w:footer="720" w:gutter="0"/>
      <w:pgNumType w:start="2"/>
      <w:cols w:space="720"/>
      <w:docGrid w:linePitch="360"/>
    </w:sectPr>
    <w:p>
      <w:r>
        <w:t xml:space="preserve"/>
      </w:r>
    </w:p>
    <w:p>
      <w:r>
        <w:t xml:space="preserve">Attachment 1: </w:t>
      </w:r>
    </w:p>
    <w:p>
      <w:hyperlink w:history="true" r:id="R3519d35000964875">
        <w:r w:rsidRPr="00CB1292">
          <w:rPr>
            <w:rStyle w:val="Hyperlink"/>
            <w:color w:val="2E74B5" w:themeColor="accent1" w:themeShade="BF"/>
            <w:u w:val="single"/>
          </w:rPr>
          <w:t>(REDLINE) R.13-11-005 KAO FITCH DECISION GRANTING MOTION OF SOCALREN TO USE ENERGY FUNDS FOR CAFFECC PD 4-6 AGENDA (MAILING).pdf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9A6F" w14:textId="77777777" w:rsidR="00750001" w:rsidRDefault="00750001" w:rsidP="0098138E">
      <w:pPr>
        <w:spacing w:line="240" w:lineRule="auto"/>
      </w:pPr>
      <w:r>
        <w:separator/>
      </w:r>
    </w:p>
  </w:endnote>
  <w:endnote w:type="continuationSeparator" w:id="0">
    <w:p w14:paraId="53A2AB21" w14:textId="77777777" w:rsidR="00750001" w:rsidRDefault="0075000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565A" w14:textId="2054FE97" w:rsidR="00FE64D4" w:rsidRPr="00FE64D4" w:rsidRDefault="00A44451" w:rsidP="00FE64D4">
    <w:pPr>
      <w:pStyle w:val="Footer"/>
      <w:ind w:firstLine="0"/>
    </w:pPr>
    <w:r w:rsidRPr="00A44451">
      <w:rPr>
        <w:rFonts w:cs="Arial"/>
        <w:color w:val="000000"/>
        <w:sz w:val="16"/>
        <w:szCs w:val="16"/>
        <w:shd w:val="clear" w:color="auto" w:fill="FFFFFF"/>
      </w:rPr>
      <w:t>505064249</w:t>
    </w:r>
    <w:r w:rsidR="00FE64D4">
      <w:rPr>
        <w:rFonts w:cs="Arial"/>
        <w:color w:val="000000"/>
        <w:sz w:val="16"/>
        <w:szCs w:val="16"/>
        <w:shd w:val="clear" w:color="auto" w:fill="FFFFFF"/>
      </w:rPr>
      <w:tab/>
    </w:r>
    <w:r w:rsidR="00FE64D4">
      <w:t xml:space="preserve">- </w:t>
    </w:r>
    <w:sdt>
      <w:sdtPr>
        <w:id w:val="2114861701"/>
        <w:docPartObj>
          <w:docPartGallery w:val="Page Numbers (Bottom of Page)"/>
          <w:docPartUnique/>
        </w:docPartObj>
      </w:sdtPr>
      <w:sdtEndPr>
        <w:rPr>
          <w:noProof/>
        </w:rPr>
      </w:sdtEndPr>
      <w:sdtContent>
        <w:r w:rsidR="00FE64D4">
          <w:fldChar w:fldCharType="begin"/>
        </w:r>
        <w:r w:rsidR="00FE64D4">
          <w:instrText xml:space="preserve"> PAGE   \* MERGEFORMAT </w:instrText>
        </w:r>
        <w:r w:rsidR="00FE64D4">
          <w:fldChar w:fldCharType="separate"/>
        </w:r>
        <w:r w:rsidR="00FE64D4">
          <w:rPr>
            <w:noProof/>
          </w:rPr>
          <w:t>2</w:t>
        </w:r>
        <w:r w:rsidR="00FE64D4">
          <w:rPr>
            <w:noProof/>
          </w:rPr>
          <w:fldChar w:fldCharType="end"/>
        </w:r>
        <w:r w:rsidR="00FE64D4">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2C7" w14:textId="6EE146BD" w:rsidR="00E23CBB" w:rsidRDefault="001A45A6" w:rsidP="001A45A6">
    <w:pPr>
      <w:pStyle w:val="Footer"/>
      <w:ind w:firstLine="0"/>
      <w:jc w:val="center"/>
    </w:pPr>
    <w:r>
      <w:t xml:space="preserve">- </w:t>
    </w:r>
    <w:sdt>
      <w:sdtPr>
        <w:id w:val="-662619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0FBA" w14:textId="77777777" w:rsidR="00750001" w:rsidRDefault="00750001" w:rsidP="00DF58E7">
      <w:pPr>
        <w:spacing w:line="240" w:lineRule="auto"/>
        <w:ind w:firstLine="0"/>
      </w:pPr>
      <w:r>
        <w:separator/>
      </w:r>
    </w:p>
  </w:footnote>
  <w:footnote w:type="continuationSeparator" w:id="0">
    <w:p w14:paraId="5CF042AB" w14:textId="77777777" w:rsidR="00750001" w:rsidRDefault="00750001" w:rsidP="00DF58E7">
      <w:pPr>
        <w:spacing w:line="240" w:lineRule="auto"/>
        <w:ind w:firstLine="0"/>
      </w:pPr>
      <w:r>
        <w:continuationSeparator/>
      </w:r>
    </w:p>
  </w:footnote>
  <w:footnote w:type="continuationNotice" w:id="1">
    <w:p w14:paraId="49A70630" w14:textId="77777777" w:rsidR="00750001" w:rsidRPr="00DF58E7" w:rsidRDefault="00750001" w:rsidP="00DF58E7">
      <w:pPr>
        <w:spacing w:line="240" w:lineRule="auto"/>
        <w:ind w:firstLine="0"/>
        <w:jc w:val="right"/>
        <w:rPr>
          <w:i/>
          <w:sz w:val="22"/>
        </w:rPr>
      </w:pPr>
      <w:r w:rsidRPr="00DF58E7">
        <w:rPr>
          <w:i/>
          <w:sz w:val="22"/>
        </w:rPr>
        <w:t>Footnote continued on next page.</w:t>
      </w:r>
    </w:p>
  </w:footnote>
  <w:footnote w:id="2">
    <w:p w14:paraId="358C8C08" w14:textId="5B39AB68" w:rsidR="00922357" w:rsidRDefault="00922357">
      <w:pPr>
        <w:pStyle w:val="FootnoteText"/>
      </w:pPr>
      <w:r>
        <w:rPr>
          <w:rStyle w:val="FootnoteReference"/>
        </w:rPr>
        <w:footnoteRef/>
      </w:r>
      <w:r>
        <w:t xml:space="preserve"> </w:t>
      </w:r>
      <w:r w:rsidR="00CD0762">
        <w:t xml:space="preserve"> </w:t>
      </w:r>
      <w:r w:rsidRPr="00922357">
        <w:rPr>
          <w:i/>
          <w:iCs/>
        </w:rPr>
        <w:t>Southern California Regional Energy Network’s (CPUC #940) Motion Seeking Authorization for the Compensation Pilot Presented in the California Energy Efficiency Coordinating Committee Compensation Task Force Final Report</w:t>
      </w:r>
      <w:r w:rsidRPr="00922357">
        <w:t>, filed November 29, 2022 (Motion), at 1. While the Motion refers only to unspent energy efficiency funds, this decision identifies unspent and uncommitted funds (i.e., authorized energy efficiency funds that have been collected from ratepayers but not yet spent or committed to a particular project) as the funding source under consideration to fund the proposed pilot</w:t>
      </w:r>
      <w:r w:rsidR="005000E8">
        <w:t>.</w:t>
      </w:r>
    </w:p>
  </w:footnote>
  <w:footnote w:id="3">
    <w:p w14:paraId="0C88FD03" w14:textId="2CF71348" w:rsidR="00B37518" w:rsidRDefault="00B37518" w:rsidP="00B37518">
      <w:pPr>
        <w:pStyle w:val="FootnoteText"/>
      </w:pPr>
      <w:r>
        <w:rPr>
          <w:rStyle w:val="FootnoteReference"/>
        </w:rPr>
        <w:footnoteRef/>
      </w:r>
      <w:r>
        <w:t xml:space="preserve"> </w:t>
      </w:r>
      <w:r w:rsidR="00BF3419">
        <w:t xml:space="preserve"> </w:t>
      </w:r>
      <w:r w:rsidRPr="00BF3419">
        <w:rPr>
          <w:i/>
          <w:iCs/>
        </w:rPr>
        <w:t>See</w:t>
      </w:r>
      <w:r>
        <w:t xml:space="preserve"> D</w:t>
      </w:r>
      <w:r w:rsidR="00BF3419">
        <w:t>ecision (D.) </w:t>
      </w:r>
      <w:r>
        <w:t>18</w:t>
      </w:r>
      <w:r w:rsidR="00BF3419">
        <w:noBreakHyphen/>
      </w:r>
      <w:r>
        <w:t>05</w:t>
      </w:r>
      <w:r w:rsidR="00BF3419">
        <w:noBreakHyphen/>
      </w:r>
      <w:r>
        <w:t xml:space="preserve">041 </w:t>
      </w:r>
      <w:r w:rsidRPr="00B34F88">
        <w:rPr>
          <w:i/>
          <w:iCs/>
        </w:rPr>
        <w:t>Decision Addressing Energy</w:t>
      </w:r>
      <w:r w:rsidR="00BF3419">
        <w:rPr>
          <w:i/>
          <w:iCs/>
        </w:rPr>
        <w:t> </w:t>
      </w:r>
      <w:r w:rsidRPr="00B34F88">
        <w:rPr>
          <w:i/>
          <w:iCs/>
        </w:rPr>
        <w:t>Efficiency Business Plans</w:t>
      </w:r>
      <w:r>
        <w:t>, issued June</w:t>
      </w:r>
      <w:r w:rsidR="00BF3419">
        <w:t> </w:t>
      </w:r>
      <w:r>
        <w:t>5,</w:t>
      </w:r>
      <w:r w:rsidR="00BF3419">
        <w:t> </w:t>
      </w:r>
      <w:r>
        <w:t>2018, addressing energy</w:t>
      </w:r>
      <w:r w:rsidR="00BF3419">
        <w:t> </w:t>
      </w:r>
      <w:r>
        <w:t xml:space="preserve">efficiency business plans for 2018-2025. </w:t>
      </w:r>
    </w:p>
  </w:footnote>
  <w:footnote w:id="4">
    <w:p w14:paraId="7E5F0F90" w14:textId="5C020A91" w:rsidR="00B37518" w:rsidRDefault="00B37518" w:rsidP="00B37518">
      <w:pPr>
        <w:pStyle w:val="FootnoteText"/>
      </w:pPr>
      <w:r>
        <w:rPr>
          <w:rStyle w:val="FootnoteReference"/>
        </w:rPr>
        <w:footnoteRef/>
      </w:r>
      <w:r>
        <w:t xml:space="preserve"> </w:t>
      </w:r>
      <w:r w:rsidR="00BF3419">
        <w:t xml:space="preserve"> </w:t>
      </w:r>
      <w:r>
        <w:t>Source of unspent/uncommitted funds for program years</w:t>
      </w:r>
      <w:r w:rsidR="00BF3419">
        <w:t> </w:t>
      </w:r>
      <w:r>
        <w:t>2022</w:t>
      </w:r>
      <w:r w:rsidR="00BF3419">
        <w:noBreakHyphen/>
      </w:r>
      <w:r>
        <w:t xml:space="preserve">2023 is from California Energy Data and Reporting System and BayREN’s, SoCalREN’s, 3C-REN’s and MCE’s Confirmed 2022 Quarter Three Claims, available at </w:t>
      </w:r>
      <w:hyperlink r:id="rId1" w:history="1">
        <w:r w:rsidRPr="00F76646">
          <w:rPr>
            <w:rStyle w:val="Hyperlink"/>
          </w:rPr>
          <w:t>https://cedars.sound-data.com/upload/confirmed-dashboard/BAY/2022/</w:t>
        </w:r>
      </w:hyperlink>
      <w:r>
        <w:t xml:space="preserve">, </w:t>
      </w:r>
      <w:hyperlink r:id="rId2" w:history="1">
        <w:r w:rsidRPr="00F76646">
          <w:rPr>
            <w:rStyle w:val="Hyperlink"/>
          </w:rPr>
          <w:t>https://cedars.sound-data.com/upload/confirmed-dashboard/SCR/2022/</w:t>
        </w:r>
      </w:hyperlink>
      <w:r>
        <w:t xml:space="preserve">, </w:t>
      </w:r>
      <w:hyperlink r:id="rId3" w:history="1">
        <w:r w:rsidRPr="00F76646">
          <w:rPr>
            <w:rStyle w:val="Hyperlink"/>
          </w:rPr>
          <w:t>https://cedars.sound-data.com/upload/confirmed-dashboard/TCR/2022/</w:t>
        </w:r>
      </w:hyperlink>
      <w:r>
        <w:t xml:space="preserve">, and </w:t>
      </w:r>
      <w:hyperlink r:id="rId4" w:history="1">
        <w:r w:rsidRPr="00F76646">
          <w:rPr>
            <w:rStyle w:val="Hyperlink"/>
          </w:rPr>
          <w:t>https://cedars.sound-data.com/upload/confirmed-dashboard/MCE/2022/</w:t>
        </w:r>
      </w:hyperlink>
      <w:r>
        <w:t>.</w:t>
      </w:r>
    </w:p>
  </w:footnote>
  <w:footnote w:id="5">
    <w:p w14:paraId="1FE4FF5A" w14:textId="4F2F7482" w:rsidR="00B37518" w:rsidRDefault="00B37518" w:rsidP="00B37518">
      <w:pPr>
        <w:pStyle w:val="FootnoteText"/>
      </w:pPr>
      <w:r>
        <w:rPr>
          <w:rStyle w:val="FootnoteReference"/>
        </w:rPr>
        <w:footnoteRef/>
      </w:r>
      <w:r>
        <w:t xml:space="preserve"> </w:t>
      </w:r>
      <w:r w:rsidR="001B2EEE">
        <w:t xml:space="preserve"> </w:t>
      </w:r>
      <w:r w:rsidR="00812764">
        <w:t>Motion</w:t>
      </w:r>
      <w:r>
        <w:t xml:space="preserve">, </w:t>
      </w:r>
      <w:r w:rsidRPr="001565D8">
        <w:t>Attachment</w:t>
      </w:r>
      <w:r w:rsidR="001B2EEE">
        <w:t> </w:t>
      </w:r>
      <w:r>
        <w:t>A (Compensation</w:t>
      </w:r>
      <w:r w:rsidR="001B2EEE">
        <w:t> </w:t>
      </w:r>
      <w:r>
        <w:t>Task Force Final Report) at</w:t>
      </w:r>
      <w:r w:rsidR="001B2EEE">
        <w:t>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8AC" w14:textId="77777777" w:rsidR="00FE64D4" w:rsidRPr="00763FD3" w:rsidRDefault="00FE64D4" w:rsidP="00763FD3">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AB3" w14:textId="20BC6103" w:rsidR="00A0376E" w:rsidRPr="00CD0762" w:rsidRDefault="00A0376E" w:rsidP="00B3087D">
    <w:pPr>
      <w:pStyle w:val="Header"/>
      <w:tabs>
        <w:tab w:val="clear" w:pos="4680"/>
      </w:tabs>
      <w:ind w:firstLine="0"/>
      <w:rPr>
        <w:b/>
      </w:rPr>
    </w:pPr>
    <w:r>
      <w:t>R.13-11-005  ALJ/VUK/JF2/mef</w:t>
    </w:r>
    <w:r w:rsidR="00FE2351">
      <w:tab/>
    </w:r>
    <w:r w:rsidR="00FE2351">
      <w:rPr>
        <w:b/>
      </w:rPr>
      <w:t>PROPOSED DECISION</w:t>
    </w:r>
    <w:r w:rsidR="006D78E6">
      <w:rPr>
        <w:b/>
      </w:rPr>
      <w:t xml:space="preserve"> (Rev.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8BE74A1"/>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3C526EDE"/>
    <w:numStyleLink w:val="Headings"/>
  </w:abstractNum>
  <w:abstractNum w:abstractNumId="6" w15:restartNumberingAfterBreak="0">
    <w:nsid w:val="1E2242C9"/>
    <w:multiLevelType w:val="multilevel"/>
    <w:tmpl w:val="3C526EDE"/>
    <w:numStyleLink w:val="Headings"/>
  </w:abstractNum>
  <w:abstractNum w:abstractNumId="7" w15:restartNumberingAfterBreak="0">
    <w:nsid w:val="21FB58FE"/>
    <w:multiLevelType w:val="multilevel"/>
    <w:tmpl w:val="3C526EDE"/>
    <w:numStyleLink w:val="Headings"/>
  </w:abstractNum>
  <w:abstractNum w:abstractNumId="8" w15:restartNumberingAfterBreak="0">
    <w:nsid w:val="243663A0"/>
    <w:multiLevelType w:val="multilevel"/>
    <w:tmpl w:val="3C526EDE"/>
    <w:numStyleLink w:val="Headings"/>
  </w:abstractNum>
  <w:abstractNum w:abstractNumId="9" w15:restartNumberingAfterBreak="0">
    <w:nsid w:val="2B8124D7"/>
    <w:multiLevelType w:val="multilevel"/>
    <w:tmpl w:val="3C526EDE"/>
    <w:numStyleLink w:val="Headings"/>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A935813"/>
    <w:multiLevelType w:val="hybridMultilevel"/>
    <w:tmpl w:val="5424608E"/>
    <w:lvl w:ilvl="0" w:tplc="5074D636">
      <w:start w:val="1"/>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AD4DA7"/>
    <w:multiLevelType w:val="hybridMultilevel"/>
    <w:tmpl w:val="62167DB6"/>
    <w:lvl w:ilvl="0" w:tplc="0882A26A">
      <w:start w:val="1"/>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D042D7"/>
    <w:multiLevelType w:val="multilevel"/>
    <w:tmpl w:val="18F4A5AC"/>
    <w:numStyleLink w:val="FoFCoLOP"/>
  </w:abstractNum>
  <w:abstractNum w:abstractNumId="14" w15:restartNumberingAfterBreak="0">
    <w:nsid w:val="5A9E2171"/>
    <w:multiLevelType w:val="multilevel"/>
    <w:tmpl w:val="3C526EDE"/>
    <w:numStyleLink w:val="Headings"/>
  </w:abstractNum>
  <w:abstractNum w:abstractNumId="15" w15:restartNumberingAfterBreak="0">
    <w:nsid w:val="61A25780"/>
    <w:multiLevelType w:val="multilevel"/>
    <w:tmpl w:val="3C526EDE"/>
    <w:numStyleLink w:val="Headings"/>
  </w:abstractNum>
  <w:abstractNum w:abstractNumId="1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9A0AFE"/>
    <w:multiLevelType w:val="multilevel"/>
    <w:tmpl w:val="18F4A5AC"/>
    <w:numStyleLink w:val="FoFCoLOP"/>
  </w:abstractNum>
  <w:num w:numId="1" w16cid:durableId="1354526949">
    <w:abstractNumId w:val="14"/>
  </w:num>
  <w:num w:numId="2" w16cid:durableId="140774137">
    <w:abstractNumId w:val="1"/>
  </w:num>
  <w:num w:numId="3" w16cid:durableId="1898543446">
    <w:abstractNumId w:val="13"/>
  </w:num>
  <w:num w:numId="4" w16cid:durableId="701521005">
    <w:abstractNumId w:val="2"/>
  </w:num>
  <w:num w:numId="5" w16cid:durableId="2017029027">
    <w:abstractNumId w:val="17"/>
  </w:num>
  <w:num w:numId="6" w16cid:durableId="973756952">
    <w:abstractNumId w:val="10"/>
  </w:num>
  <w:num w:numId="7" w16cid:durableId="827667741">
    <w:abstractNumId w:val="6"/>
  </w:num>
  <w:num w:numId="8" w16cid:durableId="1760327020">
    <w:abstractNumId w:val="16"/>
  </w:num>
  <w:num w:numId="9" w16cid:durableId="816924040">
    <w:abstractNumId w:val="0"/>
  </w:num>
  <w:num w:numId="10" w16cid:durableId="1817916489">
    <w:abstractNumId w:val="5"/>
  </w:num>
  <w:num w:numId="11" w16cid:durableId="291985460">
    <w:abstractNumId w:val="7"/>
  </w:num>
  <w:num w:numId="12" w16cid:durableId="467941983">
    <w:abstractNumId w:val="4"/>
  </w:num>
  <w:num w:numId="13" w16cid:durableId="712996464">
    <w:abstractNumId w:val="8"/>
  </w:num>
  <w:num w:numId="14" w16cid:durableId="1303778653">
    <w:abstractNumId w:val="9"/>
  </w:num>
  <w:num w:numId="15" w16cid:durableId="1714382259">
    <w:abstractNumId w:val="15"/>
  </w:num>
  <w:num w:numId="16" w16cid:durableId="548107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114753">
    <w:abstractNumId w:val="11"/>
  </w:num>
  <w:num w:numId="18" w16cid:durableId="1333295418">
    <w:abstractNumId w:val="12"/>
  </w:num>
  <w:num w:numId="19" w16cid:durableId="109216420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7"/>
    <w:rsid w:val="00000F6A"/>
    <w:rsid w:val="00003739"/>
    <w:rsid w:val="00012E83"/>
    <w:rsid w:val="0007115A"/>
    <w:rsid w:val="000973C8"/>
    <w:rsid w:val="000A2AA9"/>
    <w:rsid w:val="000A56F2"/>
    <w:rsid w:val="000A6E05"/>
    <w:rsid w:val="000B12FA"/>
    <w:rsid w:val="000C08BF"/>
    <w:rsid w:val="000C3B9A"/>
    <w:rsid w:val="000D2089"/>
    <w:rsid w:val="000D25A8"/>
    <w:rsid w:val="000E270A"/>
    <w:rsid w:val="000E4C53"/>
    <w:rsid w:val="000F48C6"/>
    <w:rsid w:val="00121089"/>
    <w:rsid w:val="001551CA"/>
    <w:rsid w:val="00165D13"/>
    <w:rsid w:val="00166BF6"/>
    <w:rsid w:val="00184A8F"/>
    <w:rsid w:val="001A45A6"/>
    <w:rsid w:val="001B2EEE"/>
    <w:rsid w:val="001C363F"/>
    <w:rsid w:val="001D67E4"/>
    <w:rsid w:val="001E2A62"/>
    <w:rsid w:val="001E4A67"/>
    <w:rsid w:val="001F2819"/>
    <w:rsid w:val="002043EC"/>
    <w:rsid w:val="002110DA"/>
    <w:rsid w:val="00216AF0"/>
    <w:rsid w:val="00243DC0"/>
    <w:rsid w:val="00247477"/>
    <w:rsid w:val="00255634"/>
    <w:rsid w:val="00255A5B"/>
    <w:rsid w:val="00270440"/>
    <w:rsid w:val="00276E95"/>
    <w:rsid w:val="00284D8D"/>
    <w:rsid w:val="00287BC5"/>
    <w:rsid w:val="00293DEE"/>
    <w:rsid w:val="002A0B5D"/>
    <w:rsid w:val="002C60C3"/>
    <w:rsid w:val="002C7FE9"/>
    <w:rsid w:val="002D0362"/>
    <w:rsid w:val="002D0DC5"/>
    <w:rsid w:val="002D4EFD"/>
    <w:rsid w:val="002F1B1F"/>
    <w:rsid w:val="002F7D66"/>
    <w:rsid w:val="00315A97"/>
    <w:rsid w:val="00316071"/>
    <w:rsid w:val="00317DAF"/>
    <w:rsid w:val="00343E5C"/>
    <w:rsid w:val="00344FB8"/>
    <w:rsid w:val="0034734E"/>
    <w:rsid w:val="0036017B"/>
    <w:rsid w:val="00362755"/>
    <w:rsid w:val="00373B93"/>
    <w:rsid w:val="00380CD1"/>
    <w:rsid w:val="00384655"/>
    <w:rsid w:val="003A02CA"/>
    <w:rsid w:val="003A38F0"/>
    <w:rsid w:val="003E30F9"/>
    <w:rsid w:val="003F069A"/>
    <w:rsid w:val="003F4329"/>
    <w:rsid w:val="00412534"/>
    <w:rsid w:val="00412C83"/>
    <w:rsid w:val="00426014"/>
    <w:rsid w:val="0044617E"/>
    <w:rsid w:val="00460B7D"/>
    <w:rsid w:val="00480CB0"/>
    <w:rsid w:val="004B34EA"/>
    <w:rsid w:val="004B5494"/>
    <w:rsid w:val="004C7A2B"/>
    <w:rsid w:val="004C7D3A"/>
    <w:rsid w:val="005000E8"/>
    <w:rsid w:val="005018A8"/>
    <w:rsid w:val="00505A39"/>
    <w:rsid w:val="00515672"/>
    <w:rsid w:val="005240BF"/>
    <w:rsid w:val="00545AF2"/>
    <w:rsid w:val="00567EFC"/>
    <w:rsid w:val="00585390"/>
    <w:rsid w:val="005939A5"/>
    <w:rsid w:val="005A148C"/>
    <w:rsid w:val="005A252D"/>
    <w:rsid w:val="005B541D"/>
    <w:rsid w:val="005C1BD2"/>
    <w:rsid w:val="005C58FA"/>
    <w:rsid w:val="00600F08"/>
    <w:rsid w:val="00603238"/>
    <w:rsid w:val="00613C55"/>
    <w:rsid w:val="00623C00"/>
    <w:rsid w:val="00632207"/>
    <w:rsid w:val="0063491C"/>
    <w:rsid w:val="00641A5C"/>
    <w:rsid w:val="00647129"/>
    <w:rsid w:val="00661AFE"/>
    <w:rsid w:val="00670517"/>
    <w:rsid w:val="00680F19"/>
    <w:rsid w:val="006A3358"/>
    <w:rsid w:val="006C1F10"/>
    <w:rsid w:val="006C7278"/>
    <w:rsid w:val="006D09AA"/>
    <w:rsid w:val="006D78E6"/>
    <w:rsid w:val="006E5E28"/>
    <w:rsid w:val="006E6574"/>
    <w:rsid w:val="006F71D1"/>
    <w:rsid w:val="00704180"/>
    <w:rsid w:val="00714CF2"/>
    <w:rsid w:val="007156B9"/>
    <w:rsid w:val="00720817"/>
    <w:rsid w:val="00722850"/>
    <w:rsid w:val="00731D75"/>
    <w:rsid w:val="0073353F"/>
    <w:rsid w:val="00735A91"/>
    <w:rsid w:val="00742E45"/>
    <w:rsid w:val="007447AF"/>
    <w:rsid w:val="00750001"/>
    <w:rsid w:val="00750816"/>
    <w:rsid w:val="00763FD3"/>
    <w:rsid w:val="007657C1"/>
    <w:rsid w:val="00765EEF"/>
    <w:rsid w:val="00771918"/>
    <w:rsid w:val="0077755F"/>
    <w:rsid w:val="00782F1D"/>
    <w:rsid w:val="00785A41"/>
    <w:rsid w:val="007A406D"/>
    <w:rsid w:val="007A62B0"/>
    <w:rsid w:val="007C5A0C"/>
    <w:rsid w:val="007E0FEE"/>
    <w:rsid w:val="007F2017"/>
    <w:rsid w:val="007F2BD3"/>
    <w:rsid w:val="0080390E"/>
    <w:rsid w:val="008054F5"/>
    <w:rsid w:val="00812764"/>
    <w:rsid w:val="008159CF"/>
    <w:rsid w:val="00816E05"/>
    <w:rsid w:val="008279AB"/>
    <w:rsid w:val="008339BB"/>
    <w:rsid w:val="0086419A"/>
    <w:rsid w:val="0087023B"/>
    <w:rsid w:val="008A179F"/>
    <w:rsid w:val="008A328D"/>
    <w:rsid w:val="008B0864"/>
    <w:rsid w:val="008C3CB7"/>
    <w:rsid w:val="008C7413"/>
    <w:rsid w:val="008D16B7"/>
    <w:rsid w:val="008D2FA7"/>
    <w:rsid w:val="008E6AE6"/>
    <w:rsid w:val="008F0116"/>
    <w:rsid w:val="008F143D"/>
    <w:rsid w:val="00902631"/>
    <w:rsid w:val="00922357"/>
    <w:rsid w:val="009322A8"/>
    <w:rsid w:val="00932865"/>
    <w:rsid w:val="0096468F"/>
    <w:rsid w:val="00973C2F"/>
    <w:rsid w:val="00975E22"/>
    <w:rsid w:val="0098138E"/>
    <w:rsid w:val="0098655A"/>
    <w:rsid w:val="009A6E36"/>
    <w:rsid w:val="009B0A8C"/>
    <w:rsid w:val="009B5ECC"/>
    <w:rsid w:val="009D495A"/>
    <w:rsid w:val="009E6052"/>
    <w:rsid w:val="009E7C7F"/>
    <w:rsid w:val="00A0376E"/>
    <w:rsid w:val="00A17CE0"/>
    <w:rsid w:val="00A23D48"/>
    <w:rsid w:val="00A35A89"/>
    <w:rsid w:val="00A42306"/>
    <w:rsid w:val="00A44451"/>
    <w:rsid w:val="00A44E8D"/>
    <w:rsid w:val="00A46EA8"/>
    <w:rsid w:val="00A476BC"/>
    <w:rsid w:val="00A534EE"/>
    <w:rsid w:val="00A53CAD"/>
    <w:rsid w:val="00A55ACD"/>
    <w:rsid w:val="00A75EF9"/>
    <w:rsid w:val="00A85D27"/>
    <w:rsid w:val="00A90827"/>
    <w:rsid w:val="00AA0597"/>
    <w:rsid w:val="00AB7875"/>
    <w:rsid w:val="00AC68EE"/>
    <w:rsid w:val="00B01F7E"/>
    <w:rsid w:val="00B1578B"/>
    <w:rsid w:val="00B16C2A"/>
    <w:rsid w:val="00B3087D"/>
    <w:rsid w:val="00B30BD3"/>
    <w:rsid w:val="00B341EF"/>
    <w:rsid w:val="00B34794"/>
    <w:rsid w:val="00B37518"/>
    <w:rsid w:val="00B60421"/>
    <w:rsid w:val="00B81EB6"/>
    <w:rsid w:val="00BB0243"/>
    <w:rsid w:val="00BC2403"/>
    <w:rsid w:val="00BD691C"/>
    <w:rsid w:val="00BF3419"/>
    <w:rsid w:val="00C10B5F"/>
    <w:rsid w:val="00C679B0"/>
    <w:rsid w:val="00C859D8"/>
    <w:rsid w:val="00C878D5"/>
    <w:rsid w:val="00C9033B"/>
    <w:rsid w:val="00C913A1"/>
    <w:rsid w:val="00CC6A99"/>
    <w:rsid w:val="00CD0762"/>
    <w:rsid w:val="00D00AA3"/>
    <w:rsid w:val="00D0504E"/>
    <w:rsid w:val="00D07F73"/>
    <w:rsid w:val="00D14844"/>
    <w:rsid w:val="00D2041C"/>
    <w:rsid w:val="00D25ADE"/>
    <w:rsid w:val="00D43297"/>
    <w:rsid w:val="00D44DB6"/>
    <w:rsid w:val="00D50119"/>
    <w:rsid w:val="00D51E5F"/>
    <w:rsid w:val="00D82A43"/>
    <w:rsid w:val="00D87B9A"/>
    <w:rsid w:val="00DA7B5D"/>
    <w:rsid w:val="00DB2B37"/>
    <w:rsid w:val="00DF369C"/>
    <w:rsid w:val="00DF58E7"/>
    <w:rsid w:val="00E11876"/>
    <w:rsid w:val="00E23CBB"/>
    <w:rsid w:val="00E37B59"/>
    <w:rsid w:val="00E47FF5"/>
    <w:rsid w:val="00E53438"/>
    <w:rsid w:val="00E725FC"/>
    <w:rsid w:val="00EA36C6"/>
    <w:rsid w:val="00EC2562"/>
    <w:rsid w:val="00EC30F9"/>
    <w:rsid w:val="00EC5E16"/>
    <w:rsid w:val="00ED5725"/>
    <w:rsid w:val="00ED7031"/>
    <w:rsid w:val="00EE2D97"/>
    <w:rsid w:val="00EE3060"/>
    <w:rsid w:val="00EE4315"/>
    <w:rsid w:val="00EF6925"/>
    <w:rsid w:val="00F12118"/>
    <w:rsid w:val="00F26ED3"/>
    <w:rsid w:val="00F31CDC"/>
    <w:rsid w:val="00F62B7A"/>
    <w:rsid w:val="00F6397D"/>
    <w:rsid w:val="00F7293E"/>
    <w:rsid w:val="00F76650"/>
    <w:rsid w:val="00F9187B"/>
    <w:rsid w:val="00F92385"/>
    <w:rsid w:val="00FA1B4F"/>
    <w:rsid w:val="00FB349B"/>
    <w:rsid w:val="00FC47F9"/>
    <w:rsid w:val="00FE2351"/>
    <w:rsid w:val="00FE337D"/>
    <w:rsid w:val="00FE5580"/>
    <w:rsid w:val="00FE64D4"/>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3CF9"/>
  <w15:chartTrackingRefBased/>
  <w15:docId w15:val="{CE8BD8F9-0288-43E2-8E86-EDE8FDB509A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Revision">
    <w:name w:val="Revision"/>
    <w:hidden/>
    <w:uiPriority w:val="99"/>
    <w:semiHidden/>
    <w:rsid w:val="008A328D"/>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255634"/>
    <w:rPr>
      <w:sz w:val="16"/>
      <w:szCs w:val="16"/>
    </w:rPr>
  </w:style>
  <w:style w:type="paragraph" w:styleId="CommentText">
    <w:name w:val="annotation text"/>
    <w:basedOn w:val="Normal"/>
    <w:link w:val="CommentTextChar"/>
    <w:uiPriority w:val="99"/>
    <w:unhideWhenUsed/>
    <w:rsid w:val="00255634"/>
    <w:pPr>
      <w:spacing w:line="240" w:lineRule="auto"/>
    </w:pPr>
    <w:rPr>
      <w:sz w:val="20"/>
      <w:szCs w:val="20"/>
    </w:rPr>
  </w:style>
  <w:style w:type="character" w:customStyle="1" w:styleId="CommentTextChar">
    <w:name w:val="Comment Text Char"/>
    <w:basedOn w:val="DefaultParagraphFont"/>
    <w:link w:val="CommentText"/>
    <w:uiPriority w:val="99"/>
    <w:rsid w:val="0025563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55634"/>
    <w:rPr>
      <w:b/>
      <w:bCs/>
    </w:rPr>
  </w:style>
  <w:style w:type="character" w:customStyle="1" w:styleId="CommentSubjectChar">
    <w:name w:val="Comment Subject Char"/>
    <w:basedOn w:val="CommentTextChar"/>
    <w:link w:val="CommentSubject"/>
    <w:uiPriority w:val="99"/>
    <w:semiHidden/>
    <w:rsid w:val="00255634"/>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505/K074/505074707.pdf" TargetMode="External" Id="R3519d35000964875" /></Relationships>
</file>

<file path=word/_rels/footnotes.xml.rels><?xml version="1.0" encoding="UTF-8" standalone="yes"?>
<Relationships xmlns="http://schemas.openxmlformats.org/package/2006/relationships"><Relationship Id="rId3" Type="http://schemas.openxmlformats.org/officeDocument/2006/relationships/hyperlink" Target="https://cedars.sound-data.com/upload/confirmed-dashboard/TCR/2022/" TargetMode="External"/><Relationship Id="rId2" Type="http://schemas.openxmlformats.org/officeDocument/2006/relationships/hyperlink" Target="https://cedars.sound-data.com/upload/confirmed-dashboard/SCR/2022/" TargetMode="External"/><Relationship Id="rId1" Type="http://schemas.openxmlformats.org/officeDocument/2006/relationships/hyperlink" Target="https://cedars.sound-data.com/upload/confirmed-dashboard/BAY/2022/" TargetMode="External"/><Relationship Id="rId4" Type="http://schemas.openxmlformats.org/officeDocument/2006/relationships/hyperlink" Target="https://cedars.sound-data.com/upload/confirmed-dashboard/MC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Props1.xml><?xml version="1.0" encoding="utf-8"?>
<ds:datastoreItem xmlns:ds="http://schemas.openxmlformats.org/officeDocument/2006/customXml" ds:itemID="{9EE42826-C640-46EA-8DE6-7521634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1933</ap:Words>
  <ap:Characters>11021</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12929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2023-03-30T14:34:16Z</dcterms:created>
  <dcterms:modified xsi:type="dcterms:W3CDTF">2023-03-30T14:34:16Z</dcterms:modified>
</cp:coreProperties>
</file>