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E4315" w:rsidR="00347D31" w:rsidP="007001D0" w:rsidRDefault="004A4E54" w14:paraId="32505EC6" w14:textId="2BE99145">
      <w:pPr>
        <w:tabs>
          <w:tab w:val="center" w:pos="4680"/>
          <w:tab w:val="right" w:pos="9360"/>
        </w:tabs>
        <w:spacing w:line="240" w:lineRule="auto"/>
        <w:ind w:firstLine="0"/>
        <w:rPr>
          <w:b/>
        </w:rPr>
      </w:pPr>
      <w:r>
        <w:t>ALJ/DBB/SR6</w:t>
      </w:r>
      <w:r w:rsidR="00DA7B5D">
        <w:t>/</w:t>
      </w:r>
      <w:r w:rsidR="001A45A6">
        <w:t>mef</w:t>
      </w:r>
      <w:r w:rsidRPr="007001D0" w:rsidR="007001D0">
        <w:rPr>
          <w:rFonts w:cs="Arial"/>
          <w:bCs/>
          <w:szCs w:val="26"/>
        </w:rPr>
        <w:tab/>
      </w:r>
      <w:r w:rsidRPr="007001D0" w:rsidR="007001D0">
        <w:rPr>
          <w:rFonts w:cs="Arial"/>
          <w:bCs/>
          <w:szCs w:val="26"/>
        </w:rPr>
        <w:tab/>
      </w:r>
      <w:r w:rsidRPr="007001D0" w:rsidR="007001D0">
        <w:rPr>
          <w:rFonts w:cs="Arial"/>
          <w:b/>
          <w:szCs w:val="26"/>
        </w:rPr>
        <w:t>Date of Issuance:  4/7/2023</w:t>
      </w:r>
    </w:p>
    <w:p w:rsidR="00DA7B5D" w:rsidP="007001D0" w:rsidRDefault="00DA7B5D" w14:paraId="5D82AD69" w14:textId="3A76D91C">
      <w:pPr>
        <w:spacing w:line="240" w:lineRule="auto"/>
        <w:ind w:firstLine="0"/>
      </w:pPr>
    </w:p>
    <w:p w:rsidR="007001D0" w:rsidP="007001D0" w:rsidRDefault="007001D0" w14:paraId="7C73E73A" w14:textId="77777777">
      <w:pPr>
        <w:spacing w:line="240" w:lineRule="auto"/>
        <w:ind w:firstLine="0"/>
      </w:pPr>
    </w:p>
    <w:p w:rsidRPr="008670F3" w:rsidR="00DA7B5D" w:rsidP="008670F3" w:rsidRDefault="00DA7B5D" w14:paraId="79438B3A" w14:textId="11BB18D7">
      <w:pPr>
        <w:spacing w:line="240" w:lineRule="auto"/>
        <w:ind w:left="1080" w:hanging="1080"/>
        <w:rPr>
          <w:b/>
          <w:bCs/>
          <w:u w:val="single"/>
        </w:rPr>
      </w:pPr>
      <w:r>
        <w:t>Decision</w:t>
      </w:r>
      <w:r w:rsidR="007001D0">
        <w:t xml:space="preserve"> </w:t>
      </w:r>
      <w:r w:rsidRPr="007001D0" w:rsidR="007001D0">
        <w:t>23-04-</w:t>
      </w:r>
      <w:proofErr w:type="gramStart"/>
      <w:r w:rsidRPr="007001D0" w:rsidR="007001D0">
        <w:t>010</w:t>
      </w:r>
      <w:r w:rsidR="007001D0">
        <w:t xml:space="preserve">  April</w:t>
      </w:r>
      <w:proofErr w:type="gramEnd"/>
      <w:r w:rsidR="007001D0">
        <w:t xml:space="preserve"> 6, 2023</w:t>
      </w:r>
    </w:p>
    <w:p w:rsidR="00DA7B5D" w:rsidP="00BB0243" w:rsidRDefault="00DA7B5D" w14:paraId="2F413A77" w14:textId="77777777">
      <w:pPr>
        <w:spacing w:line="240" w:lineRule="auto"/>
        <w:jc w:val="center"/>
        <w:rPr>
          <w:u w:val="single"/>
        </w:rPr>
      </w:pPr>
    </w:p>
    <w:p w:rsidR="00DA7B5D" w:rsidP="00BB0243" w:rsidRDefault="00DA7B5D" w14:paraId="746CAD96"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084C42D7"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00DA7B5D" w:rsidTr="00E725FC" w14:paraId="6B3E4462" w14:textId="77777777">
        <w:trPr>
          <w:jc w:val="center"/>
        </w:trPr>
        <w:tc>
          <w:tcPr>
            <w:tcW w:w="5040" w:type="dxa"/>
            <w:tcBorders>
              <w:top w:val="nil"/>
              <w:left w:val="nil"/>
              <w:bottom w:val="single" w:color="auto" w:sz="4" w:space="0"/>
              <w:right w:val="single" w:color="auto" w:sz="4" w:space="0"/>
            </w:tcBorders>
          </w:tcPr>
          <w:p w:rsidRPr="00DA7B5D" w:rsidR="00DA7B5D" w:rsidP="00C10B5F" w:rsidRDefault="00B14C85" w14:paraId="70ACE295" w14:textId="37BD5A34">
            <w:pPr>
              <w:spacing w:line="240" w:lineRule="auto"/>
              <w:ind w:firstLine="0"/>
              <w:rPr>
                <w:rFonts w:cs="Arial"/>
                <w:szCs w:val="26"/>
              </w:rPr>
            </w:pPr>
            <w:r w:rsidRPr="00B14C85">
              <w:rPr>
                <w:rFonts w:cs="Arial"/>
                <w:szCs w:val="26"/>
              </w:rPr>
              <w:t>Order Instituting Rulemaking to Oversee the Resource Adequacy Program, Consider Program Reforms and Refinements, and Establish Forward Resource Adequacy Procurement Obligations.</w:t>
            </w:r>
            <w:r w:rsidRPr="00DA7B5D" w:rsidR="00DA7B5D">
              <w:rPr>
                <w:rFonts w:cs="Arial"/>
                <w:szCs w:val="26"/>
              </w:rPr>
              <w:br/>
            </w:r>
          </w:p>
        </w:tc>
        <w:tc>
          <w:tcPr>
            <w:tcW w:w="5040" w:type="dxa"/>
            <w:tcBorders>
              <w:top w:val="nil"/>
              <w:left w:val="single" w:color="auto" w:sz="4" w:space="0"/>
              <w:bottom w:val="nil"/>
              <w:right w:val="nil"/>
            </w:tcBorders>
            <w:vAlign w:val="center"/>
          </w:tcPr>
          <w:p w:rsidRPr="00B14C85" w:rsidR="00DA7B5D" w:rsidP="00412C83" w:rsidRDefault="00B14C85" w14:paraId="337D5BFA" w14:textId="6AC2F28C">
            <w:pPr>
              <w:spacing w:line="240" w:lineRule="auto"/>
              <w:ind w:firstLine="0"/>
              <w:jc w:val="center"/>
              <w:rPr>
                <w:rFonts w:cs="Arial"/>
                <w:szCs w:val="26"/>
              </w:rPr>
            </w:pPr>
            <w:r w:rsidRPr="00B14C85">
              <w:rPr>
                <w:rFonts w:cs="Arial"/>
                <w:szCs w:val="26"/>
              </w:rPr>
              <w:t>R</w:t>
            </w:r>
            <w:r>
              <w:rPr>
                <w:rFonts w:cs="Arial"/>
                <w:szCs w:val="26"/>
              </w:rPr>
              <w:t xml:space="preserve">ulemaking </w:t>
            </w:r>
            <w:r w:rsidRPr="00B14C85">
              <w:rPr>
                <w:rFonts w:cs="Arial"/>
                <w:szCs w:val="26"/>
              </w:rPr>
              <w:t>21-10-002</w:t>
            </w:r>
          </w:p>
        </w:tc>
      </w:tr>
    </w:tbl>
    <w:p w:rsidR="00DA7B5D" w:rsidP="008F0116" w:rsidRDefault="00DA7B5D" w14:paraId="4ED25724" w14:textId="77777777">
      <w:pPr>
        <w:spacing w:line="240" w:lineRule="auto"/>
        <w:ind w:firstLine="0"/>
        <w:rPr>
          <w:rFonts w:ascii="Arial" w:hAnsi="Arial" w:cs="Arial"/>
          <w:sz w:val="24"/>
          <w:szCs w:val="24"/>
        </w:rPr>
      </w:pPr>
    </w:p>
    <w:p w:rsidR="00DA7B5D" w:rsidP="008F0116" w:rsidRDefault="00DA7B5D" w14:paraId="7665DD83" w14:textId="77777777">
      <w:pPr>
        <w:spacing w:line="240" w:lineRule="auto"/>
        <w:ind w:firstLine="0"/>
        <w:rPr>
          <w:rFonts w:ascii="Arial" w:hAnsi="Arial" w:cs="Arial"/>
          <w:sz w:val="24"/>
          <w:szCs w:val="24"/>
        </w:rPr>
      </w:pPr>
    </w:p>
    <w:p w:rsidR="00F92385" w:rsidP="004A4E54" w:rsidRDefault="004A4E54" w14:paraId="09F05B08" w14:textId="0FD74289">
      <w:pPr>
        <w:pStyle w:val="Main"/>
      </w:pPr>
      <w:r>
        <w:t>DECISION ON Phase 2 of the</w:t>
      </w:r>
      <w:r w:rsidR="00687026">
        <w:br/>
      </w:r>
      <w:r>
        <w:t>RESOURCE ADEQU</w:t>
      </w:r>
      <w:r w:rsidR="001B4F21">
        <w:t>A</w:t>
      </w:r>
      <w:r>
        <w:t>CY REFORM TRACK</w:t>
      </w:r>
    </w:p>
    <w:p w:rsidR="001A45A6" w:rsidP="001A45A6" w:rsidRDefault="001A45A6" w14:paraId="0F7768F3" w14:textId="77777777">
      <w:pPr>
        <w:ind w:firstLine="0"/>
      </w:pPr>
    </w:p>
    <w:p w:rsidRPr="001A45A6" w:rsidR="001A45A6" w:rsidP="001A45A6" w:rsidRDefault="001A45A6" w14:paraId="3CEFD7D6" w14:textId="10E07F11">
      <w:pPr>
        <w:ind w:firstLine="0"/>
        <w:sectPr w:rsidRPr="001A45A6" w:rsidR="001A45A6" w:rsidSect="00D958E4">
          <w:headerReference w:type="first" r:id="rId11"/>
          <w:footerReference w:type="first" r:id="rId12"/>
          <w:pgSz w:w="12240" w:h="15840"/>
          <w:pgMar w:top="1728" w:right="1440" w:bottom="1440" w:left="1440" w:header="720" w:footer="720" w:gutter="0"/>
          <w:pgNumType w:start="1"/>
          <w:cols w:space="720"/>
          <w:titlePg/>
          <w:docGrid w:linePitch="360"/>
        </w:sectPr>
      </w:pPr>
    </w:p>
    <w:p w:rsidRPr="001E2A62" w:rsidR="00D50119" w:rsidP="00F76650" w:rsidRDefault="00D50119" w14:paraId="58380049" w14:textId="77777777">
      <w:pPr>
        <w:pStyle w:val="Main"/>
        <w:rPr>
          <w:rFonts w:ascii="Book Antiqua" w:hAnsi="Book Antiqua"/>
        </w:rPr>
      </w:pPr>
      <w:r w:rsidRPr="001E2A62">
        <w:rPr>
          <w:rFonts w:ascii="Book Antiqua" w:hAnsi="Book Antiqua"/>
        </w:rPr>
        <w:lastRenderedPageBreak/>
        <w:t>TABLE OF CONTENTS</w:t>
      </w:r>
    </w:p>
    <w:p w:rsidRPr="00D50119" w:rsidR="00D50119" w:rsidP="007E0FEE" w:rsidRDefault="00D50119" w14:paraId="776FDEA9" w14:textId="77777777">
      <w:pPr>
        <w:tabs>
          <w:tab w:val="right" w:pos="9360"/>
        </w:tabs>
        <w:ind w:firstLine="0"/>
      </w:pPr>
      <w:r w:rsidRPr="00D50119">
        <w:rPr>
          <w:b/>
        </w:rPr>
        <w:t>Title</w:t>
      </w:r>
      <w:r>
        <w:tab/>
      </w:r>
      <w:r w:rsidRPr="00D50119">
        <w:rPr>
          <w:b/>
        </w:rPr>
        <w:t>Page</w:t>
      </w:r>
    </w:p>
    <w:p w:rsidR="00FD4480" w:rsidRDefault="00060480" w14:paraId="284BAD58" w14:textId="7CC612FC">
      <w:pPr>
        <w:pStyle w:val="TOC1"/>
        <w:tabs>
          <w:tab w:val="right" w:leader="dot" w:pos="9350"/>
        </w:tabs>
        <w:rPr>
          <w:rFonts w:asciiTheme="minorHAnsi" w:hAnsiTheme="minorHAnsi" w:cstheme="minorBidi"/>
          <w:noProof/>
          <w:sz w:val="22"/>
        </w:rPr>
      </w:pPr>
      <w:r>
        <w:rPr>
          <w:rFonts w:cs="Arial"/>
          <w:i/>
          <w:szCs w:val="26"/>
        </w:rPr>
        <w:fldChar w:fldCharType="begin"/>
      </w:r>
      <w:r>
        <w:rPr>
          <w:rFonts w:cs="Arial"/>
          <w:i/>
          <w:szCs w:val="26"/>
        </w:rPr>
        <w:instrText xml:space="preserve"> TOC \o "1-3" \h \z \u </w:instrText>
      </w:r>
      <w:r>
        <w:rPr>
          <w:rFonts w:cs="Arial"/>
          <w:i/>
          <w:szCs w:val="26"/>
        </w:rPr>
        <w:fldChar w:fldCharType="separate"/>
      </w:r>
      <w:hyperlink w:history="1" w:anchor="_Toc131762371">
        <w:r w:rsidRPr="00845C99" w:rsidR="00FD4480">
          <w:rPr>
            <w:rStyle w:val="Hyperlink"/>
            <w:noProof/>
          </w:rPr>
          <w:t>DECISION ON PHASE 2 OF THE RESOURCE ADEQUACY REFORM TRACK</w:t>
        </w:r>
        <w:r w:rsidR="00FD4480">
          <w:rPr>
            <w:noProof/>
            <w:webHidden/>
          </w:rPr>
          <w:tab/>
        </w:r>
        <w:r w:rsidR="00FD4480">
          <w:rPr>
            <w:noProof/>
            <w:webHidden/>
          </w:rPr>
          <w:fldChar w:fldCharType="begin"/>
        </w:r>
        <w:r w:rsidR="00FD4480">
          <w:rPr>
            <w:noProof/>
            <w:webHidden/>
          </w:rPr>
          <w:instrText xml:space="preserve"> PAGEREF _Toc131762371 \h </w:instrText>
        </w:r>
        <w:r w:rsidR="00FD4480">
          <w:rPr>
            <w:noProof/>
            <w:webHidden/>
          </w:rPr>
        </w:r>
        <w:r w:rsidR="00FD4480">
          <w:rPr>
            <w:noProof/>
            <w:webHidden/>
          </w:rPr>
          <w:fldChar w:fldCharType="separate"/>
        </w:r>
        <w:r w:rsidR="00FD4480">
          <w:rPr>
            <w:noProof/>
            <w:webHidden/>
          </w:rPr>
          <w:t>2</w:t>
        </w:r>
        <w:r w:rsidR="00FD4480">
          <w:rPr>
            <w:noProof/>
            <w:webHidden/>
          </w:rPr>
          <w:fldChar w:fldCharType="end"/>
        </w:r>
      </w:hyperlink>
    </w:p>
    <w:p w:rsidR="00FD4480" w:rsidRDefault="00FD4480" w14:paraId="7A45CCED" w14:textId="26BC4C1A">
      <w:pPr>
        <w:pStyle w:val="TOC1"/>
        <w:tabs>
          <w:tab w:val="right" w:leader="dot" w:pos="9350"/>
        </w:tabs>
        <w:rPr>
          <w:rFonts w:asciiTheme="minorHAnsi" w:hAnsiTheme="minorHAnsi" w:cstheme="minorBidi"/>
          <w:noProof/>
          <w:sz w:val="22"/>
        </w:rPr>
      </w:pPr>
      <w:hyperlink w:history="1" w:anchor="_Toc131762372">
        <w:r w:rsidRPr="00845C99">
          <w:rPr>
            <w:rStyle w:val="Hyperlink"/>
            <w:noProof/>
          </w:rPr>
          <w:t>Summary</w:t>
        </w:r>
        <w:r>
          <w:rPr>
            <w:noProof/>
            <w:webHidden/>
          </w:rPr>
          <w:tab/>
        </w:r>
        <w:r>
          <w:rPr>
            <w:noProof/>
            <w:webHidden/>
          </w:rPr>
          <w:fldChar w:fldCharType="begin"/>
        </w:r>
        <w:r>
          <w:rPr>
            <w:noProof/>
            <w:webHidden/>
          </w:rPr>
          <w:instrText xml:space="preserve"> PAGEREF _Toc131762372 \h </w:instrText>
        </w:r>
        <w:r>
          <w:rPr>
            <w:noProof/>
            <w:webHidden/>
          </w:rPr>
        </w:r>
        <w:r>
          <w:rPr>
            <w:noProof/>
            <w:webHidden/>
          </w:rPr>
          <w:fldChar w:fldCharType="separate"/>
        </w:r>
        <w:r>
          <w:rPr>
            <w:noProof/>
            <w:webHidden/>
          </w:rPr>
          <w:t>2</w:t>
        </w:r>
        <w:r>
          <w:rPr>
            <w:noProof/>
            <w:webHidden/>
          </w:rPr>
          <w:fldChar w:fldCharType="end"/>
        </w:r>
      </w:hyperlink>
    </w:p>
    <w:p w:rsidR="00FD4480" w:rsidRDefault="00FD4480" w14:paraId="62D396A2" w14:textId="0BB4D123">
      <w:pPr>
        <w:pStyle w:val="TOC1"/>
        <w:tabs>
          <w:tab w:val="right" w:leader="dot" w:pos="9350"/>
        </w:tabs>
        <w:rPr>
          <w:rFonts w:asciiTheme="minorHAnsi" w:hAnsiTheme="minorHAnsi" w:cstheme="minorBidi"/>
          <w:noProof/>
          <w:sz w:val="22"/>
        </w:rPr>
      </w:pPr>
      <w:hyperlink w:history="1" w:anchor="_Toc131762373">
        <w:r w:rsidRPr="00845C99">
          <w:rPr>
            <w:rStyle w:val="Hyperlink"/>
            <w:noProof/>
          </w:rPr>
          <w:t>1.</w:t>
        </w:r>
        <w:r>
          <w:rPr>
            <w:rFonts w:asciiTheme="minorHAnsi" w:hAnsiTheme="minorHAnsi" w:cstheme="minorBidi"/>
            <w:noProof/>
            <w:sz w:val="22"/>
          </w:rPr>
          <w:tab/>
        </w:r>
        <w:r w:rsidRPr="00845C99">
          <w:rPr>
            <w:rStyle w:val="Hyperlink"/>
            <w:noProof/>
          </w:rPr>
          <w:t>Background</w:t>
        </w:r>
        <w:r>
          <w:rPr>
            <w:noProof/>
            <w:webHidden/>
          </w:rPr>
          <w:tab/>
        </w:r>
        <w:r>
          <w:rPr>
            <w:noProof/>
            <w:webHidden/>
          </w:rPr>
          <w:fldChar w:fldCharType="begin"/>
        </w:r>
        <w:r>
          <w:rPr>
            <w:noProof/>
            <w:webHidden/>
          </w:rPr>
          <w:instrText xml:space="preserve"> PAGEREF _Toc131762373 \h </w:instrText>
        </w:r>
        <w:r>
          <w:rPr>
            <w:noProof/>
            <w:webHidden/>
          </w:rPr>
        </w:r>
        <w:r>
          <w:rPr>
            <w:noProof/>
            <w:webHidden/>
          </w:rPr>
          <w:fldChar w:fldCharType="separate"/>
        </w:r>
        <w:r>
          <w:rPr>
            <w:noProof/>
            <w:webHidden/>
          </w:rPr>
          <w:t>2</w:t>
        </w:r>
        <w:r>
          <w:rPr>
            <w:noProof/>
            <w:webHidden/>
          </w:rPr>
          <w:fldChar w:fldCharType="end"/>
        </w:r>
      </w:hyperlink>
    </w:p>
    <w:p w:rsidR="00FD4480" w:rsidRDefault="00FD4480" w14:paraId="6A46AC7A" w14:textId="3BC9A9F1">
      <w:pPr>
        <w:pStyle w:val="TOC1"/>
        <w:tabs>
          <w:tab w:val="right" w:leader="dot" w:pos="9350"/>
        </w:tabs>
        <w:rPr>
          <w:rFonts w:asciiTheme="minorHAnsi" w:hAnsiTheme="minorHAnsi" w:cstheme="minorBidi"/>
          <w:noProof/>
          <w:sz w:val="22"/>
        </w:rPr>
      </w:pPr>
      <w:hyperlink w:history="1" w:anchor="_Toc131762374">
        <w:r w:rsidRPr="00845C99">
          <w:rPr>
            <w:rStyle w:val="Hyperlink"/>
            <w:noProof/>
          </w:rPr>
          <w:t>2.</w:t>
        </w:r>
        <w:r>
          <w:rPr>
            <w:rFonts w:asciiTheme="minorHAnsi" w:hAnsiTheme="minorHAnsi" w:cstheme="minorBidi"/>
            <w:noProof/>
            <w:sz w:val="22"/>
          </w:rPr>
          <w:tab/>
        </w:r>
        <w:r w:rsidRPr="00845C99">
          <w:rPr>
            <w:rStyle w:val="Hyperlink"/>
            <w:noProof/>
          </w:rPr>
          <w:t>Issues Before the Commission</w:t>
        </w:r>
        <w:r>
          <w:rPr>
            <w:noProof/>
            <w:webHidden/>
          </w:rPr>
          <w:tab/>
        </w:r>
        <w:r>
          <w:rPr>
            <w:noProof/>
            <w:webHidden/>
          </w:rPr>
          <w:fldChar w:fldCharType="begin"/>
        </w:r>
        <w:r>
          <w:rPr>
            <w:noProof/>
            <w:webHidden/>
          </w:rPr>
          <w:instrText xml:space="preserve"> PAGEREF _Toc131762374 \h </w:instrText>
        </w:r>
        <w:r>
          <w:rPr>
            <w:noProof/>
            <w:webHidden/>
          </w:rPr>
        </w:r>
        <w:r>
          <w:rPr>
            <w:noProof/>
            <w:webHidden/>
          </w:rPr>
          <w:fldChar w:fldCharType="separate"/>
        </w:r>
        <w:r>
          <w:rPr>
            <w:noProof/>
            <w:webHidden/>
          </w:rPr>
          <w:t>4</w:t>
        </w:r>
        <w:r>
          <w:rPr>
            <w:noProof/>
            <w:webHidden/>
          </w:rPr>
          <w:fldChar w:fldCharType="end"/>
        </w:r>
      </w:hyperlink>
    </w:p>
    <w:p w:rsidR="00FD4480" w:rsidRDefault="00FD4480" w14:paraId="3453A62D" w14:textId="2C6D85B3">
      <w:pPr>
        <w:pStyle w:val="TOC1"/>
        <w:tabs>
          <w:tab w:val="right" w:leader="dot" w:pos="9350"/>
        </w:tabs>
        <w:rPr>
          <w:rFonts w:asciiTheme="minorHAnsi" w:hAnsiTheme="minorHAnsi" w:cstheme="minorBidi"/>
          <w:noProof/>
          <w:sz w:val="22"/>
        </w:rPr>
      </w:pPr>
      <w:hyperlink w:history="1" w:anchor="_Toc131762375">
        <w:r w:rsidRPr="00845C99">
          <w:rPr>
            <w:rStyle w:val="Hyperlink"/>
            <w:noProof/>
          </w:rPr>
          <w:t>3.</w:t>
        </w:r>
        <w:r>
          <w:rPr>
            <w:rFonts w:asciiTheme="minorHAnsi" w:hAnsiTheme="minorHAnsi" w:cstheme="minorBidi"/>
            <w:noProof/>
            <w:sz w:val="22"/>
          </w:rPr>
          <w:tab/>
        </w:r>
        <w:r w:rsidRPr="00845C99">
          <w:rPr>
            <w:rStyle w:val="Hyperlink"/>
            <w:noProof/>
          </w:rPr>
          <w:t>Background and Overview of RA Reform</w:t>
        </w:r>
        <w:r>
          <w:rPr>
            <w:noProof/>
            <w:webHidden/>
          </w:rPr>
          <w:tab/>
        </w:r>
        <w:r>
          <w:rPr>
            <w:noProof/>
            <w:webHidden/>
          </w:rPr>
          <w:fldChar w:fldCharType="begin"/>
        </w:r>
        <w:r>
          <w:rPr>
            <w:noProof/>
            <w:webHidden/>
          </w:rPr>
          <w:instrText xml:space="preserve"> PAGEREF _Toc131762375 \h </w:instrText>
        </w:r>
        <w:r>
          <w:rPr>
            <w:noProof/>
            <w:webHidden/>
          </w:rPr>
        </w:r>
        <w:r>
          <w:rPr>
            <w:noProof/>
            <w:webHidden/>
          </w:rPr>
          <w:fldChar w:fldCharType="separate"/>
        </w:r>
        <w:r>
          <w:rPr>
            <w:noProof/>
            <w:webHidden/>
          </w:rPr>
          <w:t>6</w:t>
        </w:r>
        <w:r>
          <w:rPr>
            <w:noProof/>
            <w:webHidden/>
          </w:rPr>
          <w:fldChar w:fldCharType="end"/>
        </w:r>
      </w:hyperlink>
    </w:p>
    <w:p w:rsidR="00FD4480" w:rsidRDefault="00FD4480" w14:paraId="081AEEBB" w14:textId="4F435963">
      <w:pPr>
        <w:pStyle w:val="TOC1"/>
        <w:tabs>
          <w:tab w:val="right" w:leader="dot" w:pos="9350"/>
        </w:tabs>
        <w:rPr>
          <w:rFonts w:asciiTheme="minorHAnsi" w:hAnsiTheme="minorHAnsi" w:cstheme="minorBidi"/>
          <w:noProof/>
          <w:sz w:val="22"/>
        </w:rPr>
      </w:pPr>
      <w:hyperlink w:history="1" w:anchor="_Toc131762376">
        <w:r w:rsidRPr="00845C99">
          <w:rPr>
            <w:rStyle w:val="Hyperlink"/>
            <w:noProof/>
          </w:rPr>
          <w:t>4.</w:t>
        </w:r>
        <w:r>
          <w:rPr>
            <w:rFonts w:asciiTheme="minorHAnsi" w:hAnsiTheme="minorHAnsi" w:cstheme="minorBidi"/>
            <w:noProof/>
            <w:sz w:val="22"/>
          </w:rPr>
          <w:tab/>
        </w:r>
        <w:r w:rsidRPr="00845C99">
          <w:rPr>
            <w:rStyle w:val="Hyperlink"/>
            <w:noProof/>
          </w:rPr>
          <w:t>Workstream 1. Compliance Tools</w:t>
        </w:r>
        <w:r>
          <w:rPr>
            <w:noProof/>
            <w:webHidden/>
          </w:rPr>
          <w:tab/>
        </w:r>
        <w:r>
          <w:rPr>
            <w:noProof/>
            <w:webHidden/>
          </w:rPr>
          <w:fldChar w:fldCharType="begin"/>
        </w:r>
        <w:r>
          <w:rPr>
            <w:noProof/>
            <w:webHidden/>
          </w:rPr>
          <w:instrText xml:space="preserve"> PAGEREF _Toc131762376 \h </w:instrText>
        </w:r>
        <w:r>
          <w:rPr>
            <w:noProof/>
            <w:webHidden/>
          </w:rPr>
        </w:r>
        <w:r>
          <w:rPr>
            <w:noProof/>
            <w:webHidden/>
          </w:rPr>
          <w:fldChar w:fldCharType="separate"/>
        </w:r>
        <w:r>
          <w:rPr>
            <w:noProof/>
            <w:webHidden/>
          </w:rPr>
          <w:t>7</w:t>
        </w:r>
        <w:r>
          <w:rPr>
            <w:noProof/>
            <w:webHidden/>
          </w:rPr>
          <w:fldChar w:fldCharType="end"/>
        </w:r>
      </w:hyperlink>
    </w:p>
    <w:p w:rsidR="00FD4480" w:rsidRDefault="00FD4480" w14:paraId="0C45425F" w14:textId="6D0F015B">
      <w:pPr>
        <w:pStyle w:val="TOC2"/>
        <w:tabs>
          <w:tab w:val="right" w:leader="dot" w:pos="9350"/>
        </w:tabs>
        <w:rPr>
          <w:rFonts w:asciiTheme="minorHAnsi" w:hAnsiTheme="minorHAnsi" w:cstheme="minorBidi"/>
          <w:noProof/>
          <w:sz w:val="22"/>
        </w:rPr>
      </w:pPr>
      <w:hyperlink w:history="1" w:anchor="_Toc131762377">
        <w:r w:rsidRPr="00845C99">
          <w:rPr>
            <w:rStyle w:val="Hyperlink"/>
            <w:noProof/>
          </w:rPr>
          <w:t>4.1.</w:t>
        </w:r>
        <w:r>
          <w:rPr>
            <w:rFonts w:asciiTheme="minorHAnsi" w:hAnsiTheme="minorHAnsi" w:cstheme="minorBidi"/>
            <w:noProof/>
            <w:sz w:val="22"/>
          </w:rPr>
          <w:tab/>
        </w:r>
        <w:r w:rsidRPr="00845C99">
          <w:rPr>
            <w:rStyle w:val="Hyperlink"/>
            <w:noProof/>
          </w:rPr>
          <w:t>RA Master Resource Database</w:t>
        </w:r>
        <w:r>
          <w:rPr>
            <w:noProof/>
            <w:webHidden/>
          </w:rPr>
          <w:tab/>
        </w:r>
        <w:r>
          <w:rPr>
            <w:noProof/>
            <w:webHidden/>
          </w:rPr>
          <w:fldChar w:fldCharType="begin"/>
        </w:r>
        <w:r>
          <w:rPr>
            <w:noProof/>
            <w:webHidden/>
          </w:rPr>
          <w:instrText xml:space="preserve"> PAGEREF _Toc131762377 \h </w:instrText>
        </w:r>
        <w:r>
          <w:rPr>
            <w:noProof/>
            <w:webHidden/>
          </w:rPr>
        </w:r>
        <w:r>
          <w:rPr>
            <w:noProof/>
            <w:webHidden/>
          </w:rPr>
          <w:fldChar w:fldCharType="separate"/>
        </w:r>
        <w:r>
          <w:rPr>
            <w:noProof/>
            <w:webHidden/>
          </w:rPr>
          <w:t>8</w:t>
        </w:r>
        <w:r>
          <w:rPr>
            <w:noProof/>
            <w:webHidden/>
          </w:rPr>
          <w:fldChar w:fldCharType="end"/>
        </w:r>
      </w:hyperlink>
    </w:p>
    <w:p w:rsidR="00FD4480" w:rsidRDefault="00FD4480" w14:paraId="580FE019" w14:textId="5969F3E2">
      <w:pPr>
        <w:pStyle w:val="TOC3"/>
        <w:tabs>
          <w:tab w:val="left" w:pos="1296"/>
          <w:tab w:val="right" w:leader="dot" w:pos="9350"/>
        </w:tabs>
        <w:rPr>
          <w:rFonts w:asciiTheme="minorHAnsi" w:hAnsiTheme="minorHAnsi" w:cstheme="minorBidi"/>
          <w:noProof/>
          <w:sz w:val="22"/>
        </w:rPr>
      </w:pPr>
      <w:hyperlink w:history="1" w:anchor="_Toc131762378">
        <w:r w:rsidRPr="00845C99">
          <w:rPr>
            <w:rStyle w:val="Hyperlink"/>
            <w:noProof/>
          </w:rPr>
          <w:t>4.1.1.</w:t>
        </w:r>
        <w:r>
          <w:rPr>
            <w:rFonts w:asciiTheme="minorHAnsi" w:hAnsiTheme="minorHAnsi" w:cstheme="minorBidi"/>
            <w:noProof/>
            <w:sz w:val="22"/>
          </w:rPr>
          <w:tab/>
        </w:r>
        <w:r w:rsidRPr="00845C99">
          <w:rPr>
            <w:rStyle w:val="Hyperlink"/>
            <w:noProof/>
          </w:rPr>
          <w:t>Discussion</w:t>
        </w:r>
        <w:r>
          <w:rPr>
            <w:noProof/>
            <w:webHidden/>
          </w:rPr>
          <w:tab/>
        </w:r>
        <w:r>
          <w:rPr>
            <w:noProof/>
            <w:webHidden/>
          </w:rPr>
          <w:fldChar w:fldCharType="begin"/>
        </w:r>
        <w:r>
          <w:rPr>
            <w:noProof/>
            <w:webHidden/>
          </w:rPr>
          <w:instrText xml:space="preserve"> PAGEREF _Toc131762378 \h </w:instrText>
        </w:r>
        <w:r>
          <w:rPr>
            <w:noProof/>
            <w:webHidden/>
          </w:rPr>
        </w:r>
        <w:r>
          <w:rPr>
            <w:noProof/>
            <w:webHidden/>
          </w:rPr>
          <w:fldChar w:fldCharType="separate"/>
        </w:r>
        <w:r>
          <w:rPr>
            <w:noProof/>
            <w:webHidden/>
          </w:rPr>
          <w:t>11</w:t>
        </w:r>
        <w:r>
          <w:rPr>
            <w:noProof/>
            <w:webHidden/>
          </w:rPr>
          <w:fldChar w:fldCharType="end"/>
        </w:r>
      </w:hyperlink>
    </w:p>
    <w:p w:rsidR="00FD4480" w:rsidRDefault="00FD4480" w14:paraId="7414F1A6" w14:textId="238E395D">
      <w:pPr>
        <w:pStyle w:val="TOC2"/>
        <w:tabs>
          <w:tab w:val="right" w:leader="dot" w:pos="9350"/>
        </w:tabs>
        <w:rPr>
          <w:rFonts w:asciiTheme="minorHAnsi" w:hAnsiTheme="minorHAnsi" w:cstheme="minorBidi"/>
          <w:noProof/>
          <w:sz w:val="22"/>
        </w:rPr>
      </w:pPr>
      <w:hyperlink w:history="1" w:anchor="_Toc131762379">
        <w:r w:rsidRPr="00845C99">
          <w:rPr>
            <w:rStyle w:val="Hyperlink"/>
            <w:noProof/>
          </w:rPr>
          <w:t>4.2.</w:t>
        </w:r>
        <w:r>
          <w:rPr>
            <w:rFonts w:asciiTheme="minorHAnsi" w:hAnsiTheme="minorHAnsi" w:cstheme="minorBidi"/>
            <w:noProof/>
            <w:sz w:val="22"/>
          </w:rPr>
          <w:tab/>
        </w:r>
        <w:r w:rsidRPr="00845C99">
          <w:rPr>
            <w:rStyle w:val="Hyperlink"/>
            <w:noProof/>
          </w:rPr>
          <w:t>LSE Showing Tool and  Commission Verification Tool</w:t>
        </w:r>
        <w:r>
          <w:rPr>
            <w:noProof/>
            <w:webHidden/>
          </w:rPr>
          <w:tab/>
        </w:r>
        <w:r>
          <w:rPr>
            <w:noProof/>
            <w:webHidden/>
          </w:rPr>
          <w:fldChar w:fldCharType="begin"/>
        </w:r>
        <w:r>
          <w:rPr>
            <w:noProof/>
            <w:webHidden/>
          </w:rPr>
          <w:instrText xml:space="preserve"> PAGEREF _Toc131762379 \h </w:instrText>
        </w:r>
        <w:r>
          <w:rPr>
            <w:noProof/>
            <w:webHidden/>
          </w:rPr>
        </w:r>
        <w:r>
          <w:rPr>
            <w:noProof/>
            <w:webHidden/>
          </w:rPr>
          <w:fldChar w:fldCharType="separate"/>
        </w:r>
        <w:r>
          <w:rPr>
            <w:noProof/>
            <w:webHidden/>
          </w:rPr>
          <w:t>13</w:t>
        </w:r>
        <w:r>
          <w:rPr>
            <w:noProof/>
            <w:webHidden/>
          </w:rPr>
          <w:fldChar w:fldCharType="end"/>
        </w:r>
      </w:hyperlink>
    </w:p>
    <w:p w:rsidR="00FD4480" w:rsidRDefault="00FD4480" w14:paraId="628773F3" w14:textId="5C2877D1">
      <w:pPr>
        <w:pStyle w:val="TOC3"/>
        <w:tabs>
          <w:tab w:val="left" w:pos="1296"/>
          <w:tab w:val="right" w:leader="dot" w:pos="9350"/>
        </w:tabs>
        <w:rPr>
          <w:rFonts w:asciiTheme="minorHAnsi" w:hAnsiTheme="minorHAnsi" w:cstheme="minorBidi"/>
          <w:noProof/>
          <w:sz w:val="22"/>
        </w:rPr>
      </w:pPr>
      <w:hyperlink w:history="1" w:anchor="_Toc131762380">
        <w:r w:rsidRPr="00845C99">
          <w:rPr>
            <w:rStyle w:val="Hyperlink"/>
            <w:noProof/>
          </w:rPr>
          <w:t>4.2.1.</w:t>
        </w:r>
        <w:r>
          <w:rPr>
            <w:rFonts w:asciiTheme="minorHAnsi" w:hAnsiTheme="minorHAnsi" w:cstheme="minorBidi"/>
            <w:noProof/>
            <w:sz w:val="22"/>
          </w:rPr>
          <w:tab/>
        </w:r>
        <w:r w:rsidRPr="00845C99">
          <w:rPr>
            <w:rStyle w:val="Hyperlink"/>
            <w:noProof/>
          </w:rPr>
          <w:t>Discussion</w:t>
        </w:r>
        <w:r>
          <w:rPr>
            <w:noProof/>
            <w:webHidden/>
          </w:rPr>
          <w:tab/>
        </w:r>
        <w:r>
          <w:rPr>
            <w:noProof/>
            <w:webHidden/>
          </w:rPr>
          <w:fldChar w:fldCharType="begin"/>
        </w:r>
        <w:r>
          <w:rPr>
            <w:noProof/>
            <w:webHidden/>
          </w:rPr>
          <w:instrText xml:space="preserve"> PAGEREF _Toc131762380 \h </w:instrText>
        </w:r>
        <w:r>
          <w:rPr>
            <w:noProof/>
            <w:webHidden/>
          </w:rPr>
        </w:r>
        <w:r>
          <w:rPr>
            <w:noProof/>
            <w:webHidden/>
          </w:rPr>
          <w:fldChar w:fldCharType="separate"/>
        </w:r>
        <w:r>
          <w:rPr>
            <w:noProof/>
            <w:webHidden/>
          </w:rPr>
          <w:t>15</w:t>
        </w:r>
        <w:r>
          <w:rPr>
            <w:noProof/>
            <w:webHidden/>
          </w:rPr>
          <w:fldChar w:fldCharType="end"/>
        </w:r>
      </w:hyperlink>
    </w:p>
    <w:p w:rsidR="00FD4480" w:rsidRDefault="00FD4480" w14:paraId="01781ADB" w14:textId="107F991D">
      <w:pPr>
        <w:pStyle w:val="TOC2"/>
        <w:tabs>
          <w:tab w:val="right" w:leader="dot" w:pos="9350"/>
        </w:tabs>
        <w:rPr>
          <w:rFonts w:asciiTheme="minorHAnsi" w:hAnsiTheme="minorHAnsi" w:cstheme="minorBidi"/>
          <w:noProof/>
          <w:sz w:val="22"/>
        </w:rPr>
      </w:pPr>
      <w:hyperlink w:history="1" w:anchor="_Toc131762381">
        <w:r w:rsidRPr="00845C99">
          <w:rPr>
            <w:rStyle w:val="Hyperlink"/>
            <w:noProof/>
          </w:rPr>
          <w:t>4.3.</w:t>
        </w:r>
        <w:r>
          <w:rPr>
            <w:rFonts w:asciiTheme="minorHAnsi" w:hAnsiTheme="minorHAnsi" w:cstheme="minorBidi"/>
            <w:noProof/>
            <w:sz w:val="22"/>
          </w:rPr>
          <w:tab/>
        </w:r>
        <w:r w:rsidRPr="00845C99">
          <w:rPr>
            <w:rStyle w:val="Hyperlink"/>
            <w:noProof/>
          </w:rPr>
          <w:t>LSE Requirement Database</w:t>
        </w:r>
        <w:r>
          <w:rPr>
            <w:noProof/>
            <w:webHidden/>
          </w:rPr>
          <w:tab/>
        </w:r>
        <w:r>
          <w:rPr>
            <w:noProof/>
            <w:webHidden/>
          </w:rPr>
          <w:fldChar w:fldCharType="begin"/>
        </w:r>
        <w:r>
          <w:rPr>
            <w:noProof/>
            <w:webHidden/>
          </w:rPr>
          <w:instrText xml:space="preserve"> PAGEREF _Toc131762381 \h </w:instrText>
        </w:r>
        <w:r>
          <w:rPr>
            <w:noProof/>
            <w:webHidden/>
          </w:rPr>
        </w:r>
        <w:r>
          <w:rPr>
            <w:noProof/>
            <w:webHidden/>
          </w:rPr>
          <w:fldChar w:fldCharType="separate"/>
        </w:r>
        <w:r>
          <w:rPr>
            <w:noProof/>
            <w:webHidden/>
          </w:rPr>
          <w:t>16</w:t>
        </w:r>
        <w:r>
          <w:rPr>
            <w:noProof/>
            <w:webHidden/>
          </w:rPr>
          <w:fldChar w:fldCharType="end"/>
        </w:r>
      </w:hyperlink>
    </w:p>
    <w:p w:rsidR="00FD4480" w:rsidRDefault="00FD4480" w14:paraId="77AAF469" w14:textId="4ABCD8A3">
      <w:pPr>
        <w:pStyle w:val="TOC2"/>
        <w:tabs>
          <w:tab w:val="right" w:leader="dot" w:pos="9350"/>
        </w:tabs>
        <w:rPr>
          <w:rFonts w:asciiTheme="minorHAnsi" w:hAnsiTheme="minorHAnsi" w:cstheme="minorBidi"/>
          <w:noProof/>
          <w:sz w:val="22"/>
        </w:rPr>
      </w:pPr>
      <w:hyperlink w:history="1" w:anchor="_Toc131762382">
        <w:r w:rsidRPr="00845C99">
          <w:rPr>
            <w:rStyle w:val="Hyperlink"/>
            <w:noProof/>
          </w:rPr>
          <w:t>4.4.</w:t>
        </w:r>
        <w:r>
          <w:rPr>
            <w:rFonts w:asciiTheme="minorHAnsi" w:hAnsiTheme="minorHAnsi" w:cstheme="minorBidi"/>
            <w:noProof/>
            <w:sz w:val="22"/>
          </w:rPr>
          <w:tab/>
        </w:r>
        <w:r w:rsidRPr="00845C99">
          <w:rPr>
            <w:rStyle w:val="Hyperlink"/>
            <w:noProof/>
          </w:rPr>
          <w:t>Cost Allocation Mechanism and RA Allocation</w:t>
        </w:r>
        <w:r>
          <w:rPr>
            <w:noProof/>
            <w:webHidden/>
          </w:rPr>
          <w:tab/>
        </w:r>
        <w:r>
          <w:rPr>
            <w:noProof/>
            <w:webHidden/>
          </w:rPr>
          <w:fldChar w:fldCharType="begin"/>
        </w:r>
        <w:r>
          <w:rPr>
            <w:noProof/>
            <w:webHidden/>
          </w:rPr>
          <w:instrText xml:space="preserve"> PAGEREF _Toc131762382 \h </w:instrText>
        </w:r>
        <w:r>
          <w:rPr>
            <w:noProof/>
            <w:webHidden/>
          </w:rPr>
        </w:r>
        <w:r>
          <w:rPr>
            <w:noProof/>
            <w:webHidden/>
          </w:rPr>
          <w:fldChar w:fldCharType="separate"/>
        </w:r>
        <w:r>
          <w:rPr>
            <w:noProof/>
            <w:webHidden/>
          </w:rPr>
          <w:t>17</w:t>
        </w:r>
        <w:r>
          <w:rPr>
            <w:noProof/>
            <w:webHidden/>
          </w:rPr>
          <w:fldChar w:fldCharType="end"/>
        </w:r>
      </w:hyperlink>
    </w:p>
    <w:p w:rsidR="00FD4480" w:rsidRDefault="00FD4480" w14:paraId="746F4A77" w14:textId="40E45924">
      <w:pPr>
        <w:pStyle w:val="TOC3"/>
        <w:tabs>
          <w:tab w:val="left" w:pos="1296"/>
          <w:tab w:val="right" w:leader="dot" w:pos="9350"/>
        </w:tabs>
        <w:rPr>
          <w:rFonts w:asciiTheme="minorHAnsi" w:hAnsiTheme="minorHAnsi" w:cstheme="minorBidi"/>
          <w:noProof/>
          <w:sz w:val="22"/>
        </w:rPr>
      </w:pPr>
      <w:hyperlink w:history="1" w:anchor="_Toc131762383">
        <w:r w:rsidRPr="00845C99">
          <w:rPr>
            <w:rStyle w:val="Hyperlink"/>
            <w:noProof/>
          </w:rPr>
          <w:t>4.4.1.</w:t>
        </w:r>
        <w:r>
          <w:rPr>
            <w:rFonts w:asciiTheme="minorHAnsi" w:hAnsiTheme="minorHAnsi" w:cstheme="minorBidi"/>
            <w:noProof/>
            <w:sz w:val="22"/>
          </w:rPr>
          <w:tab/>
        </w:r>
        <w:r w:rsidRPr="00845C99">
          <w:rPr>
            <w:rStyle w:val="Hyperlink"/>
            <w:noProof/>
          </w:rPr>
          <w:t>Discussion</w:t>
        </w:r>
        <w:r>
          <w:rPr>
            <w:noProof/>
            <w:webHidden/>
          </w:rPr>
          <w:tab/>
        </w:r>
        <w:r>
          <w:rPr>
            <w:noProof/>
            <w:webHidden/>
          </w:rPr>
          <w:fldChar w:fldCharType="begin"/>
        </w:r>
        <w:r>
          <w:rPr>
            <w:noProof/>
            <w:webHidden/>
          </w:rPr>
          <w:instrText xml:space="preserve"> PAGEREF _Toc131762383 \h </w:instrText>
        </w:r>
        <w:r>
          <w:rPr>
            <w:noProof/>
            <w:webHidden/>
          </w:rPr>
        </w:r>
        <w:r>
          <w:rPr>
            <w:noProof/>
            <w:webHidden/>
          </w:rPr>
          <w:fldChar w:fldCharType="separate"/>
        </w:r>
        <w:r>
          <w:rPr>
            <w:noProof/>
            <w:webHidden/>
          </w:rPr>
          <w:t>19</w:t>
        </w:r>
        <w:r>
          <w:rPr>
            <w:noProof/>
            <w:webHidden/>
          </w:rPr>
          <w:fldChar w:fldCharType="end"/>
        </w:r>
      </w:hyperlink>
    </w:p>
    <w:p w:rsidR="00FD4480" w:rsidRDefault="00FD4480" w14:paraId="6C88B961" w14:textId="12CD5509">
      <w:pPr>
        <w:pStyle w:val="TOC1"/>
        <w:tabs>
          <w:tab w:val="right" w:leader="dot" w:pos="9350"/>
        </w:tabs>
        <w:rPr>
          <w:rFonts w:asciiTheme="minorHAnsi" w:hAnsiTheme="minorHAnsi" w:cstheme="minorBidi"/>
          <w:noProof/>
          <w:sz w:val="22"/>
        </w:rPr>
      </w:pPr>
      <w:hyperlink w:history="1" w:anchor="_Toc131762384">
        <w:r w:rsidRPr="00845C99">
          <w:rPr>
            <w:rStyle w:val="Hyperlink"/>
            <w:noProof/>
          </w:rPr>
          <w:t>5.</w:t>
        </w:r>
        <w:r>
          <w:rPr>
            <w:rFonts w:asciiTheme="minorHAnsi" w:hAnsiTheme="minorHAnsi" w:cstheme="minorBidi"/>
            <w:noProof/>
            <w:sz w:val="22"/>
          </w:rPr>
          <w:tab/>
        </w:r>
        <w:r w:rsidRPr="00845C99">
          <w:rPr>
            <w:rStyle w:val="Hyperlink"/>
            <w:noProof/>
          </w:rPr>
          <w:t>Workstream 2. PRM and Resource Counting Rules</w:t>
        </w:r>
        <w:r>
          <w:rPr>
            <w:noProof/>
            <w:webHidden/>
          </w:rPr>
          <w:tab/>
        </w:r>
        <w:r>
          <w:rPr>
            <w:noProof/>
            <w:webHidden/>
          </w:rPr>
          <w:fldChar w:fldCharType="begin"/>
        </w:r>
        <w:r>
          <w:rPr>
            <w:noProof/>
            <w:webHidden/>
          </w:rPr>
          <w:instrText xml:space="preserve"> PAGEREF _Toc131762384 \h </w:instrText>
        </w:r>
        <w:r>
          <w:rPr>
            <w:noProof/>
            <w:webHidden/>
          </w:rPr>
        </w:r>
        <w:r>
          <w:rPr>
            <w:noProof/>
            <w:webHidden/>
          </w:rPr>
          <w:fldChar w:fldCharType="separate"/>
        </w:r>
        <w:r>
          <w:rPr>
            <w:noProof/>
            <w:webHidden/>
          </w:rPr>
          <w:t>20</w:t>
        </w:r>
        <w:r>
          <w:rPr>
            <w:noProof/>
            <w:webHidden/>
          </w:rPr>
          <w:fldChar w:fldCharType="end"/>
        </w:r>
      </w:hyperlink>
    </w:p>
    <w:p w:rsidR="00FD4480" w:rsidRDefault="00FD4480" w14:paraId="543CABB5" w14:textId="495B1D33">
      <w:pPr>
        <w:pStyle w:val="TOC2"/>
        <w:tabs>
          <w:tab w:val="right" w:leader="dot" w:pos="9350"/>
        </w:tabs>
        <w:rPr>
          <w:rFonts w:asciiTheme="minorHAnsi" w:hAnsiTheme="minorHAnsi" w:cstheme="minorBidi"/>
          <w:noProof/>
          <w:sz w:val="22"/>
        </w:rPr>
      </w:pPr>
      <w:hyperlink w:history="1" w:anchor="_Toc131762385">
        <w:r w:rsidRPr="00845C99">
          <w:rPr>
            <w:rStyle w:val="Hyperlink"/>
            <w:noProof/>
          </w:rPr>
          <w:t>5.1.</w:t>
        </w:r>
        <w:r>
          <w:rPr>
            <w:rFonts w:asciiTheme="minorHAnsi" w:hAnsiTheme="minorHAnsi" w:cstheme="minorBidi"/>
            <w:noProof/>
            <w:sz w:val="22"/>
          </w:rPr>
          <w:tab/>
        </w:r>
        <w:r w:rsidRPr="00845C99">
          <w:rPr>
            <w:rStyle w:val="Hyperlink"/>
            <w:noProof/>
          </w:rPr>
          <w:t>Solar and Wind Resource Counting</w:t>
        </w:r>
        <w:r>
          <w:rPr>
            <w:noProof/>
            <w:webHidden/>
          </w:rPr>
          <w:tab/>
        </w:r>
        <w:r>
          <w:rPr>
            <w:noProof/>
            <w:webHidden/>
          </w:rPr>
          <w:fldChar w:fldCharType="begin"/>
        </w:r>
        <w:r>
          <w:rPr>
            <w:noProof/>
            <w:webHidden/>
          </w:rPr>
          <w:instrText xml:space="preserve"> PAGEREF _Toc131762385 \h </w:instrText>
        </w:r>
        <w:r>
          <w:rPr>
            <w:noProof/>
            <w:webHidden/>
          </w:rPr>
        </w:r>
        <w:r>
          <w:rPr>
            <w:noProof/>
            <w:webHidden/>
          </w:rPr>
          <w:fldChar w:fldCharType="separate"/>
        </w:r>
        <w:r>
          <w:rPr>
            <w:noProof/>
            <w:webHidden/>
          </w:rPr>
          <w:t>20</w:t>
        </w:r>
        <w:r>
          <w:rPr>
            <w:noProof/>
            <w:webHidden/>
          </w:rPr>
          <w:fldChar w:fldCharType="end"/>
        </w:r>
      </w:hyperlink>
    </w:p>
    <w:p w:rsidR="00FD4480" w:rsidRDefault="00FD4480" w14:paraId="36942721" w14:textId="7B8CBA51">
      <w:pPr>
        <w:pStyle w:val="TOC3"/>
        <w:tabs>
          <w:tab w:val="left" w:pos="1296"/>
          <w:tab w:val="right" w:leader="dot" w:pos="9350"/>
        </w:tabs>
        <w:rPr>
          <w:rFonts w:asciiTheme="minorHAnsi" w:hAnsiTheme="minorHAnsi" w:cstheme="minorBidi"/>
          <w:noProof/>
          <w:sz w:val="22"/>
        </w:rPr>
      </w:pPr>
      <w:hyperlink w:history="1" w:anchor="_Toc131762386">
        <w:r w:rsidRPr="00845C99">
          <w:rPr>
            <w:rStyle w:val="Hyperlink"/>
            <w:noProof/>
          </w:rPr>
          <w:t>5.1.1.</w:t>
        </w:r>
        <w:r>
          <w:rPr>
            <w:rFonts w:asciiTheme="minorHAnsi" w:hAnsiTheme="minorHAnsi" w:cstheme="minorBidi"/>
            <w:noProof/>
            <w:sz w:val="22"/>
          </w:rPr>
          <w:tab/>
        </w:r>
        <w:r w:rsidRPr="00845C99">
          <w:rPr>
            <w:rStyle w:val="Hyperlink"/>
            <w:noProof/>
          </w:rPr>
          <w:t>Summary of Exceedance-Based Proposals</w:t>
        </w:r>
        <w:r>
          <w:rPr>
            <w:noProof/>
            <w:webHidden/>
          </w:rPr>
          <w:tab/>
        </w:r>
        <w:r>
          <w:rPr>
            <w:noProof/>
            <w:webHidden/>
          </w:rPr>
          <w:fldChar w:fldCharType="begin"/>
        </w:r>
        <w:r>
          <w:rPr>
            <w:noProof/>
            <w:webHidden/>
          </w:rPr>
          <w:instrText xml:space="preserve"> PAGEREF _Toc131762386 \h </w:instrText>
        </w:r>
        <w:r>
          <w:rPr>
            <w:noProof/>
            <w:webHidden/>
          </w:rPr>
        </w:r>
        <w:r>
          <w:rPr>
            <w:noProof/>
            <w:webHidden/>
          </w:rPr>
          <w:fldChar w:fldCharType="separate"/>
        </w:r>
        <w:r>
          <w:rPr>
            <w:noProof/>
            <w:webHidden/>
          </w:rPr>
          <w:t>21</w:t>
        </w:r>
        <w:r>
          <w:rPr>
            <w:noProof/>
            <w:webHidden/>
          </w:rPr>
          <w:fldChar w:fldCharType="end"/>
        </w:r>
      </w:hyperlink>
    </w:p>
    <w:p w:rsidR="00FD4480" w:rsidRDefault="00FD4480" w14:paraId="6CADF7CD" w14:textId="5C8AA4C0">
      <w:pPr>
        <w:pStyle w:val="TOC3"/>
        <w:tabs>
          <w:tab w:val="left" w:pos="1296"/>
          <w:tab w:val="right" w:leader="dot" w:pos="9350"/>
        </w:tabs>
        <w:rPr>
          <w:rFonts w:asciiTheme="minorHAnsi" w:hAnsiTheme="minorHAnsi" w:cstheme="minorBidi"/>
          <w:noProof/>
          <w:sz w:val="22"/>
        </w:rPr>
      </w:pPr>
      <w:hyperlink w:history="1" w:anchor="_Toc131762387">
        <w:r w:rsidRPr="00845C99">
          <w:rPr>
            <w:rStyle w:val="Hyperlink"/>
            <w:noProof/>
          </w:rPr>
          <w:t>5.1.2.</w:t>
        </w:r>
        <w:r>
          <w:rPr>
            <w:rFonts w:asciiTheme="minorHAnsi" w:hAnsiTheme="minorHAnsi" w:cstheme="minorBidi"/>
            <w:noProof/>
            <w:sz w:val="22"/>
          </w:rPr>
          <w:tab/>
        </w:r>
        <w:r w:rsidRPr="00845C99">
          <w:rPr>
            <w:rStyle w:val="Hyperlink"/>
            <w:noProof/>
          </w:rPr>
          <w:t>Summary of Other Proposals</w:t>
        </w:r>
        <w:r>
          <w:rPr>
            <w:noProof/>
            <w:webHidden/>
          </w:rPr>
          <w:tab/>
        </w:r>
        <w:r>
          <w:rPr>
            <w:noProof/>
            <w:webHidden/>
          </w:rPr>
          <w:fldChar w:fldCharType="begin"/>
        </w:r>
        <w:r>
          <w:rPr>
            <w:noProof/>
            <w:webHidden/>
          </w:rPr>
          <w:instrText xml:space="preserve"> PAGEREF _Toc131762387 \h </w:instrText>
        </w:r>
        <w:r>
          <w:rPr>
            <w:noProof/>
            <w:webHidden/>
          </w:rPr>
        </w:r>
        <w:r>
          <w:rPr>
            <w:noProof/>
            <w:webHidden/>
          </w:rPr>
          <w:fldChar w:fldCharType="separate"/>
        </w:r>
        <w:r>
          <w:rPr>
            <w:noProof/>
            <w:webHidden/>
          </w:rPr>
          <w:t>25</w:t>
        </w:r>
        <w:r>
          <w:rPr>
            <w:noProof/>
            <w:webHidden/>
          </w:rPr>
          <w:fldChar w:fldCharType="end"/>
        </w:r>
      </w:hyperlink>
    </w:p>
    <w:p w:rsidR="00FD4480" w:rsidRDefault="00FD4480" w14:paraId="69085301" w14:textId="07971059">
      <w:pPr>
        <w:pStyle w:val="TOC3"/>
        <w:tabs>
          <w:tab w:val="left" w:pos="1296"/>
          <w:tab w:val="right" w:leader="dot" w:pos="9350"/>
        </w:tabs>
        <w:rPr>
          <w:rFonts w:asciiTheme="minorHAnsi" w:hAnsiTheme="minorHAnsi" w:cstheme="minorBidi"/>
          <w:noProof/>
          <w:sz w:val="22"/>
        </w:rPr>
      </w:pPr>
      <w:hyperlink w:history="1" w:anchor="_Toc131762388">
        <w:r w:rsidRPr="00845C99">
          <w:rPr>
            <w:rStyle w:val="Hyperlink"/>
            <w:noProof/>
          </w:rPr>
          <w:t>5.1.3.</w:t>
        </w:r>
        <w:r>
          <w:rPr>
            <w:rFonts w:asciiTheme="minorHAnsi" w:hAnsiTheme="minorHAnsi" w:cstheme="minorBidi"/>
            <w:noProof/>
            <w:sz w:val="22"/>
          </w:rPr>
          <w:tab/>
        </w:r>
        <w:r w:rsidRPr="00845C99">
          <w:rPr>
            <w:rStyle w:val="Hyperlink"/>
            <w:noProof/>
          </w:rPr>
          <w:t>Comments on Proposals</w:t>
        </w:r>
        <w:r>
          <w:rPr>
            <w:noProof/>
            <w:webHidden/>
          </w:rPr>
          <w:tab/>
        </w:r>
        <w:r>
          <w:rPr>
            <w:noProof/>
            <w:webHidden/>
          </w:rPr>
          <w:fldChar w:fldCharType="begin"/>
        </w:r>
        <w:r>
          <w:rPr>
            <w:noProof/>
            <w:webHidden/>
          </w:rPr>
          <w:instrText xml:space="preserve"> PAGEREF _Toc131762388 \h </w:instrText>
        </w:r>
        <w:r>
          <w:rPr>
            <w:noProof/>
            <w:webHidden/>
          </w:rPr>
        </w:r>
        <w:r>
          <w:rPr>
            <w:noProof/>
            <w:webHidden/>
          </w:rPr>
          <w:fldChar w:fldCharType="separate"/>
        </w:r>
        <w:r>
          <w:rPr>
            <w:noProof/>
            <w:webHidden/>
          </w:rPr>
          <w:t>26</w:t>
        </w:r>
        <w:r>
          <w:rPr>
            <w:noProof/>
            <w:webHidden/>
          </w:rPr>
          <w:fldChar w:fldCharType="end"/>
        </w:r>
      </w:hyperlink>
    </w:p>
    <w:p w:rsidR="00FD4480" w:rsidRDefault="00FD4480" w14:paraId="7F653DFA" w14:textId="3F7673F2">
      <w:pPr>
        <w:pStyle w:val="TOC3"/>
        <w:tabs>
          <w:tab w:val="left" w:pos="1296"/>
          <w:tab w:val="right" w:leader="dot" w:pos="9350"/>
        </w:tabs>
        <w:rPr>
          <w:rFonts w:asciiTheme="minorHAnsi" w:hAnsiTheme="minorHAnsi" w:cstheme="minorBidi"/>
          <w:noProof/>
          <w:sz w:val="22"/>
        </w:rPr>
      </w:pPr>
      <w:hyperlink w:history="1" w:anchor="_Toc131762389">
        <w:r w:rsidRPr="00845C99">
          <w:rPr>
            <w:rStyle w:val="Hyperlink"/>
            <w:noProof/>
          </w:rPr>
          <w:t>5.1.4.</w:t>
        </w:r>
        <w:r>
          <w:rPr>
            <w:rFonts w:asciiTheme="minorHAnsi" w:hAnsiTheme="minorHAnsi" w:cstheme="minorBidi"/>
            <w:noProof/>
            <w:sz w:val="22"/>
          </w:rPr>
          <w:tab/>
        </w:r>
        <w:r w:rsidRPr="00845C99">
          <w:rPr>
            <w:rStyle w:val="Hyperlink"/>
            <w:noProof/>
          </w:rPr>
          <w:t>Discussion</w:t>
        </w:r>
        <w:r>
          <w:rPr>
            <w:noProof/>
            <w:webHidden/>
          </w:rPr>
          <w:tab/>
        </w:r>
        <w:r>
          <w:rPr>
            <w:noProof/>
            <w:webHidden/>
          </w:rPr>
          <w:fldChar w:fldCharType="begin"/>
        </w:r>
        <w:r>
          <w:rPr>
            <w:noProof/>
            <w:webHidden/>
          </w:rPr>
          <w:instrText xml:space="preserve"> PAGEREF _Toc131762389 \h </w:instrText>
        </w:r>
        <w:r>
          <w:rPr>
            <w:noProof/>
            <w:webHidden/>
          </w:rPr>
        </w:r>
        <w:r>
          <w:rPr>
            <w:noProof/>
            <w:webHidden/>
          </w:rPr>
          <w:fldChar w:fldCharType="separate"/>
        </w:r>
        <w:r>
          <w:rPr>
            <w:noProof/>
            <w:webHidden/>
          </w:rPr>
          <w:t>30</w:t>
        </w:r>
        <w:r>
          <w:rPr>
            <w:noProof/>
            <w:webHidden/>
          </w:rPr>
          <w:fldChar w:fldCharType="end"/>
        </w:r>
      </w:hyperlink>
    </w:p>
    <w:p w:rsidR="00FD4480" w:rsidRDefault="00FD4480" w14:paraId="6A07A03F" w14:textId="5AE02A27">
      <w:pPr>
        <w:pStyle w:val="TOC2"/>
        <w:tabs>
          <w:tab w:val="right" w:leader="dot" w:pos="9350"/>
        </w:tabs>
        <w:rPr>
          <w:rFonts w:asciiTheme="minorHAnsi" w:hAnsiTheme="minorHAnsi" w:cstheme="minorBidi"/>
          <w:noProof/>
          <w:sz w:val="22"/>
        </w:rPr>
      </w:pPr>
      <w:hyperlink w:history="1" w:anchor="_Toc131762390">
        <w:r w:rsidRPr="00845C99">
          <w:rPr>
            <w:rStyle w:val="Hyperlink"/>
            <w:noProof/>
          </w:rPr>
          <w:t>5.2.</w:t>
        </w:r>
        <w:r>
          <w:rPr>
            <w:rFonts w:asciiTheme="minorHAnsi" w:hAnsiTheme="minorHAnsi" w:cstheme="minorBidi"/>
            <w:noProof/>
            <w:sz w:val="22"/>
          </w:rPr>
          <w:tab/>
        </w:r>
        <w:r w:rsidRPr="00845C99">
          <w:rPr>
            <w:rStyle w:val="Hyperlink"/>
            <w:noProof/>
          </w:rPr>
          <w:t>Hybrid and Co-Located Resource Counting</w:t>
        </w:r>
        <w:r>
          <w:rPr>
            <w:noProof/>
            <w:webHidden/>
          </w:rPr>
          <w:tab/>
        </w:r>
        <w:r>
          <w:rPr>
            <w:noProof/>
            <w:webHidden/>
          </w:rPr>
          <w:fldChar w:fldCharType="begin"/>
        </w:r>
        <w:r>
          <w:rPr>
            <w:noProof/>
            <w:webHidden/>
          </w:rPr>
          <w:instrText xml:space="preserve"> PAGEREF _Toc131762390 \h </w:instrText>
        </w:r>
        <w:r>
          <w:rPr>
            <w:noProof/>
            <w:webHidden/>
          </w:rPr>
        </w:r>
        <w:r>
          <w:rPr>
            <w:noProof/>
            <w:webHidden/>
          </w:rPr>
          <w:fldChar w:fldCharType="separate"/>
        </w:r>
        <w:r>
          <w:rPr>
            <w:noProof/>
            <w:webHidden/>
          </w:rPr>
          <w:t>33</w:t>
        </w:r>
        <w:r>
          <w:rPr>
            <w:noProof/>
            <w:webHidden/>
          </w:rPr>
          <w:fldChar w:fldCharType="end"/>
        </w:r>
      </w:hyperlink>
    </w:p>
    <w:p w:rsidR="00FD4480" w:rsidRDefault="00FD4480" w14:paraId="419B779D" w14:textId="6A03F755">
      <w:pPr>
        <w:pStyle w:val="TOC3"/>
        <w:tabs>
          <w:tab w:val="left" w:pos="1296"/>
          <w:tab w:val="right" w:leader="dot" w:pos="9350"/>
        </w:tabs>
        <w:rPr>
          <w:rFonts w:asciiTheme="minorHAnsi" w:hAnsiTheme="minorHAnsi" w:cstheme="minorBidi"/>
          <w:noProof/>
          <w:sz w:val="22"/>
        </w:rPr>
      </w:pPr>
      <w:hyperlink w:history="1" w:anchor="_Toc131762391">
        <w:r w:rsidRPr="00845C99">
          <w:rPr>
            <w:rStyle w:val="Hyperlink"/>
            <w:noProof/>
          </w:rPr>
          <w:t>5.2.1.</w:t>
        </w:r>
        <w:r>
          <w:rPr>
            <w:rFonts w:asciiTheme="minorHAnsi" w:hAnsiTheme="minorHAnsi" w:cstheme="minorBidi"/>
            <w:noProof/>
            <w:sz w:val="22"/>
          </w:rPr>
          <w:tab/>
        </w:r>
        <w:r w:rsidRPr="00845C99">
          <w:rPr>
            <w:rStyle w:val="Hyperlink"/>
            <w:noProof/>
          </w:rPr>
          <w:t>Comments on Proposals</w:t>
        </w:r>
        <w:r>
          <w:rPr>
            <w:noProof/>
            <w:webHidden/>
          </w:rPr>
          <w:tab/>
        </w:r>
        <w:r>
          <w:rPr>
            <w:noProof/>
            <w:webHidden/>
          </w:rPr>
          <w:fldChar w:fldCharType="begin"/>
        </w:r>
        <w:r>
          <w:rPr>
            <w:noProof/>
            <w:webHidden/>
          </w:rPr>
          <w:instrText xml:space="preserve"> PAGEREF _Toc131762391 \h </w:instrText>
        </w:r>
        <w:r>
          <w:rPr>
            <w:noProof/>
            <w:webHidden/>
          </w:rPr>
        </w:r>
        <w:r>
          <w:rPr>
            <w:noProof/>
            <w:webHidden/>
          </w:rPr>
          <w:fldChar w:fldCharType="separate"/>
        </w:r>
        <w:r>
          <w:rPr>
            <w:noProof/>
            <w:webHidden/>
          </w:rPr>
          <w:t>36</w:t>
        </w:r>
        <w:r>
          <w:rPr>
            <w:noProof/>
            <w:webHidden/>
          </w:rPr>
          <w:fldChar w:fldCharType="end"/>
        </w:r>
      </w:hyperlink>
    </w:p>
    <w:p w:rsidR="00FD4480" w:rsidRDefault="00FD4480" w14:paraId="04489D01" w14:textId="346EE329">
      <w:pPr>
        <w:pStyle w:val="TOC3"/>
        <w:tabs>
          <w:tab w:val="left" w:pos="1296"/>
          <w:tab w:val="right" w:leader="dot" w:pos="9350"/>
        </w:tabs>
        <w:rPr>
          <w:rFonts w:asciiTheme="minorHAnsi" w:hAnsiTheme="minorHAnsi" w:cstheme="minorBidi"/>
          <w:noProof/>
          <w:sz w:val="22"/>
        </w:rPr>
      </w:pPr>
      <w:hyperlink w:history="1" w:anchor="_Toc131762392">
        <w:r w:rsidRPr="00845C99">
          <w:rPr>
            <w:rStyle w:val="Hyperlink"/>
            <w:noProof/>
          </w:rPr>
          <w:t>5.2.2.</w:t>
        </w:r>
        <w:r>
          <w:rPr>
            <w:rFonts w:asciiTheme="minorHAnsi" w:hAnsiTheme="minorHAnsi" w:cstheme="minorBidi"/>
            <w:noProof/>
            <w:sz w:val="22"/>
          </w:rPr>
          <w:tab/>
        </w:r>
        <w:r w:rsidRPr="00845C99">
          <w:rPr>
            <w:rStyle w:val="Hyperlink"/>
            <w:noProof/>
          </w:rPr>
          <w:t>Discussion</w:t>
        </w:r>
        <w:r>
          <w:rPr>
            <w:noProof/>
            <w:webHidden/>
          </w:rPr>
          <w:tab/>
        </w:r>
        <w:r>
          <w:rPr>
            <w:noProof/>
            <w:webHidden/>
          </w:rPr>
          <w:fldChar w:fldCharType="begin"/>
        </w:r>
        <w:r>
          <w:rPr>
            <w:noProof/>
            <w:webHidden/>
          </w:rPr>
          <w:instrText xml:space="preserve"> PAGEREF _Toc131762392 \h </w:instrText>
        </w:r>
        <w:r>
          <w:rPr>
            <w:noProof/>
            <w:webHidden/>
          </w:rPr>
        </w:r>
        <w:r>
          <w:rPr>
            <w:noProof/>
            <w:webHidden/>
          </w:rPr>
          <w:fldChar w:fldCharType="separate"/>
        </w:r>
        <w:r>
          <w:rPr>
            <w:noProof/>
            <w:webHidden/>
          </w:rPr>
          <w:t>38</w:t>
        </w:r>
        <w:r>
          <w:rPr>
            <w:noProof/>
            <w:webHidden/>
          </w:rPr>
          <w:fldChar w:fldCharType="end"/>
        </w:r>
      </w:hyperlink>
    </w:p>
    <w:p w:rsidR="00FD4480" w:rsidRDefault="00FD4480" w14:paraId="70BBD01B" w14:textId="28C95AB4">
      <w:pPr>
        <w:pStyle w:val="TOC2"/>
        <w:tabs>
          <w:tab w:val="right" w:leader="dot" w:pos="9350"/>
        </w:tabs>
        <w:rPr>
          <w:rFonts w:asciiTheme="minorHAnsi" w:hAnsiTheme="minorHAnsi" w:cstheme="minorBidi"/>
          <w:noProof/>
          <w:sz w:val="22"/>
        </w:rPr>
      </w:pPr>
      <w:hyperlink w:history="1" w:anchor="_Toc131762393">
        <w:r w:rsidRPr="00845C99">
          <w:rPr>
            <w:rStyle w:val="Hyperlink"/>
            <w:noProof/>
          </w:rPr>
          <w:t>5.3.</w:t>
        </w:r>
        <w:r>
          <w:rPr>
            <w:rFonts w:asciiTheme="minorHAnsi" w:hAnsiTheme="minorHAnsi" w:cstheme="minorBidi"/>
            <w:noProof/>
            <w:sz w:val="22"/>
          </w:rPr>
          <w:tab/>
        </w:r>
        <w:r w:rsidRPr="00845C99">
          <w:rPr>
            <w:rStyle w:val="Hyperlink"/>
            <w:noProof/>
          </w:rPr>
          <w:t>Unforced Capacity Evaluation (UCAP) / UCAP-Light Methodology</w:t>
        </w:r>
        <w:r>
          <w:rPr>
            <w:noProof/>
            <w:webHidden/>
          </w:rPr>
          <w:tab/>
        </w:r>
        <w:r>
          <w:rPr>
            <w:noProof/>
            <w:webHidden/>
          </w:rPr>
          <w:fldChar w:fldCharType="begin"/>
        </w:r>
        <w:r>
          <w:rPr>
            <w:noProof/>
            <w:webHidden/>
          </w:rPr>
          <w:instrText xml:space="preserve"> PAGEREF _Toc131762393 \h </w:instrText>
        </w:r>
        <w:r>
          <w:rPr>
            <w:noProof/>
            <w:webHidden/>
          </w:rPr>
        </w:r>
        <w:r>
          <w:rPr>
            <w:noProof/>
            <w:webHidden/>
          </w:rPr>
          <w:fldChar w:fldCharType="separate"/>
        </w:r>
        <w:r>
          <w:rPr>
            <w:noProof/>
            <w:webHidden/>
          </w:rPr>
          <w:t>39</w:t>
        </w:r>
        <w:r>
          <w:rPr>
            <w:noProof/>
            <w:webHidden/>
          </w:rPr>
          <w:fldChar w:fldCharType="end"/>
        </w:r>
      </w:hyperlink>
    </w:p>
    <w:p w:rsidR="00FD4480" w:rsidRDefault="00FD4480" w14:paraId="702B841B" w14:textId="3235BEF7">
      <w:pPr>
        <w:pStyle w:val="TOC2"/>
        <w:tabs>
          <w:tab w:val="right" w:leader="dot" w:pos="9350"/>
        </w:tabs>
        <w:rPr>
          <w:rFonts w:asciiTheme="minorHAnsi" w:hAnsiTheme="minorHAnsi" w:cstheme="minorBidi"/>
          <w:noProof/>
          <w:sz w:val="22"/>
        </w:rPr>
      </w:pPr>
      <w:hyperlink w:history="1" w:anchor="_Toc131762394">
        <w:r w:rsidRPr="00845C99">
          <w:rPr>
            <w:rStyle w:val="Hyperlink"/>
            <w:noProof/>
          </w:rPr>
          <w:t>5.4.</w:t>
        </w:r>
        <w:r>
          <w:rPr>
            <w:rFonts w:asciiTheme="minorHAnsi" w:hAnsiTheme="minorHAnsi" w:cstheme="minorBidi"/>
            <w:noProof/>
            <w:sz w:val="22"/>
          </w:rPr>
          <w:tab/>
        </w:r>
        <w:r w:rsidRPr="00845C99">
          <w:rPr>
            <w:rStyle w:val="Hyperlink"/>
            <w:noProof/>
          </w:rPr>
          <w:t>Energy Storage Resource Counting</w:t>
        </w:r>
        <w:r>
          <w:rPr>
            <w:noProof/>
            <w:webHidden/>
          </w:rPr>
          <w:tab/>
        </w:r>
        <w:r>
          <w:rPr>
            <w:noProof/>
            <w:webHidden/>
          </w:rPr>
          <w:fldChar w:fldCharType="begin"/>
        </w:r>
        <w:r>
          <w:rPr>
            <w:noProof/>
            <w:webHidden/>
          </w:rPr>
          <w:instrText xml:space="preserve"> PAGEREF _Toc131762394 \h </w:instrText>
        </w:r>
        <w:r>
          <w:rPr>
            <w:noProof/>
            <w:webHidden/>
          </w:rPr>
        </w:r>
        <w:r>
          <w:rPr>
            <w:noProof/>
            <w:webHidden/>
          </w:rPr>
          <w:fldChar w:fldCharType="separate"/>
        </w:r>
        <w:r>
          <w:rPr>
            <w:noProof/>
            <w:webHidden/>
          </w:rPr>
          <w:t>41</w:t>
        </w:r>
        <w:r>
          <w:rPr>
            <w:noProof/>
            <w:webHidden/>
          </w:rPr>
          <w:fldChar w:fldCharType="end"/>
        </w:r>
      </w:hyperlink>
    </w:p>
    <w:p w:rsidR="00FD4480" w:rsidRDefault="00FD4480" w14:paraId="5077FA04" w14:textId="3C3EA3F7">
      <w:pPr>
        <w:pStyle w:val="TOC3"/>
        <w:tabs>
          <w:tab w:val="left" w:pos="1296"/>
          <w:tab w:val="right" w:leader="dot" w:pos="9350"/>
        </w:tabs>
        <w:rPr>
          <w:rFonts w:asciiTheme="minorHAnsi" w:hAnsiTheme="minorHAnsi" w:cstheme="minorBidi"/>
          <w:noProof/>
          <w:sz w:val="22"/>
        </w:rPr>
      </w:pPr>
      <w:hyperlink w:history="1" w:anchor="_Toc131762395">
        <w:r w:rsidRPr="00845C99">
          <w:rPr>
            <w:rStyle w:val="Hyperlink"/>
            <w:noProof/>
          </w:rPr>
          <w:t>5.4.1.</w:t>
        </w:r>
        <w:r>
          <w:rPr>
            <w:rFonts w:asciiTheme="minorHAnsi" w:hAnsiTheme="minorHAnsi" w:cstheme="minorBidi"/>
            <w:noProof/>
            <w:sz w:val="22"/>
          </w:rPr>
          <w:tab/>
        </w:r>
        <w:r w:rsidRPr="00845C99">
          <w:rPr>
            <w:rStyle w:val="Hyperlink"/>
            <w:noProof/>
          </w:rPr>
          <w:t>Multi-Cycle Storage</w:t>
        </w:r>
        <w:r>
          <w:rPr>
            <w:noProof/>
            <w:webHidden/>
          </w:rPr>
          <w:tab/>
        </w:r>
        <w:r>
          <w:rPr>
            <w:noProof/>
            <w:webHidden/>
          </w:rPr>
          <w:fldChar w:fldCharType="begin"/>
        </w:r>
        <w:r>
          <w:rPr>
            <w:noProof/>
            <w:webHidden/>
          </w:rPr>
          <w:instrText xml:space="preserve"> PAGEREF _Toc131762395 \h </w:instrText>
        </w:r>
        <w:r>
          <w:rPr>
            <w:noProof/>
            <w:webHidden/>
          </w:rPr>
        </w:r>
        <w:r>
          <w:rPr>
            <w:noProof/>
            <w:webHidden/>
          </w:rPr>
          <w:fldChar w:fldCharType="separate"/>
        </w:r>
        <w:r>
          <w:rPr>
            <w:noProof/>
            <w:webHidden/>
          </w:rPr>
          <w:t>42</w:t>
        </w:r>
        <w:r>
          <w:rPr>
            <w:noProof/>
            <w:webHidden/>
          </w:rPr>
          <w:fldChar w:fldCharType="end"/>
        </w:r>
      </w:hyperlink>
    </w:p>
    <w:p w:rsidR="00FD4480" w:rsidRDefault="00FD4480" w14:paraId="25BF4F2F" w14:textId="0A65244B">
      <w:pPr>
        <w:pStyle w:val="TOC3"/>
        <w:tabs>
          <w:tab w:val="left" w:pos="1296"/>
          <w:tab w:val="right" w:leader="dot" w:pos="9350"/>
        </w:tabs>
        <w:rPr>
          <w:rFonts w:asciiTheme="minorHAnsi" w:hAnsiTheme="minorHAnsi" w:cstheme="minorBidi"/>
          <w:noProof/>
          <w:sz w:val="22"/>
        </w:rPr>
      </w:pPr>
      <w:hyperlink w:history="1" w:anchor="_Toc131762396">
        <w:r w:rsidRPr="00845C99">
          <w:rPr>
            <w:rStyle w:val="Hyperlink"/>
            <w:noProof/>
          </w:rPr>
          <w:t>5.4.2.</w:t>
        </w:r>
        <w:r>
          <w:rPr>
            <w:rFonts w:asciiTheme="minorHAnsi" w:hAnsiTheme="minorHAnsi" w:cstheme="minorBidi"/>
            <w:noProof/>
            <w:sz w:val="22"/>
          </w:rPr>
          <w:tab/>
        </w:r>
        <w:r w:rsidRPr="00845C99">
          <w:rPr>
            <w:rStyle w:val="Hyperlink"/>
            <w:noProof/>
          </w:rPr>
          <w:t>Multi-Day Storage</w:t>
        </w:r>
        <w:r>
          <w:rPr>
            <w:noProof/>
            <w:webHidden/>
          </w:rPr>
          <w:tab/>
        </w:r>
        <w:r>
          <w:rPr>
            <w:noProof/>
            <w:webHidden/>
          </w:rPr>
          <w:fldChar w:fldCharType="begin"/>
        </w:r>
        <w:r>
          <w:rPr>
            <w:noProof/>
            <w:webHidden/>
          </w:rPr>
          <w:instrText xml:space="preserve"> PAGEREF _Toc131762396 \h </w:instrText>
        </w:r>
        <w:r>
          <w:rPr>
            <w:noProof/>
            <w:webHidden/>
          </w:rPr>
        </w:r>
        <w:r>
          <w:rPr>
            <w:noProof/>
            <w:webHidden/>
          </w:rPr>
          <w:fldChar w:fldCharType="separate"/>
        </w:r>
        <w:r>
          <w:rPr>
            <w:noProof/>
            <w:webHidden/>
          </w:rPr>
          <w:t>44</w:t>
        </w:r>
        <w:r>
          <w:rPr>
            <w:noProof/>
            <w:webHidden/>
          </w:rPr>
          <w:fldChar w:fldCharType="end"/>
        </w:r>
      </w:hyperlink>
    </w:p>
    <w:p w:rsidR="00FD4480" w:rsidRDefault="00FD4480" w14:paraId="374D8ED9" w14:textId="3301CD2A">
      <w:pPr>
        <w:pStyle w:val="TOC2"/>
        <w:tabs>
          <w:tab w:val="right" w:leader="dot" w:pos="9350"/>
        </w:tabs>
        <w:rPr>
          <w:rFonts w:asciiTheme="minorHAnsi" w:hAnsiTheme="minorHAnsi" w:cstheme="minorBidi"/>
          <w:noProof/>
          <w:sz w:val="22"/>
        </w:rPr>
      </w:pPr>
      <w:hyperlink w:history="1" w:anchor="_Toc131762397">
        <w:r w:rsidRPr="00845C99">
          <w:rPr>
            <w:rStyle w:val="Hyperlink"/>
            <w:noProof/>
          </w:rPr>
          <w:t>5.5.</w:t>
        </w:r>
        <w:r>
          <w:rPr>
            <w:rFonts w:asciiTheme="minorHAnsi" w:hAnsiTheme="minorHAnsi" w:cstheme="minorBidi"/>
            <w:noProof/>
            <w:sz w:val="22"/>
          </w:rPr>
          <w:tab/>
        </w:r>
        <w:r w:rsidRPr="00845C99">
          <w:rPr>
            <w:rStyle w:val="Hyperlink"/>
            <w:noProof/>
          </w:rPr>
          <w:t>Hydroelectric Resource Counting</w:t>
        </w:r>
        <w:r>
          <w:rPr>
            <w:noProof/>
            <w:webHidden/>
          </w:rPr>
          <w:tab/>
        </w:r>
        <w:r>
          <w:rPr>
            <w:noProof/>
            <w:webHidden/>
          </w:rPr>
          <w:fldChar w:fldCharType="begin"/>
        </w:r>
        <w:r>
          <w:rPr>
            <w:noProof/>
            <w:webHidden/>
          </w:rPr>
          <w:instrText xml:space="preserve"> PAGEREF _Toc131762397 \h </w:instrText>
        </w:r>
        <w:r>
          <w:rPr>
            <w:noProof/>
            <w:webHidden/>
          </w:rPr>
        </w:r>
        <w:r>
          <w:rPr>
            <w:noProof/>
            <w:webHidden/>
          </w:rPr>
          <w:fldChar w:fldCharType="separate"/>
        </w:r>
        <w:r>
          <w:rPr>
            <w:noProof/>
            <w:webHidden/>
          </w:rPr>
          <w:t>46</w:t>
        </w:r>
        <w:r>
          <w:rPr>
            <w:noProof/>
            <w:webHidden/>
          </w:rPr>
          <w:fldChar w:fldCharType="end"/>
        </w:r>
      </w:hyperlink>
    </w:p>
    <w:p w:rsidR="00FD4480" w:rsidRDefault="00FD4480" w14:paraId="356DED54" w14:textId="1815C6FF">
      <w:pPr>
        <w:pStyle w:val="TOC2"/>
        <w:tabs>
          <w:tab w:val="right" w:leader="dot" w:pos="9350"/>
        </w:tabs>
        <w:rPr>
          <w:rFonts w:asciiTheme="minorHAnsi" w:hAnsiTheme="minorHAnsi" w:cstheme="minorBidi"/>
          <w:noProof/>
          <w:sz w:val="22"/>
        </w:rPr>
      </w:pPr>
      <w:hyperlink w:history="1" w:anchor="_Toc131762398">
        <w:r w:rsidRPr="00845C99">
          <w:rPr>
            <w:rStyle w:val="Hyperlink"/>
            <w:noProof/>
          </w:rPr>
          <w:t>5.6.</w:t>
        </w:r>
        <w:r>
          <w:rPr>
            <w:rFonts w:asciiTheme="minorHAnsi" w:hAnsiTheme="minorHAnsi" w:cstheme="minorBidi"/>
            <w:noProof/>
            <w:sz w:val="22"/>
          </w:rPr>
          <w:tab/>
        </w:r>
        <w:r w:rsidRPr="00845C99">
          <w:rPr>
            <w:rStyle w:val="Hyperlink"/>
            <w:noProof/>
          </w:rPr>
          <w:t>Demand Response Resource Counting</w:t>
        </w:r>
        <w:r>
          <w:rPr>
            <w:noProof/>
            <w:webHidden/>
          </w:rPr>
          <w:tab/>
        </w:r>
        <w:r>
          <w:rPr>
            <w:noProof/>
            <w:webHidden/>
          </w:rPr>
          <w:fldChar w:fldCharType="begin"/>
        </w:r>
        <w:r>
          <w:rPr>
            <w:noProof/>
            <w:webHidden/>
          </w:rPr>
          <w:instrText xml:space="preserve"> PAGEREF _Toc131762398 \h </w:instrText>
        </w:r>
        <w:r>
          <w:rPr>
            <w:noProof/>
            <w:webHidden/>
          </w:rPr>
        </w:r>
        <w:r>
          <w:rPr>
            <w:noProof/>
            <w:webHidden/>
          </w:rPr>
          <w:fldChar w:fldCharType="separate"/>
        </w:r>
        <w:r>
          <w:rPr>
            <w:noProof/>
            <w:webHidden/>
          </w:rPr>
          <w:t>47</w:t>
        </w:r>
        <w:r>
          <w:rPr>
            <w:noProof/>
            <w:webHidden/>
          </w:rPr>
          <w:fldChar w:fldCharType="end"/>
        </w:r>
      </w:hyperlink>
    </w:p>
    <w:p w:rsidR="00FD4480" w:rsidRDefault="00FD4480" w14:paraId="553688D4" w14:textId="41E5FE75">
      <w:pPr>
        <w:pStyle w:val="TOC3"/>
        <w:tabs>
          <w:tab w:val="left" w:pos="1296"/>
          <w:tab w:val="right" w:leader="dot" w:pos="9350"/>
        </w:tabs>
        <w:rPr>
          <w:rFonts w:asciiTheme="minorHAnsi" w:hAnsiTheme="minorHAnsi" w:cstheme="minorBidi"/>
          <w:noProof/>
          <w:sz w:val="22"/>
        </w:rPr>
      </w:pPr>
      <w:hyperlink w:history="1" w:anchor="_Toc131762399">
        <w:r w:rsidRPr="00845C99">
          <w:rPr>
            <w:rStyle w:val="Hyperlink"/>
            <w:noProof/>
          </w:rPr>
          <w:t>5.6.1.</w:t>
        </w:r>
        <w:r>
          <w:rPr>
            <w:rFonts w:asciiTheme="minorHAnsi" w:hAnsiTheme="minorHAnsi" w:cstheme="minorBidi"/>
            <w:noProof/>
            <w:sz w:val="22"/>
          </w:rPr>
          <w:tab/>
        </w:r>
        <w:r w:rsidRPr="00845C99">
          <w:rPr>
            <w:rStyle w:val="Hyperlink"/>
            <w:noProof/>
          </w:rPr>
          <w:t>Test Year Methodology</w:t>
        </w:r>
        <w:r>
          <w:rPr>
            <w:noProof/>
            <w:webHidden/>
          </w:rPr>
          <w:tab/>
        </w:r>
        <w:r>
          <w:rPr>
            <w:noProof/>
            <w:webHidden/>
          </w:rPr>
          <w:fldChar w:fldCharType="begin"/>
        </w:r>
        <w:r>
          <w:rPr>
            <w:noProof/>
            <w:webHidden/>
          </w:rPr>
          <w:instrText xml:space="preserve"> PAGEREF _Toc131762399 \h </w:instrText>
        </w:r>
        <w:r>
          <w:rPr>
            <w:noProof/>
            <w:webHidden/>
          </w:rPr>
        </w:r>
        <w:r>
          <w:rPr>
            <w:noProof/>
            <w:webHidden/>
          </w:rPr>
          <w:fldChar w:fldCharType="separate"/>
        </w:r>
        <w:r>
          <w:rPr>
            <w:noProof/>
            <w:webHidden/>
          </w:rPr>
          <w:t>48</w:t>
        </w:r>
        <w:r>
          <w:rPr>
            <w:noProof/>
            <w:webHidden/>
          </w:rPr>
          <w:fldChar w:fldCharType="end"/>
        </w:r>
      </w:hyperlink>
    </w:p>
    <w:p w:rsidR="00FD4480" w:rsidRDefault="00FD4480" w14:paraId="282C1AA3" w14:textId="030F320D">
      <w:pPr>
        <w:pStyle w:val="TOC3"/>
        <w:tabs>
          <w:tab w:val="left" w:pos="1296"/>
          <w:tab w:val="right" w:leader="dot" w:pos="9350"/>
        </w:tabs>
        <w:rPr>
          <w:rFonts w:asciiTheme="minorHAnsi" w:hAnsiTheme="minorHAnsi" w:cstheme="minorBidi"/>
          <w:noProof/>
          <w:sz w:val="22"/>
        </w:rPr>
      </w:pPr>
      <w:hyperlink w:history="1" w:anchor="_Toc131762400">
        <w:r w:rsidRPr="00845C99">
          <w:rPr>
            <w:rStyle w:val="Hyperlink"/>
            <w:noProof/>
          </w:rPr>
          <w:t>5.6.2.</w:t>
        </w:r>
        <w:r>
          <w:rPr>
            <w:rFonts w:asciiTheme="minorHAnsi" w:hAnsiTheme="minorHAnsi" w:cstheme="minorBidi"/>
            <w:noProof/>
            <w:sz w:val="22"/>
          </w:rPr>
          <w:tab/>
        </w:r>
        <w:r w:rsidRPr="00845C99">
          <w:rPr>
            <w:rStyle w:val="Hyperlink"/>
            <w:noProof/>
          </w:rPr>
          <w:t>Demand Response Adders</w:t>
        </w:r>
        <w:r>
          <w:rPr>
            <w:noProof/>
            <w:webHidden/>
          </w:rPr>
          <w:tab/>
        </w:r>
        <w:r>
          <w:rPr>
            <w:noProof/>
            <w:webHidden/>
          </w:rPr>
          <w:fldChar w:fldCharType="begin"/>
        </w:r>
        <w:r>
          <w:rPr>
            <w:noProof/>
            <w:webHidden/>
          </w:rPr>
          <w:instrText xml:space="preserve"> PAGEREF _Toc131762400 \h </w:instrText>
        </w:r>
        <w:r>
          <w:rPr>
            <w:noProof/>
            <w:webHidden/>
          </w:rPr>
        </w:r>
        <w:r>
          <w:rPr>
            <w:noProof/>
            <w:webHidden/>
          </w:rPr>
          <w:fldChar w:fldCharType="separate"/>
        </w:r>
        <w:r>
          <w:rPr>
            <w:noProof/>
            <w:webHidden/>
          </w:rPr>
          <w:t>53</w:t>
        </w:r>
        <w:r>
          <w:rPr>
            <w:noProof/>
            <w:webHidden/>
          </w:rPr>
          <w:fldChar w:fldCharType="end"/>
        </w:r>
      </w:hyperlink>
    </w:p>
    <w:p w:rsidR="00FD4480" w:rsidRDefault="00FD4480" w14:paraId="3F06AF17" w14:textId="08B7E825">
      <w:pPr>
        <w:pStyle w:val="TOC2"/>
        <w:tabs>
          <w:tab w:val="right" w:leader="dot" w:pos="9350"/>
        </w:tabs>
        <w:rPr>
          <w:rFonts w:asciiTheme="minorHAnsi" w:hAnsiTheme="minorHAnsi" w:cstheme="minorBidi"/>
          <w:noProof/>
          <w:sz w:val="22"/>
        </w:rPr>
      </w:pPr>
      <w:hyperlink w:history="1" w:anchor="_Toc131762401">
        <w:r w:rsidRPr="00845C99">
          <w:rPr>
            <w:rStyle w:val="Hyperlink"/>
            <w:noProof/>
          </w:rPr>
          <w:t>5.7.</w:t>
        </w:r>
        <w:r>
          <w:rPr>
            <w:rFonts w:asciiTheme="minorHAnsi" w:hAnsiTheme="minorHAnsi" w:cstheme="minorBidi"/>
            <w:noProof/>
            <w:sz w:val="22"/>
          </w:rPr>
          <w:tab/>
        </w:r>
        <w:r w:rsidRPr="00845C99">
          <w:rPr>
            <w:rStyle w:val="Hyperlink"/>
            <w:noProof/>
          </w:rPr>
          <w:t>Planning Reserve Margin Calibration</w:t>
        </w:r>
        <w:r>
          <w:rPr>
            <w:noProof/>
            <w:webHidden/>
          </w:rPr>
          <w:tab/>
        </w:r>
        <w:r>
          <w:rPr>
            <w:noProof/>
            <w:webHidden/>
          </w:rPr>
          <w:fldChar w:fldCharType="begin"/>
        </w:r>
        <w:r>
          <w:rPr>
            <w:noProof/>
            <w:webHidden/>
          </w:rPr>
          <w:instrText xml:space="preserve"> PAGEREF _Toc131762401 \h </w:instrText>
        </w:r>
        <w:r>
          <w:rPr>
            <w:noProof/>
            <w:webHidden/>
          </w:rPr>
        </w:r>
        <w:r>
          <w:rPr>
            <w:noProof/>
            <w:webHidden/>
          </w:rPr>
          <w:fldChar w:fldCharType="separate"/>
        </w:r>
        <w:r>
          <w:rPr>
            <w:noProof/>
            <w:webHidden/>
          </w:rPr>
          <w:t>55</w:t>
        </w:r>
        <w:r>
          <w:rPr>
            <w:noProof/>
            <w:webHidden/>
          </w:rPr>
          <w:fldChar w:fldCharType="end"/>
        </w:r>
      </w:hyperlink>
    </w:p>
    <w:p w:rsidR="00FD4480" w:rsidRDefault="00FD4480" w14:paraId="7E77D0F4" w14:textId="5DD6E9DA">
      <w:pPr>
        <w:pStyle w:val="TOC3"/>
        <w:tabs>
          <w:tab w:val="left" w:pos="1296"/>
          <w:tab w:val="right" w:leader="dot" w:pos="9350"/>
        </w:tabs>
        <w:rPr>
          <w:rFonts w:asciiTheme="minorHAnsi" w:hAnsiTheme="minorHAnsi" w:cstheme="minorBidi"/>
          <w:noProof/>
          <w:sz w:val="22"/>
        </w:rPr>
      </w:pPr>
      <w:hyperlink w:history="1" w:anchor="_Toc131762402">
        <w:r w:rsidRPr="00845C99">
          <w:rPr>
            <w:rStyle w:val="Hyperlink"/>
            <w:noProof/>
          </w:rPr>
          <w:t>5.7.1.</w:t>
        </w:r>
        <w:r>
          <w:rPr>
            <w:rFonts w:asciiTheme="minorHAnsi" w:hAnsiTheme="minorHAnsi" w:cstheme="minorBidi"/>
            <w:noProof/>
            <w:sz w:val="22"/>
          </w:rPr>
          <w:tab/>
        </w:r>
        <w:r w:rsidRPr="00845C99">
          <w:rPr>
            <w:rStyle w:val="Hyperlink"/>
            <w:noProof/>
          </w:rPr>
          <w:t>Comments on Proposals</w:t>
        </w:r>
        <w:r>
          <w:rPr>
            <w:noProof/>
            <w:webHidden/>
          </w:rPr>
          <w:tab/>
        </w:r>
        <w:r>
          <w:rPr>
            <w:noProof/>
            <w:webHidden/>
          </w:rPr>
          <w:fldChar w:fldCharType="begin"/>
        </w:r>
        <w:r>
          <w:rPr>
            <w:noProof/>
            <w:webHidden/>
          </w:rPr>
          <w:instrText xml:space="preserve"> PAGEREF _Toc131762402 \h </w:instrText>
        </w:r>
        <w:r>
          <w:rPr>
            <w:noProof/>
            <w:webHidden/>
          </w:rPr>
        </w:r>
        <w:r>
          <w:rPr>
            <w:noProof/>
            <w:webHidden/>
          </w:rPr>
          <w:fldChar w:fldCharType="separate"/>
        </w:r>
        <w:r>
          <w:rPr>
            <w:noProof/>
            <w:webHidden/>
          </w:rPr>
          <w:t>58</w:t>
        </w:r>
        <w:r>
          <w:rPr>
            <w:noProof/>
            <w:webHidden/>
          </w:rPr>
          <w:fldChar w:fldCharType="end"/>
        </w:r>
      </w:hyperlink>
    </w:p>
    <w:p w:rsidR="00FD4480" w:rsidRDefault="00FD4480" w14:paraId="55982B68" w14:textId="6B456ADF">
      <w:pPr>
        <w:pStyle w:val="TOC3"/>
        <w:tabs>
          <w:tab w:val="left" w:pos="1296"/>
          <w:tab w:val="right" w:leader="dot" w:pos="9350"/>
        </w:tabs>
        <w:rPr>
          <w:rFonts w:asciiTheme="minorHAnsi" w:hAnsiTheme="minorHAnsi" w:cstheme="minorBidi"/>
          <w:noProof/>
          <w:sz w:val="22"/>
        </w:rPr>
      </w:pPr>
      <w:hyperlink w:history="1" w:anchor="_Toc131762403">
        <w:r w:rsidRPr="00845C99">
          <w:rPr>
            <w:rStyle w:val="Hyperlink"/>
            <w:noProof/>
          </w:rPr>
          <w:t>5.7.2.</w:t>
        </w:r>
        <w:r>
          <w:rPr>
            <w:rFonts w:asciiTheme="minorHAnsi" w:hAnsiTheme="minorHAnsi" w:cstheme="minorBidi"/>
            <w:noProof/>
            <w:sz w:val="22"/>
          </w:rPr>
          <w:tab/>
        </w:r>
        <w:r w:rsidRPr="00845C99">
          <w:rPr>
            <w:rStyle w:val="Hyperlink"/>
            <w:noProof/>
          </w:rPr>
          <w:t>Discussion</w:t>
        </w:r>
        <w:r>
          <w:rPr>
            <w:noProof/>
            <w:webHidden/>
          </w:rPr>
          <w:tab/>
        </w:r>
        <w:r>
          <w:rPr>
            <w:noProof/>
            <w:webHidden/>
          </w:rPr>
          <w:fldChar w:fldCharType="begin"/>
        </w:r>
        <w:r>
          <w:rPr>
            <w:noProof/>
            <w:webHidden/>
          </w:rPr>
          <w:instrText xml:space="preserve"> PAGEREF _Toc131762403 \h </w:instrText>
        </w:r>
        <w:r>
          <w:rPr>
            <w:noProof/>
            <w:webHidden/>
          </w:rPr>
        </w:r>
        <w:r>
          <w:rPr>
            <w:noProof/>
            <w:webHidden/>
          </w:rPr>
          <w:fldChar w:fldCharType="separate"/>
        </w:r>
        <w:r>
          <w:rPr>
            <w:noProof/>
            <w:webHidden/>
          </w:rPr>
          <w:t>59</w:t>
        </w:r>
        <w:r>
          <w:rPr>
            <w:noProof/>
            <w:webHidden/>
          </w:rPr>
          <w:fldChar w:fldCharType="end"/>
        </w:r>
      </w:hyperlink>
    </w:p>
    <w:p w:rsidR="00FD4480" w:rsidRDefault="00FD4480" w14:paraId="49C61DE8" w14:textId="69631918">
      <w:pPr>
        <w:pStyle w:val="TOC2"/>
        <w:tabs>
          <w:tab w:val="right" w:leader="dot" w:pos="9350"/>
        </w:tabs>
        <w:rPr>
          <w:rFonts w:asciiTheme="minorHAnsi" w:hAnsiTheme="minorHAnsi" w:cstheme="minorBidi"/>
          <w:noProof/>
          <w:sz w:val="22"/>
        </w:rPr>
      </w:pPr>
      <w:hyperlink w:history="1" w:anchor="_Toc131762404">
        <w:r w:rsidRPr="00845C99">
          <w:rPr>
            <w:rStyle w:val="Hyperlink"/>
            <w:noProof/>
          </w:rPr>
          <w:t>5.8.</w:t>
        </w:r>
        <w:r>
          <w:rPr>
            <w:rFonts w:asciiTheme="minorHAnsi" w:hAnsiTheme="minorHAnsi" w:cstheme="minorBidi"/>
            <w:noProof/>
            <w:sz w:val="22"/>
          </w:rPr>
          <w:tab/>
        </w:r>
        <w:r w:rsidRPr="00845C99">
          <w:rPr>
            <w:rStyle w:val="Hyperlink"/>
            <w:noProof/>
          </w:rPr>
          <w:t>Maximum Cumulative Capacity Buckets</w:t>
        </w:r>
        <w:r>
          <w:rPr>
            <w:noProof/>
            <w:webHidden/>
          </w:rPr>
          <w:tab/>
        </w:r>
        <w:r>
          <w:rPr>
            <w:noProof/>
            <w:webHidden/>
          </w:rPr>
          <w:fldChar w:fldCharType="begin"/>
        </w:r>
        <w:r>
          <w:rPr>
            <w:noProof/>
            <w:webHidden/>
          </w:rPr>
          <w:instrText xml:space="preserve"> PAGEREF _Toc131762404 \h </w:instrText>
        </w:r>
        <w:r>
          <w:rPr>
            <w:noProof/>
            <w:webHidden/>
          </w:rPr>
        </w:r>
        <w:r>
          <w:rPr>
            <w:noProof/>
            <w:webHidden/>
          </w:rPr>
          <w:fldChar w:fldCharType="separate"/>
        </w:r>
        <w:r>
          <w:rPr>
            <w:noProof/>
            <w:webHidden/>
          </w:rPr>
          <w:t>60</w:t>
        </w:r>
        <w:r>
          <w:rPr>
            <w:noProof/>
            <w:webHidden/>
          </w:rPr>
          <w:fldChar w:fldCharType="end"/>
        </w:r>
      </w:hyperlink>
    </w:p>
    <w:p w:rsidR="00FD4480" w:rsidRDefault="00FD4480" w14:paraId="5076210D" w14:textId="724813BA">
      <w:pPr>
        <w:pStyle w:val="TOC3"/>
        <w:tabs>
          <w:tab w:val="left" w:pos="1296"/>
          <w:tab w:val="right" w:leader="dot" w:pos="9350"/>
        </w:tabs>
        <w:rPr>
          <w:rFonts w:asciiTheme="minorHAnsi" w:hAnsiTheme="minorHAnsi" w:cstheme="minorBidi"/>
          <w:noProof/>
          <w:sz w:val="22"/>
        </w:rPr>
      </w:pPr>
      <w:hyperlink w:history="1" w:anchor="_Toc131762405">
        <w:r w:rsidRPr="00845C99">
          <w:rPr>
            <w:rStyle w:val="Hyperlink"/>
            <w:noProof/>
          </w:rPr>
          <w:t>5.8.1.</w:t>
        </w:r>
        <w:r>
          <w:rPr>
            <w:rFonts w:asciiTheme="minorHAnsi" w:hAnsiTheme="minorHAnsi" w:cstheme="minorBidi"/>
            <w:noProof/>
            <w:sz w:val="22"/>
          </w:rPr>
          <w:tab/>
        </w:r>
        <w:r w:rsidRPr="00845C99">
          <w:rPr>
            <w:rStyle w:val="Hyperlink"/>
            <w:noProof/>
          </w:rPr>
          <w:t>Comments on Proposals</w:t>
        </w:r>
        <w:r>
          <w:rPr>
            <w:noProof/>
            <w:webHidden/>
          </w:rPr>
          <w:tab/>
        </w:r>
        <w:r>
          <w:rPr>
            <w:noProof/>
            <w:webHidden/>
          </w:rPr>
          <w:fldChar w:fldCharType="begin"/>
        </w:r>
        <w:r>
          <w:rPr>
            <w:noProof/>
            <w:webHidden/>
          </w:rPr>
          <w:instrText xml:space="preserve"> PAGEREF _Toc131762405 \h </w:instrText>
        </w:r>
        <w:r>
          <w:rPr>
            <w:noProof/>
            <w:webHidden/>
          </w:rPr>
        </w:r>
        <w:r>
          <w:rPr>
            <w:noProof/>
            <w:webHidden/>
          </w:rPr>
          <w:fldChar w:fldCharType="separate"/>
        </w:r>
        <w:r>
          <w:rPr>
            <w:noProof/>
            <w:webHidden/>
          </w:rPr>
          <w:t>62</w:t>
        </w:r>
        <w:r>
          <w:rPr>
            <w:noProof/>
            <w:webHidden/>
          </w:rPr>
          <w:fldChar w:fldCharType="end"/>
        </w:r>
      </w:hyperlink>
    </w:p>
    <w:p w:rsidR="00FD4480" w:rsidRDefault="00FD4480" w14:paraId="5EDECC68" w14:textId="27960D6F">
      <w:pPr>
        <w:pStyle w:val="TOC3"/>
        <w:tabs>
          <w:tab w:val="left" w:pos="1296"/>
          <w:tab w:val="right" w:leader="dot" w:pos="9350"/>
        </w:tabs>
        <w:rPr>
          <w:rFonts w:asciiTheme="minorHAnsi" w:hAnsiTheme="minorHAnsi" w:cstheme="minorBidi"/>
          <w:noProof/>
          <w:sz w:val="22"/>
        </w:rPr>
      </w:pPr>
      <w:hyperlink w:history="1" w:anchor="_Toc131762406">
        <w:r w:rsidRPr="00845C99">
          <w:rPr>
            <w:rStyle w:val="Hyperlink"/>
            <w:noProof/>
          </w:rPr>
          <w:t>5.8.2.</w:t>
        </w:r>
        <w:r>
          <w:rPr>
            <w:rFonts w:asciiTheme="minorHAnsi" w:hAnsiTheme="minorHAnsi" w:cstheme="minorBidi"/>
            <w:noProof/>
            <w:sz w:val="22"/>
          </w:rPr>
          <w:tab/>
        </w:r>
        <w:r w:rsidRPr="00845C99">
          <w:rPr>
            <w:rStyle w:val="Hyperlink"/>
            <w:noProof/>
          </w:rPr>
          <w:t>Discussion</w:t>
        </w:r>
        <w:r>
          <w:rPr>
            <w:noProof/>
            <w:webHidden/>
          </w:rPr>
          <w:tab/>
        </w:r>
        <w:r>
          <w:rPr>
            <w:noProof/>
            <w:webHidden/>
          </w:rPr>
          <w:fldChar w:fldCharType="begin"/>
        </w:r>
        <w:r>
          <w:rPr>
            <w:noProof/>
            <w:webHidden/>
          </w:rPr>
          <w:instrText xml:space="preserve"> PAGEREF _Toc131762406 \h </w:instrText>
        </w:r>
        <w:r>
          <w:rPr>
            <w:noProof/>
            <w:webHidden/>
          </w:rPr>
        </w:r>
        <w:r>
          <w:rPr>
            <w:noProof/>
            <w:webHidden/>
          </w:rPr>
          <w:fldChar w:fldCharType="separate"/>
        </w:r>
        <w:r>
          <w:rPr>
            <w:noProof/>
            <w:webHidden/>
          </w:rPr>
          <w:t>65</w:t>
        </w:r>
        <w:r>
          <w:rPr>
            <w:noProof/>
            <w:webHidden/>
          </w:rPr>
          <w:fldChar w:fldCharType="end"/>
        </w:r>
      </w:hyperlink>
    </w:p>
    <w:p w:rsidR="00FD4480" w:rsidRDefault="00FD4480" w14:paraId="2454A612" w14:textId="63278E9C">
      <w:pPr>
        <w:pStyle w:val="TOC2"/>
        <w:tabs>
          <w:tab w:val="right" w:leader="dot" w:pos="9350"/>
        </w:tabs>
        <w:rPr>
          <w:rFonts w:asciiTheme="minorHAnsi" w:hAnsiTheme="minorHAnsi" w:cstheme="minorBidi"/>
          <w:noProof/>
          <w:sz w:val="22"/>
        </w:rPr>
      </w:pPr>
      <w:hyperlink w:history="1" w:anchor="_Toc131762407">
        <w:r w:rsidRPr="00845C99">
          <w:rPr>
            <w:rStyle w:val="Hyperlink"/>
            <w:noProof/>
          </w:rPr>
          <w:t>5.9.</w:t>
        </w:r>
        <w:r>
          <w:rPr>
            <w:rFonts w:asciiTheme="minorHAnsi" w:hAnsiTheme="minorHAnsi" w:cstheme="minorBidi"/>
            <w:noProof/>
            <w:sz w:val="22"/>
          </w:rPr>
          <w:tab/>
        </w:r>
        <w:r w:rsidRPr="00845C99">
          <w:rPr>
            <w:rStyle w:val="Hyperlink"/>
            <w:noProof/>
          </w:rPr>
          <w:t>Test Year Mechanics</w:t>
        </w:r>
        <w:r>
          <w:rPr>
            <w:noProof/>
            <w:webHidden/>
          </w:rPr>
          <w:tab/>
        </w:r>
        <w:r>
          <w:rPr>
            <w:noProof/>
            <w:webHidden/>
          </w:rPr>
          <w:fldChar w:fldCharType="begin"/>
        </w:r>
        <w:r>
          <w:rPr>
            <w:noProof/>
            <w:webHidden/>
          </w:rPr>
          <w:instrText xml:space="preserve"> PAGEREF _Toc131762407 \h </w:instrText>
        </w:r>
        <w:r>
          <w:rPr>
            <w:noProof/>
            <w:webHidden/>
          </w:rPr>
        </w:r>
        <w:r>
          <w:rPr>
            <w:noProof/>
            <w:webHidden/>
          </w:rPr>
          <w:fldChar w:fldCharType="separate"/>
        </w:r>
        <w:r>
          <w:rPr>
            <w:noProof/>
            <w:webHidden/>
          </w:rPr>
          <w:t>67</w:t>
        </w:r>
        <w:r>
          <w:rPr>
            <w:noProof/>
            <w:webHidden/>
          </w:rPr>
          <w:fldChar w:fldCharType="end"/>
        </w:r>
      </w:hyperlink>
    </w:p>
    <w:p w:rsidR="00FD4480" w:rsidRDefault="00FD4480" w14:paraId="5E73D6C8" w14:textId="5CA6AB43">
      <w:pPr>
        <w:pStyle w:val="TOC3"/>
        <w:tabs>
          <w:tab w:val="left" w:pos="1296"/>
          <w:tab w:val="right" w:leader="dot" w:pos="9350"/>
        </w:tabs>
        <w:rPr>
          <w:rFonts w:asciiTheme="minorHAnsi" w:hAnsiTheme="minorHAnsi" w:cstheme="minorBidi"/>
          <w:noProof/>
          <w:sz w:val="22"/>
        </w:rPr>
      </w:pPr>
      <w:hyperlink w:history="1" w:anchor="_Toc131762408">
        <w:r w:rsidRPr="00845C99">
          <w:rPr>
            <w:rStyle w:val="Hyperlink"/>
            <w:noProof/>
          </w:rPr>
          <w:t>5.9.1.</w:t>
        </w:r>
        <w:r>
          <w:rPr>
            <w:rFonts w:asciiTheme="minorHAnsi" w:hAnsiTheme="minorHAnsi" w:cstheme="minorBidi"/>
            <w:noProof/>
            <w:sz w:val="22"/>
          </w:rPr>
          <w:tab/>
        </w:r>
        <w:r w:rsidRPr="00845C99">
          <w:rPr>
            <w:rStyle w:val="Hyperlink"/>
            <w:noProof/>
          </w:rPr>
          <w:t>Comments on Proposals</w:t>
        </w:r>
        <w:r>
          <w:rPr>
            <w:noProof/>
            <w:webHidden/>
          </w:rPr>
          <w:tab/>
        </w:r>
        <w:r>
          <w:rPr>
            <w:noProof/>
            <w:webHidden/>
          </w:rPr>
          <w:fldChar w:fldCharType="begin"/>
        </w:r>
        <w:r>
          <w:rPr>
            <w:noProof/>
            <w:webHidden/>
          </w:rPr>
          <w:instrText xml:space="preserve"> PAGEREF _Toc131762408 \h </w:instrText>
        </w:r>
        <w:r>
          <w:rPr>
            <w:noProof/>
            <w:webHidden/>
          </w:rPr>
        </w:r>
        <w:r>
          <w:rPr>
            <w:noProof/>
            <w:webHidden/>
          </w:rPr>
          <w:fldChar w:fldCharType="separate"/>
        </w:r>
        <w:r>
          <w:rPr>
            <w:noProof/>
            <w:webHidden/>
          </w:rPr>
          <w:t>69</w:t>
        </w:r>
        <w:r>
          <w:rPr>
            <w:noProof/>
            <w:webHidden/>
          </w:rPr>
          <w:fldChar w:fldCharType="end"/>
        </w:r>
      </w:hyperlink>
    </w:p>
    <w:p w:rsidR="00FD4480" w:rsidRDefault="00FD4480" w14:paraId="1D03931F" w14:textId="3B152DD4">
      <w:pPr>
        <w:pStyle w:val="TOC3"/>
        <w:tabs>
          <w:tab w:val="left" w:pos="1296"/>
          <w:tab w:val="right" w:leader="dot" w:pos="9350"/>
        </w:tabs>
        <w:rPr>
          <w:rFonts w:asciiTheme="minorHAnsi" w:hAnsiTheme="minorHAnsi" w:cstheme="minorBidi"/>
          <w:noProof/>
          <w:sz w:val="22"/>
        </w:rPr>
      </w:pPr>
      <w:hyperlink w:history="1" w:anchor="_Toc131762409">
        <w:r w:rsidRPr="00845C99">
          <w:rPr>
            <w:rStyle w:val="Hyperlink"/>
            <w:noProof/>
          </w:rPr>
          <w:t>5.9.2.</w:t>
        </w:r>
        <w:r>
          <w:rPr>
            <w:rFonts w:asciiTheme="minorHAnsi" w:hAnsiTheme="minorHAnsi" w:cstheme="minorBidi"/>
            <w:noProof/>
            <w:sz w:val="22"/>
          </w:rPr>
          <w:tab/>
        </w:r>
        <w:r w:rsidRPr="00845C99">
          <w:rPr>
            <w:rStyle w:val="Hyperlink"/>
            <w:noProof/>
          </w:rPr>
          <w:t>Discussion</w:t>
        </w:r>
        <w:r>
          <w:rPr>
            <w:noProof/>
            <w:webHidden/>
          </w:rPr>
          <w:tab/>
        </w:r>
        <w:r>
          <w:rPr>
            <w:noProof/>
            <w:webHidden/>
          </w:rPr>
          <w:fldChar w:fldCharType="begin"/>
        </w:r>
        <w:r>
          <w:rPr>
            <w:noProof/>
            <w:webHidden/>
          </w:rPr>
          <w:instrText xml:space="preserve"> PAGEREF _Toc131762409 \h </w:instrText>
        </w:r>
        <w:r>
          <w:rPr>
            <w:noProof/>
            <w:webHidden/>
          </w:rPr>
        </w:r>
        <w:r>
          <w:rPr>
            <w:noProof/>
            <w:webHidden/>
          </w:rPr>
          <w:fldChar w:fldCharType="separate"/>
        </w:r>
        <w:r>
          <w:rPr>
            <w:noProof/>
            <w:webHidden/>
          </w:rPr>
          <w:t>71</w:t>
        </w:r>
        <w:r>
          <w:rPr>
            <w:noProof/>
            <w:webHidden/>
          </w:rPr>
          <w:fldChar w:fldCharType="end"/>
        </w:r>
      </w:hyperlink>
    </w:p>
    <w:p w:rsidR="00FD4480" w:rsidRDefault="00FD4480" w14:paraId="2D2FC549" w14:textId="3168B870">
      <w:pPr>
        <w:pStyle w:val="TOC1"/>
        <w:tabs>
          <w:tab w:val="right" w:leader="dot" w:pos="9350"/>
        </w:tabs>
        <w:rPr>
          <w:rFonts w:asciiTheme="minorHAnsi" w:hAnsiTheme="minorHAnsi" w:cstheme="minorBidi"/>
          <w:noProof/>
          <w:sz w:val="22"/>
        </w:rPr>
      </w:pPr>
      <w:hyperlink w:history="1" w:anchor="_Toc131762410">
        <w:r w:rsidRPr="00845C99">
          <w:rPr>
            <w:rStyle w:val="Hyperlink"/>
            <w:noProof/>
          </w:rPr>
          <w:t>6.</w:t>
        </w:r>
        <w:r>
          <w:rPr>
            <w:rFonts w:asciiTheme="minorHAnsi" w:hAnsiTheme="minorHAnsi" w:cstheme="minorBidi"/>
            <w:noProof/>
            <w:sz w:val="22"/>
          </w:rPr>
          <w:tab/>
        </w:r>
        <w:r w:rsidRPr="00845C99">
          <w:rPr>
            <w:rStyle w:val="Hyperlink"/>
            <w:noProof/>
          </w:rPr>
          <w:t>Workstream 3.  CAISO and Commission Validation and Compliance</w:t>
        </w:r>
        <w:r>
          <w:rPr>
            <w:noProof/>
            <w:webHidden/>
          </w:rPr>
          <w:tab/>
        </w:r>
        <w:r>
          <w:rPr>
            <w:noProof/>
            <w:webHidden/>
          </w:rPr>
          <w:fldChar w:fldCharType="begin"/>
        </w:r>
        <w:r>
          <w:rPr>
            <w:noProof/>
            <w:webHidden/>
          </w:rPr>
          <w:instrText xml:space="preserve"> PAGEREF _Toc131762410 \h </w:instrText>
        </w:r>
        <w:r>
          <w:rPr>
            <w:noProof/>
            <w:webHidden/>
          </w:rPr>
        </w:r>
        <w:r>
          <w:rPr>
            <w:noProof/>
            <w:webHidden/>
          </w:rPr>
          <w:fldChar w:fldCharType="separate"/>
        </w:r>
        <w:r>
          <w:rPr>
            <w:noProof/>
            <w:webHidden/>
          </w:rPr>
          <w:t>73</w:t>
        </w:r>
        <w:r>
          <w:rPr>
            <w:noProof/>
            <w:webHidden/>
          </w:rPr>
          <w:fldChar w:fldCharType="end"/>
        </w:r>
      </w:hyperlink>
    </w:p>
    <w:p w:rsidR="00FD4480" w:rsidRDefault="00FD4480" w14:paraId="1CB03DC4" w14:textId="3E26BD09">
      <w:pPr>
        <w:pStyle w:val="TOC2"/>
        <w:tabs>
          <w:tab w:val="right" w:leader="dot" w:pos="9350"/>
        </w:tabs>
        <w:rPr>
          <w:rFonts w:asciiTheme="minorHAnsi" w:hAnsiTheme="minorHAnsi" w:cstheme="minorBidi"/>
          <w:noProof/>
          <w:sz w:val="22"/>
        </w:rPr>
      </w:pPr>
      <w:hyperlink w:history="1" w:anchor="_Toc131762411">
        <w:r w:rsidRPr="00845C99">
          <w:rPr>
            <w:rStyle w:val="Hyperlink"/>
            <w:noProof/>
          </w:rPr>
          <w:t>6.1.</w:t>
        </w:r>
        <w:r>
          <w:rPr>
            <w:rFonts w:asciiTheme="minorHAnsi" w:hAnsiTheme="minorHAnsi" w:cstheme="minorBidi"/>
            <w:noProof/>
            <w:sz w:val="22"/>
          </w:rPr>
          <w:tab/>
        </w:r>
        <w:r w:rsidRPr="00845C99">
          <w:rPr>
            <w:rStyle w:val="Hyperlink"/>
            <w:noProof/>
          </w:rPr>
          <w:t>CAISO and Commission  Administrative Changes</w:t>
        </w:r>
        <w:r>
          <w:rPr>
            <w:noProof/>
            <w:webHidden/>
          </w:rPr>
          <w:tab/>
        </w:r>
        <w:r>
          <w:rPr>
            <w:noProof/>
            <w:webHidden/>
          </w:rPr>
          <w:fldChar w:fldCharType="begin"/>
        </w:r>
        <w:r>
          <w:rPr>
            <w:noProof/>
            <w:webHidden/>
          </w:rPr>
          <w:instrText xml:space="preserve"> PAGEREF _Toc131762411 \h </w:instrText>
        </w:r>
        <w:r>
          <w:rPr>
            <w:noProof/>
            <w:webHidden/>
          </w:rPr>
        </w:r>
        <w:r>
          <w:rPr>
            <w:noProof/>
            <w:webHidden/>
          </w:rPr>
          <w:fldChar w:fldCharType="separate"/>
        </w:r>
        <w:r>
          <w:rPr>
            <w:noProof/>
            <w:webHidden/>
          </w:rPr>
          <w:t>73</w:t>
        </w:r>
        <w:r>
          <w:rPr>
            <w:noProof/>
            <w:webHidden/>
          </w:rPr>
          <w:fldChar w:fldCharType="end"/>
        </w:r>
      </w:hyperlink>
    </w:p>
    <w:p w:rsidR="00FD4480" w:rsidRDefault="00FD4480" w14:paraId="303E3D2E" w14:textId="71662ADF">
      <w:pPr>
        <w:pStyle w:val="TOC3"/>
        <w:tabs>
          <w:tab w:val="left" w:pos="1296"/>
          <w:tab w:val="right" w:leader="dot" w:pos="9350"/>
        </w:tabs>
        <w:rPr>
          <w:rFonts w:asciiTheme="minorHAnsi" w:hAnsiTheme="minorHAnsi" w:cstheme="minorBidi"/>
          <w:noProof/>
          <w:sz w:val="22"/>
        </w:rPr>
      </w:pPr>
      <w:hyperlink w:history="1" w:anchor="_Toc131762412">
        <w:r w:rsidRPr="00845C99">
          <w:rPr>
            <w:rStyle w:val="Hyperlink"/>
            <w:noProof/>
          </w:rPr>
          <w:t>6.1.1.</w:t>
        </w:r>
        <w:r>
          <w:rPr>
            <w:rFonts w:asciiTheme="minorHAnsi" w:hAnsiTheme="minorHAnsi" w:cstheme="minorBidi"/>
            <w:noProof/>
            <w:sz w:val="22"/>
          </w:rPr>
          <w:tab/>
        </w:r>
        <w:r w:rsidRPr="00845C99">
          <w:rPr>
            <w:rStyle w:val="Hyperlink"/>
            <w:noProof/>
          </w:rPr>
          <w:t>Discussion</w:t>
        </w:r>
        <w:r>
          <w:rPr>
            <w:noProof/>
            <w:webHidden/>
          </w:rPr>
          <w:tab/>
        </w:r>
        <w:r>
          <w:rPr>
            <w:noProof/>
            <w:webHidden/>
          </w:rPr>
          <w:fldChar w:fldCharType="begin"/>
        </w:r>
        <w:r>
          <w:rPr>
            <w:noProof/>
            <w:webHidden/>
          </w:rPr>
          <w:instrText xml:space="preserve"> PAGEREF _Toc131762412 \h </w:instrText>
        </w:r>
        <w:r>
          <w:rPr>
            <w:noProof/>
            <w:webHidden/>
          </w:rPr>
        </w:r>
        <w:r>
          <w:rPr>
            <w:noProof/>
            <w:webHidden/>
          </w:rPr>
          <w:fldChar w:fldCharType="separate"/>
        </w:r>
        <w:r>
          <w:rPr>
            <w:noProof/>
            <w:webHidden/>
          </w:rPr>
          <w:t>76</w:t>
        </w:r>
        <w:r>
          <w:rPr>
            <w:noProof/>
            <w:webHidden/>
          </w:rPr>
          <w:fldChar w:fldCharType="end"/>
        </w:r>
      </w:hyperlink>
    </w:p>
    <w:p w:rsidR="00FD4480" w:rsidRDefault="00FD4480" w14:paraId="5EBDD14B" w14:textId="27D6CDB7">
      <w:pPr>
        <w:pStyle w:val="TOC2"/>
        <w:tabs>
          <w:tab w:val="right" w:leader="dot" w:pos="9350"/>
        </w:tabs>
        <w:rPr>
          <w:rFonts w:asciiTheme="minorHAnsi" w:hAnsiTheme="minorHAnsi" w:cstheme="minorBidi"/>
          <w:noProof/>
          <w:sz w:val="22"/>
        </w:rPr>
      </w:pPr>
      <w:hyperlink w:history="1" w:anchor="_Toc131762413">
        <w:r w:rsidRPr="00845C99">
          <w:rPr>
            <w:rStyle w:val="Hyperlink"/>
            <w:noProof/>
          </w:rPr>
          <w:t>6.2.</w:t>
        </w:r>
        <w:r>
          <w:rPr>
            <w:rFonts w:asciiTheme="minorHAnsi" w:hAnsiTheme="minorHAnsi" w:cstheme="minorBidi"/>
            <w:noProof/>
            <w:sz w:val="22"/>
          </w:rPr>
          <w:tab/>
        </w:r>
        <w:r w:rsidRPr="00845C99">
          <w:rPr>
            <w:rStyle w:val="Hyperlink"/>
            <w:noProof/>
          </w:rPr>
          <w:t>Flexible RA Requirements</w:t>
        </w:r>
        <w:r>
          <w:rPr>
            <w:noProof/>
            <w:webHidden/>
          </w:rPr>
          <w:tab/>
        </w:r>
        <w:r>
          <w:rPr>
            <w:noProof/>
            <w:webHidden/>
          </w:rPr>
          <w:fldChar w:fldCharType="begin"/>
        </w:r>
        <w:r>
          <w:rPr>
            <w:noProof/>
            <w:webHidden/>
          </w:rPr>
          <w:instrText xml:space="preserve"> PAGEREF _Toc131762413 \h </w:instrText>
        </w:r>
        <w:r>
          <w:rPr>
            <w:noProof/>
            <w:webHidden/>
          </w:rPr>
        </w:r>
        <w:r>
          <w:rPr>
            <w:noProof/>
            <w:webHidden/>
          </w:rPr>
          <w:fldChar w:fldCharType="separate"/>
        </w:r>
        <w:r>
          <w:rPr>
            <w:noProof/>
            <w:webHidden/>
          </w:rPr>
          <w:t>78</w:t>
        </w:r>
        <w:r>
          <w:rPr>
            <w:noProof/>
            <w:webHidden/>
          </w:rPr>
          <w:fldChar w:fldCharType="end"/>
        </w:r>
      </w:hyperlink>
    </w:p>
    <w:p w:rsidR="00FD4480" w:rsidRDefault="00FD4480" w14:paraId="3313244E" w14:textId="42834572">
      <w:pPr>
        <w:pStyle w:val="TOC1"/>
        <w:tabs>
          <w:tab w:val="right" w:leader="dot" w:pos="9350"/>
        </w:tabs>
        <w:rPr>
          <w:rFonts w:asciiTheme="minorHAnsi" w:hAnsiTheme="minorHAnsi" w:cstheme="minorBidi"/>
          <w:noProof/>
          <w:sz w:val="22"/>
        </w:rPr>
      </w:pPr>
      <w:hyperlink w:history="1" w:anchor="_Toc131762414">
        <w:r w:rsidRPr="00845C99">
          <w:rPr>
            <w:rStyle w:val="Hyperlink"/>
            <w:noProof/>
          </w:rPr>
          <w:t>7.</w:t>
        </w:r>
        <w:r>
          <w:rPr>
            <w:rFonts w:asciiTheme="minorHAnsi" w:hAnsiTheme="minorHAnsi" w:cstheme="minorBidi"/>
            <w:noProof/>
            <w:sz w:val="22"/>
          </w:rPr>
          <w:tab/>
        </w:r>
        <w:r w:rsidRPr="00845C99">
          <w:rPr>
            <w:rStyle w:val="Hyperlink"/>
            <w:noProof/>
          </w:rPr>
          <w:t>Funding Allocation for SOD Implementation</w:t>
        </w:r>
        <w:r>
          <w:rPr>
            <w:noProof/>
            <w:webHidden/>
          </w:rPr>
          <w:tab/>
        </w:r>
        <w:r>
          <w:rPr>
            <w:noProof/>
            <w:webHidden/>
          </w:rPr>
          <w:fldChar w:fldCharType="begin"/>
        </w:r>
        <w:r>
          <w:rPr>
            <w:noProof/>
            <w:webHidden/>
          </w:rPr>
          <w:instrText xml:space="preserve"> PAGEREF _Toc131762414 \h </w:instrText>
        </w:r>
        <w:r>
          <w:rPr>
            <w:noProof/>
            <w:webHidden/>
          </w:rPr>
        </w:r>
        <w:r>
          <w:rPr>
            <w:noProof/>
            <w:webHidden/>
          </w:rPr>
          <w:fldChar w:fldCharType="separate"/>
        </w:r>
        <w:r>
          <w:rPr>
            <w:noProof/>
            <w:webHidden/>
          </w:rPr>
          <w:t>79</w:t>
        </w:r>
        <w:r>
          <w:rPr>
            <w:noProof/>
            <w:webHidden/>
          </w:rPr>
          <w:fldChar w:fldCharType="end"/>
        </w:r>
      </w:hyperlink>
    </w:p>
    <w:p w:rsidR="00FD4480" w:rsidRDefault="00FD4480" w14:paraId="00649A0F" w14:textId="033C1D42">
      <w:pPr>
        <w:pStyle w:val="TOC1"/>
        <w:tabs>
          <w:tab w:val="right" w:leader="dot" w:pos="9350"/>
        </w:tabs>
        <w:rPr>
          <w:rFonts w:asciiTheme="minorHAnsi" w:hAnsiTheme="minorHAnsi" w:cstheme="minorBidi"/>
          <w:noProof/>
          <w:sz w:val="22"/>
        </w:rPr>
      </w:pPr>
      <w:hyperlink w:history="1" w:anchor="_Toc131762415">
        <w:r w:rsidRPr="00845C99">
          <w:rPr>
            <w:rStyle w:val="Hyperlink"/>
            <w:noProof/>
          </w:rPr>
          <w:t>8.</w:t>
        </w:r>
        <w:r>
          <w:rPr>
            <w:rFonts w:asciiTheme="minorHAnsi" w:hAnsiTheme="minorHAnsi" w:cstheme="minorBidi"/>
            <w:noProof/>
            <w:sz w:val="22"/>
          </w:rPr>
          <w:tab/>
        </w:r>
        <w:r w:rsidRPr="00845C99">
          <w:rPr>
            <w:rStyle w:val="Hyperlink"/>
            <w:noProof/>
          </w:rPr>
          <w:t>Comments on Proposed Decision</w:t>
        </w:r>
        <w:r>
          <w:rPr>
            <w:noProof/>
            <w:webHidden/>
          </w:rPr>
          <w:tab/>
        </w:r>
        <w:r>
          <w:rPr>
            <w:noProof/>
            <w:webHidden/>
          </w:rPr>
          <w:fldChar w:fldCharType="begin"/>
        </w:r>
        <w:r>
          <w:rPr>
            <w:noProof/>
            <w:webHidden/>
          </w:rPr>
          <w:instrText xml:space="preserve"> PAGEREF _Toc131762415 \h </w:instrText>
        </w:r>
        <w:r>
          <w:rPr>
            <w:noProof/>
            <w:webHidden/>
          </w:rPr>
        </w:r>
        <w:r>
          <w:rPr>
            <w:noProof/>
            <w:webHidden/>
          </w:rPr>
          <w:fldChar w:fldCharType="separate"/>
        </w:r>
        <w:r>
          <w:rPr>
            <w:noProof/>
            <w:webHidden/>
          </w:rPr>
          <w:t>81</w:t>
        </w:r>
        <w:r>
          <w:rPr>
            <w:noProof/>
            <w:webHidden/>
          </w:rPr>
          <w:fldChar w:fldCharType="end"/>
        </w:r>
      </w:hyperlink>
    </w:p>
    <w:p w:rsidR="00FD4480" w:rsidRDefault="00FD4480" w14:paraId="2E76DD22" w14:textId="58FD2EF9">
      <w:pPr>
        <w:pStyle w:val="TOC1"/>
        <w:tabs>
          <w:tab w:val="right" w:leader="dot" w:pos="9350"/>
        </w:tabs>
        <w:rPr>
          <w:rFonts w:asciiTheme="minorHAnsi" w:hAnsiTheme="minorHAnsi" w:cstheme="minorBidi"/>
          <w:noProof/>
          <w:sz w:val="22"/>
        </w:rPr>
      </w:pPr>
      <w:hyperlink w:history="1" w:anchor="_Toc131762416">
        <w:r w:rsidRPr="00845C99">
          <w:rPr>
            <w:rStyle w:val="Hyperlink"/>
            <w:noProof/>
          </w:rPr>
          <w:t>9.</w:t>
        </w:r>
        <w:r>
          <w:rPr>
            <w:rFonts w:asciiTheme="minorHAnsi" w:hAnsiTheme="minorHAnsi" w:cstheme="minorBidi"/>
            <w:noProof/>
            <w:sz w:val="22"/>
          </w:rPr>
          <w:tab/>
        </w:r>
        <w:r w:rsidRPr="00845C99">
          <w:rPr>
            <w:rStyle w:val="Hyperlink"/>
            <w:noProof/>
          </w:rPr>
          <w:t>Assignment of Proceeding</w:t>
        </w:r>
        <w:r>
          <w:rPr>
            <w:noProof/>
            <w:webHidden/>
          </w:rPr>
          <w:tab/>
        </w:r>
        <w:r>
          <w:rPr>
            <w:noProof/>
            <w:webHidden/>
          </w:rPr>
          <w:fldChar w:fldCharType="begin"/>
        </w:r>
        <w:r>
          <w:rPr>
            <w:noProof/>
            <w:webHidden/>
          </w:rPr>
          <w:instrText xml:space="preserve"> PAGEREF _Toc131762416 \h </w:instrText>
        </w:r>
        <w:r>
          <w:rPr>
            <w:noProof/>
            <w:webHidden/>
          </w:rPr>
        </w:r>
        <w:r>
          <w:rPr>
            <w:noProof/>
            <w:webHidden/>
          </w:rPr>
          <w:fldChar w:fldCharType="separate"/>
        </w:r>
        <w:r>
          <w:rPr>
            <w:noProof/>
            <w:webHidden/>
          </w:rPr>
          <w:t>97</w:t>
        </w:r>
        <w:r>
          <w:rPr>
            <w:noProof/>
            <w:webHidden/>
          </w:rPr>
          <w:fldChar w:fldCharType="end"/>
        </w:r>
      </w:hyperlink>
    </w:p>
    <w:p w:rsidR="00FD4480" w:rsidRDefault="00FD4480" w14:paraId="210E3739" w14:textId="0B242B96">
      <w:pPr>
        <w:pStyle w:val="TOC1"/>
        <w:tabs>
          <w:tab w:val="right" w:leader="dot" w:pos="9350"/>
        </w:tabs>
        <w:rPr>
          <w:rFonts w:asciiTheme="minorHAnsi" w:hAnsiTheme="minorHAnsi" w:cstheme="minorBidi"/>
          <w:noProof/>
          <w:sz w:val="22"/>
        </w:rPr>
      </w:pPr>
      <w:hyperlink w:history="1" w:anchor="_Toc131762417">
        <w:r w:rsidRPr="00845C99">
          <w:rPr>
            <w:rStyle w:val="Hyperlink"/>
            <w:noProof/>
          </w:rPr>
          <w:t>Findings of Fact</w:t>
        </w:r>
        <w:r>
          <w:rPr>
            <w:noProof/>
            <w:webHidden/>
          </w:rPr>
          <w:tab/>
        </w:r>
        <w:r>
          <w:rPr>
            <w:noProof/>
            <w:webHidden/>
          </w:rPr>
          <w:fldChar w:fldCharType="begin"/>
        </w:r>
        <w:r>
          <w:rPr>
            <w:noProof/>
            <w:webHidden/>
          </w:rPr>
          <w:instrText xml:space="preserve"> PAGEREF _Toc131762417 \h </w:instrText>
        </w:r>
        <w:r>
          <w:rPr>
            <w:noProof/>
            <w:webHidden/>
          </w:rPr>
        </w:r>
        <w:r>
          <w:rPr>
            <w:noProof/>
            <w:webHidden/>
          </w:rPr>
          <w:fldChar w:fldCharType="separate"/>
        </w:r>
        <w:r>
          <w:rPr>
            <w:noProof/>
            <w:webHidden/>
          </w:rPr>
          <w:t>97</w:t>
        </w:r>
        <w:r>
          <w:rPr>
            <w:noProof/>
            <w:webHidden/>
          </w:rPr>
          <w:fldChar w:fldCharType="end"/>
        </w:r>
      </w:hyperlink>
    </w:p>
    <w:p w:rsidR="00FD4480" w:rsidRDefault="00FD4480" w14:paraId="39694DB7" w14:textId="37677C4B">
      <w:pPr>
        <w:pStyle w:val="TOC1"/>
        <w:tabs>
          <w:tab w:val="right" w:leader="dot" w:pos="9350"/>
        </w:tabs>
        <w:rPr>
          <w:rFonts w:asciiTheme="minorHAnsi" w:hAnsiTheme="minorHAnsi" w:cstheme="minorBidi"/>
          <w:noProof/>
          <w:sz w:val="22"/>
        </w:rPr>
      </w:pPr>
      <w:hyperlink w:history="1" w:anchor="_Toc131762418">
        <w:r w:rsidRPr="00845C99">
          <w:rPr>
            <w:rStyle w:val="Hyperlink"/>
            <w:noProof/>
          </w:rPr>
          <w:t>Conclusions of Law</w:t>
        </w:r>
        <w:r>
          <w:rPr>
            <w:noProof/>
            <w:webHidden/>
          </w:rPr>
          <w:tab/>
        </w:r>
        <w:r>
          <w:rPr>
            <w:noProof/>
            <w:webHidden/>
          </w:rPr>
          <w:fldChar w:fldCharType="begin"/>
        </w:r>
        <w:r>
          <w:rPr>
            <w:noProof/>
            <w:webHidden/>
          </w:rPr>
          <w:instrText xml:space="preserve"> PAGEREF _Toc131762418 \h </w:instrText>
        </w:r>
        <w:r>
          <w:rPr>
            <w:noProof/>
            <w:webHidden/>
          </w:rPr>
        </w:r>
        <w:r>
          <w:rPr>
            <w:noProof/>
            <w:webHidden/>
          </w:rPr>
          <w:fldChar w:fldCharType="separate"/>
        </w:r>
        <w:r>
          <w:rPr>
            <w:noProof/>
            <w:webHidden/>
          </w:rPr>
          <w:t>101</w:t>
        </w:r>
        <w:r>
          <w:rPr>
            <w:noProof/>
            <w:webHidden/>
          </w:rPr>
          <w:fldChar w:fldCharType="end"/>
        </w:r>
      </w:hyperlink>
    </w:p>
    <w:p w:rsidR="00FD4480" w:rsidRDefault="00FD4480" w14:paraId="17D72E50" w14:textId="6F940558">
      <w:pPr>
        <w:pStyle w:val="TOC1"/>
        <w:tabs>
          <w:tab w:val="right" w:leader="dot" w:pos="9350"/>
        </w:tabs>
        <w:rPr>
          <w:rFonts w:asciiTheme="minorHAnsi" w:hAnsiTheme="minorHAnsi" w:cstheme="minorBidi"/>
          <w:noProof/>
          <w:sz w:val="22"/>
        </w:rPr>
      </w:pPr>
      <w:hyperlink w:history="1" w:anchor="_Toc131762419">
        <w:r w:rsidRPr="00845C99">
          <w:rPr>
            <w:rStyle w:val="Hyperlink"/>
            <w:noProof/>
          </w:rPr>
          <w:t>ORDER</w:t>
        </w:r>
        <w:r>
          <w:rPr>
            <w:noProof/>
            <w:webHidden/>
          </w:rPr>
          <w:tab/>
        </w:r>
        <w:r>
          <w:rPr>
            <w:noProof/>
            <w:webHidden/>
          </w:rPr>
          <w:fldChar w:fldCharType="begin"/>
        </w:r>
        <w:r>
          <w:rPr>
            <w:noProof/>
            <w:webHidden/>
          </w:rPr>
          <w:instrText xml:space="preserve"> PAGEREF _Toc131762419 \h </w:instrText>
        </w:r>
        <w:r>
          <w:rPr>
            <w:noProof/>
            <w:webHidden/>
          </w:rPr>
        </w:r>
        <w:r>
          <w:rPr>
            <w:noProof/>
            <w:webHidden/>
          </w:rPr>
          <w:fldChar w:fldCharType="separate"/>
        </w:r>
        <w:r>
          <w:rPr>
            <w:noProof/>
            <w:webHidden/>
          </w:rPr>
          <w:t>103</w:t>
        </w:r>
        <w:r>
          <w:rPr>
            <w:noProof/>
            <w:webHidden/>
          </w:rPr>
          <w:fldChar w:fldCharType="end"/>
        </w:r>
      </w:hyperlink>
    </w:p>
    <w:p w:rsidR="00623C00" w:rsidP="00687026" w:rsidRDefault="00060480" w14:paraId="657AD363" w14:textId="35187BD2">
      <w:pPr>
        <w:pStyle w:val="TOC1"/>
        <w:tabs>
          <w:tab w:val="right" w:leader="dot" w:pos="9350"/>
        </w:tabs>
        <w:rPr>
          <w:rFonts w:cs="Arial"/>
          <w:i/>
          <w:szCs w:val="26"/>
        </w:rPr>
      </w:pPr>
      <w:r>
        <w:rPr>
          <w:rFonts w:cs="Arial"/>
          <w:i/>
          <w:szCs w:val="26"/>
        </w:rPr>
        <w:fldChar w:fldCharType="end"/>
      </w:r>
    </w:p>
    <w:p w:rsidR="00D44DB6" w:rsidP="00D44DB6" w:rsidRDefault="00CA3D63" w14:paraId="14266313" w14:textId="3E14AC04">
      <w:pPr>
        <w:spacing w:line="240" w:lineRule="auto"/>
        <w:ind w:firstLine="0"/>
        <w:rPr>
          <w:rFonts w:cs="Arial"/>
          <w:i/>
          <w:szCs w:val="26"/>
        </w:rPr>
      </w:pPr>
      <w:r w:rsidRPr="0098655A">
        <w:rPr>
          <w:rFonts w:cs="Arial"/>
          <w:b/>
          <w:szCs w:val="26"/>
        </w:rPr>
        <w:t>Appendix A</w:t>
      </w:r>
      <w:r w:rsidR="000E7376">
        <w:rPr>
          <w:rFonts w:cs="Arial"/>
          <w:b/>
          <w:szCs w:val="26"/>
        </w:rPr>
        <w:t xml:space="preserve"> –24-hour Slice-of-Day Framework</w:t>
      </w:r>
    </w:p>
    <w:p w:rsidR="00B3310B" w:rsidP="00D44DB6" w:rsidRDefault="00B3310B" w14:paraId="47FCECCB" w14:textId="77777777">
      <w:pPr>
        <w:spacing w:line="240" w:lineRule="auto"/>
        <w:ind w:firstLine="0"/>
        <w:rPr>
          <w:rFonts w:cs="Arial"/>
          <w:i/>
          <w:szCs w:val="26"/>
        </w:rPr>
      </w:pPr>
    </w:p>
    <w:p w:rsidRPr="00B3310B" w:rsidR="00B3310B" w:rsidP="00D44DB6" w:rsidRDefault="00B3310B" w14:paraId="6E6F08BF" w14:textId="1FB398E3">
      <w:pPr>
        <w:spacing w:line="240" w:lineRule="auto"/>
        <w:ind w:firstLine="0"/>
        <w:rPr>
          <w:rFonts w:cs="Arial"/>
          <w:iCs/>
          <w:szCs w:val="26"/>
        </w:rPr>
        <w:sectPr w:rsidRPr="00B3310B" w:rsidR="00B3310B" w:rsidSect="00D44DB6">
          <w:headerReference w:type="default" r:id="rId13"/>
          <w:footerReference w:type="default" r:id="rId14"/>
          <w:pgSz w:w="12240" w:h="15840"/>
          <w:pgMar w:top="1728" w:right="1440" w:bottom="1440" w:left="1440" w:header="720" w:footer="720" w:gutter="0"/>
          <w:pgNumType w:fmt="lowerRoman" w:start="1"/>
          <w:cols w:space="720"/>
          <w:docGrid w:linePitch="360"/>
        </w:sectPr>
      </w:pPr>
    </w:p>
    <w:p w:rsidR="0098655A" w:rsidP="00585420" w:rsidRDefault="004A4E54" w14:paraId="34AF7276" w14:textId="42554CA7">
      <w:pPr>
        <w:pStyle w:val="Dummy"/>
        <w:spacing w:after="240"/>
        <w:jc w:val="center"/>
      </w:pPr>
      <w:bookmarkStart w:name="_Toc131762371" w:id="0"/>
      <w:r>
        <w:lastRenderedPageBreak/>
        <w:t xml:space="preserve">DECISION ON </w:t>
      </w:r>
      <w:r w:rsidR="00A928D2">
        <w:t xml:space="preserve">PHASE 2 OF THE </w:t>
      </w:r>
      <w:r>
        <w:t>RESOURCE ADEQU</w:t>
      </w:r>
      <w:r w:rsidR="00F57679">
        <w:t>A</w:t>
      </w:r>
      <w:r>
        <w:t>CY REFORM TRACK</w:t>
      </w:r>
      <w:bookmarkEnd w:id="0"/>
    </w:p>
    <w:p w:rsidR="005A148C" w:rsidP="005A148C" w:rsidRDefault="005A148C" w14:paraId="49C6E212" w14:textId="77777777">
      <w:pPr>
        <w:pStyle w:val="Dummy"/>
      </w:pPr>
      <w:bookmarkStart w:name="_Toc8123714" w:id="1"/>
      <w:bookmarkStart w:name="_Toc119415983" w:id="2"/>
      <w:bookmarkStart w:name="_Toc131762372" w:id="3"/>
      <w:r>
        <w:t>Summary</w:t>
      </w:r>
      <w:bookmarkEnd w:id="1"/>
      <w:bookmarkEnd w:id="2"/>
      <w:bookmarkEnd w:id="3"/>
    </w:p>
    <w:p w:rsidR="00B0301C" w:rsidP="00687026" w:rsidRDefault="00B0301C" w14:paraId="12AFC18F" w14:textId="2AA14E77">
      <w:r w:rsidRPr="007C5AEE">
        <w:t xml:space="preserve">This decision </w:t>
      </w:r>
      <w:r>
        <w:t>addresses issue</w:t>
      </w:r>
      <w:r w:rsidR="00A84666">
        <w:t>s</w:t>
      </w:r>
      <w:r>
        <w:t xml:space="preserve"> scoped as Phase</w:t>
      </w:r>
      <w:r w:rsidR="00687026">
        <w:t> </w:t>
      </w:r>
      <w:r>
        <w:t>2 of the Reform Track and adopts implementation details for the 24</w:t>
      </w:r>
      <w:r w:rsidR="00687026">
        <w:noBreakHyphen/>
      </w:r>
      <w:r>
        <w:t>hour slice</w:t>
      </w:r>
      <w:r w:rsidR="00687026">
        <w:noBreakHyphen/>
      </w:r>
      <w:r>
        <w:t>of</w:t>
      </w:r>
      <w:r w:rsidR="00687026">
        <w:noBreakHyphen/>
      </w:r>
      <w:r>
        <w:t xml:space="preserve">day framework, including </w:t>
      </w:r>
      <w:r w:rsidR="00A84666">
        <w:t xml:space="preserve">adopting </w:t>
      </w:r>
      <w:r>
        <w:t>compliance tools</w:t>
      </w:r>
      <w:r w:rsidR="00A84666">
        <w:t>,</w:t>
      </w:r>
      <w:r>
        <w:t xml:space="preserve"> resource counting rules for various resource types</w:t>
      </w:r>
      <w:r w:rsidR="00A84666">
        <w:t>,</w:t>
      </w:r>
      <w:r>
        <w:t xml:space="preserve"> and a methodology to translate the Planning Reserve Margin to the slice</w:t>
      </w:r>
      <w:r w:rsidR="00B3310B">
        <w:noBreakHyphen/>
      </w:r>
      <w:r>
        <w:t>of</w:t>
      </w:r>
      <w:r w:rsidR="00B3310B">
        <w:noBreakHyphen/>
      </w:r>
      <w:r>
        <w:t>day framework.</w:t>
      </w:r>
    </w:p>
    <w:p w:rsidR="0073353F" w:rsidP="00B0301C" w:rsidRDefault="00B0301C" w14:paraId="5FAED432" w14:textId="09D25B56">
      <w:pPr>
        <w:pStyle w:val="Standard"/>
      </w:pPr>
      <w:r w:rsidRPr="007C5AEE">
        <w:t>This proceeding remains open</w:t>
      </w:r>
      <w:r>
        <w:t>.</w:t>
      </w:r>
    </w:p>
    <w:p w:rsidR="005A148C" w:rsidP="00B0301C" w:rsidRDefault="002C7FE9" w14:paraId="510F636C" w14:textId="160D278B">
      <w:pPr>
        <w:pStyle w:val="Heading1"/>
      </w:pPr>
      <w:bookmarkStart w:name="_Toc8123715" w:id="4"/>
      <w:bookmarkStart w:name="_Toc119415984" w:id="5"/>
      <w:bookmarkStart w:name="_Toc131762373" w:id="6"/>
      <w:r w:rsidRPr="00121089">
        <w:t>Background</w:t>
      </w:r>
      <w:bookmarkEnd w:id="4"/>
      <w:bookmarkEnd w:id="5"/>
      <w:bookmarkEnd w:id="6"/>
    </w:p>
    <w:p w:rsidR="00B0301C" w:rsidP="00B0301C" w:rsidRDefault="00B0301C" w14:paraId="04E98FF0" w14:textId="73838F11">
      <w:pPr>
        <w:pStyle w:val="Standard"/>
      </w:pPr>
      <w:r>
        <w:t>On October</w:t>
      </w:r>
      <w:r w:rsidR="00B3310B">
        <w:t> </w:t>
      </w:r>
      <w:r>
        <w:t>7,</w:t>
      </w:r>
      <w:r w:rsidR="00B3310B">
        <w:t> </w:t>
      </w:r>
      <w:r>
        <w:t xml:space="preserve">2021, the </w:t>
      </w:r>
      <w:r w:rsidR="00A84666">
        <w:t xml:space="preserve">California Public Utilities </w:t>
      </w:r>
      <w:r>
        <w:t xml:space="preserve">Commission </w:t>
      </w:r>
      <w:r w:rsidR="00A84666">
        <w:t xml:space="preserve">(Commission or CPUC) </w:t>
      </w:r>
      <w:r>
        <w:t>issued the Order Instituting Rulemaking (OIR) to oversee the Resource</w:t>
      </w:r>
      <w:r w:rsidR="00B3310B">
        <w:t> </w:t>
      </w:r>
      <w:r>
        <w:t>Adequacy</w:t>
      </w:r>
      <w:r w:rsidR="00B3310B">
        <w:t> </w:t>
      </w:r>
      <w:r>
        <w:t>(RA)</w:t>
      </w:r>
      <w:r w:rsidR="00B3310B">
        <w:t> </w:t>
      </w:r>
      <w:r>
        <w:t>program, consider program reforms and refinements, and establish forward RA</w:t>
      </w:r>
      <w:r w:rsidR="00B3310B">
        <w:t> </w:t>
      </w:r>
      <w:r>
        <w:t>procurement obligations applicable to Commission-jurisdictional load-serving entities (LSEs).  Additional information on the procedural history of this proceeding is provided in the OIR.</w:t>
      </w:r>
    </w:p>
    <w:p w:rsidR="00B0301C" w:rsidP="00B0301C" w:rsidRDefault="00B0301C" w14:paraId="0F43AEE6" w14:textId="094BE35B">
      <w:pPr>
        <w:pStyle w:val="Standard"/>
      </w:pPr>
      <w:r>
        <w:t>A Scoping</w:t>
      </w:r>
      <w:r w:rsidR="00B3310B">
        <w:t> </w:t>
      </w:r>
      <w:r>
        <w:t>Memo and Ruling (Scoping</w:t>
      </w:r>
      <w:r w:rsidR="00B3310B">
        <w:t> </w:t>
      </w:r>
      <w:r>
        <w:t>Memo) for this proceeding was issued on December</w:t>
      </w:r>
      <w:r w:rsidR="00B3310B">
        <w:t> </w:t>
      </w:r>
      <w:r>
        <w:t>2,</w:t>
      </w:r>
      <w:r w:rsidR="00B3310B">
        <w:t> </w:t>
      </w:r>
      <w:r>
        <w:t>2021.  The Scoping</w:t>
      </w:r>
      <w:r w:rsidR="00B3310B">
        <w:t> </w:t>
      </w:r>
      <w:r>
        <w:t xml:space="preserve">Memo identified the issues to be addressed in this </w:t>
      </w:r>
      <w:r w:rsidR="00B3310B">
        <w:t>proceeding and</w:t>
      </w:r>
      <w:r>
        <w:t xml:space="preserve"> set forth a schedule and process for addressing those issues.  In addition, the Scoping</w:t>
      </w:r>
      <w:r w:rsidR="00B3310B">
        <w:t> </w:t>
      </w:r>
      <w:r>
        <w:t xml:space="preserve">Memo established two tracks for this proceeding: </w:t>
      </w:r>
      <w:r w:rsidR="00B3310B">
        <w:t xml:space="preserve"> </w:t>
      </w:r>
      <w:r>
        <w:t>the Implementation Track and the Reform Track.  Under the Implementation Track, the Scoping</w:t>
      </w:r>
      <w:r w:rsidR="00B3310B">
        <w:t> </w:t>
      </w:r>
      <w:r>
        <w:t>Memo divided the track into Phases</w:t>
      </w:r>
      <w:r w:rsidR="00B3310B">
        <w:t> </w:t>
      </w:r>
      <w:r>
        <w:t>1,</w:t>
      </w:r>
      <w:r w:rsidR="00B3310B">
        <w:t> </w:t>
      </w:r>
      <w:r>
        <w:t>2, and 3.  Issues scoped as Phase</w:t>
      </w:r>
      <w:r w:rsidR="00B3310B">
        <w:t> </w:t>
      </w:r>
      <w:r>
        <w:t>1 of the Implementation Track were addressed in Decision</w:t>
      </w:r>
      <w:r w:rsidR="00B3310B">
        <w:t> </w:t>
      </w:r>
      <w:r>
        <w:t>(D.)</w:t>
      </w:r>
      <w:r w:rsidR="00B3310B">
        <w:t> </w:t>
      </w:r>
      <w:r>
        <w:t>22</w:t>
      </w:r>
      <w:r w:rsidR="00B3310B">
        <w:noBreakHyphen/>
      </w:r>
      <w:r>
        <w:t>03</w:t>
      </w:r>
      <w:r w:rsidR="00B3310B">
        <w:noBreakHyphen/>
      </w:r>
      <w:r>
        <w:t>034.  Issues scoped as Phase</w:t>
      </w:r>
      <w:r w:rsidR="00B3310B">
        <w:t> </w:t>
      </w:r>
      <w:r>
        <w:t>2 of the Implementation Track and issues scoped as the Reform Track were addressed in D.22</w:t>
      </w:r>
      <w:r w:rsidR="00B3310B">
        <w:noBreakHyphen/>
      </w:r>
      <w:r>
        <w:t>06</w:t>
      </w:r>
      <w:r w:rsidR="00B3310B">
        <w:noBreakHyphen/>
      </w:r>
      <w:r>
        <w:t>050.  In D.22</w:t>
      </w:r>
      <w:r w:rsidR="00B3310B">
        <w:noBreakHyphen/>
      </w:r>
      <w:r>
        <w:t>06</w:t>
      </w:r>
      <w:r w:rsidR="00B3310B">
        <w:noBreakHyphen/>
      </w:r>
      <w:r>
        <w:t>050, the Commission adopted Southern</w:t>
      </w:r>
      <w:r w:rsidR="00B3310B">
        <w:t> </w:t>
      </w:r>
      <w:r>
        <w:t>California Edison’s (SCE) 24</w:t>
      </w:r>
      <w:r w:rsidR="00B3310B">
        <w:noBreakHyphen/>
      </w:r>
      <w:r>
        <w:t>hour slice</w:t>
      </w:r>
      <w:r w:rsidR="00B3310B">
        <w:noBreakHyphen/>
      </w:r>
      <w:r>
        <w:t>of</w:t>
      </w:r>
      <w:r w:rsidR="00B3310B">
        <w:noBreakHyphen/>
      </w:r>
      <w:r>
        <w:t xml:space="preserve">day (SOD) framework for implementation for the 2025 RA year </w:t>
      </w:r>
      <w:r>
        <w:lastRenderedPageBreak/>
        <w:t>and established three workstreams for further development of the SOD framework.</w:t>
      </w:r>
    </w:p>
    <w:p w:rsidR="00B0301C" w:rsidP="00B0301C" w:rsidRDefault="00B0301C" w14:paraId="329976B0" w14:textId="70A9D49E">
      <w:pPr>
        <w:pStyle w:val="Standard"/>
      </w:pPr>
      <w:r>
        <w:t>On September</w:t>
      </w:r>
      <w:r w:rsidR="00B3310B">
        <w:t> </w:t>
      </w:r>
      <w:r>
        <w:t>2,</w:t>
      </w:r>
      <w:r w:rsidR="00B3310B">
        <w:t> </w:t>
      </w:r>
      <w:r>
        <w:t>2022, an Amended Scoping</w:t>
      </w:r>
      <w:r w:rsidR="00B3310B">
        <w:t> </w:t>
      </w:r>
      <w:r>
        <w:t>Memo was issued that designated issues as Phase</w:t>
      </w:r>
      <w:r w:rsidR="00B3310B">
        <w:t> </w:t>
      </w:r>
      <w:r>
        <w:t>3 of the Implementation Track and Phase</w:t>
      </w:r>
      <w:r w:rsidR="00B3310B">
        <w:t> </w:t>
      </w:r>
      <w:r>
        <w:t>2 of the Reform Track.  This decision addresses issues scoped as Phase</w:t>
      </w:r>
      <w:r w:rsidR="00B3310B">
        <w:t> </w:t>
      </w:r>
      <w:r>
        <w:t>2 of the Reform</w:t>
      </w:r>
      <w:r w:rsidR="00B3310B">
        <w:t> </w:t>
      </w:r>
      <w:r>
        <w:t>Track.</w:t>
      </w:r>
    </w:p>
    <w:p w:rsidR="00B0301C" w:rsidP="00B0301C" w:rsidRDefault="00B0301C" w14:paraId="446AFC34" w14:textId="0CEAAF36">
      <w:pPr>
        <w:pStyle w:val="Standard"/>
      </w:pPr>
      <w:r>
        <w:t>Working Group meetings were held by parties from July</w:t>
      </w:r>
      <w:r w:rsidR="00B3310B">
        <w:t> </w:t>
      </w:r>
      <w:r>
        <w:t>2022 to October</w:t>
      </w:r>
      <w:r w:rsidR="00B3310B">
        <w:t> </w:t>
      </w:r>
      <w:r>
        <w:t>2022 to address workstream topics identified in D.22</w:t>
      </w:r>
      <w:r w:rsidR="00B3310B">
        <w:noBreakHyphen/>
      </w:r>
      <w:r>
        <w:t>06</w:t>
      </w:r>
      <w:r w:rsidR="00B3310B">
        <w:noBreakHyphen/>
      </w:r>
      <w:r>
        <w:t>050.  On November</w:t>
      </w:r>
      <w:r w:rsidR="00B3310B">
        <w:t> </w:t>
      </w:r>
      <w:r>
        <w:t>15,</w:t>
      </w:r>
      <w:r w:rsidR="00B3310B">
        <w:t> </w:t>
      </w:r>
      <w:r>
        <w:t>2022, a RA</w:t>
      </w:r>
      <w:r w:rsidR="008807B8">
        <w:t> </w:t>
      </w:r>
      <w:r>
        <w:t>Reform W</w:t>
      </w:r>
      <w:r w:rsidR="00392CF4">
        <w:t xml:space="preserve">orking </w:t>
      </w:r>
      <w:r>
        <w:t>G</w:t>
      </w:r>
      <w:r w:rsidR="00392CF4">
        <w:t>roup</w:t>
      </w:r>
      <w:r w:rsidR="00B3310B">
        <w:t> </w:t>
      </w:r>
      <w:r>
        <w:t>Report was submitted by Pacific</w:t>
      </w:r>
      <w:r w:rsidR="00B3310B">
        <w:t> </w:t>
      </w:r>
      <w:r>
        <w:t>Gas &amp; Electric</w:t>
      </w:r>
      <w:r w:rsidR="00B3310B">
        <w:t> </w:t>
      </w:r>
      <w:r>
        <w:t>Company (PG&amp;E) on behalf of co</w:t>
      </w:r>
      <w:r w:rsidR="00B3310B">
        <w:noBreakHyphen/>
      </w:r>
      <w:r>
        <w:t>facilitators of the W</w:t>
      </w:r>
      <w:r w:rsidR="00392CF4">
        <w:t>orking Group</w:t>
      </w:r>
      <w:r>
        <w:t>.  Co</w:t>
      </w:r>
      <w:r w:rsidR="00B3310B">
        <w:noBreakHyphen/>
      </w:r>
      <w:r>
        <w:t>facilitators of the W</w:t>
      </w:r>
      <w:r w:rsidR="00392CF4">
        <w:t xml:space="preserve">orking </w:t>
      </w:r>
      <w:r>
        <w:t>G</w:t>
      </w:r>
      <w:r w:rsidR="00392CF4">
        <w:t>roup</w:t>
      </w:r>
      <w:r>
        <w:t xml:space="preserve"> are California Independent System Operator (CAISO), California Community Choice Association (</w:t>
      </w:r>
      <w:proofErr w:type="spellStart"/>
      <w:r>
        <w:t>CalCCA</w:t>
      </w:r>
      <w:proofErr w:type="spellEnd"/>
      <w:r>
        <w:t>), California Energy Storage Alliance (CESA), California Large Energy Consumers Association (CLECA), Energy Division, Independent Energy Producers Association (IEP), PG&amp;E, SCE, San</w:t>
      </w:r>
      <w:r w:rsidR="00B3310B">
        <w:t> </w:t>
      </w:r>
      <w:r>
        <w:t>Diego Gas &amp; Electric (SDG&amp;E), and Western Power Trading Forum (WPTF).</w:t>
      </w:r>
    </w:p>
    <w:p w:rsidR="00B0301C" w:rsidP="00B0301C" w:rsidRDefault="00B0301C" w14:paraId="575A2E8E" w14:textId="60C83D86">
      <w:pPr>
        <w:pStyle w:val="Standard"/>
      </w:pPr>
      <w:r>
        <w:t>Opening comments were filed on December</w:t>
      </w:r>
      <w:r w:rsidR="00B3310B">
        <w:t> </w:t>
      </w:r>
      <w:r>
        <w:t>1,</w:t>
      </w:r>
      <w:r w:rsidR="00B3310B">
        <w:t> </w:t>
      </w:r>
      <w:r>
        <w:t xml:space="preserve">2022 by: </w:t>
      </w:r>
      <w:r w:rsidR="00B3310B">
        <w:t xml:space="preserve"> </w:t>
      </w:r>
      <w:r>
        <w:t>American Clean Power – California (ACP-CA); AES Clean Energy Development, LLC (AES); Alliance for Retail Energy Markets (</w:t>
      </w:r>
      <w:proofErr w:type="spellStart"/>
      <w:r>
        <w:t>AReM</w:t>
      </w:r>
      <w:proofErr w:type="spellEnd"/>
      <w:r>
        <w:t xml:space="preserve">); CAISO; </w:t>
      </w:r>
      <w:proofErr w:type="spellStart"/>
      <w:r>
        <w:t>CalCCA</w:t>
      </w:r>
      <w:proofErr w:type="spellEnd"/>
      <w:r>
        <w:t>; Calpine Corporation (Calpine); California Wind Energy Association (</w:t>
      </w:r>
      <w:proofErr w:type="spellStart"/>
      <w:r>
        <w:t>CalWEA</w:t>
      </w:r>
      <w:proofErr w:type="spellEnd"/>
      <w:r>
        <w:t xml:space="preserve">); Center for Energy Efficiency and Renewable Technologies (CEERT) and California Environmental Justice Alliance (CEJA) (jointly, CEJA/CEERT); CESA; CLECA; </w:t>
      </w:r>
      <w:proofErr w:type="spellStart"/>
      <w:r>
        <w:t>Fervo</w:t>
      </w:r>
      <w:proofErr w:type="spellEnd"/>
      <w:r>
        <w:t xml:space="preserve"> Energy Company (</w:t>
      </w:r>
      <w:proofErr w:type="spellStart"/>
      <w:r>
        <w:t>Fervo</w:t>
      </w:r>
      <w:proofErr w:type="spellEnd"/>
      <w:r>
        <w:t xml:space="preserve">); Form Energy, Inc. (Form Energy); </w:t>
      </w:r>
      <w:proofErr w:type="spellStart"/>
      <w:r>
        <w:t>Hydrostor</w:t>
      </w:r>
      <w:proofErr w:type="spellEnd"/>
      <w:r>
        <w:t>, Inc. (</w:t>
      </w:r>
      <w:proofErr w:type="spellStart"/>
      <w:r>
        <w:t>Hydrostor</w:t>
      </w:r>
      <w:proofErr w:type="spellEnd"/>
      <w:r>
        <w:t xml:space="preserve">); IEP; Middle River Power LLP (MRP); </w:t>
      </w:r>
      <w:r w:rsidR="00BE0889">
        <w:t xml:space="preserve">Natural </w:t>
      </w:r>
      <w:r>
        <w:t xml:space="preserve">Resources Defense Council (NRDC); Peninsula Clean Energy (PCE); PG&amp;E; SCE; </w:t>
      </w:r>
      <w:r>
        <w:lastRenderedPageBreak/>
        <w:t>Public</w:t>
      </w:r>
      <w:r w:rsidR="00B3310B">
        <w:t> </w:t>
      </w:r>
      <w:r>
        <w:t>Advocates Office</w:t>
      </w:r>
      <w:r w:rsidR="00392CF4">
        <w:t xml:space="preserve"> of the California Public Utilities Commission</w:t>
      </w:r>
      <w:r>
        <w:t xml:space="preserve"> (Cal</w:t>
      </w:r>
      <w:r w:rsidR="00B3310B">
        <w:t> </w:t>
      </w:r>
      <w:r>
        <w:t>Advocates); SDG&amp;E; Solar Energy Industries Association (SEIA); and WPTF.</w:t>
      </w:r>
    </w:p>
    <w:p w:rsidR="0063491C" w:rsidP="00B0301C" w:rsidRDefault="00B0301C" w14:paraId="24B61C0C" w14:textId="28E8D7CC">
      <w:pPr>
        <w:pStyle w:val="Standard"/>
      </w:pPr>
      <w:r>
        <w:t>Reply</w:t>
      </w:r>
      <w:r w:rsidR="00B3310B">
        <w:t> </w:t>
      </w:r>
      <w:r>
        <w:t>comments were filed on December</w:t>
      </w:r>
      <w:r w:rsidR="00B3310B">
        <w:t> </w:t>
      </w:r>
      <w:r>
        <w:t>12,</w:t>
      </w:r>
      <w:r w:rsidR="00B3310B">
        <w:t> </w:t>
      </w:r>
      <w:proofErr w:type="gramStart"/>
      <w:r>
        <w:t>2022</w:t>
      </w:r>
      <w:proofErr w:type="gramEnd"/>
      <w:r>
        <w:t xml:space="preserve"> by: </w:t>
      </w:r>
      <w:r w:rsidR="00B3310B">
        <w:t xml:space="preserve"> </w:t>
      </w:r>
      <w:r>
        <w:t>ACP-CA; CAISO; CAISO’s Department of Market Monitoring (DMM); Cal</w:t>
      </w:r>
      <w:r w:rsidR="00B3310B">
        <w:t> </w:t>
      </w:r>
      <w:r>
        <w:t xml:space="preserve">Advocates; </w:t>
      </w:r>
      <w:proofErr w:type="spellStart"/>
      <w:r>
        <w:t>CalCCA</w:t>
      </w:r>
      <w:proofErr w:type="spellEnd"/>
      <w:r>
        <w:t xml:space="preserve">; CESA; CLECA; California Efficiency + Demand Management Council (CEDMC); Green Power Institute (GPI); </w:t>
      </w:r>
      <w:proofErr w:type="spellStart"/>
      <w:r>
        <w:t>Hydrostor</w:t>
      </w:r>
      <w:proofErr w:type="spellEnd"/>
      <w:r>
        <w:t xml:space="preserve">; IEP; MRP; NRDC; </w:t>
      </w:r>
      <w:proofErr w:type="spellStart"/>
      <w:r>
        <w:t>OhmConnect</w:t>
      </w:r>
      <w:proofErr w:type="spellEnd"/>
      <w:r>
        <w:t xml:space="preserve"> Inc. (</w:t>
      </w:r>
      <w:proofErr w:type="spellStart"/>
      <w:r>
        <w:t>OhmConnect</w:t>
      </w:r>
      <w:proofErr w:type="spellEnd"/>
      <w:r>
        <w:t>); PG&amp;E; SCE; and SEIA.</w:t>
      </w:r>
      <w:r w:rsidR="00392CF4">
        <w:t xml:space="preserve">  </w:t>
      </w:r>
      <w:r w:rsidR="00392CF4">
        <w:rPr>
          <w:rFonts w:eastAsia="Times New Roman"/>
        </w:rPr>
        <w:t>The matter for this decision was submitted on December 12, 2022.</w:t>
      </w:r>
    </w:p>
    <w:p w:rsidR="005A148C" w:rsidP="005939A5" w:rsidRDefault="005939A5" w14:paraId="659A5709" w14:textId="77777777">
      <w:pPr>
        <w:pStyle w:val="Heading1"/>
      </w:pPr>
      <w:bookmarkStart w:name="_Toc8123719" w:id="7"/>
      <w:bookmarkStart w:name="_Toc119415988" w:id="8"/>
      <w:bookmarkStart w:name="_Toc131762374" w:id="9"/>
      <w:r>
        <w:t>Issues Before the Commission</w:t>
      </w:r>
      <w:bookmarkEnd w:id="7"/>
      <w:bookmarkEnd w:id="8"/>
      <w:bookmarkEnd w:id="9"/>
    </w:p>
    <w:p w:rsidRPr="007C5AEE" w:rsidR="00B0301C" w:rsidP="00B0301C" w:rsidRDefault="00B0301C" w14:paraId="7E0AD718" w14:textId="48E56E91">
      <w:r w:rsidRPr="007C5AEE">
        <w:t>The scope of Phase</w:t>
      </w:r>
      <w:r w:rsidR="00B3310B">
        <w:t> </w:t>
      </w:r>
      <w:r w:rsidRPr="007C5AEE">
        <w:t xml:space="preserve">2 of the </w:t>
      </w:r>
      <w:r>
        <w:t>Reform</w:t>
      </w:r>
      <w:r w:rsidRPr="007C5AEE">
        <w:t xml:space="preserve"> Track, as adopted in the </w:t>
      </w:r>
      <w:r>
        <w:t xml:space="preserve">Amended </w:t>
      </w:r>
      <w:r w:rsidRPr="007C5AEE">
        <w:t>Scoping</w:t>
      </w:r>
      <w:r w:rsidR="00B3310B">
        <w:t> </w:t>
      </w:r>
      <w:r w:rsidRPr="007C5AEE">
        <w:t>Memo, is summarized below:</w:t>
      </w:r>
    </w:p>
    <w:p w:rsidR="00B0301C" w:rsidP="00B3310B" w:rsidRDefault="00B0301C" w14:paraId="00EAA4A4" w14:textId="47D10955">
      <w:pPr>
        <w:numPr>
          <w:ilvl w:val="7"/>
          <w:numId w:val="19"/>
        </w:numPr>
        <w:spacing w:after="120" w:line="240" w:lineRule="auto"/>
        <w:ind w:right="1440"/>
      </w:pPr>
      <w:r w:rsidRPr="000225F6">
        <w:rPr>
          <w:b/>
          <w:bCs/>
        </w:rPr>
        <w:t>Workstream 1</w:t>
      </w:r>
      <w:r>
        <w:t xml:space="preserve">.  </w:t>
      </w:r>
      <w:r w:rsidRPr="0072226A">
        <w:rPr>
          <w:rFonts w:cs="Book Antiqua"/>
          <w:color w:val="000000"/>
          <w:szCs w:val="26"/>
        </w:rPr>
        <w:t>Develop 24</w:t>
      </w:r>
      <w:r w:rsidR="00B3310B">
        <w:rPr>
          <w:rFonts w:cs="Book Antiqua"/>
          <w:color w:val="000000"/>
          <w:szCs w:val="26"/>
        </w:rPr>
        <w:noBreakHyphen/>
      </w:r>
      <w:r w:rsidRPr="0072226A">
        <w:rPr>
          <w:rFonts w:cs="Book Antiqua"/>
          <w:color w:val="000000"/>
          <w:szCs w:val="26"/>
        </w:rPr>
        <w:t>hour framework compliance tools</w:t>
      </w:r>
      <w:r>
        <w:rPr>
          <w:rFonts w:cs="Book Antiqua"/>
          <w:color w:val="000000"/>
          <w:szCs w:val="26"/>
        </w:rPr>
        <w:t>:</w:t>
      </w:r>
    </w:p>
    <w:p w:rsidR="00B0301C" w:rsidP="00B3310B" w:rsidRDefault="00B0301C" w14:paraId="44BAD0DD" w14:textId="77777777">
      <w:pPr>
        <w:numPr>
          <w:ilvl w:val="8"/>
          <w:numId w:val="19"/>
        </w:numPr>
        <w:spacing w:after="120" w:line="240" w:lineRule="auto"/>
        <w:ind w:left="1440" w:right="1440"/>
      </w:pPr>
      <w:r w:rsidRPr="0072226A">
        <w:rPr>
          <w:rFonts w:cs="Book Antiqua"/>
          <w:color w:val="000000"/>
          <w:szCs w:val="26"/>
        </w:rPr>
        <w:t xml:space="preserve">RA Resource Master Database to be coordinated with CAISO. </w:t>
      </w:r>
    </w:p>
    <w:p w:rsidR="00B0301C" w:rsidP="00B3310B" w:rsidRDefault="00B0301C" w14:paraId="4DEB8B59" w14:textId="11759C8D">
      <w:pPr>
        <w:numPr>
          <w:ilvl w:val="8"/>
          <w:numId w:val="19"/>
        </w:numPr>
        <w:spacing w:after="120" w:line="240" w:lineRule="auto"/>
        <w:ind w:left="1440" w:right="1440"/>
      </w:pPr>
      <w:r w:rsidRPr="0072226A">
        <w:rPr>
          <w:rFonts w:cs="Book Antiqua"/>
          <w:color w:val="000000"/>
          <w:szCs w:val="26"/>
        </w:rPr>
        <w:t>LSE Showing Tool (template to be used by the LSE to make its filing to the Commission) and Commission Verification Tool (tool to be used by Energy</w:t>
      </w:r>
      <w:r w:rsidR="00B3310B">
        <w:rPr>
          <w:rFonts w:cs="Book Antiqua"/>
          <w:color w:val="000000"/>
          <w:szCs w:val="26"/>
        </w:rPr>
        <w:t> </w:t>
      </w:r>
      <w:r w:rsidRPr="0072226A">
        <w:rPr>
          <w:rFonts w:cs="Book Antiqua"/>
          <w:color w:val="000000"/>
          <w:szCs w:val="26"/>
        </w:rPr>
        <w:t xml:space="preserve">Division to verify compliance). </w:t>
      </w:r>
    </w:p>
    <w:p w:rsidR="00B0301C" w:rsidP="00B3310B" w:rsidRDefault="00B0301C" w14:paraId="604DAB33" w14:textId="77777777">
      <w:pPr>
        <w:numPr>
          <w:ilvl w:val="8"/>
          <w:numId w:val="19"/>
        </w:numPr>
        <w:spacing w:after="120" w:line="240" w:lineRule="auto"/>
        <w:ind w:left="1440" w:right="1440"/>
      </w:pPr>
      <w:r w:rsidRPr="0072226A">
        <w:rPr>
          <w:rFonts w:cs="Book Antiqua"/>
          <w:color w:val="000000"/>
          <w:szCs w:val="26"/>
        </w:rPr>
        <w:t xml:space="preserve"> LSE Requirement Database to be coordinated with the California Energy Commission (CEC). This will utilize outputs generated by the CEC’s load forecast proposal, including a dry run filing that may inform any necessary changes. </w:t>
      </w:r>
    </w:p>
    <w:p w:rsidRPr="0072226A" w:rsidR="00B0301C" w:rsidP="00B3310B" w:rsidRDefault="00B0301C" w14:paraId="1EADA383" w14:textId="77777777">
      <w:pPr>
        <w:numPr>
          <w:ilvl w:val="8"/>
          <w:numId w:val="19"/>
        </w:numPr>
        <w:spacing w:after="120" w:line="240" w:lineRule="auto"/>
        <w:ind w:left="1440" w:right="1440"/>
      </w:pPr>
      <w:r w:rsidRPr="0072226A">
        <w:rPr>
          <w:rFonts w:cs="Book Antiqua"/>
          <w:color w:val="000000"/>
          <w:szCs w:val="26"/>
        </w:rPr>
        <w:t xml:space="preserve">Cost Allocation Mechanism (CAM) process and RA allocation to consider availability and capability of CAM-eligible resources and LSEs’ load share during those slices. </w:t>
      </w:r>
    </w:p>
    <w:p w:rsidRPr="0072226A" w:rsidR="00B0301C" w:rsidP="00B3310B" w:rsidRDefault="00B0301C" w14:paraId="0666A638" w14:textId="77777777">
      <w:pPr>
        <w:numPr>
          <w:ilvl w:val="7"/>
          <w:numId w:val="19"/>
        </w:numPr>
        <w:spacing w:after="120" w:line="240" w:lineRule="auto"/>
        <w:ind w:right="1440"/>
      </w:pPr>
      <w:r w:rsidRPr="000225F6">
        <w:rPr>
          <w:b/>
          <w:bCs/>
        </w:rPr>
        <w:t>Workstream 2</w:t>
      </w:r>
      <w:r>
        <w:t>.  Determine Planning Reserve Margin (PRM) and Counting Rules:</w:t>
      </w:r>
    </w:p>
    <w:p w:rsidRPr="0072226A" w:rsidR="00B0301C" w:rsidP="00B3310B" w:rsidRDefault="00B0301C" w14:paraId="2B036CB7" w14:textId="77777777">
      <w:pPr>
        <w:numPr>
          <w:ilvl w:val="8"/>
          <w:numId w:val="19"/>
        </w:numPr>
        <w:spacing w:after="120" w:line="240" w:lineRule="auto"/>
        <w:ind w:left="1440" w:right="1440"/>
        <w:rPr>
          <w:rFonts w:cs="Book Antiqua"/>
          <w:color w:val="000000"/>
          <w:szCs w:val="26"/>
        </w:rPr>
      </w:pPr>
      <w:r w:rsidRPr="0072226A">
        <w:rPr>
          <w:rFonts w:cs="Book Antiqua"/>
          <w:color w:val="000000"/>
          <w:szCs w:val="26"/>
        </w:rPr>
        <w:lastRenderedPageBreak/>
        <w:t xml:space="preserve">Appropriate exceedance level and/or hourly profiles for wind and solar at technology and location level. </w:t>
      </w:r>
    </w:p>
    <w:p w:rsidR="00B0301C" w:rsidP="00B3310B" w:rsidRDefault="00B0301C" w14:paraId="3D6E6F10" w14:textId="7A975571">
      <w:pPr>
        <w:numPr>
          <w:ilvl w:val="8"/>
          <w:numId w:val="19"/>
        </w:numPr>
        <w:spacing w:after="120" w:line="240" w:lineRule="auto"/>
        <w:ind w:left="1440" w:right="1440"/>
        <w:rPr>
          <w:rFonts w:cs="Book Antiqua"/>
          <w:color w:val="000000"/>
          <w:szCs w:val="26"/>
        </w:rPr>
      </w:pPr>
      <w:r w:rsidRPr="0072226A">
        <w:rPr>
          <w:rFonts w:cs="Book Antiqua"/>
          <w:color w:val="000000"/>
          <w:szCs w:val="26"/>
        </w:rPr>
        <w:t>Counting rules for hybrid, co-located, and long</w:t>
      </w:r>
      <w:r w:rsidR="00B3310B">
        <w:rPr>
          <w:rFonts w:cs="Book Antiqua"/>
          <w:color w:val="000000"/>
          <w:szCs w:val="26"/>
        </w:rPr>
        <w:noBreakHyphen/>
      </w:r>
      <w:r w:rsidRPr="0072226A">
        <w:rPr>
          <w:rFonts w:cs="Book Antiqua"/>
          <w:color w:val="000000"/>
          <w:szCs w:val="26"/>
        </w:rPr>
        <w:t>duration energy storage resources, as well as development of an unforced capacity evaluation</w:t>
      </w:r>
      <w:r w:rsidR="00B3310B">
        <w:rPr>
          <w:rFonts w:cs="Book Antiqua"/>
          <w:color w:val="000000"/>
          <w:szCs w:val="26"/>
        </w:rPr>
        <w:noBreakHyphen/>
      </w:r>
      <w:r w:rsidRPr="0072226A">
        <w:rPr>
          <w:rFonts w:cs="Book Antiqua"/>
          <w:color w:val="000000"/>
          <w:szCs w:val="26"/>
        </w:rPr>
        <w:t xml:space="preserve">light (ambient derate) mechanism to be applied to dispatchable resources. </w:t>
      </w:r>
    </w:p>
    <w:p w:rsidR="00B0301C" w:rsidP="00B3310B" w:rsidRDefault="00B0301C" w14:paraId="50A796B2" w14:textId="77777777">
      <w:pPr>
        <w:numPr>
          <w:ilvl w:val="8"/>
          <w:numId w:val="19"/>
        </w:numPr>
        <w:spacing w:after="120" w:line="240" w:lineRule="auto"/>
        <w:ind w:left="1440" w:right="1440"/>
        <w:rPr>
          <w:rFonts w:cs="Book Antiqua"/>
          <w:color w:val="000000"/>
          <w:szCs w:val="26"/>
        </w:rPr>
      </w:pPr>
      <w:r w:rsidRPr="0072226A">
        <w:rPr>
          <w:rFonts w:cs="Book Antiqua"/>
          <w:color w:val="000000"/>
          <w:szCs w:val="26"/>
        </w:rPr>
        <w:t xml:space="preserve">Elimination of the maximum cumulative capacity buckets. </w:t>
      </w:r>
    </w:p>
    <w:p w:rsidR="00B0301C" w:rsidP="00B3310B" w:rsidRDefault="00B0301C" w14:paraId="484D1B5B" w14:textId="77777777">
      <w:pPr>
        <w:numPr>
          <w:ilvl w:val="8"/>
          <w:numId w:val="19"/>
        </w:numPr>
        <w:spacing w:after="120" w:line="240" w:lineRule="auto"/>
        <w:ind w:left="1440" w:right="1440"/>
        <w:rPr>
          <w:rFonts w:cs="Book Antiqua"/>
          <w:color w:val="000000"/>
          <w:szCs w:val="26"/>
        </w:rPr>
      </w:pPr>
      <w:r w:rsidRPr="0072226A">
        <w:rPr>
          <w:rFonts w:cs="Book Antiqua"/>
          <w:color w:val="000000"/>
          <w:szCs w:val="26"/>
        </w:rPr>
        <w:t xml:space="preserve">Test year details. </w:t>
      </w:r>
    </w:p>
    <w:p w:rsidR="00B0301C" w:rsidP="00B3310B" w:rsidRDefault="00B0301C" w14:paraId="511F5317" w14:textId="7CED14D1">
      <w:pPr>
        <w:numPr>
          <w:ilvl w:val="8"/>
          <w:numId w:val="19"/>
        </w:numPr>
        <w:spacing w:after="120" w:line="240" w:lineRule="auto"/>
        <w:ind w:left="1440" w:right="1440"/>
        <w:rPr>
          <w:rFonts w:cs="Book Antiqua"/>
          <w:color w:val="000000"/>
          <w:szCs w:val="26"/>
        </w:rPr>
      </w:pPr>
      <w:r w:rsidRPr="0072226A">
        <w:rPr>
          <w:rFonts w:cs="Book Antiqua"/>
          <w:color w:val="000000"/>
          <w:szCs w:val="26"/>
        </w:rPr>
        <w:t xml:space="preserve">Appropriate PRM with single PRM initially for all months and hours informed by a loss of load expectation study, including </w:t>
      </w:r>
      <w:r w:rsidR="00BE0889">
        <w:rPr>
          <w:rFonts w:cs="Book Antiqua"/>
          <w:color w:val="000000"/>
          <w:szCs w:val="26"/>
        </w:rPr>
        <w:t>Natural</w:t>
      </w:r>
      <w:r w:rsidRPr="0072226A" w:rsidR="00BE0889">
        <w:rPr>
          <w:rFonts w:cs="Book Antiqua"/>
          <w:color w:val="000000"/>
          <w:szCs w:val="26"/>
        </w:rPr>
        <w:t xml:space="preserve"> </w:t>
      </w:r>
      <w:r w:rsidRPr="0072226A">
        <w:rPr>
          <w:rFonts w:cs="Book Antiqua"/>
          <w:color w:val="000000"/>
          <w:szCs w:val="26"/>
        </w:rPr>
        <w:t xml:space="preserve">Resources Defense Council’s calibration tool. </w:t>
      </w:r>
    </w:p>
    <w:p w:rsidR="00B0301C" w:rsidP="00B3310B" w:rsidRDefault="00B0301C" w14:paraId="39C37BD0" w14:textId="3630F07D">
      <w:pPr>
        <w:pStyle w:val="ListParagraph"/>
        <w:numPr>
          <w:ilvl w:val="0"/>
          <w:numId w:val="20"/>
        </w:numPr>
        <w:spacing w:after="120" w:line="240" w:lineRule="auto"/>
        <w:ind w:left="1800" w:right="1440"/>
        <w:contextualSpacing w:val="0"/>
        <w:rPr>
          <w:rFonts w:cs="Book Antiqua"/>
          <w:color w:val="000000"/>
          <w:szCs w:val="26"/>
        </w:rPr>
      </w:pPr>
      <w:r w:rsidRPr="0072226A">
        <w:rPr>
          <w:rFonts w:cs="Book Antiqua"/>
          <w:color w:val="000000"/>
          <w:szCs w:val="26"/>
        </w:rPr>
        <w:t xml:space="preserve">The Reform Track will consider how to convert/calibrate the results of a </w:t>
      </w:r>
      <w:r>
        <w:rPr>
          <w:rFonts w:cs="Book Antiqua"/>
          <w:color w:val="000000"/>
          <w:szCs w:val="26"/>
        </w:rPr>
        <w:t xml:space="preserve">loss of load </w:t>
      </w:r>
      <w:r w:rsidR="00F57679">
        <w:rPr>
          <w:rFonts w:cs="Book Antiqua"/>
          <w:color w:val="000000"/>
          <w:szCs w:val="26"/>
        </w:rPr>
        <w:t xml:space="preserve">expectation </w:t>
      </w:r>
      <w:r>
        <w:rPr>
          <w:rFonts w:cs="Book Antiqua"/>
          <w:color w:val="000000"/>
          <w:szCs w:val="26"/>
        </w:rPr>
        <w:t>study (</w:t>
      </w:r>
      <w:r w:rsidRPr="0072226A">
        <w:rPr>
          <w:rFonts w:cs="Book Antiqua"/>
          <w:color w:val="000000"/>
          <w:szCs w:val="26"/>
        </w:rPr>
        <w:t>LOLE</w:t>
      </w:r>
      <w:r>
        <w:rPr>
          <w:rFonts w:cs="Book Antiqua"/>
          <w:color w:val="000000"/>
          <w:szCs w:val="26"/>
        </w:rPr>
        <w:t>)</w:t>
      </w:r>
      <w:r w:rsidRPr="0072226A">
        <w:rPr>
          <w:rFonts w:cs="Book Antiqua"/>
          <w:color w:val="000000"/>
          <w:szCs w:val="26"/>
        </w:rPr>
        <w:t xml:space="preserve"> study to the slice-of-day RA framework</w:t>
      </w:r>
      <w:r w:rsidR="00FA059F">
        <w:rPr>
          <w:rFonts w:cs="Book Antiqua"/>
          <w:color w:val="000000"/>
          <w:szCs w:val="26"/>
        </w:rPr>
        <w:t xml:space="preserve">. </w:t>
      </w:r>
      <w:r w:rsidRPr="0072226A">
        <w:rPr>
          <w:rFonts w:cs="Book Antiqua"/>
          <w:color w:val="000000"/>
          <w:sz w:val="16"/>
          <w:szCs w:val="16"/>
        </w:rPr>
        <w:t xml:space="preserve"> </w:t>
      </w:r>
      <w:r w:rsidRPr="0072226A">
        <w:rPr>
          <w:rFonts w:cs="Book Antiqua"/>
          <w:color w:val="000000"/>
          <w:szCs w:val="26"/>
        </w:rPr>
        <w:t xml:space="preserve">Therefore, “appropriate </w:t>
      </w:r>
      <w:r w:rsidRPr="0072226A" w:rsidR="00B3310B">
        <w:rPr>
          <w:rFonts w:cs="Book Antiqua"/>
          <w:color w:val="000000"/>
          <w:szCs w:val="26"/>
        </w:rPr>
        <w:t>PRM</w:t>
      </w:r>
      <w:r w:rsidR="00B3310B">
        <w:rPr>
          <w:rFonts w:cs="Book Antiqua"/>
          <w:color w:val="000000"/>
          <w:szCs w:val="26"/>
        </w:rPr>
        <w:t xml:space="preserve">” </w:t>
      </w:r>
      <w:r w:rsidRPr="0072226A" w:rsidR="00B3310B">
        <w:rPr>
          <w:rFonts w:cs="Book Antiqua"/>
          <w:color w:val="000000"/>
          <w:szCs w:val="26"/>
        </w:rPr>
        <w:t>in</w:t>
      </w:r>
      <w:r w:rsidRPr="0072226A">
        <w:rPr>
          <w:rFonts w:cs="Book Antiqua"/>
          <w:color w:val="000000"/>
          <w:szCs w:val="26"/>
        </w:rPr>
        <w:t xml:space="preserve"> the Reform Track refers to converting the LOLE modeling results to the hourly RA framework counting rules. </w:t>
      </w:r>
    </w:p>
    <w:p w:rsidR="00B0301C" w:rsidP="00B3310B" w:rsidRDefault="00B0301C" w14:paraId="72457A8E" w14:textId="77777777">
      <w:pPr>
        <w:pStyle w:val="ListParagraph"/>
        <w:numPr>
          <w:ilvl w:val="7"/>
          <w:numId w:val="19"/>
        </w:numPr>
        <w:spacing w:after="120" w:line="240" w:lineRule="auto"/>
        <w:ind w:right="1440"/>
        <w:rPr>
          <w:rFonts w:cs="Book Antiqua"/>
          <w:color w:val="000000"/>
          <w:szCs w:val="26"/>
        </w:rPr>
      </w:pPr>
      <w:r w:rsidRPr="000225F6">
        <w:rPr>
          <w:rFonts w:cs="Book Antiqua"/>
          <w:b/>
          <w:bCs/>
          <w:color w:val="000000"/>
          <w:szCs w:val="26"/>
        </w:rPr>
        <w:t>Workstream 3</w:t>
      </w:r>
      <w:r>
        <w:rPr>
          <w:rFonts w:cs="Book Antiqua"/>
          <w:color w:val="000000"/>
          <w:szCs w:val="26"/>
        </w:rPr>
        <w:t>. CAISO and Commission Validation and Compliance:</w:t>
      </w:r>
    </w:p>
    <w:p w:rsidR="00B0301C" w:rsidP="00B3310B" w:rsidRDefault="00B0301C" w14:paraId="6E7B92E4" w14:textId="77777777">
      <w:pPr>
        <w:numPr>
          <w:ilvl w:val="8"/>
          <w:numId w:val="19"/>
        </w:numPr>
        <w:spacing w:after="120" w:line="240" w:lineRule="auto"/>
        <w:ind w:left="1440" w:right="1440"/>
        <w:rPr>
          <w:rFonts w:cs="Book Antiqua"/>
          <w:color w:val="000000"/>
          <w:szCs w:val="26"/>
        </w:rPr>
      </w:pPr>
      <w:r w:rsidRPr="0072226A">
        <w:rPr>
          <w:rFonts w:cs="Book Antiqua"/>
          <w:color w:val="000000"/>
          <w:szCs w:val="26"/>
        </w:rPr>
        <w:t xml:space="preserve">Confirm elements of CAISO and Commission validation and compliance that do not require modification in the near term. </w:t>
      </w:r>
    </w:p>
    <w:p w:rsidR="00B0301C" w:rsidP="00B3310B" w:rsidRDefault="00B0301C" w14:paraId="15BF3808" w14:textId="61D6DE07">
      <w:pPr>
        <w:numPr>
          <w:ilvl w:val="8"/>
          <w:numId w:val="19"/>
        </w:numPr>
        <w:spacing w:after="120" w:line="240" w:lineRule="auto"/>
        <w:ind w:left="1440" w:right="1440"/>
        <w:rPr>
          <w:rFonts w:cs="Book Antiqua"/>
          <w:color w:val="000000"/>
          <w:szCs w:val="26"/>
        </w:rPr>
      </w:pPr>
      <w:r w:rsidRPr="0072226A">
        <w:rPr>
          <w:rFonts w:cs="Book Antiqua"/>
          <w:color w:val="000000"/>
          <w:szCs w:val="26"/>
        </w:rPr>
        <w:t>Identify and resolve administrative changes to the RA</w:t>
      </w:r>
      <w:r w:rsidR="00B3310B">
        <w:rPr>
          <w:rFonts w:cs="Book Antiqua"/>
          <w:color w:val="000000"/>
          <w:szCs w:val="26"/>
        </w:rPr>
        <w:t> </w:t>
      </w:r>
      <w:r w:rsidRPr="0072226A">
        <w:rPr>
          <w:rFonts w:cs="Book Antiqua"/>
          <w:color w:val="000000"/>
          <w:szCs w:val="26"/>
        </w:rPr>
        <w:t>program at both CAISO and the Commission (</w:t>
      </w:r>
      <w:r w:rsidRPr="0072226A">
        <w:rPr>
          <w:rFonts w:cs="Book Antiqua"/>
          <w:i/>
          <w:iCs/>
          <w:color w:val="000000"/>
          <w:szCs w:val="26"/>
        </w:rPr>
        <w:t>e.g.</w:t>
      </w:r>
      <w:r w:rsidRPr="0072226A">
        <w:rPr>
          <w:rFonts w:cs="Book Antiqua"/>
          <w:color w:val="000000"/>
          <w:szCs w:val="26"/>
        </w:rPr>
        <w:t>,</w:t>
      </w:r>
      <w:r w:rsidR="00B3310B">
        <w:rPr>
          <w:rFonts w:cs="Book Antiqua"/>
          <w:color w:val="000000"/>
          <w:szCs w:val="26"/>
        </w:rPr>
        <w:t> </w:t>
      </w:r>
      <w:r w:rsidRPr="0072226A">
        <w:rPr>
          <w:rFonts w:cs="Book Antiqua"/>
          <w:color w:val="000000"/>
          <w:szCs w:val="26"/>
        </w:rPr>
        <w:t>must</w:t>
      </w:r>
      <w:r w:rsidR="00B3310B">
        <w:rPr>
          <w:rFonts w:cs="Book Antiqua"/>
          <w:color w:val="000000"/>
          <w:szCs w:val="26"/>
        </w:rPr>
        <w:t xml:space="preserve"> </w:t>
      </w:r>
      <w:r w:rsidRPr="0072226A">
        <w:rPr>
          <w:rFonts w:cs="Book Antiqua"/>
          <w:color w:val="000000"/>
          <w:szCs w:val="26"/>
        </w:rPr>
        <w:t xml:space="preserve">offer reporting, outage substitution). </w:t>
      </w:r>
    </w:p>
    <w:p w:rsidR="00B0301C" w:rsidP="00B3310B" w:rsidRDefault="00B0301C" w14:paraId="63D5407A" w14:textId="77777777">
      <w:pPr>
        <w:numPr>
          <w:ilvl w:val="8"/>
          <w:numId w:val="19"/>
        </w:numPr>
        <w:spacing w:after="120" w:line="240" w:lineRule="auto"/>
        <w:ind w:left="1440" w:right="1440"/>
        <w:rPr>
          <w:rFonts w:cs="Book Antiqua"/>
          <w:color w:val="000000"/>
          <w:szCs w:val="26"/>
        </w:rPr>
      </w:pPr>
      <w:r w:rsidRPr="0072226A">
        <w:rPr>
          <w:rFonts w:cs="Book Antiqua"/>
          <w:color w:val="000000"/>
          <w:szCs w:val="26"/>
        </w:rPr>
        <w:t xml:space="preserve">Elimination of the flexible RA requirements. </w:t>
      </w:r>
    </w:p>
    <w:p w:rsidRPr="000225F6" w:rsidR="00B0301C" w:rsidP="00B3310B" w:rsidRDefault="00B0301C" w14:paraId="071783A8" w14:textId="77777777">
      <w:pPr>
        <w:numPr>
          <w:ilvl w:val="7"/>
          <w:numId w:val="19"/>
        </w:numPr>
        <w:spacing w:after="120" w:line="240" w:lineRule="auto"/>
        <w:ind w:right="1440"/>
        <w:rPr>
          <w:rFonts w:cs="Book Antiqua"/>
          <w:color w:val="000000"/>
          <w:szCs w:val="26"/>
        </w:rPr>
      </w:pPr>
      <w:bookmarkStart w:name="_Hlk126580599" w:id="10"/>
      <w:r w:rsidRPr="000225F6">
        <w:rPr>
          <w:rFonts w:cs="Book Antiqua"/>
          <w:color w:val="000000"/>
          <w:szCs w:val="26"/>
        </w:rPr>
        <w:t xml:space="preserve">Consider the allocation of funding to assist with the implementation of the 24-hour slice framework, including funds for a compliance filing portal and external facing user interface. </w:t>
      </w:r>
    </w:p>
    <w:p w:rsidRPr="0027361C" w:rsidR="00B0301C" w:rsidP="00B0301C" w:rsidRDefault="00B0301C" w14:paraId="2C2276C2" w14:textId="7BE4AC28">
      <w:bookmarkStart w:name="_Hlk7176765" w:id="11"/>
      <w:bookmarkStart w:name="_Hlk69985669" w:id="12"/>
      <w:bookmarkEnd w:id="10"/>
      <w:r w:rsidRPr="007C5AEE">
        <w:lastRenderedPageBreak/>
        <w:t xml:space="preserve">All proposals and comments </w:t>
      </w:r>
      <w:r>
        <w:t>submitted</w:t>
      </w:r>
      <w:r w:rsidRPr="007C5AEE">
        <w:t xml:space="preserve"> in Phase</w:t>
      </w:r>
      <w:r w:rsidR="00B3310B">
        <w:t> </w:t>
      </w:r>
      <w:r w:rsidRPr="007C5AEE">
        <w:t xml:space="preserve">2 </w:t>
      </w:r>
      <w:r>
        <w:t>of</w:t>
      </w:r>
      <w:r w:rsidRPr="007C5AEE">
        <w:t xml:space="preserve"> the Reform Track were considered</w:t>
      </w:r>
      <w:r>
        <w:t>.  Given</w:t>
      </w:r>
      <w:r w:rsidRPr="007C5AEE">
        <w:t xml:space="preserve"> the </w:t>
      </w:r>
      <w:r>
        <w:t>length</w:t>
      </w:r>
      <w:r w:rsidRPr="007C5AEE">
        <w:t xml:space="preserve"> </w:t>
      </w:r>
      <w:r>
        <w:t>and detail of the W</w:t>
      </w:r>
      <w:r w:rsidR="00392CF4">
        <w:t xml:space="preserve">orking </w:t>
      </w:r>
      <w:r>
        <w:t>G</w:t>
      </w:r>
      <w:r w:rsidR="00392CF4">
        <w:t>roup</w:t>
      </w:r>
      <w:r w:rsidR="00152336">
        <w:t> </w:t>
      </w:r>
      <w:r>
        <w:t xml:space="preserve">Report, as well as the volume </w:t>
      </w:r>
      <w:r w:rsidRPr="007C5AEE">
        <w:t xml:space="preserve">of comments, some proposals or comments may receive little or no discussion in this decision.  Issues within the scope of the proceeding that are not addressed or only partially addressed in this decision may be addressed in a future phase. </w:t>
      </w:r>
      <w:bookmarkEnd w:id="11"/>
      <w:bookmarkEnd w:id="12"/>
    </w:p>
    <w:p w:rsidR="00B0301C" w:rsidP="00B3310B" w:rsidRDefault="00B0301C" w14:paraId="669CA181" w14:textId="319FA03A">
      <w:pPr>
        <w:pStyle w:val="Heading1"/>
      </w:pPr>
      <w:bookmarkStart w:name="_Toc131762375" w:id="13"/>
      <w:r w:rsidRPr="00B0301C">
        <w:t>Background and Overview of RA Reform</w:t>
      </w:r>
      <w:bookmarkEnd w:id="13"/>
    </w:p>
    <w:p w:rsidRPr="007C5AEE" w:rsidR="00B0301C" w:rsidP="00B0301C" w:rsidRDefault="00B0301C" w14:paraId="545DD988" w14:textId="2A8CE192">
      <w:pPr>
        <w:rPr>
          <w:rFonts w:eastAsiaTheme="minorEastAsia"/>
          <w:szCs w:val="26"/>
        </w:rPr>
      </w:pPr>
      <w:r w:rsidRPr="007C5AEE">
        <w:rPr>
          <w:rFonts w:eastAsiaTheme="minorEastAsia"/>
          <w:szCs w:val="26"/>
        </w:rPr>
        <w:t>In D.21</w:t>
      </w:r>
      <w:r w:rsidR="00B3310B">
        <w:rPr>
          <w:rFonts w:eastAsiaTheme="minorEastAsia"/>
          <w:szCs w:val="26"/>
        </w:rPr>
        <w:noBreakHyphen/>
      </w:r>
      <w:r w:rsidRPr="007C5AEE">
        <w:rPr>
          <w:rFonts w:eastAsiaTheme="minorEastAsia"/>
          <w:szCs w:val="26"/>
        </w:rPr>
        <w:t>07</w:t>
      </w:r>
      <w:r w:rsidR="00B3310B">
        <w:rPr>
          <w:rFonts w:eastAsiaTheme="minorEastAsia"/>
          <w:szCs w:val="26"/>
        </w:rPr>
        <w:noBreakHyphen/>
      </w:r>
      <w:r w:rsidRPr="007C5AEE">
        <w:rPr>
          <w:rFonts w:eastAsiaTheme="minorEastAsia"/>
          <w:szCs w:val="26"/>
        </w:rPr>
        <w:t xml:space="preserve">014, the Commission outlined the history of the current RA framework and the trends and concerns that have arisen, </w:t>
      </w:r>
      <w:r>
        <w:rPr>
          <w:rFonts w:eastAsiaTheme="minorEastAsia"/>
          <w:szCs w:val="26"/>
        </w:rPr>
        <w:t>which resulted in</w:t>
      </w:r>
      <w:r w:rsidRPr="007C5AEE">
        <w:rPr>
          <w:rFonts w:eastAsiaTheme="minorEastAsia"/>
          <w:szCs w:val="26"/>
        </w:rPr>
        <w:t xml:space="preserve"> the reexamination of the RA program to ensure that the framework can provide grid reliability at all times of the day.</w:t>
      </w:r>
      <w:r w:rsidRPr="007C5AEE">
        <w:rPr>
          <w:rFonts w:eastAsiaTheme="minorEastAsia"/>
          <w:vertAlign w:val="superscript"/>
        </w:rPr>
        <w:footnoteReference w:id="2"/>
      </w:r>
      <w:r w:rsidRPr="007C5AEE">
        <w:rPr>
          <w:rFonts w:eastAsiaTheme="minorEastAsia"/>
          <w:szCs w:val="26"/>
        </w:rPr>
        <w:t xml:space="preserve">  The Commission established five key principles </w:t>
      </w:r>
      <w:r>
        <w:rPr>
          <w:rFonts w:eastAsiaTheme="minorEastAsia"/>
          <w:szCs w:val="26"/>
        </w:rPr>
        <w:t xml:space="preserve">for a new RA framework </w:t>
      </w:r>
      <w:r w:rsidRPr="007C5AEE">
        <w:rPr>
          <w:rFonts w:eastAsiaTheme="minorEastAsia"/>
          <w:szCs w:val="26"/>
        </w:rPr>
        <w:t>that</w:t>
      </w:r>
      <w:r>
        <w:rPr>
          <w:rFonts w:eastAsiaTheme="minorEastAsia"/>
          <w:szCs w:val="26"/>
        </w:rPr>
        <w:t xml:space="preserve"> </w:t>
      </w:r>
      <w:r w:rsidRPr="007C5AEE">
        <w:rPr>
          <w:rFonts w:eastAsiaTheme="minorEastAsia"/>
          <w:szCs w:val="26"/>
        </w:rPr>
        <w:t xml:space="preserve">encompass </w:t>
      </w:r>
      <w:r>
        <w:rPr>
          <w:rFonts w:eastAsiaTheme="minorEastAsia"/>
          <w:szCs w:val="26"/>
        </w:rPr>
        <w:t xml:space="preserve">the </w:t>
      </w:r>
      <w:r w:rsidRPr="007C5AEE">
        <w:rPr>
          <w:rFonts w:eastAsiaTheme="minorEastAsia"/>
          <w:szCs w:val="26"/>
        </w:rPr>
        <w:t xml:space="preserve">concerns with the current framework and </w:t>
      </w:r>
      <w:r>
        <w:rPr>
          <w:rFonts w:eastAsiaTheme="minorEastAsia"/>
          <w:szCs w:val="26"/>
        </w:rPr>
        <w:t>emphasize the</w:t>
      </w:r>
      <w:r w:rsidRPr="007C5AEE">
        <w:rPr>
          <w:rFonts w:eastAsiaTheme="minorEastAsia"/>
          <w:szCs w:val="26"/>
        </w:rPr>
        <w:t xml:space="preserve"> objectives of the RA program, set forth in Public</w:t>
      </w:r>
      <w:r w:rsidR="00B3310B">
        <w:rPr>
          <w:rFonts w:eastAsiaTheme="minorEastAsia"/>
          <w:szCs w:val="26"/>
        </w:rPr>
        <w:t> </w:t>
      </w:r>
      <w:r w:rsidRPr="007C5AEE">
        <w:rPr>
          <w:rFonts w:eastAsiaTheme="minorEastAsia"/>
          <w:szCs w:val="26"/>
        </w:rPr>
        <w:t>Utilities (Pub.</w:t>
      </w:r>
      <w:r w:rsidR="00B3310B">
        <w:rPr>
          <w:rFonts w:eastAsiaTheme="minorEastAsia"/>
          <w:szCs w:val="26"/>
        </w:rPr>
        <w:t> </w:t>
      </w:r>
      <w:r w:rsidRPr="007C5AEE">
        <w:rPr>
          <w:rFonts w:eastAsiaTheme="minorEastAsia"/>
          <w:szCs w:val="26"/>
        </w:rPr>
        <w:t>Util.) Code</w:t>
      </w:r>
      <w:r w:rsidR="00B3310B">
        <w:rPr>
          <w:rFonts w:eastAsiaTheme="minorEastAsia"/>
          <w:szCs w:val="26"/>
        </w:rPr>
        <w:t> </w:t>
      </w:r>
      <w:r w:rsidRPr="007C5AEE">
        <w:rPr>
          <w:rFonts w:eastAsiaTheme="minorEastAsia"/>
          <w:szCs w:val="26"/>
        </w:rPr>
        <w:t>Section</w:t>
      </w:r>
      <w:r w:rsidR="00B3310B">
        <w:rPr>
          <w:rFonts w:eastAsiaTheme="minorEastAsia"/>
          <w:szCs w:val="26"/>
        </w:rPr>
        <w:t> </w:t>
      </w:r>
      <w:r w:rsidRPr="007C5AEE">
        <w:rPr>
          <w:rFonts w:eastAsiaTheme="minorEastAsia"/>
          <w:szCs w:val="26"/>
        </w:rPr>
        <w:t>380.  The principles are</w:t>
      </w:r>
      <w:r w:rsidR="00392CF4">
        <w:rPr>
          <w:rFonts w:eastAsiaTheme="minorEastAsia"/>
          <w:szCs w:val="26"/>
        </w:rPr>
        <w:t xml:space="preserve"> as follows</w:t>
      </w:r>
      <w:r w:rsidRPr="007C5AEE">
        <w:rPr>
          <w:rFonts w:eastAsiaTheme="minorEastAsia"/>
          <w:szCs w:val="26"/>
        </w:rPr>
        <w:t>:</w:t>
      </w:r>
      <w:r w:rsidRPr="007C5AEE">
        <w:rPr>
          <w:rFonts w:eastAsiaTheme="minorEastAsia"/>
          <w:vertAlign w:val="superscript"/>
        </w:rPr>
        <w:footnoteReference w:id="3"/>
      </w:r>
    </w:p>
    <w:p w:rsidRPr="007C5AEE" w:rsidR="00B0301C" w:rsidP="00B3310B" w:rsidRDefault="00B0301C" w14:paraId="2F6F10C5" w14:textId="77777777">
      <w:pPr>
        <w:numPr>
          <w:ilvl w:val="0"/>
          <w:numId w:val="21"/>
        </w:numPr>
        <w:spacing w:after="120" w:line="240" w:lineRule="auto"/>
        <w:ind w:left="1080" w:right="1440"/>
        <w:rPr>
          <w:rFonts w:cs="Times New Roman"/>
          <w:szCs w:val="20"/>
        </w:rPr>
      </w:pPr>
      <w:r w:rsidRPr="007C5AEE">
        <w:rPr>
          <w:rFonts w:cs="Times New Roman"/>
          <w:szCs w:val="20"/>
        </w:rPr>
        <w:t xml:space="preserve">Principle 1: </w:t>
      </w:r>
      <w:r>
        <w:rPr>
          <w:rFonts w:cs="Times New Roman"/>
          <w:szCs w:val="20"/>
        </w:rPr>
        <w:t xml:space="preserve"> </w:t>
      </w:r>
      <w:r w:rsidRPr="007C5AEE">
        <w:rPr>
          <w:rFonts w:cs="Times New Roman"/>
          <w:szCs w:val="20"/>
        </w:rPr>
        <w:t>To balance ensuring a reliable electrical grid with minimizing costs to customers.</w:t>
      </w:r>
    </w:p>
    <w:p w:rsidRPr="007C5AEE" w:rsidR="00B0301C" w:rsidP="00B0301C" w:rsidRDefault="00B0301C" w14:paraId="52E331A7" w14:textId="77777777">
      <w:pPr>
        <w:numPr>
          <w:ilvl w:val="0"/>
          <w:numId w:val="21"/>
        </w:numPr>
        <w:spacing w:after="120" w:line="240" w:lineRule="auto"/>
        <w:ind w:left="1080" w:right="1440"/>
        <w:rPr>
          <w:rFonts w:cs="Times New Roman"/>
          <w:szCs w:val="20"/>
        </w:rPr>
      </w:pPr>
      <w:r w:rsidRPr="007C5AEE">
        <w:rPr>
          <w:rFonts w:eastAsia="Times New Roman" w:cs="Calibri"/>
          <w:color w:val="000000"/>
          <w:szCs w:val="20"/>
        </w:rPr>
        <w:t xml:space="preserve">Principle 2: </w:t>
      </w:r>
      <w:r>
        <w:rPr>
          <w:rFonts w:eastAsia="Times New Roman" w:cs="Calibri"/>
          <w:color w:val="000000"/>
          <w:szCs w:val="20"/>
        </w:rPr>
        <w:t xml:space="preserve"> </w:t>
      </w:r>
      <w:r w:rsidRPr="007C5AEE">
        <w:rPr>
          <w:rFonts w:eastAsia="Times New Roman" w:cs="Calibri"/>
          <w:color w:val="000000"/>
          <w:szCs w:val="20"/>
        </w:rPr>
        <w:t xml:space="preserve">To </w:t>
      </w:r>
      <w:r w:rsidRPr="007C5AEE">
        <w:rPr>
          <w:rFonts w:cs="Times New Roman"/>
          <w:szCs w:val="20"/>
        </w:rPr>
        <w:t>balance</w:t>
      </w:r>
      <w:r w:rsidRPr="007C5AEE">
        <w:rPr>
          <w:rFonts w:eastAsia="Times New Roman" w:cs="Calibri"/>
          <w:color w:val="000000"/>
          <w:szCs w:val="20"/>
        </w:rPr>
        <w:t xml:space="preserve"> addressing hourly energy </w:t>
      </w:r>
      <w:r w:rsidRPr="007C5AEE">
        <w:rPr>
          <w:rFonts w:cs="Times New Roman"/>
          <w:szCs w:val="20"/>
        </w:rPr>
        <w:t>sufficiency</w:t>
      </w:r>
      <w:r w:rsidRPr="007C5AEE">
        <w:rPr>
          <w:rFonts w:eastAsia="Times New Roman" w:cs="Calibri"/>
          <w:color w:val="000000"/>
          <w:szCs w:val="20"/>
        </w:rPr>
        <w:t xml:space="preserve"> for reliable operations with advancing California’s environmental goals.</w:t>
      </w:r>
    </w:p>
    <w:p w:rsidRPr="007C5AEE" w:rsidR="00B0301C" w:rsidP="00B0301C" w:rsidRDefault="00B0301C" w14:paraId="70F4B692" w14:textId="77777777">
      <w:pPr>
        <w:numPr>
          <w:ilvl w:val="0"/>
          <w:numId w:val="21"/>
        </w:numPr>
        <w:spacing w:after="120" w:line="240" w:lineRule="auto"/>
        <w:ind w:left="1080" w:right="1440"/>
        <w:rPr>
          <w:rFonts w:cs="Times New Roman"/>
          <w:szCs w:val="20"/>
        </w:rPr>
      </w:pPr>
      <w:r w:rsidRPr="007C5AEE">
        <w:rPr>
          <w:rFonts w:eastAsia="Times New Roman" w:cs="Calibri"/>
          <w:color w:val="000000" w:themeColor="text1"/>
          <w:szCs w:val="20"/>
        </w:rPr>
        <w:t xml:space="preserve">Principle 3: </w:t>
      </w:r>
      <w:r>
        <w:rPr>
          <w:rFonts w:eastAsia="Times New Roman" w:cs="Calibri"/>
          <w:color w:val="000000" w:themeColor="text1"/>
          <w:szCs w:val="20"/>
        </w:rPr>
        <w:t xml:space="preserve"> </w:t>
      </w:r>
      <w:r w:rsidRPr="007C5AEE">
        <w:rPr>
          <w:rFonts w:eastAsia="Times New Roman" w:cs="Calibri"/>
          <w:color w:val="000000" w:themeColor="text1"/>
          <w:szCs w:val="20"/>
        </w:rPr>
        <w:t xml:space="preserve">To </w:t>
      </w:r>
      <w:r w:rsidRPr="007C5AEE">
        <w:rPr>
          <w:rFonts w:eastAsia="Times New Roman" w:cs="Calibri"/>
          <w:color w:val="000000"/>
          <w:szCs w:val="20"/>
        </w:rPr>
        <w:t>balance</w:t>
      </w:r>
      <w:r w:rsidRPr="007C5AEE">
        <w:rPr>
          <w:rFonts w:eastAsia="Times New Roman" w:cs="Calibri"/>
          <w:color w:val="000000" w:themeColor="text1"/>
          <w:szCs w:val="20"/>
        </w:rPr>
        <w:t xml:space="preserve"> granularity and precision in </w:t>
      </w:r>
      <w:r w:rsidRPr="007C5AEE">
        <w:rPr>
          <w:rFonts w:cs="Times New Roman"/>
          <w:szCs w:val="20"/>
        </w:rPr>
        <w:t>meeting</w:t>
      </w:r>
      <w:r w:rsidRPr="007C5AEE">
        <w:rPr>
          <w:rFonts w:eastAsia="Times New Roman" w:cs="Calibri"/>
          <w:color w:val="000000" w:themeColor="text1"/>
          <w:szCs w:val="20"/>
        </w:rPr>
        <w:t xml:space="preserve"> hourly RA needs with a reasonable level of simplicity and transactability.</w:t>
      </w:r>
    </w:p>
    <w:p w:rsidRPr="007C5AEE" w:rsidR="00B0301C" w:rsidP="00B0301C" w:rsidRDefault="00B0301C" w14:paraId="770CF63F" w14:textId="77777777">
      <w:pPr>
        <w:numPr>
          <w:ilvl w:val="0"/>
          <w:numId w:val="21"/>
        </w:numPr>
        <w:spacing w:after="120" w:line="240" w:lineRule="auto"/>
        <w:ind w:left="1080" w:right="1440"/>
        <w:rPr>
          <w:rFonts w:cs="Times New Roman"/>
          <w:szCs w:val="20"/>
        </w:rPr>
      </w:pPr>
      <w:r w:rsidRPr="007C5AEE">
        <w:rPr>
          <w:rFonts w:eastAsia="Times New Roman" w:cs="Calibri"/>
          <w:color w:val="000000"/>
          <w:szCs w:val="20"/>
        </w:rPr>
        <w:t>Principle</w:t>
      </w:r>
      <w:r w:rsidRPr="007C5AEE">
        <w:rPr>
          <w:rFonts w:eastAsia="Times New Roman" w:cs="Calibri"/>
          <w:color w:val="000000" w:themeColor="text1"/>
          <w:szCs w:val="20"/>
        </w:rPr>
        <w:t xml:space="preserve"> 4:</w:t>
      </w:r>
      <w:r>
        <w:rPr>
          <w:rFonts w:eastAsia="Times New Roman" w:cs="Calibri"/>
          <w:color w:val="000000" w:themeColor="text1"/>
          <w:szCs w:val="20"/>
        </w:rPr>
        <w:t xml:space="preserve"> </w:t>
      </w:r>
      <w:r w:rsidRPr="007C5AEE">
        <w:rPr>
          <w:rFonts w:eastAsia="Times New Roman" w:cs="Calibri"/>
          <w:color w:val="000000" w:themeColor="text1"/>
          <w:szCs w:val="20"/>
        </w:rPr>
        <w:t xml:space="preserve"> To be implementable in the near-term (</w:t>
      </w:r>
      <w:r w:rsidRPr="007C5AEE">
        <w:rPr>
          <w:rFonts w:eastAsia="Times New Roman" w:cs="Calibri"/>
          <w:i/>
          <w:iCs/>
          <w:color w:val="000000" w:themeColor="text1"/>
          <w:szCs w:val="20"/>
        </w:rPr>
        <w:t>e.g.,</w:t>
      </w:r>
      <w:r>
        <w:rPr>
          <w:rFonts w:eastAsia="Times New Roman" w:cs="Calibri"/>
          <w:color w:val="000000" w:themeColor="text1"/>
          <w:szCs w:val="20"/>
        </w:rPr>
        <w:t> </w:t>
      </w:r>
      <w:r w:rsidRPr="007C5AEE">
        <w:rPr>
          <w:rFonts w:cs="Times New Roman"/>
          <w:szCs w:val="20"/>
        </w:rPr>
        <w:t>2024</w:t>
      </w:r>
      <w:r w:rsidRPr="007C5AEE">
        <w:rPr>
          <w:rFonts w:eastAsia="Times New Roman" w:cs="Calibri"/>
          <w:color w:val="000000" w:themeColor="text1"/>
          <w:szCs w:val="20"/>
        </w:rPr>
        <w:t>).</w:t>
      </w:r>
    </w:p>
    <w:p w:rsidRPr="007C5AEE" w:rsidR="00B0301C" w:rsidP="00B0301C" w:rsidRDefault="00B0301C" w14:paraId="474FCECA" w14:textId="77777777">
      <w:pPr>
        <w:numPr>
          <w:ilvl w:val="0"/>
          <w:numId w:val="21"/>
        </w:numPr>
        <w:spacing w:after="120" w:line="240" w:lineRule="auto"/>
        <w:ind w:left="1080" w:right="1440"/>
        <w:rPr>
          <w:rFonts w:cs="Times New Roman"/>
          <w:szCs w:val="20"/>
        </w:rPr>
      </w:pPr>
      <w:r w:rsidRPr="007C5AEE">
        <w:rPr>
          <w:rFonts w:cs="Times New Roman"/>
          <w:szCs w:val="20"/>
        </w:rPr>
        <w:t>Principle</w:t>
      </w:r>
      <w:r w:rsidRPr="007C5AEE">
        <w:rPr>
          <w:rFonts w:eastAsia="Times New Roman" w:cs="Calibri"/>
          <w:color w:val="000000" w:themeColor="text1"/>
          <w:szCs w:val="20"/>
        </w:rPr>
        <w:t xml:space="preserve"> 5:</w:t>
      </w:r>
      <w:r>
        <w:rPr>
          <w:rFonts w:eastAsia="Times New Roman" w:cs="Calibri"/>
          <w:color w:val="000000" w:themeColor="text1"/>
          <w:szCs w:val="20"/>
        </w:rPr>
        <w:t xml:space="preserve"> </w:t>
      </w:r>
      <w:r w:rsidRPr="007C5AEE">
        <w:rPr>
          <w:rFonts w:eastAsia="Times New Roman" w:cs="Calibri"/>
          <w:color w:val="000000" w:themeColor="text1"/>
          <w:szCs w:val="20"/>
        </w:rPr>
        <w:t xml:space="preserve"> To be durable and adaptable to a changing electric grid.</w:t>
      </w:r>
    </w:p>
    <w:p w:rsidR="00B0301C" w:rsidP="00B0301C" w:rsidRDefault="00B0301C" w14:paraId="5BBCF79E" w14:textId="54AD738A">
      <w:r w:rsidRPr="007C5AEE">
        <w:lastRenderedPageBreak/>
        <w:t>In D.21</w:t>
      </w:r>
      <w:r w:rsidR="00874693">
        <w:noBreakHyphen/>
      </w:r>
      <w:r w:rsidRPr="007C5AEE">
        <w:t>07</w:t>
      </w:r>
      <w:r w:rsidR="00874693">
        <w:noBreakHyphen/>
      </w:r>
      <w:r w:rsidRPr="007C5AEE">
        <w:t xml:space="preserve">014, the Commission </w:t>
      </w:r>
      <w:r>
        <w:t>concluded</w:t>
      </w:r>
      <w:r w:rsidRPr="007C5AEE">
        <w:t xml:space="preserve"> that PG&amp;E’s </w:t>
      </w:r>
      <w:r w:rsidR="00874693">
        <w:t>SOD </w:t>
      </w:r>
      <w:r w:rsidRPr="007C5AEE">
        <w:t>proposal best addressed the principles and concerns with the current framework and was best positioned to be implemented for the 2024 RA year, if further developed.</w:t>
      </w:r>
      <w:r w:rsidRPr="007C5AEE">
        <w:rPr>
          <w:vertAlign w:val="superscript"/>
        </w:rPr>
        <w:footnoteReference w:id="4"/>
      </w:r>
      <w:r w:rsidRPr="007C5AEE">
        <w:t xml:space="preserve">  Parties </w:t>
      </w:r>
      <w:r>
        <w:t>undertook</w:t>
      </w:r>
      <w:r w:rsidRPr="007C5AEE">
        <w:t xml:space="preserve"> workshops to develop a final restructuring proposal based on PG&amp;E’s </w:t>
      </w:r>
      <w:r>
        <w:t>SOD</w:t>
      </w:r>
      <w:r w:rsidRPr="007C5AEE">
        <w:t xml:space="preserve"> proposal.  </w:t>
      </w:r>
      <w:r>
        <w:t>In D.22</w:t>
      </w:r>
      <w:r w:rsidR="00874693">
        <w:noBreakHyphen/>
      </w:r>
      <w:r>
        <w:t>06</w:t>
      </w:r>
      <w:r w:rsidR="00874693">
        <w:noBreakHyphen/>
      </w:r>
      <w:r>
        <w:t>050, the Commission considered proposals on the structural reform framework and specific elements.  The Commission determined that SCE’s 24</w:t>
      </w:r>
      <w:r w:rsidR="00874693">
        <w:noBreakHyphen/>
      </w:r>
      <w:r>
        <w:t>hour SOD proposal best satisfied the principles and objectives identified in D.21</w:t>
      </w:r>
      <w:r w:rsidR="00874693">
        <w:noBreakHyphen/>
      </w:r>
      <w:r>
        <w:t>07</w:t>
      </w:r>
      <w:r w:rsidR="00874693">
        <w:noBreakHyphen/>
      </w:r>
      <w:r>
        <w:t>014 and was to be further developed in workshops.</w:t>
      </w:r>
      <w:r>
        <w:rPr>
          <w:rStyle w:val="FootnoteReference"/>
        </w:rPr>
        <w:footnoteReference w:id="5"/>
      </w:r>
      <w:r>
        <w:t xml:space="preserve">  The Commission provided guidance on elements of a SOD framework and determined that a 2024 test year would provide time for implementation and adjustments, with full implementation in the 2025 RA</w:t>
      </w:r>
      <w:r w:rsidR="00874693">
        <w:t> </w:t>
      </w:r>
      <w:r>
        <w:t>year.</w:t>
      </w:r>
    </w:p>
    <w:p w:rsidRPr="00B0301C" w:rsidR="00B0301C" w:rsidP="00B0301C" w:rsidRDefault="00B0301C" w14:paraId="53D2ADAE" w14:textId="669B9CCF">
      <w:pPr>
        <w:pStyle w:val="Standard"/>
      </w:pPr>
      <w:r>
        <w:t>After extensive W</w:t>
      </w:r>
      <w:r w:rsidR="00392CF4">
        <w:t xml:space="preserve">orking </w:t>
      </w:r>
      <w:r>
        <w:t>G</w:t>
      </w:r>
      <w:r w:rsidR="00392CF4">
        <w:t>roup</w:t>
      </w:r>
      <w:r>
        <w:t xml:space="preserve"> meetings, co-facilitators submitted a RA</w:t>
      </w:r>
      <w:r w:rsidR="008807B8">
        <w:t> </w:t>
      </w:r>
      <w:r>
        <w:t>Reform W</w:t>
      </w:r>
      <w:r w:rsidR="00392CF4">
        <w:t xml:space="preserve">orking </w:t>
      </w:r>
      <w:r>
        <w:t>G</w:t>
      </w:r>
      <w:r w:rsidR="00392CF4">
        <w:t>roup</w:t>
      </w:r>
      <w:r>
        <w:t xml:space="preserve"> Report</w:t>
      </w:r>
      <w:r w:rsidR="00F57679">
        <w:t xml:space="preserve"> (WG Report)</w:t>
      </w:r>
      <w:r>
        <w:t xml:space="preserve"> on November</w:t>
      </w:r>
      <w:r w:rsidR="00874693">
        <w:t> </w:t>
      </w:r>
      <w:r>
        <w:t>15,</w:t>
      </w:r>
      <w:r w:rsidR="00874693">
        <w:t> </w:t>
      </w:r>
      <w:r>
        <w:t xml:space="preserve">2022.  </w:t>
      </w:r>
      <w:r w:rsidRPr="007C5AEE">
        <w:rPr>
          <w:szCs w:val="26"/>
        </w:rPr>
        <w:t xml:space="preserve">The Commission </w:t>
      </w:r>
      <w:r>
        <w:rPr>
          <w:szCs w:val="26"/>
        </w:rPr>
        <w:t xml:space="preserve">acknowledges </w:t>
      </w:r>
      <w:r w:rsidRPr="007C5AEE">
        <w:rPr>
          <w:szCs w:val="26"/>
        </w:rPr>
        <w:t xml:space="preserve">the </w:t>
      </w:r>
      <w:r>
        <w:rPr>
          <w:szCs w:val="26"/>
        </w:rPr>
        <w:t xml:space="preserve">substantial, thorough discussion </w:t>
      </w:r>
      <w:r w:rsidRPr="007C5AEE">
        <w:rPr>
          <w:szCs w:val="26"/>
        </w:rPr>
        <w:t xml:space="preserve">undertaken by </w:t>
      </w:r>
      <w:r>
        <w:rPr>
          <w:szCs w:val="26"/>
        </w:rPr>
        <w:t>W</w:t>
      </w:r>
      <w:r w:rsidR="00392CF4">
        <w:rPr>
          <w:szCs w:val="26"/>
        </w:rPr>
        <w:t xml:space="preserve">orking </w:t>
      </w:r>
      <w:r>
        <w:rPr>
          <w:szCs w:val="26"/>
        </w:rPr>
        <w:t>G</w:t>
      </w:r>
      <w:r w:rsidR="00392CF4">
        <w:rPr>
          <w:szCs w:val="26"/>
        </w:rPr>
        <w:t>roup</w:t>
      </w:r>
      <w:r>
        <w:rPr>
          <w:szCs w:val="26"/>
        </w:rPr>
        <w:t xml:space="preserve"> participants.  The Commission particularly recognizes and appreciates the effort put forth by the co-facilitators </w:t>
      </w:r>
      <w:r w:rsidRPr="007C5AEE">
        <w:rPr>
          <w:szCs w:val="26"/>
        </w:rPr>
        <w:t xml:space="preserve">to </w:t>
      </w:r>
      <w:r>
        <w:rPr>
          <w:szCs w:val="26"/>
        </w:rPr>
        <w:t>lead and develop</w:t>
      </w:r>
      <w:r w:rsidRPr="007C5AEE">
        <w:rPr>
          <w:szCs w:val="26"/>
        </w:rPr>
        <w:t xml:space="preserve"> the</w:t>
      </w:r>
      <w:r>
        <w:rPr>
          <w:szCs w:val="26"/>
        </w:rPr>
        <w:t xml:space="preserve"> WG</w:t>
      </w:r>
      <w:r w:rsidR="00874693">
        <w:rPr>
          <w:szCs w:val="26"/>
        </w:rPr>
        <w:t> </w:t>
      </w:r>
      <w:r>
        <w:rPr>
          <w:szCs w:val="26"/>
        </w:rPr>
        <w:t xml:space="preserve">Report proposals, especially </w:t>
      </w:r>
      <w:r w:rsidR="00392CF4">
        <w:rPr>
          <w:szCs w:val="26"/>
        </w:rPr>
        <w:t xml:space="preserve">given </w:t>
      </w:r>
      <w:r>
        <w:rPr>
          <w:szCs w:val="26"/>
        </w:rPr>
        <w:t>an expedited timeframe</w:t>
      </w:r>
      <w:r w:rsidRPr="007C5AEE">
        <w:rPr>
          <w:szCs w:val="26"/>
        </w:rPr>
        <w:t xml:space="preserve">.  </w:t>
      </w:r>
      <w:r>
        <w:t>We consider proposals put forth in the WG Report in this decision.</w:t>
      </w:r>
    </w:p>
    <w:p w:rsidR="00B0301C" w:rsidP="00B0301C" w:rsidRDefault="00B0301C" w14:paraId="0AD8A80F" w14:textId="77B14EF9">
      <w:pPr>
        <w:pStyle w:val="Heading1"/>
      </w:pPr>
      <w:bookmarkStart w:name="_Toc131762376" w:id="14"/>
      <w:r w:rsidRPr="00B0301C">
        <w:t>Workstream 1. Compliance Tools</w:t>
      </w:r>
      <w:bookmarkEnd w:id="14"/>
    </w:p>
    <w:p w:rsidR="00B0301C" w:rsidP="00B0301C" w:rsidRDefault="00B0301C" w14:paraId="4255B5C6" w14:textId="51DB0432">
      <w:pPr>
        <w:pStyle w:val="Standard"/>
      </w:pPr>
      <w:r>
        <w:t>In D.22</w:t>
      </w:r>
      <w:r w:rsidR="00874693">
        <w:noBreakHyphen/>
      </w:r>
      <w:r>
        <w:t>06</w:t>
      </w:r>
      <w:r w:rsidR="00874693">
        <w:noBreakHyphen/>
      </w:r>
      <w:r>
        <w:t>050, the Commission directed parties to develop compliance tools to implement the 24</w:t>
      </w:r>
      <w:r w:rsidR="00874693">
        <w:noBreakHyphen/>
      </w:r>
      <w:r>
        <w:t>hour SOD framework.  Workstream</w:t>
      </w:r>
      <w:r w:rsidR="00874693">
        <w:t> </w:t>
      </w:r>
      <w:r>
        <w:t>1 consisted of developing the following:</w:t>
      </w:r>
      <w:r>
        <w:rPr>
          <w:rStyle w:val="FootnoteReference"/>
        </w:rPr>
        <w:footnoteReference w:id="6"/>
      </w:r>
    </w:p>
    <w:p w:rsidR="00B0301C" w:rsidP="00874693" w:rsidRDefault="00B0301C" w14:paraId="6D2B4079" w14:textId="528A72E3">
      <w:pPr>
        <w:pStyle w:val="Standard"/>
        <w:numPr>
          <w:ilvl w:val="1"/>
          <w:numId w:val="22"/>
        </w:numPr>
        <w:spacing w:after="120" w:line="240" w:lineRule="auto"/>
        <w:ind w:left="1080" w:right="1440"/>
      </w:pPr>
      <w:r>
        <w:lastRenderedPageBreak/>
        <w:t xml:space="preserve">RA Master Resource Database to be coordinated with </w:t>
      </w:r>
      <w:proofErr w:type="gramStart"/>
      <w:r>
        <w:t>CAISO</w:t>
      </w:r>
      <w:r w:rsidR="00FA059F">
        <w:t>;</w:t>
      </w:r>
      <w:proofErr w:type="gramEnd"/>
    </w:p>
    <w:p w:rsidR="00B0301C" w:rsidP="00874693" w:rsidRDefault="00B0301C" w14:paraId="2F55501A" w14:textId="6DCB60A3">
      <w:pPr>
        <w:pStyle w:val="Standard"/>
        <w:numPr>
          <w:ilvl w:val="1"/>
          <w:numId w:val="22"/>
        </w:numPr>
        <w:spacing w:after="120" w:line="240" w:lineRule="auto"/>
        <w:ind w:left="1080" w:right="1440"/>
      </w:pPr>
      <w:r>
        <w:t xml:space="preserve">LSE Showing Tool and Compliance Verification </w:t>
      </w:r>
      <w:proofErr w:type="gramStart"/>
      <w:r>
        <w:t>Tool</w:t>
      </w:r>
      <w:r w:rsidR="00FA059F">
        <w:t>;</w:t>
      </w:r>
      <w:proofErr w:type="gramEnd"/>
    </w:p>
    <w:p w:rsidR="00B0301C" w:rsidP="00874693" w:rsidRDefault="00B0301C" w14:paraId="76EECFE1" w14:textId="130D8FBD">
      <w:pPr>
        <w:pStyle w:val="Standard"/>
        <w:numPr>
          <w:ilvl w:val="1"/>
          <w:numId w:val="22"/>
        </w:numPr>
        <w:spacing w:after="120" w:line="240" w:lineRule="auto"/>
        <w:ind w:left="1080" w:right="1440"/>
      </w:pPr>
      <w:r>
        <w:t>LSE Requirement Database to be coordinated with the CEC</w:t>
      </w:r>
      <w:r w:rsidR="00FA059F">
        <w:t>; and</w:t>
      </w:r>
    </w:p>
    <w:p w:rsidR="00B0301C" w:rsidP="00874693" w:rsidRDefault="00B0301C" w14:paraId="42A9F428" w14:textId="62CDB9D8">
      <w:pPr>
        <w:pStyle w:val="Standard"/>
        <w:numPr>
          <w:ilvl w:val="1"/>
          <w:numId w:val="22"/>
        </w:numPr>
        <w:spacing w:after="120" w:line="240" w:lineRule="auto"/>
        <w:ind w:left="1080" w:right="1440"/>
      </w:pPr>
      <w:r>
        <w:t>CAM process and RA allocation to consider availability and capability of CAM-eligible resources and LSEs’ load share during those slices</w:t>
      </w:r>
      <w:r w:rsidR="00FA059F">
        <w:t>.</w:t>
      </w:r>
    </w:p>
    <w:p w:rsidR="00B0301C" w:rsidP="00B0301C" w:rsidRDefault="00B0301C" w14:paraId="6FDB9881" w14:textId="3C6DDBD8">
      <w:pPr>
        <w:pStyle w:val="Heading2"/>
      </w:pPr>
      <w:bookmarkStart w:name="_Toc131762377" w:id="15"/>
      <w:r w:rsidRPr="00B0301C">
        <w:t>RA Master Resource Database</w:t>
      </w:r>
      <w:bookmarkEnd w:id="15"/>
    </w:p>
    <w:p w:rsidR="00B0301C" w:rsidP="00B0301C" w:rsidRDefault="00B0301C" w14:paraId="7E4DFF8B" w14:textId="62A2C4EB">
      <w:r>
        <w:t>In D.22-06-050, Appendix A, the Commission described the RA Master Resource Database (MRD)</w:t>
      </w:r>
      <w:r w:rsidR="006243A0">
        <w:rPr>
          <w:rStyle w:val="FootnoteReference"/>
        </w:rPr>
        <w:footnoteReference w:id="7"/>
      </w:r>
      <w:r>
        <w:t xml:space="preserve"> as follows:</w:t>
      </w:r>
      <w:r>
        <w:rPr>
          <w:rStyle w:val="FootnoteReference"/>
        </w:rPr>
        <w:footnoteReference w:id="8"/>
      </w:r>
    </w:p>
    <w:p w:rsidR="00B0301C" w:rsidP="0040440E" w:rsidRDefault="00B0301C" w14:paraId="11517A53" w14:textId="2BF17AF5">
      <w:pPr>
        <w:spacing w:after="120" w:line="240" w:lineRule="auto"/>
        <w:ind w:left="720" w:right="1440" w:firstLine="0"/>
        <w:rPr>
          <w:rFonts w:cs="Calibri"/>
          <w:color w:val="000000"/>
          <w:szCs w:val="26"/>
        </w:rPr>
      </w:pPr>
      <w:r>
        <w:t xml:space="preserve">The Commission will maintain an official database of resources eligible to sell RA that includes their key attributes, as listed below </w:t>
      </w:r>
      <w:r w:rsidR="006243A0">
        <w:t>[</w:t>
      </w:r>
      <w:r w:rsidR="00D72801">
        <w:t>MRD</w:t>
      </w:r>
      <w:r w:rsidR="006243A0">
        <w:t>]</w:t>
      </w:r>
      <w:r>
        <w:t xml:space="preserve">.  </w:t>
      </w:r>
      <w:r w:rsidRPr="00B65A6B">
        <w:rPr>
          <w:szCs w:val="26"/>
        </w:rPr>
        <w:t xml:space="preserve">Resources must be </w:t>
      </w:r>
      <w:r w:rsidRPr="00B65A6B">
        <w:rPr>
          <w:rFonts w:cs="Calibri"/>
          <w:color w:val="000000"/>
          <w:szCs w:val="26"/>
        </w:rPr>
        <w:t xml:space="preserve">fully represented in the RA </w:t>
      </w:r>
      <w:r w:rsidR="006243A0">
        <w:rPr>
          <w:rFonts w:cs="Calibri"/>
          <w:color w:val="000000"/>
          <w:szCs w:val="26"/>
        </w:rPr>
        <w:t>[MRD]</w:t>
      </w:r>
      <w:r w:rsidRPr="00B65A6B">
        <w:rPr>
          <w:rFonts w:cs="Calibri"/>
          <w:color w:val="000000"/>
          <w:szCs w:val="26"/>
        </w:rPr>
        <w:t xml:space="preserve"> to be eligible for use in the Commission’s 24</w:t>
      </w:r>
      <w:r w:rsidR="00874693">
        <w:rPr>
          <w:rFonts w:cs="Calibri"/>
          <w:color w:val="000000"/>
          <w:szCs w:val="26"/>
        </w:rPr>
        <w:noBreakHyphen/>
      </w:r>
      <w:r w:rsidRPr="00B65A6B">
        <w:rPr>
          <w:rFonts w:cs="Calibri"/>
          <w:color w:val="000000"/>
          <w:szCs w:val="26"/>
        </w:rPr>
        <w:t>hour slice RA showing.  The database shall include:</w:t>
      </w:r>
    </w:p>
    <w:p w:rsidRPr="00B65A6B" w:rsidR="00B0301C" w:rsidP="00874693" w:rsidRDefault="00B0301C" w14:paraId="755DE954" w14:textId="33456662">
      <w:pPr>
        <w:pStyle w:val="ListParagraph"/>
        <w:numPr>
          <w:ilvl w:val="0"/>
          <w:numId w:val="23"/>
        </w:numPr>
        <w:autoSpaceDE w:val="0"/>
        <w:autoSpaceDN w:val="0"/>
        <w:adjustRightInd w:val="0"/>
        <w:spacing w:after="120" w:line="240" w:lineRule="auto"/>
        <w:ind w:left="1080" w:right="1440"/>
        <w:contextualSpacing w:val="0"/>
        <w:rPr>
          <w:rFonts w:cs="Calibri"/>
          <w:color w:val="000000"/>
          <w:szCs w:val="26"/>
        </w:rPr>
      </w:pPr>
      <w:r w:rsidRPr="00B65A6B">
        <w:rPr>
          <w:rFonts w:cs="Calibri"/>
          <w:color w:val="000000"/>
          <w:szCs w:val="26"/>
        </w:rPr>
        <w:t xml:space="preserve">Resource </w:t>
      </w:r>
      <w:proofErr w:type="gramStart"/>
      <w:r w:rsidRPr="00B65A6B">
        <w:rPr>
          <w:rFonts w:cs="Calibri"/>
          <w:color w:val="000000"/>
          <w:szCs w:val="26"/>
        </w:rPr>
        <w:t>ID</w:t>
      </w:r>
      <w:r w:rsidR="00874693">
        <w:rPr>
          <w:rFonts w:cs="Calibri"/>
          <w:color w:val="000000"/>
          <w:szCs w:val="26"/>
        </w:rPr>
        <w:t>;</w:t>
      </w:r>
      <w:proofErr w:type="gramEnd"/>
    </w:p>
    <w:p w:rsidRPr="00B65A6B" w:rsidR="00B0301C" w:rsidP="00874693" w:rsidRDefault="00B0301C" w14:paraId="2ECD3520" w14:textId="087596C5">
      <w:pPr>
        <w:pStyle w:val="ListParagraph"/>
        <w:numPr>
          <w:ilvl w:val="0"/>
          <w:numId w:val="23"/>
        </w:numPr>
        <w:autoSpaceDE w:val="0"/>
        <w:autoSpaceDN w:val="0"/>
        <w:adjustRightInd w:val="0"/>
        <w:spacing w:after="120" w:line="240" w:lineRule="auto"/>
        <w:ind w:left="1080" w:right="1440"/>
        <w:contextualSpacing w:val="0"/>
        <w:rPr>
          <w:rFonts w:cs="Calibri"/>
          <w:color w:val="000000"/>
          <w:szCs w:val="26"/>
        </w:rPr>
      </w:pPr>
      <w:r w:rsidRPr="00B65A6B">
        <w:rPr>
          <w:rFonts w:cs="Calibri"/>
          <w:color w:val="000000"/>
          <w:szCs w:val="26"/>
        </w:rPr>
        <w:t xml:space="preserve">Available MW of RA </w:t>
      </w:r>
      <w:proofErr w:type="gramStart"/>
      <w:r w:rsidRPr="00B65A6B">
        <w:rPr>
          <w:rFonts w:cs="Calibri"/>
          <w:color w:val="000000"/>
          <w:szCs w:val="26"/>
        </w:rPr>
        <w:t>capacity</w:t>
      </w:r>
      <w:r w:rsidR="00874693">
        <w:rPr>
          <w:rFonts w:cs="Calibri"/>
          <w:color w:val="000000"/>
          <w:szCs w:val="26"/>
        </w:rPr>
        <w:t>;</w:t>
      </w:r>
      <w:proofErr w:type="gramEnd"/>
    </w:p>
    <w:p w:rsidRPr="00B65A6B" w:rsidR="00B0301C" w:rsidP="00874693" w:rsidRDefault="00B0301C" w14:paraId="117BDEF9" w14:textId="2225BCE4">
      <w:pPr>
        <w:pStyle w:val="ListParagraph"/>
        <w:numPr>
          <w:ilvl w:val="0"/>
          <w:numId w:val="23"/>
        </w:numPr>
        <w:autoSpaceDE w:val="0"/>
        <w:autoSpaceDN w:val="0"/>
        <w:adjustRightInd w:val="0"/>
        <w:spacing w:after="120" w:line="240" w:lineRule="auto"/>
        <w:ind w:left="1080" w:right="1440"/>
        <w:contextualSpacing w:val="0"/>
        <w:rPr>
          <w:rFonts w:cs="Calibri"/>
          <w:color w:val="000000"/>
          <w:szCs w:val="26"/>
        </w:rPr>
      </w:pPr>
      <w:r w:rsidRPr="00B65A6B">
        <w:rPr>
          <w:rFonts w:cs="Calibri"/>
          <w:color w:val="000000"/>
          <w:szCs w:val="26"/>
        </w:rPr>
        <w:t xml:space="preserve">Hours available for production—represents the hours of its must-offer obligation and will set the parameters on how it can be shown in the Commission’s RA </w:t>
      </w:r>
      <w:proofErr w:type="gramStart"/>
      <w:r w:rsidRPr="00B65A6B">
        <w:rPr>
          <w:rFonts w:cs="Calibri"/>
          <w:color w:val="000000"/>
          <w:szCs w:val="26"/>
        </w:rPr>
        <w:t>showing</w:t>
      </w:r>
      <w:r w:rsidR="00874693">
        <w:rPr>
          <w:rFonts w:cs="Calibri"/>
          <w:color w:val="000000"/>
          <w:szCs w:val="26"/>
        </w:rPr>
        <w:t>;</w:t>
      </w:r>
      <w:proofErr w:type="gramEnd"/>
    </w:p>
    <w:p w:rsidRPr="00B65A6B" w:rsidR="00B0301C" w:rsidP="00874693" w:rsidRDefault="00B0301C" w14:paraId="5825C1D5" w14:textId="1CCC2895">
      <w:pPr>
        <w:pStyle w:val="ListParagraph"/>
        <w:numPr>
          <w:ilvl w:val="0"/>
          <w:numId w:val="23"/>
        </w:numPr>
        <w:autoSpaceDE w:val="0"/>
        <w:autoSpaceDN w:val="0"/>
        <w:adjustRightInd w:val="0"/>
        <w:spacing w:after="120" w:line="240" w:lineRule="auto"/>
        <w:ind w:left="1080" w:right="1440"/>
        <w:contextualSpacing w:val="0"/>
        <w:rPr>
          <w:rFonts w:cs="Calibri"/>
          <w:color w:val="000000"/>
          <w:szCs w:val="26"/>
        </w:rPr>
      </w:pPr>
      <w:r w:rsidRPr="00B65A6B">
        <w:rPr>
          <w:rFonts w:cs="Calibri"/>
          <w:color w:val="000000"/>
          <w:szCs w:val="26"/>
        </w:rPr>
        <w:t>Other use-limitations (</w:t>
      </w:r>
      <w:r w:rsidRPr="00D33929">
        <w:rPr>
          <w:rFonts w:cs="Calibri"/>
          <w:i/>
          <w:iCs/>
          <w:color w:val="000000"/>
          <w:szCs w:val="26"/>
        </w:rPr>
        <w:t>e.g.</w:t>
      </w:r>
      <w:r w:rsidRPr="00377E1E">
        <w:rPr>
          <w:rFonts w:cs="Calibri"/>
          <w:color w:val="000000"/>
          <w:szCs w:val="26"/>
        </w:rPr>
        <w:t>,</w:t>
      </w:r>
      <w:r w:rsidR="00874693">
        <w:rPr>
          <w:rFonts w:cs="Calibri"/>
          <w:color w:val="000000"/>
          <w:szCs w:val="26"/>
        </w:rPr>
        <w:t> </w:t>
      </w:r>
      <w:proofErr w:type="spellStart"/>
      <w:r w:rsidRPr="00B65A6B">
        <w:rPr>
          <w:rFonts w:cs="Calibri"/>
          <w:color w:val="000000"/>
          <w:szCs w:val="26"/>
        </w:rPr>
        <w:t>peaker</w:t>
      </w:r>
      <w:proofErr w:type="spellEnd"/>
      <w:r w:rsidRPr="00B65A6B">
        <w:rPr>
          <w:rFonts w:cs="Calibri"/>
          <w:color w:val="000000"/>
          <w:szCs w:val="26"/>
        </w:rPr>
        <w:t xml:space="preserve"> permit limits</w:t>
      </w:r>
      <w:proofErr w:type="gramStart"/>
      <w:r w:rsidRPr="00B65A6B">
        <w:rPr>
          <w:rFonts w:cs="Calibri"/>
          <w:color w:val="000000"/>
          <w:szCs w:val="26"/>
        </w:rPr>
        <w:t>)</w:t>
      </w:r>
      <w:r w:rsidR="00874693">
        <w:rPr>
          <w:rFonts w:cs="Calibri"/>
          <w:color w:val="000000"/>
          <w:szCs w:val="26"/>
        </w:rPr>
        <w:t>;</w:t>
      </w:r>
      <w:proofErr w:type="gramEnd"/>
    </w:p>
    <w:p w:rsidRPr="00B65A6B" w:rsidR="00B0301C" w:rsidP="00874693" w:rsidRDefault="00B0301C" w14:paraId="3B89FE3E" w14:textId="5F3DA6FB">
      <w:pPr>
        <w:pStyle w:val="ListParagraph"/>
        <w:numPr>
          <w:ilvl w:val="0"/>
          <w:numId w:val="23"/>
        </w:numPr>
        <w:autoSpaceDE w:val="0"/>
        <w:autoSpaceDN w:val="0"/>
        <w:adjustRightInd w:val="0"/>
        <w:spacing w:after="120" w:line="240" w:lineRule="auto"/>
        <w:ind w:left="1080" w:right="1440"/>
        <w:contextualSpacing w:val="0"/>
        <w:rPr>
          <w:rFonts w:cs="Calibri"/>
          <w:color w:val="000000"/>
          <w:szCs w:val="26"/>
        </w:rPr>
      </w:pPr>
      <w:r w:rsidRPr="00B65A6B">
        <w:rPr>
          <w:rFonts w:cs="Calibri"/>
          <w:color w:val="000000"/>
          <w:szCs w:val="26"/>
        </w:rPr>
        <w:t>Continuous MWh run energy and charging efficiency (storage</w:t>
      </w:r>
      <w:proofErr w:type="gramStart"/>
      <w:r w:rsidRPr="00B65A6B">
        <w:rPr>
          <w:rFonts w:cs="Calibri"/>
          <w:color w:val="000000"/>
          <w:szCs w:val="26"/>
        </w:rPr>
        <w:t>)</w:t>
      </w:r>
      <w:r w:rsidR="00874693">
        <w:rPr>
          <w:rFonts w:cs="Calibri"/>
          <w:color w:val="000000"/>
          <w:szCs w:val="26"/>
        </w:rPr>
        <w:t>;</w:t>
      </w:r>
      <w:proofErr w:type="gramEnd"/>
    </w:p>
    <w:p w:rsidRPr="00B65A6B" w:rsidR="00B0301C" w:rsidP="00874693" w:rsidRDefault="00B0301C" w14:paraId="37EB5FA6" w14:textId="5B3BD6A1">
      <w:pPr>
        <w:pStyle w:val="ListParagraph"/>
        <w:numPr>
          <w:ilvl w:val="0"/>
          <w:numId w:val="23"/>
        </w:numPr>
        <w:autoSpaceDE w:val="0"/>
        <w:autoSpaceDN w:val="0"/>
        <w:adjustRightInd w:val="0"/>
        <w:spacing w:after="120" w:line="240" w:lineRule="auto"/>
        <w:ind w:left="1080" w:right="1440"/>
        <w:contextualSpacing w:val="0"/>
        <w:rPr>
          <w:rFonts w:cs="Calibri"/>
          <w:color w:val="000000"/>
          <w:szCs w:val="26"/>
        </w:rPr>
      </w:pPr>
      <w:r w:rsidRPr="00B65A6B">
        <w:rPr>
          <w:rFonts w:cs="Calibri"/>
          <w:color w:val="000000"/>
          <w:szCs w:val="26"/>
        </w:rPr>
        <w:t>Configurations (hybrid and co</w:t>
      </w:r>
      <w:r w:rsidR="00874693">
        <w:rPr>
          <w:rFonts w:cs="Calibri"/>
          <w:color w:val="000000"/>
          <w:szCs w:val="26"/>
        </w:rPr>
        <w:noBreakHyphen/>
      </w:r>
      <w:r w:rsidRPr="00B65A6B">
        <w:rPr>
          <w:rFonts w:cs="Calibri"/>
          <w:color w:val="000000"/>
          <w:szCs w:val="26"/>
        </w:rPr>
        <w:t>located</w:t>
      </w:r>
      <w:proofErr w:type="gramStart"/>
      <w:r w:rsidRPr="00B65A6B">
        <w:rPr>
          <w:rFonts w:cs="Calibri"/>
          <w:color w:val="000000"/>
          <w:szCs w:val="26"/>
        </w:rPr>
        <w:t>)</w:t>
      </w:r>
      <w:r w:rsidR="00874693">
        <w:rPr>
          <w:rFonts w:cs="Calibri"/>
          <w:color w:val="000000"/>
          <w:szCs w:val="26"/>
        </w:rPr>
        <w:t>;</w:t>
      </w:r>
      <w:proofErr w:type="gramEnd"/>
    </w:p>
    <w:p w:rsidRPr="00B65A6B" w:rsidR="00B0301C" w:rsidP="00874693" w:rsidRDefault="00B0301C" w14:paraId="5BC135F3" w14:textId="1E580E73">
      <w:pPr>
        <w:pStyle w:val="ListParagraph"/>
        <w:numPr>
          <w:ilvl w:val="0"/>
          <w:numId w:val="23"/>
        </w:numPr>
        <w:autoSpaceDE w:val="0"/>
        <w:autoSpaceDN w:val="0"/>
        <w:adjustRightInd w:val="0"/>
        <w:spacing w:after="120" w:line="240" w:lineRule="auto"/>
        <w:ind w:left="1080" w:right="1440"/>
        <w:contextualSpacing w:val="0"/>
        <w:rPr>
          <w:rFonts w:cs="Calibri"/>
          <w:color w:val="000000"/>
          <w:szCs w:val="26"/>
        </w:rPr>
      </w:pPr>
      <w:r w:rsidRPr="00B65A6B">
        <w:rPr>
          <w:rFonts w:cs="Calibri"/>
          <w:color w:val="000000"/>
          <w:szCs w:val="26"/>
        </w:rPr>
        <w:t>Applicable hourly profile for solar and wind</w:t>
      </w:r>
      <w:r w:rsidR="00874693">
        <w:rPr>
          <w:rFonts w:cs="Calibri"/>
          <w:color w:val="000000"/>
          <w:szCs w:val="26"/>
        </w:rPr>
        <w:t>; and</w:t>
      </w:r>
    </w:p>
    <w:p w:rsidRPr="00B65A6B" w:rsidR="00B0301C" w:rsidP="00874693" w:rsidRDefault="00B0301C" w14:paraId="1E3F9288" w14:textId="52FF9D61">
      <w:pPr>
        <w:pStyle w:val="ListParagraph"/>
        <w:numPr>
          <w:ilvl w:val="0"/>
          <w:numId w:val="23"/>
        </w:numPr>
        <w:autoSpaceDE w:val="0"/>
        <w:autoSpaceDN w:val="0"/>
        <w:adjustRightInd w:val="0"/>
        <w:spacing w:after="120" w:line="240" w:lineRule="auto"/>
        <w:ind w:left="1080" w:right="1440"/>
        <w:contextualSpacing w:val="0"/>
        <w:rPr>
          <w:rFonts w:cs="Calibri"/>
          <w:color w:val="000000"/>
          <w:szCs w:val="26"/>
        </w:rPr>
      </w:pPr>
      <w:r w:rsidRPr="00B65A6B">
        <w:rPr>
          <w:rFonts w:cs="Calibri"/>
          <w:color w:val="000000"/>
          <w:szCs w:val="26"/>
        </w:rPr>
        <w:t xml:space="preserve">Additional parameters as identified through </w:t>
      </w:r>
      <w:r w:rsidR="00874693">
        <w:rPr>
          <w:rFonts w:cs="Calibri"/>
          <w:color w:val="000000"/>
          <w:szCs w:val="26"/>
        </w:rPr>
        <w:t>w</w:t>
      </w:r>
      <w:r w:rsidRPr="00B65A6B" w:rsidR="00874693">
        <w:rPr>
          <w:rFonts w:cs="Calibri"/>
          <w:color w:val="000000"/>
          <w:szCs w:val="26"/>
        </w:rPr>
        <w:t>orkstreams.</w:t>
      </w:r>
    </w:p>
    <w:p w:rsidRPr="001A15BC" w:rsidR="00B0301C" w:rsidP="00B0301C" w:rsidRDefault="00B0301C" w14:paraId="7D9941DB" w14:textId="77777777">
      <w:pPr>
        <w:keepNext/>
        <w:keepLines/>
        <w:autoSpaceDE w:val="0"/>
        <w:autoSpaceDN w:val="0"/>
        <w:adjustRightInd w:val="0"/>
        <w:rPr>
          <w:rFonts w:cs="Calibri"/>
          <w:color w:val="000000"/>
          <w:szCs w:val="26"/>
        </w:rPr>
      </w:pPr>
      <w:r>
        <w:rPr>
          <w:rFonts w:cs="Calibri"/>
          <w:color w:val="000000"/>
          <w:szCs w:val="26"/>
        </w:rPr>
        <w:lastRenderedPageBreak/>
        <w:t>The Commission further specified the following regarding the MRD:</w:t>
      </w:r>
      <w:r>
        <w:rPr>
          <w:rStyle w:val="FootnoteReference"/>
          <w:rFonts w:cs="Calibri"/>
          <w:color w:val="000000"/>
          <w:szCs w:val="26"/>
        </w:rPr>
        <w:footnoteReference w:id="9"/>
      </w:r>
    </w:p>
    <w:p w:rsidRPr="00791F08" w:rsidR="00B0301C" w:rsidP="00874693" w:rsidRDefault="00B0301C" w14:paraId="7B80597A" w14:textId="569A2BBF">
      <w:pPr>
        <w:pStyle w:val="ListParagraph"/>
        <w:keepNext/>
        <w:keepLines/>
        <w:numPr>
          <w:ilvl w:val="0"/>
          <w:numId w:val="23"/>
        </w:numPr>
        <w:autoSpaceDE w:val="0"/>
        <w:autoSpaceDN w:val="0"/>
        <w:adjustRightInd w:val="0"/>
        <w:spacing w:after="120" w:line="240" w:lineRule="auto"/>
        <w:ind w:left="1080" w:right="1440"/>
        <w:contextualSpacing w:val="0"/>
        <w:rPr>
          <w:rFonts w:cs="Calibri"/>
          <w:color w:val="000000"/>
          <w:szCs w:val="26"/>
        </w:rPr>
      </w:pPr>
      <w:r w:rsidRPr="001A15BC">
        <w:rPr>
          <w:rFonts w:cs="Calibri"/>
          <w:color w:val="000000"/>
          <w:szCs w:val="26"/>
        </w:rPr>
        <w:t xml:space="preserve">Contains a list of all resources (within the CAISO) eligible to sell RA, their resource ID, their maximum RA capacity, and hours of availability within a 24-hour </w:t>
      </w:r>
      <w:proofErr w:type="gramStart"/>
      <w:r w:rsidRPr="001A15BC">
        <w:rPr>
          <w:rFonts w:cs="Calibri"/>
          <w:color w:val="000000"/>
          <w:szCs w:val="26"/>
        </w:rPr>
        <w:t>window</w:t>
      </w:r>
      <w:r w:rsidR="00874693">
        <w:rPr>
          <w:rFonts w:cs="Calibri"/>
          <w:color w:val="000000"/>
          <w:szCs w:val="26"/>
        </w:rPr>
        <w:t>;</w:t>
      </w:r>
      <w:proofErr w:type="gramEnd"/>
    </w:p>
    <w:p w:rsidRPr="00791F08" w:rsidR="00B0301C" w:rsidP="00874693" w:rsidRDefault="00B0301C" w14:paraId="05F5A552" w14:textId="15C9FFE0">
      <w:pPr>
        <w:pStyle w:val="ListParagraph"/>
        <w:keepNext/>
        <w:keepLines/>
        <w:numPr>
          <w:ilvl w:val="0"/>
          <w:numId w:val="23"/>
        </w:numPr>
        <w:autoSpaceDE w:val="0"/>
        <w:autoSpaceDN w:val="0"/>
        <w:adjustRightInd w:val="0"/>
        <w:spacing w:after="120" w:line="240" w:lineRule="auto"/>
        <w:ind w:left="1080" w:right="1440"/>
        <w:contextualSpacing w:val="0"/>
        <w:rPr>
          <w:rFonts w:cs="Calibri"/>
          <w:color w:val="000000"/>
          <w:szCs w:val="26"/>
        </w:rPr>
      </w:pPr>
      <w:r w:rsidRPr="001A15BC">
        <w:rPr>
          <w:rFonts w:cs="Calibri"/>
          <w:color w:val="000000"/>
          <w:szCs w:val="26"/>
        </w:rPr>
        <w:t xml:space="preserve">For solar and wind, identifies the profile associated with the </w:t>
      </w:r>
      <w:proofErr w:type="gramStart"/>
      <w:r w:rsidRPr="001A15BC">
        <w:rPr>
          <w:rFonts w:cs="Calibri"/>
          <w:color w:val="000000"/>
          <w:szCs w:val="26"/>
        </w:rPr>
        <w:t>resource</w:t>
      </w:r>
      <w:r w:rsidR="00874693">
        <w:rPr>
          <w:rFonts w:cs="Calibri"/>
          <w:color w:val="000000"/>
          <w:szCs w:val="26"/>
        </w:rPr>
        <w:t>;</w:t>
      </w:r>
      <w:proofErr w:type="gramEnd"/>
    </w:p>
    <w:p w:rsidRPr="00791F08" w:rsidR="00B0301C" w:rsidP="00874693" w:rsidRDefault="00B0301C" w14:paraId="3BD3E1FA" w14:textId="081DB83E">
      <w:pPr>
        <w:pStyle w:val="ListParagraph"/>
        <w:keepNext/>
        <w:keepLines/>
        <w:numPr>
          <w:ilvl w:val="0"/>
          <w:numId w:val="23"/>
        </w:numPr>
        <w:autoSpaceDE w:val="0"/>
        <w:autoSpaceDN w:val="0"/>
        <w:adjustRightInd w:val="0"/>
        <w:spacing w:after="120" w:line="240" w:lineRule="auto"/>
        <w:ind w:left="1080" w:right="1440"/>
        <w:contextualSpacing w:val="0"/>
        <w:rPr>
          <w:rFonts w:cs="Calibri"/>
          <w:color w:val="000000"/>
          <w:szCs w:val="26"/>
        </w:rPr>
      </w:pPr>
      <w:r w:rsidRPr="001A15BC">
        <w:rPr>
          <w:rFonts w:cs="Calibri"/>
          <w:color w:val="000000"/>
          <w:szCs w:val="26"/>
        </w:rPr>
        <w:t xml:space="preserve">For storage, includes the charging efficiency and maximum continuous </w:t>
      </w:r>
      <w:proofErr w:type="gramStart"/>
      <w:r w:rsidRPr="001A15BC">
        <w:rPr>
          <w:rFonts w:cs="Calibri"/>
          <w:color w:val="000000"/>
          <w:szCs w:val="26"/>
        </w:rPr>
        <w:t>energy</w:t>
      </w:r>
      <w:r w:rsidR="00874693">
        <w:rPr>
          <w:rFonts w:cs="Calibri"/>
          <w:color w:val="000000"/>
          <w:szCs w:val="26"/>
        </w:rPr>
        <w:t>;</w:t>
      </w:r>
      <w:proofErr w:type="gramEnd"/>
    </w:p>
    <w:p w:rsidRPr="00791F08" w:rsidR="00B0301C" w:rsidP="00874693" w:rsidRDefault="00B0301C" w14:paraId="4A910D96" w14:textId="4EF403C6">
      <w:pPr>
        <w:pStyle w:val="ListParagraph"/>
        <w:keepNext/>
        <w:keepLines/>
        <w:numPr>
          <w:ilvl w:val="0"/>
          <w:numId w:val="23"/>
        </w:numPr>
        <w:autoSpaceDE w:val="0"/>
        <w:autoSpaceDN w:val="0"/>
        <w:adjustRightInd w:val="0"/>
        <w:spacing w:after="120" w:line="240" w:lineRule="auto"/>
        <w:ind w:left="1080" w:right="1440"/>
        <w:contextualSpacing w:val="0"/>
        <w:rPr>
          <w:rFonts w:cs="Calibri"/>
          <w:color w:val="000000"/>
          <w:szCs w:val="26"/>
        </w:rPr>
      </w:pPr>
      <w:r w:rsidRPr="001A15BC">
        <w:rPr>
          <w:rFonts w:cs="Calibri"/>
          <w:color w:val="000000"/>
          <w:szCs w:val="26"/>
        </w:rPr>
        <w:t xml:space="preserve">For hybrid and co-located resources, includes configurations to describe </w:t>
      </w:r>
      <w:proofErr w:type="gramStart"/>
      <w:r w:rsidRPr="001A15BC">
        <w:rPr>
          <w:rFonts w:cs="Calibri"/>
          <w:color w:val="000000"/>
          <w:szCs w:val="26"/>
        </w:rPr>
        <w:t>capabilities</w:t>
      </w:r>
      <w:r w:rsidR="00874693">
        <w:rPr>
          <w:rFonts w:cs="Calibri"/>
          <w:color w:val="000000"/>
          <w:szCs w:val="26"/>
        </w:rPr>
        <w:t>;</w:t>
      </w:r>
      <w:proofErr w:type="gramEnd"/>
    </w:p>
    <w:p w:rsidRPr="00791F08" w:rsidR="00B0301C" w:rsidP="00874693" w:rsidRDefault="00B0301C" w14:paraId="39C2FE32" w14:textId="4FEB226F">
      <w:pPr>
        <w:pStyle w:val="ListParagraph"/>
        <w:keepNext/>
        <w:keepLines/>
        <w:numPr>
          <w:ilvl w:val="0"/>
          <w:numId w:val="23"/>
        </w:numPr>
        <w:autoSpaceDE w:val="0"/>
        <w:autoSpaceDN w:val="0"/>
        <w:adjustRightInd w:val="0"/>
        <w:spacing w:after="120" w:line="240" w:lineRule="auto"/>
        <w:ind w:left="1080" w:right="1440"/>
        <w:contextualSpacing w:val="0"/>
        <w:rPr>
          <w:rFonts w:cs="Calibri"/>
          <w:color w:val="000000"/>
          <w:szCs w:val="26"/>
        </w:rPr>
      </w:pPr>
      <w:r w:rsidRPr="001A15BC">
        <w:rPr>
          <w:rFonts w:cs="Calibri"/>
          <w:color w:val="000000"/>
          <w:szCs w:val="26"/>
        </w:rPr>
        <w:t>Contains data for each month</w:t>
      </w:r>
      <w:r w:rsidR="00874693">
        <w:rPr>
          <w:rFonts w:cs="Calibri"/>
          <w:color w:val="000000"/>
          <w:szCs w:val="26"/>
        </w:rPr>
        <w:t>; and</w:t>
      </w:r>
    </w:p>
    <w:p w:rsidRPr="00791F08" w:rsidR="00B0301C" w:rsidP="00874693" w:rsidRDefault="00B0301C" w14:paraId="089EA1AE" w14:textId="77777777">
      <w:pPr>
        <w:pStyle w:val="ListParagraph"/>
        <w:keepNext/>
        <w:keepLines/>
        <w:numPr>
          <w:ilvl w:val="0"/>
          <w:numId w:val="23"/>
        </w:numPr>
        <w:autoSpaceDE w:val="0"/>
        <w:autoSpaceDN w:val="0"/>
        <w:adjustRightInd w:val="0"/>
        <w:spacing w:after="120" w:line="240" w:lineRule="auto"/>
        <w:ind w:left="1080" w:right="1440"/>
        <w:contextualSpacing w:val="0"/>
        <w:rPr>
          <w:rFonts w:cs="Calibri"/>
          <w:color w:val="000000"/>
          <w:szCs w:val="26"/>
        </w:rPr>
      </w:pPr>
      <w:r w:rsidRPr="001A15BC">
        <w:rPr>
          <w:rFonts w:cs="Calibri"/>
          <w:color w:val="000000"/>
          <w:szCs w:val="26"/>
        </w:rPr>
        <w:t>Information is public and available to inform trading and resource portfolio development</w:t>
      </w:r>
      <w:r>
        <w:rPr>
          <w:rFonts w:cs="Calibri"/>
          <w:color w:val="000000"/>
          <w:szCs w:val="26"/>
        </w:rPr>
        <w:t>.</w:t>
      </w:r>
    </w:p>
    <w:p w:rsidR="00874693" w:rsidP="00874693" w:rsidRDefault="00B0301C" w14:paraId="7FCA5F89" w14:textId="0E88EEC2">
      <w:pPr>
        <w:autoSpaceDE w:val="0"/>
        <w:autoSpaceDN w:val="0"/>
        <w:adjustRightInd w:val="0"/>
        <w:rPr>
          <w:rFonts w:cs="Calibri"/>
          <w:color w:val="000000"/>
          <w:szCs w:val="26"/>
        </w:rPr>
      </w:pPr>
      <w:r>
        <w:rPr>
          <w:rFonts w:cs="Calibri"/>
          <w:color w:val="000000"/>
          <w:szCs w:val="26"/>
        </w:rPr>
        <w:t>The Commission stated that it “</w:t>
      </w:r>
      <w:r w:rsidRPr="00B65A6B">
        <w:rPr>
          <w:rFonts w:cs="Calibri"/>
          <w:color w:val="000000"/>
          <w:szCs w:val="26"/>
        </w:rPr>
        <w:t>will coordinate with CAISO to the greatest extent possible to utilize the same unit information used by CAISO in its market operations (</w:t>
      </w:r>
      <w:r w:rsidRPr="00B65A6B">
        <w:rPr>
          <w:rFonts w:cs="Calibri"/>
          <w:i/>
          <w:iCs/>
          <w:color w:val="000000"/>
          <w:szCs w:val="26"/>
        </w:rPr>
        <w:t>e.g.</w:t>
      </w:r>
      <w:r w:rsidRPr="00B65A6B">
        <w:rPr>
          <w:rFonts w:cs="Calibri"/>
          <w:color w:val="000000"/>
          <w:szCs w:val="26"/>
        </w:rPr>
        <w:t>,</w:t>
      </w:r>
      <w:r w:rsidR="00874693">
        <w:rPr>
          <w:rFonts w:cs="Calibri"/>
          <w:color w:val="000000"/>
          <w:szCs w:val="26"/>
        </w:rPr>
        <w:t> </w:t>
      </w:r>
      <w:r w:rsidRPr="00B65A6B">
        <w:rPr>
          <w:rFonts w:cs="Calibri"/>
          <w:color w:val="000000"/>
          <w:szCs w:val="26"/>
        </w:rPr>
        <w:t>aligned with CAISO’s Master File).</w:t>
      </w:r>
      <w:r>
        <w:rPr>
          <w:rFonts w:cs="Calibri"/>
          <w:color w:val="000000"/>
          <w:szCs w:val="26"/>
        </w:rPr>
        <w:t>”</w:t>
      </w:r>
      <w:r>
        <w:rPr>
          <w:rStyle w:val="FootnoteReference"/>
          <w:rFonts w:cs="Calibri"/>
          <w:color w:val="000000"/>
          <w:szCs w:val="26"/>
        </w:rPr>
        <w:footnoteReference w:id="10"/>
      </w:r>
    </w:p>
    <w:p w:rsidR="00E44D0A" w:rsidP="00E44D0A" w:rsidRDefault="00B0301C" w14:paraId="7E75AC6E" w14:textId="47A2797E">
      <w:pPr>
        <w:autoSpaceDE w:val="0"/>
        <w:autoSpaceDN w:val="0"/>
        <w:adjustRightInd w:val="0"/>
      </w:pPr>
      <w:r>
        <w:t>Energy</w:t>
      </w:r>
      <w:r w:rsidR="00874693">
        <w:t> </w:t>
      </w:r>
      <w:r>
        <w:t>Division proposes a MRD that would use public data sources and default values to populate the database, rather than CAISO’s Master File, which introduces confidentiality issues and administrative complexity to track scheduling coordinator and generation owner affirmations.</w:t>
      </w:r>
      <w:r>
        <w:rPr>
          <w:rStyle w:val="FootnoteReference"/>
        </w:rPr>
        <w:footnoteReference w:id="11"/>
      </w:r>
      <w:r>
        <w:t xml:space="preserve">  The MRD would be published on the Commission’s website and sent to the service list with a request to generators to respond with corrections, </w:t>
      </w:r>
      <w:proofErr w:type="gramStart"/>
      <w:r>
        <w:t>similar to</w:t>
      </w:r>
      <w:proofErr w:type="gramEnd"/>
      <w:r>
        <w:t xml:space="preserve"> the </w:t>
      </w:r>
      <w:r w:rsidR="0036297A">
        <w:t>N</w:t>
      </w:r>
      <w:r>
        <w:t xml:space="preserve">et </w:t>
      </w:r>
      <w:r w:rsidR="0036297A">
        <w:t>Q</w:t>
      </w:r>
      <w:r>
        <w:t xml:space="preserve">ualifying </w:t>
      </w:r>
      <w:r w:rsidR="0036297A">
        <w:t>C</w:t>
      </w:r>
      <w:r>
        <w:t>apacity (NQC) process.  Feedback from suppliers would be incorporated into the database and compared to information in CAISO’s Master File.  Energy</w:t>
      </w:r>
      <w:r w:rsidR="00E44D0A">
        <w:t> </w:t>
      </w:r>
      <w:r>
        <w:t xml:space="preserve">Division </w:t>
      </w:r>
      <w:proofErr w:type="gramStart"/>
      <w:r>
        <w:t>would</w:t>
      </w:r>
      <w:proofErr w:type="gramEnd"/>
      <w:r>
        <w:t xml:space="preserve"> contact suppliers for corrections for any data </w:t>
      </w:r>
      <w:r>
        <w:lastRenderedPageBreak/>
        <w:t xml:space="preserve">inconsistencies.  The MRD </w:t>
      </w:r>
      <w:r w:rsidR="0036297A">
        <w:t xml:space="preserve">would </w:t>
      </w:r>
      <w:r>
        <w:t>be updated annually for deliverability and NQC updates.</w:t>
      </w:r>
    </w:p>
    <w:p w:rsidR="00B0301C" w:rsidP="00E44D0A" w:rsidRDefault="00B0301C" w14:paraId="18CEED99" w14:textId="51A88AFD">
      <w:pPr>
        <w:autoSpaceDE w:val="0"/>
        <w:autoSpaceDN w:val="0"/>
        <w:adjustRightInd w:val="0"/>
      </w:pPr>
      <w:r>
        <w:t>Energy</w:t>
      </w:r>
      <w:r w:rsidR="00E44D0A">
        <w:t> </w:t>
      </w:r>
      <w:r>
        <w:t>Division proposes several public sources and default assumptions to populate the MRD.  The public sources include the master generator capability list, the NQC list, the local sub-area list, CAISO’s grid interconnection queue, and other public information.  The proposed default fields are:</w:t>
      </w:r>
    </w:p>
    <w:p w:rsidRPr="009901F8" w:rsidR="00B0301C" w:rsidP="00E44D0A" w:rsidRDefault="00B0301C" w14:paraId="557DC658" w14:textId="7F2DD192">
      <w:pPr>
        <w:pStyle w:val="ListParagraph"/>
        <w:numPr>
          <w:ilvl w:val="2"/>
          <w:numId w:val="22"/>
        </w:numPr>
        <w:spacing w:after="120" w:line="240" w:lineRule="auto"/>
        <w:ind w:left="1080" w:right="1440"/>
        <w:contextualSpacing w:val="0"/>
      </w:pPr>
      <w:r w:rsidRPr="009901F8">
        <w:rPr>
          <w:rFonts w:cs="Calibri"/>
          <w:color w:val="000000"/>
          <w:szCs w:val="26"/>
        </w:rPr>
        <w:t>All batteries will be assumed to be 4-hour, one</w:t>
      </w:r>
      <w:r w:rsidR="00E44D0A">
        <w:rPr>
          <w:rFonts w:cs="Calibri"/>
          <w:color w:val="000000"/>
          <w:szCs w:val="26"/>
        </w:rPr>
        <w:t> </w:t>
      </w:r>
      <w:r w:rsidRPr="009901F8">
        <w:rPr>
          <w:rFonts w:cs="Calibri"/>
          <w:color w:val="000000"/>
          <w:szCs w:val="26"/>
        </w:rPr>
        <w:t>cycle per</w:t>
      </w:r>
      <w:r w:rsidR="00E44D0A">
        <w:rPr>
          <w:rFonts w:cs="Calibri"/>
          <w:color w:val="000000"/>
          <w:szCs w:val="26"/>
        </w:rPr>
        <w:t> </w:t>
      </w:r>
      <w:r w:rsidRPr="009901F8">
        <w:rPr>
          <w:rFonts w:cs="Calibri"/>
          <w:color w:val="000000"/>
          <w:szCs w:val="26"/>
        </w:rPr>
        <w:t>day</w:t>
      </w:r>
      <w:r>
        <w:rPr>
          <w:rFonts w:cs="Calibri"/>
          <w:color w:val="000000"/>
          <w:szCs w:val="26"/>
        </w:rPr>
        <w:t>.</w:t>
      </w:r>
    </w:p>
    <w:p w:rsidRPr="009901F8" w:rsidR="00B0301C" w:rsidP="00E44D0A" w:rsidRDefault="00B0301C" w14:paraId="552F0DE9" w14:textId="554FA9D5">
      <w:pPr>
        <w:pStyle w:val="ListParagraph"/>
        <w:numPr>
          <w:ilvl w:val="2"/>
          <w:numId w:val="22"/>
        </w:numPr>
        <w:spacing w:after="120" w:line="240" w:lineRule="auto"/>
        <w:ind w:left="1080" w:right="1440"/>
        <w:contextualSpacing w:val="0"/>
      </w:pPr>
      <w:r w:rsidRPr="009901F8">
        <w:rPr>
          <w:rFonts w:cs="Courier New"/>
          <w:color w:val="000000"/>
          <w:szCs w:val="26"/>
        </w:rPr>
        <w:t xml:space="preserve">Maximum daily energy will be </w:t>
      </w:r>
      <w:r>
        <w:rPr>
          <w:rFonts w:cs="Courier New"/>
          <w:color w:val="000000"/>
          <w:szCs w:val="26"/>
        </w:rPr>
        <w:t>4</w:t>
      </w:r>
      <w:r w:rsidR="00E44D0A">
        <w:rPr>
          <w:rFonts w:cs="Courier New"/>
          <w:color w:val="000000"/>
          <w:szCs w:val="26"/>
        </w:rPr>
        <w:t> </w:t>
      </w:r>
      <w:r>
        <w:rPr>
          <w:rFonts w:cs="Courier New"/>
          <w:color w:val="000000"/>
          <w:szCs w:val="26"/>
        </w:rPr>
        <w:t>x</w:t>
      </w:r>
      <w:r w:rsidR="00E44D0A">
        <w:rPr>
          <w:rFonts w:cs="Courier New"/>
          <w:color w:val="000000"/>
          <w:szCs w:val="26"/>
        </w:rPr>
        <w:t> </w:t>
      </w:r>
      <w:r w:rsidRPr="009901F8">
        <w:rPr>
          <w:rFonts w:cs="Courier New"/>
          <w:color w:val="000000"/>
          <w:szCs w:val="26"/>
        </w:rPr>
        <w:t>August NQC</w:t>
      </w:r>
      <w:r>
        <w:rPr>
          <w:rFonts w:cs="Courier New"/>
          <w:color w:val="000000"/>
          <w:szCs w:val="26"/>
        </w:rPr>
        <w:t>.</w:t>
      </w:r>
    </w:p>
    <w:p w:rsidRPr="009901F8" w:rsidR="00B0301C" w:rsidP="00E44D0A" w:rsidRDefault="00B0301C" w14:paraId="09358BB9" w14:textId="77777777">
      <w:pPr>
        <w:pStyle w:val="ListParagraph"/>
        <w:numPr>
          <w:ilvl w:val="2"/>
          <w:numId w:val="22"/>
        </w:numPr>
        <w:spacing w:after="120" w:line="240" w:lineRule="auto"/>
        <w:ind w:left="1080" w:right="1440"/>
        <w:contextualSpacing w:val="0"/>
      </w:pPr>
      <w:r w:rsidRPr="009901F8">
        <w:rPr>
          <w:rFonts w:cs="Calibri"/>
          <w:color w:val="000000"/>
          <w:szCs w:val="26"/>
        </w:rPr>
        <w:t>Storage efficiency will be set at a conservative value of 0.8</w:t>
      </w:r>
      <w:r>
        <w:rPr>
          <w:rFonts w:cs="Calibri"/>
          <w:color w:val="000000"/>
          <w:szCs w:val="26"/>
        </w:rPr>
        <w:t>.</w:t>
      </w:r>
    </w:p>
    <w:p w:rsidRPr="009901F8" w:rsidR="00B0301C" w:rsidP="00E44D0A" w:rsidRDefault="00B0301C" w14:paraId="663DF725" w14:textId="77777777">
      <w:pPr>
        <w:pStyle w:val="ListParagraph"/>
        <w:numPr>
          <w:ilvl w:val="2"/>
          <w:numId w:val="22"/>
        </w:numPr>
        <w:spacing w:after="120" w:line="240" w:lineRule="auto"/>
        <w:ind w:left="1080" w:right="1440"/>
        <w:contextualSpacing w:val="0"/>
      </w:pPr>
      <w:proofErr w:type="gramStart"/>
      <w:r w:rsidRPr="009901F8">
        <w:rPr>
          <w:rFonts w:cs="Calibri"/>
          <w:color w:val="000000"/>
          <w:szCs w:val="26"/>
        </w:rPr>
        <w:t>First</w:t>
      </w:r>
      <w:proofErr w:type="gramEnd"/>
      <w:r w:rsidRPr="009901F8">
        <w:rPr>
          <w:rFonts w:cs="Calibri"/>
          <w:color w:val="000000"/>
          <w:szCs w:val="26"/>
        </w:rPr>
        <w:t xml:space="preserve"> and last hour available are assumed to be 1 and 24 for most resources</w:t>
      </w:r>
      <w:r>
        <w:rPr>
          <w:rFonts w:cs="Calibri"/>
          <w:color w:val="000000"/>
          <w:szCs w:val="26"/>
        </w:rPr>
        <w:t>.</w:t>
      </w:r>
    </w:p>
    <w:p w:rsidRPr="00E44D0A" w:rsidR="00B0301C" w:rsidP="00E44D0A" w:rsidRDefault="00B0301C" w14:paraId="7E19158B" w14:textId="11E568F4">
      <w:pPr>
        <w:pStyle w:val="ListParagraph"/>
        <w:numPr>
          <w:ilvl w:val="2"/>
          <w:numId w:val="22"/>
        </w:numPr>
        <w:spacing w:after="120" w:line="240" w:lineRule="auto"/>
        <w:ind w:left="1080" w:right="1440"/>
        <w:contextualSpacing w:val="0"/>
      </w:pPr>
      <w:r w:rsidRPr="009901F8">
        <w:rPr>
          <w:rFonts w:cs="Calibri"/>
          <w:color w:val="000000"/>
          <w:szCs w:val="26"/>
        </w:rPr>
        <w:t xml:space="preserve">For hybrids, generic sub-IDs </w:t>
      </w:r>
      <w:r>
        <w:rPr>
          <w:rFonts w:cs="Calibri"/>
          <w:color w:val="000000"/>
          <w:szCs w:val="26"/>
        </w:rPr>
        <w:t xml:space="preserve">will be </w:t>
      </w:r>
      <w:r w:rsidRPr="009901F8">
        <w:rPr>
          <w:rFonts w:cs="Calibri"/>
          <w:color w:val="000000"/>
          <w:szCs w:val="26"/>
        </w:rPr>
        <w:t>listed to facilitate showings of all components</w:t>
      </w:r>
      <w:r>
        <w:rPr>
          <w:rFonts w:cs="Calibri"/>
          <w:color w:val="000000"/>
          <w:szCs w:val="26"/>
        </w:rPr>
        <w:t>.</w:t>
      </w:r>
    </w:p>
    <w:p w:rsidRPr="00E641E1" w:rsidR="00B0301C" w:rsidP="00B0301C" w:rsidRDefault="00B0301C" w14:paraId="235C7D31" w14:textId="3F1BA84C">
      <w:pPr>
        <w:rPr>
          <w:szCs w:val="26"/>
        </w:rPr>
      </w:pPr>
      <w:r w:rsidRPr="00E641E1">
        <w:rPr>
          <w:szCs w:val="26"/>
        </w:rPr>
        <w:t xml:space="preserve">MRP and PG&amp;E support </w:t>
      </w:r>
      <w:r w:rsidR="006243A0">
        <w:rPr>
          <w:szCs w:val="26"/>
        </w:rPr>
        <w:t xml:space="preserve">instructing </w:t>
      </w:r>
      <w:r w:rsidRPr="00E641E1">
        <w:rPr>
          <w:szCs w:val="26"/>
        </w:rPr>
        <w:t>Energy</w:t>
      </w:r>
      <w:r w:rsidR="00E44D0A">
        <w:rPr>
          <w:szCs w:val="26"/>
        </w:rPr>
        <w:t> </w:t>
      </w:r>
      <w:r w:rsidRPr="00E641E1">
        <w:rPr>
          <w:szCs w:val="26"/>
        </w:rPr>
        <w:t>Division to implement details of the compliance and verification tools</w:t>
      </w:r>
      <w:r>
        <w:rPr>
          <w:szCs w:val="26"/>
        </w:rPr>
        <w:t>,</w:t>
      </w:r>
      <w:r w:rsidRPr="00E641E1">
        <w:rPr>
          <w:szCs w:val="26"/>
        </w:rPr>
        <w:t xml:space="preserve"> with assistance from parties</w:t>
      </w:r>
      <w:r>
        <w:rPr>
          <w:szCs w:val="26"/>
        </w:rPr>
        <w:t>,</w:t>
      </w:r>
      <w:r w:rsidRPr="00E641E1">
        <w:rPr>
          <w:szCs w:val="26"/>
        </w:rPr>
        <w:t xml:space="preserve"> to </w:t>
      </w:r>
      <w:r>
        <w:rPr>
          <w:szCs w:val="26"/>
        </w:rPr>
        <w:t>ensure</w:t>
      </w:r>
      <w:r w:rsidRPr="00E641E1">
        <w:rPr>
          <w:szCs w:val="26"/>
        </w:rPr>
        <w:t xml:space="preserve"> consisten</w:t>
      </w:r>
      <w:r>
        <w:rPr>
          <w:szCs w:val="26"/>
        </w:rPr>
        <w:t>cy</w:t>
      </w:r>
      <w:r w:rsidRPr="00E641E1">
        <w:rPr>
          <w:szCs w:val="26"/>
        </w:rPr>
        <w:t xml:space="preserve"> with adopted policy changes, similar to the current process</w:t>
      </w:r>
      <w:r>
        <w:rPr>
          <w:szCs w:val="26"/>
        </w:rPr>
        <w:t>es</w:t>
      </w:r>
      <w:r w:rsidRPr="00E641E1">
        <w:rPr>
          <w:szCs w:val="26"/>
        </w:rPr>
        <w:t xml:space="preserve"> in the RA program.</w:t>
      </w:r>
      <w:r>
        <w:rPr>
          <w:rStyle w:val="FootnoteReference"/>
          <w:szCs w:val="26"/>
        </w:rPr>
        <w:footnoteReference w:id="12"/>
      </w:r>
      <w:r w:rsidRPr="00E641E1">
        <w:rPr>
          <w:szCs w:val="26"/>
        </w:rPr>
        <w:t xml:space="preserve">  MRP states that Energy</w:t>
      </w:r>
      <w:r w:rsidR="00E44D0A">
        <w:rPr>
          <w:szCs w:val="26"/>
        </w:rPr>
        <w:t> </w:t>
      </w:r>
      <w:r w:rsidRPr="00E641E1">
        <w:rPr>
          <w:szCs w:val="26"/>
        </w:rPr>
        <w:t xml:space="preserve">Division should adjust tools for minor issues identified, so long as the changes do not affect the fundamental design principles of the SOD framework.  </w:t>
      </w:r>
    </w:p>
    <w:p w:rsidR="00B0301C" w:rsidP="00B0301C" w:rsidRDefault="00B0301C" w14:paraId="2E3B98D8" w14:textId="5498063E">
      <w:r>
        <w:t>CEJA/CEERT recommend that the MRD include greenhouse</w:t>
      </w:r>
      <w:r w:rsidR="00E44D0A">
        <w:t> </w:t>
      </w:r>
      <w:r>
        <w:t>gas</w:t>
      </w:r>
      <w:r w:rsidR="00E44D0A">
        <w:t> </w:t>
      </w:r>
      <w:r>
        <w:t>(GHG) heat rate, whether resources are in a local capacity requirement (LCR) area, and whether resources are in a Disadvantaged Community (DAC).</w:t>
      </w:r>
      <w:r>
        <w:rPr>
          <w:rStyle w:val="FootnoteReference"/>
        </w:rPr>
        <w:footnoteReference w:id="13"/>
      </w:r>
      <w:r>
        <w:t xml:space="preserve">  CEJA/CEERT posit that this information increases transparency about lower GHG heat</w:t>
      </w:r>
      <w:r w:rsidR="00E44D0A">
        <w:t> </w:t>
      </w:r>
      <w:r>
        <w:t xml:space="preserve">rate facilities, resources in constrained local areas, and minimizing emissions in </w:t>
      </w:r>
      <w:r>
        <w:lastRenderedPageBreak/>
        <w:t xml:space="preserve">DACs.  IEP opposes these proposals, arguing that there is little benefit to using the RA program to achieve GHG or pollutant reductions, that </w:t>
      </w:r>
      <w:r w:rsidR="00F7362A">
        <w:t>Integrated Resource Plan (</w:t>
      </w:r>
      <w:r>
        <w:t>IRP</w:t>
      </w:r>
      <w:r w:rsidR="00F7362A">
        <w:t>)</w:t>
      </w:r>
      <w:r>
        <w:t xml:space="preserve"> decisions ensure that GHG</w:t>
      </w:r>
      <w:r w:rsidR="00DF5C44">
        <w:t>s</w:t>
      </w:r>
      <w:r>
        <w:t xml:space="preserve"> and emissions will decrease, that GHGs are already measured and regulated in other program</w:t>
      </w:r>
      <w:r w:rsidR="000B4782">
        <w:t>s</w:t>
      </w:r>
      <w:r>
        <w:t>, and that capacity-based RA has no impact on how thermal resources are run.</w:t>
      </w:r>
      <w:r>
        <w:rPr>
          <w:rStyle w:val="FootnoteReference"/>
        </w:rPr>
        <w:footnoteReference w:id="14"/>
      </w:r>
      <w:r>
        <w:t xml:space="preserve">  IEP adds that Senate</w:t>
      </w:r>
      <w:r w:rsidR="00E44D0A">
        <w:t> </w:t>
      </w:r>
      <w:r>
        <w:t>Bill</w:t>
      </w:r>
      <w:r w:rsidR="00E44D0A">
        <w:t> </w:t>
      </w:r>
      <w:r>
        <w:t>1020 ensures that the share of gas generation in LSEs’ energy portfolios will continue to decline through 2045.</w:t>
      </w:r>
    </w:p>
    <w:p w:rsidR="006243A0" w:rsidP="00CA46DC" w:rsidRDefault="006243A0" w14:paraId="7D9E2ED7" w14:textId="58B3237F">
      <w:pPr>
        <w:pStyle w:val="Standard"/>
      </w:pPr>
      <w:r>
        <w:t xml:space="preserve">SCE proposes that that each resource should have a shape defined in the Resource </w:t>
      </w:r>
      <w:r w:rsidR="00DF5C44">
        <w:t>Effective Load Carrying Capability (</w:t>
      </w:r>
      <w:r>
        <w:t>ELCC</w:t>
      </w:r>
      <w:r w:rsidR="00DF5C44">
        <w:t>)</w:t>
      </w:r>
      <w:r>
        <w:t xml:space="preserve"> Shape Database.</w:t>
      </w:r>
      <w:r>
        <w:rPr>
          <w:rStyle w:val="FootnoteReference"/>
        </w:rPr>
        <w:footnoteReference w:id="15"/>
      </w:r>
      <w:r>
        <w:t xml:space="preserve">  SCE states that even though many resources will have flat shapes initially, configuring the RA tools with shapes for every resource allows flexibility to adopt hourly </w:t>
      </w:r>
      <w:r w:rsidR="00CA6016">
        <w:t xml:space="preserve">Unforced Capacity Evaluation and </w:t>
      </w:r>
      <w:r>
        <w:t>ELCC for each resource if needed.  SCE configures the ELCC shape database with two options: shapes relative to Pmax and shapes relative to the current single-monthly QC/NQC.</w:t>
      </w:r>
    </w:p>
    <w:p w:rsidR="005939A5" w:rsidP="00B0301C" w:rsidRDefault="00B0301C" w14:paraId="30BE2599" w14:textId="79FB8231">
      <w:pPr>
        <w:pStyle w:val="Heading3"/>
      </w:pPr>
      <w:bookmarkStart w:name="_Toc131762378" w:id="16"/>
      <w:r>
        <w:t>Discussion</w:t>
      </w:r>
      <w:bookmarkEnd w:id="16"/>
    </w:p>
    <w:p w:rsidR="00132248" w:rsidP="00132248" w:rsidRDefault="00132248" w14:paraId="5E62AAE1" w14:textId="6B65A2B7">
      <w:r>
        <w:t>The Commission determines that Energy</w:t>
      </w:r>
      <w:r w:rsidR="00F94FFF">
        <w:t> </w:t>
      </w:r>
      <w:r>
        <w:t xml:space="preserve">Division’s proposed process to develop the MRD, including the proposed default fields and use of public sources, is reasonable and appropriate for use in the SOD framework.  This process is </w:t>
      </w:r>
      <w:proofErr w:type="gramStart"/>
      <w:r>
        <w:t>similar to</w:t>
      </w:r>
      <w:proofErr w:type="gramEnd"/>
      <w:r>
        <w:t xml:space="preserve"> the process used by Energy</w:t>
      </w:r>
      <w:r w:rsidR="00F94FFF">
        <w:t> </w:t>
      </w:r>
      <w:r>
        <w:t>Division and CAISO to adjust and finalize the NQC templates.</w:t>
      </w:r>
      <w:r>
        <w:rPr>
          <w:rStyle w:val="FootnoteReference"/>
        </w:rPr>
        <w:footnoteReference w:id="16"/>
      </w:r>
      <w:r>
        <w:t xml:space="preserve">  The </w:t>
      </w:r>
      <w:r w:rsidR="006243A0">
        <w:t xml:space="preserve">Commission agrees with SCE that each resource in the MRD </w:t>
      </w:r>
      <w:r w:rsidR="00DF5C44">
        <w:t xml:space="preserve">should </w:t>
      </w:r>
      <w:r w:rsidR="006243A0">
        <w:t>have a defined shape</w:t>
      </w:r>
      <w:r>
        <w:t>.  Accordingly, Energy</w:t>
      </w:r>
      <w:r w:rsidR="00F94FFF">
        <w:t> </w:t>
      </w:r>
      <w:r>
        <w:t xml:space="preserve">Division is authorized to publish the draft MRD to the Commission’s website, with service to the service list in this proceeding, and request that </w:t>
      </w:r>
      <w:r>
        <w:lastRenderedPageBreak/>
        <w:t>generators respond with corrections to the MRD.  Energy</w:t>
      </w:r>
      <w:r w:rsidR="00F94FFF">
        <w:t> </w:t>
      </w:r>
      <w:r>
        <w:t>Division is authorized to solicit informal feedback from parties, compare feedback from generators with information in CAISO’s Master File, and incorporate corrections and feedback into the MRD, as warranted.  The MRD will be updated annually for deliverability and NQC updates.</w:t>
      </w:r>
      <w:r w:rsidR="006243A0">
        <w:t xml:space="preserve"> </w:t>
      </w:r>
      <w:bookmarkStart w:name="_Hlk127895563" w:id="17"/>
      <w:r w:rsidR="006243A0">
        <w:t xml:space="preserve"> </w:t>
      </w:r>
      <w:proofErr w:type="gramStart"/>
      <w:r w:rsidRPr="00935723" w:rsidR="00BE529D">
        <w:t>Similar to</w:t>
      </w:r>
      <w:proofErr w:type="gramEnd"/>
      <w:r w:rsidRPr="00935723" w:rsidR="00BE529D">
        <w:t xml:space="preserve"> the current practice for the NQC list, monthly updates will be made to account for new resources that have come online and </w:t>
      </w:r>
      <w:r w:rsidRPr="00935723" w:rsidR="007E1A7E">
        <w:t xml:space="preserve">for </w:t>
      </w:r>
      <w:r w:rsidRPr="00935723" w:rsidR="00BE529D">
        <w:t>changes in capacity values.</w:t>
      </w:r>
      <w:r w:rsidR="006243A0">
        <w:t xml:space="preserve"> </w:t>
      </w:r>
      <w:bookmarkEnd w:id="17"/>
    </w:p>
    <w:p w:rsidR="006243A0" w:rsidP="00132248" w:rsidRDefault="006243A0" w14:paraId="52190E61" w14:textId="2466D1FC">
      <w:proofErr w:type="gramStart"/>
      <w:r>
        <w:t>In order to</w:t>
      </w:r>
      <w:proofErr w:type="gramEnd"/>
      <w:r>
        <w:t xml:space="preserve"> be eligible for RA compliance, resources must be represented on the MRD</w:t>
      </w:r>
      <w:r w:rsidR="00BE529D">
        <w:t xml:space="preserve"> </w:t>
      </w:r>
      <w:r w:rsidRPr="00935723" w:rsidR="00BE529D">
        <w:t>because the MRD will be used to validate SOD showings</w:t>
      </w:r>
      <w:r w:rsidRPr="00935723">
        <w:t>.</w:t>
      </w:r>
      <w:r>
        <w:t xml:space="preserve">  We note that accurate representation of this data is critical to the implementation of the 24-hour framework and all generators must assist Energy Division to ensure that resources are accurately reflected on the final MRD.  </w:t>
      </w:r>
    </w:p>
    <w:p w:rsidR="00C17C10" w:rsidP="00132248" w:rsidRDefault="00132248" w14:paraId="129CD6CC" w14:textId="163FA58B">
      <w:r>
        <w:t xml:space="preserve">The Commission deems it unnecessary for the MRD to include GHG heat rate information.  </w:t>
      </w:r>
      <w:r w:rsidR="00C17C10">
        <w:t xml:space="preserve">Verifying </w:t>
      </w:r>
      <w:r w:rsidR="0022306E">
        <w:t xml:space="preserve">and updating heat rate information into the MRD for all RA resources would require substantial effort by Commission Staff and would greatly expand the MRD.  We note that heat rate data is available from public sources, such as the CEC’s Quarterly Fuel and Energy Reports.  LSEs are encouraged to use this information when procuring resources under the SOD framework. </w:t>
      </w:r>
    </w:p>
    <w:p w:rsidR="00132248" w:rsidP="00132248" w:rsidRDefault="00C17C10" w14:paraId="0A426377" w14:textId="04302C39">
      <w:r>
        <w:t xml:space="preserve">DAC status is publicly available in the California Environmental Protection Agency’s </w:t>
      </w:r>
      <w:proofErr w:type="spellStart"/>
      <w:r>
        <w:t>CalEnviroScreen</w:t>
      </w:r>
      <w:proofErr w:type="spellEnd"/>
      <w:r>
        <w:t xml:space="preserve"> tool.  We find it reasonable for Energy Division to include </w:t>
      </w:r>
      <w:proofErr w:type="gramStart"/>
      <w:r>
        <w:t>publicly-available</w:t>
      </w:r>
      <w:proofErr w:type="gramEnd"/>
      <w:r>
        <w:t xml:space="preserve"> DAC status information in the MRD, to the extent </w:t>
      </w:r>
      <w:r w:rsidR="00EB0D7B">
        <w:t>possible</w:t>
      </w:r>
      <w:r>
        <w:t xml:space="preserve">.  </w:t>
      </w:r>
      <w:r w:rsidR="002B19DD">
        <w:t>W</w:t>
      </w:r>
      <w:r w:rsidR="00CA6016">
        <w:t>e</w:t>
      </w:r>
      <w:r w:rsidR="002B19DD">
        <w:t xml:space="preserve"> also</w:t>
      </w:r>
      <w:r w:rsidR="00CA6016">
        <w:t xml:space="preserve"> determine that </w:t>
      </w:r>
      <w:r w:rsidR="00CA6016">
        <w:rPr>
          <w:rFonts w:cs="Times New Roman"/>
          <w:szCs w:val="20"/>
        </w:rPr>
        <w:t>i</w:t>
      </w:r>
      <w:r w:rsidR="0022306E">
        <w:rPr>
          <w:rFonts w:cs="Times New Roman"/>
          <w:szCs w:val="20"/>
        </w:rPr>
        <w:t xml:space="preserve">ncluding data in the MRD on whether resources </w:t>
      </w:r>
      <w:proofErr w:type="gramStart"/>
      <w:r w:rsidR="0022306E">
        <w:rPr>
          <w:rFonts w:cs="Times New Roman"/>
          <w:szCs w:val="20"/>
        </w:rPr>
        <w:t>are located in</w:t>
      </w:r>
      <w:proofErr w:type="gramEnd"/>
      <w:r w:rsidR="0022306E">
        <w:rPr>
          <w:rFonts w:cs="Times New Roman"/>
          <w:szCs w:val="20"/>
        </w:rPr>
        <w:t xml:space="preserve"> an LCR is reasonable</w:t>
      </w:r>
      <w:r w:rsidR="00CA6016">
        <w:rPr>
          <w:rFonts w:cs="Times New Roman"/>
          <w:szCs w:val="20"/>
        </w:rPr>
        <w:t xml:space="preserve"> and not overly burdensome</w:t>
      </w:r>
      <w:r w:rsidR="0022306E">
        <w:rPr>
          <w:rFonts w:cs="Times New Roman"/>
          <w:szCs w:val="20"/>
        </w:rPr>
        <w:t xml:space="preserve">.  We direct </w:t>
      </w:r>
      <w:proofErr w:type="gramStart"/>
      <w:r w:rsidR="0022306E">
        <w:rPr>
          <w:rFonts w:cs="Times New Roman"/>
          <w:szCs w:val="20"/>
        </w:rPr>
        <w:t>Energy</w:t>
      </w:r>
      <w:proofErr w:type="gramEnd"/>
      <w:r w:rsidR="0022306E">
        <w:rPr>
          <w:rFonts w:cs="Times New Roman"/>
          <w:szCs w:val="20"/>
        </w:rPr>
        <w:t xml:space="preserve"> Division to include in the MRD whether resources </w:t>
      </w:r>
      <w:proofErr w:type="gramStart"/>
      <w:r w:rsidR="0022306E">
        <w:rPr>
          <w:rFonts w:cs="Times New Roman"/>
          <w:szCs w:val="20"/>
        </w:rPr>
        <w:t>are located in</w:t>
      </w:r>
      <w:proofErr w:type="gramEnd"/>
      <w:r w:rsidR="0022306E">
        <w:rPr>
          <w:rFonts w:cs="Times New Roman"/>
          <w:szCs w:val="20"/>
        </w:rPr>
        <w:t xml:space="preserve"> an LCR area.</w:t>
      </w:r>
    </w:p>
    <w:p w:rsidR="0051615E" w:rsidP="0051615E" w:rsidRDefault="00132248" w14:paraId="5D8B1C5A" w14:textId="7EB5F7C9">
      <w:pPr>
        <w:pStyle w:val="Standard"/>
      </w:pPr>
      <w:r>
        <w:lastRenderedPageBreak/>
        <w:t xml:space="preserve">Lastly, the Commission agrees with </w:t>
      </w:r>
      <w:proofErr w:type="gramStart"/>
      <w:r>
        <w:t>parties</w:t>
      </w:r>
      <w:proofErr w:type="gramEnd"/>
      <w:r>
        <w:t xml:space="preserve"> that it is reasonable for Energy</w:t>
      </w:r>
      <w:r w:rsidR="00F94FFF">
        <w:t> </w:t>
      </w:r>
      <w:r>
        <w:t xml:space="preserve">Division to adjust and implement the MRD, and other compliance tools further discussed below.  </w:t>
      </w:r>
      <w:r w:rsidRPr="00323C77">
        <w:t>As such, Energy</w:t>
      </w:r>
      <w:r w:rsidRPr="00323C77" w:rsidR="00F94FFF">
        <w:t> </w:t>
      </w:r>
      <w:r w:rsidRPr="00323C77">
        <w:t xml:space="preserve">Division is authorized to </w:t>
      </w:r>
      <w:r w:rsidRPr="00323C77" w:rsidR="005E25DF">
        <w:t xml:space="preserve">modify </w:t>
      </w:r>
      <w:r w:rsidRPr="00323C77">
        <w:t>and implement the compliance and verification tools adopted for use in the SOD framework</w:t>
      </w:r>
      <w:r w:rsidR="0051615E">
        <w:t>, and to modify and implement instructions and additional filing procedures, as necessary</w:t>
      </w:r>
      <w:r w:rsidRPr="00323C77" w:rsidR="005E25DF">
        <w:t xml:space="preserve"> to ensure consistency with the Commission’s direction</w:t>
      </w:r>
      <w:r w:rsidR="0051615E">
        <w:t xml:space="preserve"> and to ensure</w:t>
      </w:r>
      <w:r w:rsidRPr="00323C77" w:rsidR="005E25DF">
        <w:t xml:space="preserve"> the orderly implementation of the slice-of-day framework and the changing needs of the RA program</w:t>
      </w:r>
      <w:r w:rsidRPr="00323C77">
        <w:t>.</w:t>
      </w:r>
    </w:p>
    <w:p w:rsidR="00132248" w:rsidP="00132248" w:rsidRDefault="00132248" w14:paraId="7E516696" w14:textId="41802485">
      <w:pPr>
        <w:pStyle w:val="Heading2"/>
      </w:pPr>
      <w:bookmarkStart w:name="_Toc131762379" w:id="18"/>
      <w:r w:rsidRPr="00132248">
        <w:t xml:space="preserve">LSE Showing Tool and </w:t>
      </w:r>
      <w:r w:rsidR="00F94FFF">
        <w:br/>
      </w:r>
      <w:r w:rsidRPr="00132248">
        <w:t>Commission Verification Tool</w:t>
      </w:r>
      <w:bookmarkEnd w:id="18"/>
    </w:p>
    <w:p w:rsidRPr="002E5604" w:rsidR="00132248" w:rsidP="00132248" w:rsidRDefault="00132248" w14:paraId="270C2CF0" w14:textId="6531D063">
      <w:pPr>
        <w:pStyle w:val="Standard"/>
      </w:pPr>
      <w:r>
        <w:t>In D.22</w:t>
      </w:r>
      <w:r w:rsidR="00F94FFF">
        <w:noBreakHyphen/>
      </w:r>
      <w:r>
        <w:t>06</w:t>
      </w:r>
      <w:r w:rsidR="00F94FFF">
        <w:noBreakHyphen/>
      </w:r>
      <w:r>
        <w:t>050, the Commission described the LSE Showing Tool as a “spreadsheet used by each LSE to submit their monthly, 24</w:t>
      </w:r>
      <w:r w:rsidR="00F94FFF">
        <w:noBreakHyphen/>
      </w:r>
      <w:r>
        <w:t>hour showing to the Commission.”</w:t>
      </w:r>
      <w:r>
        <w:rPr>
          <w:rStyle w:val="FootnoteReference"/>
          <w:rFonts w:cs="Calibri"/>
          <w:color w:val="000000"/>
          <w:szCs w:val="26"/>
        </w:rPr>
        <w:footnoteReference w:id="17"/>
      </w:r>
      <w:r>
        <w:rPr>
          <w:rFonts w:cs="Calibri"/>
          <w:color w:val="000000"/>
          <w:szCs w:val="26"/>
        </w:rPr>
        <w:t xml:space="preserve">  The Commission described the LSE Showing Tool as</w:t>
      </w:r>
      <w:r w:rsidR="0022306E">
        <w:rPr>
          <w:rFonts w:cs="Calibri"/>
          <w:color w:val="000000"/>
          <w:szCs w:val="26"/>
        </w:rPr>
        <w:t xml:space="preserve"> follows</w:t>
      </w:r>
      <w:r>
        <w:rPr>
          <w:rFonts w:cs="Calibri"/>
          <w:color w:val="000000"/>
          <w:szCs w:val="26"/>
        </w:rPr>
        <w:t>:</w:t>
      </w:r>
    </w:p>
    <w:p w:rsidRPr="00A13930" w:rsidR="00132248" w:rsidP="00F94FFF" w:rsidRDefault="00132248" w14:paraId="1924AEAF" w14:textId="4668387F">
      <w:pPr>
        <w:pStyle w:val="ListParagraph"/>
        <w:numPr>
          <w:ilvl w:val="0"/>
          <w:numId w:val="23"/>
        </w:numPr>
        <w:autoSpaceDE w:val="0"/>
        <w:autoSpaceDN w:val="0"/>
        <w:adjustRightInd w:val="0"/>
        <w:spacing w:after="120" w:line="240" w:lineRule="auto"/>
        <w:ind w:left="1080" w:right="1440"/>
        <w:contextualSpacing w:val="0"/>
        <w:rPr>
          <w:rFonts w:cs="Calibri"/>
          <w:color w:val="000000"/>
          <w:szCs w:val="26"/>
        </w:rPr>
      </w:pPr>
      <w:r w:rsidRPr="00A13930">
        <w:rPr>
          <w:rFonts w:cs="Calibri"/>
          <w:color w:val="000000"/>
          <w:szCs w:val="26"/>
        </w:rPr>
        <w:t>Contains a standard format for listing the resources in an LSE’s portfolio including the resource ID found in the Master Database, their MW quantity associated with the must-offer requirement, and the capacity used in each of the 24</w:t>
      </w:r>
      <w:r w:rsidR="00F94FFF">
        <w:rPr>
          <w:rFonts w:cs="Calibri"/>
          <w:color w:val="000000"/>
          <w:szCs w:val="26"/>
        </w:rPr>
        <w:t> </w:t>
      </w:r>
      <w:r w:rsidRPr="00A13930">
        <w:rPr>
          <w:rFonts w:cs="Calibri"/>
          <w:color w:val="000000"/>
          <w:szCs w:val="26"/>
        </w:rPr>
        <w:t>hours of the showing</w:t>
      </w:r>
      <w:r>
        <w:rPr>
          <w:rFonts w:cs="Calibri"/>
          <w:color w:val="000000"/>
          <w:szCs w:val="26"/>
        </w:rPr>
        <w:t>.</w:t>
      </w:r>
    </w:p>
    <w:p w:rsidRPr="00A13930" w:rsidR="00132248" w:rsidP="00F94FFF" w:rsidRDefault="00132248" w14:paraId="64EB2CA6" w14:textId="77777777">
      <w:pPr>
        <w:pStyle w:val="ListParagraph"/>
        <w:numPr>
          <w:ilvl w:val="0"/>
          <w:numId w:val="23"/>
        </w:numPr>
        <w:autoSpaceDE w:val="0"/>
        <w:autoSpaceDN w:val="0"/>
        <w:adjustRightInd w:val="0"/>
        <w:spacing w:after="120" w:line="240" w:lineRule="auto"/>
        <w:ind w:left="1080" w:right="1440"/>
        <w:contextualSpacing w:val="0"/>
        <w:rPr>
          <w:rFonts w:cs="Calibri"/>
          <w:color w:val="000000"/>
          <w:szCs w:val="26"/>
        </w:rPr>
      </w:pPr>
      <w:r w:rsidRPr="00A13930">
        <w:rPr>
          <w:rFonts w:cs="Calibri"/>
          <w:color w:val="000000"/>
          <w:szCs w:val="26"/>
        </w:rPr>
        <w:t>The tool should include pass/fail logic identical to the Commission Verification Tool, so LSEs know in advance if they will pass Commission verification</w:t>
      </w:r>
      <w:r>
        <w:rPr>
          <w:rFonts w:cs="Calibri"/>
          <w:color w:val="000000"/>
          <w:szCs w:val="26"/>
        </w:rPr>
        <w:t>.</w:t>
      </w:r>
    </w:p>
    <w:p w:rsidRPr="00D74C8B" w:rsidR="00132248" w:rsidP="00F94FFF" w:rsidRDefault="00132248" w14:paraId="45C8C9F8" w14:textId="77777777">
      <w:pPr>
        <w:pStyle w:val="ListParagraph"/>
        <w:numPr>
          <w:ilvl w:val="0"/>
          <w:numId w:val="23"/>
        </w:numPr>
        <w:autoSpaceDE w:val="0"/>
        <w:autoSpaceDN w:val="0"/>
        <w:adjustRightInd w:val="0"/>
        <w:spacing w:after="120" w:line="240" w:lineRule="auto"/>
        <w:ind w:left="1080" w:right="1440"/>
        <w:contextualSpacing w:val="0"/>
        <w:rPr>
          <w:rFonts w:cs="Calibri"/>
          <w:color w:val="000000"/>
          <w:szCs w:val="26"/>
        </w:rPr>
      </w:pPr>
      <w:r w:rsidRPr="00A13930">
        <w:rPr>
          <w:rFonts w:cs="Calibri"/>
          <w:color w:val="000000"/>
          <w:szCs w:val="26"/>
        </w:rPr>
        <w:t xml:space="preserve">This showing may also be used to provide </w:t>
      </w:r>
      <w:proofErr w:type="gramStart"/>
      <w:r w:rsidRPr="00A13930">
        <w:rPr>
          <w:rFonts w:cs="Calibri"/>
          <w:color w:val="000000"/>
          <w:szCs w:val="26"/>
        </w:rPr>
        <w:t>CAISO</w:t>
      </w:r>
      <w:proofErr w:type="gramEnd"/>
      <w:r w:rsidRPr="00A13930">
        <w:rPr>
          <w:rFonts w:cs="Calibri"/>
          <w:color w:val="000000"/>
          <w:szCs w:val="26"/>
        </w:rPr>
        <w:t xml:space="preserve"> the information it will need to determine the must-offer requirements of all resources, and the correct RA capacity values to use when performing their single-hour deficiency test</w:t>
      </w:r>
      <w:r>
        <w:rPr>
          <w:rFonts w:cs="Calibri"/>
          <w:color w:val="000000"/>
          <w:szCs w:val="26"/>
        </w:rPr>
        <w:t>.</w:t>
      </w:r>
    </w:p>
    <w:p w:rsidRPr="00B736C5" w:rsidR="00132248" w:rsidP="00132248" w:rsidRDefault="00132248" w14:paraId="67CFBF5F" w14:textId="77777777">
      <w:pPr>
        <w:autoSpaceDE w:val="0"/>
        <w:autoSpaceDN w:val="0"/>
        <w:adjustRightInd w:val="0"/>
        <w:rPr>
          <w:rFonts w:cs="Calibri"/>
          <w:color w:val="000000"/>
          <w:szCs w:val="26"/>
        </w:rPr>
      </w:pPr>
      <w:r>
        <w:rPr>
          <w:rFonts w:cs="Calibri"/>
          <w:color w:val="000000"/>
          <w:szCs w:val="26"/>
        </w:rPr>
        <w:lastRenderedPageBreak/>
        <w:t xml:space="preserve">The Commission also described the Commission Verification Tool that would be used to </w:t>
      </w:r>
      <w:r w:rsidRPr="000F6F07">
        <w:rPr>
          <w:rFonts w:cs="Calibri"/>
          <w:color w:val="000000"/>
          <w:szCs w:val="26"/>
        </w:rPr>
        <w:t xml:space="preserve">verify </w:t>
      </w:r>
      <w:r>
        <w:rPr>
          <w:rFonts w:cs="Calibri"/>
          <w:color w:val="000000"/>
          <w:szCs w:val="26"/>
        </w:rPr>
        <w:t xml:space="preserve">that </w:t>
      </w:r>
      <w:r w:rsidRPr="000F6F07">
        <w:rPr>
          <w:rFonts w:cs="Calibri"/>
          <w:color w:val="000000"/>
          <w:szCs w:val="26"/>
        </w:rPr>
        <w:t>an LSE satisfied its RA requirements</w:t>
      </w:r>
      <w:r>
        <w:rPr>
          <w:rFonts w:cs="Calibri"/>
          <w:color w:val="000000"/>
          <w:szCs w:val="26"/>
        </w:rPr>
        <w:t>:</w:t>
      </w:r>
      <w:r>
        <w:rPr>
          <w:rStyle w:val="FootnoteReference"/>
          <w:rFonts w:cs="Calibri"/>
          <w:color w:val="000000"/>
          <w:szCs w:val="26"/>
        </w:rPr>
        <w:footnoteReference w:id="18"/>
      </w:r>
    </w:p>
    <w:p w:rsidRPr="00A13930" w:rsidR="00132248" w:rsidP="00F94FFF" w:rsidRDefault="00132248" w14:paraId="27ED9620" w14:textId="77777777">
      <w:pPr>
        <w:pStyle w:val="ListParagraph"/>
        <w:numPr>
          <w:ilvl w:val="0"/>
          <w:numId w:val="23"/>
        </w:numPr>
        <w:autoSpaceDE w:val="0"/>
        <w:autoSpaceDN w:val="0"/>
        <w:adjustRightInd w:val="0"/>
        <w:spacing w:after="120" w:line="240" w:lineRule="auto"/>
        <w:ind w:left="1080" w:right="1440"/>
        <w:contextualSpacing w:val="0"/>
        <w:rPr>
          <w:rFonts w:cs="Calibri"/>
          <w:color w:val="000000"/>
          <w:szCs w:val="26"/>
        </w:rPr>
      </w:pPr>
      <w:r w:rsidRPr="00A13930">
        <w:rPr>
          <w:rFonts w:cs="Calibri"/>
          <w:color w:val="000000"/>
          <w:szCs w:val="26"/>
        </w:rPr>
        <w:t>The tool is designed to use the data submitted through the LSE Showing Tool</w:t>
      </w:r>
      <w:r>
        <w:rPr>
          <w:rFonts w:cs="Calibri"/>
          <w:color w:val="000000"/>
          <w:szCs w:val="26"/>
        </w:rPr>
        <w:t>.</w:t>
      </w:r>
    </w:p>
    <w:p w:rsidRPr="00A13930" w:rsidR="00132248" w:rsidP="00F94FFF" w:rsidRDefault="00132248" w14:paraId="37A51C8E" w14:textId="35202FAE">
      <w:pPr>
        <w:pStyle w:val="ListParagraph"/>
        <w:numPr>
          <w:ilvl w:val="0"/>
          <w:numId w:val="23"/>
        </w:numPr>
        <w:autoSpaceDE w:val="0"/>
        <w:autoSpaceDN w:val="0"/>
        <w:adjustRightInd w:val="0"/>
        <w:spacing w:after="120" w:line="240" w:lineRule="auto"/>
        <w:ind w:left="1080" w:right="1440"/>
        <w:contextualSpacing w:val="0"/>
        <w:rPr>
          <w:rFonts w:cs="Calibri"/>
          <w:color w:val="000000"/>
          <w:szCs w:val="26"/>
        </w:rPr>
      </w:pPr>
      <w:r w:rsidRPr="00A13930">
        <w:rPr>
          <w:rFonts w:cs="Calibri"/>
          <w:color w:val="000000"/>
          <w:szCs w:val="26"/>
        </w:rPr>
        <w:t xml:space="preserve">The Commission uses the data submitted by the LSE in its showing, in conjunction with the RA </w:t>
      </w:r>
      <w:r w:rsidR="003F3F57">
        <w:rPr>
          <w:rFonts w:cs="Calibri"/>
          <w:color w:val="000000"/>
          <w:szCs w:val="26"/>
        </w:rPr>
        <w:t>[MRD]</w:t>
      </w:r>
      <w:r w:rsidRPr="00A13930">
        <w:rPr>
          <w:rFonts w:cs="Calibri"/>
          <w:color w:val="000000"/>
          <w:szCs w:val="26"/>
        </w:rPr>
        <w:t>, which will include solar and wind profiles to determine if an LSE passes the 24-hour RA requirement in each month</w:t>
      </w:r>
      <w:r>
        <w:rPr>
          <w:rFonts w:cs="Calibri"/>
          <w:color w:val="000000"/>
          <w:szCs w:val="26"/>
        </w:rPr>
        <w:t>.</w:t>
      </w:r>
    </w:p>
    <w:p w:rsidRPr="00A13930" w:rsidR="00132248" w:rsidP="00F94FFF" w:rsidRDefault="00132248" w14:paraId="7E8AA4DD" w14:textId="611CF991">
      <w:pPr>
        <w:pStyle w:val="ListParagraph"/>
        <w:numPr>
          <w:ilvl w:val="0"/>
          <w:numId w:val="23"/>
        </w:numPr>
        <w:autoSpaceDE w:val="0"/>
        <w:autoSpaceDN w:val="0"/>
        <w:adjustRightInd w:val="0"/>
        <w:spacing w:after="120" w:line="240" w:lineRule="auto"/>
        <w:ind w:left="1080" w:right="1440"/>
        <w:contextualSpacing w:val="0"/>
        <w:rPr>
          <w:rFonts w:cs="Calibri"/>
          <w:color w:val="000000"/>
          <w:szCs w:val="26"/>
        </w:rPr>
      </w:pPr>
      <w:r w:rsidRPr="00A13930">
        <w:rPr>
          <w:rFonts w:cs="Calibri"/>
          <w:color w:val="000000"/>
          <w:szCs w:val="26"/>
        </w:rPr>
        <w:t>The tool contains basic logic to ensure the showing is consistent with the capabilities of the resources submitted, that sufficient capacity has been brought to meet the LSE’s requirement in all 24</w:t>
      </w:r>
      <w:r w:rsidR="00F94FFF">
        <w:rPr>
          <w:rFonts w:cs="Calibri"/>
          <w:color w:val="000000"/>
          <w:szCs w:val="26"/>
        </w:rPr>
        <w:t> </w:t>
      </w:r>
      <w:r w:rsidRPr="00A13930">
        <w:rPr>
          <w:rFonts w:cs="Calibri"/>
          <w:color w:val="000000"/>
          <w:szCs w:val="26"/>
        </w:rPr>
        <w:t>hours, and that sufficient excess capacity has been shown to meet the capacity requirements for storage</w:t>
      </w:r>
      <w:r>
        <w:rPr>
          <w:rFonts w:cs="Calibri"/>
          <w:color w:val="000000"/>
          <w:szCs w:val="26"/>
        </w:rPr>
        <w:t>.</w:t>
      </w:r>
    </w:p>
    <w:p w:rsidRPr="00A13930" w:rsidR="00132248" w:rsidP="00F94FFF" w:rsidRDefault="00132248" w14:paraId="677F3D7E" w14:textId="04B84D8F">
      <w:pPr>
        <w:pStyle w:val="ListParagraph"/>
        <w:numPr>
          <w:ilvl w:val="0"/>
          <w:numId w:val="23"/>
        </w:numPr>
        <w:autoSpaceDE w:val="0"/>
        <w:autoSpaceDN w:val="0"/>
        <w:adjustRightInd w:val="0"/>
        <w:spacing w:after="120" w:line="240" w:lineRule="auto"/>
        <w:ind w:left="1080" w:right="1440"/>
        <w:contextualSpacing w:val="0"/>
        <w:rPr>
          <w:rFonts w:cs="Calibri"/>
          <w:color w:val="000000"/>
          <w:szCs w:val="26"/>
        </w:rPr>
      </w:pPr>
      <w:r w:rsidRPr="00A13930">
        <w:rPr>
          <w:rFonts w:cs="Calibri"/>
          <w:color w:val="000000"/>
          <w:szCs w:val="26"/>
        </w:rPr>
        <w:t>LSEs must pass all 24</w:t>
      </w:r>
      <w:r w:rsidR="00F94FFF">
        <w:rPr>
          <w:rFonts w:cs="Calibri"/>
          <w:color w:val="000000"/>
          <w:szCs w:val="26"/>
        </w:rPr>
        <w:t> </w:t>
      </w:r>
      <w:r w:rsidRPr="00A13930">
        <w:rPr>
          <w:rFonts w:cs="Calibri"/>
          <w:color w:val="000000"/>
          <w:szCs w:val="26"/>
        </w:rPr>
        <w:t>hours, all logic tests, and the excess capacity requirement to pass the showing</w:t>
      </w:r>
      <w:r>
        <w:rPr>
          <w:rFonts w:cs="Calibri"/>
          <w:color w:val="000000"/>
          <w:szCs w:val="26"/>
        </w:rPr>
        <w:t>.</w:t>
      </w:r>
    </w:p>
    <w:p w:rsidRPr="00A13930" w:rsidR="00132248" w:rsidP="00F94FFF" w:rsidRDefault="00132248" w14:paraId="66F78C2C" w14:textId="3EDCE5F2">
      <w:pPr>
        <w:pStyle w:val="ListParagraph"/>
        <w:numPr>
          <w:ilvl w:val="0"/>
          <w:numId w:val="23"/>
        </w:numPr>
        <w:autoSpaceDE w:val="0"/>
        <w:autoSpaceDN w:val="0"/>
        <w:adjustRightInd w:val="0"/>
        <w:spacing w:after="120" w:line="240" w:lineRule="auto"/>
        <w:ind w:left="1080" w:right="1440"/>
        <w:contextualSpacing w:val="0"/>
        <w:rPr>
          <w:rFonts w:cs="Calibri"/>
          <w:color w:val="000000"/>
          <w:szCs w:val="26"/>
        </w:rPr>
      </w:pPr>
      <w:r w:rsidRPr="00A13930">
        <w:rPr>
          <w:rFonts w:cs="Calibri"/>
          <w:color w:val="000000"/>
          <w:szCs w:val="26"/>
        </w:rPr>
        <w:t>The tool notes any hour(s) of failure along with the maximum capacity shortfall within the 24</w:t>
      </w:r>
      <w:r w:rsidR="00F94FFF">
        <w:rPr>
          <w:rFonts w:cs="Calibri"/>
          <w:color w:val="000000"/>
          <w:szCs w:val="26"/>
        </w:rPr>
        <w:t> </w:t>
      </w:r>
      <w:r w:rsidRPr="00A13930">
        <w:rPr>
          <w:rFonts w:cs="Calibri"/>
          <w:color w:val="000000"/>
          <w:szCs w:val="26"/>
        </w:rPr>
        <w:t>hours</w:t>
      </w:r>
      <w:r>
        <w:rPr>
          <w:rFonts w:cs="Calibri"/>
          <w:color w:val="000000"/>
          <w:szCs w:val="26"/>
        </w:rPr>
        <w:t>.</w:t>
      </w:r>
    </w:p>
    <w:p w:rsidR="00132248" w:rsidP="00132248" w:rsidRDefault="00132248" w14:paraId="64F1AFD8" w14:textId="44E3F712">
      <w:pPr>
        <w:pStyle w:val="Standard"/>
      </w:pPr>
      <w:r>
        <w:t>SCE proposes an LSE Showing Tool that includes the above components as directed in D.22</w:t>
      </w:r>
      <w:r w:rsidR="00F94FFF">
        <w:noBreakHyphen/>
      </w:r>
      <w:r>
        <w:t>06</w:t>
      </w:r>
      <w:r w:rsidR="00F94FFF">
        <w:noBreakHyphen/>
      </w:r>
      <w:r>
        <w:t>050.</w:t>
      </w:r>
      <w:r>
        <w:rPr>
          <w:rStyle w:val="FootnoteReference"/>
        </w:rPr>
        <w:footnoteReference w:id="19"/>
      </w:r>
      <w:r>
        <w:t xml:space="preserve">  The tool lists resources in an LSE’s portfolio, including resource ID, MW quantity associated with the must</w:t>
      </w:r>
      <w:r w:rsidR="00F94FFF">
        <w:noBreakHyphen/>
      </w:r>
      <w:r>
        <w:t>offer obligation (MOO) requirement, and capacity used in each of the 24</w:t>
      </w:r>
      <w:r w:rsidR="00F94FFF">
        <w:t> </w:t>
      </w:r>
      <w:r>
        <w:t xml:space="preserve">hours.  The Showing Tool uses a pass/fail logic identical to the Commission Verification Tool so LSEs know in advance if they will pass verification.  The tool also includes internal tests to assist in the Commission verification process.  The tool may be used to provide CAISO with information to determine the MOO requirements of all resources and correct RA capacity values when performing the single-hour deficiency test.  </w:t>
      </w:r>
    </w:p>
    <w:p w:rsidR="00132248" w:rsidP="00132248" w:rsidRDefault="00132248" w14:paraId="26F3EB01" w14:textId="25EFDEB8">
      <w:pPr>
        <w:pStyle w:val="Standard"/>
      </w:pPr>
      <w:r>
        <w:lastRenderedPageBreak/>
        <w:t xml:space="preserve">Clean Power Alliance (CPA) proposes another LSE Showing Tool, </w:t>
      </w:r>
      <w:proofErr w:type="gramStart"/>
      <w:r>
        <w:t>similar to</w:t>
      </w:r>
      <w:proofErr w:type="gramEnd"/>
      <w:r>
        <w:t xml:space="preserve"> SCE’s tool, that alters two primary functions.</w:t>
      </w:r>
      <w:r>
        <w:rPr>
          <w:rStyle w:val="FootnoteReference"/>
        </w:rPr>
        <w:footnoteReference w:id="20"/>
      </w:r>
      <w:r>
        <w:t xml:space="preserve">  First, CPA incorporates a temporal cha</w:t>
      </w:r>
      <w:r w:rsidR="0022306E">
        <w:t>r</w:t>
      </w:r>
      <w:r>
        <w:t xml:space="preserve">ging and </w:t>
      </w:r>
      <w:proofErr w:type="spellStart"/>
      <w:r>
        <w:t>Pmin</w:t>
      </w:r>
      <w:proofErr w:type="spellEnd"/>
      <w:r>
        <w:t xml:space="preserve"> component to ensure an LSE’s excess energy needed to charge any storage matches the actual charging parameters.  Second, CPA proposes a change to impact single-cycle storage that aims to reduce the burden on LSE’s need to manually manipulate hourly capacity values to determine compliance.  This is achieved by determining an LSE’s energy sufficiency to charge </w:t>
      </w:r>
      <w:proofErr w:type="gramStart"/>
      <w:r>
        <w:t>all of</w:t>
      </w:r>
      <w:proofErr w:type="gramEnd"/>
      <w:r>
        <w:t xml:space="preserve"> an LSE’s shown single</w:t>
      </w:r>
      <w:r w:rsidR="00F94FFF">
        <w:noBreakHyphen/>
      </w:r>
      <w:r>
        <w:t>cycle energy resources in the aggregate across all hourly short positions.</w:t>
      </w:r>
    </w:p>
    <w:p w:rsidR="00EA36C6" w:rsidP="00132248" w:rsidRDefault="00132248" w14:paraId="05EC73CF" w14:textId="0A3B12A5">
      <w:pPr>
        <w:pStyle w:val="Heading3"/>
      </w:pPr>
      <w:bookmarkStart w:name="_Toc131762380" w:id="19"/>
      <w:r>
        <w:t>Discussion</w:t>
      </w:r>
      <w:bookmarkEnd w:id="19"/>
    </w:p>
    <w:p w:rsidR="00132248" w:rsidP="00132248" w:rsidRDefault="00132248" w14:paraId="1A352289" w14:textId="337D3CEC">
      <w:pPr>
        <w:pStyle w:val="Standard"/>
      </w:pPr>
      <w:r>
        <w:t>The Commission determines that SCE’s LSE Showing Tool is an appropriate tool for LSEs to use to submit their monthly, 24</w:t>
      </w:r>
      <w:r w:rsidR="00F94FFF">
        <w:noBreakHyphen/>
      </w:r>
      <w:r>
        <w:t>hour showings to the Commission, and the tool satisfies the direction outlined in D.22</w:t>
      </w:r>
      <w:r w:rsidR="00F94FFF">
        <w:noBreakHyphen/>
      </w:r>
      <w:r>
        <w:t>06</w:t>
      </w:r>
      <w:r w:rsidR="00F94FFF">
        <w:noBreakHyphen/>
      </w:r>
      <w:r>
        <w:t xml:space="preserve">050.  We find, however, that CPA’s proposal to determine an LSE’s energy sufficiency to charge all shown energy resources in the aggregate is a useful approach that would simplify the showing process for LSE’s storage resources.  As CPA’s proposed logic has not been fully </w:t>
      </w:r>
      <w:r w:rsidR="0022306E">
        <w:t>developed</w:t>
      </w:r>
      <w:r>
        <w:t xml:space="preserve">, we find it reasonable to adopt SCE’s LSE Showing Tool approach with the modification that CPA’s energy sufficiency charge mechanism should be incorporated into SCE’s tool.  </w:t>
      </w:r>
      <w:r w:rsidR="0022306E">
        <w:t xml:space="preserve">Accordingly, SCE’s LSE Showing Tool approach is adopted.  </w:t>
      </w:r>
      <w:r>
        <w:t>We authorize Energy</w:t>
      </w:r>
      <w:r w:rsidR="00F94FFF">
        <w:t> </w:t>
      </w:r>
      <w:r>
        <w:t>Division to implement CPA’s energy storage sufficiency logic into SCE’s LSE Showing Tool</w:t>
      </w:r>
      <w:r w:rsidR="00BE529D">
        <w:t xml:space="preserve"> </w:t>
      </w:r>
      <w:r w:rsidRPr="00935723" w:rsidR="00BE529D">
        <w:t>approach</w:t>
      </w:r>
      <w:r>
        <w:t>, to the extent possible.  Energy</w:t>
      </w:r>
      <w:r w:rsidR="00F94FFF">
        <w:t> </w:t>
      </w:r>
      <w:r>
        <w:t xml:space="preserve">Division is directed to publish a draft LSE Showing Tool </w:t>
      </w:r>
      <w:r w:rsidR="0022306E">
        <w:t xml:space="preserve">on </w:t>
      </w:r>
      <w:r>
        <w:t>the Commission’s website and solicit informal party comments.</w:t>
      </w:r>
    </w:p>
    <w:p w:rsidR="00132248" w:rsidP="00132248" w:rsidRDefault="00132248" w14:paraId="544CCBC1" w14:textId="3AE6DDE4">
      <w:pPr>
        <w:pStyle w:val="Heading2"/>
      </w:pPr>
      <w:bookmarkStart w:name="_Toc131762381" w:id="20"/>
      <w:r w:rsidRPr="00132248">
        <w:lastRenderedPageBreak/>
        <w:t>LSE Requirement Database</w:t>
      </w:r>
      <w:bookmarkEnd w:id="20"/>
    </w:p>
    <w:p w:rsidR="00132248" w:rsidP="00132248" w:rsidRDefault="00132248" w14:paraId="7FE64AD7" w14:textId="47C2FA4B">
      <w:pPr>
        <w:pStyle w:val="Standard"/>
      </w:pPr>
      <w:r>
        <w:t>In D.22</w:t>
      </w:r>
      <w:r w:rsidR="00F94FFF">
        <w:noBreakHyphen/>
      </w:r>
      <w:r>
        <w:t>06</w:t>
      </w:r>
      <w:r w:rsidR="00F94FFF">
        <w:noBreakHyphen/>
      </w:r>
      <w:r>
        <w:t>050, the Commission stated that the LSE Requirement Database was to be coordinated with the CEC and that the database “will utilize outputs generated by the CEC’s load forecast proposal, including a dry run filing that may inform any necessary changes.”</w:t>
      </w:r>
      <w:r>
        <w:rPr>
          <w:rStyle w:val="FootnoteReference"/>
        </w:rPr>
        <w:footnoteReference w:id="21"/>
      </w:r>
      <w:r>
        <w:t xml:space="preserve">  The Commission determined that </w:t>
      </w:r>
      <w:r w:rsidRPr="007C5AEE">
        <w:t xml:space="preserve">a </w:t>
      </w:r>
      <w:r>
        <w:t>dry run load forecast in 2022 for 2023</w:t>
      </w:r>
      <w:r w:rsidRPr="007C5AEE">
        <w:t xml:space="preserve"> </w:t>
      </w:r>
      <w:r>
        <w:t>was</w:t>
      </w:r>
      <w:r w:rsidRPr="007C5AEE">
        <w:t xml:space="preserve"> necessary and request</w:t>
      </w:r>
      <w:r>
        <w:t xml:space="preserve">ed </w:t>
      </w:r>
      <w:r w:rsidR="0022306E">
        <w:t xml:space="preserve">that </w:t>
      </w:r>
      <w:r w:rsidRPr="007C5AEE">
        <w:t>Energy</w:t>
      </w:r>
      <w:r w:rsidR="00F94FFF">
        <w:t> </w:t>
      </w:r>
      <w:r w:rsidRPr="007C5AEE">
        <w:t xml:space="preserve">Division conduct a </w:t>
      </w:r>
      <w:r>
        <w:t>dry run load</w:t>
      </w:r>
      <w:r w:rsidRPr="007C5AEE">
        <w:t xml:space="preserve"> forecast filing, in coordination with the CEC, to </w:t>
      </w:r>
      <w:r>
        <w:t xml:space="preserve">identify challenges and </w:t>
      </w:r>
      <w:r w:rsidRPr="007C5AEE">
        <w:t>determine if refinements are needed.</w:t>
      </w:r>
      <w:r>
        <w:rPr>
          <w:rStyle w:val="FootnoteReference"/>
        </w:rPr>
        <w:footnoteReference w:id="22"/>
      </w:r>
    </w:p>
    <w:p w:rsidRPr="001E56A7" w:rsidR="00132248" w:rsidP="00F94FFF" w:rsidRDefault="00132248" w14:paraId="40D21224" w14:textId="77777777">
      <w:pPr>
        <w:autoSpaceDE w:val="0"/>
        <w:autoSpaceDN w:val="0"/>
        <w:adjustRightInd w:val="0"/>
        <w:rPr>
          <w:rFonts w:cs="Calibri"/>
          <w:color w:val="000000"/>
          <w:szCs w:val="26"/>
        </w:rPr>
      </w:pPr>
      <w:r>
        <w:rPr>
          <w:rFonts w:cs="Calibri"/>
          <w:color w:val="000000"/>
          <w:szCs w:val="26"/>
        </w:rPr>
        <w:t>The Commission described the LSE Requirement Database as:</w:t>
      </w:r>
      <w:r>
        <w:rPr>
          <w:rStyle w:val="FootnoteReference"/>
          <w:rFonts w:cs="Calibri"/>
          <w:color w:val="000000"/>
          <w:szCs w:val="26"/>
        </w:rPr>
        <w:footnoteReference w:id="23"/>
      </w:r>
    </w:p>
    <w:p w:rsidRPr="00397ED7" w:rsidR="00132248" w:rsidP="00F94FFF" w:rsidRDefault="00132248" w14:paraId="560EC89E" w14:textId="77777777">
      <w:pPr>
        <w:pStyle w:val="ListParagraph"/>
        <w:numPr>
          <w:ilvl w:val="0"/>
          <w:numId w:val="23"/>
        </w:numPr>
        <w:autoSpaceDE w:val="0"/>
        <w:autoSpaceDN w:val="0"/>
        <w:adjustRightInd w:val="0"/>
        <w:spacing w:after="120" w:line="240" w:lineRule="auto"/>
        <w:ind w:left="1080" w:right="1440"/>
        <w:contextualSpacing w:val="0"/>
        <w:rPr>
          <w:rFonts w:cs="Calibri"/>
          <w:color w:val="000000"/>
          <w:szCs w:val="26"/>
        </w:rPr>
      </w:pPr>
      <w:r w:rsidRPr="00397ED7">
        <w:rPr>
          <w:rFonts w:cs="Calibri-Light"/>
          <w:szCs w:val="26"/>
        </w:rPr>
        <w:t>This will populate the LSE allocation tab used in the LSE compliance showing</w:t>
      </w:r>
      <w:r>
        <w:rPr>
          <w:rFonts w:cs="Calibri-Light"/>
          <w:szCs w:val="26"/>
        </w:rPr>
        <w:t>.</w:t>
      </w:r>
    </w:p>
    <w:p w:rsidRPr="00397ED7" w:rsidR="00132248" w:rsidP="00CB558B" w:rsidRDefault="00132248" w14:paraId="170124D3" w14:textId="1136D339">
      <w:pPr>
        <w:pStyle w:val="ListParagraph"/>
        <w:numPr>
          <w:ilvl w:val="0"/>
          <w:numId w:val="23"/>
        </w:numPr>
        <w:autoSpaceDE w:val="0"/>
        <w:autoSpaceDN w:val="0"/>
        <w:adjustRightInd w:val="0"/>
        <w:spacing w:after="120" w:line="240" w:lineRule="auto"/>
        <w:ind w:left="1080" w:right="1440"/>
        <w:contextualSpacing w:val="0"/>
        <w:rPr>
          <w:rFonts w:cs="Calibri"/>
          <w:color w:val="000000"/>
          <w:szCs w:val="26"/>
        </w:rPr>
      </w:pPr>
      <w:r w:rsidRPr="00397ED7">
        <w:rPr>
          <w:rFonts w:cs="Calibri"/>
          <w:color w:val="000000"/>
          <w:szCs w:val="26"/>
        </w:rPr>
        <w:t>Contains the official requirements of each LSE (hourly load + PRM), by month, for all 24</w:t>
      </w:r>
      <w:r w:rsidR="00F94FFF">
        <w:rPr>
          <w:rFonts w:cs="Calibri"/>
          <w:color w:val="000000"/>
          <w:szCs w:val="26"/>
        </w:rPr>
        <w:t> </w:t>
      </w:r>
      <w:r w:rsidRPr="00397ED7">
        <w:rPr>
          <w:rFonts w:cs="Calibri"/>
          <w:color w:val="000000"/>
          <w:szCs w:val="26"/>
        </w:rPr>
        <w:t>hours</w:t>
      </w:r>
      <w:r>
        <w:rPr>
          <w:rFonts w:cs="Calibri"/>
          <w:color w:val="000000"/>
          <w:szCs w:val="26"/>
        </w:rPr>
        <w:t>.</w:t>
      </w:r>
    </w:p>
    <w:p w:rsidRPr="00397ED7" w:rsidR="00132248" w:rsidP="00F94FFF" w:rsidRDefault="00132248" w14:paraId="55998614" w14:textId="797F45FF">
      <w:pPr>
        <w:pStyle w:val="ListParagraph"/>
        <w:numPr>
          <w:ilvl w:val="0"/>
          <w:numId w:val="23"/>
        </w:numPr>
        <w:autoSpaceDE w:val="0"/>
        <w:autoSpaceDN w:val="0"/>
        <w:adjustRightInd w:val="0"/>
        <w:spacing w:after="120" w:line="240" w:lineRule="auto"/>
        <w:ind w:left="1080" w:right="1440"/>
        <w:contextualSpacing w:val="0"/>
        <w:rPr>
          <w:rFonts w:cs="Calibri"/>
          <w:color w:val="000000"/>
          <w:szCs w:val="26"/>
        </w:rPr>
      </w:pPr>
      <w:r w:rsidRPr="00397ED7">
        <w:rPr>
          <w:rFonts w:cs="Calibri"/>
          <w:color w:val="000000"/>
          <w:szCs w:val="26"/>
        </w:rPr>
        <w:t>Is used by each LSE to determine its monthly 24</w:t>
      </w:r>
      <w:r w:rsidR="00CB558B">
        <w:rPr>
          <w:rFonts w:cs="Calibri"/>
          <w:color w:val="000000"/>
          <w:szCs w:val="26"/>
        </w:rPr>
        <w:noBreakHyphen/>
      </w:r>
      <w:r w:rsidRPr="00397ED7">
        <w:rPr>
          <w:rFonts w:cs="Calibri"/>
          <w:color w:val="000000"/>
          <w:szCs w:val="26"/>
        </w:rPr>
        <w:t>hour showing requirement</w:t>
      </w:r>
      <w:r>
        <w:rPr>
          <w:rFonts w:cs="Calibri"/>
          <w:color w:val="000000"/>
          <w:szCs w:val="26"/>
        </w:rPr>
        <w:t>.</w:t>
      </w:r>
    </w:p>
    <w:p w:rsidRPr="00397ED7" w:rsidR="00132248" w:rsidP="00F94FFF" w:rsidRDefault="00132248" w14:paraId="50479694" w14:textId="6E3C42BE">
      <w:pPr>
        <w:pStyle w:val="ListParagraph"/>
        <w:numPr>
          <w:ilvl w:val="0"/>
          <w:numId w:val="23"/>
        </w:numPr>
        <w:autoSpaceDE w:val="0"/>
        <w:autoSpaceDN w:val="0"/>
        <w:adjustRightInd w:val="0"/>
        <w:spacing w:after="120" w:line="240" w:lineRule="auto"/>
        <w:ind w:left="1080" w:right="1440"/>
        <w:contextualSpacing w:val="0"/>
        <w:rPr>
          <w:rFonts w:cs="Calibri"/>
          <w:color w:val="000000"/>
          <w:szCs w:val="26"/>
        </w:rPr>
      </w:pPr>
      <w:r w:rsidRPr="00397ED7">
        <w:rPr>
          <w:rFonts w:cs="Calibri"/>
          <w:color w:val="000000"/>
          <w:szCs w:val="26"/>
        </w:rPr>
        <w:t>Is used by the Commission to ensure each LSE meets its monthly 24</w:t>
      </w:r>
      <w:r w:rsidR="00CB558B">
        <w:rPr>
          <w:rFonts w:cs="Calibri"/>
          <w:color w:val="000000"/>
          <w:szCs w:val="26"/>
        </w:rPr>
        <w:noBreakHyphen/>
      </w:r>
      <w:r w:rsidRPr="00397ED7">
        <w:rPr>
          <w:rFonts w:cs="Calibri"/>
          <w:color w:val="000000"/>
          <w:szCs w:val="26"/>
        </w:rPr>
        <w:t>hour showing requirement</w:t>
      </w:r>
      <w:r>
        <w:rPr>
          <w:rFonts w:cs="Calibri"/>
          <w:color w:val="000000"/>
          <w:szCs w:val="26"/>
        </w:rPr>
        <w:t>.</w:t>
      </w:r>
    </w:p>
    <w:p w:rsidRPr="00397ED7" w:rsidR="00132248" w:rsidP="00F94FFF" w:rsidRDefault="00132248" w14:paraId="741FB0E5" w14:textId="77777777">
      <w:pPr>
        <w:pStyle w:val="ListParagraph"/>
        <w:numPr>
          <w:ilvl w:val="0"/>
          <w:numId w:val="23"/>
        </w:numPr>
        <w:autoSpaceDE w:val="0"/>
        <w:autoSpaceDN w:val="0"/>
        <w:adjustRightInd w:val="0"/>
        <w:spacing w:after="120" w:line="240" w:lineRule="auto"/>
        <w:ind w:left="1080" w:right="1440"/>
        <w:contextualSpacing w:val="0"/>
        <w:rPr>
          <w:rFonts w:cs="Calibri"/>
          <w:color w:val="000000"/>
          <w:szCs w:val="26"/>
        </w:rPr>
      </w:pPr>
      <w:r w:rsidRPr="00397ED7">
        <w:rPr>
          <w:rFonts w:cs="Calibri"/>
          <w:color w:val="000000"/>
          <w:szCs w:val="26"/>
        </w:rPr>
        <w:t>Is developed by the Commission in communication with the CEC after the CEC finalizes the monthly, 24-hour load shape for each LSE</w:t>
      </w:r>
      <w:r>
        <w:rPr>
          <w:rFonts w:cs="Calibri"/>
          <w:color w:val="000000"/>
          <w:szCs w:val="26"/>
        </w:rPr>
        <w:t>.</w:t>
      </w:r>
    </w:p>
    <w:p w:rsidRPr="008205A9" w:rsidR="00132248" w:rsidP="00F94FFF" w:rsidRDefault="00132248" w14:paraId="6071B07A" w14:textId="77777777">
      <w:pPr>
        <w:pStyle w:val="ListParagraph"/>
        <w:numPr>
          <w:ilvl w:val="0"/>
          <w:numId w:val="23"/>
        </w:numPr>
        <w:autoSpaceDE w:val="0"/>
        <w:autoSpaceDN w:val="0"/>
        <w:adjustRightInd w:val="0"/>
        <w:spacing w:after="120" w:line="240" w:lineRule="auto"/>
        <w:ind w:left="1080" w:right="1440"/>
        <w:contextualSpacing w:val="0"/>
        <w:rPr>
          <w:rFonts w:cs="Calibri"/>
          <w:color w:val="000000"/>
          <w:szCs w:val="26"/>
        </w:rPr>
      </w:pPr>
      <w:r w:rsidRPr="00397ED7">
        <w:rPr>
          <w:rFonts w:cs="Calibri"/>
          <w:color w:val="000000"/>
          <w:szCs w:val="26"/>
        </w:rPr>
        <w:t>Database is non-public.  Each LSE has access to only its requirements; the Commission has access to all data</w:t>
      </w:r>
      <w:r>
        <w:rPr>
          <w:rFonts w:cs="Calibri"/>
          <w:color w:val="000000"/>
          <w:szCs w:val="26"/>
        </w:rPr>
        <w:t>.</w:t>
      </w:r>
    </w:p>
    <w:p w:rsidR="00132248" w:rsidP="00132248" w:rsidRDefault="00132248" w14:paraId="048C105D" w14:textId="2ED200F3">
      <w:r>
        <w:t>The CEC undertook a dry run forecast process in August</w:t>
      </w:r>
      <w:r w:rsidR="00CB558B">
        <w:t> </w:t>
      </w:r>
      <w:r>
        <w:t>2022 and directed LSEs to provide a load forecast for 24 hours per month for the day of their non-coincident peak.</w:t>
      </w:r>
      <w:r>
        <w:rPr>
          <w:rStyle w:val="FootnoteReference"/>
        </w:rPr>
        <w:footnoteReference w:id="24"/>
      </w:r>
      <w:r>
        <w:t xml:space="preserve">  Following the dry run, CEC proposes an approach </w:t>
      </w:r>
      <w:r>
        <w:lastRenderedPageBreak/>
        <w:t>for adapting the current load forecasting process, which allocates a share of the total load forecast to each LSE, to the 24</w:t>
      </w:r>
      <w:r w:rsidR="00CB558B">
        <w:noBreakHyphen/>
      </w:r>
      <w:r>
        <w:t>hour SOD framework using submitted forecasts.</w:t>
      </w:r>
      <w:r>
        <w:rPr>
          <w:rStyle w:val="FootnoteReference"/>
        </w:rPr>
        <w:footnoteReference w:id="25"/>
      </w:r>
      <w:r>
        <w:t xml:space="preserve">  The first step is to develop a reference forecast for each transmission access charge (TAC) area by removing historical load shapes for non</w:t>
      </w:r>
      <w:r w:rsidR="00CB558B">
        <w:noBreakHyphen/>
      </w:r>
      <w:r>
        <w:t xml:space="preserve">Commission jurisdictional entities and removing automatic transmission load adjustment, </w:t>
      </w:r>
      <w:r w:rsidR="0022306E">
        <w:t xml:space="preserve">because </w:t>
      </w:r>
      <w:r>
        <w:t>transmission losses may only apply to peak hours.  The CEC then proposes to apply an hour- and LSE</w:t>
      </w:r>
      <w:r w:rsidR="00CB558B">
        <w:noBreakHyphen/>
      </w:r>
      <w:r>
        <w:t>specific coincidence adjustment to LSE forecasts comparable to the current approach but focused on system peak hours.  LSE forecasts may also be adjusted based on a comparison of LSE forecasts to a benchmark based on recorded loads, load migration activity, LSE forecast submittals, and weather</w:t>
      </w:r>
      <w:r w:rsidR="00CB558B">
        <w:noBreakHyphen/>
      </w:r>
      <w:r>
        <w:t>adjusted loads.  The final step in the forecast determination process is to adjust all forecasts so that the sum is within 1</w:t>
      </w:r>
      <w:r w:rsidR="000B4782">
        <w:t>%</w:t>
      </w:r>
      <w:r w:rsidR="00CB558B">
        <w:t> </w:t>
      </w:r>
      <w:r>
        <w:t xml:space="preserve">of the reference forecast. </w:t>
      </w:r>
    </w:p>
    <w:p w:rsidR="00132248" w:rsidP="00132248" w:rsidRDefault="00132248" w14:paraId="0C5C83AC" w14:textId="0FF9CEC8">
      <w:r>
        <w:t>The Commission finds that the CEC’s outlined process for adapting the current load forecasting process to the 24</w:t>
      </w:r>
      <w:r w:rsidR="00CB558B">
        <w:noBreakHyphen/>
      </w:r>
      <w:r>
        <w:t>hour slice framework is reasonable.  Modifications to the process may be addressed in a future phase of this proceeding.  To the extent that the forecast process for the test year requires further refinement, the CEC should raise those issues with the Commission as soon as practicable.</w:t>
      </w:r>
    </w:p>
    <w:p w:rsidR="00132248" w:rsidP="00132248" w:rsidRDefault="00132248" w14:paraId="2D5F1F10" w14:textId="3B11CDA7">
      <w:pPr>
        <w:pStyle w:val="Heading2"/>
      </w:pPr>
      <w:bookmarkStart w:name="_Toc131762382" w:id="21"/>
      <w:r w:rsidRPr="00132248">
        <w:t>Cost Allocation Mechanism and RA Allocation</w:t>
      </w:r>
      <w:bookmarkEnd w:id="21"/>
    </w:p>
    <w:p w:rsidR="00132248" w:rsidP="00132248" w:rsidRDefault="00132248" w14:paraId="303518E8" w14:textId="68656206">
      <w:pPr>
        <w:pStyle w:val="Standard"/>
      </w:pPr>
      <w:r>
        <w:t>In D.22</w:t>
      </w:r>
      <w:r w:rsidR="00CB558B">
        <w:noBreakHyphen/>
      </w:r>
      <w:r>
        <w:t>06</w:t>
      </w:r>
      <w:r w:rsidR="00CB558B">
        <w:noBreakHyphen/>
      </w:r>
      <w:r>
        <w:t xml:space="preserve">050, the Commission directed parties to consider the CAM process and RA allocation as applied to the SOD framework and address </w:t>
      </w:r>
      <w:r>
        <w:lastRenderedPageBreak/>
        <w:t>availability and capability of CAM-eligible resources and LSEs’ load share during those slices.</w:t>
      </w:r>
      <w:r>
        <w:rPr>
          <w:rStyle w:val="FootnoteReference"/>
        </w:rPr>
        <w:footnoteReference w:id="26"/>
      </w:r>
    </w:p>
    <w:p w:rsidR="00132248" w:rsidP="00132248" w:rsidRDefault="00132248" w14:paraId="000936A8" w14:textId="2FA3EABF">
      <w:pPr>
        <w:pStyle w:val="Standard"/>
      </w:pPr>
      <w:r>
        <w:t>Energy</w:t>
      </w:r>
      <w:r w:rsidR="00CB558B">
        <w:t> </w:t>
      </w:r>
      <w:r>
        <w:t>Division proposes to use monthly peak load ratio for CAM, Reliability Must Run (RMR), and DR allocations for all 24</w:t>
      </w:r>
      <w:r w:rsidR="00CB558B">
        <w:t> </w:t>
      </w:r>
      <w:r>
        <w:t>slices, to be consistent with how CAM costs are recovered from customers.</w:t>
      </w:r>
      <w:r>
        <w:rPr>
          <w:rStyle w:val="FootnoteReference"/>
        </w:rPr>
        <w:footnoteReference w:id="27"/>
      </w:r>
      <w:r>
        <w:t xml:space="preserve">  The CAM portfolio can be allocated to LSEs by slice, or by resource or aggregate resource level.  If allocated by slice, CAM allocations could vary hourly, which would require hard coding MW values for each hour.  Energy</w:t>
      </w:r>
      <w:r w:rsidR="00CB558B">
        <w:t> </w:t>
      </w:r>
      <w:r>
        <w:t xml:space="preserve">Division notes that while this is administratively simpler and would match credits to debits evenly in all slices, it would also result in LSEs not being able to show their share of the resource differently across hours.  </w:t>
      </w:r>
    </w:p>
    <w:p w:rsidR="00132248" w:rsidP="00132248" w:rsidRDefault="00132248" w14:paraId="7C826B3F" w14:textId="0DD78E01">
      <w:pPr>
        <w:pStyle w:val="Standard"/>
      </w:pPr>
      <w:r>
        <w:t>Energy</w:t>
      </w:r>
      <w:r w:rsidR="00CB558B">
        <w:t> </w:t>
      </w:r>
      <w:r>
        <w:t xml:space="preserve">Division recommends that CAM allocations be provided at a resource or aggregated resource </w:t>
      </w:r>
      <w:r w:rsidR="00CB558B">
        <w:t>level,</w:t>
      </w:r>
      <w:r>
        <w:t xml:space="preserve"> so LSEs have flexibility to use the allocations to fill individual hourly needs.  Energy</w:t>
      </w:r>
      <w:r w:rsidR="00CB558B">
        <w:t> </w:t>
      </w:r>
      <w:r>
        <w:t>Division notes that further evaluation is needed on how much complexity this would add to the validation and compliance tools, as well as potential credit and debit mismatch to facilitate CAM allocation by resource.</w:t>
      </w:r>
    </w:p>
    <w:p w:rsidR="00132248" w:rsidP="00132248" w:rsidRDefault="00132248" w14:paraId="32595423" w14:textId="234CFE49">
      <w:pPr>
        <w:pStyle w:val="Standard"/>
      </w:pPr>
      <w:r>
        <w:t>Energy</w:t>
      </w:r>
      <w:r w:rsidR="00CB558B">
        <w:t> </w:t>
      </w:r>
      <w:r>
        <w:t>Division notes that under the current CAM mechanism, investor</w:t>
      </w:r>
      <w:r w:rsidR="00CB558B">
        <w:noBreakHyphen/>
      </w:r>
      <w:r>
        <w:t xml:space="preserve">owned utilities (IOUs) would receive an energy sufficiency requirement associated with the entire CAM </w:t>
      </w:r>
      <w:r w:rsidR="0022306E">
        <w:t xml:space="preserve">storage </w:t>
      </w:r>
      <w:r>
        <w:t xml:space="preserve">resource, rather than their portion of the CAM </w:t>
      </w:r>
      <w:r w:rsidR="0022306E">
        <w:t xml:space="preserve">storage </w:t>
      </w:r>
      <w:r>
        <w:t>resource.</w:t>
      </w:r>
      <w:r>
        <w:rPr>
          <w:rStyle w:val="FootnoteReference"/>
        </w:rPr>
        <w:footnoteReference w:id="28"/>
      </w:r>
      <w:r>
        <w:t xml:space="preserve">  Energy</w:t>
      </w:r>
      <w:r w:rsidR="00CB558B">
        <w:t> </w:t>
      </w:r>
      <w:r>
        <w:t xml:space="preserve">Division proposes equitable allocation of energy sufficiency requirements associated with CAM storage </w:t>
      </w:r>
      <w:r w:rsidR="007E1A7E">
        <w:t xml:space="preserve">resources </w:t>
      </w:r>
      <w:r>
        <w:t xml:space="preserve">to electric service providers (ESPs) and community choice aggregators (CCAs).  </w:t>
      </w:r>
      <w:proofErr w:type="spellStart"/>
      <w:r>
        <w:lastRenderedPageBreak/>
        <w:t>CalCCA</w:t>
      </w:r>
      <w:proofErr w:type="spellEnd"/>
      <w:r>
        <w:t xml:space="preserve"> is not opposed to CCAs and ESPs showing excess generation to charge CAM storage </w:t>
      </w:r>
      <w:r w:rsidR="00BE529D">
        <w:t xml:space="preserve">resources </w:t>
      </w:r>
      <w:r>
        <w:t>so long as storage CAM amounts are known to the LSE well in advance of their RA showing.</w:t>
      </w:r>
      <w:r>
        <w:rPr>
          <w:rStyle w:val="FootnoteReference"/>
        </w:rPr>
        <w:footnoteReference w:id="29"/>
      </w:r>
      <w:r>
        <w:t xml:space="preserve">  </w:t>
      </w:r>
    </w:p>
    <w:p w:rsidR="00132248" w:rsidP="00132248" w:rsidRDefault="00132248" w14:paraId="27FD9AC2" w14:textId="1871500C">
      <w:pPr>
        <w:pStyle w:val="Standard"/>
      </w:pPr>
      <w:proofErr w:type="spellStart"/>
      <w:r>
        <w:t>AReM</w:t>
      </w:r>
      <w:proofErr w:type="spellEnd"/>
      <w:r>
        <w:t xml:space="preserve"> and </w:t>
      </w:r>
      <w:proofErr w:type="spellStart"/>
      <w:r>
        <w:t>CalCCA</w:t>
      </w:r>
      <w:proofErr w:type="spellEnd"/>
      <w:r>
        <w:t xml:space="preserve"> </w:t>
      </w:r>
      <w:r w:rsidR="0022306E">
        <w:t xml:space="preserve">argue in </w:t>
      </w:r>
      <w:r>
        <w:t xml:space="preserve">favor </w:t>
      </w:r>
      <w:r w:rsidR="0022306E">
        <w:t xml:space="preserve">of </w:t>
      </w:r>
      <w:r>
        <w:t xml:space="preserve">providing CAM allocations at a resource level so LSEs have flexibility to show </w:t>
      </w:r>
      <w:r w:rsidR="0022306E">
        <w:t xml:space="preserve">how </w:t>
      </w:r>
      <w:r>
        <w:t xml:space="preserve">CAM resources </w:t>
      </w:r>
      <w:r w:rsidR="0022306E">
        <w:t>will</w:t>
      </w:r>
      <w:r>
        <w:t xml:space="preserve"> meet hourly requirements.</w:t>
      </w:r>
      <w:r>
        <w:rPr>
          <w:rStyle w:val="FootnoteReference"/>
        </w:rPr>
        <w:footnoteReference w:id="30"/>
      </w:r>
      <w:r>
        <w:t xml:space="preserve">  </w:t>
      </w:r>
      <w:proofErr w:type="spellStart"/>
      <w:r>
        <w:t>CalCCA</w:t>
      </w:r>
      <w:proofErr w:type="spellEnd"/>
      <w:r>
        <w:t xml:space="preserve"> concedes that this would be administratively complex but would ensure that the aggregate of LSEs would not show more than the full capacity of the resource by continuing to allocate to all LSEs their pro</w:t>
      </w:r>
      <w:r w:rsidR="001B058C">
        <w:t xml:space="preserve"> </w:t>
      </w:r>
      <w:r>
        <w:t xml:space="preserve">rata shares of CAM resources.  PG&amp;E </w:t>
      </w:r>
      <w:r w:rsidR="0022306E">
        <w:t xml:space="preserve">states </w:t>
      </w:r>
      <w:r>
        <w:t>that allocation by resource should not be problematic as LSEs would be allocated a percentage of the resource, which can be accommodated in the LSE Showing Tool.</w:t>
      </w:r>
      <w:r>
        <w:rPr>
          <w:rStyle w:val="FootnoteReference"/>
        </w:rPr>
        <w:footnoteReference w:id="31"/>
      </w:r>
      <w:r>
        <w:t xml:space="preserve">  Cal</w:t>
      </w:r>
      <w:r w:rsidR="00CB558B">
        <w:t> </w:t>
      </w:r>
      <w:r>
        <w:t>Advocates supports allocating CAM credits as fixed amounts for each hourly slice in the interim and once operational information is known, consider</w:t>
      </w:r>
      <w:r w:rsidR="0022306E">
        <w:t>ing</w:t>
      </w:r>
      <w:r>
        <w:t xml:space="preserve"> a permanent approach using a fixed slice value or resource allocation.</w:t>
      </w:r>
      <w:r>
        <w:rPr>
          <w:rStyle w:val="FootnoteReference"/>
        </w:rPr>
        <w:footnoteReference w:id="32"/>
      </w:r>
      <w:r>
        <w:t xml:space="preserve">  </w:t>
      </w:r>
    </w:p>
    <w:p w:rsidR="007156B9" w:rsidP="00132248" w:rsidRDefault="00132248" w14:paraId="7DCE8B88" w14:textId="312B8D60">
      <w:pPr>
        <w:pStyle w:val="Heading3"/>
      </w:pPr>
      <w:bookmarkStart w:name="_Toc131762383" w:id="22"/>
      <w:r>
        <w:t>Discussion</w:t>
      </w:r>
      <w:bookmarkEnd w:id="22"/>
    </w:p>
    <w:p w:rsidR="00132248" w:rsidP="00132248" w:rsidRDefault="00132248" w14:paraId="200360F4" w14:textId="452BE8FA">
      <w:pPr>
        <w:pStyle w:val="Standard"/>
      </w:pPr>
      <w:r>
        <w:t>The Commission finds it reasonable to use</w:t>
      </w:r>
      <w:r w:rsidR="0022306E">
        <w:t xml:space="preserve"> the</w:t>
      </w:r>
      <w:r>
        <w:t xml:space="preserve"> monthly peak load ratio for CAM, RMR</w:t>
      </w:r>
      <w:r w:rsidR="00554450">
        <w:t>, central procurement entity (CPE)</w:t>
      </w:r>
      <w:r>
        <w:t xml:space="preserve"> and DR allocations for all 24</w:t>
      </w:r>
      <w:r w:rsidR="00DA7998">
        <w:t> </w:t>
      </w:r>
      <w:r>
        <w:t xml:space="preserve">slices, as this is largely consistent with how CAM costs are recovered </w:t>
      </w:r>
      <w:r w:rsidR="002B60E2">
        <w:t>from</w:t>
      </w:r>
      <w:r>
        <w:t xml:space="preserve"> customers.  </w:t>
      </w:r>
      <w:r w:rsidR="0022306E">
        <w:t xml:space="preserve">We also agree with Energy Division that energy sufficiency requirements associated with storage CAM resources should be equitably allocated to ESPs and CCAs. </w:t>
      </w:r>
      <w:r w:rsidR="002B60E2">
        <w:t xml:space="preserve"> </w:t>
      </w:r>
      <w:r w:rsidR="0022306E">
        <w:t>Therefore, Energy Division should include energy sufficiency requirement allocations to LSEs using the CAM debit/credit mechanism.</w:t>
      </w:r>
      <w:r w:rsidR="00554450">
        <w:t xml:space="preserve">  </w:t>
      </w:r>
    </w:p>
    <w:p w:rsidR="00132248" w:rsidP="00132248" w:rsidRDefault="00132248" w14:paraId="3CAB277D" w14:textId="2340E927">
      <w:pPr>
        <w:pStyle w:val="Standard"/>
      </w:pPr>
      <w:r>
        <w:lastRenderedPageBreak/>
        <w:t xml:space="preserve">Several parties advocate for providing CAM allocations at a resource level.  While we agree that allocating CAM at a resource level will give LSEs more flexibility to show CAM resources to meet hourly requirements, it would be administratively simpler to allocate CAM resources by resource class, such as renewable resources, thermal resources, and storage resources.  This </w:t>
      </w:r>
      <w:r w:rsidR="001B04A9">
        <w:t xml:space="preserve">approach </w:t>
      </w:r>
      <w:r w:rsidR="000B4782">
        <w:t xml:space="preserve">should </w:t>
      </w:r>
      <w:r>
        <w:t xml:space="preserve">give LSEs the same flexibility as allocation at the resource </w:t>
      </w:r>
      <w:r w:rsidR="00DA7998">
        <w:t>level but</w:t>
      </w:r>
      <w:r>
        <w:t xml:space="preserve"> </w:t>
      </w:r>
      <w:r w:rsidR="001B04A9">
        <w:t xml:space="preserve">should also </w:t>
      </w:r>
      <w:r>
        <w:t>simpl</w:t>
      </w:r>
      <w:r w:rsidR="001B04A9">
        <w:t>if</w:t>
      </w:r>
      <w:r>
        <w:t>y allocations and LSE showings.</w:t>
      </w:r>
    </w:p>
    <w:p w:rsidR="001F2819" w:rsidP="00132248" w:rsidRDefault="00132248" w14:paraId="18E23008" w14:textId="0405C3A8">
      <w:pPr>
        <w:pStyle w:val="Standard"/>
      </w:pPr>
      <w:r>
        <w:t xml:space="preserve">Accordingly, </w:t>
      </w:r>
      <w:r w:rsidR="00ED00C4">
        <w:t xml:space="preserve">the </w:t>
      </w:r>
      <w:r>
        <w:t xml:space="preserve">monthly peak load ratio </w:t>
      </w:r>
      <w:r w:rsidR="00ED1459">
        <w:t xml:space="preserve">will </w:t>
      </w:r>
      <w:r>
        <w:t xml:space="preserve">be used for CAM, RMR, </w:t>
      </w:r>
      <w:r w:rsidR="008D4123">
        <w:t xml:space="preserve">CPE, </w:t>
      </w:r>
      <w:r>
        <w:t>and DR allocations for all 24</w:t>
      </w:r>
      <w:r w:rsidR="00DA7998">
        <w:t> </w:t>
      </w:r>
      <w:r>
        <w:t xml:space="preserve">slices.  </w:t>
      </w:r>
      <w:r w:rsidRPr="009744A2" w:rsidR="001B04A9">
        <w:t>Energy Division is directed to include energy sufficiency requirement allocations to LSEs using the CAM debit/credit mechanism.</w:t>
      </w:r>
      <w:r w:rsidR="001B04A9">
        <w:t xml:space="preserve">  </w:t>
      </w:r>
      <w:r>
        <w:t xml:space="preserve">CAM resources </w:t>
      </w:r>
      <w:r w:rsidR="00ED1459">
        <w:t xml:space="preserve">will </w:t>
      </w:r>
      <w:r>
        <w:t xml:space="preserve">be allocated by resource class.  </w:t>
      </w:r>
      <w:bookmarkStart w:name="_Hlk131427588" w:id="23"/>
      <w:r>
        <w:t>Energy</w:t>
      </w:r>
      <w:r w:rsidR="00DA7998">
        <w:t> </w:t>
      </w:r>
      <w:r>
        <w:t>Division is directed to determine the resource classes necessary to account for variation in the resources’ daily profiles and use limitations</w:t>
      </w:r>
      <w:r w:rsidR="009D63C6">
        <w:t xml:space="preserve">, which </w:t>
      </w:r>
      <w:r w:rsidR="00367E48">
        <w:rPr>
          <w:rFonts w:eastAsia="Times New Roman"/>
        </w:rPr>
        <w:t>will</w:t>
      </w:r>
      <w:r w:rsidR="009D63C6">
        <w:rPr>
          <w:rFonts w:eastAsia="Times New Roman"/>
        </w:rPr>
        <w:t xml:space="preserve"> include the number of cycles for storage CAM resources</w:t>
      </w:r>
      <w:r>
        <w:t>.</w:t>
      </w:r>
      <w:r w:rsidR="008D4123">
        <w:t xml:space="preserve">  </w:t>
      </w:r>
      <w:r w:rsidR="009D63C6">
        <w:rPr>
          <w:rFonts w:eastAsia="Times New Roman"/>
        </w:rPr>
        <w:t xml:space="preserve">LSEs may shape how they show energy storage CAM resources.  </w:t>
      </w:r>
      <w:r w:rsidR="00922521">
        <w:t xml:space="preserve">Credits associated with </w:t>
      </w:r>
      <w:r w:rsidR="008D4123">
        <w:t xml:space="preserve">CPE procurement shall be treated the same as CAM resources under the SOD framework.  </w:t>
      </w:r>
      <w:bookmarkEnd w:id="23"/>
      <w:r w:rsidR="008D4123">
        <w:t>In addition, energy sufficiency requirements associated with utility procurement of standalone energy storage resources subject to Modified CAM (MCAM) shall be proportionally allocated.</w:t>
      </w:r>
    </w:p>
    <w:p w:rsidRPr="00132248" w:rsidR="00132248" w:rsidP="00132248" w:rsidRDefault="00132248" w14:paraId="4F1A7E3F" w14:textId="5AF7ED20">
      <w:pPr>
        <w:pStyle w:val="Heading1"/>
      </w:pPr>
      <w:bookmarkStart w:name="_Toc8123721" w:id="24"/>
      <w:bookmarkStart w:name="_Toc131762384" w:id="25"/>
      <w:r w:rsidRPr="00132248">
        <w:t>Workstream 2. PRM and</w:t>
      </w:r>
      <w:r w:rsidR="00DA7998">
        <w:br/>
      </w:r>
      <w:r w:rsidRPr="00132248">
        <w:t>Resource Counting Rules</w:t>
      </w:r>
      <w:bookmarkEnd w:id="25"/>
    </w:p>
    <w:p w:rsidR="00132248" w:rsidP="00132248" w:rsidRDefault="00132248" w14:paraId="1A6E5415" w14:textId="353EEF60">
      <w:pPr>
        <w:pStyle w:val="Heading2"/>
      </w:pPr>
      <w:bookmarkStart w:name="_Toc131762385" w:id="26"/>
      <w:r w:rsidRPr="00132248">
        <w:t>Solar and Wind Resource Counting</w:t>
      </w:r>
      <w:bookmarkEnd w:id="26"/>
    </w:p>
    <w:p w:rsidRPr="00132248" w:rsidR="00132248" w:rsidP="00132248" w:rsidRDefault="00132248" w14:paraId="4A720F44" w14:textId="49E7498F">
      <w:pPr>
        <w:pStyle w:val="Standard"/>
      </w:pPr>
      <w:r>
        <w:t>In D.22</w:t>
      </w:r>
      <w:r w:rsidR="00DA7998">
        <w:noBreakHyphen/>
      </w:r>
      <w:r>
        <w:t>06</w:t>
      </w:r>
      <w:r w:rsidR="00DA7998">
        <w:noBreakHyphen/>
      </w:r>
      <w:r>
        <w:t>050, the Commission determined that PG&amp;E’s exceedance methodology “provides a sufficient means to determine solar and wind profiles that are benchmarked to stressed system conditions.”</w:t>
      </w:r>
      <w:r>
        <w:rPr>
          <w:rStyle w:val="FootnoteReference"/>
        </w:rPr>
        <w:footnoteReference w:id="33"/>
      </w:r>
      <w:r>
        <w:t xml:space="preserve">  The Commission </w:t>
      </w:r>
      <w:r>
        <w:lastRenderedPageBreak/>
        <w:t>acknowledged “that the exceedance levels recommended by PG&amp;E are based</w:t>
      </w:r>
      <w:r w:rsidDel="002A39B4">
        <w:t xml:space="preserve"> on </w:t>
      </w:r>
      <w:r>
        <w:t>a limited set of data (average monthly peak day production for each historical year) and require further development to ensure that the appropriate exceedance levels are benchmarked against a more robust dataset.”</w:t>
      </w:r>
      <w:r>
        <w:rPr>
          <w:rStyle w:val="FootnoteReference"/>
        </w:rPr>
        <w:footnoteReference w:id="34"/>
      </w:r>
      <w:r>
        <w:t xml:space="preserve">  The Commission directed parties to continue development of PG&amp;E’s exceedance methodology in workshops.  Parties </w:t>
      </w:r>
      <w:r w:rsidR="00ED00C4">
        <w:t>submit</w:t>
      </w:r>
      <w:r w:rsidR="00BE529D">
        <w:t>ted</w:t>
      </w:r>
      <w:r>
        <w:t xml:space="preserve"> several proposals, which are summarized below.</w:t>
      </w:r>
    </w:p>
    <w:p w:rsidR="00132248" w:rsidP="00132248" w:rsidRDefault="00132248" w14:paraId="1E07FCD4" w14:textId="033BDF53">
      <w:pPr>
        <w:pStyle w:val="Heading3"/>
      </w:pPr>
      <w:bookmarkStart w:name="_Toc131762386" w:id="27"/>
      <w:r w:rsidRPr="00132248">
        <w:t>Summary of Exceedance-Based Proposals</w:t>
      </w:r>
      <w:bookmarkEnd w:id="27"/>
    </w:p>
    <w:p w:rsidR="00132248" w:rsidP="00132248" w:rsidRDefault="00132248" w14:paraId="4B6E9390" w14:textId="7F41F73F">
      <w:pPr>
        <w:autoSpaceDE w:val="0"/>
        <w:autoSpaceDN w:val="0"/>
        <w:adjustRightInd w:val="0"/>
      </w:pPr>
      <w:r>
        <w:t>PG&amp;E proposes an exceedance-based seasonal approach with a 70</w:t>
      </w:r>
      <w:r w:rsidR="000B4782">
        <w:t>%</w:t>
      </w:r>
      <w:r w:rsidR="00DA7998">
        <w:t> </w:t>
      </w:r>
      <w:r>
        <w:t>exceedance level applied in all hours of the summer months, and a 50</w:t>
      </w:r>
      <w:r w:rsidR="000B4782">
        <w:t>%</w:t>
      </w:r>
      <w:r w:rsidR="00DA7998">
        <w:t> </w:t>
      </w:r>
      <w:r>
        <w:t>exceedance level applied in all hours of the non-summer months.</w:t>
      </w:r>
      <w:r>
        <w:rPr>
          <w:rStyle w:val="FootnoteReference"/>
        </w:rPr>
        <w:footnoteReference w:id="35"/>
      </w:r>
      <w:r>
        <w:t xml:space="preserve">  PG&amp;E recommends using five years of recorded CAISO data and applying the methodology at the technology and geography level (</w:t>
      </w:r>
      <w:r w:rsidRPr="00121D73">
        <w:rPr>
          <w:i/>
          <w:iCs/>
        </w:rPr>
        <w:t>i.e</w:t>
      </w:r>
      <w:r>
        <w:t>.</w:t>
      </w:r>
      <w:r w:rsidR="00DA7998">
        <w:t> </w:t>
      </w:r>
      <w:r>
        <w:t>fixed tilt and tracking for solar, NP15 and SP15, and out</w:t>
      </w:r>
      <w:r w:rsidR="00DA7998">
        <w:noBreakHyphen/>
      </w:r>
      <w:r>
        <w:t>of</w:t>
      </w:r>
      <w:r w:rsidR="00DA7998">
        <w:noBreakHyphen/>
      </w:r>
      <w:r>
        <w:t xml:space="preserve">state and offshore categories for wind).  </w:t>
      </w:r>
    </w:p>
    <w:p w:rsidR="00132248" w:rsidP="00132248" w:rsidRDefault="00132248" w14:paraId="6C1FC9AF" w14:textId="4C590720">
      <w:pPr>
        <w:autoSpaceDE w:val="0"/>
        <w:autoSpaceDN w:val="0"/>
        <w:adjustRightInd w:val="0"/>
      </w:pPr>
      <w:r>
        <w:t>To arrive at its proposal (referred to as the “Top 5</w:t>
      </w:r>
      <w:r w:rsidR="00DA7998">
        <w:t> </w:t>
      </w:r>
      <w:r>
        <w:t>Days” proposal), PG&amp;E applies a six</w:t>
      </w:r>
      <w:r w:rsidR="00DA7998">
        <w:noBreakHyphen/>
      </w:r>
      <w:r>
        <w:t xml:space="preserve">step methodology: </w:t>
      </w:r>
      <w:r w:rsidR="00DA7998">
        <w:t xml:space="preserve"> </w:t>
      </w:r>
      <w:r>
        <w:t>(1)</w:t>
      </w:r>
      <w:r w:rsidR="00DA7998">
        <w:t> </w:t>
      </w:r>
      <w:r>
        <w:t>identify the top five highest load days in each month during each year of the data set; (2)</w:t>
      </w:r>
      <w:r w:rsidR="00DA7998">
        <w:t> </w:t>
      </w:r>
      <w:r>
        <w:t>review solar and wind performance during those days for all hours, and convert to capacity factors using net dependable or “interconnection” capacity at the time; (3)</w:t>
      </w:r>
      <w:r w:rsidR="00DA7998">
        <w:t> </w:t>
      </w:r>
      <w:r>
        <w:t>average data across all years to arrive at a high-load day profile; (4)</w:t>
      </w:r>
      <w:r w:rsidR="00DA7998">
        <w:t> </w:t>
      </w:r>
      <w:r>
        <w:t>set up exceedance profiles using the data set; (5)</w:t>
      </w:r>
      <w:r w:rsidR="00DA7998">
        <w:t> </w:t>
      </w:r>
      <w:r>
        <w:t>compare high-load day performance to the exceedance production at a given level, with a focus on loss of load hours from IRP’s LOLE studies; and (6)</w:t>
      </w:r>
      <w:r w:rsidR="00DA7998">
        <w:t> </w:t>
      </w:r>
      <w:r>
        <w:t>select the exceedance level that results in minor differences between that level and the high</w:t>
      </w:r>
      <w:r w:rsidR="00DA7998">
        <w:noBreakHyphen/>
      </w:r>
      <w:r>
        <w:t xml:space="preserve">load day profile in loss of load hours.  PG&amp;E </w:t>
      </w:r>
      <w:r>
        <w:lastRenderedPageBreak/>
        <w:t>favors testing its proposal, and potentially other proposals, in the PRM</w:t>
      </w:r>
      <w:r w:rsidR="00DA7998">
        <w:noBreakHyphen/>
      </w:r>
      <w:r>
        <w:t xml:space="preserve">setting tool to evaluate the impact on the PRM.  </w:t>
      </w:r>
    </w:p>
    <w:p w:rsidR="00132248" w:rsidP="00132248" w:rsidRDefault="00132248" w14:paraId="1A893EA1" w14:textId="6BFE66BD">
      <w:pPr>
        <w:pStyle w:val="Standard"/>
      </w:pPr>
      <w:r>
        <w:t>MRP supports PG&amp;E’s methodology to find the exceedance threshold but disagrees on the number of days of each month to calculate the benchmark.</w:t>
      </w:r>
      <w:r>
        <w:rPr>
          <w:rStyle w:val="FootnoteReference"/>
        </w:rPr>
        <w:footnoteReference w:id="36"/>
      </w:r>
      <w:r>
        <w:t xml:space="preserve">  MRP proposes use of the days in which the peak falls within the top 5</w:t>
      </w:r>
      <w:r w:rsidR="000B4782">
        <w:t>%</w:t>
      </w:r>
      <w:r>
        <w:t xml:space="preserve"> of hours, rather than the top 5</w:t>
      </w:r>
      <w:r w:rsidR="00DA7998">
        <w:t> </w:t>
      </w:r>
      <w:r>
        <w:t>load</w:t>
      </w:r>
      <w:r w:rsidR="00DA7998">
        <w:t> </w:t>
      </w:r>
      <w:r>
        <w:t>days.  MRP states that this proposal (referred to as the “Top 5</w:t>
      </w:r>
      <w:r w:rsidR="000B4782">
        <w:t>%</w:t>
      </w:r>
      <w:r>
        <w:t>” proposal) incorporates additional days in the benchmark as load varies over time, providing a more robust data</w:t>
      </w:r>
      <w:r w:rsidR="004A752E">
        <w:t xml:space="preserve"> </w:t>
      </w:r>
      <w:r>
        <w:t>set.  MRP indicates that this benchmark supports an 80% exceedance for solar from May</w:t>
      </w:r>
      <w:r w:rsidR="00DA7998">
        <w:noBreakHyphen/>
      </w:r>
      <w:r>
        <w:t>October, and a 60</w:t>
      </w:r>
      <w:r w:rsidR="000B4782">
        <w:t>%</w:t>
      </w:r>
      <w:r>
        <w:t xml:space="preserve"> exceedance in all other months.  </w:t>
      </w:r>
    </w:p>
    <w:p w:rsidR="00132248" w:rsidP="00132248" w:rsidRDefault="00132248" w14:paraId="1E346A4D" w14:textId="4F214A36">
      <w:pPr>
        <w:pStyle w:val="Standard"/>
      </w:pPr>
      <w:r>
        <w:t>Building on PG&amp;E’s proposal, Cal</w:t>
      </w:r>
      <w:r w:rsidR="00DA7998">
        <w:t> </w:t>
      </w:r>
      <w:r>
        <w:t>Advocates recommends setting four</w:t>
      </w:r>
      <w:r w:rsidR="00DA7998">
        <w:t> </w:t>
      </w:r>
      <w:r>
        <w:t>quarterly, or 12</w:t>
      </w:r>
      <w:r w:rsidR="00DA7998">
        <w:t> </w:t>
      </w:r>
      <w:r>
        <w:t>seasonal, exceedance values, benchmarked against the average Top</w:t>
      </w:r>
      <w:r w:rsidR="00DA7998">
        <w:t> </w:t>
      </w:r>
      <w:r>
        <w:t>5</w:t>
      </w:r>
      <w:r w:rsidR="00DA7998">
        <w:t xml:space="preserve"> </w:t>
      </w:r>
      <w:r>
        <w:t>highest load days.</w:t>
      </w:r>
      <w:r>
        <w:rPr>
          <w:rStyle w:val="FootnoteReference"/>
        </w:rPr>
        <w:footnoteReference w:id="37"/>
      </w:r>
      <w:r>
        <w:t xml:space="preserve">  For wind, the exceedance values would use the six wind regions used to calculate ELCC values in this proceeding.  Cal</w:t>
      </w:r>
      <w:r w:rsidR="00DA7998">
        <w:t> </w:t>
      </w:r>
      <w:r>
        <w:t>Advocates states that calculating by region ensures that lower</w:t>
      </w:r>
      <w:r w:rsidR="00DA7998">
        <w:noBreakHyphen/>
      </w:r>
      <w:r>
        <w:t>performing regions do not penalize the RA value of all resources.  Cal</w:t>
      </w:r>
      <w:r w:rsidR="00DA7998">
        <w:t> </w:t>
      </w:r>
      <w:r>
        <w:t>Advocates notes that this proposal can be extended to setting solar values.</w:t>
      </w:r>
      <w:r w:rsidR="00ED00C4">
        <w:rPr>
          <w:rStyle w:val="FootnoteReference"/>
        </w:rPr>
        <w:footnoteReference w:id="38"/>
      </w:r>
    </w:p>
    <w:p w:rsidR="00132248" w:rsidP="00132248" w:rsidRDefault="00132248" w14:paraId="5BDECE35" w14:textId="06EE03D2">
      <w:pPr>
        <w:pStyle w:val="Standard"/>
      </w:pPr>
      <w:r>
        <w:t>Cal</w:t>
      </w:r>
      <w:r w:rsidR="00DA7998">
        <w:t> </w:t>
      </w:r>
      <w:r>
        <w:t>Advocates’ proposal applies PG&amp;E’s first three steps to identify a benchmark load profile consisting of the month-hour average of the wind performance on the Top</w:t>
      </w:r>
      <w:r w:rsidR="00DA7998">
        <w:t> </w:t>
      </w:r>
      <w:r>
        <w:t>5</w:t>
      </w:r>
      <w:r w:rsidR="00DA7998">
        <w:t> </w:t>
      </w:r>
      <w:r>
        <w:t>Days.  To calculate exceedance values, Cal</w:t>
      </w:r>
      <w:r w:rsidR="00DA7998">
        <w:t> </w:t>
      </w:r>
      <w:r>
        <w:t>Advocates uses PG&amp;E’s data set and minimizes the sum of absolute value of the within</w:t>
      </w:r>
      <w:r w:rsidR="00DA7998">
        <w:noBreakHyphen/>
      </w:r>
      <w:r>
        <w:t xml:space="preserve">quarter difference between the benchmark load profile and historic capacity factor for a given exceedance value.  The methodology continues the </w:t>
      </w:r>
      <w:r>
        <w:lastRenderedPageBreak/>
        <w:t>minimization to iterate exceedance values until a value with the least variation is identified.  The exceedance levels of the 4-season proposal are as follows:</w:t>
      </w:r>
      <w:r w:rsidR="00ED00C4">
        <w:rPr>
          <w:rStyle w:val="FootnoteReference"/>
        </w:rPr>
        <w:footnoteReference w:id="39"/>
      </w:r>
    </w:p>
    <w:tbl>
      <w:tblPr>
        <w:tblStyle w:val="TableGrid"/>
        <w:tblW w:w="0" w:type="auto"/>
        <w:jc w:val="center"/>
        <w:tblLook w:val="04A0" w:firstRow="1" w:lastRow="0" w:firstColumn="1" w:lastColumn="0" w:noHBand="0" w:noVBand="1"/>
      </w:tblPr>
      <w:tblGrid>
        <w:gridCol w:w="1165"/>
        <w:gridCol w:w="2250"/>
        <w:gridCol w:w="2880"/>
      </w:tblGrid>
      <w:tr w:rsidRPr="00AF149D" w:rsidR="00132248" w:rsidTr="00DA7998" w14:paraId="49DB9C47" w14:textId="77777777">
        <w:trPr>
          <w:trHeight w:val="512"/>
          <w:jc w:val="center"/>
        </w:trPr>
        <w:tc>
          <w:tcPr>
            <w:tcW w:w="1165" w:type="dxa"/>
            <w:vAlign w:val="center"/>
          </w:tcPr>
          <w:p w:rsidRPr="00AF149D" w:rsidR="00132248" w:rsidP="00DA7998" w:rsidRDefault="00132248" w14:paraId="0D99B6FA" w14:textId="77777777">
            <w:pPr>
              <w:pStyle w:val="Standard"/>
              <w:spacing w:line="240" w:lineRule="auto"/>
              <w:ind w:firstLine="0"/>
              <w:jc w:val="center"/>
              <w:rPr>
                <w:sz w:val="24"/>
                <w:szCs w:val="24"/>
              </w:rPr>
            </w:pPr>
            <w:r w:rsidRPr="00AF149D">
              <w:rPr>
                <w:sz w:val="24"/>
                <w:szCs w:val="24"/>
              </w:rPr>
              <w:t>Month</w:t>
            </w:r>
          </w:p>
        </w:tc>
        <w:tc>
          <w:tcPr>
            <w:tcW w:w="2250" w:type="dxa"/>
            <w:vAlign w:val="center"/>
          </w:tcPr>
          <w:p w:rsidRPr="00AF149D" w:rsidR="00132248" w:rsidP="00DA7998" w:rsidRDefault="00132248" w14:paraId="5D0D41A0" w14:textId="77777777">
            <w:pPr>
              <w:pStyle w:val="Standard"/>
              <w:spacing w:line="240" w:lineRule="auto"/>
              <w:ind w:firstLine="0"/>
              <w:jc w:val="center"/>
              <w:rPr>
                <w:sz w:val="24"/>
                <w:szCs w:val="24"/>
              </w:rPr>
            </w:pPr>
            <w:r w:rsidRPr="00AF149D">
              <w:rPr>
                <w:sz w:val="24"/>
                <w:szCs w:val="24"/>
              </w:rPr>
              <w:t>Quarterly Exceedance Value</w:t>
            </w:r>
          </w:p>
        </w:tc>
        <w:tc>
          <w:tcPr>
            <w:tcW w:w="2880" w:type="dxa"/>
            <w:vAlign w:val="center"/>
          </w:tcPr>
          <w:p w:rsidRPr="00AF149D" w:rsidR="00132248" w:rsidP="00DA7998" w:rsidRDefault="00132248" w14:paraId="609B88CA" w14:textId="77777777">
            <w:pPr>
              <w:pStyle w:val="Standard"/>
              <w:spacing w:line="240" w:lineRule="auto"/>
              <w:ind w:firstLine="0"/>
              <w:jc w:val="center"/>
              <w:rPr>
                <w:sz w:val="24"/>
                <w:szCs w:val="24"/>
              </w:rPr>
            </w:pPr>
            <w:r w:rsidRPr="00AF149D">
              <w:rPr>
                <w:sz w:val="24"/>
                <w:szCs w:val="24"/>
              </w:rPr>
              <w:t>Corresponding Monthly Capacity Factor</w:t>
            </w:r>
          </w:p>
        </w:tc>
      </w:tr>
      <w:tr w:rsidRPr="00AF149D" w:rsidR="00132248" w:rsidTr="00DA7998" w14:paraId="622209FE" w14:textId="77777777">
        <w:trPr>
          <w:jc w:val="center"/>
        </w:trPr>
        <w:tc>
          <w:tcPr>
            <w:tcW w:w="1165" w:type="dxa"/>
            <w:vAlign w:val="center"/>
          </w:tcPr>
          <w:p w:rsidRPr="00AF149D" w:rsidR="00132248" w:rsidP="00DA7998" w:rsidRDefault="00132248" w14:paraId="0907230B" w14:textId="77777777">
            <w:pPr>
              <w:pStyle w:val="Standard"/>
              <w:spacing w:line="240" w:lineRule="auto"/>
              <w:ind w:firstLine="0"/>
              <w:jc w:val="center"/>
              <w:rPr>
                <w:sz w:val="24"/>
                <w:szCs w:val="24"/>
              </w:rPr>
            </w:pPr>
            <w:r w:rsidRPr="00AF149D">
              <w:rPr>
                <w:sz w:val="24"/>
                <w:szCs w:val="24"/>
              </w:rPr>
              <w:t>1</w:t>
            </w:r>
          </w:p>
        </w:tc>
        <w:tc>
          <w:tcPr>
            <w:tcW w:w="2250" w:type="dxa"/>
            <w:vMerge w:val="restart"/>
            <w:vAlign w:val="center"/>
          </w:tcPr>
          <w:p w:rsidRPr="00AF149D" w:rsidR="00132248" w:rsidP="00DA7998" w:rsidRDefault="00132248" w14:paraId="71D808E7" w14:textId="77777777">
            <w:pPr>
              <w:pStyle w:val="Standard"/>
              <w:spacing w:line="240" w:lineRule="auto"/>
              <w:ind w:firstLine="0"/>
              <w:jc w:val="center"/>
              <w:rPr>
                <w:sz w:val="24"/>
                <w:szCs w:val="24"/>
              </w:rPr>
            </w:pPr>
            <w:r w:rsidRPr="00AF149D">
              <w:rPr>
                <w:sz w:val="24"/>
                <w:szCs w:val="24"/>
              </w:rPr>
              <w:t>32%</w:t>
            </w:r>
          </w:p>
        </w:tc>
        <w:tc>
          <w:tcPr>
            <w:tcW w:w="2880" w:type="dxa"/>
            <w:vAlign w:val="center"/>
          </w:tcPr>
          <w:p w:rsidRPr="00AF149D" w:rsidR="00132248" w:rsidP="00DA7998" w:rsidRDefault="00132248" w14:paraId="07DA70B2" w14:textId="77777777">
            <w:pPr>
              <w:pStyle w:val="Standard"/>
              <w:spacing w:line="240" w:lineRule="auto"/>
              <w:ind w:firstLine="0"/>
              <w:jc w:val="center"/>
              <w:rPr>
                <w:sz w:val="24"/>
                <w:szCs w:val="24"/>
              </w:rPr>
            </w:pPr>
            <w:r w:rsidRPr="00AF149D">
              <w:rPr>
                <w:sz w:val="24"/>
                <w:szCs w:val="24"/>
              </w:rPr>
              <w:t>9%</w:t>
            </w:r>
          </w:p>
        </w:tc>
      </w:tr>
      <w:tr w:rsidRPr="00AF149D" w:rsidR="00132248" w:rsidTr="00DA7998" w14:paraId="499CFBFB" w14:textId="77777777">
        <w:trPr>
          <w:jc w:val="center"/>
        </w:trPr>
        <w:tc>
          <w:tcPr>
            <w:tcW w:w="1165" w:type="dxa"/>
            <w:vAlign w:val="center"/>
          </w:tcPr>
          <w:p w:rsidRPr="00AF149D" w:rsidR="00132248" w:rsidP="00DA7998" w:rsidRDefault="00132248" w14:paraId="4EE6515B" w14:textId="77777777">
            <w:pPr>
              <w:pStyle w:val="Standard"/>
              <w:spacing w:line="240" w:lineRule="auto"/>
              <w:ind w:firstLine="0"/>
              <w:jc w:val="center"/>
              <w:rPr>
                <w:sz w:val="24"/>
                <w:szCs w:val="24"/>
              </w:rPr>
            </w:pPr>
            <w:r w:rsidRPr="00AF149D">
              <w:rPr>
                <w:sz w:val="24"/>
                <w:szCs w:val="24"/>
              </w:rPr>
              <w:t>2</w:t>
            </w:r>
          </w:p>
        </w:tc>
        <w:tc>
          <w:tcPr>
            <w:tcW w:w="2250" w:type="dxa"/>
            <w:vMerge/>
            <w:vAlign w:val="center"/>
          </w:tcPr>
          <w:p w:rsidRPr="00AF149D" w:rsidR="00132248" w:rsidP="00DA7998" w:rsidRDefault="00132248" w14:paraId="74CBE21A" w14:textId="77777777">
            <w:pPr>
              <w:pStyle w:val="Standard"/>
              <w:spacing w:line="240" w:lineRule="auto"/>
              <w:ind w:firstLine="0"/>
              <w:jc w:val="center"/>
              <w:rPr>
                <w:sz w:val="24"/>
                <w:szCs w:val="24"/>
              </w:rPr>
            </w:pPr>
          </w:p>
        </w:tc>
        <w:tc>
          <w:tcPr>
            <w:tcW w:w="2880" w:type="dxa"/>
            <w:vAlign w:val="center"/>
          </w:tcPr>
          <w:p w:rsidRPr="00AF149D" w:rsidR="00132248" w:rsidP="00DA7998" w:rsidRDefault="00132248" w14:paraId="4CADFBAD" w14:textId="77777777">
            <w:pPr>
              <w:pStyle w:val="Standard"/>
              <w:spacing w:line="240" w:lineRule="auto"/>
              <w:ind w:firstLine="0"/>
              <w:jc w:val="center"/>
              <w:rPr>
                <w:sz w:val="24"/>
                <w:szCs w:val="24"/>
              </w:rPr>
            </w:pPr>
            <w:r w:rsidRPr="00AF149D">
              <w:rPr>
                <w:sz w:val="24"/>
                <w:szCs w:val="24"/>
              </w:rPr>
              <w:t>17%</w:t>
            </w:r>
          </w:p>
        </w:tc>
      </w:tr>
      <w:tr w:rsidRPr="00AF149D" w:rsidR="00132248" w:rsidTr="00DA7998" w14:paraId="1B195E62" w14:textId="77777777">
        <w:trPr>
          <w:jc w:val="center"/>
        </w:trPr>
        <w:tc>
          <w:tcPr>
            <w:tcW w:w="1165" w:type="dxa"/>
            <w:vAlign w:val="center"/>
          </w:tcPr>
          <w:p w:rsidRPr="00AF149D" w:rsidR="00132248" w:rsidP="00DA7998" w:rsidRDefault="00132248" w14:paraId="267BA7BF" w14:textId="77777777">
            <w:pPr>
              <w:pStyle w:val="Standard"/>
              <w:spacing w:line="240" w:lineRule="auto"/>
              <w:ind w:firstLine="0"/>
              <w:jc w:val="center"/>
              <w:rPr>
                <w:sz w:val="24"/>
                <w:szCs w:val="24"/>
              </w:rPr>
            </w:pPr>
            <w:r w:rsidRPr="00AF149D">
              <w:rPr>
                <w:sz w:val="24"/>
                <w:szCs w:val="24"/>
              </w:rPr>
              <w:t>3</w:t>
            </w:r>
          </w:p>
        </w:tc>
        <w:tc>
          <w:tcPr>
            <w:tcW w:w="2250" w:type="dxa"/>
            <w:vMerge/>
            <w:vAlign w:val="center"/>
          </w:tcPr>
          <w:p w:rsidRPr="00AF149D" w:rsidR="00132248" w:rsidP="00DA7998" w:rsidRDefault="00132248" w14:paraId="70DF22E0" w14:textId="77777777">
            <w:pPr>
              <w:pStyle w:val="Standard"/>
              <w:spacing w:line="240" w:lineRule="auto"/>
              <w:ind w:firstLine="0"/>
              <w:jc w:val="center"/>
              <w:rPr>
                <w:sz w:val="24"/>
                <w:szCs w:val="24"/>
              </w:rPr>
            </w:pPr>
          </w:p>
        </w:tc>
        <w:tc>
          <w:tcPr>
            <w:tcW w:w="2880" w:type="dxa"/>
            <w:vAlign w:val="center"/>
          </w:tcPr>
          <w:p w:rsidRPr="00AF149D" w:rsidR="00132248" w:rsidP="00DA7998" w:rsidRDefault="00132248" w14:paraId="3B49D912" w14:textId="77777777">
            <w:pPr>
              <w:pStyle w:val="Standard"/>
              <w:spacing w:line="240" w:lineRule="auto"/>
              <w:ind w:firstLine="0"/>
              <w:jc w:val="center"/>
              <w:rPr>
                <w:sz w:val="24"/>
                <w:szCs w:val="24"/>
              </w:rPr>
            </w:pPr>
            <w:r w:rsidRPr="00AF149D">
              <w:rPr>
                <w:sz w:val="24"/>
                <w:szCs w:val="24"/>
              </w:rPr>
              <w:t>25%</w:t>
            </w:r>
          </w:p>
        </w:tc>
      </w:tr>
      <w:tr w:rsidRPr="00AF149D" w:rsidR="00132248" w:rsidTr="00DA7998" w14:paraId="61B92F21" w14:textId="77777777">
        <w:trPr>
          <w:jc w:val="center"/>
        </w:trPr>
        <w:tc>
          <w:tcPr>
            <w:tcW w:w="1165" w:type="dxa"/>
            <w:vAlign w:val="center"/>
          </w:tcPr>
          <w:p w:rsidRPr="00AF149D" w:rsidR="00132248" w:rsidP="00DA7998" w:rsidRDefault="00132248" w14:paraId="37469D16" w14:textId="77777777">
            <w:pPr>
              <w:pStyle w:val="Standard"/>
              <w:spacing w:line="240" w:lineRule="auto"/>
              <w:ind w:firstLine="0"/>
              <w:jc w:val="center"/>
              <w:rPr>
                <w:sz w:val="24"/>
                <w:szCs w:val="24"/>
              </w:rPr>
            </w:pPr>
            <w:r w:rsidRPr="00AF149D">
              <w:rPr>
                <w:sz w:val="24"/>
                <w:szCs w:val="24"/>
              </w:rPr>
              <w:t>4</w:t>
            </w:r>
          </w:p>
        </w:tc>
        <w:tc>
          <w:tcPr>
            <w:tcW w:w="2250" w:type="dxa"/>
            <w:vMerge w:val="restart"/>
            <w:vAlign w:val="center"/>
          </w:tcPr>
          <w:p w:rsidRPr="00AF149D" w:rsidR="00132248" w:rsidP="00DA7998" w:rsidRDefault="00132248" w14:paraId="2B051369" w14:textId="77777777">
            <w:pPr>
              <w:pStyle w:val="Standard"/>
              <w:spacing w:line="240" w:lineRule="auto"/>
              <w:ind w:firstLine="0"/>
              <w:jc w:val="center"/>
              <w:rPr>
                <w:sz w:val="24"/>
                <w:szCs w:val="24"/>
              </w:rPr>
            </w:pPr>
            <w:r w:rsidRPr="00AF149D">
              <w:rPr>
                <w:sz w:val="24"/>
                <w:szCs w:val="24"/>
              </w:rPr>
              <w:t>57%</w:t>
            </w:r>
          </w:p>
        </w:tc>
        <w:tc>
          <w:tcPr>
            <w:tcW w:w="2880" w:type="dxa"/>
            <w:vAlign w:val="center"/>
          </w:tcPr>
          <w:p w:rsidRPr="00AF149D" w:rsidR="00132248" w:rsidP="00DA7998" w:rsidRDefault="00132248" w14:paraId="7CC66261" w14:textId="77777777">
            <w:pPr>
              <w:pStyle w:val="Standard"/>
              <w:spacing w:line="240" w:lineRule="auto"/>
              <w:ind w:firstLine="0"/>
              <w:jc w:val="center"/>
              <w:rPr>
                <w:sz w:val="24"/>
                <w:szCs w:val="24"/>
              </w:rPr>
            </w:pPr>
            <w:r w:rsidRPr="00AF149D">
              <w:rPr>
                <w:sz w:val="24"/>
                <w:szCs w:val="24"/>
              </w:rPr>
              <w:t>21%</w:t>
            </w:r>
          </w:p>
        </w:tc>
      </w:tr>
      <w:tr w:rsidRPr="00AF149D" w:rsidR="00132248" w:rsidTr="00DA7998" w14:paraId="31AC42B8" w14:textId="77777777">
        <w:trPr>
          <w:jc w:val="center"/>
        </w:trPr>
        <w:tc>
          <w:tcPr>
            <w:tcW w:w="1165" w:type="dxa"/>
            <w:vAlign w:val="center"/>
          </w:tcPr>
          <w:p w:rsidRPr="00AF149D" w:rsidR="00132248" w:rsidP="00DA7998" w:rsidRDefault="00132248" w14:paraId="1851E3A0" w14:textId="77777777">
            <w:pPr>
              <w:pStyle w:val="Standard"/>
              <w:spacing w:line="240" w:lineRule="auto"/>
              <w:ind w:firstLine="0"/>
              <w:jc w:val="center"/>
              <w:rPr>
                <w:sz w:val="24"/>
                <w:szCs w:val="24"/>
              </w:rPr>
            </w:pPr>
            <w:r w:rsidRPr="00AF149D">
              <w:rPr>
                <w:sz w:val="24"/>
                <w:szCs w:val="24"/>
              </w:rPr>
              <w:t>5</w:t>
            </w:r>
          </w:p>
        </w:tc>
        <w:tc>
          <w:tcPr>
            <w:tcW w:w="2250" w:type="dxa"/>
            <w:vMerge/>
            <w:vAlign w:val="center"/>
          </w:tcPr>
          <w:p w:rsidRPr="00AF149D" w:rsidR="00132248" w:rsidP="00DA7998" w:rsidRDefault="00132248" w14:paraId="1896346A" w14:textId="77777777">
            <w:pPr>
              <w:pStyle w:val="Standard"/>
              <w:spacing w:line="240" w:lineRule="auto"/>
              <w:ind w:firstLine="0"/>
              <w:jc w:val="center"/>
              <w:rPr>
                <w:sz w:val="24"/>
                <w:szCs w:val="24"/>
              </w:rPr>
            </w:pPr>
          </w:p>
        </w:tc>
        <w:tc>
          <w:tcPr>
            <w:tcW w:w="2880" w:type="dxa"/>
            <w:vAlign w:val="center"/>
          </w:tcPr>
          <w:p w:rsidRPr="00AF149D" w:rsidR="00132248" w:rsidP="00DA7998" w:rsidRDefault="00132248" w14:paraId="55657E54" w14:textId="77777777">
            <w:pPr>
              <w:pStyle w:val="Standard"/>
              <w:spacing w:line="240" w:lineRule="auto"/>
              <w:ind w:firstLine="0"/>
              <w:jc w:val="center"/>
              <w:rPr>
                <w:sz w:val="24"/>
                <w:szCs w:val="24"/>
              </w:rPr>
            </w:pPr>
            <w:r w:rsidRPr="00AF149D">
              <w:rPr>
                <w:sz w:val="24"/>
                <w:szCs w:val="24"/>
              </w:rPr>
              <w:t>27%</w:t>
            </w:r>
          </w:p>
        </w:tc>
      </w:tr>
      <w:tr w:rsidRPr="00AF149D" w:rsidR="00132248" w:rsidTr="00DA7998" w14:paraId="3E561BE0" w14:textId="77777777">
        <w:trPr>
          <w:jc w:val="center"/>
        </w:trPr>
        <w:tc>
          <w:tcPr>
            <w:tcW w:w="1165" w:type="dxa"/>
            <w:vAlign w:val="center"/>
          </w:tcPr>
          <w:p w:rsidRPr="00AF149D" w:rsidR="00132248" w:rsidP="00DA7998" w:rsidRDefault="00132248" w14:paraId="38885D64" w14:textId="77777777">
            <w:pPr>
              <w:pStyle w:val="Standard"/>
              <w:spacing w:line="240" w:lineRule="auto"/>
              <w:ind w:firstLine="0"/>
              <w:jc w:val="center"/>
              <w:rPr>
                <w:sz w:val="24"/>
                <w:szCs w:val="24"/>
              </w:rPr>
            </w:pPr>
            <w:r w:rsidRPr="00AF149D">
              <w:rPr>
                <w:sz w:val="24"/>
                <w:szCs w:val="24"/>
              </w:rPr>
              <w:t>6</w:t>
            </w:r>
          </w:p>
        </w:tc>
        <w:tc>
          <w:tcPr>
            <w:tcW w:w="2250" w:type="dxa"/>
            <w:vMerge/>
            <w:vAlign w:val="center"/>
          </w:tcPr>
          <w:p w:rsidRPr="00AF149D" w:rsidR="00132248" w:rsidP="00DA7998" w:rsidRDefault="00132248" w14:paraId="6273A948" w14:textId="77777777">
            <w:pPr>
              <w:pStyle w:val="Standard"/>
              <w:spacing w:line="240" w:lineRule="auto"/>
              <w:ind w:firstLine="0"/>
              <w:jc w:val="center"/>
              <w:rPr>
                <w:sz w:val="24"/>
                <w:szCs w:val="24"/>
              </w:rPr>
            </w:pPr>
          </w:p>
        </w:tc>
        <w:tc>
          <w:tcPr>
            <w:tcW w:w="2880" w:type="dxa"/>
            <w:vAlign w:val="center"/>
          </w:tcPr>
          <w:p w:rsidRPr="00AF149D" w:rsidR="00132248" w:rsidP="00DA7998" w:rsidRDefault="00132248" w14:paraId="0A3214D6" w14:textId="77777777">
            <w:pPr>
              <w:pStyle w:val="Standard"/>
              <w:spacing w:line="240" w:lineRule="auto"/>
              <w:ind w:firstLine="0"/>
              <w:jc w:val="center"/>
              <w:rPr>
                <w:sz w:val="24"/>
                <w:szCs w:val="24"/>
              </w:rPr>
            </w:pPr>
            <w:r w:rsidRPr="00AF149D">
              <w:rPr>
                <w:sz w:val="24"/>
                <w:szCs w:val="24"/>
              </w:rPr>
              <w:t>30%</w:t>
            </w:r>
          </w:p>
        </w:tc>
      </w:tr>
      <w:tr w:rsidRPr="00AF149D" w:rsidR="00132248" w:rsidTr="00DA7998" w14:paraId="17B8D84D" w14:textId="77777777">
        <w:trPr>
          <w:jc w:val="center"/>
        </w:trPr>
        <w:tc>
          <w:tcPr>
            <w:tcW w:w="1165" w:type="dxa"/>
            <w:vAlign w:val="center"/>
          </w:tcPr>
          <w:p w:rsidRPr="00AF149D" w:rsidR="00132248" w:rsidP="00DA7998" w:rsidRDefault="00132248" w14:paraId="08783AD1" w14:textId="77777777">
            <w:pPr>
              <w:pStyle w:val="Standard"/>
              <w:spacing w:line="240" w:lineRule="auto"/>
              <w:ind w:firstLine="0"/>
              <w:jc w:val="center"/>
              <w:rPr>
                <w:sz w:val="24"/>
                <w:szCs w:val="24"/>
              </w:rPr>
            </w:pPr>
            <w:r w:rsidRPr="00AF149D">
              <w:rPr>
                <w:sz w:val="24"/>
                <w:szCs w:val="24"/>
              </w:rPr>
              <w:t>7</w:t>
            </w:r>
          </w:p>
        </w:tc>
        <w:tc>
          <w:tcPr>
            <w:tcW w:w="2250" w:type="dxa"/>
            <w:vMerge w:val="restart"/>
            <w:vAlign w:val="center"/>
          </w:tcPr>
          <w:p w:rsidRPr="00AF149D" w:rsidR="00132248" w:rsidP="00DA7998" w:rsidRDefault="00132248" w14:paraId="0775209F" w14:textId="77777777">
            <w:pPr>
              <w:pStyle w:val="Standard"/>
              <w:spacing w:line="240" w:lineRule="auto"/>
              <w:ind w:firstLine="0"/>
              <w:jc w:val="center"/>
              <w:rPr>
                <w:sz w:val="24"/>
                <w:szCs w:val="24"/>
              </w:rPr>
            </w:pPr>
            <w:r w:rsidRPr="00AF149D">
              <w:rPr>
                <w:sz w:val="24"/>
                <w:szCs w:val="24"/>
              </w:rPr>
              <w:t>62%</w:t>
            </w:r>
          </w:p>
        </w:tc>
        <w:tc>
          <w:tcPr>
            <w:tcW w:w="2880" w:type="dxa"/>
            <w:vAlign w:val="center"/>
          </w:tcPr>
          <w:p w:rsidRPr="00AF149D" w:rsidR="00132248" w:rsidP="00DA7998" w:rsidRDefault="00132248" w14:paraId="33712C2F" w14:textId="77777777">
            <w:pPr>
              <w:pStyle w:val="Standard"/>
              <w:spacing w:line="240" w:lineRule="auto"/>
              <w:ind w:firstLine="0"/>
              <w:jc w:val="center"/>
              <w:rPr>
                <w:sz w:val="24"/>
                <w:szCs w:val="24"/>
              </w:rPr>
            </w:pPr>
            <w:r w:rsidRPr="00AF149D">
              <w:rPr>
                <w:sz w:val="24"/>
                <w:szCs w:val="24"/>
              </w:rPr>
              <w:t>29%</w:t>
            </w:r>
          </w:p>
        </w:tc>
      </w:tr>
      <w:tr w:rsidRPr="00AF149D" w:rsidR="00132248" w:rsidTr="00DA7998" w14:paraId="68C1544D" w14:textId="77777777">
        <w:trPr>
          <w:trHeight w:val="350"/>
          <w:jc w:val="center"/>
        </w:trPr>
        <w:tc>
          <w:tcPr>
            <w:tcW w:w="1165" w:type="dxa"/>
            <w:vAlign w:val="center"/>
          </w:tcPr>
          <w:p w:rsidRPr="00AF149D" w:rsidR="00132248" w:rsidP="00DA7998" w:rsidRDefault="00132248" w14:paraId="294EB18E" w14:textId="77777777">
            <w:pPr>
              <w:pStyle w:val="Standard"/>
              <w:spacing w:line="240" w:lineRule="auto"/>
              <w:ind w:firstLine="0"/>
              <w:jc w:val="center"/>
              <w:rPr>
                <w:sz w:val="24"/>
                <w:szCs w:val="24"/>
              </w:rPr>
            </w:pPr>
            <w:r w:rsidRPr="00AF149D">
              <w:rPr>
                <w:sz w:val="24"/>
                <w:szCs w:val="24"/>
              </w:rPr>
              <w:t>8</w:t>
            </w:r>
          </w:p>
        </w:tc>
        <w:tc>
          <w:tcPr>
            <w:tcW w:w="2250" w:type="dxa"/>
            <w:vMerge/>
            <w:vAlign w:val="center"/>
          </w:tcPr>
          <w:p w:rsidRPr="00AF149D" w:rsidR="00132248" w:rsidP="00DA7998" w:rsidRDefault="00132248" w14:paraId="4AFE552C" w14:textId="77777777">
            <w:pPr>
              <w:pStyle w:val="Standard"/>
              <w:spacing w:line="240" w:lineRule="auto"/>
              <w:ind w:firstLine="0"/>
              <w:jc w:val="center"/>
              <w:rPr>
                <w:sz w:val="24"/>
                <w:szCs w:val="24"/>
              </w:rPr>
            </w:pPr>
          </w:p>
        </w:tc>
        <w:tc>
          <w:tcPr>
            <w:tcW w:w="2880" w:type="dxa"/>
            <w:vAlign w:val="center"/>
          </w:tcPr>
          <w:p w:rsidRPr="00AF149D" w:rsidR="00132248" w:rsidP="00DA7998" w:rsidRDefault="00132248" w14:paraId="1A1668DB" w14:textId="77777777">
            <w:pPr>
              <w:pStyle w:val="Standard"/>
              <w:spacing w:line="240" w:lineRule="auto"/>
              <w:ind w:firstLine="0"/>
              <w:jc w:val="center"/>
              <w:rPr>
                <w:sz w:val="24"/>
                <w:szCs w:val="24"/>
              </w:rPr>
            </w:pPr>
            <w:r w:rsidRPr="00AF149D">
              <w:rPr>
                <w:sz w:val="24"/>
                <w:szCs w:val="24"/>
              </w:rPr>
              <w:t>26%</w:t>
            </w:r>
          </w:p>
        </w:tc>
      </w:tr>
      <w:tr w:rsidRPr="00AF149D" w:rsidR="00132248" w:rsidTr="00DA7998" w14:paraId="6CB46CD6" w14:textId="77777777">
        <w:trPr>
          <w:jc w:val="center"/>
        </w:trPr>
        <w:tc>
          <w:tcPr>
            <w:tcW w:w="1165" w:type="dxa"/>
            <w:vAlign w:val="center"/>
          </w:tcPr>
          <w:p w:rsidRPr="00AF149D" w:rsidR="00132248" w:rsidP="00DA7998" w:rsidRDefault="00132248" w14:paraId="5BCBF765" w14:textId="77777777">
            <w:pPr>
              <w:pStyle w:val="Standard"/>
              <w:spacing w:line="240" w:lineRule="auto"/>
              <w:ind w:firstLine="0"/>
              <w:jc w:val="center"/>
              <w:rPr>
                <w:sz w:val="24"/>
                <w:szCs w:val="24"/>
              </w:rPr>
            </w:pPr>
            <w:r w:rsidRPr="00AF149D">
              <w:rPr>
                <w:sz w:val="24"/>
                <w:szCs w:val="24"/>
              </w:rPr>
              <w:t>9</w:t>
            </w:r>
          </w:p>
        </w:tc>
        <w:tc>
          <w:tcPr>
            <w:tcW w:w="2250" w:type="dxa"/>
            <w:vMerge/>
            <w:vAlign w:val="center"/>
          </w:tcPr>
          <w:p w:rsidRPr="00AF149D" w:rsidR="00132248" w:rsidP="00DA7998" w:rsidRDefault="00132248" w14:paraId="3ADECD56" w14:textId="77777777">
            <w:pPr>
              <w:pStyle w:val="Standard"/>
              <w:spacing w:line="240" w:lineRule="auto"/>
              <w:ind w:firstLine="0"/>
              <w:jc w:val="center"/>
              <w:rPr>
                <w:sz w:val="24"/>
                <w:szCs w:val="24"/>
              </w:rPr>
            </w:pPr>
          </w:p>
        </w:tc>
        <w:tc>
          <w:tcPr>
            <w:tcW w:w="2880" w:type="dxa"/>
            <w:vAlign w:val="center"/>
          </w:tcPr>
          <w:p w:rsidRPr="00AF149D" w:rsidR="00132248" w:rsidP="00DA7998" w:rsidRDefault="00132248" w14:paraId="10782873" w14:textId="77777777">
            <w:pPr>
              <w:pStyle w:val="Standard"/>
              <w:spacing w:line="240" w:lineRule="auto"/>
              <w:ind w:firstLine="0"/>
              <w:jc w:val="center"/>
              <w:rPr>
                <w:sz w:val="24"/>
                <w:szCs w:val="24"/>
              </w:rPr>
            </w:pPr>
            <w:r w:rsidRPr="00AF149D">
              <w:rPr>
                <w:sz w:val="24"/>
                <w:szCs w:val="24"/>
              </w:rPr>
              <w:t>14%</w:t>
            </w:r>
          </w:p>
        </w:tc>
      </w:tr>
      <w:tr w:rsidRPr="00AF149D" w:rsidR="00132248" w:rsidTr="00DA7998" w14:paraId="71364B5D" w14:textId="77777777">
        <w:trPr>
          <w:trHeight w:val="224"/>
          <w:jc w:val="center"/>
        </w:trPr>
        <w:tc>
          <w:tcPr>
            <w:tcW w:w="1165" w:type="dxa"/>
            <w:vAlign w:val="center"/>
          </w:tcPr>
          <w:p w:rsidRPr="00AF149D" w:rsidR="00132248" w:rsidP="00DA7998" w:rsidRDefault="00132248" w14:paraId="60C03C42" w14:textId="77777777">
            <w:pPr>
              <w:pStyle w:val="Standard"/>
              <w:spacing w:line="240" w:lineRule="auto"/>
              <w:ind w:firstLine="0"/>
              <w:jc w:val="center"/>
              <w:rPr>
                <w:sz w:val="24"/>
                <w:szCs w:val="24"/>
              </w:rPr>
            </w:pPr>
            <w:r w:rsidRPr="00AF149D">
              <w:rPr>
                <w:sz w:val="24"/>
                <w:szCs w:val="24"/>
              </w:rPr>
              <w:t>10</w:t>
            </w:r>
          </w:p>
        </w:tc>
        <w:tc>
          <w:tcPr>
            <w:tcW w:w="2250" w:type="dxa"/>
            <w:vMerge w:val="restart"/>
            <w:vAlign w:val="center"/>
          </w:tcPr>
          <w:p w:rsidRPr="00AF149D" w:rsidR="00132248" w:rsidP="00DA7998" w:rsidRDefault="00132248" w14:paraId="49D4AD2E" w14:textId="77777777">
            <w:pPr>
              <w:pStyle w:val="Standard"/>
              <w:spacing w:line="240" w:lineRule="auto"/>
              <w:ind w:firstLine="0"/>
              <w:jc w:val="center"/>
              <w:rPr>
                <w:sz w:val="24"/>
                <w:szCs w:val="24"/>
              </w:rPr>
            </w:pPr>
            <w:r w:rsidRPr="00AF149D">
              <w:rPr>
                <w:sz w:val="24"/>
                <w:szCs w:val="24"/>
              </w:rPr>
              <w:t>38%</w:t>
            </w:r>
          </w:p>
        </w:tc>
        <w:tc>
          <w:tcPr>
            <w:tcW w:w="2880" w:type="dxa"/>
            <w:vAlign w:val="center"/>
          </w:tcPr>
          <w:p w:rsidRPr="00AF149D" w:rsidR="00132248" w:rsidP="00DA7998" w:rsidRDefault="00132248" w14:paraId="7F04AB8D" w14:textId="77777777">
            <w:pPr>
              <w:pStyle w:val="Standard"/>
              <w:tabs>
                <w:tab w:val="center" w:pos="1107"/>
              </w:tabs>
              <w:spacing w:line="240" w:lineRule="auto"/>
              <w:ind w:firstLine="0"/>
              <w:jc w:val="center"/>
              <w:rPr>
                <w:sz w:val="24"/>
                <w:szCs w:val="24"/>
              </w:rPr>
            </w:pPr>
            <w:r w:rsidRPr="00AF149D">
              <w:rPr>
                <w:sz w:val="24"/>
                <w:szCs w:val="24"/>
              </w:rPr>
              <w:t>14%</w:t>
            </w:r>
          </w:p>
        </w:tc>
      </w:tr>
      <w:tr w:rsidRPr="00AF149D" w:rsidR="00132248" w:rsidTr="00DA7998" w14:paraId="16F850A8" w14:textId="77777777">
        <w:trPr>
          <w:jc w:val="center"/>
        </w:trPr>
        <w:tc>
          <w:tcPr>
            <w:tcW w:w="1165" w:type="dxa"/>
            <w:vAlign w:val="center"/>
          </w:tcPr>
          <w:p w:rsidRPr="00AF149D" w:rsidR="00132248" w:rsidP="00DA7998" w:rsidRDefault="00132248" w14:paraId="4AF61476" w14:textId="77777777">
            <w:pPr>
              <w:pStyle w:val="Standard"/>
              <w:spacing w:line="240" w:lineRule="auto"/>
              <w:ind w:firstLine="0"/>
              <w:jc w:val="center"/>
              <w:rPr>
                <w:sz w:val="24"/>
                <w:szCs w:val="24"/>
              </w:rPr>
            </w:pPr>
            <w:r w:rsidRPr="00AF149D">
              <w:rPr>
                <w:sz w:val="24"/>
                <w:szCs w:val="24"/>
              </w:rPr>
              <w:t>11</w:t>
            </w:r>
          </w:p>
        </w:tc>
        <w:tc>
          <w:tcPr>
            <w:tcW w:w="2250" w:type="dxa"/>
            <w:vMerge/>
            <w:vAlign w:val="center"/>
          </w:tcPr>
          <w:p w:rsidRPr="00AF149D" w:rsidR="00132248" w:rsidP="00DA7998" w:rsidRDefault="00132248" w14:paraId="5D7BDF70" w14:textId="77777777">
            <w:pPr>
              <w:pStyle w:val="Standard"/>
              <w:spacing w:line="240" w:lineRule="auto"/>
              <w:ind w:firstLine="0"/>
              <w:jc w:val="center"/>
              <w:rPr>
                <w:sz w:val="24"/>
                <w:szCs w:val="24"/>
              </w:rPr>
            </w:pPr>
          </w:p>
        </w:tc>
        <w:tc>
          <w:tcPr>
            <w:tcW w:w="2880" w:type="dxa"/>
            <w:vAlign w:val="center"/>
          </w:tcPr>
          <w:p w:rsidRPr="00AF149D" w:rsidR="00132248" w:rsidP="00DA7998" w:rsidRDefault="00132248" w14:paraId="7437AD17" w14:textId="77777777">
            <w:pPr>
              <w:pStyle w:val="Standard"/>
              <w:spacing w:line="240" w:lineRule="auto"/>
              <w:ind w:firstLine="0"/>
              <w:jc w:val="center"/>
              <w:rPr>
                <w:sz w:val="24"/>
                <w:szCs w:val="24"/>
              </w:rPr>
            </w:pPr>
            <w:r w:rsidRPr="00AF149D">
              <w:rPr>
                <w:sz w:val="24"/>
                <w:szCs w:val="24"/>
              </w:rPr>
              <w:t>7%</w:t>
            </w:r>
          </w:p>
        </w:tc>
      </w:tr>
      <w:tr w:rsidRPr="00AF149D" w:rsidR="00132248" w:rsidTr="00DA7998" w14:paraId="2ED60CBD" w14:textId="77777777">
        <w:trPr>
          <w:jc w:val="center"/>
        </w:trPr>
        <w:tc>
          <w:tcPr>
            <w:tcW w:w="1165" w:type="dxa"/>
            <w:vAlign w:val="center"/>
          </w:tcPr>
          <w:p w:rsidRPr="00AF149D" w:rsidR="00132248" w:rsidP="00DA7998" w:rsidRDefault="00132248" w14:paraId="4F3AF5E7" w14:textId="77777777">
            <w:pPr>
              <w:pStyle w:val="Standard"/>
              <w:spacing w:line="240" w:lineRule="auto"/>
              <w:ind w:firstLine="0"/>
              <w:jc w:val="center"/>
              <w:rPr>
                <w:sz w:val="24"/>
                <w:szCs w:val="24"/>
              </w:rPr>
            </w:pPr>
            <w:r w:rsidRPr="00AF149D">
              <w:rPr>
                <w:sz w:val="24"/>
                <w:szCs w:val="24"/>
              </w:rPr>
              <w:t>12</w:t>
            </w:r>
          </w:p>
        </w:tc>
        <w:tc>
          <w:tcPr>
            <w:tcW w:w="2250" w:type="dxa"/>
            <w:vMerge/>
            <w:vAlign w:val="center"/>
          </w:tcPr>
          <w:p w:rsidRPr="00AF149D" w:rsidR="00132248" w:rsidP="00DA7998" w:rsidRDefault="00132248" w14:paraId="23F87397" w14:textId="77777777">
            <w:pPr>
              <w:pStyle w:val="Standard"/>
              <w:spacing w:line="240" w:lineRule="auto"/>
              <w:ind w:firstLine="0"/>
              <w:jc w:val="center"/>
              <w:rPr>
                <w:sz w:val="24"/>
                <w:szCs w:val="24"/>
              </w:rPr>
            </w:pPr>
          </w:p>
        </w:tc>
        <w:tc>
          <w:tcPr>
            <w:tcW w:w="2880" w:type="dxa"/>
            <w:vAlign w:val="center"/>
          </w:tcPr>
          <w:p w:rsidRPr="00AF149D" w:rsidR="00132248" w:rsidP="00DA7998" w:rsidRDefault="00132248" w14:paraId="0D772513" w14:textId="77777777">
            <w:pPr>
              <w:pStyle w:val="Standard"/>
              <w:spacing w:line="240" w:lineRule="auto"/>
              <w:ind w:firstLine="0"/>
              <w:jc w:val="center"/>
              <w:rPr>
                <w:sz w:val="24"/>
                <w:szCs w:val="24"/>
              </w:rPr>
            </w:pPr>
            <w:r w:rsidRPr="00AF149D">
              <w:rPr>
                <w:sz w:val="24"/>
                <w:szCs w:val="24"/>
              </w:rPr>
              <w:t>10</w:t>
            </w:r>
          </w:p>
        </w:tc>
      </w:tr>
    </w:tbl>
    <w:p w:rsidR="00132248" w:rsidP="00DA7998" w:rsidRDefault="00132248" w14:paraId="56AAE69E" w14:textId="1E4EDF99">
      <w:pPr>
        <w:pStyle w:val="Standard"/>
        <w:spacing w:before="240"/>
      </w:pPr>
      <w:r>
        <w:t xml:space="preserve">For </w:t>
      </w:r>
      <w:r w:rsidR="00ED00C4">
        <w:t>the</w:t>
      </w:r>
      <w:r>
        <w:t xml:space="preserve"> 12</w:t>
      </w:r>
      <w:r w:rsidR="00DA7998">
        <w:noBreakHyphen/>
      </w:r>
      <w:r>
        <w:t>season alternative, Cal</w:t>
      </w:r>
      <w:r w:rsidR="00DA7998">
        <w:t> </w:t>
      </w:r>
      <w:r>
        <w:t>Advocates contends that the same steps are applied but exceedance values are set by aggregating differences across months, rather than by quarter.</w:t>
      </w:r>
      <w:r>
        <w:rPr>
          <w:rStyle w:val="FootnoteReference"/>
        </w:rPr>
        <w:footnoteReference w:id="40"/>
      </w:r>
      <w:r>
        <w:t xml:space="preserve">  Cal</w:t>
      </w:r>
      <w:r w:rsidR="00DA7998">
        <w:t> </w:t>
      </w:r>
      <w:r>
        <w:t>Advocates believes this approach would reduce the total difference between the average Top 5</w:t>
      </w:r>
      <w:r w:rsidR="00D05F00">
        <w:t> </w:t>
      </w:r>
      <w:r w:rsidR="00ED00C4">
        <w:t xml:space="preserve">Worst </w:t>
      </w:r>
      <w:r>
        <w:t>Day performance and capacity factors identified by an exceedance value.  Cal</w:t>
      </w:r>
      <w:r w:rsidR="00D05F00">
        <w:t> </w:t>
      </w:r>
      <w:r>
        <w:t>Advocates states that in all months, the average capacity factor for the 12</w:t>
      </w:r>
      <w:r w:rsidR="00D05F00">
        <w:noBreakHyphen/>
      </w:r>
      <w:r>
        <w:t>season approach is 18.8</w:t>
      </w:r>
      <w:r w:rsidR="000B4782">
        <w:t>%</w:t>
      </w:r>
      <w:r>
        <w:t>, as compared to 19</w:t>
      </w:r>
      <w:r w:rsidR="000B4782">
        <w:t>%</w:t>
      </w:r>
      <w:r w:rsidR="00D05F00">
        <w:t> </w:t>
      </w:r>
      <w:r>
        <w:t>for the four</w:t>
      </w:r>
      <w:r w:rsidR="00D05F00">
        <w:noBreakHyphen/>
      </w:r>
      <w:r>
        <w:t>season approach, indicating that the 12</w:t>
      </w:r>
      <w:r w:rsidR="00D05F00">
        <w:noBreakHyphen/>
      </w:r>
      <w:r>
        <w:t>season approach is marginally more conservative in capacity counting.  For a region where wind resources have not been installed, Cal</w:t>
      </w:r>
      <w:r w:rsidR="00D05F00">
        <w:t> </w:t>
      </w:r>
      <w:r>
        <w:t xml:space="preserve">Advocates states that exceedance values will need to be calculated using modeled data for a minimum three years </w:t>
      </w:r>
      <w:r w:rsidR="00ED00C4">
        <w:t xml:space="preserve">and maximum five years </w:t>
      </w:r>
      <w:r>
        <w:t xml:space="preserve">to populate the data set, with historical data added to the data set as it becomes available.  </w:t>
      </w:r>
    </w:p>
    <w:p w:rsidR="00132248" w:rsidP="00132248" w:rsidRDefault="00132248" w14:paraId="755E300F" w14:textId="52E4AE79">
      <w:pPr>
        <w:pStyle w:val="Standard"/>
      </w:pPr>
      <w:r>
        <w:lastRenderedPageBreak/>
        <w:t>Cal</w:t>
      </w:r>
      <w:r w:rsidR="00D05F00">
        <w:t> </w:t>
      </w:r>
      <w:r>
        <w:t>Advocates comments that the monthly granularity of 12</w:t>
      </w:r>
      <w:r w:rsidR="00D05F00">
        <w:noBreakHyphen/>
      </w:r>
      <w:r>
        <w:t>seasons provides the most accurate reflection of a high-load day profile of any of the exceedance profiles.</w:t>
      </w:r>
      <w:r>
        <w:rPr>
          <w:rStyle w:val="FootnoteReference"/>
        </w:rPr>
        <w:footnoteReference w:id="41"/>
      </w:r>
      <w:r>
        <w:t xml:space="preserve">  Cal</w:t>
      </w:r>
      <w:r w:rsidR="00D05F00">
        <w:t> </w:t>
      </w:r>
      <w:r>
        <w:t xml:space="preserve">Advocates adds that its proposal would not require periodic revisions to the exceedance level because the proposal automatically calculates the appropriate resource value as new performance data </w:t>
      </w:r>
      <w:r w:rsidR="00ED00C4">
        <w:t xml:space="preserve">becomes </w:t>
      </w:r>
      <w:r>
        <w:t>available.  Cal</w:t>
      </w:r>
      <w:r w:rsidR="00D05F00">
        <w:t> </w:t>
      </w:r>
      <w:r>
        <w:t>Advocates posits that performance</w:t>
      </w:r>
      <w:r w:rsidR="00D05F00">
        <w:noBreakHyphen/>
      </w:r>
      <w:r>
        <w:t>driven methodologies will allow the resource counting approach to be more responsive to the impacts of climate change, as extreme weather events occur in the data</w:t>
      </w:r>
      <w:r w:rsidR="004A752E">
        <w:t xml:space="preserve"> </w:t>
      </w:r>
      <w:r>
        <w:t>set.</w:t>
      </w:r>
    </w:p>
    <w:p w:rsidR="00132248" w:rsidP="00132248" w:rsidRDefault="00132248" w14:paraId="3966A889" w14:textId="7DBE02A1">
      <w:pPr>
        <w:pStyle w:val="Standard"/>
      </w:pPr>
      <w:r>
        <w:t>ACP</w:t>
      </w:r>
      <w:r w:rsidR="00ED00C4">
        <w:t>-CA</w:t>
      </w:r>
      <w:r>
        <w:t xml:space="preserve"> proposes that exceedance profiles for wind be calibrated based on ELCC values to address concerns about arbitrary exceedance thresholds for wind and </w:t>
      </w:r>
      <w:r w:rsidR="00ED00C4">
        <w:t xml:space="preserve">concerns </w:t>
      </w:r>
      <w:r>
        <w:t>that exceedance results differ greatly from ELCC.</w:t>
      </w:r>
      <w:r>
        <w:rPr>
          <w:rStyle w:val="FootnoteReference"/>
        </w:rPr>
        <w:footnoteReference w:id="42"/>
      </w:r>
      <w:r>
        <w:t xml:space="preserve">  ACP</w:t>
      </w:r>
      <w:r w:rsidR="00ED00C4">
        <w:t>-CA</w:t>
      </w:r>
      <w:r>
        <w:t xml:space="preserve"> recommends the following steps:</w:t>
      </w:r>
      <w:r w:rsidR="00D05F00">
        <w:t xml:space="preserve"> </w:t>
      </w:r>
      <w:r>
        <w:t xml:space="preserve"> (1)</w:t>
      </w:r>
      <w:r w:rsidR="00D05F00">
        <w:t> </w:t>
      </w:r>
      <w:r>
        <w:t>develop a monthly profile for each wind region using a large sample of production data; (2)</w:t>
      </w:r>
      <w:r w:rsidR="00D05F00">
        <w:t> </w:t>
      </w:r>
      <w:r>
        <w:t>convert each region’s wind performance to capacity factors using installed capacity, develop 12</w:t>
      </w:r>
      <w:r w:rsidR="00D05F00">
        <w:t> </w:t>
      </w:r>
      <w:r>
        <w:t>monthly 24</w:t>
      </w:r>
      <w:r w:rsidR="00D05F00">
        <w:noBreakHyphen/>
      </w:r>
      <w:r>
        <w:t>hour profiles per</w:t>
      </w:r>
      <w:r w:rsidR="00D05F00">
        <w:t xml:space="preserve"> </w:t>
      </w:r>
      <w:r>
        <w:t xml:space="preserve">region, and average data to arrive at </w:t>
      </w:r>
      <w:r w:rsidR="00ED00C4">
        <w:t xml:space="preserve">a </w:t>
      </w:r>
      <w:r>
        <w:t>24</w:t>
      </w:r>
      <w:r w:rsidR="00D05F00">
        <w:noBreakHyphen/>
      </w:r>
      <w:r>
        <w:t>hour monthly profile; (3)</w:t>
      </w:r>
      <w:r w:rsidR="00D05F00">
        <w:t> </w:t>
      </w:r>
      <w:r>
        <w:t>test monthly exceedance values on a monthly basis and develop average production per month from historical or synthetic data for a monthly capacity factor; (4)</w:t>
      </w:r>
      <w:r w:rsidR="00D05F00">
        <w:t> </w:t>
      </w:r>
      <w:r>
        <w:t>test the monthly profile against monthly ELCC values by applying exceedance analysis</w:t>
      </w:r>
      <w:r w:rsidR="00ED00C4">
        <w:t>; and (5) update the analysis as new production data becomes available and updates to ELCC are available</w:t>
      </w:r>
      <w:r>
        <w:t xml:space="preserve">.  </w:t>
      </w:r>
    </w:p>
    <w:p w:rsidRPr="006D3D2F" w:rsidR="00132248" w:rsidP="00132248" w:rsidRDefault="00132248" w14:paraId="325C57A0" w14:textId="4AE4EE74">
      <w:pPr>
        <w:pStyle w:val="Standard"/>
      </w:pPr>
      <w:r>
        <w:t>SEIA recommends a 50</w:t>
      </w:r>
      <w:r w:rsidR="000B4782">
        <w:t xml:space="preserve">% </w:t>
      </w:r>
      <w:r>
        <w:t>exceedance solar output in the evening hours, stating that this threshold reasonably replicated the monthly 2023</w:t>
      </w:r>
      <w:r w:rsidR="00D05F00">
        <w:t> </w:t>
      </w:r>
      <w:r>
        <w:t>ELCC values.</w:t>
      </w:r>
      <w:r>
        <w:rPr>
          <w:rStyle w:val="FootnoteReference"/>
        </w:rPr>
        <w:footnoteReference w:id="43"/>
      </w:r>
      <w:r>
        <w:t xml:space="preserve">  SEIA bases its proposal on its analysis of the exceedance value of solar against </w:t>
      </w:r>
      <w:r>
        <w:lastRenderedPageBreak/>
        <w:t xml:space="preserve">the 2023 ELCC values for the CAISO solar fleet and evaluation of solar output in hours with significant non-zero loss of load probabilities. </w:t>
      </w:r>
    </w:p>
    <w:p w:rsidR="00132248" w:rsidP="00132248" w:rsidRDefault="00132248" w14:paraId="550E2EBC" w14:textId="3BA70BFD">
      <w:pPr>
        <w:pStyle w:val="Heading3"/>
      </w:pPr>
      <w:bookmarkStart w:name="_Toc131762387" w:id="28"/>
      <w:r w:rsidRPr="00132248">
        <w:t>Summary of Other Proposals</w:t>
      </w:r>
      <w:bookmarkEnd w:id="28"/>
    </w:p>
    <w:p w:rsidR="00132248" w:rsidP="00132248" w:rsidRDefault="00132248" w14:paraId="3304ACDC" w14:textId="0D82932F">
      <w:pPr>
        <w:pStyle w:val="Standard"/>
      </w:pPr>
      <w:r w:rsidRPr="000B39B4">
        <w:t>NRDC</w:t>
      </w:r>
      <w:r>
        <w:t xml:space="preserve"> puts forth two non-exceedance-based proposals, referred to as </w:t>
      </w:r>
      <w:r w:rsidRPr="000B39B4">
        <w:t xml:space="preserve">Worst Day </w:t>
      </w:r>
      <w:r>
        <w:t>p</w:t>
      </w:r>
      <w:r w:rsidRPr="000B39B4">
        <w:t xml:space="preserve">rofiles and </w:t>
      </w:r>
      <w:r w:rsidR="00ED00C4">
        <w:t>LOLE</w:t>
      </w:r>
      <w:r w:rsidRPr="000B39B4">
        <w:t xml:space="preserve"> Study Informed </w:t>
      </w:r>
      <w:r>
        <w:t>p</w:t>
      </w:r>
      <w:r w:rsidRPr="000B39B4">
        <w:t>rofiles.</w:t>
      </w:r>
      <w:r w:rsidRPr="000B39B4">
        <w:rPr>
          <w:rStyle w:val="FootnoteReference"/>
        </w:rPr>
        <w:footnoteReference w:id="44"/>
      </w:r>
      <w:r w:rsidRPr="000B39B4">
        <w:t xml:space="preserve">  </w:t>
      </w:r>
      <w:r>
        <w:t>The Worst Day methodology applies the following steps</w:t>
      </w:r>
      <w:proofErr w:type="gramStart"/>
      <w:r>
        <w:t>:</w:t>
      </w:r>
      <w:r w:rsidR="00D05F00">
        <w:t xml:space="preserve"> </w:t>
      </w:r>
      <w:r>
        <w:t xml:space="preserve"> (</w:t>
      </w:r>
      <w:proofErr w:type="gramEnd"/>
      <w:r>
        <w:t>1)</w:t>
      </w:r>
      <w:r w:rsidR="00D05F00">
        <w:t> </w:t>
      </w:r>
      <w:r>
        <w:t>utilize the SERVM data set; (2)</w:t>
      </w:r>
      <w:r w:rsidR="00D05F00">
        <w:t> </w:t>
      </w:r>
      <w:r>
        <w:t>subset days across all years to the highest 2.5</w:t>
      </w:r>
      <w:r w:rsidR="000B4782">
        <w:t>%</w:t>
      </w:r>
      <w:r w:rsidR="00D05F00">
        <w:t> </w:t>
      </w:r>
      <w:r>
        <w:t>of “worst</w:t>
      </w:r>
      <w:r w:rsidR="00D05F00">
        <w:t> </w:t>
      </w:r>
      <w:r>
        <w:t>days” for each month; and (3)</w:t>
      </w:r>
      <w:r w:rsidR="00D05F00">
        <w:t> </w:t>
      </w:r>
      <w:r>
        <w:t>take the mean output by month</w:t>
      </w:r>
      <w:r w:rsidR="00D05F00">
        <w:noBreakHyphen/>
      </w:r>
      <w:r>
        <w:t xml:space="preserve">hour for all days to produce a synthesized profile.  This proposal samples the highest load days across multiple years and excludes PG&amp;E’s exceedance matching step, which NRDC argues causes error in </w:t>
      </w:r>
      <w:r w:rsidR="00ED00C4">
        <w:t xml:space="preserve">all </w:t>
      </w:r>
      <w:r>
        <w:t xml:space="preserve">hours </w:t>
      </w:r>
      <w:r w:rsidR="00ED00C4">
        <w:t>for which</w:t>
      </w:r>
      <w:r>
        <w:t xml:space="preserve"> the exceedance methodology is not well</w:t>
      </w:r>
      <w:r w:rsidR="00D05F00">
        <w:noBreakHyphen/>
      </w:r>
      <w:r>
        <w:t>matched</w:t>
      </w:r>
      <w:r w:rsidR="00ED00C4">
        <w:t xml:space="preserve"> for peak day results</w:t>
      </w:r>
      <w:r>
        <w:t>.</w:t>
      </w:r>
    </w:p>
    <w:p w:rsidR="00132248" w:rsidP="00132248" w:rsidRDefault="00132248" w14:paraId="55684046" w14:textId="50685E15">
      <w:pPr>
        <w:pStyle w:val="Standard"/>
      </w:pPr>
      <w:r>
        <w:t>The LOLE</w:t>
      </w:r>
      <w:r w:rsidR="00D05F00">
        <w:noBreakHyphen/>
      </w:r>
      <w:r>
        <w:t>Informed methodology leverages LOLE modeling to develop the underlying portfolio.</w:t>
      </w:r>
      <w:r w:rsidR="00ED00C4">
        <w:rPr>
          <w:rStyle w:val="FootnoteReference"/>
        </w:rPr>
        <w:footnoteReference w:id="45"/>
      </w:r>
      <w:r>
        <w:t xml:space="preserve">  The following steps are applied: </w:t>
      </w:r>
      <w:r w:rsidR="00D05F00">
        <w:t xml:space="preserve"> </w:t>
      </w:r>
      <w:r>
        <w:t>(1)</w:t>
      </w:r>
      <w:r w:rsidR="00D05F00">
        <w:t> </w:t>
      </w:r>
      <w:r>
        <w:t>utilize the SERVM data set; (2)</w:t>
      </w:r>
      <w:r w:rsidR="00D05F00">
        <w:t> </w:t>
      </w:r>
      <w:r>
        <w:t>subset days across all runs that experience LOLE events</w:t>
      </w:r>
      <w:r w:rsidR="00ED00C4">
        <w:t xml:space="preserve">; for </w:t>
      </w:r>
      <w:r>
        <w:t>months without observed LOLE, subset the top 1</w:t>
      </w:r>
      <w:r w:rsidR="000B4782">
        <w:t>%</w:t>
      </w:r>
      <w:r w:rsidR="00D05F00">
        <w:t> </w:t>
      </w:r>
      <w:r>
        <w:t>of days by net load</w:t>
      </w:r>
      <w:r w:rsidR="00ED00C4">
        <w:t xml:space="preserve"> or by the narrowest supply margin</w:t>
      </w:r>
      <w:r>
        <w:t>; and (3)</w:t>
      </w:r>
      <w:r w:rsidR="00D05F00">
        <w:t> </w:t>
      </w:r>
      <w:r>
        <w:t>for all days, take the mean output by month-hour to produce a synthesized profile.  NRDC states that both approaches use LOLE modeling to develop synthetic load and resource profiles, as historical observations are limited data sets for all resources and do not exist for many new resources.</w:t>
      </w:r>
    </w:p>
    <w:p w:rsidRPr="00132248" w:rsidR="00132248" w:rsidP="00132248" w:rsidRDefault="00132248" w14:paraId="1283BFFB" w14:textId="33010EDC">
      <w:pPr>
        <w:pStyle w:val="Standard"/>
      </w:pPr>
      <w:proofErr w:type="spellStart"/>
      <w:r>
        <w:t>CalWEA</w:t>
      </w:r>
      <w:proofErr w:type="spellEnd"/>
      <w:r>
        <w:t xml:space="preserve"> recommends basing wind and solar profiles on average historical production during the top 5</w:t>
      </w:r>
      <w:r w:rsidR="00D05F00">
        <w:t> </w:t>
      </w:r>
      <w:r>
        <w:t xml:space="preserve">highest-load days in each month, stating that this </w:t>
      </w:r>
      <w:r>
        <w:lastRenderedPageBreak/>
        <w:t>captures the correlation between production and stressed conditions.</w:t>
      </w:r>
      <w:r>
        <w:rPr>
          <w:rStyle w:val="FootnoteReference"/>
        </w:rPr>
        <w:footnoteReference w:id="46"/>
      </w:r>
      <w:r>
        <w:t xml:space="preserve">  </w:t>
      </w:r>
      <w:proofErr w:type="spellStart"/>
      <w:r>
        <w:t>CalWEA</w:t>
      </w:r>
      <w:proofErr w:type="spellEnd"/>
      <w:r>
        <w:t xml:space="preserve"> adds that this is </w:t>
      </w:r>
      <w:proofErr w:type="gramStart"/>
      <w:r>
        <w:t>similar to</w:t>
      </w:r>
      <w:proofErr w:type="gramEnd"/>
      <w:r>
        <w:t xml:space="preserve"> ELCC but focuses on specific hours each month, and avoids selecting exceedance levels to enumerate the benchmark.</w:t>
      </w:r>
      <w:r>
        <w:rPr>
          <w:rStyle w:val="FootnoteReference"/>
        </w:rPr>
        <w:footnoteReference w:id="47"/>
      </w:r>
    </w:p>
    <w:p w:rsidR="00603238" w:rsidP="00132248" w:rsidRDefault="00132248" w14:paraId="58F46103" w14:textId="7C290A7F">
      <w:pPr>
        <w:pStyle w:val="Heading3"/>
      </w:pPr>
      <w:bookmarkStart w:name="_Toc127179582" w:id="29"/>
      <w:bookmarkStart w:name="_Toc131762388" w:id="30"/>
      <w:r>
        <w:t>Comments on Proposals</w:t>
      </w:r>
      <w:bookmarkEnd w:id="29"/>
      <w:bookmarkEnd w:id="30"/>
    </w:p>
    <w:p w:rsidR="00132248" w:rsidP="00132248" w:rsidRDefault="00132248" w14:paraId="5C2D9B7F" w14:textId="1461A18D">
      <w:pPr>
        <w:pStyle w:val="Standard"/>
      </w:pPr>
      <w:r>
        <w:t>AES and SEIA support PG&amp;E’s proposal.</w:t>
      </w:r>
      <w:r>
        <w:rPr>
          <w:rStyle w:val="FootnoteReference"/>
        </w:rPr>
        <w:footnoteReference w:id="48"/>
      </w:r>
      <w:r>
        <w:t xml:space="preserve">  After evaluating PG&amp;E’s exceedance values based on solar output in the </w:t>
      </w:r>
      <w:r w:rsidR="00ED00C4">
        <w:t>five</w:t>
      </w:r>
      <w:r w:rsidR="00D05F00">
        <w:t> </w:t>
      </w:r>
      <w:r>
        <w:t>peak load days each</w:t>
      </w:r>
      <w:r w:rsidR="00D05F00">
        <w:t> </w:t>
      </w:r>
      <w:r>
        <w:t xml:space="preserve">month, SEIA </w:t>
      </w:r>
      <w:r w:rsidR="00ED00C4">
        <w:t xml:space="preserve">states that </w:t>
      </w:r>
      <w:r>
        <w:t xml:space="preserve">the approach </w:t>
      </w:r>
      <w:r w:rsidR="00ED00C4">
        <w:t>is</w:t>
      </w:r>
      <w:r>
        <w:t xml:space="preserve"> reasonable as the values result in output generally below the peak load day data.  To capture additional days with grid stress that may not be in the Top 5</w:t>
      </w:r>
      <w:r w:rsidR="00D05F00">
        <w:t> </w:t>
      </w:r>
      <w:r>
        <w:t>Days data set, IEP recommends adding to PG&amp;E’s Top</w:t>
      </w:r>
      <w:r w:rsidR="00D05F00">
        <w:t> </w:t>
      </w:r>
      <w:r>
        <w:t>5 Days any days on which CAISO called a Flex Alert.</w:t>
      </w:r>
      <w:r>
        <w:rPr>
          <w:rStyle w:val="FootnoteReference"/>
        </w:rPr>
        <w:footnoteReference w:id="49"/>
      </w:r>
      <w:r>
        <w:t xml:space="preserve">  PG&amp;E finds IEP’s revision to be reasonable and easily implementable.</w:t>
      </w:r>
      <w:r>
        <w:rPr>
          <w:rStyle w:val="FootnoteReference"/>
        </w:rPr>
        <w:footnoteReference w:id="50"/>
      </w:r>
      <w:r>
        <w:t xml:space="preserve">  </w:t>
      </w:r>
    </w:p>
    <w:p w:rsidR="00132248" w:rsidP="00132248" w:rsidRDefault="00132248" w14:paraId="5CB33013" w14:textId="2DF86283">
      <w:pPr>
        <w:pStyle w:val="Standard"/>
      </w:pPr>
      <w:proofErr w:type="spellStart"/>
      <w:r>
        <w:t>CalWEA</w:t>
      </w:r>
      <w:proofErr w:type="spellEnd"/>
      <w:r>
        <w:t xml:space="preserve"> and CESA oppose PG&amp;E’s proposal.</w:t>
      </w:r>
      <w:r>
        <w:rPr>
          <w:rStyle w:val="FootnoteReference"/>
        </w:rPr>
        <w:footnoteReference w:id="51"/>
      </w:r>
      <w:r>
        <w:t xml:space="preserve">  </w:t>
      </w:r>
      <w:proofErr w:type="spellStart"/>
      <w:r>
        <w:t>CalWEA</w:t>
      </w:r>
      <w:proofErr w:type="spellEnd"/>
      <w:r>
        <w:t xml:space="preserve"> expresses concern that the proposal divides the year into a subjective two seasons and that using two exceedance values to represent 12</w:t>
      </w:r>
      <w:r w:rsidR="00D05F00">
        <w:t> </w:t>
      </w:r>
      <w:r>
        <w:t xml:space="preserve">months will result in under-and over-representing actual production.  CESA disfavors PG&amp;E’s approach </w:t>
      </w:r>
      <w:r w:rsidR="00ED00C4">
        <w:t>because</w:t>
      </w:r>
      <w:r>
        <w:t xml:space="preserve"> it only seeks to minimize positive differences, yielding more conservative values from the same data, and notes that the SOD framework allows for a 12</w:t>
      </w:r>
      <w:r w:rsidR="00D05F00">
        <w:noBreakHyphen/>
      </w:r>
      <w:r>
        <w:t xml:space="preserve">season approach that would </w:t>
      </w:r>
      <w:r w:rsidR="00ED00C4">
        <w:t xml:space="preserve">reduce </w:t>
      </w:r>
      <w:r>
        <w:t xml:space="preserve">estimation error.  </w:t>
      </w:r>
    </w:p>
    <w:p w:rsidR="00132248" w:rsidP="00132248" w:rsidRDefault="00132248" w14:paraId="61483A0B" w14:textId="7A5C65B4">
      <w:pPr>
        <w:pStyle w:val="Standard"/>
      </w:pPr>
      <w:r>
        <w:t xml:space="preserve">CAISO </w:t>
      </w:r>
      <w:r w:rsidR="00ED00C4">
        <w:t xml:space="preserve">notes </w:t>
      </w:r>
      <w:r>
        <w:t>that there were many “stressed days” (defined as days when CAISO issued a Flex Alert or emergency declaration) where 70</w:t>
      </w:r>
      <w:r w:rsidR="000B4782">
        <w:t>%</w:t>
      </w:r>
      <w:r w:rsidR="00D05F00">
        <w:t> </w:t>
      </w:r>
      <w:r>
        <w:t xml:space="preserve">exceedance </w:t>
      </w:r>
      <w:r>
        <w:lastRenderedPageBreak/>
        <w:t>profiles did not cover actual production of solar and/or wind, and even 90</w:t>
      </w:r>
      <w:r w:rsidR="000B4782">
        <w:t>%</w:t>
      </w:r>
      <w:r w:rsidR="00D05F00">
        <w:t> </w:t>
      </w:r>
      <w:r>
        <w:t>exceedance did not cover production for all evening hours.</w:t>
      </w:r>
      <w:r>
        <w:rPr>
          <w:rStyle w:val="FootnoteReference"/>
        </w:rPr>
        <w:footnoteReference w:id="52"/>
      </w:r>
      <w:r>
        <w:t xml:space="preserve">  CAISO observes that PG&amp;E’s methodology does not cover all stressed days of the August</w:t>
      </w:r>
      <w:r w:rsidR="00D05F00">
        <w:t> </w:t>
      </w:r>
      <w:r>
        <w:t>2020 and September</w:t>
      </w:r>
      <w:r w:rsidR="00D05F00">
        <w:t> </w:t>
      </w:r>
      <w:r>
        <w:t>2022 heat waves that lasted longer</w:t>
      </w:r>
      <w:r w:rsidR="00D05F00">
        <w:t> </w:t>
      </w:r>
      <w:r>
        <w:t>than five</w:t>
      </w:r>
      <w:r w:rsidR="00D05F00">
        <w:t> </w:t>
      </w:r>
      <w:r>
        <w:t xml:space="preserve">days.  CAISO states that higher exceedance levels better ensure coverage of renewable production on </w:t>
      </w:r>
      <w:proofErr w:type="gramStart"/>
      <w:r>
        <w:t>stressed</w:t>
      </w:r>
      <w:proofErr w:type="gramEnd"/>
      <w:r>
        <w:t xml:space="preserve"> days and better account for the drop in solar in evening</w:t>
      </w:r>
      <w:r w:rsidR="00D05F00">
        <w:t> </w:t>
      </w:r>
      <w:r>
        <w:t>hours.</w:t>
      </w:r>
    </w:p>
    <w:p w:rsidR="00132248" w:rsidP="00132248" w:rsidRDefault="00132248" w14:paraId="2AE79C7A" w14:textId="53A02208">
      <w:pPr>
        <w:pStyle w:val="Standard"/>
      </w:pPr>
      <w:bookmarkStart w:name="_Hlk125444612" w:id="31"/>
      <w:proofErr w:type="spellStart"/>
      <w:r>
        <w:t>CalWEA</w:t>
      </w:r>
      <w:proofErr w:type="spellEnd"/>
      <w:r>
        <w:t>, CESA, CLECA, and</w:t>
      </w:r>
      <w:r w:rsidRPr="00CD3FEA">
        <w:t xml:space="preserve"> </w:t>
      </w:r>
      <w:r>
        <w:t>SEIA support either Cal Advocates’ 12</w:t>
      </w:r>
      <w:r w:rsidR="00D05F00">
        <w:noBreakHyphen/>
      </w:r>
      <w:r>
        <w:t>season or 4</w:t>
      </w:r>
      <w:r w:rsidR="00D05F00">
        <w:noBreakHyphen/>
      </w:r>
      <w:r>
        <w:t>season proposal.</w:t>
      </w:r>
      <w:r>
        <w:rPr>
          <w:rStyle w:val="FootnoteReference"/>
        </w:rPr>
        <w:footnoteReference w:id="53"/>
      </w:r>
      <w:r>
        <w:t xml:space="preserve">  If an exceedance methodology is adopted, </w:t>
      </w:r>
      <w:proofErr w:type="spellStart"/>
      <w:r>
        <w:t>CalWEA</w:t>
      </w:r>
      <w:proofErr w:type="spellEnd"/>
      <w:r>
        <w:t xml:space="preserve"> asserts that Cal</w:t>
      </w:r>
      <w:r w:rsidR="00D05F00">
        <w:t> </w:t>
      </w:r>
      <w:r>
        <w:t>Advocates’ proposal produces QC values that more closely approximate historical production values, as compared to PG&amp;E’s proposal.  CESA notes that Cal</w:t>
      </w:r>
      <w:r w:rsidR="00D05F00">
        <w:t> </w:t>
      </w:r>
      <w:r>
        <w:t xml:space="preserve">Advocates’ proposal attempts to quantify the difference between the exceedance value and </w:t>
      </w:r>
      <w:r w:rsidR="00ED00C4">
        <w:t xml:space="preserve">the </w:t>
      </w:r>
      <w:r>
        <w:t xml:space="preserve">observed </w:t>
      </w:r>
      <w:r w:rsidR="00D05F00">
        <w:t>value and</w:t>
      </w:r>
      <w:r>
        <w:t xml:space="preserve"> minimizes differences for the season.  CESA </w:t>
      </w:r>
      <w:r w:rsidR="00ED00C4">
        <w:t xml:space="preserve">argues that </w:t>
      </w:r>
      <w:r>
        <w:t>the 12</w:t>
      </w:r>
      <w:r w:rsidR="00D05F00">
        <w:noBreakHyphen/>
      </w:r>
      <w:r>
        <w:t>season approach fully leverages the flexibility of the SOD framework to recognize the fluctuation of variable energy resource (VER) output.  CLECA supports the 12</w:t>
      </w:r>
      <w:r w:rsidR="00D05F00">
        <w:noBreakHyphen/>
      </w:r>
      <w:r>
        <w:t xml:space="preserve">season approach but recommends 4-seasons for the test year.  </w:t>
      </w:r>
    </w:p>
    <w:bookmarkEnd w:id="31"/>
    <w:p w:rsidR="00132248" w:rsidP="00132248" w:rsidRDefault="00132248" w14:paraId="126ABE0E" w14:textId="61071A05">
      <w:pPr>
        <w:pStyle w:val="Standard"/>
      </w:pPr>
      <w:r>
        <w:t>Cal</w:t>
      </w:r>
      <w:r w:rsidR="00D05F00">
        <w:t> </w:t>
      </w:r>
      <w:r>
        <w:t>Advocates, CAISO, DMM, and PG&amp;E support MRP’s proposal.</w:t>
      </w:r>
      <w:r>
        <w:rPr>
          <w:rStyle w:val="FootnoteReference"/>
        </w:rPr>
        <w:footnoteReference w:id="54"/>
      </w:r>
      <w:r>
        <w:t xml:space="preserve">  CAISO compared MRP’s and PG&amp;E’s proposals and did not find significant differences between the two.  CAISO states that both proposals generally support an 80</w:t>
      </w:r>
      <w:r w:rsidR="000B4782">
        <w:t>%</w:t>
      </w:r>
      <w:r w:rsidR="00D05F00">
        <w:t> </w:t>
      </w:r>
      <w:r>
        <w:t>exceedance for solar and 75</w:t>
      </w:r>
      <w:r w:rsidR="000B4782">
        <w:t>%</w:t>
      </w:r>
      <w:r w:rsidR="00E92BAA">
        <w:t> </w:t>
      </w:r>
      <w:r>
        <w:t xml:space="preserve">exceedance for wind in summer months.  </w:t>
      </w:r>
      <w:r>
        <w:lastRenderedPageBreak/>
        <w:t xml:space="preserve">CAISO prefers MRP’s proposal as it better ensures that all benchmark hours are covered by the exceedance level, not just hours with potential loss of load.  DMM favors MRP’s proposal because it uses a conservative exceedance value that accounts for all hours and produces nearly </w:t>
      </w:r>
      <w:proofErr w:type="gramStart"/>
      <w:r>
        <w:t>no</w:t>
      </w:r>
      <w:proofErr w:type="gramEnd"/>
      <w:r>
        <w:t xml:space="preserve"> over</w:t>
      </w:r>
      <w:r w:rsidR="00E92BAA">
        <w:noBreakHyphen/>
      </w:r>
      <w:r>
        <w:t xml:space="preserve">counting against the benchmark.  DMM remarks that this helps protect reliability during stressed conditions and against insufficient charging as the system increasingly relies on non-generation resources.  </w:t>
      </w:r>
    </w:p>
    <w:p w:rsidR="00132248" w:rsidP="00132248" w:rsidRDefault="00132248" w14:paraId="2409C860" w14:textId="41E807E5">
      <w:pPr>
        <w:pStyle w:val="Standard"/>
      </w:pPr>
      <w:proofErr w:type="spellStart"/>
      <w:r>
        <w:t>CalWEA</w:t>
      </w:r>
      <w:proofErr w:type="spellEnd"/>
      <w:r>
        <w:t xml:space="preserve"> and SEIA object to MRP’s proposal.</w:t>
      </w:r>
      <w:r>
        <w:rPr>
          <w:rStyle w:val="FootnoteReference"/>
        </w:rPr>
        <w:footnoteReference w:id="55"/>
      </w:r>
      <w:r>
        <w:t xml:space="preserve">  SEIA disagrees with sampling many days that have no reliability concerns and weighing them equally to high-demand days, which may dilute the correlation between solar output and high loads.  SEIA asserts that selecting exceedance values from the Top 5</w:t>
      </w:r>
      <w:r w:rsidR="000B4782">
        <w:t>%</w:t>
      </w:r>
      <w:r w:rsidR="00E92BAA">
        <w:t> </w:t>
      </w:r>
      <w:r>
        <w:t>data set is too conservative, as MRP chooses profiles that do not exceed the Top 5</w:t>
      </w:r>
      <w:r w:rsidR="006A6E5D">
        <w:t>%</w:t>
      </w:r>
      <w:r w:rsidR="00E92BAA">
        <w:t> </w:t>
      </w:r>
      <w:r>
        <w:t>in more than a single hour.</w:t>
      </w:r>
      <w:r>
        <w:rPr>
          <w:rStyle w:val="FootnoteReference"/>
        </w:rPr>
        <w:footnoteReference w:id="56"/>
      </w:r>
      <w:r>
        <w:t xml:space="preserve">  SEIA adds that the aim of selecting an exceedance value is to replicate calibration data as much as possible, not to choose an output consistently lower than the calibration data.  </w:t>
      </w:r>
      <w:proofErr w:type="spellStart"/>
      <w:r>
        <w:t>CalWEA</w:t>
      </w:r>
      <w:proofErr w:type="spellEnd"/>
      <w:r>
        <w:t xml:space="preserve"> states that MRP’s focus on only high-load days results in low sample sizes that generate inaccurate exceedance levels.  Calpine is concerned that</w:t>
      </w:r>
      <w:r w:rsidR="00ED00C4">
        <w:t xml:space="preserve"> MRP’s</w:t>
      </w:r>
      <w:r>
        <w:t xml:space="preserve"> proposal casts too wide a net by including </w:t>
      </w:r>
      <w:r w:rsidR="00ED00C4">
        <w:t xml:space="preserve">significantly </w:t>
      </w:r>
      <w:r>
        <w:t>more days.</w:t>
      </w:r>
      <w:r>
        <w:rPr>
          <w:rStyle w:val="FootnoteReference"/>
        </w:rPr>
        <w:footnoteReference w:id="57"/>
      </w:r>
    </w:p>
    <w:p w:rsidR="00132248" w:rsidP="00132248" w:rsidRDefault="00132248" w14:paraId="2658C193" w14:textId="7D83A578">
      <w:pPr>
        <w:pStyle w:val="Standard"/>
      </w:pPr>
      <w:r>
        <w:t>Numerous parties object to ACP</w:t>
      </w:r>
      <w:r w:rsidR="00E92BAA">
        <w:noBreakHyphen/>
      </w:r>
      <w:r>
        <w:t>CA’s proposal</w:t>
      </w:r>
      <w:r w:rsidRPr="00B958C3">
        <w:t xml:space="preserve"> </w:t>
      </w:r>
      <w:r>
        <w:t>to calibrate exceedance levels using monthly ELCC values to benchmark hourly profiles, including Cal</w:t>
      </w:r>
      <w:r w:rsidR="00E92BAA">
        <w:t> </w:t>
      </w:r>
      <w:r>
        <w:t xml:space="preserve">Advocates, </w:t>
      </w:r>
      <w:proofErr w:type="spellStart"/>
      <w:r>
        <w:t>CalWEA</w:t>
      </w:r>
      <w:proofErr w:type="spellEnd"/>
      <w:r>
        <w:t>, CLECA, IEP, MRP, and PCE.</w:t>
      </w:r>
      <w:r>
        <w:rPr>
          <w:rStyle w:val="FootnoteReference"/>
        </w:rPr>
        <w:footnoteReference w:id="58"/>
      </w:r>
      <w:r>
        <w:t xml:space="preserve">  These parties generally </w:t>
      </w:r>
      <w:r>
        <w:lastRenderedPageBreak/>
        <w:t xml:space="preserve">state that </w:t>
      </w:r>
      <w:r w:rsidR="00ED00C4">
        <w:t xml:space="preserve">the </w:t>
      </w:r>
      <w:r>
        <w:t xml:space="preserve">SOD QC should not be calibrated to ELCC values, which measure a resource’s ability to serve incremental demand for a continuous period and are not intended to reflect hourly values.  By contrast, the SOD framework is intended to ensure adequate resource generation </w:t>
      </w:r>
      <w:proofErr w:type="gramStart"/>
      <w:r>
        <w:t>in</w:t>
      </w:r>
      <w:proofErr w:type="gramEnd"/>
      <w:r>
        <w:t xml:space="preserve"> all hours.  Other </w:t>
      </w:r>
      <w:r w:rsidR="00ED00C4">
        <w:t xml:space="preserve">parties </w:t>
      </w:r>
      <w:r>
        <w:t xml:space="preserve">contend that ELCC values are shaped by assumptions in LOLE studies and not based on actual performance.  </w:t>
      </w:r>
    </w:p>
    <w:p w:rsidR="00132248" w:rsidP="00132248" w:rsidRDefault="00132248" w14:paraId="3606EECF" w14:textId="3E6FDF29">
      <w:pPr>
        <w:pStyle w:val="Standard"/>
      </w:pPr>
      <w:proofErr w:type="spellStart"/>
      <w:r>
        <w:t>CalWEA</w:t>
      </w:r>
      <w:proofErr w:type="spellEnd"/>
      <w:r>
        <w:t xml:space="preserve"> and IEP oppose SEIA’s proposal because </w:t>
      </w:r>
      <w:r w:rsidR="00ED00C4">
        <w:t xml:space="preserve">they argue that </w:t>
      </w:r>
      <w:r>
        <w:t>it misapplies ELCC to justify a 50</w:t>
      </w:r>
      <w:r w:rsidR="006A6E5D">
        <w:t>%</w:t>
      </w:r>
      <w:r>
        <w:t xml:space="preserve"> exceedance level for the SOD framework.</w:t>
      </w:r>
      <w:r>
        <w:rPr>
          <w:rStyle w:val="FootnoteReference"/>
        </w:rPr>
        <w:footnoteReference w:id="59"/>
      </w:r>
      <w:r>
        <w:t xml:space="preserve">  These parties similarly argue that ELCC values were not intended to reflect hourly values and the proposal seems to equate ELCC values as equivalent to net peak capacity factors.</w:t>
      </w:r>
    </w:p>
    <w:p w:rsidR="00132248" w:rsidP="00132248" w:rsidRDefault="00132248" w14:paraId="43043CD6" w14:textId="3FAFACD1">
      <w:pPr>
        <w:pStyle w:val="Standard"/>
      </w:pPr>
      <w:r>
        <w:t xml:space="preserve">Numerous parties </w:t>
      </w:r>
      <w:r w:rsidR="00ED00C4">
        <w:t xml:space="preserve">recommend </w:t>
      </w:r>
      <w:r>
        <w:t>using historical production data to the extent available, including AES, Cal</w:t>
      </w:r>
      <w:r w:rsidR="00E92BAA">
        <w:t> </w:t>
      </w:r>
      <w:r>
        <w:t xml:space="preserve">Advocates, </w:t>
      </w:r>
      <w:proofErr w:type="spellStart"/>
      <w:r>
        <w:t>CalWEA</w:t>
      </w:r>
      <w:proofErr w:type="spellEnd"/>
      <w:r>
        <w:t>, MRP, PG&amp;E, and SEIA.</w:t>
      </w:r>
      <w:r>
        <w:rPr>
          <w:rStyle w:val="FootnoteReference"/>
        </w:rPr>
        <w:footnoteReference w:id="60"/>
      </w:r>
      <w:r>
        <w:t xml:space="preserve">  The parties generally state that historical production data is readily accessible and transparent, whereas synthetic modeling data may not be regularly updated (</w:t>
      </w:r>
      <w:r w:rsidR="00123B27">
        <w:t>due to</w:t>
      </w:r>
      <w:r>
        <w:t xml:space="preserve"> Commission staff constraints) and are difficult to verify.  MRP, Cal</w:t>
      </w:r>
      <w:r w:rsidR="00E92BAA">
        <w:t> </w:t>
      </w:r>
      <w:r>
        <w:t>Advocates, and PG&amp;E add that modeled data should be used if historical data is not available, such as for offshore wind</w:t>
      </w:r>
      <w:r w:rsidR="00123B27">
        <w:t xml:space="preserve"> resources</w:t>
      </w:r>
      <w:r>
        <w:t xml:space="preserve">.  </w:t>
      </w:r>
    </w:p>
    <w:p w:rsidR="00132248" w:rsidP="00132248" w:rsidRDefault="00132248" w14:paraId="149EBC14" w14:textId="158E273E">
      <w:pPr>
        <w:pStyle w:val="Standard"/>
      </w:pPr>
      <w:r>
        <w:t>As for the number of years of data, MRP endorses a rolling five-year data set, updated each time Energy</w:t>
      </w:r>
      <w:r w:rsidR="00E92BAA">
        <w:t> </w:t>
      </w:r>
      <w:r>
        <w:t>Division updates the LOLE study.</w:t>
      </w:r>
      <w:r>
        <w:rPr>
          <w:rStyle w:val="FootnoteReference"/>
        </w:rPr>
        <w:footnoteReference w:id="61"/>
      </w:r>
      <w:r>
        <w:t xml:space="preserve">  PG&amp;E supports five</w:t>
      </w:r>
      <w:r w:rsidR="00E92BAA">
        <w:t> </w:t>
      </w:r>
      <w:r>
        <w:t>or</w:t>
      </w:r>
      <w:r w:rsidR="00E92BAA">
        <w:t> </w:t>
      </w:r>
      <w:r>
        <w:t>more</w:t>
      </w:r>
      <w:r w:rsidR="00E92BAA">
        <w:t> </w:t>
      </w:r>
      <w:r>
        <w:t>years with updates every two years.</w:t>
      </w:r>
      <w:r>
        <w:rPr>
          <w:rStyle w:val="FootnoteReference"/>
        </w:rPr>
        <w:footnoteReference w:id="62"/>
      </w:r>
      <w:r>
        <w:t xml:space="preserve"> </w:t>
      </w:r>
      <w:r w:rsidRPr="001D301F">
        <w:t xml:space="preserve"> </w:t>
      </w:r>
      <w:r>
        <w:t xml:space="preserve">SEIA favors adding </w:t>
      </w:r>
      <w:r>
        <w:lastRenderedPageBreak/>
        <w:t>2021 and 2022 to PG&amp;E’s data set, IEP supports adding a year or two to the data set, and AES supports using six years of data.</w:t>
      </w:r>
      <w:r>
        <w:rPr>
          <w:rStyle w:val="FootnoteReference"/>
        </w:rPr>
        <w:footnoteReference w:id="63"/>
      </w:r>
      <w:r>
        <w:t xml:space="preserve"> </w:t>
      </w:r>
    </w:p>
    <w:p w:rsidR="00132248" w:rsidP="00132248" w:rsidRDefault="00132248" w14:paraId="28A2190B" w14:textId="0E6DE84B">
      <w:pPr>
        <w:pStyle w:val="Standard"/>
      </w:pPr>
      <w:r>
        <w:t>MRP and PCE disagree with using the PRM tool to ensure the profile</w:t>
      </w:r>
      <w:r w:rsidR="00123B27">
        <w:t>s</w:t>
      </w:r>
      <w:r>
        <w:t xml:space="preserve"> </w:t>
      </w:r>
      <w:r w:rsidR="00123B27">
        <w:t>are</w:t>
      </w:r>
      <w:r>
        <w:t xml:space="preserve"> correctly calibrated.</w:t>
      </w:r>
      <w:r>
        <w:rPr>
          <w:rStyle w:val="FootnoteReference"/>
        </w:rPr>
        <w:footnoteReference w:id="64"/>
      </w:r>
      <w:r>
        <w:t xml:space="preserve">  MRP argues that the PRM tool is intended to develop a profile that fits a given </w:t>
      </w:r>
      <w:r w:rsidR="00E92BAA">
        <w:t>PRM but</w:t>
      </w:r>
      <w:r>
        <w:t xml:space="preserve"> does not independently consider what the resource’s contribution would be.  PCE states that counting methodologies are largely irrelevant to reliability and the impact of a higher resource </w:t>
      </w:r>
      <w:r w:rsidR="00123B27">
        <w:t xml:space="preserve">value </w:t>
      </w:r>
      <w:r>
        <w:t xml:space="preserve">will be accounted for in the PRM.  PCE states that if an exceedance value exceeds typical generation in an hour, the PRM will automatically compensate to ensure that LSEs collectively contract with an adequate overall portfolio.  </w:t>
      </w:r>
    </w:p>
    <w:p w:rsidR="00132248" w:rsidP="00132248" w:rsidRDefault="00132248" w14:paraId="6DA7834D" w14:textId="29754443">
      <w:pPr>
        <w:pStyle w:val="Standard"/>
      </w:pPr>
      <w:r>
        <w:t>PG&amp;E asserts that curtailments should not be adjusted at this time given the difficulties with accounting for them.</w:t>
      </w:r>
      <w:r>
        <w:rPr>
          <w:rStyle w:val="FootnoteReference"/>
        </w:rPr>
        <w:footnoteReference w:id="65"/>
      </w:r>
      <w:r>
        <w:t xml:space="preserve">  PG&amp;E suggests evaluating this issue in the future to ensure it </w:t>
      </w:r>
      <w:r w:rsidR="00123B27">
        <w:t>does not have</w:t>
      </w:r>
      <w:r>
        <w:t xml:space="preserve"> a significant impact on resource value.  MRP comments that it would be reasonable to add curtailed generation back in for system curtailments, but for local curtailments, there should be more understanding of how susceptible the resource is to congestion.</w:t>
      </w:r>
      <w:r>
        <w:rPr>
          <w:rStyle w:val="FootnoteReference"/>
        </w:rPr>
        <w:footnoteReference w:id="66"/>
      </w:r>
      <w:r>
        <w:t xml:space="preserve">  MRP recommends Energy</w:t>
      </w:r>
      <w:r w:rsidR="00E92BAA">
        <w:t> </w:t>
      </w:r>
      <w:r>
        <w:t xml:space="preserve">Division work with CAISO to obtain aggregate curtailment data by resource technology. </w:t>
      </w:r>
    </w:p>
    <w:p w:rsidR="00216AF0" w:rsidP="00132248" w:rsidRDefault="00132248" w14:paraId="5D9000A8" w14:textId="1276E63F">
      <w:pPr>
        <w:pStyle w:val="Heading3"/>
      </w:pPr>
      <w:bookmarkStart w:name="_Toc131762389" w:id="32"/>
      <w:r>
        <w:t>Discussion</w:t>
      </w:r>
      <w:bookmarkEnd w:id="32"/>
    </w:p>
    <w:p w:rsidR="00132248" w:rsidP="00132248" w:rsidRDefault="00132248" w14:paraId="0EE5B753" w14:textId="0B3A139B">
      <w:pPr>
        <w:pStyle w:val="Standard"/>
      </w:pPr>
      <w:r>
        <w:t>In D.22</w:t>
      </w:r>
      <w:r w:rsidR="00E92BAA">
        <w:noBreakHyphen/>
      </w:r>
      <w:r>
        <w:t>06</w:t>
      </w:r>
      <w:r w:rsidR="00E92BAA">
        <w:noBreakHyphen/>
      </w:r>
      <w:r>
        <w:t xml:space="preserve">050, the Commission determined that PG&amp;E’s proposed exceedance methodology provided “a sufficient means to determine solar and wind profiles that are benchmarked to stressed system conditions” but that “the </w:t>
      </w:r>
      <w:r>
        <w:lastRenderedPageBreak/>
        <w:t>exceedance levels recommended by PG&amp;E are based</w:t>
      </w:r>
      <w:r w:rsidDel="002A39B4">
        <w:t xml:space="preserve"> on </w:t>
      </w:r>
      <w:r>
        <w:t>a limited set of data (average monthly peak day production for each historical year) and require further development to ensure that the appropriate exceedance levels are benchmarked against a more robust dataset.”</w:t>
      </w:r>
      <w:r>
        <w:rPr>
          <w:rStyle w:val="FootnoteReference"/>
        </w:rPr>
        <w:footnoteReference w:id="67"/>
      </w:r>
      <w:r>
        <w:t xml:space="preserve">  </w:t>
      </w:r>
      <w:r>
        <w:rPr>
          <w:szCs w:val="26"/>
        </w:rPr>
        <w:t>We further stated that</w:t>
      </w:r>
      <w:r w:rsidRPr="00962E73">
        <w:rPr>
          <w:szCs w:val="26"/>
        </w:rPr>
        <w:t xml:space="preserve"> “[r]</w:t>
      </w:r>
      <w:proofErr w:type="spellStart"/>
      <w:r w:rsidRPr="00962E73">
        <w:rPr>
          <w:szCs w:val="26"/>
        </w:rPr>
        <w:t>elying</w:t>
      </w:r>
      <w:proofErr w:type="spellEnd"/>
      <w:r w:rsidRPr="00962E73">
        <w:rPr>
          <w:szCs w:val="26"/>
        </w:rPr>
        <w:t xml:space="preserve"> on actual production data, rather than synthetically-produced data, or methodologies tied to the results of modeling outputs, will result in a more implementable framework that can be refreshed annually.”</w:t>
      </w:r>
      <w:r>
        <w:rPr>
          <w:rStyle w:val="FootnoteReference"/>
          <w:szCs w:val="26"/>
        </w:rPr>
        <w:footnoteReference w:id="68"/>
      </w:r>
      <w:r>
        <w:rPr>
          <w:szCs w:val="26"/>
        </w:rPr>
        <w:t xml:space="preserve">  </w:t>
      </w:r>
    </w:p>
    <w:p w:rsidRPr="00CA4B1F" w:rsidR="00132248" w:rsidP="00132248" w:rsidRDefault="00132248" w14:paraId="1DB6ABBE" w14:textId="0A22F4BD">
      <w:pPr>
        <w:pStyle w:val="Standard"/>
      </w:pPr>
      <w:r>
        <w:t>Therefore, the Commission already determined that an exceedance-based methodology shall be used to determine solar and wind resource profiles for the SOD framework.  We also concluded that the use of historical production data will lead to a more implementable framework, as compared to modeled data.  As</w:t>
      </w:r>
      <w:r w:rsidR="00E92BAA">
        <w:t> </w:t>
      </w:r>
      <w:r>
        <w:t>such, we decline to consider non</w:t>
      </w:r>
      <w:r w:rsidR="00E92BAA">
        <w:noBreakHyphen/>
      </w:r>
      <w:r>
        <w:t>exceedance-based proposals that require synthetically</w:t>
      </w:r>
      <w:r w:rsidR="00E92BAA">
        <w:noBreakHyphen/>
      </w:r>
      <w:r>
        <w:t>produced data, such as NRDC’s proposal</w:t>
      </w:r>
      <w:r w:rsidR="00123B27">
        <w:t>s</w:t>
      </w:r>
      <w:r>
        <w:t xml:space="preserve">, for the SOD framework. </w:t>
      </w:r>
    </w:p>
    <w:p w:rsidR="00132248" w:rsidP="00132248" w:rsidRDefault="00132248" w14:paraId="03E76188" w14:textId="12C88EF7">
      <w:pPr>
        <w:pStyle w:val="Standard"/>
      </w:pPr>
      <w:r>
        <w:t>The Commission does not agree with proposals to calibrate exceedance levels using monthly ELCC values to benchmark hourly profiles, as ACP</w:t>
      </w:r>
      <w:r w:rsidR="00E92BAA">
        <w:noBreakHyphen/>
      </w:r>
      <w:r>
        <w:t>CA and SEIA recommend.  As parties point out, these proposals misapply ELCC values that measure a resource’s ability to serve demand over a continuous period (</w:t>
      </w:r>
      <w:r w:rsidRPr="000B5D92">
        <w:rPr>
          <w:i/>
          <w:iCs/>
        </w:rPr>
        <w:t>i.e</w:t>
      </w:r>
      <w:r>
        <w:t>.,</w:t>
      </w:r>
      <w:r w:rsidR="00E92BAA">
        <w:t> </w:t>
      </w:r>
      <w:r>
        <w:t>a year or month) to the 24</w:t>
      </w:r>
      <w:r w:rsidR="00E92BAA">
        <w:noBreakHyphen/>
      </w:r>
      <w:r>
        <w:t xml:space="preserve">hour SOD values, which </w:t>
      </w:r>
      <w:r w:rsidR="00123B27">
        <w:t xml:space="preserve">are </w:t>
      </w:r>
      <w:r>
        <w:t xml:space="preserve">intended to ensure grid reliability in all hours. </w:t>
      </w:r>
    </w:p>
    <w:p w:rsidR="00132248" w:rsidP="00132248" w:rsidRDefault="00132248" w14:paraId="5E955926" w14:textId="73C00707">
      <w:pPr>
        <w:pStyle w:val="Standard"/>
      </w:pPr>
      <w:r>
        <w:t xml:space="preserve">The Commission finds that PG&amp;E’s </w:t>
      </w:r>
      <w:r w:rsidR="00E208AA">
        <w:t xml:space="preserve">Top 5 </w:t>
      </w:r>
      <w:r w:rsidR="00922521">
        <w:t>D</w:t>
      </w:r>
      <w:r w:rsidR="00E208AA">
        <w:t xml:space="preserve">ays </w:t>
      </w:r>
      <w:r>
        <w:t xml:space="preserve">exceedance-based methodology provides a reasonable means to determine solar and wind profiles benchmarked to stressed system conditions.  </w:t>
      </w:r>
      <w:r w:rsidRPr="00935723" w:rsidR="00E208AA">
        <w:t>We also agree with IEP’s modification that</w:t>
      </w:r>
      <w:r w:rsidRPr="00CA46DC" w:rsidR="007E1A7E">
        <w:t>,</w:t>
      </w:r>
      <w:r w:rsidRPr="00935723" w:rsidR="00E208AA">
        <w:t xml:space="preserve"> in addition to PG&amp;E’s Top 5 Days, any day on which CAISO </w:t>
      </w:r>
      <w:r w:rsidRPr="00935723" w:rsidR="00E208AA">
        <w:lastRenderedPageBreak/>
        <w:t>called a Flex Alert should be added to the data set.</w:t>
      </w:r>
      <w:r w:rsidR="00E208AA">
        <w:t xml:space="preserve">  </w:t>
      </w:r>
      <w:r w:rsidR="00FE1B36">
        <w:t>PG&amp;E’s</w:t>
      </w:r>
      <w:r>
        <w:t xml:space="preserve"> proposal would result in a</w:t>
      </w:r>
      <w:r w:rsidR="00134BDD">
        <w:t>n</w:t>
      </w:r>
      <w:r>
        <w:t xml:space="preserve"> accurate approximation of a high-load day profile using historical production values.  While MRP’s Top 5</w:t>
      </w:r>
      <w:r w:rsidR="006A6E5D">
        <w:t xml:space="preserve">% </w:t>
      </w:r>
      <w:r>
        <w:t>proposal has merit, the Commission agrees that it uses a potentially large sampling of days in which there may be no reliability issues, which could result in an overly conservative estimate of solar and wind output.  In addition, the Top 5</w:t>
      </w:r>
      <w:r w:rsidR="006A6E5D">
        <w:t>%</w:t>
      </w:r>
      <w:r>
        <w:t xml:space="preserve"> proposal requires more administrative complexity than a Top</w:t>
      </w:r>
      <w:r w:rsidR="008F3C18">
        <w:t> </w:t>
      </w:r>
      <w:r>
        <w:t>5</w:t>
      </w:r>
      <w:r w:rsidR="008F3C18">
        <w:t> </w:t>
      </w:r>
      <w:r>
        <w:t xml:space="preserve">Day approach. </w:t>
      </w:r>
    </w:p>
    <w:p w:rsidR="008A56B9" w:rsidP="00F20C47" w:rsidRDefault="00132248" w14:paraId="6D4978A5" w14:textId="663A5A78">
      <w:pPr>
        <w:pStyle w:val="Standard"/>
      </w:pPr>
      <w:bookmarkStart w:name="_Hlk131412184" w:id="33"/>
      <w:r>
        <w:t xml:space="preserve">As such, the Commission concludes that </w:t>
      </w:r>
      <w:r w:rsidR="00FE1B36">
        <w:t>PG&amp;E’s Top 5 Day methodology</w:t>
      </w:r>
      <w:r>
        <w:t xml:space="preserve"> is the appropriate exceedance methodology to determine profiles for solar and wind resources for the 24</w:t>
      </w:r>
      <w:r w:rsidR="008F3C18">
        <w:noBreakHyphen/>
      </w:r>
      <w:r>
        <w:t xml:space="preserve">hour SOD framework.  </w:t>
      </w:r>
      <w:r w:rsidRPr="00935723" w:rsidR="00E208AA">
        <w:t xml:space="preserve">PG&amp;E’s Top 5 </w:t>
      </w:r>
      <w:r w:rsidR="00BB4F2C">
        <w:t>D</w:t>
      </w:r>
      <w:r w:rsidRPr="00935723" w:rsidR="00E208AA">
        <w:t xml:space="preserve">ays data set </w:t>
      </w:r>
      <w:r w:rsidR="00ED1459">
        <w:t>will</w:t>
      </w:r>
      <w:r w:rsidRPr="00935723" w:rsidR="00E208AA">
        <w:t xml:space="preserve"> be modified to add any days on which CAISO called a Flex Alert</w:t>
      </w:r>
      <w:r w:rsidR="0057424A">
        <w:t>, Warning, Stage 1-3 Emergency, or EEA 1-3 condition</w:t>
      </w:r>
      <w:r w:rsidRPr="00935723" w:rsidR="00E208AA">
        <w:t>.</w:t>
      </w:r>
      <w:r w:rsidR="00E208AA">
        <w:t xml:space="preserve"> </w:t>
      </w:r>
      <w:r w:rsidR="000870C6">
        <w:t xml:space="preserve"> </w:t>
      </w:r>
      <w:r w:rsidRPr="00323C77">
        <w:t xml:space="preserve">The exceedance methodology </w:t>
      </w:r>
      <w:r w:rsidR="00ED1459">
        <w:t>will</w:t>
      </w:r>
      <w:r w:rsidRPr="00323C77" w:rsidR="00ED1459">
        <w:t xml:space="preserve"> </w:t>
      </w:r>
      <w:r w:rsidRPr="00323C77">
        <w:t>be applied to historical data to generate technology (solar fixed/tracking/solar thermal) and regional profiles.</w:t>
      </w:r>
      <w:r w:rsidR="008A56B9">
        <w:t xml:space="preserve">  </w:t>
      </w:r>
    </w:p>
    <w:p w:rsidR="00132248" w:rsidP="00471BF4" w:rsidRDefault="00132248" w14:paraId="2C40C8AF" w14:textId="0DCE1329">
      <w:pPr>
        <w:pStyle w:val="Standard"/>
      </w:pPr>
      <w:r>
        <w:t xml:space="preserve">The Commission concludes that six years of historical production data, with </w:t>
      </w:r>
      <w:r w:rsidR="001D143A">
        <w:t>updates every year</w:t>
      </w:r>
      <w:r>
        <w:t xml:space="preserve">, is reasonable as the basis for the exceedance methodology.  </w:t>
      </w:r>
      <w:r w:rsidR="00123B27">
        <w:t xml:space="preserve">For example, for 2024, exceedance values will use historical production data from 2017 – 2022.  </w:t>
      </w:r>
      <w:r w:rsidR="001D143A">
        <w:t xml:space="preserve">Where </w:t>
      </w:r>
      <w:r w:rsidR="003E7313">
        <w:t xml:space="preserve">six years of </w:t>
      </w:r>
      <w:r>
        <w:t>historical production data is not available</w:t>
      </w:r>
      <w:r w:rsidRPr="003E7313" w:rsidR="003E7313">
        <w:t xml:space="preserve"> </w:t>
      </w:r>
      <w:r w:rsidR="003E7313">
        <w:t xml:space="preserve">for resources in new locations </w:t>
      </w:r>
      <w:r w:rsidR="004C2711">
        <w:t>(such as out</w:t>
      </w:r>
      <w:r w:rsidR="004C2711">
        <w:noBreakHyphen/>
        <w:t>of</w:t>
      </w:r>
      <w:r w:rsidR="004C2711">
        <w:noBreakHyphen/>
        <w:t xml:space="preserve">state areas or offshore wind) </w:t>
      </w:r>
      <w:r w:rsidR="003E7313">
        <w:t>or for new technologies</w:t>
      </w:r>
      <w:r>
        <w:t xml:space="preserve">, exceedance values </w:t>
      </w:r>
      <w:r w:rsidR="00ED1459">
        <w:t xml:space="preserve">will </w:t>
      </w:r>
      <w:r>
        <w:t xml:space="preserve">be calculated using modeled data for a minimum </w:t>
      </w:r>
      <w:r w:rsidR="008D2A60">
        <w:t xml:space="preserve">three years </w:t>
      </w:r>
      <w:r>
        <w:t>to populate the data set.</w:t>
      </w:r>
      <w:r w:rsidR="00B7579E">
        <w:t xml:space="preserve">  </w:t>
      </w:r>
      <w:bookmarkStart w:name="_Hlk128473344" w:id="34"/>
      <w:r w:rsidRPr="00323C77" w:rsidR="00B7579E">
        <w:t xml:space="preserve">The modeled data </w:t>
      </w:r>
      <w:r w:rsidR="00ED1459">
        <w:t>will</w:t>
      </w:r>
      <w:r w:rsidRPr="00323C77" w:rsidR="00B7579E">
        <w:t xml:space="preserve"> be sourced from </w:t>
      </w:r>
      <w:r w:rsidR="003C0464">
        <w:t xml:space="preserve">the most recent </w:t>
      </w:r>
      <w:r w:rsidRPr="00323C77" w:rsidR="00B7579E">
        <w:t>IRP modeling.</w:t>
      </w:r>
      <w:bookmarkEnd w:id="34"/>
      <w:r>
        <w:t xml:space="preserve">  As resources in new areas generate historic</w:t>
      </w:r>
      <w:r w:rsidR="008D2A60">
        <w:t>al</w:t>
      </w:r>
      <w:r>
        <w:t xml:space="preserve"> production data, new data </w:t>
      </w:r>
      <w:r w:rsidR="00ED1459">
        <w:t xml:space="preserve">will </w:t>
      </w:r>
      <w:r>
        <w:t>be added to the data set and displace earlier years.</w:t>
      </w:r>
      <w:r w:rsidR="00F20C47">
        <w:t xml:space="preserve">  Energy Division is directed to develop the solar and wind resource profiles, which will be incorporated into the MRD</w:t>
      </w:r>
      <w:r w:rsidR="00471BF4">
        <w:t xml:space="preserve">, and </w:t>
      </w:r>
      <w:r w:rsidR="00471BF4">
        <w:lastRenderedPageBreak/>
        <w:t>to publish the non-confidential version of the exceedance calculations</w:t>
      </w:r>
      <w:r w:rsidR="00F20C47">
        <w:t xml:space="preserve">.  </w:t>
      </w:r>
      <w:r w:rsidR="009970E8">
        <w:t>Energy Division is authorized to solicit informal feedback from parties.</w:t>
      </w:r>
    </w:p>
    <w:bookmarkEnd w:id="33"/>
    <w:p w:rsidRPr="00E65CE3" w:rsidR="00132248" w:rsidP="00132248" w:rsidRDefault="00132248" w14:paraId="4C5FB0FF" w14:textId="77777777">
      <w:pPr>
        <w:pStyle w:val="Standard"/>
      </w:pPr>
      <w:r>
        <w:t xml:space="preserve">Lastly, the Commission does not have a data source to address curtailment issues </w:t>
      </w:r>
      <w:proofErr w:type="gramStart"/>
      <w:r>
        <w:t>at this time</w:t>
      </w:r>
      <w:proofErr w:type="gramEnd"/>
      <w:r>
        <w:t>.</w:t>
      </w:r>
      <w:r w:rsidRPr="00985F88">
        <w:t xml:space="preserve"> </w:t>
      </w:r>
      <w:r>
        <w:t xml:space="preserve"> To the extent that curtailment issues arise in the future and verified data is available, the Commission may consider including such curtailment in the data set.</w:t>
      </w:r>
    </w:p>
    <w:p w:rsidR="00132248" w:rsidP="00132248" w:rsidRDefault="00132248" w14:paraId="766BB79B" w14:textId="6328126C">
      <w:pPr>
        <w:pStyle w:val="Heading2"/>
      </w:pPr>
      <w:bookmarkStart w:name="_Toc127179584" w:id="35"/>
      <w:bookmarkStart w:name="_Toc131762390" w:id="36"/>
      <w:r>
        <w:t>Hybrid and Co-Located Resource Counting</w:t>
      </w:r>
      <w:bookmarkEnd w:id="35"/>
      <w:bookmarkEnd w:id="36"/>
    </w:p>
    <w:p w:rsidRPr="00463A7D" w:rsidR="0022688B" w:rsidP="0022688B" w:rsidRDefault="0022688B" w14:paraId="01A57125" w14:textId="20F35C7F">
      <w:pPr>
        <w:rPr>
          <w:rFonts w:eastAsia="Times New Roman"/>
        </w:rPr>
      </w:pPr>
      <w:r>
        <w:rPr>
          <w:rFonts w:eastAsia="Times New Roman"/>
          <w:szCs w:val="26"/>
        </w:rPr>
        <w:t>In D.22</w:t>
      </w:r>
      <w:r w:rsidR="008F3C18">
        <w:rPr>
          <w:rFonts w:eastAsia="Times New Roman"/>
          <w:szCs w:val="26"/>
        </w:rPr>
        <w:noBreakHyphen/>
      </w:r>
      <w:r>
        <w:rPr>
          <w:rFonts w:eastAsia="Times New Roman"/>
          <w:szCs w:val="26"/>
        </w:rPr>
        <w:t>06</w:t>
      </w:r>
      <w:r w:rsidR="008F3C18">
        <w:rPr>
          <w:rFonts w:eastAsia="Times New Roman"/>
          <w:szCs w:val="26"/>
        </w:rPr>
        <w:noBreakHyphen/>
      </w:r>
      <w:r>
        <w:rPr>
          <w:rFonts w:eastAsia="Times New Roman"/>
          <w:szCs w:val="26"/>
        </w:rPr>
        <w:t>050, the Commission stated that</w:t>
      </w:r>
      <w:r w:rsidRPr="007C5AEE">
        <w:rPr>
          <w:rFonts w:eastAsia="Times New Roman"/>
          <w:szCs w:val="26"/>
        </w:rPr>
        <w:t xml:space="preserve"> </w:t>
      </w:r>
      <w:r>
        <w:rPr>
          <w:rFonts w:eastAsia="Times New Roman"/>
          <w:szCs w:val="26"/>
        </w:rPr>
        <w:t>for hybrid and co</w:t>
      </w:r>
      <w:r w:rsidR="008F3C18">
        <w:rPr>
          <w:rFonts w:eastAsia="Times New Roman"/>
          <w:szCs w:val="26"/>
        </w:rPr>
        <w:noBreakHyphen/>
      </w:r>
      <w:r>
        <w:rPr>
          <w:rFonts w:eastAsia="Times New Roman"/>
          <w:szCs w:val="26"/>
        </w:rPr>
        <w:t xml:space="preserve">located resources, </w:t>
      </w:r>
      <w:r w:rsidRPr="30F2DC07">
        <w:rPr>
          <w:rFonts w:eastAsia="Times New Roman"/>
        </w:rPr>
        <w:t xml:space="preserve">the </w:t>
      </w:r>
      <w:r w:rsidRPr="04B9EA95">
        <w:rPr>
          <w:rFonts w:eastAsia="Times New Roman"/>
        </w:rPr>
        <w:t>existing</w:t>
      </w:r>
      <w:r w:rsidRPr="30F2DC07">
        <w:rPr>
          <w:rFonts w:eastAsia="Times New Roman"/>
        </w:rPr>
        <w:t xml:space="preserve"> additive</w:t>
      </w:r>
      <w:r>
        <w:rPr>
          <w:rFonts w:eastAsia="Times New Roman"/>
        </w:rPr>
        <w:t xml:space="preserve"> QC</w:t>
      </w:r>
      <w:r w:rsidR="008F3C18">
        <w:rPr>
          <w:rFonts w:eastAsia="Times New Roman"/>
        </w:rPr>
        <w:t> </w:t>
      </w:r>
      <w:r w:rsidRPr="04B9EA95">
        <w:rPr>
          <w:rFonts w:eastAsia="Times New Roman"/>
        </w:rPr>
        <w:t>methodology</w:t>
      </w:r>
      <w:r>
        <w:rPr>
          <w:rFonts w:eastAsia="Times New Roman"/>
        </w:rPr>
        <w:t xml:space="preserve"> should be used as a starting point for the 24</w:t>
      </w:r>
      <w:r w:rsidR="008F3C18">
        <w:rPr>
          <w:rFonts w:eastAsia="Times New Roman"/>
        </w:rPr>
        <w:noBreakHyphen/>
      </w:r>
      <w:r>
        <w:rPr>
          <w:rFonts w:eastAsia="Times New Roman"/>
        </w:rPr>
        <w:t>hour framework and updated “</w:t>
      </w:r>
      <w:r w:rsidRPr="7F26D73D">
        <w:rPr>
          <w:rFonts w:eastAsia="Times New Roman"/>
        </w:rPr>
        <w:t>to</w:t>
      </w:r>
      <w:r w:rsidRPr="628E894F">
        <w:rPr>
          <w:rFonts w:eastAsia="Times New Roman"/>
        </w:rPr>
        <w:t xml:space="preserve"> </w:t>
      </w:r>
      <w:r w:rsidRPr="0CC8BB20">
        <w:rPr>
          <w:rFonts w:eastAsia="Times New Roman"/>
        </w:rPr>
        <w:t>use</w:t>
      </w:r>
      <w:r w:rsidRPr="627A8159">
        <w:rPr>
          <w:rFonts w:eastAsia="Times New Roman"/>
        </w:rPr>
        <w:t xml:space="preserve"> </w:t>
      </w:r>
      <w:r>
        <w:rPr>
          <w:rFonts w:eastAsia="Times New Roman"/>
        </w:rPr>
        <w:t xml:space="preserve">an </w:t>
      </w:r>
      <w:r w:rsidRPr="582CF26B">
        <w:rPr>
          <w:rFonts w:eastAsia="Times New Roman"/>
        </w:rPr>
        <w:t>exceedance</w:t>
      </w:r>
      <w:r>
        <w:rPr>
          <w:rFonts w:eastAsia="Times New Roman"/>
        </w:rPr>
        <w:t xml:space="preserve"> approach</w:t>
      </w:r>
      <w:r w:rsidRPr="627A8159">
        <w:rPr>
          <w:rFonts w:eastAsia="Times New Roman"/>
        </w:rPr>
        <w:t xml:space="preserve"> </w:t>
      </w:r>
      <w:r w:rsidRPr="0CC8BB20">
        <w:rPr>
          <w:rFonts w:eastAsia="Times New Roman"/>
        </w:rPr>
        <w:t>(</w:t>
      </w:r>
      <w:r w:rsidRPr="652BC012">
        <w:rPr>
          <w:rFonts w:eastAsia="Times New Roman"/>
        </w:rPr>
        <w:t xml:space="preserve">rather than </w:t>
      </w:r>
      <w:r>
        <w:rPr>
          <w:rFonts w:eastAsia="Times New Roman"/>
        </w:rPr>
        <w:t xml:space="preserve">monthly </w:t>
      </w:r>
      <w:r w:rsidRPr="652BC012">
        <w:rPr>
          <w:rFonts w:eastAsia="Times New Roman"/>
        </w:rPr>
        <w:t>ELCC)</w:t>
      </w:r>
      <w:r w:rsidRPr="0CC8BB20">
        <w:rPr>
          <w:rFonts w:eastAsia="Times New Roman"/>
        </w:rPr>
        <w:t xml:space="preserve"> </w:t>
      </w:r>
      <w:r w:rsidRPr="45CF2699">
        <w:rPr>
          <w:rFonts w:eastAsia="Times New Roman"/>
        </w:rPr>
        <w:t>in valuing</w:t>
      </w:r>
      <w:r w:rsidRPr="627A8159">
        <w:rPr>
          <w:rFonts w:eastAsia="Times New Roman"/>
        </w:rPr>
        <w:t xml:space="preserve"> </w:t>
      </w:r>
      <w:r w:rsidRPr="59FE127B">
        <w:rPr>
          <w:rFonts w:eastAsia="Times New Roman"/>
        </w:rPr>
        <w:t>the solar and wind portion of the resource</w:t>
      </w:r>
      <w:r w:rsidRPr="652BC012">
        <w:rPr>
          <w:rFonts w:eastAsia="Times New Roman"/>
        </w:rPr>
        <w:t xml:space="preserve"> and to account for charging losses.</w:t>
      </w:r>
      <w:r>
        <w:rPr>
          <w:rFonts w:eastAsia="Times New Roman"/>
        </w:rPr>
        <w:t>”</w:t>
      </w:r>
      <w:r>
        <w:rPr>
          <w:rStyle w:val="FootnoteReference"/>
          <w:rFonts w:eastAsia="Times New Roman"/>
        </w:rPr>
        <w:footnoteReference w:id="69"/>
      </w:r>
      <w:r w:rsidRPr="59FE127B">
        <w:rPr>
          <w:rFonts w:eastAsia="Times New Roman"/>
        </w:rPr>
        <w:t xml:space="preserve">  </w:t>
      </w:r>
      <w:r>
        <w:rPr>
          <w:rFonts w:eastAsia="Times New Roman"/>
        </w:rPr>
        <w:t>The Commission</w:t>
      </w:r>
      <w:r w:rsidRPr="7F3E075C">
        <w:rPr>
          <w:rFonts w:eastAsia="Times New Roman"/>
        </w:rPr>
        <w:t xml:space="preserve"> </w:t>
      </w:r>
      <w:r>
        <w:rPr>
          <w:rFonts w:eastAsia="Times New Roman"/>
        </w:rPr>
        <w:t>stated that “</w:t>
      </w:r>
      <w:r w:rsidRPr="007C5AEE">
        <w:rPr>
          <w:rFonts w:eastAsia="Times New Roman"/>
          <w:szCs w:val="26"/>
        </w:rPr>
        <w:t xml:space="preserve">further discussion is needed </w:t>
      </w:r>
      <w:r w:rsidRPr="079D0E0B">
        <w:rPr>
          <w:rFonts w:eastAsia="Times New Roman"/>
        </w:rPr>
        <w:t xml:space="preserve">to address </w:t>
      </w:r>
      <w:r w:rsidRPr="7808C9B5">
        <w:rPr>
          <w:rFonts w:eastAsia="Times New Roman"/>
        </w:rPr>
        <w:t>different hybrid configurations, ITC charging assumptions</w:t>
      </w:r>
      <w:r>
        <w:rPr>
          <w:rFonts w:eastAsia="Times New Roman"/>
        </w:rPr>
        <w:t>,</w:t>
      </w:r>
      <w:r w:rsidRPr="7808C9B5">
        <w:rPr>
          <w:rFonts w:eastAsia="Times New Roman"/>
        </w:rPr>
        <w:t xml:space="preserve"> and </w:t>
      </w:r>
      <w:r w:rsidRPr="582CF26B">
        <w:rPr>
          <w:rFonts w:eastAsia="Times New Roman"/>
        </w:rPr>
        <w:t xml:space="preserve">partial </w:t>
      </w:r>
      <w:r w:rsidRPr="12C0B5F6">
        <w:rPr>
          <w:rFonts w:eastAsia="Times New Roman"/>
        </w:rPr>
        <w:t xml:space="preserve">deliverability </w:t>
      </w:r>
      <w:r w:rsidRPr="582CF26B">
        <w:rPr>
          <w:rFonts w:eastAsia="Times New Roman"/>
        </w:rPr>
        <w:t xml:space="preserve">counting </w:t>
      </w:r>
      <w:r w:rsidRPr="12C0B5F6">
        <w:rPr>
          <w:rFonts w:eastAsia="Times New Roman"/>
        </w:rPr>
        <w:t>under</w:t>
      </w:r>
      <w:r w:rsidRPr="007C5AEE">
        <w:rPr>
          <w:rFonts w:eastAsia="Times New Roman"/>
          <w:szCs w:val="26"/>
        </w:rPr>
        <w:t xml:space="preserve"> the 24</w:t>
      </w:r>
      <w:r w:rsidR="008F3C18">
        <w:rPr>
          <w:rFonts w:eastAsia="Times New Roman"/>
          <w:szCs w:val="26"/>
        </w:rPr>
        <w:noBreakHyphen/>
      </w:r>
      <w:r w:rsidRPr="007C5AEE">
        <w:rPr>
          <w:rFonts w:eastAsia="Times New Roman"/>
          <w:szCs w:val="26"/>
        </w:rPr>
        <w:t>hour framework</w:t>
      </w:r>
      <w:r>
        <w:rPr>
          <w:rFonts w:eastAsia="Times New Roman"/>
          <w:szCs w:val="26"/>
        </w:rPr>
        <w:t>”</w:t>
      </w:r>
      <w:r w:rsidRPr="007C5AEE">
        <w:rPr>
          <w:rFonts w:eastAsia="Times New Roman"/>
          <w:szCs w:val="26"/>
        </w:rPr>
        <w:t xml:space="preserve"> </w:t>
      </w:r>
      <w:r>
        <w:rPr>
          <w:rFonts w:eastAsia="Times New Roman"/>
          <w:szCs w:val="26"/>
        </w:rPr>
        <w:t>and “PG&amp;E’s</w:t>
      </w:r>
      <w:r w:rsidRPr="007C5AEE">
        <w:rPr>
          <w:rFonts w:eastAsia="Times New Roman"/>
          <w:szCs w:val="26"/>
        </w:rPr>
        <w:t xml:space="preserve"> proposal </w:t>
      </w:r>
      <w:r>
        <w:rPr>
          <w:rFonts w:eastAsia="Times New Roman"/>
          <w:szCs w:val="26"/>
        </w:rPr>
        <w:t>should</w:t>
      </w:r>
      <w:r w:rsidRPr="007C5AEE">
        <w:rPr>
          <w:rFonts w:eastAsia="Times New Roman"/>
          <w:szCs w:val="26"/>
        </w:rPr>
        <w:t xml:space="preserve"> be further refined to capture the necessary data to reflect hybrid and co</w:t>
      </w:r>
      <w:r w:rsidR="008F3C18">
        <w:rPr>
          <w:rFonts w:eastAsia="Times New Roman"/>
          <w:szCs w:val="26"/>
        </w:rPr>
        <w:noBreakHyphen/>
      </w:r>
      <w:r w:rsidRPr="007C5AEE">
        <w:rPr>
          <w:rFonts w:eastAsia="Times New Roman"/>
          <w:szCs w:val="26"/>
        </w:rPr>
        <w:t xml:space="preserve">located </w:t>
      </w:r>
      <w:r>
        <w:rPr>
          <w:rFonts w:eastAsia="Times New Roman"/>
          <w:szCs w:val="26"/>
        </w:rPr>
        <w:t xml:space="preserve">configurations </w:t>
      </w:r>
      <w:r w:rsidRPr="007C5AEE">
        <w:rPr>
          <w:rFonts w:eastAsia="Times New Roman"/>
          <w:szCs w:val="26"/>
        </w:rPr>
        <w:t>across the 24</w:t>
      </w:r>
      <w:r w:rsidR="008F3C18">
        <w:rPr>
          <w:rFonts w:eastAsia="Times New Roman"/>
          <w:szCs w:val="26"/>
        </w:rPr>
        <w:noBreakHyphen/>
      </w:r>
      <w:r w:rsidRPr="007C5AEE">
        <w:rPr>
          <w:rFonts w:eastAsia="Times New Roman"/>
          <w:szCs w:val="26"/>
        </w:rPr>
        <w:t xml:space="preserve">hour slices through </w:t>
      </w:r>
      <w:r>
        <w:rPr>
          <w:rFonts w:eastAsia="Times New Roman"/>
          <w:szCs w:val="26"/>
        </w:rPr>
        <w:t xml:space="preserve">the development of the </w:t>
      </w:r>
      <w:r w:rsidRPr="007C5AEE">
        <w:rPr>
          <w:rFonts w:eastAsia="Times New Roman"/>
          <w:szCs w:val="26"/>
        </w:rPr>
        <w:t xml:space="preserve">RA </w:t>
      </w:r>
      <w:r>
        <w:rPr>
          <w:rFonts w:eastAsia="Times New Roman"/>
          <w:szCs w:val="26"/>
        </w:rPr>
        <w:t>R</w:t>
      </w:r>
      <w:r w:rsidRPr="007C5AEE">
        <w:rPr>
          <w:rFonts w:eastAsia="Times New Roman"/>
          <w:szCs w:val="26"/>
        </w:rPr>
        <w:t xml:space="preserve">esource </w:t>
      </w:r>
      <w:r>
        <w:rPr>
          <w:rFonts w:eastAsia="Times New Roman"/>
          <w:szCs w:val="26"/>
        </w:rPr>
        <w:t>Master D</w:t>
      </w:r>
      <w:r w:rsidRPr="007C5AEE">
        <w:rPr>
          <w:rFonts w:eastAsia="Times New Roman"/>
          <w:szCs w:val="26"/>
        </w:rPr>
        <w:t>atabase.</w:t>
      </w:r>
      <w:r>
        <w:rPr>
          <w:rFonts w:eastAsia="Times New Roman"/>
          <w:szCs w:val="26"/>
        </w:rPr>
        <w:t>”</w:t>
      </w:r>
      <w:r>
        <w:rPr>
          <w:rStyle w:val="FootnoteReference"/>
          <w:rFonts w:eastAsia="Times New Roman"/>
          <w:szCs w:val="26"/>
        </w:rPr>
        <w:footnoteReference w:id="70"/>
      </w:r>
      <w:r w:rsidRPr="007C5AEE">
        <w:rPr>
          <w:rFonts w:eastAsia="Times New Roman"/>
          <w:szCs w:val="26"/>
        </w:rPr>
        <w:t xml:space="preserve">  </w:t>
      </w:r>
    </w:p>
    <w:p w:rsidRPr="00CC4337" w:rsidR="0022688B" w:rsidP="0022688B" w:rsidRDefault="0022688B" w14:paraId="42F24147" w14:textId="68993B08">
      <w:pPr>
        <w:rPr>
          <w:rFonts w:eastAsia="Times New Roman"/>
          <w:szCs w:val="26"/>
        </w:rPr>
      </w:pPr>
      <w:r>
        <w:rPr>
          <w:rFonts w:eastAsia="Times New Roman"/>
          <w:szCs w:val="26"/>
        </w:rPr>
        <w:t>PG&amp;E proposes that the</w:t>
      </w:r>
      <w:r w:rsidRPr="00CC4337">
        <w:rPr>
          <w:rFonts w:eastAsia="Times New Roman"/>
          <w:szCs w:val="26"/>
        </w:rPr>
        <w:t xml:space="preserve"> </w:t>
      </w:r>
      <w:r>
        <w:rPr>
          <w:rFonts w:eastAsia="Times New Roman"/>
          <w:szCs w:val="26"/>
        </w:rPr>
        <w:t xml:space="preserve">hybrid </w:t>
      </w:r>
      <w:r w:rsidRPr="00CC4337">
        <w:rPr>
          <w:rFonts w:eastAsia="Times New Roman"/>
          <w:szCs w:val="26"/>
        </w:rPr>
        <w:t xml:space="preserve">methodology </w:t>
      </w:r>
      <w:r>
        <w:rPr>
          <w:rFonts w:eastAsia="Times New Roman"/>
          <w:szCs w:val="26"/>
        </w:rPr>
        <w:t xml:space="preserve">should </w:t>
      </w:r>
      <w:r w:rsidRPr="00CC4337">
        <w:rPr>
          <w:rFonts w:eastAsia="Times New Roman"/>
          <w:szCs w:val="26"/>
        </w:rPr>
        <w:t>update the storage capacity to account for charging losses</w:t>
      </w:r>
      <w:r>
        <w:rPr>
          <w:rFonts w:eastAsia="Times New Roman"/>
          <w:szCs w:val="26"/>
        </w:rPr>
        <w:t xml:space="preserve"> </w:t>
      </w:r>
      <w:r w:rsidRPr="00CC4337">
        <w:rPr>
          <w:rFonts w:eastAsia="Times New Roman"/>
          <w:szCs w:val="26"/>
        </w:rPr>
        <w:t xml:space="preserve">and </w:t>
      </w:r>
      <w:r>
        <w:rPr>
          <w:rFonts w:eastAsia="Times New Roman"/>
          <w:szCs w:val="26"/>
        </w:rPr>
        <w:t>count all</w:t>
      </w:r>
      <w:r w:rsidRPr="00CC4337">
        <w:rPr>
          <w:rFonts w:eastAsia="Times New Roman"/>
          <w:szCs w:val="26"/>
        </w:rPr>
        <w:t xml:space="preserve"> renewable capacity </w:t>
      </w:r>
      <w:r>
        <w:rPr>
          <w:rFonts w:eastAsia="Times New Roman"/>
          <w:szCs w:val="26"/>
        </w:rPr>
        <w:t>available to charge the storage resource, even if</w:t>
      </w:r>
      <w:r w:rsidRPr="00CC4337">
        <w:rPr>
          <w:rFonts w:eastAsia="Times New Roman"/>
          <w:szCs w:val="26"/>
        </w:rPr>
        <w:t xml:space="preserve"> some </w:t>
      </w:r>
      <w:r>
        <w:rPr>
          <w:rFonts w:eastAsia="Times New Roman"/>
          <w:szCs w:val="26"/>
        </w:rPr>
        <w:t xml:space="preserve">renewables </w:t>
      </w:r>
      <w:r w:rsidRPr="00CC4337">
        <w:rPr>
          <w:rFonts w:eastAsia="Times New Roman"/>
          <w:szCs w:val="26"/>
        </w:rPr>
        <w:t>are not deliverable.</w:t>
      </w:r>
      <w:r w:rsidRPr="00CC4337">
        <w:rPr>
          <w:rStyle w:val="FootnoteReference"/>
          <w:rFonts w:eastAsia="Times New Roman"/>
          <w:szCs w:val="26"/>
        </w:rPr>
        <w:footnoteReference w:id="71"/>
      </w:r>
      <w:r w:rsidRPr="00CC4337">
        <w:rPr>
          <w:rFonts w:eastAsia="Times New Roman"/>
          <w:szCs w:val="26"/>
        </w:rPr>
        <w:t xml:space="preserve">  Remaining capacity from </w:t>
      </w:r>
      <w:r>
        <w:rPr>
          <w:rFonts w:eastAsia="Times New Roman"/>
          <w:szCs w:val="26"/>
        </w:rPr>
        <w:t xml:space="preserve">a </w:t>
      </w:r>
      <w:r w:rsidRPr="00CC4337">
        <w:rPr>
          <w:rFonts w:eastAsia="Times New Roman"/>
          <w:szCs w:val="26"/>
        </w:rPr>
        <w:t xml:space="preserve">generating resource after the storage component’s charging requirement is met would be counted using the new renewable counting methodology.  Resources without charging restrictions </w:t>
      </w:r>
      <w:r>
        <w:rPr>
          <w:rFonts w:eastAsia="Times New Roman"/>
          <w:szCs w:val="26"/>
        </w:rPr>
        <w:t>would</w:t>
      </w:r>
      <w:r w:rsidRPr="00CC4337">
        <w:rPr>
          <w:rFonts w:eastAsia="Times New Roman"/>
          <w:szCs w:val="26"/>
        </w:rPr>
        <w:t xml:space="preserve"> be </w:t>
      </w:r>
      <w:r w:rsidRPr="00CC4337">
        <w:rPr>
          <w:rFonts w:eastAsia="Times New Roman"/>
          <w:szCs w:val="26"/>
        </w:rPr>
        <w:lastRenderedPageBreak/>
        <w:t>counted using the methodology applied to relevant standalone generating resource type</w:t>
      </w:r>
      <w:r w:rsidR="008D2A60">
        <w:rPr>
          <w:rFonts w:eastAsia="Times New Roman"/>
          <w:szCs w:val="26"/>
        </w:rPr>
        <w:t>s</w:t>
      </w:r>
      <w:r w:rsidRPr="00CC4337">
        <w:rPr>
          <w:rFonts w:eastAsia="Times New Roman"/>
          <w:szCs w:val="26"/>
        </w:rPr>
        <w:t>, as is done today.</w:t>
      </w:r>
    </w:p>
    <w:p w:rsidR="0022688B" w:rsidP="0022688B" w:rsidRDefault="0022688B" w14:paraId="62BF1A68" w14:textId="5F5B528B">
      <w:pPr>
        <w:rPr>
          <w:rFonts w:eastAsia="Times New Roman"/>
          <w:szCs w:val="26"/>
        </w:rPr>
      </w:pPr>
      <w:r>
        <w:rPr>
          <w:rFonts w:eastAsia="Times New Roman"/>
          <w:szCs w:val="26"/>
        </w:rPr>
        <w:t>CESA recommends that paired resources should be characterized as charging exclusively on-site or allowing grid charging.</w:t>
      </w:r>
      <w:r>
        <w:rPr>
          <w:rStyle w:val="FootnoteReference"/>
          <w:rFonts w:eastAsia="Times New Roman"/>
          <w:szCs w:val="26"/>
        </w:rPr>
        <w:footnoteReference w:id="72"/>
      </w:r>
      <w:r>
        <w:rPr>
          <w:rFonts w:eastAsia="Times New Roman"/>
          <w:szCs w:val="26"/>
        </w:rPr>
        <w:t xml:space="preserve">  If a resource allows grid charging, the contribution of the resource’s components to meeting SOD needs should be assigned individually.  If a resource can charge fully on</w:t>
      </w:r>
      <w:r w:rsidR="008F3C18">
        <w:rPr>
          <w:rFonts w:eastAsia="Times New Roman"/>
          <w:szCs w:val="26"/>
        </w:rPr>
        <w:noBreakHyphen/>
      </w:r>
      <w:r>
        <w:rPr>
          <w:rFonts w:eastAsia="Times New Roman"/>
          <w:szCs w:val="26"/>
        </w:rPr>
        <w:t>site, the contribution of the resource’s components should be based on sufficiency internally, as only on</w:t>
      </w:r>
      <w:r w:rsidR="008F3C18">
        <w:rPr>
          <w:rFonts w:eastAsia="Times New Roman"/>
          <w:szCs w:val="26"/>
        </w:rPr>
        <w:noBreakHyphen/>
      </w:r>
      <w:r>
        <w:rPr>
          <w:rFonts w:eastAsia="Times New Roman"/>
          <w:szCs w:val="26"/>
        </w:rPr>
        <w:t>site generation would charge the storge asset.  Under either scenario, the deliverability of the</w:t>
      </w:r>
      <w:r w:rsidRPr="005F6934">
        <w:rPr>
          <w:szCs w:val="26"/>
        </w:rPr>
        <w:t xml:space="preserve"> </w:t>
      </w:r>
      <w:r w:rsidRPr="004630FF">
        <w:rPr>
          <w:szCs w:val="26"/>
        </w:rPr>
        <w:t>VER</w:t>
      </w:r>
      <w:r>
        <w:rPr>
          <w:rFonts w:eastAsia="Times New Roman"/>
          <w:szCs w:val="26"/>
        </w:rPr>
        <w:t xml:space="preserve"> component should not pose a limitation to comply with the internal sufficiency check.  For</w:t>
      </w:r>
      <w:r w:rsidR="008F3C18">
        <w:rPr>
          <w:rFonts w:eastAsia="Times New Roman"/>
          <w:szCs w:val="26"/>
        </w:rPr>
        <w:t> </w:t>
      </w:r>
      <w:r>
        <w:rPr>
          <w:rFonts w:eastAsia="Times New Roman"/>
          <w:szCs w:val="26"/>
        </w:rPr>
        <w:t>both categories, charging sufficiency verification should not prescribe when the storage is charging, only that there is sufficient energy across the showing to support storage utilization.  CESA asserts that paired resources should be shown within their operational parameters but as separate assets in the showing.</w:t>
      </w:r>
    </w:p>
    <w:p w:rsidRPr="005F6934" w:rsidR="0022688B" w:rsidP="0022688B" w:rsidRDefault="0022688B" w14:paraId="5864F660" w14:textId="77777777">
      <w:pPr>
        <w:rPr>
          <w:szCs w:val="26"/>
        </w:rPr>
      </w:pPr>
      <w:r w:rsidRPr="004630FF">
        <w:rPr>
          <w:szCs w:val="26"/>
        </w:rPr>
        <w:t>CESA proposes a</w:t>
      </w:r>
      <w:r>
        <w:rPr>
          <w:szCs w:val="26"/>
        </w:rPr>
        <w:t xml:space="preserve"> system-wide test for </w:t>
      </w:r>
      <w:r w:rsidRPr="004630FF">
        <w:rPr>
          <w:szCs w:val="26"/>
        </w:rPr>
        <w:t>energy</w:t>
      </w:r>
      <w:r>
        <w:rPr>
          <w:szCs w:val="26"/>
        </w:rPr>
        <w:t xml:space="preserve">-only (EO) resources </w:t>
      </w:r>
      <w:r w:rsidRPr="004630FF">
        <w:rPr>
          <w:szCs w:val="26"/>
        </w:rPr>
        <w:t xml:space="preserve">to determine if charging sufficiency verification for storage is </w:t>
      </w:r>
      <w:r>
        <w:rPr>
          <w:szCs w:val="26"/>
        </w:rPr>
        <w:t>needed</w:t>
      </w:r>
      <w:r w:rsidRPr="004630FF">
        <w:rPr>
          <w:szCs w:val="26"/>
        </w:rPr>
        <w:t>.</w:t>
      </w:r>
      <w:r w:rsidRPr="004630FF">
        <w:rPr>
          <w:rStyle w:val="FootnoteReference"/>
          <w:szCs w:val="26"/>
        </w:rPr>
        <w:footnoteReference w:id="73"/>
      </w:r>
      <w:r w:rsidRPr="004630FF">
        <w:rPr>
          <w:szCs w:val="26"/>
        </w:rPr>
        <w:t xml:space="preserve">  CESA </w:t>
      </w:r>
      <w:r>
        <w:rPr>
          <w:szCs w:val="26"/>
        </w:rPr>
        <w:t>recommends</w:t>
      </w:r>
      <w:r w:rsidRPr="004630FF">
        <w:rPr>
          <w:szCs w:val="26"/>
        </w:rPr>
        <w:t xml:space="preserve"> estimat</w:t>
      </w:r>
      <w:r>
        <w:rPr>
          <w:szCs w:val="26"/>
        </w:rPr>
        <w:t>ing</w:t>
      </w:r>
      <w:r w:rsidRPr="004630FF">
        <w:rPr>
          <w:szCs w:val="26"/>
        </w:rPr>
        <w:t xml:space="preserve"> the energy output of standalone EO VER</w:t>
      </w:r>
      <w:r>
        <w:rPr>
          <w:szCs w:val="26"/>
        </w:rPr>
        <w:t>s</w:t>
      </w:r>
      <w:r w:rsidRPr="004630FF">
        <w:rPr>
          <w:szCs w:val="26"/>
        </w:rPr>
        <w:t xml:space="preserve"> using the exceedance methodology applicable to their RA-providing counterparts.  </w:t>
      </w:r>
      <w:r>
        <w:rPr>
          <w:szCs w:val="26"/>
        </w:rPr>
        <w:t>If</w:t>
      </w:r>
      <w:r w:rsidRPr="004630FF">
        <w:rPr>
          <w:szCs w:val="26"/>
        </w:rPr>
        <w:t xml:space="preserve"> the sum of hourly output is enough to cover charging needs of all standalone storage shown for RA, no further LSE charging sufficiency test would be needed.  If the hourly output is insufficient, a sufficiency test per LSE would be conducted.  This would be a system-wide test, so LSE</w:t>
      </w:r>
      <w:r>
        <w:rPr>
          <w:szCs w:val="26"/>
        </w:rPr>
        <w:t>s</w:t>
      </w:r>
      <w:r w:rsidRPr="004630FF">
        <w:rPr>
          <w:szCs w:val="26"/>
        </w:rPr>
        <w:t xml:space="preserve"> would </w:t>
      </w:r>
      <w:r>
        <w:rPr>
          <w:szCs w:val="26"/>
        </w:rPr>
        <w:t>not have</w:t>
      </w:r>
      <w:r w:rsidRPr="004630FF">
        <w:rPr>
          <w:szCs w:val="26"/>
        </w:rPr>
        <w:t xml:space="preserve"> to reveal EO positions.  </w:t>
      </w:r>
    </w:p>
    <w:p w:rsidR="0022688B" w:rsidP="0022688B" w:rsidRDefault="0022688B" w14:paraId="344C9E9D" w14:textId="41D5F76F">
      <w:pPr>
        <w:rPr>
          <w:rFonts w:eastAsia="Times New Roman"/>
          <w:szCs w:val="26"/>
        </w:rPr>
      </w:pPr>
      <w:r>
        <w:rPr>
          <w:rFonts w:eastAsia="Times New Roman"/>
          <w:szCs w:val="26"/>
        </w:rPr>
        <w:lastRenderedPageBreak/>
        <w:t xml:space="preserve">CAISO advises that only </w:t>
      </w:r>
      <w:r w:rsidR="008D2A60">
        <w:rPr>
          <w:rFonts w:eastAsia="Times New Roman"/>
          <w:szCs w:val="26"/>
        </w:rPr>
        <w:t>F</w:t>
      </w:r>
      <w:r>
        <w:rPr>
          <w:rFonts w:eastAsia="Times New Roman"/>
          <w:szCs w:val="26"/>
        </w:rPr>
        <w:t xml:space="preserve">ull </w:t>
      </w:r>
      <w:r w:rsidR="008D2A60">
        <w:rPr>
          <w:rFonts w:eastAsia="Times New Roman"/>
          <w:szCs w:val="26"/>
        </w:rPr>
        <w:t>C</w:t>
      </w:r>
      <w:r>
        <w:rPr>
          <w:rFonts w:eastAsia="Times New Roman"/>
          <w:szCs w:val="26"/>
        </w:rPr>
        <w:t xml:space="preserve">apacity </w:t>
      </w:r>
      <w:r w:rsidR="008D2A60">
        <w:rPr>
          <w:rFonts w:eastAsia="Times New Roman"/>
          <w:szCs w:val="26"/>
        </w:rPr>
        <w:t>D</w:t>
      </w:r>
      <w:r>
        <w:rPr>
          <w:rFonts w:eastAsia="Times New Roman"/>
          <w:szCs w:val="26"/>
        </w:rPr>
        <w:t xml:space="preserve">eliverability </w:t>
      </w:r>
      <w:r w:rsidR="008D2A60">
        <w:rPr>
          <w:rFonts w:eastAsia="Times New Roman"/>
          <w:szCs w:val="26"/>
        </w:rPr>
        <w:t>S</w:t>
      </w:r>
      <w:r>
        <w:rPr>
          <w:rFonts w:eastAsia="Times New Roman"/>
          <w:szCs w:val="26"/>
        </w:rPr>
        <w:t>tatus</w:t>
      </w:r>
      <w:r w:rsidR="00AA5087">
        <w:rPr>
          <w:rFonts w:eastAsia="Times New Roman"/>
          <w:szCs w:val="26"/>
        </w:rPr>
        <w:t xml:space="preserve"> (FCDS)</w:t>
      </w:r>
      <w:r>
        <w:rPr>
          <w:rFonts w:eastAsia="Times New Roman"/>
          <w:szCs w:val="26"/>
        </w:rPr>
        <w:t xml:space="preserve">, </w:t>
      </w:r>
      <w:r w:rsidR="008D2A60">
        <w:rPr>
          <w:rFonts w:eastAsia="Times New Roman"/>
          <w:szCs w:val="26"/>
        </w:rPr>
        <w:t>Partial Capacity Deliverability Status</w:t>
      </w:r>
      <w:r w:rsidR="00AA5087">
        <w:rPr>
          <w:rFonts w:eastAsia="Times New Roman"/>
          <w:szCs w:val="26"/>
        </w:rPr>
        <w:t xml:space="preserve"> (PCDS)</w:t>
      </w:r>
      <w:r>
        <w:rPr>
          <w:rFonts w:eastAsia="Times New Roman"/>
          <w:szCs w:val="26"/>
        </w:rPr>
        <w:t xml:space="preserve">, or </w:t>
      </w:r>
      <w:r w:rsidR="008D2A60">
        <w:rPr>
          <w:rFonts w:eastAsia="Times New Roman"/>
          <w:szCs w:val="26"/>
        </w:rPr>
        <w:t>I</w:t>
      </w:r>
      <w:r>
        <w:rPr>
          <w:rFonts w:eastAsia="Times New Roman"/>
          <w:szCs w:val="26"/>
        </w:rPr>
        <w:t xml:space="preserve">nterim </w:t>
      </w:r>
      <w:r w:rsidR="008D2A60">
        <w:rPr>
          <w:rFonts w:eastAsia="Times New Roman"/>
          <w:szCs w:val="26"/>
        </w:rPr>
        <w:t>D</w:t>
      </w:r>
      <w:r>
        <w:rPr>
          <w:rFonts w:eastAsia="Times New Roman"/>
          <w:szCs w:val="26"/>
        </w:rPr>
        <w:t>eliverab</w:t>
      </w:r>
      <w:r w:rsidR="001B058C">
        <w:rPr>
          <w:rFonts w:eastAsia="Times New Roman"/>
          <w:szCs w:val="26"/>
        </w:rPr>
        <w:t>ility</w:t>
      </w:r>
      <w:r>
        <w:rPr>
          <w:rFonts w:eastAsia="Times New Roman"/>
          <w:szCs w:val="26"/>
        </w:rPr>
        <w:t xml:space="preserve"> </w:t>
      </w:r>
      <w:r w:rsidR="008D2A60">
        <w:rPr>
          <w:rFonts w:eastAsia="Times New Roman"/>
          <w:szCs w:val="26"/>
        </w:rPr>
        <w:t xml:space="preserve">Status </w:t>
      </w:r>
      <w:r w:rsidR="00AA5087">
        <w:rPr>
          <w:rFonts w:eastAsia="Times New Roman"/>
          <w:szCs w:val="26"/>
        </w:rPr>
        <w:t xml:space="preserve">(IDS) </w:t>
      </w:r>
      <w:r>
        <w:rPr>
          <w:rFonts w:eastAsia="Times New Roman"/>
          <w:szCs w:val="26"/>
        </w:rPr>
        <w:t>resources can provide RA capacity under the CAISO tariff.</w:t>
      </w:r>
      <w:r>
        <w:rPr>
          <w:rStyle w:val="FootnoteReference"/>
          <w:rFonts w:eastAsia="Times New Roman"/>
          <w:szCs w:val="26"/>
        </w:rPr>
        <w:footnoteReference w:id="74"/>
      </w:r>
      <w:r>
        <w:rPr>
          <w:rFonts w:eastAsia="Times New Roman"/>
          <w:szCs w:val="26"/>
        </w:rPr>
        <w:t xml:space="preserve">  Under the tariff, CAISO will reduce the Local Regulatory Authority (LRA)-established QC values for any part that proves to be undeliverable.  CAISO asserts that EO resources cannot be used for RA to serve load or to charge storage across the transmission system and that should not change under the SOD framework.  </w:t>
      </w:r>
    </w:p>
    <w:p w:rsidR="0022688B" w:rsidP="0022688B" w:rsidRDefault="0022688B" w14:paraId="7A6DA96D" w14:textId="0663578E">
      <w:pPr>
        <w:rPr>
          <w:rFonts w:eastAsia="Times New Roman"/>
          <w:szCs w:val="26"/>
        </w:rPr>
      </w:pPr>
      <w:r>
        <w:rPr>
          <w:rFonts w:eastAsia="Times New Roman"/>
          <w:szCs w:val="26"/>
        </w:rPr>
        <w:t>For co</w:t>
      </w:r>
      <w:r w:rsidR="008F3C18">
        <w:rPr>
          <w:rFonts w:eastAsia="Times New Roman"/>
          <w:szCs w:val="26"/>
        </w:rPr>
        <w:noBreakHyphen/>
      </w:r>
      <w:r>
        <w:rPr>
          <w:rFonts w:eastAsia="Times New Roman"/>
          <w:szCs w:val="26"/>
        </w:rPr>
        <w:t>located resources at the same point of interconnection, CAISO states that EO resources have no transmission impact and allowing the co</w:t>
      </w:r>
      <w:r w:rsidR="008F3C18">
        <w:rPr>
          <w:rFonts w:eastAsia="Times New Roman"/>
          <w:szCs w:val="26"/>
        </w:rPr>
        <w:noBreakHyphen/>
      </w:r>
      <w:r>
        <w:rPr>
          <w:rFonts w:eastAsia="Times New Roman"/>
          <w:szCs w:val="26"/>
        </w:rPr>
        <w:t>located EO resource to count towards storage charging would give equal treatment to hybrid resources with a single resource ID.</w:t>
      </w:r>
      <w:r w:rsidR="008D2A60">
        <w:rPr>
          <w:rStyle w:val="FootnoteReference"/>
          <w:rFonts w:eastAsia="Times New Roman"/>
          <w:szCs w:val="26"/>
        </w:rPr>
        <w:footnoteReference w:id="75"/>
      </w:r>
      <w:r>
        <w:rPr>
          <w:rFonts w:eastAsia="Times New Roman"/>
          <w:szCs w:val="26"/>
        </w:rPr>
        <w:t xml:space="preserve">  CAISO notes that the EO resource would not be part of the RA fleet and not subject to CAISO RA rules, such as the MOO and outage substitution.  This co</w:t>
      </w:r>
      <w:r w:rsidR="008F3C18">
        <w:rPr>
          <w:rFonts w:eastAsia="Times New Roman"/>
          <w:szCs w:val="26"/>
        </w:rPr>
        <w:noBreakHyphen/>
      </w:r>
      <w:r>
        <w:rPr>
          <w:rFonts w:eastAsia="Times New Roman"/>
          <w:szCs w:val="26"/>
        </w:rPr>
        <w:t xml:space="preserve">located EO resource would be a new type of configuration only used by the </w:t>
      </w:r>
      <w:r w:rsidR="008D2A60">
        <w:rPr>
          <w:rFonts w:eastAsia="Times New Roman"/>
          <w:szCs w:val="26"/>
        </w:rPr>
        <w:t xml:space="preserve">CPUC </w:t>
      </w:r>
      <w:r>
        <w:rPr>
          <w:rFonts w:eastAsia="Times New Roman"/>
          <w:szCs w:val="26"/>
        </w:rPr>
        <w:t>LRA.</w:t>
      </w:r>
    </w:p>
    <w:p w:rsidR="0022688B" w:rsidP="0022688B" w:rsidRDefault="0022688B" w14:paraId="5C09A3DF" w14:textId="2C229E75">
      <w:pPr>
        <w:rPr>
          <w:rFonts w:eastAsia="Times New Roman"/>
          <w:szCs w:val="26"/>
        </w:rPr>
      </w:pPr>
      <w:r>
        <w:rPr>
          <w:rFonts w:eastAsia="Times New Roman"/>
          <w:szCs w:val="26"/>
        </w:rPr>
        <w:t xml:space="preserve">SEIA proposes that for direct current (DC)-coupled hybrids, LSEs should be able to show the “clipped” solar energy as part of the excess energy used to </w:t>
      </w:r>
      <w:r w:rsidR="008D2A60">
        <w:rPr>
          <w:rFonts w:eastAsia="Times New Roman"/>
          <w:szCs w:val="26"/>
        </w:rPr>
        <w:t xml:space="preserve">charge </w:t>
      </w:r>
      <w:r>
        <w:rPr>
          <w:rFonts w:eastAsia="Times New Roman"/>
          <w:szCs w:val="26"/>
        </w:rPr>
        <w:t>storage.</w:t>
      </w:r>
      <w:r>
        <w:rPr>
          <w:rStyle w:val="FootnoteReference"/>
          <w:rFonts w:eastAsia="Times New Roman"/>
          <w:szCs w:val="26"/>
        </w:rPr>
        <w:footnoteReference w:id="76"/>
      </w:r>
      <w:r>
        <w:rPr>
          <w:rFonts w:eastAsia="Times New Roman"/>
          <w:szCs w:val="26"/>
        </w:rPr>
        <w:t xml:space="preserve">  DC</w:t>
      </w:r>
      <w:r w:rsidR="008F3C18">
        <w:rPr>
          <w:rFonts w:eastAsia="Times New Roman"/>
          <w:szCs w:val="26"/>
        </w:rPr>
        <w:noBreakHyphen/>
      </w:r>
      <w:r>
        <w:rPr>
          <w:rFonts w:eastAsia="Times New Roman"/>
          <w:szCs w:val="26"/>
        </w:rPr>
        <w:t>coupled systems can capture additional DC solar output that would otherwise be lost, or clipped, in the inverter.  Data that would be needed to calculate and verify the additional available energy include</w:t>
      </w:r>
      <w:proofErr w:type="gramStart"/>
      <w:r>
        <w:rPr>
          <w:rFonts w:eastAsia="Times New Roman"/>
          <w:szCs w:val="26"/>
        </w:rPr>
        <w:t xml:space="preserve">: </w:t>
      </w:r>
      <w:r w:rsidR="008F3C18">
        <w:rPr>
          <w:rFonts w:eastAsia="Times New Roman"/>
          <w:szCs w:val="26"/>
        </w:rPr>
        <w:t xml:space="preserve"> </w:t>
      </w:r>
      <w:r>
        <w:rPr>
          <w:rFonts w:eastAsia="Times New Roman"/>
          <w:szCs w:val="26"/>
        </w:rPr>
        <w:t>(</w:t>
      </w:r>
      <w:proofErr w:type="gramEnd"/>
      <w:r>
        <w:rPr>
          <w:rFonts w:eastAsia="Times New Roman"/>
          <w:szCs w:val="26"/>
        </w:rPr>
        <w:t>1)</w:t>
      </w:r>
      <w:r w:rsidR="008F3C18">
        <w:rPr>
          <w:rFonts w:eastAsia="Times New Roman"/>
          <w:szCs w:val="26"/>
        </w:rPr>
        <w:t> </w:t>
      </w:r>
      <w:r>
        <w:rPr>
          <w:rFonts w:eastAsia="Times New Roman"/>
          <w:szCs w:val="26"/>
        </w:rPr>
        <w:t>the project’s Inverter Loading Ratio (DC output divided by alternating current (AC) output), (2)</w:t>
      </w:r>
      <w:r w:rsidR="008F3C18">
        <w:rPr>
          <w:rFonts w:eastAsia="Times New Roman"/>
          <w:szCs w:val="26"/>
        </w:rPr>
        <w:t> </w:t>
      </w:r>
      <w:r>
        <w:rPr>
          <w:rFonts w:eastAsia="Times New Roman"/>
          <w:szCs w:val="26"/>
        </w:rPr>
        <w:t>an engineering estimate of internal losses, (3)</w:t>
      </w:r>
      <w:r w:rsidR="008F3C18">
        <w:rPr>
          <w:rFonts w:eastAsia="Times New Roman"/>
          <w:szCs w:val="26"/>
        </w:rPr>
        <w:t> </w:t>
      </w:r>
      <w:r>
        <w:rPr>
          <w:rFonts w:eastAsia="Times New Roman"/>
          <w:szCs w:val="26"/>
        </w:rPr>
        <w:t>maximum charging capacity of the paired storage, and (4)</w:t>
      </w:r>
      <w:r w:rsidR="008F3C18">
        <w:rPr>
          <w:rFonts w:eastAsia="Times New Roman"/>
          <w:szCs w:val="26"/>
        </w:rPr>
        <w:t> </w:t>
      </w:r>
      <w:r>
        <w:rPr>
          <w:rFonts w:eastAsia="Times New Roman"/>
          <w:szCs w:val="26"/>
        </w:rPr>
        <w:t>a showing of the average hourly clipped energy available to be stored in each month.</w:t>
      </w:r>
    </w:p>
    <w:p w:rsidRPr="007B0D91" w:rsidR="0022688B" w:rsidP="0022688B" w:rsidRDefault="0022688B" w14:paraId="78E083CA" w14:textId="0A848332">
      <w:pPr>
        <w:rPr>
          <w:rFonts w:eastAsia="Times New Roman"/>
          <w:szCs w:val="26"/>
        </w:rPr>
      </w:pPr>
      <w:r>
        <w:rPr>
          <w:rFonts w:eastAsia="Times New Roman"/>
          <w:szCs w:val="26"/>
        </w:rPr>
        <w:lastRenderedPageBreak/>
        <w:t xml:space="preserve">SCE proposed that </w:t>
      </w:r>
      <w:r w:rsidR="008D2A60">
        <w:rPr>
          <w:rFonts w:eastAsia="Times New Roman"/>
          <w:szCs w:val="26"/>
        </w:rPr>
        <w:t xml:space="preserve">for hybrid resources, </w:t>
      </w:r>
      <w:r>
        <w:rPr>
          <w:rFonts w:eastAsia="Times New Roman"/>
          <w:szCs w:val="26"/>
        </w:rPr>
        <w:t xml:space="preserve">the MRD and </w:t>
      </w:r>
      <w:r w:rsidR="008D2A60">
        <w:rPr>
          <w:rFonts w:eastAsia="Times New Roman"/>
          <w:szCs w:val="26"/>
        </w:rPr>
        <w:t xml:space="preserve">compliance </w:t>
      </w:r>
      <w:r>
        <w:rPr>
          <w:rFonts w:eastAsia="Times New Roman"/>
          <w:szCs w:val="26"/>
        </w:rPr>
        <w:t>tools includes a validation check to ensure that the total showing amount is not larger than can be supported by the underlying energy resource.</w:t>
      </w:r>
      <w:r>
        <w:rPr>
          <w:rStyle w:val="FootnoteReference"/>
          <w:rFonts w:eastAsia="Times New Roman"/>
          <w:szCs w:val="26"/>
        </w:rPr>
        <w:footnoteReference w:id="77"/>
      </w:r>
      <w:r>
        <w:rPr>
          <w:rFonts w:eastAsia="Times New Roman"/>
          <w:szCs w:val="26"/>
        </w:rPr>
        <w:t xml:space="preserve">  To facilitate this, the hybrid showings </w:t>
      </w:r>
      <w:r w:rsidR="008D2A60">
        <w:rPr>
          <w:rFonts w:eastAsia="Times New Roman"/>
          <w:szCs w:val="26"/>
        </w:rPr>
        <w:t xml:space="preserve">would </w:t>
      </w:r>
      <w:r>
        <w:rPr>
          <w:rFonts w:eastAsia="Times New Roman"/>
          <w:szCs w:val="26"/>
        </w:rPr>
        <w:t>require additional accounting of expected energy resource production, expected storage charging pattern, loss accounting, and the final slice</w:t>
      </w:r>
      <w:r w:rsidR="008D2A60">
        <w:rPr>
          <w:rFonts w:eastAsia="Times New Roman"/>
          <w:szCs w:val="26"/>
        </w:rPr>
        <w:t>-</w:t>
      </w:r>
      <w:r>
        <w:rPr>
          <w:rFonts w:eastAsia="Times New Roman"/>
          <w:szCs w:val="26"/>
        </w:rPr>
        <w:t>by</w:t>
      </w:r>
      <w:r w:rsidR="008D2A60">
        <w:rPr>
          <w:rFonts w:eastAsia="Times New Roman"/>
          <w:szCs w:val="26"/>
        </w:rPr>
        <w:t>-</w:t>
      </w:r>
      <w:r>
        <w:rPr>
          <w:rFonts w:eastAsia="Times New Roman"/>
          <w:szCs w:val="26"/>
        </w:rPr>
        <w:t>slice result.</w:t>
      </w:r>
    </w:p>
    <w:p w:rsidR="00132248" w:rsidP="0022688B" w:rsidRDefault="0022688B" w14:paraId="1357AB5A" w14:textId="4E0C0893">
      <w:pPr>
        <w:pStyle w:val="Heading3"/>
      </w:pPr>
      <w:bookmarkStart w:name="_Toc127179585" w:id="37"/>
      <w:bookmarkStart w:name="_Toc131762391" w:id="38"/>
      <w:r>
        <w:t>Comments on Proposals</w:t>
      </w:r>
      <w:bookmarkEnd w:id="37"/>
      <w:bookmarkEnd w:id="38"/>
    </w:p>
    <w:p w:rsidR="0022688B" w:rsidP="0022688B" w:rsidRDefault="0022688B" w14:paraId="468A954C" w14:textId="79D4F660">
      <w:pPr>
        <w:rPr>
          <w:rFonts w:eastAsia="Times New Roman"/>
          <w:szCs w:val="26"/>
        </w:rPr>
      </w:pPr>
      <w:r>
        <w:rPr>
          <w:rFonts w:eastAsia="Times New Roman"/>
          <w:szCs w:val="26"/>
        </w:rPr>
        <w:t>AES, Cal</w:t>
      </w:r>
      <w:r w:rsidR="008F3C18">
        <w:rPr>
          <w:rFonts w:eastAsia="Times New Roman"/>
          <w:szCs w:val="26"/>
        </w:rPr>
        <w:t> </w:t>
      </w:r>
      <w:r>
        <w:rPr>
          <w:rFonts w:eastAsia="Times New Roman"/>
          <w:szCs w:val="26"/>
        </w:rPr>
        <w:t xml:space="preserve">Advocates, </w:t>
      </w:r>
      <w:proofErr w:type="spellStart"/>
      <w:r>
        <w:rPr>
          <w:rFonts w:eastAsia="Times New Roman"/>
          <w:szCs w:val="26"/>
        </w:rPr>
        <w:t>CalCCA</w:t>
      </w:r>
      <w:proofErr w:type="spellEnd"/>
      <w:r>
        <w:rPr>
          <w:rFonts w:eastAsia="Times New Roman"/>
          <w:szCs w:val="26"/>
        </w:rPr>
        <w:t>, CAISO, CESA, NRDC, PG&amp;E, and SEIA support allowing EO resources to count towards the storage charging sufficiency requirement if the EO resource is charging on</w:t>
      </w:r>
      <w:r w:rsidR="008D2A60">
        <w:rPr>
          <w:rFonts w:eastAsia="Times New Roman"/>
          <w:szCs w:val="26"/>
        </w:rPr>
        <w:t>-</w:t>
      </w:r>
      <w:r>
        <w:rPr>
          <w:rFonts w:eastAsia="Times New Roman"/>
          <w:szCs w:val="26"/>
        </w:rPr>
        <w:t>site storage.</w:t>
      </w:r>
      <w:r>
        <w:rPr>
          <w:rStyle w:val="FootnoteReference"/>
          <w:rFonts w:eastAsia="Times New Roman"/>
          <w:szCs w:val="26"/>
        </w:rPr>
        <w:footnoteReference w:id="78"/>
      </w:r>
      <w:r>
        <w:rPr>
          <w:rFonts w:eastAsia="Times New Roman"/>
          <w:szCs w:val="26"/>
        </w:rPr>
        <w:t xml:space="preserve">  These parties generally argue that this should be permitted because on-site generation does not require solar output to be delivered to a different location and does not rely on the transmission system to deliver charging capacity to the co-located storage resource.  </w:t>
      </w:r>
    </w:p>
    <w:p w:rsidR="0022688B" w:rsidP="0022688B" w:rsidRDefault="0022688B" w14:paraId="4D8E627E" w14:textId="4847FA81">
      <w:pPr>
        <w:rPr>
          <w:rFonts w:eastAsia="Times New Roman"/>
          <w:szCs w:val="26"/>
        </w:rPr>
      </w:pPr>
      <w:r>
        <w:rPr>
          <w:rFonts w:eastAsia="Times New Roman"/>
          <w:szCs w:val="26"/>
        </w:rPr>
        <w:t>CAISO, Cal</w:t>
      </w:r>
      <w:r w:rsidR="008F3C18">
        <w:rPr>
          <w:rFonts w:eastAsia="Times New Roman"/>
          <w:szCs w:val="26"/>
        </w:rPr>
        <w:t> </w:t>
      </w:r>
      <w:r>
        <w:rPr>
          <w:rFonts w:eastAsia="Times New Roman"/>
          <w:szCs w:val="26"/>
        </w:rPr>
        <w:t>Advocates, and PG&amp;E state that for a non</w:t>
      </w:r>
      <w:r w:rsidR="008F3C18">
        <w:rPr>
          <w:rFonts w:eastAsia="Times New Roman"/>
          <w:szCs w:val="26"/>
        </w:rPr>
        <w:noBreakHyphen/>
      </w:r>
      <w:r>
        <w:rPr>
          <w:rFonts w:eastAsia="Times New Roman"/>
          <w:szCs w:val="26"/>
        </w:rPr>
        <w:t xml:space="preserve">deliverable renewable to be counted for charging sufficiency, the storage should be capped by the </w:t>
      </w:r>
      <w:r w:rsidRPr="000847CA">
        <w:rPr>
          <w:rFonts w:eastAsia="Times New Roman"/>
          <w:szCs w:val="26"/>
        </w:rPr>
        <w:t>charging capacity of the renewable</w:t>
      </w:r>
      <w:r>
        <w:rPr>
          <w:rFonts w:eastAsia="Times New Roman"/>
          <w:szCs w:val="26"/>
        </w:rPr>
        <w:t>.</w:t>
      </w:r>
      <w:r>
        <w:rPr>
          <w:rStyle w:val="FootnoteReference"/>
          <w:rFonts w:eastAsia="Times New Roman"/>
          <w:szCs w:val="26"/>
        </w:rPr>
        <w:footnoteReference w:id="79"/>
      </w:r>
      <w:r>
        <w:rPr>
          <w:rFonts w:eastAsia="Times New Roman"/>
          <w:szCs w:val="26"/>
        </w:rPr>
        <w:t xml:space="preserve">  PG&amp;E adds that this should only apply if there are charging restrictions, as batteries do not have limitations associated with charging from the grid in those configurations.  AES comments </w:t>
      </w:r>
      <w:r>
        <w:rPr>
          <w:rFonts w:eastAsia="Times New Roman"/>
          <w:szCs w:val="26"/>
        </w:rPr>
        <w:lastRenderedPageBreak/>
        <w:t>that for resources with or without charging restrictions, it may be necessary to cap hourly additive value due to interconnection limits.</w:t>
      </w:r>
      <w:r>
        <w:rPr>
          <w:rStyle w:val="FootnoteReference"/>
          <w:rFonts w:eastAsia="Times New Roman"/>
          <w:szCs w:val="26"/>
        </w:rPr>
        <w:footnoteReference w:id="80"/>
      </w:r>
    </w:p>
    <w:p w:rsidR="0022688B" w:rsidP="0022688B" w:rsidRDefault="0022688B" w14:paraId="6A656C77" w14:textId="62E1118F">
      <w:pPr>
        <w:rPr>
          <w:rFonts w:eastAsia="Times New Roman"/>
          <w:szCs w:val="26"/>
        </w:rPr>
      </w:pPr>
      <w:r>
        <w:rPr>
          <w:rFonts w:eastAsia="Times New Roman"/>
          <w:szCs w:val="26"/>
        </w:rPr>
        <w:t>CAISO and MRP note that non-deliverable co</w:t>
      </w:r>
      <w:r w:rsidR="008F3C18">
        <w:rPr>
          <w:rFonts w:eastAsia="Times New Roman"/>
          <w:szCs w:val="26"/>
        </w:rPr>
        <w:noBreakHyphen/>
      </w:r>
      <w:r>
        <w:rPr>
          <w:rFonts w:eastAsia="Times New Roman"/>
          <w:szCs w:val="26"/>
        </w:rPr>
        <w:t>located resources would not be subject to CAISO’s RA rules.</w:t>
      </w:r>
      <w:r>
        <w:rPr>
          <w:rStyle w:val="FootnoteReference"/>
          <w:rFonts w:eastAsia="Times New Roman"/>
          <w:szCs w:val="26"/>
        </w:rPr>
        <w:footnoteReference w:id="81"/>
      </w:r>
      <w:r>
        <w:rPr>
          <w:rFonts w:eastAsia="Times New Roman"/>
          <w:szCs w:val="26"/>
        </w:rPr>
        <w:t xml:space="preserve">  </w:t>
      </w:r>
      <w:proofErr w:type="spellStart"/>
      <w:r>
        <w:rPr>
          <w:rFonts w:eastAsia="Times New Roman"/>
          <w:szCs w:val="26"/>
        </w:rPr>
        <w:t>CalCCA</w:t>
      </w:r>
      <w:proofErr w:type="spellEnd"/>
      <w:r>
        <w:rPr>
          <w:rFonts w:eastAsia="Times New Roman"/>
          <w:szCs w:val="26"/>
        </w:rPr>
        <w:t xml:space="preserve"> and CESA respond that while not subject to a MOO, on</w:t>
      </w:r>
      <w:r w:rsidR="008F3C18">
        <w:rPr>
          <w:rFonts w:eastAsia="Times New Roman"/>
          <w:szCs w:val="26"/>
        </w:rPr>
        <w:noBreakHyphen/>
      </w:r>
      <w:r>
        <w:rPr>
          <w:rFonts w:eastAsia="Times New Roman"/>
          <w:szCs w:val="26"/>
        </w:rPr>
        <w:t>site renewables have an incentive to produce and charge the on</w:t>
      </w:r>
      <w:r w:rsidR="008F3C18">
        <w:rPr>
          <w:rFonts w:eastAsia="Times New Roman"/>
          <w:szCs w:val="26"/>
        </w:rPr>
        <w:noBreakHyphen/>
      </w:r>
      <w:r>
        <w:rPr>
          <w:rFonts w:eastAsia="Times New Roman"/>
          <w:szCs w:val="26"/>
        </w:rPr>
        <w:t>site storage.</w:t>
      </w:r>
      <w:r>
        <w:rPr>
          <w:rStyle w:val="FootnoteReference"/>
          <w:rFonts w:eastAsia="Times New Roman"/>
          <w:szCs w:val="26"/>
        </w:rPr>
        <w:footnoteReference w:id="82"/>
      </w:r>
      <w:r>
        <w:rPr>
          <w:rFonts w:eastAsia="Times New Roman"/>
          <w:szCs w:val="26"/>
        </w:rPr>
        <w:t xml:space="preserve">  In</w:t>
      </w:r>
      <w:r w:rsidR="008F3C18">
        <w:rPr>
          <w:rFonts w:eastAsia="Times New Roman"/>
          <w:szCs w:val="26"/>
        </w:rPr>
        <w:t> </w:t>
      </w:r>
      <w:r>
        <w:rPr>
          <w:rFonts w:eastAsia="Times New Roman"/>
          <w:szCs w:val="26"/>
        </w:rPr>
        <w:t xml:space="preserve">addition, if the renewable is on outage and unavailable to charge the storage, </w:t>
      </w:r>
      <w:proofErr w:type="spellStart"/>
      <w:r>
        <w:rPr>
          <w:rFonts w:eastAsia="Times New Roman"/>
          <w:szCs w:val="26"/>
        </w:rPr>
        <w:t>CalCCA</w:t>
      </w:r>
      <w:proofErr w:type="spellEnd"/>
      <w:r>
        <w:rPr>
          <w:rFonts w:eastAsia="Times New Roman"/>
          <w:szCs w:val="26"/>
        </w:rPr>
        <w:t xml:space="preserve"> states that substitution rules should apply to the storage, which would be designated as RA capacity, so that substitute capacity is available to cover the renewable.  </w:t>
      </w:r>
    </w:p>
    <w:p w:rsidR="0022688B" w:rsidP="0022688B" w:rsidRDefault="0022688B" w14:paraId="4FFEF243" w14:textId="434F7B17">
      <w:pPr>
        <w:rPr>
          <w:rFonts w:eastAsia="Times New Roman"/>
          <w:szCs w:val="26"/>
        </w:rPr>
      </w:pPr>
      <w:r>
        <w:rPr>
          <w:rFonts w:eastAsia="Times New Roman"/>
          <w:szCs w:val="26"/>
        </w:rPr>
        <w:t xml:space="preserve">MRP states that full deliverability status should be required for </w:t>
      </w:r>
      <w:r w:rsidR="008D2A60">
        <w:rPr>
          <w:rFonts w:eastAsia="Times New Roman"/>
          <w:szCs w:val="26"/>
        </w:rPr>
        <w:t xml:space="preserve">a </w:t>
      </w:r>
      <w:r>
        <w:rPr>
          <w:rFonts w:eastAsia="Times New Roman"/>
          <w:szCs w:val="26"/>
        </w:rPr>
        <w:t>hybrid resource with or without charging restrictions</w:t>
      </w:r>
      <w:r w:rsidRPr="00463A7D">
        <w:rPr>
          <w:rFonts w:eastAsia="Times New Roman"/>
          <w:szCs w:val="26"/>
        </w:rPr>
        <w:t xml:space="preserve"> </w:t>
      </w:r>
      <w:r>
        <w:rPr>
          <w:rFonts w:eastAsia="Times New Roman"/>
          <w:szCs w:val="26"/>
        </w:rPr>
        <w:t>to ensure that it can reliably deliver energy per RA obligations.</w:t>
      </w:r>
      <w:r>
        <w:rPr>
          <w:rStyle w:val="FootnoteReference"/>
          <w:rFonts w:eastAsia="Times New Roman"/>
          <w:szCs w:val="26"/>
        </w:rPr>
        <w:footnoteReference w:id="83"/>
      </w:r>
      <w:r>
        <w:rPr>
          <w:rFonts w:eastAsia="Times New Roman"/>
          <w:szCs w:val="26"/>
        </w:rPr>
        <w:t xml:space="preserve">  IEP objects to allowing EO facilities to count for charging sufficiency but </w:t>
      </w:r>
      <w:r w:rsidR="008D2A60">
        <w:rPr>
          <w:rFonts w:eastAsia="Times New Roman"/>
          <w:szCs w:val="26"/>
        </w:rPr>
        <w:t xml:space="preserve">urges </w:t>
      </w:r>
      <w:r>
        <w:rPr>
          <w:rFonts w:eastAsia="Times New Roman"/>
          <w:szCs w:val="26"/>
        </w:rPr>
        <w:t>that facilities that have received Off</w:t>
      </w:r>
      <w:r w:rsidR="008F3C18">
        <w:rPr>
          <w:rFonts w:eastAsia="Times New Roman"/>
          <w:szCs w:val="26"/>
        </w:rPr>
        <w:noBreakHyphen/>
      </w:r>
      <w:r>
        <w:rPr>
          <w:rFonts w:eastAsia="Times New Roman"/>
          <w:szCs w:val="26"/>
        </w:rPr>
        <w:t>Peak Deliverability Status should be considered reliable sources in off-peak hours.</w:t>
      </w:r>
      <w:r>
        <w:rPr>
          <w:rStyle w:val="FootnoteReference"/>
          <w:rFonts w:eastAsia="Times New Roman"/>
          <w:szCs w:val="26"/>
        </w:rPr>
        <w:footnoteReference w:id="84"/>
      </w:r>
      <w:r>
        <w:rPr>
          <w:rFonts w:eastAsia="Times New Roman"/>
          <w:szCs w:val="26"/>
        </w:rPr>
        <w:t xml:space="preserve">  </w:t>
      </w:r>
    </w:p>
    <w:p w:rsidR="0022688B" w:rsidP="0022688B" w:rsidRDefault="0022688B" w14:paraId="3EB1D023" w14:textId="774C905B">
      <w:pPr>
        <w:pStyle w:val="Standard"/>
        <w:rPr>
          <w:rFonts w:eastAsia="Times New Roman"/>
          <w:szCs w:val="26"/>
        </w:rPr>
      </w:pPr>
      <w:proofErr w:type="spellStart"/>
      <w:r>
        <w:rPr>
          <w:rFonts w:eastAsia="Times New Roman"/>
          <w:szCs w:val="26"/>
        </w:rPr>
        <w:t>CalCCA</w:t>
      </w:r>
      <w:proofErr w:type="spellEnd"/>
      <w:r>
        <w:rPr>
          <w:rFonts w:eastAsia="Times New Roman"/>
          <w:szCs w:val="26"/>
        </w:rPr>
        <w:t xml:space="preserve"> and CAISO oppose CESA’s proposal to allow EO resources to charge resources that are not on-site.</w:t>
      </w:r>
      <w:r>
        <w:rPr>
          <w:rStyle w:val="FootnoteReference"/>
          <w:rFonts w:eastAsia="Times New Roman"/>
          <w:szCs w:val="26"/>
        </w:rPr>
        <w:footnoteReference w:id="85"/>
      </w:r>
      <w:r>
        <w:rPr>
          <w:rFonts w:eastAsia="Times New Roman"/>
          <w:szCs w:val="26"/>
        </w:rPr>
        <w:t xml:space="preserve">  CAISO states that there is no guarantee that EO VER resources can deliver generation to charge storage facilities.  </w:t>
      </w:r>
      <w:proofErr w:type="spellStart"/>
      <w:r>
        <w:rPr>
          <w:rFonts w:eastAsia="Times New Roman"/>
          <w:szCs w:val="26"/>
        </w:rPr>
        <w:t>CalCCA</w:t>
      </w:r>
      <w:proofErr w:type="spellEnd"/>
      <w:r>
        <w:rPr>
          <w:rFonts w:eastAsia="Times New Roman"/>
          <w:szCs w:val="26"/>
        </w:rPr>
        <w:t xml:space="preserve"> states that charging storage with off-site generation requires the transmission system and thus assurance that the generation can be delivered to the storage facility is necessary.</w:t>
      </w:r>
    </w:p>
    <w:p w:rsidR="0022688B" w:rsidP="0022688B" w:rsidRDefault="0022688B" w14:paraId="4F4AF50F" w14:textId="26380F77">
      <w:pPr>
        <w:pStyle w:val="Heading3"/>
      </w:pPr>
      <w:bookmarkStart w:name="_Toc131762392" w:id="39"/>
      <w:r>
        <w:lastRenderedPageBreak/>
        <w:t>Discussion</w:t>
      </w:r>
      <w:bookmarkEnd w:id="39"/>
    </w:p>
    <w:p w:rsidR="0022688B" w:rsidP="0022688B" w:rsidRDefault="0022688B" w14:paraId="126976F7" w14:textId="0C2B6088">
      <w:pPr>
        <w:rPr>
          <w:rFonts w:eastAsia="Times New Roman"/>
          <w:szCs w:val="26"/>
        </w:rPr>
      </w:pPr>
      <w:r>
        <w:rPr>
          <w:rFonts w:eastAsia="Times New Roman"/>
          <w:szCs w:val="26"/>
        </w:rPr>
        <w:t>As determined in D.22</w:t>
      </w:r>
      <w:r w:rsidR="0040440E">
        <w:rPr>
          <w:rFonts w:eastAsia="Times New Roman"/>
          <w:szCs w:val="26"/>
        </w:rPr>
        <w:noBreakHyphen/>
      </w:r>
      <w:r>
        <w:rPr>
          <w:rFonts w:eastAsia="Times New Roman"/>
          <w:szCs w:val="26"/>
        </w:rPr>
        <w:t>06</w:t>
      </w:r>
      <w:r w:rsidR="0040440E">
        <w:rPr>
          <w:rFonts w:eastAsia="Times New Roman"/>
          <w:szCs w:val="26"/>
        </w:rPr>
        <w:noBreakHyphen/>
      </w:r>
      <w:r>
        <w:rPr>
          <w:rFonts w:eastAsia="Times New Roman"/>
          <w:szCs w:val="26"/>
        </w:rPr>
        <w:t>050, the QC</w:t>
      </w:r>
      <w:r w:rsidR="0040440E">
        <w:rPr>
          <w:rFonts w:eastAsia="Times New Roman"/>
          <w:szCs w:val="26"/>
        </w:rPr>
        <w:t> </w:t>
      </w:r>
      <w:r>
        <w:rPr>
          <w:rFonts w:eastAsia="Times New Roman"/>
          <w:szCs w:val="26"/>
        </w:rPr>
        <w:t>methodology for hybrid and co</w:t>
      </w:r>
      <w:r w:rsidR="0040440E">
        <w:rPr>
          <w:rFonts w:eastAsia="Times New Roman"/>
          <w:szCs w:val="26"/>
        </w:rPr>
        <w:noBreakHyphen/>
      </w:r>
      <w:r>
        <w:rPr>
          <w:rFonts w:eastAsia="Times New Roman"/>
          <w:szCs w:val="26"/>
        </w:rPr>
        <w:t>located resources shall be the existing additive QC</w:t>
      </w:r>
      <w:r w:rsidR="0040440E">
        <w:rPr>
          <w:rFonts w:eastAsia="Times New Roman"/>
          <w:szCs w:val="26"/>
        </w:rPr>
        <w:t> </w:t>
      </w:r>
      <w:r>
        <w:rPr>
          <w:rFonts w:eastAsia="Times New Roman"/>
          <w:szCs w:val="26"/>
        </w:rPr>
        <w:t xml:space="preserve">methodology, which shall be updated to use the exceedance methodology adopted in this decision to value wind and solar and account for charging losses.  </w:t>
      </w:r>
    </w:p>
    <w:p w:rsidR="0022688B" w:rsidP="0022688B" w:rsidRDefault="0022688B" w14:paraId="73059641" w14:textId="6F6B8EC9">
      <w:pPr>
        <w:rPr>
          <w:rFonts w:eastAsia="Times New Roman"/>
          <w:szCs w:val="26"/>
        </w:rPr>
      </w:pPr>
      <w:r>
        <w:rPr>
          <w:rFonts w:eastAsia="Times New Roman"/>
          <w:szCs w:val="26"/>
        </w:rPr>
        <w:t>Numerous parties support allowing EO resources to count towards the storage charging sufficiency requirement if the EO resource is charging on</w:t>
      </w:r>
      <w:r w:rsidR="006A6E5D">
        <w:rPr>
          <w:rFonts w:eastAsia="Times New Roman"/>
          <w:szCs w:val="26"/>
        </w:rPr>
        <w:t>-</w:t>
      </w:r>
      <w:r>
        <w:rPr>
          <w:rFonts w:eastAsia="Times New Roman"/>
          <w:szCs w:val="26"/>
        </w:rPr>
        <w:t xml:space="preserve">site storage.  The Commission agrees with parties that this </w:t>
      </w:r>
      <w:r w:rsidR="008D2A60">
        <w:rPr>
          <w:rFonts w:eastAsia="Times New Roman"/>
          <w:szCs w:val="26"/>
        </w:rPr>
        <w:t xml:space="preserve">is </w:t>
      </w:r>
      <w:r>
        <w:rPr>
          <w:rFonts w:eastAsia="Times New Roman"/>
          <w:szCs w:val="26"/>
        </w:rPr>
        <w:t xml:space="preserve">reasonable </w:t>
      </w:r>
      <w:r w:rsidR="008D2A60">
        <w:rPr>
          <w:rFonts w:eastAsia="Times New Roman"/>
          <w:szCs w:val="26"/>
        </w:rPr>
        <w:t xml:space="preserve">because </w:t>
      </w:r>
      <w:r>
        <w:rPr>
          <w:rFonts w:eastAsia="Times New Roman"/>
          <w:szCs w:val="26"/>
        </w:rPr>
        <w:t>on</w:t>
      </w:r>
      <w:r w:rsidR="0040440E">
        <w:rPr>
          <w:rFonts w:eastAsia="Times New Roman"/>
          <w:szCs w:val="26"/>
        </w:rPr>
        <w:noBreakHyphen/>
      </w:r>
      <w:r>
        <w:rPr>
          <w:rFonts w:eastAsia="Times New Roman"/>
          <w:szCs w:val="26"/>
        </w:rPr>
        <w:t>site generation does not rely on the transmission system to deliver charging capacity to the co</w:t>
      </w:r>
      <w:r w:rsidR="0040440E">
        <w:rPr>
          <w:rFonts w:eastAsia="Times New Roman"/>
          <w:szCs w:val="26"/>
        </w:rPr>
        <w:noBreakHyphen/>
      </w:r>
      <w:r>
        <w:rPr>
          <w:rFonts w:eastAsia="Times New Roman"/>
          <w:szCs w:val="26"/>
        </w:rPr>
        <w:t xml:space="preserve">located storage resource.  We also deem it reasonable that in these instances, the </w:t>
      </w:r>
      <w:r w:rsidRPr="000847CA">
        <w:rPr>
          <w:rFonts w:eastAsia="Times New Roman"/>
          <w:szCs w:val="26"/>
        </w:rPr>
        <w:t>charging capacity of the renewable</w:t>
      </w:r>
      <w:r>
        <w:rPr>
          <w:rFonts w:eastAsia="Times New Roman"/>
          <w:szCs w:val="26"/>
        </w:rPr>
        <w:t xml:space="preserve"> resource should be capped at the amount that can be used to charge the on</w:t>
      </w:r>
      <w:r w:rsidR="008D2A60">
        <w:rPr>
          <w:rFonts w:eastAsia="Times New Roman"/>
          <w:szCs w:val="26"/>
        </w:rPr>
        <w:t>-</w:t>
      </w:r>
      <w:r>
        <w:rPr>
          <w:rFonts w:eastAsia="Times New Roman"/>
          <w:szCs w:val="26"/>
        </w:rPr>
        <w:t>site storage and the storage should be capped at the interconnection</w:t>
      </w:r>
      <w:r w:rsidR="00A71B1E">
        <w:rPr>
          <w:rFonts w:eastAsia="Times New Roman"/>
          <w:szCs w:val="26"/>
        </w:rPr>
        <w:t xml:space="preserve"> limit</w:t>
      </w:r>
      <w:r>
        <w:rPr>
          <w:rFonts w:eastAsia="Times New Roman"/>
          <w:szCs w:val="26"/>
        </w:rPr>
        <w:t xml:space="preserve">.  It is appropriate that </w:t>
      </w:r>
      <w:r w:rsidR="00660E03">
        <w:rPr>
          <w:rFonts w:eastAsia="Times New Roman"/>
          <w:szCs w:val="26"/>
        </w:rPr>
        <w:t xml:space="preserve">paired </w:t>
      </w:r>
      <w:r>
        <w:rPr>
          <w:rFonts w:eastAsia="Times New Roman"/>
          <w:szCs w:val="26"/>
        </w:rPr>
        <w:t xml:space="preserve">components should be shown as separate assets on the MRD and LSE showings, </w:t>
      </w:r>
      <w:proofErr w:type="gramStart"/>
      <w:r>
        <w:rPr>
          <w:rFonts w:eastAsia="Times New Roman"/>
          <w:szCs w:val="26"/>
        </w:rPr>
        <w:t>as long as</w:t>
      </w:r>
      <w:proofErr w:type="gramEnd"/>
      <w:r>
        <w:rPr>
          <w:rFonts w:eastAsia="Times New Roman"/>
          <w:szCs w:val="26"/>
        </w:rPr>
        <w:t xml:space="preserve"> the total </w:t>
      </w:r>
      <w:r w:rsidR="008D2A60">
        <w:rPr>
          <w:rFonts w:eastAsia="Times New Roman"/>
          <w:szCs w:val="26"/>
        </w:rPr>
        <w:t xml:space="preserve">MW </w:t>
      </w:r>
      <w:r>
        <w:rPr>
          <w:rFonts w:eastAsia="Times New Roman"/>
          <w:szCs w:val="26"/>
        </w:rPr>
        <w:t>of each component does not exceed the interconnection amount in any hour.</w:t>
      </w:r>
    </w:p>
    <w:p w:rsidR="0022688B" w:rsidP="0022688B" w:rsidRDefault="0022688B" w14:paraId="3862221E" w14:textId="297D541C">
      <w:pPr>
        <w:rPr>
          <w:rFonts w:eastAsia="Times New Roman"/>
          <w:szCs w:val="26"/>
        </w:rPr>
      </w:pPr>
      <w:r>
        <w:rPr>
          <w:rFonts w:eastAsia="Times New Roman"/>
          <w:szCs w:val="26"/>
        </w:rPr>
        <w:t>Regarding SEIA’s proposal, the Commission does not have the ability to capture the data required from DC</w:t>
      </w:r>
      <w:r w:rsidR="0040440E">
        <w:rPr>
          <w:rFonts w:eastAsia="Times New Roman"/>
          <w:szCs w:val="26"/>
        </w:rPr>
        <w:noBreakHyphen/>
      </w:r>
      <w:r>
        <w:rPr>
          <w:rFonts w:eastAsia="Times New Roman"/>
          <w:szCs w:val="26"/>
        </w:rPr>
        <w:t>coupled systems (</w:t>
      </w:r>
      <w:r w:rsidRPr="00E96DE8">
        <w:rPr>
          <w:rFonts w:eastAsia="Times New Roman"/>
          <w:i/>
          <w:iCs/>
          <w:szCs w:val="26"/>
        </w:rPr>
        <w:t>i.e.</w:t>
      </w:r>
      <w:r>
        <w:rPr>
          <w:rFonts w:eastAsia="Times New Roman"/>
          <w:szCs w:val="26"/>
        </w:rPr>
        <w:t>,</w:t>
      </w:r>
      <w:r w:rsidR="0040440E">
        <w:rPr>
          <w:rFonts w:eastAsia="Times New Roman"/>
          <w:szCs w:val="26"/>
        </w:rPr>
        <w:t> </w:t>
      </w:r>
      <w:r>
        <w:rPr>
          <w:rFonts w:eastAsia="Times New Roman"/>
          <w:szCs w:val="26"/>
        </w:rPr>
        <w:t xml:space="preserve">project’s inverter loading ratio, engineering estimate of internal losses).  Therefore, this proposal is not implementable </w:t>
      </w:r>
      <w:proofErr w:type="gramStart"/>
      <w:r>
        <w:rPr>
          <w:rFonts w:eastAsia="Times New Roman"/>
          <w:szCs w:val="26"/>
        </w:rPr>
        <w:t>at this time</w:t>
      </w:r>
      <w:proofErr w:type="gramEnd"/>
      <w:r>
        <w:rPr>
          <w:rFonts w:eastAsia="Times New Roman"/>
          <w:szCs w:val="26"/>
        </w:rPr>
        <w:t xml:space="preserve">. </w:t>
      </w:r>
    </w:p>
    <w:p w:rsidR="0022688B" w:rsidP="0022688B" w:rsidRDefault="0022688B" w14:paraId="4FB60093" w14:textId="2975E9C7">
      <w:pPr>
        <w:pStyle w:val="Standard"/>
        <w:rPr>
          <w:rFonts w:eastAsia="Times New Roman"/>
          <w:szCs w:val="26"/>
        </w:rPr>
      </w:pPr>
      <w:r>
        <w:rPr>
          <w:rFonts w:eastAsia="Times New Roman"/>
          <w:szCs w:val="26"/>
        </w:rPr>
        <w:t xml:space="preserve">Accordingly, </w:t>
      </w:r>
      <w:r w:rsidR="00660E03">
        <w:rPr>
          <w:rFonts w:eastAsia="Times New Roman"/>
          <w:szCs w:val="26"/>
        </w:rPr>
        <w:t xml:space="preserve">paired </w:t>
      </w:r>
      <w:r>
        <w:rPr>
          <w:rFonts w:eastAsia="Times New Roman"/>
          <w:szCs w:val="26"/>
        </w:rPr>
        <w:t xml:space="preserve">resources </w:t>
      </w:r>
      <w:r w:rsidR="00687AC2">
        <w:rPr>
          <w:rFonts w:eastAsia="Times New Roman"/>
          <w:szCs w:val="26"/>
        </w:rPr>
        <w:t xml:space="preserve">(including hybrid and co-located resources) </w:t>
      </w:r>
      <w:r w:rsidR="00A71B1E">
        <w:rPr>
          <w:rFonts w:eastAsia="Times New Roman"/>
          <w:szCs w:val="26"/>
        </w:rPr>
        <w:t xml:space="preserve">will </w:t>
      </w:r>
      <w:r>
        <w:rPr>
          <w:rFonts w:eastAsia="Times New Roman"/>
          <w:szCs w:val="26"/>
        </w:rPr>
        <w:t xml:space="preserve">be characterized </w:t>
      </w:r>
      <w:r w:rsidR="008D2A60">
        <w:rPr>
          <w:rFonts w:eastAsia="Times New Roman"/>
          <w:szCs w:val="26"/>
        </w:rPr>
        <w:t xml:space="preserve">on the MRD </w:t>
      </w:r>
      <w:r>
        <w:rPr>
          <w:rFonts w:eastAsia="Times New Roman"/>
          <w:szCs w:val="26"/>
        </w:rPr>
        <w:t>as either charging exclusively on</w:t>
      </w:r>
      <w:r w:rsidR="0040440E">
        <w:rPr>
          <w:rFonts w:eastAsia="Times New Roman"/>
          <w:szCs w:val="26"/>
        </w:rPr>
        <w:noBreakHyphen/>
      </w:r>
      <w:r>
        <w:rPr>
          <w:rFonts w:eastAsia="Times New Roman"/>
          <w:szCs w:val="26"/>
        </w:rPr>
        <w:t xml:space="preserve">site or allowing grid charging.  </w:t>
      </w:r>
      <w:r w:rsidR="00E302C7">
        <w:rPr>
          <w:rFonts w:eastAsia="Times New Roman"/>
          <w:szCs w:val="26"/>
        </w:rPr>
        <w:t xml:space="preserve">Regardless of whether </w:t>
      </w:r>
      <w:r w:rsidR="005941A3">
        <w:rPr>
          <w:rFonts w:eastAsia="Times New Roman"/>
          <w:szCs w:val="26"/>
        </w:rPr>
        <w:t xml:space="preserve">the paired </w:t>
      </w:r>
      <w:r w:rsidR="00E302C7">
        <w:rPr>
          <w:rFonts w:eastAsia="Times New Roman"/>
          <w:szCs w:val="26"/>
        </w:rPr>
        <w:t xml:space="preserve">storage </w:t>
      </w:r>
      <w:proofErr w:type="gramStart"/>
      <w:r w:rsidR="005941A3">
        <w:rPr>
          <w:rFonts w:eastAsia="Times New Roman"/>
          <w:szCs w:val="26"/>
        </w:rPr>
        <w:t>is able to</w:t>
      </w:r>
      <w:proofErr w:type="gramEnd"/>
      <w:r w:rsidR="005941A3">
        <w:rPr>
          <w:rFonts w:eastAsia="Times New Roman"/>
          <w:szCs w:val="26"/>
        </w:rPr>
        <w:t xml:space="preserve"> </w:t>
      </w:r>
      <w:r w:rsidR="00E302C7">
        <w:rPr>
          <w:rFonts w:eastAsia="Times New Roman"/>
          <w:szCs w:val="26"/>
        </w:rPr>
        <w:t>charge from the grid, a</w:t>
      </w:r>
      <w:r>
        <w:rPr>
          <w:rFonts w:eastAsia="Times New Roman"/>
          <w:szCs w:val="26"/>
        </w:rPr>
        <w:t>n EO resource may count towards the storage charging sufficiency requirement if the EO resource charges exclusively on</w:t>
      </w:r>
      <w:r w:rsidR="008D2A60">
        <w:rPr>
          <w:rFonts w:eastAsia="Times New Roman"/>
          <w:szCs w:val="26"/>
        </w:rPr>
        <w:t>-</w:t>
      </w:r>
      <w:r>
        <w:rPr>
          <w:rFonts w:eastAsia="Times New Roman"/>
          <w:szCs w:val="26"/>
        </w:rPr>
        <w:t xml:space="preserve">site storage.  </w:t>
      </w:r>
      <w:bookmarkStart w:name="_Hlk128558600" w:id="40"/>
      <w:r>
        <w:rPr>
          <w:rFonts w:eastAsia="Times New Roman"/>
          <w:szCs w:val="26"/>
        </w:rPr>
        <w:t xml:space="preserve">Storage </w:t>
      </w:r>
      <w:r w:rsidR="00A71B1E">
        <w:rPr>
          <w:rFonts w:eastAsia="Times New Roman"/>
          <w:szCs w:val="26"/>
        </w:rPr>
        <w:t xml:space="preserve">will </w:t>
      </w:r>
      <w:r>
        <w:rPr>
          <w:rFonts w:eastAsia="Times New Roman"/>
          <w:szCs w:val="26"/>
        </w:rPr>
        <w:t xml:space="preserve">be capped by the </w:t>
      </w:r>
      <w:r w:rsidRPr="000847CA">
        <w:rPr>
          <w:rFonts w:eastAsia="Times New Roman"/>
          <w:szCs w:val="26"/>
        </w:rPr>
        <w:t>charging capacity of the renewable</w:t>
      </w:r>
      <w:r>
        <w:rPr>
          <w:rFonts w:eastAsia="Times New Roman"/>
          <w:szCs w:val="26"/>
        </w:rPr>
        <w:t xml:space="preserve"> resource if it </w:t>
      </w:r>
      <w:r>
        <w:rPr>
          <w:rFonts w:eastAsia="Times New Roman"/>
          <w:szCs w:val="26"/>
        </w:rPr>
        <w:lastRenderedPageBreak/>
        <w:t xml:space="preserve">cannot charge from the grid and </w:t>
      </w:r>
      <w:r w:rsidR="00A71B1E">
        <w:rPr>
          <w:rFonts w:eastAsia="Times New Roman"/>
          <w:szCs w:val="26"/>
        </w:rPr>
        <w:t>will</w:t>
      </w:r>
      <w:r w:rsidR="008D2A60">
        <w:rPr>
          <w:rFonts w:eastAsia="Times New Roman"/>
          <w:szCs w:val="26"/>
        </w:rPr>
        <w:t xml:space="preserve"> be </w:t>
      </w:r>
      <w:r>
        <w:rPr>
          <w:rFonts w:eastAsia="Times New Roman"/>
          <w:szCs w:val="26"/>
        </w:rPr>
        <w:t>capped at the interconnection</w:t>
      </w:r>
      <w:r w:rsidR="00A71B1E">
        <w:rPr>
          <w:rFonts w:eastAsia="Times New Roman"/>
          <w:szCs w:val="26"/>
        </w:rPr>
        <w:t xml:space="preserve"> limit</w:t>
      </w:r>
      <w:r>
        <w:rPr>
          <w:rFonts w:eastAsia="Times New Roman"/>
          <w:szCs w:val="26"/>
        </w:rPr>
        <w:t xml:space="preserve">.  </w:t>
      </w:r>
      <w:bookmarkEnd w:id="40"/>
      <w:r>
        <w:rPr>
          <w:rFonts w:eastAsia="Times New Roman"/>
          <w:szCs w:val="26"/>
        </w:rPr>
        <w:t xml:space="preserve">On the MRD and LSE showings, </w:t>
      </w:r>
      <w:r w:rsidR="00660E03">
        <w:rPr>
          <w:rFonts w:eastAsia="Times New Roman"/>
          <w:szCs w:val="26"/>
        </w:rPr>
        <w:t xml:space="preserve">paired </w:t>
      </w:r>
      <w:r>
        <w:rPr>
          <w:rFonts w:eastAsia="Times New Roman"/>
          <w:szCs w:val="26"/>
        </w:rPr>
        <w:t xml:space="preserve">components </w:t>
      </w:r>
      <w:r w:rsidR="00A71B1E">
        <w:rPr>
          <w:rFonts w:eastAsia="Times New Roman"/>
          <w:szCs w:val="26"/>
        </w:rPr>
        <w:t xml:space="preserve">will </w:t>
      </w:r>
      <w:r>
        <w:rPr>
          <w:rFonts w:eastAsia="Times New Roman"/>
          <w:szCs w:val="26"/>
        </w:rPr>
        <w:t xml:space="preserve">be shown as separate assets, and the total of the components </w:t>
      </w:r>
      <w:r w:rsidR="00A71B1E">
        <w:rPr>
          <w:rFonts w:eastAsia="Times New Roman"/>
          <w:szCs w:val="26"/>
        </w:rPr>
        <w:t xml:space="preserve">will </w:t>
      </w:r>
      <w:r>
        <w:rPr>
          <w:rFonts w:eastAsia="Times New Roman"/>
          <w:szCs w:val="26"/>
        </w:rPr>
        <w:t>not exceed the interconnection amount for any hour.</w:t>
      </w:r>
    </w:p>
    <w:p w:rsidR="0022688B" w:rsidP="0022688B" w:rsidRDefault="0022688B" w14:paraId="077C9264" w14:textId="18A50CF8">
      <w:pPr>
        <w:pStyle w:val="Heading2"/>
      </w:pPr>
      <w:bookmarkStart w:name="_Toc131762393" w:id="41"/>
      <w:r w:rsidRPr="0022688B">
        <w:t>Unforced Capacity Evaluation</w:t>
      </w:r>
      <w:r w:rsidR="0040440E">
        <w:br/>
      </w:r>
      <w:r w:rsidRPr="0022688B">
        <w:t>(UCAP) / UCAP-Light Methodology</w:t>
      </w:r>
      <w:bookmarkEnd w:id="41"/>
    </w:p>
    <w:p w:rsidRPr="001258B7" w:rsidR="0022688B" w:rsidP="0022688B" w:rsidRDefault="0022688B" w14:paraId="321FADB3" w14:textId="204C4734">
      <w:pPr>
        <w:rPr>
          <w:rFonts w:eastAsiaTheme="majorEastAsia"/>
        </w:rPr>
      </w:pPr>
      <w:r>
        <w:rPr>
          <w:rFonts w:eastAsiaTheme="majorEastAsia"/>
        </w:rPr>
        <w:t>In D.22</w:t>
      </w:r>
      <w:r w:rsidR="0040440E">
        <w:rPr>
          <w:rFonts w:eastAsiaTheme="majorEastAsia"/>
        </w:rPr>
        <w:noBreakHyphen/>
      </w:r>
      <w:r>
        <w:rPr>
          <w:rFonts w:eastAsiaTheme="majorEastAsia"/>
        </w:rPr>
        <w:t>06</w:t>
      </w:r>
      <w:r w:rsidR="0040440E">
        <w:rPr>
          <w:rFonts w:eastAsiaTheme="majorEastAsia"/>
        </w:rPr>
        <w:noBreakHyphen/>
      </w:r>
      <w:r>
        <w:rPr>
          <w:rFonts w:eastAsiaTheme="majorEastAsia"/>
        </w:rPr>
        <w:t>050, we concluded that while we saw merit in a UCAP framework, “[c]</w:t>
      </w:r>
      <w:proofErr w:type="spellStart"/>
      <w:r>
        <w:rPr>
          <w:rFonts w:eastAsiaTheme="majorEastAsia"/>
        </w:rPr>
        <w:t>onsidering</w:t>
      </w:r>
      <w:proofErr w:type="spellEnd"/>
      <w:r w:rsidRPr="007C5AEE">
        <w:rPr>
          <w:rFonts w:eastAsiaTheme="majorEastAsia"/>
        </w:rPr>
        <w:t xml:space="preserve"> the </w:t>
      </w:r>
      <w:r>
        <w:rPr>
          <w:rFonts w:eastAsiaTheme="majorEastAsia"/>
        </w:rPr>
        <w:t>breadth</w:t>
      </w:r>
      <w:r w:rsidRPr="007C5AEE">
        <w:rPr>
          <w:rFonts w:eastAsiaTheme="majorEastAsia"/>
        </w:rPr>
        <w:t xml:space="preserve"> of </w:t>
      </w:r>
      <w:r>
        <w:rPr>
          <w:rFonts w:eastAsiaTheme="majorEastAsia"/>
        </w:rPr>
        <w:t xml:space="preserve">outstanding </w:t>
      </w:r>
      <w:r w:rsidRPr="007C5AEE">
        <w:rPr>
          <w:rFonts w:eastAsiaTheme="majorEastAsia"/>
        </w:rPr>
        <w:t>issues to develop prior to initial implementation of the 24</w:t>
      </w:r>
      <w:r w:rsidR="0040440E">
        <w:rPr>
          <w:rFonts w:eastAsiaTheme="majorEastAsia"/>
        </w:rPr>
        <w:noBreakHyphen/>
      </w:r>
      <w:r w:rsidRPr="007C5AEE">
        <w:rPr>
          <w:rFonts w:eastAsiaTheme="majorEastAsia"/>
        </w:rPr>
        <w:t xml:space="preserve">hour framework, the Commission agrees with parties that consideration of the UCAP framework should be deferred to a later phase of the </w:t>
      </w:r>
      <w:r w:rsidRPr="0F7ED6F6">
        <w:rPr>
          <w:rFonts w:eastAsiaTheme="majorEastAsia"/>
        </w:rPr>
        <w:t>proceeding</w:t>
      </w:r>
      <w:r w:rsidRPr="007C5AEE">
        <w:rPr>
          <w:rFonts w:eastAsiaTheme="majorEastAsia"/>
        </w:rPr>
        <w:t>.</w:t>
      </w:r>
      <w:r>
        <w:rPr>
          <w:rFonts w:eastAsiaTheme="majorEastAsia"/>
        </w:rPr>
        <w:t>”</w:t>
      </w:r>
      <w:r>
        <w:rPr>
          <w:rStyle w:val="FootnoteReference"/>
          <w:rFonts w:eastAsiaTheme="majorEastAsia"/>
        </w:rPr>
        <w:footnoteReference w:id="86"/>
      </w:r>
      <w:r w:rsidRPr="007C5AEE">
        <w:rPr>
          <w:rFonts w:eastAsiaTheme="majorEastAsia"/>
        </w:rPr>
        <w:t xml:space="preserve">  </w:t>
      </w:r>
      <w:r>
        <w:t>The Commission also considered a “UCAP</w:t>
      </w:r>
      <w:r w:rsidR="0040440E">
        <w:noBreakHyphen/>
      </w:r>
      <w:r>
        <w:t xml:space="preserve">light” ambient derate alternative and determined that developing such a mechanism would require input from CAISO and other stakeholders.  </w:t>
      </w:r>
      <w:r>
        <w:rPr>
          <w:rFonts w:eastAsia="Times New Roman"/>
          <w:szCs w:val="26"/>
        </w:rPr>
        <w:t>We stated that despite</w:t>
      </w:r>
      <w:r w:rsidRPr="007C5AEE">
        <w:rPr>
          <w:rFonts w:eastAsia="Times New Roman"/>
          <w:szCs w:val="26"/>
        </w:rPr>
        <w:t xml:space="preserve"> potential implementation challenges, </w:t>
      </w:r>
      <w:r>
        <w:rPr>
          <w:rFonts w:eastAsia="Times New Roman"/>
          <w:szCs w:val="26"/>
        </w:rPr>
        <w:t>we saw</w:t>
      </w:r>
      <w:r w:rsidRPr="007C5AEE">
        <w:rPr>
          <w:rFonts w:eastAsia="Times New Roman"/>
          <w:szCs w:val="26"/>
        </w:rPr>
        <w:t xml:space="preserve"> merit in a UCAP</w:t>
      </w:r>
      <w:r w:rsidR="0040440E">
        <w:rPr>
          <w:rFonts w:eastAsia="Times New Roman"/>
          <w:szCs w:val="26"/>
        </w:rPr>
        <w:noBreakHyphen/>
      </w:r>
      <w:r w:rsidRPr="007C5AEE">
        <w:rPr>
          <w:rFonts w:eastAsia="Times New Roman"/>
          <w:szCs w:val="26"/>
        </w:rPr>
        <w:t xml:space="preserve">light mechanism </w:t>
      </w:r>
      <w:r>
        <w:rPr>
          <w:rFonts w:eastAsia="Times New Roman"/>
          <w:szCs w:val="26"/>
        </w:rPr>
        <w:t xml:space="preserve">and </w:t>
      </w:r>
      <w:r w:rsidRPr="007C5AEE">
        <w:rPr>
          <w:rFonts w:eastAsia="Times New Roman"/>
          <w:szCs w:val="26"/>
        </w:rPr>
        <w:t>encourag</w:t>
      </w:r>
      <w:r>
        <w:rPr>
          <w:rFonts w:eastAsia="Times New Roman"/>
          <w:szCs w:val="26"/>
        </w:rPr>
        <w:t>ed</w:t>
      </w:r>
      <w:r w:rsidRPr="007C5AEE">
        <w:rPr>
          <w:rFonts w:eastAsia="Times New Roman"/>
          <w:szCs w:val="26"/>
        </w:rPr>
        <w:t xml:space="preserve"> parties to </w:t>
      </w:r>
      <w:r>
        <w:rPr>
          <w:rFonts w:eastAsia="Times New Roman"/>
          <w:szCs w:val="26"/>
        </w:rPr>
        <w:t>develop</w:t>
      </w:r>
      <w:r w:rsidRPr="007C5AEE">
        <w:rPr>
          <w:rFonts w:eastAsia="Times New Roman"/>
          <w:szCs w:val="26"/>
        </w:rPr>
        <w:t xml:space="preserve"> a mechanism </w:t>
      </w:r>
      <w:r>
        <w:rPr>
          <w:rFonts w:eastAsia="Times New Roman"/>
          <w:szCs w:val="26"/>
        </w:rPr>
        <w:t xml:space="preserve">in workshops.  </w:t>
      </w:r>
    </w:p>
    <w:p w:rsidR="0022688B" w:rsidP="0022688B" w:rsidRDefault="0022688B" w14:paraId="04576B59" w14:textId="3D3F4A7D">
      <w:pPr>
        <w:autoSpaceDE w:val="0"/>
        <w:autoSpaceDN w:val="0"/>
        <w:adjustRightInd w:val="0"/>
        <w:rPr>
          <w:rFonts w:eastAsia="Times New Roman"/>
        </w:rPr>
      </w:pPr>
      <w:r>
        <w:rPr>
          <w:rFonts w:eastAsia="Times New Roman"/>
        </w:rPr>
        <w:t>According to the WG Report, a UCAP</w:t>
      </w:r>
      <w:r w:rsidR="0040440E">
        <w:rPr>
          <w:rFonts w:eastAsia="Times New Roman"/>
        </w:rPr>
        <w:noBreakHyphen/>
      </w:r>
      <w:r>
        <w:rPr>
          <w:rFonts w:eastAsia="Times New Roman"/>
        </w:rPr>
        <w:t>light methodology was not sufficiently developed to be included in the WG Report.</w:t>
      </w:r>
      <w:r>
        <w:rPr>
          <w:rStyle w:val="FootnoteReference"/>
          <w:rFonts w:eastAsia="Times New Roman"/>
        </w:rPr>
        <w:footnoteReference w:id="87"/>
      </w:r>
      <w:r>
        <w:rPr>
          <w:rFonts w:eastAsia="Times New Roman"/>
        </w:rPr>
        <w:t xml:space="preserve">  IEP advises that it was not possible to develop a UCAP</w:t>
      </w:r>
      <w:r w:rsidR="0040440E">
        <w:rPr>
          <w:rFonts w:eastAsia="Times New Roman"/>
        </w:rPr>
        <w:noBreakHyphen/>
      </w:r>
      <w:r>
        <w:rPr>
          <w:rFonts w:eastAsia="Times New Roman"/>
        </w:rPr>
        <w:t>light counting method using CAISO’s outage data and identifies numerous problems with the data, including plants reporting data in an inconsistent hourly format and data reporting on individual spreadsheets that would require aggregation to a usable format.</w:t>
      </w:r>
      <w:r>
        <w:rPr>
          <w:rStyle w:val="FootnoteReference"/>
          <w:rFonts w:eastAsia="Times New Roman"/>
        </w:rPr>
        <w:footnoteReference w:id="88"/>
      </w:r>
      <w:r>
        <w:rPr>
          <w:rFonts w:eastAsia="Times New Roman"/>
        </w:rPr>
        <w:t xml:space="preserve">  Given the data limitations, IEP asserts that it is not possible to use the data to calculate UCAP or </w:t>
      </w:r>
      <w:r>
        <w:rPr>
          <w:rFonts w:eastAsia="Times New Roman"/>
        </w:rPr>
        <w:lastRenderedPageBreak/>
        <w:t>UCAP</w:t>
      </w:r>
      <w:r w:rsidR="0040440E">
        <w:rPr>
          <w:rFonts w:eastAsia="Times New Roman"/>
        </w:rPr>
        <w:noBreakHyphen/>
      </w:r>
      <w:r>
        <w:rPr>
          <w:rFonts w:eastAsia="Times New Roman"/>
        </w:rPr>
        <w:t xml:space="preserve">light adjustment factors for all thermal plants and recommends deferring until CAISO can provide data in a more usable format.  </w:t>
      </w:r>
    </w:p>
    <w:p w:rsidR="0022688B" w:rsidP="0022688B" w:rsidRDefault="0022688B" w14:paraId="28BDD51A" w14:textId="7CED242A">
      <w:pPr>
        <w:autoSpaceDE w:val="0"/>
        <w:autoSpaceDN w:val="0"/>
        <w:adjustRightInd w:val="0"/>
        <w:rPr>
          <w:rFonts w:eastAsia="Times New Roman"/>
        </w:rPr>
      </w:pPr>
      <w:r>
        <w:rPr>
          <w:rFonts w:eastAsia="Times New Roman"/>
        </w:rPr>
        <w:t xml:space="preserve">CAISO, </w:t>
      </w:r>
      <w:proofErr w:type="spellStart"/>
      <w:r>
        <w:rPr>
          <w:rFonts w:eastAsia="Times New Roman"/>
        </w:rPr>
        <w:t>CalCCA</w:t>
      </w:r>
      <w:proofErr w:type="spellEnd"/>
      <w:r>
        <w:rPr>
          <w:rFonts w:eastAsia="Times New Roman"/>
        </w:rPr>
        <w:t xml:space="preserve">, </w:t>
      </w:r>
      <w:proofErr w:type="spellStart"/>
      <w:r>
        <w:rPr>
          <w:rFonts w:eastAsia="Times New Roman"/>
        </w:rPr>
        <w:t>Fervo</w:t>
      </w:r>
      <w:proofErr w:type="spellEnd"/>
      <w:r>
        <w:rPr>
          <w:rFonts w:eastAsia="Times New Roman"/>
        </w:rPr>
        <w:t>, MRP, NRDC, and PG&amp;E recommend foregoing development of a UCAP-light methodology and exploring a comprehensive application of UCAP to account for other types of forced outages, not just ambient derates.</w:t>
      </w:r>
      <w:r>
        <w:rPr>
          <w:rStyle w:val="FootnoteReference"/>
          <w:rFonts w:eastAsia="Times New Roman"/>
        </w:rPr>
        <w:footnoteReference w:id="89"/>
      </w:r>
      <w:r>
        <w:rPr>
          <w:rFonts w:eastAsia="Times New Roman"/>
        </w:rPr>
        <w:t xml:space="preserve">  CAISO </w:t>
      </w:r>
      <w:r w:rsidR="008D2A60">
        <w:rPr>
          <w:rFonts w:eastAsia="Times New Roman"/>
        </w:rPr>
        <w:t xml:space="preserve">advises </w:t>
      </w:r>
      <w:r>
        <w:rPr>
          <w:rFonts w:eastAsia="Times New Roman"/>
        </w:rPr>
        <w:t>that its outage data may be incomplete because resources submit larger overlapping outages that account for ambient derate, and the data is not a good source for a UCAP that accounts for</w:t>
      </w:r>
      <w:r w:rsidR="008D2A60">
        <w:rPr>
          <w:rFonts w:eastAsia="Times New Roman"/>
        </w:rPr>
        <w:t xml:space="preserve"> only</w:t>
      </w:r>
      <w:r>
        <w:rPr>
          <w:rFonts w:eastAsia="Times New Roman"/>
        </w:rPr>
        <w:t xml:space="preserve"> ambient derates.  </w:t>
      </w:r>
      <w:proofErr w:type="spellStart"/>
      <w:r>
        <w:rPr>
          <w:rFonts w:eastAsia="Times New Roman"/>
        </w:rPr>
        <w:t>CalCCA</w:t>
      </w:r>
      <w:proofErr w:type="spellEnd"/>
      <w:r>
        <w:rPr>
          <w:rFonts w:eastAsia="Times New Roman"/>
        </w:rPr>
        <w:t xml:space="preserve"> and PG&amp;E contend that UCAP-light cannot realize the benefits of a full UCAP methodology.</w:t>
      </w:r>
    </w:p>
    <w:p w:rsidR="0022688B" w:rsidP="0022688B" w:rsidRDefault="0022688B" w14:paraId="15A520E3" w14:textId="5555749C">
      <w:pPr>
        <w:autoSpaceDE w:val="0"/>
        <w:autoSpaceDN w:val="0"/>
        <w:adjustRightInd w:val="0"/>
        <w:rPr>
          <w:rFonts w:eastAsia="Times New Roman"/>
        </w:rPr>
      </w:pPr>
      <w:proofErr w:type="spellStart"/>
      <w:r>
        <w:rPr>
          <w:rFonts w:eastAsia="Times New Roman"/>
        </w:rPr>
        <w:t>AReM</w:t>
      </w:r>
      <w:proofErr w:type="spellEnd"/>
      <w:r>
        <w:rPr>
          <w:rFonts w:eastAsia="Times New Roman"/>
        </w:rPr>
        <w:t>, Cal</w:t>
      </w:r>
      <w:r w:rsidR="0040440E">
        <w:rPr>
          <w:rFonts w:eastAsia="Times New Roman"/>
        </w:rPr>
        <w:t> </w:t>
      </w:r>
      <w:r>
        <w:rPr>
          <w:rFonts w:eastAsia="Times New Roman"/>
        </w:rPr>
        <w:t>Advocates, and GPI support continuing to develop a UCAP</w:t>
      </w:r>
      <w:r w:rsidR="0040440E">
        <w:rPr>
          <w:rFonts w:eastAsia="Times New Roman"/>
        </w:rPr>
        <w:noBreakHyphen/>
      </w:r>
      <w:r>
        <w:rPr>
          <w:rFonts w:eastAsia="Times New Roman"/>
        </w:rPr>
        <w:t xml:space="preserve">light mechanism, and </w:t>
      </w:r>
      <w:proofErr w:type="spellStart"/>
      <w:r>
        <w:rPr>
          <w:rFonts w:eastAsia="Times New Roman"/>
        </w:rPr>
        <w:t>AReM</w:t>
      </w:r>
      <w:proofErr w:type="spellEnd"/>
      <w:r>
        <w:rPr>
          <w:rFonts w:eastAsia="Times New Roman"/>
        </w:rPr>
        <w:t xml:space="preserve"> supports development with the potential for setting fixed derates by geographic location and </w:t>
      </w:r>
      <w:r w:rsidR="008D2A60">
        <w:rPr>
          <w:rFonts w:eastAsia="Times New Roman"/>
        </w:rPr>
        <w:t xml:space="preserve">the </w:t>
      </w:r>
      <w:r>
        <w:rPr>
          <w:rFonts w:eastAsia="Times New Roman"/>
        </w:rPr>
        <w:t xml:space="preserve">use of a consultant or CAISO </w:t>
      </w:r>
      <w:r w:rsidR="008D2A60">
        <w:rPr>
          <w:rFonts w:eastAsia="Times New Roman"/>
        </w:rPr>
        <w:t xml:space="preserve">to </w:t>
      </w:r>
      <w:r>
        <w:rPr>
          <w:rFonts w:eastAsia="Times New Roman"/>
        </w:rPr>
        <w:t>calculat</w:t>
      </w:r>
      <w:r w:rsidR="008D2A60">
        <w:rPr>
          <w:rFonts w:eastAsia="Times New Roman"/>
        </w:rPr>
        <w:t>e</w:t>
      </w:r>
      <w:r>
        <w:rPr>
          <w:rFonts w:eastAsia="Times New Roman"/>
        </w:rPr>
        <w:t xml:space="preserve"> the values.</w:t>
      </w:r>
      <w:r>
        <w:rPr>
          <w:rStyle w:val="FootnoteReference"/>
          <w:rFonts w:eastAsia="Times New Roman"/>
        </w:rPr>
        <w:footnoteReference w:id="90"/>
      </w:r>
      <w:r>
        <w:rPr>
          <w:rFonts w:eastAsia="Times New Roman"/>
        </w:rPr>
        <w:t xml:space="preserve">  CESA, </w:t>
      </w:r>
      <w:proofErr w:type="spellStart"/>
      <w:r>
        <w:rPr>
          <w:rFonts w:eastAsia="Times New Roman"/>
        </w:rPr>
        <w:t>Hydrostor</w:t>
      </w:r>
      <w:proofErr w:type="spellEnd"/>
      <w:r>
        <w:rPr>
          <w:rFonts w:eastAsia="Times New Roman"/>
        </w:rPr>
        <w:t>, and MRP state that there is insufficient record for adoption of a UCAP-light or UCAP methodology.</w:t>
      </w:r>
      <w:r>
        <w:rPr>
          <w:rStyle w:val="FootnoteReference"/>
          <w:rFonts w:eastAsia="Times New Roman"/>
        </w:rPr>
        <w:footnoteReference w:id="91"/>
      </w:r>
      <w:r>
        <w:rPr>
          <w:rFonts w:eastAsia="Times New Roman"/>
        </w:rPr>
        <w:t xml:space="preserve">  MRP observes that CAISO has not moved forward with a UCAP proposal in its stakeholder initiative.</w:t>
      </w:r>
      <w:r w:rsidRPr="00F96BEB">
        <w:rPr>
          <w:rFonts w:eastAsia="Times New Roman"/>
        </w:rPr>
        <w:t xml:space="preserve"> </w:t>
      </w:r>
    </w:p>
    <w:p w:rsidR="0022688B" w:rsidP="0022688B" w:rsidRDefault="0022688B" w14:paraId="7AEB6127" w14:textId="7B3ADC37">
      <w:pPr>
        <w:rPr>
          <w:rFonts w:eastAsiaTheme="majorEastAsia"/>
        </w:rPr>
      </w:pPr>
      <w:r>
        <w:rPr>
          <w:rFonts w:eastAsiaTheme="majorEastAsia"/>
        </w:rPr>
        <w:t>As affirmed in the WG</w:t>
      </w:r>
      <w:r w:rsidR="00152336">
        <w:rPr>
          <w:rFonts w:eastAsiaTheme="majorEastAsia"/>
        </w:rPr>
        <w:t> </w:t>
      </w:r>
      <w:r>
        <w:rPr>
          <w:rFonts w:eastAsiaTheme="majorEastAsia"/>
        </w:rPr>
        <w:t xml:space="preserve">Report, a UCAP-light proposal was not sufficiently developed during the </w:t>
      </w:r>
      <w:r w:rsidR="00152336">
        <w:rPr>
          <w:rFonts w:eastAsiaTheme="majorEastAsia"/>
        </w:rPr>
        <w:t>W</w:t>
      </w:r>
      <w:r w:rsidR="006A6E5D">
        <w:rPr>
          <w:rFonts w:eastAsiaTheme="majorEastAsia"/>
        </w:rPr>
        <w:t xml:space="preserve">orking </w:t>
      </w:r>
      <w:r w:rsidR="00152336">
        <w:rPr>
          <w:rFonts w:eastAsiaTheme="majorEastAsia"/>
        </w:rPr>
        <w:t>G</w:t>
      </w:r>
      <w:r w:rsidR="006A6E5D">
        <w:rPr>
          <w:rFonts w:eastAsiaTheme="majorEastAsia"/>
        </w:rPr>
        <w:t>roup</w:t>
      </w:r>
      <w:r>
        <w:rPr>
          <w:rFonts w:eastAsiaTheme="majorEastAsia"/>
        </w:rPr>
        <w:t xml:space="preserve"> process.  As such, there is no proposal for the Commission to consider.</w:t>
      </w:r>
    </w:p>
    <w:p w:rsidR="0022688B" w:rsidP="0022688B" w:rsidRDefault="0022688B" w14:paraId="32FB1A51" w14:textId="77777777">
      <w:pPr>
        <w:rPr>
          <w:rFonts w:eastAsiaTheme="majorEastAsia"/>
        </w:rPr>
      </w:pPr>
      <w:r>
        <w:rPr>
          <w:rFonts w:eastAsiaTheme="majorEastAsia"/>
        </w:rPr>
        <w:lastRenderedPageBreak/>
        <w:t>In D.22-06-050, the Commission stated that:</w:t>
      </w:r>
      <w:r>
        <w:rPr>
          <w:rStyle w:val="FootnoteReference"/>
          <w:rFonts w:eastAsiaTheme="majorEastAsia"/>
        </w:rPr>
        <w:footnoteReference w:id="92"/>
      </w:r>
    </w:p>
    <w:p w:rsidR="0022688B" w:rsidP="0040440E" w:rsidRDefault="0022688B" w14:paraId="662D66B9" w14:textId="588E49C1">
      <w:pPr>
        <w:spacing w:after="120" w:line="240" w:lineRule="auto"/>
        <w:ind w:left="720" w:right="1440" w:firstLine="0"/>
        <w:rPr>
          <w:rFonts w:eastAsiaTheme="majorEastAsia"/>
        </w:rPr>
      </w:pPr>
      <w:r w:rsidRPr="007C5AEE">
        <w:rPr>
          <w:rFonts w:eastAsiaTheme="majorEastAsia"/>
        </w:rPr>
        <w:t>As discuss</w:t>
      </w:r>
      <w:r>
        <w:rPr>
          <w:rFonts w:eastAsiaTheme="majorEastAsia"/>
        </w:rPr>
        <w:t>ed</w:t>
      </w:r>
      <w:r w:rsidRPr="007C5AEE">
        <w:rPr>
          <w:rFonts w:eastAsiaTheme="majorEastAsia"/>
        </w:rPr>
        <w:t xml:space="preserve"> in D.21</w:t>
      </w:r>
      <w:r w:rsidR="0040440E">
        <w:rPr>
          <w:rFonts w:eastAsiaTheme="majorEastAsia"/>
        </w:rPr>
        <w:noBreakHyphen/>
      </w:r>
      <w:r w:rsidRPr="007C5AEE">
        <w:rPr>
          <w:rFonts w:eastAsiaTheme="majorEastAsia"/>
        </w:rPr>
        <w:t>07</w:t>
      </w:r>
      <w:r w:rsidR="0040440E">
        <w:rPr>
          <w:rFonts w:eastAsiaTheme="majorEastAsia"/>
        </w:rPr>
        <w:noBreakHyphen/>
      </w:r>
      <w:r w:rsidRPr="007C5AEE">
        <w:rPr>
          <w:rFonts w:eastAsiaTheme="majorEastAsia"/>
        </w:rPr>
        <w:t>014, the Commission continues to see merit in the UCAP framework and observes that embedding forced outage rates into a resource’s RA value would better reflect the resource’s contribution to reliability across the 24</w:t>
      </w:r>
      <w:r w:rsidR="0040440E">
        <w:rPr>
          <w:rFonts w:eastAsiaTheme="majorEastAsia"/>
        </w:rPr>
        <w:noBreakHyphen/>
      </w:r>
      <w:r w:rsidRPr="007C5AEE">
        <w:rPr>
          <w:rFonts w:eastAsiaTheme="majorEastAsia"/>
        </w:rPr>
        <w:t xml:space="preserve">hour framework.  </w:t>
      </w:r>
    </w:p>
    <w:p w:rsidR="0022688B" w:rsidP="0022688B" w:rsidRDefault="0022688B" w14:paraId="5706F5BA" w14:textId="77777777">
      <w:pPr>
        <w:rPr>
          <w:rFonts w:eastAsiaTheme="majorEastAsia"/>
        </w:rPr>
      </w:pPr>
      <w:r>
        <w:rPr>
          <w:rFonts w:eastAsiaTheme="majorEastAsia"/>
        </w:rPr>
        <w:t xml:space="preserve">We concur with parties that at this stage, it is appropriate to forego development of a UCAP-light mechanism </w:t>
      </w:r>
      <w:r>
        <w:rPr>
          <w:rFonts w:eastAsia="Times New Roman"/>
        </w:rPr>
        <w:t>and explore a comprehensive application of UCAP to account for</w:t>
      </w:r>
      <w:r w:rsidRPr="00065279">
        <w:rPr>
          <w:rFonts w:eastAsiaTheme="majorEastAsia"/>
        </w:rPr>
        <w:t xml:space="preserve"> </w:t>
      </w:r>
      <w:r>
        <w:rPr>
          <w:rFonts w:eastAsiaTheme="majorEastAsia"/>
        </w:rPr>
        <w:t xml:space="preserve">other types of forced outages, not just ambient derates.  We recognize the concerns and limitations with CAISO’s current outage data that have hindered development of an implementable proposal.  We encourage CAISO to work through these data limitations to further develop a full UCAP mechanism for consideration in this proceeding.  </w:t>
      </w:r>
    </w:p>
    <w:p w:rsidRPr="0022688B" w:rsidR="0022688B" w:rsidP="0022688B" w:rsidRDefault="0022688B" w14:paraId="0CFEEBB2" w14:textId="433725C3">
      <w:pPr>
        <w:pStyle w:val="Standard"/>
      </w:pPr>
      <w:r>
        <w:rPr>
          <w:rFonts w:eastAsiaTheme="majorEastAsia"/>
        </w:rPr>
        <w:t>In D.22</w:t>
      </w:r>
      <w:r w:rsidR="007F7C0E">
        <w:rPr>
          <w:rFonts w:eastAsiaTheme="majorEastAsia"/>
        </w:rPr>
        <w:noBreakHyphen/>
      </w:r>
      <w:r>
        <w:rPr>
          <w:rFonts w:eastAsiaTheme="majorEastAsia"/>
        </w:rPr>
        <w:t>06</w:t>
      </w:r>
      <w:r w:rsidR="007F7C0E">
        <w:rPr>
          <w:rFonts w:eastAsiaTheme="majorEastAsia"/>
        </w:rPr>
        <w:noBreakHyphen/>
      </w:r>
      <w:r>
        <w:rPr>
          <w:rFonts w:eastAsiaTheme="majorEastAsia"/>
        </w:rPr>
        <w:t xml:space="preserve">050, the Commission stated that </w:t>
      </w:r>
      <w:r>
        <w:rPr>
          <w:rFonts w:eastAsia="Times New Roman"/>
          <w:szCs w:val="26"/>
        </w:rPr>
        <w:t>i</w:t>
      </w:r>
      <w:r w:rsidRPr="007C5AEE">
        <w:rPr>
          <w:rFonts w:eastAsia="Times New Roman"/>
          <w:szCs w:val="26"/>
        </w:rPr>
        <w:t xml:space="preserve">f </w:t>
      </w:r>
      <w:r>
        <w:rPr>
          <w:rFonts w:eastAsia="Times New Roman"/>
          <w:szCs w:val="26"/>
        </w:rPr>
        <w:t xml:space="preserve">a UCAP-light mechanism </w:t>
      </w:r>
      <w:r w:rsidR="008D2A60">
        <w:rPr>
          <w:rFonts w:eastAsia="Times New Roman"/>
          <w:szCs w:val="26"/>
        </w:rPr>
        <w:t xml:space="preserve">could not </w:t>
      </w:r>
      <w:r>
        <w:rPr>
          <w:rFonts w:eastAsia="Times New Roman"/>
          <w:szCs w:val="26"/>
        </w:rPr>
        <w:t xml:space="preserve">be developed, </w:t>
      </w:r>
      <w:r w:rsidRPr="2B36F30D">
        <w:rPr>
          <w:rFonts w:eastAsia="Times New Roman"/>
        </w:rPr>
        <w:t xml:space="preserve">dispatchable resources </w:t>
      </w:r>
      <w:r>
        <w:rPr>
          <w:rFonts w:eastAsia="Times New Roman"/>
        </w:rPr>
        <w:t>shall</w:t>
      </w:r>
      <w:r w:rsidRPr="2B36F30D">
        <w:rPr>
          <w:rFonts w:eastAsia="Times New Roman"/>
        </w:rPr>
        <w:t xml:space="preserve"> continue to count at their P</w:t>
      </w:r>
      <w:r w:rsidRPr="1F5088A1">
        <w:rPr>
          <w:rFonts w:eastAsia="Book Antiqua" w:cs="Book Antiqua"/>
          <w:szCs w:val="26"/>
        </w:rPr>
        <w:t>max</w:t>
      </w:r>
      <w:r w:rsidRPr="5F29B1BF">
        <w:rPr>
          <w:rFonts w:eastAsia="Book Antiqua" w:cs="Book Antiqua"/>
          <w:szCs w:val="26"/>
        </w:rPr>
        <w:t xml:space="preserve"> value</w:t>
      </w:r>
      <w:r>
        <w:rPr>
          <w:rFonts w:eastAsia="Book Antiqua" w:cs="Book Antiqua"/>
          <w:szCs w:val="26"/>
        </w:rPr>
        <w:t>,</w:t>
      </w:r>
      <w:r w:rsidRPr="5F29B1BF">
        <w:rPr>
          <w:rFonts w:eastAsia="Book Antiqua" w:cs="Book Antiqua"/>
          <w:szCs w:val="26"/>
        </w:rPr>
        <w:t xml:space="preserve"> as they do today, until</w:t>
      </w:r>
      <w:r w:rsidRPr="7118B04E">
        <w:rPr>
          <w:rFonts w:eastAsia="Book Antiqua" w:cs="Book Antiqua"/>
          <w:szCs w:val="26"/>
        </w:rPr>
        <w:t xml:space="preserve"> a mechanism</w:t>
      </w:r>
      <w:r w:rsidRPr="01785D94">
        <w:rPr>
          <w:rFonts w:eastAsia="Book Antiqua" w:cs="Book Antiqua"/>
          <w:szCs w:val="26"/>
        </w:rPr>
        <w:t xml:space="preserve"> is developed.</w:t>
      </w:r>
      <w:r w:rsidR="008D2A60">
        <w:rPr>
          <w:rStyle w:val="FootnoteReference"/>
          <w:rFonts w:eastAsia="Book Antiqua" w:cs="Book Antiqua"/>
          <w:szCs w:val="26"/>
        </w:rPr>
        <w:footnoteReference w:id="93"/>
      </w:r>
      <w:r w:rsidRPr="01785D94">
        <w:rPr>
          <w:rFonts w:eastAsia="Book Antiqua" w:cs="Book Antiqua"/>
          <w:szCs w:val="26"/>
        </w:rPr>
        <w:t xml:space="preserve"> </w:t>
      </w:r>
      <w:r w:rsidRPr="2B36F30D">
        <w:rPr>
          <w:rFonts w:eastAsia="Times New Roman"/>
        </w:rPr>
        <w:t xml:space="preserve"> </w:t>
      </w:r>
      <w:r w:rsidR="008D2A60">
        <w:rPr>
          <w:rFonts w:eastAsia="Times New Roman"/>
        </w:rPr>
        <w:t xml:space="preserve">Accordingly, </w:t>
      </w:r>
      <w:r w:rsidR="008D2A60">
        <w:rPr>
          <w:rFonts w:eastAsiaTheme="majorEastAsia"/>
        </w:rPr>
        <w:t>a</w:t>
      </w:r>
      <w:r>
        <w:rPr>
          <w:rFonts w:eastAsiaTheme="majorEastAsia"/>
        </w:rPr>
        <w:t>s there is no UCAP</w:t>
      </w:r>
      <w:r w:rsidR="007F7C0E">
        <w:rPr>
          <w:rFonts w:eastAsiaTheme="majorEastAsia"/>
        </w:rPr>
        <w:noBreakHyphen/>
      </w:r>
      <w:r>
        <w:rPr>
          <w:rFonts w:eastAsiaTheme="majorEastAsia"/>
        </w:rPr>
        <w:t>light mechanism to consider</w:t>
      </w:r>
      <w:r w:rsidRPr="007C5AEE">
        <w:rPr>
          <w:rFonts w:eastAsia="Times New Roman"/>
          <w:szCs w:val="26"/>
        </w:rPr>
        <w:t xml:space="preserve">, </w:t>
      </w:r>
      <w:r w:rsidRPr="2B36F30D">
        <w:rPr>
          <w:rFonts w:eastAsia="Times New Roman"/>
        </w:rPr>
        <w:t xml:space="preserve">dispatchable resources </w:t>
      </w:r>
      <w:r w:rsidR="00A71B1E">
        <w:rPr>
          <w:rFonts w:eastAsia="Times New Roman"/>
        </w:rPr>
        <w:t>will</w:t>
      </w:r>
      <w:r w:rsidRPr="2B36F30D" w:rsidR="00A71B1E">
        <w:rPr>
          <w:rFonts w:eastAsia="Times New Roman"/>
        </w:rPr>
        <w:t xml:space="preserve"> </w:t>
      </w:r>
      <w:r w:rsidRPr="2B36F30D">
        <w:rPr>
          <w:rFonts w:eastAsia="Times New Roman"/>
        </w:rPr>
        <w:t>continue to count at their P</w:t>
      </w:r>
      <w:r w:rsidRPr="1F5088A1">
        <w:rPr>
          <w:rFonts w:eastAsia="Book Antiqua" w:cs="Book Antiqua"/>
          <w:szCs w:val="26"/>
        </w:rPr>
        <w:t>max</w:t>
      </w:r>
      <w:r w:rsidRPr="5F29B1BF">
        <w:rPr>
          <w:rFonts w:eastAsia="Book Antiqua" w:cs="Book Antiqua"/>
          <w:szCs w:val="26"/>
        </w:rPr>
        <w:t xml:space="preserve"> value</w:t>
      </w:r>
      <w:r w:rsidRPr="01785D94">
        <w:rPr>
          <w:rFonts w:eastAsia="Book Antiqua" w:cs="Book Antiqua"/>
          <w:szCs w:val="26"/>
        </w:rPr>
        <w:t>.</w:t>
      </w:r>
    </w:p>
    <w:p w:rsidR="0022688B" w:rsidP="0022688B" w:rsidRDefault="0022688B" w14:paraId="4D931BE8" w14:textId="59B6B8C6">
      <w:pPr>
        <w:pStyle w:val="Heading2"/>
      </w:pPr>
      <w:bookmarkStart w:name="_Toc131762394" w:id="42"/>
      <w:r w:rsidRPr="0022688B">
        <w:t>Energy Storage Resource Counting</w:t>
      </w:r>
      <w:bookmarkEnd w:id="42"/>
    </w:p>
    <w:p w:rsidR="0022688B" w:rsidP="0022688B" w:rsidRDefault="0022688B" w14:paraId="7BE37EBF" w14:textId="51819E52">
      <w:pPr>
        <w:rPr>
          <w:rFonts w:eastAsia="Calibri" w:cs="Arial"/>
        </w:rPr>
      </w:pPr>
      <w:r>
        <w:rPr>
          <w:rFonts w:eastAsia="Calibri" w:cs="Arial"/>
        </w:rPr>
        <w:t>In D.22</w:t>
      </w:r>
      <w:r w:rsidR="007F7C0E">
        <w:rPr>
          <w:rFonts w:eastAsia="Calibri" w:cs="Arial"/>
        </w:rPr>
        <w:noBreakHyphen/>
      </w:r>
      <w:r>
        <w:rPr>
          <w:rFonts w:eastAsia="Calibri" w:cs="Arial"/>
        </w:rPr>
        <w:t>06</w:t>
      </w:r>
      <w:r w:rsidR="007F7C0E">
        <w:rPr>
          <w:rFonts w:eastAsia="Calibri" w:cs="Arial"/>
        </w:rPr>
        <w:noBreakHyphen/>
      </w:r>
      <w:r>
        <w:rPr>
          <w:rFonts w:eastAsia="Calibri" w:cs="Arial"/>
        </w:rPr>
        <w:t xml:space="preserve">050, the </w:t>
      </w:r>
      <w:r w:rsidRPr="00DF2063">
        <w:rPr>
          <w:rFonts w:eastAsia="Calibri" w:cs="Arial"/>
        </w:rPr>
        <w:t>Commission</w:t>
      </w:r>
      <w:r>
        <w:rPr>
          <w:rFonts w:eastAsia="Calibri" w:cs="Arial"/>
        </w:rPr>
        <w:t xml:space="preserve"> determined that Pmax or UCAP</w:t>
      </w:r>
      <w:r w:rsidR="007F7C0E">
        <w:rPr>
          <w:rFonts w:eastAsia="Calibri" w:cs="Arial"/>
        </w:rPr>
        <w:noBreakHyphen/>
      </w:r>
      <w:r>
        <w:rPr>
          <w:rFonts w:eastAsia="Calibri" w:cs="Arial"/>
        </w:rPr>
        <w:t>light (if developed) restricted to daily resource capability shall apply to energy storage resources under the 24</w:t>
      </w:r>
      <w:r w:rsidR="007F7C0E">
        <w:rPr>
          <w:rFonts w:eastAsia="Calibri" w:cs="Arial"/>
        </w:rPr>
        <w:noBreakHyphen/>
      </w:r>
      <w:r>
        <w:rPr>
          <w:rFonts w:eastAsia="Calibri" w:cs="Arial"/>
        </w:rPr>
        <w:t>hour framework</w:t>
      </w:r>
      <w:r w:rsidRPr="183093EE">
        <w:rPr>
          <w:rFonts w:eastAsia="Calibri" w:cs="Arial"/>
        </w:rPr>
        <w:t>.</w:t>
      </w:r>
      <w:r>
        <w:rPr>
          <w:rStyle w:val="FootnoteReference"/>
          <w:rFonts w:eastAsia="Calibri" w:cs="Arial"/>
        </w:rPr>
        <w:footnoteReference w:id="94"/>
      </w:r>
      <w:r w:rsidRPr="183093EE">
        <w:rPr>
          <w:rFonts w:eastAsia="Calibri" w:cs="Arial"/>
        </w:rPr>
        <w:t xml:space="preserve"> </w:t>
      </w:r>
      <w:r w:rsidRPr="40938A23">
        <w:rPr>
          <w:rFonts w:eastAsia="Calibri" w:cs="Arial"/>
        </w:rPr>
        <w:t xml:space="preserve"> Excess</w:t>
      </w:r>
      <w:r w:rsidRPr="7EE844D5">
        <w:rPr>
          <w:rFonts w:eastAsia="Calibri" w:cs="Arial"/>
        </w:rPr>
        <w:t xml:space="preserve"> capacity </w:t>
      </w:r>
      <w:r w:rsidRPr="40938A23">
        <w:rPr>
          <w:rFonts w:eastAsia="Calibri" w:cs="Arial"/>
        </w:rPr>
        <w:t xml:space="preserve">must be </w:t>
      </w:r>
      <w:r w:rsidRPr="7EE844D5">
        <w:rPr>
          <w:rFonts w:eastAsia="Calibri" w:cs="Arial"/>
        </w:rPr>
        <w:t>shown to cover battery capacity with efficiency losses.</w:t>
      </w:r>
      <w:r>
        <w:rPr>
          <w:rFonts w:eastAsia="Calibri" w:cs="Arial"/>
        </w:rPr>
        <w:t xml:space="preserve">  </w:t>
      </w:r>
    </w:p>
    <w:p w:rsidR="0022688B" w:rsidP="0022688B" w:rsidRDefault="0022688B" w14:paraId="618253D4" w14:textId="77777777">
      <w:pPr>
        <w:rPr>
          <w:rFonts w:eastAsia="Calibri" w:cs="Arial"/>
        </w:rPr>
      </w:pPr>
      <w:r>
        <w:rPr>
          <w:rFonts w:eastAsia="Calibri" w:cs="Arial"/>
        </w:rPr>
        <w:lastRenderedPageBreak/>
        <w:t>Regarding storage resources with multiple cycles per day, the Commission stated that “[</w:t>
      </w:r>
      <w:proofErr w:type="spellStart"/>
      <w:r>
        <w:rPr>
          <w:rFonts w:eastAsia="Calibri" w:cs="Arial"/>
        </w:rPr>
        <w:t>i</w:t>
      </w:r>
      <w:proofErr w:type="spellEnd"/>
      <w:r>
        <w:rPr>
          <w:rFonts w:eastAsia="Calibri" w:cs="Arial"/>
        </w:rPr>
        <w:t>]</w:t>
      </w:r>
      <w:r w:rsidRPr="5DD5A56C">
        <w:rPr>
          <w:rFonts w:eastAsia="Calibri" w:cs="Arial"/>
        </w:rPr>
        <w:t>f the storage resource is capable and contracted to provide multiple cycles</w:t>
      </w:r>
      <w:r>
        <w:rPr>
          <w:rFonts w:eastAsia="Calibri" w:cs="Arial"/>
        </w:rPr>
        <w:t>,</w:t>
      </w:r>
      <w:r w:rsidRPr="5DD5A56C">
        <w:rPr>
          <w:rFonts w:eastAsia="Calibri" w:cs="Arial"/>
        </w:rPr>
        <w:t xml:space="preserve"> it should be allowed to count</w:t>
      </w:r>
      <w:r>
        <w:rPr>
          <w:rFonts w:eastAsia="Calibri" w:cs="Arial"/>
        </w:rPr>
        <w:t xml:space="preserve"> in this manner</w:t>
      </w:r>
      <w:r w:rsidRPr="514405DE">
        <w:rPr>
          <w:rFonts w:eastAsia="Calibri" w:cs="Arial"/>
        </w:rPr>
        <w:t xml:space="preserve">, </w:t>
      </w:r>
      <w:r w:rsidRPr="5DD5A56C">
        <w:rPr>
          <w:rFonts w:eastAsia="Calibri" w:cs="Arial"/>
        </w:rPr>
        <w:t xml:space="preserve">provided </w:t>
      </w:r>
      <w:r>
        <w:rPr>
          <w:rFonts w:eastAsia="Calibri" w:cs="Arial"/>
        </w:rPr>
        <w:t xml:space="preserve">that </w:t>
      </w:r>
      <w:r w:rsidRPr="5DD5A56C">
        <w:rPr>
          <w:rFonts w:eastAsia="Calibri" w:cs="Arial"/>
        </w:rPr>
        <w:t>the LSE shows sufficient capacity to charge the storage and account for losses between each cycle</w:t>
      </w:r>
      <w:r w:rsidRPr="46776BF0">
        <w:rPr>
          <w:rFonts w:eastAsia="Calibri" w:cs="Arial"/>
        </w:rPr>
        <w:t>.</w:t>
      </w:r>
      <w:r w:rsidRPr="47AF5B89">
        <w:rPr>
          <w:rFonts w:eastAsia="Calibri" w:cs="Arial"/>
        </w:rPr>
        <w:t xml:space="preserve"> </w:t>
      </w:r>
      <w:r>
        <w:rPr>
          <w:rFonts w:eastAsia="Calibri" w:cs="Arial"/>
        </w:rPr>
        <w:t xml:space="preserve"> We observe, however, that</w:t>
      </w:r>
      <w:r w:rsidRPr="2209F249">
        <w:rPr>
          <w:rFonts w:eastAsia="Calibri" w:cs="Arial"/>
        </w:rPr>
        <w:t xml:space="preserve"> more discussion </w:t>
      </w:r>
      <w:r>
        <w:rPr>
          <w:rFonts w:eastAsia="Calibri" w:cs="Arial"/>
        </w:rPr>
        <w:t>is needed on this issue</w:t>
      </w:r>
      <w:r w:rsidRPr="1C7F95C6">
        <w:rPr>
          <w:rFonts w:eastAsia="Calibri" w:cs="Arial"/>
        </w:rPr>
        <w:t xml:space="preserve"> </w:t>
      </w:r>
      <w:r w:rsidRPr="48B4BDFA">
        <w:rPr>
          <w:rFonts w:eastAsia="Calibri" w:cs="Arial"/>
        </w:rPr>
        <w:t xml:space="preserve">to </w:t>
      </w:r>
      <w:r>
        <w:rPr>
          <w:rFonts w:eastAsia="Calibri" w:cs="Arial"/>
        </w:rPr>
        <w:t xml:space="preserve">consider </w:t>
      </w:r>
      <w:r w:rsidRPr="1FD84B70">
        <w:rPr>
          <w:rFonts w:eastAsia="Calibri" w:cs="Arial"/>
        </w:rPr>
        <w:t>any unintended consequences.</w:t>
      </w:r>
      <w:r>
        <w:rPr>
          <w:rFonts w:eastAsia="Calibri" w:cs="Arial"/>
        </w:rPr>
        <w:t>”</w:t>
      </w:r>
      <w:r>
        <w:rPr>
          <w:rStyle w:val="FootnoteReference"/>
          <w:rFonts w:eastAsia="Calibri" w:cs="Arial"/>
        </w:rPr>
        <w:footnoteReference w:id="95"/>
      </w:r>
      <w:r>
        <w:rPr>
          <w:rFonts w:eastAsia="Calibri" w:cs="Arial"/>
        </w:rPr>
        <w:t xml:space="preserve">  </w:t>
      </w:r>
    </w:p>
    <w:p w:rsidRPr="00FB2431" w:rsidR="0022688B" w:rsidP="0022688B" w:rsidRDefault="0022688B" w14:paraId="5FD6E253" w14:textId="44C08AAC">
      <w:pPr>
        <w:rPr>
          <w:rFonts w:eastAsia="Calibri" w:cs="Arial"/>
        </w:rPr>
      </w:pPr>
      <w:r>
        <w:rPr>
          <w:rFonts w:eastAsia="Calibri" w:cs="Arial"/>
        </w:rPr>
        <w:t>Regarding long-duration energy storage (LDES) and multi</w:t>
      </w:r>
      <w:r w:rsidR="007F7C0E">
        <w:rPr>
          <w:rFonts w:eastAsia="Calibri" w:cs="Arial"/>
        </w:rPr>
        <w:noBreakHyphen/>
      </w:r>
      <w:r>
        <w:rPr>
          <w:rFonts w:eastAsia="Calibri" w:cs="Arial"/>
        </w:rPr>
        <w:t xml:space="preserve">day reliability events, the </w:t>
      </w:r>
      <w:r>
        <w:rPr>
          <w:rFonts w:eastAsia="Times New Roman"/>
        </w:rPr>
        <w:t>Commission noted that “</w:t>
      </w:r>
      <w:r w:rsidRPr="44C2143A">
        <w:rPr>
          <w:rFonts w:eastAsia="Times New Roman"/>
        </w:rPr>
        <w:t xml:space="preserve">ensuring </w:t>
      </w:r>
      <w:r>
        <w:rPr>
          <w:rFonts w:eastAsia="Times New Roman"/>
        </w:rPr>
        <w:t>LDES</w:t>
      </w:r>
      <w:r w:rsidRPr="44C2143A">
        <w:rPr>
          <w:rFonts w:eastAsia="Times New Roman"/>
        </w:rPr>
        <w:t xml:space="preserve"> resources are properly valued across the slice</w:t>
      </w:r>
      <w:r>
        <w:rPr>
          <w:rFonts w:eastAsia="Times New Roman"/>
        </w:rPr>
        <w:noBreakHyphen/>
      </w:r>
      <w:r w:rsidRPr="44C2143A">
        <w:rPr>
          <w:rFonts w:eastAsia="Times New Roman"/>
        </w:rPr>
        <w:t>of</w:t>
      </w:r>
      <w:r>
        <w:rPr>
          <w:rFonts w:eastAsia="Times New Roman"/>
        </w:rPr>
        <w:noBreakHyphen/>
      </w:r>
      <w:r w:rsidRPr="44C2143A">
        <w:rPr>
          <w:rFonts w:eastAsia="Times New Roman"/>
        </w:rPr>
        <w:t>day framework is critical to the durability and success of the 24</w:t>
      </w:r>
      <w:r w:rsidR="007F7C0E">
        <w:rPr>
          <w:rFonts w:eastAsia="Times New Roman"/>
        </w:rPr>
        <w:noBreakHyphen/>
      </w:r>
      <w:r w:rsidRPr="44C2143A">
        <w:rPr>
          <w:rFonts w:eastAsia="Times New Roman"/>
        </w:rPr>
        <w:t>hour framework</w:t>
      </w:r>
      <w:r>
        <w:rPr>
          <w:rFonts w:eastAsia="Times New Roman"/>
        </w:rPr>
        <w:t>.”</w:t>
      </w:r>
      <w:bookmarkStart w:name="_Hlk128468183" w:id="43"/>
      <w:r>
        <w:rPr>
          <w:rStyle w:val="FootnoteReference"/>
          <w:rFonts w:eastAsia="Calibri" w:cs="Arial"/>
        </w:rPr>
        <w:footnoteReference w:id="96"/>
      </w:r>
      <w:bookmarkEnd w:id="43"/>
      <w:r>
        <w:rPr>
          <w:rFonts w:eastAsia="Times New Roman"/>
        </w:rPr>
        <w:t xml:space="preserve">  </w:t>
      </w:r>
      <w:r>
        <w:t xml:space="preserve">The Commission acknowledged that LDES </w:t>
      </w:r>
      <w:r w:rsidRPr="44C2143A">
        <w:rPr>
          <w:rFonts w:eastAsia="Calibri" w:cs="Arial"/>
          <w:szCs w:val="26"/>
        </w:rPr>
        <w:t>and multi</w:t>
      </w:r>
      <w:r w:rsidR="007F7C0E">
        <w:rPr>
          <w:rFonts w:eastAsia="Calibri" w:cs="Arial"/>
          <w:szCs w:val="26"/>
        </w:rPr>
        <w:noBreakHyphen/>
      </w:r>
      <w:r w:rsidRPr="44C2143A">
        <w:rPr>
          <w:rFonts w:eastAsia="Calibri" w:cs="Arial"/>
          <w:szCs w:val="26"/>
        </w:rPr>
        <w:t>day reliability event</w:t>
      </w:r>
      <w:r>
        <w:rPr>
          <w:rFonts w:eastAsia="Calibri" w:cs="Arial"/>
          <w:szCs w:val="26"/>
        </w:rPr>
        <w:t xml:space="preserve"> issues</w:t>
      </w:r>
      <w:r w:rsidRPr="44C2143A">
        <w:rPr>
          <w:rFonts w:eastAsia="Calibri" w:cs="Arial"/>
          <w:szCs w:val="26"/>
        </w:rPr>
        <w:t xml:space="preserve"> may not be </w:t>
      </w:r>
      <w:r>
        <w:rPr>
          <w:rFonts w:eastAsia="Calibri" w:cs="Arial"/>
          <w:szCs w:val="26"/>
        </w:rPr>
        <w:t>fully addressed before</w:t>
      </w:r>
      <w:r w:rsidRPr="44C2143A">
        <w:rPr>
          <w:rFonts w:eastAsia="Calibri" w:cs="Arial"/>
          <w:szCs w:val="26"/>
        </w:rPr>
        <w:t xml:space="preserve"> initial implementation</w:t>
      </w:r>
      <w:r>
        <w:rPr>
          <w:rFonts w:eastAsia="Calibri" w:cs="Arial"/>
          <w:szCs w:val="26"/>
        </w:rPr>
        <w:t xml:space="preserve"> of the 24</w:t>
      </w:r>
      <w:r w:rsidR="007F7C0E">
        <w:rPr>
          <w:rFonts w:eastAsia="Calibri" w:cs="Arial"/>
          <w:szCs w:val="26"/>
        </w:rPr>
        <w:noBreakHyphen/>
      </w:r>
      <w:r>
        <w:rPr>
          <w:rFonts w:eastAsia="Calibri" w:cs="Arial"/>
          <w:szCs w:val="26"/>
        </w:rPr>
        <w:t xml:space="preserve">hour framework but </w:t>
      </w:r>
      <w:r w:rsidR="008D2A60">
        <w:rPr>
          <w:rFonts w:eastAsia="Calibri" w:cs="Arial"/>
          <w:szCs w:val="26"/>
        </w:rPr>
        <w:t xml:space="preserve">directed </w:t>
      </w:r>
      <w:r>
        <w:rPr>
          <w:rFonts w:eastAsia="Calibri" w:cs="Arial"/>
          <w:szCs w:val="26"/>
        </w:rPr>
        <w:t xml:space="preserve">parties </w:t>
      </w:r>
      <w:r w:rsidR="008D2A60">
        <w:rPr>
          <w:rFonts w:eastAsia="Calibri" w:cs="Arial"/>
          <w:szCs w:val="26"/>
        </w:rPr>
        <w:t xml:space="preserve">to </w:t>
      </w:r>
      <w:r>
        <w:rPr>
          <w:rFonts w:eastAsia="Calibri" w:cs="Arial"/>
          <w:szCs w:val="26"/>
        </w:rPr>
        <w:t xml:space="preserve">begin </w:t>
      </w:r>
      <w:r w:rsidRPr="44C2143A">
        <w:rPr>
          <w:rFonts w:eastAsia="Calibri" w:cs="Arial"/>
          <w:szCs w:val="26"/>
        </w:rPr>
        <w:t xml:space="preserve">discussions </w:t>
      </w:r>
      <w:r>
        <w:rPr>
          <w:rFonts w:eastAsia="Calibri" w:cs="Arial"/>
          <w:szCs w:val="26"/>
        </w:rPr>
        <w:t xml:space="preserve">in workshops </w:t>
      </w:r>
      <w:r w:rsidRPr="44C2143A">
        <w:rPr>
          <w:rFonts w:eastAsia="Calibri" w:cs="Arial"/>
          <w:szCs w:val="26"/>
        </w:rPr>
        <w:t xml:space="preserve">and </w:t>
      </w:r>
      <w:r>
        <w:rPr>
          <w:rFonts w:eastAsia="Calibri" w:cs="Arial"/>
          <w:szCs w:val="26"/>
        </w:rPr>
        <w:t xml:space="preserve">develop </w:t>
      </w:r>
      <w:r w:rsidRPr="44C2143A">
        <w:rPr>
          <w:rFonts w:eastAsia="Calibri" w:cs="Arial"/>
          <w:szCs w:val="26"/>
        </w:rPr>
        <w:t>proposal</w:t>
      </w:r>
      <w:r>
        <w:rPr>
          <w:rFonts w:eastAsia="Calibri" w:cs="Arial"/>
          <w:szCs w:val="26"/>
        </w:rPr>
        <w:t>s</w:t>
      </w:r>
      <w:r w:rsidRPr="44C2143A">
        <w:rPr>
          <w:rFonts w:eastAsia="Calibri" w:cs="Arial"/>
          <w:szCs w:val="26"/>
        </w:rPr>
        <w:t xml:space="preserve"> </w:t>
      </w:r>
      <w:r>
        <w:rPr>
          <w:rFonts w:eastAsia="Calibri" w:cs="Arial"/>
          <w:szCs w:val="26"/>
        </w:rPr>
        <w:t>to the extent possible</w:t>
      </w:r>
      <w:r w:rsidRPr="44C2143A">
        <w:rPr>
          <w:rFonts w:eastAsia="Calibri" w:cs="Arial"/>
          <w:szCs w:val="26"/>
        </w:rPr>
        <w:t>.</w:t>
      </w:r>
      <w:r>
        <w:rPr>
          <w:rStyle w:val="FootnoteReference"/>
        </w:rPr>
        <w:footnoteReference w:id="97"/>
      </w:r>
    </w:p>
    <w:p w:rsidR="0022688B" w:rsidP="0022688B" w:rsidRDefault="0022688B" w14:paraId="4B710C3E" w14:textId="15EE9AE1">
      <w:pPr>
        <w:pStyle w:val="Heading3"/>
      </w:pPr>
      <w:bookmarkStart w:name="_Toc131762395" w:id="44"/>
      <w:r w:rsidRPr="0022688B">
        <w:t>Multi-Cycle Storage</w:t>
      </w:r>
      <w:bookmarkEnd w:id="44"/>
    </w:p>
    <w:p w:rsidR="0022688B" w:rsidP="0022688B" w:rsidRDefault="0022688B" w14:paraId="2DBB7CE7" w14:textId="2994C3D3">
      <w:r>
        <w:t xml:space="preserve">For storage resources that </w:t>
      </w:r>
      <w:r w:rsidR="008D2A60">
        <w:t>are contracted to</w:t>
      </w:r>
      <w:r>
        <w:t xml:space="preserve"> provide multiple cycles per day, SCE and CESA recommend that these resources be allowed to be shown for multiple cycles per day</w:t>
      </w:r>
      <w:r w:rsidR="008D2A60">
        <w:t>,</w:t>
      </w:r>
      <w:r>
        <w:t xml:space="preserve"> given that they may be dispatched in excess of one cycle by CAISO.</w:t>
      </w:r>
      <w:r>
        <w:rPr>
          <w:rStyle w:val="FootnoteReference"/>
        </w:rPr>
        <w:footnoteReference w:id="98"/>
      </w:r>
      <w:r>
        <w:t xml:space="preserve">  CESA argues that if there are warranty conditions that limit the resource to a fixed number of cycles per day, that does not govern what is offered to CAISO and thus, RA storage assets should be able to be shown for more than one cycle each day.  </w:t>
      </w:r>
    </w:p>
    <w:p w:rsidR="0022688B" w:rsidP="0022688B" w:rsidRDefault="0022688B" w14:paraId="0CB36B8F" w14:textId="4B29393D">
      <w:r>
        <w:lastRenderedPageBreak/>
        <w:t>Cal</w:t>
      </w:r>
      <w:r w:rsidR="007F7C0E">
        <w:t> </w:t>
      </w:r>
      <w:r>
        <w:t xml:space="preserve">Advocates, </w:t>
      </w:r>
      <w:proofErr w:type="spellStart"/>
      <w:r>
        <w:t>CalCCA</w:t>
      </w:r>
      <w:proofErr w:type="spellEnd"/>
      <w:r>
        <w:t>, and PG&amp;E endorse SCE and CESA’s proposal so long as the LSE shows sufficient excess energy and time between discharge cycles to charge the battery.</w:t>
      </w:r>
      <w:r>
        <w:rPr>
          <w:rStyle w:val="FootnoteReference"/>
        </w:rPr>
        <w:footnoteReference w:id="99"/>
      </w:r>
      <w:r>
        <w:t xml:space="preserve">  </w:t>
      </w:r>
      <w:r>
        <w:rPr>
          <w:szCs w:val="26"/>
        </w:rPr>
        <w:t>Cal</w:t>
      </w:r>
      <w:r w:rsidR="007F7C0E">
        <w:rPr>
          <w:szCs w:val="26"/>
        </w:rPr>
        <w:t> </w:t>
      </w:r>
      <w:r>
        <w:rPr>
          <w:szCs w:val="26"/>
        </w:rPr>
        <w:t xml:space="preserve">Advocates suggests that an LSE should attest that the resource can respond to CAISO dispatch for multiple cycles per day.  </w:t>
      </w:r>
      <w:r>
        <w:t xml:space="preserve">PG&amp;E and </w:t>
      </w:r>
      <w:proofErr w:type="spellStart"/>
      <w:r>
        <w:t>CalCCA</w:t>
      </w:r>
      <w:proofErr w:type="spellEnd"/>
      <w:r>
        <w:t xml:space="preserve"> comment that under CAISO’s rules, storage resources have a must</w:t>
      </w:r>
      <w:r w:rsidR="007F7C0E">
        <w:noBreakHyphen/>
      </w:r>
      <w:r>
        <w:t>offer obligation after a single charge cycle, allowing CAISO to discharge storage again after a full cycle.  PG&amp;E states that excess capacity can be accounted for in SCE’s LSE Showing Tool and the Commission should monitor when storage is regularly dispatched twice to ensure bidding behavior does not lead to adverse market conditions.  PG&amp;E posits that if these rules are adopted, there should be no need to review the contract language.</w:t>
      </w:r>
    </w:p>
    <w:p w:rsidR="0022688B" w:rsidP="0022688B" w:rsidRDefault="0022688B" w14:paraId="5A3204EB" w14:textId="77777777">
      <w:r>
        <w:t>MRP states that if a warranty only covers a single cycle per day, there is an issue of whether a warranty should limit physical availability or dispatch and whether the CAISO market models allow a storage owner to reflect the additional costs from cycles beyond a single cycle per day.</w:t>
      </w:r>
      <w:r>
        <w:rPr>
          <w:rStyle w:val="FootnoteReference"/>
        </w:rPr>
        <w:footnoteReference w:id="100"/>
      </w:r>
    </w:p>
    <w:p w:rsidR="0022688B" w:rsidP="0022688B" w:rsidRDefault="0022688B" w14:paraId="4BF39F82" w14:textId="12B63A96">
      <w:r>
        <w:t>The Commission concurs</w:t>
      </w:r>
      <w:r w:rsidR="00DC4120">
        <w:t xml:space="preserve"> with parties</w:t>
      </w:r>
      <w:r>
        <w:t xml:space="preserve"> that if the contractual agreement permits more than one cycle per day, it is reasonable that storage resources should be able to be shown for multiple cycles per day so long as the LSE shows sufficient excess energy and time between discharge cycles to charge the battery.  We are convinced that because existing CAISO rules require a must-offer obligation after a single charge cycle, this allows the CAISO market to discharge storage again following a full cycle.  </w:t>
      </w:r>
      <w:proofErr w:type="gramStart"/>
      <w:r>
        <w:t>As long as</w:t>
      </w:r>
      <w:proofErr w:type="gramEnd"/>
      <w:r>
        <w:t xml:space="preserve"> CAISO’s rules remain in place, it is unnecessary to verify the terms of the underlying contractual agreement.  </w:t>
      </w:r>
    </w:p>
    <w:p w:rsidRPr="007B0D91" w:rsidR="0022688B" w:rsidP="0022688B" w:rsidRDefault="0022688B" w14:paraId="5C3B2CE5" w14:textId="2D672CD7">
      <w:r>
        <w:lastRenderedPageBreak/>
        <w:t>Accordingly, storage resources that are operationally and contractually able to provide multiple cycles in a 24</w:t>
      </w:r>
      <w:r w:rsidR="007F7C0E">
        <w:noBreakHyphen/>
      </w:r>
      <w:r>
        <w:t>hour cycle may be shown for multiple cycles per day</w:t>
      </w:r>
      <w:r w:rsidRPr="00BF1CC0">
        <w:t xml:space="preserve"> </w:t>
      </w:r>
      <w:r w:rsidR="00A71B1E">
        <w:t>provided that</w:t>
      </w:r>
      <w:r>
        <w:t xml:space="preserve"> the LSE shows sufficient excess energy and time between discharge cycles to charge the battery.  The MRD </w:t>
      </w:r>
      <w:r w:rsidR="00A71B1E">
        <w:t xml:space="preserve">will </w:t>
      </w:r>
      <w:r>
        <w:t xml:space="preserve">indicate if a storage resource can perform multiple cycles per day and the LSE Showing Tool </w:t>
      </w:r>
      <w:r w:rsidR="00A71B1E">
        <w:t xml:space="preserve">will </w:t>
      </w:r>
      <w:r>
        <w:t xml:space="preserve">account </w:t>
      </w:r>
      <w:r w:rsidR="00DC4120">
        <w:t xml:space="preserve">for </w:t>
      </w:r>
      <w:r>
        <w:t>needed charging capacity.</w:t>
      </w:r>
    </w:p>
    <w:p w:rsidR="0022688B" w:rsidP="0022688B" w:rsidRDefault="0022688B" w14:paraId="7F5CCEED" w14:textId="2BCF02FB">
      <w:pPr>
        <w:pStyle w:val="Heading3"/>
      </w:pPr>
      <w:bookmarkStart w:name="_Toc131762396" w:id="45"/>
      <w:r w:rsidRPr="0022688B">
        <w:t>Multi-Day Storage</w:t>
      </w:r>
      <w:bookmarkEnd w:id="45"/>
    </w:p>
    <w:p w:rsidR="0022688B" w:rsidP="0022688B" w:rsidRDefault="0022688B" w14:paraId="46A88651" w14:textId="5DEECB0D">
      <w:r>
        <w:t>CESA asserts that the SOD framework presents challenges for LDES assets with operational timeframes of more</w:t>
      </w:r>
      <w:r w:rsidR="007F7C0E">
        <w:t> </w:t>
      </w:r>
      <w:r>
        <w:t>than 24</w:t>
      </w:r>
      <w:r w:rsidR="007F7C0E">
        <w:t> </w:t>
      </w:r>
      <w:r>
        <w:t>hours because assets with durations over, for example, 10</w:t>
      </w:r>
      <w:r w:rsidR="007F7C0E">
        <w:t> </w:t>
      </w:r>
      <w:r>
        <w:t>hours may not complete a full charge/discharge cycle in 24</w:t>
      </w:r>
      <w:r w:rsidR="007F7C0E">
        <w:t> </w:t>
      </w:r>
      <w:r>
        <w:t>hours.</w:t>
      </w:r>
      <w:r>
        <w:rPr>
          <w:rStyle w:val="FootnoteReference"/>
        </w:rPr>
        <w:footnoteReference w:id="101"/>
      </w:r>
      <w:r>
        <w:t xml:space="preserve">  CESA puts forth a “seasonal charging scheme” for storage assets with operational timeframes of more than 24</w:t>
      </w:r>
      <w:r w:rsidR="007F7C0E">
        <w:t> </w:t>
      </w:r>
      <w:r>
        <w:t>hours that would allow LSEs to take excess hourly capacity from one showing period to another.  CESA argues that this allows carryover of excess energy to be used in future seasons for storage charging and capture</w:t>
      </w:r>
      <w:r w:rsidR="00DC4120">
        <w:t>s</w:t>
      </w:r>
      <w:r>
        <w:t xml:space="preserve"> the dynamic of moving spring</w:t>
      </w:r>
      <w:r w:rsidR="007F7C0E">
        <w:noBreakHyphen/>
      </w:r>
      <w:r>
        <w:t>month overgeneration to provide charging sufficiency for storage assets shown in summer or winter months.  As this is only available to LSEs with storage assets with an operational timeframe</w:t>
      </w:r>
      <w:r w:rsidR="00DC4120">
        <w:t xml:space="preserve"> of</w:t>
      </w:r>
      <w:r>
        <w:t xml:space="preserve"> over 24 hours, it would also incentivize LSEs to procure these assets.</w:t>
      </w:r>
    </w:p>
    <w:p w:rsidR="0022688B" w:rsidP="0022688B" w:rsidRDefault="0022688B" w14:paraId="4A35BCA6" w14:textId="6A3009F9">
      <w:r>
        <w:t>AES support</w:t>
      </w:r>
      <w:r w:rsidR="00DC4120">
        <w:t>s</w:t>
      </w:r>
      <w:r>
        <w:t xml:space="preserve"> CESA’s proposal and Form Energy supports it with the caveat that</w:t>
      </w:r>
      <w:r w:rsidR="00DC4120">
        <w:t xml:space="preserve"> the</w:t>
      </w:r>
      <w:r>
        <w:t xml:space="preserve"> MCC buckets should not be used for multi-day reliability needs since </w:t>
      </w:r>
      <w:r w:rsidR="00DC4120">
        <w:t xml:space="preserve">the </w:t>
      </w:r>
      <w:r>
        <w:t>MCC buckets were not designed for multi-day reliability.</w:t>
      </w:r>
      <w:r>
        <w:rPr>
          <w:rStyle w:val="FootnoteReference"/>
        </w:rPr>
        <w:footnoteReference w:id="102"/>
      </w:r>
      <w:r>
        <w:t xml:space="preserve">  Form Energy also claims that multi-day storage (MDS) resources should be allowed to </w:t>
      </w:r>
      <w:r>
        <w:lastRenderedPageBreak/>
        <w:t xml:space="preserve">show under daily and seasonal charging by treating a single MDS system as separate storage systems that add to the total duration but cannot show in the same hours.  </w:t>
      </w:r>
    </w:p>
    <w:p w:rsidR="0022688B" w:rsidP="0022688B" w:rsidRDefault="0022688B" w14:paraId="0A930360" w14:textId="5E2CB269">
      <w:r>
        <w:t>Cal</w:t>
      </w:r>
      <w:r w:rsidR="007F7C0E">
        <w:t> </w:t>
      </w:r>
      <w:r>
        <w:t>Advocates, GPI, IEP, MRP, and PG&amp;E state that a multi</w:t>
      </w:r>
      <w:r w:rsidR="007F7C0E">
        <w:noBreakHyphen/>
      </w:r>
      <w:r>
        <w:t>day storage counting methodology is not ready for adoption and additional discussion is needed.</w:t>
      </w:r>
      <w:r>
        <w:rPr>
          <w:rStyle w:val="FootnoteReference"/>
        </w:rPr>
        <w:footnoteReference w:id="103"/>
      </w:r>
      <w:r>
        <w:t xml:space="preserve">  Cal</w:t>
      </w:r>
      <w:r w:rsidR="007F7C0E">
        <w:t> </w:t>
      </w:r>
      <w:r>
        <w:t>Advocates and IEP assert that it is premature to adopt this mechanism for resources that do not yet exist.  PG&amp;E voices concern that there was insufficient workshop discussion on the mechanics of shifting energy and capacity between months.  MRP, Cal</w:t>
      </w:r>
      <w:r w:rsidR="007F7C0E">
        <w:t> </w:t>
      </w:r>
      <w:r>
        <w:t>Advocates, and IEP prefer additional workshops to develop a QC</w:t>
      </w:r>
      <w:r w:rsidR="007F7C0E">
        <w:t> </w:t>
      </w:r>
      <w:r>
        <w:t>methodology for LDES after the SOD framework is implemented.  Calpine and MRP state that the SOD framework is not well</w:t>
      </w:r>
      <w:r w:rsidR="007F7C0E">
        <w:noBreakHyphen/>
      </w:r>
      <w:r>
        <w:t xml:space="preserve">suited to recognize the value of resources that cycle </w:t>
      </w:r>
      <w:proofErr w:type="gramStart"/>
      <w:r>
        <w:t>in excess of</w:t>
      </w:r>
      <w:proofErr w:type="gramEnd"/>
      <w:r>
        <w:t xml:space="preserve"> a single day.</w:t>
      </w:r>
      <w:r>
        <w:rPr>
          <w:rStyle w:val="FootnoteReference"/>
        </w:rPr>
        <w:footnoteReference w:id="104"/>
      </w:r>
      <w:r>
        <w:t xml:space="preserve">  </w:t>
      </w:r>
    </w:p>
    <w:p w:rsidR="0022688B" w:rsidP="0022688B" w:rsidRDefault="00FE032B" w14:paraId="44F52FE6" w14:textId="5CA7C18C">
      <w:r w:rsidRPr="00935723">
        <w:t>As discussed, i</w:t>
      </w:r>
      <w:r w:rsidRPr="00935723" w:rsidR="004D5D8A">
        <w:t>n D.22-06-050, t</w:t>
      </w:r>
      <w:r w:rsidRPr="00935723" w:rsidR="0022688B">
        <w:t>he Commission recognize</w:t>
      </w:r>
      <w:r w:rsidRPr="00935723" w:rsidR="004D5D8A">
        <w:t>d</w:t>
      </w:r>
      <w:r w:rsidRPr="00935723" w:rsidR="0022688B">
        <w:t xml:space="preserve"> </w:t>
      </w:r>
      <w:r w:rsidRPr="00935723" w:rsidR="004D5D8A">
        <w:t>that ensuring LDES resources are properly valued across the SOD framework is critical to the durability and success of the SOD framework.</w:t>
      </w:r>
      <w:r w:rsidRPr="00935723" w:rsidR="004D5D8A">
        <w:rPr>
          <w:rStyle w:val="FootnoteReference"/>
          <w:rFonts w:eastAsia="Calibri" w:cs="Arial"/>
        </w:rPr>
        <w:footnoteReference w:id="105"/>
      </w:r>
      <w:r w:rsidRPr="00935723" w:rsidR="004D5D8A">
        <w:t xml:space="preserve">  We also recognized that the issues around the valuation of LDES may not be fully addressed prior to initial implementation of the SOD framework.  Further discussion on this topic was initiated in workshops</w:t>
      </w:r>
      <w:r w:rsidRPr="00CA46DC">
        <w:t>.  W</w:t>
      </w:r>
      <w:r w:rsidRPr="00935723" w:rsidR="004D5D8A">
        <w:t>e agree with parties</w:t>
      </w:r>
      <w:r w:rsidRPr="00CA46DC">
        <w:t>, however,</w:t>
      </w:r>
      <w:r w:rsidRPr="00935723" w:rsidR="004D5D8A">
        <w:t xml:space="preserve"> that a multi-day storage counting methodology is not ready for adoption.  </w:t>
      </w:r>
      <w:r w:rsidRPr="00935723" w:rsidR="0022688B">
        <w:t>Additional discussion on this issue should be undertaken after the initial implementation of the SOD framework</w:t>
      </w:r>
      <w:r w:rsidRPr="00935723" w:rsidR="004D5D8A">
        <w:t xml:space="preserve">. </w:t>
      </w:r>
      <w:r w:rsidRPr="00935723" w:rsidR="00F42220">
        <w:t xml:space="preserve"> </w:t>
      </w:r>
      <w:r w:rsidRPr="00935723" w:rsidR="004D5D8A">
        <w:t>P</w:t>
      </w:r>
      <w:r w:rsidRPr="00935723" w:rsidR="00F42220">
        <w:t xml:space="preserve">arties are encouraged to </w:t>
      </w:r>
      <w:r w:rsidRPr="00935723" w:rsidR="004D5D8A">
        <w:t>consider monthly use limitations and various LDES technologies when developing a future counting methodology</w:t>
      </w:r>
      <w:r w:rsidRPr="00935723" w:rsidR="0022688B">
        <w:t xml:space="preserve">.  </w:t>
      </w:r>
      <w:r w:rsidRPr="00935723" w:rsidR="0022688B">
        <w:lastRenderedPageBreak/>
        <w:t>We note that in the IRP proceeding, LSEs are required to procure 1,000 MW of storage with a minimum duration of eight</w:t>
      </w:r>
      <w:r w:rsidRPr="00935723" w:rsidR="007F7C0E">
        <w:t> </w:t>
      </w:r>
      <w:r w:rsidRPr="00935723" w:rsidR="0022688B">
        <w:t>hours by 2026, thereby incentivizing LSEs to procure storage</w:t>
      </w:r>
      <w:r w:rsidRPr="00935723" w:rsidR="00DC4120">
        <w:t xml:space="preserve"> resources</w:t>
      </w:r>
      <w:r w:rsidRPr="00935723" w:rsidR="0022688B">
        <w:t xml:space="preserve"> </w:t>
      </w:r>
      <w:r w:rsidRPr="00935723" w:rsidR="00DC4120">
        <w:t xml:space="preserve">with </w:t>
      </w:r>
      <w:r w:rsidRPr="00935723" w:rsidR="0022688B">
        <w:t>a minimum eight</w:t>
      </w:r>
      <w:r w:rsidRPr="00935723" w:rsidR="007F7C0E">
        <w:noBreakHyphen/>
      </w:r>
      <w:r w:rsidRPr="00935723" w:rsidR="0022688B">
        <w:t>hour duration.</w:t>
      </w:r>
      <w:r w:rsidRPr="00935723" w:rsidR="0022688B">
        <w:rPr>
          <w:rStyle w:val="FootnoteReference"/>
        </w:rPr>
        <w:footnoteReference w:id="106"/>
      </w:r>
    </w:p>
    <w:p w:rsidRPr="0022688B" w:rsidR="0022688B" w:rsidP="0022688B" w:rsidRDefault="0022688B" w14:paraId="3FB23465" w14:textId="034D3F27">
      <w:pPr>
        <w:pStyle w:val="Standard"/>
      </w:pPr>
      <w:r>
        <w:rPr>
          <w:rFonts w:eastAsia="Calibri" w:cs="Arial"/>
        </w:rPr>
        <w:t>In D.22</w:t>
      </w:r>
      <w:r w:rsidR="007F7C0E">
        <w:rPr>
          <w:rFonts w:eastAsia="Calibri" w:cs="Arial"/>
        </w:rPr>
        <w:noBreakHyphen/>
      </w:r>
      <w:r>
        <w:rPr>
          <w:rFonts w:eastAsia="Calibri" w:cs="Arial"/>
        </w:rPr>
        <w:t>06</w:t>
      </w:r>
      <w:r w:rsidR="007F7C0E">
        <w:rPr>
          <w:rFonts w:eastAsia="Calibri" w:cs="Arial"/>
        </w:rPr>
        <w:noBreakHyphen/>
      </w:r>
      <w:r>
        <w:rPr>
          <w:rFonts w:eastAsia="Calibri" w:cs="Arial"/>
        </w:rPr>
        <w:t>050, we determined that Pmax or UCAP-light (if developed) restricted to daily resource capability shall apply to energy storage resources under the 24</w:t>
      </w:r>
      <w:r w:rsidR="007F7C0E">
        <w:rPr>
          <w:rFonts w:eastAsia="Calibri" w:cs="Arial"/>
        </w:rPr>
        <w:noBreakHyphen/>
      </w:r>
      <w:r>
        <w:rPr>
          <w:rFonts w:eastAsia="Calibri" w:cs="Arial"/>
        </w:rPr>
        <w:t>hour framework</w:t>
      </w:r>
      <w:r w:rsidRPr="183093EE">
        <w:rPr>
          <w:rFonts w:eastAsia="Calibri" w:cs="Arial"/>
        </w:rPr>
        <w:t>.</w:t>
      </w:r>
      <w:r>
        <w:rPr>
          <w:rStyle w:val="FootnoteReference"/>
          <w:rFonts w:eastAsia="Calibri" w:cs="Arial"/>
        </w:rPr>
        <w:footnoteReference w:id="107"/>
      </w:r>
      <w:r w:rsidRPr="183093EE">
        <w:rPr>
          <w:rFonts w:eastAsia="Calibri" w:cs="Arial"/>
        </w:rPr>
        <w:t xml:space="preserve"> </w:t>
      </w:r>
      <w:r w:rsidRPr="40938A23">
        <w:rPr>
          <w:rFonts w:eastAsia="Calibri" w:cs="Arial"/>
        </w:rPr>
        <w:t xml:space="preserve"> </w:t>
      </w:r>
      <w:r w:rsidR="00DC4120">
        <w:rPr>
          <w:rFonts w:eastAsia="Calibri" w:cs="Arial"/>
        </w:rPr>
        <w:t>Accordingly, a</w:t>
      </w:r>
      <w:r>
        <w:rPr>
          <w:rFonts w:eastAsia="Calibri" w:cs="Arial"/>
        </w:rPr>
        <w:t>s no UCAP</w:t>
      </w:r>
      <w:r w:rsidR="007F7C0E">
        <w:rPr>
          <w:rFonts w:eastAsia="Calibri" w:cs="Arial"/>
        </w:rPr>
        <w:noBreakHyphen/>
      </w:r>
      <w:r>
        <w:rPr>
          <w:rFonts w:eastAsia="Calibri" w:cs="Arial"/>
        </w:rPr>
        <w:t xml:space="preserve">light proposal was developed, Pmax </w:t>
      </w:r>
      <w:r w:rsidR="00A71B1E">
        <w:rPr>
          <w:rFonts w:eastAsia="Calibri" w:cs="Arial"/>
        </w:rPr>
        <w:t xml:space="preserve">will </w:t>
      </w:r>
      <w:r>
        <w:rPr>
          <w:rFonts w:eastAsia="Calibri" w:cs="Arial"/>
        </w:rPr>
        <w:t xml:space="preserve">continue to be used as the basis for the QC determination </w:t>
      </w:r>
      <w:r w:rsidR="00DC4120">
        <w:rPr>
          <w:rFonts w:eastAsia="Calibri" w:cs="Arial"/>
        </w:rPr>
        <w:t xml:space="preserve">for </w:t>
      </w:r>
      <w:r>
        <w:rPr>
          <w:rFonts w:eastAsia="Calibri" w:cs="Arial"/>
        </w:rPr>
        <w:t>energy</w:t>
      </w:r>
      <w:r w:rsidR="007F7C0E">
        <w:rPr>
          <w:rFonts w:eastAsia="Calibri" w:cs="Arial"/>
        </w:rPr>
        <w:t> </w:t>
      </w:r>
      <w:r>
        <w:rPr>
          <w:rFonts w:eastAsia="Calibri" w:cs="Arial"/>
        </w:rPr>
        <w:t>storage resources.</w:t>
      </w:r>
    </w:p>
    <w:p w:rsidR="0022688B" w:rsidP="0022688B" w:rsidRDefault="0022688B" w14:paraId="0771299F" w14:textId="26C1FA27">
      <w:pPr>
        <w:pStyle w:val="Heading2"/>
      </w:pPr>
      <w:bookmarkStart w:name="_Toc127179591" w:id="46"/>
      <w:bookmarkStart w:name="_Toc131762397" w:id="47"/>
      <w:r>
        <w:t>Hydroelectric Resource Counting</w:t>
      </w:r>
      <w:bookmarkEnd w:id="46"/>
      <w:bookmarkEnd w:id="47"/>
    </w:p>
    <w:p w:rsidR="0022688B" w:rsidP="0022688B" w:rsidRDefault="0022688B" w14:paraId="16E3CEA7" w14:textId="193C6459">
      <w:pPr>
        <w:autoSpaceDE w:val="0"/>
        <w:autoSpaceDN w:val="0"/>
        <w:adjustRightInd w:val="0"/>
        <w:rPr>
          <w:rFonts w:eastAsia="Times New Roman"/>
        </w:rPr>
      </w:pPr>
      <w:r>
        <w:rPr>
          <w:rFonts w:eastAsia="Times New Roman"/>
        </w:rPr>
        <w:t>In D.22</w:t>
      </w:r>
      <w:r w:rsidR="007F7C0E">
        <w:rPr>
          <w:rFonts w:eastAsia="Times New Roman"/>
        </w:rPr>
        <w:noBreakHyphen/>
      </w:r>
      <w:r>
        <w:rPr>
          <w:rFonts w:eastAsia="Times New Roman"/>
        </w:rPr>
        <w:t>06</w:t>
      </w:r>
      <w:r w:rsidR="007F7C0E">
        <w:rPr>
          <w:rFonts w:eastAsia="Times New Roman"/>
        </w:rPr>
        <w:noBreakHyphen/>
      </w:r>
      <w:r>
        <w:rPr>
          <w:rFonts w:eastAsia="Times New Roman"/>
        </w:rPr>
        <w:t>050, the Commission determined that</w:t>
      </w:r>
      <w:r w:rsidRPr="007C5AEE">
        <w:rPr>
          <w:rFonts w:eastAsia="Times New Roman"/>
        </w:rPr>
        <w:t xml:space="preserve"> </w:t>
      </w:r>
      <w:r>
        <w:rPr>
          <w:rFonts w:eastAsia="Times New Roman"/>
        </w:rPr>
        <w:t>the existing QC</w:t>
      </w:r>
      <w:r w:rsidRPr="007C5AEE">
        <w:rPr>
          <w:rFonts w:eastAsia="Times New Roman"/>
        </w:rPr>
        <w:t xml:space="preserve"> methodology for hydro</w:t>
      </w:r>
      <w:r>
        <w:rPr>
          <w:rFonts w:eastAsia="Times New Roman"/>
        </w:rPr>
        <w:t>electric (hydro)</w:t>
      </w:r>
      <w:r w:rsidRPr="007C5AEE">
        <w:rPr>
          <w:rFonts w:eastAsia="Times New Roman"/>
        </w:rPr>
        <w:t xml:space="preserve"> resources </w:t>
      </w:r>
      <w:r>
        <w:rPr>
          <w:rFonts w:eastAsia="Times New Roman"/>
        </w:rPr>
        <w:t>shall be applied to hydro resources under the 24</w:t>
      </w:r>
      <w:r w:rsidR="007F7C0E">
        <w:rPr>
          <w:rFonts w:eastAsia="Times New Roman"/>
        </w:rPr>
        <w:noBreakHyphen/>
      </w:r>
      <w:r>
        <w:rPr>
          <w:rFonts w:eastAsia="Times New Roman"/>
        </w:rPr>
        <w:t>hour framework, with monthly values applied to all hours</w:t>
      </w:r>
      <w:r w:rsidRPr="007C5AEE">
        <w:rPr>
          <w:rFonts w:eastAsia="Times New Roman"/>
        </w:rPr>
        <w:t>.</w:t>
      </w:r>
      <w:r>
        <w:rPr>
          <w:rStyle w:val="FootnoteReference"/>
          <w:rFonts w:eastAsia="Times New Roman"/>
        </w:rPr>
        <w:footnoteReference w:id="108"/>
      </w:r>
      <w:r w:rsidRPr="007C5AEE">
        <w:rPr>
          <w:rFonts w:eastAsia="Times New Roman"/>
        </w:rPr>
        <w:t xml:space="preserve">  </w:t>
      </w:r>
      <w:r>
        <w:rPr>
          <w:rFonts w:eastAsia="Times New Roman"/>
        </w:rPr>
        <w:t>The Commission stated that in</w:t>
      </w:r>
      <w:r w:rsidRPr="007C5AEE">
        <w:rPr>
          <w:rFonts w:eastAsia="Times New Roman"/>
        </w:rPr>
        <w:t xml:space="preserve"> future years, it may be appropriate to expand the counting rules to monthly load shapes at a resource level or a resource grouping level.</w:t>
      </w:r>
    </w:p>
    <w:p w:rsidR="0022688B" w:rsidP="0022688B" w:rsidRDefault="0022688B" w14:paraId="3C7BA8B9" w14:textId="1C144116">
      <w:pPr>
        <w:autoSpaceDE w:val="0"/>
        <w:autoSpaceDN w:val="0"/>
        <w:adjustRightInd w:val="0"/>
        <w:rPr>
          <w:rFonts w:eastAsia="Times New Roman"/>
        </w:rPr>
      </w:pPr>
      <w:r>
        <w:rPr>
          <w:rFonts w:eastAsia="Times New Roman"/>
        </w:rPr>
        <w:t xml:space="preserve">CAISO expresses concern that scheduling coordinators for hydro RA </w:t>
      </w:r>
      <w:r w:rsidR="00DC4120">
        <w:rPr>
          <w:rFonts w:eastAsia="Times New Roman"/>
        </w:rPr>
        <w:t xml:space="preserve">resources </w:t>
      </w:r>
      <w:r>
        <w:rPr>
          <w:rFonts w:eastAsia="Times New Roman"/>
        </w:rPr>
        <w:t xml:space="preserve">limit hydro availability below </w:t>
      </w:r>
      <w:r w:rsidR="00DC4120">
        <w:rPr>
          <w:rFonts w:eastAsia="Times New Roman"/>
        </w:rPr>
        <w:t xml:space="preserve">its QC </w:t>
      </w:r>
      <w:r>
        <w:rPr>
          <w:rFonts w:eastAsia="Times New Roman"/>
        </w:rPr>
        <w:t>value on a daily basis by shaping energy bids across the day or by submitting daily energy limits to CAISO that limit the total energy a resource can be scheduled for in the day-ahead market.</w:t>
      </w:r>
      <w:r>
        <w:rPr>
          <w:rStyle w:val="FootnoteReference"/>
          <w:rFonts w:eastAsia="Times New Roman"/>
        </w:rPr>
        <w:footnoteReference w:id="109"/>
      </w:r>
      <w:r>
        <w:rPr>
          <w:rFonts w:eastAsia="Times New Roman"/>
        </w:rPr>
        <w:t xml:space="preserve">  CAISO thus recommends </w:t>
      </w:r>
      <w:r w:rsidR="00DC4120">
        <w:rPr>
          <w:rFonts w:eastAsia="Times New Roman"/>
        </w:rPr>
        <w:t xml:space="preserve">that </w:t>
      </w:r>
      <w:r>
        <w:rPr>
          <w:rFonts w:eastAsia="Times New Roman"/>
        </w:rPr>
        <w:t xml:space="preserve">the Commission consider hourly shaped QC values for hydro resources because static QC values may overestimate the total monthly energy available from these resources.  </w:t>
      </w:r>
    </w:p>
    <w:p w:rsidR="0022688B" w:rsidP="0022688B" w:rsidRDefault="0022688B" w14:paraId="6F0482B1" w14:textId="00799F1E">
      <w:pPr>
        <w:autoSpaceDE w:val="0"/>
        <w:autoSpaceDN w:val="0"/>
        <w:adjustRightInd w:val="0"/>
        <w:rPr>
          <w:rFonts w:eastAsia="Times New Roman"/>
        </w:rPr>
      </w:pPr>
      <w:r>
        <w:rPr>
          <w:rFonts w:eastAsia="Times New Roman"/>
        </w:rPr>
        <w:lastRenderedPageBreak/>
        <w:t>MRP comments that CAISO does not offer a proposal as to how hourly energy</w:t>
      </w:r>
      <w:r w:rsidR="007F7C0E">
        <w:rPr>
          <w:rFonts w:eastAsia="Times New Roman"/>
        </w:rPr>
        <w:t> </w:t>
      </w:r>
      <w:r>
        <w:rPr>
          <w:rFonts w:eastAsia="Times New Roman"/>
        </w:rPr>
        <w:t>limits and corresponding hourly capacity values would be determined.</w:t>
      </w:r>
      <w:r>
        <w:rPr>
          <w:rStyle w:val="FootnoteReference"/>
          <w:rFonts w:eastAsia="Times New Roman"/>
        </w:rPr>
        <w:footnoteReference w:id="110"/>
      </w:r>
      <w:r>
        <w:rPr>
          <w:rFonts w:eastAsia="Times New Roman"/>
        </w:rPr>
        <w:t xml:space="preserve">  MRP recommends retaining the existing QC methodology for hydro but agrees that hydro capacity values must be informed by daily energy limits in a SOD framework and should be discussed further.</w:t>
      </w:r>
    </w:p>
    <w:p w:rsidR="0022688B" w:rsidP="0022688B" w:rsidRDefault="0022688B" w14:paraId="7AA65EEA" w14:textId="1B760D29">
      <w:pPr>
        <w:pStyle w:val="Standard"/>
        <w:rPr>
          <w:rFonts w:eastAsia="Times New Roman"/>
        </w:rPr>
      </w:pPr>
      <w:r>
        <w:rPr>
          <w:rFonts w:eastAsia="Times New Roman"/>
        </w:rPr>
        <w:t>The Commission agrees that CAISO’s concern is an issue that should be considered after the implementation of the SOD framework.</w:t>
      </w:r>
    </w:p>
    <w:p w:rsidR="0022688B" w:rsidP="0022688B" w:rsidRDefault="0022688B" w14:paraId="0801C40D" w14:textId="1918E8F3">
      <w:pPr>
        <w:pStyle w:val="Heading2"/>
      </w:pPr>
      <w:bookmarkStart w:name="_Toc131762398" w:id="48"/>
      <w:r w:rsidRPr="0022688B">
        <w:t>Demand Response Resource Counting</w:t>
      </w:r>
      <w:bookmarkEnd w:id="48"/>
    </w:p>
    <w:p w:rsidR="0022688B" w:rsidP="0022688B" w:rsidRDefault="0022688B" w14:paraId="0AF6BDF4" w14:textId="473407D7">
      <w:r>
        <w:t xml:space="preserve">In D.22-08-039, the Commission “recognizes the need for a DR counting methodology for use in the 2024 test year and </w:t>
      </w:r>
      <w:r w:rsidRPr="00414930">
        <w:t xml:space="preserve">finds it reasonable to apply the </w:t>
      </w:r>
      <w:r>
        <w:t>[Load Impact Protocol (</w:t>
      </w:r>
      <w:r w:rsidRPr="00414930">
        <w:t>LIP</w:t>
      </w:r>
      <w:r>
        <w:t>)]</w:t>
      </w:r>
      <w:r w:rsidRPr="00414930">
        <w:t xml:space="preserve"> methodology to the 2024</w:t>
      </w:r>
      <w:r w:rsidR="007F7C0E">
        <w:t> </w:t>
      </w:r>
      <w:r w:rsidRPr="00414930">
        <w:t>test</w:t>
      </w:r>
      <w:r w:rsidR="007F7C0E">
        <w:t> </w:t>
      </w:r>
      <w:r w:rsidRPr="00414930">
        <w:t>year</w:t>
      </w:r>
      <w:r>
        <w:t>.  However,</w:t>
      </w:r>
      <w:r w:rsidRPr="00414930">
        <w:t xml:space="preserve"> </w:t>
      </w:r>
      <w:r>
        <w:t xml:space="preserve">LSEs need further guidance on how to utilize </w:t>
      </w:r>
      <w:r w:rsidRPr="00414930">
        <w:t xml:space="preserve">the LIP </w:t>
      </w:r>
      <w:r>
        <w:t>outputs</w:t>
      </w:r>
      <w:r w:rsidRPr="00414930">
        <w:t xml:space="preserve"> </w:t>
      </w:r>
      <w:r>
        <w:t xml:space="preserve">under the </w:t>
      </w:r>
      <w:r w:rsidRPr="00414930">
        <w:t>24</w:t>
      </w:r>
      <w:r w:rsidR="007F7C0E">
        <w:noBreakHyphen/>
      </w:r>
      <w:r w:rsidRPr="00414930">
        <w:t>hour slice</w:t>
      </w:r>
      <w:r>
        <w:t xml:space="preserve"> framework</w:t>
      </w:r>
      <w:r w:rsidRPr="00414930">
        <w:t>.</w:t>
      </w:r>
      <w:r>
        <w:t>”</w:t>
      </w:r>
      <w:r>
        <w:rPr>
          <w:rStyle w:val="FootnoteReference"/>
        </w:rPr>
        <w:footnoteReference w:id="111"/>
      </w:r>
      <w:r>
        <w:t xml:space="preserve">  The Commission directed parties to develop proposals for the test year in workshops and specifically address</w:t>
      </w:r>
      <w:r w:rsidRPr="00414930">
        <w:t>:</w:t>
      </w:r>
      <w:r>
        <w:rPr>
          <w:rStyle w:val="FootnoteReference"/>
        </w:rPr>
        <w:footnoteReference w:id="112"/>
      </w:r>
    </w:p>
    <w:p w:rsidR="0022688B" w:rsidP="007F7C0E" w:rsidRDefault="0022688B" w14:paraId="36E1EBC5" w14:textId="77777777">
      <w:pPr>
        <w:pStyle w:val="ListParagraph"/>
        <w:numPr>
          <w:ilvl w:val="6"/>
          <w:numId w:val="1"/>
        </w:numPr>
        <w:tabs>
          <w:tab w:val="clear" w:pos="1080"/>
        </w:tabs>
        <w:spacing w:after="120" w:line="240" w:lineRule="auto"/>
        <w:ind w:right="1440"/>
        <w:contextualSpacing w:val="0"/>
      </w:pPr>
      <w:r>
        <w:t xml:space="preserve">The hours in which DR resources can be shown and whether those hours must be consecutive. </w:t>
      </w:r>
    </w:p>
    <w:p w:rsidR="0022688B" w:rsidP="007F7C0E" w:rsidRDefault="0022688B" w14:paraId="141EABE7" w14:textId="77777777">
      <w:pPr>
        <w:pStyle w:val="ListParagraph"/>
        <w:numPr>
          <w:ilvl w:val="6"/>
          <w:numId w:val="1"/>
        </w:numPr>
        <w:tabs>
          <w:tab w:val="clear" w:pos="1080"/>
        </w:tabs>
        <w:spacing w:after="120" w:line="240" w:lineRule="auto"/>
        <w:ind w:right="1440"/>
        <w:contextualSpacing w:val="0"/>
      </w:pPr>
      <w:r w:rsidRPr="006F5842">
        <w:t>Whether the transmission and planning reserve margin adders should be applied.</w:t>
      </w:r>
    </w:p>
    <w:p w:rsidR="0022688B" w:rsidP="007F7C0E" w:rsidRDefault="0022688B" w14:paraId="77B56D65" w14:textId="77777777">
      <w:pPr>
        <w:pStyle w:val="ListParagraph"/>
        <w:numPr>
          <w:ilvl w:val="6"/>
          <w:numId w:val="1"/>
        </w:numPr>
        <w:tabs>
          <w:tab w:val="clear" w:pos="1080"/>
        </w:tabs>
        <w:spacing w:after="120" w:line="240" w:lineRule="auto"/>
        <w:ind w:right="1440"/>
        <w:contextualSpacing w:val="0"/>
      </w:pPr>
      <w:r w:rsidRPr="006F5842">
        <w:t>Whether or not the value of DR resources can vary by hour.</w:t>
      </w:r>
    </w:p>
    <w:p w:rsidRPr="004968FA" w:rsidR="0022688B" w:rsidP="007F7C0E" w:rsidRDefault="0022688B" w14:paraId="0632A98A" w14:textId="77777777">
      <w:pPr>
        <w:pStyle w:val="ListParagraph"/>
        <w:numPr>
          <w:ilvl w:val="6"/>
          <w:numId w:val="1"/>
        </w:numPr>
        <w:tabs>
          <w:tab w:val="clear" w:pos="1080"/>
        </w:tabs>
        <w:spacing w:after="120" w:line="240" w:lineRule="auto"/>
        <w:ind w:right="1440"/>
        <w:contextualSpacing w:val="0"/>
      </w:pPr>
      <w:r w:rsidRPr="006F5842">
        <w:t>Whether, and if so, how snap back effects should be accounted for.</w:t>
      </w:r>
    </w:p>
    <w:p w:rsidR="0022688B" w:rsidP="0022688B" w:rsidRDefault="0022688B" w14:paraId="0F63FE34" w14:textId="122C422F">
      <w:pPr>
        <w:pStyle w:val="Heading3"/>
      </w:pPr>
      <w:bookmarkStart w:name="_Toc131762399" w:id="49"/>
      <w:r w:rsidRPr="0022688B">
        <w:lastRenderedPageBreak/>
        <w:t>Test Year Methodology</w:t>
      </w:r>
      <w:bookmarkEnd w:id="49"/>
    </w:p>
    <w:p w:rsidR="0022688B" w:rsidP="0022688B" w:rsidRDefault="0022688B" w14:paraId="6AD50674" w14:textId="18C026C6">
      <w:pPr>
        <w:pStyle w:val="Standard"/>
      </w:pPr>
      <w:r>
        <w:t>Energy Division outlines four options for DR counting for the 2024</w:t>
      </w:r>
      <w:r w:rsidR="00305204">
        <w:t> </w:t>
      </w:r>
      <w:r>
        <w:t>test</w:t>
      </w:r>
      <w:r w:rsidR="00305204">
        <w:t> </w:t>
      </w:r>
      <w:r>
        <w:t>year.</w:t>
      </w:r>
      <w:r>
        <w:rPr>
          <w:rStyle w:val="FootnoteReference"/>
        </w:rPr>
        <w:footnoteReference w:id="113"/>
      </w:r>
      <w:r>
        <w:t xml:space="preserve">  Option</w:t>
      </w:r>
      <w:r w:rsidR="00305204">
        <w:t> </w:t>
      </w:r>
      <w:r>
        <w:t>1 recommends</w:t>
      </w:r>
      <w:r w:rsidR="00DC4120">
        <w:t xml:space="preserve"> that</w:t>
      </w:r>
      <w:r>
        <w:t xml:space="preserve"> DR is variable across all hours, identical to the LIP outputs, which would be most flexible for LSEs and demand response providers (DRPs).  Option</w:t>
      </w:r>
      <w:r w:rsidR="00305204">
        <w:t> </w:t>
      </w:r>
      <w:r>
        <w:t>1 would not enforce 4</w:t>
      </w:r>
      <w:r w:rsidR="00305204">
        <w:noBreakHyphen/>
      </w:r>
      <w:r>
        <w:t>hour availability, which Energy</w:t>
      </w:r>
      <w:r w:rsidR="00305204">
        <w:t> </w:t>
      </w:r>
      <w:r>
        <w:t>Division highlights would raise reliability concerns, but would account for snap back</w:t>
      </w:r>
      <w:r w:rsidR="00DC4120">
        <w:t xml:space="preserve"> effects</w:t>
      </w:r>
      <w:r>
        <w:t>.  Under Option</w:t>
      </w:r>
      <w:r w:rsidR="00305204">
        <w:t> </w:t>
      </w:r>
      <w:r>
        <w:t>2, DR would be variable but capped at the average four worst consecutive availability assessment hours (AAH), which would have some enforcement for 4</w:t>
      </w:r>
      <w:r w:rsidR="00305204">
        <w:noBreakHyphen/>
      </w:r>
      <w:r>
        <w:t>hour availability and account for snap back</w:t>
      </w:r>
      <w:r w:rsidR="00DC4120">
        <w:t xml:space="preserve"> effects</w:t>
      </w:r>
      <w:r>
        <w:t>.</w:t>
      </w:r>
      <w:r w:rsidRPr="00A553F5">
        <w:t xml:space="preserve"> </w:t>
      </w:r>
      <w:r>
        <w:t xml:space="preserve"> Energy</w:t>
      </w:r>
      <w:r w:rsidR="00305204">
        <w:t> </w:t>
      </w:r>
      <w:r>
        <w:t>Division identifies downsides for Options</w:t>
      </w:r>
      <w:r w:rsidR="00305204">
        <w:t> </w:t>
      </w:r>
      <w:r>
        <w:t>1 and 2</w:t>
      </w:r>
      <w:r w:rsidR="00DC4120">
        <w:t xml:space="preserve">, in </w:t>
      </w:r>
      <w:r>
        <w:t xml:space="preserve">that they are complicated to implement and validate, and likely to significantly overstate available capacity in a 24-hour period. </w:t>
      </w:r>
    </w:p>
    <w:p w:rsidR="0022688B" w:rsidP="0022688B" w:rsidRDefault="0022688B" w14:paraId="09657D64" w14:textId="4180909E">
      <w:pPr>
        <w:pStyle w:val="Standard"/>
      </w:pPr>
      <w:r>
        <w:t>Under Option</w:t>
      </w:r>
      <w:r w:rsidR="00305204">
        <w:t> </w:t>
      </w:r>
      <w:r>
        <w:t>3, DR would be variable in any four hours from LIPs (consecutive or non</w:t>
      </w:r>
      <w:r w:rsidR="00305204">
        <w:noBreakHyphen/>
      </w:r>
      <w:r>
        <w:t>consecutive), which would enforce four</w:t>
      </w:r>
      <w:r w:rsidR="00305204">
        <w:noBreakHyphen/>
      </w:r>
      <w:r>
        <w:t>hour non</w:t>
      </w:r>
      <w:r w:rsidR="00305204">
        <w:noBreakHyphen/>
      </w:r>
      <w:r>
        <w:t>consecutive availability.  Option</w:t>
      </w:r>
      <w:r w:rsidR="00305204">
        <w:t> </w:t>
      </w:r>
      <w:r>
        <w:t>3, however, would not account for snap back, may not align with master file program design and contract capabilities, and many resources cannot dispatch multiple times per day.  Under Option</w:t>
      </w:r>
      <w:r w:rsidR="00305204">
        <w:t> </w:t>
      </w:r>
      <w:r>
        <w:t>4, DR would receive a single, constant value equal to the minimum of any four</w:t>
      </w:r>
      <w:r w:rsidR="00305204">
        <w:t> </w:t>
      </w:r>
      <w:r>
        <w:t>consecutive hours within the AAHs.  Option</w:t>
      </w:r>
      <w:r w:rsidR="00305204">
        <w:t> </w:t>
      </w:r>
      <w:r>
        <w:t>4 enforces four</w:t>
      </w:r>
      <w:r w:rsidR="00305204">
        <w:noBreakHyphen/>
      </w:r>
      <w:r>
        <w:t xml:space="preserve">hour consecutive availability and is simplest to </w:t>
      </w:r>
      <w:r w:rsidR="00305204">
        <w:t>implement but</w:t>
      </w:r>
      <w:r>
        <w:t xml:space="preserve"> would not account for snap back.  Energy</w:t>
      </w:r>
      <w:r w:rsidR="00305204">
        <w:t> </w:t>
      </w:r>
      <w:r>
        <w:t>Division proposes that under Options</w:t>
      </w:r>
      <w:r w:rsidR="00305204">
        <w:t> </w:t>
      </w:r>
      <w:r>
        <w:t>2</w:t>
      </w:r>
      <w:r w:rsidR="00305204">
        <w:noBreakHyphen/>
      </w:r>
      <w:r>
        <w:t>4, DR resources could potentially be shown for more than four hours if longer dispatches were required by contract or tariff (</w:t>
      </w:r>
      <w:r w:rsidRPr="00B53191">
        <w:rPr>
          <w:i/>
          <w:iCs/>
        </w:rPr>
        <w:t>e.g.</w:t>
      </w:r>
      <w:r>
        <w:t>, resources enrolled in the Base Interruptible Program).</w:t>
      </w:r>
    </w:p>
    <w:p w:rsidR="0022688B" w:rsidP="0022688B" w:rsidRDefault="0022688B" w14:paraId="15881283" w14:textId="1DD2BAD2">
      <w:pPr>
        <w:pStyle w:val="Standard"/>
      </w:pPr>
      <w:r w:rsidRPr="00FD7F5B">
        <w:lastRenderedPageBreak/>
        <w:t>SCE proposes that DR resources with impactful spillover effects</w:t>
      </w:r>
      <w:r>
        <w:t xml:space="preserve"> </w:t>
      </w:r>
      <w:r w:rsidRPr="00FD7F5B">
        <w:t xml:space="preserve">should </w:t>
      </w:r>
      <w:r>
        <w:t>have</w:t>
      </w:r>
      <w:r w:rsidRPr="00FD7F5B">
        <w:t xml:space="preserve"> a profile shape </w:t>
      </w:r>
      <w:r>
        <w:t>with</w:t>
      </w:r>
      <w:r w:rsidRPr="00FD7F5B">
        <w:t xml:space="preserve"> a pre-determined call window</w:t>
      </w:r>
      <w:r w:rsidRPr="00C02CB8">
        <w:t xml:space="preserve"> </w:t>
      </w:r>
      <w:r>
        <w:t>that is determined by program rules in the tariff schedule/contract.</w:t>
      </w:r>
      <w:r w:rsidRPr="00FD7F5B">
        <w:rPr>
          <w:rStyle w:val="FootnoteReference"/>
        </w:rPr>
        <w:footnoteReference w:id="114"/>
      </w:r>
      <w:r>
        <w:t xml:space="preserve">  The window would include four consecutive hours across the AAHs of 4</w:t>
      </w:r>
      <w:r w:rsidR="00305204">
        <w:noBreakHyphen/>
      </w:r>
      <w:r>
        <w:t>9</w:t>
      </w:r>
      <w:r w:rsidR="00305204">
        <w:t> p.m</w:t>
      </w:r>
      <w:r w:rsidRPr="00FD7F5B">
        <w:t>.</w:t>
      </w:r>
      <w:r>
        <w:t xml:space="preserve">  SCE recommends that a four-hour DR resource with spillover would be shown from either 4-8</w:t>
      </w:r>
      <w:r w:rsidR="00305204">
        <w:t> p.m</w:t>
      </w:r>
      <w:r w:rsidRPr="00FD7F5B" w:rsidR="00305204">
        <w:t>.</w:t>
      </w:r>
      <w:r>
        <w:t xml:space="preserve"> or 5</w:t>
      </w:r>
      <w:r w:rsidR="00305204">
        <w:noBreakHyphen/>
      </w:r>
      <w:r>
        <w:t>9</w:t>
      </w:r>
      <w:r w:rsidR="00305204">
        <w:t> p.m</w:t>
      </w:r>
      <w:r w:rsidRPr="00FD7F5B" w:rsidR="00305204">
        <w:t>.</w:t>
      </w:r>
      <w:r>
        <w:t>, depending on the month.  For DR without impactful spillover, the LSE would choose which hours to show, accounting for RA minimum requirements and program rules and tariff schedules.  SCE proposes that the capacity value of DR can vary by hour since DR is a variable resource.</w:t>
      </w:r>
    </w:p>
    <w:p w:rsidRPr="009B4CA5" w:rsidR="0022688B" w:rsidP="0022688B" w:rsidRDefault="0022688B" w14:paraId="203AF360" w14:textId="65F9ABFD">
      <w:pPr>
        <w:pStyle w:val="Standard"/>
      </w:pPr>
      <w:r>
        <w:rPr>
          <w:rFonts w:eastAsia="Times New Roman"/>
        </w:rPr>
        <w:t>SDG&amp;E and PG&amp;E recommend that DR comply with the minimum RA requirements, including the AAHs and four consecutive hour availability.</w:t>
      </w:r>
      <w:r>
        <w:rPr>
          <w:rStyle w:val="FootnoteReference"/>
          <w:rFonts w:eastAsia="Times New Roman"/>
        </w:rPr>
        <w:footnoteReference w:id="115"/>
      </w:r>
      <w:r>
        <w:rPr>
          <w:rFonts w:eastAsia="Times New Roman"/>
        </w:rPr>
        <w:t xml:space="preserve">  SDG&amp;E and PG&amp;E assert that for DR programs that dispatch for a longer period over a day, the hours should reflect program rules but could be non-consecutive.  SDG&amp;E and PG&amp;E propose that DR should be allowed to vary by hour because it is not a fixed resource, and that precooling and snap back effect</w:t>
      </w:r>
      <w:r w:rsidR="00DC4120">
        <w:rPr>
          <w:rFonts w:eastAsia="Times New Roman"/>
        </w:rPr>
        <w:t>s</w:t>
      </w:r>
      <w:r>
        <w:rPr>
          <w:rFonts w:eastAsia="Times New Roman"/>
        </w:rPr>
        <w:t xml:space="preserve"> should be accounted for.  </w:t>
      </w:r>
    </w:p>
    <w:p w:rsidR="0022688B" w:rsidP="0022688B" w:rsidRDefault="0022688B" w14:paraId="10975DCE" w14:textId="77777777">
      <w:pPr>
        <w:rPr>
          <w:rFonts w:eastAsia="Times New Roman"/>
        </w:rPr>
      </w:pPr>
      <w:r>
        <w:rPr>
          <w:rFonts w:eastAsia="Times New Roman"/>
        </w:rPr>
        <w:t>Demand Side Analytics (DSA) and CLECA advocate for hourly impacts that vary by month and include spillover effects, with the following additional modifications for the test year:</w:t>
      </w:r>
      <w:r>
        <w:rPr>
          <w:rStyle w:val="FootnoteReference"/>
          <w:rFonts w:eastAsia="Times New Roman"/>
        </w:rPr>
        <w:footnoteReference w:id="116"/>
      </w:r>
      <w:r>
        <w:rPr>
          <w:rFonts w:eastAsia="Times New Roman"/>
        </w:rPr>
        <w:t xml:space="preserve"> </w:t>
      </w:r>
    </w:p>
    <w:p w:rsidRPr="00C04260" w:rsidR="0022688B" w:rsidP="00305204" w:rsidRDefault="0022688B" w14:paraId="19F65698" w14:textId="604C4C14">
      <w:pPr>
        <w:pStyle w:val="ListParagraph"/>
        <w:numPr>
          <w:ilvl w:val="0"/>
          <w:numId w:val="25"/>
        </w:numPr>
        <w:spacing w:after="120" w:line="240" w:lineRule="auto"/>
        <w:ind w:right="1440"/>
        <w:contextualSpacing w:val="0"/>
        <w:rPr>
          <w:rFonts w:eastAsia="Times New Roman"/>
        </w:rPr>
      </w:pPr>
      <w:r>
        <w:rPr>
          <w:rFonts w:eastAsia="Times New Roman"/>
        </w:rPr>
        <w:t>Align weather conditions with the worst day of the month planning conditions as defined by the W</w:t>
      </w:r>
      <w:r w:rsidR="005305FC">
        <w:rPr>
          <w:rFonts w:eastAsia="Times New Roman"/>
        </w:rPr>
        <w:t xml:space="preserve">orking </w:t>
      </w:r>
      <w:r>
        <w:rPr>
          <w:rFonts w:eastAsia="Times New Roman"/>
        </w:rPr>
        <w:t>G</w:t>
      </w:r>
      <w:r w:rsidR="005305FC">
        <w:rPr>
          <w:rFonts w:eastAsia="Times New Roman"/>
        </w:rPr>
        <w:t>roup</w:t>
      </w:r>
      <w:r>
        <w:rPr>
          <w:rFonts w:eastAsia="Times New Roman"/>
        </w:rPr>
        <w:t>.</w:t>
      </w:r>
    </w:p>
    <w:p w:rsidRPr="00C04260" w:rsidR="0022688B" w:rsidP="00305204" w:rsidRDefault="0022688B" w14:paraId="1A64C5E2" w14:textId="77777777">
      <w:pPr>
        <w:pStyle w:val="ListParagraph"/>
        <w:numPr>
          <w:ilvl w:val="0"/>
          <w:numId w:val="25"/>
        </w:numPr>
        <w:spacing w:after="120" w:line="240" w:lineRule="auto"/>
        <w:ind w:right="1440"/>
        <w:contextualSpacing w:val="0"/>
        <w:rPr>
          <w:rFonts w:eastAsia="Times New Roman"/>
        </w:rPr>
      </w:pPr>
      <w:r w:rsidRPr="00C04260">
        <w:rPr>
          <w:rFonts w:eastAsia="Times New Roman"/>
        </w:rPr>
        <w:t xml:space="preserve">DR must be able to deliver a minimum of four consecutive hours in the AAH window. </w:t>
      </w:r>
    </w:p>
    <w:p w:rsidRPr="00C04260" w:rsidR="0022688B" w:rsidP="00305204" w:rsidRDefault="0022688B" w14:paraId="27083F94" w14:textId="77777777">
      <w:pPr>
        <w:pStyle w:val="ListParagraph"/>
        <w:numPr>
          <w:ilvl w:val="0"/>
          <w:numId w:val="25"/>
        </w:numPr>
        <w:spacing w:after="120" w:line="240" w:lineRule="auto"/>
        <w:ind w:right="1440"/>
        <w:contextualSpacing w:val="0"/>
        <w:rPr>
          <w:rFonts w:eastAsia="Times New Roman"/>
        </w:rPr>
      </w:pPr>
      <w:r>
        <w:rPr>
          <w:rFonts w:eastAsia="Times New Roman"/>
        </w:rPr>
        <w:lastRenderedPageBreak/>
        <w:t>Once a DR provider elects the hours to show as part of the QC process, it cannot modify the dispatch hours.</w:t>
      </w:r>
    </w:p>
    <w:p w:rsidRPr="00C04260" w:rsidR="0022688B" w:rsidP="00305204" w:rsidRDefault="0022688B" w14:paraId="027BC764" w14:textId="77777777">
      <w:pPr>
        <w:pStyle w:val="ListParagraph"/>
        <w:numPr>
          <w:ilvl w:val="0"/>
          <w:numId w:val="25"/>
        </w:numPr>
        <w:spacing w:after="120" w:line="240" w:lineRule="auto"/>
        <w:ind w:right="1440"/>
        <w:contextualSpacing w:val="0"/>
        <w:rPr>
          <w:rFonts w:eastAsia="Times New Roman"/>
        </w:rPr>
      </w:pPr>
      <w:r>
        <w:rPr>
          <w:rFonts w:eastAsia="Times New Roman"/>
        </w:rPr>
        <w:t>DR SOD load impacts need to factor in: weather scenario for load forecasting, resource shape, maximum event duration, spillover effects, and resource decay based on event duration.</w:t>
      </w:r>
    </w:p>
    <w:p w:rsidR="0022688B" w:rsidP="00305204" w:rsidRDefault="0022688B" w14:paraId="619D0AC3" w14:textId="77777777">
      <w:pPr>
        <w:pStyle w:val="ListParagraph"/>
        <w:numPr>
          <w:ilvl w:val="0"/>
          <w:numId w:val="25"/>
        </w:numPr>
        <w:spacing w:after="120" w:line="240" w:lineRule="auto"/>
        <w:ind w:right="1440"/>
        <w:contextualSpacing w:val="0"/>
        <w:rPr>
          <w:rFonts w:eastAsia="Times New Roman"/>
        </w:rPr>
      </w:pPr>
      <w:r>
        <w:rPr>
          <w:rFonts w:eastAsia="Times New Roman"/>
        </w:rPr>
        <w:t xml:space="preserve">Require the production of SOD summary table by month and hour. </w:t>
      </w:r>
    </w:p>
    <w:p w:rsidR="0022688B" w:rsidP="0022688B" w:rsidRDefault="0022688B" w14:paraId="4587C055" w14:textId="43914C9C">
      <w:pPr>
        <w:pStyle w:val="Standard"/>
      </w:pPr>
      <w:r>
        <w:t xml:space="preserve">CLECA, </w:t>
      </w:r>
      <w:proofErr w:type="spellStart"/>
      <w:r>
        <w:t>OhmConnect</w:t>
      </w:r>
      <w:proofErr w:type="spellEnd"/>
      <w:r>
        <w:t>, and SCE support Energy Division’s Option</w:t>
      </w:r>
      <w:r w:rsidR="00305204">
        <w:t> </w:t>
      </w:r>
      <w:r>
        <w:t>1 for the test year.</w:t>
      </w:r>
      <w:r>
        <w:rPr>
          <w:rStyle w:val="FootnoteReference"/>
        </w:rPr>
        <w:footnoteReference w:id="117"/>
      </w:r>
      <w:r>
        <w:t xml:space="preserve">  These parties support variable showings of DR across hours, while observing minimum RA requirements, reliability concerns, and program rules per the tariff schedule or contract.  </w:t>
      </w:r>
      <w:proofErr w:type="spellStart"/>
      <w:r>
        <w:t>OhmConnect</w:t>
      </w:r>
      <w:proofErr w:type="spellEnd"/>
      <w:r>
        <w:t xml:space="preserve"> states that the DRP should be responsible for determining the operational window for its resource.  CLECA states that the proposal is consistent with CLECA/DSA’s proposal.  </w:t>
      </w:r>
    </w:p>
    <w:p w:rsidR="0022688B" w:rsidP="0022688B" w:rsidRDefault="0022688B" w14:paraId="03EA451D" w14:textId="5010E93B">
      <w:pPr>
        <w:pStyle w:val="Standard"/>
      </w:pPr>
      <w:r>
        <w:t xml:space="preserve">CLECA, </w:t>
      </w:r>
      <w:proofErr w:type="spellStart"/>
      <w:r>
        <w:t>OhmConnect</w:t>
      </w:r>
      <w:proofErr w:type="spellEnd"/>
      <w:r>
        <w:t>, and SCE oppose Energy</w:t>
      </w:r>
      <w:r w:rsidR="00305204">
        <w:t> </w:t>
      </w:r>
      <w:r>
        <w:t>Division’s Option</w:t>
      </w:r>
      <w:r w:rsidR="00305204">
        <w:t> </w:t>
      </w:r>
      <w:r>
        <w:t>2, Option</w:t>
      </w:r>
      <w:r w:rsidR="00305204">
        <w:t> </w:t>
      </w:r>
      <w:r>
        <w:t>3, and Option</w:t>
      </w:r>
      <w:r w:rsidR="00305204">
        <w:t> </w:t>
      </w:r>
      <w:r>
        <w:t>4 proposals.</w:t>
      </w:r>
      <w:r>
        <w:rPr>
          <w:rStyle w:val="FootnoteReference"/>
        </w:rPr>
        <w:footnoteReference w:id="118"/>
      </w:r>
      <w:r>
        <w:t xml:space="preserve">  These parties generally state that Option</w:t>
      </w:r>
      <w:r w:rsidR="00305204">
        <w:t> </w:t>
      </w:r>
      <w:r>
        <w:t xml:space="preserve">2 would understate DR’s capability during hours in which it can provide more load reduction than the worst hours.  </w:t>
      </w:r>
      <w:proofErr w:type="spellStart"/>
      <w:r>
        <w:t>OhmConnect</w:t>
      </w:r>
      <w:proofErr w:type="spellEnd"/>
      <w:r>
        <w:t xml:space="preserve"> and CLECA contend that Option</w:t>
      </w:r>
      <w:r w:rsidR="00305204">
        <w:t> </w:t>
      </w:r>
      <w:r>
        <w:t>3 unnecessarily caps duration at four hours and contradicts the existing four</w:t>
      </w:r>
      <w:r w:rsidR="00305204">
        <w:noBreakHyphen/>
      </w:r>
      <w:r>
        <w:t>hour continuous operation requirement.  SCE states that Option</w:t>
      </w:r>
      <w:r w:rsidR="00305204">
        <w:t> </w:t>
      </w:r>
      <w:r>
        <w:t>3 would make stacking the same resource within the same hour challenging.  These parties generally argue that Option</w:t>
      </w:r>
      <w:r w:rsidR="00305204">
        <w:t> </w:t>
      </w:r>
      <w:r>
        <w:t>4 does not consider the time-variant nature of DR and would understate DR’s available capacity.</w:t>
      </w:r>
    </w:p>
    <w:p w:rsidR="0022688B" w:rsidP="0022688B" w:rsidRDefault="0022688B" w14:paraId="4D6A20E8" w14:textId="33D04989">
      <w:pPr>
        <w:pStyle w:val="Standard"/>
      </w:pPr>
      <w:r>
        <w:t xml:space="preserve">PG&amp;E comments that the call window should be pre-determined in the LIP filing, should represent resource capability on the worst day of the month </w:t>
      </w:r>
      <w:r>
        <w:lastRenderedPageBreak/>
        <w:t>under the 1-in-2 peaking conditions, and that the load impacts should vary by hour.</w:t>
      </w:r>
      <w:r>
        <w:rPr>
          <w:rStyle w:val="FootnoteReference"/>
        </w:rPr>
        <w:footnoteReference w:id="119"/>
      </w:r>
      <w:r>
        <w:t xml:space="preserve">  SCE, CLECA, and </w:t>
      </w:r>
      <w:proofErr w:type="spellStart"/>
      <w:r>
        <w:t>OhmC</w:t>
      </w:r>
      <w:r w:rsidR="00DC4120">
        <w:t>o</w:t>
      </w:r>
      <w:r>
        <w:t>nnect</w:t>
      </w:r>
      <w:proofErr w:type="spellEnd"/>
      <w:r>
        <w:t xml:space="preserve"> also support a defined call window.</w:t>
      </w:r>
      <w:r>
        <w:rPr>
          <w:rStyle w:val="FootnoteReference"/>
        </w:rPr>
        <w:footnoteReference w:id="120"/>
      </w:r>
      <w:r>
        <w:t xml:space="preserve">  PG&amp;E states that IOU DR should be allocated among LSEs as is done today, except the RA showing would not only focus on the AAHs but instead, each hour of the worst day of the month.  </w:t>
      </w:r>
    </w:p>
    <w:p w:rsidR="0022688B" w:rsidP="0022688B" w:rsidRDefault="0022688B" w14:paraId="7B7D4709" w14:textId="5591A66C">
      <w:pPr>
        <w:pStyle w:val="Standard"/>
      </w:pPr>
      <w:r>
        <w:t>CLECA states that if the PRM adder is eliminated, the LIPs should use 1-in-10 weather conditions instead of 1-in-2 weather conditions to avoid underestimating the contributions of DR resources to reliability, which could lead</w:t>
      </w:r>
      <w:r w:rsidR="00DC4120">
        <w:t xml:space="preserve"> to</w:t>
      </w:r>
      <w:r>
        <w:t xml:space="preserve"> higher reliance on less-preferred resources.</w:t>
      </w:r>
      <w:r>
        <w:rPr>
          <w:rStyle w:val="FootnoteReference"/>
        </w:rPr>
        <w:footnoteReference w:id="121"/>
      </w:r>
    </w:p>
    <w:p w:rsidR="0022688B" w:rsidP="0022688B" w:rsidRDefault="0022688B" w14:paraId="101B0D8C" w14:textId="77777777">
      <w:pPr>
        <w:pStyle w:val="Standard"/>
      </w:pPr>
      <w:proofErr w:type="spellStart"/>
      <w:r>
        <w:t>OhmConnect</w:t>
      </w:r>
      <w:proofErr w:type="spellEnd"/>
      <w:r>
        <w:t xml:space="preserve"> states that spillover effects should be modeled if present but not introduced in the QC valuation because spillover effects are minor and overly complex to include.</w:t>
      </w:r>
      <w:r>
        <w:rPr>
          <w:rStyle w:val="FootnoteReference"/>
        </w:rPr>
        <w:footnoteReference w:id="122"/>
      </w:r>
      <w:r>
        <w:t xml:space="preserve">  </w:t>
      </w:r>
      <w:proofErr w:type="spellStart"/>
      <w:r>
        <w:t>OhmConnect</w:t>
      </w:r>
      <w:proofErr w:type="spellEnd"/>
      <w:r>
        <w:t xml:space="preserve"> adds that requiring negative crediting would incentivize DRPs to minimize spillover when precooling should be encouraged.  CEDMC asserts that there are many questions on how to account for spillover and the issue should be deferred until there is certainty on how DR will be treated under the SOD framework.</w:t>
      </w:r>
      <w:r>
        <w:rPr>
          <w:rStyle w:val="FootnoteReference"/>
        </w:rPr>
        <w:footnoteReference w:id="123"/>
      </w:r>
      <w:r>
        <w:t xml:space="preserve">  </w:t>
      </w:r>
    </w:p>
    <w:p w:rsidRPr="00240525" w:rsidR="0022688B" w:rsidP="0022688B" w:rsidRDefault="0022688B" w14:paraId="78E36F46" w14:textId="2A42CDB7">
      <w:pPr>
        <w:pStyle w:val="Standard"/>
      </w:pPr>
      <w:r>
        <w:t>CED</w:t>
      </w:r>
      <w:r w:rsidR="00DC4120">
        <w:t>M</w:t>
      </w:r>
      <w:r>
        <w:t xml:space="preserve">C agrees with SCE and PG&amp;E that the value of DR should vary by hour, but objects to SCE’s and CLECA’s proposals that DR be required to be capable of dispatching during the AAHs and </w:t>
      </w:r>
      <w:r w:rsidR="00DC4120">
        <w:t xml:space="preserve">asserts </w:t>
      </w:r>
      <w:r>
        <w:t>that the RA market should dictate during what hours DR capacity is procured.</w:t>
      </w:r>
      <w:r>
        <w:rPr>
          <w:rStyle w:val="FootnoteReference"/>
        </w:rPr>
        <w:footnoteReference w:id="124"/>
      </w:r>
      <w:r>
        <w:t xml:space="preserve">  CED</w:t>
      </w:r>
      <w:r w:rsidR="00DC4120">
        <w:t>M</w:t>
      </w:r>
      <w:r>
        <w:t xml:space="preserve">C also objects to </w:t>
      </w:r>
      <w:r>
        <w:lastRenderedPageBreak/>
        <w:t>DR being subject to a minimum four consecutive hour dispatch, stating that an LSE should be able to procure DR to meet a need during a single hourly slice and show for as many hours as DR is capable of operating</w:t>
      </w:r>
      <w:r w:rsidR="00DC4120">
        <w:t>,</w:t>
      </w:r>
      <w:r>
        <w:t xml:space="preserve"> up to 24 hours.</w:t>
      </w:r>
    </w:p>
    <w:p w:rsidR="0022688B" w:rsidP="0022688B" w:rsidRDefault="0022688B" w14:paraId="6BAD840F" w14:textId="471BC768">
      <w:pPr>
        <w:pStyle w:val="Heading4"/>
      </w:pPr>
      <w:r>
        <w:t>Discussion</w:t>
      </w:r>
    </w:p>
    <w:p w:rsidR="0022688B" w:rsidP="0022688B" w:rsidRDefault="0022688B" w14:paraId="19CAD7D5" w14:textId="3CA4369D">
      <w:r>
        <w:t xml:space="preserve">Numerous parties advocate for allowing variable profiles for DR resources to reflect the capability of DR resources.  We concur that the value of a DR resource should vary by hour and that the profiles should reflect the DR resource’s capability on the worst day of the month under the 1-in-2 planning framework.  Most parties further support requiring DR resources to be shown for at least four consecutive hours during the AAH window.  The Commission agrees that requiring DR resources to be shown for at least four consecutive hours during the AAH window is important to ensure DR resources are counted during the hours that are most critical for system reliability.  </w:t>
      </w:r>
      <w:bookmarkStart w:name="_Hlk127951268" w:id="51"/>
      <w:r w:rsidR="00311064">
        <w:t>I</w:t>
      </w:r>
      <w:r>
        <w:t xml:space="preserve">f the DR resource is </w:t>
      </w:r>
      <w:r w:rsidRPr="00365BB7">
        <w:t>required by contract or tariff</w:t>
      </w:r>
      <w:r>
        <w:t xml:space="preserve"> to be capable of dispatching for more than four</w:t>
      </w:r>
      <w:r w:rsidR="005D394B">
        <w:t> </w:t>
      </w:r>
      <w:r>
        <w:t xml:space="preserve">hours, </w:t>
      </w:r>
      <w:r w:rsidR="00311064">
        <w:t xml:space="preserve">however, </w:t>
      </w:r>
      <w:r>
        <w:t xml:space="preserve">the shown hours must include </w:t>
      </w:r>
      <w:proofErr w:type="gramStart"/>
      <w:r w:rsidR="00311064">
        <w:t>all of</w:t>
      </w:r>
      <w:proofErr w:type="gramEnd"/>
      <w:r w:rsidR="00311064">
        <w:t xml:space="preserve"> </w:t>
      </w:r>
      <w:r w:rsidR="00EB6DFA">
        <w:t>the AAH window</w:t>
      </w:r>
      <w:r w:rsidRPr="00FD7F5B" w:rsidR="005D394B">
        <w:t>.</w:t>
      </w:r>
      <w:r w:rsidRPr="00DC4120" w:rsidR="00DC4120">
        <w:t xml:space="preserve"> </w:t>
      </w:r>
      <w:bookmarkEnd w:id="51"/>
    </w:p>
    <w:p w:rsidR="0022688B" w:rsidP="0022688B" w:rsidRDefault="0022688B" w14:paraId="15C6B8E2" w14:textId="5D9E3C09">
      <w:r>
        <w:t xml:space="preserve">Some parties support that an LSE should not be able to modify the dispatch hours after the </w:t>
      </w:r>
      <w:proofErr w:type="spellStart"/>
      <w:proofErr w:type="gramStart"/>
      <w:r w:rsidRPr="00365BB7">
        <w:rPr>
          <w:i/>
          <w:iCs/>
        </w:rPr>
        <w:t>ex</w:t>
      </w:r>
      <w:r w:rsidR="005D394B">
        <w:rPr>
          <w:i/>
          <w:iCs/>
        </w:rPr>
        <w:t> </w:t>
      </w:r>
      <w:r w:rsidRPr="00365BB7">
        <w:rPr>
          <w:i/>
          <w:iCs/>
        </w:rPr>
        <w:t>ante</w:t>
      </w:r>
      <w:proofErr w:type="spellEnd"/>
      <w:proofErr w:type="gramEnd"/>
      <w:r>
        <w:t xml:space="preserve"> LIP filing is approved.  CLECA points out that allowing LSEs to modify the dispatch hours would fundamentally alter the 24</w:t>
      </w:r>
      <w:r w:rsidR="005D394B">
        <w:noBreakHyphen/>
      </w:r>
      <w:r>
        <w:t>hour slice-of-day stack, and that preventing further modification would ensure that the sum of the parts equals the whole.</w:t>
      </w:r>
      <w:r>
        <w:rPr>
          <w:rStyle w:val="FootnoteReference"/>
        </w:rPr>
        <w:footnoteReference w:id="125"/>
      </w:r>
      <w:r>
        <w:t xml:space="preserve">  We agree with </w:t>
      </w:r>
      <w:r w:rsidR="00DC4120">
        <w:t xml:space="preserve">this </w:t>
      </w:r>
      <w:r>
        <w:t xml:space="preserve">rationale.  As such, the hours when DR is shown by LSEs shall be the same as the hours that were used in the </w:t>
      </w:r>
      <w:proofErr w:type="spellStart"/>
      <w:proofErr w:type="gramStart"/>
      <w:r w:rsidRPr="00EA12E7">
        <w:rPr>
          <w:i/>
          <w:iCs/>
        </w:rPr>
        <w:t>ex</w:t>
      </w:r>
      <w:r w:rsidR="005D394B">
        <w:rPr>
          <w:i/>
          <w:iCs/>
        </w:rPr>
        <w:t> </w:t>
      </w:r>
      <w:r w:rsidRPr="00EA12E7">
        <w:rPr>
          <w:i/>
          <w:iCs/>
        </w:rPr>
        <w:t>ante</w:t>
      </w:r>
      <w:proofErr w:type="spellEnd"/>
      <w:proofErr w:type="gramEnd"/>
      <w:r>
        <w:t xml:space="preserve"> LIP filing. </w:t>
      </w:r>
    </w:p>
    <w:p w:rsidR="0022688B" w:rsidP="0022688B" w:rsidRDefault="0022688B" w14:paraId="03AF79EA" w14:textId="1A720482">
      <w:r>
        <w:t xml:space="preserve">With respect to snap back effects, we agree with parties that DR resources should show snap back effects in their </w:t>
      </w:r>
      <w:proofErr w:type="gramStart"/>
      <w:r w:rsidRPr="00EA12E7">
        <w:rPr>
          <w:i/>
          <w:iCs/>
        </w:rPr>
        <w:t>ex</w:t>
      </w:r>
      <w:r w:rsidR="005D394B">
        <w:rPr>
          <w:i/>
          <w:iCs/>
        </w:rPr>
        <w:t> </w:t>
      </w:r>
      <w:r w:rsidRPr="00EA12E7">
        <w:rPr>
          <w:i/>
          <w:iCs/>
        </w:rPr>
        <w:t>ante</w:t>
      </w:r>
      <w:proofErr w:type="gramEnd"/>
      <w:r>
        <w:t xml:space="preserve"> LIP filings; however, given that </w:t>
      </w:r>
      <w:r>
        <w:lastRenderedPageBreak/>
        <w:t>snap back effects are relatively small and administratively complex to include, they should not be included in the DR QC valuation during the 2024</w:t>
      </w:r>
      <w:r w:rsidR="005D394B">
        <w:t> </w:t>
      </w:r>
      <w:r>
        <w:t>test</w:t>
      </w:r>
      <w:r w:rsidR="005D394B">
        <w:t> </w:t>
      </w:r>
      <w:r>
        <w:t xml:space="preserve">year. </w:t>
      </w:r>
    </w:p>
    <w:p w:rsidR="0022688B" w:rsidP="0022688B" w:rsidRDefault="0022688B" w14:paraId="0FBDAC03" w14:textId="7AFB2E20">
      <w:pPr>
        <w:pStyle w:val="Standard"/>
        <w:rPr>
          <w:rFonts w:eastAsia="Times New Roman"/>
        </w:rPr>
      </w:pPr>
      <w:r>
        <w:t xml:space="preserve">Accordingly, for the 2024 test year, </w:t>
      </w:r>
      <w:bookmarkStart w:name="_Hlk128391289" w:id="52"/>
      <w:r>
        <w:t xml:space="preserve">DR resources shall be shown for four consecutive hours of </w:t>
      </w:r>
      <w:r w:rsidR="00EB6DFA">
        <w:t>the AAH window</w:t>
      </w:r>
      <w:r>
        <w:t xml:space="preserve">, unless required by contract or tariff to be capable of </w:t>
      </w:r>
      <w:r>
        <w:rPr>
          <w:rFonts w:eastAsia="Times New Roman"/>
        </w:rPr>
        <w:t xml:space="preserve">responding to longer dispatches, in which case the shown hours must include </w:t>
      </w:r>
      <w:proofErr w:type="gramStart"/>
      <w:r w:rsidR="009129AD">
        <w:rPr>
          <w:rFonts w:eastAsia="Times New Roman"/>
        </w:rPr>
        <w:t>all of</w:t>
      </w:r>
      <w:proofErr w:type="gramEnd"/>
      <w:r w:rsidR="009129AD">
        <w:rPr>
          <w:rFonts w:eastAsia="Times New Roman"/>
        </w:rPr>
        <w:t xml:space="preserve"> </w:t>
      </w:r>
      <w:r w:rsidR="00EB6DFA">
        <w:rPr>
          <w:rFonts w:eastAsia="Times New Roman"/>
        </w:rPr>
        <w:t>the AAH window</w:t>
      </w:r>
      <w:r w:rsidRPr="00FD7F5B" w:rsidR="005D394B">
        <w:t>.</w:t>
      </w:r>
      <w:r>
        <w:rPr>
          <w:rFonts w:eastAsia="Times New Roman"/>
        </w:rPr>
        <w:t xml:space="preserve">  </w:t>
      </w:r>
      <w:bookmarkEnd w:id="52"/>
      <w:r>
        <w:rPr>
          <w:rFonts w:eastAsia="Times New Roman"/>
        </w:rPr>
        <w:t xml:space="preserve">In addition, the value of DR resources </w:t>
      </w:r>
      <w:r w:rsidR="00A71B1E">
        <w:rPr>
          <w:rFonts w:eastAsia="Times New Roman"/>
        </w:rPr>
        <w:t xml:space="preserve">will </w:t>
      </w:r>
      <w:r>
        <w:rPr>
          <w:rFonts w:eastAsia="Times New Roman"/>
        </w:rPr>
        <w:t>vary by hour based on the resource’s capability on the worst day of the month under the 1</w:t>
      </w:r>
      <w:r w:rsidR="005D394B">
        <w:rPr>
          <w:rFonts w:eastAsia="Times New Roman"/>
        </w:rPr>
        <w:noBreakHyphen/>
      </w:r>
      <w:r>
        <w:rPr>
          <w:rFonts w:eastAsia="Times New Roman"/>
        </w:rPr>
        <w:t>in</w:t>
      </w:r>
      <w:r w:rsidR="005D394B">
        <w:rPr>
          <w:rFonts w:eastAsia="Times New Roman"/>
        </w:rPr>
        <w:noBreakHyphen/>
      </w:r>
      <w:r>
        <w:rPr>
          <w:rFonts w:eastAsia="Times New Roman"/>
        </w:rPr>
        <w:t xml:space="preserve">2 planning framework.  Snap back effects shall be included in the </w:t>
      </w:r>
      <w:proofErr w:type="spellStart"/>
      <w:proofErr w:type="gramStart"/>
      <w:r w:rsidRPr="00B36AB0">
        <w:rPr>
          <w:rFonts w:eastAsia="Times New Roman"/>
          <w:i/>
          <w:iCs/>
        </w:rPr>
        <w:t>ex</w:t>
      </w:r>
      <w:r w:rsidR="005D394B">
        <w:rPr>
          <w:rFonts w:eastAsia="Times New Roman"/>
          <w:i/>
          <w:iCs/>
        </w:rPr>
        <w:t> </w:t>
      </w:r>
      <w:r w:rsidRPr="00B36AB0">
        <w:rPr>
          <w:rFonts w:eastAsia="Times New Roman"/>
          <w:i/>
          <w:iCs/>
        </w:rPr>
        <w:t>ante</w:t>
      </w:r>
      <w:proofErr w:type="spellEnd"/>
      <w:proofErr w:type="gramEnd"/>
      <w:r>
        <w:rPr>
          <w:rFonts w:eastAsia="Times New Roman"/>
        </w:rPr>
        <w:t xml:space="preserve"> LIP filings but </w:t>
      </w:r>
      <w:r w:rsidR="00A71B1E">
        <w:rPr>
          <w:rFonts w:eastAsia="Times New Roman"/>
        </w:rPr>
        <w:t xml:space="preserve">will </w:t>
      </w:r>
      <w:r>
        <w:rPr>
          <w:rFonts w:eastAsia="Times New Roman"/>
        </w:rPr>
        <w:t>not be reflected in RA capacity counting.</w:t>
      </w:r>
    </w:p>
    <w:p w:rsidR="0022688B" w:rsidP="0022688B" w:rsidRDefault="0022688B" w14:paraId="7D167A4B" w14:textId="7C2AAD9E">
      <w:pPr>
        <w:pStyle w:val="Heading3"/>
      </w:pPr>
      <w:bookmarkStart w:name="_Toc131762400" w:id="53"/>
      <w:r w:rsidRPr="0022688B">
        <w:t>Demand Response Adders</w:t>
      </w:r>
      <w:bookmarkEnd w:id="53"/>
    </w:p>
    <w:p w:rsidR="0022688B" w:rsidP="0022688B" w:rsidRDefault="0022688B" w14:paraId="329B683C" w14:textId="3442F562">
      <w:pPr>
        <w:pStyle w:val="Standard"/>
      </w:pPr>
      <w:r>
        <w:t xml:space="preserve">All </w:t>
      </w:r>
      <w:r w:rsidR="00311064">
        <w:t xml:space="preserve">DR counting </w:t>
      </w:r>
      <w:r>
        <w:t>proposals support retaining the transmission loss factor (TLF) adder and distribution loss factor (DLF) adder for the test year, including proposals from CLECA, Energy</w:t>
      </w:r>
      <w:r w:rsidR="005D394B">
        <w:t> </w:t>
      </w:r>
      <w:r>
        <w:t>Division, PG&amp;E, SCE, and SDG&amp;E.</w:t>
      </w:r>
      <w:r>
        <w:rPr>
          <w:rStyle w:val="FootnoteReference"/>
        </w:rPr>
        <w:footnoteReference w:id="126"/>
      </w:r>
      <w:r>
        <w:t xml:space="preserve">  SCE asserts that the TLF and DLF (T&amp;D) adders should be retained to ensure load impacts from supply-side DR are assessed on the same level as the CEC’s load forecasts.  CLECA states that additional capacity must be available to overcome T&amp;D losses incurred when moving power through the grid.  </w:t>
      </w:r>
    </w:p>
    <w:p w:rsidR="0022688B" w:rsidP="0022688B" w:rsidRDefault="0022688B" w14:paraId="0EFA872D" w14:textId="6E088343">
      <w:pPr>
        <w:pStyle w:val="Standard"/>
      </w:pPr>
      <w:r>
        <w:t xml:space="preserve">For the PRM adder, proposals differ as to what part of the adder to remove or retain.  PG&amp;E recommends eliminating </w:t>
      </w:r>
      <w:r w:rsidR="00311064">
        <w:t xml:space="preserve">the entire </w:t>
      </w:r>
      <w:r>
        <w:t>PRM adder, stating that DR does not reduce the need for operating reserves in the real-time market, DR is a variable resource for which a planning reserve is needed to offset variability, and DR includes uncertainties due to forecasting error and forced outages.</w:t>
      </w:r>
      <w:r>
        <w:rPr>
          <w:rStyle w:val="FootnoteReference"/>
        </w:rPr>
        <w:footnoteReference w:id="127"/>
      </w:r>
      <w:r>
        <w:t xml:space="preserve">  CLECA favors retaining the entire PRM adder because reducing load reduces the need </w:t>
      </w:r>
      <w:r>
        <w:lastRenderedPageBreak/>
        <w:t xml:space="preserve">for </w:t>
      </w:r>
      <w:r w:rsidR="00311064">
        <w:t xml:space="preserve">an </w:t>
      </w:r>
      <w:r>
        <w:t>incremental PRM.</w:t>
      </w:r>
      <w:r>
        <w:rPr>
          <w:rStyle w:val="FootnoteReference"/>
        </w:rPr>
        <w:footnoteReference w:id="128"/>
      </w:r>
      <w:r>
        <w:t xml:space="preserve">  CLECA opposes eliminating the operati</w:t>
      </w:r>
      <w:r w:rsidR="00311064">
        <w:t>ng</w:t>
      </w:r>
      <w:r>
        <w:t xml:space="preserve"> reserves from the PRM and states that if load is reduced, the need for operating reserves is similarly reduced.  CEDMC supports retaining the full PRM adder and states that it is unclear how it can be argued that if DR is dispatched as a supply-side resource, the PRM adder should be less than the overall PRM.</w:t>
      </w:r>
      <w:r>
        <w:rPr>
          <w:rStyle w:val="FootnoteReference"/>
        </w:rPr>
        <w:footnoteReference w:id="129"/>
      </w:r>
      <w:r>
        <w:t xml:space="preserve"> </w:t>
      </w:r>
    </w:p>
    <w:p w:rsidRPr="0022688B" w:rsidR="0022688B" w:rsidP="0022688B" w:rsidRDefault="0022688B" w14:paraId="0C536E54" w14:textId="3C9C6D13">
      <w:pPr>
        <w:pStyle w:val="Standard"/>
      </w:pPr>
      <w:r>
        <w:rPr>
          <w:rFonts w:eastAsia="Times New Roman"/>
        </w:rPr>
        <w:t>SDG&amp;E supports removing the operating reserves, forced outage, and forecasting error components.</w:t>
      </w:r>
      <w:r>
        <w:rPr>
          <w:rStyle w:val="FootnoteReference"/>
        </w:rPr>
        <w:footnoteReference w:id="130"/>
      </w:r>
      <w:r>
        <w:rPr>
          <w:rFonts w:eastAsia="Times New Roman"/>
        </w:rPr>
        <w:t xml:space="preserve">  </w:t>
      </w:r>
      <w:r>
        <w:t>SCE recommends removing the ancillary services</w:t>
      </w:r>
      <w:r w:rsidR="00311064">
        <w:t>/operating reserves</w:t>
      </w:r>
      <w:r>
        <w:t xml:space="preserve"> component in instances where CAISO procures most of the </w:t>
      </w:r>
      <w:r w:rsidR="00311064">
        <w:t>ancillary services</w:t>
      </w:r>
      <w:r>
        <w:t xml:space="preserve"> in the day-ahead market.</w:t>
      </w:r>
      <w:r w:rsidRPr="00FF3A61">
        <w:rPr>
          <w:rStyle w:val="FootnoteReference"/>
        </w:rPr>
        <w:t xml:space="preserve"> </w:t>
      </w:r>
      <w:r>
        <w:rPr>
          <w:rStyle w:val="FootnoteReference"/>
        </w:rPr>
        <w:footnoteReference w:id="131"/>
      </w:r>
      <w:r>
        <w:t xml:space="preserve">  SCE </w:t>
      </w:r>
      <w:r w:rsidR="00311064">
        <w:t xml:space="preserve">also </w:t>
      </w:r>
      <w:r>
        <w:t xml:space="preserve">recommends removing the forecast error component as </w:t>
      </w:r>
      <w:r w:rsidR="00311064">
        <w:t xml:space="preserve">the </w:t>
      </w:r>
      <w:r>
        <w:t xml:space="preserve">QC </w:t>
      </w:r>
      <w:r w:rsidR="00311064">
        <w:t xml:space="preserve">of DR </w:t>
      </w:r>
      <w:r>
        <w:t xml:space="preserve">does not necessarily contribute to reducing the load forecast error.  SCE states that the forced outage adder should be retained if </w:t>
      </w:r>
      <w:r w:rsidR="00311064">
        <w:t xml:space="preserve">the </w:t>
      </w:r>
      <w:r>
        <w:t xml:space="preserve">LIPs </w:t>
      </w:r>
      <w:r w:rsidR="00311064">
        <w:t>are</w:t>
      </w:r>
      <w:r>
        <w:t xml:space="preserve"> retained, as not applying the forced outage adder would discount </w:t>
      </w:r>
      <w:r w:rsidR="00311064">
        <w:t>the</w:t>
      </w:r>
      <w:r>
        <w:t xml:space="preserve"> QC</w:t>
      </w:r>
      <w:r w:rsidR="00311064">
        <w:t xml:space="preserve"> of DR</w:t>
      </w:r>
      <w:r>
        <w:t xml:space="preserve"> for forced outages twice.</w:t>
      </w:r>
    </w:p>
    <w:p w:rsidR="0022688B" w:rsidP="0022688B" w:rsidRDefault="0022688B" w14:paraId="2D89E455" w14:textId="4AA298F3">
      <w:pPr>
        <w:pStyle w:val="Heading4"/>
      </w:pPr>
      <w:r>
        <w:t>Discussion</w:t>
      </w:r>
    </w:p>
    <w:p w:rsidR="0022688B" w:rsidP="0022688B" w:rsidRDefault="0022688B" w14:paraId="12734386" w14:textId="225FA66B">
      <w:pPr>
        <w:pStyle w:val="Standard"/>
        <w:rPr>
          <w:rFonts w:eastAsia="Times New Roman"/>
        </w:rPr>
      </w:pPr>
      <w:r>
        <w:t xml:space="preserve">All proposals support retaining the TLF and DLF adders </w:t>
      </w:r>
      <w:r w:rsidR="008E7075">
        <w:t xml:space="preserve">for </w:t>
      </w:r>
      <w:r>
        <w:t xml:space="preserve">the DR QC </w:t>
      </w:r>
      <w:r w:rsidR="008E7075">
        <w:t xml:space="preserve">values </w:t>
      </w:r>
      <w:r>
        <w:t>for the 2024 test</w:t>
      </w:r>
      <w:r w:rsidR="005D394B">
        <w:t> </w:t>
      </w:r>
      <w:r>
        <w:t xml:space="preserve">year.  We note, however, that </w:t>
      </w:r>
      <w:r>
        <w:rPr>
          <w:rFonts w:eastAsia="Times New Roman"/>
        </w:rPr>
        <w:t>w</w:t>
      </w:r>
      <w:r w:rsidRPr="00FD56C2">
        <w:rPr>
          <w:rFonts w:eastAsia="Times New Roman"/>
        </w:rPr>
        <w:t xml:space="preserve">hile the DLF adder is </w:t>
      </w:r>
      <w:r>
        <w:rPr>
          <w:rFonts w:eastAsia="Times New Roman"/>
        </w:rPr>
        <w:t xml:space="preserve">currently </w:t>
      </w:r>
      <w:r w:rsidRPr="00FD56C2">
        <w:rPr>
          <w:rFonts w:eastAsia="Times New Roman"/>
        </w:rPr>
        <w:t xml:space="preserve">applied as an adjustment to QC values, the TLF adder is applied as a credit. </w:t>
      </w:r>
      <w:r>
        <w:rPr>
          <w:rFonts w:eastAsia="Times New Roman"/>
        </w:rPr>
        <w:t xml:space="preserve"> </w:t>
      </w:r>
      <w:r w:rsidRPr="00FD56C2">
        <w:rPr>
          <w:rFonts w:eastAsia="Times New Roman"/>
        </w:rPr>
        <w:t>Th</w:t>
      </w:r>
      <w:r>
        <w:rPr>
          <w:rFonts w:eastAsia="Times New Roman"/>
        </w:rPr>
        <w:t>is</w:t>
      </w:r>
      <w:r w:rsidRPr="00FD56C2">
        <w:rPr>
          <w:rFonts w:eastAsia="Times New Roman"/>
        </w:rPr>
        <w:t xml:space="preserve"> crediting effort </w:t>
      </w:r>
      <w:r>
        <w:rPr>
          <w:rFonts w:eastAsia="Times New Roman"/>
        </w:rPr>
        <w:t>requires</w:t>
      </w:r>
      <w:r w:rsidRPr="00FD56C2">
        <w:rPr>
          <w:rFonts w:eastAsia="Times New Roman"/>
        </w:rPr>
        <w:t xml:space="preserve"> significant administrative overhead and complexity to account for a </w:t>
      </w:r>
      <w:r>
        <w:rPr>
          <w:rFonts w:eastAsia="Times New Roman"/>
        </w:rPr>
        <w:t>very small</w:t>
      </w:r>
      <w:r w:rsidRPr="00FD56C2">
        <w:rPr>
          <w:rFonts w:eastAsia="Times New Roman"/>
        </w:rPr>
        <w:t xml:space="preserve"> amount of incremental capacity value attributable to the TLF adder</w:t>
      </w:r>
      <w:r>
        <w:rPr>
          <w:rFonts w:eastAsia="Times New Roman"/>
        </w:rPr>
        <w:t>, often</w:t>
      </w:r>
      <w:r w:rsidRPr="00FD56C2">
        <w:rPr>
          <w:rFonts w:eastAsia="Times New Roman"/>
        </w:rPr>
        <w:t xml:space="preserve"> fractional MWs at the LSE level. </w:t>
      </w:r>
      <w:r>
        <w:rPr>
          <w:rFonts w:eastAsia="Times New Roman"/>
        </w:rPr>
        <w:t xml:space="preserve"> </w:t>
      </w:r>
      <w:r w:rsidR="00180E22">
        <w:rPr>
          <w:rFonts w:eastAsia="Times New Roman"/>
        </w:rPr>
        <w:t>In comments on the proposed</w:t>
      </w:r>
      <w:r w:rsidR="00D66B6E">
        <w:rPr>
          <w:rFonts w:eastAsia="Times New Roman"/>
        </w:rPr>
        <w:t xml:space="preserve"> decision</w:t>
      </w:r>
      <w:r w:rsidR="00180E22">
        <w:rPr>
          <w:rFonts w:eastAsia="Times New Roman"/>
        </w:rPr>
        <w:t xml:space="preserve">, parties support revisiting the TLF adder issue in </w:t>
      </w:r>
      <w:r w:rsidR="00D66B6E">
        <w:rPr>
          <w:rFonts w:eastAsia="Times New Roman"/>
        </w:rPr>
        <w:t>Phase 3 of the Implementation Track</w:t>
      </w:r>
      <w:r w:rsidR="00180E22">
        <w:rPr>
          <w:rFonts w:eastAsia="Times New Roman"/>
        </w:rPr>
        <w:t xml:space="preserve"> and we agree that additional </w:t>
      </w:r>
      <w:r w:rsidR="00180E22">
        <w:rPr>
          <w:rFonts w:eastAsia="Times New Roman"/>
        </w:rPr>
        <w:lastRenderedPageBreak/>
        <w:t>consideration is necessary.  In the interim</w:t>
      </w:r>
      <w:r w:rsidR="007467A2">
        <w:rPr>
          <w:rFonts w:eastAsia="Times New Roman"/>
        </w:rPr>
        <w:t>, the Commission agrees that for the test year, the DLF and TLF adders should be retained to apply to DR.</w:t>
      </w:r>
      <w:r>
        <w:rPr>
          <w:rFonts w:eastAsia="Times New Roman"/>
        </w:rPr>
        <w:t xml:space="preserve">  Accordingly, for the 2024 test year</w:t>
      </w:r>
      <w:r w:rsidR="00653182">
        <w:rPr>
          <w:rFonts w:eastAsia="Times New Roman"/>
        </w:rPr>
        <w:t xml:space="preserve"> for the SOD framework</w:t>
      </w:r>
      <w:r>
        <w:rPr>
          <w:rFonts w:eastAsia="Times New Roman"/>
        </w:rPr>
        <w:t xml:space="preserve">, the TLF and DLF adders </w:t>
      </w:r>
      <w:r w:rsidR="00A71B1E">
        <w:rPr>
          <w:rFonts w:eastAsia="Times New Roman"/>
        </w:rPr>
        <w:t xml:space="preserve">will </w:t>
      </w:r>
      <w:r>
        <w:rPr>
          <w:rFonts w:eastAsia="Times New Roman"/>
        </w:rPr>
        <w:t>be retained to apply to the QC of DR resources.</w:t>
      </w:r>
      <w:r w:rsidR="00367E48">
        <w:rPr>
          <w:rFonts w:eastAsia="Times New Roman"/>
        </w:rPr>
        <w:t xml:space="preserve">  This issue may be revisited in Phase 3 of</w:t>
      </w:r>
      <w:r w:rsidRPr="00FD56C2" w:rsidR="00367E48">
        <w:rPr>
          <w:rFonts w:eastAsia="Times New Roman"/>
        </w:rPr>
        <w:t xml:space="preserve"> the Implementation Track</w:t>
      </w:r>
      <w:r w:rsidR="00367E48">
        <w:rPr>
          <w:rFonts w:eastAsia="Times New Roman"/>
        </w:rPr>
        <w:t>, alongside the CEC’s DR Working Group Report recommendations.</w:t>
      </w:r>
    </w:p>
    <w:p w:rsidRPr="0022688B" w:rsidR="0022688B" w:rsidP="0022688B" w:rsidRDefault="0022688B" w14:paraId="5AD27E37" w14:textId="436ACBDE">
      <w:pPr>
        <w:pStyle w:val="Standard"/>
      </w:pPr>
      <w:r>
        <w:rPr>
          <w:rFonts w:eastAsia="Times New Roman"/>
        </w:rPr>
        <w:t>Parties and Energy</w:t>
      </w:r>
      <w:r w:rsidR="005D394B">
        <w:rPr>
          <w:rFonts w:eastAsia="Times New Roman"/>
        </w:rPr>
        <w:t> </w:t>
      </w:r>
      <w:r>
        <w:rPr>
          <w:rFonts w:eastAsia="Times New Roman"/>
        </w:rPr>
        <w:t xml:space="preserve">Division put forth a wide range of proposals on the PRM adder, with no consensus as to an approach for the test year.  The Commission concludes that </w:t>
      </w:r>
      <w:proofErr w:type="gramStart"/>
      <w:r>
        <w:rPr>
          <w:rFonts w:eastAsia="Times New Roman"/>
        </w:rPr>
        <w:t>at this time</w:t>
      </w:r>
      <w:proofErr w:type="gramEnd"/>
      <w:r>
        <w:rPr>
          <w:rFonts w:eastAsia="Times New Roman"/>
        </w:rPr>
        <w:t xml:space="preserve"> there is insufficient record to address the PRM adder.  This issue will be considered in Phase</w:t>
      </w:r>
      <w:r w:rsidR="005D394B">
        <w:rPr>
          <w:rFonts w:eastAsia="Times New Roman"/>
        </w:rPr>
        <w:t> </w:t>
      </w:r>
      <w:r>
        <w:rPr>
          <w:rFonts w:eastAsia="Times New Roman"/>
        </w:rPr>
        <w:t>3 of</w:t>
      </w:r>
      <w:r w:rsidRPr="00FD56C2">
        <w:rPr>
          <w:rFonts w:eastAsia="Times New Roman"/>
        </w:rPr>
        <w:t xml:space="preserve"> the Implementation Track</w:t>
      </w:r>
      <w:r>
        <w:rPr>
          <w:rFonts w:eastAsia="Times New Roman"/>
        </w:rPr>
        <w:t>, alongside the CEC’s DR W</w:t>
      </w:r>
      <w:r w:rsidR="005305FC">
        <w:rPr>
          <w:rFonts w:eastAsia="Times New Roman"/>
        </w:rPr>
        <w:t xml:space="preserve">orking </w:t>
      </w:r>
      <w:r>
        <w:rPr>
          <w:rFonts w:eastAsia="Times New Roman"/>
        </w:rPr>
        <w:t>G</w:t>
      </w:r>
      <w:r w:rsidR="005305FC">
        <w:rPr>
          <w:rFonts w:eastAsia="Times New Roman"/>
        </w:rPr>
        <w:t>roup</w:t>
      </w:r>
      <w:r w:rsidR="00152336">
        <w:rPr>
          <w:rFonts w:eastAsia="Times New Roman"/>
        </w:rPr>
        <w:t> </w:t>
      </w:r>
      <w:r>
        <w:rPr>
          <w:rFonts w:eastAsia="Times New Roman"/>
        </w:rPr>
        <w:t>Report recommendation</w:t>
      </w:r>
      <w:r w:rsidR="008E7075">
        <w:rPr>
          <w:rFonts w:eastAsia="Times New Roman"/>
        </w:rPr>
        <w:t>s</w:t>
      </w:r>
      <w:r>
        <w:rPr>
          <w:rFonts w:eastAsia="Times New Roman"/>
        </w:rPr>
        <w:t>.</w:t>
      </w:r>
    </w:p>
    <w:p w:rsidR="0022688B" w:rsidP="0022688B" w:rsidRDefault="0022688B" w14:paraId="2F8D887C" w14:textId="47EF701C">
      <w:pPr>
        <w:pStyle w:val="Heading2"/>
      </w:pPr>
      <w:bookmarkStart w:name="_Toc131762401" w:id="54"/>
      <w:r w:rsidRPr="0022688B">
        <w:t>Planning Reserve Margin Calibration</w:t>
      </w:r>
      <w:bookmarkEnd w:id="54"/>
    </w:p>
    <w:p w:rsidR="0022688B" w:rsidP="0022688B" w:rsidRDefault="0022688B" w14:paraId="1393AD57" w14:textId="2EABD971">
      <w:pPr>
        <w:rPr>
          <w:rFonts w:eastAsia="Book Antiqua" w:cs="Book Antiqua"/>
        </w:rPr>
      </w:pPr>
      <w:r>
        <w:rPr>
          <w:rFonts w:eastAsia="Book Antiqua" w:cs="Book Antiqua"/>
        </w:rPr>
        <w:t>In D.22</w:t>
      </w:r>
      <w:r w:rsidR="005D394B">
        <w:rPr>
          <w:rFonts w:eastAsia="Book Antiqua" w:cs="Book Antiqua"/>
        </w:rPr>
        <w:noBreakHyphen/>
      </w:r>
      <w:r>
        <w:rPr>
          <w:rFonts w:eastAsia="Book Antiqua" w:cs="Book Antiqua"/>
        </w:rPr>
        <w:t>06</w:t>
      </w:r>
      <w:r w:rsidR="005D394B">
        <w:rPr>
          <w:rFonts w:eastAsia="Book Antiqua" w:cs="Book Antiqua"/>
        </w:rPr>
        <w:noBreakHyphen/>
      </w:r>
      <w:r>
        <w:rPr>
          <w:rFonts w:eastAsia="Book Antiqua" w:cs="Book Antiqua"/>
        </w:rPr>
        <w:t xml:space="preserve">050, the Commission adopted </w:t>
      </w:r>
      <w:r w:rsidRPr="52B7F412">
        <w:rPr>
          <w:rFonts w:eastAsia="Book Antiqua" w:cs="Book Antiqua"/>
        </w:rPr>
        <w:t>a minimum 17</w:t>
      </w:r>
      <w:r w:rsidR="005D394B">
        <w:rPr>
          <w:rFonts w:eastAsia="Book Antiqua" w:cs="Book Antiqua"/>
        </w:rPr>
        <w:t> </w:t>
      </w:r>
      <w:r>
        <w:rPr>
          <w:rFonts w:eastAsia="Book Antiqua" w:cs="Book Antiqua"/>
        </w:rPr>
        <w:t>percent</w:t>
      </w:r>
      <w:r w:rsidRPr="52B7F412">
        <w:rPr>
          <w:rFonts w:eastAsia="Book Antiqua" w:cs="Book Antiqua"/>
        </w:rPr>
        <w:t xml:space="preserve"> PRM </w:t>
      </w:r>
      <w:r>
        <w:rPr>
          <w:rFonts w:eastAsia="Book Antiqua" w:cs="Book Antiqua"/>
        </w:rPr>
        <w:t>for</w:t>
      </w:r>
      <w:r w:rsidRPr="52B7F412">
        <w:rPr>
          <w:rFonts w:eastAsia="Book Antiqua" w:cs="Book Antiqua"/>
        </w:rPr>
        <w:t xml:space="preserve"> 2024</w:t>
      </w:r>
      <w:r>
        <w:rPr>
          <w:rFonts w:eastAsia="Book Antiqua" w:cs="Book Antiqua"/>
        </w:rPr>
        <w:t xml:space="preserve"> and stated </w:t>
      </w:r>
      <w:r w:rsidR="008E7075">
        <w:rPr>
          <w:rFonts w:eastAsia="Book Antiqua" w:cs="Book Antiqua"/>
        </w:rPr>
        <w:t>that this PRM may be further revised in a June 2023 decision after a review of Energy Division’s updates to the LOLE modeling by stakeholders and the Commission</w:t>
      </w:r>
      <w:r w:rsidRPr="2FF8781F" w:rsidR="008E7075">
        <w:rPr>
          <w:rFonts w:eastAsia="Book Antiqua" w:cs="Book Antiqua"/>
        </w:rPr>
        <w:t>.</w:t>
      </w:r>
      <w:r w:rsidR="008E7075">
        <w:rPr>
          <w:rStyle w:val="FootnoteReference"/>
          <w:rFonts w:eastAsia="Book Antiqua" w:cs="Book Antiqua"/>
        </w:rPr>
        <w:footnoteReference w:id="132"/>
      </w:r>
      <w:r w:rsidRPr="2FF8781F">
        <w:rPr>
          <w:rFonts w:eastAsia="Book Antiqua" w:cs="Book Antiqua"/>
        </w:rPr>
        <w:t xml:space="preserve">  </w:t>
      </w:r>
      <w:r w:rsidR="008E7075">
        <w:rPr>
          <w:rFonts w:eastAsia="Book Antiqua" w:cs="Book Antiqua"/>
        </w:rPr>
        <w:t>Regarding the interaction with the updated LOLE study and the SOD framework, t</w:t>
      </w:r>
      <w:r>
        <w:rPr>
          <w:rFonts w:eastAsia="Book Antiqua" w:cs="Book Antiqua"/>
        </w:rPr>
        <w:t>he Commission stated:</w:t>
      </w:r>
      <w:r>
        <w:rPr>
          <w:rStyle w:val="FootnoteReference"/>
          <w:rFonts w:eastAsia="Book Antiqua" w:cs="Book Antiqua"/>
        </w:rPr>
        <w:footnoteReference w:id="133"/>
      </w:r>
    </w:p>
    <w:p w:rsidRPr="00C62C6D" w:rsidR="0022688B" w:rsidP="005D394B" w:rsidRDefault="0022688B" w14:paraId="236DA7D7" w14:textId="35D70FA6">
      <w:pPr>
        <w:spacing w:after="120" w:line="240" w:lineRule="auto"/>
        <w:ind w:left="720" w:right="1440" w:firstLine="0"/>
        <w:rPr>
          <w:rFonts w:eastAsia="Book Antiqua" w:cs="Book Antiqua"/>
        </w:rPr>
      </w:pPr>
      <w:r>
        <w:rPr>
          <w:rFonts w:eastAsia="Book Antiqua" w:cs="Book Antiqua"/>
        </w:rPr>
        <w:t>The Commission</w:t>
      </w:r>
      <w:r w:rsidRPr="2FF8781F">
        <w:rPr>
          <w:rFonts w:eastAsia="Book Antiqua" w:cs="Book Antiqua"/>
        </w:rPr>
        <w:t xml:space="preserve"> recognize</w:t>
      </w:r>
      <w:r>
        <w:rPr>
          <w:rFonts w:eastAsia="Book Antiqua" w:cs="Book Antiqua"/>
        </w:rPr>
        <w:t>s</w:t>
      </w:r>
      <w:r w:rsidRPr="2FF8781F">
        <w:rPr>
          <w:rFonts w:eastAsia="Book Antiqua" w:cs="Book Antiqua"/>
        </w:rPr>
        <w:t xml:space="preserve"> that calibration of the 17</w:t>
      </w:r>
      <w:r w:rsidR="005D394B">
        <w:rPr>
          <w:rFonts w:eastAsia="Book Antiqua" w:cs="Book Antiqua"/>
        </w:rPr>
        <w:t> </w:t>
      </w:r>
      <w:r>
        <w:rPr>
          <w:rFonts w:eastAsia="Book Antiqua" w:cs="Book Antiqua"/>
        </w:rPr>
        <w:t>percent</w:t>
      </w:r>
      <w:r w:rsidRPr="2FF8781F">
        <w:rPr>
          <w:rFonts w:eastAsia="Book Antiqua" w:cs="Book Antiqua"/>
        </w:rPr>
        <w:t xml:space="preserve"> PRM to the 24</w:t>
      </w:r>
      <w:r w:rsidR="005D394B">
        <w:rPr>
          <w:rFonts w:eastAsia="Book Antiqua" w:cs="Book Antiqua"/>
        </w:rPr>
        <w:noBreakHyphen/>
      </w:r>
      <w:r w:rsidRPr="2FF8781F">
        <w:rPr>
          <w:rFonts w:eastAsia="Book Antiqua" w:cs="Book Antiqua"/>
        </w:rPr>
        <w:t>hour framework cannot feasibly be done</w:t>
      </w:r>
      <w:r>
        <w:rPr>
          <w:rFonts w:eastAsia="Book Antiqua" w:cs="Book Antiqua"/>
        </w:rPr>
        <w:t>,</w:t>
      </w:r>
      <w:r w:rsidRPr="2FF8781F">
        <w:rPr>
          <w:rFonts w:eastAsia="Book Antiqua" w:cs="Book Antiqua"/>
        </w:rPr>
        <w:t xml:space="preserve"> </w:t>
      </w:r>
      <w:r>
        <w:rPr>
          <w:rFonts w:eastAsia="Book Antiqua" w:cs="Book Antiqua"/>
        </w:rPr>
        <w:t>as</w:t>
      </w:r>
      <w:r w:rsidRPr="2FF8781F">
        <w:rPr>
          <w:rFonts w:eastAsia="Book Antiqua" w:cs="Book Antiqua"/>
        </w:rPr>
        <w:t xml:space="preserve"> the 17</w:t>
      </w:r>
      <w:r w:rsidR="005D394B">
        <w:rPr>
          <w:rFonts w:eastAsia="Book Antiqua" w:cs="Book Antiqua"/>
        </w:rPr>
        <w:t> </w:t>
      </w:r>
      <w:r>
        <w:rPr>
          <w:rFonts w:eastAsia="Book Antiqua" w:cs="Book Antiqua"/>
        </w:rPr>
        <w:t>percent</w:t>
      </w:r>
      <w:r w:rsidRPr="2FF8781F">
        <w:rPr>
          <w:rFonts w:eastAsia="Book Antiqua" w:cs="Book Antiqua"/>
        </w:rPr>
        <w:t xml:space="preserve"> does not match the current LOLE modeling output. </w:t>
      </w:r>
      <w:r>
        <w:rPr>
          <w:rFonts w:eastAsia="Book Antiqua" w:cs="Book Antiqua"/>
        </w:rPr>
        <w:t xml:space="preserve"> As such</w:t>
      </w:r>
      <w:r w:rsidRPr="2FF8781F">
        <w:rPr>
          <w:rFonts w:eastAsia="Book Antiqua" w:cs="Book Antiqua"/>
        </w:rPr>
        <w:t>, converting the results of the LOLE study to the counting rules applicable to the 24</w:t>
      </w:r>
      <w:r>
        <w:rPr>
          <w:rFonts w:eastAsia="Book Antiqua" w:cs="Book Antiqua"/>
        </w:rPr>
        <w:t>-</w:t>
      </w:r>
      <w:r w:rsidRPr="2FF8781F">
        <w:rPr>
          <w:rFonts w:eastAsia="Book Antiqua" w:cs="Book Antiqua"/>
        </w:rPr>
        <w:t xml:space="preserve">hour framework should </w:t>
      </w:r>
      <w:r>
        <w:rPr>
          <w:rFonts w:eastAsia="Book Antiqua" w:cs="Book Antiqua"/>
        </w:rPr>
        <w:t>await</w:t>
      </w:r>
      <w:r w:rsidRPr="2FF8781F">
        <w:rPr>
          <w:rFonts w:eastAsia="Book Antiqua" w:cs="Book Antiqua"/>
        </w:rPr>
        <w:t xml:space="preserve"> the refreshed LOLE outputs from the IRP proceeding.  </w:t>
      </w:r>
      <w:bookmarkStart w:name="_Hlk103626004" w:id="55"/>
      <w:r w:rsidRPr="2FF8781F">
        <w:rPr>
          <w:rFonts w:eastAsia="Book Antiqua" w:cs="Book Antiqua"/>
        </w:rPr>
        <w:t xml:space="preserve">Once refreshed LOLE outputs are available, conversion of </w:t>
      </w:r>
      <w:r>
        <w:rPr>
          <w:rFonts w:eastAsia="Book Antiqua" w:cs="Book Antiqua"/>
        </w:rPr>
        <w:t>the</w:t>
      </w:r>
      <w:r w:rsidRPr="2FF8781F">
        <w:rPr>
          <w:rFonts w:eastAsia="Book Antiqua" w:cs="Book Antiqua"/>
        </w:rPr>
        <w:t xml:space="preserve"> outputs to the 24</w:t>
      </w:r>
      <w:r w:rsidR="005D394B">
        <w:rPr>
          <w:rFonts w:eastAsia="Book Antiqua" w:cs="Book Antiqua"/>
        </w:rPr>
        <w:noBreakHyphen/>
      </w:r>
      <w:r>
        <w:rPr>
          <w:rFonts w:eastAsia="Book Antiqua" w:cs="Book Antiqua"/>
        </w:rPr>
        <w:t>h</w:t>
      </w:r>
      <w:r w:rsidRPr="2FF8781F">
        <w:rPr>
          <w:rFonts w:eastAsia="Book Antiqua" w:cs="Book Antiqua"/>
        </w:rPr>
        <w:t xml:space="preserve">our framework counting rules </w:t>
      </w:r>
      <w:r>
        <w:rPr>
          <w:rFonts w:eastAsia="Book Antiqua" w:cs="Book Antiqua"/>
        </w:rPr>
        <w:t>need to be completed, and NRDC’s</w:t>
      </w:r>
      <w:r w:rsidRPr="2FF8781F">
        <w:rPr>
          <w:rFonts w:eastAsia="Book Antiqua" w:cs="Book Antiqua"/>
        </w:rPr>
        <w:t xml:space="preserve"> </w:t>
      </w:r>
      <w:r>
        <w:rPr>
          <w:rFonts w:eastAsia="Book Antiqua" w:cs="Book Antiqua"/>
        </w:rPr>
        <w:t>“proof of concept” template</w:t>
      </w:r>
      <w:r w:rsidRPr="2FF8781F">
        <w:rPr>
          <w:rFonts w:eastAsia="Book Antiqua" w:cs="Book Antiqua"/>
        </w:rPr>
        <w:t xml:space="preserve"> </w:t>
      </w:r>
      <w:r>
        <w:rPr>
          <w:rFonts w:eastAsia="Book Antiqua" w:cs="Book Antiqua"/>
        </w:rPr>
        <w:t>should be leveraged for the conversion.</w:t>
      </w:r>
      <w:r w:rsidRPr="2FF8781F">
        <w:rPr>
          <w:rFonts w:eastAsia="Book Antiqua" w:cs="Book Antiqua"/>
        </w:rPr>
        <w:t xml:space="preserve">  </w:t>
      </w:r>
      <w:bookmarkEnd w:id="55"/>
    </w:p>
    <w:p w:rsidR="0022688B" w:rsidP="0022688B" w:rsidRDefault="0022688B" w14:paraId="0887EC74" w14:textId="6AECCD35">
      <w:pPr>
        <w:pStyle w:val="Standard"/>
      </w:pPr>
      <w:r>
        <w:lastRenderedPageBreak/>
        <w:t>The Commission further concluded that “[f]or initial implementation, one PRM will apply to all hours of the year.”</w:t>
      </w:r>
      <w:r>
        <w:rPr>
          <w:rStyle w:val="FootnoteReference"/>
        </w:rPr>
        <w:footnoteReference w:id="134"/>
      </w:r>
      <w:r>
        <w:t xml:space="preserve">  In the Amended Scoping</w:t>
      </w:r>
      <w:r w:rsidR="005D394B">
        <w:t> </w:t>
      </w:r>
      <w:r>
        <w:t>Memo, we stated that while the Implementation Track will consider modifications to the PRM for 2024 and beyond, the Reform Track will consider how to convert and calibrate the results of a LOLE study to the SOD framework.</w:t>
      </w:r>
      <w:r>
        <w:rPr>
          <w:rStyle w:val="FootnoteReference"/>
        </w:rPr>
        <w:footnoteReference w:id="135"/>
      </w:r>
      <w:r>
        <w:t xml:space="preserve">  </w:t>
      </w:r>
    </w:p>
    <w:p w:rsidR="0022688B" w:rsidP="0022688B" w:rsidRDefault="0022688B" w14:paraId="6186D210" w14:textId="77777777">
      <w:pPr>
        <w:pStyle w:val="Standard"/>
      </w:pPr>
      <w:r>
        <w:t>NRDC puts forth a tool to convert the 2022 LOLE study portfolio into monthly PRM values aligned with monthly portfolios identified in the LOLE study.</w:t>
      </w:r>
      <w:r>
        <w:rPr>
          <w:rStyle w:val="FootnoteReference"/>
        </w:rPr>
        <w:footnoteReference w:id="136"/>
      </w:r>
      <w:r>
        <w:t xml:space="preserve">  NRDC asserts that its tool can be calibrated to use several resource profile options and uses a 1-in-2 hourly load profile with a PRM multiplier that augments every hour’s compliance requirement.  The tool is not designed to incorporate resource-specific constraints, such as thermal run-time limits, and does not assess energy sufficiency for storage with charging limitations.  The tool would need revisions to align with the adopted counting rules.</w:t>
      </w:r>
      <w:r w:rsidRPr="009D17F6">
        <w:t xml:space="preserve"> </w:t>
      </w:r>
      <w:r>
        <w:t xml:space="preserve"> NRDC recommends annual or semi-annual recalibration as part of the IRP proceeding, including multi-year forecasts based on anticipated resource development and retirements.  </w:t>
      </w:r>
    </w:p>
    <w:p w:rsidR="0022688B" w:rsidP="0022688B" w:rsidRDefault="0022688B" w14:paraId="0C35AB4C" w14:textId="7250C2CD">
      <w:pPr>
        <w:pStyle w:val="Standard"/>
      </w:pPr>
      <w:r>
        <w:t xml:space="preserve">To determine each month’s PRM, NRDC’s tool uses the Excel Solver to determine the maximum PRM that can be sustained while meeting the following constraints: </w:t>
      </w:r>
      <w:r w:rsidR="005D394B">
        <w:t xml:space="preserve"> </w:t>
      </w:r>
      <w:r>
        <w:t>(1)</w:t>
      </w:r>
      <w:r w:rsidR="005D394B">
        <w:t> </w:t>
      </w:r>
      <w:r>
        <w:t>instantaneous storage output must not exceed total storage power capacity; (2)</w:t>
      </w:r>
      <w:r w:rsidR="005D394B">
        <w:t> </w:t>
      </w:r>
      <w:r>
        <w:t>cumulative daily storage output must not exceed total storage energy capacity; (3)</w:t>
      </w:r>
      <w:r w:rsidR="005D394B">
        <w:t> </w:t>
      </w:r>
      <w:r>
        <w:t>the resource mix must be sufficient to meet the compliance requirement in all hours; and (4)</w:t>
      </w:r>
      <w:r w:rsidR="005D394B">
        <w:t> </w:t>
      </w:r>
      <w:r>
        <w:t>the resource mix must be sufficient to provide sufficient excess capacity to charge all dispatched storage.</w:t>
      </w:r>
    </w:p>
    <w:p w:rsidR="0022688B" w:rsidP="0022688B" w:rsidRDefault="0022688B" w14:paraId="01F94347" w14:textId="1B10676C">
      <w:pPr>
        <w:pStyle w:val="Standard"/>
      </w:pPr>
      <w:r>
        <w:lastRenderedPageBreak/>
        <w:t>SCE presents a PRM calibration tool, similar to NRDC’s tool, that is designed to incorporate specific limitations of resources.</w:t>
      </w:r>
      <w:r>
        <w:rPr>
          <w:rStyle w:val="FootnoteReference"/>
        </w:rPr>
        <w:footnoteReference w:id="137"/>
      </w:r>
      <w:r>
        <w:t xml:space="preserve">  The calibration is based on the following steps:</w:t>
      </w:r>
      <w:r w:rsidR="005D394B">
        <w:t xml:space="preserve"> </w:t>
      </w:r>
      <w:r>
        <w:t xml:space="preserve"> (1)</w:t>
      </w:r>
      <w:r w:rsidR="005D394B">
        <w:t> </w:t>
      </w:r>
      <w:r>
        <w:t>determine volume and mix of resources that achieve reliability and other targets; (2)</w:t>
      </w:r>
      <w:r w:rsidR="005D394B">
        <w:t> </w:t>
      </w:r>
      <w:r>
        <w:t>convert nameplates and characteristics to SOD counting; (3)</w:t>
      </w:r>
      <w:r w:rsidR="005D394B">
        <w:t> </w:t>
      </w:r>
      <w:r>
        <w:t xml:space="preserve">create </w:t>
      </w:r>
      <w:r w:rsidR="008E7075">
        <w:t xml:space="preserve">a </w:t>
      </w:r>
      <w:r>
        <w:t>system level 24-hour slice stack consistent with Steps</w:t>
      </w:r>
      <w:r w:rsidR="005D394B">
        <w:t> </w:t>
      </w:r>
      <w:r>
        <w:t xml:space="preserve">1 and 2 that maximizes </w:t>
      </w:r>
      <w:r w:rsidR="008E7075">
        <w:t xml:space="preserve">the </w:t>
      </w:r>
      <w:r>
        <w:t xml:space="preserve">PRM achieved for </w:t>
      </w:r>
      <w:r w:rsidR="008E7075">
        <w:t xml:space="preserve">the </w:t>
      </w:r>
      <w:r>
        <w:t xml:space="preserve">highest load day while satisfying </w:t>
      </w:r>
      <w:r w:rsidR="008E7075">
        <w:t xml:space="preserve">the </w:t>
      </w:r>
      <w:r>
        <w:t>SOD requirements; (4)</w:t>
      </w:r>
      <w:r w:rsidR="005D394B">
        <w:t> </w:t>
      </w:r>
      <w:r w:rsidR="008E7075">
        <w:t xml:space="preserve">the </w:t>
      </w:r>
      <w:r>
        <w:t>resulting PRM becomes the RA PRM.  SCE proposes a two</w:t>
      </w:r>
      <w:r w:rsidR="005D394B">
        <w:noBreakHyphen/>
      </w:r>
      <w:r>
        <w:t>year refresh aligned with the IRP cycle.</w:t>
      </w:r>
    </w:p>
    <w:p w:rsidR="0022688B" w:rsidP="0022688B" w:rsidRDefault="0022688B" w14:paraId="5296A4E7" w14:textId="493DA73E">
      <w:pPr>
        <w:pStyle w:val="Standard"/>
      </w:pPr>
      <w:r>
        <w:t xml:space="preserve">Building </w:t>
      </w:r>
      <w:proofErr w:type="gramStart"/>
      <w:r>
        <w:t>off of</w:t>
      </w:r>
      <w:proofErr w:type="gramEnd"/>
      <w:r>
        <w:t xml:space="preserve"> SCE’s proposed tool, NRDC suggests a modification to its calibration process that would set monthly PRMs calibrated to the annual portfolio for any at</w:t>
      </w:r>
      <w:r w:rsidR="005D394B">
        <w:noBreakHyphen/>
      </w:r>
      <w:r>
        <w:t>risk month, defined as months with modeled LOLE in the LOLE study.</w:t>
      </w:r>
      <w:r>
        <w:rPr>
          <w:rStyle w:val="FootnoteReference"/>
        </w:rPr>
        <w:footnoteReference w:id="138"/>
      </w:r>
      <w:r>
        <w:t xml:space="preserve">  Other months would have a generic PRM applied, as determined through SCE’s annual PRM process.</w:t>
      </w:r>
    </w:p>
    <w:p w:rsidRPr="00240525" w:rsidR="0022688B" w:rsidP="0022688B" w:rsidRDefault="0022688B" w14:paraId="78410EE7" w14:textId="11C18072">
      <w:pPr>
        <w:pStyle w:val="Standard"/>
      </w:pPr>
      <w:r>
        <w:t>EBCE proposes a PRM feasibility adjustment to assess whether the portfolio requirements are feasible given the State’s available resources.</w:t>
      </w:r>
      <w:r>
        <w:rPr>
          <w:rStyle w:val="FootnoteReference"/>
        </w:rPr>
        <w:footnoteReference w:id="139"/>
      </w:r>
      <w:r>
        <w:t xml:space="preserve">  If infeasibility is identified, the PRM should be adjusted to reflect the reality of resources available to provide RA.  The adjustment should consider that RA requirements should reasonably align with resources developed in IRP, that compliance should incent achievable outcomes, and </w:t>
      </w:r>
      <w:r w:rsidR="008E7075">
        <w:t xml:space="preserve">should </w:t>
      </w:r>
      <w:r>
        <w:t>balanc</w:t>
      </w:r>
      <w:r w:rsidR="008E7075">
        <w:t>e</w:t>
      </w:r>
      <w:r>
        <w:t xml:space="preserve"> RA requirements with customer affordability. </w:t>
      </w:r>
    </w:p>
    <w:p w:rsidR="0022688B" w:rsidP="0022688B" w:rsidRDefault="0022688B" w14:paraId="6FEBD9B2" w14:textId="7EA639EB">
      <w:pPr>
        <w:pStyle w:val="Heading3"/>
      </w:pPr>
      <w:bookmarkStart w:name="_Toc131762402" w:id="56"/>
      <w:r w:rsidRPr="0022688B">
        <w:lastRenderedPageBreak/>
        <w:t>Comments on Proposals</w:t>
      </w:r>
      <w:bookmarkEnd w:id="56"/>
    </w:p>
    <w:p w:rsidRPr="00B45E0F" w:rsidR="00947B08" w:rsidP="00947B08" w:rsidRDefault="00947B08" w14:paraId="70ED581B" w14:textId="5670F6C3">
      <w:pPr>
        <w:rPr>
          <w:rFonts w:cs="Book Antiqua"/>
          <w:color w:val="000000"/>
          <w:szCs w:val="26"/>
        </w:rPr>
      </w:pPr>
      <w:r>
        <w:rPr>
          <w:rFonts w:cs="Book Antiqua"/>
          <w:color w:val="000000"/>
          <w:szCs w:val="26"/>
        </w:rPr>
        <w:t>IEP, PG&amp;E, and WPTF support SCE’s calibration tool, as it provides more granularity than NRDC’s tool.</w:t>
      </w:r>
      <w:r>
        <w:rPr>
          <w:rStyle w:val="FootnoteReference"/>
          <w:rFonts w:cs="Book Antiqua"/>
          <w:color w:val="000000"/>
          <w:szCs w:val="26"/>
        </w:rPr>
        <w:footnoteReference w:id="140"/>
      </w:r>
      <w:r>
        <w:rPr>
          <w:rFonts w:cs="Book Antiqua"/>
          <w:color w:val="000000"/>
          <w:szCs w:val="26"/>
        </w:rPr>
        <w:t xml:space="preserve">  Calpine finds both SCE’s </w:t>
      </w:r>
      <w:r w:rsidR="005D394B">
        <w:rPr>
          <w:rFonts w:cs="Book Antiqua"/>
          <w:color w:val="000000"/>
          <w:szCs w:val="26"/>
        </w:rPr>
        <w:t>and</w:t>
      </w:r>
      <w:r>
        <w:rPr>
          <w:rFonts w:cs="Book Antiqua"/>
          <w:color w:val="000000"/>
          <w:szCs w:val="26"/>
        </w:rPr>
        <w:t xml:space="preserve"> NRDC’s calibration tools to be reasonable.</w:t>
      </w:r>
      <w:r>
        <w:rPr>
          <w:rStyle w:val="FootnoteReference"/>
          <w:rFonts w:cs="Book Antiqua"/>
          <w:color w:val="000000"/>
          <w:szCs w:val="26"/>
        </w:rPr>
        <w:footnoteReference w:id="141"/>
      </w:r>
    </w:p>
    <w:p w:rsidR="00947B08" w:rsidP="00947B08" w:rsidRDefault="00947B08" w14:paraId="5C59FE3D" w14:textId="2F6E49DC">
      <w:pPr>
        <w:rPr>
          <w:rFonts w:cs="Book Antiqua"/>
          <w:color w:val="000000"/>
          <w:szCs w:val="26"/>
        </w:rPr>
      </w:pPr>
      <w:proofErr w:type="spellStart"/>
      <w:r>
        <w:t>AReM</w:t>
      </w:r>
      <w:proofErr w:type="spellEnd"/>
      <w:r>
        <w:t>, Calpine, IEP, MRP, and SCE recommend using a single annual PRM for the SOD framework.</w:t>
      </w:r>
      <w:r>
        <w:rPr>
          <w:rStyle w:val="FootnoteReference"/>
        </w:rPr>
        <w:footnoteReference w:id="142"/>
      </w:r>
      <w:r>
        <w:t xml:space="preserve">  </w:t>
      </w:r>
      <w:proofErr w:type="spellStart"/>
      <w:r>
        <w:rPr>
          <w:rFonts w:cs="Book Antiqua"/>
          <w:color w:val="000000"/>
          <w:szCs w:val="26"/>
        </w:rPr>
        <w:t>AReM</w:t>
      </w:r>
      <w:proofErr w:type="spellEnd"/>
      <w:r>
        <w:rPr>
          <w:rFonts w:cs="Book Antiqua"/>
          <w:color w:val="000000"/>
          <w:szCs w:val="26"/>
        </w:rPr>
        <w:t xml:space="preserve"> argues that monthly PRMs add complexity with uncertain benefits and MRP states that an annual PRM that maintains 0.1 LOLE </w:t>
      </w:r>
      <w:r w:rsidR="00F9384B">
        <w:rPr>
          <w:rFonts w:cs="Book Antiqua"/>
          <w:color w:val="000000"/>
          <w:szCs w:val="26"/>
        </w:rPr>
        <w:t xml:space="preserve">can </w:t>
      </w:r>
      <w:r>
        <w:rPr>
          <w:rFonts w:cs="Book Antiqua"/>
          <w:color w:val="000000"/>
          <w:szCs w:val="26"/>
        </w:rPr>
        <w:t xml:space="preserve">provide </w:t>
      </w:r>
      <w:r w:rsidR="008E7075">
        <w:rPr>
          <w:rFonts w:cs="Book Antiqua"/>
          <w:color w:val="000000"/>
          <w:szCs w:val="26"/>
        </w:rPr>
        <w:t xml:space="preserve">as much </w:t>
      </w:r>
      <w:r>
        <w:rPr>
          <w:rFonts w:cs="Book Antiqua"/>
          <w:color w:val="000000"/>
          <w:szCs w:val="26"/>
        </w:rPr>
        <w:t xml:space="preserve">precision as a monthly PRM can.  SCE reasons that there is no record on what reliability standards should be and significant work would be required to create monthly reliability metrics and a modeling process.  </w:t>
      </w:r>
    </w:p>
    <w:p w:rsidR="00947B08" w:rsidP="00947B08" w:rsidRDefault="00947B08" w14:paraId="037B62E0" w14:textId="3514515E">
      <w:pPr>
        <w:rPr>
          <w:rFonts w:cs="Book Antiqua"/>
          <w:color w:val="000000"/>
          <w:szCs w:val="26"/>
        </w:rPr>
      </w:pPr>
      <w:r>
        <w:rPr>
          <w:rFonts w:cs="Book Antiqua"/>
          <w:color w:val="000000"/>
          <w:szCs w:val="26"/>
        </w:rPr>
        <w:t>PG&amp;E and AES support NRDC’s modified proposal for monthly PRM values for summer months and a generic PRM for other months.</w:t>
      </w:r>
      <w:r>
        <w:rPr>
          <w:rStyle w:val="FootnoteReference"/>
          <w:rFonts w:cs="Book Antiqua"/>
          <w:color w:val="000000"/>
          <w:szCs w:val="26"/>
        </w:rPr>
        <w:footnoteReference w:id="143"/>
      </w:r>
      <w:r>
        <w:rPr>
          <w:rFonts w:cs="Book Antiqua"/>
          <w:color w:val="000000"/>
          <w:szCs w:val="26"/>
        </w:rPr>
        <w:t xml:space="preserve">  </w:t>
      </w:r>
      <w:r>
        <w:t xml:space="preserve">CAISO </w:t>
      </w:r>
      <w:r w:rsidR="00F9384B">
        <w:t xml:space="preserve">supports </w:t>
      </w:r>
      <w:r>
        <w:t xml:space="preserve">monthly PRM values, indicating that </w:t>
      </w:r>
      <w:r>
        <w:rPr>
          <w:rFonts w:cs="Book Antiqua"/>
          <w:color w:val="000000"/>
          <w:szCs w:val="26"/>
        </w:rPr>
        <w:t>monthly PRMs capture reliability needs across the year more precisely</w:t>
      </w:r>
      <w:r>
        <w:t>.</w:t>
      </w:r>
      <w:r>
        <w:rPr>
          <w:rStyle w:val="FootnoteReference"/>
          <w:rFonts w:cs="Book Antiqua"/>
          <w:color w:val="000000"/>
          <w:szCs w:val="26"/>
        </w:rPr>
        <w:footnoteReference w:id="144"/>
      </w:r>
      <w:r>
        <w:t xml:space="preserve">  </w:t>
      </w:r>
      <w:r>
        <w:rPr>
          <w:rFonts w:cs="Book Antiqua"/>
          <w:color w:val="000000"/>
          <w:szCs w:val="26"/>
        </w:rPr>
        <w:t>SCE and NRDC oppose CAISO’s monthly-varying PRM proposal, as it would unduly delay SOD implementation.</w:t>
      </w:r>
      <w:r>
        <w:rPr>
          <w:rStyle w:val="FootnoteReference"/>
          <w:rFonts w:cs="Book Antiqua"/>
          <w:color w:val="000000"/>
          <w:szCs w:val="26"/>
        </w:rPr>
        <w:footnoteReference w:id="145"/>
      </w:r>
      <w:r>
        <w:rPr>
          <w:rFonts w:cs="Book Antiqua"/>
          <w:color w:val="000000"/>
          <w:szCs w:val="26"/>
        </w:rPr>
        <w:t xml:space="preserve">  </w:t>
      </w:r>
    </w:p>
    <w:p w:rsidRPr="0022688B" w:rsidR="0022688B" w:rsidP="00947B08" w:rsidRDefault="00947B08" w14:paraId="4A08E0E2" w14:textId="3174F08D">
      <w:pPr>
        <w:pStyle w:val="Standard"/>
      </w:pPr>
      <w:r>
        <w:rPr>
          <w:rFonts w:cs="Book Antiqua"/>
          <w:color w:val="000000"/>
          <w:szCs w:val="26"/>
        </w:rPr>
        <w:t xml:space="preserve">CAISO, Calpine, MRP, PG&amp;E, and WPTF object to a reasonableness check to adjust RA requirements based on resource availability, stating that this issue </w:t>
      </w:r>
      <w:r>
        <w:rPr>
          <w:rFonts w:cs="Book Antiqua"/>
          <w:color w:val="000000"/>
          <w:szCs w:val="26"/>
        </w:rPr>
        <w:lastRenderedPageBreak/>
        <w:t>should be deferred until after implementation or the test year.</w:t>
      </w:r>
      <w:r>
        <w:rPr>
          <w:rStyle w:val="FootnoteReference"/>
          <w:rFonts w:cs="Book Antiqua"/>
          <w:color w:val="000000"/>
          <w:szCs w:val="26"/>
        </w:rPr>
        <w:footnoteReference w:id="146"/>
      </w:r>
      <w:r>
        <w:rPr>
          <w:rFonts w:cs="Book Antiqua"/>
          <w:color w:val="000000"/>
          <w:szCs w:val="26"/>
        </w:rPr>
        <w:t xml:space="preserve">  These parties generally observe that it is unclear whether fewer resources will result from the SOD framework or from a properly calibrated PRM.  WPTF points out that several thousand MWs of capacity are expected to come online in time for summer</w:t>
      </w:r>
      <w:r w:rsidR="00152336">
        <w:rPr>
          <w:rFonts w:cs="Book Antiqua"/>
          <w:color w:val="000000"/>
          <w:szCs w:val="26"/>
        </w:rPr>
        <w:t> </w:t>
      </w:r>
      <w:r>
        <w:rPr>
          <w:rFonts w:cs="Book Antiqua"/>
          <w:color w:val="000000"/>
          <w:szCs w:val="26"/>
        </w:rPr>
        <w:t>2025.</w:t>
      </w:r>
      <w:r w:rsidRPr="00277BE6">
        <w:rPr>
          <w:rFonts w:cs="Book Antiqua"/>
          <w:color w:val="000000"/>
          <w:szCs w:val="26"/>
        </w:rPr>
        <w:t xml:space="preserve"> </w:t>
      </w:r>
      <w:r>
        <w:rPr>
          <w:rFonts w:cs="Book Antiqua"/>
          <w:color w:val="000000"/>
          <w:szCs w:val="26"/>
        </w:rPr>
        <w:t xml:space="preserve"> Calpine contends that RA requirements are based on assumptions about resource availability, particularly imports that may not reflect commercial reality.  </w:t>
      </w:r>
      <w:proofErr w:type="spellStart"/>
      <w:r>
        <w:rPr>
          <w:rFonts w:cs="Book Antiqua"/>
          <w:color w:val="000000"/>
          <w:szCs w:val="26"/>
        </w:rPr>
        <w:t>AReM</w:t>
      </w:r>
      <w:proofErr w:type="spellEnd"/>
      <w:r>
        <w:rPr>
          <w:rFonts w:cs="Book Antiqua"/>
          <w:color w:val="000000"/>
          <w:szCs w:val="26"/>
        </w:rPr>
        <w:t xml:space="preserve"> and NRDC support allowing Energy Division to adjust RA requirements to reflect actual availability of resources.</w:t>
      </w:r>
      <w:r>
        <w:rPr>
          <w:rStyle w:val="FootnoteReference"/>
          <w:rFonts w:cs="Book Antiqua"/>
          <w:color w:val="000000"/>
          <w:szCs w:val="26"/>
        </w:rPr>
        <w:footnoteReference w:id="147"/>
      </w:r>
    </w:p>
    <w:p w:rsidR="0022688B" w:rsidP="0022688B" w:rsidRDefault="00947B08" w14:paraId="1AE3A5E7" w14:textId="1CE357D4">
      <w:pPr>
        <w:pStyle w:val="Heading3"/>
      </w:pPr>
      <w:bookmarkStart w:name="_Toc131762403" w:id="57"/>
      <w:r>
        <w:t>Discussion</w:t>
      </w:r>
      <w:bookmarkEnd w:id="57"/>
    </w:p>
    <w:p w:rsidR="00947B08" w:rsidP="00947B08" w:rsidRDefault="00947B08" w14:paraId="59C65C11" w14:textId="43268FF3">
      <w:pPr>
        <w:pStyle w:val="Standard"/>
      </w:pPr>
      <w:r>
        <w:t xml:space="preserve">Some parties support applying multiple PRMs to the SOD framework, depending on the month or season.  There is insufficient record to adopt such proposals </w:t>
      </w:r>
      <w:proofErr w:type="gramStart"/>
      <w:r>
        <w:t>at this time</w:t>
      </w:r>
      <w:proofErr w:type="gramEnd"/>
      <w:r>
        <w:t>.  As determined in D.22</w:t>
      </w:r>
      <w:r w:rsidR="00152336">
        <w:noBreakHyphen/>
      </w:r>
      <w:r>
        <w:t>06</w:t>
      </w:r>
      <w:r w:rsidR="00152336">
        <w:noBreakHyphen/>
      </w:r>
      <w:r>
        <w:t>050, for initial implementation of the SOD framework, a single PRM shall apply to all hours of the year.  As established in the Amended Scoping</w:t>
      </w:r>
      <w:r w:rsidR="00152336">
        <w:t> </w:t>
      </w:r>
      <w:r>
        <w:t>Memo, Phase</w:t>
      </w:r>
      <w:r w:rsidR="00152336">
        <w:t> </w:t>
      </w:r>
      <w:r>
        <w:t>3 of the Implementation Track will consider modifications to the PRM for 2024 and beyond.</w:t>
      </w:r>
      <w:r>
        <w:rPr>
          <w:rStyle w:val="FootnoteReference"/>
        </w:rPr>
        <w:footnoteReference w:id="148"/>
      </w:r>
      <w:r>
        <w:t xml:space="preserve">  The Commission may </w:t>
      </w:r>
      <w:r w:rsidR="00F9384B">
        <w:t xml:space="preserve">also </w:t>
      </w:r>
      <w:r>
        <w:t xml:space="preserve">consider whether multiple PRMs are appropriate for the SOD framework in a future phase of this proceeding.  </w:t>
      </w:r>
    </w:p>
    <w:p w:rsidR="00947B08" w:rsidP="00947B08" w:rsidRDefault="00947B08" w14:paraId="29C6CD5F" w14:textId="6406E768">
      <w:pPr>
        <w:pStyle w:val="Standard"/>
      </w:pPr>
      <w:r>
        <w:t xml:space="preserve">The Commission finds that NRDC’s calibration tool is </w:t>
      </w:r>
      <w:r w:rsidR="007467A2">
        <w:t xml:space="preserve">an </w:t>
      </w:r>
      <w:r>
        <w:t xml:space="preserve">appropriate </w:t>
      </w:r>
      <w:r w:rsidR="007467A2">
        <w:t xml:space="preserve">tool </w:t>
      </w:r>
      <w:r>
        <w:t xml:space="preserve">to convert the results of the LOLE study to the SOD framework.  </w:t>
      </w:r>
      <w:r w:rsidR="00F9384B">
        <w:t xml:space="preserve">The NRDC tool can be used to calibrate LOLE results to a SOD PRM while ensuring that the PRM meets instantaneous and cumulative storage output constraints and energy sufficiency in all hours.  </w:t>
      </w:r>
      <w:r>
        <w:t xml:space="preserve">However, </w:t>
      </w:r>
      <w:r w:rsidR="007467A2">
        <w:t xml:space="preserve">we also find that </w:t>
      </w:r>
      <w:r>
        <w:t xml:space="preserve">SCE’s calibration tool offers </w:t>
      </w:r>
      <w:r>
        <w:lastRenderedPageBreak/>
        <w:t xml:space="preserve">more granularity and precision </w:t>
      </w:r>
      <w:r w:rsidR="00F9384B">
        <w:t>by</w:t>
      </w:r>
      <w:r>
        <w:t xml:space="preserve"> incorporat</w:t>
      </w:r>
      <w:r w:rsidR="00F9384B">
        <w:t>ing</w:t>
      </w:r>
      <w:r>
        <w:t xml:space="preserve"> specific limitations of individual resources.  </w:t>
      </w:r>
      <w:r w:rsidR="007467A2">
        <w:t>To provide flexibility in developing the calibration tools for the initial implementation of the SOD framework, w</w:t>
      </w:r>
      <w:r>
        <w:t>e find it reasonable to</w:t>
      </w:r>
      <w:r w:rsidR="0043081D">
        <w:t xml:space="preserve"> authorize</w:t>
      </w:r>
      <w:r>
        <w:t xml:space="preserve"> </w:t>
      </w:r>
      <w:r w:rsidR="0043081D">
        <w:t xml:space="preserve">Energy Division to </w:t>
      </w:r>
      <w:r w:rsidR="009D464F">
        <w:t>integrate</w:t>
      </w:r>
      <w:r w:rsidR="0043081D">
        <w:t xml:space="preserve"> both </w:t>
      </w:r>
      <w:r>
        <w:t xml:space="preserve">NRDC’s </w:t>
      </w:r>
      <w:r w:rsidR="0043081D">
        <w:t xml:space="preserve">and SCE’s </w:t>
      </w:r>
      <w:r>
        <w:t>calibration tool</w:t>
      </w:r>
      <w:r w:rsidR="0043081D">
        <w:t xml:space="preserve">s, to the extent </w:t>
      </w:r>
      <w:proofErr w:type="gramStart"/>
      <w:r w:rsidR="0043081D">
        <w:t>possible</w:t>
      </w:r>
      <w:r>
        <w:t xml:space="preserve"> .</w:t>
      </w:r>
      <w:proofErr w:type="gramEnd"/>
      <w:r>
        <w:t xml:space="preserve">  Once Energy</w:t>
      </w:r>
      <w:r w:rsidR="00152336">
        <w:t> </w:t>
      </w:r>
      <w:r>
        <w:t xml:space="preserve">Division has modified </w:t>
      </w:r>
      <w:r w:rsidR="0043081D">
        <w:t xml:space="preserve">the </w:t>
      </w:r>
      <w:r>
        <w:t>calibration tool, Energy</w:t>
      </w:r>
      <w:r w:rsidR="00152336">
        <w:t> </w:t>
      </w:r>
      <w:r>
        <w:t>Division is directed to publish the draft calibration tool on the Commission’s</w:t>
      </w:r>
      <w:r w:rsidR="00152336">
        <w:t> </w:t>
      </w:r>
      <w:r>
        <w:t xml:space="preserve">website and solicit </w:t>
      </w:r>
      <w:r w:rsidR="00F9384B">
        <w:t xml:space="preserve">informal </w:t>
      </w:r>
      <w:r>
        <w:t>party comments.</w:t>
      </w:r>
    </w:p>
    <w:p w:rsidRPr="00240525" w:rsidR="00947B08" w:rsidP="00947B08" w:rsidRDefault="00947B08" w14:paraId="4AC17D25" w14:textId="69BF3FD4">
      <w:pPr>
        <w:pStyle w:val="Standard"/>
      </w:pPr>
      <w:r>
        <w:t>The Commission declines to adopt EB</w:t>
      </w:r>
      <w:r w:rsidR="00F9384B">
        <w:t>C</w:t>
      </w:r>
      <w:r>
        <w:t xml:space="preserve">E’s </w:t>
      </w:r>
      <w:r w:rsidR="009129AD">
        <w:t>or</w:t>
      </w:r>
      <w:r w:rsidR="00F9384B">
        <w:t xml:space="preserve"> NRDC’s </w:t>
      </w:r>
      <w:r>
        <w:t>feasibility adjustment</w:t>
      </w:r>
      <w:r w:rsidR="00F9384B">
        <w:t xml:space="preserve"> proposals</w:t>
      </w:r>
      <w:r>
        <w:t xml:space="preserve">.  We agree with parties that this is unnecessary at this time </w:t>
      </w:r>
      <w:r w:rsidR="00F9384B">
        <w:t xml:space="preserve">and </w:t>
      </w:r>
      <w:r>
        <w:t>note that a proposed effective PRM, which would address similar concerns, is being considered in the Implementation Track.</w:t>
      </w:r>
    </w:p>
    <w:p w:rsidR="00947B08" w:rsidP="00947B08" w:rsidRDefault="00947B08" w14:paraId="016A578F" w14:textId="0323F5A3">
      <w:pPr>
        <w:pStyle w:val="Heading2"/>
      </w:pPr>
      <w:bookmarkStart w:name="_Toc131762404" w:id="58"/>
      <w:r w:rsidRPr="00947B08">
        <w:t>Maximum Cumulative Capacity Buckets</w:t>
      </w:r>
      <w:bookmarkEnd w:id="58"/>
    </w:p>
    <w:p w:rsidR="00947B08" w:rsidP="00947B08" w:rsidRDefault="00947B08" w14:paraId="4B938346" w14:textId="2697D59D">
      <w:pPr>
        <w:rPr>
          <w:rFonts w:eastAsia="Times New Roman"/>
        </w:rPr>
      </w:pPr>
      <w:r>
        <w:rPr>
          <w:rFonts w:eastAsia="Times New Roman"/>
        </w:rPr>
        <w:t>In D.22</w:t>
      </w:r>
      <w:r w:rsidR="00152336">
        <w:rPr>
          <w:rFonts w:eastAsia="Times New Roman"/>
        </w:rPr>
        <w:noBreakHyphen/>
      </w:r>
      <w:r>
        <w:rPr>
          <w:rFonts w:eastAsia="Times New Roman"/>
        </w:rPr>
        <w:t>06</w:t>
      </w:r>
      <w:r w:rsidR="00152336">
        <w:rPr>
          <w:rFonts w:eastAsia="Times New Roman"/>
        </w:rPr>
        <w:noBreakHyphen/>
      </w:r>
      <w:r>
        <w:rPr>
          <w:rFonts w:eastAsia="Times New Roman"/>
        </w:rPr>
        <w:t>055, the Commission stated that “[f]</w:t>
      </w:r>
      <w:proofErr w:type="spellStart"/>
      <w:r>
        <w:rPr>
          <w:rFonts w:eastAsia="Times New Roman"/>
        </w:rPr>
        <w:t>ull</w:t>
      </w:r>
      <w:proofErr w:type="spellEnd"/>
      <w:r>
        <w:rPr>
          <w:rFonts w:eastAsia="Times New Roman"/>
        </w:rPr>
        <w:t xml:space="preserve"> </w:t>
      </w:r>
      <w:r w:rsidRPr="007C5AEE">
        <w:rPr>
          <w:rFonts w:eastAsia="Times New Roman"/>
        </w:rPr>
        <w:t xml:space="preserve">removal of the MCC buckets would eliminate the monthly availability requirements specified in the bucket structure.  </w:t>
      </w:r>
      <w:r w:rsidRPr="002D2608">
        <w:rPr>
          <w:rFonts w:eastAsiaTheme="majorEastAsia"/>
        </w:rPr>
        <w:t xml:space="preserve">The Commission is concerned that removal of the MCC bucket structure </w:t>
      </w:r>
      <w:r>
        <w:rPr>
          <w:rFonts w:eastAsiaTheme="majorEastAsia"/>
        </w:rPr>
        <w:t xml:space="preserve">without careful consideration </w:t>
      </w:r>
      <w:r w:rsidRPr="007C5AEE">
        <w:rPr>
          <w:rFonts w:eastAsia="Times New Roman"/>
        </w:rPr>
        <w:t>may result in unintended consequences</w:t>
      </w:r>
      <w:r>
        <w:rPr>
          <w:rFonts w:eastAsia="Times New Roman"/>
        </w:rPr>
        <w:t>.”</w:t>
      </w:r>
      <w:r>
        <w:rPr>
          <w:rStyle w:val="FootnoteReference"/>
          <w:rFonts w:eastAsia="Times New Roman"/>
        </w:rPr>
        <w:footnoteReference w:id="149"/>
      </w:r>
      <w:r>
        <w:rPr>
          <w:rFonts w:eastAsia="Times New Roman"/>
        </w:rPr>
        <w:t xml:space="preserve">  The Commission noted that, for example, this would mean that “</w:t>
      </w:r>
      <w:r w:rsidRPr="007C5AEE">
        <w:rPr>
          <w:rFonts w:eastAsia="Times New Roman"/>
        </w:rPr>
        <w:t>DR resources would no longer be required to be available Monday</w:t>
      </w:r>
      <w:r w:rsidR="00152336">
        <w:rPr>
          <w:rFonts w:eastAsia="Times New Roman"/>
        </w:rPr>
        <w:noBreakHyphen/>
      </w:r>
      <w:r w:rsidRPr="007C5AEE">
        <w:rPr>
          <w:rFonts w:eastAsia="Times New Roman"/>
        </w:rPr>
        <w:t>Saturday, for four</w:t>
      </w:r>
      <w:r>
        <w:rPr>
          <w:rFonts w:eastAsia="Times New Roman"/>
        </w:rPr>
        <w:t> </w:t>
      </w:r>
      <w:r w:rsidRPr="007C5AEE">
        <w:rPr>
          <w:rFonts w:eastAsia="Times New Roman"/>
        </w:rPr>
        <w:t>consecutive</w:t>
      </w:r>
      <w:r w:rsidR="00152336">
        <w:rPr>
          <w:rFonts w:eastAsia="Times New Roman"/>
        </w:rPr>
        <w:t> </w:t>
      </w:r>
      <w:r w:rsidRPr="007C5AEE">
        <w:rPr>
          <w:rFonts w:eastAsia="Times New Roman"/>
        </w:rPr>
        <w:t>hours between 4</w:t>
      </w:r>
      <w:r>
        <w:rPr>
          <w:rFonts w:eastAsia="Times New Roman"/>
        </w:rPr>
        <w:t>:00</w:t>
      </w:r>
      <w:r w:rsidRPr="007C5AEE">
        <w:rPr>
          <w:rFonts w:eastAsia="Times New Roman"/>
        </w:rPr>
        <w:t xml:space="preserve"> and 9</w:t>
      </w:r>
      <w:r>
        <w:rPr>
          <w:rFonts w:eastAsia="Times New Roman"/>
        </w:rPr>
        <w:t>:00</w:t>
      </w:r>
      <w:r w:rsidR="00A13BF1">
        <w:t> p.m</w:t>
      </w:r>
      <w:r w:rsidRPr="00FD7F5B" w:rsidR="00A13BF1">
        <w:t>.</w:t>
      </w:r>
      <w:r w:rsidRPr="007C5AEE">
        <w:rPr>
          <w:rFonts w:eastAsia="Times New Roman"/>
        </w:rPr>
        <w:t>, and at</w:t>
      </w:r>
      <w:r w:rsidR="00A13BF1">
        <w:rPr>
          <w:rFonts w:eastAsia="Times New Roman"/>
        </w:rPr>
        <w:t> </w:t>
      </w:r>
      <w:r w:rsidRPr="007C5AEE">
        <w:rPr>
          <w:rFonts w:eastAsia="Times New Roman"/>
        </w:rPr>
        <w:t>least 24</w:t>
      </w:r>
      <w:r w:rsidR="00A13BF1">
        <w:rPr>
          <w:rFonts w:eastAsia="Times New Roman"/>
        </w:rPr>
        <w:t> </w:t>
      </w:r>
      <w:r w:rsidRPr="007C5AEE">
        <w:rPr>
          <w:rFonts w:eastAsia="Times New Roman"/>
        </w:rPr>
        <w:t>hours per</w:t>
      </w:r>
      <w:r w:rsidR="00A13BF1">
        <w:rPr>
          <w:rFonts w:eastAsia="Times New Roman"/>
        </w:rPr>
        <w:t> </w:t>
      </w:r>
      <w:r w:rsidRPr="007C5AEE">
        <w:rPr>
          <w:rFonts w:eastAsia="Times New Roman"/>
        </w:rPr>
        <w:t>month from May</w:t>
      </w:r>
      <w:r w:rsidR="00A13BF1">
        <w:rPr>
          <w:rFonts w:eastAsia="Times New Roman"/>
        </w:rPr>
        <w:noBreakHyphen/>
      </w:r>
      <w:r w:rsidRPr="007C5AEE">
        <w:rPr>
          <w:rFonts w:eastAsia="Times New Roman"/>
        </w:rPr>
        <w:t>September.</w:t>
      </w:r>
      <w:r>
        <w:rPr>
          <w:rFonts w:eastAsia="Times New Roman"/>
        </w:rPr>
        <w:t>”</w:t>
      </w:r>
      <w:r>
        <w:rPr>
          <w:rStyle w:val="FootnoteReference"/>
          <w:rFonts w:eastAsia="Times New Roman"/>
        </w:rPr>
        <w:footnoteReference w:id="150"/>
      </w:r>
      <w:r w:rsidRPr="007C5AEE">
        <w:rPr>
          <w:rFonts w:eastAsia="Times New Roman"/>
        </w:rPr>
        <w:t xml:space="preserve">  </w:t>
      </w:r>
      <w:r>
        <w:rPr>
          <w:rFonts w:eastAsia="Times New Roman"/>
        </w:rPr>
        <w:t xml:space="preserve">For this reason, the Commission stated that before </w:t>
      </w:r>
      <w:r w:rsidRPr="007C5AEE">
        <w:rPr>
          <w:rFonts w:eastAsia="Times New Roman"/>
        </w:rPr>
        <w:t>eliminating the MCC buckets</w:t>
      </w:r>
      <w:r>
        <w:rPr>
          <w:rFonts w:eastAsia="Times New Roman"/>
        </w:rPr>
        <w:t>,</w:t>
      </w:r>
      <w:r w:rsidRPr="007C5AEE">
        <w:rPr>
          <w:rFonts w:eastAsia="Times New Roman"/>
        </w:rPr>
        <w:t xml:space="preserve"> </w:t>
      </w:r>
      <w:r>
        <w:rPr>
          <w:rFonts w:eastAsia="Times New Roman"/>
        </w:rPr>
        <w:t>“i</w:t>
      </w:r>
      <w:r w:rsidRPr="007C5AEE">
        <w:rPr>
          <w:rFonts w:eastAsia="Times New Roman"/>
        </w:rPr>
        <w:t>t may be necessary to include some availability requirement for resources with monthly use</w:t>
      </w:r>
      <w:r>
        <w:rPr>
          <w:rFonts w:eastAsia="Times New Roman"/>
        </w:rPr>
        <w:t xml:space="preserve"> </w:t>
      </w:r>
      <w:r w:rsidRPr="007C5AEE">
        <w:rPr>
          <w:rFonts w:eastAsia="Times New Roman"/>
        </w:rPr>
        <w:t>limitations, particularly for demand response and import resources.</w:t>
      </w:r>
      <w:r>
        <w:rPr>
          <w:rFonts w:eastAsia="Times New Roman"/>
        </w:rPr>
        <w:t>”</w:t>
      </w:r>
      <w:r>
        <w:rPr>
          <w:rStyle w:val="FootnoteReference"/>
          <w:rFonts w:eastAsia="Times New Roman"/>
        </w:rPr>
        <w:footnoteReference w:id="151"/>
      </w:r>
      <w:r w:rsidRPr="007C5AEE">
        <w:rPr>
          <w:rFonts w:eastAsia="Times New Roman"/>
        </w:rPr>
        <w:t xml:space="preserve">  </w:t>
      </w:r>
    </w:p>
    <w:p w:rsidR="00947B08" w:rsidP="00947B08" w:rsidRDefault="00947B08" w14:paraId="751FF862" w14:textId="5500CF07">
      <w:pPr>
        <w:pStyle w:val="Standard"/>
      </w:pPr>
      <w:r>
        <w:lastRenderedPageBreak/>
        <w:t>Because DR resources are fundamentally use-limited, Energy</w:t>
      </w:r>
      <w:r w:rsidR="00A13BF1">
        <w:t> </w:t>
      </w:r>
      <w:r>
        <w:t>Division maintains that the amount of DR that can be used to meet RA requirements should continue to be capped.</w:t>
      </w:r>
      <w:r>
        <w:rPr>
          <w:rStyle w:val="FootnoteReference"/>
        </w:rPr>
        <w:footnoteReference w:id="152"/>
      </w:r>
      <w:r>
        <w:t xml:space="preserve">  Energy Division states that the current MCC bucket threshold for DR is based on the difference between the peak load hour and the 25</w:t>
      </w:r>
      <w:r w:rsidR="00F9384B">
        <w:t>th</w:t>
      </w:r>
      <w:r w:rsidR="00A13BF1">
        <w:t> </w:t>
      </w:r>
      <w:r>
        <w:t>highest load hour of the average summer month.  Energy</w:t>
      </w:r>
      <w:r w:rsidR="00A13BF1">
        <w:t> </w:t>
      </w:r>
      <w:r>
        <w:t>Division suggests adjusting the methodology by restricting counting to the AAHs to determine peak load hour and 25</w:t>
      </w:r>
      <w:r w:rsidR="00F9384B">
        <w:t>th</w:t>
      </w:r>
      <w:r w:rsidR="00A13BF1">
        <w:rPr>
          <w:vertAlign w:val="superscript"/>
        </w:rPr>
        <w:t> </w:t>
      </w:r>
      <w:r>
        <w:t>highest load hour.  This assumes that DR should be available at least 24</w:t>
      </w:r>
      <w:r w:rsidR="00A13BF1">
        <w:t> </w:t>
      </w:r>
      <w:r>
        <w:t>hours per</w:t>
      </w:r>
      <w:r w:rsidR="00A13BF1">
        <w:t> </w:t>
      </w:r>
      <w:r>
        <w:t>month, should serve load during peak hours, is generally dispatched during high-priced hours, and should be available during the AAHs.  Energy</w:t>
      </w:r>
      <w:r w:rsidR="00A13BF1">
        <w:t> </w:t>
      </w:r>
      <w:r>
        <w:t xml:space="preserve">Division’s methodology is as follows: </w:t>
      </w:r>
    </w:p>
    <w:p w:rsidR="00947B08" w:rsidP="00A13BF1" w:rsidRDefault="00947B08" w14:paraId="6688AD47" w14:textId="5B93D328">
      <w:pPr>
        <w:pStyle w:val="Standard"/>
        <w:numPr>
          <w:ilvl w:val="0"/>
          <w:numId w:val="26"/>
        </w:numPr>
        <w:spacing w:after="120" w:line="240" w:lineRule="auto"/>
        <w:ind w:left="1080" w:right="1440" w:hanging="360"/>
      </w:pPr>
      <w:r>
        <w:t>Calculate hourly load profiles for last three years (gross or net</w:t>
      </w:r>
      <w:proofErr w:type="gramStart"/>
      <w:r>
        <w:t>)</w:t>
      </w:r>
      <w:r w:rsidR="00A13BF1">
        <w:t>;</w:t>
      </w:r>
      <w:proofErr w:type="gramEnd"/>
    </w:p>
    <w:p w:rsidR="00947B08" w:rsidP="00A13BF1" w:rsidRDefault="00947B08" w14:paraId="246C695E" w14:textId="51189194">
      <w:pPr>
        <w:pStyle w:val="Standard"/>
        <w:numPr>
          <w:ilvl w:val="0"/>
          <w:numId w:val="26"/>
        </w:numPr>
        <w:spacing w:after="120" w:line="240" w:lineRule="auto"/>
        <w:ind w:left="1080" w:right="1440" w:hanging="360"/>
      </w:pPr>
      <w:r>
        <w:t>For each year</w:t>
      </w:r>
      <w:proofErr w:type="gramStart"/>
      <w:r>
        <w:t xml:space="preserve">: </w:t>
      </w:r>
      <w:r w:rsidR="00A13BF1">
        <w:t xml:space="preserve"> </w:t>
      </w:r>
      <w:r>
        <w:t>(</w:t>
      </w:r>
      <w:proofErr w:type="gramEnd"/>
      <w:r>
        <w:t>a)</w:t>
      </w:r>
      <w:r w:rsidR="00A13BF1">
        <w:t> </w:t>
      </w:r>
      <w:r>
        <w:t>rank the hours from highest to lowest load for every Hour Ending (HE) in each month, and (b)</w:t>
      </w:r>
      <w:r w:rsidR="00A13BF1">
        <w:t> </w:t>
      </w:r>
      <w:r>
        <w:t>calculate the “average summer month” with hours ranked by HE</w:t>
      </w:r>
      <w:r w:rsidR="00A13BF1">
        <w:t>;</w:t>
      </w:r>
    </w:p>
    <w:p w:rsidR="00947B08" w:rsidP="00A13BF1" w:rsidRDefault="00947B08" w14:paraId="6E12F630" w14:textId="3695C8C3">
      <w:pPr>
        <w:pStyle w:val="Standard"/>
        <w:numPr>
          <w:ilvl w:val="0"/>
          <w:numId w:val="26"/>
        </w:numPr>
        <w:spacing w:after="120" w:line="240" w:lineRule="auto"/>
        <w:ind w:left="1080" w:right="1440" w:hanging="360"/>
      </w:pPr>
      <w:r>
        <w:t>Calculate the “average summer month” for the last three</w:t>
      </w:r>
      <w:r w:rsidR="00A13BF1">
        <w:t> </w:t>
      </w:r>
      <w:r>
        <w:t xml:space="preserve">years with hours ranked by </w:t>
      </w:r>
      <w:proofErr w:type="gramStart"/>
      <w:r>
        <w:t>HE</w:t>
      </w:r>
      <w:r w:rsidR="00A13BF1">
        <w:t>;</w:t>
      </w:r>
      <w:proofErr w:type="gramEnd"/>
    </w:p>
    <w:p w:rsidR="00947B08" w:rsidP="00A13BF1" w:rsidRDefault="00947B08" w14:paraId="687B94BC" w14:textId="2B43AD32">
      <w:pPr>
        <w:pStyle w:val="Standard"/>
        <w:numPr>
          <w:ilvl w:val="0"/>
          <w:numId w:val="26"/>
        </w:numPr>
        <w:spacing w:after="120" w:line="240" w:lineRule="auto"/>
        <w:ind w:left="1080" w:right="1440" w:hanging="360"/>
      </w:pPr>
      <w:r>
        <w:t>Find the peak (1</w:t>
      </w:r>
      <w:r w:rsidRPr="00BF221C">
        <w:rPr>
          <w:vertAlign w:val="superscript"/>
        </w:rPr>
        <w:t>st</w:t>
      </w:r>
      <w:r>
        <w:t xml:space="preserve"> highest load) within the AAHs for the average summer month (L</w:t>
      </w:r>
      <w:r w:rsidRPr="00BF221C">
        <w:rPr>
          <w:vertAlign w:val="subscript"/>
        </w:rPr>
        <w:t>1</w:t>
      </w:r>
      <w:proofErr w:type="gramStart"/>
      <w:r>
        <w:t>)</w:t>
      </w:r>
      <w:r w:rsidR="00A13BF1">
        <w:t>;</w:t>
      </w:r>
      <w:proofErr w:type="gramEnd"/>
    </w:p>
    <w:p w:rsidR="00947B08" w:rsidP="00A13BF1" w:rsidRDefault="00947B08" w14:paraId="6805CF87" w14:textId="2052683F">
      <w:pPr>
        <w:pStyle w:val="Standard"/>
        <w:numPr>
          <w:ilvl w:val="0"/>
          <w:numId w:val="26"/>
        </w:numPr>
        <w:spacing w:after="120" w:line="240" w:lineRule="auto"/>
        <w:ind w:left="1080" w:right="1440" w:hanging="360"/>
      </w:pPr>
      <w:r>
        <w:t>Find the 25</w:t>
      </w:r>
      <w:r w:rsidRPr="00BF221C">
        <w:rPr>
          <w:vertAlign w:val="superscript"/>
        </w:rPr>
        <w:t>th</w:t>
      </w:r>
      <w:r w:rsidR="00A13BF1">
        <w:t> </w:t>
      </w:r>
      <w:r>
        <w:t>highest load within the AAHs for the average summer month (L</w:t>
      </w:r>
      <w:r w:rsidRPr="00BF221C">
        <w:rPr>
          <w:vertAlign w:val="subscript"/>
        </w:rPr>
        <w:t>25</w:t>
      </w:r>
      <w:r>
        <w:t>)</w:t>
      </w:r>
      <w:r w:rsidR="00A13BF1">
        <w:t>; and</w:t>
      </w:r>
    </w:p>
    <w:p w:rsidRPr="00834E73" w:rsidR="00947B08" w:rsidP="00A13BF1" w:rsidRDefault="00947B08" w14:paraId="41F76913" w14:textId="06EC8770">
      <w:pPr>
        <w:pStyle w:val="Standard"/>
        <w:spacing w:after="120" w:line="240" w:lineRule="auto"/>
        <w:ind w:left="1080" w:right="1440" w:hanging="360"/>
      </w:pPr>
      <w:r>
        <w:t>(6) RA procurement limit for DR = L</w:t>
      </w:r>
      <w:r w:rsidRPr="00BF221C">
        <w:rPr>
          <w:vertAlign w:val="subscript"/>
        </w:rPr>
        <w:t>1</w:t>
      </w:r>
      <w:r>
        <w:t xml:space="preserve"> – L</w:t>
      </w:r>
      <w:r w:rsidRPr="00BF221C">
        <w:rPr>
          <w:vertAlign w:val="subscript"/>
        </w:rPr>
        <w:t>25</w:t>
      </w:r>
      <w:r>
        <w:t xml:space="preserve"> / L</w:t>
      </w:r>
      <w:r w:rsidRPr="00BF221C">
        <w:rPr>
          <w:vertAlign w:val="subscript"/>
        </w:rPr>
        <w:t>1</w:t>
      </w:r>
      <w:r w:rsidR="00A13BF1">
        <w:rPr>
          <w:vertAlign w:val="subscript"/>
        </w:rPr>
        <w:t>.</w:t>
      </w:r>
    </w:p>
    <w:p w:rsidR="00947B08" w:rsidP="00A13BF1" w:rsidRDefault="00947B08" w14:paraId="108514E3" w14:textId="77777777">
      <w:pPr>
        <w:spacing w:after="120"/>
        <w:rPr>
          <w:rFonts w:eastAsia="Times New Roman"/>
        </w:rPr>
      </w:pPr>
      <w:r>
        <w:rPr>
          <w:rFonts w:eastAsia="Times New Roman"/>
        </w:rPr>
        <w:t>The proposed limits are below, with comparison to status quo limits:</w:t>
      </w:r>
    </w:p>
    <w:tbl>
      <w:tblPr>
        <w:tblStyle w:val="TableGrid"/>
        <w:tblW w:w="8545" w:type="dxa"/>
        <w:jc w:val="center"/>
        <w:tblLook w:val="04A0" w:firstRow="1" w:lastRow="0" w:firstColumn="1" w:lastColumn="0" w:noHBand="0" w:noVBand="1"/>
      </w:tblPr>
      <w:tblGrid>
        <w:gridCol w:w="4320"/>
        <w:gridCol w:w="2430"/>
        <w:gridCol w:w="1795"/>
      </w:tblGrid>
      <w:tr w:rsidRPr="00A13BF1" w:rsidR="00947B08" w:rsidTr="00A13BF1" w14:paraId="74B331BD" w14:textId="77777777">
        <w:trPr>
          <w:jc w:val="center"/>
        </w:trPr>
        <w:tc>
          <w:tcPr>
            <w:tcW w:w="4320" w:type="dxa"/>
            <w:vAlign w:val="center"/>
          </w:tcPr>
          <w:p w:rsidRPr="00A13BF1" w:rsidR="00947B08" w:rsidP="00A13BF1" w:rsidRDefault="00947B08" w14:paraId="5C7EFCD7" w14:textId="77777777">
            <w:pPr>
              <w:keepNext/>
              <w:keepLines/>
              <w:spacing w:line="240" w:lineRule="auto"/>
              <w:ind w:firstLine="0"/>
              <w:jc w:val="center"/>
              <w:rPr>
                <w:rFonts w:eastAsia="Times New Roman"/>
                <w:szCs w:val="26"/>
              </w:rPr>
            </w:pPr>
            <w:r w:rsidRPr="00A13BF1">
              <w:rPr>
                <w:rFonts w:eastAsia="Times New Roman"/>
                <w:szCs w:val="26"/>
              </w:rPr>
              <w:lastRenderedPageBreak/>
              <w:t>Methodology</w:t>
            </w:r>
          </w:p>
        </w:tc>
        <w:tc>
          <w:tcPr>
            <w:tcW w:w="2430" w:type="dxa"/>
            <w:vAlign w:val="center"/>
          </w:tcPr>
          <w:p w:rsidRPr="00A13BF1" w:rsidR="00947B08" w:rsidP="00A13BF1" w:rsidRDefault="00947B08" w14:paraId="0EB69CAD" w14:textId="7D6F68A0">
            <w:pPr>
              <w:keepNext/>
              <w:keepLines/>
              <w:spacing w:line="240" w:lineRule="auto"/>
              <w:ind w:firstLine="0"/>
              <w:jc w:val="center"/>
              <w:rPr>
                <w:rFonts w:eastAsia="Times New Roman"/>
                <w:szCs w:val="26"/>
              </w:rPr>
            </w:pPr>
            <w:r w:rsidRPr="00A13BF1">
              <w:rPr>
                <w:rFonts w:eastAsia="Times New Roman"/>
                <w:szCs w:val="26"/>
              </w:rPr>
              <w:t xml:space="preserve">DR </w:t>
            </w:r>
            <w:r w:rsidR="00A13BF1">
              <w:rPr>
                <w:rFonts w:eastAsia="Times New Roman"/>
                <w:szCs w:val="26"/>
              </w:rPr>
              <w:br/>
            </w:r>
            <w:r w:rsidRPr="00A13BF1">
              <w:rPr>
                <w:rFonts w:eastAsia="Times New Roman"/>
                <w:szCs w:val="26"/>
              </w:rPr>
              <w:t>Procurement Limit</w:t>
            </w:r>
          </w:p>
        </w:tc>
        <w:tc>
          <w:tcPr>
            <w:tcW w:w="1795" w:type="dxa"/>
            <w:vAlign w:val="center"/>
          </w:tcPr>
          <w:p w:rsidRPr="00A13BF1" w:rsidR="00947B08" w:rsidP="00A13BF1" w:rsidRDefault="00947B08" w14:paraId="0EA540CA" w14:textId="77777777">
            <w:pPr>
              <w:keepNext/>
              <w:keepLines/>
              <w:spacing w:line="240" w:lineRule="auto"/>
              <w:ind w:firstLine="0"/>
              <w:jc w:val="center"/>
              <w:rPr>
                <w:rFonts w:eastAsia="Times New Roman"/>
                <w:szCs w:val="26"/>
              </w:rPr>
            </w:pPr>
            <w:r w:rsidRPr="00A13BF1">
              <w:rPr>
                <w:rFonts w:eastAsia="Times New Roman"/>
                <w:szCs w:val="26"/>
              </w:rPr>
              <w:t>Increase from Status Quo</w:t>
            </w:r>
          </w:p>
        </w:tc>
      </w:tr>
      <w:tr w:rsidRPr="00A13BF1" w:rsidR="00947B08" w:rsidTr="00A13BF1" w14:paraId="249CBC25" w14:textId="77777777">
        <w:trPr>
          <w:jc w:val="center"/>
        </w:trPr>
        <w:tc>
          <w:tcPr>
            <w:tcW w:w="4320" w:type="dxa"/>
            <w:vAlign w:val="center"/>
          </w:tcPr>
          <w:p w:rsidRPr="00A13BF1" w:rsidR="00947B08" w:rsidP="00A13BF1" w:rsidRDefault="00947B08" w14:paraId="19880DE2" w14:textId="77777777">
            <w:pPr>
              <w:keepNext/>
              <w:keepLines/>
              <w:spacing w:line="240" w:lineRule="auto"/>
              <w:ind w:firstLine="0"/>
              <w:rPr>
                <w:rFonts w:eastAsia="Times New Roman"/>
                <w:szCs w:val="26"/>
              </w:rPr>
            </w:pPr>
            <w:r w:rsidRPr="00A13BF1">
              <w:rPr>
                <w:rFonts w:eastAsia="Times New Roman"/>
                <w:szCs w:val="26"/>
              </w:rPr>
              <w:t>Gross load 2019-2021, avg. summer month (status quo)</w:t>
            </w:r>
          </w:p>
        </w:tc>
        <w:tc>
          <w:tcPr>
            <w:tcW w:w="2430" w:type="dxa"/>
            <w:vAlign w:val="center"/>
          </w:tcPr>
          <w:p w:rsidRPr="00A13BF1" w:rsidR="00947B08" w:rsidP="00A13BF1" w:rsidRDefault="00947B08" w14:paraId="13895213" w14:textId="77777777">
            <w:pPr>
              <w:keepNext/>
              <w:keepLines/>
              <w:spacing w:line="240" w:lineRule="auto"/>
              <w:ind w:firstLine="0"/>
              <w:jc w:val="center"/>
              <w:rPr>
                <w:rFonts w:eastAsia="Times New Roman"/>
                <w:szCs w:val="26"/>
              </w:rPr>
            </w:pPr>
            <w:r w:rsidRPr="00A13BF1">
              <w:rPr>
                <w:rFonts w:eastAsia="Times New Roman"/>
                <w:szCs w:val="26"/>
              </w:rPr>
              <w:t>8.5%</w:t>
            </w:r>
          </w:p>
        </w:tc>
        <w:tc>
          <w:tcPr>
            <w:tcW w:w="1795" w:type="dxa"/>
            <w:vAlign w:val="center"/>
          </w:tcPr>
          <w:p w:rsidRPr="00A13BF1" w:rsidR="00947B08" w:rsidP="00A13BF1" w:rsidRDefault="00947B08" w14:paraId="161E5482" w14:textId="77777777">
            <w:pPr>
              <w:keepNext/>
              <w:keepLines/>
              <w:spacing w:line="240" w:lineRule="auto"/>
              <w:ind w:firstLine="0"/>
              <w:jc w:val="center"/>
              <w:rPr>
                <w:rFonts w:eastAsia="Times New Roman"/>
                <w:szCs w:val="26"/>
              </w:rPr>
            </w:pPr>
            <w:r w:rsidRPr="00A13BF1">
              <w:rPr>
                <w:rFonts w:eastAsia="Times New Roman"/>
                <w:szCs w:val="26"/>
              </w:rPr>
              <w:t>N/A</w:t>
            </w:r>
          </w:p>
        </w:tc>
      </w:tr>
      <w:tr w:rsidRPr="00A13BF1" w:rsidR="00947B08" w:rsidTr="00A13BF1" w14:paraId="63D2A024" w14:textId="77777777">
        <w:trPr>
          <w:jc w:val="center"/>
        </w:trPr>
        <w:tc>
          <w:tcPr>
            <w:tcW w:w="4320" w:type="dxa"/>
            <w:vAlign w:val="center"/>
          </w:tcPr>
          <w:p w:rsidRPr="00A13BF1" w:rsidR="00947B08" w:rsidP="00A13BF1" w:rsidRDefault="00947B08" w14:paraId="2BEAA4C5" w14:textId="77777777">
            <w:pPr>
              <w:keepNext/>
              <w:keepLines/>
              <w:spacing w:line="240" w:lineRule="auto"/>
              <w:ind w:firstLine="0"/>
              <w:rPr>
                <w:rFonts w:eastAsia="Times New Roman"/>
                <w:szCs w:val="26"/>
              </w:rPr>
            </w:pPr>
            <w:r w:rsidRPr="00A13BF1">
              <w:rPr>
                <w:rFonts w:eastAsia="Times New Roman"/>
                <w:szCs w:val="26"/>
              </w:rPr>
              <w:t>Gross load 2019-2021, avg. summer month, restricted to AAHs</w:t>
            </w:r>
          </w:p>
        </w:tc>
        <w:tc>
          <w:tcPr>
            <w:tcW w:w="2430" w:type="dxa"/>
            <w:vAlign w:val="center"/>
          </w:tcPr>
          <w:p w:rsidRPr="00A13BF1" w:rsidR="00947B08" w:rsidP="00A13BF1" w:rsidRDefault="00947B08" w14:paraId="63BFDE6C" w14:textId="77777777">
            <w:pPr>
              <w:keepNext/>
              <w:keepLines/>
              <w:spacing w:line="240" w:lineRule="auto"/>
              <w:ind w:firstLine="0"/>
              <w:jc w:val="center"/>
              <w:rPr>
                <w:rFonts w:eastAsia="Times New Roman"/>
                <w:szCs w:val="26"/>
              </w:rPr>
            </w:pPr>
            <w:r w:rsidRPr="00A13BF1">
              <w:rPr>
                <w:rFonts w:eastAsia="Times New Roman"/>
                <w:szCs w:val="26"/>
              </w:rPr>
              <w:t>9.9%</w:t>
            </w:r>
          </w:p>
        </w:tc>
        <w:tc>
          <w:tcPr>
            <w:tcW w:w="1795" w:type="dxa"/>
            <w:vAlign w:val="center"/>
          </w:tcPr>
          <w:p w:rsidRPr="00A13BF1" w:rsidR="00947B08" w:rsidP="00A13BF1" w:rsidRDefault="00947B08" w14:paraId="52C4D2AA" w14:textId="77777777">
            <w:pPr>
              <w:keepNext/>
              <w:keepLines/>
              <w:spacing w:line="240" w:lineRule="auto"/>
              <w:ind w:firstLine="0"/>
              <w:jc w:val="center"/>
              <w:rPr>
                <w:rFonts w:eastAsia="Times New Roman"/>
                <w:szCs w:val="26"/>
              </w:rPr>
            </w:pPr>
            <w:r w:rsidRPr="00A13BF1">
              <w:rPr>
                <w:rFonts w:eastAsia="Times New Roman"/>
                <w:szCs w:val="26"/>
              </w:rPr>
              <w:t>+1.4%</w:t>
            </w:r>
          </w:p>
        </w:tc>
      </w:tr>
      <w:tr w:rsidRPr="00A13BF1" w:rsidR="00947B08" w:rsidTr="00A13BF1" w14:paraId="15AC224E" w14:textId="77777777">
        <w:trPr>
          <w:jc w:val="center"/>
        </w:trPr>
        <w:tc>
          <w:tcPr>
            <w:tcW w:w="4320" w:type="dxa"/>
            <w:vAlign w:val="center"/>
          </w:tcPr>
          <w:p w:rsidRPr="00A13BF1" w:rsidR="00947B08" w:rsidP="00A13BF1" w:rsidRDefault="00947B08" w14:paraId="225683DC" w14:textId="77777777">
            <w:pPr>
              <w:spacing w:line="240" w:lineRule="auto"/>
              <w:ind w:firstLine="0"/>
              <w:rPr>
                <w:rFonts w:eastAsia="Times New Roman"/>
                <w:szCs w:val="26"/>
              </w:rPr>
            </w:pPr>
            <w:r w:rsidRPr="00A13BF1">
              <w:rPr>
                <w:rFonts w:eastAsia="Times New Roman"/>
                <w:szCs w:val="26"/>
              </w:rPr>
              <w:t>Net load 2019-2021, avg. summer month restricted to AAHs</w:t>
            </w:r>
          </w:p>
        </w:tc>
        <w:tc>
          <w:tcPr>
            <w:tcW w:w="2430" w:type="dxa"/>
            <w:vAlign w:val="center"/>
          </w:tcPr>
          <w:p w:rsidRPr="00A13BF1" w:rsidR="00947B08" w:rsidP="00A13BF1" w:rsidRDefault="00947B08" w14:paraId="6C0D4F48" w14:textId="77777777">
            <w:pPr>
              <w:spacing w:line="240" w:lineRule="auto"/>
              <w:ind w:firstLine="0"/>
              <w:jc w:val="center"/>
              <w:rPr>
                <w:rFonts w:eastAsia="Times New Roman"/>
                <w:szCs w:val="26"/>
              </w:rPr>
            </w:pPr>
            <w:r w:rsidRPr="00A13BF1">
              <w:rPr>
                <w:rFonts w:eastAsia="Times New Roman"/>
                <w:szCs w:val="26"/>
              </w:rPr>
              <w:t>14.4%</w:t>
            </w:r>
          </w:p>
        </w:tc>
        <w:tc>
          <w:tcPr>
            <w:tcW w:w="1795" w:type="dxa"/>
            <w:vAlign w:val="center"/>
          </w:tcPr>
          <w:p w:rsidRPr="00A13BF1" w:rsidR="00947B08" w:rsidP="00A13BF1" w:rsidRDefault="00947B08" w14:paraId="55A77E7B" w14:textId="77777777">
            <w:pPr>
              <w:spacing w:line="240" w:lineRule="auto"/>
              <w:ind w:firstLine="0"/>
              <w:jc w:val="center"/>
              <w:rPr>
                <w:rFonts w:eastAsia="Times New Roman"/>
                <w:szCs w:val="26"/>
              </w:rPr>
            </w:pPr>
            <w:r w:rsidRPr="00A13BF1">
              <w:rPr>
                <w:rFonts w:eastAsia="Times New Roman"/>
                <w:szCs w:val="26"/>
              </w:rPr>
              <w:t>+5.9%</w:t>
            </w:r>
          </w:p>
        </w:tc>
      </w:tr>
    </w:tbl>
    <w:p w:rsidR="00947B08" w:rsidP="00A13BF1" w:rsidRDefault="00947B08" w14:paraId="0D3C1539" w14:textId="64E60693">
      <w:pPr>
        <w:pStyle w:val="Standard"/>
        <w:spacing w:before="360"/>
      </w:pPr>
      <w:r>
        <w:t xml:space="preserve">For imports, </w:t>
      </w:r>
      <w:proofErr w:type="gramStart"/>
      <w:r>
        <w:t>Energy</w:t>
      </w:r>
      <w:proofErr w:type="gramEnd"/>
      <w:r w:rsidR="00A13BF1">
        <w:t> </w:t>
      </w:r>
      <w:r>
        <w:t>Division proposes a requirement to deliver energy for at least four hours during the AAHs from at least Monday through Saturday through the compliance month, consistent with the contract.  This could be self</w:t>
      </w:r>
      <w:r w:rsidR="00A13BF1">
        <w:noBreakHyphen/>
      </w:r>
      <w:r>
        <w:t xml:space="preserve">scheduled or bid between $0 and negative $150 per MWh to align with the requirements </w:t>
      </w:r>
      <w:r w:rsidR="00F9384B">
        <w:t xml:space="preserve">adopted </w:t>
      </w:r>
      <w:r>
        <w:t>in D.20-06-028.</w:t>
      </w:r>
    </w:p>
    <w:p w:rsidR="00947B08" w:rsidP="00947B08" w:rsidRDefault="00947B08" w14:paraId="5506E9BF" w14:textId="5191296D">
      <w:pPr>
        <w:pStyle w:val="Standard"/>
      </w:pPr>
      <w:r>
        <w:t xml:space="preserve">SCE recommends that for the </w:t>
      </w:r>
      <w:r w:rsidR="00F9384B">
        <w:t xml:space="preserve">2024 </w:t>
      </w:r>
      <w:r>
        <w:t>test year, standalone energy storage should count in MCC bucket</w:t>
      </w:r>
      <w:r w:rsidR="00A13BF1">
        <w:t> </w:t>
      </w:r>
      <w:r>
        <w:t>4 if it passes the energy sufficiency test.</w:t>
      </w:r>
      <w:r>
        <w:rPr>
          <w:rStyle w:val="FootnoteReference"/>
        </w:rPr>
        <w:footnoteReference w:id="153"/>
      </w:r>
      <w:r>
        <w:t xml:space="preserve">  SCE reasons that many LSEs are expected to be long on standalone energy storage and </w:t>
      </w:r>
      <w:r w:rsidR="00F9384B">
        <w:t xml:space="preserve">therefore, </w:t>
      </w:r>
      <w:r>
        <w:t>counting storage in bucket</w:t>
      </w:r>
      <w:r w:rsidR="00A13BF1">
        <w:t> </w:t>
      </w:r>
      <w:r>
        <w:t xml:space="preserve">4 is necessary to avoid over-procurement under </w:t>
      </w:r>
      <w:r w:rsidR="00F9384B">
        <w:t xml:space="preserve">the </w:t>
      </w:r>
      <w:r>
        <w:t xml:space="preserve">existing MCC rules.  </w:t>
      </w:r>
    </w:p>
    <w:p w:rsidRPr="00240525" w:rsidR="00947B08" w:rsidP="00947B08" w:rsidRDefault="00947B08" w14:paraId="05422D84" w14:textId="53565C88">
      <w:pPr>
        <w:pStyle w:val="Standard"/>
      </w:pPr>
      <w:r>
        <w:t xml:space="preserve">CESA recommends a minimum requirement for </w:t>
      </w:r>
      <w:r w:rsidR="00F9384B">
        <w:t xml:space="preserve">the </w:t>
      </w:r>
      <w:r>
        <w:t>MCC buckets rather than a maximum, by setting a minimum requirement for assets with availability above four hours to minimize multi-day reliability risks.</w:t>
      </w:r>
      <w:r>
        <w:rPr>
          <w:rStyle w:val="FootnoteReference"/>
        </w:rPr>
        <w:footnoteReference w:id="154"/>
      </w:r>
    </w:p>
    <w:p w:rsidR="00947B08" w:rsidP="00947B08" w:rsidRDefault="00947B08" w14:paraId="1593128F" w14:textId="28A6209B">
      <w:pPr>
        <w:pStyle w:val="Heading3"/>
      </w:pPr>
      <w:bookmarkStart w:name="_Toc127179601" w:id="59"/>
      <w:bookmarkStart w:name="_Toc131762405" w:id="60"/>
      <w:r>
        <w:t>Comments on Proposals</w:t>
      </w:r>
      <w:bookmarkEnd w:id="59"/>
      <w:bookmarkEnd w:id="60"/>
    </w:p>
    <w:p w:rsidR="00947B08" w:rsidP="00947B08" w:rsidRDefault="00947B08" w14:paraId="6DF36E10" w14:textId="4AC987D8">
      <w:pPr>
        <w:pStyle w:val="Standard"/>
      </w:pPr>
      <w:r>
        <w:t xml:space="preserve">Several parties support eliminating the MCC buckets except for the DR bucket, including AES, CEJA/CEERT, CLECA, and PG&amp;E, while </w:t>
      </w:r>
      <w:proofErr w:type="spellStart"/>
      <w:r>
        <w:t>AReM</w:t>
      </w:r>
      <w:proofErr w:type="spellEnd"/>
      <w:r>
        <w:t xml:space="preserve"> and </w:t>
      </w:r>
      <w:r>
        <w:lastRenderedPageBreak/>
        <w:t>Form Energy support eliminating all MCC buckets.</w:t>
      </w:r>
      <w:r>
        <w:rPr>
          <w:rStyle w:val="FootnoteReference"/>
        </w:rPr>
        <w:footnoteReference w:id="155"/>
      </w:r>
      <w:r>
        <w:t xml:space="preserve">  PG&amp;E states that the combination of the MOO, the four-hour availability requirement, and the hourly structure of the SOD framework obviates the need for buckets</w:t>
      </w:r>
      <w:r w:rsidR="00A13BF1">
        <w:t> </w:t>
      </w:r>
      <w:r>
        <w:t>1</w:t>
      </w:r>
      <w:r w:rsidR="00A13BF1">
        <w:noBreakHyphen/>
      </w:r>
      <w:r>
        <w:t>4.  PG&amp;E states that the exception is for imports because the import RA</w:t>
      </w:r>
      <w:r w:rsidR="00A13BF1">
        <w:t> </w:t>
      </w:r>
      <w:r>
        <w:t xml:space="preserve">rules </w:t>
      </w:r>
      <w:r w:rsidR="00F9384B">
        <w:t xml:space="preserve">adopted in D.22-06-028 </w:t>
      </w:r>
      <w:r>
        <w:t xml:space="preserve">provide that the import must be </w:t>
      </w:r>
      <w:r w:rsidR="00F9384B">
        <w:t>“</w:t>
      </w:r>
      <w:r>
        <w:t>consistent with the MCC buckets,</w:t>
      </w:r>
      <w:r w:rsidR="00F9384B">
        <w:t>”</w:t>
      </w:r>
      <w:r>
        <w:t xml:space="preserve"> so the language would need to be updated</w:t>
      </w:r>
      <w:r w:rsidR="00F9384B">
        <w:t xml:space="preserve"> if the MCC buckets are eliminated</w:t>
      </w:r>
      <w:r>
        <w:t>.  PG&amp;E recommends the language from D.20</w:t>
      </w:r>
      <w:r w:rsidR="00A13BF1">
        <w:noBreakHyphen/>
      </w:r>
      <w:r>
        <w:t>06</w:t>
      </w:r>
      <w:r w:rsidR="00A13BF1">
        <w:noBreakHyphen/>
      </w:r>
      <w:r>
        <w:t xml:space="preserve">028 </w:t>
      </w:r>
      <w:r w:rsidR="00F9384B">
        <w:t xml:space="preserve">referring to the MCC buckets </w:t>
      </w:r>
      <w:r>
        <w:t>be replaced with “</w:t>
      </w:r>
      <w:r w:rsidR="00F9384B">
        <w:t xml:space="preserve">every </w:t>
      </w:r>
      <w:r>
        <w:t>Monday</w:t>
      </w:r>
      <w:r w:rsidR="00A13BF1">
        <w:noBreakHyphen/>
      </w:r>
      <w:r>
        <w:t xml:space="preserve">Saturday.”  </w:t>
      </w:r>
      <w:proofErr w:type="spellStart"/>
      <w:r>
        <w:t>AReM</w:t>
      </w:r>
      <w:proofErr w:type="spellEnd"/>
      <w:r>
        <w:t xml:space="preserve"> states that the MCC buckets are burdensome and unnecessary for the SOD framework.  Form Energy opposes the MCC buckets as not </w:t>
      </w:r>
      <w:r w:rsidR="00F9384B">
        <w:t xml:space="preserve">being </w:t>
      </w:r>
      <w:r>
        <w:t>designed to meet emerging, multi-day reliability needs.</w:t>
      </w:r>
    </w:p>
    <w:p w:rsidR="00947B08" w:rsidP="00947B08" w:rsidRDefault="00947B08" w14:paraId="2ED24277" w14:textId="13E28123">
      <w:pPr>
        <w:pStyle w:val="Standard"/>
      </w:pPr>
      <w:r>
        <w:t>CLECA and CEJA/CEERT recommend maintaining the DR bucket for initial implementation and reevaluating in the future.</w:t>
      </w:r>
      <w:r>
        <w:rPr>
          <w:rStyle w:val="FootnoteReference"/>
        </w:rPr>
        <w:footnoteReference w:id="156"/>
      </w:r>
      <w:r>
        <w:t xml:space="preserve">  PG&amp;E recommends that DR should have an hourly cap based on gross load, and should be required to be available 30</w:t>
      </w:r>
      <w:r w:rsidR="008807B8">
        <w:t> </w:t>
      </w:r>
      <w:r>
        <w:t>hours each</w:t>
      </w:r>
      <w:r w:rsidR="008807B8">
        <w:t> </w:t>
      </w:r>
      <w:r>
        <w:t>month based on the capacity bidding program (CBP).</w:t>
      </w:r>
      <w:r>
        <w:rPr>
          <w:rStyle w:val="FootnoteReference"/>
        </w:rPr>
        <w:footnoteReference w:id="157"/>
      </w:r>
      <w:r>
        <w:t xml:space="preserve">  PG&amp;E proposes </w:t>
      </w:r>
      <w:r w:rsidR="00F9384B">
        <w:t xml:space="preserve">that </w:t>
      </w:r>
      <w:r>
        <w:t xml:space="preserve">a DR procurement limit be applied to each slice to ensure reliability procurement, rather than a limit on total MWh across all slices, which could be problematic if an LSE used DR to meet a high portion of its RA requirement in one slice.  CEDMC and </w:t>
      </w:r>
      <w:proofErr w:type="spellStart"/>
      <w:r>
        <w:t>OhmConnect</w:t>
      </w:r>
      <w:proofErr w:type="spellEnd"/>
      <w:r>
        <w:t xml:space="preserve"> oppose PG&amp;E’s 30</w:t>
      </w:r>
      <w:r w:rsidR="008807B8">
        <w:noBreakHyphen/>
      </w:r>
      <w:r>
        <w:t xml:space="preserve">hour proposal, with </w:t>
      </w:r>
      <w:proofErr w:type="spellStart"/>
      <w:r>
        <w:t>OhmConnect</w:t>
      </w:r>
      <w:proofErr w:type="spellEnd"/>
      <w:r>
        <w:t xml:space="preserve"> stating that it would not align with CAISO’s tariff and CEDMC arguing that the proposal is unfounded.</w:t>
      </w:r>
      <w:r>
        <w:rPr>
          <w:rStyle w:val="FootnoteReference"/>
        </w:rPr>
        <w:footnoteReference w:id="158"/>
      </w:r>
    </w:p>
    <w:p w:rsidR="00947B08" w:rsidP="00947B08" w:rsidRDefault="00947B08" w14:paraId="534CA360" w14:textId="306D5392">
      <w:pPr>
        <w:pStyle w:val="Standard"/>
      </w:pPr>
      <w:proofErr w:type="spellStart"/>
      <w:r>
        <w:lastRenderedPageBreak/>
        <w:t>Hydrostor</w:t>
      </w:r>
      <w:proofErr w:type="spellEnd"/>
      <w:r>
        <w:t xml:space="preserve">, MRP, and SCE oppose eliminating the MCC buckets and </w:t>
      </w:r>
      <w:r w:rsidR="00F9384B">
        <w:t xml:space="preserve">assert that </w:t>
      </w:r>
      <w:r>
        <w:t>there is insufficient record developed to do so.</w:t>
      </w:r>
      <w:r>
        <w:rPr>
          <w:rStyle w:val="FootnoteReference"/>
        </w:rPr>
        <w:footnoteReference w:id="159"/>
      </w:r>
      <w:r>
        <w:t xml:space="preserve">  SCE states that there are several classes of RA resources that have non-daily use limits that are not directly accounted for in the SOD framework.  MRP asserts that more discussion is needed on how the SOD framework will account for monthly and annual limitations.</w:t>
      </w:r>
    </w:p>
    <w:p w:rsidR="00947B08" w:rsidP="00947B08" w:rsidRDefault="00947B08" w14:paraId="3E24730A" w14:textId="730A7CB9">
      <w:pPr>
        <w:pStyle w:val="Standard"/>
      </w:pPr>
      <w:proofErr w:type="spellStart"/>
      <w:r>
        <w:t>AReM</w:t>
      </w:r>
      <w:proofErr w:type="spellEnd"/>
      <w:r>
        <w:t>, CESA, and PG&amp;E support SCE’s proposal to count standalone storage in bucket 4 for 2024.</w:t>
      </w:r>
      <w:r>
        <w:rPr>
          <w:rStyle w:val="FootnoteReference"/>
        </w:rPr>
        <w:footnoteReference w:id="160"/>
      </w:r>
      <w:r>
        <w:t xml:space="preserve">  PG&amp;E states that recent IRP procurement orders have resulted in contracts for significant additional storage capacity and thus, many LSEs will exceed the bucket</w:t>
      </w:r>
      <w:r w:rsidR="008807B8">
        <w:t> </w:t>
      </w:r>
      <w:r>
        <w:t>1 cap in 2024.</w:t>
      </w:r>
      <w:r w:rsidR="00F9384B">
        <w:rPr>
          <w:rStyle w:val="FootnoteReference"/>
        </w:rPr>
        <w:footnoteReference w:id="161"/>
      </w:r>
      <w:r>
        <w:t xml:space="preserve">  MRP opposes SCE’s proposal and surmises that once the PRM is appropriately set, revised bucket limits will allow for greater storage in MCC bucket 1.</w:t>
      </w:r>
      <w:r>
        <w:rPr>
          <w:rStyle w:val="FootnoteReference"/>
        </w:rPr>
        <w:footnoteReference w:id="162"/>
      </w:r>
      <w:r>
        <w:t xml:space="preserve">  PG&amp;E disagrees with MRP and states that the MCC buckets have no linkage to the PRM; rather, MCC buckets are based on load shape and are a tool to limit overreliance on resources that might </w:t>
      </w:r>
      <w:r w:rsidR="00F9384B">
        <w:t xml:space="preserve">not </w:t>
      </w:r>
      <w:r>
        <w:t>have sufficient charging capacity.</w:t>
      </w:r>
      <w:r>
        <w:rPr>
          <w:rStyle w:val="FootnoteReference"/>
        </w:rPr>
        <w:footnoteReference w:id="163"/>
      </w:r>
    </w:p>
    <w:p w:rsidRPr="00240525" w:rsidR="00947B08" w:rsidP="00947B08" w:rsidRDefault="00947B08" w14:paraId="175E2652" w14:textId="5286D4A3">
      <w:pPr>
        <w:pStyle w:val="Standard"/>
      </w:pPr>
      <w:r>
        <w:t>AES and Form Energy support CESA’s proposal to set a minimum requirement for assets with availability above four hours to maximize multi</w:t>
      </w:r>
      <w:r w:rsidR="008807B8">
        <w:noBreakHyphen/>
      </w:r>
      <w:r>
        <w:t>day reliability.</w:t>
      </w:r>
      <w:r>
        <w:rPr>
          <w:rStyle w:val="FootnoteReference"/>
        </w:rPr>
        <w:footnoteReference w:id="164"/>
      </w:r>
    </w:p>
    <w:p w:rsidR="00947B08" w:rsidP="00947B08" w:rsidRDefault="00947B08" w14:paraId="083D9727" w14:textId="62728421">
      <w:pPr>
        <w:pStyle w:val="Heading3"/>
      </w:pPr>
      <w:bookmarkStart w:name="_Toc131762406" w:id="61"/>
      <w:r>
        <w:lastRenderedPageBreak/>
        <w:t>Discussion</w:t>
      </w:r>
      <w:bookmarkEnd w:id="61"/>
    </w:p>
    <w:p w:rsidRPr="00935723" w:rsidR="00947B08" w:rsidP="00947B08" w:rsidRDefault="00947B08" w14:paraId="59E7E7E9" w14:textId="74263A2B">
      <w:pPr>
        <w:pStyle w:val="Standard"/>
        <w:rPr>
          <w:rFonts w:eastAsia="Times New Roman"/>
        </w:rPr>
      </w:pPr>
      <w:r>
        <w:rPr>
          <w:rFonts w:eastAsia="Times New Roman"/>
        </w:rPr>
        <w:t xml:space="preserve">Numerous parties support eliminating the MCC buckets, except for the DR bucket, </w:t>
      </w:r>
      <w:r w:rsidRPr="00935723" w:rsidR="00CA3C13">
        <w:rPr>
          <w:rFonts w:eastAsia="Times New Roman"/>
        </w:rPr>
        <w:t>for the SOD framework</w:t>
      </w:r>
      <w:r w:rsidRPr="00935723">
        <w:rPr>
          <w:rFonts w:eastAsia="Times New Roman"/>
        </w:rPr>
        <w:t xml:space="preserve">.  It is critical </w:t>
      </w:r>
      <w:r w:rsidRPr="00935723" w:rsidR="00F9384B">
        <w:rPr>
          <w:rFonts w:eastAsia="Times New Roman"/>
        </w:rPr>
        <w:t xml:space="preserve">to the Commission </w:t>
      </w:r>
      <w:r w:rsidRPr="00935723">
        <w:rPr>
          <w:rFonts w:eastAsia="Times New Roman"/>
        </w:rPr>
        <w:t>that use-limited resources are available throughout the compliance month and not over-relied upon in meeting the 24</w:t>
      </w:r>
      <w:r w:rsidRPr="00935723" w:rsidR="008807B8">
        <w:rPr>
          <w:rFonts w:eastAsia="Times New Roman"/>
        </w:rPr>
        <w:noBreakHyphen/>
      </w:r>
      <w:r w:rsidRPr="00935723">
        <w:rPr>
          <w:rFonts w:eastAsia="Times New Roman"/>
        </w:rPr>
        <w:t xml:space="preserve">hour SOD requirements.  As such, we find it reasonable to retain the MCC DR bucket </w:t>
      </w:r>
      <w:r w:rsidRPr="00935723" w:rsidR="00FE032B">
        <w:rPr>
          <w:rFonts w:eastAsia="Times New Roman"/>
        </w:rPr>
        <w:t xml:space="preserve">for the SOD framework, </w:t>
      </w:r>
      <w:r w:rsidRPr="00935723" w:rsidR="004D5D8A">
        <w:rPr>
          <w:rFonts w:eastAsia="Times New Roman"/>
        </w:rPr>
        <w:t xml:space="preserve">beginning with </w:t>
      </w:r>
      <w:r w:rsidRPr="00935723">
        <w:rPr>
          <w:rFonts w:eastAsia="Times New Roman"/>
        </w:rPr>
        <w:t xml:space="preserve">the test year.  </w:t>
      </w:r>
      <w:r w:rsidRPr="00935723" w:rsidR="004D5D8A">
        <w:rPr>
          <w:rFonts w:eastAsia="Times New Roman"/>
        </w:rPr>
        <w:t>We also find it</w:t>
      </w:r>
      <w:r w:rsidRPr="00935723">
        <w:rPr>
          <w:rFonts w:eastAsia="Times New Roman"/>
        </w:rPr>
        <w:t xml:space="preserve"> appropriate to </w:t>
      </w:r>
      <w:r w:rsidRPr="00935723" w:rsidR="004D5D8A">
        <w:rPr>
          <w:rFonts w:eastAsia="Times New Roman"/>
        </w:rPr>
        <w:t xml:space="preserve">use </w:t>
      </w:r>
      <w:r w:rsidRPr="00935723">
        <w:rPr>
          <w:rFonts w:eastAsia="Times New Roman"/>
        </w:rPr>
        <w:t xml:space="preserve">the status quo methodology </w:t>
      </w:r>
      <w:r w:rsidRPr="00935723" w:rsidR="004D5D8A">
        <w:rPr>
          <w:rFonts w:eastAsia="Times New Roman"/>
        </w:rPr>
        <w:t xml:space="preserve">in </w:t>
      </w:r>
      <w:r w:rsidRPr="00935723">
        <w:rPr>
          <w:rFonts w:eastAsia="Times New Roman"/>
        </w:rPr>
        <w:t xml:space="preserve">determining the value of the MCC </w:t>
      </w:r>
      <w:r w:rsidRPr="00935723" w:rsidR="004D5D8A">
        <w:rPr>
          <w:rFonts w:eastAsia="Times New Roman"/>
        </w:rPr>
        <w:t xml:space="preserve">DR </w:t>
      </w:r>
      <w:r w:rsidRPr="00935723">
        <w:rPr>
          <w:rFonts w:eastAsia="Times New Roman"/>
        </w:rPr>
        <w:t>bucket limit; that is, based on gross load and 24</w:t>
      </w:r>
      <w:r w:rsidRPr="00935723" w:rsidR="008807B8">
        <w:rPr>
          <w:rFonts w:eastAsia="Times New Roman"/>
        </w:rPr>
        <w:t> </w:t>
      </w:r>
      <w:r w:rsidRPr="00935723">
        <w:rPr>
          <w:rFonts w:eastAsia="Times New Roman"/>
        </w:rPr>
        <w:t>hours per month.  The DR bucket limit should be applied equally to each slice in the 24</w:t>
      </w:r>
      <w:r w:rsidRPr="00935723" w:rsidR="008807B8">
        <w:rPr>
          <w:rFonts w:eastAsia="Times New Roman"/>
        </w:rPr>
        <w:noBreakHyphen/>
      </w:r>
      <w:r w:rsidRPr="00935723">
        <w:rPr>
          <w:rFonts w:eastAsia="Times New Roman"/>
        </w:rPr>
        <w:t>hour framework to avoid over-reliance of DR resources in any one</w:t>
      </w:r>
      <w:r w:rsidRPr="00935723" w:rsidR="008807B8">
        <w:rPr>
          <w:rFonts w:eastAsia="Times New Roman"/>
        </w:rPr>
        <w:t> </w:t>
      </w:r>
      <w:r w:rsidRPr="00935723">
        <w:rPr>
          <w:rFonts w:eastAsia="Times New Roman"/>
        </w:rPr>
        <w:t xml:space="preserve">slice. </w:t>
      </w:r>
    </w:p>
    <w:p w:rsidR="00947B08" w:rsidP="00947B08" w:rsidRDefault="00947B08" w14:paraId="30B8B362" w14:textId="7984D7D5">
      <w:pPr>
        <w:pStyle w:val="Standard"/>
        <w:rPr>
          <w:rFonts w:eastAsia="Times New Roman"/>
        </w:rPr>
      </w:pPr>
      <w:r w:rsidRPr="00935723">
        <w:rPr>
          <w:rFonts w:eastAsia="Times New Roman"/>
        </w:rPr>
        <w:t>Multiple parties support eliminating the remaining MCC buckets</w:t>
      </w:r>
      <w:r w:rsidRPr="00935723" w:rsidR="008807B8">
        <w:rPr>
          <w:rFonts w:eastAsia="Times New Roman"/>
        </w:rPr>
        <w:t> </w:t>
      </w:r>
      <w:r w:rsidRPr="00935723">
        <w:rPr>
          <w:rFonts w:eastAsia="Times New Roman"/>
        </w:rPr>
        <w:t>1</w:t>
      </w:r>
      <w:r w:rsidRPr="00935723" w:rsidR="008807B8">
        <w:rPr>
          <w:rFonts w:eastAsia="Times New Roman"/>
        </w:rPr>
        <w:noBreakHyphen/>
      </w:r>
      <w:r w:rsidRPr="00935723">
        <w:rPr>
          <w:rFonts w:eastAsia="Times New Roman"/>
        </w:rPr>
        <w:t>4</w:t>
      </w:r>
      <w:r w:rsidRPr="00935723" w:rsidR="00CA3C13">
        <w:rPr>
          <w:rFonts w:eastAsia="Times New Roman"/>
        </w:rPr>
        <w:t xml:space="preserve"> for the SOD framework</w:t>
      </w:r>
      <w:r w:rsidRPr="00935723">
        <w:rPr>
          <w:rFonts w:eastAsia="Times New Roman"/>
        </w:rPr>
        <w:t>.</w:t>
      </w:r>
      <w:r>
        <w:rPr>
          <w:rFonts w:eastAsia="Times New Roman"/>
        </w:rPr>
        <w:t xml:space="preserve">  In D.22</w:t>
      </w:r>
      <w:r w:rsidR="008807B8">
        <w:rPr>
          <w:rFonts w:eastAsia="Times New Roman"/>
        </w:rPr>
        <w:noBreakHyphen/>
      </w:r>
      <w:r>
        <w:rPr>
          <w:rFonts w:eastAsia="Times New Roman"/>
        </w:rPr>
        <w:t>06</w:t>
      </w:r>
      <w:r w:rsidR="008807B8">
        <w:rPr>
          <w:rFonts w:eastAsia="Times New Roman"/>
        </w:rPr>
        <w:noBreakHyphen/>
      </w:r>
      <w:r>
        <w:rPr>
          <w:rFonts w:eastAsia="Times New Roman"/>
        </w:rPr>
        <w:t xml:space="preserve">050, the Commission expressed concern </w:t>
      </w:r>
      <w:r w:rsidR="00F9384B">
        <w:rPr>
          <w:rFonts w:eastAsia="Times New Roman"/>
        </w:rPr>
        <w:t>that</w:t>
      </w:r>
      <w:r>
        <w:rPr>
          <w:rFonts w:eastAsia="Times New Roman"/>
        </w:rPr>
        <w:t xml:space="preserve"> removing the MCC buckets may result in unintended consequences, particularly for import resources and demand response resources.</w:t>
      </w:r>
      <w:r w:rsidR="00BD41B6">
        <w:rPr>
          <w:rStyle w:val="FootnoteReference"/>
          <w:rFonts w:eastAsia="Times New Roman"/>
        </w:rPr>
        <w:footnoteReference w:id="165"/>
      </w:r>
      <w:r>
        <w:rPr>
          <w:rFonts w:eastAsia="Times New Roman"/>
        </w:rPr>
        <w:t xml:space="preserve">  For import resources, PG&amp;E proposes t</w:t>
      </w:r>
      <w:r w:rsidR="00F9384B">
        <w:rPr>
          <w:rFonts w:eastAsia="Times New Roman"/>
        </w:rPr>
        <w:t>hat</w:t>
      </w:r>
      <w:r>
        <w:rPr>
          <w:rFonts w:eastAsia="Times New Roman"/>
        </w:rPr>
        <w:t xml:space="preserve"> </w:t>
      </w:r>
      <w:r w:rsidR="00F9384B">
        <w:rPr>
          <w:rFonts w:eastAsia="Times New Roman"/>
        </w:rPr>
        <w:t xml:space="preserve">replacing </w:t>
      </w:r>
      <w:r>
        <w:rPr>
          <w:rFonts w:eastAsia="Times New Roman"/>
        </w:rPr>
        <w:t xml:space="preserve">the </w:t>
      </w:r>
      <w:r w:rsidR="00F9384B">
        <w:rPr>
          <w:rFonts w:eastAsia="Times New Roman"/>
        </w:rPr>
        <w:t xml:space="preserve">import RA rule language that states </w:t>
      </w:r>
      <w:r>
        <w:rPr>
          <w:rFonts w:eastAsia="Times New Roman"/>
        </w:rPr>
        <w:t xml:space="preserve">“consistent with the Maximum Cumulative Capacity buckets” </w:t>
      </w:r>
      <w:r w:rsidR="00F9384B">
        <w:rPr>
          <w:rFonts w:eastAsia="Times New Roman"/>
        </w:rPr>
        <w:t xml:space="preserve">with </w:t>
      </w:r>
      <w:r>
        <w:rPr>
          <w:rFonts w:eastAsia="Times New Roman"/>
        </w:rPr>
        <w:t xml:space="preserve">“every Monday </w:t>
      </w:r>
      <w:r w:rsidR="00681313">
        <w:rPr>
          <w:rFonts w:eastAsia="Times New Roman"/>
        </w:rPr>
        <w:t xml:space="preserve">through </w:t>
      </w:r>
      <w:r>
        <w:rPr>
          <w:rFonts w:eastAsia="Times New Roman"/>
        </w:rPr>
        <w:t xml:space="preserve">Saturday” </w:t>
      </w:r>
      <w:r w:rsidR="00F9384B">
        <w:rPr>
          <w:rFonts w:eastAsia="Times New Roman"/>
        </w:rPr>
        <w:t xml:space="preserve">would </w:t>
      </w:r>
      <w:r>
        <w:rPr>
          <w:rFonts w:eastAsia="Times New Roman"/>
        </w:rPr>
        <w:t xml:space="preserve">capture the MCC bucket’s </w:t>
      </w:r>
      <w:r w:rsidR="00F9384B">
        <w:rPr>
          <w:rFonts w:eastAsia="Times New Roman"/>
        </w:rPr>
        <w:t xml:space="preserve">current </w:t>
      </w:r>
      <w:r>
        <w:rPr>
          <w:rFonts w:eastAsia="Times New Roman"/>
        </w:rPr>
        <w:t>limitation</w:t>
      </w:r>
      <w:r w:rsidRPr="00BD41B6" w:rsidR="00BD41B6">
        <w:rPr>
          <w:rStyle w:val="FootnoteReference"/>
          <w:rFonts w:eastAsia="Times New Roman"/>
        </w:rPr>
        <w:t xml:space="preserve"> </w:t>
      </w:r>
      <w:r w:rsidR="00BD41B6">
        <w:rPr>
          <w:rStyle w:val="FootnoteReference"/>
          <w:rFonts w:eastAsia="Times New Roman"/>
        </w:rPr>
        <w:footnoteReference w:id="166"/>
      </w:r>
      <w:r>
        <w:rPr>
          <w:rFonts w:eastAsia="Times New Roman"/>
        </w:rPr>
        <w:t xml:space="preserve">  </w:t>
      </w:r>
      <w:r w:rsidR="00F9384B">
        <w:rPr>
          <w:rFonts w:eastAsia="Times New Roman"/>
        </w:rPr>
        <w:t xml:space="preserve">This proposal is consistent with Energy Division’s proposal.  </w:t>
      </w:r>
      <w:r>
        <w:rPr>
          <w:rFonts w:eastAsia="Times New Roman"/>
        </w:rPr>
        <w:t xml:space="preserve">The Commission agrees that </w:t>
      </w:r>
      <w:r w:rsidR="00F9384B">
        <w:rPr>
          <w:rFonts w:eastAsia="Times New Roman"/>
        </w:rPr>
        <w:t xml:space="preserve">PG&amp;E’s proposal to </w:t>
      </w:r>
      <w:r>
        <w:rPr>
          <w:rFonts w:eastAsia="Times New Roman"/>
        </w:rPr>
        <w:t>modif</w:t>
      </w:r>
      <w:r w:rsidR="00F9384B">
        <w:rPr>
          <w:rFonts w:eastAsia="Times New Roman"/>
        </w:rPr>
        <w:t>y the import RA rule adopted in D.20-06-028</w:t>
      </w:r>
      <w:r>
        <w:rPr>
          <w:rFonts w:eastAsia="Times New Roman"/>
        </w:rPr>
        <w:t xml:space="preserve"> would ensure </w:t>
      </w:r>
      <w:r w:rsidR="00F9384B">
        <w:rPr>
          <w:rFonts w:eastAsia="Times New Roman"/>
        </w:rPr>
        <w:t xml:space="preserve">consistency </w:t>
      </w:r>
      <w:r w:rsidR="00D6534C">
        <w:rPr>
          <w:rFonts w:eastAsia="Times New Roman"/>
        </w:rPr>
        <w:t>with the current import RA rules and</w:t>
      </w:r>
      <w:r>
        <w:rPr>
          <w:rFonts w:eastAsia="Times New Roman"/>
        </w:rPr>
        <w:t xml:space="preserve"> maintain the limitation </w:t>
      </w:r>
      <w:r w:rsidR="00D6534C">
        <w:rPr>
          <w:rFonts w:eastAsia="Times New Roman"/>
        </w:rPr>
        <w:t xml:space="preserve">on RA imports </w:t>
      </w:r>
      <w:r>
        <w:rPr>
          <w:rFonts w:eastAsia="Times New Roman"/>
        </w:rPr>
        <w:t xml:space="preserve">established by the MCC buckets.  </w:t>
      </w:r>
    </w:p>
    <w:p w:rsidR="00947B08" w:rsidP="00947B08" w:rsidRDefault="00947B08" w14:paraId="38C672FF" w14:textId="4281EB3C">
      <w:pPr>
        <w:pStyle w:val="Standard"/>
        <w:rPr>
          <w:rFonts w:eastAsia="Times New Roman"/>
        </w:rPr>
      </w:pPr>
      <w:r>
        <w:rPr>
          <w:rFonts w:eastAsia="Times New Roman"/>
        </w:rPr>
        <w:lastRenderedPageBreak/>
        <w:t>SCE objects to eliminating the MCC buckets</w:t>
      </w:r>
      <w:r w:rsidR="008807B8">
        <w:rPr>
          <w:rFonts w:eastAsia="Times New Roman"/>
        </w:rPr>
        <w:t> </w:t>
      </w:r>
      <w:r>
        <w:rPr>
          <w:rFonts w:eastAsia="Times New Roman"/>
        </w:rPr>
        <w:t xml:space="preserve">1-4 and identifies classes of RA resources with non-daily use limits that are not directly accounted for in the SOD framework, including imports, some use-limited gas </w:t>
      </w:r>
      <w:proofErr w:type="spellStart"/>
      <w:r>
        <w:rPr>
          <w:rFonts w:eastAsia="Times New Roman"/>
        </w:rPr>
        <w:t>peakers</w:t>
      </w:r>
      <w:proofErr w:type="spellEnd"/>
      <w:r>
        <w:rPr>
          <w:rFonts w:eastAsia="Times New Roman"/>
        </w:rPr>
        <w:t>, hydroelectric, and DR resources.</w:t>
      </w:r>
      <w:r>
        <w:rPr>
          <w:rStyle w:val="FootnoteReference"/>
          <w:rFonts w:eastAsia="Times New Roman"/>
        </w:rPr>
        <w:footnoteReference w:id="167"/>
      </w:r>
      <w:r>
        <w:rPr>
          <w:rFonts w:eastAsia="Times New Roman"/>
        </w:rPr>
        <w:t xml:space="preserve">  We note that non-daily use limitations of </w:t>
      </w:r>
      <w:proofErr w:type="spellStart"/>
      <w:r>
        <w:rPr>
          <w:rFonts w:eastAsia="Times New Roman"/>
        </w:rPr>
        <w:t>peakers</w:t>
      </w:r>
      <w:proofErr w:type="spellEnd"/>
      <w:r>
        <w:rPr>
          <w:rFonts w:eastAsia="Times New Roman"/>
        </w:rPr>
        <w:t xml:space="preserve"> and hydroelectric resources are not covered by the MCC buckets either.  </w:t>
      </w:r>
    </w:p>
    <w:p w:rsidR="007C4C02" w:rsidP="007C4C02" w:rsidRDefault="00947B08" w14:paraId="4CF6A1F2" w14:textId="0C828A50">
      <w:pPr>
        <w:pStyle w:val="Standard"/>
        <w:rPr>
          <w:rFonts w:eastAsia="Times New Roman"/>
        </w:rPr>
      </w:pPr>
      <w:r>
        <w:rPr>
          <w:rFonts w:eastAsia="Times New Roman"/>
        </w:rPr>
        <w:t>With th</w:t>
      </w:r>
      <w:r w:rsidR="00BD41B6">
        <w:rPr>
          <w:rFonts w:eastAsia="Times New Roman"/>
        </w:rPr>
        <w:t>e</w:t>
      </w:r>
      <w:r>
        <w:rPr>
          <w:rFonts w:eastAsia="Times New Roman"/>
        </w:rPr>
        <w:t xml:space="preserve"> modification to the import </w:t>
      </w:r>
      <w:r w:rsidR="00BD41B6">
        <w:rPr>
          <w:rFonts w:eastAsia="Times New Roman"/>
        </w:rPr>
        <w:t xml:space="preserve">language adopted in D.20-06-028 </w:t>
      </w:r>
      <w:r>
        <w:rPr>
          <w:rFonts w:eastAsia="Times New Roman"/>
        </w:rPr>
        <w:t xml:space="preserve">and </w:t>
      </w:r>
      <w:r w:rsidR="00BD41B6">
        <w:rPr>
          <w:rFonts w:eastAsia="Times New Roman"/>
        </w:rPr>
        <w:t xml:space="preserve">the </w:t>
      </w:r>
      <w:r>
        <w:rPr>
          <w:rFonts w:eastAsia="Times New Roman"/>
        </w:rPr>
        <w:t>retention of the DR</w:t>
      </w:r>
      <w:r w:rsidR="008807B8">
        <w:rPr>
          <w:rFonts w:eastAsia="Times New Roman"/>
        </w:rPr>
        <w:t> </w:t>
      </w:r>
      <w:r>
        <w:rPr>
          <w:rFonts w:eastAsia="Times New Roman"/>
        </w:rPr>
        <w:t>bucket, the Commission finds that the concerns with removing the MCC buckets have been addressed and it is reasonable to eliminate MCC buckets</w:t>
      </w:r>
      <w:r w:rsidR="008807B8">
        <w:rPr>
          <w:rFonts w:eastAsia="Times New Roman"/>
        </w:rPr>
        <w:t> </w:t>
      </w:r>
      <w:r>
        <w:rPr>
          <w:rFonts w:eastAsia="Times New Roman"/>
        </w:rPr>
        <w:t>1</w:t>
      </w:r>
      <w:r w:rsidR="008807B8">
        <w:rPr>
          <w:rFonts w:eastAsia="Times New Roman"/>
        </w:rPr>
        <w:noBreakHyphen/>
      </w:r>
      <w:r>
        <w:rPr>
          <w:rFonts w:eastAsia="Times New Roman"/>
        </w:rPr>
        <w:t>4 for use with the SOD framework.</w:t>
      </w:r>
      <w:r w:rsidR="007C4C02">
        <w:rPr>
          <w:rFonts w:eastAsia="Times New Roman"/>
        </w:rPr>
        <w:t xml:space="preserve">  </w:t>
      </w:r>
    </w:p>
    <w:p w:rsidRPr="00935723" w:rsidR="007C4C02" w:rsidP="007C4C02" w:rsidRDefault="007C4C02" w14:paraId="57DD93E5" w14:textId="0C9C77A4">
      <w:pPr>
        <w:pStyle w:val="Standard"/>
        <w:rPr>
          <w:rFonts w:eastAsia="Times New Roman"/>
        </w:rPr>
      </w:pPr>
      <w:r w:rsidRPr="007C7002">
        <w:rPr>
          <w:rFonts w:eastAsia="Times New Roman"/>
        </w:rPr>
        <w:t xml:space="preserve">For the current RA program, the Commission is persuaded that many LSEs will exceed the MCC bucket 1 cap in 2024 and that a transition from the current RA program to </w:t>
      </w:r>
      <w:r w:rsidRPr="007C7002">
        <w:t>the</w:t>
      </w:r>
      <w:r w:rsidRPr="007C7002">
        <w:rPr>
          <w:rFonts w:eastAsia="Times New Roman"/>
        </w:rPr>
        <w:t xml:space="preserve"> SOD framework is necessary.  As such, we agree with SCE’s proposal that for </w:t>
      </w:r>
      <w:r w:rsidR="007C7002">
        <w:rPr>
          <w:rFonts w:eastAsia="Times New Roman"/>
        </w:rPr>
        <w:t xml:space="preserve">the </w:t>
      </w:r>
      <w:r w:rsidRPr="007C7002">
        <w:rPr>
          <w:rFonts w:eastAsia="Times New Roman"/>
        </w:rPr>
        <w:t>2024</w:t>
      </w:r>
      <w:r w:rsidR="007C7002">
        <w:rPr>
          <w:rFonts w:eastAsia="Times New Roman"/>
        </w:rPr>
        <w:t xml:space="preserve"> RA compliance year</w:t>
      </w:r>
      <w:r w:rsidRPr="007C7002">
        <w:rPr>
          <w:rFonts w:eastAsia="Times New Roman"/>
        </w:rPr>
        <w:t xml:space="preserve">, standalone storage should count in MCC bucket 4 </w:t>
      </w:r>
      <w:r w:rsidRPr="00CA46DC" w:rsidR="00AD1EF6">
        <w:rPr>
          <w:rFonts w:eastAsia="Times New Roman"/>
        </w:rPr>
        <w:t>provided that an LSE shows sufficient charging capacity</w:t>
      </w:r>
      <w:r w:rsidRPr="007C7002">
        <w:rPr>
          <w:rFonts w:eastAsia="Times New Roman"/>
        </w:rPr>
        <w:t>.</w:t>
      </w:r>
      <w:r w:rsidRPr="00935723">
        <w:rPr>
          <w:rFonts w:eastAsia="Times New Roman"/>
        </w:rPr>
        <w:t xml:space="preserve"> </w:t>
      </w:r>
    </w:p>
    <w:p w:rsidR="00947B08" w:rsidP="00BD41B6" w:rsidRDefault="00947B08" w14:paraId="5BE2361E" w14:textId="296C8B59">
      <w:pPr>
        <w:pStyle w:val="Standard"/>
        <w:rPr>
          <w:rFonts w:eastAsia="Times New Roman"/>
          <w:szCs w:val="26"/>
        </w:rPr>
      </w:pPr>
      <w:r w:rsidRPr="00935723">
        <w:rPr>
          <w:rFonts w:eastAsia="Times New Roman"/>
        </w:rPr>
        <w:t>Accordingly, the MCC buckets 1</w:t>
      </w:r>
      <w:r w:rsidRPr="00935723" w:rsidR="008807B8">
        <w:rPr>
          <w:rFonts w:eastAsia="Times New Roman"/>
        </w:rPr>
        <w:noBreakHyphen/>
      </w:r>
      <w:r w:rsidRPr="00935723">
        <w:rPr>
          <w:rFonts w:eastAsia="Times New Roman"/>
        </w:rPr>
        <w:t xml:space="preserve">4 </w:t>
      </w:r>
      <w:r w:rsidR="00A71B1E">
        <w:rPr>
          <w:rFonts w:eastAsia="Times New Roman"/>
        </w:rPr>
        <w:t>are</w:t>
      </w:r>
      <w:r w:rsidRPr="00935723" w:rsidR="00A71B1E">
        <w:rPr>
          <w:rFonts w:eastAsia="Times New Roman"/>
        </w:rPr>
        <w:t xml:space="preserve"> </w:t>
      </w:r>
      <w:r w:rsidRPr="00935723" w:rsidR="00E81669">
        <w:rPr>
          <w:rFonts w:eastAsia="Times New Roman"/>
        </w:rPr>
        <w:t>not</w:t>
      </w:r>
      <w:r w:rsidRPr="00935723">
        <w:rPr>
          <w:rFonts w:eastAsia="Times New Roman"/>
        </w:rPr>
        <w:t xml:space="preserve"> applicable </w:t>
      </w:r>
      <w:r w:rsidRPr="00935723" w:rsidR="00CA3C13">
        <w:rPr>
          <w:rFonts w:eastAsia="Times New Roman"/>
        </w:rPr>
        <w:t>to</w:t>
      </w:r>
      <w:r w:rsidRPr="00935723" w:rsidR="00E81669">
        <w:rPr>
          <w:rFonts w:eastAsia="Times New Roman"/>
        </w:rPr>
        <w:t xml:space="preserve"> the SOD framework</w:t>
      </w:r>
      <w:r w:rsidRPr="00935723">
        <w:rPr>
          <w:rFonts w:eastAsia="Times New Roman"/>
        </w:rPr>
        <w:t xml:space="preserve"> beginning </w:t>
      </w:r>
      <w:r w:rsidRPr="00935723" w:rsidR="00CA3C13">
        <w:rPr>
          <w:rFonts w:eastAsia="Times New Roman"/>
        </w:rPr>
        <w:t xml:space="preserve">with </w:t>
      </w:r>
      <w:r w:rsidRPr="00935723">
        <w:rPr>
          <w:rFonts w:eastAsia="Times New Roman"/>
        </w:rPr>
        <w:t>the</w:t>
      </w:r>
      <w:r>
        <w:rPr>
          <w:rFonts w:eastAsia="Times New Roman"/>
        </w:rPr>
        <w:t xml:space="preserve"> 2024 </w:t>
      </w:r>
      <w:r w:rsidR="00E81669">
        <w:rPr>
          <w:rFonts w:eastAsia="Times New Roman"/>
        </w:rPr>
        <w:t>test</w:t>
      </w:r>
      <w:r w:rsidR="008807B8">
        <w:rPr>
          <w:rFonts w:eastAsia="Times New Roman"/>
        </w:rPr>
        <w:t> </w:t>
      </w:r>
      <w:r>
        <w:rPr>
          <w:rFonts w:eastAsia="Times New Roman"/>
        </w:rPr>
        <w:t xml:space="preserve">year.  The MCC DR bucket </w:t>
      </w:r>
      <w:r w:rsidR="00A71B1E">
        <w:rPr>
          <w:rFonts w:eastAsia="Times New Roman"/>
        </w:rPr>
        <w:t xml:space="preserve">will </w:t>
      </w:r>
      <w:r>
        <w:rPr>
          <w:rFonts w:eastAsia="Times New Roman"/>
        </w:rPr>
        <w:t xml:space="preserve">be retained for the SOD framework and the status quo methodology for determining the MCC </w:t>
      </w:r>
      <w:r w:rsidR="00BD41B6">
        <w:rPr>
          <w:rFonts w:eastAsia="Times New Roman"/>
        </w:rPr>
        <w:t xml:space="preserve">DR </w:t>
      </w:r>
      <w:r>
        <w:rPr>
          <w:rFonts w:eastAsia="Times New Roman"/>
        </w:rPr>
        <w:t xml:space="preserve">bucket limit </w:t>
      </w:r>
      <w:r w:rsidR="00A71B1E">
        <w:rPr>
          <w:rFonts w:eastAsia="Times New Roman"/>
        </w:rPr>
        <w:t xml:space="preserve">will </w:t>
      </w:r>
      <w:r>
        <w:rPr>
          <w:rFonts w:eastAsia="Times New Roman"/>
        </w:rPr>
        <w:t xml:space="preserve">be </w:t>
      </w:r>
      <w:r w:rsidR="007072F3">
        <w:rPr>
          <w:rFonts w:eastAsia="Times New Roman"/>
        </w:rPr>
        <w:t>used</w:t>
      </w:r>
      <w:r>
        <w:rPr>
          <w:rFonts w:eastAsia="Times New Roman"/>
        </w:rPr>
        <w:t>, based on gross load and 24</w:t>
      </w:r>
      <w:r w:rsidR="008807B8">
        <w:rPr>
          <w:rFonts w:eastAsia="Times New Roman"/>
        </w:rPr>
        <w:t> </w:t>
      </w:r>
      <w:r>
        <w:rPr>
          <w:rFonts w:eastAsia="Times New Roman"/>
        </w:rPr>
        <w:t xml:space="preserve">hours per month.  The DR bucket limit </w:t>
      </w:r>
      <w:r w:rsidR="00A71B1E">
        <w:rPr>
          <w:rFonts w:eastAsia="Times New Roman"/>
        </w:rPr>
        <w:t xml:space="preserve">will </w:t>
      </w:r>
      <w:r>
        <w:rPr>
          <w:rFonts w:eastAsia="Times New Roman"/>
        </w:rPr>
        <w:t xml:space="preserve">apply equally to each slice.  </w:t>
      </w:r>
    </w:p>
    <w:p w:rsidR="00947B08" w:rsidP="00CA46DC" w:rsidRDefault="00BD41B6" w14:paraId="104311F1" w14:textId="338C484C">
      <w:pPr>
        <w:rPr>
          <w:rFonts w:cs="TimesNewRomanPSMT"/>
          <w:color w:val="000000"/>
          <w:szCs w:val="26"/>
        </w:rPr>
      </w:pPr>
      <w:r>
        <w:rPr>
          <w:rFonts w:cs="TimesNewRomanPSMT"/>
          <w:color w:val="000000"/>
          <w:szCs w:val="26"/>
        </w:rPr>
        <w:t>In addition, a</w:t>
      </w:r>
      <w:r w:rsidRPr="00A41CD9" w:rsidR="00947B08">
        <w:rPr>
          <w:rFonts w:cs="TimesNewRomanPSMT"/>
          <w:color w:val="000000"/>
          <w:szCs w:val="26"/>
        </w:rPr>
        <w:t xml:space="preserve"> non-</w:t>
      </w:r>
      <w:r w:rsidRPr="00CA46DC" w:rsidR="00947B08">
        <w:t>resource</w:t>
      </w:r>
      <w:r w:rsidRPr="00A41CD9" w:rsidR="00947B08">
        <w:rPr>
          <w:rFonts w:cs="TimesNewRomanPSMT"/>
          <w:color w:val="000000"/>
          <w:szCs w:val="26"/>
        </w:rPr>
        <w:t xml:space="preserve">-specific import </w:t>
      </w:r>
      <w:r w:rsidR="00A71B1E">
        <w:rPr>
          <w:rFonts w:cs="TimesNewRomanPSMT"/>
          <w:color w:val="000000"/>
          <w:szCs w:val="26"/>
        </w:rPr>
        <w:t>will</w:t>
      </w:r>
      <w:r w:rsidRPr="00A41CD9" w:rsidR="00A71B1E">
        <w:rPr>
          <w:rFonts w:cs="TimesNewRomanPSMT"/>
          <w:color w:val="000000"/>
          <w:szCs w:val="26"/>
        </w:rPr>
        <w:t xml:space="preserve"> </w:t>
      </w:r>
      <w:r w:rsidRPr="00A41CD9" w:rsidR="00947B08">
        <w:rPr>
          <w:rFonts w:cs="TimesNewRomanPSMT"/>
          <w:color w:val="000000"/>
          <w:szCs w:val="26"/>
        </w:rPr>
        <w:t>count towards</w:t>
      </w:r>
      <w:r>
        <w:rPr>
          <w:rFonts w:cs="TimesNewRomanPSMT"/>
          <w:color w:val="000000"/>
          <w:szCs w:val="26"/>
        </w:rPr>
        <w:t xml:space="preserve"> the</w:t>
      </w:r>
      <w:r w:rsidRPr="00A41CD9" w:rsidR="00947B08">
        <w:rPr>
          <w:rFonts w:cs="TimesNewRomanPSMT"/>
          <w:color w:val="000000"/>
          <w:szCs w:val="26"/>
        </w:rPr>
        <w:t xml:space="preserve"> RA</w:t>
      </w:r>
      <w:r w:rsidR="00B770B1">
        <w:rPr>
          <w:rFonts w:cs="TimesNewRomanPSMT"/>
          <w:color w:val="000000"/>
          <w:szCs w:val="26"/>
        </w:rPr>
        <w:t> </w:t>
      </w:r>
      <w:r w:rsidRPr="00A41CD9" w:rsidR="00947B08">
        <w:rPr>
          <w:rFonts w:cs="TimesNewRomanPSMT"/>
          <w:color w:val="000000"/>
          <w:szCs w:val="26"/>
        </w:rPr>
        <w:t>requirements, provided that:</w:t>
      </w:r>
    </w:p>
    <w:p w:rsidR="00947B08" w:rsidP="008807B8" w:rsidRDefault="00947B08" w14:paraId="306CF695" w14:textId="77777777">
      <w:pPr>
        <w:pStyle w:val="Standard"/>
        <w:numPr>
          <w:ilvl w:val="7"/>
          <w:numId w:val="27"/>
        </w:numPr>
        <w:spacing w:after="120" w:line="240" w:lineRule="auto"/>
        <w:ind w:left="1440" w:right="1440"/>
        <w:rPr>
          <w:rFonts w:cs="TimesNewRomanPSMT"/>
          <w:color w:val="000000"/>
          <w:szCs w:val="26"/>
        </w:rPr>
      </w:pPr>
      <w:r w:rsidRPr="00A41CD9">
        <w:rPr>
          <w:rFonts w:cs="TimesNewRomanPSMT"/>
          <w:color w:val="000000"/>
          <w:szCs w:val="26"/>
        </w:rPr>
        <w:t>The contract is an energy contract with no economic curtailment provisions.</w:t>
      </w:r>
    </w:p>
    <w:p w:rsidR="00947B08" w:rsidP="008807B8" w:rsidRDefault="00947B08" w14:paraId="2C772CF2" w14:textId="7AC5BD6A">
      <w:pPr>
        <w:pStyle w:val="Standard"/>
        <w:numPr>
          <w:ilvl w:val="7"/>
          <w:numId w:val="27"/>
        </w:numPr>
        <w:spacing w:after="120" w:line="240" w:lineRule="auto"/>
        <w:ind w:left="1440" w:right="1440"/>
        <w:rPr>
          <w:rFonts w:cs="TimesNewRomanPSMT"/>
          <w:color w:val="000000"/>
          <w:szCs w:val="26"/>
        </w:rPr>
      </w:pPr>
      <w:r w:rsidRPr="00A41CD9">
        <w:rPr>
          <w:rFonts w:cs="TimesNewRomanPSMT"/>
          <w:color w:val="000000"/>
          <w:szCs w:val="26"/>
        </w:rPr>
        <w:t>The energy must self-schedule (or in the alternative, bid in at a level between</w:t>
      </w:r>
      <w:r>
        <w:rPr>
          <w:rFonts w:cs="TimesNewRomanPSMT"/>
          <w:color w:val="000000"/>
          <w:szCs w:val="26"/>
        </w:rPr>
        <w:t xml:space="preserve"> </w:t>
      </w:r>
      <w:r w:rsidRPr="00A41CD9">
        <w:rPr>
          <w:rFonts w:cs="TimesNewRomanPSMT"/>
          <w:color w:val="000000"/>
          <w:szCs w:val="26"/>
        </w:rPr>
        <w:t xml:space="preserve">negative $150/MWh and $0/MWh) into the </w:t>
      </w:r>
      <w:r w:rsidR="00BD41B6">
        <w:rPr>
          <w:rFonts w:cs="TimesNewRomanPSMT"/>
          <w:color w:val="000000"/>
          <w:szCs w:val="26"/>
        </w:rPr>
        <w:t>CAISO</w:t>
      </w:r>
      <w:r w:rsidRPr="00A41CD9">
        <w:rPr>
          <w:rFonts w:cs="TimesNewRomanPSMT"/>
          <w:color w:val="000000"/>
          <w:szCs w:val="26"/>
        </w:rPr>
        <w:t xml:space="preserve"> day-ahead and real-time </w:t>
      </w:r>
      <w:r w:rsidRPr="00A41CD9">
        <w:rPr>
          <w:rFonts w:cs="TimesNewRomanPSMT"/>
          <w:color w:val="000000"/>
          <w:szCs w:val="26"/>
        </w:rPr>
        <w:lastRenderedPageBreak/>
        <w:t>markets at least during the</w:t>
      </w:r>
      <w:r>
        <w:rPr>
          <w:rFonts w:cs="TimesNewRomanPSMT"/>
          <w:color w:val="000000"/>
          <w:szCs w:val="26"/>
        </w:rPr>
        <w:t xml:space="preserve"> </w:t>
      </w:r>
      <w:r w:rsidR="00BD41B6">
        <w:rPr>
          <w:rFonts w:cs="TimesNewRomanPSMT"/>
          <w:color w:val="000000"/>
          <w:szCs w:val="26"/>
        </w:rPr>
        <w:t>AAHs</w:t>
      </w:r>
      <w:r w:rsidRPr="00A41CD9">
        <w:rPr>
          <w:rFonts w:cs="TimesNewRomanPSMT"/>
          <w:color w:val="000000"/>
          <w:szCs w:val="26"/>
        </w:rPr>
        <w:t xml:space="preserve"> </w:t>
      </w:r>
      <w:r w:rsidRPr="00A41CD9">
        <w:rPr>
          <w:rFonts w:cs="TimesNewRomanPS-BoldMT"/>
          <w:szCs w:val="26"/>
        </w:rPr>
        <w:t>every Monday - Saturday</w:t>
      </w:r>
      <w:r w:rsidRPr="00A41CD9">
        <w:rPr>
          <w:rFonts w:cs="TimesNewRomanPS-BoldMT"/>
          <w:b/>
          <w:bCs/>
          <w:color w:val="FF0B0D"/>
          <w:szCs w:val="26"/>
        </w:rPr>
        <w:t xml:space="preserve"> </w:t>
      </w:r>
      <w:r w:rsidRPr="008D7713" w:rsidR="000B7DE4">
        <w:rPr>
          <w:rFonts w:cs="TimesNewRomanPS-BoldMT"/>
          <w:szCs w:val="26"/>
        </w:rPr>
        <w:t>excluding North American Electric</w:t>
      </w:r>
      <w:r w:rsidRPr="008D7713" w:rsidR="005941A3">
        <w:rPr>
          <w:rFonts w:cs="TimesNewRomanPS-BoldMT"/>
          <w:szCs w:val="26"/>
        </w:rPr>
        <w:t xml:space="preserve"> Reliability</w:t>
      </w:r>
      <w:r w:rsidRPr="008D7713" w:rsidR="000B7DE4">
        <w:rPr>
          <w:rFonts w:cs="TimesNewRomanPS-BoldMT"/>
          <w:szCs w:val="26"/>
        </w:rPr>
        <w:t xml:space="preserve"> Corporation (NERC) holidays</w:t>
      </w:r>
      <w:r w:rsidRPr="008D7713" w:rsidR="000B7DE4">
        <w:rPr>
          <w:rFonts w:cs="TimesNewRomanPS-BoldMT"/>
          <w:b/>
          <w:bCs/>
          <w:szCs w:val="26"/>
        </w:rPr>
        <w:t xml:space="preserve"> </w:t>
      </w:r>
      <w:r w:rsidRPr="00A41CD9">
        <w:rPr>
          <w:rFonts w:cs="TimesNewRomanPSMT"/>
          <w:color w:val="000000"/>
          <w:szCs w:val="26"/>
        </w:rPr>
        <w:t>throughout the RA</w:t>
      </w:r>
      <w:r>
        <w:rPr>
          <w:rFonts w:cs="TimesNewRomanPSMT"/>
          <w:color w:val="000000"/>
          <w:szCs w:val="26"/>
        </w:rPr>
        <w:t xml:space="preserve"> </w:t>
      </w:r>
      <w:r w:rsidRPr="00A41CD9">
        <w:rPr>
          <w:rFonts w:cs="TimesNewRomanPSMT"/>
          <w:color w:val="000000"/>
          <w:szCs w:val="26"/>
        </w:rPr>
        <w:t>compliance month.</w:t>
      </w:r>
    </w:p>
    <w:p w:rsidR="00947B08" w:rsidP="008807B8" w:rsidRDefault="00947B08" w14:paraId="7D7428C4" w14:textId="5BFC54EF">
      <w:pPr>
        <w:pStyle w:val="Standard"/>
        <w:numPr>
          <w:ilvl w:val="7"/>
          <w:numId w:val="27"/>
        </w:numPr>
        <w:spacing w:after="120" w:line="240" w:lineRule="auto"/>
        <w:ind w:left="1440" w:right="1440"/>
        <w:rPr>
          <w:rFonts w:cs="TimesNewRomanPSMT"/>
          <w:color w:val="000000"/>
          <w:szCs w:val="26"/>
        </w:rPr>
      </w:pPr>
      <w:r w:rsidRPr="00A41CD9">
        <w:rPr>
          <w:rFonts w:cs="TimesNewRomanPSMT"/>
          <w:color w:val="000000"/>
          <w:szCs w:val="26"/>
        </w:rPr>
        <w:t xml:space="preserve">The energy must be delivered to the </w:t>
      </w:r>
      <w:r w:rsidR="00BD41B6">
        <w:rPr>
          <w:rFonts w:cs="TimesNewRomanPSMT"/>
          <w:color w:val="000000"/>
          <w:szCs w:val="26"/>
        </w:rPr>
        <w:t>LSE</w:t>
      </w:r>
      <w:r w:rsidRPr="00A41CD9">
        <w:rPr>
          <w:rFonts w:cs="TimesNewRomanPSMT"/>
          <w:color w:val="000000"/>
          <w:szCs w:val="26"/>
        </w:rPr>
        <w:t xml:space="preserve"> in accordance with the</w:t>
      </w:r>
      <w:r>
        <w:rPr>
          <w:rFonts w:cs="TimesNewRomanPSMT"/>
          <w:color w:val="000000"/>
          <w:szCs w:val="26"/>
        </w:rPr>
        <w:t xml:space="preserve"> </w:t>
      </w:r>
      <w:r w:rsidRPr="00A41CD9">
        <w:rPr>
          <w:rFonts w:cs="TimesNewRomanPSMT"/>
          <w:color w:val="000000"/>
          <w:szCs w:val="26"/>
        </w:rPr>
        <w:t>governing contract</w:t>
      </w:r>
      <w:r>
        <w:rPr>
          <w:rFonts w:cs="TimesNewRomanPSMT"/>
          <w:color w:val="000000"/>
          <w:szCs w:val="26"/>
        </w:rPr>
        <w:t>.</w:t>
      </w:r>
    </w:p>
    <w:p w:rsidR="000230AD" w:rsidP="00947B08" w:rsidRDefault="00CA3C13" w14:paraId="762B9195" w14:textId="19F1DEC3">
      <w:pPr>
        <w:pStyle w:val="Standard"/>
        <w:rPr>
          <w:rFonts w:eastAsia="Times New Roman"/>
        </w:rPr>
      </w:pPr>
      <w:r w:rsidRPr="00935723">
        <w:rPr>
          <w:rFonts w:eastAsia="Times New Roman"/>
        </w:rPr>
        <w:t>These changes to the MCC framework are effective for the SOD framework beginning with the 2024 test year.  As the</w:t>
      </w:r>
      <w:r w:rsidRPr="00935723" w:rsidR="00DC7ACC">
        <w:rPr>
          <w:rFonts w:eastAsia="Times New Roman"/>
        </w:rPr>
        <w:t xml:space="preserve"> current RA program</w:t>
      </w:r>
      <w:r w:rsidRPr="00935723">
        <w:rPr>
          <w:rFonts w:eastAsia="Times New Roman"/>
        </w:rPr>
        <w:t xml:space="preserve"> will continue to utilize the MCC bucket structure for compliance purposes </w:t>
      </w:r>
      <w:r w:rsidR="007C7002">
        <w:rPr>
          <w:rFonts w:eastAsia="Times New Roman"/>
        </w:rPr>
        <w:t>for the</w:t>
      </w:r>
      <w:r w:rsidRPr="00935723">
        <w:rPr>
          <w:rFonts w:eastAsia="Times New Roman"/>
        </w:rPr>
        <w:t xml:space="preserve"> 2024</w:t>
      </w:r>
      <w:r w:rsidR="007C7002">
        <w:rPr>
          <w:rFonts w:eastAsia="Times New Roman"/>
        </w:rPr>
        <w:t xml:space="preserve"> RA year</w:t>
      </w:r>
      <w:r w:rsidRPr="00935723">
        <w:rPr>
          <w:rFonts w:eastAsia="Times New Roman"/>
        </w:rPr>
        <w:t xml:space="preserve">, </w:t>
      </w:r>
      <w:r w:rsidR="007C7002">
        <w:rPr>
          <w:rFonts w:eastAsia="Times New Roman"/>
        </w:rPr>
        <w:t xml:space="preserve">LSEs may show </w:t>
      </w:r>
      <w:r w:rsidRPr="00935723" w:rsidR="00DC7ACC">
        <w:rPr>
          <w:rFonts w:eastAsia="Times New Roman"/>
        </w:rPr>
        <w:t xml:space="preserve">standalone </w:t>
      </w:r>
      <w:r w:rsidRPr="00935723">
        <w:rPr>
          <w:rFonts w:eastAsia="Times New Roman"/>
        </w:rPr>
        <w:t xml:space="preserve">energy </w:t>
      </w:r>
      <w:r w:rsidRPr="00935723" w:rsidR="00DC7ACC">
        <w:rPr>
          <w:rFonts w:eastAsia="Times New Roman"/>
        </w:rPr>
        <w:t xml:space="preserve">storage </w:t>
      </w:r>
      <w:r w:rsidRPr="00CA46DC" w:rsidR="00AD1EF6">
        <w:rPr>
          <w:rFonts w:eastAsia="Times New Roman"/>
        </w:rPr>
        <w:t>in</w:t>
      </w:r>
      <w:r w:rsidRPr="00935723" w:rsidR="00DC7ACC">
        <w:rPr>
          <w:rFonts w:eastAsia="Times New Roman"/>
        </w:rPr>
        <w:t xml:space="preserve"> MCC bucket 4 </w:t>
      </w:r>
      <w:r w:rsidRPr="00935723">
        <w:rPr>
          <w:rFonts w:eastAsia="Times New Roman"/>
        </w:rPr>
        <w:t>for 2024</w:t>
      </w:r>
      <w:r w:rsidRPr="00CA46DC" w:rsidR="00AD1EF6">
        <w:rPr>
          <w:rFonts w:eastAsia="Times New Roman"/>
        </w:rPr>
        <w:t>,</w:t>
      </w:r>
      <w:r w:rsidRPr="00935723">
        <w:rPr>
          <w:rFonts w:eastAsia="Times New Roman"/>
        </w:rPr>
        <w:t xml:space="preserve"> provided that</w:t>
      </w:r>
      <w:r w:rsidRPr="00935723" w:rsidR="00DC7ACC">
        <w:rPr>
          <w:rFonts w:eastAsia="Times New Roman"/>
        </w:rPr>
        <w:t xml:space="preserve"> the </w:t>
      </w:r>
      <w:r w:rsidRPr="00935723">
        <w:rPr>
          <w:rFonts w:eastAsia="Times New Roman"/>
        </w:rPr>
        <w:t>LSE shows sufficient charging capacity</w:t>
      </w:r>
      <w:r w:rsidRPr="00935723" w:rsidR="00DC7ACC">
        <w:rPr>
          <w:rFonts w:eastAsia="Times New Roman"/>
        </w:rPr>
        <w:t xml:space="preserve">. </w:t>
      </w:r>
      <w:r w:rsidRPr="00935723">
        <w:rPr>
          <w:rFonts w:eastAsia="Times New Roman"/>
        </w:rPr>
        <w:t xml:space="preserve"> </w:t>
      </w:r>
      <w:r w:rsidR="007C7002">
        <w:rPr>
          <w:rFonts w:eastAsia="Times New Roman"/>
        </w:rPr>
        <w:t>To ensure that an LSE has sufficient charging capacity, i</w:t>
      </w:r>
      <w:r w:rsidR="000230AD">
        <w:rPr>
          <w:rFonts w:eastAsia="Times New Roman"/>
        </w:rPr>
        <w:t>f an LSE elects to show standalone energy storage in bucket 4 in its 2024 RA compliance filing</w:t>
      </w:r>
      <w:r w:rsidR="007C7002">
        <w:rPr>
          <w:rFonts w:eastAsia="Times New Roman"/>
        </w:rPr>
        <w:t>, the LSE must</w:t>
      </w:r>
      <w:r w:rsidR="000230AD">
        <w:rPr>
          <w:rFonts w:eastAsia="Times New Roman"/>
        </w:rPr>
        <w:t>:</w:t>
      </w:r>
    </w:p>
    <w:p w:rsidR="000230AD" w:rsidP="00392249" w:rsidRDefault="000230AD" w14:paraId="76A74D54" w14:textId="059F337E">
      <w:pPr>
        <w:pStyle w:val="Standard"/>
        <w:numPr>
          <w:ilvl w:val="0"/>
          <w:numId w:val="31"/>
        </w:numPr>
        <w:spacing w:line="240" w:lineRule="auto"/>
        <w:rPr>
          <w:rFonts w:eastAsia="Times New Roman"/>
        </w:rPr>
      </w:pPr>
      <w:r>
        <w:rPr>
          <w:rFonts w:eastAsia="Times New Roman"/>
        </w:rPr>
        <w:t xml:space="preserve">Show sufficient charging capacity on the </w:t>
      </w:r>
      <w:r w:rsidR="00A928D2">
        <w:rPr>
          <w:rFonts w:eastAsia="Times New Roman"/>
        </w:rPr>
        <w:t xml:space="preserve">SOD </w:t>
      </w:r>
      <w:r>
        <w:rPr>
          <w:rFonts w:eastAsia="Times New Roman"/>
        </w:rPr>
        <w:t xml:space="preserve">LSE Showing Tool for each </w:t>
      </w:r>
      <w:r w:rsidR="007C7002">
        <w:rPr>
          <w:rFonts w:eastAsia="Times New Roman"/>
        </w:rPr>
        <w:t>applicable month</w:t>
      </w:r>
      <w:r w:rsidR="00435415">
        <w:rPr>
          <w:rFonts w:eastAsia="Times New Roman"/>
        </w:rPr>
        <w:t xml:space="preserve"> measured based on the charging sufficiency check only</w:t>
      </w:r>
      <w:r w:rsidR="007C7002">
        <w:rPr>
          <w:rFonts w:eastAsia="Times New Roman"/>
        </w:rPr>
        <w:t>.</w:t>
      </w:r>
      <w:r>
        <w:rPr>
          <w:rFonts w:eastAsia="Times New Roman"/>
        </w:rPr>
        <w:t xml:space="preserve"> </w:t>
      </w:r>
      <w:r w:rsidR="007C7002">
        <w:rPr>
          <w:rFonts w:eastAsia="Times New Roman"/>
        </w:rPr>
        <w:t>The</w:t>
      </w:r>
      <w:r w:rsidR="00A928D2">
        <w:rPr>
          <w:rFonts w:eastAsia="Times New Roman"/>
        </w:rPr>
        <w:t xml:space="preserve"> SOD</w:t>
      </w:r>
      <w:r w:rsidR="007C7002">
        <w:rPr>
          <w:rFonts w:eastAsia="Times New Roman"/>
        </w:rPr>
        <w:t xml:space="preserve"> LSE Showing Tool is due </w:t>
      </w:r>
      <w:r>
        <w:rPr>
          <w:rFonts w:eastAsia="Times New Roman"/>
        </w:rPr>
        <w:t xml:space="preserve">by the </w:t>
      </w:r>
      <w:r w:rsidR="007C7002">
        <w:rPr>
          <w:rFonts w:eastAsia="Times New Roman"/>
        </w:rPr>
        <w:t xml:space="preserve">applicable </w:t>
      </w:r>
      <w:r>
        <w:rPr>
          <w:rFonts w:eastAsia="Times New Roman"/>
        </w:rPr>
        <w:t>compliance filing d</w:t>
      </w:r>
      <w:r w:rsidR="007C7002">
        <w:rPr>
          <w:rFonts w:eastAsia="Times New Roman"/>
        </w:rPr>
        <w:t>eadline (</w:t>
      </w:r>
      <w:r w:rsidRPr="00CA46DC" w:rsidR="00392249">
        <w:rPr>
          <w:rFonts w:eastAsia="Times New Roman"/>
          <w:i/>
          <w:iCs/>
        </w:rPr>
        <w:t xml:space="preserve">i.e., </w:t>
      </w:r>
      <w:r w:rsidR="007C7002">
        <w:rPr>
          <w:rFonts w:eastAsia="Times New Roman"/>
        </w:rPr>
        <w:t xml:space="preserve">October 31 for </w:t>
      </w:r>
      <w:r w:rsidR="00392249">
        <w:rPr>
          <w:rFonts w:eastAsia="Times New Roman"/>
        </w:rPr>
        <w:t xml:space="preserve">the </w:t>
      </w:r>
      <w:r w:rsidR="007C7002">
        <w:rPr>
          <w:rFonts w:eastAsia="Times New Roman"/>
        </w:rPr>
        <w:t>year-ahead</w:t>
      </w:r>
      <w:r w:rsidR="00392249">
        <w:rPr>
          <w:rFonts w:eastAsia="Times New Roman"/>
        </w:rPr>
        <w:t xml:space="preserve"> filing</w:t>
      </w:r>
      <w:r w:rsidR="007C7002">
        <w:rPr>
          <w:rFonts w:eastAsia="Times New Roman"/>
        </w:rPr>
        <w:t xml:space="preserve">, 45 days </w:t>
      </w:r>
      <w:r w:rsidR="00392249">
        <w:rPr>
          <w:rFonts w:eastAsia="Times New Roman"/>
        </w:rPr>
        <w:t>before the compliance month for month-ahead filings).</w:t>
      </w:r>
    </w:p>
    <w:p w:rsidR="00392249" w:rsidP="00CA46DC" w:rsidRDefault="00392249" w14:paraId="5D064ECC" w14:textId="77777777">
      <w:pPr>
        <w:pStyle w:val="Standard"/>
        <w:spacing w:line="240" w:lineRule="auto"/>
        <w:ind w:left="1080" w:firstLine="0"/>
        <w:rPr>
          <w:rFonts w:eastAsia="Times New Roman"/>
        </w:rPr>
      </w:pPr>
    </w:p>
    <w:p w:rsidR="000230AD" w:rsidP="00392249" w:rsidRDefault="000230AD" w14:paraId="4A8BEAEF" w14:textId="16C3F654">
      <w:pPr>
        <w:pStyle w:val="Standard"/>
        <w:numPr>
          <w:ilvl w:val="0"/>
          <w:numId w:val="31"/>
        </w:numPr>
        <w:spacing w:line="240" w:lineRule="auto"/>
        <w:rPr>
          <w:rFonts w:eastAsia="Times New Roman"/>
        </w:rPr>
      </w:pPr>
      <w:r>
        <w:rPr>
          <w:rFonts w:eastAsia="Times New Roman"/>
        </w:rPr>
        <w:t xml:space="preserve">Submit </w:t>
      </w:r>
      <w:r w:rsidR="00392249">
        <w:rPr>
          <w:rFonts w:eastAsia="Times New Roman"/>
        </w:rPr>
        <w:t>the LSE’s compliance filings for the</w:t>
      </w:r>
      <w:r>
        <w:rPr>
          <w:rFonts w:eastAsia="Times New Roman"/>
        </w:rPr>
        <w:t xml:space="preserve"> current RA program</w:t>
      </w:r>
      <w:r w:rsidR="00392249">
        <w:rPr>
          <w:rFonts w:eastAsia="Times New Roman"/>
        </w:rPr>
        <w:t>, due by the applicable compliance filing deadline.</w:t>
      </w:r>
      <w:r>
        <w:rPr>
          <w:rFonts w:eastAsia="Times New Roman"/>
        </w:rPr>
        <w:t xml:space="preserve"> </w:t>
      </w:r>
    </w:p>
    <w:p w:rsidR="00392249" w:rsidP="00CA46DC" w:rsidRDefault="00392249" w14:paraId="33049540" w14:textId="77777777">
      <w:pPr>
        <w:pStyle w:val="Standard"/>
        <w:spacing w:line="240" w:lineRule="auto"/>
        <w:ind w:firstLine="0"/>
        <w:rPr>
          <w:rFonts w:eastAsia="Times New Roman"/>
        </w:rPr>
      </w:pPr>
    </w:p>
    <w:p w:rsidRPr="00A41CD9" w:rsidR="00502045" w:rsidP="009B6774" w:rsidRDefault="00392249" w14:paraId="3597D416" w14:textId="29A77634">
      <w:pPr>
        <w:pStyle w:val="Standard"/>
        <w:rPr>
          <w:rFonts w:cs="TimesNewRomanPSMT"/>
          <w:color w:val="000000"/>
          <w:szCs w:val="26"/>
        </w:rPr>
      </w:pPr>
      <w:r>
        <w:rPr>
          <w:rFonts w:eastAsia="Times New Roman"/>
        </w:rPr>
        <w:t>We note that the above requirements are applicable to LSEs that show standalone energy storage in MCC bucket 4, even though</w:t>
      </w:r>
      <w:r w:rsidRPr="00935723" w:rsidR="00CA3C13">
        <w:rPr>
          <w:rFonts w:eastAsia="Times New Roman"/>
        </w:rPr>
        <w:t xml:space="preserve"> the SOD test year showings are adopted for a subset of months and a later submittal schedule, as further discussed </w:t>
      </w:r>
      <w:r>
        <w:rPr>
          <w:rFonts w:eastAsia="Times New Roman"/>
        </w:rPr>
        <w:t>in Section 5.9.</w:t>
      </w:r>
    </w:p>
    <w:p w:rsidR="00947B08" w:rsidP="00947B08" w:rsidRDefault="00947B08" w14:paraId="336188F9" w14:textId="172277E6">
      <w:pPr>
        <w:pStyle w:val="Heading2"/>
      </w:pPr>
      <w:bookmarkStart w:name="_Toc131762407" w:id="62"/>
      <w:r w:rsidRPr="00947B08">
        <w:t>Test Year Mechanics</w:t>
      </w:r>
      <w:bookmarkEnd w:id="62"/>
    </w:p>
    <w:p w:rsidR="00947B08" w:rsidP="00947B08" w:rsidRDefault="00947B08" w14:paraId="15E6662D" w14:textId="09ABB9BE">
      <w:pPr>
        <w:pStyle w:val="Standard"/>
      </w:pPr>
      <w:r>
        <w:t>In D.22</w:t>
      </w:r>
      <w:r w:rsidR="00B770B1">
        <w:noBreakHyphen/>
      </w:r>
      <w:r>
        <w:t>06</w:t>
      </w:r>
      <w:r w:rsidR="00B770B1">
        <w:noBreakHyphen/>
      </w:r>
      <w:r>
        <w:t>050, the Commission determined that a 2024</w:t>
      </w:r>
      <w:r w:rsidR="00B770B1">
        <w:t> </w:t>
      </w:r>
      <w:r>
        <w:t>test</w:t>
      </w:r>
      <w:r w:rsidR="00B770B1">
        <w:t> </w:t>
      </w:r>
      <w:r>
        <w:t>year would be appropriate prior to full implementation of the SOD framework in 2025.</w:t>
      </w:r>
      <w:r>
        <w:rPr>
          <w:rStyle w:val="FootnoteReference"/>
        </w:rPr>
        <w:footnoteReference w:id="168"/>
      </w:r>
      <w:r>
        <w:t xml:space="preserve">  The </w:t>
      </w:r>
      <w:r>
        <w:lastRenderedPageBreak/>
        <w:t>Commission further stated that development of the design of the 2024</w:t>
      </w:r>
      <w:r w:rsidR="00B770B1">
        <w:t> </w:t>
      </w:r>
      <w:r>
        <w:t>test</w:t>
      </w:r>
      <w:r w:rsidR="00B770B1">
        <w:t> </w:t>
      </w:r>
      <w:r>
        <w:t>year should be undertaken by parties in workshops.</w:t>
      </w:r>
    </w:p>
    <w:p w:rsidR="00947B08" w:rsidP="00947B08" w:rsidRDefault="00947B08" w14:paraId="42EA7748" w14:textId="35BA3A4B">
      <w:pPr>
        <w:pStyle w:val="Standard"/>
      </w:pPr>
      <w:r>
        <w:t>SCE proposes that for the test year</w:t>
      </w:r>
      <w:r w:rsidR="00BD41B6">
        <w:t>,</w:t>
      </w:r>
      <w:r>
        <w:t xml:space="preserve"> and to maintain consistency with current CAISO RA processes, the MRD and 24</w:t>
      </w:r>
      <w:r w:rsidR="00B770B1">
        <w:noBreakHyphen/>
      </w:r>
      <w:r>
        <w:t xml:space="preserve">hourly resource shapes should be expressed in terms of </w:t>
      </w:r>
      <w:r w:rsidR="00BD41B6">
        <w:t xml:space="preserve">a </w:t>
      </w:r>
      <w:r>
        <w:t>single-monthly NQC.</w:t>
      </w:r>
      <w:r>
        <w:rPr>
          <w:rStyle w:val="FootnoteReference"/>
        </w:rPr>
        <w:footnoteReference w:id="169"/>
      </w:r>
      <w:r>
        <w:t xml:space="preserve">  This would allow test</w:t>
      </w:r>
      <w:r w:rsidR="00B770B1">
        <w:t> </w:t>
      </w:r>
      <w:r>
        <w:t>year showings to be 24</w:t>
      </w:r>
      <w:r w:rsidR="00B770B1">
        <w:t> </w:t>
      </w:r>
      <w:r>
        <w:t>hourly slices and provide LSEs a connection with the Commission and CAISO showings under the current RA</w:t>
      </w:r>
      <w:r w:rsidR="00B770B1">
        <w:t> </w:t>
      </w:r>
      <w:r>
        <w:t>program.</w:t>
      </w:r>
    </w:p>
    <w:p w:rsidR="00947B08" w:rsidP="00947B08" w:rsidRDefault="00947B08" w14:paraId="37EEE211" w14:textId="2BD6D956">
      <w:pPr>
        <w:pStyle w:val="Standard"/>
      </w:pPr>
      <w:r>
        <w:t>EBCE proposes a feasibility assessment during the test year to assess whether the PRM is feasible given the resources available to meet the RA</w:t>
      </w:r>
      <w:r w:rsidR="00B770B1">
        <w:t> </w:t>
      </w:r>
      <w:r>
        <w:t>requirements.</w:t>
      </w:r>
      <w:r>
        <w:rPr>
          <w:rStyle w:val="FootnoteReference"/>
        </w:rPr>
        <w:footnoteReference w:id="170"/>
      </w:r>
      <w:r>
        <w:t xml:space="preserve">  EBCE also proposes a resource feasibility assessment during the test</w:t>
      </w:r>
      <w:r w:rsidR="00B770B1">
        <w:t> </w:t>
      </w:r>
      <w:r>
        <w:t>year using aggregate LSE showings to evaluate the need for inter</w:t>
      </w:r>
      <w:r w:rsidR="00B770B1">
        <w:noBreakHyphen/>
      </w:r>
      <w:r>
        <w:t xml:space="preserve">LSE hourly transactability.  While hourly transactability is not expected to be a feature at the implementation of the SOD framework, EBCE states that </w:t>
      </w:r>
      <w:r w:rsidR="00BD41B6">
        <w:t xml:space="preserve">it </w:t>
      </w:r>
      <w:r>
        <w:t>could be a useful tool during the test year.</w:t>
      </w:r>
    </w:p>
    <w:p w:rsidRPr="00947B08" w:rsidR="00947B08" w:rsidP="00947B08" w:rsidRDefault="00947B08" w14:paraId="205E8009" w14:textId="7825F5FB">
      <w:pPr>
        <w:pStyle w:val="Standard"/>
      </w:pPr>
      <w:r>
        <w:t>MRP recommends that the 2024 RA portfolio established using the current RA program rules and the appropriate PRM should be compared to the portfolio that would be shown under the SOD framework.</w:t>
      </w:r>
      <w:r>
        <w:rPr>
          <w:rStyle w:val="FootnoteReference"/>
        </w:rPr>
        <w:footnoteReference w:id="171"/>
      </w:r>
      <w:r>
        <w:t xml:space="preserve">  MRP also proposes test</w:t>
      </w:r>
      <w:r w:rsidR="00B770B1">
        <w:t> </w:t>
      </w:r>
      <w:r>
        <w:t>year exit criteria for measuring whether the SOD framework is implementable and what modifications are necessary following the test year.  The exit criteria should include</w:t>
      </w:r>
      <w:proofErr w:type="gramStart"/>
      <w:r>
        <w:t>:</w:t>
      </w:r>
      <w:r w:rsidR="00B770B1">
        <w:t xml:space="preserve"> </w:t>
      </w:r>
      <w:r>
        <w:t xml:space="preserve"> (</w:t>
      </w:r>
      <w:proofErr w:type="gramEnd"/>
      <w:r>
        <w:t>1)</w:t>
      </w:r>
      <w:r w:rsidR="00B770B1">
        <w:t> </w:t>
      </w:r>
      <w:r>
        <w:t>whether the showing and compliance tools and processes function as intended, and (2)</w:t>
      </w:r>
      <w:r w:rsidR="00B770B1">
        <w:t> </w:t>
      </w:r>
      <w:r>
        <w:t>whether CAISO systems and templates are ready for the 2025 compliance year.</w:t>
      </w:r>
    </w:p>
    <w:p w:rsidR="00947B08" w:rsidP="00947B08" w:rsidRDefault="00947B08" w14:paraId="469D726E" w14:textId="13552616">
      <w:pPr>
        <w:pStyle w:val="Heading3"/>
      </w:pPr>
      <w:bookmarkStart w:name="_Toc131762408" w:id="63"/>
      <w:r w:rsidRPr="00947B08">
        <w:lastRenderedPageBreak/>
        <w:t>Comments on Proposals</w:t>
      </w:r>
      <w:bookmarkEnd w:id="63"/>
    </w:p>
    <w:p w:rsidR="00947B08" w:rsidP="00947B08" w:rsidRDefault="00947B08" w14:paraId="3D1217C9" w14:textId="43F64274">
      <w:pPr>
        <w:pStyle w:val="Standard"/>
      </w:pPr>
      <w:r>
        <w:t>PG&amp;E asserts that the test year should focus on LSEs readying their procurement practices and portfolios for 2025.</w:t>
      </w:r>
      <w:r>
        <w:rPr>
          <w:rStyle w:val="FootnoteReference"/>
        </w:rPr>
        <w:footnoteReference w:id="172"/>
      </w:r>
      <w:r>
        <w:t xml:space="preserve">  WPTF states that the test</w:t>
      </w:r>
      <w:r w:rsidR="00B770B1">
        <w:t> </w:t>
      </w:r>
      <w:r>
        <w:t xml:space="preserve">year should identify administrative issues and </w:t>
      </w:r>
      <w:r w:rsidR="00BD41B6">
        <w:t xml:space="preserve">that </w:t>
      </w:r>
      <w:r>
        <w:t xml:space="preserve">a </w:t>
      </w:r>
      <w:r w:rsidR="005305FC">
        <w:t xml:space="preserve">working group </w:t>
      </w:r>
      <w:r w:rsidR="00BD41B6">
        <w:t>should be convened to resolve any issues</w:t>
      </w:r>
      <w:r>
        <w:t>, if needed.</w:t>
      </w:r>
      <w:r>
        <w:rPr>
          <w:rStyle w:val="FootnoteReference"/>
        </w:rPr>
        <w:footnoteReference w:id="173"/>
      </w:r>
      <w:r>
        <w:t xml:space="preserve">  After the test year showing, MRP recommends that Energy</w:t>
      </w:r>
      <w:r w:rsidR="00B770B1">
        <w:t> </w:t>
      </w:r>
      <w:r>
        <w:t>Division prepare a report identifying any problems, that the Commission consult with parties to consider solutions, and that Energy</w:t>
      </w:r>
      <w:r w:rsidR="00B770B1">
        <w:t> </w:t>
      </w:r>
      <w:r>
        <w:t>Division and parties confer as to whether implementation should be delayed.</w:t>
      </w:r>
      <w:r>
        <w:rPr>
          <w:rStyle w:val="FootnoteReference"/>
        </w:rPr>
        <w:footnoteReference w:id="174"/>
      </w:r>
    </w:p>
    <w:p w:rsidR="00947B08" w:rsidP="00947B08" w:rsidRDefault="00947B08" w14:paraId="7A2741CC" w14:textId="58CD6955">
      <w:pPr>
        <w:pStyle w:val="Standard"/>
      </w:pPr>
      <w:r>
        <w:t>Cal</w:t>
      </w:r>
      <w:r w:rsidR="00B770B1">
        <w:t> </w:t>
      </w:r>
      <w:r>
        <w:t>Advocates suggests that parties have an opportunity to evaluate the test</w:t>
      </w:r>
      <w:r w:rsidR="00B770B1">
        <w:t> </w:t>
      </w:r>
      <w:r>
        <w:t xml:space="preserve">year through </w:t>
      </w:r>
      <w:r w:rsidR="005305FC">
        <w:t xml:space="preserve">working groups </w:t>
      </w:r>
      <w:r>
        <w:t>or comments and that this should occur after certain milestones beginning in 2023 (</w:t>
      </w:r>
      <w:r w:rsidRPr="005776C9">
        <w:rPr>
          <w:i/>
          <w:iCs/>
        </w:rPr>
        <w:t>e.g.</w:t>
      </w:r>
      <w:r>
        <w:t>, submission of year-ahead load forecasts, submission of year-ahead showings).</w:t>
      </w:r>
      <w:r>
        <w:rPr>
          <w:rStyle w:val="FootnoteReference"/>
        </w:rPr>
        <w:footnoteReference w:id="175"/>
      </w:r>
      <w:r>
        <w:t xml:space="preserve">  ACP-CA advocates for additional test</w:t>
      </w:r>
      <w:r w:rsidR="00B770B1">
        <w:t> </w:t>
      </w:r>
      <w:r>
        <w:t>years if the 2024 test year reveals many LSEs that previously had sufficient RA supply plans are deficient under the new framework.</w:t>
      </w:r>
      <w:r>
        <w:rPr>
          <w:rStyle w:val="FootnoteReference"/>
        </w:rPr>
        <w:footnoteReference w:id="176"/>
      </w:r>
      <w:r>
        <w:t xml:space="preserve">  CEJA/CEERT recommend that the test year include an analysis of how the new framework could impact contracting for gas resources, as compared to the current RA</w:t>
      </w:r>
      <w:r w:rsidR="00B770B1">
        <w:t> </w:t>
      </w:r>
      <w:r>
        <w:t>program.</w:t>
      </w:r>
      <w:r>
        <w:rPr>
          <w:rStyle w:val="FootnoteReference"/>
        </w:rPr>
        <w:footnoteReference w:id="177"/>
      </w:r>
    </w:p>
    <w:p w:rsidR="00947B08" w:rsidP="00947B08" w:rsidRDefault="00947B08" w14:paraId="4F142FC3" w14:textId="6A891F25">
      <w:pPr>
        <w:pStyle w:val="Standard"/>
      </w:pPr>
      <w:proofErr w:type="spellStart"/>
      <w:r>
        <w:lastRenderedPageBreak/>
        <w:t>CalCCA</w:t>
      </w:r>
      <w:proofErr w:type="spellEnd"/>
      <w:r>
        <w:t xml:space="preserve"> supports EBCE’s hourly transactability test.</w:t>
      </w:r>
      <w:r>
        <w:rPr>
          <w:rStyle w:val="FootnoteReference"/>
        </w:rPr>
        <w:footnoteReference w:id="178"/>
      </w:r>
      <w:r>
        <w:t xml:space="preserve">  </w:t>
      </w:r>
      <w:proofErr w:type="spellStart"/>
      <w:r>
        <w:t>AReM</w:t>
      </w:r>
      <w:proofErr w:type="spellEnd"/>
      <w:r>
        <w:t>, Cal</w:t>
      </w:r>
      <w:r w:rsidR="00B770B1">
        <w:t> </w:t>
      </w:r>
      <w:r>
        <w:t>Advocates, MRP, PG&amp;E, and WPTF object to an hourly transactability test during the test year or state there was insufficient record to adopt one.</w:t>
      </w:r>
      <w:r>
        <w:rPr>
          <w:rStyle w:val="FootnoteReference"/>
        </w:rPr>
        <w:footnoteReference w:id="179"/>
      </w:r>
      <w:r>
        <w:t xml:space="preserve">  PG&amp;E and </w:t>
      </w:r>
      <w:proofErr w:type="spellStart"/>
      <w:r>
        <w:t>AReM</w:t>
      </w:r>
      <w:proofErr w:type="spellEnd"/>
      <w:r>
        <w:t xml:space="preserve"> note that the Commission already stated </w:t>
      </w:r>
      <w:r w:rsidR="00BD41B6">
        <w:t xml:space="preserve">in D.22-06-050 </w:t>
      </w:r>
      <w:r>
        <w:t>that it wanted to see a clear need for hourly transactability after implementation before taking further action. WPTF argues that such an assessment during the test year would be tentative because LSEs are not required to show RA portfolios that meet their individual allocations</w:t>
      </w:r>
      <w:r w:rsidR="00BD41B6">
        <w:t xml:space="preserve"> during the test year</w:t>
      </w:r>
      <w:r>
        <w:t xml:space="preserve">.  PG&amp;E points out that </w:t>
      </w:r>
      <w:r w:rsidR="00BD41B6">
        <w:t xml:space="preserve">because </w:t>
      </w:r>
      <w:r>
        <w:t>LSEs do not face penalties or backstop risk for insufficient test</w:t>
      </w:r>
      <w:r w:rsidR="00B770B1">
        <w:t> </w:t>
      </w:r>
      <w:r>
        <w:t xml:space="preserve">year showings, it should be expected that LSEs may be deficient in </w:t>
      </w:r>
      <w:r w:rsidR="00BD41B6">
        <w:t>these</w:t>
      </w:r>
      <w:r>
        <w:t xml:space="preserve"> showings.</w:t>
      </w:r>
      <w:r>
        <w:rPr>
          <w:rStyle w:val="FootnoteReference"/>
        </w:rPr>
        <w:footnoteReference w:id="180"/>
      </w:r>
      <w:r>
        <w:t xml:space="preserve">  Thus, PG&amp;E contends that the Commission will lack sufficient information from the test year to base </w:t>
      </w:r>
      <w:r w:rsidR="00BD41B6">
        <w:t xml:space="preserve">such an </w:t>
      </w:r>
      <w:r>
        <w:t xml:space="preserve">assessment.  </w:t>
      </w:r>
    </w:p>
    <w:p w:rsidR="00947B08" w:rsidP="00947B08" w:rsidRDefault="00947B08" w14:paraId="54792108" w14:textId="46B79B2C">
      <w:pPr>
        <w:pStyle w:val="Standard"/>
      </w:pPr>
      <w:proofErr w:type="spellStart"/>
      <w:r>
        <w:t>CalCCA</w:t>
      </w:r>
      <w:proofErr w:type="spellEnd"/>
      <w:r>
        <w:t xml:space="preserve"> supports a resource feasibility test and recommends a system waiver process if the test fails.</w:t>
      </w:r>
      <w:r>
        <w:rPr>
          <w:rStyle w:val="FootnoteReference"/>
        </w:rPr>
        <w:footnoteReference w:id="181"/>
      </w:r>
      <w:r>
        <w:t xml:space="preserve">  WPTF and MRP oppose this assessment during the test</w:t>
      </w:r>
      <w:r w:rsidR="00B770B1">
        <w:t> </w:t>
      </w:r>
      <w:r>
        <w:t>year, with WPTF stating that LSEs are expected to bring on several</w:t>
      </w:r>
      <w:r w:rsidR="00B770B1">
        <w:t> </w:t>
      </w:r>
      <w:r>
        <w:t xml:space="preserve">thousand MWs of new system resources </w:t>
      </w:r>
      <w:r w:rsidR="00BD41B6">
        <w:t xml:space="preserve">in </w:t>
      </w:r>
      <w:r>
        <w:t xml:space="preserve">2024 and </w:t>
      </w:r>
      <w:r w:rsidR="00BD41B6">
        <w:t xml:space="preserve">that the </w:t>
      </w:r>
      <w:r>
        <w:t>conditions observed by the feasibility test are not likely to persist beyond the test</w:t>
      </w:r>
      <w:r w:rsidR="00B770B1">
        <w:t> </w:t>
      </w:r>
      <w:r>
        <w:t>year.</w:t>
      </w:r>
      <w:r>
        <w:rPr>
          <w:rStyle w:val="FootnoteReference"/>
        </w:rPr>
        <w:footnoteReference w:id="182"/>
      </w:r>
      <w:r>
        <w:t xml:space="preserve">  </w:t>
      </w:r>
    </w:p>
    <w:p w:rsidRPr="00240525" w:rsidR="00947B08" w:rsidP="00947B08" w:rsidRDefault="00947B08" w14:paraId="45F51DE7" w14:textId="4294DEF6">
      <w:pPr>
        <w:pStyle w:val="Standard"/>
      </w:pPr>
      <w:r>
        <w:t>WPTF recommends that the test</w:t>
      </w:r>
      <w:r w:rsidR="00B770B1">
        <w:t> </w:t>
      </w:r>
      <w:r>
        <w:t>year consist of a year</w:t>
      </w:r>
      <w:r w:rsidR="00B770B1">
        <w:noBreakHyphen/>
      </w:r>
      <w:r>
        <w:t>ahead showing and only a sampling of month</w:t>
      </w:r>
      <w:r w:rsidR="00B770B1">
        <w:noBreakHyphen/>
      </w:r>
      <w:r>
        <w:t>ahead showings.</w:t>
      </w:r>
      <w:r>
        <w:rPr>
          <w:rStyle w:val="FootnoteReference"/>
        </w:rPr>
        <w:footnoteReference w:id="183"/>
      </w:r>
      <w:r>
        <w:t xml:space="preserve">  WPTF advocates for submitting the year</w:t>
      </w:r>
      <w:r w:rsidR="00B770B1">
        <w:noBreakHyphen/>
      </w:r>
      <w:r>
        <w:t xml:space="preserve">ahead </w:t>
      </w:r>
      <w:r w:rsidR="00BD41B6">
        <w:t xml:space="preserve">SOD </w:t>
      </w:r>
      <w:r>
        <w:t>showing by November</w:t>
      </w:r>
      <w:r w:rsidR="00B770B1">
        <w:t> </w:t>
      </w:r>
      <w:r>
        <w:t xml:space="preserve">30, so as not to unduly burden LSEs </w:t>
      </w:r>
      <w:r>
        <w:lastRenderedPageBreak/>
        <w:t>and Energy</w:t>
      </w:r>
      <w:r w:rsidR="00B770B1">
        <w:t> </w:t>
      </w:r>
      <w:r>
        <w:t xml:space="preserve">Division </w:t>
      </w:r>
      <w:r w:rsidR="00815A78">
        <w:t xml:space="preserve">with the SOD showing being due </w:t>
      </w:r>
      <w:r>
        <w:t xml:space="preserve">alongside the </w:t>
      </w:r>
      <w:r w:rsidR="00815A78">
        <w:t xml:space="preserve">current year-ahead </w:t>
      </w:r>
      <w:r>
        <w:t>RA showing</w:t>
      </w:r>
      <w:r w:rsidR="00815A78">
        <w:t xml:space="preserve"> on October 31</w:t>
      </w:r>
      <w:r>
        <w:t xml:space="preserve">.  WPTF proposes that LSEs in the test year should be permitted to include resources different from those on their regular showing, so long as the additional resource is expected to come online during the compliance period and the LSE plans to utilize the resource for compliance with future hourly RA requirements.  PG&amp;E supports WPTF’s proposals to simplify the test year so long as LSEs </w:t>
      </w:r>
      <w:r w:rsidR="00815A78">
        <w:t xml:space="preserve">can </w:t>
      </w:r>
      <w:r>
        <w:t xml:space="preserve">count storage </w:t>
      </w:r>
      <w:r w:rsidR="00815A78">
        <w:t xml:space="preserve">in </w:t>
      </w:r>
      <w:r>
        <w:t>MCC bucket</w:t>
      </w:r>
      <w:r w:rsidR="00B770B1">
        <w:t> </w:t>
      </w:r>
      <w:r>
        <w:t>4 in all months.</w:t>
      </w:r>
      <w:r>
        <w:rPr>
          <w:rStyle w:val="FootnoteReference"/>
        </w:rPr>
        <w:footnoteReference w:id="184"/>
      </w:r>
    </w:p>
    <w:p w:rsidR="00947B08" w:rsidP="00947B08" w:rsidRDefault="00947B08" w14:paraId="58AD11B1" w14:textId="64EA6763">
      <w:pPr>
        <w:pStyle w:val="Heading3"/>
      </w:pPr>
      <w:bookmarkStart w:name="_Toc131762409" w:id="64"/>
      <w:r>
        <w:t>Discussion</w:t>
      </w:r>
      <w:bookmarkEnd w:id="64"/>
    </w:p>
    <w:p w:rsidR="00947B08" w:rsidP="00947B08" w:rsidRDefault="00947B08" w14:paraId="1DC7FF0B" w14:textId="5F771B67">
      <w:pPr>
        <w:pStyle w:val="Standard"/>
      </w:pPr>
      <w:r>
        <w:t>The Commission’s goals during the test year are</w:t>
      </w:r>
      <w:proofErr w:type="gramStart"/>
      <w:r>
        <w:t>:</w:t>
      </w:r>
      <w:r w:rsidR="00B770B1">
        <w:t xml:space="preserve"> </w:t>
      </w:r>
      <w:r>
        <w:t xml:space="preserve"> (</w:t>
      </w:r>
      <w:proofErr w:type="gramEnd"/>
      <w:r>
        <w:t>1)</w:t>
      </w:r>
      <w:r w:rsidR="00B770B1">
        <w:t> </w:t>
      </w:r>
      <w:r>
        <w:t>for LSEs and Energy</w:t>
      </w:r>
      <w:r w:rsidR="00B770B1">
        <w:t> </w:t>
      </w:r>
      <w:r>
        <w:t xml:space="preserve">Division to test the </w:t>
      </w:r>
      <w:r w:rsidR="00815A78">
        <w:t xml:space="preserve">new </w:t>
      </w:r>
      <w:r>
        <w:t>showing and compliance tools, as well as the new SOD rules to determine whether adjustments are needed, and (2)</w:t>
      </w:r>
      <w:r w:rsidR="001869AC">
        <w:t> </w:t>
      </w:r>
      <w:r>
        <w:t>for LSEs to adjust their procurement practices and RA portfolios in preparation for the 2025 full implementation year.  The Commission anticipates that minor adjustments to the compliance tools and program rules may be necessary following the test year.</w:t>
      </w:r>
    </w:p>
    <w:p w:rsidR="00947B08" w:rsidP="00947B08" w:rsidRDefault="00947B08" w14:paraId="1C8FFDF9" w14:textId="1AE83FD5">
      <w:pPr>
        <w:pStyle w:val="Standard"/>
      </w:pPr>
      <w:r w:rsidRPr="00AD20B5">
        <w:t xml:space="preserve">The Commission </w:t>
      </w:r>
      <w:r>
        <w:t xml:space="preserve">agrees with </w:t>
      </w:r>
      <w:r w:rsidRPr="00AD20B5">
        <w:t>WPTF</w:t>
      </w:r>
      <w:r>
        <w:t xml:space="preserve"> </w:t>
      </w:r>
      <w:r w:rsidRPr="00AD20B5">
        <w:t xml:space="preserve">that showings for the </w:t>
      </w:r>
      <w:r>
        <w:t xml:space="preserve">2024 </w:t>
      </w:r>
      <w:r w:rsidRPr="00AD20B5">
        <w:t>test</w:t>
      </w:r>
      <w:r w:rsidR="001869AC">
        <w:t> </w:t>
      </w:r>
      <w:r w:rsidRPr="00AD20B5">
        <w:t xml:space="preserve">year should be limited to a year-ahead compliance showing and a sample of month-ahead compliance showings, so as not to </w:t>
      </w:r>
      <w:r>
        <w:t>over</w:t>
      </w:r>
      <w:r w:rsidRPr="00AD20B5">
        <w:t xml:space="preserve">burden LSEs </w:t>
      </w:r>
      <w:r>
        <w:t>(</w:t>
      </w:r>
      <w:r w:rsidRPr="00AD20B5">
        <w:t>and Energy</w:t>
      </w:r>
      <w:r w:rsidR="001869AC">
        <w:t> </w:t>
      </w:r>
      <w:r w:rsidRPr="00AD20B5">
        <w:t>Division</w:t>
      </w:r>
      <w:r>
        <w:t>)</w:t>
      </w:r>
      <w:r w:rsidRPr="00AD20B5">
        <w:t xml:space="preserve"> </w:t>
      </w:r>
      <w:r>
        <w:t>while they simultaneously comply with</w:t>
      </w:r>
      <w:r w:rsidRPr="00AD20B5">
        <w:t xml:space="preserve"> </w:t>
      </w:r>
      <w:r>
        <w:t xml:space="preserve">the </w:t>
      </w:r>
      <w:r w:rsidRPr="00AD20B5">
        <w:t xml:space="preserve">current RA </w:t>
      </w:r>
      <w:r>
        <w:t>requirements</w:t>
      </w:r>
      <w:r w:rsidR="00815A78">
        <w:t xml:space="preserve"> and showings</w:t>
      </w:r>
      <w:r w:rsidRPr="00AD20B5">
        <w:t xml:space="preserve">.  </w:t>
      </w:r>
      <w:r>
        <w:t>We agree that the year-ahead showing for the test</w:t>
      </w:r>
      <w:r w:rsidR="001869AC">
        <w:t> </w:t>
      </w:r>
      <w:r>
        <w:t>year should be submitted on November</w:t>
      </w:r>
      <w:r w:rsidR="001869AC">
        <w:t> </w:t>
      </w:r>
      <w:r>
        <w:t xml:space="preserve">30.  </w:t>
      </w:r>
    </w:p>
    <w:p w:rsidR="00947B08" w:rsidP="00947B08" w:rsidRDefault="00947B08" w14:paraId="5B0EFD0B" w14:textId="05B11D33">
      <w:pPr>
        <w:pStyle w:val="Standard"/>
      </w:pPr>
      <w:r w:rsidRPr="00935723">
        <w:t>Accordingly, for the 2024</w:t>
      </w:r>
      <w:r w:rsidRPr="00935723" w:rsidR="001869AC">
        <w:t> </w:t>
      </w:r>
      <w:r w:rsidRPr="00935723">
        <w:t>test</w:t>
      </w:r>
      <w:r w:rsidRPr="00935723" w:rsidR="001869AC">
        <w:t> </w:t>
      </w:r>
      <w:r w:rsidRPr="00935723">
        <w:t>year, LSEs shall submit a year</w:t>
      </w:r>
      <w:r w:rsidRPr="00935723" w:rsidR="001869AC">
        <w:noBreakHyphen/>
      </w:r>
      <w:r w:rsidRPr="00935723">
        <w:t>ahead compliance showing by November</w:t>
      </w:r>
      <w:r w:rsidRPr="00935723" w:rsidR="001869AC">
        <w:t> </w:t>
      </w:r>
      <w:r w:rsidRPr="00935723">
        <w:t>30,</w:t>
      </w:r>
      <w:r w:rsidRPr="00935723" w:rsidR="001869AC">
        <w:t> </w:t>
      </w:r>
      <w:r w:rsidRPr="00935723">
        <w:t>2023.  Month</w:t>
      </w:r>
      <w:r w:rsidRPr="00935723" w:rsidR="001869AC">
        <w:noBreakHyphen/>
      </w:r>
      <w:r w:rsidRPr="00935723">
        <w:t xml:space="preserve">ahead compliance showings shall be limited to March, June, and September and shall be submitted by the </w:t>
      </w:r>
      <w:r w:rsidRPr="00935723">
        <w:lastRenderedPageBreak/>
        <w:t>first day of the showing month.</w:t>
      </w:r>
      <w:r w:rsidRPr="00AD20B5">
        <w:t xml:space="preserve">  </w:t>
      </w:r>
      <w:r w:rsidR="00A928D2">
        <w:t>T</w:t>
      </w:r>
      <w:r w:rsidRPr="00935723" w:rsidR="00A928D2">
        <w:t xml:space="preserve">he exception </w:t>
      </w:r>
      <w:r w:rsidR="00A928D2">
        <w:t xml:space="preserve">to this test year filing timeline is if an LSE chooses to </w:t>
      </w:r>
      <w:r w:rsidRPr="00935723" w:rsidR="00A928D2">
        <w:t xml:space="preserve">show energy storage resources in MCC bucket 4 and thus </w:t>
      </w:r>
      <w:r w:rsidR="00163526">
        <w:t>is</w:t>
      </w:r>
      <w:r w:rsidRPr="00935723" w:rsidR="00A928D2">
        <w:t xml:space="preserve"> required to show sufficient charging capacity in any applicable month, as discussed in the previous section.</w:t>
      </w:r>
      <w:r w:rsidRPr="00AD20B5" w:rsidR="00A928D2">
        <w:t xml:space="preserve">  </w:t>
      </w:r>
    </w:p>
    <w:p w:rsidR="00947B08" w:rsidP="00947B08" w:rsidRDefault="00947B08" w14:paraId="690E62B0" w14:textId="5AE57CC2">
      <w:pPr>
        <w:pStyle w:val="Standard"/>
      </w:pPr>
      <w:r>
        <w:rPr>
          <w:rFonts w:eastAsia="Times New Roman"/>
          <w:szCs w:val="26"/>
        </w:rPr>
        <w:t>As determined in D.22</w:t>
      </w:r>
      <w:r w:rsidR="001869AC">
        <w:rPr>
          <w:rFonts w:eastAsia="Times New Roman"/>
          <w:szCs w:val="26"/>
        </w:rPr>
        <w:noBreakHyphen/>
      </w:r>
      <w:r>
        <w:rPr>
          <w:rFonts w:eastAsia="Times New Roman"/>
          <w:szCs w:val="26"/>
        </w:rPr>
        <w:t>06</w:t>
      </w:r>
      <w:r w:rsidR="001869AC">
        <w:rPr>
          <w:rFonts w:eastAsia="Times New Roman"/>
          <w:szCs w:val="26"/>
        </w:rPr>
        <w:noBreakHyphen/>
      </w:r>
      <w:r>
        <w:rPr>
          <w:rFonts w:eastAsia="Times New Roman"/>
          <w:szCs w:val="26"/>
        </w:rPr>
        <w:t>050, “</w:t>
      </w:r>
      <w:r w:rsidRPr="007C5AEE">
        <w:rPr>
          <w:rFonts w:eastAsia="Times New Roman"/>
          <w:szCs w:val="26"/>
        </w:rPr>
        <w:t>we decline to consider hourly resource or load obligation trading for inclusion in the 24</w:t>
      </w:r>
      <w:r w:rsidR="001869AC">
        <w:rPr>
          <w:rFonts w:eastAsia="Times New Roman"/>
          <w:szCs w:val="26"/>
        </w:rPr>
        <w:noBreakHyphen/>
      </w:r>
      <w:r w:rsidRPr="007C5AEE">
        <w:rPr>
          <w:rFonts w:eastAsia="Times New Roman"/>
          <w:szCs w:val="26"/>
        </w:rPr>
        <w:t>hour framework</w:t>
      </w:r>
      <w:r>
        <w:rPr>
          <w:rFonts w:eastAsia="Times New Roman"/>
          <w:szCs w:val="26"/>
        </w:rPr>
        <w:t xml:space="preserve"> at this time</w:t>
      </w:r>
      <w:r w:rsidRPr="007C5AEE">
        <w:rPr>
          <w:rFonts w:eastAsia="Times New Roman"/>
          <w:szCs w:val="26"/>
        </w:rPr>
        <w:t xml:space="preserve">.  </w:t>
      </w:r>
      <w:r>
        <w:rPr>
          <w:rFonts w:eastAsia="Times New Roman"/>
          <w:szCs w:val="26"/>
        </w:rPr>
        <w:t xml:space="preserve">However, </w:t>
      </w:r>
      <w:r>
        <w:t>if transactability and inefficiency concerns arise once the new 24</w:t>
      </w:r>
      <w:r w:rsidR="001869AC">
        <w:noBreakHyphen/>
      </w:r>
      <w:r>
        <w:t>hour framework is implemented, the Commission may consider proposals to include hourly obligation trading.”</w:t>
      </w:r>
      <w:r>
        <w:rPr>
          <w:rStyle w:val="FootnoteReference"/>
        </w:rPr>
        <w:footnoteReference w:id="185"/>
      </w:r>
      <w:r>
        <w:t xml:space="preserve">  The Commission maintains the rationale outlined in D.22</w:t>
      </w:r>
      <w:r w:rsidR="001869AC">
        <w:noBreakHyphen/>
      </w:r>
      <w:r>
        <w:t>06</w:t>
      </w:r>
      <w:r w:rsidR="001869AC">
        <w:noBreakHyphen/>
      </w:r>
      <w:r>
        <w:t>050 and thus, sees no reason to apply a test</w:t>
      </w:r>
      <w:r w:rsidR="001869AC">
        <w:t> </w:t>
      </w:r>
      <w:r>
        <w:t>year assessment that considers the need for inter</w:t>
      </w:r>
      <w:r w:rsidR="001869AC">
        <w:noBreakHyphen/>
      </w:r>
      <w:r>
        <w:t>LSE hourly transactability.  As stated in D.22</w:t>
      </w:r>
      <w:r w:rsidR="001869AC">
        <w:noBreakHyphen/>
      </w:r>
      <w:r>
        <w:t>06</w:t>
      </w:r>
      <w:r w:rsidR="001869AC">
        <w:noBreakHyphen/>
      </w:r>
      <w:r>
        <w:t>050, should these concerns arise once the SOD framework is implemented – after the test year – the Commission may consider such proposals.</w:t>
      </w:r>
    </w:p>
    <w:p w:rsidR="00947B08" w:rsidP="00947B08" w:rsidRDefault="00947B08" w14:paraId="67ECF604" w14:textId="55578F17">
      <w:pPr>
        <w:pStyle w:val="Standard"/>
      </w:pPr>
      <w:r>
        <w:t xml:space="preserve">As discussed in Section </w:t>
      </w:r>
      <w:r w:rsidR="00877438">
        <w:t>5.7</w:t>
      </w:r>
      <w:r>
        <w:t>, the Commission declines to adopt ECBE’s feasibility assessment for the test year.  As LSEs are not required to meet their hourly RA</w:t>
      </w:r>
      <w:r w:rsidR="001869AC">
        <w:t> </w:t>
      </w:r>
      <w:r>
        <w:t>requirements and</w:t>
      </w:r>
      <w:r w:rsidRPr="008827CF">
        <w:t xml:space="preserve"> </w:t>
      </w:r>
      <w:r>
        <w:t>compliance penalties are not imposed for the test</w:t>
      </w:r>
      <w:r w:rsidR="001869AC">
        <w:t> </w:t>
      </w:r>
      <w:r>
        <w:t xml:space="preserve">year, deficiencies during the test year are plausible.  </w:t>
      </w:r>
    </w:p>
    <w:p w:rsidRPr="00B6763A" w:rsidR="00831A3F" w:rsidP="00831A3F" w:rsidRDefault="00877438" w14:paraId="355CDBE3" w14:textId="323B14F2">
      <w:pPr>
        <w:pStyle w:val="Standard"/>
      </w:pPr>
      <w:r>
        <w:t>The</w:t>
      </w:r>
      <w:r w:rsidR="00947B08">
        <w:t xml:space="preserve"> Commission declines to adopt exit criteria for the test year.  The Commission</w:t>
      </w:r>
      <w:r>
        <w:t>, however,</w:t>
      </w:r>
      <w:r w:rsidR="00947B08">
        <w:t xml:space="preserve"> agrees that parties should have an opportunity to provide feedback during the test year.  Energy</w:t>
      </w:r>
      <w:r w:rsidR="001869AC">
        <w:t> </w:t>
      </w:r>
      <w:r w:rsidR="00947B08">
        <w:t>Division is authorized to solicit informal feedback from parties after key milestones, such as the year-ahead compliance showing.  Energy</w:t>
      </w:r>
      <w:r w:rsidR="001869AC">
        <w:t> </w:t>
      </w:r>
      <w:r w:rsidR="00947B08">
        <w:t>Division is directed to prepare a report summarizing comments and feedback</w:t>
      </w:r>
      <w:r w:rsidR="0010545D">
        <w:t xml:space="preserve"> </w:t>
      </w:r>
      <w:r w:rsidRPr="00935723" w:rsidR="0010545D">
        <w:t>after the year-ahead test showings</w:t>
      </w:r>
      <w:r w:rsidRPr="00935723" w:rsidR="00947B08">
        <w:t xml:space="preserve"> to be </w:t>
      </w:r>
      <w:r w:rsidRPr="00935723">
        <w:lastRenderedPageBreak/>
        <w:t>submitted to the Commission</w:t>
      </w:r>
      <w:r w:rsidRPr="00935723" w:rsidR="0010545D">
        <w:t xml:space="preserve"> by February 1, 2024</w:t>
      </w:r>
      <w:r w:rsidRPr="00935723" w:rsidR="00947B08">
        <w:t>.</w:t>
      </w:r>
      <w:r w:rsidR="00831A3F">
        <w:t xml:space="preserve">  Parties will have an opportunity to provide formal comments on </w:t>
      </w:r>
      <w:proofErr w:type="gramStart"/>
      <w:r w:rsidR="00831A3F">
        <w:t>Energy</w:t>
      </w:r>
      <w:proofErr w:type="gramEnd"/>
      <w:r w:rsidR="00831A3F">
        <w:t xml:space="preserve"> Division’s report.  </w:t>
      </w:r>
    </w:p>
    <w:p w:rsidRPr="00947B08" w:rsidR="00947B08" w:rsidP="00947B08" w:rsidRDefault="00947B08" w14:paraId="0F8D3914" w14:textId="31E23B1D">
      <w:pPr>
        <w:pStyle w:val="Standard"/>
      </w:pPr>
      <w:r>
        <w:t xml:space="preserve">The Commission underscores that success of the test year is dependent on full, active participation by LSEs.  LSEs have a penalty-free opportunity to prepare </w:t>
      </w:r>
      <w:r w:rsidR="00877438">
        <w:t xml:space="preserve">for </w:t>
      </w:r>
      <w:r>
        <w:t xml:space="preserve">and provide feedback </w:t>
      </w:r>
      <w:r w:rsidR="00877438">
        <w:t xml:space="preserve">on </w:t>
      </w:r>
      <w:r>
        <w:t xml:space="preserve">the SOD </w:t>
      </w:r>
      <w:r w:rsidR="00877438">
        <w:t xml:space="preserve">framework rules, </w:t>
      </w:r>
      <w:r>
        <w:t>compliance and showing tools, and process</w:t>
      </w:r>
      <w:r w:rsidR="00877438">
        <w:t>es</w:t>
      </w:r>
      <w:r>
        <w:t xml:space="preserve">.  Subject to minor adjustments and modifications to the </w:t>
      </w:r>
      <w:r w:rsidR="00877438">
        <w:t xml:space="preserve">SOD framework </w:t>
      </w:r>
      <w:r>
        <w:t>rules and compliance</w:t>
      </w:r>
      <w:r w:rsidR="00877438">
        <w:t xml:space="preserve"> and showing</w:t>
      </w:r>
      <w:r>
        <w:t xml:space="preserve"> tools, the Commission fully intends to move forward with implementation of the SOD framework for the 2025 RA</w:t>
      </w:r>
      <w:r w:rsidR="001869AC">
        <w:t> </w:t>
      </w:r>
      <w:r>
        <w:t>compliance year.</w:t>
      </w:r>
    </w:p>
    <w:p w:rsidR="00FA1B4F" w:rsidP="00FA1B4F" w:rsidRDefault="00947B08" w14:paraId="4F4A1F0D" w14:textId="3118A7BD">
      <w:pPr>
        <w:pStyle w:val="Heading1"/>
      </w:pPr>
      <w:bookmarkStart w:name="_Toc131762410" w:id="65"/>
      <w:bookmarkEnd w:id="24"/>
      <w:r>
        <w:t>Workstream 3.  CAISO and</w:t>
      </w:r>
      <w:r w:rsidR="001869AC">
        <w:br/>
      </w:r>
      <w:r>
        <w:t>Commission Validation and Compliance</w:t>
      </w:r>
      <w:bookmarkEnd w:id="65"/>
    </w:p>
    <w:p w:rsidR="00947B08" w:rsidP="00947B08" w:rsidRDefault="00947B08" w14:paraId="1085A283" w14:textId="66E569C5">
      <w:pPr>
        <w:pStyle w:val="Heading2"/>
      </w:pPr>
      <w:bookmarkStart w:name="_Toc131762411" w:id="66"/>
      <w:r w:rsidRPr="00947B08">
        <w:t xml:space="preserve">CAISO and Commission </w:t>
      </w:r>
      <w:r w:rsidR="001869AC">
        <w:br/>
      </w:r>
      <w:r w:rsidRPr="00947B08">
        <w:t>Administrative Changes</w:t>
      </w:r>
      <w:bookmarkEnd w:id="66"/>
    </w:p>
    <w:p w:rsidR="00947B08" w:rsidP="00947B08" w:rsidRDefault="00947B08" w14:paraId="2A65D70C" w14:textId="61F20DB5">
      <w:pPr>
        <w:pStyle w:val="Standard"/>
        <w:rPr>
          <w:rFonts w:cs="Book Antiqua"/>
          <w:color w:val="000000"/>
          <w:szCs w:val="26"/>
        </w:rPr>
      </w:pPr>
      <w:r>
        <w:t>In D.22</w:t>
      </w:r>
      <w:r w:rsidR="001869AC">
        <w:noBreakHyphen/>
      </w:r>
      <w:r>
        <w:t>06</w:t>
      </w:r>
      <w:r w:rsidR="001869AC">
        <w:noBreakHyphen/>
      </w:r>
      <w:r>
        <w:t xml:space="preserve">050, the Commission </w:t>
      </w:r>
      <w:r>
        <w:rPr>
          <w:rFonts w:eastAsiaTheme="majorEastAsia"/>
          <w:szCs w:val="26"/>
        </w:rPr>
        <w:t>stated</w:t>
      </w:r>
      <w:r w:rsidRPr="007C5AEE">
        <w:rPr>
          <w:rFonts w:eastAsiaTheme="majorEastAsia"/>
          <w:szCs w:val="26"/>
        </w:rPr>
        <w:t xml:space="preserve"> that further development </w:t>
      </w:r>
      <w:r>
        <w:rPr>
          <w:rFonts w:eastAsiaTheme="majorEastAsia"/>
          <w:szCs w:val="26"/>
        </w:rPr>
        <w:t>was</w:t>
      </w:r>
      <w:r w:rsidRPr="007C5AEE">
        <w:rPr>
          <w:rFonts w:eastAsiaTheme="majorEastAsia"/>
          <w:szCs w:val="26"/>
        </w:rPr>
        <w:t xml:space="preserve"> needed to identify </w:t>
      </w:r>
      <w:r>
        <w:rPr>
          <w:rFonts w:eastAsiaTheme="majorEastAsia"/>
          <w:szCs w:val="26"/>
        </w:rPr>
        <w:t xml:space="preserve">necessary </w:t>
      </w:r>
      <w:r w:rsidRPr="007C5AEE">
        <w:rPr>
          <w:rFonts w:eastAsiaTheme="majorEastAsia"/>
          <w:szCs w:val="26"/>
        </w:rPr>
        <w:t>changes to the CAISO tariff to ensure consistency across the Commission’s and CAISO’s p</w:t>
      </w:r>
      <w:r>
        <w:rPr>
          <w:rFonts w:eastAsiaTheme="majorEastAsia"/>
          <w:szCs w:val="26"/>
        </w:rPr>
        <w:t>rocesses</w:t>
      </w:r>
      <w:r w:rsidRPr="007C5AEE">
        <w:rPr>
          <w:rFonts w:eastAsiaTheme="majorEastAsia"/>
          <w:szCs w:val="26"/>
        </w:rPr>
        <w:t>.</w:t>
      </w:r>
      <w:r>
        <w:rPr>
          <w:rStyle w:val="FootnoteReference"/>
          <w:rFonts w:eastAsiaTheme="majorEastAsia"/>
          <w:szCs w:val="26"/>
        </w:rPr>
        <w:footnoteReference w:id="186"/>
      </w:r>
      <w:r>
        <w:rPr>
          <w:rFonts w:eastAsiaTheme="majorEastAsia"/>
          <w:szCs w:val="26"/>
        </w:rPr>
        <w:t xml:space="preserve">  We directed parties </w:t>
      </w:r>
      <w:r>
        <w:t>to i</w:t>
      </w:r>
      <w:r w:rsidRPr="0072226A">
        <w:rPr>
          <w:rFonts w:cs="Book Antiqua"/>
          <w:color w:val="000000"/>
          <w:szCs w:val="26"/>
        </w:rPr>
        <w:t xml:space="preserve">dentify and resolve administrative changes to </w:t>
      </w:r>
      <w:r w:rsidR="004B083D">
        <w:rPr>
          <w:rFonts w:cs="Book Antiqua"/>
          <w:color w:val="000000"/>
          <w:szCs w:val="26"/>
        </w:rPr>
        <w:t xml:space="preserve">both </w:t>
      </w:r>
      <w:r w:rsidRPr="0072226A">
        <w:rPr>
          <w:rFonts w:cs="Book Antiqua"/>
          <w:color w:val="000000"/>
          <w:szCs w:val="26"/>
        </w:rPr>
        <w:t xml:space="preserve">the </w:t>
      </w:r>
      <w:r w:rsidR="004B083D">
        <w:rPr>
          <w:rFonts w:cs="Book Antiqua"/>
          <w:color w:val="000000"/>
          <w:szCs w:val="26"/>
        </w:rPr>
        <w:t xml:space="preserve">CAISO’s and the Commission’s RA </w:t>
      </w:r>
      <w:r w:rsidRPr="0072226A">
        <w:rPr>
          <w:rFonts w:cs="Book Antiqua"/>
          <w:color w:val="000000"/>
          <w:szCs w:val="26"/>
        </w:rPr>
        <w:t>program</w:t>
      </w:r>
      <w:r w:rsidR="004B083D">
        <w:rPr>
          <w:rFonts w:cs="Book Antiqua"/>
          <w:color w:val="000000"/>
          <w:szCs w:val="26"/>
        </w:rPr>
        <w:t>s</w:t>
      </w:r>
      <w:r>
        <w:rPr>
          <w:rFonts w:cs="Book Antiqua"/>
          <w:color w:val="000000"/>
          <w:szCs w:val="26"/>
        </w:rPr>
        <w:t>.</w:t>
      </w:r>
      <w:r>
        <w:rPr>
          <w:rStyle w:val="FootnoteReference"/>
          <w:rFonts w:cs="Book Antiqua"/>
          <w:color w:val="000000"/>
          <w:szCs w:val="26"/>
        </w:rPr>
        <w:footnoteReference w:id="187"/>
      </w:r>
    </w:p>
    <w:p w:rsidR="00947B08" w:rsidP="00947B08" w:rsidRDefault="00947B08" w14:paraId="1FF7A1E1" w14:textId="38C51A8B">
      <w:pPr>
        <w:pStyle w:val="Standard"/>
        <w:rPr>
          <w:rFonts w:cs="Book Antiqua"/>
          <w:color w:val="000000"/>
          <w:szCs w:val="26"/>
        </w:rPr>
      </w:pPr>
      <w:r>
        <w:rPr>
          <w:rFonts w:cs="Book Antiqua"/>
          <w:color w:val="000000"/>
          <w:szCs w:val="26"/>
        </w:rPr>
        <w:t xml:space="preserve">In the WG Report, CAISO </w:t>
      </w:r>
      <w:r w:rsidR="004B083D">
        <w:rPr>
          <w:rFonts w:cs="Book Antiqua"/>
          <w:color w:val="000000"/>
          <w:szCs w:val="26"/>
        </w:rPr>
        <w:t>identifies</w:t>
      </w:r>
      <w:r>
        <w:rPr>
          <w:rFonts w:cs="Book Antiqua"/>
          <w:color w:val="000000"/>
          <w:szCs w:val="26"/>
        </w:rPr>
        <w:t xml:space="preserve"> five main RA processes that are impacted by QC and NQC values:</w:t>
      </w:r>
      <w:r w:rsidR="001869AC">
        <w:rPr>
          <w:rFonts w:cs="Book Antiqua"/>
          <w:color w:val="000000"/>
          <w:szCs w:val="26"/>
        </w:rPr>
        <w:t xml:space="preserve"> </w:t>
      </w:r>
      <w:r>
        <w:rPr>
          <w:rFonts w:cs="Book Antiqua"/>
          <w:color w:val="000000"/>
          <w:szCs w:val="26"/>
        </w:rPr>
        <w:t xml:space="preserve"> (1)</w:t>
      </w:r>
      <w:r w:rsidR="001869AC">
        <w:rPr>
          <w:rFonts w:cs="Book Antiqua"/>
          <w:color w:val="000000"/>
          <w:szCs w:val="26"/>
        </w:rPr>
        <w:t> </w:t>
      </w:r>
      <w:r>
        <w:rPr>
          <w:rFonts w:cs="Book Antiqua"/>
          <w:color w:val="000000"/>
          <w:szCs w:val="26"/>
        </w:rPr>
        <w:t>developing the NQC list, (2)</w:t>
      </w:r>
      <w:r w:rsidR="001869AC">
        <w:rPr>
          <w:rFonts w:cs="Book Antiqua"/>
          <w:color w:val="000000"/>
          <w:szCs w:val="26"/>
        </w:rPr>
        <w:t> </w:t>
      </w:r>
      <w:r>
        <w:rPr>
          <w:rFonts w:cs="Book Antiqua"/>
          <w:color w:val="000000"/>
          <w:szCs w:val="26"/>
        </w:rPr>
        <w:t>system assessments, (3)</w:t>
      </w:r>
      <w:r w:rsidR="001869AC">
        <w:rPr>
          <w:rFonts w:cs="Book Antiqua"/>
          <w:color w:val="000000"/>
          <w:szCs w:val="26"/>
        </w:rPr>
        <w:t> </w:t>
      </w:r>
      <w:r>
        <w:rPr>
          <w:rFonts w:cs="Book Antiqua"/>
          <w:color w:val="000000"/>
          <w:szCs w:val="26"/>
        </w:rPr>
        <w:t>local</w:t>
      </w:r>
      <w:r w:rsidR="001869AC">
        <w:rPr>
          <w:rFonts w:cs="Book Antiqua"/>
          <w:color w:val="000000"/>
          <w:szCs w:val="26"/>
        </w:rPr>
        <w:t> </w:t>
      </w:r>
      <w:r>
        <w:rPr>
          <w:rFonts w:cs="Book Antiqua"/>
          <w:color w:val="000000"/>
          <w:szCs w:val="26"/>
        </w:rPr>
        <w:t>assessments, (4)</w:t>
      </w:r>
      <w:r w:rsidR="001869AC">
        <w:rPr>
          <w:rFonts w:cs="Book Antiqua"/>
          <w:color w:val="000000"/>
          <w:szCs w:val="26"/>
        </w:rPr>
        <w:t> </w:t>
      </w:r>
      <w:r>
        <w:rPr>
          <w:rFonts w:cs="Book Antiqua"/>
          <w:color w:val="000000"/>
          <w:szCs w:val="26"/>
        </w:rPr>
        <w:t>must-offer obligations, and (5)</w:t>
      </w:r>
      <w:r w:rsidR="001869AC">
        <w:rPr>
          <w:rFonts w:cs="Book Antiqua"/>
          <w:color w:val="000000"/>
          <w:szCs w:val="26"/>
        </w:rPr>
        <w:t> </w:t>
      </w:r>
      <w:r>
        <w:rPr>
          <w:rFonts w:cs="Book Antiqua"/>
          <w:color w:val="000000"/>
          <w:szCs w:val="26"/>
        </w:rPr>
        <w:t>outage substitution obligations.</w:t>
      </w:r>
      <w:r>
        <w:rPr>
          <w:rStyle w:val="FootnoteReference"/>
          <w:rFonts w:cs="Book Antiqua"/>
          <w:color w:val="000000"/>
          <w:szCs w:val="26"/>
        </w:rPr>
        <w:footnoteReference w:id="188"/>
      </w:r>
      <w:r>
        <w:rPr>
          <w:rFonts w:cs="Book Antiqua"/>
          <w:color w:val="000000"/>
          <w:szCs w:val="26"/>
        </w:rPr>
        <w:t xml:space="preserve">  CAISO expresses concern that QC values based on the peak hour could be problematic for wind and solar if resource QCs are zero MW at the peak hour.  CAISO states that this is because several CAISO processes </w:t>
      </w:r>
      <w:r>
        <w:rPr>
          <w:rFonts w:cs="Book Antiqua"/>
          <w:color w:val="000000"/>
          <w:szCs w:val="26"/>
        </w:rPr>
        <w:lastRenderedPageBreak/>
        <w:t>use NQC values as a reference point and to calculate MWs of non</w:t>
      </w:r>
      <w:r w:rsidR="001869AC">
        <w:rPr>
          <w:rFonts w:cs="Book Antiqua"/>
          <w:color w:val="000000"/>
          <w:szCs w:val="26"/>
        </w:rPr>
        <w:noBreakHyphen/>
      </w:r>
      <w:r>
        <w:rPr>
          <w:rFonts w:cs="Book Antiqua"/>
          <w:color w:val="000000"/>
          <w:szCs w:val="26"/>
        </w:rPr>
        <w:t>RA</w:t>
      </w:r>
      <w:r w:rsidR="001869AC">
        <w:rPr>
          <w:rFonts w:cs="Book Antiqua"/>
          <w:color w:val="000000"/>
          <w:szCs w:val="26"/>
        </w:rPr>
        <w:t> </w:t>
      </w:r>
      <w:r>
        <w:rPr>
          <w:rFonts w:cs="Book Antiqua"/>
          <w:color w:val="000000"/>
          <w:szCs w:val="26"/>
        </w:rPr>
        <w:t xml:space="preserve">capacity of a resource, indicating whether a portion of a resource is eligible for </w:t>
      </w:r>
      <w:r w:rsidR="004B083D">
        <w:rPr>
          <w:rFonts w:cs="Book Antiqua"/>
          <w:color w:val="000000"/>
          <w:szCs w:val="26"/>
        </w:rPr>
        <w:t>the Capacity Procurement Mechanism (</w:t>
      </w:r>
      <w:r>
        <w:rPr>
          <w:rFonts w:cs="Book Antiqua"/>
          <w:color w:val="000000"/>
          <w:szCs w:val="26"/>
        </w:rPr>
        <w:t>CPM</w:t>
      </w:r>
      <w:r w:rsidR="004B083D">
        <w:rPr>
          <w:rFonts w:cs="Book Antiqua"/>
          <w:color w:val="000000"/>
          <w:szCs w:val="26"/>
        </w:rPr>
        <w:t>)</w:t>
      </w:r>
      <w:r>
        <w:rPr>
          <w:rFonts w:cs="Book Antiqua"/>
          <w:color w:val="000000"/>
          <w:szCs w:val="26"/>
        </w:rPr>
        <w:t xml:space="preserve"> or substitute capacity.  CAISO notes that if LSE showings are based on the peak hour, CAISO would not have insight into resources not shown at the peak hour and CAISO must have visibility into all resources used to meet the reliability of the Commission’s portfolio to apply RA rules and dispatch resources in local</w:t>
      </w:r>
      <w:r w:rsidR="001869AC">
        <w:rPr>
          <w:rFonts w:cs="Book Antiqua"/>
          <w:color w:val="000000"/>
          <w:szCs w:val="26"/>
        </w:rPr>
        <w:t> </w:t>
      </w:r>
      <w:r>
        <w:rPr>
          <w:rFonts w:cs="Book Antiqua"/>
          <w:color w:val="000000"/>
          <w:szCs w:val="26"/>
        </w:rPr>
        <w:t>capacity assessments.</w:t>
      </w:r>
    </w:p>
    <w:p w:rsidR="00947B08" w:rsidP="00947B08" w:rsidRDefault="00947B08" w14:paraId="7A0A0941" w14:textId="77777777">
      <w:pPr>
        <w:pStyle w:val="Standard"/>
        <w:rPr>
          <w:rFonts w:cs="Book Antiqua"/>
          <w:color w:val="000000"/>
          <w:szCs w:val="26"/>
        </w:rPr>
      </w:pPr>
      <w:r>
        <w:rPr>
          <w:rFonts w:cs="Book Antiqua"/>
          <w:color w:val="000000"/>
          <w:szCs w:val="26"/>
        </w:rPr>
        <w:t>To address these issues, CAISO recommends giving CAISO sufficient information to administer its processes, as well as to align CAISO and Commission compliance checks at the system coincident peak hour.  CAISO proposes the following data points be transmitted from the Commission’s processes:</w:t>
      </w:r>
    </w:p>
    <w:p w:rsidRPr="001F7840" w:rsidR="00947B08" w:rsidP="001869AC" w:rsidRDefault="00947B08" w14:paraId="6E11FE9E" w14:textId="3B312E5C">
      <w:pPr>
        <w:pStyle w:val="Standard"/>
        <w:numPr>
          <w:ilvl w:val="0"/>
          <w:numId w:val="28"/>
        </w:numPr>
        <w:spacing w:after="120" w:line="240" w:lineRule="auto"/>
        <w:ind w:right="1440"/>
      </w:pPr>
      <w:r>
        <w:rPr>
          <w:rFonts w:cs="Book Antiqua"/>
          <w:color w:val="000000"/>
          <w:szCs w:val="26"/>
        </w:rPr>
        <w:t>Non</w:t>
      </w:r>
      <w:r w:rsidR="001869AC">
        <w:rPr>
          <w:rFonts w:cs="Book Antiqua"/>
          <w:color w:val="000000"/>
          <w:szCs w:val="26"/>
        </w:rPr>
        <w:noBreakHyphen/>
      </w:r>
      <w:r>
        <w:rPr>
          <w:rFonts w:cs="Book Antiqua"/>
          <w:color w:val="000000"/>
          <w:szCs w:val="26"/>
        </w:rPr>
        <w:t>zero QC values for each resource from the Commission to develop the NQC list.</w:t>
      </w:r>
    </w:p>
    <w:p w:rsidRPr="001F7840" w:rsidR="00947B08" w:rsidP="001869AC" w:rsidRDefault="00947B08" w14:paraId="4361E4EA" w14:textId="77777777">
      <w:pPr>
        <w:pStyle w:val="Standard"/>
        <w:numPr>
          <w:ilvl w:val="0"/>
          <w:numId w:val="28"/>
        </w:numPr>
        <w:spacing w:after="120" w:line="240" w:lineRule="auto"/>
        <w:ind w:right="1440"/>
      </w:pPr>
      <w:r>
        <w:rPr>
          <w:rFonts w:cs="Book Antiqua"/>
          <w:color w:val="000000"/>
          <w:szCs w:val="26"/>
        </w:rPr>
        <w:t>Maximum showing values from LSEs to ensure CAISO visibility into the Commission’s RA fleet.</w:t>
      </w:r>
    </w:p>
    <w:p w:rsidRPr="0073577D" w:rsidR="00947B08" w:rsidP="001869AC" w:rsidRDefault="00947B08" w14:paraId="1D97C60B" w14:textId="77777777">
      <w:pPr>
        <w:pStyle w:val="Standard"/>
        <w:numPr>
          <w:ilvl w:val="0"/>
          <w:numId w:val="28"/>
        </w:numPr>
        <w:spacing w:after="120" w:line="240" w:lineRule="auto"/>
        <w:ind w:right="1440"/>
      </w:pPr>
      <w:r>
        <w:rPr>
          <w:rFonts w:cs="Book Antiqua"/>
          <w:color w:val="000000"/>
          <w:szCs w:val="26"/>
        </w:rPr>
        <w:t>Peak showing values from LSEs to use in CAISO system assessments.</w:t>
      </w:r>
    </w:p>
    <w:p w:rsidR="00947B08" w:rsidP="00947B08" w:rsidRDefault="00947B08" w14:paraId="152E4FC2" w14:textId="03B42391">
      <w:pPr>
        <w:pStyle w:val="Standard"/>
      </w:pPr>
      <w:r>
        <w:t>CAISO further suggests that the Commission consider options other</w:t>
      </w:r>
      <w:r w:rsidR="001869AC">
        <w:t> </w:t>
      </w:r>
      <w:r>
        <w:t>than peak hour values to establish the NQC list and for CAISO compliance.  CAISO encourages parties to explore other compliance options in CAISO’s stakeholder process.  CAISO states that its proposal would require system changes and discussion in CAISO’s stakeholder processes to determine values for must-offer and outage substitution rules.</w:t>
      </w:r>
      <w:r>
        <w:rPr>
          <w:rStyle w:val="FootnoteReference"/>
        </w:rPr>
        <w:footnoteReference w:id="189"/>
      </w:r>
    </w:p>
    <w:p w:rsidR="00947B08" w:rsidP="00947B08" w:rsidRDefault="00947B08" w14:paraId="2CB6914E" w14:textId="7C8B8477">
      <w:pPr>
        <w:pStyle w:val="Standard"/>
      </w:pPr>
      <w:r>
        <w:lastRenderedPageBreak/>
        <w:t>SCE proposes that CAISO continue to use a single showing value from LSEs and suppliers, which would result in limited changes to CAISO</w:t>
      </w:r>
      <w:r w:rsidR="00427D05">
        <w:t>’s</w:t>
      </w:r>
      <w:r>
        <w:t xml:space="preserve"> processes.</w:t>
      </w:r>
      <w:r>
        <w:rPr>
          <w:rStyle w:val="FootnoteReference"/>
        </w:rPr>
        <w:footnoteReference w:id="190"/>
      </w:r>
      <w:r>
        <w:t xml:space="preserve">  SCE proposes CAISO continue to use “System RA MW” value from SCE’s LSE Showing Tool, which would represent the same single monthly QC value for resources as today.  For</w:t>
      </w:r>
      <w:r w:rsidR="001869AC">
        <w:t> </w:t>
      </w:r>
      <w:r>
        <w:t>example, SCE states that for solar resources, this value would be the current single</w:t>
      </w:r>
      <w:r w:rsidR="001869AC">
        <w:noBreakHyphen/>
      </w:r>
      <w:r>
        <w:t>monthly solar ELCC percentage.  SCE recommends retaining the current counting for solar and wind (</w:t>
      </w:r>
      <w:r w:rsidRPr="00761F15">
        <w:rPr>
          <w:i/>
          <w:iCs/>
        </w:rPr>
        <w:t>i.e</w:t>
      </w:r>
      <w:r>
        <w:t>.,</w:t>
      </w:r>
      <w:r w:rsidR="001869AC">
        <w:t> </w:t>
      </w:r>
      <w:r>
        <w:t>ELCC</w:t>
      </w:r>
      <w:r w:rsidR="001869AC">
        <w:t> </w:t>
      </w:r>
      <w:r>
        <w:t>values) for CAISO</w:t>
      </w:r>
      <w:r w:rsidR="00427D05">
        <w:t>’s</w:t>
      </w:r>
      <w:r>
        <w:t xml:space="preserve"> processes until CAISO changes its framework.</w:t>
      </w:r>
    </w:p>
    <w:p w:rsidRPr="002957FF" w:rsidR="00947B08" w:rsidP="00947B08" w:rsidRDefault="00947B08" w14:paraId="72F13047" w14:textId="7C980C1A">
      <w:pPr>
        <w:pStyle w:val="Standard"/>
      </w:pPr>
      <w:r>
        <w:t>Silicon</w:t>
      </w:r>
      <w:r w:rsidR="001869AC">
        <w:t> </w:t>
      </w:r>
      <w:r>
        <w:t>Valley Clean</w:t>
      </w:r>
      <w:r w:rsidR="001869AC">
        <w:t> </w:t>
      </w:r>
      <w:r>
        <w:t>Energy</w:t>
      </w:r>
      <w:r w:rsidR="001869AC">
        <w:t> </w:t>
      </w:r>
      <w:r>
        <w:t>(SVCE) posits that the value use</w:t>
      </w:r>
      <w:r w:rsidR="00427D05">
        <w:t>d</w:t>
      </w:r>
      <w:r>
        <w:t xml:space="preserve"> to set NQCs for VERs has implications for the Maximum Import</w:t>
      </w:r>
      <w:r w:rsidR="001869AC">
        <w:t> </w:t>
      </w:r>
      <w:r>
        <w:t>Capability</w:t>
      </w:r>
      <w:r w:rsidR="001869AC">
        <w:t> </w:t>
      </w:r>
      <w:r>
        <w:t>(MIC).</w:t>
      </w:r>
      <w:r>
        <w:rPr>
          <w:rStyle w:val="FootnoteReference"/>
        </w:rPr>
        <w:footnoteReference w:id="191"/>
      </w:r>
      <w:r>
        <w:t xml:space="preserve">  SVCE states that the counting value for wind will impact the NQC value for resource</w:t>
      </w:r>
      <w:r w:rsidR="001869AC">
        <w:noBreakHyphen/>
      </w:r>
      <w:r>
        <w:t>specific RA</w:t>
      </w:r>
      <w:r w:rsidR="001869AC">
        <w:t> </w:t>
      </w:r>
      <w:r>
        <w:t>imports and therefore, the MIC amount that LSEs must hold to support imports.  SVCE states that the SOD framework could require LSEs to secure more MIC to support VER-backed imports.  SVCE proposes that peak load slice MWs, or a “25</w:t>
      </w:r>
      <w:r w:rsidR="00427D05">
        <w:t>th</w:t>
      </w:r>
      <w:r w:rsidR="001869AC">
        <w:t> </w:t>
      </w:r>
      <w:r>
        <w:t>value,” could be the basis for wind and solar NQC values used to inform resource-specific imports.</w:t>
      </w:r>
    </w:p>
    <w:p w:rsidR="00947B08" w:rsidP="00947B08" w:rsidRDefault="00947B08" w14:paraId="29D616EB" w14:textId="701537D4">
      <w:pPr>
        <w:pStyle w:val="Standard"/>
      </w:pPr>
      <w:r>
        <w:t>PG&amp;E supports SCE’s approach of maintaining the status quo and waiting until CAISO’s stakeholder initiative results in changes.</w:t>
      </w:r>
      <w:r>
        <w:rPr>
          <w:rStyle w:val="FootnoteReference"/>
        </w:rPr>
        <w:footnoteReference w:id="192"/>
      </w:r>
      <w:r>
        <w:t xml:space="preserve">  CESA supports SCE’s proposal that CAISO continue to use a single showing value </w:t>
      </w:r>
      <w:r w:rsidR="001869AC">
        <w:t>(“</w:t>
      </w:r>
      <w:r>
        <w:t>System</w:t>
      </w:r>
      <w:r w:rsidR="001869AC">
        <w:t> </w:t>
      </w:r>
      <w:r>
        <w:t>RA</w:t>
      </w:r>
      <w:r w:rsidR="001869AC">
        <w:t> </w:t>
      </w:r>
      <w:r>
        <w:t>MW”) to represent the same single monthly QC value and retain use of a storage asset’s Pmax for establishing the single monthly QC value.</w:t>
      </w:r>
      <w:r>
        <w:rPr>
          <w:rStyle w:val="FootnoteReference"/>
        </w:rPr>
        <w:footnoteReference w:id="193"/>
      </w:r>
      <w:r>
        <w:t xml:space="preserve">  </w:t>
      </w:r>
    </w:p>
    <w:p w:rsidR="00947B08" w:rsidP="00947B08" w:rsidRDefault="00947B08" w14:paraId="153A0A6B" w14:textId="790BBFEA">
      <w:r>
        <w:lastRenderedPageBreak/>
        <w:t>CAISO comments that SCE’s proposal would mean CAISO and the Commission use different counting methodologies, which may result in discrepancies for compliance, where an LSE could pass CAISO</w:t>
      </w:r>
      <w:r w:rsidR="00427D05">
        <w:t>’s</w:t>
      </w:r>
      <w:r>
        <w:t xml:space="preserve"> compliance and not </w:t>
      </w:r>
      <w:r w:rsidR="00427D05">
        <w:t xml:space="preserve">the </w:t>
      </w:r>
      <w:r>
        <w:t>Commission</w:t>
      </w:r>
      <w:r w:rsidR="00427D05">
        <w:t>’s</w:t>
      </w:r>
      <w:r>
        <w:t xml:space="preserve"> compliance, or vice versa.</w:t>
      </w:r>
      <w:r>
        <w:rPr>
          <w:rStyle w:val="FootnoteReference"/>
        </w:rPr>
        <w:footnoteReference w:id="194"/>
      </w:r>
      <w:r>
        <w:t xml:space="preserve">  </w:t>
      </w:r>
      <w:proofErr w:type="spellStart"/>
      <w:r>
        <w:t>CalCCA</w:t>
      </w:r>
      <w:proofErr w:type="spellEnd"/>
      <w:r>
        <w:t xml:space="preserve"> states that CAISO and the Commission should aim to minimize the result that an LSE passes CAISO’s compliance and not the Commission’s.</w:t>
      </w:r>
      <w:r>
        <w:rPr>
          <w:rStyle w:val="FootnoteReference"/>
        </w:rPr>
        <w:footnoteReference w:id="195"/>
      </w:r>
      <w:r>
        <w:t xml:space="preserve">  CLECA notes that a solution to CAISO’s concern, which was presented by CAISO, is that one value could be the peak hour showing values used for system RA assessments.</w:t>
      </w:r>
      <w:r>
        <w:rPr>
          <w:rStyle w:val="FootnoteReference"/>
        </w:rPr>
        <w:footnoteReference w:id="196"/>
      </w:r>
      <w:r>
        <w:t xml:space="preserve">  CLECA states that after determining the hourly capacity values for each month, the monthly QC for CAISO would be the hourly value at the time of the monthly peak.  This would result in consistency for both programs, </w:t>
      </w:r>
      <w:r w:rsidR="00DD3D37">
        <w:t xml:space="preserve">whereby </w:t>
      </w:r>
      <w:r>
        <w:t>for the Commission’s framework, an LSE will have to meet 24 hourly load targets and for CAISO’s program, the same value would be utilized for the peak hour.</w:t>
      </w:r>
    </w:p>
    <w:p w:rsidRPr="002957FF" w:rsidR="00947B08" w:rsidP="00947B08" w:rsidRDefault="00947B08" w14:paraId="6EAE6490" w14:textId="55A90939">
      <w:pPr>
        <w:pStyle w:val="Standard"/>
      </w:pPr>
      <w:proofErr w:type="spellStart"/>
      <w:r>
        <w:t>AReM</w:t>
      </w:r>
      <w:proofErr w:type="spellEnd"/>
      <w:r>
        <w:t xml:space="preserve"> supports CAISO’s proposal for validating </w:t>
      </w:r>
      <w:r w:rsidR="00DD3D37">
        <w:t xml:space="preserve">an </w:t>
      </w:r>
      <w:r>
        <w:t xml:space="preserve">LSE’s RA showings but states that refinement is needed for treatment of hydro and hybrid </w:t>
      </w:r>
      <w:r w:rsidR="00DD3D37">
        <w:t xml:space="preserve">resources </w:t>
      </w:r>
      <w:r>
        <w:t>to ensure they are not devalued.</w:t>
      </w:r>
      <w:r>
        <w:rPr>
          <w:rStyle w:val="FootnoteReference"/>
        </w:rPr>
        <w:footnoteReference w:id="197"/>
      </w:r>
      <w:r>
        <w:t xml:space="preserve">  CAISO states that questions regarding MIC and system assessments should be considered in CAISO’s stakeholder process.</w:t>
      </w:r>
      <w:r>
        <w:rPr>
          <w:rStyle w:val="FootnoteReference"/>
        </w:rPr>
        <w:footnoteReference w:id="198"/>
      </w:r>
    </w:p>
    <w:p w:rsidR="00343E5C" w:rsidP="00947B08" w:rsidRDefault="00947B08" w14:paraId="69960DD6" w14:textId="67FE340A">
      <w:pPr>
        <w:pStyle w:val="Heading3"/>
      </w:pPr>
      <w:bookmarkStart w:name="_Toc131762412" w:id="67"/>
      <w:r>
        <w:t>Discussion</w:t>
      </w:r>
      <w:bookmarkEnd w:id="67"/>
    </w:p>
    <w:p w:rsidR="00637DD4" w:rsidP="00947B08" w:rsidRDefault="00947B08" w14:paraId="3F86957A" w14:textId="05F6B80C">
      <w:pPr>
        <w:pStyle w:val="Standard"/>
        <w:rPr>
          <w:rFonts w:cs="Book Antiqua"/>
          <w:color w:val="000000"/>
          <w:szCs w:val="26"/>
        </w:rPr>
      </w:pPr>
      <w:r w:rsidRPr="00935723">
        <w:t>The Commission acknowledges the concern that CAISO requires sufficient information to administer its own process</w:t>
      </w:r>
      <w:r w:rsidRPr="00935723" w:rsidR="00DD3D37">
        <w:t>es</w:t>
      </w:r>
      <w:r w:rsidRPr="00935723">
        <w:t xml:space="preserve">.  It is also important to align the Commission’s and CAISO’s compliance processes at the coincident peak hour to </w:t>
      </w:r>
      <w:r w:rsidRPr="00935723">
        <w:lastRenderedPageBreak/>
        <w:t xml:space="preserve">the extent possible.  </w:t>
      </w:r>
      <w:bookmarkStart w:name="_Hlk128386464" w:id="68"/>
      <w:r w:rsidRPr="00935723">
        <w:t xml:space="preserve">As such, it is reasonable that the Commission </w:t>
      </w:r>
      <w:r w:rsidR="00A71B1E">
        <w:t>will</w:t>
      </w:r>
      <w:r w:rsidRPr="00935723" w:rsidR="00A71B1E">
        <w:t xml:space="preserve"> </w:t>
      </w:r>
      <w:r w:rsidRPr="00935723">
        <w:t>provide CAISO with</w:t>
      </w:r>
      <w:r w:rsidRPr="00935723" w:rsidR="001869AC">
        <w:t xml:space="preserve"> </w:t>
      </w:r>
      <w:r w:rsidRPr="00935723">
        <w:t>m</w:t>
      </w:r>
      <w:r w:rsidRPr="00935723">
        <w:rPr>
          <w:rFonts w:cs="Book Antiqua"/>
          <w:color w:val="000000"/>
          <w:szCs w:val="26"/>
        </w:rPr>
        <w:t xml:space="preserve">aximum showing values from LSEs and peak showing values from LSEs to </w:t>
      </w:r>
      <w:r w:rsidR="00163526">
        <w:rPr>
          <w:rFonts w:cs="Book Antiqua"/>
          <w:color w:val="000000"/>
          <w:szCs w:val="26"/>
        </w:rPr>
        <w:t>ensure CAISO’s visibility into the Commission’s contracted fleet</w:t>
      </w:r>
      <w:r w:rsidRPr="00935723">
        <w:rPr>
          <w:rFonts w:cs="Book Antiqua"/>
          <w:color w:val="000000"/>
          <w:szCs w:val="26"/>
        </w:rPr>
        <w:t xml:space="preserve">.  </w:t>
      </w:r>
    </w:p>
    <w:p w:rsidR="00637DD4" w:rsidP="009B6774" w:rsidRDefault="00A92366" w14:paraId="5ED0EF5B" w14:textId="6BDD4600">
      <w:pPr>
        <w:pStyle w:val="Standard"/>
        <w:rPr>
          <w:rFonts w:cs="Book Antiqua"/>
          <w:color w:val="000000"/>
          <w:szCs w:val="26"/>
        </w:rPr>
      </w:pPr>
      <w:r>
        <w:rPr>
          <w:rFonts w:cs="Book Antiqua"/>
          <w:color w:val="000000"/>
          <w:szCs w:val="26"/>
        </w:rPr>
        <w:t>During the test year, the non-zero QC values will continue to be based on the current QC methodologies as those will be the compliance values for 2024.  Beyond the test year, however, the existing counting methodologies cannot be used for the non-zero QC values for each resource, as ELCC values will no longer be updated under the SOD framework.</w:t>
      </w:r>
      <w:r w:rsidR="00637DD4">
        <w:rPr>
          <w:rFonts w:cs="Book Antiqua"/>
          <w:color w:val="000000"/>
          <w:szCs w:val="26"/>
        </w:rPr>
        <w:t xml:space="preserve"> </w:t>
      </w:r>
      <w:r>
        <w:rPr>
          <w:rFonts w:cs="Book Antiqua"/>
          <w:color w:val="000000"/>
          <w:szCs w:val="26"/>
        </w:rPr>
        <w:t xml:space="preserve"> </w:t>
      </w:r>
      <w:bookmarkStart w:name="_Hlk128561109" w:id="69"/>
      <w:r w:rsidR="00637DD4">
        <w:rPr>
          <w:rFonts w:cs="Book Antiqua"/>
          <w:color w:val="000000"/>
          <w:szCs w:val="26"/>
        </w:rPr>
        <w:t xml:space="preserve">As CAISO encourages the use of options for the non-zero QC values other than peak hour values, we find </w:t>
      </w:r>
      <w:r w:rsidR="00175170">
        <w:rPr>
          <w:rFonts w:cs="Book Antiqua"/>
          <w:color w:val="000000"/>
          <w:szCs w:val="26"/>
        </w:rPr>
        <w:t xml:space="preserve">it reasonable to </w:t>
      </w:r>
      <w:r w:rsidR="00637DD4">
        <w:rPr>
          <w:rFonts w:cs="Book Antiqua"/>
          <w:color w:val="000000"/>
          <w:szCs w:val="26"/>
        </w:rPr>
        <w:t xml:space="preserve">apply </w:t>
      </w:r>
      <w:r w:rsidR="00DB424B">
        <w:t>the greater of the peak hour value and a very small non-zero value (</w:t>
      </w:r>
      <w:r w:rsidRPr="008D7713" w:rsidR="00DB424B">
        <w:rPr>
          <w:i/>
          <w:iCs/>
        </w:rPr>
        <w:t>e.g.</w:t>
      </w:r>
      <w:r w:rsidR="00DB424B">
        <w:t xml:space="preserve">, 0.01 MW) if the minimum value is zero.  </w:t>
      </w:r>
      <w:r w:rsidR="00175170">
        <w:t xml:space="preserve">This </w:t>
      </w:r>
      <w:r>
        <w:rPr>
          <w:rFonts w:cs="Book Antiqua"/>
          <w:color w:val="000000"/>
          <w:szCs w:val="26"/>
        </w:rPr>
        <w:t xml:space="preserve">is </w:t>
      </w:r>
      <w:r w:rsidR="00986473">
        <w:rPr>
          <w:rFonts w:cs="Book Antiqua"/>
          <w:color w:val="000000"/>
          <w:szCs w:val="26"/>
        </w:rPr>
        <w:t xml:space="preserve">an </w:t>
      </w:r>
      <w:r>
        <w:rPr>
          <w:rFonts w:cs="Book Antiqua"/>
          <w:color w:val="000000"/>
          <w:szCs w:val="26"/>
        </w:rPr>
        <w:t>appropriate</w:t>
      </w:r>
      <w:r w:rsidR="00986473">
        <w:rPr>
          <w:rFonts w:cs="Book Antiqua"/>
          <w:color w:val="000000"/>
          <w:szCs w:val="26"/>
        </w:rPr>
        <w:t xml:space="preserve"> approach that balances CAISO’s need for a non-zero </w:t>
      </w:r>
      <w:r w:rsidR="00163526">
        <w:rPr>
          <w:rFonts w:cs="Book Antiqua"/>
          <w:color w:val="000000"/>
          <w:szCs w:val="26"/>
        </w:rPr>
        <w:t xml:space="preserve">QC </w:t>
      </w:r>
      <w:r w:rsidR="00986473">
        <w:rPr>
          <w:rFonts w:cs="Book Antiqua"/>
          <w:color w:val="000000"/>
          <w:szCs w:val="26"/>
        </w:rPr>
        <w:t>value with the transition from the current RA program to the SOD framework</w:t>
      </w:r>
      <w:r w:rsidR="00637DD4">
        <w:rPr>
          <w:rFonts w:cs="Book Antiqua"/>
          <w:color w:val="000000"/>
          <w:szCs w:val="26"/>
        </w:rPr>
        <w:t xml:space="preserve">.  </w:t>
      </w:r>
      <w:bookmarkEnd w:id="69"/>
      <w:r w:rsidR="00637DD4">
        <w:rPr>
          <w:rFonts w:cs="Book Antiqua"/>
          <w:color w:val="000000"/>
          <w:szCs w:val="26"/>
        </w:rPr>
        <w:t xml:space="preserve">These non-zero </w:t>
      </w:r>
      <w:r w:rsidR="00163526">
        <w:rPr>
          <w:rFonts w:cs="Book Antiqua"/>
          <w:color w:val="000000"/>
          <w:szCs w:val="26"/>
        </w:rPr>
        <w:t xml:space="preserve">QC </w:t>
      </w:r>
      <w:r w:rsidR="00637DD4">
        <w:rPr>
          <w:rFonts w:cs="Book Antiqua"/>
          <w:color w:val="000000"/>
          <w:szCs w:val="26"/>
        </w:rPr>
        <w:t xml:space="preserve">values </w:t>
      </w:r>
      <w:r w:rsidR="00986473">
        <w:rPr>
          <w:rFonts w:cs="Book Antiqua"/>
          <w:color w:val="000000"/>
          <w:szCs w:val="26"/>
        </w:rPr>
        <w:t>will</w:t>
      </w:r>
      <w:r w:rsidR="00637DD4">
        <w:rPr>
          <w:rFonts w:cs="Book Antiqua"/>
          <w:color w:val="000000"/>
          <w:szCs w:val="26"/>
        </w:rPr>
        <w:t xml:space="preserve"> be used </w:t>
      </w:r>
      <w:r>
        <w:rPr>
          <w:rFonts w:cs="Book Antiqua"/>
          <w:color w:val="000000"/>
          <w:szCs w:val="26"/>
        </w:rPr>
        <w:t>by</w:t>
      </w:r>
      <w:r w:rsidR="00637DD4">
        <w:rPr>
          <w:rFonts w:cs="Book Antiqua"/>
          <w:color w:val="000000"/>
          <w:szCs w:val="26"/>
        </w:rPr>
        <w:t xml:space="preserve"> CAISO</w:t>
      </w:r>
      <w:r>
        <w:rPr>
          <w:rFonts w:cs="Book Antiqua"/>
          <w:color w:val="000000"/>
          <w:szCs w:val="26"/>
        </w:rPr>
        <w:t xml:space="preserve"> in the development of its NQC list until CAISO can </w:t>
      </w:r>
      <w:proofErr w:type="gramStart"/>
      <w:r>
        <w:rPr>
          <w:rFonts w:cs="Book Antiqua"/>
          <w:color w:val="000000"/>
          <w:szCs w:val="26"/>
        </w:rPr>
        <w:t>make adjustments to</w:t>
      </w:r>
      <w:proofErr w:type="gramEnd"/>
      <w:r>
        <w:rPr>
          <w:rFonts w:cs="Book Antiqua"/>
          <w:color w:val="000000"/>
          <w:szCs w:val="26"/>
        </w:rPr>
        <w:t xml:space="preserve"> account for the monthly profiles.</w:t>
      </w:r>
      <w:r w:rsidR="00722AD9">
        <w:rPr>
          <w:rFonts w:cs="Book Antiqua"/>
          <w:color w:val="000000"/>
          <w:szCs w:val="26"/>
        </w:rPr>
        <w:t xml:space="preserve">  These non-zero </w:t>
      </w:r>
      <w:r w:rsidR="00163526">
        <w:rPr>
          <w:rFonts w:cs="Book Antiqua"/>
          <w:color w:val="000000"/>
          <w:szCs w:val="26"/>
        </w:rPr>
        <w:t xml:space="preserve">QC </w:t>
      </w:r>
      <w:r w:rsidR="00722AD9">
        <w:rPr>
          <w:rFonts w:cs="Book Antiqua"/>
          <w:color w:val="000000"/>
          <w:szCs w:val="26"/>
        </w:rPr>
        <w:t xml:space="preserve">values will apply to </w:t>
      </w:r>
      <w:r w:rsidR="00673382">
        <w:rPr>
          <w:rFonts w:cs="Book Antiqua"/>
          <w:color w:val="000000"/>
          <w:szCs w:val="26"/>
        </w:rPr>
        <w:t xml:space="preserve">resource types whose counting methodologies will change </w:t>
      </w:r>
      <w:r w:rsidR="00CC04E5">
        <w:rPr>
          <w:rFonts w:cs="Book Antiqua"/>
          <w:color w:val="000000"/>
          <w:szCs w:val="26"/>
        </w:rPr>
        <w:t xml:space="preserve">to hourly profiles </w:t>
      </w:r>
      <w:r w:rsidR="00673382">
        <w:rPr>
          <w:rFonts w:cs="Book Antiqua"/>
          <w:color w:val="000000"/>
          <w:szCs w:val="26"/>
        </w:rPr>
        <w:t>under the SOD framework (wind, solar, and demand response)</w:t>
      </w:r>
      <w:r w:rsidR="00722AD9">
        <w:rPr>
          <w:rFonts w:cs="Book Antiqua"/>
          <w:color w:val="000000"/>
          <w:szCs w:val="26"/>
        </w:rPr>
        <w:t>.</w:t>
      </w:r>
      <w:bookmarkEnd w:id="68"/>
    </w:p>
    <w:p w:rsidRPr="002957FF" w:rsidR="00947B08" w:rsidP="00637DD4" w:rsidRDefault="00947B08" w14:paraId="4EDFEA68" w14:textId="7D8AC5C2">
      <w:pPr>
        <w:pStyle w:val="Standard"/>
      </w:pPr>
      <w:r>
        <w:t>As CAISO has stated, CAISO will explore other compliance options in its stakeholder process and parties are encouraged to participate in those process</w:t>
      </w:r>
      <w:r w:rsidR="00722AD9">
        <w:t>es</w:t>
      </w:r>
      <w:r>
        <w:t>.  Accordingly, Energy</w:t>
      </w:r>
      <w:r w:rsidR="001869AC">
        <w:t> </w:t>
      </w:r>
      <w:r>
        <w:t xml:space="preserve">Division </w:t>
      </w:r>
      <w:r w:rsidR="00722AD9">
        <w:t xml:space="preserve">will </w:t>
      </w:r>
      <w:r>
        <w:t>provide CAISO with maximum showing values</w:t>
      </w:r>
      <w:r w:rsidR="00A92366">
        <w:t xml:space="preserve">, </w:t>
      </w:r>
      <w:r>
        <w:t>peak showing values</w:t>
      </w:r>
      <w:r w:rsidR="00A92366">
        <w:t xml:space="preserve">, and </w:t>
      </w:r>
      <w:r w:rsidR="00C84706">
        <w:t xml:space="preserve">the greater of the peak hour value and a very small </w:t>
      </w:r>
      <w:r w:rsidR="00A92366">
        <w:t xml:space="preserve">non-zero </w:t>
      </w:r>
      <w:r w:rsidR="00163526">
        <w:t xml:space="preserve">QC </w:t>
      </w:r>
      <w:r w:rsidR="00A92366">
        <w:t>value</w:t>
      </w:r>
      <w:r>
        <w:t xml:space="preserve"> </w:t>
      </w:r>
      <w:r w:rsidR="00163526">
        <w:t xml:space="preserve">for each resource </w:t>
      </w:r>
      <w:r w:rsidR="00C84706">
        <w:t xml:space="preserve">type whose counting methodologies will change </w:t>
      </w:r>
      <w:r w:rsidR="00CC04E5">
        <w:t xml:space="preserve">to hourly profiles </w:t>
      </w:r>
      <w:r w:rsidR="00C84706">
        <w:t xml:space="preserve">under the SOD framework.  These values will be used </w:t>
      </w:r>
      <w:r w:rsidR="00163526">
        <w:t>to develop CAISO’s NQC list and</w:t>
      </w:r>
      <w:r w:rsidR="00722AD9">
        <w:t xml:space="preserve"> </w:t>
      </w:r>
      <w:r>
        <w:t>to ensure CAISO</w:t>
      </w:r>
      <w:r w:rsidR="004403D8">
        <w:t>’s</w:t>
      </w:r>
      <w:r>
        <w:t xml:space="preserve"> </w:t>
      </w:r>
      <w:r w:rsidR="00163526">
        <w:t>visibility into the Commission’s contracted fleet</w:t>
      </w:r>
      <w:r>
        <w:t>.</w:t>
      </w:r>
    </w:p>
    <w:p w:rsidR="00947B08" w:rsidP="00947B08" w:rsidRDefault="00947B08" w14:paraId="1E1F63D6" w14:textId="6BDA7465">
      <w:pPr>
        <w:pStyle w:val="Heading2"/>
      </w:pPr>
      <w:bookmarkStart w:name="_Toc127179609" w:id="70"/>
      <w:bookmarkStart w:name="_Toc131762413" w:id="71"/>
      <w:r>
        <w:lastRenderedPageBreak/>
        <w:t>Flexible RA Requirements</w:t>
      </w:r>
      <w:bookmarkEnd w:id="70"/>
      <w:bookmarkEnd w:id="71"/>
    </w:p>
    <w:p w:rsidR="00947B08" w:rsidP="00947B08" w:rsidRDefault="00947B08" w14:paraId="0EE99B1B" w14:textId="6B41A2C1">
      <w:pPr>
        <w:pStyle w:val="Standard"/>
      </w:pPr>
      <w:r>
        <w:t>In D.22</w:t>
      </w:r>
      <w:r w:rsidR="001869AC">
        <w:noBreakHyphen/>
      </w:r>
      <w:r>
        <w:t>06</w:t>
      </w:r>
      <w:r w:rsidR="001869AC">
        <w:noBreakHyphen/>
      </w:r>
      <w:r>
        <w:t>050, the Commission stated:</w:t>
      </w:r>
      <w:r>
        <w:rPr>
          <w:rStyle w:val="FootnoteReference"/>
          <w:rFonts w:eastAsia="Times New Roman"/>
        </w:rPr>
        <w:footnoteReference w:id="199"/>
      </w:r>
    </w:p>
    <w:p w:rsidR="00947B08" w:rsidP="001869AC" w:rsidRDefault="00947B08" w14:paraId="32F01FE5" w14:textId="494FE6AC">
      <w:pPr>
        <w:spacing w:after="120" w:line="240" w:lineRule="auto"/>
        <w:ind w:left="720" w:right="1440" w:firstLine="0"/>
        <w:rPr>
          <w:rFonts w:eastAsia="Times New Roman"/>
        </w:rPr>
      </w:pPr>
      <w:r>
        <w:rPr>
          <w:rFonts w:eastAsia="Times New Roman"/>
        </w:rPr>
        <w:t>The Commission</w:t>
      </w:r>
      <w:r w:rsidRPr="009A7D5A">
        <w:rPr>
          <w:rFonts w:eastAsia="Times New Roman"/>
        </w:rPr>
        <w:t xml:space="preserve"> agree</w:t>
      </w:r>
      <w:r>
        <w:rPr>
          <w:rFonts w:eastAsia="Times New Roman"/>
        </w:rPr>
        <w:t>s</w:t>
      </w:r>
      <w:r w:rsidRPr="009A7D5A">
        <w:rPr>
          <w:rFonts w:eastAsia="Times New Roman"/>
        </w:rPr>
        <w:t xml:space="preserve"> that the granularity of the 24</w:t>
      </w:r>
      <w:r w:rsidR="001869AC">
        <w:rPr>
          <w:rFonts w:eastAsia="Times New Roman"/>
        </w:rPr>
        <w:noBreakHyphen/>
      </w:r>
      <w:r w:rsidRPr="009A7D5A">
        <w:rPr>
          <w:rFonts w:eastAsia="Times New Roman"/>
        </w:rPr>
        <w:t xml:space="preserve">hour </w:t>
      </w:r>
      <w:r>
        <w:rPr>
          <w:rFonts w:eastAsia="Times New Roman"/>
        </w:rPr>
        <w:t>framework</w:t>
      </w:r>
      <w:r w:rsidRPr="009A7D5A">
        <w:rPr>
          <w:rFonts w:eastAsia="Times New Roman"/>
        </w:rPr>
        <w:t xml:space="preserve"> may obviate the need for flexible RA</w:t>
      </w:r>
      <w:r w:rsidR="00F00B2F">
        <w:rPr>
          <w:rFonts w:eastAsia="Times New Roman"/>
        </w:rPr>
        <w:t> </w:t>
      </w:r>
      <w:r w:rsidRPr="009A7D5A">
        <w:rPr>
          <w:rFonts w:eastAsia="Times New Roman"/>
        </w:rPr>
        <w:t xml:space="preserve">requirements. </w:t>
      </w:r>
      <w:r>
        <w:rPr>
          <w:rFonts w:eastAsia="Times New Roman"/>
        </w:rPr>
        <w:t xml:space="preserve"> However, </w:t>
      </w:r>
      <w:r w:rsidRPr="009A7D5A">
        <w:rPr>
          <w:rFonts w:eastAsia="Times New Roman"/>
        </w:rPr>
        <w:t>CAISO</w:t>
      </w:r>
      <w:r w:rsidR="00DD3D37">
        <w:rPr>
          <w:rFonts w:eastAsia="Times New Roman"/>
        </w:rPr>
        <w:t>’</w:t>
      </w:r>
      <w:r w:rsidRPr="009A7D5A">
        <w:rPr>
          <w:rFonts w:eastAsia="Times New Roman"/>
        </w:rPr>
        <w:t xml:space="preserve">s current tariff and processes </w:t>
      </w:r>
      <w:r>
        <w:rPr>
          <w:rFonts w:eastAsia="Times New Roman"/>
        </w:rPr>
        <w:t>will</w:t>
      </w:r>
      <w:r w:rsidRPr="009A7D5A">
        <w:rPr>
          <w:rFonts w:eastAsia="Times New Roman"/>
        </w:rPr>
        <w:t xml:space="preserve"> </w:t>
      </w:r>
      <w:r>
        <w:rPr>
          <w:rFonts w:eastAsia="Times New Roman"/>
        </w:rPr>
        <w:t>need</w:t>
      </w:r>
      <w:r w:rsidRPr="009A7D5A">
        <w:rPr>
          <w:rFonts w:eastAsia="Times New Roman"/>
        </w:rPr>
        <w:t xml:space="preserve"> to align with </w:t>
      </w:r>
      <w:r>
        <w:rPr>
          <w:rFonts w:eastAsia="Times New Roman"/>
        </w:rPr>
        <w:t>removal of these</w:t>
      </w:r>
      <w:r w:rsidRPr="009A7D5A">
        <w:rPr>
          <w:rFonts w:eastAsia="Times New Roman"/>
        </w:rPr>
        <w:t xml:space="preserve"> requirements</w:t>
      </w:r>
      <w:r>
        <w:rPr>
          <w:rFonts w:eastAsia="Times New Roman"/>
        </w:rPr>
        <w:t xml:space="preserve">.  We find that further discussion is necessary to avoid misalignment or other unintended consequences.  </w:t>
      </w:r>
    </w:p>
    <w:p w:rsidR="00947B08" w:rsidP="00947B08" w:rsidRDefault="00947B08" w14:paraId="5EF5DD7F" w14:textId="4A00A4FC">
      <w:pPr>
        <w:rPr>
          <w:rFonts w:eastAsia="Times New Roman"/>
        </w:rPr>
      </w:pPr>
      <w:r>
        <w:rPr>
          <w:rFonts w:eastAsia="Times New Roman"/>
        </w:rPr>
        <w:t>The Commission directed discussion of the elimination of the flexible RA</w:t>
      </w:r>
      <w:r w:rsidR="00F00B2F">
        <w:rPr>
          <w:rFonts w:eastAsia="Times New Roman"/>
        </w:rPr>
        <w:t> </w:t>
      </w:r>
      <w:r>
        <w:rPr>
          <w:rFonts w:eastAsia="Times New Roman"/>
        </w:rPr>
        <w:t xml:space="preserve">requirements </w:t>
      </w:r>
      <w:r w:rsidRPr="009A7D5A">
        <w:rPr>
          <w:rFonts w:eastAsia="Times New Roman"/>
        </w:rPr>
        <w:t xml:space="preserve">in </w:t>
      </w:r>
      <w:r>
        <w:rPr>
          <w:rFonts w:eastAsia="Times New Roman"/>
        </w:rPr>
        <w:t>workshops.</w:t>
      </w:r>
    </w:p>
    <w:p w:rsidR="00947B08" w:rsidP="00947B08" w:rsidRDefault="00947B08" w14:paraId="193F2AAE" w14:textId="37A4E63D">
      <w:pPr>
        <w:rPr>
          <w:rFonts w:eastAsia="Times New Roman"/>
        </w:rPr>
      </w:pPr>
      <w:r>
        <w:rPr>
          <w:rFonts w:eastAsia="Times New Roman"/>
        </w:rPr>
        <w:t>Energy</w:t>
      </w:r>
      <w:r w:rsidR="00F00B2F">
        <w:rPr>
          <w:rFonts w:eastAsia="Times New Roman"/>
        </w:rPr>
        <w:t> </w:t>
      </w:r>
      <w:r>
        <w:rPr>
          <w:rFonts w:eastAsia="Times New Roman"/>
        </w:rPr>
        <w:t>Division provided information on the pros and cons of removing the flexible RA requirements.</w:t>
      </w:r>
      <w:r>
        <w:rPr>
          <w:rStyle w:val="FootnoteReference"/>
          <w:rFonts w:eastAsia="Times New Roman"/>
        </w:rPr>
        <w:footnoteReference w:id="200"/>
      </w:r>
      <w:r>
        <w:rPr>
          <w:rFonts w:eastAsia="Times New Roman"/>
        </w:rPr>
        <w:t xml:space="preserve">  Energy Division asserts that removing the flexible requirements would enhance administrative flexibility within a complex SOD framework, that RA</w:t>
      </w:r>
      <w:r w:rsidR="00F00B2F">
        <w:rPr>
          <w:rFonts w:eastAsia="Times New Roman"/>
        </w:rPr>
        <w:t> </w:t>
      </w:r>
      <w:r>
        <w:rPr>
          <w:rFonts w:eastAsia="Times New Roman"/>
        </w:rPr>
        <w:t>Availability Incentive Mechanism (RAAIM) penalties may not be sufficient to incent appropriate bidding behavior, and that flexible capacity prices have not reflected a system trying to incentivize new flexible capacity.  Energy</w:t>
      </w:r>
      <w:r w:rsidR="00F00B2F">
        <w:rPr>
          <w:rFonts w:eastAsia="Times New Roman"/>
        </w:rPr>
        <w:t> </w:t>
      </w:r>
      <w:r>
        <w:rPr>
          <w:rFonts w:eastAsia="Times New Roman"/>
        </w:rPr>
        <w:t>Division, however, points out that removing the requirements would remove the MOO and exposure to RAAIM penalties for the 17</w:t>
      </w:r>
      <w:r w:rsidR="00F00B2F">
        <w:rPr>
          <w:rFonts w:eastAsia="Times New Roman"/>
        </w:rPr>
        <w:noBreakHyphen/>
      </w:r>
      <w:r>
        <w:rPr>
          <w:rFonts w:eastAsia="Times New Roman"/>
        </w:rPr>
        <w:t>hour, 7</w:t>
      </w:r>
      <w:r w:rsidR="00F00B2F">
        <w:rPr>
          <w:rFonts w:eastAsia="Times New Roman"/>
        </w:rPr>
        <w:t> </w:t>
      </w:r>
      <w:r>
        <w:rPr>
          <w:rFonts w:eastAsia="Times New Roman"/>
        </w:rPr>
        <w:t xml:space="preserve">day/week period and would necessitate significant </w:t>
      </w:r>
      <w:r w:rsidR="00DD3D37">
        <w:rPr>
          <w:rFonts w:eastAsia="Times New Roman"/>
        </w:rPr>
        <w:t>re</w:t>
      </w:r>
      <w:r>
        <w:rPr>
          <w:rFonts w:eastAsia="Times New Roman"/>
        </w:rPr>
        <w:t>alignment between the Commission’s and CAISO’s RA</w:t>
      </w:r>
      <w:r w:rsidR="00F00B2F">
        <w:rPr>
          <w:rFonts w:eastAsia="Times New Roman"/>
        </w:rPr>
        <w:t> </w:t>
      </w:r>
      <w:r>
        <w:rPr>
          <w:rFonts w:eastAsia="Times New Roman"/>
        </w:rPr>
        <w:t xml:space="preserve">rules.  </w:t>
      </w:r>
    </w:p>
    <w:p w:rsidR="00947B08" w:rsidP="00947B08" w:rsidRDefault="00947B08" w14:paraId="27550B03" w14:textId="3BA026AD">
      <w:pPr>
        <w:pStyle w:val="Standard"/>
        <w:rPr>
          <w:rFonts w:eastAsia="Times New Roman"/>
        </w:rPr>
      </w:pPr>
      <w:proofErr w:type="spellStart"/>
      <w:r>
        <w:rPr>
          <w:rFonts w:eastAsia="Times New Roman"/>
        </w:rPr>
        <w:t>AReM</w:t>
      </w:r>
      <w:proofErr w:type="spellEnd"/>
      <w:r>
        <w:rPr>
          <w:rFonts w:eastAsia="Times New Roman"/>
        </w:rPr>
        <w:t>, AES, GPI, MRP, and PG&amp;E support eliminating the flexible requirements with the SOD framework.</w:t>
      </w:r>
      <w:r>
        <w:rPr>
          <w:rStyle w:val="FootnoteReference"/>
          <w:rFonts w:eastAsia="Times New Roman"/>
        </w:rPr>
        <w:footnoteReference w:id="201"/>
      </w:r>
      <w:r>
        <w:rPr>
          <w:rFonts w:eastAsia="Times New Roman"/>
        </w:rPr>
        <w:t xml:space="preserve">  MRP suggests the Commission and CAISO coordinate on new products that could replace the flexible RA requirements.  PG&amp;E states that CAISO should continue pursuing retirement of </w:t>
      </w:r>
      <w:r>
        <w:rPr>
          <w:rFonts w:eastAsia="Times New Roman"/>
        </w:rPr>
        <w:lastRenderedPageBreak/>
        <w:t>flexible RA in its stakeholder process.  CAISO states that it will continue coordinating with Energy</w:t>
      </w:r>
      <w:r w:rsidR="00F00B2F">
        <w:rPr>
          <w:rFonts w:eastAsia="Times New Roman"/>
        </w:rPr>
        <w:t> </w:t>
      </w:r>
      <w:r>
        <w:rPr>
          <w:rFonts w:eastAsia="Times New Roman"/>
        </w:rPr>
        <w:t>Division on potential changes to the flexible capacity design.</w:t>
      </w:r>
      <w:r>
        <w:rPr>
          <w:rStyle w:val="FootnoteReference"/>
          <w:rFonts w:eastAsia="Times New Roman"/>
        </w:rPr>
        <w:footnoteReference w:id="202"/>
      </w:r>
    </w:p>
    <w:p w:rsidR="00947B08" w:rsidP="00947B08" w:rsidRDefault="00947B08" w14:paraId="0494359B" w14:textId="19513F8F">
      <w:pPr>
        <w:rPr>
          <w:rFonts w:eastAsia="Times New Roman"/>
        </w:rPr>
      </w:pPr>
      <w:r>
        <w:rPr>
          <w:rFonts w:eastAsia="Times New Roman"/>
        </w:rPr>
        <w:t xml:space="preserve">The Commission agrees with </w:t>
      </w:r>
      <w:proofErr w:type="gramStart"/>
      <w:r>
        <w:rPr>
          <w:rFonts w:eastAsia="Times New Roman"/>
        </w:rPr>
        <w:t>parties</w:t>
      </w:r>
      <w:proofErr w:type="gramEnd"/>
      <w:r>
        <w:rPr>
          <w:rFonts w:eastAsia="Times New Roman"/>
        </w:rPr>
        <w:t xml:space="preserve"> and Energy Division that eliminating the flexible RA requirements with the SOD framework has merit.  However, the process to remove flexible RA requirements must be coordinated with CAISO’s tariff and processes, which will require a CAISO stakeholder process to remove</w:t>
      </w:r>
      <w:r w:rsidR="00DD3D37">
        <w:rPr>
          <w:rFonts w:eastAsia="Times New Roman"/>
        </w:rPr>
        <w:t xml:space="preserve"> or modify</w:t>
      </w:r>
      <w:r>
        <w:rPr>
          <w:rFonts w:eastAsia="Times New Roman"/>
        </w:rPr>
        <w:t>.  Removing one set of requirements at the Commission, and not removing the requirements at the CAISO, will result in significant confusion.  The Commission will coordinat</w:t>
      </w:r>
      <w:r w:rsidR="00DD3D37">
        <w:rPr>
          <w:rFonts w:eastAsia="Times New Roman"/>
        </w:rPr>
        <w:t>e</w:t>
      </w:r>
      <w:r>
        <w:rPr>
          <w:rFonts w:eastAsia="Times New Roman"/>
        </w:rPr>
        <w:t xml:space="preserve"> with CAISO on the future removal of the flexible RA</w:t>
      </w:r>
      <w:r w:rsidR="00F00B2F">
        <w:rPr>
          <w:rFonts w:eastAsia="Times New Roman"/>
        </w:rPr>
        <w:t> </w:t>
      </w:r>
      <w:r>
        <w:rPr>
          <w:rFonts w:eastAsia="Times New Roman"/>
        </w:rPr>
        <w:t xml:space="preserve">requirements for the SOD framework. </w:t>
      </w:r>
    </w:p>
    <w:p w:rsidR="00947B08" w:rsidP="00947B08" w:rsidRDefault="00947B08" w14:paraId="49FEA3C2" w14:textId="53FDF80B">
      <w:pPr>
        <w:pStyle w:val="Heading1"/>
      </w:pPr>
      <w:bookmarkStart w:name="_Toc131762414" w:id="72"/>
      <w:r w:rsidRPr="00947B08">
        <w:t>Funding Allocation for SOD Implementation</w:t>
      </w:r>
      <w:bookmarkEnd w:id="72"/>
    </w:p>
    <w:p w:rsidR="00947B08" w:rsidP="00947B08" w:rsidRDefault="00947B08" w14:paraId="14569906" w14:textId="77942610">
      <w:r w:rsidRPr="00AE0494">
        <w:t>In the Amended Scoping</w:t>
      </w:r>
      <w:r w:rsidR="00F00B2F">
        <w:t> </w:t>
      </w:r>
      <w:r w:rsidRPr="00AE0494">
        <w:t>Memo, the Commission scoped consideration of “the allocation of funding to assist with the implementation of the 24</w:t>
      </w:r>
      <w:r w:rsidR="00F00B2F">
        <w:noBreakHyphen/>
      </w:r>
      <w:r w:rsidRPr="00AE0494">
        <w:t>hour</w:t>
      </w:r>
      <w:r w:rsidR="00F00B2F">
        <w:t> </w:t>
      </w:r>
      <w:r w:rsidRPr="00AE0494">
        <w:t>slice framework, including funds for a compliance filing portal and external facing user interface.</w:t>
      </w:r>
      <w:r>
        <w:t>”</w:t>
      </w:r>
      <w:r>
        <w:rPr>
          <w:rStyle w:val="FootnoteReference"/>
        </w:rPr>
        <w:footnoteReference w:id="203"/>
      </w:r>
      <w:r w:rsidRPr="00AE0494">
        <w:t xml:space="preserve"> </w:t>
      </w:r>
    </w:p>
    <w:p w:rsidR="00947B08" w:rsidP="00947B08" w:rsidRDefault="00947B08" w14:paraId="593945A8" w14:textId="5D001A14">
      <w:r>
        <w:t>To bring the new RA</w:t>
      </w:r>
      <w:r w:rsidR="00F00B2F">
        <w:t> </w:t>
      </w:r>
      <w:r>
        <w:t xml:space="preserve">framework to full implementation, significant preparations before and during the 2024 test year are required, including development and refinement of the </w:t>
      </w:r>
      <w:proofErr w:type="gramStart"/>
      <w:r>
        <w:t>compliance</w:t>
      </w:r>
      <w:proofErr w:type="gramEnd"/>
      <w:r>
        <w:t xml:space="preserve"> and showing tools, analysis and evaluation of LSEs’ compliance year-ahead and month-ahead showings, analysis and evaluation of the SOD rules and process</w:t>
      </w:r>
      <w:r w:rsidR="00DD3D37">
        <w:t>, and development of a compliance filing portal and external facing user interface</w:t>
      </w:r>
      <w:r>
        <w:t>.  This work will be ongoing after the test</w:t>
      </w:r>
      <w:r w:rsidR="00F00B2F">
        <w:t> </w:t>
      </w:r>
      <w:r>
        <w:t xml:space="preserve">year through the initial years of implementation. </w:t>
      </w:r>
    </w:p>
    <w:p w:rsidR="00947B08" w:rsidP="00947B08" w:rsidRDefault="00947B08" w14:paraId="05322D01" w14:textId="77777777">
      <w:pPr>
        <w:rPr>
          <w:szCs w:val="26"/>
        </w:rPr>
      </w:pPr>
      <w:r>
        <w:rPr>
          <w:szCs w:val="26"/>
        </w:rPr>
        <w:lastRenderedPageBreak/>
        <w:t>The California Legislature’s Annual Budget Act gives the Commission certain specific and limited ongoing reimbursable expenditure authority.  Prior to exercising this authority, the Commission must issue a decision that identifies the contracting activities to be undertaken by the Commission, and the costs subject to reimbursement by utility companies. This decision serves that purpose.</w:t>
      </w:r>
      <w:r>
        <w:rPr>
          <w:rStyle w:val="FootnoteReference"/>
          <w:szCs w:val="26"/>
        </w:rPr>
        <w:footnoteReference w:id="204"/>
      </w:r>
    </w:p>
    <w:p w:rsidR="00947B08" w:rsidP="002036EB" w:rsidRDefault="00947B08" w14:paraId="09BA9322" w14:textId="06D2E854">
      <w:r>
        <w:rPr>
          <w:szCs w:val="26"/>
        </w:rPr>
        <w:t>Commission staff anticipates technical support and consulting on the following types of tasks, including, but not limited to:</w:t>
      </w:r>
      <w:r w:rsidRPr="002036EB" w:rsidR="002036EB">
        <w:t xml:space="preserve"> </w:t>
      </w:r>
      <w:r w:rsidR="00D72801">
        <w:t xml:space="preserve">(1) </w:t>
      </w:r>
      <w:r w:rsidR="002036EB">
        <w:t xml:space="preserve">technical support for developing compliance reporting forms, </w:t>
      </w:r>
      <w:r w:rsidR="00D72801">
        <w:t xml:space="preserve">(2) </w:t>
      </w:r>
      <w:r w:rsidR="002036EB">
        <w:t xml:space="preserve">developing analytical tools for reviewing compliance submittal information, </w:t>
      </w:r>
      <w:r w:rsidR="00D72801">
        <w:t xml:space="preserve">(3) </w:t>
      </w:r>
      <w:r w:rsidR="002036EB">
        <w:t xml:space="preserve">assistance in developing tools for efficiently evaluating compliance submittal information, and </w:t>
      </w:r>
      <w:r w:rsidR="00D72801">
        <w:t xml:space="preserve">(4) </w:t>
      </w:r>
      <w:r w:rsidR="002036EB">
        <w:t>proposing programmatic process improvements to ensure efficiency and robustness of the program’s ability to apply Commission rules</w:t>
      </w:r>
      <w:r w:rsidR="002036EB">
        <w:rPr>
          <w:szCs w:val="26"/>
        </w:rPr>
        <w:t>.</w:t>
      </w:r>
    </w:p>
    <w:p w:rsidR="00947B08" w:rsidP="00947B08" w:rsidRDefault="00947B08" w14:paraId="55AB4436" w14:textId="188EC27D">
      <w:r>
        <w:t>For these purposes, beginning with the 2023</w:t>
      </w:r>
      <w:r w:rsidR="00F00B2F">
        <w:noBreakHyphen/>
      </w:r>
      <w:r>
        <w:t xml:space="preserve">2024 fiscal year, we will authorize the expenditures of up to, but no more than </w:t>
      </w:r>
      <w:r w:rsidR="002036EB">
        <w:t xml:space="preserve">$1 million </w:t>
      </w:r>
      <w:r>
        <w:t xml:space="preserve">annually for up to </w:t>
      </w:r>
      <w:r w:rsidR="002036EB">
        <w:t xml:space="preserve">six </w:t>
      </w:r>
      <w:r>
        <w:t>years, for a total budget not to exceed</w:t>
      </w:r>
      <w:r w:rsidR="002036EB">
        <w:t xml:space="preserve"> $6 million</w:t>
      </w:r>
      <w:r>
        <w:t>.  The maximum nominal value of a contract shall not exceed</w:t>
      </w:r>
      <w:r w:rsidR="002036EB">
        <w:t xml:space="preserve"> $6 million</w:t>
      </w:r>
      <w:r>
        <w:t xml:space="preserve">.  The annual funds may be carried forward and expended in a subsequent year.  If not spent within </w:t>
      </w:r>
      <w:r w:rsidR="002036EB">
        <w:t xml:space="preserve">6 </w:t>
      </w:r>
      <w:r>
        <w:t>years, the funds may be spent in subsequent years, but still may not exceed the maximum total.</w:t>
      </w:r>
    </w:p>
    <w:p w:rsidRPr="002957FF" w:rsidR="00947B08" w:rsidP="00577BD9" w:rsidRDefault="00947B08" w14:paraId="7DC1EFF5" w14:textId="3D94EBD8">
      <w:r>
        <w:rPr>
          <w:szCs w:val="26"/>
        </w:rPr>
        <w:t xml:space="preserve">The Commission’s Executive Director will approve the expenditures and seek reimbursement from PG&amp;E, SCE, and SDG&amp;E.  Reimbursement will be sought from these three IOUs on a proportional basis in relationship to their </w:t>
      </w:r>
      <w:r w:rsidR="002036EB">
        <w:rPr>
          <w:szCs w:val="26"/>
        </w:rPr>
        <w:t xml:space="preserve">most recently available </w:t>
      </w:r>
      <w:r>
        <w:rPr>
          <w:szCs w:val="26"/>
        </w:rPr>
        <w:t xml:space="preserve">annual retail sales reported </w:t>
      </w:r>
      <w:r w:rsidR="002036EB">
        <w:rPr>
          <w:szCs w:val="26"/>
        </w:rPr>
        <w:t xml:space="preserve">at the time of the start of the </w:t>
      </w:r>
      <w:r w:rsidR="002036EB">
        <w:rPr>
          <w:szCs w:val="26"/>
        </w:rPr>
        <w:lastRenderedPageBreak/>
        <w:t>contract</w:t>
      </w:r>
      <w:r>
        <w:rPr>
          <w:szCs w:val="26"/>
        </w:rPr>
        <w:t>.  The IOUs are authorized to record RA third party technical support costs</w:t>
      </w:r>
      <w:r w:rsidR="002036EB">
        <w:rPr>
          <w:szCs w:val="26"/>
        </w:rPr>
        <w:t xml:space="preserve"> in an appropriate account that allows for cost recovery from all distribution customers </w:t>
      </w:r>
      <w:r>
        <w:rPr>
          <w:szCs w:val="26"/>
        </w:rPr>
        <w:t xml:space="preserve">via distribution rates. </w:t>
      </w:r>
      <w:r w:rsidR="00577BD9">
        <w:rPr>
          <w:szCs w:val="26"/>
        </w:rPr>
        <w:t xml:space="preserve"> </w:t>
      </w:r>
      <w:proofErr w:type="gramStart"/>
      <w:r>
        <w:rPr>
          <w:szCs w:val="26"/>
        </w:rPr>
        <w:t>Similar to</w:t>
      </w:r>
      <w:proofErr w:type="gramEnd"/>
      <w:r>
        <w:rPr>
          <w:szCs w:val="26"/>
        </w:rPr>
        <w:t xml:space="preserve"> actions we have taken in the past,</w:t>
      </w:r>
      <w:r>
        <w:rPr>
          <w:rStyle w:val="FootnoteReference"/>
          <w:szCs w:val="26"/>
        </w:rPr>
        <w:footnoteReference w:id="205"/>
      </w:r>
      <w:r>
        <w:rPr>
          <w:sz w:val="16"/>
          <w:szCs w:val="16"/>
        </w:rPr>
        <w:t xml:space="preserve"> </w:t>
      </w:r>
      <w:r>
        <w:rPr>
          <w:szCs w:val="26"/>
        </w:rPr>
        <w:t>we will excuse other IOUs from these funding requirements, because their load is small.</w:t>
      </w:r>
    </w:p>
    <w:p w:rsidR="00947B08" w:rsidP="00947B08" w:rsidRDefault="00947B08" w14:paraId="0B845A87" w14:textId="1EE59369">
      <w:pPr>
        <w:pStyle w:val="Heading1"/>
      </w:pPr>
      <w:bookmarkStart w:name="_Toc131762415" w:id="73"/>
      <w:r w:rsidRPr="00947B08">
        <w:t>Comments on Proposed Decision</w:t>
      </w:r>
      <w:bookmarkEnd w:id="73"/>
    </w:p>
    <w:p w:rsidR="00947B08" w:rsidP="00947B08" w:rsidRDefault="00947B08" w14:paraId="01052CE8" w14:textId="6317400B">
      <w:pPr>
        <w:pStyle w:val="Standard"/>
      </w:pPr>
      <w:bookmarkStart w:name="_Hlk103160241" w:id="74"/>
      <w:r w:rsidRPr="00F844A4">
        <w:t xml:space="preserve">The proposed decision of </w:t>
      </w:r>
      <w:r>
        <w:t xml:space="preserve">ALJ Chiv </w:t>
      </w:r>
      <w:r w:rsidRPr="00F844A4">
        <w:t>in this matter was mailed to the parties in accordance with Section</w:t>
      </w:r>
      <w:r w:rsidR="00F00B2F">
        <w:t> </w:t>
      </w:r>
      <w:r w:rsidRPr="00F844A4">
        <w:t>311 of the Pub</w:t>
      </w:r>
      <w:r w:rsidR="00F00B2F">
        <w:t>. </w:t>
      </w:r>
      <w:r w:rsidRPr="00F844A4">
        <w:t>Util</w:t>
      </w:r>
      <w:r w:rsidR="00F00B2F">
        <w:t>.</w:t>
      </w:r>
      <w:r w:rsidRPr="00F844A4">
        <w:t xml:space="preserve"> Code and comments were allowed under Rule</w:t>
      </w:r>
      <w:r w:rsidR="00F00B2F">
        <w:t> </w:t>
      </w:r>
      <w:r w:rsidRPr="00F844A4">
        <w:t xml:space="preserve">14.3 of the Commission’s Rules of Practice and Procedure.  </w:t>
      </w:r>
      <w:bookmarkEnd w:id="74"/>
      <w:r w:rsidRPr="00F844A4">
        <w:t xml:space="preserve">Comments were filed on </w:t>
      </w:r>
      <w:r w:rsidR="00245096">
        <w:t xml:space="preserve">March 23, </w:t>
      </w:r>
      <w:proofErr w:type="gramStart"/>
      <w:r w:rsidR="00245096">
        <w:t>2023</w:t>
      </w:r>
      <w:proofErr w:type="gramEnd"/>
      <w:r w:rsidR="00245096">
        <w:t xml:space="preserve"> by: </w:t>
      </w:r>
      <w:r w:rsidRPr="00B24CB4" w:rsidR="00245096">
        <w:t xml:space="preserve">ACP-CA; AES; </w:t>
      </w:r>
      <w:proofErr w:type="spellStart"/>
      <w:r w:rsidRPr="00B24CB4" w:rsidR="00245096">
        <w:t>AReM</w:t>
      </w:r>
      <w:proofErr w:type="spellEnd"/>
      <w:r w:rsidRPr="00B24CB4" w:rsidR="00245096">
        <w:t xml:space="preserve">; </w:t>
      </w:r>
      <w:r w:rsidRPr="00B24CB4" w:rsidR="002C42E0">
        <w:t xml:space="preserve">CAISO; </w:t>
      </w:r>
      <w:r w:rsidRPr="00B24CB4" w:rsidR="00245096">
        <w:t xml:space="preserve">Cal Advocates; </w:t>
      </w:r>
      <w:proofErr w:type="spellStart"/>
      <w:r w:rsidRPr="00B24CB4" w:rsidR="00245096">
        <w:t>CalCCA</w:t>
      </w:r>
      <w:proofErr w:type="spellEnd"/>
      <w:r w:rsidRPr="00B24CB4" w:rsidR="00245096">
        <w:t xml:space="preserve">; </w:t>
      </w:r>
      <w:proofErr w:type="spellStart"/>
      <w:r w:rsidRPr="00B24CB4" w:rsidR="00245096">
        <w:t>CalWEA</w:t>
      </w:r>
      <w:proofErr w:type="spellEnd"/>
      <w:r w:rsidRPr="00B24CB4" w:rsidR="00245096">
        <w:t xml:space="preserve">; CEERT; CEJA; CESA; CEDMC and Leapfrog Power, Inc. (Leap), jointly; GPI; </w:t>
      </w:r>
      <w:proofErr w:type="spellStart"/>
      <w:r w:rsidRPr="00B24CB4" w:rsidR="00245096">
        <w:t>Hydrostor</w:t>
      </w:r>
      <w:proofErr w:type="spellEnd"/>
      <w:r w:rsidRPr="00B24CB4" w:rsidR="00245096">
        <w:t xml:space="preserve">; IEP; MRP; NRDC; </w:t>
      </w:r>
      <w:proofErr w:type="spellStart"/>
      <w:r w:rsidRPr="00B24CB4" w:rsidR="00245096">
        <w:t>OhmConnect</w:t>
      </w:r>
      <w:proofErr w:type="spellEnd"/>
      <w:r w:rsidRPr="00B24CB4" w:rsidR="00245096">
        <w:t>; Pattern Energy Group LP (Pattern); PG&amp;E; SCE; SDG&amp;E; SEIA; Shell; and WPTF.</w:t>
      </w:r>
      <w:r w:rsidRPr="00F844A4">
        <w:t xml:space="preserve"> </w:t>
      </w:r>
      <w:r w:rsidR="00245096">
        <w:t xml:space="preserve"> R</w:t>
      </w:r>
      <w:r w:rsidRPr="00F844A4">
        <w:t xml:space="preserve">eply comments were filed on </w:t>
      </w:r>
      <w:r w:rsidR="000055F0">
        <w:t xml:space="preserve">March 28, </w:t>
      </w:r>
      <w:proofErr w:type="gramStart"/>
      <w:r w:rsidR="000055F0">
        <w:t>2023</w:t>
      </w:r>
      <w:proofErr w:type="gramEnd"/>
      <w:r w:rsidRPr="00F844A4">
        <w:t xml:space="preserve"> by</w:t>
      </w:r>
      <w:r w:rsidR="000055F0">
        <w:t>:</w:t>
      </w:r>
      <w:r w:rsidRPr="00F844A4">
        <w:t xml:space="preserve"> </w:t>
      </w:r>
      <w:r w:rsidRPr="00352D3C" w:rsidR="000055F0">
        <w:t xml:space="preserve">Advanced Energy United (United), </w:t>
      </w:r>
      <w:proofErr w:type="spellStart"/>
      <w:r w:rsidRPr="00352D3C" w:rsidR="000055F0">
        <w:t>AReM</w:t>
      </w:r>
      <w:proofErr w:type="spellEnd"/>
      <w:r w:rsidRPr="00352D3C" w:rsidR="000055F0">
        <w:t xml:space="preserve">, CAISO, </w:t>
      </w:r>
      <w:proofErr w:type="spellStart"/>
      <w:r w:rsidRPr="00352D3C" w:rsidR="000055F0">
        <w:t>CalCCA</w:t>
      </w:r>
      <w:proofErr w:type="spellEnd"/>
      <w:r w:rsidRPr="00352D3C" w:rsidR="000055F0">
        <w:t xml:space="preserve">, CEERT, </w:t>
      </w:r>
      <w:r w:rsidRPr="001D763A" w:rsidR="00352D3C">
        <w:t>CESA</w:t>
      </w:r>
      <w:r w:rsidR="00352D3C">
        <w:t xml:space="preserve">, </w:t>
      </w:r>
      <w:r w:rsidRPr="009251AF" w:rsidR="003340D9">
        <w:t>CLECA,</w:t>
      </w:r>
      <w:r w:rsidR="003340D9">
        <w:t xml:space="preserve"> </w:t>
      </w:r>
      <w:r w:rsidRPr="003340D9" w:rsidR="00352D3C">
        <w:t>GPI,</w:t>
      </w:r>
      <w:r w:rsidR="00352D3C">
        <w:t xml:space="preserve"> </w:t>
      </w:r>
      <w:proofErr w:type="spellStart"/>
      <w:r w:rsidRPr="00352D3C" w:rsidR="000055F0">
        <w:t>H</w:t>
      </w:r>
      <w:r w:rsidR="00352D3C">
        <w:t>ydr</w:t>
      </w:r>
      <w:r w:rsidRPr="00352D3C" w:rsidR="000055F0">
        <w:t>ostor</w:t>
      </w:r>
      <w:proofErr w:type="spellEnd"/>
      <w:r w:rsidRPr="00352D3C" w:rsidR="000055F0">
        <w:t xml:space="preserve">, </w:t>
      </w:r>
      <w:r w:rsidRPr="001D763A" w:rsidR="00352D3C">
        <w:t>Large-scale Solar Association (LSA),</w:t>
      </w:r>
      <w:r w:rsidR="00352D3C">
        <w:t xml:space="preserve"> </w:t>
      </w:r>
      <w:r w:rsidRPr="00352D3C" w:rsidR="000055F0">
        <w:t>MRP, SCE</w:t>
      </w:r>
      <w:r w:rsidR="00352D3C">
        <w:t xml:space="preserve">, and </w:t>
      </w:r>
      <w:r w:rsidRPr="00E252A3" w:rsidR="00352D3C">
        <w:t>Shell</w:t>
      </w:r>
      <w:r w:rsidRPr="00F844A4">
        <w:t>.</w:t>
      </w:r>
    </w:p>
    <w:p w:rsidRPr="001B0708" w:rsidR="005C4335" w:rsidP="001B0708" w:rsidRDefault="008367DF" w14:paraId="5FEBEBC1" w14:textId="521CD9C1">
      <w:pPr>
        <w:pStyle w:val="Standard"/>
        <w:rPr>
          <w:szCs w:val="26"/>
        </w:rPr>
      </w:pPr>
      <w:r>
        <w:t xml:space="preserve">All comments have been carefully considered.  Significant aspects of the proposed decision that have been revised </w:t>
      </w:r>
      <w:proofErr w:type="gramStart"/>
      <w:r>
        <w:t>in light of</w:t>
      </w:r>
      <w:proofErr w:type="gramEnd"/>
      <w:r>
        <w:t xml:space="preserve"> comments are mentioned in this section.  However, additional changes have been made to the proposed decision in response to comments that may not be discussed here.  We do not summarize every comment but focus on major arguments made in which the Commission did or did not make revisions in response to party </w:t>
      </w:r>
      <w:r w:rsidRPr="00016773">
        <w:t xml:space="preserve">input.  </w:t>
      </w:r>
      <w:r w:rsidRPr="00016773">
        <w:rPr>
          <w:szCs w:val="26"/>
        </w:rPr>
        <w:t xml:space="preserve">We remind parties that under Rule 14.3(c), comments on a proposed decision must </w:t>
      </w:r>
      <w:r w:rsidRPr="00016773">
        <w:rPr>
          <w:szCs w:val="26"/>
        </w:rPr>
        <w:lastRenderedPageBreak/>
        <w:t>focus on factual, legal, or technical errors in the proposed decision; comments that fail to meet the requirements will be accorded no weight.</w:t>
      </w:r>
    </w:p>
    <w:p w:rsidR="005C4335" w:rsidP="005C4335" w:rsidRDefault="005C4335" w14:paraId="78C0453E" w14:textId="54BEE052">
      <w:pPr>
        <w:pStyle w:val="Standard"/>
      </w:pPr>
      <w:r>
        <w:t>PG&amp;E</w:t>
      </w:r>
      <w:r w:rsidR="007F28EA">
        <w:t xml:space="preserve">, </w:t>
      </w:r>
      <w:r>
        <w:t>SCE</w:t>
      </w:r>
      <w:r w:rsidR="007F28EA">
        <w:t>, IEP, MRP</w:t>
      </w:r>
      <w:r w:rsidR="00296743">
        <w:t>, and CAISO</w:t>
      </w:r>
      <w:r>
        <w:t xml:space="preserve"> </w:t>
      </w:r>
      <w:r w:rsidR="007F28EA">
        <w:t xml:space="preserve">express concerns </w:t>
      </w:r>
      <w:r w:rsidR="001B0708">
        <w:t>with the adoption of</w:t>
      </w:r>
      <w:r>
        <w:t xml:space="preserve"> Cal Advocates’ 12-season approach.  PG&amp;E </w:t>
      </w:r>
      <w:r w:rsidR="007F28EA">
        <w:t>comments</w:t>
      </w:r>
      <w:r>
        <w:t xml:space="preserve"> that the</w:t>
      </w:r>
      <w:r w:rsidR="00296743">
        <w:t xml:space="preserve"> proposed</w:t>
      </w:r>
      <w:r>
        <w:t xml:space="preserve"> decision does not </w:t>
      </w:r>
      <w:r w:rsidR="007F28EA">
        <w:t>explain</w:t>
      </w:r>
      <w:r>
        <w:t xml:space="preserve"> why using </w:t>
      </w:r>
      <w:r w:rsidR="007F28EA">
        <w:t>an exceedance-based approach</w:t>
      </w:r>
      <w:r>
        <w:t xml:space="preserve"> to approximate a high-load day profile is preferable to using the high-load day profile itself</w:t>
      </w:r>
      <w:r w:rsidR="007F28EA">
        <w:t>.</w:t>
      </w:r>
      <w:r w:rsidR="00296743">
        <w:rPr>
          <w:rStyle w:val="FootnoteReference"/>
        </w:rPr>
        <w:footnoteReference w:id="206"/>
      </w:r>
      <w:r w:rsidR="007F28EA">
        <w:t xml:space="preserve">  PG&amp;E </w:t>
      </w:r>
      <w:r w:rsidR="00296743">
        <w:t>states</w:t>
      </w:r>
      <w:r>
        <w:t xml:space="preserve"> that the latter </w:t>
      </w:r>
      <w:r w:rsidR="007F28EA">
        <w:t xml:space="preserve">would </w:t>
      </w:r>
      <w:r w:rsidR="001B0708">
        <w:t xml:space="preserve">considerably </w:t>
      </w:r>
      <w:r w:rsidR="007F28EA">
        <w:t>simpl</w:t>
      </w:r>
      <w:r w:rsidR="00296743">
        <w:t>if</w:t>
      </w:r>
      <w:r w:rsidR="007F28EA">
        <w:t xml:space="preserve">y the process </w:t>
      </w:r>
      <w:r>
        <w:t xml:space="preserve">and </w:t>
      </w:r>
      <w:r w:rsidR="007F28EA">
        <w:t xml:space="preserve">be </w:t>
      </w:r>
      <w:r>
        <w:t xml:space="preserve">more accurate </w:t>
      </w:r>
      <w:r w:rsidR="007F28EA">
        <w:t xml:space="preserve">if the goal is to approximate production </w:t>
      </w:r>
      <w:r>
        <w:t>on high-load days.</w:t>
      </w:r>
      <w:r w:rsidR="005941A3">
        <w:t xml:space="preserve">  Alternatively, PG&amp;E states that if the Commission elects to use an exceedance-based approach, it should use a simpler methodology that includes an additional performance buffer, such as the PG&amp;E’s Top 5 Day approach.</w:t>
      </w:r>
      <w:r>
        <w:t xml:space="preserve">  SCE states that the 12-season approach appears to lead to </w:t>
      </w:r>
      <w:r w:rsidR="008C3FCA">
        <w:t xml:space="preserve">counting </w:t>
      </w:r>
      <w:r>
        <w:t xml:space="preserve">solar and wind </w:t>
      </w:r>
      <w:r w:rsidR="008C3FCA">
        <w:t xml:space="preserve">resources </w:t>
      </w:r>
      <w:r>
        <w:t xml:space="preserve">significantly higher than </w:t>
      </w:r>
      <w:r w:rsidR="00E252A3">
        <w:t xml:space="preserve">their </w:t>
      </w:r>
      <w:r>
        <w:t>average historical capacity contribution</w:t>
      </w:r>
      <w:r w:rsidR="00E252A3">
        <w:t xml:space="preserve"> for the period</w:t>
      </w:r>
      <w:r>
        <w:t>.</w:t>
      </w:r>
      <w:r>
        <w:rPr>
          <w:rStyle w:val="FootnoteReference"/>
        </w:rPr>
        <w:footnoteReference w:id="207"/>
      </w:r>
      <w:r>
        <w:t xml:space="preserve">  SCE states that the goal of resource counting under the SOD should be to count resource types consistent</w:t>
      </w:r>
      <w:r w:rsidR="00296743">
        <w:t>ly</w:t>
      </w:r>
      <w:r>
        <w:t xml:space="preserve"> with their expected hourly capacity contribution.</w:t>
      </w:r>
      <w:r w:rsidR="00E252A3">
        <w:t xml:space="preserve">  SCE recommends a 70% exceedance be used for all months and hours, consistent with the level previously used by Energy Division to </w:t>
      </w:r>
      <w:r w:rsidR="005941A3">
        <w:t>calculate</w:t>
      </w:r>
      <w:r w:rsidR="00E252A3">
        <w:t xml:space="preserve"> monthly QC.</w:t>
      </w:r>
    </w:p>
    <w:p w:rsidR="009D30C1" w:rsidP="00296743" w:rsidRDefault="00B248EF" w14:paraId="08A639BB" w14:textId="3EDC3C9D">
      <w:pPr>
        <w:pStyle w:val="Standard"/>
      </w:pPr>
      <w:r>
        <w:t xml:space="preserve">IEP </w:t>
      </w:r>
      <w:r w:rsidR="007F28EA">
        <w:t>comments</w:t>
      </w:r>
      <w:r>
        <w:t xml:space="preserve"> that Cal Advocates’ approach is </w:t>
      </w:r>
      <w:r w:rsidR="005941A3">
        <w:t>a</w:t>
      </w:r>
      <w:r w:rsidR="007F28EA">
        <w:t xml:space="preserve"> </w:t>
      </w:r>
      <w:r>
        <w:t>second-best option and that once Worst Day benchmarks are calculated, the additional step of deriving percentile-based exceedance profiles to match the Worst Day average-based profiles as close as possible serves no purpose.</w:t>
      </w:r>
      <w:r>
        <w:rPr>
          <w:rStyle w:val="FootnoteReference"/>
        </w:rPr>
        <w:footnoteReference w:id="208"/>
      </w:r>
      <w:r>
        <w:t xml:space="preserve">  IEP states that using the Top 5 Day monthly profiles directly is more efficient than calibrating exceedance </w:t>
      </w:r>
      <w:r>
        <w:lastRenderedPageBreak/>
        <w:t>profiles to the Top 5 Day averages.</w:t>
      </w:r>
      <w:r w:rsidR="007F28EA">
        <w:t xml:space="preserve">  </w:t>
      </w:r>
      <w:r w:rsidR="002A62A0">
        <w:t xml:space="preserve">MRP states that Cal Advocates’ methodology minimizes the sum of the absolute values of the differences across all hours, and </w:t>
      </w:r>
      <w:r w:rsidR="005A3D7D">
        <w:t xml:space="preserve">once the absolute value is applied, it is </w:t>
      </w:r>
      <w:r w:rsidR="00296743">
        <w:t>challenging</w:t>
      </w:r>
      <w:r w:rsidR="005A3D7D">
        <w:t xml:space="preserve"> to tell whether the difference is from over- or under-counting the capacity value to the benchmark</w:t>
      </w:r>
      <w:r w:rsidR="002A62A0">
        <w:t>.</w:t>
      </w:r>
      <w:r w:rsidR="005A3D7D">
        <w:rPr>
          <w:rStyle w:val="FootnoteReference"/>
        </w:rPr>
        <w:footnoteReference w:id="209"/>
      </w:r>
      <w:r w:rsidR="00242732">
        <w:t xml:space="preserve">  </w:t>
      </w:r>
      <w:r w:rsidR="00296743">
        <w:t>P</w:t>
      </w:r>
      <w:r w:rsidR="00242732">
        <w:t xml:space="preserve">articularly during the AAHs, </w:t>
      </w:r>
      <w:r w:rsidR="00296743">
        <w:t>MRP states that it</w:t>
      </w:r>
      <w:r w:rsidR="00242732">
        <w:t xml:space="preserve"> is difficult to tell whether the exceedance thresholds and hourly profiles are optimal.  MRP states that either PG&amp;E</w:t>
      </w:r>
      <w:r w:rsidR="008C3FCA">
        <w:t>’s</w:t>
      </w:r>
      <w:r w:rsidR="00242732">
        <w:t xml:space="preserve"> or MRP’s </w:t>
      </w:r>
      <w:r w:rsidR="008C3FCA">
        <w:t xml:space="preserve">proposed </w:t>
      </w:r>
      <w:r w:rsidR="00242732">
        <w:t>methods are superior because they focus on minimizing differences during the AAHs.</w:t>
      </w:r>
      <w:r w:rsidR="00883471">
        <w:t xml:space="preserve">  MRP adds that SCE’s 70% exceedance should not be adopted because it was not discussed during the Working Group process.</w:t>
      </w:r>
      <w:r w:rsidR="00D948AF">
        <w:rPr>
          <w:rStyle w:val="FootnoteReference"/>
        </w:rPr>
        <w:footnoteReference w:id="210"/>
      </w:r>
      <w:r w:rsidR="00296743">
        <w:t xml:space="preserve">  </w:t>
      </w:r>
      <w:r w:rsidR="009D30C1">
        <w:t>CAISO agrees with SCE and MRP that Cal Advocates’ approach can over-value wind and solar resources.</w:t>
      </w:r>
      <w:r w:rsidR="0076236A">
        <w:rPr>
          <w:rStyle w:val="FootnoteReference"/>
        </w:rPr>
        <w:footnoteReference w:id="211"/>
      </w:r>
      <w:r w:rsidR="0076236A">
        <w:t xml:space="preserve">  </w:t>
      </w:r>
    </w:p>
    <w:p w:rsidR="008C3FCA" w:rsidP="005C4335" w:rsidRDefault="008C3FCA" w14:paraId="19C2D9B1" w14:textId="7CC29C36">
      <w:pPr>
        <w:pStyle w:val="Standard"/>
      </w:pPr>
      <w:proofErr w:type="gramStart"/>
      <w:r w:rsidRPr="009232EB">
        <w:t>In light of</w:t>
      </w:r>
      <w:proofErr w:type="gramEnd"/>
      <w:r w:rsidRPr="009232EB">
        <w:t xml:space="preserve"> comments</w:t>
      </w:r>
      <w:r w:rsidR="009232EB">
        <w:t xml:space="preserve"> on the proposed decision</w:t>
      </w:r>
      <w:r w:rsidRPr="009232EB">
        <w:t xml:space="preserve">, the Commission is persuaded by parties’ concerns that the 12-season approach may </w:t>
      </w:r>
      <w:r w:rsidRPr="009232EB" w:rsidR="003212ED">
        <w:t>over</w:t>
      </w:r>
      <w:r w:rsidRPr="009232EB">
        <w:t>value wind and solar resources</w:t>
      </w:r>
      <w:r w:rsidR="009232EB">
        <w:t>,</w:t>
      </w:r>
      <w:r w:rsidRPr="009232EB" w:rsidR="003212ED">
        <w:t xml:space="preserve"> as compared to their average historical capacity contribution.  We</w:t>
      </w:r>
      <w:r w:rsidRPr="009232EB">
        <w:t xml:space="preserve"> </w:t>
      </w:r>
      <w:r w:rsidR="009232EB">
        <w:t xml:space="preserve">also </w:t>
      </w:r>
      <w:r w:rsidRPr="009232EB" w:rsidR="005941A3">
        <w:t xml:space="preserve">agree </w:t>
      </w:r>
      <w:r w:rsidRPr="009232EB" w:rsidR="003212ED">
        <w:t xml:space="preserve">with parties </w:t>
      </w:r>
      <w:r w:rsidRPr="009232EB" w:rsidR="005941A3">
        <w:t xml:space="preserve">that </w:t>
      </w:r>
      <w:r w:rsidRPr="009232EB" w:rsidR="003212ED">
        <w:t xml:space="preserve">directly using </w:t>
      </w:r>
      <w:r w:rsidRPr="009232EB" w:rsidR="005941A3">
        <w:t>PG&amp;E’s Top 5 Day methodology is a simpler</w:t>
      </w:r>
      <w:r w:rsidRPr="009232EB" w:rsidR="003212ED">
        <w:t xml:space="preserve"> and</w:t>
      </w:r>
      <w:r w:rsidRPr="009232EB" w:rsidR="005941A3">
        <w:t xml:space="preserve"> more conservative </w:t>
      </w:r>
      <w:r w:rsidRPr="009232EB" w:rsidR="0094712F">
        <w:t xml:space="preserve">exceedance-based </w:t>
      </w:r>
      <w:r w:rsidRPr="009232EB" w:rsidR="005941A3">
        <w:t>approach</w:t>
      </w:r>
      <w:r w:rsidRPr="009232EB" w:rsidR="003212ED">
        <w:t xml:space="preserve"> than the 12-season approach</w:t>
      </w:r>
      <w:r w:rsidRPr="009232EB">
        <w:t>.</w:t>
      </w:r>
      <w:r>
        <w:t xml:space="preserve">  </w:t>
      </w:r>
      <w:r w:rsidR="009232EB">
        <w:t xml:space="preserve">As such, </w:t>
      </w:r>
      <w:r w:rsidR="00252F59">
        <w:t>we find it</w:t>
      </w:r>
      <w:r w:rsidR="009232EB">
        <w:t xml:space="preserve"> prudent to modify the decision to </w:t>
      </w:r>
      <w:r>
        <w:t>adopt PG&amp;E’s Top 5 Day methodology</w:t>
      </w:r>
      <w:r w:rsidR="009232EB">
        <w:t xml:space="preserve"> over</w:t>
      </w:r>
      <w:r w:rsidR="000870C6">
        <w:t xml:space="preserve"> </w:t>
      </w:r>
      <w:r w:rsidR="00BB4F2C">
        <w:t xml:space="preserve">Cal Advocates’ </w:t>
      </w:r>
      <w:r w:rsidR="000870C6">
        <w:t>12-season approach</w:t>
      </w:r>
      <w:r>
        <w:t xml:space="preserve">.  Energy Division is directed to develop the exceedance profiles based on PG&amp;E’s Top 5 Day methodology and </w:t>
      </w:r>
      <w:r w:rsidR="00986EAA">
        <w:t>to publish</w:t>
      </w:r>
      <w:r>
        <w:t xml:space="preserve"> the non-confidential version of the exceedance calculations.  Should any issues arise with the use of PG&amp;E’s Top 5 Day methodology, parties will have an opportunity to provide informal comments.</w:t>
      </w:r>
    </w:p>
    <w:p w:rsidRPr="00C40406" w:rsidR="005C4335" w:rsidP="005C4335" w:rsidRDefault="005C4335" w14:paraId="59F36428" w14:textId="054EBB3E">
      <w:pPr>
        <w:pStyle w:val="Standard"/>
      </w:pPr>
      <w:r>
        <w:lastRenderedPageBreak/>
        <w:t xml:space="preserve">Cal Advocates comments that CAISO does not always issue a Flex Alert prior to declaring a grid emergency and that there were three days since 2015 in which CAISO did not institute a Flex Alert to declare a </w:t>
      </w:r>
      <w:r w:rsidR="00252F59">
        <w:t>grid</w:t>
      </w:r>
      <w:r>
        <w:t xml:space="preserve"> emergency.</w:t>
      </w:r>
      <w:r>
        <w:rPr>
          <w:rStyle w:val="FootnoteReference"/>
        </w:rPr>
        <w:footnoteReference w:id="212"/>
      </w:r>
      <w:r>
        <w:t xml:space="preserve">  While two of the three days were captured in the Top 5 Day benchmark, one day in 2019 was not.  </w:t>
      </w:r>
      <w:r w:rsidR="0057424A">
        <w:t>Thus</w:t>
      </w:r>
      <w:r>
        <w:t xml:space="preserve">, Cal Advocates recommends </w:t>
      </w:r>
      <w:r w:rsidR="0057424A">
        <w:t>including</w:t>
      </w:r>
      <w:r>
        <w:t xml:space="preserve"> any day when CAISO declared a </w:t>
      </w:r>
      <w:bookmarkStart w:name="_Hlk131414340" w:id="75"/>
      <w:r>
        <w:t>Flex Alert, Warning</w:t>
      </w:r>
      <w:r w:rsidR="00252F59">
        <w:t>,</w:t>
      </w:r>
      <w:r>
        <w:t xml:space="preserve"> Stage 1-3 Emergency, or EEA 1-3</w:t>
      </w:r>
      <w:bookmarkEnd w:id="75"/>
      <w:r>
        <w:t xml:space="preserve"> condition</w:t>
      </w:r>
      <w:r w:rsidR="007D5461">
        <w:t xml:space="preserve"> to the Top 5 Days</w:t>
      </w:r>
      <w:r>
        <w:t>.</w:t>
      </w:r>
      <w:r w:rsidR="00800AA5">
        <w:t xml:space="preserve"> </w:t>
      </w:r>
      <w:r w:rsidR="0040159A">
        <w:t xml:space="preserve"> </w:t>
      </w:r>
      <w:r w:rsidRPr="00B578C9" w:rsidR="0040159A">
        <w:t xml:space="preserve">The Commission agrees </w:t>
      </w:r>
      <w:r w:rsidR="00B578C9">
        <w:t>that</w:t>
      </w:r>
      <w:r w:rsidRPr="00B578C9" w:rsidR="0040159A">
        <w:t xml:space="preserve"> </w:t>
      </w:r>
      <w:r w:rsidRPr="00C40406" w:rsidR="003E7313">
        <w:t>adding th</w:t>
      </w:r>
      <w:r w:rsidR="00B578C9">
        <w:t>e</w:t>
      </w:r>
      <w:r w:rsidRPr="00C40406" w:rsidR="003E7313">
        <w:t xml:space="preserve"> Flex Alert</w:t>
      </w:r>
      <w:r w:rsidRPr="00B578C9" w:rsidR="0040159A">
        <w:t xml:space="preserve"> modification</w:t>
      </w:r>
      <w:r w:rsidRPr="00C40406" w:rsidR="003E7313">
        <w:t xml:space="preserve"> </w:t>
      </w:r>
      <w:r w:rsidR="00B578C9">
        <w:t xml:space="preserve">is reasonable, </w:t>
      </w:r>
      <w:r w:rsidRPr="00C40406" w:rsidR="003E7313">
        <w:t>and the decision has been modified</w:t>
      </w:r>
      <w:r w:rsidRPr="00B578C9" w:rsidR="0040159A">
        <w:t>.</w:t>
      </w:r>
    </w:p>
    <w:p w:rsidR="00E33D15" w:rsidP="0040159A" w:rsidRDefault="008367DF" w14:paraId="5065E136" w14:textId="55AA81A1">
      <w:pPr>
        <w:pStyle w:val="Standard"/>
      </w:pPr>
      <w:r>
        <w:rPr>
          <w:szCs w:val="26"/>
        </w:rPr>
        <w:t xml:space="preserve">ACP-CA </w:t>
      </w:r>
      <w:r w:rsidR="004F41B4">
        <w:rPr>
          <w:szCs w:val="26"/>
        </w:rPr>
        <w:t xml:space="preserve">and Pattern </w:t>
      </w:r>
      <w:r>
        <w:rPr>
          <w:szCs w:val="26"/>
        </w:rPr>
        <w:t xml:space="preserve">comment that the </w:t>
      </w:r>
      <w:r w:rsidR="00296743">
        <w:rPr>
          <w:szCs w:val="26"/>
        </w:rPr>
        <w:t xml:space="preserve">proposed </w:t>
      </w:r>
      <w:r>
        <w:rPr>
          <w:szCs w:val="26"/>
        </w:rPr>
        <w:t>decision does not specify which regions or types of technology will be eligible for modeled data</w:t>
      </w:r>
      <w:r w:rsidR="004F41B4">
        <w:rPr>
          <w:szCs w:val="26"/>
        </w:rPr>
        <w:t>.</w:t>
      </w:r>
      <w:r w:rsidR="004F41B4">
        <w:rPr>
          <w:rStyle w:val="FootnoteReference"/>
          <w:szCs w:val="26"/>
        </w:rPr>
        <w:footnoteReference w:id="213"/>
      </w:r>
      <w:r>
        <w:rPr>
          <w:szCs w:val="26"/>
        </w:rPr>
        <w:t xml:space="preserve"> </w:t>
      </w:r>
      <w:r w:rsidR="004F41B4">
        <w:rPr>
          <w:szCs w:val="26"/>
        </w:rPr>
        <w:t xml:space="preserve"> ACP-CA seeks</w:t>
      </w:r>
      <w:r>
        <w:rPr>
          <w:szCs w:val="26"/>
        </w:rPr>
        <w:t xml:space="preserve"> </w:t>
      </w:r>
      <w:r w:rsidR="004F41B4">
        <w:rPr>
          <w:szCs w:val="26"/>
        </w:rPr>
        <w:t>clarification</w:t>
      </w:r>
      <w:r>
        <w:rPr>
          <w:szCs w:val="26"/>
        </w:rPr>
        <w:t xml:space="preserve"> that all wind resource areas outside of CAISO and offshore wind resources will be eligible for modeled data use</w:t>
      </w:r>
      <w:r w:rsidR="004F41B4">
        <w:rPr>
          <w:szCs w:val="26"/>
        </w:rPr>
        <w:t xml:space="preserve">, </w:t>
      </w:r>
      <w:r w:rsidR="0065245C">
        <w:rPr>
          <w:szCs w:val="26"/>
        </w:rPr>
        <w:t>as well as clarification on</w:t>
      </w:r>
      <w:r w:rsidR="004F41B4">
        <w:rPr>
          <w:szCs w:val="26"/>
        </w:rPr>
        <w:t xml:space="preserve"> </w:t>
      </w:r>
      <w:r w:rsidR="00296743">
        <w:rPr>
          <w:szCs w:val="26"/>
        </w:rPr>
        <w:t>which</w:t>
      </w:r>
      <w:r>
        <w:rPr>
          <w:szCs w:val="26"/>
        </w:rPr>
        <w:t xml:space="preserve"> IRP modeling data</w:t>
      </w:r>
      <w:r w:rsidR="00CC04E5">
        <w:rPr>
          <w:szCs w:val="26"/>
        </w:rPr>
        <w:t xml:space="preserve"> will be used</w:t>
      </w:r>
      <w:r>
        <w:rPr>
          <w:szCs w:val="26"/>
        </w:rPr>
        <w:t>.</w:t>
      </w:r>
      <w:r w:rsidR="004F41B4">
        <w:rPr>
          <w:szCs w:val="26"/>
        </w:rPr>
        <w:t xml:space="preserve">  </w:t>
      </w:r>
      <w:r w:rsidR="00E33D15">
        <w:t xml:space="preserve">MRP </w:t>
      </w:r>
      <w:r w:rsidR="0040159A">
        <w:t>comments</w:t>
      </w:r>
      <w:r w:rsidR="00E33D15">
        <w:t xml:space="preserve"> that Cal Advocates’ proposal suggests using modeled data for only new technologies or regions</w:t>
      </w:r>
      <w:r w:rsidR="004F41B4">
        <w:t xml:space="preserve">, but the </w:t>
      </w:r>
      <w:r w:rsidR="0065245C">
        <w:t xml:space="preserve">proposed </w:t>
      </w:r>
      <w:r w:rsidR="004F41B4">
        <w:t xml:space="preserve">decision </w:t>
      </w:r>
      <w:r w:rsidR="00E33D15">
        <w:t>states that modeled data would be used for all resources if historical data is not available.</w:t>
      </w:r>
      <w:r w:rsidR="0040159A">
        <w:rPr>
          <w:rStyle w:val="FootnoteReference"/>
        </w:rPr>
        <w:footnoteReference w:id="214"/>
      </w:r>
      <w:r w:rsidR="00E33D15">
        <w:t xml:space="preserve">  </w:t>
      </w:r>
    </w:p>
    <w:p w:rsidR="00673382" w:rsidP="000B693D" w:rsidRDefault="003E7313" w14:paraId="792803A0" w14:textId="60EA9218">
      <w:pPr>
        <w:pStyle w:val="Standard"/>
        <w:rPr>
          <w:szCs w:val="26"/>
        </w:rPr>
      </w:pPr>
      <w:r w:rsidRPr="00C40406">
        <w:t>The Commission clarifies that</w:t>
      </w:r>
      <w:r w:rsidR="00252F59">
        <w:t xml:space="preserve"> </w:t>
      </w:r>
      <w:r w:rsidRPr="00C40406">
        <w:t xml:space="preserve">modeled data will only be used for new technologies or regions where historical production data is not available.  We clarify that modeled data will be used for </w:t>
      </w:r>
      <w:r w:rsidRPr="00C40406">
        <w:rPr>
          <w:szCs w:val="26"/>
        </w:rPr>
        <w:t>wind resource areas outside of CAISO and offshore wind resources.  As for the modeling data used, the most recent IRP modeling data completed will be used.</w:t>
      </w:r>
      <w:r w:rsidR="00252F59">
        <w:rPr>
          <w:szCs w:val="26"/>
        </w:rPr>
        <w:t xml:space="preserve">  The decision has been modified to clarify this.</w:t>
      </w:r>
    </w:p>
    <w:p w:rsidR="00BB780E" w:rsidP="00140BDD" w:rsidRDefault="00673382" w14:paraId="2280980D" w14:textId="29ED29EB">
      <w:pPr>
        <w:pStyle w:val="Standard"/>
      </w:pPr>
      <w:r>
        <w:lastRenderedPageBreak/>
        <w:t>SCE states that its PRM calibration tool, rather than NRDC’s calibration tool, should be adopted because SCE’s tool is more complete and has the functionality the Commission seeks to add to NRDC’s version.</w:t>
      </w:r>
      <w:r>
        <w:rPr>
          <w:rStyle w:val="FootnoteReference"/>
        </w:rPr>
        <w:footnoteReference w:id="215"/>
      </w:r>
      <w:r>
        <w:t xml:space="preserve">  SCE states that building functionality into NRDC’s tool require</w:t>
      </w:r>
      <w:r w:rsidR="009A3B79">
        <w:t>s</w:t>
      </w:r>
      <w:r>
        <w:t xml:space="preserve"> significant effort to arrive at what SCE already provided.  NRDC agrees that aligning its calibration tool with SCE’s logic will require rebuilding NRDC’s tool to replicate </w:t>
      </w:r>
      <w:r w:rsidR="009A3B79">
        <w:t xml:space="preserve">the </w:t>
      </w:r>
      <w:r>
        <w:t>unit-specific mechanics of SCE’s tool.</w:t>
      </w:r>
      <w:r>
        <w:rPr>
          <w:rStyle w:val="FootnoteReference"/>
        </w:rPr>
        <w:footnoteReference w:id="216"/>
      </w:r>
      <w:r>
        <w:t xml:space="preserve">  NRDC states that it </w:t>
      </w:r>
      <w:r w:rsidR="00987519">
        <w:t>is more</w:t>
      </w:r>
      <w:r>
        <w:t xml:space="preserve"> prudent to </w:t>
      </w:r>
      <w:r w:rsidR="00987519">
        <w:t>give Energy Division</w:t>
      </w:r>
      <w:r>
        <w:t xml:space="preserve"> flexibility to utilize the SCE</w:t>
      </w:r>
      <w:r w:rsidR="0065245C">
        <w:t>’s</w:t>
      </w:r>
      <w:r>
        <w:t xml:space="preserve"> showing </w:t>
      </w:r>
      <w:proofErr w:type="gramStart"/>
      <w:r>
        <w:t>tool, if</w:t>
      </w:r>
      <w:proofErr w:type="gramEnd"/>
      <w:r>
        <w:t xml:space="preserve"> modification of NRDC’s tool is infeasible.</w:t>
      </w:r>
      <w:r w:rsidR="0065245C">
        <w:t xml:space="preserve">  </w:t>
      </w:r>
      <w:proofErr w:type="spellStart"/>
      <w:r w:rsidR="007A4296">
        <w:t>AReM</w:t>
      </w:r>
      <w:proofErr w:type="spellEnd"/>
      <w:r w:rsidR="007A4296">
        <w:t xml:space="preserve"> agrees with SCE and NRDC that SCE’s calibration tool </w:t>
      </w:r>
      <w:r w:rsidR="00C66C9C">
        <w:t xml:space="preserve">should be adopted </w:t>
      </w:r>
      <w:r w:rsidR="007A4296">
        <w:t>so</w:t>
      </w:r>
      <w:r w:rsidR="00C66C9C">
        <w:t xml:space="preserve"> </w:t>
      </w:r>
      <w:r w:rsidR="007A4296">
        <w:t>parties can begin preparations for test year showings.</w:t>
      </w:r>
      <w:r w:rsidR="00910D21">
        <w:rPr>
          <w:rStyle w:val="FootnoteReference"/>
        </w:rPr>
        <w:footnoteReference w:id="217"/>
      </w:r>
      <w:r w:rsidR="00140BDD">
        <w:t xml:space="preserve">  </w:t>
      </w:r>
      <w:r w:rsidR="00987519">
        <w:t>Considering</w:t>
      </w:r>
      <w:r w:rsidRPr="00987519" w:rsidR="00BB780E">
        <w:t xml:space="preserve"> these comments, </w:t>
      </w:r>
      <w:r w:rsidR="00987519">
        <w:t>the Commission agrees that Energy Division should be given</w:t>
      </w:r>
      <w:r w:rsidRPr="00987519" w:rsidR="00BB780E">
        <w:t xml:space="preserve"> flexibility </w:t>
      </w:r>
      <w:r w:rsidR="00987519">
        <w:t xml:space="preserve">in </w:t>
      </w:r>
      <w:r w:rsidR="00140BDD">
        <w:t>integrating</w:t>
      </w:r>
      <w:r w:rsidR="00987519">
        <w:t xml:space="preserve"> the </w:t>
      </w:r>
      <w:r w:rsidR="00140BDD">
        <w:t>c</w:t>
      </w:r>
      <w:r w:rsidR="00987519">
        <w:t xml:space="preserve">alibration </w:t>
      </w:r>
      <w:r w:rsidR="00140BDD">
        <w:t>t</w:t>
      </w:r>
      <w:r w:rsidR="00987519">
        <w:t>ool using SCE’s and NRDC’s PRM calibration logic.  The decision has been modified to reflect this.</w:t>
      </w:r>
      <w:r w:rsidRPr="008D7713" w:rsidR="00E41E16">
        <w:t xml:space="preserve"> </w:t>
      </w:r>
    </w:p>
    <w:p w:rsidR="00E3596C" w:rsidP="00140BDD" w:rsidRDefault="00C810E2" w14:paraId="7E116D11" w14:textId="042F4946">
      <w:pPr>
        <w:pStyle w:val="Standard"/>
      </w:pPr>
      <w:r>
        <w:rPr>
          <w:szCs w:val="26"/>
        </w:rPr>
        <w:t xml:space="preserve">CAISO, </w:t>
      </w:r>
      <w:proofErr w:type="spellStart"/>
      <w:r>
        <w:rPr>
          <w:szCs w:val="26"/>
        </w:rPr>
        <w:t>AReM</w:t>
      </w:r>
      <w:proofErr w:type="spellEnd"/>
      <w:r>
        <w:rPr>
          <w:szCs w:val="26"/>
        </w:rPr>
        <w:t>, MRP, and WPTF state that the proposed decision does not explain how the single annual PRM will be selected and vetted to ensure a reliable portfolio.</w:t>
      </w:r>
      <w:r>
        <w:rPr>
          <w:rStyle w:val="FootnoteReference"/>
          <w:szCs w:val="26"/>
        </w:rPr>
        <w:footnoteReference w:id="218"/>
      </w:r>
      <w:r>
        <w:rPr>
          <w:szCs w:val="26"/>
        </w:rPr>
        <w:t xml:space="preserve">  </w:t>
      </w:r>
      <w:r>
        <w:t>The parties recommend a schedule and process to vet the PRM conversion tool and translation prior to the test year showing.</w:t>
      </w:r>
      <w:r w:rsidR="00140BDD">
        <w:t xml:space="preserve">  </w:t>
      </w:r>
      <w:r>
        <w:t xml:space="preserve">As discussed in the decision, Energy Division will publish the draft calibration tool on the Commission’s website once it has been completed and party comments will be solicited at that time.  As also discussed in the decision, modifications to the PRM for 2024 and beyond will be determined in Phase 3 of the </w:t>
      </w:r>
      <w:r>
        <w:lastRenderedPageBreak/>
        <w:t xml:space="preserve">Implementation Track.  </w:t>
      </w:r>
      <w:bookmarkStart w:name="_Hlk131414582" w:id="76"/>
      <w:r w:rsidRPr="0087552F">
        <w:t xml:space="preserve">In the forthcoming Phase 3 decision, the Commission will address the process for </w:t>
      </w:r>
      <w:r w:rsidR="0087552F">
        <w:t xml:space="preserve">evaluating the </w:t>
      </w:r>
      <w:r w:rsidRPr="0087552F">
        <w:t xml:space="preserve">conversion </w:t>
      </w:r>
      <w:r w:rsidRPr="0087552F" w:rsidR="00953157">
        <w:t xml:space="preserve">of the PRM </w:t>
      </w:r>
      <w:r w:rsidRPr="0087552F">
        <w:t>to the SOD framework.</w:t>
      </w:r>
      <w:r>
        <w:t xml:space="preserve"> </w:t>
      </w:r>
      <w:bookmarkEnd w:id="76"/>
    </w:p>
    <w:p w:rsidR="00E67131" w:rsidP="00947B08" w:rsidRDefault="00E67131" w14:paraId="3913EBF9" w14:textId="47F7AD17">
      <w:pPr>
        <w:pStyle w:val="Standard"/>
      </w:pPr>
      <w:r>
        <w:t xml:space="preserve">CAISO </w:t>
      </w:r>
      <w:r w:rsidR="00BF2D17">
        <w:t xml:space="preserve">comments that the </w:t>
      </w:r>
      <w:r w:rsidR="00673382">
        <w:t xml:space="preserve">proposed </w:t>
      </w:r>
      <w:r w:rsidR="00BF2D17">
        <w:t>decision states that</w:t>
      </w:r>
      <w:r>
        <w:t xml:space="preserve"> non-zero </w:t>
      </w:r>
      <w:r w:rsidR="00BF2D17">
        <w:t>Q</w:t>
      </w:r>
      <w:r>
        <w:t>C values would apply to all resources</w:t>
      </w:r>
      <w:r w:rsidR="00BF2D17">
        <w:t xml:space="preserve">; however, </w:t>
      </w:r>
      <w:r>
        <w:t>only wind, solar, and DR counting methodologies will change to hourly profiles under the SOD framework.</w:t>
      </w:r>
      <w:r>
        <w:rPr>
          <w:rStyle w:val="FootnoteReference"/>
        </w:rPr>
        <w:footnoteReference w:id="219"/>
      </w:r>
      <w:r>
        <w:t xml:space="preserve">  CAISO recommends that the revised QC values for the CAISO NQC list should only apply to resource types whose counting approaches will change under the SOD framework.</w:t>
      </w:r>
      <w:r w:rsidR="00673382">
        <w:t xml:space="preserve">  </w:t>
      </w:r>
      <w:r w:rsidRPr="00D71C85" w:rsidR="00673382">
        <w:t xml:space="preserve">The Commission agrees </w:t>
      </w:r>
      <w:r w:rsidR="00CC04E5">
        <w:t>with the clarification that non-zero QC values apply only to resource types whose QC methodologies will change to hourly profiles under the SOD framework.  The decision is modified with</w:t>
      </w:r>
      <w:r w:rsidRPr="00D71C85" w:rsidR="00673382">
        <w:t xml:space="preserve"> this clarification.</w:t>
      </w:r>
    </w:p>
    <w:p w:rsidR="0036688A" w:rsidP="00C810E2" w:rsidRDefault="00C47EEE" w14:paraId="0F9184DE" w14:textId="476DBE63">
      <w:pPr>
        <w:pStyle w:val="Standard"/>
      </w:pPr>
      <w:r>
        <w:t>Regarding the non-zero QC values</w:t>
      </w:r>
      <w:r w:rsidR="0036688A">
        <w:t xml:space="preserve"> for CAISO’s processes</w:t>
      </w:r>
      <w:r>
        <w:t xml:space="preserve">, </w:t>
      </w:r>
      <w:r w:rsidR="00E33D15">
        <w:t xml:space="preserve">CAISO states that its analysis of </w:t>
      </w:r>
      <w:r w:rsidR="0036688A">
        <w:t xml:space="preserve">the exceedance methodology </w:t>
      </w:r>
      <w:r w:rsidR="00E33D15">
        <w:t xml:space="preserve">averaged across the AAHs will significantly increase QC values for wind and solar, </w:t>
      </w:r>
      <w:r w:rsidR="0036688A">
        <w:t>which could result in discrepancies between the Commission’s and CAISO’s compliance checks at peak</w:t>
      </w:r>
      <w:r w:rsidR="00E33D15">
        <w:t>.</w:t>
      </w:r>
      <w:r w:rsidR="00E33D15">
        <w:rPr>
          <w:rStyle w:val="FootnoteReference"/>
        </w:rPr>
        <w:footnoteReference w:id="220"/>
      </w:r>
      <w:r w:rsidR="00E33D15">
        <w:t xml:space="preserve">  To avoid over-counting of VER production at peak hours in CAISO</w:t>
      </w:r>
      <w:r w:rsidR="00EC0966">
        <w:t>’s</w:t>
      </w:r>
      <w:r w:rsidR="00E33D15">
        <w:t xml:space="preserve"> processes, CAISO recommends provid</w:t>
      </w:r>
      <w:r w:rsidR="00A75544">
        <w:t>ing</w:t>
      </w:r>
      <w:r w:rsidR="00E33D15">
        <w:t xml:space="preserve"> the greater of the minimum hourly exceedance value across the AAH and a </w:t>
      </w:r>
      <w:r w:rsidR="0036688A">
        <w:t xml:space="preserve">very </w:t>
      </w:r>
      <w:r w:rsidR="00E33D15">
        <w:t>small non-zero value (</w:t>
      </w:r>
      <w:r w:rsidRPr="000772ED" w:rsidR="00E33D15">
        <w:rPr>
          <w:i/>
          <w:iCs/>
        </w:rPr>
        <w:t>e.g</w:t>
      </w:r>
      <w:r w:rsidR="00E33D15">
        <w:t>., 0.01 MW) if the minimum value is zero</w:t>
      </w:r>
      <w:r w:rsidRPr="0036688A" w:rsidR="00E33D15">
        <w:t xml:space="preserve">.  Alternatively, </w:t>
      </w:r>
      <w:r w:rsidRPr="008D7713" w:rsidR="0036688A">
        <w:t xml:space="preserve">CAISO recommends </w:t>
      </w:r>
      <w:r w:rsidRPr="0036688A" w:rsidR="00E33D15">
        <w:t xml:space="preserve">the greater of the peak hour value and a </w:t>
      </w:r>
      <w:r w:rsidR="002D5E6C">
        <w:t xml:space="preserve">very </w:t>
      </w:r>
      <w:r w:rsidRPr="0036688A" w:rsidR="00E33D15">
        <w:t>small non-zero value if the peak hour value is zero.</w:t>
      </w:r>
      <w:r w:rsidRPr="0036688A" w:rsidR="00C810E2">
        <w:t xml:space="preserve">  </w:t>
      </w:r>
      <w:r w:rsidR="0036688A">
        <w:t>CAISO states that these approaches would better align the Commission’s and CAISO’s counting and compliance in critical peak hours.</w:t>
      </w:r>
    </w:p>
    <w:p w:rsidR="00FE5E05" w:rsidP="0036688A" w:rsidRDefault="00C810E2" w14:paraId="6D350017" w14:textId="347B69D8">
      <w:pPr>
        <w:pStyle w:val="Standard"/>
      </w:pPr>
      <w:proofErr w:type="spellStart"/>
      <w:r w:rsidRPr="0036688A">
        <w:lastRenderedPageBreak/>
        <w:t>CalCCA</w:t>
      </w:r>
      <w:proofErr w:type="spellEnd"/>
      <w:r w:rsidRPr="0036688A">
        <w:t xml:space="preserve"> opposes CAISO’s proposal </w:t>
      </w:r>
      <w:r w:rsidR="0036688A">
        <w:t xml:space="preserve">to use minimum hourly exceedance values across the AAHs </w:t>
      </w:r>
      <w:r w:rsidRPr="0036688A">
        <w:t xml:space="preserve">as </w:t>
      </w:r>
      <w:r w:rsidR="0036688A">
        <w:t>this wo</w:t>
      </w:r>
      <w:r w:rsidRPr="0036688A">
        <w:t>uld value solar resources at zero given the AAHs extend after sunset and ignore the value provide</w:t>
      </w:r>
      <w:r w:rsidR="0036688A">
        <w:t>d</w:t>
      </w:r>
      <w:r w:rsidRPr="0036688A">
        <w:t xml:space="preserve"> in earlier hours.</w:t>
      </w:r>
      <w:r w:rsidRPr="0036688A">
        <w:rPr>
          <w:rStyle w:val="FootnoteReference"/>
        </w:rPr>
        <w:footnoteReference w:id="221"/>
      </w:r>
      <w:r w:rsidRPr="0036688A">
        <w:t xml:space="preserve">  </w:t>
      </w:r>
      <w:proofErr w:type="spellStart"/>
      <w:r w:rsidRPr="0036688A">
        <w:t>CalCCA</w:t>
      </w:r>
      <w:proofErr w:type="spellEnd"/>
      <w:r w:rsidRPr="0036688A">
        <w:t xml:space="preserve"> </w:t>
      </w:r>
      <w:r w:rsidRPr="0036688A" w:rsidR="007168B9">
        <w:t>recommends</w:t>
      </w:r>
      <w:r w:rsidRPr="0036688A">
        <w:t xml:space="preserve"> that </w:t>
      </w:r>
      <w:r w:rsidRPr="0036688A" w:rsidR="007168B9">
        <w:t>CAISO should receive</w:t>
      </w:r>
      <w:r w:rsidRPr="0036688A">
        <w:t xml:space="preserve"> two values</w:t>
      </w:r>
      <w:r w:rsidR="002D5E6C">
        <w:t xml:space="preserve"> </w:t>
      </w:r>
      <w:r w:rsidRPr="0036688A">
        <w:t>– one that includes hours where solar is producing and one that includes hours after sunset.</w:t>
      </w:r>
      <w:r w:rsidR="0036688A">
        <w:t xml:space="preserve">  </w:t>
      </w:r>
      <w:r w:rsidR="00E33D15">
        <w:t>MRP comments that CAISO’s NQC values are linked to the SOD PRM and the process to determine the SOD PRM has not been developed</w:t>
      </w:r>
      <w:r w:rsidR="0036688A">
        <w:t>, and this issue should be addressed in the Implementation Track</w:t>
      </w:r>
      <w:r w:rsidR="00E33D15">
        <w:t>.</w:t>
      </w:r>
      <w:r w:rsidR="00E33D15">
        <w:rPr>
          <w:rStyle w:val="FootnoteReference"/>
        </w:rPr>
        <w:footnoteReference w:id="222"/>
      </w:r>
      <w:r w:rsidR="00E33D15">
        <w:t xml:space="preserve">  </w:t>
      </w:r>
    </w:p>
    <w:p w:rsidR="00BA5205" w:rsidP="00840C32" w:rsidRDefault="000B693D" w14:paraId="1B95AE62" w14:textId="785A8784">
      <w:pPr>
        <w:pStyle w:val="Standard"/>
      </w:pPr>
      <w:r>
        <w:t xml:space="preserve">The Commission </w:t>
      </w:r>
      <w:r w:rsidR="00840C32">
        <w:t>finds CAISO’s proposal to use “the greater of the peak hour value and a very small non-zero value (</w:t>
      </w:r>
      <w:r w:rsidRPr="008D7713" w:rsidR="00840C32">
        <w:rPr>
          <w:i/>
          <w:iCs/>
        </w:rPr>
        <w:t>e.g.</w:t>
      </w:r>
      <w:r w:rsidR="00840C32">
        <w:t xml:space="preserve">, 0.01 MW) if the minimum value is zero” to be a reasonable approach.  We find that these values are preferable to using </w:t>
      </w:r>
      <w:r w:rsidR="00615F72">
        <w:t xml:space="preserve">an </w:t>
      </w:r>
      <w:r w:rsidR="00840C32">
        <w:t>average of the hourly values across the AAHs, which may overvalue wind and solar resources at peak hours.  By applying these values, the Commission notes that a resource’s peak hour value will be provided to CAISO, unless the peak hour value is zero.  In the instance where the peak hour value is zero, a very small non-zero value will be used.</w:t>
      </w:r>
      <w:r>
        <w:t xml:space="preserve">  </w:t>
      </w:r>
      <w:r w:rsidR="00840C32">
        <w:t xml:space="preserve">As such, the decision is modified to replace the </w:t>
      </w:r>
      <w:r w:rsidR="00840C32">
        <w:rPr>
          <w:rFonts w:cs="Book Antiqua"/>
          <w:color w:val="000000"/>
          <w:szCs w:val="26"/>
        </w:rPr>
        <w:t>average of a resource’s hourly values during the AAHs with the “</w:t>
      </w:r>
      <w:r w:rsidR="00840C32">
        <w:t>the greater of the peak hour value and a very small non-zero value (</w:t>
      </w:r>
      <w:r w:rsidRPr="008D7713" w:rsidR="00840C32">
        <w:rPr>
          <w:i/>
          <w:iCs/>
        </w:rPr>
        <w:t>e.g.</w:t>
      </w:r>
      <w:r w:rsidR="00840C32">
        <w:t xml:space="preserve">, 0.01 MW) if the minimum value is zero.”  </w:t>
      </w:r>
      <w:r>
        <w:t xml:space="preserve">As CAISO’s </w:t>
      </w:r>
      <w:r w:rsidR="00840C32">
        <w:t xml:space="preserve">RA </w:t>
      </w:r>
      <w:r>
        <w:t xml:space="preserve">stakeholder process has yet to commence, the Commission will </w:t>
      </w:r>
      <w:r w:rsidR="00840C32">
        <w:t xml:space="preserve">continue to </w:t>
      </w:r>
      <w:r>
        <w:t xml:space="preserve">work with CAISO through its stakeholder process and coordinate any program modifications.  </w:t>
      </w:r>
    </w:p>
    <w:p w:rsidRPr="008D7713" w:rsidR="005C4335" w:rsidP="000B693D" w:rsidRDefault="00910D21" w14:paraId="561DB7EB" w14:textId="1A3E23C8">
      <w:pPr>
        <w:pStyle w:val="Standard"/>
      </w:pPr>
      <w:proofErr w:type="spellStart"/>
      <w:r>
        <w:t>AReM</w:t>
      </w:r>
      <w:proofErr w:type="spellEnd"/>
      <w:r>
        <w:t xml:space="preserve"> seeks clarification </w:t>
      </w:r>
      <w:r w:rsidR="000B693D">
        <w:t>as to whether</w:t>
      </w:r>
      <w:r>
        <w:t xml:space="preserve"> the LSE </w:t>
      </w:r>
      <w:proofErr w:type="gramStart"/>
      <w:r>
        <w:t>showing</w:t>
      </w:r>
      <w:proofErr w:type="gramEnd"/>
      <w:r>
        <w:t xml:space="preserve"> and compliance tools will include local RA compliance or whether separate showings will be </w:t>
      </w:r>
      <w:r>
        <w:lastRenderedPageBreak/>
        <w:t>made for local RA once the SOD framework is implemented.</w:t>
      </w:r>
      <w:r w:rsidR="00F72D0B">
        <w:rPr>
          <w:rStyle w:val="FootnoteReference"/>
        </w:rPr>
        <w:footnoteReference w:id="223"/>
      </w:r>
      <w:r w:rsidR="00F72D0B">
        <w:t xml:space="preserve">  </w:t>
      </w:r>
      <w:proofErr w:type="spellStart"/>
      <w:r w:rsidR="00F72D0B">
        <w:t>AReM</w:t>
      </w:r>
      <w:proofErr w:type="spellEnd"/>
      <w:r w:rsidR="00F72D0B">
        <w:t xml:space="preserve"> also seeks clarification that the non-zero monthly QCs for wind and solar will be used for local RA compliance. </w:t>
      </w:r>
      <w:r w:rsidR="000B693D">
        <w:t xml:space="preserve"> The Commission clarifies </w:t>
      </w:r>
      <w:r w:rsidR="00E17D1C">
        <w:t xml:space="preserve">that the </w:t>
      </w:r>
      <w:r w:rsidR="00E40144">
        <w:t xml:space="preserve">SOD </w:t>
      </w:r>
      <w:r w:rsidR="00E17D1C">
        <w:t>LSE showing tools will include local RA compliance</w:t>
      </w:r>
      <w:r w:rsidR="000B693D">
        <w:t xml:space="preserve">, as well as </w:t>
      </w:r>
      <w:r w:rsidR="00E17D1C">
        <w:t xml:space="preserve">system </w:t>
      </w:r>
      <w:r w:rsidR="000B693D">
        <w:t>compliance</w:t>
      </w:r>
      <w:r w:rsidR="00E17D1C">
        <w:t xml:space="preserve">. </w:t>
      </w:r>
      <w:r w:rsidR="000B693D">
        <w:t xml:space="preserve"> However, LSEs will still be required to submit </w:t>
      </w:r>
      <w:r w:rsidR="00E40144">
        <w:t xml:space="preserve">separate year-ahead </w:t>
      </w:r>
      <w:r w:rsidR="000B693D">
        <w:t>local RA filing</w:t>
      </w:r>
      <w:r w:rsidR="00E40144">
        <w:t>s</w:t>
      </w:r>
      <w:r w:rsidR="000B693D">
        <w:t>.  We also clarify that the non-zero QC values adopted in this decision will be the QC value and as such, those values will be used for local RA compliance</w:t>
      </w:r>
      <w:r w:rsidR="00E40144">
        <w:t xml:space="preserve"> after the test year</w:t>
      </w:r>
      <w:r w:rsidR="000B693D">
        <w:t>.</w:t>
      </w:r>
    </w:p>
    <w:p w:rsidR="008356B2" w:rsidP="000B693D" w:rsidRDefault="005C4335" w14:paraId="21096502" w14:textId="11673DF2">
      <w:pPr>
        <w:pStyle w:val="Standard"/>
      </w:pPr>
      <w:r>
        <w:t>CESA and SCE oppose incorporating CPA’s LSE Showing Tool into SCE’s LSE Showing Tool.</w:t>
      </w:r>
      <w:r>
        <w:rPr>
          <w:rStyle w:val="FootnoteReference"/>
        </w:rPr>
        <w:footnoteReference w:id="224"/>
      </w:r>
      <w:r>
        <w:t xml:space="preserve">  CESA states that the LSE </w:t>
      </w:r>
      <w:r w:rsidR="002D5E6C">
        <w:t>S</w:t>
      </w:r>
      <w:r>
        <w:t xml:space="preserve">howing </w:t>
      </w:r>
      <w:r w:rsidR="002D5E6C">
        <w:t>T</w:t>
      </w:r>
      <w:r>
        <w:t>ool was not meant to be a dispatch schedule but a simplification of a single LSE’s portfolio and an accounting check.  CESA states that SCE’s tool already includes the logic needed for charging sufficiency verification.</w:t>
      </w:r>
      <w:r w:rsidRPr="00437D31">
        <w:t xml:space="preserve"> </w:t>
      </w:r>
      <w:r>
        <w:t xml:space="preserve"> SCE states that </w:t>
      </w:r>
      <w:r w:rsidR="008356B2">
        <w:t>it</w:t>
      </w:r>
      <w:r>
        <w:t xml:space="preserve"> is unnecessary to incorporate CPA’s logic and</w:t>
      </w:r>
      <w:r w:rsidR="008356B2">
        <w:t xml:space="preserve"> that</w:t>
      </w:r>
      <w:r>
        <w:t xml:space="preserve"> even if the logic worked, CPA’s concept is unlikely to help LSEs</w:t>
      </w:r>
      <w:r w:rsidR="008356B2">
        <w:t xml:space="preserve"> because SCE is not aware of any Battery Energy Storage Systems (BESS) that are limited to a single daily cycle in the CAISO market</w:t>
      </w:r>
      <w:r>
        <w:t>.</w:t>
      </w:r>
      <w:r w:rsidR="000B693D">
        <w:t xml:space="preserve">  </w:t>
      </w:r>
    </w:p>
    <w:p w:rsidR="00CF2144" w:rsidP="000B693D" w:rsidRDefault="00CF2144" w14:paraId="19BCC7F2" w14:textId="452EAD17">
      <w:pPr>
        <w:pStyle w:val="Standard"/>
      </w:pPr>
      <w:r>
        <w:t>MRP supports CPA’s logic because it reflects the constraints of charging a BESS and that most BESS cannot be charged at an equal rate to the BESS’ full energy storage capability.</w:t>
      </w:r>
      <w:r>
        <w:rPr>
          <w:rStyle w:val="FootnoteReference"/>
        </w:rPr>
        <w:footnoteReference w:id="225"/>
      </w:r>
      <w:r>
        <w:t xml:space="preserve">  </w:t>
      </w:r>
      <w:proofErr w:type="spellStart"/>
      <w:r w:rsidR="005D3D2D">
        <w:t>CalCCA</w:t>
      </w:r>
      <w:proofErr w:type="spellEnd"/>
      <w:r w:rsidR="005D3D2D">
        <w:t xml:space="preserve"> disagrees with SCE and states that CPA’s tool would make showings consistent with resource capabilities and reduce LSE burden, while not precluding LSEs from showing storage for multiple cycles.</w:t>
      </w:r>
      <w:r w:rsidR="00D15373">
        <w:rPr>
          <w:rStyle w:val="FootnoteReference"/>
        </w:rPr>
        <w:footnoteReference w:id="226"/>
      </w:r>
      <w:r w:rsidR="00441FF0">
        <w:t xml:space="preserve">  </w:t>
      </w:r>
    </w:p>
    <w:p w:rsidR="005C4335" w:rsidP="00C47506" w:rsidRDefault="00C47506" w14:paraId="57D39F66" w14:textId="2FB0C740">
      <w:pPr>
        <w:pStyle w:val="Standard"/>
      </w:pPr>
      <w:r>
        <w:lastRenderedPageBreak/>
        <w:t>The Commission notes that w</w:t>
      </w:r>
      <w:r w:rsidR="00FD7A6B">
        <w:t xml:space="preserve">hile </w:t>
      </w:r>
      <w:proofErr w:type="gramStart"/>
      <w:r w:rsidR="00FD7A6B">
        <w:t>the majority of</w:t>
      </w:r>
      <w:proofErr w:type="gramEnd"/>
      <w:r w:rsidR="00FD7A6B">
        <w:t xml:space="preserve"> resources </w:t>
      </w:r>
      <w:r>
        <w:t>may</w:t>
      </w:r>
      <w:r w:rsidR="00FD7A6B">
        <w:t xml:space="preserve"> cycle </w:t>
      </w:r>
      <w:r>
        <w:t>more than once</w:t>
      </w:r>
      <w:r w:rsidR="00FD7A6B">
        <w:t xml:space="preserve">, LSEs may not </w:t>
      </w:r>
      <w:r>
        <w:t>elect to</w:t>
      </w:r>
      <w:r w:rsidR="00FD7A6B">
        <w:t xml:space="preserve"> show </w:t>
      </w:r>
      <w:r>
        <w:t>the resource for multiple cycles</w:t>
      </w:r>
      <w:r w:rsidR="00FD7A6B">
        <w:t xml:space="preserve">.  </w:t>
      </w:r>
      <w:r w:rsidR="002D5E6C">
        <w:t>As discussed in the decision, f</w:t>
      </w:r>
      <w:r>
        <w:t xml:space="preserve">or the test year and development of the SOD framework, Energy Division </w:t>
      </w:r>
      <w:r w:rsidR="002D5E6C">
        <w:t xml:space="preserve">has </w:t>
      </w:r>
      <w:r>
        <w:t>flexibility to develop the LSE Showing Tool with</w:t>
      </w:r>
      <w:r w:rsidR="00FD7A6B">
        <w:t xml:space="preserve"> </w:t>
      </w:r>
      <w:r>
        <w:t>CPA’s logic, to the extent possible.  We decline to modify the decision.</w:t>
      </w:r>
    </w:p>
    <w:p w:rsidR="008D4321" w:rsidP="008D4321" w:rsidRDefault="008D4321" w14:paraId="3FB4CA6A" w14:textId="595BBCCE">
      <w:pPr>
        <w:pStyle w:val="Standard"/>
      </w:pPr>
      <w:r>
        <w:t>CEERT, CEJA, NRDC and Cal Advocates reiterate that the MRD should include GHG heat rate and DAC information.</w:t>
      </w:r>
      <w:r>
        <w:rPr>
          <w:rStyle w:val="FootnoteReference"/>
        </w:rPr>
        <w:footnoteReference w:id="227"/>
      </w:r>
      <w:r>
        <w:t xml:space="preserve">  CEJA comments that heat rates should be included in the MRD, particularly when the information is not available or has been updated, and Cal Advocates states that DAC and heat rate information would better facilitate procurement planning.  Shell disagrees that heat rate and DAC information should be added to the MRD and that the primary purpose of the MRD is not to guide procurement decisions but to validate SOD showings.</w:t>
      </w:r>
      <w:r>
        <w:rPr>
          <w:rStyle w:val="FootnoteReference"/>
        </w:rPr>
        <w:footnoteReference w:id="228"/>
      </w:r>
      <w:r>
        <w:t xml:space="preserve">  </w:t>
      </w:r>
    </w:p>
    <w:p w:rsidR="008D4321" w:rsidP="008D4321" w:rsidRDefault="002D5E6C" w14:paraId="17BB9869" w14:textId="1683A7EB">
      <w:r>
        <w:t>While</w:t>
      </w:r>
      <w:r w:rsidR="008D4321">
        <w:t xml:space="preserve"> heat rate data is available from public sources, </w:t>
      </w:r>
      <w:r>
        <w:t xml:space="preserve">the Commission is aware that </w:t>
      </w:r>
      <w:r w:rsidR="008D4321">
        <w:t xml:space="preserve">the information is not necessarily updated </w:t>
      </w:r>
      <w:r w:rsidR="00D66B6E">
        <w:t xml:space="preserve">or available </w:t>
      </w:r>
      <w:r w:rsidR="008D4321">
        <w:t>for all resources</w:t>
      </w:r>
      <w:r w:rsidR="00D66B6E">
        <w:t>.  T</w:t>
      </w:r>
      <w:r w:rsidR="008D4321">
        <w:t xml:space="preserve">herefore, including the information in the MRD would </w:t>
      </w:r>
      <w:r w:rsidR="00D66B6E">
        <w:t>require</w:t>
      </w:r>
      <w:r w:rsidR="008D4321">
        <w:t xml:space="preserve"> a large undertaking by Commission Staff to verify that the </w:t>
      </w:r>
      <w:r w:rsidR="00D66B6E">
        <w:t xml:space="preserve">heat rate </w:t>
      </w:r>
      <w:r w:rsidR="008D4321">
        <w:t xml:space="preserve">information in the MRD is accurate.  </w:t>
      </w:r>
      <w:r w:rsidR="00C17C10">
        <w:t>As discussed in the decision, LSEs are encouraged to utilize available information when procuring resources under the SOD framework.</w:t>
      </w:r>
      <w:r w:rsidR="00C17C10">
        <w:rPr>
          <w:rFonts w:cs="Times New Roman"/>
          <w:szCs w:val="20"/>
        </w:rPr>
        <w:t xml:space="preserve">  </w:t>
      </w:r>
      <w:r w:rsidR="00C17C10">
        <w:t>We</w:t>
      </w:r>
      <w:r w:rsidR="00252F59">
        <w:t xml:space="preserve"> </w:t>
      </w:r>
      <w:r w:rsidR="00C17C10">
        <w:t>agree</w:t>
      </w:r>
      <w:r w:rsidR="00252F59">
        <w:t>, however,</w:t>
      </w:r>
      <w:r w:rsidR="00C17C10">
        <w:t xml:space="preserve"> that for the </w:t>
      </w:r>
      <w:proofErr w:type="gramStart"/>
      <w:r w:rsidR="00C17C10">
        <w:t>publicly-available</w:t>
      </w:r>
      <w:proofErr w:type="gramEnd"/>
      <w:r w:rsidR="00C17C10">
        <w:t xml:space="preserve"> DAC status, it is reasonable for Energy Division to include this information in the MRD, to the extent </w:t>
      </w:r>
      <w:r w:rsidR="003D033D">
        <w:t>possible</w:t>
      </w:r>
      <w:r w:rsidR="00C17C10">
        <w:t>.  The decision has been modified to reflect this</w:t>
      </w:r>
      <w:r w:rsidR="008D4321">
        <w:t xml:space="preserve">.  </w:t>
      </w:r>
    </w:p>
    <w:p w:rsidR="000B693D" w:rsidP="000B693D" w:rsidRDefault="000B693D" w14:paraId="25CCAD42" w14:textId="77777777">
      <w:pPr>
        <w:pStyle w:val="Standard"/>
        <w:rPr>
          <w:szCs w:val="26"/>
        </w:rPr>
      </w:pPr>
      <w:r>
        <w:rPr>
          <w:szCs w:val="26"/>
        </w:rPr>
        <w:lastRenderedPageBreak/>
        <w:t>AES, IEP, and CESA seek clarification that EO solar can count towards the charging sufficiency in both instances where the storage has grid charging limitation and where the storage has no grid charging limitation.</w:t>
      </w:r>
      <w:r>
        <w:rPr>
          <w:rStyle w:val="FootnoteReference"/>
          <w:szCs w:val="26"/>
        </w:rPr>
        <w:footnoteReference w:id="229"/>
      </w:r>
      <w:r>
        <w:rPr>
          <w:szCs w:val="26"/>
        </w:rPr>
        <w:t xml:space="preserve">  CESA comments that deliverability of the VER component is irrelevant for purposes of supplying/charging the storage component and this is important because a large share of paired resources have successfully integrated energy storage assets by reallocating deliverability from a VER asset to an energy storage asset.</w:t>
      </w:r>
      <w:r w:rsidRPr="00AE3582">
        <w:t xml:space="preserve"> </w:t>
      </w:r>
      <w:r>
        <w:t xml:space="preserve"> </w:t>
      </w:r>
    </w:p>
    <w:p w:rsidR="000B693D" w:rsidP="000B693D" w:rsidRDefault="000B693D" w14:paraId="381F740D" w14:textId="77777777">
      <w:pPr>
        <w:pStyle w:val="Standard"/>
      </w:pPr>
      <w:r>
        <w:t>MRP disagrees that EO VERs should count towards charging sufficiency of standalone storage resources because if EO resources depend on the grid to charge standalone storage providing RA capacity, such resources must be deliverables to the resources they are charging.</w:t>
      </w:r>
      <w:r>
        <w:rPr>
          <w:rStyle w:val="FootnoteReference"/>
        </w:rPr>
        <w:footnoteReference w:id="230"/>
      </w:r>
      <w:r>
        <w:t xml:space="preserve">  SCE comments that EO resources should only be counted towards RA requirements if they are exclusively charging on-site storage or a CAISO study determines the resource is sufficiently deliverable to count towards RA.</w:t>
      </w:r>
      <w:r>
        <w:rPr>
          <w:rStyle w:val="FootnoteReference"/>
        </w:rPr>
        <w:footnoteReference w:id="231"/>
      </w:r>
    </w:p>
    <w:p w:rsidRPr="00E11875" w:rsidR="000B693D" w:rsidP="000B693D" w:rsidRDefault="000B693D" w14:paraId="29B3DD9B" w14:textId="08747469">
      <w:pPr>
        <w:pStyle w:val="Standard"/>
      </w:pPr>
      <w:r w:rsidRPr="005F0170">
        <w:t xml:space="preserve">The Commission clarifies that </w:t>
      </w:r>
      <w:r>
        <w:t xml:space="preserve">we intended that regardless of whether the </w:t>
      </w:r>
      <w:r w:rsidR="0094712F">
        <w:t xml:space="preserve">paired </w:t>
      </w:r>
      <w:r>
        <w:t xml:space="preserve">storage </w:t>
      </w:r>
      <w:proofErr w:type="gramStart"/>
      <w:r w:rsidR="0094712F">
        <w:t>is able to</w:t>
      </w:r>
      <w:proofErr w:type="gramEnd"/>
      <w:r w:rsidR="0094712F">
        <w:t xml:space="preserve"> charge</w:t>
      </w:r>
      <w:r>
        <w:t xml:space="preserve"> from the grid, a</w:t>
      </w:r>
      <w:r w:rsidR="00974115">
        <w:t>n</w:t>
      </w:r>
      <w:r>
        <w:t xml:space="preserve"> </w:t>
      </w:r>
      <w:r w:rsidRPr="005F0170">
        <w:t xml:space="preserve">EO resource is eligible to count towards the storage charging sufficiency requirement </w:t>
      </w:r>
      <w:r>
        <w:t>if the EO resource is charging on-site storage</w:t>
      </w:r>
      <w:r w:rsidRPr="005F0170">
        <w:t>.</w:t>
      </w:r>
      <w:r>
        <w:t xml:space="preserve">  The decision has been modified </w:t>
      </w:r>
      <w:r w:rsidR="00974115">
        <w:t>with this clarification</w:t>
      </w:r>
      <w:r>
        <w:t>.</w:t>
      </w:r>
    </w:p>
    <w:p w:rsidR="000B693D" w:rsidP="000B693D" w:rsidRDefault="000B693D" w14:paraId="744956B3" w14:textId="4D437343">
      <w:pPr>
        <w:pStyle w:val="Standard"/>
      </w:pPr>
      <w:r>
        <w:t xml:space="preserve">IEP adds that the decision should clarify that both co-located and hybrid resources may be configured to charge on-site or allowing grid charging, rather than just hybrid resources because CESA’s proposal referred to paired resources, </w:t>
      </w:r>
      <w:r>
        <w:lastRenderedPageBreak/>
        <w:t>which include both hybrid and co-located resources.</w:t>
      </w:r>
      <w:r>
        <w:rPr>
          <w:rStyle w:val="FootnoteReference"/>
        </w:rPr>
        <w:footnoteReference w:id="232"/>
      </w:r>
      <w:r>
        <w:t xml:space="preserve">   We agree with this clarification that paired resources, including both hybrid and co-located resources, may be characterized as either charging exclusively on-site or allowing grid charging.  </w:t>
      </w:r>
      <w:r w:rsidRPr="005F0170">
        <w:t xml:space="preserve">The decision has been modified with </w:t>
      </w:r>
      <w:r w:rsidR="00974115">
        <w:t>this</w:t>
      </w:r>
      <w:r w:rsidRPr="005F0170">
        <w:t xml:space="preserve"> clarification.</w:t>
      </w:r>
    </w:p>
    <w:p w:rsidRPr="00FC1A07" w:rsidR="000B693D" w:rsidP="00FC1A07" w:rsidRDefault="000B693D" w14:paraId="73465641" w14:textId="47279254">
      <w:pPr>
        <w:pStyle w:val="Standard"/>
        <w:rPr>
          <w:szCs w:val="26"/>
        </w:rPr>
      </w:pPr>
      <w:r>
        <w:rPr>
          <w:szCs w:val="26"/>
        </w:rPr>
        <w:t>IEP comments that the decision does not address the deliverability requirements for resources serving standalone storage, and those should include resources with Off-Peak Deliverability Status (OPDS).  CAISO clarifies that studies used to establish OPDS are different from generation deliverability studies that are used to establish FCDS, PCDS, and IDS, and that OPDS studies only consider local constraints, not larger area system constraints.</w:t>
      </w:r>
      <w:r>
        <w:rPr>
          <w:rStyle w:val="FootnoteReference"/>
          <w:szCs w:val="26"/>
        </w:rPr>
        <w:footnoteReference w:id="233"/>
      </w:r>
      <w:r>
        <w:rPr>
          <w:szCs w:val="26"/>
        </w:rPr>
        <w:t xml:space="preserve">  CAISO states that only a FCDS, PDCS, or IDS designation best assures that a resource is able to serve load across the transmission system.  The Commission notes that in D.22-06-050 we stated that discussion of the deliverability assessment process should first be undertaken in a CAISO stakeholder process given CAISO’s role in performing the deliverability assessment.</w:t>
      </w:r>
      <w:r>
        <w:rPr>
          <w:rStyle w:val="FootnoteReference"/>
          <w:szCs w:val="26"/>
        </w:rPr>
        <w:footnoteReference w:id="234"/>
      </w:r>
      <w:r>
        <w:rPr>
          <w:szCs w:val="26"/>
        </w:rPr>
        <w:t xml:space="preserve">  </w:t>
      </w:r>
    </w:p>
    <w:p w:rsidR="00FC74AA" w:rsidP="00974115" w:rsidRDefault="00E12C51" w14:paraId="02860D2A" w14:textId="29AD0271">
      <w:pPr>
        <w:pStyle w:val="Standard"/>
      </w:pPr>
      <w:proofErr w:type="spellStart"/>
      <w:r>
        <w:t>AReM</w:t>
      </w:r>
      <w:proofErr w:type="spellEnd"/>
      <w:r>
        <w:t xml:space="preserve"> </w:t>
      </w:r>
      <w:r w:rsidR="00437D31">
        <w:t>comments that</w:t>
      </w:r>
      <w:r>
        <w:t xml:space="preserve"> the </w:t>
      </w:r>
      <w:r w:rsidR="00464A40">
        <w:t xml:space="preserve">proposed </w:t>
      </w:r>
      <w:r>
        <w:t>decision does not address when the CPE procures local RA</w:t>
      </w:r>
      <w:r w:rsidR="00464A40">
        <w:t xml:space="preserve"> (</w:t>
      </w:r>
      <w:r>
        <w:t>with associated credits for system RA</w:t>
      </w:r>
      <w:r w:rsidR="00464A40">
        <w:t xml:space="preserve">) and </w:t>
      </w:r>
      <w:r w:rsidR="00974115">
        <w:t>states</w:t>
      </w:r>
      <w:r w:rsidR="00464A40">
        <w:t xml:space="preserve"> </w:t>
      </w:r>
      <w:r>
        <w:t xml:space="preserve">that LSEs’ system credits associated with CPE procurement should be treated </w:t>
      </w:r>
      <w:r w:rsidR="005C77FF">
        <w:t>the same</w:t>
      </w:r>
      <w:r>
        <w:t xml:space="preserve"> </w:t>
      </w:r>
      <w:r w:rsidR="005C77FF">
        <w:t>as</w:t>
      </w:r>
      <w:r>
        <w:t xml:space="preserve"> CAM resources.</w:t>
      </w:r>
      <w:r w:rsidR="00847B48">
        <w:rPr>
          <w:rStyle w:val="FootnoteReference"/>
        </w:rPr>
        <w:footnoteReference w:id="235"/>
      </w:r>
      <w:r w:rsidR="00847B48">
        <w:t xml:space="preserve">  </w:t>
      </w:r>
      <w:proofErr w:type="spellStart"/>
      <w:r w:rsidR="00847B48">
        <w:t>AReM</w:t>
      </w:r>
      <w:proofErr w:type="spellEnd"/>
      <w:r w:rsidR="00847B48">
        <w:t xml:space="preserve"> </w:t>
      </w:r>
      <w:r w:rsidR="00464A40">
        <w:t>adds</w:t>
      </w:r>
      <w:r w:rsidR="00847B48">
        <w:t xml:space="preserve"> that the decision does not address the treatment of energy sufficiency requirements associated with utility procurement of standalone batteries subject to </w:t>
      </w:r>
      <w:r w:rsidR="008D4123">
        <w:t xml:space="preserve">the </w:t>
      </w:r>
      <w:r w:rsidR="00847B48">
        <w:t>MCAM.</w:t>
      </w:r>
      <w:r w:rsidR="00974115">
        <w:t xml:space="preserve">  </w:t>
      </w:r>
      <w:r w:rsidR="009459FF">
        <w:t xml:space="preserve">SCE agrees that the allocation for credits associated with CPE procurement should be consistent with that of </w:t>
      </w:r>
      <w:r w:rsidR="009459FF">
        <w:lastRenderedPageBreak/>
        <w:t>CAM.</w:t>
      </w:r>
      <w:r w:rsidR="00C22D52">
        <w:rPr>
          <w:rStyle w:val="FootnoteReference"/>
        </w:rPr>
        <w:footnoteReference w:id="236"/>
      </w:r>
      <w:r w:rsidR="00C22D52">
        <w:t xml:space="preserve">  SCE also agrees that </w:t>
      </w:r>
      <w:r w:rsidR="00C47506">
        <w:t xml:space="preserve">Energy Division should proportionally allocate </w:t>
      </w:r>
      <w:r w:rsidRPr="00C47506" w:rsidR="00C22D52">
        <w:t>energy sufficiency requirements associated with standalone energy storage procured under D.19-11-016 by the IOUs to other LSEs that elected to opt-out of self-procurement or failed to acquire after electing to do so.</w:t>
      </w:r>
      <w:r w:rsidR="00C47506">
        <w:t xml:space="preserve">  </w:t>
      </w:r>
      <w:r w:rsidR="00464A40">
        <w:t xml:space="preserve">The Commission clarifies that under the SOD framework, CPE procurement allocations will be treated the same as CAM resources.  </w:t>
      </w:r>
      <w:r w:rsidR="00EF1457">
        <w:t xml:space="preserve">We also agree that energy sufficiency requirements associated with utility procurement of standalone batteries subject to </w:t>
      </w:r>
      <w:r w:rsidR="00B803E0">
        <w:t>MCAM should</w:t>
      </w:r>
      <w:r w:rsidR="00EF1457">
        <w:t xml:space="preserve"> be proportionally allocated</w:t>
      </w:r>
      <w:r w:rsidR="00B803E0">
        <w:t>.</w:t>
      </w:r>
      <w:r w:rsidRPr="00EF1457" w:rsidR="00EF1457">
        <w:t xml:space="preserve"> </w:t>
      </w:r>
      <w:r w:rsidR="00EF1457">
        <w:t xml:space="preserve">The decision has been modified to reflect this.  </w:t>
      </w:r>
    </w:p>
    <w:p w:rsidR="00FC74AA" w:rsidP="00C132E3" w:rsidRDefault="00E33D15" w14:paraId="2FE1CD2B" w14:textId="4641662B">
      <w:pPr>
        <w:pStyle w:val="Standard"/>
      </w:pPr>
      <w:proofErr w:type="spellStart"/>
      <w:r>
        <w:t>CalCCA</w:t>
      </w:r>
      <w:proofErr w:type="spellEnd"/>
      <w:r>
        <w:t xml:space="preserve"> states that the decision does not address when Energy Division must allocate the requirements using CAM</w:t>
      </w:r>
      <w:r w:rsidR="00977D6F">
        <w:t xml:space="preserve"> and that Energy Division should allocate energy sufficiency allocations to LSEs with enough time for LSEs to procure to meet those requirements</w:t>
      </w:r>
      <w:r>
        <w:t>.</w:t>
      </w:r>
      <w:r>
        <w:rPr>
          <w:rStyle w:val="FootnoteReference"/>
        </w:rPr>
        <w:footnoteReference w:id="237"/>
      </w:r>
      <w:r>
        <w:t xml:space="preserve">  </w:t>
      </w:r>
      <w:r w:rsidRPr="00CC3EDB" w:rsidR="00C132E3">
        <w:t>The Commission notes that as with other allocations in the RA program, Energy Division will allocate energy sufficiency requirement allocations in July, with final allocations provided in September.</w:t>
      </w:r>
      <w:r w:rsidR="00C132E3">
        <w:t xml:space="preserve"> </w:t>
      </w:r>
    </w:p>
    <w:p w:rsidR="00FC74AA" w:rsidP="00C132E3" w:rsidRDefault="003616BD" w14:paraId="5544763E" w14:textId="58ABC3CB">
      <w:pPr>
        <w:pStyle w:val="Standard"/>
      </w:pPr>
      <w:proofErr w:type="spellStart"/>
      <w:r>
        <w:t>CalCCA</w:t>
      </w:r>
      <w:proofErr w:type="spellEnd"/>
      <w:r>
        <w:t xml:space="preserve"> states that once the SOD framework is implemented, LSEs will need to meet hourly system </w:t>
      </w:r>
      <w:proofErr w:type="gramStart"/>
      <w:r>
        <w:t>requirements</w:t>
      </w:r>
      <w:proofErr w:type="gramEnd"/>
      <w:r>
        <w:t xml:space="preserve"> but local RA requirements will not be hourly.</w:t>
      </w:r>
      <w:r>
        <w:rPr>
          <w:rStyle w:val="FootnoteReference"/>
        </w:rPr>
        <w:footnoteReference w:id="238"/>
      </w:r>
      <w:r>
        <w:t xml:space="preserve">  </w:t>
      </w:r>
      <w:proofErr w:type="spellStart"/>
      <w:r>
        <w:t>CalCCA</w:t>
      </w:r>
      <w:proofErr w:type="spellEnd"/>
      <w:r>
        <w:t xml:space="preserve"> states that this creates uncertainty regarding the self-show process and the decision should clarify that when LSEs self-show local resources, the LSE can choose the hours it shows the self-shown resources.</w:t>
      </w:r>
      <w:r w:rsidR="00C132E3">
        <w:t xml:space="preserve">  </w:t>
      </w:r>
      <w:r w:rsidRPr="00CC3EDB" w:rsidR="00C132E3">
        <w:t>The Commission states that when the SOD framework is implemented, there will be no impact on the self-show process.</w:t>
      </w:r>
      <w:r w:rsidR="00E40144">
        <w:t xml:space="preserve">  As detailed in D.22-06-050, under the SOD </w:t>
      </w:r>
      <w:r w:rsidR="00E40144">
        <w:lastRenderedPageBreak/>
        <w:t>framework, resource attributes and capabilities remain bundled across each compliance month.</w:t>
      </w:r>
    </w:p>
    <w:p w:rsidRPr="008D4321" w:rsidR="00FB3355" w:rsidP="0063638C" w:rsidRDefault="003616BD" w14:paraId="456F29C6" w14:textId="0EFD4432">
      <w:pPr>
        <w:pStyle w:val="Standard"/>
      </w:pPr>
      <w:r>
        <w:t xml:space="preserve">Regarding allocating CAM resources by class, </w:t>
      </w:r>
      <w:proofErr w:type="spellStart"/>
      <w:r>
        <w:t>CalCCA</w:t>
      </w:r>
      <w:proofErr w:type="spellEnd"/>
      <w:r>
        <w:t xml:space="preserve"> seeks clarification that LSEs can shape how they show energy storage resources, which could be accomplished by providing LSEs with a maximum capacity allocation and maximum daily energy allocation via CAM.</w:t>
      </w:r>
      <w:r>
        <w:rPr>
          <w:rStyle w:val="FootnoteReference"/>
        </w:rPr>
        <w:footnoteReference w:id="239"/>
      </w:r>
      <w:r>
        <w:t xml:space="preserve">  </w:t>
      </w:r>
      <w:proofErr w:type="spellStart"/>
      <w:r w:rsidR="00C132E3">
        <w:t>CalCCA</w:t>
      </w:r>
      <w:proofErr w:type="spellEnd"/>
      <w:r w:rsidR="00C132E3">
        <w:t xml:space="preserve"> also comments that Energy Division should classify storage CAM as both single-cycle and multi-cycle since the use of these resources will differ and that how hydro profiles will be determined must be clarified.  </w:t>
      </w:r>
      <w:bookmarkStart w:name="_Hlk131412990" w:id="77"/>
      <w:r w:rsidR="00C132E3">
        <w:t xml:space="preserve">The Commission clarifies that LSEs can shape how they show energy storage </w:t>
      </w:r>
      <w:proofErr w:type="gramStart"/>
      <w:r w:rsidR="00C132E3">
        <w:t>resources</w:t>
      </w:r>
      <w:proofErr w:type="gramEnd"/>
      <w:r w:rsidR="00C132E3">
        <w:t xml:space="preserve"> and that storage CAM will be classified as both single-cycle and multi-cycle. </w:t>
      </w:r>
      <w:bookmarkEnd w:id="77"/>
      <w:r w:rsidR="00C132E3">
        <w:t xml:space="preserve"> </w:t>
      </w:r>
      <w:r w:rsidR="00367E48">
        <w:t>The decision has been modified to include this.  R</w:t>
      </w:r>
      <w:r w:rsidR="0063638C">
        <w:t xml:space="preserve">egarding hydro resources, </w:t>
      </w:r>
      <w:r w:rsidR="00367E48">
        <w:t xml:space="preserve">we note that </w:t>
      </w:r>
      <w:r w:rsidR="00C132E3">
        <w:t xml:space="preserve">in </w:t>
      </w:r>
      <w:r w:rsidR="00FC762D">
        <w:t>D.22-06-050</w:t>
      </w:r>
      <w:r w:rsidR="0063638C">
        <w:t>, we stated that</w:t>
      </w:r>
      <w:r w:rsidR="00C132E3">
        <w:t xml:space="preserve"> </w:t>
      </w:r>
      <w:r w:rsidR="00FC762D">
        <w:t xml:space="preserve">the existing QC methodology shall be applied to </w:t>
      </w:r>
      <w:r w:rsidR="00C132E3">
        <w:t xml:space="preserve">hydro resources </w:t>
      </w:r>
      <w:r w:rsidR="00FC762D">
        <w:t xml:space="preserve">under the SOD framework, with monthly values applied to all hours.  </w:t>
      </w:r>
      <w:r w:rsidR="00367E48">
        <w:t xml:space="preserve">As such, we decline to modify the decision. </w:t>
      </w:r>
    </w:p>
    <w:p w:rsidR="00B1416C" w:rsidP="008D4321" w:rsidRDefault="00FB3355" w14:paraId="256C7D13" w14:textId="151EE955">
      <w:pPr>
        <w:pStyle w:val="Standard"/>
      </w:pPr>
      <w:r>
        <w:t>CEDMC/Leap</w:t>
      </w:r>
      <w:r w:rsidR="00B1416C">
        <w:t xml:space="preserve">, </w:t>
      </w:r>
      <w:proofErr w:type="spellStart"/>
      <w:r w:rsidR="00A74507">
        <w:t>OhmConnect</w:t>
      </w:r>
      <w:proofErr w:type="spellEnd"/>
      <w:r w:rsidR="00B1416C">
        <w:t>, and United</w:t>
      </w:r>
      <w:r w:rsidR="00A74507">
        <w:t xml:space="preserve"> oppose the</w:t>
      </w:r>
      <w:r>
        <w:t xml:space="preserve"> 5-9</w:t>
      </w:r>
      <w:r w:rsidR="00A74507">
        <w:t xml:space="preserve"> p.m.</w:t>
      </w:r>
      <w:r>
        <w:t xml:space="preserve"> availability requirement</w:t>
      </w:r>
      <w:r w:rsidR="00B1416C">
        <w:t xml:space="preserve"> for DR</w:t>
      </w:r>
      <w:r w:rsidR="00A74507">
        <w:t>.</w:t>
      </w:r>
      <w:r w:rsidR="00A74507">
        <w:rPr>
          <w:rStyle w:val="FootnoteReference"/>
        </w:rPr>
        <w:footnoteReference w:id="240"/>
      </w:r>
      <w:r w:rsidR="00A74507">
        <w:t xml:space="preserve">  CEDMC/Leap states </w:t>
      </w:r>
      <w:r w:rsidR="008D4321">
        <w:t>that it</w:t>
      </w:r>
      <w:r>
        <w:t xml:space="preserve"> would severely limit DR that cannot be shown during those hours</w:t>
      </w:r>
      <w:r w:rsidR="00A74507">
        <w:t xml:space="preserve"> and</w:t>
      </w:r>
      <w:r>
        <w:t xml:space="preserve"> discourag</w:t>
      </w:r>
      <w:r w:rsidR="009E200B">
        <w:t>e</w:t>
      </w:r>
      <w:r>
        <w:t xml:space="preserve"> new DR customers </w:t>
      </w:r>
      <w:r w:rsidR="00A74507">
        <w:t>that</w:t>
      </w:r>
      <w:r>
        <w:t xml:space="preserve"> are not able to provide load curtailment during the window.</w:t>
      </w:r>
      <w:r w:rsidR="00B1416C">
        <w:t xml:space="preserve">  </w:t>
      </w:r>
      <w:proofErr w:type="spellStart"/>
      <w:r w:rsidR="00B1416C">
        <w:t>OhmConnect</w:t>
      </w:r>
      <w:proofErr w:type="spellEnd"/>
      <w:r w:rsidR="00B1416C">
        <w:t xml:space="preserve"> states that the LIP reports finalized on April 1 will likely have impact estimates that begins at 4 p.m., not 5 p.m.</w:t>
      </w:r>
      <w:r w:rsidR="009E200B">
        <w:t>,</w:t>
      </w:r>
      <w:r w:rsidR="00B1416C">
        <w:t xml:space="preserve"> and DRPs should be allowed to choose a four-hour window that matches the </w:t>
      </w:r>
      <w:proofErr w:type="spellStart"/>
      <w:proofErr w:type="gramStart"/>
      <w:r w:rsidRPr="008D7713" w:rsidR="00B1416C">
        <w:rPr>
          <w:i/>
          <w:iCs/>
        </w:rPr>
        <w:t>ex ante</w:t>
      </w:r>
      <w:proofErr w:type="spellEnd"/>
      <w:proofErr w:type="gramEnd"/>
      <w:r w:rsidR="00B1416C">
        <w:t xml:space="preserve"> modeling completed for 2024.  SCE agrees that DR </w:t>
      </w:r>
      <w:r w:rsidR="008D4321">
        <w:t>will be</w:t>
      </w:r>
      <w:r w:rsidR="00B1416C">
        <w:t xml:space="preserve"> hamstrung </w:t>
      </w:r>
      <w:r w:rsidR="008D4321">
        <w:t>by the call window</w:t>
      </w:r>
      <w:r w:rsidR="009E200B">
        <w:t xml:space="preserve">, which </w:t>
      </w:r>
      <w:r w:rsidR="00B1416C">
        <w:t xml:space="preserve">will limit customer </w:t>
      </w:r>
      <w:r w:rsidR="00B1416C">
        <w:lastRenderedPageBreak/>
        <w:t>participation in DR.</w:t>
      </w:r>
      <w:r w:rsidR="00B1416C">
        <w:rPr>
          <w:rStyle w:val="FootnoteReference"/>
        </w:rPr>
        <w:footnoteReference w:id="241"/>
      </w:r>
      <w:r w:rsidR="00B1416C">
        <w:t xml:space="preserve">  United </w:t>
      </w:r>
      <w:r w:rsidR="008D4321">
        <w:t>comments that</w:t>
      </w:r>
      <w:r w:rsidR="00B1416C">
        <w:t xml:space="preserve"> a DR resource may have no baseline to make a showing before 7 p.m. but have significant response </w:t>
      </w:r>
      <w:r w:rsidR="00BC48B2">
        <w:t xml:space="preserve">from </w:t>
      </w:r>
      <w:r w:rsidR="00B1416C">
        <w:t>7-9 p.m.</w:t>
      </w:r>
      <w:r w:rsidR="00BC48B2">
        <w:t xml:space="preserve">; yet </w:t>
      </w:r>
      <w:r w:rsidR="008D4321">
        <w:t>the resource would be excluded because it cannot show for the AAH.</w:t>
      </w:r>
      <w:r w:rsidR="00B1416C">
        <w:rPr>
          <w:rStyle w:val="FootnoteReference"/>
        </w:rPr>
        <w:footnoteReference w:id="242"/>
      </w:r>
      <w:r w:rsidR="00B1416C">
        <w:t xml:space="preserve">  </w:t>
      </w:r>
    </w:p>
    <w:p w:rsidR="00EB6DFA" w:rsidP="008D4321" w:rsidRDefault="00EB6DFA" w14:paraId="4C192BEE" w14:textId="6D830327">
      <w:pPr>
        <w:pStyle w:val="Standard"/>
      </w:pPr>
      <w:r>
        <w:t xml:space="preserve">The Commission </w:t>
      </w:r>
      <w:r w:rsidR="004614C8">
        <w:t>is persuaded by</w:t>
      </w:r>
      <w:r>
        <w:t xml:space="preserve"> </w:t>
      </w:r>
      <w:r w:rsidR="00BC48B2">
        <w:t xml:space="preserve">parties </w:t>
      </w:r>
      <w:r w:rsidR="004614C8">
        <w:t>regarding the potential detrimental effect of</w:t>
      </w:r>
      <w:r>
        <w:t xml:space="preserve"> the 5-9 p.m. call window</w:t>
      </w:r>
      <w:r w:rsidR="004614C8">
        <w:t>.  As such,</w:t>
      </w:r>
      <w:r>
        <w:t xml:space="preserve"> the </w:t>
      </w:r>
      <w:r w:rsidR="004614C8">
        <w:t xml:space="preserve">5-9 p.m. call window is removed from the decision.  </w:t>
      </w:r>
      <w:r>
        <w:t>The other limitations on DR remain in the decision.</w:t>
      </w:r>
    </w:p>
    <w:p w:rsidRPr="00030D72" w:rsidR="00E33D15" w:rsidP="00B6421D" w:rsidRDefault="00F6403D" w14:paraId="6F6C6ED1" w14:textId="30273CAE">
      <w:pPr>
        <w:pStyle w:val="Standard"/>
      </w:pPr>
      <w:r>
        <w:t>CEDMC/Leap</w:t>
      </w:r>
      <w:r w:rsidR="001D763A">
        <w:t xml:space="preserve">, </w:t>
      </w:r>
      <w:proofErr w:type="spellStart"/>
      <w:r w:rsidR="00A74507">
        <w:t>OhmConnect</w:t>
      </w:r>
      <w:proofErr w:type="spellEnd"/>
      <w:r w:rsidR="001D763A">
        <w:t xml:space="preserve">, </w:t>
      </w:r>
      <w:r w:rsidR="00516BA2">
        <w:t xml:space="preserve">SCE, </w:t>
      </w:r>
      <w:r w:rsidR="001D763A">
        <w:t>and CLECA</w:t>
      </w:r>
      <w:r w:rsidR="00A74507">
        <w:t xml:space="preserve"> </w:t>
      </w:r>
      <w:r>
        <w:t xml:space="preserve">disagree with assigning the TLF value </w:t>
      </w:r>
      <w:r w:rsidR="00A74507">
        <w:t>at</w:t>
      </w:r>
      <w:r>
        <w:t xml:space="preserve"> 0% </w:t>
      </w:r>
      <w:r w:rsidR="000C7DD7">
        <w:t xml:space="preserve">because it is </w:t>
      </w:r>
      <w:r>
        <w:t>consistent with</w:t>
      </w:r>
      <w:r w:rsidR="000C7DD7">
        <w:t xml:space="preserve"> ret</w:t>
      </w:r>
      <w:r>
        <w:t>aining the adder.</w:t>
      </w:r>
      <w:r w:rsidR="00F833E8">
        <w:rPr>
          <w:rStyle w:val="FootnoteReference"/>
        </w:rPr>
        <w:footnoteReference w:id="243"/>
      </w:r>
      <w:r w:rsidR="00282FC6">
        <w:t xml:space="preserve">  </w:t>
      </w:r>
      <w:proofErr w:type="spellStart"/>
      <w:r w:rsidR="00E33D15">
        <w:t>OhmConnect</w:t>
      </w:r>
      <w:proofErr w:type="spellEnd"/>
      <w:r w:rsidR="00E33D15">
        <w:t xml:space="preserve"> states it is unclear that changing the TLF to 0% will reduc</w:t>
      </w:r>
      <w:r w:rsidR="00A74507">
        <w:t>e</w:t>
      </w:r>
      <w:r w:rsidR="00E33D15">
        <w:t xml:space="preserve"> administrative burden</w:t>
      </w:r>
      <w:r w:rsidR="00A74507">
        <w:t xml:space="preserve"> since Energy Division will still have to calculate the PRM adder value and submit it as a credit </w:t>
      </w:r>
      <w:r w:rsidR="003A39A6">
        <w:t>to</w:t>
      </w:r>
      <w:r w:rsidR="00A74507">
        <w:t xml:space="preserve"> CAISO</w:t>
      </w:r>
      <w:r w:rsidR="00E33D15">
        <w:t>.</w:t>
      </w:r>
      <w:r w:rsidR="00E33D15">
        <w:rPr>
          <w:rStyle w:val="FootnoteReference"/>
        </w:rPr>
        <w:footnoteReference w:id="244"/>
      </w:r>
      <w:r w:rsidR="00E33D15">
        <w:t xml:space="preserve">  </w:t>
      </w:r>
      <w:r w:rsidR="009251AF">
        <w:t>CLECA states that there is no record to support giving a zero value.</w:t>
      </w:r>
      <w:r w:rsidR="00180E22">
        <w:t xml:space="preserve">  CEDMC/Leap and SCE state that this issue should be addressed in Phase 3 of the Implementation Track along with the PRM adder</w:t>
      </w:r>
      <w:r w:rsidR="000C7DD7">
        <w:t>.</w:t>
      </w:r>
      <w:r w:rsidR="003A39A6">
        <w:t xml:space="preserve">  </w:t>
      </w:r>
      <w:r w:rsidR="00EB6DFA">
        <w:t>The Commission agrees with commenters that the 0% value assigned to the TLF is not consistent with retaining the adder</w:t>
      </w:r>
      <w:r w:rsidR="00B6421D">
        <w:t xml:space="preserve">.  </w:t>
      </w:r>
      <w:r w:rsidRPr="00B674EA" w:rsidR="00B6421D">
        <w:t xml:space="preserve">We also agree that </w:t>
      </w:r>
      <w:r w:rsidRPr="00B674EA" w:rsidR="00EB6DFA">
        <w:t>t</w:t>
      </w:r>
      <w:r w:rsidRPr="00B674EA" w:rsidR="00B6421D">
        <w:t xml:space="preserve">he TLF adder issue </w:t>
      </w:r>
      <w:r w:rsidRPr="00B674EA" w:rsidR="00EB6DFA">
        <w:t xml:space="preserve">should be </w:t>
      </w:r>
      <w:r w:rsidR="00367E48">
        <w:t>revisited</w:t>
      </w:r>
      <w:r w:rsidRPr="00B674EA" w:rsidR="00EB6DFA">
        <w:t xml:space="preserve"> in </w:t>
      </w:r>
      <w:r w:rsidRPr="00B674EA" w:rsidR="000C7DD7">
        <w:t>Phase 3 of the</w:t>
      </w:r>
      <w:r w:rsidRPr="00B674EA" w:rsidR="00EB6DFA">
        <w:t xml:space="preserve"> Implementation Track</w:t>
      </w:r>
      <w:r w:rsidRPr="00B674EA" w:rsidR="00B6421D">
        <w:t>, along with the PRM adder and the CEC’s DR Working Group Report recommendations.</w:t>
      </w:r>
      <w:r w:rsidR="00B6421D">
        <w:t xml:space="preserve">  </w:t>
      </w:r>
      <w:r w:rsidR="00551165">
        <w:t>T</w:t>
      </w:r>
      <w:r w:rsidR="00EB6DFA">
        <w:t xml:space="preserve">he 0% value </w:t>
      </w:r>
      <w:r w:rsidR="00030D72">
        <w:t xml:space="preserve">for the TLF adder </w:t>
      </w:r>
      <w:r w:rsidR="00CC65A6">
        <w:t xml:space="preserve">is removed </w:t>
      </w:r>
      <w:r w:rsidR="00030D72">
        <w:t xml:space="preserve">from </w:t>
      </w:r>
      <w:r w:rsidR="00EB6DFA">
        <w:t xml:space="preserve">the </w:t>
      </w:r>
      <w:r w:rsidR="000C7DD7">
        <w:t>decision.</w:t>
      </w:r>
    </w:p>
    <w:p w:rsidR="00224DAA" w:rsidP="00D67793" w:rsidRDefault="00E33D15" w14:paraId="10033FDB" w14:textId="3C91DF35">
      <w:pPr>
        <w:pStyle w:val="Standard"/>
      </w:pPr>
      <w:r>
        <w:lastRenderedPageBreak/>
        <w:t xml:space="preserve">CEERT </w:t>
      </w:r>
      <w:r w:rsidR="00DB46FA">
        <w:t xml:space="preserve">and NRDC </w:t>
      </w:r>
      <w:r>
        <w:t xml:space="preserve">recommend that the test year </w:t>
      </w:r>
      <w:r w:rsidR="00DB46FA">
        <w:t>showings include mo</w:t>
      </w:r>
      <w:r>
        <w:t>nth-ahead showings for July, August and September, as these are months when loss of load is likely to occur under stressed conditions.</w:t>
      </w:r>
      <w:r>
        <w:rPr>
          <w:rStyle w:val="FootnoteReference"/>
        </w:rPr>
        <w:footnoteReference w:id="245"/>
      </w:r>
      <w:r w:rsidR="007A4296">
        <w:t xml:space="preserve">  </w:t>
      </w:r>
      <w:proofErr w:type="spellStart"/>
      <w:r w:rsidR="007A4296">
        <w:t>AReM</w:t>
      </w:r>
      <w:proofErr w:type="spellEnd"/>
      <w:r w:rsidR="00B1416C">
        <w:t>, MRP,</w:t>
      </w:r>
      <w:r w:rsidR="007A4296">
        <w:t xml:space="preserve"> </w:t>
      </w:r>
      <w:r w:rsidR="00B1416C">
        <w:t xml:space="preserve">and </w:t>
      </w:r>
      <w:proofErr w:type="spellStart"/>
      <w:r w:rsidR="00B1416C">
        <w:t>CalCCA</w:t>
      </w:r>
      <w:proofErr w:type="spellEnd"/>
      <w:r w:rsidR="00B1416C">
        <w:t xml:space="preserve"> </w:t>
      </w:r>
      <w:r w:rsidR="007A4296">
        <w:t>disagree with adding two additional summer month showings</w:t>
      </w:r>
      <w:r w:rsidR="00B1416C">
        <w:t xml:space="preserve">, with </w:t>
      </w:r>
      <w:proofErr w:type="spellStart"/>
      <w:r w:rsidR="00B1416C">
        <w:t>AReM</w:t>
      </w:r>
      <w:proofErr w:type="spellEnd"/>
      <w:r w:rsidR="00B1416C">
        <w:t xml:space="preserve"> stating</w:t>
      </w:r>
      <w:r w:rsidR="007A4296">
        <w:t xml:space="preserve"> that the September showing is typically the most constrained summer month and will provide sufficient insight into potential problems.</w:t>
      </w:r>
      <w:r w:rsidR="007A4296">
        <w:rPr>
          <w:rStyle w:val="FootnoteReference"/>
        </w:rPr>
        <w:footnoteReference w:id="246"/>
      </w:r>
      <w:r w:rsidR="00CF2144">
        <w:t xml:space="preserve">  </w:t>
      </w:r>
      <w:proofErr w:type="spellStart"/>
      <w:r w:rsidR="00632190">
        <w:t>CalCCA</w:t>
      </w:r>
      <w:proofErr w:type="spellEnd"/>
      <w:r w:rsidR="00632190">
        <w:t xml:space="preserve"> </w:t>
      </w:r>
      <w:r w:rsidR="009D45C8">
        <w:t xml:space="preserve">states that a variety of seasons </w:t>
      </w:r>
      <w:r w:rsidR="00D67793">
        <w:t xml:space="preserve">should be tested </w:t>
      </w:r>
      <w:r w:rsidR="009D45C8">
        <w:t>given the differences in load patterns</w:t>
      </w:r>
      <w:r w:rsidR="00B1416C">
        <w:t xml:space="preserve"> and </w:t>
      </w:r>
      <w:r w:rsidR="00632190">
        <w:t xml:space="preserve">recommends the month-ahead showings </w:t>
      </w:r>
      <w:r w:rsidR="009D45C8">
        <w:t>be</w:t>
      </w:r>
      <w:r w:rsidR="00632190">
        <w:t xml:space="preserve"> limited </w:t>
      </w:r>
      <w:r w:rsidR="00B1416C">
        <w:t xml:space="preserve">to </w:t>
      </w:r>
      <w:r w:rsidR="00632190">
        <w:t>February, April and September</w:t>
      </w:r>
      <w:r w:rsidRPr="00D67793" w:rsidR="00632190">
        <w:t xml:space="preserve">. </w:t>
      </w:r>
      <w:r w:rsidRPr="00D67793" w:rsidR="00B1416C">
        <w:t xml:space="preserve"> The Commission </w:t>
      </w:r>
      <w:r w:rsidR="004246E2">
        <w:t>finds</w:t>
      </w:r>
      <w:r w:rsidR="00D67793">
        <w:t xml:space="preserve"> it </w:t>
      </w:r>
      <w:r w:rsidR="004246E2">
        <w:t>un</w:t>
      </w:r>
      <w:r w:rsidR="00D67793">
        <w:t xml:space="preserve">necessary to modify the month-ahead showings for the test year. </w:t>
      </w:r>
    </w:p>
    <w:p w:rsidR="002E5435" w:rsidP="00EE0C8A" w:rsidRDefault="005C4335" w14:paraId="7317ADA9" w14:textId="438D5B5D">
      <w:pPr>
        <w:pStyle w:val="Standard"/>
      </w:pPr>
      <w:r>
        <w:t xml:space="preserve">WPTF recommends a formal assessment of the SOD framework </w:t>
      </w:r>
      <w:r w:rsidR="0029137D">
        <w:t>prior to</w:t>
      </w:r>
      <w:r>
        <w:t xml:space="preserve"> full implementation, in addition </w:t>
      </w:r>
      <w:r w:rsidR="00C8596B">
        <w:t xml:space="preserve">to </w:t>
      </w:r>
      <w:r>
        <w:t>the Energy Division’s February 2024 report.</w:t>
      </w:r>
      <w:r>
        <w:rPr>
          <w:rStyle w:val="FootnoteReference"/>
        </w:rPr>
        <w:footnoteReference w:id="247"/>
      </w:r>
      <w:r>
        <w:t xml:space="preserve">  WPTF recommends an opportunity in June </w:t>
      </w:r>
      <w:r w:rsidR="0029137D">
        <w:t>for</w:t>
      </w:r>
      <w:r>
        <w:t xml:space="preserve"> formal comments on SOD implementation and a second Energy Division report in July that identifies implementation issues.  WPTF </w:t>
      </w:r>
      <w:r w:rsidR="00B1416C">
        <w:t xml:space="preserve">also </w:t>
      </w:r>
      <w:r>
        <w:t>recommends a ruling in August that resolves issues in Energy Division’s report and establishes a process for resolving remaining issues.</w:t>
      </w:r>
      <w:r w:rsidR="0029137D">
        <w:t xml:space="preserve"> </w:t>
      </w:r>
      <w:r w:rsidR="00EE0C8A">
        <w:t xml:space="preserve"> </w:t>
      </w:r>
      <w:r w:rsidRPr="00767F50" w:rsidR="0029137D">
        <w:t xml:space="preserve">The Commission agrees that after </w:t>
      </w:r>
      <w:proofErr w:type="gramStart"/>
      <w:r w:rsidRPr="00767F50" w:rsidR="0029137D">
        <w:t>Energy</w:t>
      </w:r>
      <w:proofErr w:type="gramEnd"/>
      <w:r w:rsidRPr="00767F50" w:rsidR="0029137D">
        <w:t xml:space="preserve"> Division’s February 2024 report, parties will have an opportunity to provide formal comments on Energy Division’s report.  </w:t>
      </w:r>
      <w:r w:rsidR="00767F50">
        <w:t>Following the issuance of Energy Division’s February 2024 report and party comments, t</w:t>
      </w:r>
      <w:r w:rsidRPr="00767F50" w:rsidR="0029137D">
        <w:t xml:space="preserve">he Commission </w:t>
      </w:r>
      <w:r w:rsidR="00767F50">
        <w:t>reserves</w:t>
      </w:r>
      <w:r w:rsidRPr="00767F50" w:rsidR="0029137D">
        <w:t xml:space="preserve"> the right to provide </w:t>
      </w:r>
      <w:r w:rsidRPr="00767F50" w:rsidR="0029137D">
        <w:lastRenderedPageBreak/>
        <w:t>additional process for workshops and comments</w:t>
      </w:r>
      <w:r w:rsidR="00B674EA">
        <w:t>,</w:t>
      </w:r>
      <w:r w:rsidRPr="00767F50" w:rsidR="0029137D">
        <w:t xml:space="preserve"> as necessary.  The decision has been modified to reflect this</w:t>
      </w:r>
      <w:r w:rsidR="00767F50">
        <w:t>.</w:t>
      </w:r>
    </w:p>
    <w:p w:rsidR="00D63AF5" w:rsidP="002E5435" w:rsidRDefault="00040049" w14:paraId="185A8A33" w14:textId="5264DF5C">
      <w:pPr>
        <w:pStyle w:val="Standard"/>
      </w:pPr>
      <w:r>
        <w:t xml:space="preserve">PG&amp;E seeks clarification that </w:t>
      </w:r>
      <w:r w:rsidR="00B674EA">
        <w:t xml:space="preserve">for those LSEs counting storage in MCC bucket 4 for the test year, </w:t>
      </w:r>
      <w:r>
        <w:t xml:space="preserve">the LSE </w:t>
      </w:r>
      <w:r w:rsidR="006A2B2B">
        <w:t>S</w:t>
      </w:r>
      <w:r>
        <w:t>howing</w:t>
      </w:r>
      <w:r w:rsidR="006A2B2B">
        <w:t xml:space="preserve"> T</w:t>
      </w:r>
      <w:r>
        <w:t>ool durin</w:t>
      </w:r>
      <w:r w:rsidR="00D63AF5">
        <w:t>g</w:t>
      </w:r>
      <w:r>
        <w:t xml:space="preserve"> the test year only needs to be complian</w:t>
      </w:r>
      <w:r w:rsidR="00A06DCF">
        <w:t>t</w:t>
      </w:r>
      <w:r>
        <w:t xml:space="preserve"> with the energy sufficiency portion of the test</w:t>
      </w:r>
      <w:r w:rsidR="006A2B2B">
        <w:t xml:space="preserve">, </w:t>
      </w:r>
      <w:r>
        <w:t>not that the tool needs to be complian</w:t>
      </w:r>
      <w:r w:rsidR="00B674EA">
        <w:t>t</w:t>
      </w:r>
      <w:r>
        <w:t xml:space="preserve"> with the hourly SOD requirements.</w:t>
      </w:r>
      <w:r w:rsidR="00D63AF5">
        <w:rPr>
          <w:rStyle w:val="FootnoteReference"/>
        </w:rPr>
        <w:footnoteReference w:id="248"/>
      </w:r>
      <w:r w:rsidR="00C3722A">
        <w:t xml:space="preserve">  </w:t>
      </w:r>
      <w:r w:rsidRPr="00767F50" w:rsidR="00435415">
        <w:t>The Commission agrees with this clarification and the decision has been modified to reflect this.</w:t>
      </w:r>
    </w:p>
    <w:p w:rsidR="00FB5602" w:rsidP="00E02F50" w:rsidRDefault="00D63AF5" w14:paraId="564EF409" w14:textId="682FB266">
      <w:pPr>
        <w:pStyle w:val="Standard"/>
      </w:pPr>
      <w:r>
        <w:t xml:space="preserve">PG&amp;E states that a process </w:t>
      </w:r>
      <w:r w:rsidR="002E5435">
        <w:t>is needed to update</w:t>
      </w:r>
      <w:r>
        <w:t xml:space="preserve"> </w:t>
      </w:r>
      <w:r w:rsidR="006A2B2B">
        <w:t>the</w:t>
      </w:r>
      <w:r>
        <w:t xml:space="preserve"> MRD </w:t>
      </w:r>
      <w:r w:rsidR="006A2B2B">
        <w:t>with</w:t>
      </w:r>
      <w:r>
        <w:t xml:space="preserve"> resources that have not come online and therefore are not on the MRD.</w:t>
      </w:r>
      <w:r w:rsidR="00AB7269">
        <w:rPr>
          <w:rStyle w:val="FootnoteReference"/>
        </w:rPr>
        <w:footnoteReference w:id="249"/>
      </w:r>
      <w:r w:rsidR="00BD1E2B">
        <w:t xml:space="preserve">  PG&amp;E states one option is an “under-construction” tab that includes these resources, </w:t>
      </w:r>
      <w:proofErr w:type="gramStart"/>
      <w:r w:rsidR="00BD1E2B">
        <w:t>similar to</w:t>
      </w:r>
      <w:proofErr w:type="gramEnd"/>
      <w:r w:rsidR="00BD1E2B">
        <w:t xml:space="preserve"> how it is done today.</w:t>
      </w:r>
      <w:r w:rsidR="002E5435">
        <w:t xml:space="preserve"> </w:t>
      </w:r>
      <w:r w:rsidR="00B224A9">
        <w:t xml:space="preserve"> </w:t>
      </w:r>
      <w:proofErr w:type="spellStart"/>
      <w:r w:rsidR="00B224A9">
        <w:t>CalCCA</w:t>
      </w:r>
      <w:proofErr w:type="spellEnd"/>
      <w:r w:rsidR="00B224A9">
        <w:t xml:space="preserve"> agrees with this suggestion.</w:t>
      </w:r>
      <w:r w:rsidR="002A1403">
        <w:rPr>
          <w:rStyle w:val="FootnoteReference"/>
        </w:rPr>
        <w:footnoteReference w:id="250"/>
      </w:r>
      <w:r w:rsidR="002E5435">
        <w:t xml:space="preserve"> </w:t>
      </w:r>
      <w:r w:rsidR="00B224A9">
        <w:t xml:space="preserve"> </w:t>
      </w:r>
      <w:r w:rsidRPr="00767F50" w:rsidR="002E5435">
        <w:t xml:space="preserve">The Commission agrees that this is reasonable addition to the </w:t>
      </w:r>
      <w:proofErr w:type="gramStart"/>
      <w:r w:rsidRPr="00767F50" w:rsidR="002E5435">
        <w:t>MRD</w:t>
      </w:r>
      <w:proofErr w:type="gramEnd"/>
      <w:r w:rsidRPr="00767F50" w:rsidR="002E5435">
        <w:t xml:space="preserve"> and the </w:t>
      </w:r>
      <w:r w:rsidRPr="00767F50" w:rsidR="00E02F50">
        <w:t>Appendix</w:t>
      </w:r>
      <w:r w:rsidRPr="00767F50" w:rsidR="002E5435">
        <w:t xml:space="preserve"> has been modified to reflect this.</w:t>
      </w:r>
      <w:r w:rsidR="00FB5602">
        <w:t xml:space="preserve">  </w:t>
      </w:r>
    </w:p>
    <w:p w:rsidR="00F26DBF" w:rsidP="00767F50" w:rsidRDefault="00310317" w14:paraId="0248DE43" w14:textId="1ABDA012">
      <w:pPr>
        <w:pStyle w:val="Standard"/>
      </w:pPr>
      <w:r>
        <w:t xml:space="preserve">SCE recommends that for energy storage systems to populate the MRD, the default assumptions should not be </w:t>
      </w:r>
      <w:r w:rsidR="00B1416C">
        <w:t xml:space="preserve">a </w:t>
      </w:r>
      <w:r>
        <w:t>one-cycle period but multiple cycles.</w:t>
      </w:r>
      <w:r>
        <w:rPr>
          <w:rStyle w:val="FootnoteReference"/>
        </w:rPr>
        <w:footnoteReference w:id="251"/>
      </w:r>
      <w:r>
        <w:t xml:space="preserve">  SCE states that the default understanding should be that they can cycle more than once per day in the CAISO market, unless limited by contractual agreements that are binding on CAISO market operations.</w:t>
      </w:r>
      <w:r w:rsidR="00C6263D">
        <w:t xml:space="preserve"> </w:t>
      </w:r>
      <w:r w:rsidR="00E02F50">
        <w:t xml:space="preserve"> </w:t>
      </w:r>
      <w:proofErr w:type="spellStart"/>
      <w:r w:rsidR="00745E46">
        <w:t>Hydrostor</w:t>
      </w:r>
      <w:proofErr w:type="spellEnd"/>
      <w:r w:rsidR="00745E46">
        <w:t xml:space="preserve"> disagrees and states that it is prudent to allow for </w:t>
      </w:r>
      <w:proofErr w:type="gramStart"/>
      <w:r w:rsidR="00745E46">
        <w:t>single-cycle</w:t>
      </w:r>
      <w:proofErr w:type="gramEnd"/>
      <w:r w:rsidR="00745E46">
        <w:t xml:space="preserve"> counting and</w:t>
      </w:r>
      <w:r w:rsidR="00B1416C">
        <w:t xml:space="preserve"> to</w:t>
      </w:r>
      <w:r w:rsidR="00745E46">
        <w:t xml:space="preserve"> revisit this issue in the future.</w:t>
      </w:r>
      <w:r w:rsidR="00784284">
        <w:rPr>
          <w:rStyle w:val="FootnoteReference"/>
        </w:rPr>
        <w:footnoteReference w:id="252"/>
      </w:r>
      <w:r w:rsidR="00B1416C">
        <w:t xml:space="preserve">  </w:t>
      </w:r>
      <w:r w:rsidR="00E02F50">
        <w:t xml:space="preserve">The Commission </w:t>
      </w:r>
      <w:r w:rsidR="00B1416C">
        <w:t xml:space="preserve">agrees with </w:t>
      </w:r>
      <w:proofErr w:type="spellStart"/>
      <w:r w:rsidR="00B1416C">
        <w:t>Hydrostor</w:t>
      </w:r>
      <w:proofErr w:type="spellEnd"/>
      <w:r w:rsidR="00E02F50">
        <w:t xml:space="preserve"> that it is prudent </w:t>
      </w:r>
      <w:r w:rsidR="00E02F50">
        <w:lastRenderedPageBreak/>
        <w:t>to keep the default assumption for energy storage systems as cycling once per day.  We decline to modify the decision.</w:t>
      </w:r>
    </w:p>
    <w:p w:rsidR="00A74507" w:rsidP="000842C2" w:rsidRDefault="005F0029" w14:paraId="2C24F21B" w14:textId="4626CA68">
      <w:pPr>
        <w:pStyle w:val="Standard"/>
      </w:pPr>
      <w:r>
        <w:t>SCE recommends that for non-resource specific imports, the language be modified to include “every Monday through Saturday excluding NERC holidays” to be consistent with the import products available in the market.</w:t>
      </w:r>
      <w:r w:rsidR="00030252">
        <w:rPr>
          <w:rStyle w:val="FootnoteReference"/>
        </w:rPr>
        <w:footnoteReference w:id="253"/>
      </w:r>
      <w:r w:rsidR="007165EA">
        <w:t xml:space="preserve"> </w:t>
      </w:r>
      <w:r w:rsidR="00B674EA">
        <w:t>This</w:t>
      </w:r>
      <w:r w:rsidR="00F36763">
        <w:t xml:space="preserve"> modification </w:t>
      </w:r>
      <w:r w:rsidR="00B674EA">
        <w:t xml:space="preserve">is </w:t>
      </w:r>
      <w:proofErr w:type="gramStart"/>
      <w:r w:rsidR="00F36763">
        <w:t>reasonable</w:t>
      </w:r>
      <w:proofErr w:type="gramEnd"/>
      <w:r w:rsidR="00F36763">
        <w:t xml:space="preserve"> and the decision has been modified.</w:t>
      </w:r>
    </w:p>
    <w:p w:rsidR="00785848" w:rsidP="00002A7E" w:rsidRDefault="006A2B2B" w14:paraId="124FC071" w14:textId="62D16137">
      <w:pPr>
        <w:pStyle w:val="Standard"/>
      </w:pPr>
      <w:r>
        <w:t>SDG&amp;E comments that the LSE Showing Tool should reflect operational limitations of each resource to ensure enough ramping capability to bridge one hour to the next.</w:t>
      </w:r>
      <w:r>
        <w:rPr>
          <w:rStyle w:val="FootnoteReference"/>
        </w:rPr>
        <w:footnoteReference w:id="254"/>
      </w:r>
      <w:r>
        <w:t xml:space="preserve"> </w:t>
      </w:r>
      <w:r w:rsidR="00FC74AA">
        <w:t xml:space="preserve"> </w:t>
      </w:r>
      <w:r w:rsidR="00BB0E4F">
        <w:t>This modification is not necessary as r</w:t>
      </w:r>
      <w:r w:rsidRPr="008D7713" w:rsidR="00FC74AA">
        <w:t>amping capability will not be reflected in the SOD</w:t>
      </w:r>
      <w:r w:rsidR="000842C2">
        <w:t xml:space="preserve"> framework and these</w:t>
      </w:r>
      <w:r w:rsidRPr="000842C2" w:rsidR="00FC74AA">
        <w:t xml:space="preserve"> resources </w:t>
      </w:r>
      <w:r w:rsidR="000842C2">
        <w:t>will have</w:t>
      </w:r>
      <w:r w:rsidRPr="000842C2" w:rsidR="00FC74AA">
        <w:t xml:space="preserve"> flat profiles</w:t>
      </w:r>
      <w:r w:rsidR="000842C2">
        <w:t>.</w:t>
      </w:r>
      <w:r w:rsidR="00BB0E4F">
        <w:t xml:space="preserve">  </w:t>
      </w:r>
    </w:p>
    <w:p w:rsidR="00947B08" w:rsidP="00947B08" w:rsidRDefault="00947B08" w14:paraId="7113A444" w14:textId="7C98EB7F">
      <w:pPr>
        <w:pStyle w:val="Heading1"/>
      </w:pPr>
      <w:bookmarkStart w:name="_Toc131762416" w:id="78"/>
      <w:r w:rsidRPr="00947B08">
        <w:t>Assignment of Proceeding</w:t>
      </w:r>
      <w:bookmarkEnd w:id="78"/>
    </w:p>
    <w:p w:rsidRPr="00216AF0" w:rsidR="00216AF0" w:rsidP="00947B08" w:rsidRDefault="00947B08" w14:paraId="3E215159" w14:textId="61984D41">
      <w:pPr>
        <w:pStyle w:val="Standard"/>
      </w:pPr>
      <w:r>
        <w:t>President Alice</w:t>
      </w:r>
      <w:r w:rsidR="00F00B2F">
        <w:t> </w:t>
      </w:r>
      <w:r>
        <w:t>Reynolds is the assigned Commissioner and Debbie</w:t>
      </w:r>
      <w:r w:rsidR="00F00B2F">
        <w:t> </w:t>
      </w:r>
      <w:r>
        <w:t>Chiv and Shannon</w:t>
      </w:r>
      <w:r w:rsidR="00F00B2F">
        <w:t> </w:t>
      </w:r>
      <w:r>
        <w:t>O’Rourke are the assigned Administrative</w:t>
      </w:r>
      <w:r w:rsidR="00F00B2F">
        <w:t> </w:t>
      </w:r>
      <w:r>
        <w:t>Law</w:t>
      </w:r>
      <w:r w:rsidR="00F00B2F">
        <w:t> </w:t>
      </w:r>
      <w:r>
        <w:t>Judges in this proceeding.</w:t>
      </w:r>
    </w:p>
    <w:p w:rsidR="005939A5" w:rsidP="005939A5" w:rsidRDefault="005939A5" w14:paraId="2F1249C2" w14:textId="77777777">
      <w:pPr>
        <w:pStyle w:val="Dummy"/>
      </w:pPr>
      <w:bookmarkStart w:name="_Toc8123725" w:id="79"/>
      <w:bookmarkStart w:name="_Toc119415996" w:id="80"/>
      <w:bookmarkStart w:name="_Toc131762417" w:id="81"/>
      <w:r>
        <w:t>Findings of Fact</w:t>
      </w:r>
      <w:bookmarkEnd w:id="79"/>
      <w:bookmarkEnd w:id="80"/>
      <w:bookmarkEnd w:id="81"/>
    </w:p>
    <w:p w:rsidR="007207CB" w:rsidP="00DD3D37" w:rsidRDefault="00DD3D37" w14:paraId="0CE88F06" w14:textId="77777777">
      <w:pPr>
        <w:pStyle w:val="FoF"/>
      </w:pPr>
      <w:r>
        <w:t xml:space="preserve">Energy Division’s proposed process to develop the MRD </w:t>
      </w:r>
      <w:r w:rsidR="007207CB">
        <w:t xml:space="preserve">satisfies the Commission’s direction in D.22-06-050 and </w:t>
      </w:r>
      <w:r>
        <w:t xml:space="preserve">is </w:t>
      </w:r>
      <w:r w:rsidR="007207CB">
        <w:t>appropriate</w:t>
      </w:r>
      <w:r>
        <w:t xml:space="preserve"> for use in the SOD framework.  </w:t>
      </w:r>
    </w:p>
    <w:p w:rsidR="00DD3D37" w:rsidP="00DD3D37" w:rsidRDefault="007207CB" w14:paraId="261D6123" w14:textId="5225BDA0">
      <w:pPr>
        <w:pStyle w:val="FoF"/>
      </w:pPr>
      <w:r>
        <w:t>Publication of</w:t>
      </w:r>
      <w:r w:rsidR="00DD3D37">
        <w:t xml:space="preserve"> the draft MRD to the Commission’s website, request</w:t>
      </w:r>
      <w:r>
        <w:t>ing</w:t>
      </w:r>
      <w:r w:rsidR="00DD3D37">
        <w:t xml:space="preserve"> that generators respond with corrections to the MRD, and solicit</w:t>
      </w:r>
      <w:r>
        <w:t>ing</w:t>
      </w:r>
      <w:r w:rsidR="00DD3D37">
        <w:t xml:space="preserve"> informal feedback from parties</w:t>
      </w:r>
      <w:r>
        <w:t xml:space="preserve"> will ensure accurate representation of resources on the MRD.</w:t>
      </w:r>
    </w:p>
    <w:p w:rsidR="00DD3D37" w:rsidP="00DD3D37" w:rsidRDefault="007207CB" w14:paraId="3B9806E4" w14:textId="7362F84F">
      <w:pPr>
        <w:pStyle w:val="FoF"/>
      </w:pPr>
      <w:r>
        <w:t>Instructing</w:t>
      </w:r>
      <w:r w:rsidR="00DD3D37">
        <w:t xml:space="preserve"> Energy Division to </w:t>
      </w:r>
      <w:r w:rsidR="008E67B0">
        <w:t>modify</w:t>
      </w:r>
      <w:r w:rsidR="00DD3D37">
        <w:t xml:space="preserve"> and implement the MRD, as well as other </w:t>
      </w:r>
      <w:r w:rsidR="008E67B0">
        <w:t xml:space="preserve">adopted </w:t>
      </w:r>
      <w:r w:rsidR="00DD3D37">
        <w:t xml:space="preserve">compliance and verification tools, </w:t>
      </w:r>
      <w:r>
        <w:t xml:space="preserve">will </w:t>
      </w:r>
      <w:r w:rsidR="00DD3D37">
        <w:t xml:space="preserve">ensure consistency with the </w:t>
      </w:r>
      <w:r w:rsidR="00DD3D37">
        <w:lastRenderedPageBreak/>
        <w:t xml:space="preserve">Commission’s </w:t>
      </w:r>
      <w:r w:rsidR="008E67B0">
        <w:t>direction</w:t>
      </w:r>
      <w:r w:rsidR="008B2176">
        <w:t xml:space="preserve"> and ensure orderly implementation of the SOD framework</w:t>
      </w:r>
      <w:r w:rsidR="00DD3D37">
        <w:t>.</w:t>
      </w:r>
    </w:p>
    <w:p w:rsidR="007207CB" w:rsidP="00DD3D37" w:rsidRDefault="00DD3D37" w14:paraId="2D8B8943" w14:textId="77777777">
      <w:pPr>
        <w:pStyle w:val="FoF"/>
      </w:pPr>
      <w:r>
        <w:t xml:space="preserve">SCE’s LSE Showing Tool for </w:t>
      </w:r>
      <w:proofErr w:type="gramStart"/>
      <w:r>
        <w:t>LSEs to use</w:t>
      </w:r>
      <w:proofErr w:type="gramEnd"/>
      <w:r>
        <w:t xml:space="preserve"> to submit their monthly, 24-hour showings to the Commission</w:t>
      </w:r>
      <w:r w:rsidR="007207CB">
        <w:t xml:space="preserve"> satisfies the Commission’s direction in D.22-06-050 and is an appropriate tool for use in the SOD framework</w:t>
      </w:r>
      <w:r>
        <w:t xml:space="preserve">.  </w:t>
      </w:r>
    </w:p>
    <w:p w:rsidR="00DD3D37" w:rsidP="00DD3D37" w:rsidRDefault="00DD3D37" w14:paraId="71E3E822" w14:textId="30F4AB7B">
      <w:pPr>
        <w:pStyle w:val="FoF"/>
      </w:pPr>
      <w:r>
        <w:t xml:space="preserve">CPA’s proposed LSE Showing Tool </w:t>
      </w:r>
      <w:r w:rsidR="007207CB">
        <w:t>to</w:t>
      </w:r>
      <w:r>
        <w:t xml:space="preserve"> determine an LSE’s energy sufficiency to charge all shown energy resources in the aggregate</w:t>
      </w:r>
      <w:r w:rsidR="007207CB">
        <w:t xml:space="preserve"> will better</w:t>
      </w:r>
      <w:r>
        <w:t xml:space="preserve"> simplify the showing process for </w:t>
      </w:r>
      <w:r w:rsidR="007207CB">
        <w:t xml:space="preserve">an </w:t>
      </w:r>
      <w:r>
        <w:t xml:space="preserve">LSE’s storage resources.  </w:t>
      </w:r>
    </w:p>
    <w:p w:rsidR="007207CB" w:rsidP="00DD3D37" w:rsidRDefault="007207CB" w14:paraId="1A35109C" w14:textId="20B8F263">
      <w:pPr>
        <w:pStyle w:val="FoF"/>
      </w:pPr>
      <w:r>
        <w:t>Use of</w:t>
      </w:r>
      <w:r w:rsidR="00DD3D37">
        <w:t xml:space="preserve"> </w:t>
      </w:r>
      <w:r>
        <w:t xml:space="preserve">the </w:t>
      </w:r>
      <w:r w:rsidR="00DD3D37">
        <w:t>monthly peak load ratio for CAM, RMR</w:t>
      </w:r>
      <w:r w:rsidR="008D4123">
        <w:t>, CPE</w:t>
      </w:r>
      <w:r w:rsidR="00DD3D37">
        <w:t xml:space="preserve"> and DR allocations for all 24 slices</w:t>
      </w:r>
      <w:r>
        <w:t xml:space="preserve"> </w:t>
      </w:r>
      <w:r w:rsidR="00DD3D37">
        <w:t xml:space="preserve">is largely consistent with how CAM costs are recovered </w:t>
      </w:r>
      <w:r w:rsidR="00653182">
        <w:t>from</w:t>
      </w:r>
      <w:r w:rsidR="00DD3D37">
        <w:t xml:space="preserve"> customers.  </w:t>
      </w:r>
    </w:p>
    <w:p w:rsidR="00DD3D37" w:rsidP="00DD3D37" w:rsidRDefault="007207CB" w14:paraId="4F4D4342" w14:textId="0F77F880">
      <w:pPr>
        <w:pStyle w:val="FoF"/>
      </w:pPr>
      <w:r>
        <w:t>Allocating</w:t>
      </w:r>
      <w:r w:rsidR="00DD3D37">
        <w:t xml:space="preserve"> CAM resources by resource class</w:t>
      </w:r>
      <w:r>
        <w:t xml:space="preserve"> gives LSEs flexibility to show CAM resources to meet hourly requirements and simplifies allocations and LSE showings.</w:t>
      </w:r>
    </w:p>
    <w:p w:rsidR="00DD3D37" w:rsidP="00DD3D37" w:rsidRDefault="00DD3D37" w14:paraId="665D5CDB" w14:textId="4ED7AF68">
      <w:pPr>
        <w:pStyle w:val="FoF"/>
      </w:pPr>
      <w:r>
        <w:t>In D.22-05-050, the Commission determined that PG&amp;E’s exceedance methodology provided a sufficient means to determine solar and wind profiles that are benchmarked to stressed conditions.  The exceedance levels recommended by PG&amp;E required further development to ensure that the appropriate exceedance levels are benchmarked against a more robust data</w:t>
      </w:r>
      <w:r w:rsidR="004A752E">
        <w:t xml:space="preserve"> </w:t>
      </w:r>
      <w:r>
        <w:t>set.</w:t>
      </w:r>
    </w:p>
    <w:p w:rsidR="00DD3D37" w:rsidP="00DD3D37" w:rsidRDefault="00DD3D37" w14:paraId="26C037C5" w14:textId="1E155268">
      <w:pPr>
        <w:pStyle w:val="FoF"/>
      </w:pPr>
      <w:r>
        <w:t xml:space="preserve">PG&amp;E’s </w:t>
      </w:r>
      <w:r w:rsidR="008E67B0">
        <w:t xml:space="preserve">Top 5 Day </w:t>
      </w:r>
      <w:r>
        <w:t xml:space="preserve">exceedance methodology would result in </w:t>
      </w:r>
      <w:r w:rsidR="00134BDD">
        <w:t xml:space="preserve">an </w:t>
      </w:r>
      <w:r>
        <w:t>accurate approximation of a high-l</w:t>
      </w:r>
      <w:r w:rsidR="00336D84">
        <w:t>o</w:t>
      </w:r>
      <w:r>
        <w:t>ad day profile using historical production values.</w:t>
      </w:r>
      <w:r w:rsidR="002F3CA5">
        <w:t xml:space="preserve">  It is reasonable to add to </w:t>
      </w:r>
      <w:r w:rsidR="008E67B0">
        <w:t>the</w:t>
      </w:r>
      <w:r w:rsidRPr="00CA46DC" w:rsidR="002F3CA5">
        <w:t xml:space="preserve"> Top 5 </w:t>
      </w:r>
      <w:r w:rsidR="00BB4F2C">
        <w:t>D</w:t>
      </w:r>
      <w:r w:rsidRPr="00CA46DC" w:rsidR="002F3CA5">
        <w:t xml:space="preserve">ays data </w:t>
      </w:r>
      <w:r w:rsidR="008E67B0">
        <w:t xml:space="preserve">set </w:t>
      </w:r>
      <w:r w:rsidRPr="00CA46DC" w:rsidR="002F3CA5">
        <w:t>any days on which CAISO called a Flex Alert</w:t>
      </w:r>
      <w:r w:rsidR="0057424A">
        <w:t>, Warning, Stage 1-3 Emergency, or EEA 1-3 condition</w:t>
      </w:r>
      <w:r w:rsidRPr="00CA46DC" w:rsidR="002F3CA5">
        <w:t>.</w:t>
      </w:r>
    </w:p>
    <w:p w:rsidR="00DD3D37" w:rsidP="00DD3D37" w:rsidRDefault="00DD3D37" w14:paraId="37283DDC" w14:textId="7BF585D8">
      <w:pPr>
        <w:pStyle w:val="FoF"/>
      </w:pPr>
      <w:r>
        <w:t>Six years of historical production data, with updates every year</w:t>
      </w:r>
      <w:r w:rsidR="007207CB">
        <w:t>, provides a sufficient</w:t>
      </w:r>
      <w:r>
        <w:t xml:space="preserve"> basis </w:t>
      </w:r>
      <w:r w:rsidR="007207CB">
        <w:t xml:space="preserve">of data </w:t>
      </w:r>
      <w:r>
        <w:t xml:space="preserve">for the exceedance methodology.  </w:t>
      </w:r>
    </w:p>
    <w:p w:rsidRPr="001D7D14" w:rsidR="00DD3D37" w:rsidP="00DD3D37" w:rsidRDefault="00DD3D37" w14:paraId="59B96789" w14:textId="60103EB8">
      <w:pPr>
        <w:pStyle w:val="FoF"/>
      </w:pPr>
      <w:r>
        <w:rPr>
          <w:rFonts w:eastAsia="Times New Roman"/>
          <w:szCs w:val="26"/>
        </w:rPr>
        <w:lastRenderedPageBreak/>
        <w:t xml:space="preserve">EO resources </w:t>
      </w:r>
      <w:r w:rsidR="007207CB">
        <w:rPr>
          <w:rFonts w:eastAsia="Times New Roman"/>
          <w:szCs w:val="26"/>
        </w:rPr>
        <w:t>can</w:t>
      </w:r>
      <w:r>
        <w:rPr>
          <w:rFonts w:eastAsia="Times New Roman"/>
          <w:szCs w:val="26"/>
        </w:rPr>
        <w:t xml:space="preserve"> count towards the storage charging sufficiency requirement if the EO resource is charging on-site storage because on-site generation does not rely on the transmission system to deliver charging capacity to the co-located storage resource.  </w:t>
      </w:r>
    </w:p>
    <w:p w:rsidRPr="001D7D14" w:rsidR="00DD3D37" w:rsidP="00DD3D37" w:rsidRDefault="00B674EA" w14:paraId="26712165" w14:textId="367CA2F8">
      <w:pPr>
        <w:pStyle w:val="FoF"/>
      </w:pPr>
      <w:r>
        <w:t xml:space="preserve">Paired </w:t>
      </w:r>
      <w:r w:rsidR="00DD3D37">
        <w:t xml:space="preserve">components </w:t>
      </w:r>
      <w:r w:rsidR="00312AA0">
        <w:t>can</w:t>
      </w:r>
      <w:r w:rsidR="00DD3D37">
        <w:t xml:space="preserve"> be shown as separate assets on the MRD and LSE showings, </w:t>
      </w:r>
      <w:proofErr w:type="gramStart"/>
      <w:r w:rsidR="00DD3D37">
        <w:t>as long as</w:t>
      </w:r>
      <w:proofErr w:type="gramEnd"/>
      <w:r w:rsidR="00DD3D37">
        <w:t xml:space="preserve"> the total of each component does not exceed the interconnection amount in any hour.</w:t>
      </w:r>
    </w:p>
    <w:p w:rsidRPr="00065279" w:rsidR="00DD3D37" w:rsidP="00DD3D37" w:rsidRDefault="00DD3D37" w14:paraId="5D1AD88F" w14:textId="420B59EF">
      <w:pPr>
        <w:pStyle w:val="FoF"/>
      </w:pPr>
      <w:r>
        <w:rPr>
          <w:rFonts w:eastAsiaTheme="majorEastAsia"/>
        </w:rPr>
        <w:t xml:space="preserve">In D.22-06-050, the Commission stated that </w:t>
      </w:r>
      <w:r>
        <w:rPr>
          <w:szCs w:val="26"/>
        </w:rPr>
        <w:t>i</w:t>
      </w:r>
      <w:r w:rsidRPr="007C5AEE">
        <w:rPr>
          <w:szCs w:val="26"/>
        </w:rPr>
        <w:t xml:space="preserve">f </w:t>
      </w:r>
      <w:r>
        <w:rPr>
          <w:szCs w:val="26"/>
        </w:rPr>
        <w:t xml:space="preserve">a UCAP-light mechanism cannot be developed, </w:t>
      </w:r>
      <w:r w:rsidRPr="2B36F30D">
        <w:t xml:space="preserve">dispatchable resources </w:t>
      </w:r>
      <w:r>
        <w:t>shall</w:t>
      </w:r>
      <w:r w:rsidRPr="2B36F30D">
        <w:t xml:space="preserve"> continue to count at their P</w:t>
      </w:r>
      <w:r w:rsidRPr="1F5088A1">
        <w:rPr>
          <w:rFonts w:eastAsia="Book Antiqua" w:cs="Book Antiqua"/>
          <w:szCs w:val="26"/>
        </w:rPr>
        <w:t>max</w:t>
      </w:r>
      <w:r w:rsidRPr="5F29B1BF">
        <w:rPr>
          <w:rFonts w:eastAsia="Book Antiqua" w:cs="Book Antiqua"/>
          <w:szCs w:val="26"/>
        </w:rPr>
        <w:t xml:space="preserve"> value</w:t>
      </w:r>
      <w:r>
        <w:rPr>
          <w:rFonts w:eastAsia="Book Antiqua" w:cs="Book Antiqua"/>
          <w:szCs w:val="26"/>
        </w:rPr>
        <w:t>,</w:t>
      </w:r>
      <w:r w:rsidRPr="5F29B1BF">
        <w:rPr>
          <w:rFonts w:eastAsia="Book Antiqua" w:cs="Book Antiqua"/>
          <w:szCs w:val="26"/>
        </w:rPr>
        <w:t xml:space="preserve"> as they do today, until</w:t>
      </w:r>
      <w:r w:rsidRPr="7118B04E">
        <w:rPr>
          <w:rFonts w:eastAsia="Book Antiqua" w:cs="Book Antiqua"/>
          <w:szCs w:val="26"/>
        </w:rPr>
        <w:t xml:space="preserve"> a mechanism</w:t>
      </w:r>
      <w:r w:rsidRPr="01785D94">
        <w:rPr>
          <w:rFonts w:eastAsia="Book Antiqua" w:cs="Book Antiqua"/>
          <w:szCs w:val="26"/>
        </w:rPr>
        <w:t xml:space="preserve"> is developed. </w:t>
      </w:r>
      <w:r w:rsidRPr="2B36F30D">
        <w:t xml:space="preserve"> </w:t>
      </w:r>
      <w:r w:rsidR="00312AA0">
        <w:rPr>
          <w:rFonts w:eastAsiaTheme="majorEastAsia"/>
        </w:rPr>
        <w:t>The Working Group did not develop a UCAP-light mechanism.</w:t>
      </w:r>
    </w:p>
    <w:p w:rsidR="00DD3D37" w:rsidP="00DD3D37" w:rsidRDefault="00DD3D37" w14:paraId="69F2E0FB" w14:textId="6A43130D">
      <w:pPr>
        <w:pStyle w:val="FoF"/>
      </w:pPr>
      <w:r>
        <w:t xml:space="preserve">If a contractual agreement permits more than one cycle per day, storage resources </w:t>
      </w:r>
      <w:r w:rsidR="00312AA0">
        <w:t>can</w:t>
      </w:r>
      <w:r>
        <w:t xml:space="preserve"> be allowed to show for multiple cycles per day </w:t>
      </w:r>
      <w:r w:rsidR="00954CAB">
        <w:t>provided that</w:t>
      </w:r>
      <w:r>
        <w:t xml:space="preserve"> the LSE shows sufficient excess energy and time between discharge cycles to charge the battery.  </w:t>
      </w:r>
    </w:p>
    <w:p w:rsidRPr="007B0D91" w:rsidR="00DD3D37" w:rsidP="00DD3D37" w:rsidRDefault="00DD3D37" w14:paraId="25ADE0C4" w14:textId="1B1C093A">
      <w:pPr>
        <w:pStyle w:val="FoF"/>
      </w:pPr>
      <w:r>
        <w:t>In D.22-06-050, the Commission stated that Pmax or UCAP-light (if developed) shall apply to energy storage resources under the 24-hour framework</w:t>
      </w:r>
      <w:r w:rsidRPr="183093EE">
        <w:t xml:space="preserve">. </w:t>
      </w:r>
      <w:r w:rsidRPr="40938A23">
        <w:t xml:space="preserve"> </w:t>
      </w:r>
      <w:r w:rsidR="00954CAB">
        <w:rPr>
          <w:rFonts w:eastAsiaTheme="majorEastAsia"/>
        </w:rPr>
        <w:t>The Working Group did not develop a UCAP-light mechanism.</w:t>
      </w:r>
    </w:p>
    <w:p w:rsidR="00DD3D37" w:rsidP="00DD3D37" w:rsidRDefault="00DD3D37" w14:paraId="1A94820B" w14:textId="7960F1F7">
      <w:pPr>
        <w:pStyle w:val="FoF"/>
      </w:pPr>
      <w:r>
        <w:t xml:space="preserve">Requiring a DR resource to be shown for at least four consecutive hours during the AAH window is important to ensure DR resources are counted during the hours that are most critical for system reliability.  </w:t>
      </w:r>
      <w:r w:rsidR="00312AA0">
        <w:t xml:space="preserve">The value of a DR resource should vary by hour to reflect the capability of DR resources.  </w:t>
      </w:r>
    </w:p>
    <w:p w:rsidR="00DD3D37" w:rsidP="00DD3D37" w:rsidRDefault="00225A85" w14:paraId="4E4D945F" w14:textId="30485717">
      <w:pPr>
        <w:pStyle w:val="FoF"/>
      </w:pPr>
      <w:r>
        <w:t xml:space="preserve">Requiring the hours </w:t>
      </w:r>
      <w:r w:rsidR="00DD3D37">
        <w:t xml:space="preserve">when DR is shown by LSEs </w:t>
      </w:r>
      <w:r>
        <w:t>to</w:t>
      </w:r>
      <w:r w:rsidR="00312AA0">
        <w:t xml:space="preserve"> be</w:t>
      </w:r>
      <w:r w:rsidR="00DD3D37">
        <w:t xml:space="preserve"> the same as the hours that were used in the </w:t>
      </w:r>
      <w:proofErr w:type="spellStart"/>
      <w:proofErr w:type="gramStart"/>
      <w:r w:rsidRPr="00EA12E7" w:rsidR="00DD3D37">
        <w:rPr>
          <w:i/>
          <w:iCs/>
        </w:rPr>
        <w:t>ex ante</w:t>
      </w:r>
      <w:proofErr w:type="spellEnd"/>
      <w:proofErr w:type="gramEnd"/>
      <w:r w:rsidR="00DD3D37">
        <w:t xml:space="preserve"> LIP filing</w:t>
      </w:r>
      <w:r w:rsidR="00312AA0">
        <w:t xml:space="preserve"> avoid</w:t>
      </w:r>
      <w:r>
        <w:t>s</w:t>
      </w:r>
      <w:r w:rsidR="00312AA0">
        <w:t xml:space="preserve"> altering the 24-hour SOD stack and ensuring the sum of the parts equals the whole</w:t>
      </w:r>
      <w:r w:rsidR="00DD3D37">
        <w:t>.</w:t>
      </w:r>
    </w:p>
    <w:p w:rsidRPr="001D7D14" w:rsidR="00DD3D37" w:rsidP="00DD3D37" w:rsidRDefault="00312AA0" w14:paraId="1140FFE5" w14:textId="3672BF3F">
      <w:pPr>
        <w:pStyle w:val="FoF"/>
      </w:pPr>
      <w:r>
        <w:lastRenderedPageBreak/>
        <w:t xml:space="preserve">There is consensus </w:t>
      </w:r>
      <w:r w:rsidR="00AD1EF6">
        <w:t>among</w:t>
      </w:r>
      <w:r>
        <w:t xml:space="preserve"> parties to retain the</w:t>
      </w:r>
      <w:r w:rsidR="00DD3D37">
        <w:t xml:space="preserve"> TL</w:t>
      </w:r>
      <w:r>
        <w:t>F</w:t>
      </w:r>
      <w:r w:rsidR="00DD3D37">
        <w:t xml:space="preserve"> and DLF adders for the </w:t>
      </w:r>
      <w:r w:rsidR="00890BB4">
        <w:t xml:space="preserve">slice-of-day </w:t>
      </w:r>
      <w:r w:rsidR="00DD3D37">
        <w:t xml:space="preserve">test year to apply to the QC of DR.  </w:t>
      </w:r>
    </w:p>
    <w:p w:rsidR="00DD3D37" w:rsidP="00DD3D37" w:rsidRDefault="00DD3D37" w14:paraId="05A5B6F5" w14:textId="1D06B430">
      <w:pPr>
        <w:pStyle w:val="FoF"/>
      </w:pPr>
      <w:r>
        <w:t xml:space="preserve">NRDC’s calibration tool is </w:t>
      </w:r>
      <w:r w:rsidR="00BE3742">
        <w:t xml:space="preserve">an </w:t>
      </w:r>
      <w:r>
        <w:t xml:space="preserve">appropriate </w:t>
      </w:r>
      <w:r w:rsidR="00BE3742">
        <w:t xml:space="preserve">tool </w:t>
      </w:r>
      <w:r>
        <w:t xml:space="preserve">to convert the results of the LOLE study to the SOD framework.  SCE’s calibration tool offers more granularity and precision by incorporating specific limitations of individual resources.  </w:t>
      </w:r>
    </w:p>
    <w:p w:rsidR="00DD3D37" w:rsidP="00DD3D37" w:rsidRDefault="00312AA0" w14:paraId="41688269" w14:textId="1858D48D">
      <w:pPr>
        <w:pStyle w:val="FoF"/>
      </w:pPr>
      <w:r>
        <w:t>R</w:t>
      </w:r>
      <w:r w:rsidR="00DD3D37">
        <w:t>etain</w:t>
      </w:r>
      <w:r w:rsidR="008E67B0">
        <w:t>ing</w:t>
      </w:r>
      <w:r w:rsidR="00DD3D37">
        <w:t xml:space="preserve"> the MCC DR bucket for the </w:t>
      </w:r>
      <w:r w:rsidR="008E67B0">
        <w:t>SOD framework</w:t>
      </w:r>
      <w:r w:rsidR="00DD3D37">
        <w:t xml:space="preserve"> </w:t>
      </w:r>
      <w:r w:rsidR="008F14A2">
        <w:rPr>
          <w:rFonts w:eastAsia="Times New Roman"/>
        </w:rPr>
        <w:t xml:space="preserve">is necessary to ensure that use-limited resources are available throughout the compliance month and not over-relied upon in meeting the SOD requirements.  </w:t>
      </w:r>
      <w:r w:rsidR="00B12DF6">
        <w:t>Applying the</w:t>
      </w:r>
      <w:r w:rsidR="00DD3D37">
        <w:t xml:space="preserve"> DR bucket limit equally to each slice in the 24-hour framework avoid</w:t>
      </w:r>
      <w:r w:rsidR="00B12DF6">
        <w:t>s</w:t>
      </w:r>
      <w:r w:rsidR="00DD3D37">
        <w:t xml:space="preserve"> over-reliance o</w:t>
      </w:r>
      <w:r w:rsidR="00B12DF6">
        <w:t>n</w:t>
      </w:r>
      <w:r w:rsidR="00DD3D37">
        <w:t xml:space="preserve"> DR resources in any one slice. </w:t>
      </w:r>
    </w:p>
    <w:p w:rsidRPr="001D7D14" w:rsidR="00DD3D37" w:rsidP="00DD3D37" w:rsidRDefault="00DD3D37" w14:paraId="615FD2D4" w14:textId="2E8214AD">
      <w:pPr>
        <w:pStyle w:val="FoF"/>
      </w:pPr>
      <w:r>
        <w:rPr>
          <w:rFonts w:eastAsia="Times New Roman"/>
        </w:rPr>
        <w:t xml:space="preserve">Modifying the import RA rules </w:t>
      </w:r>
      <w:r w:rsidR="008F14A2">
        <w:rPr>
          <w:rFonts w:eastAsia="Times New Roman"/>
        </w:rPr>
        <w:t>adopted in</w:t>
      </w:r>
      <w:r>
        <w:rPr>
          <w:rFonts w:eastAsia="Times New Roman"/>
        </w:rPr>
        <w:t xml:space="preserve"> D.20-06-028 to replace reference to the MCC bucket’s current limitation ensure</w:t>
      </w:r>
      <w:r w:rsidR="00B12DF6">
        <w:rPr>
          <w:rFonts w:eastAsia="Times New Roman"/>
        </w:rPr>
        <w:t>s</w:t>
      </w:r>
      <w:r>
        <w:rPr>
          <w:rFonts w:eastAsia="Times New Roman"/>
        </w:rPr>
        <w:t xml:space="preserve"> that import resources maintain the limitation established by the MCC buckets.  </w:t>
      </w:r>
    </w:p>
    <w:p w:rsidRPr="00935723" w:rsidR="00DD3D37" w:rsidP="00DD3D37" w:rsidRDefault="00DD3D37" w14:paraId="3428034E" w14:textId="5547BD66">
      <w:pPr>
        <w:pStyle w:val="FoF"/>
      </w:pPr>
      <w:r>
        <w:t xml:space="preserve">With the modification to the import rules and retention of the </w:t>
      </w:r>
      <w:r w:rsidR="008E67B0">
        <w:t xml:space="preserve">MCC </w:t>
      </w:r>
      <w:r>
        <w:t xml:space="preserve">DR bucket, the concerns with removing the MCC buckets have been addressed and </w:t>
      </w:r>
      <w:r w:rsidR="008F14A2">
        <w:t>there is no need to retain</w:t>
      </w:r>
      <w:r>
        <w:t xml:space="preserve"> MCC buckets 1-</w:t>
      </w:r>
      <w:r w:rsidRPr="00935723">
        <w:t>4</w:t>
      </w:r>
      <w:r w:rsidRPr="00935723" w:rsidR="0010545D">
        <w:t xml:space="preserve"> for the SOD framework</w:t>
      </w:r>
      <w:r w:rsidRPr="00935723">
        <w:t>.</w:t>
      </w:r>
    </w:p>
    <w:p w:rsidRPr="00935723" w:rsidR="0010545D" w:rsidP="0010545D" w:rsidRDefault="0010545D" w14:paraId="2A5659A7" w14:textId="6DEC0D6D">
      <w:pPr>
        <w:pStyle w:val="FoF"/>
      </w:pPr>
      <w:r w:rsidRPr="00935723">
        <w:t xml:space="preserve">For the 2024 compliance year, it is reasonable to allow energy storage resources to be included in MCC bucket 4 </w:t>
      </w:r>
      <w:r w:rsidRPr="00935723">
        <w:rPr>
          <w:rFonts w:cs="TimesNewRomanPSMT"/>
          <w:color w:val="000000"/>
          <w:szCs w:val="26"/>
        </w:rPr>
        <w:t>provided</w:t>
      </w:r>
      <w:r w:rsidRPr="00CA46DC" w:rsidR="00AD1EF6">
        <w:rPr>
          <w:rFonts w:cs="TimesNewRomanPSMT"/>
          <w:color w:val="000000"/>
          <w:szCs w:val="26"/>
        </w:rPr>
        <w:t xml:space="preserve"> that</w:t>
      </w:r>
      <w:r w:rsidRPr="00935723">
        <w:rPr>
          <w:rFonts w:cs="TimesNewRomanPSMT"/>
          <w:color w:val="000000"/>
          <w:szCs w:val="26"/>
        </w:rPr>
        <w:t xml:space="preserve"> the LSE shows sufficient charging capacity.</w:t>
      </w:r>
    </w:p>
    <w:p w:rsidR="00DD3D37" w:rsidP="00DD3D37" w:rsidRDefault="00B12DF6" w14:paraId="7E139D93" w14:textId="07789777">
      <w:pPr>
        <w:pStyle w:val="FoF"/>
      </w:pPr>
      <w:r>
        <w:t>Limiting s</w:t>
      </w:r>
      <w:r w:rsidRPr="00AD20B5" w:rsidR="00DD3D37">
        <w:t xml:space="preserve">howings for the </w:t>
      </w:r>
      <w:r w:rsidR="00DD3D37">
        <w:t xml:space="preserve">2024 </w:t>
      </w:r>
      <w:r w:rsidR="00336D84">
        <w:t xml:space="preserve">SOD </w:t>
      </w:r>
      <w:r w:rsidRPr="00AD20B5" w:rsidR="00DD3D37">
        <w:t>test year to a year-ahead compliance showing and a sample of month-ahead compliance showings</w:t>
      </w:r>
      <w:r>
        <w:t xml:space="preserve"> reduces the burden on </w:t>
      </w:r>
      <w:r w:rsidRPr="00AD20B5" w:rsidR="00DD3D37">
        <w:t xml:space="preserve">LSEs </w:t>
      </w:r>
      <w:r w:rsidR="00DD3D37">
        <w:t>(</w:t>
      </w:r>
      <w:r w:rsidRPr="00AD20B5" w:rsidR="00DD3D37">
        <w:t>and Energy Division</w:t>
      </w:r>
      <w:r w:rsidR="00DD3D37">
        <w:t>)</w:t>
      </w:r>
      <w:r w:rsidRPr="00AD20B5" w:rsidR="00DD3D37">
        <w:t xml:space="preserve"> </w:t>
      </w:r>
      <w:r w:rsidR="00412D7B">
        <w:t>that are</w:t>
      </w:r>
      <w:r w:rsidR="00DD3D37">
        <w:t xml:space="preserve"> simultaneously comply</w:t>
      </w:r>
      <w:r>
        <w:t>ing</w:t>
      </w:r>
      <w:r w:rsidR="00DD3D37">
        <w:t xml:space="preserve"> with</w:t>
      </w:r>
      <w:r w:rsidRPr="00AD20B5" w:rsidR="00DD3D37">
        <w:t xml:space="preserve"> </w:t>
      </w:r>
      <w:r w:rsidR="00DD3D37">
        <w:t xml:space="preserve">the </w:t>
      </w:r>
      <w:r w:rsidRPr="00AD20B5" w:rsidR="00DD3D37">
        <w:t xml:space="preserve">current RA </w:t>
      </w:r>
      <w:r w:rsidR="00DD3D37">
        <w:t>requirements and showings</w:t>
      </w:r>
      <w:r w:rsidRPr="00AD20B5" w:rsidR="00DD3D37">
        <w:t xml:space="preserve">.  </w:t>
      </w:r>
    </w:p>
    <w:p w:rsidR="00DD3D37" w:rsidP="00DD3D37" w:rsidRDefault="00DD3D37" w14:paraId="4CD4D3BD" w14:textId="5EA00F52">
      <w:pPr>
        <w:pStyle w:val="FoF"/>
      </w:pPr>
      <w:r>
        <w:t xml:space="preserve">It is important to align the Commission’s and CAISO’s compliance processes at the coincident peak hour to the extent possible.  </w:t>
      </w:r>
    </w:p>
    <w:p w:rsidRPr="004403D8" w:rsidR="00986473" w:rsidP="00986473" w:rsidRDefault="00986473" w14:paraId="68C45046" w14:textId="6B1F9C57">
      <w:pPr>
        <w:pStyle w:val="FoF"/>
      </w:pPr>
      <w:r w:rsidRPr="004403D8">
        <w:lastRenderedPageBreak/>
        <w:t xml:space="preserve">Applying </w:t>
      </w:r>
      <w:r w:rsidR="00175170">
        <w:t>the greater of the peak hour value and a very small non-zero value if the peak hour is zero</w:t>
      </w:r>
      <w:r w:rsidRPr="004403D8">
        <w:t xml:space="preserve"> balances CAISO’s need for a non-zero </w:t>
      </w:r>
      <w:r w:rsidR="00954CAB">
        <w:t xml:space="preserve">QC </w:t>
      </w:r>
      <w:r w:rsidRPr="004403D8">
        <w:t xml:space="preserve">value with the transition from the current RA program to the SOD framework.  </w:t>
      </w:r>
    </w:p>
    <w:p w:rsidR="00657633" w:rsidP="00DD3D37" w:rsidRDefault="00657633" w14:paraId="7781400E" w14:textId="66F53F10">
      <w:pPr>
        <w:pStyle w:val="FoF"/>
      </w:pPr>
      <w:r>
        <w:t xml:space="preserve">To bring the new RA framework to full implementation, significant preparations before and during the 2024 test year are required, including development and refinement of the </w:t>
      </w:r>
      <w:proofErr w:type="gramStart"/>
      <w:r>
        <w:t>compliance</w:t>
      </w:r>
      <w:proofErr w:type="gramEnd"/>
      <w:r>
        <w:t xml:space="preserve"> and showing tools, analysis and evaluation of LSEs’ compliance year-ahead and month-ahead showings, analysis and evaluation of the SOD rules and process, and development of a compliance filing portal and external facing user interface.  </w:t>
      </w:r>
    </w:p>
    <w:p w:rsidR="00657633" w:rsidP="00DD3D37" w:rsidRDefault="00657633" w14:paraId="69812B6A" w14:textId="38EE5482">
      <w:pPr>
        <w:pStyle w:val="FoF"/>
      </w:pPr>
      <w:r>
        <w:rPr>
          <w:szCs w:val="26"/>
        </w:rPr>
        <w:t>The California Legislature’s Annual Budget Act gives the Commission certain specific and limited ongoing reimbursable expenditure authority.  Prior to exercising this authority, the Commission must issue a decision that identifies the contracting activities to be undertaken by the Commission, and the costs subject to reimbursement by utility companies.</w:t>
      </w:r>
    </w:p>
    <w:p w:rsidR="005939A5" w:rsidP="005939A5" w:rsidRDefault="005939A5" w14:paraId="4A76BDE8" w14:textId="03B13E7F">
      <w:pPr>
        <w:pStyle w:val="Dummy"/>
      </w:pPr>
      <w:bookmarkStart w:name="_Toc8123726" w:id="82"/>
      <w:bookmarkStart w:name="_Toc119415997" w:id="83"/>
      <w:bookmarkStart w:name="_Toc131762418" w:id="84"/>
      <w:r>
        <w:t>Conclusions of Law</w:t>
      </w:r>
      <w:bookmarkEnd w:id="82"/>
      <w:bookmarkEnd w:id="83"/>
      <w:bookmarkEnd w:id="84"/>
    </w:p>
    <w:p w:rsidR="00DD3D37" w:rsidP="00DD3D37" w:rsidRDefault="00DD3D37" w14:paraId="58D246FF" w14:textId="2BB9F21C">
      <w:pPr>
        <w:pStyle w:val="CoL"/>
      </w:pPr>
      <w:r>
        <w:t xml:space="preserve">Energy Division’s proposed process to develop the MRD </w:t>
      </w:r>
      <w:r w:rsidR="000D2419">
        <w:t xml:space="preserve">is reasonable and </w:t>
      </w:r>
      <w:r>
        <w:t xml:space="preserve">should be adopted for use with the SOD framework.  </w:t>
      </w:r>
    </w:p>
    <w:p w:rsidR="00087A26" w:rsidP="0051615E" w:rsidRDefault="00DD3D37" w14:paraId="7161E870" w14:textId="77C41823">
      <w:pPr>
        <w:pStyle w:val="CoL"/>
      </w:pPr>
      <w:r>
        <w:t xml:space="preserve">Energy Division should be authorized to </w:t>
      </w:r>
      <w:r w:rsidR="00087A26">
        <w:t>modify</w:t>
      </w:r>
      <w:r>
        <w:t xml:space="preserve"> and implement the compliance and verification tools</w:t>
      </w:r>
      <w:r w:rsidR="0051615E">
        <w:t xml:space="preserve"> adopted</w:t>
      </w:r>
      <w:r>
        <w:t xml:space="preserve"> for use in the SOD framework</w:t>
      </w:r>
      <w:r w:rsidR="0051615E">
        <w:t xml:space="preserve">, </w:t>
      </w:r>
      <w:r w:rsidRPr="00323C77" w:rsidR="0051615E">
        <w:t xml:space="preserve">and to </w:t>
      </w:r>
      <w:r w:rsidRPr="00C62B15" w:rsidR="0051615E">
        <w:t>modify</w:t>
      </w:r>
      <w:r w:rsidRPr="00323C77" w:rsidR="0051615E">
        <w:t xml:space="preserve"> </w:t>
      </w:r>
      <w:r w:rsidRPr="00C62B15" w:rsidR="0051615E">
        <w:t xml:space="preserve">and implement </w:t>
      </w:r>
      <w:r w:rsidRPr="00323C77" w:rsidR="0051615E">
        <w:t>instructions and additional filing procedures</w:t>
      </w:r>
      <w:r>
        <w:t>.</w:t>
      </w:r>
    </w:p>
    <w:p w:rsidR="00DD3D37" w:rsidP="00DD3D37" w:rsidRDefault="00DD3D37" w14:paraId="4936F8EF" w14:textId="45044F50">
      <w:pPr>
        <w:pStyle w:val="CoL"/>
      </w:pPr>
      <w:r>
        <w:t xml:space="preserve">SCE’s LSE Showing Tool approach </w:t>
      </w:r>
      <w:r w:rsidR="000D2419">
        <w:t xml:space="preserve">is reasonable and </w:t>
      </w:r>
      <w:r>
        <w:t xml:space="preserve">should be adopted, with the modification that CPA’s energy sufficiency charge mechanism should be incorporated into SCE’s </w:t>
      </w:r>
      <w:r w:rsidR="00F63ED7">
        <w:t>approach, to the extent possible</w:t>
      </w:r>
      <w:r>
        <w:t xml:space="preserve">.  </w:t>
      </w:r>
    </w:p>
    <w:p w:rsidR="00DD3D37" w:rsidP="00DD3D37" w:rsidRDefault="00DD3D37" w14:paraId="6DD2FD88" w14:textId="17F935AC">
      <w:pPr>
        <w:pStyle w:val="CoL"/>
      </w:pPr>
      <w:r>
        <w:t xml:space="preserve">CAM resources should be allocated by resource class and monthly peak load ratio should be used for CAM, RMR, </w:t>
      </w:r>
      <w:r w:rsidR="008D4123">
        <w:t xml:space="preserve">CPE, </w:t>
      </w:r>
      <w:r>
        <w:t>and DR allocations for all 24 slices.</w:t>
      </w:r>
    </w:p>
    <w:p w:rsidR="00DD3D37" w:rsidP="00DD3D37" w:rsidRDefault="000870C6" w14:paraId="52554211" w14:textId="24EC4F6E">
      <w:pPr>
        <w:pStyle w:val="CoL"/>
      </w:pPr>
      <w:r>
        <w:lastRenderedPageBreak/>
        <w:t>PG&amp;E’s Top 5 Day</w:t>
      </w:r>
      <w:r w:rsidR="00DD3D37">
        <w:t xml:space="preserve"> approach </w:t>
      </w:r>
      <w:r w:rsidR="000D2419">
        <w:t xml:space="preserve">is appropriate and </w:t>
      </w:r>
      <w:r w:rsidR="00DD3D37">
        <w:t>should be adopted as the exceedance methodology to determine profiles for solar and wind resources under the 24-hour SOD framework.</w:t>
      </w:r>
      <w:r w:rsidR="002F3CA5">
        <w:t xml:space="preserve">  Any days</w:t>
      </w:r>
      <w:r w:rsidRPr="00CA46DC" w:rsidR="002F3CA5">
        <w:t xml:space="preserve"> on which CAISO called a Flex Alert</w:t>
      </w:r>
      <w:r w:rsidR="0057424A">
        <w:t xml:space="preserve">, Warning, Stage 1-3 Emergency, or EEA 1-3 condition </w:t>
      </w:r>
      <w:r w:rsidR="002F3CA5">
        <w:t>should be added to PG&amp;E’s Top 5 Days data set</w:t>
      </w:r>
      <w:r w:rsidRPr="00CA46DC" w:rsidR="002F3CA5">
        <w:t>.</w:t>
      </w:r>
    </w:p>
    <w:p w:rsidR="00DD3D37" w:rsidP="00DD3D37" w:rsidRDefault="00DD3D37" w14:paraId="2BD4632A" w14:textId="77777777">
      <w:pPr>
        <w:pStyle w:val="CoL"/>
      </w:pPr>
      <w:r>
        <w:t>An EO resource should be eligible to count towards the storage charging sufficiency requirement if the EO resource is charging on-site storage.</w:t>
      </w:r>
    </w:p>
    <w:p w:rsidR="00DD3D37" w:rsidP="00DD3D37" w:rsidRDefault="00DD3D37" w14:paraId="0DED05B2" w14:textId="77777777">
      <w:pPr>
        <w:pStyle w:val="CoL"/>
      </w:pPr>
      <w:r>
        <w:t>D</w:t>
      </w:r>
      <w:r w:rsidRPr="2B36F30D">
        <w:t xml:space="preserve">ispatchable resources </w:t>
      </w:r>
      <w:r>
        <w:t>should</w:t>
      </w:r>
      <w:r w:rsidRPr="2B36F30D">
        <w:t xml:space="preserve"> continue to count at their P</w:t>
      </w:r>
      <w:r w:rsidRPr="1F5088A1">
        <w:rPr>
          <w:rFonts w:eastAsia="Book Antiqua" w:cs="Book Antiqua"/>
          <w:szCs w:val="26"/>
        </w:rPr>
        <w:t>max</w:t>
      </w:r>
      <w:r w:rsidRPr="5F29B1BF">
        <w:rPr>
          <w:rFonts w:eastAsia="Book Antiqua" w:cs="Book Antiqua"/>
          <w:szCs w:val="26"/>
        </w:rPr>
        <w:t xml:space="preserve"> value</w:t>
      </w:r>
      <w:r w:rsidRPr="01785D94">
        <w:rPr>
          <w:rFonts w:eastAsia="Book Antiqua" w:cs="Book Antiqua"/>
          <w:szCs w:val="26"/>
        </w:rPr>
        <w:t xml:space="preserve">. </w:t>
      </w:r>
      <w:r w:rsidRPr="2B36F30D">
        <w:t xml:space="preserve"> </w:t>
      </w:r>
    </w:p>
    <w:p w:rsidR="00DD3D37" w:rsidP="00DD3D37" w:rsidRDefault="00DD3D37" w14:paraId="5900436C" w14:textId="77777777">
      <w:pPr>
        <w:pStyle w:val="CoL"/>
      </w:pPr>
      <w:r>
        <w:t xml:space="preserve">Storage resources should be allowed to show for multiple cycles per day so long as the LSE shows sufficient excess energy and time between discharge cycles to charge the battery.  </w:t>
      </w:r>
    </w:p>
    <w:p w:rsidR="00DD3D37" w:rsidP="00DD3D37" w:rsidRDefault="00DD3D37" w14:paraId="7A276431" w14:textId="77777777">
      <w:pPr>
        <w:pStyle w:val="CoL"/>
      </w:pPr>
      <w:r>
        <w:t>Energy storage resources should continue to count at their Pmax value.</w:t>
      </w:r>
    </w:p>
    <w:p w:rsidRPr="001D7D14" w:rsidR="00DD3D37" w:rsidP="00DD3D37" w:rsidRDefault="00DD3D37" w14:paraId="543BA376" w14:textId="5B27AA50">
      <w:pPr>
        <w:pStyle w:val="CoL"/>
      </w:pPr>
      <w:r>
        <w:t xml:space="preserve">For the 2024 test year, DR resources should be shown for four consecutive hours of </w:t>
      </w:r>
      <w:r w:rsidR="00EB6DFA">
        <w:t>the AAH window</w:t>
      </w:r>
      <w:r>
        <w:t xml:space="preserve">, unless required by contract or tariff to be capable of </w:t>
      </w:r>
      <w:r>
        <w:rPr>
          <w:rFonts w:eastAsia="Times New Roman"/>
        </w:rPr>
        <w:t xml:space="preserve">responding to longer dispatches, in which case the shown hours must include </w:t>
      </w:r>
      <w:proofErr w:type="gramStart"/>
      <w:r w:rsidR="00F52193">
        <w:rPr>
          <w:rFonts w:eastAsia="Times New Roman"/>
        </w:rPr>
        <w:t>all of</w:t>
      </w:r>
      <w:proofErr w:type="gramEnd"/>
      <w:r w:rsidR="00F52193">
        <w:rPr>
          <w:rFonts w:eastAsia="Times New Roman"/>
        </w:rPr>
        <w:t xml:space="preserve"> </w:t>
      </w:r>
      <w:r w:rsidR="00EB6DFA">
        <w:rPr>
          <w:rFonts w:eastAsia="Times New Roman"/>
        </w:rPr>
        <w:t>the AAH window</w:t>
      </w:r>
      <w:r>
        <w:rPr>
          <w:rFonts w:eastAsia="Times New Roman"/>
        </w:rPr>
        <w:t xml:space="preserve">.  The value of DR resources should vary by hour based on the resource’s capability on the worst day of the month under the 1-in-2 planning framework.  </w:t>
      </w:r>
    </w:p>
    <w:p w:rsidR="007003BE" w:rsidP="007003BE" w:rsidRDefault="007003BE" w14:paraId="37B5E18E" w14:textId="1BBDA352">
      <w:pPr>
        <w:pStyle w:val="CoL"/>
      </w:pPr>
      <w:r>
        <w:t>The TLF and DLF adders should be retained for the test year</w:t>
      </w:r>
      <w:r w:rsidR="001559DF">
        <w:t>.</w:t>
      </w:r>
    </w:p>
    <w:p w:rsidR="007003BE" w:rsidP="007003BE" w:rsidRDefault="007003BE" w14:paraId="579ADC67" w14:textId="60580494">
      <w:pPr>
        <w:pStyle w:val="CoL"/>
      </w:pPr>
      <w:r>
        <w:t xml:space="preserve">NRDC’s </w:t>
      </w:r>
      <w:r w:rsidR="00F841A4">
        <w:t xml:space="preserve">and SCE’s </w:t>
      </w:r>
      <w:r>
        <w:t>calibration tool</w:t>
      </w:r>
      <w:r w:rsidR="00F841A4">
        <w:t>s</w:t>
      </w:r>
      <w:r w:rsidR="000D2419">
        <w:t xml:space="preserve"> </w:t>
      </w:r>
      <w:r w:rsidR="00F841A4">
        <w:t xml:space="preserve">are </w:t>
      </w:r>
      <w:r w:rsidR="000D2419">
        <w:t>reasonable and</w:t>
      </w:r>
      <w:r>
        <w:t xml:space="preserve"> should be </w:t>
      </w:r>
      <w:r w:rsidR="00F841A4">
        <w:t xml:space="preserve">integrated by </w:t>
      </w:r>
      <w:proofErr w:type="gramStart"/>
      <w:r w:rsidR="00F841A4">
        <w:t>Energy</w:t>
      </w:r>
      <w:proofErr w:type="gramEnd"/>
      <w:r w:rsidR="00F841A4">
        <w:t xml:space="preserve"> Division, to the extent possible</w:t>
      </w:r>
      <w:r>
        <w:t xml:space="preserve">. </w:t>
      </w:r>
    </w:p>
    <w:p w:rsidR="007003BE" w:rsidP="007003BE" w:rsidRDefault="007003BE" w14:paraId="6B0630C2" w14:textId="7108D282">
      <w:pPr>
        <w:pStyle w:val="CoL"/>
      </w:pPr>
      <w:r>
        <w:t xml:space="preserve">The MCC DR bucket should be retained </w:t>
      </w:r>
      <w:r w:rsidRPr="00935723">
        <w:t xml:space="preserve">for the </w:t>
      </w:r>
      <w:r w:rsidRPr="00935723" w:rsidR="00AD1EF6">
        <w:t>SOD framework</w:t>
      </w:r>
      <w:r w:rsidRPr="00935723">
        <w:t>.</w:t>
      </w:r>
      <w:r>
        <w:t xml:space="preserve">  The </w:t>
      </w:r>
      <w:r>
        <w:rPr>
          <w:rFonts w:eastAsia="Times New Roman"/>
        </w:rPr>
        <w:t xml:space="preserve">status quo methodology </w:t>
      </w:r>
      <w:r w:rsidR="007072F3">
        <w:rPr>
          <w:rFonts w:eastAsia="Times New Roman"/>
        </w:rPr>
        <w:t>should be used to</w:t>
      </w:r>
      <w:r>
        <w:rPr>
          <w:rFonts w:eastAsia="Times New Roman"/>
        </w:rPr>
        <w:t xml:space="preserve"> the value of the MCC </w:t>
      </w:r>
      <w:r w:rsidR="007072F3">
        <w:rPr>
          <w:rFonts w:eastAsia="Times New Roman"/>
        </w:rPr>
        <w:t xml:space="preserve">DR </w:t>
      </w:r>
      <w:r>
        <w:rPr>
          <w:rFonts w:eastAsia="Times New Roman"/>
        </w:rPr>
        <w:t xml:space="preserve">bucket limit.  </w:t>
      </w:r>
      <w:r>
        <w:t xml:space="preserve"> </w:t>
      </w:r>
    </w:p>
    <w:p w:rsidRPr="001D7D14" w:rsidR="007003BE" w:rsidP="007003BE" w:rsidRDefault="007003BE" w14:paraId="67897E68" w14:textId="346A3DE8">
      <w:pPr>
        <w:pStyle w:val="CoL"/>
      </w:pPr>
      <w:r>
        <w:t xml:space="preserve">The import RA rules adopted in D.20-06-028 should be modified to replace “consistent with the </w:t>
      </w:r>
      <w:r>
        <w:rPr>
          <w:rFonts w:eastAsia="Times New Roman"/>
        </w:rPr>
        <w:t xml:space="preserve">Maximum Cumulative Capacity buckets” with “every </w:t>
      </w:r>
      <w:r>
        <w:rPr>
          <w:rFonts w:eastAsia="Times New Roman"/>
        </w:rPr>
        <w:lastRenderedPageBreak/>
        <w:t xml:space="preserve">Monday </w:t>
      </w:r>
      <w:r w:rsidR="00681313">
        <w:rPr>
          <w:rFonts w:eastAsia="Times New Roman"/>
        </w:rPr>
        <w:t>through</w:t>
      </w:r>
      <w:r>
        <w:rPr>
          <w:rFonts w:eastAsia="Times New Roman"/>
        </w:rPr>
        <w:t xml:space="preserve"> Saturday</w:t>
      </w:r>
      <w:r w:rsidR="00504A3C">
        <w:rPr>
          <w:rFonts w:eastAsia="Times New Roman"/>
        </w:rPr>
        <w:t xml:space="preserve"> excluding NERC holidays</w:t>
      </w:r>
      <w:r>
        <w:rPr>
          <w:rFonts w:eastAsia="Times New Roman"/>
        </w:rPr>
        <w:t>” to ensure consistency with the current RA import rules.</w:t>
      </w:r>
    </w:p>
    <w:p w:rsidRPr="00935723" w:rsidR="007003BE" w:rsidP="007003BE" w:rsidRDefault="000D2419" w14:paraId="20C34668" w14:textId="324F49EB">
      <w:pPr>
        <w:pStyle w:val="NoSpacing"/>
        <w:numPr>
          <w:ilvl w:val="0"/>
          <w:numId w:val="4"/>
        </w:numPr>
        <w:spacing w:after="0" w:line="360" w:lineRule="auto"/>
        <w:ind w:firstLine="547"/>
        <w:contextualSpacing w:val="0"/>
      </w:pPr>
      <w:r>
        <w:t xml:space="preserve">The </w:t>
      </w:r>
      <w:r w:rsidR="007003BE">
        <w:t xml:space="preserve">MCC buckets </w:t>
      </w:r>
      <w:r w:rsidR="00A61F5B">
        <w:t xml:space="preserve">1-4 </w:t>
      </w:r>
      <w:r w:rsidR="007003BE">
        <w:t xml:space="preserve">should </w:t>
      </w:r>
      <w:r w:rsidRPr="00935723" w:rsidR="0010545D">
        <w:t>not apply to</w:t>
      </w:r>
      <w:r w:rsidRPr="00935723" w:rsidR="007003BE">
        <w:t xml:space="preserve"> </w:t>
      </w:r>
      <w:r w:rsidRPr="00935723" w:rsidR="0010545D">
        <w:t>the SOD framework</w:t>
      </w:r>
      <w:r w:rsidRPr="00935723" w:rsidR="007003BE">
        <w:t>.</w:t>
      </w:r>
    </w:p>
    <w:p w:rsidR="0010545D" w:rsidP="007003BE" w:rsidRDefault="0010545D" w14:paraId="079EB639" w14:textId="5A717710">
      <w:pPr>
        <w:pStyle w:val="NoSpacing"/>
        <w:numPr>
          <w:ilvl w:val="0"/>
          <w:numId w:val="4"/>
        </w:numPr>
        <w:spacing w:after="0" w:line="360" w:lineRule="auto"/>
        <w:ind w:firstLine="547"/>
        <w:contextualSpacing w:val="0"/>
      </w:pPr>
      <w:r>
        <w:t xml:space="preserve">Standalone energy storage </w:t>
      </w:r>
      <w:r w:rsidR="00F63ED7">
        <w:t>may</w:t>
      </w:r>
      <w:r>
        <w:t xml:space="preserve"> be included in MCC bucket 4 for </w:t>
      </w:r>
      <w:r w:rsidR="007072F3">
        <w:t xml:space="preserve">the </w:t>
      </w:r>
      <w:r>
        <w:t xml:space="preserve">2024 </w:t>
      </w:r>
      <w:r w:rsidR="007072F3">
        <w:t xml:space="preserve">RA year, </w:t>
      </w:r>
      <w:r>
        <w:t xml:space="preserve">provided that </w:t>
      </w:r>
      <w:r w:rsidR="007072F3">
        <w:t>an</w:t>
      </w:r>
      <w:r>
        <w:t xml:space="preserve"> LSE demonstrates sufficient charging capacity.</w:t>
      </w:r>
    </w:p>
    <w:p w:rsidR="007003BE" w:rsidP="007003BE" w:rsidRDefault="007003BE" w14:paraId="7E70C976" w14:textId="77777777">
      <w:pPr>
        <w:pStyle w:val="NoSpacing"/>
        <w:numPr>
          <w:ilvl w:val="0"/>
          <w:numId w:val="4"/>
        </w:numPr>
        <w:spacing w:after="0" w:line="360" w:lineRule="auto"/>
        <w:ind w:firstLine="547"/>
        <w:contextualSpacing w:val="0"/>
      </w:pPr>
      <w:r>
        <w:t>The year-ahead showing for the test year should be submitted on November 30.  M</w:t>
      </w:r>
      <w:r w:rsidRPr="00AD20B5">
        <w:t>onth-ahead compliance showings</w:t>
      </w:r>
      <w:r>
        <w:t xml:space="preserve"> should be limited to</w:t>
      </w:r>
      <w:r w:rsidRPr="00AD20B5">
        <w:t xml:space="preserve"> March, June, and September.  </w:t>
      </w:r>
    </w:p>
    <w:p w:rsidRPr="00CA46DC" w:rsidR="00986473" w:rsidP="00F63ED7" w:rsidRDefault="007003BE" w14:paraId="2FE835F1" w14:textId="2BB47ADB">
      <w:pPr>
        <w:pStyle w:val="NoSpacing"/>
        <w:numPr>
          <w:ilvl w:val="0"/>
          <w:numId w:val="4"/>
        </w:numPr>
        <w:spacing w:after="0" w:line="360" w:lineRule="auto"/>
        <w:ind w:firstLine="547"/>
        <w:contextualSpacing w:val="0"/>
      </w:pPr>
      <w:r>
        <w:t>The Commission should provide CAISO with (1) m</w:t>
      </w:r>
      <w:r w:rsidRPr="001D7D14">
        <w:rPr>
          <w:rFonts w:cs="Book Antiqua"/>
          <w:color w:val="000000"/>
          <w:szCs w:val="26"/>
        </w:rPr>
        <w:t xml:space="preserve">aximum </w:t>
      </w:r>
      <w:r w:rsidRPr="005D0E4D">
        <w:t>showing</w:t>
      </w:r>
      <w:r w:rsidRPr="001D7D14">
        <w:rPr>
          <w:rFonts w:cs="Book Antiqua"/>
          <w:color w:val="000000"/>
          <w:szCs w:val="26"/>
        </w:rPr>
        <w:t xml:space="preserve"> </w:t>
      </w:r>
      <w:r w:rsidRPr="005D0E4D">
        <w:t>values</w:t>
      </w:r>
      <w:r w:rsidRPr="001D7D14">
        <w:rPr>
          <w:rFonts w:cs="Book Antiqua"/>
          <w:color w:val="000000"/>
          <w:szCs w:val="26"/>
        </w:rPr>
        <w:t>, (2) peak showing values</w:t>
      </w:r>
      <w:r w:rsidR="00F63ED7">
        <w:rPr>
          <w:rFonts w:cs="Book Antiqua"/>
          <w:color w:val="000000"/>
          <w:szCs w:val="26"/>
        </w:rPr>
        <w:t xml:space="preserve">, and (3) </w:t>
      </w:r>
      <w:r w:rsidR="00175170">
        <w:rPr>
          <w:rFonts w:cs="Book Antiqua"/>
          <w:color w:val="000000"/>
          <w:szCs w:val="26"/>
        </w:rPr>
        <w:t xml:space="preserve">the greater of the peak hour value and a very small </w:t>
      </w:r>
      <w:r w:rsidR="00986473">
        <w:t xml:space="preserve">non-zero </w:t>
      </w:r>
      <w:r w:rsidR="00954CAB">
        <w:t xml:space="preserve">QC </w:t>
      </w:r>
      <w:r w:rsidR="00986473">
        <w:t>value</w:t>
      </w:r>
      <w:r w:rsidR="00175170">
        <w:t xml:space="preserve"> if the peak hour value is zero</w:t>
      </w:r>
      <w:r w:rsidR="00986473">
        <w:t xml:space="preserve"> to </w:t>
      </w:r>
      <w:r w:rsidR="00954CAB">
        <w:t>develop</w:t>
      </w:r>
      <w:r w:rsidRPr="001D7D14" w:rsidR="00336D84">
        <w:rPr>
          <w:rFonts w:cs="Book Antiqua"/>
          <w:color w:val="000000"/>
          <w:szCs w:val="26"/>
        </w:rPr>
        <w:t xml:space="preserve"> CAISO</w:t>
      </w:r>
      <w:r w:rsidR="00336D84">
        <w:rPr>
          <w:rFonts w:cs="Book Antiqua"/>
          <w:color w:val="000000"/>
          <w:szCs w:val="26"/>
        </w:rPr>
        <w:t>’s</w:t>
      </w:r>
      <w:r w:rsidRPr="001D7D14" w:rsidR="00336D84">
        <w:rPr>
          <w:rFonts w:cs="Book Antiqua"/>
          <w:color w:val="000000"/>
          <w:szCs w:val="26"/>
        </w:rPr>
        <w:t xml:space="preserve"> </w:t>
      </w:r>
      <w:r w:rsidR="00954CAB">
        <w:rPr>
          <w:rFonts w:cs="Book Antiqua"/>
          <w:color w:val="000000"/>
          <w:szCs w:val="26"/>
        </w:rPr>
        <w:t>NQC list and</w:t>
      </w:r>
      <w:r w:rsidRPr="00336D84" w:rsidR="00336D84">
        <w:rPr>
          <w:rFonts w:cs="Book Antiqua"/>
          <w:color w:val="000000"/>
          <w:szCs w:val="26"/>
        </w:rPr>
        <w:t xml:space="preserve"> </w:t>
      </w:r>
      <w:r w:rsidRPr="001D7D14" w:rsidR="00336D84">
        <w:rPr>
          <w:rFonts w:cs="Book Antiqua"/>
          <w:color w:val="000000"/>
          <w:szCs w:val="26"/>
        </w:rPr>
        <w:t>to ensure CAISO</w:t>
      </w:r>
      <w:r w:rsidR="00336D84">
        <w:rPr>
          <w:rFonts w:cs="Book Antiqua"/>
          <w:color w:val="000000"/>
          <w:szCs w:val="26"/>
        </w:rPr>
        <w:t>’s</w:t>
      </w:r>
      <w:r w:rsidRPr="001D7D14" w:rsidR="00336D84">
        <w:rPr>
          <w:rFonts w:cs="Book Antiqua"/>
          <w:color w:val="000000"/>
          <w:szCs w:val="26"/>
        </w:rPr>
        <w:t xml:space="preserve"> visibility into the Commission’s </w:t>
      </w:r>
      <w:r w:rsidR="00954CAB">
        <w:rPr>
          <w:rFonts w:cs="Book Antiqua"/>
          <w:color w:val="000000"/>
          <w:szCs w:val="26"/>
        </w:rPr>
        <w:t>contracted</w:t>
      </w:r>
      <w:r w:rsidRPr="001D7D14" w:rsidR="00954CAB">
        <w:rPr>
          <w:rFonts w:cs="Book Antiqua"/>
          <w:color w:val="000000"/>
          <w:szCs w:val="26"/>
        </w:rPr>
        <w:t xml:space="preserve"> </w:t>
      </w:r>
      <w:r w:rsidRPr="001D7D14" w:rsidR="00336D84">
        <w:rPr>
          <w:rFonts w:cs="Book Antiqua"/>
          <w:color w:val="000000"/>
          <w:szCs w:val="26"/>
        </w:rPr>
        <w:t>fleet</w:t>
      </w:r>
      <w:r w:rsidR="00336D84">
        <w:rPr>
          <w:rFonts w:cs="Book Antiqua"/>
          <w:color w:val="000000"/>
          <w:szCs w:val="26"/>
        </w:rPr>
        <w:t>.</w:t>
      </w:r>
    </w:p>
    <w:p w:rsidR="00F74702" w:rsidP="00CA46DC" w:rsidRDefault="00F74702" w14:paraId="2B7E74FD" w14:textId="5A4CFF81">
      <w:pPr>
        <w:pStyle w:val="NoSpacing"/>
        <w:numPr>
          <w:ilvl w:val="0"/>
          <w:numId w:val="4"/>
        </w:numPr>
        <w:spacing w:after="0" w:line="360" w:lineRule="auto"/>
        <w:ind w:firstLine="547"/>
        <w:contextualSpacing w:val="0"/>
      </w:pPr>
      <w:r>
        <w:t>Appendix A containing the updated requirements and details of the 24-hour slice-of-day framework should be adopted.</w:t>
      </w:r>
    </w:p>
    <w:p w:rsidR="00BB0243" w:rsidP="000A6E05" w:rsidRDefault="005939A5" w14:paraId="55920CA0" w14:textId="64195B1C">
      <w:pPr>
        <w:pStyle w:val="Mainex"/>
      </w:pPr>
      <w:bookmarkStart w:name="_Toc119415998" w:id="85"/>
      <w:bookmarkStart w:name="_Toc131762419" w:id="86"/>
      <w:r>
        <w:t>O</w:t>
      </w:r>
      <w:r w:rsidR="00722850">
        <w:t>RDER</w:t>
      </w:r>
      <w:bookmarkEnd w:id="85"/>
      <w:bookmarkEnd w:id="86"/>
    </w:p>
    <w:p w:rsidR="00BB0243" w:rsidP="000A6E05" w:rsidRDefault="00BB0243" w14:paraId="5EFB2CAA" w14:textId="77777777">
      <w:pPr>
        <w:keepNext/>
      </w:pPr>
      <w:r w:rsidRPr="00BB0243">
        <w:rPr>
          <w:b/>
        </w:rPr>
        <w:t>IT IS ORDERED</w:t>
      </w:r>
      <w:r>
        <w:t xml:space="preserve"> that:</w:t>
      </w:r>
    </w:p>
    <w:p w:rsidR="00267369" w:rsidP="00267369" w:rsidRDefault="00267369" w14:paraId="7722421A" w14:textId="00AA8CEB">
      <w:pPr>
        <w:pStyle w:val="OP"/>
      </w:pPr>
      <w:r>
        <w:t xml:space="preserve">Energy Division’s proposed process </w:t>
      </w:r>
      <w:r w:rsidR="00F44EC8">
        <w:t>will</w:t>
      </w:r>
      <w:r>
        <w:t xml:space="preserve"> be used to develop the Master Resource Database (MRD) for use in the 24-hour slice-of-day framework.  Energy Division is authorized to publish the draft MRD to the Commission’s website, with service to the service list in this proceeding, and request that generators respond with corrections to the MRD.  Energy Division is authorized to solicit informal feedback from parties, compare feedback from generators with information in California Independent System Operator’s Master File, and incorporate corrections and feedback into the MRD, as warranted.  The MRD </w:t>
      </w:r>
      <w:r w:rsidR="00F44EC8">
        <w:t>will</w:t>
      </w:r>
      <w:r>
        <w:t xml:space="preserve"> be updated annually for deliverability and net qualifying capacity updates.</w:t>
      </w:r>
    </w:p>
    <w:p w:rsidR="007072F3" w:rsidP="007072F3" w:rsidRDefault="007072F3" w14:paraId="4DA79569" w14:textId="7FC69A6E">
      <w:pPr>
        <w:pStyle w:val="OP"/>
      </w:pPr>
      <w:r w:rsidRPr="00323C77">
        <w:lastRenderedPageBreak/>
        <w:t xml:space="preserve">Energy Division is authorized to modify and implement the compliance and verification tools adopted for use in the </w:t>
      </w:r>
      <w:r>
        <w:t>24-hour slice-of-day</w:t>
      </w:r>
      <w:r w:rsidRPr="00323C77">
        <w:t xml:space="preserve"> framework, and to </w:t>
      </w:r>
      <w:r w:rsidRPr="00C62B15">
        <w:t>modify</w:t>
      </w:r>
      <w:r w:rsidRPr="00323C77">
        <w:t xml:space="preserve"> </w:t>
      </w:r>
      <w:r w:rsidRPr="00C62B15">
        <w:t xml:space="preserve">and implement </w:t>
      </w:r>
      <w:r w:rsidRPr="00323C77">
        <w:t xml:space="preserve">instructions and additional filing procedures, </w:t>
      </w:r>
      <w:r>
        <w:t xml:space="preserve">as necessary </w:t>
      </w:r>
      <w:r w:rsidRPr="00323C77">
        <w:t xml:space="preserve">to ensure consistency with the Commission’s direction </w:t>
      </w:r>
      <w:r>
        <w:t>and to ensure</w:t>
      </w:r>
      <w:r w:rsidRPr="00323C77">
        <w:t xml:space="preserve"> the orderly implementation of the slice-of-day framework and the changing needs of the R</w:t>
      </w:r>
      <w:r w:rsidR="00412D7B">
        <w:t>esource Adequacy</w:t>
      </w:r>
      <w:r w:rsidRPr="00323C77">
        <w:t xml:space="preserve"> program.</w:t>
      </w:r>
    </w:p>
    <w:p w:rsidR="00267369" w:rsidP="00267369" w:rsidRDefault="00267369" w14:paraId="338E5766" w14:textId="2D7A4511">
      <w:pPr>
        <w:pStyle w:val="OP"/>
      </w:pPr>
      <w:bookmarkStart w:name="_Hlk127544963" w:id="87"/>
      <w:r>
        <w:t>Southern California Edison’s (SCE) load-serving entity (LSE) Showing Tool approach is adopted.  Energy Division is authorized to implement Clean Power Alliance’s energy storage sufficiency logic into SCE’s LSE Showing Tool</w:t>
      </w:r>
      <w:r w:rsidR="007E1A7E">
        <w:t xml:space="preserve"> approach</w:t>
      </w:r>
      <w:r>
        <w:t xml:space="preserve">, to the extent possible.  Energy Division is directed to publish a draft LSE Showing Tool </w:t>
      </w:r>
      <w:r w:rsidR="00954CAB">
        <w:t xml:space="preserve">on </w:t>
      </w:r>
      <w:r>
        <w:t>the Commission’s website and solicit informal party comments.</w:t>
      </w:r>
    </w:p>
    <w:bookmarkEnd w:id="87"/>
    <w:p w:rsidR="0072267B" w:rsidP="0072267B" w:rsidRDefault="00267369" w14:paraId="6CAAC5CA" w14:textId="2DB88C3A">
      <w:pPr>
        <w:pStyle w:val="OP"/>
      </w:pPr>
      <w:r>
        <w:t xml:space="preserve">Monthly peak load ratio </w:t>
      </w:r>
      <w:r w:rsidR="00F44EC8">
        <w:t>will</w:t>
      </w:r>
      <w:r>
        <w:t xml:space="preserve"> be used for the Cost Allocation Mechanism (CAM), Reliability Must Run,</w:t>
      </w:r>
      <w:r w:rsidR="00464A40">
        <w:t xml:space="preserve"> central procurement entity</w:t>
      </w:r>
      <w:r>
        <w:t xml:space="preserve"> </w:t>
      </w:r>
      <w:r w:rsidR="00464A40">
        <w:t>(CPE)</w:t>
      </w:r>
      <w:r w:rsidR="0072267B">
        <w:t>,</w:t>
      </w:r>
      <w:r w:rsidR="00464A40">
        <w:t xml:space="preserve"> </w:t>
      </w:r>
      <w:r>
        <w:t xml:space="preserve">and demand response allocations for all slices in the 24-hour framework.  </w:t>
      </w:r>
      <w:r w:rsidRPr="009744A2">
        <w:t xml:space="preserve">Energy Division is directed to include energy sufficiency requirement allocations to </w:t>
      </w:r>
      <w:r>
        <w:t>load-serving entities</w:t>
      </w:r>
      <w:r w:rsidRPr="009744A2">
        <w:t xml:space="preserve"> using the CAM debit/crediting mechanism.</w:t>
      </w:r>
      <w:r>
        <w:t xml:space="preserve">  CAM resources </w:t>
      </w:r>
      <w:r w:rsidR="00F44EC8">
        <w:t>will</w:t>
      </w:r>
      <w:r>
        <w:t xml:space="preserve"> be allocated by resource class.  Energy Division is directed to determine the resource classes necessary to account for variation in the resources’ daily profiles and use limitations.</w:t>
      </w:r>
      <w:r w:rsidR="007A7127">
        <w:t xml:space="preserve">  </w:t>
      </w:r>
      <w:r w:rsidR="0072267B">
        <w:t xml:space="preserve">Credits associated with CPE procurement shall be treated the same as CAM resources under the slice-of-day framework.  </w:t>
      </w:r>
      <w:r w:rsidR="007A7127">
        <w:t>Energy sufficiency requirements associated with utility procurement of standalone energy storage resources subject to Modified CAM will be proportionally allocated.</w:t>
      </w:r>
    </w:p>
    <w:p w:rsidR="00F20C47" w:rsidP="00267369" w:rsidRDefault="000870C6" w14:paraId="6E4979BE" w14:textId="73002B8C">
      <w:pPr>
        <w:pStyle w:val="OP"/>
      </w:pPr>
      <w:r>
        <w:t>Pacific Gas and Electric Company’s Top 5 Day methodology</w:t>
      </w:r>
      <w:r w:rsidR="00267369">
        <w:t xml:space="preserve"> </w:t>
      </w:r>
      <w:r w:rsidR="00F44EC8">
        <w:t>is</w:t>
      </w:r>
      <w:r w:rsidR="00267369">
        <w:t xml:space="preserve"> adopted as the exceedance methodology to determine profiles for solar and wind resources </w:t>
      </w:r>
      <w:r w:rsidR="00267369">
        <w:lastRenderedPageBreak/>
        <w:t xml:space="preserve">under the 24-hour slice-of-day framework.  </w:t>
      </w:r>
      <w:r w:rsidRPr="00935723" w:rsidR="002F3CA5">
        <w:t>Any days on which the California Independent System Operator called a Flex Alert</w:t>
      </w:r>
      <w:r w:rsidR="0057424A">
        <w:t xml:space="preserve">, Warning, Stage 1-3 Emergency, or Energy Emergency Alert 1-3 condition </w:t>
      </w:r>
      <w:r w:rsidR="00412D7B">
        <w:t>will</w:t>
      </w:r>
      <w:r w:rsidRPr="00935723" w:rsidR="002F3CA5">
        <w:t xml:space="preserve"> be added to the Top 5 </w:t>
      </w:r>
      <w:r w:rsidR="00BB4F2C">
        <w:t>D</w:t>
      </w:r>
      <w:r w:rsidRPr="00935723" w:rsidR="002F3CA5">
        <w:t>ays data set.</w:t>
      </w:r>
      <w:r w:rsidR="002F3CA5">
        <w:t xml:space="preserve">  </w:t>
      </w:r>
      <w:r w:rsidR="00267369">
        <w:t xml:space="preserve">The exceedance methodology </w:t>
      </w:r>
      <w:r w:rsidR="00F44EC8">
        <w:t>will</w:t>
      </w:r>
      <w:r w:rsidR="00267369">
        <w:t xml:space="preserve"> be applied to historical data to generate technology (solar fixed/tracking/solar thermal) and regional profiles.  </w:t>
      </w:r>
      <w:r w:rsidR="00F20C47">
        <w:t>Energy Division is directed to develop the solar and wind resource profiles, which will be incorporated into the M</w:t>
      </w:r>
      <w:r w:rsidR="006001A2">
        <w:t>aster Resource Database</w:t>
      </w:r>
      <w:r w:rsidR="00BB4F2C">
        <w:t>, and to publish the non-confidential version of the exceedance calculations</w:t>
      </w:r>
      <w:r w:rsidR="00F20C47">
        <w:t xml:space="preserve">.  </w:t>
      </w:r>
    </w:p>
    <w:p w:rsidR="00267369" w:rsidP="00267369" w:rsidRDefault="00267369" w14:paraId="73C029F5" w14:textId="6A875768">
      <w:pPr>
        <w:pStyle w:val="OP"/>
      </w:pPr>
      <w:r>
        <w:t xml:space="preserve">Six years of production data </w:t>
      </w:r>
      <w:r w:rsidR="00F44EC8">
        <w:t>will</w:t>
      </w:r>
      <w:r>
        <w:t xml:space="preserve"> be used as the basis for the exceedance methodology, with updates every year.  If </w:t>
      </w:r>
      <w:r w:rsidR="003E7313">
        <w:t xml:space="preserve">six years of </w:t>
      </w:r>
      <w:r>
        <w:t>historical production data is not available</w:t>
      </w:r>
      <w:r w:rsidR="003E7313">
        <w:t xml:space="preserve"> for resources in new locations </w:t>
      </w:r>
      <w:r w:rsidR="004C2711">
        <w:t>(such as out</w:t>
      </w:r>
      <w:r w:rsidR="004C2711">
        <w:noBreakHyphen/>
        <w:t>of</w:t>
      </w:r>
      <w:r w:rsidR="004C2711">
        <w:noBreakHyphen/>
        <w:t xml:space="preserve">state areas or offshore wind) </w:t>
      </w:r>
      <w:r w:rsidR="003E7313">
        <w:t>or for new technologies</w:t>
      </w:r>
      <w:r>
        <w:t xml:space="preserve">, exceedance values </w:t>
      </w:r>
      <w:r w:rsidR="00F44EC8">
        <w:t>will</w:t>
      </w:r>
      <w:r>
        <w:t xml:space="preserve"> be calculated using modeled data for a minimum three years to populate the data set.  </w:t>
      </w:r>
      <w:r w:rsidRPr="00CA46DC" w:rsidR="00F7362A">
        <w:t xml:space="preserve">The modeled data </w:t>
      </w:r>
      <w:r w:rsidR="00412D7B">
        <w:t>will</w:t>
      </w:r>
      <w:r w:rsidRPr="00CA46DC" w:rsidR="00F7362A">
        <w:t xml:space="preserve"> be sourced from the </w:t>
      </w:r>
      <w:r w:rsidR="003C0464">
        <w:t xml:space="preserve">most recent </w:t>
      </w:r>
      <w:r w:rsidRPr="00CA46DC" w:rsidR="00F7362A">
        <w:t>Integrated Resource Plan proceeding’s modeling.</w:t>
      </w:r>
      <w:r w:rsidR="00F7362A">
        <w:t xml:space="preserve">  </w:t>
      </w:r>
      <w:r>
        <w:t xml:space="preserve">As resources in new areas generate historical production data, new data </w:t>
      </w:r>
      <w:r w:rsidR="00F44EC8">
        <w:t>will</w:t>
      </w:r>
      <w:r>
        <w:t xml:space="preserve"> be added to the data set and displace earlier years.</w:t>
      </w:r>
      <w:r w:rsidR="00F20C47">
        <w:t xml:space="preserve">  </w:t>
      </w:r>
    </w:p>
    <w:p w:rsidR="00267369" w:rsidP="00267369" w:rsidRDefault="00660E03" w14:paraId="0DAE2F13" w14:textId="019888D8">
      <w:pPr>
        <w:pStyle w:val="OP"/>
      </w:pPr>
      <w:bookmarkStart w:name="_Hlk127546049" w:id="88"/>
      <w:r>
        <w:t xml:space="preserve">Paired </w:t>
      </w:r>
      <w:r w:rsidR="00267369">
        <w:t xml:space="preserve">resources </w:t>
      </w:r>
      <w:r w:rsidR="00C7133E">
        <w:t>will</w:t>
      </w:r>
      <w:r w:rsidR="00267369">
        <w:t xml:space="preserve"> be characterized on the Master Resource Database </w:t>
      </w:r>
      <w:r w:rsidR="00227222">
        <w:t xml:space="preserve">(MRD) </w:t>
      </w:r>
      <w:r w:rsidR="00267369">
        <w:t>as either charging exclusively on-site or allowing grid charging.  An energy-only (EO) resource is eligible to count towards the storage charging sufficiency requirement if the EO resource is charging exclusively on-site storage</w:t>
      </w:r>
      <w:r w:rsidR="0000116D">
        <w:t xml:space="preserve">, regardless of whether the </w:t>
      </w:r>
      <w:r w:rsidR="0094712F">
        <w:t xml:space="preserve">paired </w:t>
      </w:r>
      <w:r w:rsidR="0000116D">
        <w:t xml:space="preserve">storage </w:t>
      </w:r>
      <w:proofErr w:type="gramStart"/>
      <w:r w:rsidR="0000116D">
        <w:t>is able to</w:t>
      </w:r>
      <w:proofErr w:type="gramEnd"/>
      <w:r w:rsidR="0000116D">
        <w:t xml:space="preserve"> charge from the grid</w:t>
      </w:r>
      <w:r w:rsidR="00267369">
        <w:t xml:space="preserve">.  The </w:t>
      </w:r>
      <w:r w:rsidRPr="000847CA" w:rsidR="00267369">
        <w:t>charging capacity of the renewable</w:t>
      </w:r>
      <w:r w:rsidR="00267369">
        <w:t xml:space="preserve"> resource </w:t>
      </w:r>
      <w:r w:rsidR="00C7133E">
        <w:t>will</w:t>
      </w:r>
      <w:r w:rsidR="00267369">
        <w:t xml:space="preserve"> be capped at the amount that can be used to charge the on-site storage and the storage </w:t>
      </w:r>
      <w:r w:rsidR="00C7133E">
        <w:t>will</w:t>
      </w:r>
      <w:r w:rsidR="00267369">
        <w:t xml:space="preserve"> be capped at the interconnection</w:t>
      </w:r>
      <w:r w:rsidR="00A71B1E">
        <w:t xml:space="preserve"> limit</w:t>
      </w:r>
      <w:r w:rsidR="00267369">
        <w:t xml:space="preserve">.  </w:t>
      </w:r>
      <w:r>
        <w:t xml:space="preserve">Paired </w:t>
      </w:r>
      <w:r w:rsidR="00267369">
        <w:t xml:space="preserve">components </w:t>
      </w:r>
      <w:r w:rsidR="00C7133E">
        <w:t>will</w:t>
      </w:r>
      <w:r w:rsidR="00267369">
        <w:t xml:space="preserve"> be shown as separate assets on the </w:t>
      </w:r>
      <w:r w:rsidR="00227222">
        <w:t>MRD</w:t>
      </w:r>
      <w:r w:rsidR="00267369">
        <w:t xml:space="preserve"> and load-serving entities’ showings, and the total of the components must not exceed the interconnection amount in any hour.</w:t>
      </w:r>
    </w:p>
    <w:p w:rsidR="00267369" w:rsidP="00CA46DC" w:rsidRDefault="00C7133E" w14:paraId="6BA6DA2D" w14:textId="241EA8AF">
      <w:pPr>
        <w:pStyle w:val="OP"/>
      </w:pPr>
      <w:r>
        <w:lastRenderedPageBreak/>
        <w:t>The</w:t>
      </w:r>
      <w:r w:rsidR="00267369">
        <w:t xml:space="preserve"> Pmax value </w:t>
      </w:r>
      <w:r>
        <w:t>will</w:t>
      </w:r>
      <w:r w:rsidR="00267369">
        <w:t xml:space="preserve"> </w:t>
      </w:r>
      <w:r w:rsidRPr="2B36F30D" w:rsidR="00267369">
        <w:t xml:space="preserve">continue to </w:t>
      </w:r>
      <w:r w:rsidR="00267369">
        <w:t xml:space="preserve">be used as the basis for the </w:t>
      </w:r>
      <w:r>
        <w:t>qualifying capacity value of a dispatchable resource</w:t>
      </w:r>
      <w:r w:rsidRPr="00267369" w:rsidR="00267369">
        <w:rPr>
          <w:rFonts w:eastAsia="Book Antiqua" w:cs="Book Antiqua"/>
          <w:szCs w:val="26"/>
        </w:rPr>
        <w:t xml:space="preserve">. </w:t>
      </w:r>
      <w:r w:rsidRPr="2B36F30D" w:rsidR="00267369">
        <w:t xml:space="preserve"> </w:t>
      </w:r>
    </w:p>
    <w:p w:rsidRPr="007B0D91" w:rsidR="00267369" w:rsidP="00267369" w:rsidRDefault="00267369" w14:paraId="7B0CE289" w14:textId="5DF435E5">
      <w:pPr>
        <w:pStyle w:val="OP"/>
      </w:pPr>
      <w:r>
        <w:t xml:space="preserve">Storage resources that are operationally and contractually able to provide multiple cycles in a 24-hour cycle are allowed to be shown for multiple cycles per day, </w:t>
      </w:r>
      <w:r w:rsidR="00412D7B">
        <w:t>provided that</w:t>
      </w:r>
      <w:r>
        <w:t xml:space="preserve"> the load-serving entity (LSE) shows sufficient excess energy and time between discharge cycles to charge the battery.  The Master Resource Database </w:t>
      </w:r>
      <w:r w:rsidR="002364EE">
        <w:t>will</w:t>
      </w:r>
      <w:r>
        <w:t xml:space="preserve"> indicate if a storage resource can perform multiple cycles per day and the LSE Showing Tool </w:t>
      </w:r>
      <w:r w:rsidR="002364EE">
        <w:t>will</w:t>
      </w:r>
      <w:r>
        <w:t xml:space="preserve"> account for </w:t>
      </w:r>
      <w:proofErr w:type="gramStart"/>
      <w:r>
        <w:t>needed</w:t>
      </w:r>
      <w:proofErr w:type="gramEnd"/>
      <w:r>
        <w:t xml:space="preserve"> charging capacity.</w:t>
      </w:r>
    </w:p>
    <w:p w:rsidR="00267369" w:rsidP="00267369" w:rsidRDefault="00C7133E" w14:paraId="385B9B14" w14:textId="01DC980F">
      <w:pPr>
        <w:pStyle w:val="OP"/>
      </w:pPr>
      <w:r>
        <w:t xml:space="preserve">The </w:t>
      </w:r>
      <w:r w:rsidR="00267369">
        <w:t xml:space="preserve">Pmax value </w:t>
      </w:r>
      <w:r>
        <w:t>will</w:t>
      </w:r>
      <w:r w:rsidR="00267369">
        <w:t xml:space="preserve"> </w:t>
      </w:r>
      <w:r w:rsidRPr="2B36F30D" w:rsidR="00267369">
        <w:t xml:space="preserve">continue to </w:t>
      </w:r>
      <w:r w:rsidR="00267369">
        <w:t xml:space="preserve">be used as the basis for the </w:t>
      </w:r>
      <w:r>
        <w:t>qualifying capacity</w:t>
      </w:r>
      <w:r w:rsidR="00267369">
        <w:t xml:space="preserve"> value</w:t>
      </w:r>
      <w:r>
        <w:t xml:space="preserve"> of an energy storage resource</w:t>
      </w:r>
      <w:r w:rsidRPr="01785D94" w:rsidR="00267369">
        <w:rPr>
          <w:rFonts w:eastAsia="Book Antiqua" w:cs="Book Antiqua"/>
          <w:szCs w:val="26"/>
        </w:rPr>
        <w:t xml:space="preserve">. </w:t>
      </w:r>
      <w:r w:rsidRPr="2B36F30D" w:rsidR="00267369">
        <w:t xml:space="preserve"> </w:t>
      </w:r>
    </w:p>
    <w:p w:rsidRPr="00240525" w:rsidR="00267369" w:rsidP="00267369" w:rsidRDefault="00267369" w14:paraId="2D592B1A" w14:textId="6939FDB8">
      <w:pPr>
        <w:pStyle w:val="OP"/>
        <w:rPr>
          <w:rFonts w:eastAsia="Times New Roman"/>
        </w:rPr>
      </w:pPr>
      <w:r>
        <w:t>For the 2024 test year</w:t>
      </w:r>
      <w:r w:rsidR="00890BB4">
        <w:t xml:space="preserve"> of the slice-of-day framework</w:t>
      </w:r>
      <w:r>
        <w:t xml:space="preserve">, demand response (DR) resources </w:t>
      </w:r>
      <w:r w:rsidR="00C26CEB">
        <w:t>must</w:t>
      </w:r>
      <w:r>
        <w:t xml:space="preserve"> be shown for four consecutive hours </w:t>
      </w:r>
      <w:r w:rsidR="00D30A02">
        <w:t xml:space="preserve">within </w:t>
      </w:r>
      <w:r w:rsidR="00EB6DFA">
        <w:t xml:space="preserve">the </w:t>
      </w:r>
      <w:r w:rsidR="0038609C">
        <w:t>A</w:t>
      </w:r>
      <w:r w:rsidR="00D30A02">
        <w:t xml:space="preserve">vailability </w:t>
      </w:r>
      <w:r w:rsidR="0038609C">
        <w:t>A</w:t>
      </w:r>
      <w:r w:rsidR="00D30A02">
        <w:t xml:space="preserve">ssessment </w:t>
      </w:r>
      <w:r w:rsidR="0038609C">
        <w:t>H</w:t>
      </w:r>
      <w:r w:rsidR="00D30A02">
        <w:t>our (AAH)</w:t>
      </w:r>
      <w:r w:rsidR="00EB6DFA">
        <w:t xml:space="preserve"> window</w:t>
      </w:r>
      <w:r>
        <w:t xml:space="preserve">, unless required by contract or tariff to be capable of </w:t>
      </w:r>
      <w:r>
        <w:rPr>
          <w:rFonts w:eastAsia="Times New Roman"/>
        </w:rPr>
        <w:t>responding to longer dispatches, in which case the shown hours must include</w:t>
      </w:r>
      <w:r w:rsidR="00F52193">
        <w:rPr>
          <w:rFonts w:eastAsia="Times New Roman"/>
        </w:rPr>
        <w:t xml:space="preserve"> </w:t>
      </w:r>
      <w:proofErr w:type="gramStart"/>
      <w:r w:rsidR="00F52193">
        <w:rPr>
          <w:rFonts w:eastAsia="Times New Roman"/>
        </w:rPr>
        <w:t>all of</w:t>
      </w:r>
      <w:proofErr w:type="gramEnd"/>
      <w:r>
        <w:rPr>
          <w:rFonts w:eastAsia="Times New Roman"/>
        </w:rPr>
        <w:t xml:space="preserve"> </w:t>
      </w:r>
      <w:r w:rsidR="00EB6DFA">
        <w:rPr>
          <w:rFonts w:eastAsia="Times New Roman"/>
        </w:rPr>
        <w:t>the AAH window</w:t>
      </w:r>
      <w:r>
        <w:rPr>
          <w:rFonts w:eastAsia="Times New Roman"/>
        </w:rPr>
        <w:t xml:space="preserve">.  </w:t>
      </w:r>
      <w:r w:rsidR="002364EE">
        <w:rPr>
          <w:rFonts w:eastAsia="Times New Roman"/>
        </w:rPr>
        <w:t>T</w:t>
      </w:r>
      <w:r>
        <w:rPr>
          <w:rFonts w:eastAsia="Times New Roman"/>
        </w:rPr>
        <w:t xml:space="preserve">he value of DR resources </w:t>
      </w:r>
      <w:r w:rsidR="00412D7B">
        <w:rPr>
          <w:rFonts w:eastAsia="Times New Roman"/>
        </w:rPr>
        <w:t>will</w:t>
      </w:r>
      <w:r>
        <w:rPr>
          <w:rFonts w:eastAsia="Times New Roman"/>
        </w:rPr>
        <w:t xml:space="preserve"> vary by hour based on the resource’s capability on the worst day of the month under the 1-in-2 planning framework.  Snap back effects </w:t>
      </w:r>
      <w:r w:rsidR="00C26CEB">
        <w:rPr>
          <w:rFonts w:eastAsia="Times New Roman"/>
        </w:rPr>
        <w:t>shall</w:t>
      </w:r>
      <w:r>
        <w:rPr>
          <w:rFonts w:eastAsia="Times New Roman"/>
        </w:rPr>
        <w:t xml:space="preserve"> be included in the </w:t>
      </w:r>
      <w:proofErr w:type="spellStart"/>
      <w:proofErr w:type="gramStart"/>
      <w:r w:rsidRPr="00B36AB0">
        <w:rPr>
          <w:rFonts w:eastAsia="Times New Roman"/>
          <w:i/>
          <w:iCs/>
        </w:rPr>
        <w:t>ex ante</w:t>
      </w:r>
      <w:proofErr w:type="spellEnd"/>
      <w:proofErr w:type="gramEnd"/>
      <w:r>
        <w:rPr>
          <w:rFonts w:eastAsia="Times New Roman"/>
        </w:rPr>
        <w:t xml:space="preserve"> load impact protocol filings but </w:t>
      </w:r>
      <w:r w:rsidR="002364EE">
        <w:rPr>
          <w:rFonts w:eastAsia="Times New Roman"/>
        </w:rPr>
        <w:t>will</w:t>
      </w:r>
      <w:r>
        <w:rPr>
          <w:rFonts w:eastAsia="Times New Roman"/>
        </w:rPr>
        <w:t xml:space="preserve"> not be reflected in the Resource Adequacy capacity counting. </w:t>
      </w:r>
    </w:p>
    <w:p w:rsidRPr="001D7D14" w:rsidR="00267369" w:rsidP="00267369" w:rsidRDefault="00267369" w14:paraId="763A7DE4" w14:textId="5E4CF6C3">
      <w:pPr>
        <w:pStyle w:val="OP"/>
      </w:pPr>
      <w:r>
        <w:rPr>
          <w:rFonts w:eastAsia="Times New Roman"/>
        </w:rPr>
        <w:t xml:space="preserve">For the 2024 test year, transmission loss factor and distribution loss factor adders </w:t>
      </w:r>
      <w:r w:rsidR="00C20120">
        <w:rPr>
          <w:rFonts w:eastAsia="Times New Roman"/>
        </w:rPr>
        <w:t>will</w:t>
      </w:r>
      <w:r>
        <w:rPr>
          <w:rFonts w:eastAsia="Times New Roman"/>
        </w:rPr>
        <w:t xml:space="preserve"> be retained to apply to the qualifying capacity of demand response resources.</w:t>
      </w:r>
    </w:p>
    <w:p w:rsidR="00267369" w:rsidP="00267369" w:rsidRDefault="00AB6F92" w14:paraId="5BA9F4C5" w14:textId="383E0335">
      <w:pPr>
        <w:pStyle w:val="OP"/>
      </w:pPr>
      <w:r>
        <w:t>Energy Division is authorized to integrate the Natural</w:t>
      </w:r>
      <w:r w:rsidR="001B61E2">
        <w:t xml:space="preserve"> Resources Defense Council’s (NRDC) </w:t>
      </w:r>
      <w:r>
        <w:t xml:space="preserve">and Southern California Edison’s (SCE) </w:t>
      </w:r>
      <w:r w:rsidR="001B61E2">
        <w:t>calibration tool</w:t>
      </w:r>
      <w:r>
        <w:t>s</w:t>
      </w:r>
      <w:r w:rsidR="001B61E2">
        <w:t xml:space="preserve"> to convert the results of the loss of load study to the 24-hour slice-of-day framework</w:t>
      </w:r>
      <w:r w:rsidR="002D6DEE">
        <w:t>, to the extent possible</w:t>
      </w:r>
      <w:r w:rsidR="001B61E2">
        <w:t xml:space="preserve">.  </w:t>
      </w:r>
      <w:r w:rsidR="00267369">
        <w:t xml:space="preserve">After Energy Division modifies </w:t>
      </w:r>
      <w:r w:rsidR="00F841A4">
        <w:t xml:space="preserve">the </w:t>
      </w:r>
      <w:r w:rsidR="00267369">
        <w:t xml:space="preserve">calibration </w:t>
      </w:r>
      <w:r w:rsidR="00267369">
        <w:lastRenderedPageBreak/>
        <w:t>tool, Energy Division is directed to publish the draft calibration tool on the Commission’s website and solicit informal party comments.</w:t>
      </w:r>
    </w:p>
    <w:p w:rsidRPr="00CA46DC" w:rsidR="00267369" w:rsidP="00267369" w:rsidRDefault="00267369" w14:paraId="50A55156" w14:textId="1D3C9F25">
      <w:pPr>
        <w:pStyle w:val="OP"/>
      </w:pPr>
      <w:r>
        <w:rPr>
          <w:rFonts w:eastAsia="Times New Roman"/>
        </w:rPr>
        <w:t>The Maximum Cumulative Capacity buckets 1-4</w:t>
      </w:r>
      <w:r w:rsidR="00A61F5B">
        <w:rPr>
          <w:rFonts w:eastAsia="Times New Roman"/>
        </w:rPr>
        <w:t xml:space="preserve"> </w:t>
      </w:r>
      <w:r w:rsidR="00C20120">
        <w:rPr>
          <w:rFonts w:eastAsia="Times New Roman"/>
        </w:rPr>
        <w:t>are</w:t>
      </w:r>
      <w:r>
        <w:rPr>
          <w:rFonts w:eastAsia="Times New Roman"/>
        </w:rPr>
        <w:t xml:space="preserve"> </w:t>
      </w:r>
      <w:r w:rsidR="00A61F5B">
        <w:rPr>
          <w:rFonts w:eastAsia="Times New Roman"/>
        </w:rPr>
        <w:t>not</w:t>
      </w:r>
      <w:r>
        <w:rPr>
          <w:rFonts w:eastAsia="Times New Roman"/>
        </w:rPr>
        <w:t xml:space="preserve"> applicable to the Resource Adequacy program </w:t>
      </w:r>
      <w:r w:rsidR="0010545D">
        <w:rPr>
          <w:rFonts w:eastAsia="Times New Roman"/>
        </w:rPr>
        <w:t>under the 24-hour slice-of-day framework</w:t>
      </w:r>
      <w:r w:rsidR="00954CAB">
        <w:rPr>
          <w:rFonts w:eastAsia="Times New Roman"/>
        </w:rPr>
        <w:t>,</w:t>
      </w:r>
      <w:r w:rsidR="00412D7B">
        <w:rPr>
          <w:rFonts w:eastAsia="Times New Roman"/>
        </w:rPr>
        <w:t xml:space="preserve"> beginning with the 2024 test year</w:t>
      </w:r>
      <w:r>
        <w:rPr>
          <w:rFonts w:eastAsia="Times New Roman"/>
        </w:rPr>
        <w:t>.</w:t>
      </w:r>
    </w:p>
    <w:p w:rsidR="00262B57" w:rsidP="00262B57" w:rsidRDefault="0010545D" w14:paraId="18C2CE54" w14:textId="0D48FD8B">
      <w:pPr>
        <w:pStyle w:val="OP"/>
      </w:pPr>
      <w:r w:rsidRPr="00935723">
        <w:rPr>
          <w:rFonts w:eastAsia="Times New Roman"/>
        </w:rPr>
        <w:t xml:space="preserve">Standalone energy storage resources </w:t>
      </w:r>
      <w:r w:rsidR="00D351D7">
        <w:rPr>
          <w:rFonts w:eastAsia="Times New Roman"/>
        </w:rPr>
        <w:t>may</w:t>
      </w:r>
      <w:r w:rsidRPr="00935723">
        <w:rPr>
          <w:rFonts w:eastAsia="Times New Roman"/>
        </w:rPr>
        <w:t xml:space="preserve"> be included in Maximum Cumulative Capacity bucket 4 for </w:t>
      </w:r>
      <w:r w:rsidR="00D351D7">
        <w:rPr>
          <w:rFonts w:eastAsia="Times New Roman"/>
        </w:rPr>
        <w:t xml:space="preserve">the </w:t>
      </w:r>
      <w:r w:rsidRPr="00935723">
        <w:rPr>
          <w:rFonts w:eastAsia="Times New Roman"/>
        </w:rPr>
        <w:t xml:space="preserve">2024 </w:t>
      </w:r>
      <w:r w:rsidR="00D351D7">
        <w:rPr>
          <w:rFonts w:eastAsia="Times New Roman"/>
        </w:rPr>
        <w:t xml:space="preserve">Resource Adequacy </w:t>
      </w:r>
      <w:r w:rsidR="00262B57">
        <w:rPr>
          <w:rFonts w:eastAsia="Times New Roman"/>
        </w:rPr>
        <w:t xml:space="preserve">(RA) </w:t>
      </w:r>
      <w:r w:rsidR="00D351D7">
        <w:rPr>
          <w:rFonts w:eastAsia="Times New Roman"/>
        </w:rPr>
        <w:t xml:space="preserve">compliance year, </w:t>
      </w:r>
      <w:r w:rsidRPr="00935723">
        <w:rPr>
          <w:rFonts w:eastAsia="Times New Roman"/>
        </w:rPr>
        <w:t xml:space="preserve">provided that the load-serving entity </w:t>
      </w:r>
      <w:r w:rsidR="00D351D7">
        <w:rPr>
          <w:rFonts w:eastAsia="Times New Roman"/>
        </w:rPr>
        <w:t xml:space="preserve">(LSE) </w:t>
      </w:r>
      <w:r w:rsidRPr="00935723">
        <w:rPr>
          <w:rFonts w:eastAsia="Times New Roman"/>
        </w:rPr>
        <w:t>demonstrate</w:t>
      </w:r>
      <w:r w:rsidR="00336D84">
        <w:rPr>
          <w:rFonts w:eastAsia="Times New Roman"/>
        </w:rPr>
        <w:t>s</w:t>
      </w:r>
      <w:r w:rsidRPr="00935723">
        <w:rPr>
          <w:rFonts w:eastAsia="Times New Roman"/>
        </w:rPr>
        <w:t xml:space="preserve"> sufficient charging capacity through submission of the </w:t>
      </w:r>
      <w:r w:rsidR="00D351D7">
        <w:rPr>
          <w:rFonts w:eastAsia="Times New Roman"/>
        </w:rPr>
        <w:t>LSE’s</w:t>
      </w:r>
      <w:r w:rsidRPr="00935723" w:rsidR="00AD1EF6">
        <w:rPr>
          <w:rFonts w:eastAsia="Times New Roman"/>
        </w:rPr>
        <w:t xml:space="preserve"> S</w:t>
      </w:r>
      <w:r w:rsidRPr="00935723">
        <w:rPr>
          <w:rFonts w:eastAsia="Times New Roman"/>
        </w:rPr>
        <w:t xml:space="preserve">howing </w:t>
      </w:r>
      <w:r w:rsidRPr="00935723" w:rsidR="00AD1EF6">
        <w:rPr>
          <w:rFonts w:eastAsia="Times New Roman"/>
        </w:rPr>
        <w:t>Tool</w:t>
      </w:r>
      <w:r w:rsidR="00722AD9">
        <w:rPr>
          <w:rFonts w:eastAsia="Times New Roman"/>
        </w:rPr>
        <w:t xml:space="preserve"> for the slice-of-day (SOD) framework</w:t>
      </w:r>
      <w:r w:rsidRPr="00935723">
        <w:rPr>
          <w:rFonts w:eastAsia="Times New Roman"/>
        </w:rPr>
        <w:t>.</w:t>
      </w:r>
      <w:r w:rsidR="00262B57">
        <w:rPr>
          <w:rFonts w:eastAsia="Times New Roman"/>
        </w:rPr>
        <w:t xml:space="preserve">  I</w:t>
      </w:r>
      <w:r w:rsidRPr="00CA46DC" w:rsidR="00262B57">
        <w:rPr>
          <w:rFonts w:eastAsia="Times New Roman"/>
        </w:rPr>
        <w:t>f an LSE elects to show standalone energy storage in bucket 4 in its 2024 RA compliance filing, the LSE must:</w:t>
      </w:r>
    </w:p>
    <w:p w:rsidR="00262B57" w:rsidP="00262B57" w:rsidRDefault="00262B57" w14:paraId="0611450D" w14:textId="38C2D8D9">
      <w:pPr>
        <w:pStyle w:val="OP"/>
        <w:numPr>
          <w:ilvl w:val="1"/>
          <w:numId w:val="5"/>
        </w:numPr>
        <w:spacing w:line="240" w:lineRule="auto"/>
      </w:pPr>
      <w:r>
        <w:t xml:space="preserve">Show sufficient charging capacity on the </w:t>
      </w:r>
      <w:r w:rsidR="00722AD9">
        <w:t xml:space="preserve">SOD </w:t>
      </w:r>
      <w:r>
        <w:t>LSE Showing Tool for each applicable month</w:t>
      </w:r>
      <w:r w:rsidR="00BE3742">
        <w:t>,</w:t>
      </w:r>
      <w:r w:rsidR="0016483E">
        <w:t xml:space="preserve"> </w:t>
      </w:r>
      <w:r w:rsidR="00615F72">
        <w:t xml:space="preserve">as </w:t>
      </w:r>
      <w:r w:rsidR="0016483E">
        <w:t>measured based on the charging sufficiency check only</w:t>
      </w:r>
      <w:r>
        <w:t xml:space="preserve">. </w:t>
      </w:r>
      <w:r w:rsidR="00954CAB">
        <w:t xml:space="preserve"> </w:t>
      </w:r>
      <w:r>
        <w:t>The</w:t>
      </w:r>
      <w:r w:rsidR="00722AD9">
        <w:t xml:space="preserve"> SOD</w:t>
      </w:r>
      <w:r>
        <w:t xml:space="preserve"> LSE Showing Tool is due by the applicable compliance filing deadline (</w:t>
      </w:r>
      <w:r w:rsidRPr="00262B57">
        <w:rPr>
          <w:i/>
          <w:iCs/>
        </w:rPr>
        <w:t xml:space="preserve">i.e., </w:t>
      </w:r>
      <w:r>
        <w:t>October 31 for the year-ahead filing, 45 days before the compliance month for month-ahead filings).</w:t>
      </w:r>
    </w:p>
    <w:p w:rsidR="00262B57" w:rsidP="00262B57" w:rsidRDefault="00262B57" w14:paraId="7C2836F5" w14:textId="77777777">
      <w:pPr>
        <w:pStyle w:val="OP"/>
        <w:numPr>
          <w:ilvl w:val="0"/>
          <w:numId w:val="0"/>
        </w:numPr>
        <w:spacing w:line="240" w:lineRule="auto"/>
        <w:ind w:left="1152"/>
      </w:pPr>
    </w:p>
    <w:p w:rsidR="00262B57" w:rsidP="00262B57" w:rsidRDefault="00262B57" w14:paraId="4EC8A7BD" w14:textId="133BC408">
      <w:pPr>
        <w:pStyle w:val="OP"/>
        <w:numPr>
          <w:ilvl w:val="1"/>
          <w:numId w:val="5"/>
        </w:numPr>
        <w:spacing w:line="240" w:lineRule="auto"/>
      </w:pPr>
      <w:r>
        <w:t xml:space="preserve">Submit the LSE’s compliance filings for the current RA program, due by the applicable compliance filing deadline. </w:t>
      </w:r>
    </w:p>
    <w:p w:rsidRPr="00935723" w:rsidR="00262B57" w:rsidP="00CA46DC" w:rsidRDefault="00262B57" w14:paraId="76DC302F" w14:textId="77777777">
      <w:pPr>
        <w:pStyle w:val="OP"/>
        <w:numPr>
          <w:ilvl w:val="0"/>
          <w:numId w:val="0"/>
        </w:numPr>
        <w:spacing w:line="240" w:lineRule="auto"/>
      </w:pPr>
    </w:p>
    <w:p w:rsidRPr="00935723" w:rsidR="00267369" w:rsidP="00267369" w:rsidRDefault="00267369" w14:paraId="0E87E557" w14:textId="0CF169BE">
      <w:pPr>
        <w:pStyle w:val="OP"/>
      </w:pPr>
      <w:r w:rsidRPr="00935723">
        <w:t xml:space="preserve">The Maximum Cumulative Capacity (MCC) demand response (DR) bucket </w:t>
      </w:r>
      <w:r w:rsidR="00C20120">
        <w:t>is</w:t>
      </w:r>
      <w:r w:rsidRPr="00935723">
        <w:t xml:space="preserve"> retained for the </w:t>
      </w:r>
      <w:r w:rsidRPr="00935723" w:rsidR="00AD1EF6">
        <w:t>slice-of-day framework</w:t>
      </w:r>
      <w:r w:rsidRPr="00935723" w:rsidR="00D07F87">
        <w:t xml:space="preserve"> beginning with the 2024 test year</w:t>
      </w:r>
      <w:r w:rsidRPr="00935723" w:rsidR="00AD1EF6">
        <w:t>.  T</w:t>
      </w:r>
      <w:r w:rsidRPr="00935723">
        <w:t>he status quo methodology for determining the MCC DR bucket limit</w:t>
      </w:r>
      <w:r w:rsidRPr="001D7D14">
        <w:t xml:space="preserve"> </w:t>
      </w:r>
      <w:r w:rsidR="00C20120">
        <w:t>will</w:t>
      </w:r>
      <w:r w:rsidRPr="00935723">
        <w:t xml:space="preserve"> be </w:t>
      </w:r>
      <w:r w:rsidRPr="00935723" w:rsidR="00AD1EF6">
        <w:t>used</w:t>
      </w:r>
      <w:r w:rsidRPr="00935723">
        <w:t xml:space="preserve">, based on gross load and 24 hours per month.  The DR bucket limit </w:t>
      </w:r>
      <w:r w:rsidR="00C20120">
        <w:t>will</w:t>
      </w:r>
      <w:r w:rsidRPr="00935723">
        <w:t xml:space="preserve"> apply equally to each slice.  </w:t>
      </w:r>
    </w:p>
    <w:p w:rsidRPr="00935723" w:rsidR="00267369" w:rsidP="00267369" w:rsidRDefault="00D07F87" w14:paraId="18ABD5E2" w14:textId="07539EDC">
      <w:pPr>
        <w:pStyle w:val="BalloonText"/>
        <w:numPr>
          <w:ilvl w:val="0"/>
          <w:numId w:val="29"/>
        </w:numPr>
        <w:spacing w:line="360" w:lineRule="auto"/>
      </w:pPr>
      <w:r w:rsidRPr="00935723">
        <w:rPr>
          <w:rFonts w:ascii="Book Antiqua" w:hAnsi="Book Antiqua" w:cstheme="minorBidi"/>
          <w:sz w:val="26"/>
          <w:szCs w:val="22"/>
        </w:rPr>
        <w:t xml:space="preserve">For the slice-of-day framework, beginning with the </w:t>
      </w:r>
      <w:r w:rsidRPr="00935723" w:rsidR="00267369">
        <w:rPr>
          <w:rFonts w:ascii="Book Antiqua" w:hAnsi="Book Antiqua" w:cstheme="minorBidi"/>
          <w:sz w:val="26"/>
          <w:szCs w:val="22"/>
        </w:rPr>
        <w:t xml:space="preserve">2024 </w:t>
      </w:r>
      <w:r w:rsidRPr="00935723">
        <w:rPr>
          <w:rFonts w:ascii="Book Antiqua" w:hAnsi="Book Antiqua" w:cstheme="minorBidi"/>
          <w:sz w:val="26"/>
          <w:szCs w:val="22"/>
        </w:rPr>
        <w:t>test</w:t>
      </w:r>
      <w:r w:rsidRPr="00935723" w:rsidR="00267369">
        <w:rPr>
          <w:rFonts w:ascii="Book Antiqua" w:hAnsi="Book Antiqua" w:cstheme="minorBidi"/>
          <w:sz w:val="26"/>
          <w:szCs w:val="22"/>
        </w:rPr>
        <w:t xml:space="preserve"> year, </w:t>
      </w:r>
      <w:r w:rsidRPr="00935723" w:rsidR="00267369">
        <w:rPr>
          <w:rFonts w:ascii="Book Antiqua" w:hAnsi="Book Antiqua" w:cs="TimesNewRomanPSMT"/>
          <w:color w:val="000000"/>
          <w:sz w:val="26"/>
          <w:szCs w:val="26"/>
        </w:rPr>
        <w:t>a non-resource-specific import count</w:t>
      </w:r>
      <w:r w:rsidR="00C20120">
        <w:rPr>
          <w:rFonts w:ascii="Book Antiqua" w:hAnsi="Book Antiqua" w:cs="TimesNewRomanPSMT"/>
          <w:color w:val="000000"/>
          <w:sz w:val="26"/>
          <w:szCs w:val="26"/>
        </w:rPr>
        <w:t>s</w:t>
      </w:r>
      <w:r w:rsidRPr="00935723" w:rsidR="00267369">
        <w:rPr>
          <w:rFonts w:ascii="Book Antiqua" w:hAnsi="Book Antiqua" w:cs="TimesNewRomanPSMT"/>
          <w:color w:val="000000"/>
          <w:sz w:val="26"/>
          <w:szCs w:val="26"/>
        </w:rPr>
        <w:t xml:space="preserve"> towards the R</w:t>
      </w:r>
      <w:r w:rsidR="00262B57">
        <w:rPr>
          <w:rFonts w:ascii="Book Antiqua" w:hAnsi="Book Antiqua" w:cs="TimesNewRomanPSMT"/>
          <w:color w:val="000000"/>
          <w:sz w:val="26"/>
          <w:szCs w:val="26"/>
        </w:rPr>
        <w:t xml:space="preserve">esource </w:t>
      </w:r>
      <w:r w:rsidRPr="00935723" w:rsidR="00262B57">
        <w:rPr>
          <w:rFonts w:ascii="Book Antiqua" w:hAnsi="Book Antiqua" w:cs="TimesNewRomanPSMT"/>
          <w:color w:val="000000"/>
          <w:sz w:val="26"/>
          <w:szCs w:val="26"/>
        </w:rPr>
        <w:t>A</w:t>
      </w:r>
      <w:r w:rsidR="00262B57">
        <w:rPr>
          <w:rFonts w:ascii="Book Antiqua" w:hAnsi="Book Antiqua" w:cs="TimesNewRomanPSMT"/>
          <w:color w:val="000000"/>
          <w:sz w:val="26"/>
          <w:szCs w:val="26"/>
        </w:rPr>
        <w:t>dequacy (RA)</w:t>
      </w:r>
      <w:r w:rsidRPr="00935723" w:rsidR="00267369">
        <w:rPr>
          <w:rFonts w:ascii="Book Antiqua" w:hAnsi="Book Antiqua" w:cs="TimesNewRomanPSMT"/>
          <w:color w:val="000000"/>
          <w:sz w:val="26"/>
          <w:szCs w:val="26"/>
        </w:rPr>
        <w:t xml:space="preserve"> requirements, provided that:</w:t>
      </w:r>
    </w:p>
    <w:p w:rsidRPr="00935723" w:rsidR="00267369" w:rsidP="00267369" w:rsidRDefault="00267369" w14:paraId="1338FB6C" w14:textId="77777777">
      <w:pPr>
        <w:numPr>
          <w:ilvl w:val="1"/>
          <w:numId w:val="5"/>
        </w:numPr>
        <w:spacing w:line="240" w:lineRule="auto"/>
        <w:ind w:left="792"/>
        <w:rPr>
          <w:rFonts w:cs="TimesNewRomanPSMT"/>
          <w:color w:val="000000"/>
          <w:szCs w:val="26"/>
        </w:rPr>
      </w:pPr>
      <w:r w:rsidRPr="00935723">
        <w:rPr>
          <w:rFonts w:cs="TimesNewRomanPSMT"/>
          <w:color w:val="000000"/>
          <w:szCs w:val="26"/>
        </w:rPr>
        <w:lastRenderedPageBreak/>
        <w:t xml:space="preserve">The contract is an energy contract with no economic curtailment </w:t>
      </w:r>
      <w:r w:rsidRPr="00935723">
        <w:rPr>
          <w:szCs w:val="26"/>
        </w:rPr>
        <w:t>provisions</w:t>
      </w:r>
      <w:r w:rsidRPr="00935723">
        <w:rPr>
          <w:rFonts w:cs="TimesNewRomanPSMT"/>
          <w:color w:val="000000"/>
          <w:szCs w:val="26"/>
        </w:rPr>
        <w:t>.</w:t>
      </w:r>
    </w:p>
    <w:p w:rsidRPr="00935723" w:rsidR="00267369" w:rsidP="00267369" w:rsidRDefault="00267369" w14:paraId="0C121A2E" w14:textId="77777777">
      <w:pPr>
        <w:spacing w:line="240" w:lineRule="auto"/>
        <w:ind w:left="792" w:firstLine="0"/>
        <w:rPr>
          <w:rFonts w:cs="TimesNewRomanPSMT"/>
          <w:color w:val="000000"/>
          <w:szCs w:val="26"/>
        </w:rPr>
      </w:pPr>
    </w:p>
    <w:p w:rsidRPr="00935723" w:rsidR="00267369" w:rsidP="00267369" w:rsidRDefault="00267369" w14:paraId="2D83162D" w14:textId="7CFF9F53">
      <w:pPr>
        <w:numPr>
          <w:ilvl w:val="1"/>
          <w:numId w:val="5"/>
        </w:numPr>
        <w:spacing w:line="240" w:lineRule="auto"/>
        <w:ind w:left="792"/>
        <w:rPr>
          <w:rFonts w:cs="TimesNewRomanPSMT"/>
          <w:color w:val="000000"/>
          <w:szCs w:val="26"/>
        </w:rPr>
      </w:pPr>
      <w:r w:rsidRPr="00935723">
        <w:rPr>
          <w:rFonts w:cs="TimesNewRomanPSMT"/>
          <w:color w:val="000000"/>
          <w:szCs w:val="26"/>
        </w:rPr>
        <w:t xml:space="preserve">The energy must self-schedule (or in the alternative, bid in at a level between negative $150/MWh and $0/MWh) into the California Independent System Operator day-ahead and real-time markets at least during the Availability Assessment Hours every Monday - Saturday </w:t>
      </w:r>
      <w:r w:rsidRPr="008D7713" w:rsidR="00504A3C">
        <w:rPr>
          <w:rFonts w:cs="TimesNewRomanPS-BoldMT"/>
          <w:szCs w:val="26"/>
        </w:rPr>
        <w:t>excluding North American Electric</w:t>
      </w:r>
      <w:r w:rsidRPr="008D7713" w:rsidR="0094712F">
        <w:rPr>
          <w:rFonts w:cs="TimesNewRomanPS-BoldMT"/>
          <w:szCs w:val="26"/>
        </w:rPr>
        <w:t xml:space="preserve"> Reliability</w:t>
      </w:r>
      <w:r w:rsidRPr="008D7713" w:rsidR="00504A3C">
        <w:rPr>
          <w:rFonts w:cs="TimesNewRomanPS-BoldMT"/>
          <w:szCs w:val="26"/>
        </w:rPr>
        <w:t xml:space="preserve"> Corporation holidays</w:t>
      </w:r>
      <w:r w:rsidRPr="008D7713" w:rsidR="00504A3C">
        <w:rPr>
          <w:rFonts w:cs="TimesNewRomanPS-BoldMT"/>
          <w:b/>
          <w:bCs/>
          <w:szCs w:val="26"/>
        </w:rPr>
        <w:t xml:space="preserve"> </w:t>
      </w:r>
      <w:r w:rsidRPr="00935723">
        <w:rPr>
          <w:rFonts w:cs="TimesNewRomanPSMT"/>
          <w:color w:val="000000"/>
          <w:szCs w:val="26"/>
        </w:rPr>
        <w:t>throughout the RA compliance month.</w:t>
      </w:r>
    </w:p>
    <w:p w:rsidRPr="00935723" w:rsidR="00267369" w:rsidP="00267369" w:rsidRDefault="00267369" w14:paraId="18F6906B" w14:textId="77777777">
      <w:pPr>
        <w:spacing w:line="240" w:lineRule="auto"/>
        <w:ind w:firstLine="0"/>
        <w:rPr>
          <w:rFonts w:cs="TimesNewRomanPSMT"/>
          <w:color w:val="000000"/>
          <w:szCs w:val="26"/>
        </w:rPr>
      </w:pPr>
    </w:p>
    <w:p w:rsidRPr="00935723" w:rsidR="00267369" w:rsidP="00267369" w:rsidRDefault="00267369" w14:paraId="460F2B11" w14:textId="7A4C0272">
      <w:pPr>
        <w:numPr>
          <w:ilvl w:val="1"/>
          <w:numId w:val="5"/>
        </w:numPr>
        <w:spacing w:line="240" w:lineRule="auto"/>
        <w:ind w:left="792"/>
        <w:rPr>
          <w:rFonts w:cs="TimesNewRomanPSMT"/>
          <w:bCs/>
          <w:color w:val="000000"/>
          <w:szCs w:val="26"/>
        </w:rPr>
      </w:pPr>
      <w:r w:rsidRPr="00935723">
        <w:rPr>
          <w:rFonts w:cs="TimesNewRomanPSMT"/>
          <w:bCs/>
          <w:color w:val="000000"/>
          <w:szCs w:val="26"/>
        </w:rPr>
        <w:t>The energy must be delivered to the load-serving entity in accordance with the governing contract.</w:t>
      </w:r>
    </w:p>
    <w:p w:rsidRPr="00935723" w:rsidR="00267369" w:rsidP="00CA46DC" w:rsidRDefault="00267369" w14:paraId="5106D4B6" w14:textId="77777777">
      <w:pPr>
        <w:spacing w:line="240" w:lineRule="auto"/>
        <w:ind w:firstLine="0"/>
        <w:rPr>
          <w:rFonts w:cs="TimesNewRomanPSMT"/>
          <w:bCs/>
          <w:color w:val="000000"/>
          <w:szCs w:val="26"/>
        </w:rPr>
      </w:pPr>
    </w:p>
    <w:p w:rsidRPr="00935723" w:rsidR="00D7096F" w:rsidP="00D7096F" w:rsidRDefault="00267369" w14:paraId="5075635C" w14:textId="67DED81A">
      <w:pPr>
        <w:pStyle w:val="OP"/>
      </w:pPr>
      <w:r w:rsidRPr="00935723">
        <w:t xml:space="preserve">For the 2024 test year, load-serving entities </w:t>
      </w:r>
      <w:r w:rsidRPr="00935723" w:rsidR="00D7096F">
        <w:t xml:space="preserve">(LSE) </w:t>
      </w:r>
      <w:r w:rsidRPr="00935723">
        <w:t>shall submit a year-ahead compliance showing by November 30, 2023.  Month-ahead compliance showings shall be limited to March, June, and September and shall be submitted by the first day of the showing month</w:t>
      </w:r>
      <w:r w:rsidR="00262B57">
        <w:t xml:space="preserve">.  </w:t>
      </w:r>
    </w:p>
    <w:p w:rsidR="003C15F0" w:rsidP="003C15F0" w:rsidRDefault="00267369" w14:paraId="502BD5A8" w14:textId="5BEEB0C4">
      <w:pPr>
        <w:pStyle w:val="OP"/>
      </w:pPr>
      <w:r w:rsidRPr="00935723">
        <w:t xml:space="preserve">Energy Division is authorized to solicit informal feedback from parties after key milestones during the 2024 test year.  Energy Division is directed to prepare a report summarizing comments and feedback </w:t>
      </w:r>
      <w:r w:rsidRPr="00935723" w:rsidR="00C3094A">
        <w:t xml:space="preserve">after the year-ahead test </w:t>
      </w:r>
      <w:r w:rsidRPr="003C15F0" w:rsidR="00C3094A">
        <w:t xml:space="preserve">showing </w:t>
      </w:r>
      <w:r w:rsidRPr="003C15F0">
        <w:t>to be submitted to the Commission</w:t>
      </w:r>
      <w:r w:rsidRPr="003C15F0" w:rsidR="00C3094A">
        <w:t xml:space="preserve"> by February 1, 2024</w:t>
      </w:r>
      <w:r w:rsidRPr="003C15F0">
        <w:t>.</w:t>
      </w:r>
      <w:r w:rsidR="00831A3F">
        <w:t xml:space="preserve">  Parties will have an opportunity to provide formal comment on </w:t>
      </w:r>
      <w:proofErr w:type="gramStart"/>
      <w:r w:rsidR="00831A3F">
        <w:t>Energy</w:t>
      </w:r>
      <w:proofErr w:type="gramEnd"/>
      <w:r w:rsidR="00831A3F">
        <w:t xml:space="preserve"> Division’s report.</w:t>
      </w:r>
    </w:p>
    <w:p w:rsidRPr="00A15D6D" w:rsidR="00673382" w:rsidP="003C15F0" w:rsidRDefault="00267369" w14:paraId="5FA603F9" w14:textId="7C34BA55">
      <w:pPr>
        <w:pStyle w:val="OP"/>
      </w:pPr>
      <w:r w:rsidRPr="00A15D6D">
        <w:t xml:space="preserve">The Commission </w:t>
      </w:r>
      <w:r w:rsidRPr="00A15D6D" w:rsidR="00C20120">
        <w:t>will</w:t>
      </w:r>
      <w:r w:rsidRPr="00A15D6D">
        <w:t xml:space="preserve"> provide the California Independent System Operator (CAISO) with: (1) m</w:t>
      </w:r>
      <w:r w:rsidRPr="00A15D6D">
        <w:rPr>
          <w:rFonts w:cs="Book Antiqua"/>
          <w:color w:val="000000"/>
          <w:szCs w:val="26"/>
        </w:rPr>
        <w:t>aximum showing values from load-serving entities (LSE), (2) peak showing values from LSEs</w:t>
      </w:r>
      <w:bookmarkEnd w:id="88"/>
      <w:r w:rsidRPr="00A15D6D" w:rsidR="00986473">
        <w:rPr>
          <w:rFonts w:cs="Book Antiqua"/>
          <w:color w:val="000000"/>
          <w:szCs w:val="26"/>
        </w:rPr>
        <w:t xml:space="preserve">, and (3) </w:t>
      </w:r>
      <w:r w:rsidR="00175170">
        <w:rPr>
          <w:rFonts w:cs="Book Antiqua"/>
          <w:color w:val="000000"/>
          <w:szCs w:val="26"/>
        </w:rPr>
        <w:t>the greater of the peak hour value and a very small non-zero value (</w:t>
      </w:r>
      <w:r w:rsidRPr="008D7713" w:rsidR="00175170">
        <w:rPr>
          <w:rFonts w:cs="Book Antiqua"/>
          <w:i/>
          <w:iCs/>
          <w:color w:val="000000"/>
          <w:szCs w:val="26"/>
        </w:rPr>
        <w:t>e.g.</w:t>
      </w:r>
      <w:r w:rsidR="00175170">
        <w:rPr>
          <w:rFonts w:cs="Book Antiqua"/>
          <w:color w:val="000000"/>
          <w:szCs w:val="26"/>
        </w:rPr>
        <w:t xml:space="preserve">, 0.01 MW) if the minimum value is zero, </w:t>
      </w:r>
      <w:r w:rsidRPr="00A15D6D" w:rsidR="00DC1E5D">
        <w:rPr>
          <w:rFonts w:cs="Book Antiqua"/>
          <w:color w:val="000000"/>
          <w:szCs w:val="26"/>
        </w:rPr>
        <w:t xml:space="preserve">for each resource </w:t>
      </w:r>
      <w:r w:rsidRPr="00A15D6D" w:rsidR="00673382">
        <w:rPr>
          <w:rFonts w:cs="Book Antiqua"/>
          <w:color w:val="000000"/>
          <w:szCs w:val="26"/>
        </w:rPr>
        <w:t xml:space="preserve">type whose counting methodology is modified under the slice-of-day framework </w:t>
      </w:r>
      <w:r w:rsidRPr="00A15D6D" w:rsidR="00336D84">
        <w:rPr>
          <w:rFonts w:cs="Book Antiqua"/>
          <w:color w:val="000000"/>
          <w:szCs w:val="26"/>
        </w:rPr>
        <w:t xml:space="preserve">to </w:t>
      </w:r>
      <w:r w:rsidRPr="00A15D6D" w:rsidR="00DC1E5D">
        <w:rPr>
          <w:rFonts w:cs="Book Antiqua"/>
          <w:color w:val="000000"/>
          <w:szCs w:val="26"/>
        </w:rPr>
        <w:t xml:space="preserve">develop CAISO’s net qualifying capacity list and </w:t>
      </w:r>
      <w:r w:rsidRPr="00A15D6D" w:rsidR="00336D84">
        <w:rPr>
          <w:rFonts w:cs="Book Antiqua"/>
          <w:color w:val="000000"/>
          <w:szCs w:val="26"/>
        </w:rPr>
        <w:t xml:space="preserve">to ensure CAISO’s visibility into the Commission’s </w:t>
      </w:r>
      <w:r w:rsidRPr="00A15D6D" w:rsidR="00DC1E5D">
        <w:rPr>
          <w:rFonts w:cs="Book Antiqua"/>
          <w:color w:val="000000"/>
          <w:szCs w:val="26"/>
        </w:rPr>
        <w:t>contracted</w:t>
      </w:r>
      <w:r w:rsidRPr="00A15D6D" w:rsidR="00336D84">
        <w:rPr>
          <w:rFonts w:cs="Book Antiqua"/>
          <w:color w:val="000000"/>
          <w:szCs w:val="26"/>
        </w:rPr>
        <w:t xml:space="preserve"> fleet.</w:t>
      </w:r>
    </w:p>
    <w:p w:rsidR="000D2419" w:rsidP="000D2419" w:rsidRDefault="000D2419" w14:paraId="58E15539" w14:textId="289B09F0">
      <w:pPr>
        <w:pStyle w:val="OP"/>
      </w:pPr>
      <w:r>
        <w:lastRenderedPageBreak/>
        <w:t>Beginning with the 2023</w:t>
      </w:r>
      <w:r>
        <w:noBreakHyphen/>
        <w:t xml:space="preserve">2024 fiscal year, the Commission authorizes expenditures for the implementation of the new Resource Adequacy framework of up to, but no more than $1 million annually for up to six years, for a total budget not to exceed $6 million.  </w:t>
      </w:r>
      <w:r w:rsidR="00DA6156">
        <w:t xml:space="preserve">The maximum nominal value of a contract shall not exceed $6 million.  </w:t>
      </w:r>
      <w:r>
        <w:t xml:space="preserve">The annual funds may be carried forward and expended in a subsequent year.  If not spent within </w:t>
      </w:r>
      <w:r w:rsidR="00FF060A">
        <w:t>six</w:t>
      </w:r>
      <w:r>
        <w:t xml:space="preserve"> years, the funds may be spent in subsequent years, but may not exceed the maximum total.</w:t>
      </w:r>
    </w:p>
    <w:p w:rsidRPr="001E2A62" w:rsidR="000D2419" w:rsidP="00287415" w:rsidRDefault="000D2419" w14:paraId="3AB1C682" w14:textId="7A21E246">
      <w:pPr>
        <w:pStyle w:val="OP"/>
      </w:pPr>
      <w:r>
        <w:t xml:space="preserve">The Commission’s Executive Director will approve the expenditures and seek reimbursement from Pacific Gas and Electric Company, Southern California Edison, and San Diego Gas and Electric Company.  Reimbursement will be sought from these three investor-owned utilities (IOU) on a proportional basis in relationship to their most recently available annual retail sales reported at the time of the start of the contract.  The IOUs are authorized to record Resource Adequacy third-party technical support costs in an appropriate account that allows for cost recovery from all distribution customers via distribution rates. </w:t>
      </w:r>
    </w:p>
    <w:p w:rsidR="000E7376" w:rsidP="00CD4D66" w:rsidRDefault="000E7376" w14:paraId="1902CA9F" w14:textId="19BFC69D">
      <w:pPr>
        <w:pStyle w:val="OP"/>
      </w:pPr>
      <w:r>
        <w:t>Appendix A is adopted in its entirety.  To the extent that the decision contains requirements or guidance for the 24-hour slice-of-day framework, in addition to those in Appendix A, the additional requirements or guidance shall be complied with.</w:t>
      </w:r>
    </w:p>
    <w:p w:rsidR="00F6397D" w:rsidP="00FD4480" w:rsidRDefault="00CD4D66" w14:paraId="03A55D9F" w14:textId="677545C7">
      <w:pPr>
        <w:pStyle w:val="OP"/>
        <w:keepNext/>
        <w:keepLines/>
      </w:pPr>
      <w:r>
        <w:lastRenderedPageBreak/>
        <w:t>R</w:t>
      </w:r>
      <w:r w:rsidR="00F00B2F">
        <w:t>ulemaking </w:t>
      </w:r>
      <w:r>
        <w:t>21</w:t>
      </w:r>
      <w:r w:rsidR="00F00B2F">
        <w:noBreakHyphen/>
      </w:r>
      <w:r>
        <w:t>10</w:t>
      </w:r>
      <w:r w:rsidR="00F00B2F">
        <w:noBreakHyphen/>
      </w:r>
      <w:r>
        <w:t>002</w:t>
      </w:r>
      <w:r w:rsidRPr="001E2A62">
        <w:t xml:space="preserve"> </w:t>
      </w:r>
      <w:r>
        <w:t>remains open</w:t>
      </w:r>
      <w:r w:rsidRPr="001E2A62">
        <w:t>.</w:t>
      </w:r>
    </w:p>
    <w:p w:rsidR="008F0116" w:rsidP="00FD4480" w:rsidRDefault="008F0116" w14:paraId="7A055A80" w14:textId="77777777">
      <w:pPr>
        <w:keepNext/>
        <w:keepLines/>
      </w:pPr>
      <w:r>
        <w:t>This order is effective today.</w:t>
      </w:r>
    </w:p>
    <w:p w:rsidR="00714CF2" w:rsidP="00FD4480" w:rsidRDefault="008F0116" w14:paraId="3A6DD41D" w14:textId="2BC2832B">
      <w:pPr>
        <w:keepNext/>
        <w:keepLines/>
        <w:spacing w:after="480"/>
      </w:pPr>
      <w:r>
        <w:t>Dated</w:t>
      </w:r>
      <w:r w:rsidR="007001D0">
        <w:t xml:space="preserve"> April 6, 2023</w:t>
      </w:r>
      <w:r>
        <w:t>, at San Francisco, California</w:t>
      </w:r>
      <w:r w:rsidR="00FD4480">
        <w:t>.</w:t>
      </w:r>
    </w:p>
    <w:p w:rsidRPr="007001D0" w:rsidR="007001D0" w:rsidP="00FD4480" w:rsidRDefault="007001D0" w14:paraId="60F6033B" w14:textId="77777777">
      <w:pPr>
        <w:keepNext/>
        <w:keepLines/>
        <w:autoSpaceDE w:val="0"/>
        <w:autoSpaceDN w:val="0"/>
        <w:adjustRightInd w:val="0"/>
        <w:spacing w:line="240" w:lineRule="auto"/>
        <w:ind w:left="5040" w:firstLine="0"/>
        <w:jc w:val="both"/>
        <w:rPr>
          <w:rFonts w:cs="Times New Roman"/>
          <w:szCs w:val="20"/>
        </w:rPr>
      </w:pPr>
      <w:r w:rsidRPr="007001D0">
        <w:rPr>
          <w:rFonts w:cs="Times New Roman"/>
          <w:szCs w:val="20"/>
        </w:rPr>
        <w:t>ALICE REYNOLDS</w:t>
      </w:r>
    </w:p>
    <w:p w:rsidRPr="007001D0" w:rsidR="007001D0" w:rsidP="00FD4480" w:rsidRDefault="007001D0" w14:paraId="58E6DFE0" w14:textId="77777777">
      <w:pPr>
        <w:keepNext/>
        <w:keepLines/>
        <w:autoSpaceDE w:val="0"/>
        <w:autoSpaceDN w:val="0"/>
        <w:adjustRightInd w:val="0"/>
        <w:spacing w:line="240" w:lineRule="auto"/>
        <w:ind w:left="720"/>
        <w:jc w:val="both"/>
        <w:rPr>
          <w:rFonts w:cs="Times New Roman"/>
          <w:szCs w:val="20"/>
        </w:rPr>
      </w:pPr>
      <w:r w:rsidRPr="007001D0">
        <w:rPr>
          <w:rFonts w:cs="Times New Roman"/>
          <w:szCs w:val="20"/>
        </w:rPr>
        <w:tab/>
      </w:r>
      <w:r w:rsidRPr="007001D0">
        <w:rPr>
          <w:rFonts w:cs="Times New Roman"/>
          <w:szCs w:val="20"/>
        </w:rPr>
        <w:tab/>
      </w:r>
      <w:r w:rsidRPr="007001D0">
        <w:rPr>
          <w:rFonts w:cs="Times New Roman"/>
          <w:szCs w:val="20"/>
        </w:rPr>
        <w:tab/>
      </w:r>
      <w:r w:rsidRPr="007001D0">
        <w:rPr>
          <w:rFonts w:cs="Times New Roman"/>
          <w:szCs w:val="20"/>
        </w:rPr>
        <w:tab/>
      </w:r>
      <w:r w:rsidRPr="007001D0">
        <w:rPr>
          <w:rFonts w:cs="Times New Roman"/>
          <w:szCs w:val="20"/>
        </w:rPr>
        <w:tab/>
        <w:t xml:space="preserve">                       President</w:t>
      </w:r>
    </w:p>
    <w:p w:rsidRPr="007001D0" w:rsidR="007001D0" w:rsidP="00FD4480" w:rsidRDefault="007001D0" w14:paraId="2C276E5E" w14:textId="77777777">
      <w:pPr>
        <w:keepNext/>
        <w:keepLines/>
        <w:autoSpaceDE w:val="0"/>
        <w:autoSpaceDN w:val="0"/>
        <w:adjustRightInd w:val="0"/>
        <w:spacing w:line="240" w:lineRule="auto"/>
        <w:ind w:left="5040" w:firstLine="0"/>
        <w:jc w:val="both"/>
        <w:rPr>
          <w:rFonts w:cs="Times New Roman"/>
          <w:szCs w:val="20"/>
        </w:rPr>
      </w:pPr>
      <w:r w:rsidRPr="007001D0">
        <w:rPr>
          <w:rFonts w:cs="Times New Roman"/>
          <w:szCs w:val="20"/>
        </w:rPr>
        <w:t>GENEVIEVE SHIROMA</w:t>
      </w:r>
    </w:p>
    <w:p w:rsidRPr="007001D0" w:rsidR="007001D0" w:rsidP="00FD4480" w:rsidRDefault="007001D0" w14:paraId="7FC1C564" w14:textId="77777777">
      <w:pPr>
        <w:keepNext/>
        <w:keepLines/>
        <w:autoSpaceDE w:val="0"/>
        <w:autoSpaceDN w:val="0"/>
        <w:adjustRightInd w:val="0"/>
        <w:spacing w:line="240" w:lineRule="auto"/>
        <w:ind w:left="4320"/>
        <w:jc w:val="both"/>
        <w:rPr>
          <w:rFonts w:cs="Times New Roman"/>
          <w:szCs w:val="20"/>
        </w:rPr>
      </w:pPr>
      <w:r w:rsidRPr="007001D0">
        <w:rPr>
          <w:rFonts w:cs="Times New Roman"/>
          <w:szCs w:val="20"/>
        </w:rPr>
        <w:t>DARCIE L. HOUCK</w:t>
      </w:r>
    </w:p>
    <w:p w:rsidRPr="007001D0" w:rsidR="007001D0" w:rsidP="00FD4480" w:rsidRDefault="007001D0" w14:paraId="47BE84D7" w14:textId="77777777">
      <w:pPr>
        <w:keepNext/>
        <w:keepLines/>
        <w:autoSpaceDE w:val="0"/>
        <w:autoSpaceDN w:val="0"/>
        <w:adjustRightInd w:val="0"/>
        <w:spacing w:line="240" w:lineRule="auto"/>
        <w:ind w:left="4320"/>
        <w:jc w:val="both"/>
        <w:rPr>
          <w:rFonts w:cs="Times New Roman"/>
          <w:szCs w:val="20"/>
        </w:rPr>
      </w:pPr>
      <w:r w:rsidRPr="007001D0">
        <w:rPr>
          <w:rFonts w:cs="Times New Roman"/>
          <w:szCs w:val="20"/>
        </w:rPr>
        <w:t>JOHN REYNOLDS</w:t>
      </w:r>
    </w:p>
    <w:p w:rsidRPr="007001D0" w:rsidR="007001D0" w:rsidP="00FD4480" w:rsidRDefault="007001D0" w14:paraId="72FAFB27" w14:textId="77777777">
      <w:pPr>
        <w:keepNext/>
        <w:keepLines/>
        <w:autoSpaceDE w:val="0"/>
        <w:autoSpaceDN w:val="0"/>
        <w:adjustRightInd w:val="0"/>
        <w:spacing w:line="240" w:lineRule="auto"/>
        <w:ind w:left="4320"/>
        <w:jc w:val="both"/>
        <w:rPr>
          <w:rFonts w:cs="Times New Roman"/>
          <w:szCs w:val="20"/>
        </w:rPr>
      </w:pPr>
      <w:r w:rsidRPr="007001D0">
        <w:rPr>
          <w:rFonts w:eastAsia="Times New Roman" w:cs="Calibri"/>
          <w:color w:val="000000"/>
          <w:szCs w:val="26"/>
        </w:rPr>
        <w:t>KAREN DOUGLAS</w:t>
      </w:r>
    </w:p>
    <w:p w:rsidRPr="00FD4480" w:rsidR="000A5273" w:rsidP="00FD4480" w:rsidRDefault="007001D0" w14:paraId="58C0F284" w14:textId="415114CB">
      <w:pPr>
        <w:keepNext/>
        <w:keepLines/>
        <w:autoSpaceDE w:val="0"/>
        <w:autoSpaceDN w:val="0"/>
        <w:adjustRightInd w:val="0"/>
        <w:spacing w:line="240" w:lineRule="auto"/>
        <w:ind w:left="5040"/>
        <w:jc w:val="both"/>
        <w:rPr>
          <w:rFonts w:cs="Times New Roman"/>
          <w:szCs w:val="20"/>
        </w:rPr>
      </w:pPr>
      <w:r w:rsidRPr="007001D0">
        <w:rPr>
          <w:rFonts w:cs="Times New Roman"/>
          <w:szCs w:val="20"/>
        </w:rPr>
        <w:t xml:space="preserve">            Commissioners</w:t>
      </w:r>
    </w:p>
    <w:p w:rsidR="004A4E54" w:rsidP="00816E05" w:rsidRDefault="004A4E54" w14:paraId="554EB510" w14:textId="47850346"/>
    <w:p w:rsidR="004A4E54" w:rsidP="009B6774" w:rsidRDefault="004A4E54" w14:paraId="01F6D52C" w14:textId="77777777">
      <w:pPr>
        <w:ind w:firstLine="0"/>
        <w:sectPr w:rsidR="004A4E54" w:rsidSect="00216AF0">
          <w:headerReference w:type="default" r:id="rId15"/>
          <w:footerReference w:type="default" r:id="rId16"/>
          <w:pgSz w:w="12240" w:h="15840" w:code="1"/>
          <w:pgMar w:top="1728" w:right="1440" w:bottom="1440" w:left="1440" w:header="720" w:footer="720" w:gutter="0"/>
          <w:pgNumType w:start="2"/>
          <w:cols w:space="720"/>
          <w:docGrid w:linePitch="360"/>
        </w:sectPr>
      </w:pPr>
    </w:p>
    <w:p w:rsidR="004A4E54" w:rsidP="004A4E54" w:rsidRDefault="004A4E54" w14:paraId="5A1EB7AE" w14:textId="77777777">
      <w:pPr>
        <w:ind w:firstLine="0"/>
        <w:jc w:val="center"/>
        <w:rPr>
          <w:b/>
          <w:bCs/>
          <w:sz w:val="52"/>
          <w:szCs w:val="52"/>
        </w:rPr>
      </w:pPr>
    </w:p>
    <w:p w:rsidR="004A4E54" w:rsidP="004A4E54" w:rsidRDefault="004A4E54" w14:paraId="372F312E" w14:textId="77777777">
      <w:pPr>
        <w:ind w:firstLine="0"/>
        <w:jc w:val="center"/>
        <w:rPr>
          <w:b/>
          <w:bCs/>
          <w:sz w:val="52"/>
          <w:szCs w:val="52"/>
        </w:rPr>
      </w:pPr>
    </w:p>
    <w:p w:rsidR="004A4E54" w:rsidP="004A4E54" w:rsidRDefault="004A4E54" w14:paraId="1985D45B" w14:textId="77777777">
      <w:pPr>
        <w:ind w:firstLine="0"/>
        <w:jc w:val="center"/>
        <w:rPr>
          <w:b/>
          <w:bCs/>
          <w:sz w:val="52"/>
          <w:szCs w:val="52"/>
        </w:rPr>
      </w:pPr>
    </w:p>
    <w:p w:rsidR="004A4E54" w:rsidP="004A4E54" w:rsidRDefault="004A4E54" w14:paraId="54DB73D0" w14:textId="3F93CF0F">
      <w:pPr>
        <w:ind w:firstLine="0"/>
        <w:jc w:val="center"/>
        <w:rPr>
          <w:b/>
          <w:bCs/>
          <w:sz w:val="52"/>
          <w:szCs w:val="52"/>
        </w:rPr>
      </w:pPr>
      <w:r w:rsidRPr="004A4E54">
        <w:rPr>
          <w:b/>
          <w:bCs/>
          <w:sz w:val="52"/>
          <w:szCs w:val="52"/>
        </w:rPr>
        <w:t>APPENDIX</w:t>
      </w:r>
      <w:r w:rsidR="006E004D">
        <w:rPr>
          <w:b/>
          <w:bCs/>
          <w:sz w:val="52"/>
          <w:szCs w:val="52"/>
        </w:rPr>
        <w:t xml:space="preserve"> A</w:t>
      </w:r>
    </w:p>
    <w:p w:rsidRPr="006E004D" w:rsidR="006E004D" w:rsidP="006E004D" w:rsidRDefault="006E004D" w14:paraId="27C8F477" w14:textId="77777777">
      <w:pPr>
        <w:autoSpaceDE w:val="0"/>
        <w:autoSpaceDN w:val="0"/>
        <w:adjustRightInd w:val="0"/>
        <w:spacing w:line="240" w:lineRule="auto"/>
        <w:ind w:left="360" w:hanging="360"/>
        <w:jc w:val="center"/>
        <w:rPr>
          <w:b/>
          <w:bCs/>
          <w:sz w:val="56"/>
          <w:szCs w:val="56"/>
        </w:rPr>
      </w:pPr>
      <w:r w:rsidRPr="006E004D">
        <w:rPr>
          <w:b/>
          <w:bCs/>
          <w:sz w:val="56"/>
          <w:szCs w:val="56"/>
        </w:rPr>
        <w:t>24-Hour Slice Framework</w:t>
      </w:r>
    </w:p>
    <w:p w:rsidR="007001D0" w:rsidP="007001D0" w:rsidRDefault="007001D0" w14:paraId="05C9F5C0" w14:textId="77777777">
      <w:pPr>
        <w:ind w:firstLine="0"/>
        <w:rPr>
          <w:b/>
          <w:bCs/>
          <w:sz w:val="52"/>
          <w:szCs w:val="52"/>
        </w:rPr>
      </w:pPr>
    </w:p>
    <w:p w:rsidR="007001D0" w:rsidP="007001D0" w:rsidRDefault="007001D0" w14:paraId="23AEDE21" w14:textId="09546597">
      <w:pPr>
        <w:ind w:firstLine="0"/>
        <w:rPr>
          <w:b/>
          <w:bCs/>
          <w:sz w:val="52"/>
          <w:szCs w:val="52"/>
        </w:rPr>
        <w:sectPr w:rsidR="007001D0" w:rsidSect="00216AF0">
          <w:headerReference w:type="default" r:id="rId17"/>
          <w:footerReference w:type="default" r:id="rId18"/>
          <w:pgSz w:w="12240" w:h="15840" w:code="1"/>
          <w:pgMar w:top="1728" w:right="1440" w:bottom="1440" w:left="1440" w:header="720" w:footer="720" w:gutter="0"/>
          <w:pgNumType w:start="2"/>
          <w:cols w:space="720"/>
          <w:docGrid w:linePitch="360"/>
        </w:sectPr>
      </w:pPr>
    </w:p>
    <w:p w:rsidRPr="006E004D" w:rsidR="006E004D" w:rsidP="006E004D" w:rsidRDefault="006E004D" w14:paraId="76B6D876" w14:textId="77777777">
      <w:pPr>
        <w:autoSpaceDE w:val="0"/>
        <w:autoSpaceDN w:val="0"/>
        <w:adjustRightInd w:val="0"/>
        <w:spacing w:line="240" w:lineRule="auto"/>
        <w:ind w:left="360" w:hanging="360"/>
        <w:jc w:val="center"/>
        <w:rPr>
          <w:szCs w:val="26"/>
        </w:rPr>
      </w:pPr>
      <w:r w:rsidRPr="006E004D">
        <w:rPr>
          <w:szCs w:val="26"/>
        </w:rPr>
        <w:lastRenderedPageBreak/>
        <w:t>Appendix A</w:t>
      </w:r>
    </w:p>
    <w:p w:rsidRPr="006E004D" w:rsidR="006E004D" w:rsidP="006E004D" w:rsidRDefault="006E004D" w14:paraId="5F9B2FD6" w14:textId="77777777">
      <w:pPr>
        <w:autoSpaceDE w:val="0"/>
        <w:autoSpaceDN w:val="0"/>
        <w:adjustRightInd w:val="0"/>
        <w:spacing w:line="240" w:lineRule="auto"/>
        <w:ind w:left="360" w:hanging="360"/>
        <w:jc w:val="center"/>
        <w:rPr>
          <w:szCs w:val="26"/>
        </w:rPr>
      </w:pPr>
    </w:p>
    <w:p w:rsidRPr="006E004D" w:rsidR="006E004D" w:rsidP="006E004D" w:rsidRDefault="006E004D" w14:paraId="5F870014" w14:textId="77777777">
      <w:pPr>
        <w:autoSpaceDE w:val="0"/>
        <w:autoSpaceDN w:val="0"/>
        <w:adjustRightInd w:val="0"/>
        <w:spacing w:line="240" w:lineRule="auto"/>
        <w:ind w:left="360" w:hanging="360"/>
        <w:jc w:val="center"/>
        <w:rPr>
          <w:szCs w:val="26"/>
        </w:rPr>
      </w:pPr>
      <w:r w:rsidRPr="006E004D">
        <w:rPr>
          <w:szCs w:val="26"/>
        </w:rPr>
        <w:t>Appendix A Table of Contents</w:t>
      </w:r>
    </w:p>
    <w:p w:rsidRPr="006E004D" w:rsidR="006E004D" w:rsidP="006E004D" w:rsidRDefault="006E004D" w14:paraId="591AE937" w14:textId="77777777">
      <w:pPr>
        <w:autoSpaceDE w:val="0"/>
        <w:autoSpaceDN w:val="0"/>
        <w:adjustRightInd w:val="0"/>
        <w:spacing w:line="240" w:lineRule="auto"/>
        <w:ind w:left="360" w:hanging="360"/>
        <w:jc w:val="center"/>
        <w:rPr>
          <w:szCs w:val="26"/>
        </w:rPr>
      </w:pPr>
    </w:p>
    <w:p w:rsidRPr="006E004D" w:rsidR="006E004D" w:rsidP="006E004D" w:rsidRDefault="006E004D" w14:paraId="7871B6AC" w14:textId="77777777">
      <w:pPr>
        <w:numPr>
          <w:ilvl w:val="0"/>
          <w:numId w:val="34"/>
        </w:numPr>
        <w:autoSpaceDE w:val="0"/>
        <w:autoSpaceDN w:val="0"/>
        <w:adjustRightInd w:val="0"/>
        <w:spacing w:after="160" w:line="240" w:lineRule="auto"/>
        <w:contextualSpacing/>
        <w:rPr>
          <w:sz w:val="24"/>
          <w:szCs w:val="24"/>
        </w:rPr>
      </w:pPr>
      <w:r w:rsidRPr="006E004D">
        <w:rPr>
          <w:sz w:val="24"/>
          <w:szCs w:val="24"/>
        </w:rPr>
        <w:t xml:space="preserve">Structural Elements </w:t>
      </w:r>
    </w:p>
    <w:p w:rsidRPr="006E004D" w:rsidR="006E004D" w:rsidP="006E004D" w:rsidRDefault="006E004D" w14:paraId="3D79E091" w14:textId="77777777">
      <w:pPr>
        <w:autoSpaceDE w:val="0"/>
        <w:autoSpaceDN w:val="0"/>
        <w:adjustRightInd w:val="0"/>
        <w:spacing w:line="240" w:lineRule="auto"/>
        <w:ind w:left="1440" w:firstLine="0"/>
        <w:contextualSpacing/>
        <w:rPr>
          <w:rFonts w:cs="Calibri-Light"/>
          <w:sz w:val="24"/>
          <w:szCs w:val="24"/>
        </w:rPr>
      </w:pPr>
    </w:p>
    <w:p w:rsidRPr="006E004D" w:rsidR="006E004D" w:rsidP="006E004D" w:rsidRDefault="006E004D" w14:paraId="07A8ECBA" w14:textId="77777777">
      <w:pPr>
        <w:numPr>
          <w:ilvl w:val="0"/>
          <w:numId w:val="34"/>
        </w:numPr>
        <w:autoSpaceDE w:val="0"/>
        <w:autoSpaceDN w:val="0"/>
        <w:adjustRightInd w:val="0"/>
        <w:spacing w:after="160" w:line="240" w:lineRule="auto"/>
        <w:contextualSpacing/>
        <w:rPr>
          <w:sz w:val="24"/>
          <w:szCs w:val="24"/>
        </w:rPr>
      </w:pPr>
      <w:r w:rsidRPr="006E004D">
        <w:rPr>
          <w:sz w:val="24"/>
          <w:szCs w:val="24"/>
        </w:rPr>
        <w:t xml:space="preserve">General Requirements and Counting for RA Capacity </w:t>
      </w:r>
    </w:p>
    <w:p w:rsidRPr="006E004D" w:rsidR="006E004D" w:rsidP="006E004D" w:rsidRDefault="006E004D" w14:paraId="768E4B12" w14:textId="77777777">
      <w:pPr>
        <w:autoSpaceDE w:val="0"/>
        <w:autoSpaceDN w:val="0"/>
        <w:adjustRightInd w:val="0"/>
        <w:spacing w:line="240" w:lineRule="auto"/>
        <w:ind w:firstLine="0"/>
        <w:rPr>
          <w:sz w:val="24"/>
          <w:szCs w:val="24"/>
        </w:rPr>
      </w:pPr>
    </w:p>
    <w:p w:rsidRPr="006E004D" w:rsidR="006E004D" w:rsidP="006E004D" w:rsidRDefault="006E004D" w14:paraId="4BE2F7E3" w14:textId="77777777">
      <w:pPr>
        <w:numPr>
          <w:ilvl w:val="0"/>
          <w:numId w:val="35"/>
        </w:numPr>
        <w:autoSpaceDE w:val="0"/>
        <w:autoSpaceDN w:val="0"/>
        <w:adjustRightInd w:val="0"/>
        <w:spacing w:after="160" w:line="240" w:lineRule="auto"/>
        <w:contextualSpacing/>
        <w:rPr>
          <w:sz w:val="24"/>
          <w:szCs w:val="24"/>
        </w:rPr>
      </w:pPr>
      <w:r w:rsidRPr="006E004D">
        <w:rPr>
          <w:sz w:val="24"/>
          <w:szCs w:val="24"/>
        </w:rPr>
        <w:t>Requirements of RA Resources</w:t>
      </w:r>
    </w:p>
    <w:p w:rsidRPr="006E004D" w:rsidR="006E004D" w:rsidP="006E004D" w:rsidRDefault="006E004D" w14:paraId="5D4C8D2A" w14:textId="77777777">
      <w:pPr>
        <w:numPr>
          <w:ilvl w:val="0"/>
          <w:numId w:val="35"/>
        </w:numPr>
        <w:autoSpaceDE w:val="0"/>
        <w:autoSpaceDN w:val="0"/>
        <w:adjustRightInd w:val="0"/>
        <w:spacing w:after="160" w:line="240" w:lineRule="auto"/>
        <w:contextualSpacing/>
        <w:rPr>
          <w:sz w:val="24"/>
          <w:szCs w:val="24"/>
        </w:rPr>
      </w:pPr>
      <w:r w:rsidRPr="006E004D">
        <w:rPr>
          <w:sz w:val="24"/>
          <w:szCs w:val="24"/>
        </w:rPr>
        <w:t xml:space="preserve">Resource Counting </w:t>
      </w:r>
    </w:p>
    <w:p w:rsidRPr="006E004D" w:rsidR="006E004D" w:rsidP="006E004D" w:rsidRDefault="006E004D" w14:paraId="5CD06BF5" w14:textId="77777777">
      <w:pPr>
        <w:autoSpaceDE w:val="0"/>
        <w:autoSpaceDN w:val="0"/>
        <w:adjustRightInd w:val="0"/>
        <w:spacing w:line="240" w:lineRule="auto"/>
        <w:ind w:left="1080" w:firstLine="0"/>
        <w:contextualSpacing/>
        <w:rPr>
          <w:sz w:val="24"/>
          <w:szCs w:val="24"/>
        </w:rPr>
      </w:pPr>
    </w:p>
    <w:p w:rsidRPr="006E004D" w:rsidR="006E004D" w:rsidP="006E004D" w:rsidRDefault="006E004D" w14:paraId="42CA7ED4" w14:textId="77777777">
      <w:pPr>
        <w:numPr>
          <w:ilvl w:val="0"/>
          <w:numId w:val="34"/>
        </w:numPr>
        <w:autoSpaceDE w:val="0"/>
        <w:autoSpaceDN w:val="0"/>
        <w:adjustRightInd w:val="0"/>
        <w:spacing w:after="160" w:line="240" w:lineRule="auto"/>
        <w:contextualSpacing/>
        <w:rPr>
          <w:sz w:val="24"/>
          <w:szCs w:val="24"/>
        </w:rPr>
      </w:pPr>
      <w:r w:rsidRPr="006E004D">
        <w:rPr>
          <w:sz w:val="24"/>
          <w:szCs w:val="24"/>
        </w:rPr>
        <w:t xml:space="preserve">Showing Mechanics </w:t>
      </w:r>
    </w:p>
    <w:p w:rsidRPr="006E004D" w:rsidR="006E004D" w:rsidP="006E004D" w:rsidRDefault="006E004D" w14:paraId="6D706946" w14:textId="77777777">
      <w:pPr>
        <w:autoSpaceDE w:val="0"/>
        <w:autoSpaceDN w:val="0"/>
        <w:adjustRightInd w:val="0"/>
        <w:spacing w:line="240" w:lineRule="auto"/>
        <w:ind w:left="1080" w:firstLine="0"/>
        <w:contextualSpacing/>
        <w:rPr>
          <w:sz w:val="24"/>
          <w:szCs w:val="24"/>
        </w:rPr>
      </w:pPr>
    </w:p>
    <w:p w:rsidRPr="006E004D" w:rsidR="006E004D" w:rsidP="006E004D" w:rsidRDefault="006E004D" w14:paraId="0C838F9B" w14:textId="77777777">
      <w:pPr>
        <w:numPr>
          <w:ilvl w:val="0"/>
          <w:numId w:val="34"/>
        </w:numPr>
        <w:autoSpaceDE w:val="0"/>
        <w:autoSpaceDN w:val="0"/>
        <w:adjustRightInd w:val="0"/>
        <w:spacing w:after="160" w:line="240" w:lineRule="auto"/>
        <w:contextualSpacing/>
        <w:rPr>
          <w:sz w:val="24"/>
          <w:szCs w:val="24"/>
        </w:rPr>
      </w:pPr>
      <w:r w:rsidRPr="006E004D">
        <w:rPr>
          <w:sz w:val="24"/>
          <w:szCs w:val="24"/>
        </w:rPr>
        <w:t xml:space="preserve">Contracting Mechanics </w:t>
      </w:r>
    </w:p>
    <w:p w:rsidRPr="006E004D" w:rsidR="006E004D" w:rsidP="006E004D" w:rsidRDefault="006E004D" w14:paraId="2E28D373" w14:textId="77777777">
      <w:pPr>
        <w:spacing w:after="160" w:line="259" w:lineRule="auto"/>
        <w:ind w:left="720" w:firstLine="0"/>
        <w:contextualSpacing/>
        <w:rPr>
          <w:sz w:val="24"/>
          <w:szCs w:val="24"/>
        </w:rPr>
      </w:pPr>
    </w:p>
    <w:p w:rsidRPr="006E004D" w:rsidR="006E004D" w:rsidP="006E004D" w:rsidRDefault="006E004D" w14:paraId="6F44A7B5" w14:textId="77777777">
      <w:pPr>
        <w:numPr>
          <w:ilvl w:val="0"/>
          <w:numId w:val="34"/>
        </w:numPr>
        <w:autoSpaceDE w:val="0"/>
        <w:autoSpaceDN w:val="0"/>
        <w:adjustRightInd w:val="0"/>
        <w:spacing w:after="160" w:line="240" w:lineRule="auto"/>
        <w:contextualSpacing/>
        <w:rPr>
          <w:sz w:val="24"/>
          <w:szCs w:val="24"/>
        </w:rPr>
      </w:pPr>
      <w:r w:rsidRPr="006E004D">
        <w:rPr>
          <w:sz w:val="24"/>
          <w:szCs w:val="24"/>
        </w:rPr>
        <w:t xml:space="preserve">Test year Mechanics </w:t>
      </w:r>
    </w:p>
    <w:p w:rsidRPr="006E004D" w:rsidR="006E004D" w:rsidP="006E004D" w:rsidRDefault="006E004D" w14:paraId="37E2CF27" w14:textId="77777777">
      <w:pPr>
        <w:autoSpaceDE w:val="0"/>
        <w:autoSpaceDN w:val="0"/>
        <w:adjustRightInd w:val="0"/>
        <w:spacing w:line="240" w:lineRule="auto"/>
        <w:ind w:left="360" w:hanging="360"/>
        <w:rPr>
          <w:sz w:val="24"/>
          <w:szCs w:val="24"/>
        </w:rPr>
      </w:pPr>
    </w:p>
    <w:p w:rsidRPr="006E004D" w:rsidR="006E004D" w:rsidP="006E004D" w:rsidRDefault="006E004D" w14:paraId="1331E383" w14:textId="77777777">
      <w:pPr>
        <w:numPr>
          <w:ilvl w:val="0"/>
          <w:numId w:val="34"/>
        </w:numPr>
        <w:autoSpaceDE w:val="0"/>
        <w:autoSpaceDN w:val="0"/>
        <w:adjustRightInd w:val="0"/>
        <w:spacing w:after="160" w:line="240" w:lineRule="auto"/>
        <w:contextualSpacing/>
        <w:rPr>
          <w:sz w:val="24"/>
          <w:szCs w:val="24"/>
        </w:rPr>
      </w:pPr>
      <w:r w:rsidRPr="006E004D">
        <w:rPr>
          <w:sz w:val="24"/>
          <w:szCs w:val="24"/>
        </w:rPr>
        <w:t>Tools Required for Implementation</w:t>
      </w:r>
    </w:p>
    <w:p w:rsidRPr="006E004D" w:rsidR="006E004D" w:rsidP="006E004D" w:rsidRDefault="006E004D" w14:paraId="7BF1D1FB" w14:textId="77777777">
      <w:pPr>
        <w:spacing w:after="160" w:line="259" w:lineRule="auto"/>
        <w:ind w:firstLine="0"/>
        <w:rPr>
          <w:rFonts w:asciiTheme="minorHAnsi" w:hAnsiTheme="minorHAnsi"/>
          <w:sz w:val="22"/>
        </w:rPr>
      </w:pPr>
    </w:p>
    <w:p w:rsidRPr="006E004D" w:rsidR="006E004D" w:rsidP="006E004D" w:rsidRDefault="006E004D" w14:paraId="07118FA2" w14:textId="77777777">
      <w:pPr>
        <w:spacing w:after="160" w:line="259" w:lineRule="auto"/>
        <w:ind w:firstLine="0"/>
        <w:rPr>
          <w:rFonts w:asciiTheme="minorHAnsi" w:hAnsiTheme="minorHAnsi"/>
          <w:sz w:val="22"/>
        </w:rPr>
      </w:pPr>
      <w:r w:rsidRPr="006E004D">
        <w:rPr>
          <w:sz w:val="24"/>
          <w:szCs w:val="24"/>
        </w:rPr>
        <w:t>Note: Appendix A builds on and modifies the version of Appendix A adopted in Decision (D.) 22-06-050.</w:t>
      </w:r>
    </w:p>
    <w:p w:rsidRPr="006E004D" w:rsidR="006E004D" w:rsidP="006E004D" w:rsidRDefault="006E004D" w14:paraId="47C000A9" w14:textId="77777777">
      <w:pPr>
        <w:numPr>
          <w:ilvl w:val="0"/>
          <w:numId w:val="32"/>
        </w:numPr>
        <w:autoSpaceDE w:val="0"/>
        <w:autoSpaceDN w:val="0"/>
        <w:adjustRightInd w:val="0"/>
        <w:spacing w:after="160" w:line="240" w:lineRule="auto"/>
        <w:ind w:left="360"/>
        <w:contextualSpacing/>
        <w:rPr>
          <w:rFonts w:cs="Calibri-Light"/>
          <w:b/>
          <w:bCs/>
          <w:szCs w:val="26"/>
        </w:rPr>
      </w:pPr>
      <w:r w:rsidRPr="006E004D">
        <w:rPr>
          <w:rFonts w:cs="Calibri-Light"/>
          <w:b/>
          <w:bCs/>
          <w:szCs w:val="26"/>
        </w:rPr>
        <w:t xml:space="preserve">Structural Elements </w:t>
      </w:r>
    </w:p>
    <w:p w:rsidRPr="006E004D" w:rsidR="006E004D" w:rsidP="006E004D" w:rsidRDefault="006E004D" w14:paraId="2BE61FD3" w14:textId="77777777">
      <w:pPr>
        <w:autoSpaceDE w:val="0"/>
        <w:autoSpaceDN w:val="0"/>
        <w:adjustRightInd w:val="0"/>
        <w:spacing w:line="240" w:lineRule="auto"/>
        <w:ind w:left="1080" w:firstLine="0"/>
        <w:contextualSpacing/>
        <w:rPr>
          <w:rFonts w:cs="Calibri-Light"/>
          <w:color w:val="1F3763"/>
          <w:szCs w:val="26"/>
        </w:rPr>
      </w:pPr>
    </w:p>
    <w:p w:rsidRPr="006E004D" w:rsidR="006E004D" w:rsidP="006E004D" w:rsidRDefault="006E004D" w14:paraId="365F9F9E" w14:textId="77777777">
      <w:pPr>
        <w:autoSpaceDE w:val="0"/>
        <w:autoSpaceDN w:val="0"/>
        <w:adjustRightInd w:val="0"/>
        <w:spacing w:line="240" w:lineRule="auto"/>
        <w:ind w:firstLine="0"/>
        <w:rPr>
          <w:rFonts w:cs="Calibri"/>
          <w:color w:val="000000"/>
          <w:sz w:val="24"/>
          <w:szCs w:val="24"/>
        </w:rPr>
      </w:pPr>
      <w:r w:rsidRPr="006E004D">
        <w:rPr>
          <w:rFonts w:cs="Calibri"/>
          <w:color w:val="000000"/>
          <w:sz w:val="24"/>
          <w:szCs w:val="24"/>
        </w:rPr>
        <w:t xml:space="preserve">The 24-hour slice-of-day (SOD) framework requires each load-serving entity (LSE) to demonstrate it has enough capacity to satisfy its specific gross load profile (including planning reserve margin) in all 24 hours on the California Independent System Operator’s (CAISO) “worst day” in that month. </w:t>
      </w:r>
    </w:p>
    <w:p w:rsidRPr="006E004D" w:rsidR="006E004D" w:rsidP="006E004D" w:rsidRDefault="006E004D" w14:paraId="0D7B528F" w14:textId="77777777">
      <w:pPr>
        <w:autoSpaceDE w:val="0"/>
        <w:autoSpaceDN w:val="0"/>
        <w:adjustRightInd w:val="0"/>
        <w:spacing w:line="240" w:lineRule="auto"/>
        <w:ind w:firstLine="0"/>
        <w:rPr>
          <w:rFonts w:cs="Calibri"/>
          <w:color w:val="000000"/>
          <w:szCs w:val="26"/>
        </w:rPr>
      </w:pPr>
    </w:p>
    <w:p w:rsidRPr="006E004D" w:rsidR="006E004D" w:rsidP="006E004D" w:rsidRDefault="006E004D" w14:paraId="4F1AE97A" w14:textId="77777777">
      <w:pPr>
        <w:autoSpaceDE w:val="0"/>
        <w:autoSpaceDN w:val="0"/>
        <w:adjustRightInd w:val="0"/>
        <w:spacing w:line="240" w:lineRule="auto"/>
        <w:ind w:firstLine="0"/>
        <w:rPr>
          <w:rFonts w:cs="Calibri-LightItalic"/>
          <w:b/>
          <w:bCs/>
          <w:sz w:val="24"/>
          <w:szCs w:val="24"/>
        </w:rPr>
      </w:pPr>
      <w:r w:rsidRPr="006E004D">
        <w:rPr>
          <w:rFonts w:cs="Calibri-LightItalic"/>
          <w:b/>
          <w:bCs/>
          <w:sz w:val="24"/>
          <w:szCs w:val="24"/>
        </w:rPr>
        <w:t>“Worst Day”</w:t>
      </w:r>
    </w:p>
    <w:p w:rsidRPr="006E004D" w:rsidR="006E004D" w:rsidP="006E004D" w:rsidRDefault="006E004D" w14:paraId="567BC9A2" w14:textId="77777777">
      <w:pPr>
        <w:autoSpaceDE w:val="0"/>
        <w:autoSpaceDN w:val="0"/>
        <w:adjustRightInd w:val="0"/>
        <w:spacing w:line="240" w:lineRule="auto"/>
        <w:ind w:firstLine="0"/>
        <w:rPr>
          <w:rFonts w:cs="Calibri"/>
          <w:color w:val="000000"/>
          <w:szCs w:val="26"/>
        </w:rPr>
      </w:pPr>
    </w:p>
    <w:p w:rsidRPr="006E004D" w:rsidR="006E004D" w:rsidP="006E004D" w:rsidRDefault="006E004D" w14:paraId="65F31D4C" w14:textId="77777777">
      <w:pPr>
        <w:autoSpaceDE w:val="0"/>
        <w:autoSpaceDN w:val="0"/>
        <w:adjustRightInd w:val="0"/>
        <w:spacing w:line="240" w:lineRule="auto"/>
        <w:ind w:firstLine="0"/>
        <w:rPr>
          <w:rFonts w:cs="Calibri"/>
          <w:color w:val="000000"/>
          <w:sz w:val="24"/>
          <w:szCs w:val="24"/>
        </w:rPr>
      </w:pPr>
      <w:r w:rsidRPr="006E004D">
        <w:rPr>
          <w:rFonts w:cs="Calibri"/>
          <w:color w:val="000000"/>
          <w:sz w:val="24"/>
          <w:szCs w:val="24"/>
        </w:rPr>
        <w:t>The “worst day” is defined as the day of the month that contains the hour with the highest coincident peak load forecast.  This could evolve over time if some other attribute (</w:t>
      </w:r>
      <w:r w:rsidRPr="006E004D">
        <w:rPr>
          <w:rFonts w:cs="Calibri-Italic"/>
          <w:i/>
          <w:iCs/>
          <w:color w:val="000000"/>
          <w:sz w:val="24"/>
          <w:szCs w:val="24"/>
        </w:rPr>
        <w:t xml:space="preserve">e.g., </w:t>
      </w:r>
      <w:r w:rsidRPr="006E004D">
        <w:rPr>
          <w:rFonts w:cs="Calibri"/>
          <w:color w:val="000000"/>
          <w:sz w:val="24"/>
          <w:szCs w:val="24"/>
        </w:rPr>
        <w:t>steepest ramping requirement) is found to be more challenging to reliability than the coincident peak.</w:t>
      </w:r>
    </w:p>
    <w:p w:rsidRPr="006E004D" w:rsidR="006E004D" w:rsidP="006E004D" w:rsidRDefault="006E004D" w14:paraId="3AB7D775" w14:textId="77777777">
      <w:pPr>
        <w:autoSpaceDE w:val="0"/>
        <w:autoSpaceDN w:val="0"/>
        <w:adjustRightInd w:val="0"/>
        <w:spacing w:line="240" w:lineRule="auto"/>
        <w:ind w:firstLine="0"/>
        <w:rPr>
          <w:rFonts w:cs="Calibri-LightItalic"/>
          <w:i/>
          <w:iCs/>
          <w:color w:val="2F5497"/>
          <w:szCs w:val="26"/>
        </w:rPr>
      </w:pPr>
    </w:p>
    <w:p w:rsidRPr="006E004D" w:rsidR="006E004D" w:rsidP="006E004D" w:rsidRDefault="006E004D" w14:paraId="39D17E18" w14:textId="77777777">
      <w:pPr>
        <w:autoSpaceDE w:val="0"/>
        <w:autoSpaceDN w:val="0"/>
        <w:adjustRightInd w:val="0"/>
        <w:spacing w:line="240" w:lineRule="auto"/>
        <w:ind w:firstLine="0"/>
        <w:rPr>
          <w:rFonts w:cs="Calibri-LightItalic"/>
          <w:b/>
          <w:bCs/>
          <w:sz w:val="24"/>
          <w:szCs w:val="24"/>
        </w:rPr>
      </w:pPr>
      <w:r w:rsidRPr="006E004D">
        <w:rPr>
          <w:rFonts w:cs="Calibri-LightItalic"/>
          <w:b/>
          <w:bCs/>
          <w:sz w:val="24"/>
          <w:szCs w:val="24"/>
        </w:rPr>
        <w:t>Need Determination and Allocation</w:t>
      </w:r>
    </w:p>
    <w:p w:rsidRPr="006E004D" w:rsidR="006E004D" w:rsidP="006E004D" w:rsidRDefault="006E004D" w14:paraId="34DF2959" w14:textId="77777777">
      <w:pPr>
        <w:autoSpaceDE w:val="0"/>
        <w:autoSpaceDN w:val="0"/>
        <w:adjustRightInd w:val="0"/>
        <w:spacing w:line="240" w:lineRule="auto"/>
        <w:ind w:firstLine="0"/>
        <w:rPr>
          <w:rFonts w:cs="Calibri"/>
          <w:color w:val="000000"/>
          <w:szCs w:val="26"/>
        </w:rPr>
      </w:pPr>
    </w:p>
    <w:p w:rsidRPr="006E004D" w:rsidR="006E004D" w:rsidP="006E004D" w:rsidRDefault="006E004D" w14:paraId="704211DF" w14:textId="77777777">
      <w:pPr>
        <w:autoSpaceDE w:val="0"/>
        <w:autoSpaceDN w:val="0"/>
        <w:adjustRightInd w:val="0"/>
        <w:spacing w:line="240" w:lineRule="auto"/>
        <w:ind w:firstLine="0"/>
        <w:rPr>
          <w:rFonts w:cs="Calibri"/>
          <w:color w:val="000000"/>
          <w:sz w:val="24"/>
          <w:szCs w:val="24"/>
        </w:rPr>
      </w:pPr>
      <w:r w:rsidRPr="006E004D">
        <w:rPr>
          <w:rFonts w:cs="Calibri"/>
          <w:color w:val="000000"/>
          <w:sz w:val="24"/>
          <w:szCs w:val="24"/>
        </w:rPr>
        <w:t xml:space="preserve">The California Energy Commission’s (CEC) load forecast approach will be used to establish individual LSE hourly load forecasts.  The </w:t>
      </w:r>
      <w:r w:rsidRPr="006E004D">
        <w:rPr>
          <w:sz w:val="24"/>
          <w:szCs w:val="24"/>
        </w:rPr>
        <w:t xml:space="preserve">CEC proposes an approach for adapting the current load forecasting process, which allocates a share of the total load </w:t>
      </w:r>
      <w:r w:rsidRPr="006E004D">
        <w:rPr>
          <w:sz w:val="24"/>
          <w:szCs w:val="24"/>
        </w:rPr>
        <w:lastRenderedPageBreak/>
        <w:t>forecast to each LSE, to the SOD framework using submitted forecasts.  The first step is to develop a reference forecast for each transmission access charge area by removing historical load shapes for non</w:t>
      </w:r>
      <w:r w:rsidRPr="006E004D">
        <w:rPr>
          <w:sz w:val="24"/>
          <w:szCs w:val="24"/>
        </w:rPr>
        <w:noBreakHyphen/>
        <w:t>Commission jurisdictional entities and removing automatic transmission load adjustment.  The CEC proposes to apply an hour- and LSE</w:t>
      </w:r>
      <w:r w:rsidRPr="006E004D">
        <w:rPr>
          <w:sz w:val="24"/>
          <w:szCs w:val="24"/>
        </w:rPr>
        <w:noBreakHyphen/>
        <w:t>specific coincidence adjustment to LSE forecasts comparable to the current approach but focused on system peak hours.  LSE forecasts may also be adjusted based on a comparison of LSE forecasts to a benchmark based on recorded loads, load migration activity, LSE forecast submittals, and weather</w:t>
      </w:r>
      <w:r w:rsidRPr="006E004D">
        <w:rPr>
          <w:sz w:val="24"/>
          <w:szCs w:val="24"/>
        </w:rPr>
        <w:noBreakHyphen/>
        <w:t xml:space="preserve">adjusted loads.  The final step in the forecast determination process is to adjust all forecasts so that the sum is within 1% of the reference forecast.  </w:t>
      </w:r>
      <w:r w:rsidRPr="006E004D">
        <w:rPr>
          <w:rFonts w:cs="Calibri"/>
          <w:color w:val="000000"/>
          <w:sz w:val="24"/>
          <w:szCs w:val="24"/>
        </w:rPr>
        <w:t>The CEC’s outlined process for adapting the current load forecasting process to the 24-hour slice framework is reasonable.</w:t>
      </w:r>
      <w:r w:rsidRPr="006E004D">
        <w:rPr>
          <w:rFonts w:asciiTheme="minorHAnsi" w:hAnsiTheme="minorHAnsi"/>
          <w:sz w:val="22"/>
        </w:rPr>
        <w:t xml:space="preserve">  </w:t>
      </w:r>
      <w:r w:rsidRPr="006E004D">
        <w:rPr>
          <w:sz w:val="24"/>
          <w:szCs w:val="24"/>
        </w:rPr>
        <w:t xml:space="preserve">Modifications to the process may be addressed in a future phase of this proceeding.  </w:t>
      </w:r>
    </w:p>
    <w:p w:rsidRPr="006E004D" w:rsidR="006E004D" w:rsidP="006E004D" w:rsidRDefault="006E004D" w14:paraId="31B49059" w14:textId="77777777">
      <w:pPr>
        <w:autoSpaceDE w:val="0"/>
        <w:autoSpaceDN w:val="0"/>
        <w:adjustRightInd w:val="0"/>
        <w:spacing w:line="240" w:lineRule="auto"/>
        <w:ind w:firstLine="0"/>
        <w:rPr>
          <w:rFonts w:cs="Calibri"/>
          <w:color w:val="000000"/>
          <w:szCs w:val="26"/>
        </w:rPr>
      </w:pPr>
    </w:p>
    <w:p w:rsidRPr="006E004D" w:rsidR="006E004D" w:rsidP="006E004D" w:rsidRDefault="006E004D" w14:paraId="77127561" w14:textId="77777777">
      <w:pPr>
        <w:keepNext/>
        <w:keepLines/>
        <w:autoSpaceDE w:val="0"/>
        <w:autoSpaceDN w:val="0"/>
        <w:adjustRightInd w:val="0"/>
        <w:spacing w:line="240" w:lineRule="auto"/>
        <w:ind w:firstLine="0"/>
        <w:rPr>
          <w:rFonts w:cs="Calibri-LightItalic"/>
          <w:b/>
          <w:bCs/>
          <w:sz w:val="24"/>
          <w:szCs w:val="24"/>
        </w:rPr>
      </w:pPr>
      <w:r w:rsidRPr="006E004D">
        <w:rPr>
          <w:rFonts w:cs="Calibri-LightItalic"/>
          <w:b/>
          <w:bCs/>
          <w:sz w:val="24"/>
          <w:szCs w:val="24"/>
        </w:rPr>
        <w:t>Planning Reserve Margin (PRM)</w:t>
      </w:r>
    </w:p>
    <w:p w:rsidRPr="006E004D" w:rsidR="006E004D" w:rsidP="006E004D" w:rsidRDefault="006E004D" w14:paraId="1A2DFC48" w14:textId="77777777">
      <w:pPr>
        <w:keepNext/>
        <w:keepLines/>
        <w:autoSpaceDE w:val="0"/>
        <w:autoSpaceDN w:val="0"/>
        <w:adjustRightInd w:val="0"/>
        <w:spacing w:line="240" w:lineRule="auto"/>
        <w:ind w:firstLine="0"/>
        <w:rPr>
          <w:rFonts w:cs="Calibri"/>
          <w:color w:val="000000"/>
          <w:szCs w:val="26"/>
        </w:rPr>
      </w:pPr>
    </w:p>
    <w:p w:rsidRPr="006E004D" w:rsidR="006E004D" w:rsidP="006E004D" w:rsidRDefault="006E004D" w14:paraId="71341B50" w14:textId="47D071EB">
      <w:pPr>
        <w:keepNext/>
        <w:keepLines/>
        <w:autoSpaceDE w:val="0"/>
        <w:autoSpaceDN w:val="0"/>
        <w:adjustRightInd w:val="0"/>
        <w:spacing w:line="240" w:lineRule="auto"/>
        <w:ind w:firstLine="0"/>
        <w:rPr>
          <w:rFonts w:cs="Calibri"/>
          <w:color w:val="000000"/>
          <w:sz w:val="24"/>
          <w:szCs w:val="24"/>
          <w:u w:val="single"/>
        </w:rPr>
      </w:pPr>
      <w:r w:rsidRPr="006E004D">
        <w:rPr>
          <w:rFonts w:cs="Calibri"/>
          <w:color w:val="000000"/>
          <w:sz w:val="24"/>
          <w:szCs w:val="24"/>
        </w:rPr>
        <w:t>LSEs must demonstrate sufficient capacity to meet their load requirements plus a PRM percentage in each hour (“</w:t>
      </w:r>
      <w:proofErr w:type="spellStart"/>
      <w:r w:rsidRPr="006E004D">
        <w:rPr>
          <w:rFonts w:cs="Calibri"/>
          <w:color w:val="000000"/>
          <w:sz w:val="24"/>
          <w:szCs w:val="24"/>
        </w:rPr>
        <w:t>Load+PRM</w:t>
      </w:r>
      <w:proofErr w:type="spellEnd"/>
      <w:r w:rsidRPr="006E004D">
        <w:rPr>
          <w:rFonts w:cs="Calibri"/>
          <w:color w:val="000000"/>
          <w:sz w:val="24"/>
          <w:szCs w:val="24"/>
        </w:rPr>
        <w:t xml:space="preserve">”).  For initial implementation, one PRM will apply to all hours of the year.  Energy Division is authorized to </w:t>
      </w:r>
      <w:r w:rsidR="00060CBE">
        <w:rPr>
          <w:rFonts w:cs="Calibri"/>
          <w:color w:val="000000"/>
          <w:sz w:val="24"/>
          <w:szCs w:val="24"/>
        </w:rPr>
        <w:t>integrate</w:t>
      </w:r>
      <w:r w:rsidRPr="006E004D" w:rsidR="00060CBE">
        <w:rPr>
          <w:rFonts w:cs="Calibri"/>
          <w:color w:val="000000"/>
          <w:sz w:val="24"/>
          <w:szCs w:val="24"/>
        </w:rPr>
        <w:t xml:space="preserve"> </w:t>
      </w:r>
      <w:r w:rsidR="00060CBE">
        <w:rPr>
          <w:rFonts w:cs="Calibri"/>
          <w:color w:val="000000"/>
          <w:sz w:val="24"/>
          <w:szCs w:val="24"/>
        </w:rPr>
        <w:t>Southern California Edison’s (</w:t>
      </w:r>
      <w:r w:rsidRPr="006E004D">
        <w:rPr>
          <w:rFonts w:cs="Calibri"/>
          <w:color w:val="000000"/>
          <w:sz w:val="24"/>
          <w:szCs w:val="24"/>
        </w:rPr>
        <w:t>SCE</w:t>
      </w:r>
      <w:r w:rsidR="00060CBE">
        <w:rPr>
          <w:rFonts w:cs="Calibri"/>
          <w:color w:val="000000"/>
          <w:sz w:val="24"/>
          <w:szCs w:val="24"/>
        </w:rPr>
        <w:t>) calibration tool and</w:t>
      </w:r>
      <w:r w:rsidRPr="006E004D">
        <w:rPr>
          <w:rFonts w:cs="Calibri"/>
          <w:color w:val="000000"/>
          <w:sz w:val="24"/>
          <w:szCs w:val="24"/>
        </w:rPr>
        <w:t xml:space="preserve"> </w:t>
      </w:r>
      <w:r w:rsidR="00060CBE">
        <w:rPr>
          <w:rFonts w:cs="Calibri"/>
          <w:color w:val="000000"/>
          <w:sz w:val="24"/>
          <w:szCs w:val="24"/>
        </w:rPr>
        <w:t xml:space="preserve">the </w:t>
      </w:r>
      <w:r w:rsidR="00BE0889">
        <w:rPr>
          <w:rFonts w:cs="Calibri"/>
          <w:color w:val="000000"/>
          <w:sz w:val="24"/>
          <w:szCs w:val="24"/>
        </w:rPr>
        <w:t>Natural</w:t>
      </w:r>
      <w:r w:rsidRPr="006E004D" w:rsidR="00060CBE">
        <w:rPr>
          <w:rFonts w:cs="Calibri"/>
          <w:color w:val="000000"/>
          <w:sz w:val="24"/>
          <w:szCs w:val="24"/>
        </w:rPr>
        <w:t xml:space="preserve"> Resources Defense Council’s </w:t>
      </w:r>
      <w:r w:rsidR="00060CBE">
        <w:rPr>
          <w:rFonts w:cs="Calibri"/>
          <w:color w:val="000000"/>
          <w:sz w:val="24"/>
          <w:szCs w:val="24"/>
        </w:rPr>
        <w:t>(</w:t>
      </w:r>
      <w:r w:rsidRPr="006E004D">
        <w:rPr>
          <w:rFonts w:cs="Calibri"/>
          <w:color w:val="000000"/>
          <w:sz w:val="24"/>
          <w:szCs w:val="24"/>
        </w:rPr>
        <w:t>NRDC</w:t>
      </w:r>
      <w:r w:rsidR="00060CBE">
        <w:rPr>
          <w:rFonts w:cs="Calibri"/>
          <w:color w:val="000000"/>
          <w:sz w:val="24"/>
          <w:szCs w:val="24"/>
        </w:rPr>
        <w:t>)</w:t>
      </w:r>
      <w:r w:rsidRPr="006E004D">
        <w:rPr>
          <w:rFonts w:cs="Calibri"/>
          <w:color w:val="000000"/>
          <w:sz w:val="24"/>
          <w:szCs w:val="24"/>
        </w:rPr>
        <w:t xml:space="preserve"> calibration tool</w:t>
      </w:r>
      <w:r w:rsidR="00060CBE">
        <w:rPr>
          <w:rFonts w:cs="Calibri"/>
          <w:color w:val="000000"/>
          <w:sz w:val="24"/>
          <w:szCs w:val="24"/>
        </w:rPr>
        <w:t xml:space="preserve">, to the extent possible, </w:t>
      </w:r>
      <w:r w:rsidRPr="006E004D" w:rsidR="00060CBE">
        <w:rPr>
          <w:rFonts w:cs="Calibri"/>
          <w:color w:val="000000"/>
          <w:sz w:val="24"/>
          <w:szCs w:val="24"/>
        </w:rPr>
        <w:t>to convert the results of the loss of load expectation (LOLE) study to the SOD framework</w:t>
      </w:r>
      <w:r w:rsidRPr="006E004D">
        <w:rPr>
          <w:rFonts w:cs="Calibri"/>
          <w:color w:val="000000"/>
          <w:sz w:val="24"/>
          <w:szCs w:val="24"/>
        </w:rPr>
        <w:t xml:space="preserve">.  Once Energy Division has modified </w:t>
      </w:r>
      <w:r w:rsidR="00060CBE">
        <w:rPr>
          <w:rFonts w:cs="Calibri"/>
          <w:color w:val="000000"/>
          <w:sz w:val="24"/>
          <w:szCs w:val="24"/>
        </w:rPr>
        <w:t xml:space="preserve">the </w:t>
      </w:r>
      <w:r w:rsidRPr="006E004D">
        <w:rPr>
          <w:rFonts w:cs="Calibri"/>
          <w:color w:val="000000"/>
          <w:sz w:val="24"/>
          <w:szCs w:val="24"/>
        </w:rPr>
        <w:t>calibration tool, Energy Division is directed to publish the draft calibration tool on the Commission’s website and solicit informal party comments.</w:t>
      </w:r>
    </w:p>
    <w:p w:rsidRPr="006E004D" w:rsidR="006E004D" w:rsidP="006E004D" w:rsidRDefault="006E004D" w14:paraId="7708BF00" w14:textId="77777777">
      <w:pPr>
        <w:keepNext/>
        <w:keepLines/>
        <w:autoSpaceDE w:val="0"/>
        <w:autoSpaceDN w:val="0"/>
        <w:adjustRightInd w:val="0"/>
        <w:spacing w:line="240" w:lineRule="auto"/>
        <w:ind w:firstLine="0"/>
        <w:rPr>
          <w:rFonts w:cs="Calibri-LightItalic"/>
          <w:i/>
          <w:iCs/>
          <w:color w:val="2F5497"/>
          <w:szCs w:val="26"/>
        </w:rPr>
      </w:pPr>
    </w:p>
    <w:p w:rsidRPr="006E004D" w:rsidR="006E004D" w:rsidP="006E004D" w:rsidRDefault="006E004D" w14:paraId="2594556B" w14:textId="77777777">
      <w:pPr>
        <w:autoSpaceDE w:val="0"/>
        <w:autoSpaceDN w:val="0"/>
        <w:adjustRightInd w:val="0"/>
        <w:spacing w:line="240" w:lineRule="auto"/>
        <w:ind w:firstLine="0"/>
        <w:rPr>
          <w:rFonts w:cs="Calibri-LightItalic"/>
          <w:b/>
          <w:bCs/>
          <w:sz w:val="24"/>
          <w:szCs w:val="24"/>
        </w:rPr>
      </w:pPr>
      <w:r w:rsidRPr="006E004D">
        <w:rPr>
          <w:rFonts w:cs="Calibri-LightItalic"/>
          <w:b/>
          <w:bCs/>
          <w:sz w:val="24"/>
          <w:szCs w:val="24"/>
        </w:rPr>
        <w:t>Capacity Required to Offset Storage Usage</w:t>
      </w:r>
    </w:p>
    <w:p w:rsidRPr="006E004D" w:rsidR="006E004D" w:rsidP="006E004D" w:rsidRDefault="006E004D" w14:paraId="469DAB6F" w14:textId="77777777">
      <w:pPr>
        <w:autoSpaceDE w:val="0"/>
        <w:autoSpaceDN w:val="0"/>
        <w:adjustRightInd w:val="0"/>
        <w:spacing w:line="240" w:lineRule="auto"/>
        <w:ind w:left="720" w:firstLine="0"/>
        <w:contextualSpacing/>
        <w:rPr>
          <w:rFonts w:cs="Calibri-LightItalic"/>
          <w:i/>
          <w:iCs/>
          <w:color w:val="2F5497"/>
          <w:szCs w:val="26"/>
        </w:rPr>
      </w:pPr>
    </w:p>
    <w:p w:rsidRPr="006E004D" w:rsidR="006E004D" w:rsidP="006E004D" w:rsidRDefault="006E004D" w14:paraId="29C698B1" w14:textId="77777777">
      <w:pPr>
        <w:autoSpaceDE w:val="0"/>
        <w:autoSpaceDN w:val="0"/>
        <w:adjustRightInd w:val="0"/>
        <w:spacing w:line="240" w:lineRule="auto"/>
        <w:ind w:firstLine="0"/>
        <w:rPr>
          <w:rFonts w:cs="Calibri"/>
          <w:color w:val="000000"/>
          <w:sz w:val="24"/>
          <w:szCs w:val="24"/>
        </w:rPr>
      </w:pPr>
      <w:r w:rsidRPr="006E004D">
        <w:rPr>
          <w:rFonts w:cs="Calibri"/>
          <w:color w:val="000000"/>
          <w:sz w:val="24"/>
          <w:szCs w:val="24"/>
        </w:rPr>
        <w:t xml:space="preserve">To the extent an LSE uses energy storage to meet its </w:t>
      </w:r>
      <w:proofErr w:type="spellStart"/>
      <w:r w:rsidRPr="006E004D">
        <w:rPr>
          <w:rFonts w:cs="Calibri"/>
          <w:color w:val="000000"/>
          <w:sz w:val="24"/>
          <w:szCs w:val="24"/>
        </w:rPr>
        <w:t>Load+PRM</w:t>
      </w:r>
      <w:proofErr w:type="spellEnd"/>
      <w:r w:rsidRPr="006E004D">
        <w:rPr>
          <w:rFonts w:cs="Calibri"/>
          <w:color w:val="000000"/>
          <w:sz w:val="24"/>
          <w:szCs w:val="24"/>
        </w:rPr>
        <w:t xml:space="preserve"> requirement, the LSE must demonstrate it has excess capacity </w:t>
      </w:r>
      <w:r w:rsidRPr="006E004D">
        <w:rPr>
          <w:rFonts w:cs="Calibri-Italic"/>
          <w:i/>
          <w:iCs/>
          <w:color w:val="000000"/>
          <w:sz w:val="24"/>
          <w:szCs w:val="24"/>
        </w:rPr>
        <w:t xml:space="preserve">(i.e., </w:t>
      </w:r>
      <w:r w:rsidRPr="006E004D">
        <w:rPr>
          <w:rFonts w:cs="Calibri"/>
          <w:color w:val="000000"/>
          <w:sz w:val="24"/>
          <w:szCs w:val="24"/>
        </w:rPr>
        <w:t xml:space="preserve">capacity that exceeds the LSE’s hourly Resource Adequacy (RA) requirement) that offsets the storage capacity plus efficiency losses.  In other words, LSEs must bring enough extra capacity to serve their own batteries. </w:t>
      </w:r>
    </w:p>
    <w:p w:rsidRPr="006E004D" w:rsidR="006E004D" w:rsidP="006E004D" w:rsidRDefault="006E004D" w14:paraId="42DC9033" w14:textId="77777777">
      <w:pPr>
        <w:autoSpaceDE w:val="0"/>
        <w:autoSpaceDN w:val="0"/>
        <w:adjustRightInd w:val="0"/>
        <w:spacing w:line="240" w:lineRule="auto"/>
        <w:ind w:firstLine="0"/>
        <w:rPr>
          <w:rFonts w:cs="Calibri"/>
          <w:color w:val="000000"/>
          <w:szCs w:val="26"/>
        </w:rPr>
      </w:pPr>
    </w:p>
    <w:p w:rsidRPr="006E004D" w:rsidR="006E004D" w:rsidP="006E004D" w:rsidRDefault="006E004D" w14:paraId="2294BC76" w14:textId="77777777">
      <w:pPr>
        <w:autoSpaceDE w:val="0"/>
        <w:autoSpaceDN w:val="0"/>
        <w:adjustRightInd w:val="0"/>
        <w:spacing w:line="240" w:lineRule="auto"/>
        <w:ind w:firstLine="0"/>
        <w:rPr>
          <w:rFonts w:cs="Calibri-LightItalic"/>
          <w:b/>
          <w:bCs/>
          <w:sz w:val="24"/>
          <w:szCs w:val="24"/>
        </w:rPr>
      </w:pPr>
      <w:r w:rsidRPr="006E004D">
        <w:rPr>
          <w:rFonts w:cs="Calibri-LightItalic"/>
          <w:b/>
          <w:bCs/>
          <w:sz w:val="24"/>
          <w:szCs w:val="24"/>
        </w:rPr>
        <w:t xml:space="preserve">Cost Allocation Mechanism (CAM) and RA Allocation </w:t>
      </w:r>
    </w:p>
    <w:p w:rsidRPr="006E004D" w:rsidR="006E004D" w:rsidP="006E004D" w:rsidRDefault="006E004D" w14:paraId="3F0EBCBB" w14:textId="77777777">
      <w:pPr>
        <w:autoSpaceDE w:val="0"/>
        <w:autoSpaceDN w:val="0"/>
        <w:adjustRightInd w:val="0"/>
        <w:spacing w:line="240" w:lineRule="auto"/>
        <w:ind w:firstLine="0"/>
        <w:rPr>
          <w:rFonts w:cs="Calibri"/>
          <w:color w:val="000000"/>
          <w:szCs w:val="26"/>
        </w:rPr>
      </w:pPr>
    </w:p>
    <w:p w:rsidR="007A7127" w:rsidP="006E004D" w:rsidRDefault="006E004D" w14:paraId="2EAAAC09" w14:textId="5D36A7A7">
      <w:pPr>
        <w:autoSpaceDE w:val="0"/>
        <w:autoSpaceDN w:val="0"/>
        <w:adjustRightInd w:val="0"/>
        <w:spacing w:line="240" w:lineRule="auto"/>
        <w:ind w:firstLine="0"/>
      </w:pPr>
      <w:r w:rsidRPr="006E004D">
        <w:rPr>
          <w:rFonts w:cs="Calibri"/>
          <w:color w:val="000000"/>
          <w:sz w:val="24"/>
          <w:szCs w:val="24"/>
        </w:rPr>
        <w:t xml:space="preserve">Monthly peak load ratio will be used for the CAM, Reliability Must Run, </w:t>
      </w:r>
      <w:r w:rsidR="007A7127">
        <w:rPr>
          <w:rFonts w:cs="Calibri"/>
          <w:color w:val="000000"/>
          <w:sz w:val="24"/>
          <w:szCs w:val="24"/>
        </w:rPr>
        <w:t xml:space="preserve">central procurement entity (CPE), </w:t>
      </w:r>
      <w:r w:rsidRPr="006E004D">
        <w:rPr>
          <w:rFonts w:cs="Calibri"/>
          <w:color w:val="000000"/>
          <w:sz w:val="24"/>
          <w:szCs w:val="24"/>
        </w:rPr>
        <w:t xml:space="preserve">and demand response (DR) allocations for all slices in the 24-hour framework.  </w:t>
      </w:r>
      <w:r w:rsidR="00892FEA">
        <w:rPr>
          <w:sz w:val="24"/>
          <w:szCs w:val="24"/>
        </w:rPr>
        <w:t>C</w:t>
      </w:r>
      <w:r w:rsidRPr="008D7713" w:rsidR="007A7127">
        <w:rPr>
          <w:sz w:val="24"/>
          <w:szCs w:val="24"/>
        </w:rPr>
        <w:t>redits associated with CPE procurement will be treated the same as CAM resources under the slice-of-day framework.</w:t>
      </w:r>
      <w:r w:rsidR="007A7127">
        <w:t xml:space="preserve">  </w:t>
      </w:r>
      <w:r w:rsidRPr="008D7713" w:rsidR="007A7127">
        <w:rPr>
          <w:sz w:val="24"/>
          <w:szCs w:val="24"/>
        </w:rPr>
        <w:t>Energy sufficiency requirements associated with utility procurement of standalone energy storage resources subject to Modified CAM will be proportionally allocated.</w:t>
      </w:r>
      <w:r w:rsidR="007A7127">
        <w:t xml:space="preserve">  </w:t>
      </w:r>
    </w:p>
    <w:p w:rsidR="007A7127" w:rsidP="006E004D" w:rsidRDefault="007A7127" w14:paraId="0E50A756" w14:textId="58AF7F62">
      <w:pPr>
        <w:autoSpaceDE w:val="0"/>
        <w:autoSpaceDN w:val="0"/>
        <w:adjustRightInd w:val="0"/>
        <w:spacing w:line="240" w:lineRule="auto"/>
        <w:ind w:firstLine="0"/>
      </w:pPr>
    </w:p>
    <w:p w:rsidRPr="006E004D" w:rsidR="007A7127" w:rsidP="006E004D" w:rsidRDefault="006E004D" w14:paraId="4328DCA0" w14:textId="4F0502FE">
      <w:pPr>
        <w:autoSpaceDE w:val="0"/>
        <w:autoSpaceDN w:val="0"/>
        <w:adjustRightInd w:val="0"/>
        <w:spacing w:line="240" w:lineRule="auto"/>
        <w:ind w:firstLine="0"/>
        <w:rPr>
          <w:rFonts w:cs="Calibri"/>
          <w:color w:val="000000"/>
          <w:sz w:val="24"/>
          <w:szCs w:val="24"/>
        </w:rPr>
      </w:pPr>
      <w:r w:rsidRPr="006E004D">
        <w:rPr>
          <w:rFonts w:cs="Calibri"/>
          <w:color w:val="000000"/>
          <w:sz w:val="24"/>
          <w:szCs w:val="24"/>
        </w:rPr>
        <w:lastRenderedPageBreak/>
        <w:t>CAM resources will be allocated by resource class.  Energy Division is directed to include energy sufficiency requirement allocations to load-serving entities using the CAM debit/credit mechanism.</w:t>
      </w:r>
      <w:r w:rsidRPr="006E004D">
        <w:rPr>
          <w:rFonts w:asciiTheme="minorHAnsi" w:hAnsiTheme="minorHAnsi"/>
          <w:sz w:val="22"/>
        </w:rPr>
        <w:t xml:space="preserve">  </w:t>
      </w:r>
      <w:r w:rsidRPr="006E004D">
        <w:rPr>
          <w:rFonts w:cs="Calibri"/>
          <w:color w:val="000000"/>
          <w:sz w:val="24"/>
          <w:szCs w:val="24"/>
        </w:rPr>
        <w:t>Energy Division is directed to determine the resource classes necessary to account for variation in the resources’ daily profiles and use limitations.</w:t>
      </w:r>
    </w:p>
    <w:p w:rsidRPr="006E004D" w:rsidR="006E004D" w:rsidDel="004A4506" w:rsidP="006E004D" w:rsidRDefault="006E004D" w14:paraId="2F89D2FA" w14:textId="77777777">
      <w:pPr>
        <w:autoSpaceDE w:val="0"/>
        <w:autoSpaceDN w:val="0"/>
        <w:adjustRightInd w:val="0"/>
        <w:spacing w:line="240" w:lineRule="auto"/>
        <w:ind w:firstLine="0"/>
        <w:rPr>
          <w:rFonts w:cs="Calibri"/>
          <w:color w:val="000000"/>
          <w:szCs w:val="26"/>
        </w:rPr>
      </w:pPr>
    </w:p>
    <w:p w:rsidRPr="006E004D" w:rsidR="006E004D" w:rsidP="006E004D" w:rsidRDefault="006E004D" w14:paraId="556F8A40" w14:textId="77777777">
      <w:pPr>
        <w:numPr>
          <w:ilvl w:val="0"/>
          <w:numId w:val="32"/>
        </w:numPr>
        <w:autoSpaceDE w:val="0"/>
        <w:autoSpaceDN w:val="0"/>
        <w:adjustRightInd w:val="0"/>
        <w:spacing w:after="160" w:line="240" w:lineRule="auto"/>
        <w:ind w:left="360"/>
        <w:contextualSpacing/>
        <w:rPr>
          <w:rFonts w:cs="Calibri-Light"/>
          <w:b/>
          <w:bCs/>
          <w:szCs w:val="26"/>
        </w:rPr>
      </w:pPr>
      <w:r w:rsidRPr="006E004D">
        <w:rPr>
          <w:rFonts w:cs="Calibri-Light"/>
          <w:b/>
          <w:bCs/>
          <w:szCs w:val="26"/>
        </w:rPr>
        <w:t xml:space="preserve">General Requirements and Counting for RA Capacity </w:t>
      </w:r>
    </w:p>
    <w:p w:rsidRPr="006E004D" w:rsidR="006E004D" w:rsidP="006E004D" w:rsidRDefault="006E004D" w14:paraId="33179364" w14:textId="77777777">
      <w:pPr>
        <w:autoSpaceDE w:val="0"/>
        <w:autoSpaceDN w:val="0"/>
        <w:adjustRightInd w:val="0"/>
        <w:spacing w:line="240" w:lineRule="auto"/>
        <w:ind w:firstLine="0"/>
        <w:rPr>
          <w:rFonts w:cs="Calibri"/>
          <w:color w:val="000000"/>
          <w:szCs w:val="26"/>
        </w:rPr>
      </w:pPr>
    </w:p>
    <w:p w:rsidRPr="006E004D" w:rsidR="006E004D" w:rsidP="006E004D" w:rsidRDefault="006E004D" w14:paraId="2A7E2A83" w14:textId="77777777">
      <w:pPr>
        <w:numPr>
          <w:ilvl w:val="0"/>
          <w:numId w:val="33"/>
        </w:numPr>
        <w:autoSpaceDE w:val="0"/>
        <w:autoSpaceDN w:val="0"/>
        <w:adjustRightInd w:val="0"/>
        <w:spacing w:after="160" w:line="240" w:lineRule="auto"/>
        <w:ind w:left="1080"/>
        <w:contextualSpacing/>
        <w:rPr>
          <w:rFonts w:cs="Calibri-Light"/>
          <w:b/>
          <w:bCs/>
          <w:sz w:val="24"/>
          <w:szCs w:val="24"/>
        </w:rPr>
      </w:pPr>
      <w:r w:rsidRPr="006E004D">
        <w:rPr>
          <w:rFonts w:cs="Calibri-Light"/>
          <w:b/>
          <w:bCs/>
          <w:sz w:val="24"/>
          <w:szCs w:val="24"/>
        </w:rPr>
        <w:t>Requirements of RA Resources</w:t>
      </w:r>
    </w:p>
    <w:p w:rsidRPr="006E004D" w:rsidR="006E004D" w:rsidP="006E004D" w:rsidRDefault="006E004D" w14:paraId="4531AC7F" w14:textId="77777777">
      <w:pPr>
        <w:autoSpaceDE w:val="0"/>
        <w:autoSpaceDN w:val="0"/>
        <w:adjustRightInd w:val="0"/>
        <w:spacing w:line="240" w:lineRule="auto"/>
        <w:ind w:left="720" w:firstLine="0"/>
        <w:contextualSpacing/>
        <w:rPr>
          <w:rFonts w:cs="Calibri-Light"/>
          <w:color w:val="1F3763"/>
          <w:szCs w:val="26"/>
        </w:rPr>
      </w:pPr>
    </w:p>
    <w:p w:rsidRPr="006E004D" w:rsidR="006E004D" w:rsidP="006E004D" w:rsidRDefault="006E004D" w14:paraId="1DB353DD" w14:textId="77777777">
      <w:pPr>
        <w:autoSpaceDE w:val="0"/>
        <w:autoSpaceDN w:val="0"/>
        <w:adjustRightInd w:val="0"/>
        <w:spacing w:line="240" w:lineRule="auto"/>
        <w:ind w:firstLine="0"/>
        <w:rPr>
          <w:rFonts w:cs="Calibri-LightItalic"/>
          <w:b/>
          <w:bCs/>
          <w:sz w:val="24"/>
          <w:szCs w:val="24"/>
        </w:rPr>
      </w:pPr>
      <w:r w:rsidRPr="006E004D">
        <w:rPr>
          <w:rFonts w:cs="Calibri-LightItalic"/>
          <w:b/>
          <w:bCs/>
          <w:sz w:val="24"/>
          <w:szCs w:val="24"/>
        </w:rPr>
        <w:t>No Unbundling of Attributes</w:t>
      </w:r>
    </w:p>
    <w:p w:rsidRPr="006E004D" w:rsidR="006E004D" w:rsidP="006E004D" w:rsidRDefault="006E004D" w14:paraId="03A502F5" w14:textId="77777777">
      <w:pPr>
        <w:autoSpaceDE w:val="0"/>
        <w:autoSpaceDN w:val="0"/>
        <w:adjustRightInd w:val="0"/>
        <w:spacing w:line="240" w:lineRule="auto"/>
        <w:ind w:firstLine="0"/>
        <w:rPr>
          <w:rFonts w:cs="Calibri"/>
          <w:color w:val="000000"/>
          <w:szCs w:val="26"/>
        </w:rPr>
      </w:pPr>
    </w:p>
    <w:p w:rsidRPr="006E004D" w:rsidR="006E004D" w:rsidP="006E004D" w:rsidRDefault="006E004D" w14:paraId="6C6F10EC" w14:textId="77777777">
      <w:pPr>
        <w:autoSpaceDE w:val="0"/>
        <w:autoSpaceDN w:val="0"/>
        <w:adjustRightInd w:val="0"/>
        <w:spacing w:line="240" w:lineRule="auto"/>
        <w:ind w:firstLine="0"/>
        <w:rPr>
          <w:rFonts w:cs="Calibri"/>
          <w:color w:val="000000"/>
          <w:sz w:val="24"/>
          <w:szCs w:val="24"/>
        </w:rPr>
      </w:pPr>
      <w:r w:rsidRPr="006E004D">
        <w:rPr>
          <w:rFonts w:cs="Calibri"/>
          <w:color w:val="000000"/>
          <w:sz w:val="24"/>
          <w:szCs w:val="24"/>
        </w:rPr>
        <w:t>Resource attributes and capabilities remain bundled across each compliance month and the existing full-capability/all-hour must-offer obligation is retained.  Bundling resource attributes (</w:t>
      </w:r>
      <w:r w:rsidRPr="006E004D">
        <w:rPr>
          <w:rFonts w:cs="Calibri-Italic"/>
          <w:i/>
          <w:iCs/>
          <w:color w:val="000000"/>
          <w:sz w:val="24"/>
          <w:szCs w:val="24"/>
        </w:rPr>
        <w:t xml:space="preserve">i.e., </w:t>
      </w:r>
      <w:r w:rsidRPr="006E004D">
        <w:rPr>
          <w:rFonts w:cs="Calibri"/>
          <w:color w:val="000000"/>
          <w:sz w:val="24"/>
          <w:szCs w:val="24"/>
        </w:rPr>
        <w:t>system, local, flexible) and capabilities across each compliance month aligns with the existing must-offer obligation because it ensures resources that have sold capacity also have a must-offer obligation equal to the sold amount for all hours they can produce.  Resources can continue to sell portions of their capacity to different LSEs (</w:t>
      </w:r>
      <w:r w:rsidRPr="006E004D">
        <w:rPr>
          <w:rFonts w:cs="Calibri-Italic"/>
          <w:i/>
          <w:iCs/>
          <w:color w:val="000000"/>
          <w:sz w:val="24"/>
          <w:szCs w:val="24"/>
        </w:rPr>
        <w:t xml:space="preserve">e.g., </w:t>
      </w:r>
      <w:r w:rsidRPr="006E004D">
        <w:rPr>
          <w:rFonts w:cs="Calibri"/>
          <w:color w:val="000000"/>
          <w:sz w:val="24"/>
          <w:szCs w:val="24"/>
        </w:rPr>
        <w:t xml:space="preserve">70% of capacity sold to LSE 1 and 30% of capacity sold to LSE 2), but they cannot sell separate hourly products because that would effectively sell the same RA capacity multiple times. </w:t>
      </w:r>
    </w:p>
    <w:p w:rsidRPr="006E004D" w:rsidR="006E004D" w:rsidP="006E004D" w:rsidRDefault="006E004D" w14:paraId="7BE9161B" w14:textId="77777777">
      <w:pPr>
        <w:autoSpaceDE w:val="0"/>
        <w:autoSpaceDN w:val="0"/>
        <w:adjustRightInd w:val="0"/>
        <w:spacing w:line="240" w:lineRule="auto"/>
        <w:ind w:firstLine="0"/>
        <w:rPr>
          <w:rFonts w:cs="Calibri"/>
          <w:color w:val="000000"/>
          <w:szCs w:val="26"/>
        </w:rPr>
      </w:pPr>
    </w:p>
    <w:p w:rsidRPr="006E004D" w:rsidR="006E004D" w:rsidP="006E004D" w:rsidRDefault="006E004D" w14:paraId="38020B10" w14:textId="77777777">
      <w:pPr>
        <w:autoSpaceDE w:val="0"/>
        <w:autoSpaceDN w:val="0"/>
        <w:adjustRightInd w:val="0"/>
        <w:spacing w:line="240" w:lineRule="auto"/>
        <w:ind w:firstLine="0"/>
        <w:rPr>
          <w:rFonts w:cs="Calibri-LightItalic"/>
          <w:b/>
          <w:bCs/>
          <w:sz w:val="24"/>
          <w:szCs w:val="24"/>
        </w:rPr>
      </w:pPr>
      <w:r w:rsidRPr="006E004D">
        <w:rPr>
          <w:rFonts w:cs="Calibri-LightItalic"/>
          <w:b/>
          <w:bCs/>
          <w:sz w:val="24"/>
          <w:szCs w:val="24"/>
        </w:rPr>
        <w:t>Full-Capability Must-Offer Requirement</w:t>
      </w:r>
    </w:p>
    <w:p w:rsidRPr="006E004D" w:rsidR="006E004D" w:rsidP="006E004D" w:rsidRDefault="006E004D" w14:paraId="416F2507" w14:textId="77777777">
      <w:pPr>
        <w:autoSpaceDE w:val="0"/>
        <w:autoSpaceDN w:val="0"/>
        <w:adjustRightInd w:val="0"/>
        <w:spacing w:line="240" w:lineRule="auto"/>
        <w:ind w:firstLine="0"/>
        <w:rPr>
          <w:rFonts w:cs="Calibri"/>
          <w:color w:val="000000"/>
          <w:szCs w:val="26"/>
        </w:rPr>
      </w:pPr>
    </w:p>
    <w:p w:rsidRPr="006E004D" w:rsidR="006E004D" w:rsidP="006E004D" w:rsidRDefault="006E004D" w14:paraId="5FEC4A91" w14:textId="77777777">
      <w:pPr>
        <w:autoSpaceDE w:val="0"/>
        <w:autoSpaceDN w:val="0"/>
        <w:adjustRightInd w:val="0"/>
        <w:spacing w:line="240" w:lineRule="auto"/>
        <w:ind w:firstLine="0"/>
        <w:rPr>
          <w:rFonts w:cs="Calibri"/>
          <w:color w:val="000000"/>
          <w:sz w:val="24"/>
          <w:szCs w:val="24"/>
        </w:rPr>
      </w:pPr>
      <w:r w:rsidRPr="006E004D">
        <w:rPr>
          <w:rFonts w:cs="Calibri"/>
          <w:color w:val="000000"/>
          <w:sz w:val="24"/>
          <w:szCs w:val="24"/>
        </w:rPr>
        <w:t xml:space="preserve">An RA resource must offer all its capability to CAISO for the quantity of RA shown by LSEs.  CAISO’s market will optimize resources consistent with bids and resource limitations across the compliance month.  </w:t>
      </w:r>
    </w:p>
    <w:p w:rsidRPr="006E004D" w:rsidR="006E004D" w:rsidP="006E004D" w:rsidRDefault="006E004D" w14:paraId="06F59264" w14:textId="77777777">
      <w:pPr>
        <w:autoSpaceDE w:val="0"/>
        <w:autoSpaceDN w:val="0"/>
        <w:adjustRightInd w:val="0"/>
        <w:spacing w:line="240" w:lineRule="auto"/>
        <w:ind w:firstLine="0"/>
        <w:rPr>
          <w:rFonts w:cs="Calibri"/>
          <w:color w:val="000000"/>
          <w:szCs w:val="26"/>
        </w:rPr>
      </w:pPr>
    </w:p>
    <w:p w:rsidRPr="006E004D" w:rsidR="006E004D" w:rsidP="006E004D" w:rsidRDefault="006E004D" w14:paraId="15FDC785" w14:textId="77777777">
      <w:pPr>
        <w:autoSpaceDE w:val="0"/>
        <w:autoSpaceDN w:val="0"/>
        <w:adjustRightInd w:val="0"/>
        <w:spacing w:line="240" w:lineRule="auto"/>
        <w:ind w:firstLine="0"/>
        <w:rPr>
          <w:rFonts w:cs="Calibri-LightItalic"/>
          <w:b/>
          <w:bCs/>
          <w:color w:val="2F5497"/>
          <w:sz w:val="24"/>
          <w:szCs w:val="24"/>
        </w:rPr>
      </w:pPr>
      <w:r w:rsidRPr="006E004D">
        <w:rPr>
          <w:rFonts w:cs="Calibri-LightItalic"/>
          <w:b/>
          <w:bCs/>
          <w:sz w:val="24"/>
          <w:szCs w:val="24"/>
        </w:rPr>
        <w:t>Resources Must Be Deliverable to Provide RA</w:t>
      </w:r>
    </w:p>
    <w:p w:rsidRPr="006E004D" w:rsidR="006E004D" w:rsidP="006E004D" w:rsidRDefault="006E004D" w14:paraId="43DBEDD7" w14:textId="77777777">
      <w:pPr>
        <w:autoSpaceDE w:val="0"/>
        <w:autoSpaceDN w:val="0"/>
        <w:adjustRightInd w:val="0"/>
        <w:spacing w:line="240" w:lineRule="auto"/>
        <w:ind w:firstLine="0"/>
        <w:rPr>
          <w:rFonts w:cs="Calibri"/>
          <w:color w:val="000000"/>
          <w:szCs w:val="26"/>
        </w:rPr>
      </w:pPr>
    </w:p>
    <w:p w:rsidRPr="006E004D" w:rsidR="006E004D" w:rsidP="006E004D" w:rsidRDefault="006E004D" w14:paraId="6740379B" w14:textId="77777777">
      <w:pPr>
        <w:autoSpaceDE w:val="0"/>
        <w:autoSpaceDN w:val="0"/>
        <w:adjustRightInd w:val="0"/>
        <w:spacing w:line="240" w:lineRule="auto"/>
        <w:ind w:firstLine="0"/>
        <w:rPr>
          <w:rFonts w:cs="Calibri"/>
          <w:color w:val="000000"/>
          <w:sz w:val="24"/>
          <w:szCs w:val="24"/>
        </w:rPr>
      </w:pPr>
      <w:r w:rsidRPr="006E004D">
        <w:rPr>
          <w:rFonts w:cs="Calibri"/>
          <w:color w:val="000000"/>
          <w:sz w:val="24"/>
          <w:szCs w:val="24"/>
        </w:rPr>
        <w:t>Resources must be deliverable to qualify to sell RA (and be included in the RA showing), as required today.  Resources that are partially deliverable can only provide RA for the portion of the resource that is deliverable.</w:t>
      </w:r>
    </w:p>
    <w:p w:rsidRPr="006E004D" w:rsidR="006E004D" w:rsidP="006E004D" w:rsidRDefault="006E004D" w14:paraId="25A221BB" w14:textId="77777777">
      <w:pPr>
        <w:spacing w:after="160" w:line="259" w:lineRule="auto"/>
        <w:ind w:firstLine="0"/>
        <w:rPr>
          <w:rFonts w:asciiTheme="minorHAnsi" w:hAnsiTheme="minorHAnsi"/>
          <w:sz w:val="22"/>
        </w:rPr>
      </w:pPr>
    </w:p>
    <w:p w:rsidRPr="006E004D" w:rsidR="006E004D" w:rsidP="006E004D" w:rsidRDefault="006E004D" w14:paraId="57F4D667" w14:textId="77777777">
      <w:pPr>
        <w:autoSpaceDE w:val="0"/>
        <w:autoSpaceDN w:val="0"/>
        <w:adjustRightInd w:val="0"/>
        <w:spacing w:line="240" w:lineRule="auto"/>
        <w:ind w:firstLine="0"/>
        <w:rPr>
          <w:rFonts w:cs="Calibri-LightItalic"/>
          <w:b/>
          <w:bCs/>
          <w:sz w:val="24"/>
          <w:szCs w:val="24"/>
        </w:rPr>
      </w:pPr>
      <w:r w:rsidRPr="006E004D">
        <w:rPr>
          <w:rFonts w:cs="Calibri-LightItalic"/>
          <w:b/>
          <w:bCs/>
          <w:sz w:val="24"/>
          <w:szCs w:val="24"/>
        </w:rPr>
        <w:t>Profiles and Net Qualifying Capacity (NQC)</w:t>
      </w:r>
    </w:p>
    <w:p w:rsidRPr="006E004D" w:rsidR="006E004D" w:rsidP="006E004D" w:rsidRDefault="006E004D" w14:paraId="66D21498" w14:textId="77777777">
      <w:pPr>
        <w:autoSpaceDE w:val="0"/>
        <w:autoSpaceDN w:val="0"/>
        <w:adjustRightInd w:val="0"/>
        <w:spacing w:line="240" w:lineRule="auto"/>
        <w:ind w:left="720" w:firstLine="0"/>
        <w:contextualSpacing/>
        <w:rPr>
          <w:rFonts w:cs="Calibri-LightItalic"/>
          <w:i/>
          <w:iCs/>
          <w:color w:val="2F5497"/>
          <w:szCs w:val="26"/>
        </w:rPr>
      </w:pPr>
    </w:p>
    <w:p w:rsidRPr="006E004D" w:rsidR="006E004D" w:rsidP="006E004D" w:rsidRDefault="006E004D" w14:paraId="246CE9A1" w14:textId="35E14FDD">
      <w:pPr>
        <w:autoSpaceDE w:val="0"/>
        <w:autoSpaceDN w:val="0"/>
        <w:adjustRightInd w:val="0"/>
        <w:spacing w:line="240" w:lineRule="auto"/>
        <w:ind w:firstLine="0"/>
        <w:rPr>
          <w:rFonts w:cs="Calibri"/>
          <w:color w:val="000000"/>
          <w:sz w:val="24"/>
          <w:szCs w:val="24"/>
        </w:rPr>
      </w:pPr>
      <w:r w:rsidRPr="006E004D">
        <w:rPr>
          <w:rFonts w:cs="Calibri"/>
          <w:color w:val="000000"/>
          <w:sz w:val="24"/>
          <w:szCs w:val="24"/>
        </w:rPr>
        <w:t xml:space="preserve">All resources will still have a single monthly NQC value representing the deliverability-adjusted peak-hour contribution.  Most resource types will continue to utilize this NQC for their hourly showing while solar and wind will utilize hourly profiles.  The Commission will provide three values to CAISO for each </w:t>
      </w:r>
      <w:r w:rsidRPr="00A15D6D">
        <w:rPr>
          <w:rFonts w:cs="Calibri"/>
          <w:color w:val="000000"/>
          <w:sz w:val="24"/>
          <w:szCs w:val="24"/>
        </w:rPr>
        <w:t>resource</w:t>
      </w:r>
      <w:r w:rsidRPr="00A15D6D" w:rsidR="00673382">
        <w:rPr>
          <w:rFonts w:cs="Calibri"/>
          <w:color w:val="000000"/>
          <w:sz w:val="24"/>
          <w:szCs w:val="24"/>
        </w:rPr>
        <w:t xml:space="preserve"> </w:t>
      </w:r>
      <w:r w:rsidRPr="00A15D6D" w:rsidR="008B46EC">
        <w:rPr>
          <w:rFonts w:cs="Calibri"/>
          <w:color w:val="000000"/>
          <w:sz w:val="24"/>
          <w:szCs w:val="24"/>
        </w:rPr>
        <w:t xml:space="preserve">type whose counting methodology will </w:t>
      </w:r>
      <w:r w:rsidR="00C8596B">
        <w:rPr>
          <w:rFonts w:cs="Calibri"/>
          <w:color w:val="000000"/>
          <w:sz w:val="24"/>
          <w:szCs w:val="24"/>
        </w:rPr>
        <w:t xml:space="preserve">change to hourly profiles </w:t>
      </w:r>
      <w:r w:rsidRPr="00A15D6D" w:rsidR="008B46EC">
        <w:rPr>
          <w:rFonts w:cs="Calibri"/>
          <w:color w:val="000000"/>
          <w:sz w:val="24"/>
          <w:szCs w:val="24"/>
        </w:rPr>
        <w:t>under the SOD framework</w:t>
      </w:r>
      <w:r w:rsidRPr="00A15D6D">
        <w:rPr>
          <w:rFonts w:cs="Calibri"/>
          <w:color w:val="000000"/>
          <w:sz w:val="24"/>
          <w:szCs w:val="24"/>
        </w:rPr>
        <w:t xml:space="preserve">: </w:t>
      </w:r>
      <w:r w:rsidR="00BE3742">
        <w:rPr>
          <w:rFonts w:cs="Calibri"/>
          <w:color w:val="000000"/>
          <w:sz w:val="24"/>
          <w:szCs w:val="24"/>
        </w:rPr>
        <w:t xml:space="preserve">(1) </w:t>
      </w:r>
      <w:r w:rsidRPr="00A15D6D">
        <w:rPr>
          <w:rFonts w:cs="Calibri"/>
          <w:color w:val="000000"/>
          <w:sz w:val="24"/>
          <w:szCs w:val="24"/>
        </w:rPr>
        <w:t>t</w:t>
      </w:r>
      <w:r w:rsidRPr="006E004D">
        <w:rPr>
          <w:rFonts w:cs="Calibri"/>
          <w:color w:val="000000"/>
          <w:sz w:val="24"/>
          <w:szCs w:val="24"/>
        </w:rPr>
        <w:t xml:space="preserve">he </w:t>
      </w:r>
      <w:r w:rsidRPr="006E004D">
        <w:rPr>
          <w:rFonts w:cs="Calibri"/>
          <w:color w:val="000000"/>
          <w:sz w:val="24"/>
          <w:szCs w:val="24"/>
        </w:rPr>
        <w:lastRenderedPageBreak/>
        <w:t xml:space="preserve">maximum showing value, </w:t>
      </w:r>
      <w:r w:rsidR="00BE3742">
        <w:rPr>
          <w:rFonts w:cs="Calibri"/>
          <w:color w:val="000000"/>
          <w:sz w:val="24"/>
          <w:szCs w:val="24"/>
        </w:rPr>
        <w:t xml:space="preserve">(2) </w:t>
      </w:r>
      <w:r w:rsidRPr="006E004D">
        <w:rPr>
          <w:rFonts w:cs="Calibri"/>
          <w:color w:val="000000"/>
          <w:sz w:val="24"/>
          <w:szCs w:val="24"/>
        </w:rPr>
        <w:t xml:space="preserve">the peak showing value, and </w:t>
      </w:r>
      <w:r w:rsidR="00BE3742">
        <w:rPr>
          <w:rFonts w:cs="Calibri"/>
          <w:color w:val="000000"/>
          <w:sz w:val="24"/>
          <w:szCs w:val="24"/>
        </w:rPr>
        <w:t xml:space="preserve">(3) </w:t>
      </w:r>
      <w:r w:rsidR="00175170">
        <w:rPr>
          <w:rFonts w:cs="Calibri"/>
          <w:color w:val="000000"/>
          <w:sz w:val="24"/>
          <w:szCs w:val="24"/>
        </w:rPr>
        <w:t xml:space="preserve">the greater of the peak hour value and a very small </w:t>
      </w:r>
      <w:r w:rsidRPr="006E004D">
        <w:rPr>
          <w:rFonts w:cs="Calibri"/>
          <w:color w:val="000000"/>
          <w:sz w:val="24"/>
          <w:szCs w:val="24"/>
        </w:rPr>
        <w:t>non-zero QC value</w:t>
      </w:r>
      <w:r w:rsidR="00175170">
        <w:rPr>
          <w:rFonts w:cs="Calibri"/>
          <w:color w:val="000000"/>
          <w:sz w:val="24"/>
          <w:szCs w:val="24"/>
        </w:rPr>
        <w:t xml:space="preserve"> if the peak hour value is zero</w:t>
      </w:r>
      <w:r w:rsidRPr="006E004D">
        <w:rPr>
          <w:rFonts w:cs="Calibri"/>
          <w:color w:val="000000"/>
          <w:sz w:val="24"/>
          <w:szCs w:val="24"/>
        </w:rPr>
        <w:t xml:space="preserve">.  During the test year, the non-zero QC values will continue to be based on current QC methodologies as those will be the compliance values for 2024.  Beyond the test year, </w:t>
      </w:r>
      <w:r w:rsidR="00BE3742">
        <w:rPr>
          <w:rFonts w:cs="Calibri"/>
          <w:color w:val="000000"/>
          <w:sz w:val="24"/>
          <w:szCs w:val="24"/>
        </w:rPr>
        <w:t xml:space="preserve">the greater of the peak hour value and a very small </w:t>
      </w:r>
      <w:r w:rsidRPr="006E004D" w:rsidR="00BE3742">
        <w:rPr>
          <w:rFonts w:cs="Calibri"/>
          <w:color w:val="000000"/>
          <w:sz w:val="24"/>
          <w:szCs w:val="24"/>
        </w:rPr>
        <w:t>non-zero QC value</w:t>
      </w:r>
      <w:r w:rsidR="00BE3742">
        <w:rPr>
          <w:rFonts w:cs="Calibri"/>
          <w:color w:val="000000"/>
          <w:sz w:val="24"/>
          <w:szCs w:val="24"/>
        </w:rPr>
        <w:t xml:space="preserve"> if the peak hour value is zero</w:t>
      </w:r>
      <w:r w:rsidRPr="006E004D" w:rsidR="00BE3742">
        <w:rPr>
          <w:rFonts w:cs="Calibri"/>
          <w:color w:val="000000"/>
          <w:sz w:val="24"/>
          <w:szCs w:val="24"/>
        </w:rPr>
        <w:t xml:space="preserve"> </w:t>
      </w:r>
      <w:r w:rsidRPr="006E004D">
        <w:rPr>
          <w:rFonts w:cs="Calibri"/>
          <w:color w:val="000000"/>
          <w:sz w:val="24"/>
          <w:szCs w:val="24"/>
        </w:rPr>
        <w:t>will be provided to CAISO for the non-zero QC value.</w:t>
      </w:r>
    </w:p>
    <w:p w:rsidR="00C8596B" w:rsidP="006E004D" w:rsidRDefault="00C8596B" w14:paraId="0011C08D" w14:textId="77777777">
      <w:pPr>
        <w:autoSpaceDE w:val="0"/>
        <w:autoSpaceDN w:val="0"/>
        <w:adjustRightInd w:val="0"/>
        <w:spacing w:line="240" w:lineRule="auto"/>
        <w:ind w:firstLine="0"/>
        <w:rPr>
          <w:rFonts w:cs="Book Antiqua"/>
          <w:color w:val="000000"/>
          <w:szCs w:val="26"/>
        </w:rPr>
      </w:pPr>
    </w:p>
    <w:p w:rsidRPr="006E004D" w:rsidR="006E004D" w:rsidP="006E004D" w:rsidRDefault="006E004D" w14:paraId="4C68B3FB" w14:textId="6DA8CEC8">
      <w:pPr>
        <w:autoSpaceDE w:val="0"/>
        <w:autoSpaceDN w:val="0"/>
        <w:adjustRightInd w:val="0"/>
        <w:spacing w:line="240" w:lineRule="auto"/>
        <w:ind w:firstLine="0"/>
        <w:rPr>
          <w:rFonts w:cs="Calibri-LightItalic"/>
          <w:b/>
          <w:bCs/>
          <w:i/>
          <w:iCs/>
          <w:color w:val="2F5497"/>
          <w:sz w:val="24"/>
          <w:szCs w:val="24"/>
        </w:rPr>
      </w:pPr>
      <w:r w:rsidRPr="006E004D">
        <w:rPr>
          <w:rFonts w:cs="Calibri-LightItalic"/>
          <w:b/>
          <w:bCs/>
          <w:sz w:val="24"/>
          <w:szCs w:val="24"/>
        </w:rPr>
        <w:t>Deliverability</w:t>
      </w:r>
    </w:p>
    <w:p w:rsidRPr="006E004D" w:rsidR="006E004D" w:rsidP="006E004D" w:rsidRDefault="006E004D" w14:paraId="67CD8943" w14:textId="77777777">
      <w:pPr>
        <w:autoSpaceDE w:val="0"/>
        <w:autoSpaceDN w:val="0"/>
        <w:adjustRightInd w:val="0"/>
        <w:spacing w:line="240" w:lineRule="auto"/>
        <w:ind w:left="720" w:firstLine="0"/>
        <w:contextualSpacing/>
        <w:rPr>
          <w:rFonts w:cs="Calibri-LightItalic"/>
          <w:i/>
          <w:iCs/>
          <w:color w:val="2F5497"/>
          <w:szCs w:val="26"/>
        </w:rPr>
      </w:pPr>
    </w:p>
    <w:p w:rsidRPr="006E004D" w:rsidR="006E004D" w:rsidP="006E004D" w:rsidRDefault="006E004D" w14:paraId="5317B5EA" w14:textId="77777777">
      <w:pPr>
        <w:autoSpaceDE w:val="0"/>
        <w:autoSpaceDN w:val="0"/>
        <w:adjustRightInd w:val="0"/>
        <w:spacing w:line="240" w:lineRule="auto"/>
        <w:ind w:firstLine="0"/>
        <w:rPr>
          <w:rFonts w:cs="Calibri"/>
          <w:color w:val="000000"/>
          <w:sz w:val="24"/>
          <w:szCs w:val="24"/>
        </w:rPr>
      </w:pPr>
      <w:r w:rsidRPr="006E004D">
        <w:rPr>
          <w:rFonts w:cs="Calibri"/>
          <w:color w:val="000000"/>
          <w:sz w:val="24"/>
          <w:szCs w:val="24"/>
        </w:rPr>
        <w:t>The current on-peak deliverability study process shall continue to be used, with outputs in the 24-hour framework.  A resource is deemed to be “fully deliverable” if its full modeled output can deliver to system load under summer peak load conditions, and “partially deliverable” if something less than its full modeled output can reach the grid.  The “full deliverability” amount is not dependent on the Commission’s resource counting, only CAISO’s modeling.</w:t>
      </w:r>
    </w:p>
    <w:p w:rsidRPr="006E004D" w:rsidR="006E004D" w:rsidP="006E004D" w:rsidRDefault="006E004D" w14:paraId="4FAAC566" w14:textId="77777777">
      <w:pPr>
        <w:autoSpaceDE w:val="0"/>
        <w:autoSpaceDN w:val="0"/>
        <w:adjustRightInd w:val="0"/>
        <w:spacing w:line="240" w:lineRule="auto"/>
        <w:ind w:firstLine="0"/>
        <w:rPr>
          <w:rFonts w:cs="Calibri"/>
          <w:color w:val="000000"/>
          <w:szCs w:val="26"/>
        </w:rPr>
      </w:pPr>
    </w:p>
    <w:p w:rsidRPr="006E004D" w:rsidR="006E004D" w:rsidP="006E004D" w:rsidRDefault="006E004D" w14:paraId="6563A967" w14:textId="77777777">
      <w:pPr>
        <w:numPr>
          <w:ilvl w:val="0"/>
          <w:numId w:val="33"/>
        </w:numPr>
        <w:autoSpaceDE w:val="0"/>
        <w:autoSpaceDN w:val="0"/>
        <w:adjustRightInd w:val="0"/>
        <w:spacing w:after="160" w:line="240" w:lineRule="auto"/>
        <w:ind w:left="1080"/>
        <w:contextualSpacing/>
        <w:rPr>
          <w:rFonts w:cs="Calibri-Light"/>
          <w:b/>
          <w:bCs/>
          <w:szCs w:val="26"/>
        </w:rPr>
      </w:pPr>
      <w:r w:rsidRPr="006E004D">
        <w:rPr>
          <w:rFonts w:cs="Calibri-Light"/>
          <w:b/>
          <w:bCs/>
          <w:szCs w:val="26"/>
        </w:rPr>
        <w:t xml:space="preserve">Resource Counting </w:t>
      </w:r>
    </w:p>
    <w:p w:rsidRPr="006E004D" w:rsidR="006E004D" w:rsidP="006E004D" w:rsidRDefault="006E004D" w14:paraId="3B66BBF8" w14:textId="77777777">
      <w:pPr>
        <w:autoSpaceDE w:val="0"/>
        <w:autoSpaceDN w:val="0"/>
        <w:adjustRightInd w:val="0"/>
        <w:spacing w:line="240" w:lineRule="auto"/>
        <w:ind w:firstLine="0"/>
        <w:rPr>
          <w:rFonts w:cs="Calibri"/>
          <w:color w:val="000000"/>
          <w:szCs w:val="26"/>
        </w:rPr>
      </w:pPr>
    </w:p>
    <w:p w:rsidRPr="006E004D" w:rsidR="006E004D" w:rsidP="006E004D" w:rsidRDefault="006E004D" w14:paraId="6F45F3FB" w14:textId="77777777">
      <w:pPr>
        <w:autoSpaceDE w:val="0"/>
        <w:autoSpaceDN w:val="0"/>
        <w:adjustRightInd w:val="0"/>
        <w:spacing w:line="240" w:lineRule="auto"/>
        <w:ind w:firstLine="0"/>
        <w:rPr>
          <w:rFonts w:cs="Calibri"/>
          <w:color w:val="000000"/>
          <w:sz w:val="24"/>
          <w:szCs w:val="24"/>
        </w:rPr>
      </w:pPr>
      <w:r w:rsidRPr="006E004D">
        <w:rPr>
          <w:rFonts w:cs="Calibri"/>
          <w:color w:val="000000"/>
          <w:sz w:val="24"/>
          <w:szCs w:val="24"/>
        </w:rPr>
        <w:t xml:space="preserve">Resource capacity counting should be consistent with expected capacity contribution in the slice.  The expected capacity contribution in a slice will depend on resource size, general type, special operational characteristics or limitations, deliverability status, and </w:t>
      </w:r>
      <w:proofErr w:type="gramStart"/>
      <w:r w:rsidRPr="006E004D">
        <w:rPr>
          <w:rFonts w:cs="Calibri"/>
          <w:color w:val="000000"/>
          <w:sz w:val="24"/>
          <w:szCs w:val="24"/>
        </w:rPr>
        <w:t>potentially</w:t>
      </w:r>
      <w:proofErr w:type="gramEnd"/>
      <w:r w:rsidRPr="006E004D">
        <w:rPr>
          <w:rFonts w:cs="Calibri"/>
          <w:color w:val="000000"/>
          <w:sz w:val="24"/>
          <w:szCs w:val="24"/>
        </w:rPr>
        <w:t xml:space="preserve"> location.  These limitations will be identified through the development of the RA Master Resource Database (MRD).  The database will also include tables reflecting solar and wind profiles.  </w:t>
      </w:r>
    </w:p>
    <w:p w:rsidRPr="006E004D" w:rsidR="006E004D" w:rsidP="006E004D" w:rsidRDefault="006E004D" w14:paraId="69ADCAAF" w14:textId="77777777">
      <w:pPr>
        <w:autoSpaceDE w:val="0"/>
        <w:autoSpaceDN w:val="0"/>
        <w:adjustRightInd w:val="0"/>
        <w:spacing w:line="240" w:lineRule="auto"/>
        <w:ind w:firstLine="0"/>
        <w:rPr>
          <w:rFonts w:cs="Calibri-LightItalic"/>
          <w:b/>
          <w:bCs/>
          <w:szCs w:val="26"/>
        </w:rPr>
      </w:pPr>
    </w:p>
    <w:p w:rsidR="00BE3742" w:rsidP="006E004D" w:rsidRDefault="006E004D" w14:paraId="04B7394A" w14:textId="22E02174">
      <w:pPr>
        <w:autoSpaceDE w:val="0"/>
        <w:autoSpaceDN w:val="0"/>
        <w:adjustRightInd w:val="0"/>
        <w:spacing w:line="240" w:lineRule="auto"/>
        <w:ind w:firstLine="0"/>
        <w:rPr>
          <w:rFonts w:cs="Calibri-LightItalic"/>
          <w:sz w:val="24"/>
          <w:szCs w:val="24"/>
        </w:rPr>
      </w:pPr>
      <w:r w:rsidRPr="006E004D">
        <w:rPr>
          <w:rFonts w:cs="Calibri-LightItalic"/>
          <w:b/>
          <w:bCs/>
          <w:sz w:val="24"/>
          <w:szCs w:val="24"/>
        </w:rPr>
        <w:t>W</w:t>
      </w:r>
      <w:r w:rsidRPr="006E004D" w:rsidDel="004A4506">
        <w:rPr>
          <w:rFonts w:cs="Calibri-LightItalic"/>
          <w:b/>
          <w:bCs/>
          <w:sz w:val="24"/>
          <w:szCs w:val="24"/>
        </w:rPr>
        <w:t>ind and solar</w:t>
      </w:r>
      <w:r w:rsidRPr="006E004D" w:rsidDel="004A4506">
        <w:rPr>
          <w:rFonts w:cs="Calibri-LightItalic"/>
          <w:sz w:val="24"/>
          <w:szCs w:val="24"/>
        </w:rPr>
        <w:t xml:space="preserve"> </w:t>
      </w:r>
      <w:r w:rsidRPr="006E004D">
        <w:rPr>
          <w:rFonts w:cs="Calibri-LightItalic"/>
          <w:b/>
          <w:bCs/>
          <w:sz w:val="24"/>
          <w:szCs w:val="24"/>
        </w:rPr>
        <w:t>resources</w:t>
      </w:r>
      <w:r w:rsidRPr="006E004D">
        <w:rPr>
          <w:rFonts w:cs="Calibri-LightItalic"/>
          <w:sz w:val="24"/>
          <w:szCs w:val="24"/>
        </w:rPr>
        <w:t xml:space="preserve"> </w:t>
      </w:r>
      <w:r w:rsidRPr="006E004D" w:rsidDel="004A4506">
        <w:rPr>
          <w:rFonts w:cs="Calibri-LightItalic"/>
          <w:sz w:val="24"/>
          <w:szCs w:val="24"/>
        </w:rPr>
        <w:t xml:space="preserve">will be assigned </w:t>
      </w:r>
      <w:r w:rsidRPr="006E004D">
        <w:rPr>
          <w:rFonts w:cs="Calibri-LightItalic"/>
          <w:sz w:val="24"/>
          <w:szCs w:val="24"/>
        </w:rPr>
        <w:t xml:space="preserve">monthly 24-hour </w:t>
      </w:r>
      <w:r w:rsidRPr="006E004D" w:rsidDel="004A4506">
        <w:rPr>
          <w:rFonts w:cs="Calibri-LightItalic"/>
          <w:sz w:val="24"/>
          <w:szCs w:val="24"/>
        </w:rPr>
        <w:t>profile</w:t>
      </w:r>
      <w:r w:rsidRPr="006E004D">
        <w:rPr>
          <w:rFonts w:cs="Calibri-LightItalic"/>
          <w:sz w:val="24"/>
          <w:szCs w:val="24"/>
        </w:rPr>
        <w:t>s</w:t>
      </w:r>
      <w:r w:rsidRPr="006E004D" w:rsidDel="004A4506">
        <w:rPr>
          <w:rFonts w:cs="Calibri-LightItalic"/>
          <w:sz w:val="24"/>
          <w:szCs w:val="24"/>
        </w:rPr>
        <w:t xml:space="preserve"> based on </w:t>
      </w:r>
      <w:r w:rsidRPr="006E004D" w:rsidR="0057424A">
        <w:rPr>
          <w:rFonts w:cs="Calibri-LightItalic"/>
          <w:sz w:val="24"/>
          <w:szCs w:val="24"/>
        </w:rPr>
        <w:t xml:space="preserve">Pacific Gas and Electric Company’s </w:t>
      </w:r>
      <w:r w:rsidR="0057424A">
        <w:rPr>
          <w:rFonts w:cs="Calibri-LightItalic"/>
          <w:sz w:val="24"/>
          <w:szCs w:val="24"/>
        </w:rPr>
        <w:t xml:space="preserve">(PG&amp;E) </w:t>
      </w:r>
      <w:r w:rsidRPr="006E004D" w:rsidR="0057424A">
        <w:rPr>
          <w:sz w:val="24"/>
          <w:szCs w:val="24"/>
        </w:rPr>
        <w:t xml:space="preserve">Top 5 </w:t>
      </w:r>
      <w:r w:rsidR="00BB4F2C">
        <w:rPr>
          <w:sz w:val="24"/>
          <w:szCs w:val="24"/>
        </w:rPr>
        <w:t>D</w:t>
      </w:r>
      <w:r w:rsidRPr="006E004D" w:rsidR="0057424A">
        <w:rPr>
          <w:sz w:val="24"/>
          <w:szCs w:val="24"/>
        </w:rPr>
        <w:t xml:space="preserve">ay </w:t>
      </w:r>
      <w:r w:rsidRPr="006E004D">
        <w:rPr>
          <w:rFonts w:cs="Calibri-LightItalic"/>
          <w:sz w:val="24"/>
          <w:szCs w:val="24"/>
        </w:rPr>
        <w:t xml:space="preserve">exceedance methodology.  </w:t>
      </w:r>
      <w:r w:rsidR="0057424A">
        <w:rPr>
          <w:rFonts w:cs="Calibri-LightItalic"/>
          <w:sz w:val="24"/>
          <w:szCs w:val="24"/>
        </w:rPr>
        <w:t xml:space="preserve">PG&amp;E’s </w:t>
      </w:r>
      <w:r w:rsidRPr="006E004D">
        <w:rPr>
          <w:sz w:val="24"/>
          <w:szCs w:val="24"/>
        </w:rPr>
        <w:t xml:space="preserve">Top 5 </w:t>
      </w:r>
      <w:r w:rsidR="00BB4F2C">
        <w:rPr>
          <w:sz w:val="24"/>
          <w:szCs w:val="24"/>
        </w:rPr>
        <w:t>D</w:t>
      </w:r>
      <w:r w:rsidRPr="006E004D">
        <w:rPr>
          <w:sz w:val="24"/>
          <w:szCs w:val="24"/>
        </w:rPr>
        <w:t>ays data set will be modified to add any days on which CAISO called a Flex Alert</w:t>
      </w:r>
      <w:r w:rsidR="0057424A">
        <w:rPr>
          <w:sz w:val="24"/>
          <w:szCs w:val="24"/>
        </w:rPr>
        <w:t>,</w:t>
      </w:r>
      <w:r w:rsidRPr="0057424A" w:rsidR="0057424A">
        <w:t xml:space="preserve"> </w:t>
      </w:r>
      <w:r w:rsidRPr="008D7713" w:rsidR="0057424A">
        <w:rPr>
          <w:sz w:val="24"/>
          <w:szCs w:val="24"/>
        </w:rPr>
        <w:t>Warning, Stage 1-3 Emergency, or EEA 1-3 condition</w:t>
      </w:r>
      <w:r w:rsidRPr="006E004D">
        <w:rPr>
          <w:sz w:val="24"/>
          <w:szCs w:val="24"/>
        </w:rPr>
        <w:t>.</w:t>
      </w:r>
      <w:r w:rsidRPr="006E004D">
        <w:rPr>
          <w:rFonts w:asciiTheme="minorHAnsi" w:hAnsiTheme="minorHAnsi"/>
          <w:sz w:val="22"/>
        </w:rPr>
        <w:t xml:space="preserve">  </w:t>
      </w:r>
      <w:r w:rsidRPr="006E004D">
        <w:rPr>
          <w:rFonts w:cs="Calibri-LightItalic"/>
          <w:sz w:val="24"/>
          <w:szCs w:val="24"/>
        </w:rPr>
        <w:t xml:space="preserve">The exceedance methodology will be applied to historical data to generate technology (solar fixed/tracking/solar thermal) and regional profiles.  </w:t>
      </w:r>
    </w:p>
    <w:p w:rsidR="00BE3742" w:rsidP="006E004D" w:rsidRDefault="00BE3742" w14:paraId="571CCD27" w14:textId="77777777">
      <w:pPr>
        <w:autoSpaceDE w:val="0"/>
        <w:autoSpaceDN w:val="0"/>
        <w:adjustRightInd w:val="0"/>
        <w:spacing w:line="240" w:lineRule="auto"/>
        <w:ind w:firstLine="0"/>
        <w:rPr>
          <w:rFonts w:cs="Calibri-LightItalic"/>
          <w:sz w:val="24"/>
          <w:szCs w:val="24"/>
        </w:rPr>
      </w:pPr>
    </w:p>
    <w:p w:rsidRPr="006E004D" w:rsidR="006E004D" w:rsidP="006E004D" w:rsidRDefault="006E004D" w14:paraId="4B4587FF" w14:textId="52927199">
      <w:pPr>
        <w:autoSpaceDE w:val="0"/>
        <w:autoSpaceDN w:val="0"/>
        <w:adjustRightInd w:val="0"/>
        <w:spacing w:line="240" w:lineRule="auto"/>
        <w:ind w:firstLine="0"/>
        <w:rPr>
          <w:rFonts w:cs="Calibri-LightItalic"/>
          <w:sz w:val="24"/>
          <w:szCs w:val="24"/>
        </w:rPr>
      </w:pPr>
      <w:r w:rsidRPr="006E004D">
        <w:rPr>
          <w:rFonts w:cs="Calibri-LightItalic"/>
          <w:sz w:val="24"/>
          <w:szCs w:val="24"/>
        </w:rPr>
        <w:t xml:space="preserve">Six years of production data will be used as the basis for the exceedance methodology, with updates every year.  Where </w:t>
      </w:r>
      <w:r w:rsidR="003E7313">
        <w:rPr>
          <w:rFonts w:cs="Calibri-LightItalic"/>
          <w:sz w:val="24"/>
          <w:szCs w:val="24"/>
        </w:rPr>
        <w:t xml:space="preserve">six years of </w:t>
      </w:r>
      <w:r w:rsidRPr="006E004D">
        <w:rPr>
          <w:rFonts w:cs="Calibri-LightItalic"/>
          <w:sz w:val="24"/>
          <w:szCs w:val="24"/>
        </w:rPr>
        <w:t>historical production data is not available</w:t>
      </w:r>
      <w:r w:rsidRPr="003E7313" w:rsidR="003E7313">
        <w:t xml:space="preserve"> </w:t>
      </w:r>
      <w:r w:rsidRPr="008D7713" w:rsidR="003E7313">
        <w:rPr>
          <w:sz w:val="24"/>
          <w:szCs w:val="24"/>
        </w:rPr>
        <w:t>for resources in new locations or for new technologies</w:t>
      </w:r>
      <w:r w:rsidRPr="006E004D">
        <w:rPr>
          <w:rFonts w:cs="Calibri-LightItalic"/>
          <w:sz w:val="24"/>
          <w:szCs w:val="24"/>
        </w:rPr>
        <w:t xml:space="preserve">, exceedance values will be calculated using modeled data for a </w:t>
      </w:r>
      <w:proofErr w:type="gramStart"/>
      <w:r w:rsidRPr="006E004D">
        <w:rPr>
          <w:rFonts w:cs="Calibri-LightItalic"/>
          <w:sz w:val="24"/>
          <w:szCs w:val="24"/>
        </w:rPr>
        <w:t>minimum</w:t>
      </w:r>
      <w:proofErr w:type="gramEnd"/>
      <w:r w:rsidRPr="006E004D">
        <w:rPr>
          <w:rFonts w:cs="Calibri-LightItalic"/>
          <w:sz w:val="24"/>
          <w:szCs w:val="24"/>
        </w:rPr>
        <w:t xml:space="preserve"> three years to populate the data set.  </w:t>
      </w:r>
      <w:r w:rsidRPr="006E004D">
        <w:rPr>
          <w:sz w:val="24"/>
          <w:szCs w:val="24"/>
        </w:rPr>
        <w:t>The modeled data will be sourced from</w:t>
      </w:r>
      <w:r w:rsidR="003C0464">
        <w:rPr>
          <w:sz w:val="24"/>
          <w:szCs w:val="24"/>
        </w:rPr>
        <w:t xml:space="preserve"> the most recent</w:t>
      </w:r>
      <w:r w:rsidRPr="006E004D">
        <w:rPr>
          <w:sz w:val="24"/>
          <w:szCs w:val="24"/>
        </w:rPr>
        <w:t xml:space="preserve"> IRP modeling.</w:t>
      </w:r>
      <w:r w:rsidRPr="006E004D">
        <w:rPr>
          <w:rFonts w:asciiTheme="minorHAnsi" w:hAnsiTheme="minorHAnsi"/>
          <w:sz w:val="22"/>
        </w:rPr>
        <w:t xml:space="preserve">  </w:t>
      </w:r>
      <w:r w:rsidRPr="006E004D">
        <w:rPr>
          <w:rFonts w:cs="Calibri-LightItalic"/>
          <w:sz w:val="24"/>
          <w:szCs w:val="24"/>
        </w:rPr>
        <w:t xml:space="preserve">As resources in new areas generate historical production data, new data will be added to the data set and displace earlier years. </w:t>
      </w:r>
      <w:r w:rsidR="0057424A">
        <w:rPr>
          <w:rFonts w:cs="Calibri-LightItalic"/>
          <w:sz w:val="24"/>
          <w:szCs w:val="24"/>
        </w:rPr>
        <w:t xml:space="preserve"> </w:t>
      </w:r>
      <w:r w:rsidRPr="006E004D">
        <w:rPr>
          <w:rFonts w:cs="Calibri-LightItalic"/>
          <w:sz w:val="24"/>
          <w:szCs w:val="24"/>
        </w:rPr>
        <w:t>Energy Division is directed to develop the solar and wind resource profiles, which will be incorporated into the MRD</w:t>
      </w:r>
      <w:r w:rsidR="0096424B">
        <w:t xml:space="preserve">, </w:t>
      </w:r>
      <w:r w:rsidRPr="008D7713" w:rsidR="0096424B">
        <w:rPr>
          <w:sz w:val="24"/>
          <w:szCs w:val="24"/>
        </w:rPr>
        <w:t>and to publish the non-confidential version of the exceedance calculations.  Energy Division is authorized to solicit informal feedback from parties</w:t>
      </w:r>
      <w:r w:rsidRPr="006E004D">
        <w:rPr>
          <w:rFonts w:cs="Calibri-LightItalic"/>
          <w:sz w:val="24"/>
          <w:szCs w:val="24"/>
        </w:rPr>
        <w:t>.</w:t>
      </w:r>
    </w:p>
    <w:p w:rsidRPr="006E004D" w:rsidR="006E004D" w:rsidP="006E004D" w:rsidRDefault="006E004D" w14:paraId="375993FC" w14:textId="77777777">
      <w:pPr>
        <w:autoSpaceDE w:val="0"/>
        <w:autoSpaceDN w:val="0"/>
        <w:adjustRightInd w:val="0"/>
        <w:spacing w:line="240" w:lineRule="auto"/>
        <w:ind w:firstLine="0"/>
        <w:rPr>
          <w:rFonts w:cs="Calibri-LightItalic"/>
          <w:sz w:val="24"/>
          <w:szCs w:val="24"/>
        </w:rPr>
      </w:pPr>
      <w:r w:rsidRPr="006E004D">
        <w:rPr>
          <w:rFonts w:cs="Calibri-LightItalic"/>
          <w:b/>
          <w:bCs/>
          <w:sz w:val="24"/>
          <w:szCs w:val="24"/>
        </w:rPr>
        <w:lastRenderedPageBreak/>
        <w:t>Dispatchable resources</w:t>
      </w:r>
      <w:r w:rsidRPr="006E004D">
        <w:rPr>
          <w:rFonts w:cs="Calibri-LightItalic"/>
          <w:sz w:val="24"/>
          <w:szCs w:val="24"/>
        </w:rPr>
        <w:t xml:space="preserve"> (including resources not explicitly discussed elsewhere) will be assigned a single value based on Pmax.  Dispatchable use-limited resources will also be subject to identified daily availability constraints.  </w:t>
      </w:r>
    </w:p>
    <w:p w:rsidRPr="006E004D" w:rsidR="006E004D" w:rsidP="006E004D" w:rsidRDefault="006E004D" w14:paraId="028F08F6" w14:textId="77777777">
      <w:pPr>
        <w:autoSpaceDE w:val="0"/>
        <w:autoSpaceDN w:val="0"/>
        <w:adjustRightInd w:val="0"/>
        <w:spacing w:line="240" w:lineRule="auto"/>
        <w:ind w:firstLine="0"/>
        <w:rPr>
          <w:rFonts w:cs="Calibri-LightItalic"/>
          <w:sz w:val="24"/>
          <w:szCs w:val="24"/>
        </w:rPr>
      </w:pPr>
    </w:p>
    <w:p w:rsidRPr="006E004D" w:rsidR="006E004D" w:rsidP="006E004D" w:rsidRDefault="006E004D" w14:paraId="445773BF" w14:textId="77777777">
      <w:pPr>
        <w:autoSpaceDE w:val="0"/>
        <w:autoSpaceDN w:val="0"/>
        <w:adjustRightInd w:val="0"/>
        <w:spacing w:line="240" w:lineRule="auto"/>
        <w:ind w:firstLine="0"/>
        <w:rPr>
          <w:rFonts w:cs="Calibri-LightItalic"/>
          <w:sz w:val="24"/>
          <w:szCs w:val="24"/>
        </w:rPr>
      </w:pPr>
      <w:r w:rsidRPr="006E004D">
        <w:rPr>
          <w:rFonts w:cs="Calibri-LightItalic"/>
          <w:b/>
          <w:bCs/>
          <w:sz w:val="24"/>
          <w:szCs w:val="24"/>
        </w:rPr>
        <w:t>Non-dispatchable</w:t>
      </w:r>
      <w:r w:rsidRPr="006E004D">
        <w:rPr>
          <w:rFonts w:cs="Calibri-LightItalic"/>
          <w:sz w:val="24"/>
          <w:szCs w:val="24"/>
        </w:rPr>
        <w:t xml:space="preserve"> </w:t>
      </w:r>
      <w:r w:rsidRPr="006E004D">
        <w:rPr>
          <w:rFonts w:cs="Calibri-LightItalic"/>
          <w:b/>
          <w:bCs/>
          <w:sz w:val="24"/>
          <w:szCs w:val="24"/>
        </w:rPr>
        <w:t>resources</w:t>
      </w:r>
      <w:r w:rsidRPr="006E004D">
        <w:rPr>
          <w:rFonts w:cs="Calibri-LightItalic"/>
          <w:sz w:val="24"/>
          <w:szCs w:val="24"/>
        </w:rPr>
        <w:t xml:space="preserve"> will be assigned a single monthly value applied to all hours, based on the existing QC counting methodology, subject to availability constraints for each month. </w:t>
      </w:r>
    </w:p>
    <w:p w:rsidRPr="006E004D" w:rsidR="006E004D" w:rsidP="006E004D" w:rsidRDefault="006E004D" w14:paraId="6A0050EF" w14:textId="77777777">
      <w:pPr>
        <w:autoSpaceDE w:val="0"/>
        <w:autoSpaceDN w:val="0"/>
        <w:adjustRightInd w:val="0"/>
        <w:spacing w:line="240" w:lineRule="auto"/>
        <w:ind w:firstLine="0"/>
        <w:rPr>
          <w:rFonts w:cs="Calibri-LightItalic"/>
          <w:sz w:val="24"/>
          <w:szCs w:val="24"/>
        </w:rPr>
      </w:pPr>
    </w:p>
    <w:p w:rsidRPr="006E004D" w:rsidR="006E004D" w:rsidP="006E004D" w:rsidRDefault="006E004D" w14:paraId="292DDCE8" w14:textId="77777777">
      <w:pPr>
        <w:autoSpaceDE w:val="0"/>
        <w:autoSpaceDN w:val="0"/>
        <w:adjustRightInd w:val="0"/>
        <w:spacing w:line="240" w:lineRule="auto"/>
        <w:ind w:firstLine="0"/>
        <w:rPr>
          <w:rFonts w:cs="Calibri-LightItalic"/>
          <w:sz w:val="24"/>
          <w:szCs w:val="24"/>
        </w:rPr>
      </w:pPr>
      <w:r w:rsidRPr="006E004D">
        <w:rPr>
          <w:rFonts w:cs="Calibri-LightItalic"/>
          <w:b/>
          <w:bCs/>
          <w:sz w:val="24"/>
          <w:szCs w:val="24"/>
        </w:rPr>
        <w:t>Dispatchable hydro</w:t>
      </w:r>
      <w:r w:rsidRPr="006E004D">
        <w:rPr>
          <w:rFonts w:cs="Calibri-LightItalic"/>
          <w:sz w:val="24"/>
          <w:szCs w:val="24"/>
        </w:rPr>
        <w:t xml:space="preserve"> </w:t>
      </w:r>
      <w:r w:rsidRPr="006E004D">
        <w:rPr>
          <w:rFonts w:cs="Calibri-LightItalic"/>
          <w:b/>
          <w:bCs/>
          <w:sz w:val="24"/>
          <w:szCs w:val="24"/>
        </w:rPr>
        <w:t>resources</w:t>
      </w:r>
      <w:r w:rsidRPr="006E004D">
        <w:rPr>
          <w:rFonts w:cs="Calibri-LightItalic"/>
          <w:sz w:val="24"/>
          <w:szCs w:val="24"/>
        </w:rPr>
        <w:t xml:space="preserve"> will be assigned a single monthly value applied to all hours based on the existing QC counting methodology. </w:t>
      </w:r>
    </w:p>
    <w:p w:rsidRPr="006E004D" w:rsidR="006E004D" w:rsidP="006E004D" w:rsidRDefault="006E004D" w14:paraId="5F808253" w14:textId="77777777">
      <w:pPr>
        <w:autoSpaceDE w:val="0"/>
        <w:autoSpaceDN w:val="0"/>
        <w:adjustRightInd w:val="0"/>
        <w:spacing w:line="240" w:lineRule="auto"/>
        <w:ind w:firstLine="0"/>
        <w:rPr>
          <w:rFonts w:cs="Calibri-LightItalic"/>
          <w:sz w:val="24"/>
          <w:szCs w:val="24"/>
        </w:rPr>
      </w:pPr>
    </w:p>
    <w:p w:rsidRPr="006E004D" w:rsidR="006E004D" w:rsidP="006E004D" w:rsidRDefault="006E004D" w14:paraId="6014A662" w14:textId="77777777">
      <w:pPr>
        <w:autoSpaceDE w:val="0"/>
        <w:autoSpaceDN w:val="0"/>
        <w:adjustRightInd w:val="0"/>
        <w:spacing w:line="240" w:lineRule="auto"/>
        <w:ind w:firstLine="0"/>
        <w:rPr>
          <w:rFonts w:cs="Calibri-LightItalic"/>
          <w:sz w:val="24"/>
          <w:szCs w:val="24"/>
        </w:rPr>
      </w:pPr>
      <w:r w:rsidRPr="006E004D">
        <w:rPr>
          <w:rFonts w:cs="Calibri-LightItalic"/>
          <w:b/>
          <w:bCs/>
          <w:sz w:val="24"/>
          <w:szCs w:val="24"/>
        </w:rPr>
        <w:t>Energy storage</w:t>
      </w:r>
      <w:r w:rsidRPr="006E004D">
        <w:rPr>
          <w:rFonts w:cs="Calibri-LightItalic"/>
          <w:sz w:val="24"/>
          <w:szCs w:val="24"/>
        </w:rPr>
        <w:t xml:space="preserve"> </w:t>
      </w:r>
      <w:r w:rsidRPr="006E004D">
        <w:rPr>
          <w:rFonts w:cs="Calibri-LightItalic"/>
          <w:b/>
          <w:bCs/>
          <w:sz w:val="24"/>
          <w:szCs w:val="24"/>
        </w:rPr>
        <w:t>resources</w:t>
      </w:r>
      <w:r w:rsidRPr="006E004D">
        <w:rPr>
          <w:rFonts w:cs="Calibri-LightItalic"/>
          <w:sz w:val="24"/>
          <w:szCs w:val="24"/>
        </w:rPr>
        <w:t xml:space="preserve"> will be assigned value based on Pmax, restricted to daily resource capabilities (</w:t>
      </w:r>
      <w:r w:rsidRPr="006E004D">
        <w:rPr>
          <w:rFonts w:cs="Calibri-LightItalic"/>
          <w:i/>
          <w:iCs/>
          <w:sz w:val="24"/>
          <w:szCs w:val="24"/>
        </w:rPr>
        <w:t>e.g.</w:t>
      </w:r>
      <w:r w:rsidRPr="006E004D">
        <w:rPr>
          <w:rFonts w:cs="Calibri-LightItalic"/>
          <w:sz w:val="24"/>
          <w:szCs w:val="24"/>
        </w:rPr>
        <w:t>, maximum daily run hours, maximum continuous energy, and storage efficiency).  Excess capacity must be shown to cover battery capacity with efficiency losses.</w:t>
      </w:r>
    </w:p>
    <w:p w:rsidRPr="006E004D" w:rsidR="006E004D" w:rsidP="006E004D" w:rsidRDefault="006E004D" w14:paraId="133FDD96" w14:textId="77777777">
      <w:pPr>
        <w:autoSpaceDE w:val="0"/>
        <w:autoSpaceDN w:val="0"/>
        <w:adjustRightInd w:val="0"/>
        <w:spacing w:line="240" w:lineRule="auto"/>
        <w:ind w:firstLine="0"/>
        <w:rPr>
          <w:rFonts w:cs="Calibri-LightItalic"/>
          <w:sz w:val="24"/>
          <w:szCs w:val="24"/>
        </w:rPr>
      </w:pPr>
    </w:p>
    <w:p w:rsidRPr="006E004D" w:rsidR="006E004D" w:rsidP="006E004D" w:rsidRDefault="006E004D" w14:paraId="1424911F" w14:textId="77777777">
      <w:pPr>
        <w:autoSpaceDE w:val="0"/>
        <w:autoSpaceDN w:val="0"/>
        <w:adjustRightInd w:val="0"/>
        <w:spacing w:line="240" w:lineRule="auto"/>
        <w:ind w:firstLine="0"/>
        <w:rPr>
          <w:rFonts w:cs="Calibri-LightItalic"/>
          <w:sz w:val="24"/>
          <w:szCs w:val="24"/>
        </w:rPr>
      </w:pPr>
      <w:r w:rsidRPr="006E004D">
        <w:rPr>
          <w:rFonts w:cs="Calibri-LightItalic"/>
          <w:sz w:val="24"/>
          <w:szCs w:val="24"/>
        </w:rPr>
        <w:t>Storage resources that are operationally and contractually able to provide multiple cycles in a 24-hour cycle may be shown for multiple cycles per day, provided that the LSE shows sufficient excess energy and time between discharge cycles to charge the battery.  The MRD will indicate if a storage resource can perform multiple cycles per day and the LSE Showing Tool will account for needed charging capacity.</w:t>
      </w:r>
    </w:p>
    <w:p w:rsidRPr="006E004D" w:rsidR="006E004D" w:rsidP="006E004D" w:rsidRDefault="006E004D" w14:paraId="59E00CA1" w14:textId="77777777">
      <w:pPr>
        <w:autoSpaceDE w:val="0"/>
        <w:autoSpaceDN w:val="0"/>
        <w:adjustRightInd w:val="0"/>
        <w:spacing w:line="240" w:lineRule="auto"/>
        <w:ind w:firstLine="0"/>
        <w:rPr>
          <w:rFonts w:cs="Calibri-LightItalic"/>
          <w:sz w:val="24"/>
          <w:szCs w:val="24"/>
        </w:rPr>
      </w:pPr>
    </w:p>
    <w:p w:rsidRPr="006E004D" w:rsidR="006E004D" w:rsidP="006E004D" w:rsidRDefault="006E004D" w14:paraId="03516970" w14:textId="6639410D">
      <w:pPr>
        <w:autoSpaceDE w:val="0"/>
        <w:autoSpaceDN w:val="0"/>
        <w:adjustRightInd w:val="0"/>
        <w:spacing w:line="240" w:lineRule="auto"/>
        <w:ind w:firstLine="0"/>
        <w:rPr>
          <w:rFonts w:cs="Calibri-LightItalic"/>
          <w:sz w:val="24"/>
          <w:szCs w:val="24"/>
        </w:rPr>
      </w:pPr>
      <w:r w:rsidRPr="006E004D">
        <w:rPr>
          <w:rFonts w:cs="Calibri-LightItalic"/>
          <w:b/>
          <w:bCs/>
          <w:sz w:val="24"/>
          <w:szCs w:val="24"/>
        </w:rPr>
        <w:t>Hybrid and co-located</w:t>
      </w:r>
      <w:r w:rsidRPr="006E004D">
        <w:rPr>
          <w:rFonts w:cs="Calibri-LightItalic"/>
          <w:sz w:val="24"/>
          <w:szCs w:val="24"/>
        </w:rPr>
        <w:t xml:space="preserve"> </w:t>
      </w:r>
      <w:r w:rsidRPr="006E004D">
        <w:rPr>
          <w:rFonts w:cs="Calibri-LightItalic"/>
          <w:b/>
          <w:bCs/>
          <w:sz w:val="24"/>
          <w:szCs w:val="24"/>
        </w:rPr>
        <w:t>resources</w:t>
      </w:r>
      <w:r w:rsidRPr="006E004D">
        <w:rPr>
          <w:rFonts w:cs="Calibri-LightItalic"/>
          <w:sz w:val="24"/>
          <w:szCs w:val="24"/>
        </w:rPr>
        <w:t xml:space="preserve"> will utilize the existing QC methodology updated to use exceedance (rather than Effective Load Carrying Capability) in valuing the solar and wind portion of the resource and to account for charging losses.  </w:t>
      </w:r>
      <w:r w:rsidR="006754BC">
        <w:rPr>
          <w:rFonts w:cs="Calibri-LightItalic"/>
          <w:sz w:val="24"/>
          <w:szCs w:val="24"/>
        </w:rPr>
        <w:t>Paired</w:t>
      </w:r>
      <w:r w:rsidRPr="006E004D" w:rsidR="006754BC">
        <w:rPr>
          <w:rFonts w:cs="Calibri-LightItalic"/>
          <w:sz w:val="24"/>
          <w:szCs w:val="24"/>
        </w:rPr>
        <w:t xml:space="preserve"> </w:t>
      </w:r>
      <w:r w:rsidRPr="006E004D">
        <w:rPr>
          <w:rFonts w:cs="Calibri-LightItalic"/>
          <w:sz w:val="24"/>
          <w:szCs w:val="24"/>
        </w:rPr>
        <w:t>resources will be characterized on the MRD as either charging exclusively on-site or allowing grid charging.  An energy-only (EO) resource is eligible to count towards the storage charging sufficiency requirement if the EO resource is charging exclusively on-site storage</w:t>
      </w:r>
      <w:r w:rsidR="00C35175">
        <w:rPr>
          <w:rFonts w:cs="Calibri-LightItalic"/>
          <w:sz w:val="24"/>
          <w:szCs w:val="24"/>
        </w:rPr>
        <w:t xml:space="preserve">, regardless of whether the </w:t>
      </w:r>
      <w:r w:rsidR="0094712F">
        <w:rPr>
          <w:rFonts w:cs="Calibri-LightItalic"/>
          <w:sz w:val="24"/>
          <w:szCs w:val="24"/>
        </w:rPr>
        <w:t xml:space="preserve">paired </w:t>
      </w:r>
      <w:r w:rsidR="00C35175">
        <w:rPr>
          <w:rFonts w:cs="Calibri-LightItalic"/>
          <w:sz w:val="24"/>
          <w:szCs w:val="24"/>
        </w:rPr>
        <w:t xml:space="preserve">storage </w:t>
      </w:r>
      <w:proofErr w:type="gramStart"/>
      <w:r w:rsidR="00C35175">
        <w:rPr>
          <w:rFonts w:cs="Calibri-LightItalic"/>
          <w:sz w:val="24"/>
          <w:szCs w:val="24"/>
        </w:rPr>
        <w:t>is able to</w:t>
      </w:r>
      <w:proofErr w:type="gramEnd"/>
      <w:r w:rsidR="00C35175">
        <w:rPr>
          <w:rFonts w:cs="Calibri-LightItalic"/>
          <w:sz w:val="24"/>
          <w:szCs w:val="24"/>
        </w:rPr>
        <w:t xml:space="preserve"> charge from the </w:t>
      </w:r>
      <w:r w:rsidR="0094712F">
        <w:rPr>
          <w:rFonts w:cs="Calibri-LightItalic"/>
          <w:sz w:val="24"/>
          <w:szCs w:val="24"/>
        </w:rPr>
        <w:t>g</w:t>
      </w:r>
      <w:r w:rsidR="00C35175">
        <w:rPr>
          <w:rFonts w:cs="Calibri-LightItalic"/>
          <w:sz w:val="24"/>
          <w:szCs w:val="24"/>
        </w:rPr>
        <w:t>rid</w:t>
      </w:r>
      <w:r w:rsidRPr="006E004D">
        <w:rPr>
          <w:rFonts w:cs="Calibri-LightItalic"/>
          <w:sz w:val="24"/>
          <w:szCs w:val="24"/>
        </w:rPr>
        <w:t xml:space="preserve">.  The charging capacity of the renewable resource will be capped at the amount that can be used to charge the on-site storage and the storage will be capped at the interconnection limit.  </w:t>
      </w:r>
      <w:r w:rsidR="006754BC">
        <w:rPr>
          <w:rFonts w:cs="Calibri-LightItalic"/>
          <w:sz w:val="24"/>
          <w:szCs w:val="24"/>
        </w:rPr>
        <w:t>Paired</w:t>
      </w:r>
      <w:r w:rsidRPr="006E004D" w:rsidR="006754BC">
        <w:rPr>
          <w:rFonts w:cs="Calibri-LightItalic"/>
          <w:sz w:val="24"/>
          <w:szCs w:val="24"/>
        </w:rPr>
        <w:t xml:space="preserve"> </w:t>
      </w:r>
      <w:r w:rsidRPr="006E004D">
        <w:rPr>
          <w:rFonts w:cs="Calibri-LightItalic"/>
          <w:sz w:val="24"/>
          <w:szCs w:val="24"/>
        </w:rPr>
        <w:t>components will be shown as separate assets on the MRD and LSEs’ showings, and the total of the components will not exceed the interconnection amount in any hour.</w:t>
      </w:r>
    </w:p>
    <w:p w:rsidRPr="006E004D" w:rsidR="006E004D" w:rsidP="006E004D" w:rsidRDefault="006E004D" w14:paraId="6546A535" w14:textId="77777777">
      <w:pPr>
        <w:autoSpaceDE w:val="0"/>
        <w:autoSpaceDN w:val="0"/>
        <w:adjustRightInd w:val="0"/>
        <w:spacing w:line="240" w:lineRule="auto"/>
        <w:ind w:firstLine="0"/>
        <w:rPr>
          <w:rFonts w:cs="Calibri-LightItalic"/>
          <w:sz w:val="24"/>
          <w:szCs w:val="24"/>
        </w:rPr>
      </w:pPr>
    </w:p>
    <w:p w:rsidRPr="006E004D" w:rsidR="006E004D" w:rsidP="006E004D" w:rsidRDefault="006E004D" w14:paraId="623CD2F2" w14:textId="77777777">
      <w:pPr>
        <w:autoSpaceDE w:val="0"/>
        <w:autoSpaceDN w:val="0"/>
        <w:adjustRightInd w:val="0"/>
        <w:spacing w:line="240" w:lineRule="auto"/>
        <w:ind w:firstLine="0"/>
        <w:rPr>
          <w:rFonts w:cs="Calibri-LightItalic"/>
          <w:sz w:val="24"/>
          <w:szCs w:val="24"/>
        </w:rPr>
      </w:pPr>
      <w:r w:rsidRPr="006E004D">
        <w:rPr>
          <w:rFonts w:cs="Calibri-LightItalic"/>
          <w:b/>
          <w:bCs/>
          <w:sz w:val="24"/>
          <w:szCs w:val="24"/>
        </w:rPr>
        <w:t xml:space="preserve">Import resources.  </w:t>
      </w:r>
      <w:r w:rsidRPr="006E004D">
        <w:rPr>
          <w:rFonts w:cs="Calibri-LightItalic"/>
          <w:sz w:val="24"/>
          <w:szCs w:val="24"/>
        </w:rPr>
        <w:t xml:space="preserve">Resource-specific imports will be assigned value based on the applicable counting rules for that </w:t>
      </w:r>
      <w:proofErr w:type="gramStart"/>
      <w:r w:rsidRPr="006E004D">
        <w:rPr>
          <w:rFonts w:cs="Calibri-LightItalic"/>
          <w:sz w:val="24"/>
          <w:szCs w:val="24"/>
        </w:rPr>
        <w:t>particular resource</w:t>
      </w:r>
      <w:proofErr w:type="gramEnd"/>
      <w:r w:rsidRPr="006E004D">
        <w:rPr>
          <w:rFonts w:cs="Calibri-LightItalic"/>
          <w:sz w:val="24"/>
          <w:szCs w:val="24"/>
        </w:rPr>
        <w:t xml:space="preserve"> type.  Non-resource-specific imports will count based on the contract value, subject to the requirement that resources be at least four hours in duration.</w:t>
      </w:r>
    </w:p>
    <w:p w:rsidRPr="006E004D" w:rsidR="006E004D" w:rsidP="006E004D" w:rsidRDefault="006E004D" w14:paraId="527585F3" w14:textId="77777777">
      <w:pPr>
        <w:autoSpaceDE w:val="0"/>
        <w:autoSpaceDN w:val="0"/>
        <w:adjustRightInd w:val="0"/>
        <w:spacing w:line="240" w:lineRule="auto"/>
        <w:ind w:firstLine="0"/>
        <w:rPr>
          <w:rFonts w:cs="Calibri-LightItalic"/>
          <w:sz w:val="24"/>
          <w:szCs w:val="24"/>
        </w:rPr>
      </w:pPr>
    </w:p>
    <w:p w:rsidRPr="006E004D" w:rsidR="006E004D" w:rsidP="006E004D" w:rsidRDefault="006E004D" w14:paraId="01A094AC" w14:textId="77777777">
      <w:pPr>
        <w:spacing w:after="160" w:line="259" w:lineRule="auto"/>
        <w:ind w:firstLine="0"/>
        <w:rPr>
          <w:rFonts w:cs="Calibri" w:asciiTheme="minorHAnsi" w:hAnsiTheme="minorHAnsi"/>
          <w:color w:val="000000"/>
          <w:sz w:val="24"/>
          <w:szCs w:val="24"/>
        </w:rPr>
      </w:pPr>
      <w:r w:rsidRPr="006E004D">
        <w:rPr>
          <w:rFonts w:cs="Calibri"/>
          <w:color w:val="000000"/>
          <w:sz w:val="24"/>
          <w:szCs w:val="24"/>
        </w:rPr>
        <w:t>For import resources under the SOD framework</w:t>
      </w:r>
      <w:r w:rsidRPr="006E004D">
        <w:rPr>
          <w:rFonts w:cs="Calibri-LightItalic"/>
          <w:sz w:val="24"/>
          <w:szCs w:val="24"/>
        </w:rPr>
        <w:t xml:space="preserve">, </w:t>
      </w:r>
      <w:r w:rsidRPr="006E004D">
        <w:rPr>
          <w:rFonts w:cs="TimesNewRomanPSMT"/>
          <w:color w:val="000000"/>
          <w:sz w:val="24"/>
          <w:szCs w:val="24"/>
        </w:rPr>
        <w:t>a non-resource-specific import will count towards the RA requirements, provided that:</w:t>
      </w:r>
    </w:p>
    <w:p w:rsidRPr="006E004D" w:rsidR="006E004D" w:rsidP="006E004D" w:rsidRDefault="006E004D" w14:paraId="0874325A" w14:textId="77777777">
      <w:pPr>
        <w:numPr>
          <w:ilvl w:val="1"/>
          <w:numId w:val="36"/>
        </w:numPr>
        <w:spacing w:after="160" w:line="240" w:lineRule="auto"/>
        <w:ind w:left="792"/>
        <w:rPr>
          <w:rFonts w:cs="TimesNewRomanPSMT"/>
          <w:color w:val="000000"/>
          <w:sz w:val="24"/>
          <w:szCs w:val="24"/>
        </w:rPr>
      </w:pPr>
      <w:r w:rsidRPr="006E004D">
        <w:rPr>
          <w:rFonts w:cs="TimesNewRomanPSMT"/>
          <w:color w:val="000000"/>
          <w:sz w:val="24"/>
          <w:szCs w:val="24"/>
        </w:rPr>
        <w:lastRenderedPageBreak/>
        <w:t xml:space="preserve">The contract is an energy contract with no economic curtailment </w:t>
      </w:r>
      <w:r w:rsidRPr="006E004D">
        <w:rPr>
          <w:sz w:val="24"/>
          <w:szCs w:val="24"/>
        </w:rPr>
        <w:t>provisions</w:t>
      </w:r>
      <w:r w:rsidRPr="006E004D">
        <w:rPr>
          <w:rFonts w:cs="TimesNewRomanPSMT"/>
          <w:color w:val="000000"/>
          <w:sz w:val="24"/>
          <w:szCs w:val="24"/>
        </w:rPr>
        <w:t>.</w:t>
      </w:r>
    </w:p>
    <w:p w:rsidRPr="006E004D" w:rsidR="006E004D" w:rsidP="006E004D" w:rsidRDefault="006E004D" w14:paraId="6CBC4C15" w14:textId="3D817626">
      <w:pPr>
        <w:numPr>
          <w:ilvl w:val="1"/>
          <w:numId w:val="36"/>
        </w:numPr>
        <w:spacing w:after="160" w:line="240" w:lineRule="auto"/>
        <w:ind w:left="792"/>
        <w:rPr>
          <w:rFonts w:cs="TimesNewRomanPSMT"/>
          <w:color w:val="000000"/>
          <w:sz w:val="24"/>
          <w:szCs w:val="24"/>
        </w:rPr>
      </w:pPr>
      <w:r w:rsidRPr="006E004D">
        <w:rPr>
          <w:rFonts w:cs="TimesNewRomanPSMT"/>
          <w:color w:val="000000"/>
          <w:sz w:val="24"/>
          <w:szCs w:val="24"/>
        </w:rPr>
        <w:t xml:space="preserve">The energy must self-schedule (or in the alternative, bid in at a level between negative $150/MWh and $0/MWh) into the CAISO day-ahead and real-time markets at least during the Availability Assessment Hours every Monday- Saturday </w:t>
      </w:r>
      <w:r w:rsidR="00504A3C">
        <w:rPr>
          <w:rFonts w:cs="TimesNewRomanPSMT"/>
          <w:color w:val="000000"/>
          <w:sz w:val="24"/>
          <w:szCs w:val="24"/>
        </w:rPr>
        <w:t xml:space="preserve">excluding NERC holidays </w:t>
      </w:r>
      <w:r w:rsidRPr="006E004D">
        <w:rPr>
          <w:rFonts w:cs="TimesNewRomanPSMT"/>
          <w:color w:val="000000"/>
          <w:sz w:val="24"/>
          <w:szCs w:val="24"/>
        </w:rPr>
        <w:t>throughout the RA compliance month.</w:t>
      </w:r>
    </w:p>
    <w:p w:rsidRPr="006E004D" w:rsidR="006E004D" w:rsidP="006E004D" w:rsidRDefault="006E004D" w14:paraId="0EBFBF79" w14:textId="77777777">
      <w:pPr>
        <w:numPr>
          <w:ilvl w:val="1"/>
          <w:numId w:val="36"/>
        </w:numPr>
        <w:spacing w:after="160" w:line="240" w:lineRule="auto"/>
        <w:ind w:left="792"/>
        <w:rPr>
          <w:rFonts w:cs="TimesNewRomanPSMT"/>
          <w:bCs/>
          <w:color w:val="000000"/>
          <w:sz w:val="24"/>
          <w:szCs w:val="24"/>
        </w:rPr>
      </w:pPr>
      <w:r w:rsidRPr="006E004D">
        <w:rPr>
          <w:rFonts w:cs="TimesNewRomanPSMT"/>
          <w:bCs/>
          <w:color w:val="000000"/>
          <w:sz w:val="24"/>
          <w:szCs w:val="24"/>
        </w:rPr>
        <w:t>The energy must be delivered to the LSE in accordance with the governing contract.</w:t>
      </w:r>
    </w:p>
    <w:p w:rsidRPr="006E004D" w:rsidR="000A5273" w:rsidP="006E004D" w:rsidRDefault="000A5273" w14:paraId="13EF5487" w14:textId="77777777">
      <w:pPr>
        <w:autoSpaceDE w:val="0"/>
        <w:autoSpaceDN w:val="0"/>
        <w:adjustRightInd w:val="0"/>
        <w:spacing w:line="240" w:lineRule="auto"/>
        <w:ind w:firstLine="0"/>
        <w:rPr>
          <w:rFonts w:cs="Calibri-LightItalic"/>
          <w:sz w:val="24"/>
          <w:szCs w:val="24"/>
        </w:rPr>
      </w:pPr>
    </w:p>
    <w:p w:rsidRPr="006E004D" w:rsidR="006E004D" w:rsidP="006E004D" w:rsidRDefault="006E004D" w14:paraId="31C0667E" w14:textId="3C01C341">
      <w:pPr>
        <w:autoSpaceDE w:val="0"/>
        <w:autoSpaceDN w:val="0"/>
        <w:adjustRightInd w:val="0"/>
        <w:spacing w:line="240" w:lineRule="auto"/>
        <w:ind w:firstLine="0"/>
        <w:rPr>
          <w:rFonts w:cs="Calibri-LightItalic"/>
          <w:sz w:val="24"/>
          <w:szCs w:val="24"/>
        </w:rPr>
      </w:pPr>
      <w:r w:rsidRPr="006E004D">
        <w:rPr>
          <w:rFonts w:cs="Calibri-LightItalic"/>
          <w:b/>
          <w:bCs/>
          <w:sz w:val="24"/>
          <w:szCs w:val="24"/>
        </w:rPr>
        <w:t>Demand response resources.</w:t>
      </w:r>
      <w:r w:rsidRPr="006E004D">
        <w:rPr>
          <w:rFonts w:cs="Calibri-LightItalic"/>
          <w:sz w:val="24"/>
          <w:szCs w:val="24"/>
        </w:rPr>
        <w:t xml:space="preserve">  For the 2024 test year, </w:t>
      </w:r>
      <w:r w:rsidRPr="006E004D">
        <w:rPr>
          <w:sz w:val="24"/>
          <w:szCs w:val="24"/>
        </w:rPr>
        <w:t xml:space="preserve">DR resources shall be shown for four consecutive hours of </w:t>
      </w:r>
      <w:r w:rsidR="00EB6DFA">
        <w:rPr>
          <w:sz w:val="24"/>
          <w:szCs w:val="24"/>
        </w:rPr>
        <w:t>the Availability Assessment Hour (AAH) window</w:t>
      </w:r>
      <w:r w:rsidRPr="006E004D">
        <w:rPr>
          <w:sz w:val="24"/>
          <w:szCs w:val="24"/>
        </w:rPr>
        <w:t xml:space="preserve">, unless required by contract or tariff to be capable of </w:t>
      </w:r>
      <w:r w:rsidRPr="006E004D">
        <w:rPr>
          <w:rFonts w:eastAsia="Times New Roman"/>
          <w:sz w:val="24"/>
          <w:szCs w:val="24"/>
        </w:rPr>
        <w:t xml:space="preserve">responding to longer dispatches, in which case the shown hours must include </w:t>
      </w:r>
      <w:proofErr w:type="gramStart"/>
      <w:r w:rsidRPr="006E004D">
        <w:rPr>
          <w:rFonts w:eastAsia="Times New Roman"/>
          <w:sz w:val="24"/>
          <w:szCs w:val="24"/>
        </w:rPr>
        <w:t>all of</w:t>
      </w:r>
      <w:proofErr w:type="gramEnd"/>
      <w:r w:rsidRPr="006E004D">
        <w:rPr>
          <w:rFonts w:eastAsia="Times New Roman"/>
          <w:sz w:val="24"/>
          <w:szCs w:val="24"/>
        </w:rPr>
        <w:t xml:space="preserve"> </w:t>
      </w:r>
      <w:r w:rsidR="00EB6DFA">
        <w:rPr>
          <w:rFonts w:eastAsia="Times New Roman"/>
          <w:sz w:val="24"/>
          <w:szCs w:val="24"/>
        </w:rPr>
        <w:t>the AAH window</w:t>
      </w:r>
      <w:r w:rsidRPr="006E004D">
        <w:rPr>
          <w:sz w:val="24"/>
          <w:szCs w:val="24"/>
        </w:rPr>
        <w:t>.</w:t>
      </w:r>
      <w:r w:rsidRPr="006E004D">
        <w:rPr>
          <w:rFonts w:eastAsia="Times New Roman" w:asciiTheme="minorHAnsi" w:hAnsiTheme="minorHAnsi"/>
          <w:sz w:val="22"/>
        </w:rPr>
        <w:t xml:space="preserve">  </w:t>
      </w:r>
      <w:r w:rsidRPr="006E004D">
        <w:rPr>
          <w:rFonts w:cs="Calibri-LightItalic"/>
          <w:sz w:val="24"/>
          <w:szCs w:val="24"/>
        </w:rPr>
        <w:t xml:space="preserve">The value of DR resources will vary by hour based on the resource’s capability on the worst day of the month under the 1-in-2 planning framework.  Snap back effects shall be included in the </w:t>
      </w:r>
      <w:proofErr w:type="spellStart"/>
      <w:proofErr w:type="gramStart"/>
      <w:r w:rsidRPr="006E004D">
        <w:rPr>
          <w:rFonts w:cs="Calibri-LightItalic"/>
          <w:i/>
          <w:iCs/>
          <w:sz w:val="24"/>
          <w:szCs w:val="24"/>
        </w:rPr>
        <w:t>ex ante</w:t>
      </w:r>
      <w:proofErr w:type="spellEnd"/>
      <w:proofErr w:type="gramEnd"/>
      <w:r w:rsidRPr="006E004D">
        <w:rPr>
          <w:rFonts w:cs="Calibri-LightItalic"/>
          <w:sz w:val="24"/>
          <w:szCs w:val="24"/>
        </w:rPr>
        <w:t xml:space="preserve"> load impact protocol filings but will not be reflected in the RA capacity counting.</w:t>
      </w:r>
      <w:r w:rsidRPr="006E004D">
        <w:rPr>
          <w:rFonts w:eastAsia="Times New Roman" w:asciiTheme="minorHAnsi" w:hAnsiTheme="minorHAnsi"/>
          <w:sz w:val="22"/>
        </w:rPr>
        <w:t xml:space="preserve">  </w:t>
      </w:r>
      <w:r w:rsidRPr="006E004D">
        <w:rPr>
          <w:rFonts w:cs="Calibri-LightItalic"/>
          <w:sz w:val="24"/>
          <w:szCs w:val="24"/>
        </w:rPr>
        <w:t>The transmission loss factor (TLF) and distribution loss factor (DLF) adders will be retained to apply to the qualifying capacity of DR resources.</w:t>
      </w:r>
    </w:p>
    <w:p w:rsidRPr="006E004D" w:rsidR="006E004D" w:rsidP="006E004D" w:rsidRDefault="006E004D" w14:paraId="3D28C352" w14:textId="77777777">
      <w:pPr>
        <w:autoSpaceDE w:val="0"/>
        <w:autoSpaceDN w:val="0"/>
        <w:adjustRightInd w:val="0"/>
        <w:spacing w:line="240" w:lineRule="auto"/>
        <w:ind w:firstLine="0"/>
        <w:rPr>
          <w:rFonts w:cs="Calibri-LightItalic"/>
          <w:sz w:val="24"/>
          <w:szCs w:val="24"/>
        </w:rPr>
      </w:pPr>
    </w:p>
    <w:p w:rsidRPr="006E004D" w:rsidR="006E004D" w:rsidP="006E004D" w:rsidRDefault="006E004D" w14:paraId="5FD9E892" w14:textId="77777777">
      <w:pPr>
        <w:autoSpaceDE w:val="0"/>
        <w:autoSpaceDN w:val="0"/>
        <w:adjustRightInd w:val="0"/>
        <w:spacing w:line="240" w:lineRule="auto"/>
        <w:ind w:firstLine="0"/>
        <w:rPr>
          <w:rFonts w:cs="Calibri-LightItalic"/>
          <w:sz w:val="24"/>
          <w:szCs w:val="24"/>
        </w:rPr>
      </w:pPr>
      <w:r w:rsidRPr="006E004D">
        <w:rPr>
          <w:rFonts w:cs="Calibri-LightItalic"/>
          <w:b/>
          <w:bCs/>
          <w:sz w:val="24"/>
          <w:szCs w:val="24"/>
        </w:rPr>
        <w:t>Maximum Cumulative Capacity (MCC) buckets</w:t>
      </w:r>
      <w:r w:rsidRPr="006E004D">
        <w:rPr>
          <w:rFonts w:cs="Calibri-LightItalic"/>
          <w:sz w:val="24"/>
          <w:szCs w:val="24"/>
        </w:rPr>
        <w:t>.</w:t>
      </w:r>
    </w:p>
    <w:p w:rsidRPr="006E004D" w:rsidR="006E004D" w:rsidP="006E004D" w:rsidRDefault="006E004D" w14:paraId="45BC0354" w14:textId="77777777">
      <w:pPr>
        <w:autoSpaceDE w:val="0"/>
        <w:autoSpaceDN w:val="0"/>
        <w:adjustRightInd w:val="0"/>
        <w:spacing w:line="240" w:lineRule="auto"/>
        <w:ind w:firstLine="0"/>
        <w:rPr>
          <w:rFonts w:cs="Calibri-LightItalic"/>
          <w:sz w:val="24"/>
          <w:szCs w:val="24"/>
        </w:rPr>
      </w:pPr>
    </w:p>
    <w:p w:rsidRPr="006E004D" w:rsidR="006E004D" w:rsidP="006E004D" w:rsidRDefault="006E004D" w14:paraId="58D882A2" w14:textId="77777777">
      <w:pPr>
        <w:autoSpaceDE w:val="0"/>
        <w:autoSpaceDN w:val="0"/>
        <w:adjustRightInd w:val="0"/>
        <w:spacing w:line="240" w:lineRule="auto"/>
        <w:ind w:firstLine="0"/>
        <w:rPr>
          <w:rFonts w:cs="Calibri-LightItalic"/>
          <w:sz w:val="24"/>
          <w:szCs w:val="24"/>
        </w:rPr>
      </w:pPr>
      <w:r w:rsidRPr="006E004D">
        <w:rPr>
          <w:rFonts w:cs="Calibri-LightItalic"/>
          <w:sz w:val="24"/>
          <w:szCs w:val="24"/>
        </w:rPr>
        <w:t xml:space="preserve">MCC buckets 1-4 will not be applicable for the SOD framework beginning in the 2024 test year.  The MCC DR bucket will be retained for the SOD framework and the status quo methodology for determining the MCC DR bucket limit will be used, based on gross load and 24 hours per month.  The DR bucket limit will apply equally to each slice.  </w:t>
      </w:r>
    </w:p>
    <w:p w:rsidRPr="006E004D" w:rsidR="006E004D" w:rsidP="006E004D" w:rsidRDefault="006E004D" w14:paraId="051867E2" w14:textId="77777777">
      <w:pPr>
        <w:autoSpaceDE w:val="0"/>
        <w:autoSpaceDN w:val="0"/>
        <w:adjustRightInd w:val="0"/>
        <w:spacing w:line="240" w:lineRule="auto"/>
        <w:ind w:firstLine="0"/>
        <w:rPr>
          <w:rFonts w:cs="Calibri-LightItalic"/>
          <w:sz w:val="24"/>
          <w:szCs w:val="24"/>
        </w:rPr>
      </w:pPr>
    </w:p>
    <w:p w:rsidRPr="006E004D" w:rsidR="006E004D" w:rsidP="006E004D" w:rsidRDefault="006E004D" w14:paraId="1455F337" w14:textId="77777777">
      <w:pPr>
        <w:spacing w:line="240" w:lineRule="auto"/>
        <w:ind w:firstLine="0"/>
        <w:rPr>
          <w:rFonts w:eastAsia="Times New Roman"/>
          <w:sz w:val="24"/>
          <w:szCs w:val="24"/>
        </w:rPr>
      </w:pPr>
      <w:r w:rsidRPr="006E004D">
        <w:rPr>
          <w:rFonts w:eastAsia="Times New Roman"/>
          <w:sz w:val="24"/>
          <w:szCs w:val="24"/>
        </w:rPr>
        <w:t>These changes to the MCC framework are effective for the SOD framework beginning with the 2024 test year.  As the current RA program will continue to utilize the MCC bucket structure for compliance purposes for the 2024 RA year, LSEs may show standalone energy storage in MCC bucket 4 for 2024, provided that the LSE shows sufficient charging capacity.  To ensure that an LSE has sufficient charging capacity, if an LSE elects to show standalone energy storage in bucket 4 in its 2024 RA compliance filing, the LSE must:</w:t>
      </w:r>
    </w:p>
    <w:p w:rsidRPr="006E004D" w:rsidR="006E004D" w:rsidP="006E004D" w:rsidRDefault="006E004D" w14:paraId="40603B9A" w14:textId="77777777">
      <w:pPr>
        <w:spacing w:line="240" w:lineRule="auto"/>
        <w:ind w:firstLine="0"/>
        <w:rPr>
          <w:rFonts w:eastAsia="Times New Roman"/>
          <w:sz w:val="24"/>
          <w:szCs w:val="24"/>
        </w:rPr>
      </w:pPr>
    </w:p>
    <w:p w:rsidRPr="000D1392" w:rsidR="00AB5B18" w:rsidP="00AB5B18" w:rsidRDefault="00AB5B18" w14:paraId="775513BC" w14:textId="5C9C89AE">
      <w:pPr>
        <w:pStyle w:val="Standard"/>
        <w:numPr>
          <w:ilvl w:val="0"/>
          <w:numId w:val="37"/>
        </w:numPr>
        <w:spacing w:line="240" w:lineRule="auto"/>
        <w:rPr>
          <w:rFonts w:eastAsia="Times New Roman"/>
          <w:sz w:val="24"/>
          <w:szCs w:val="24"/>
        </w:rPr>
      </w:pPr>
      <w:r w:rsidRPr="000D1392">
        <w:rPr>
          <w:rFonts w:eastAsia="Times New Roman"/>
          <w:sz w:val="24"/>
          <w:szCs w:val="24"/>
        </w:rPr>
        <w:t xml:space="preserve">Show sufficient charging capacity on the </w:t>
      </w:r>
      <w:r>
        <w:rPr>
          <w:rFonts w:eastAsia="Times New Roman"/>
          <w:sz w:val="24"/>
          <w:szCs w:val="24"/>
        </w:rPr>
        <w:t xml:space="preserve">SOD </w:t>
      </w:r>
      <w:r w:rsidRPr="000D1392">
        <w:rPr>
          <w:rFonts w:eastAsia="Times New Roman"/>
          <w:sz w:val="24"/>
          <w:szCs w:val="24"/>
        </w:rPr>
        <w:t>LSE Showing Tool for each applicable month</w:t>
      </w:r>
      <w:r w:rsidR="00BE3742">
        <w:rPr>
          <w:rFonts w:eastAsia="Times New Roman"/>
          <w:sz w:val="24"/>
          <w:szCs w:val="24"/>
        </w:rPr>
        <w:t>,</w:t>
      </w:r>
      <w:r w:rsidR="0016483E">
        <w:rPr>
          <w:rFonts w:eastAsia="Times New Roman"/>
          <w:sz w:val="24"/>
          <w:szCs w:val="24"/>
        </w:rPr>
        <w:t xml:space="preserve"> as measured based on the charging sufficiency check only</w:t>
      </w:r>
      <w:r w:rsidRPr="000D1392">
        <w:rPr>
          <w:rFonts w:eastAsia="Times New Roman"/>
          <w:sz w:val="24"/>
          <w:szCs w:val="24"/>
        </w:rPr>
        <w:t xml:space="preserve">. The </w:t>
      </w:r>
      <w:r>
        <w:rPr>
          <w:rFonts w:eastAsia="Times New Roman"/>
          <w:sz w:val="24"/>
          <w:szCs w:val="24"/>
        </w:rPr>
        <w:t xml:space="preserve">SOD </w:t>
      </w:r>
      <w:r w:rsidRPr="000D1392">
        <w:rPr>
          <w:rFonts w:eastAsia="Times New Roman"/>
          <w:sz w:val="24"/>
          <w:szCs w:val="24"/>
        </w:rPr>
        <w:t>LSE Showing Tool is due by the applicable compliance filing deadline (</w:t>
      </w:r>
      <w:r w:rsidRPr="000D1392">
        <w:rPr>
          <w:rFonts w:eastAsia="Times New Roman"/>
          <w:i/>
          <w:iCs/>
          <w:sz w:val="24"/>
          <w:szCs w:val="24"/>
        </w:rPr>
        <w:t xml:space="preserve">i.e., </w:t>
      </w:r>
      <w:r w:rsidRPr="000D1392">
        <w:rPr>
          <w:rFonts w:eastAsia="Times New Roman"/>
          <w:sz w:val="24"/>
          <w:szCs w:val="24"/>
        </w:rPr>
        <w:t>October 31 for the year-ahead filing, 45 days before the compliance month for month-ahead filings).</w:t>
      </w:r>
    </w:p>
    <w:p w:rsidRPr="000D1392" w:rsidR="00AB5B18" w:rsidP="00AB5B18" w:rsidRDefault="00AB5B18" w14:paraId="15E312D4" w14:textId="77777777">
      <w:pPr>
        <w:pStyle w:val="Standard"/>
        <w:spacing w:line="240" w:lineRule="auto"/>
        <w:ind w:left="1080"/>
        <w:rPr>
          <w:rFonts w:eastAsia="Times New Roman"/>
          <w:sz w:val="24"/>
          <w:szCs w:val="24"/>
        </w:rPr>
      </w:pPr>
    </w:p>
    <w:p w:rsidR="00AB5B18" w:rsidP="00AB5B18" w:rsidRDefault="00AB5B18" w14:paraId="4356087C" w14:textId="77777777">
      <w:pPr>
        <w:pStyle w:val="Standard"/>
        <w:numPr>
          <w:ilvl w:val="0"/>
          <w:numId w:val="37"/>
        </w:numPr>
        <w:spacing w:line="240" w:lineRule="auto"/>
        <w:rPr>
          <w:rFonts w:eastAsia="Times New Roman"/>
          <w:sz w:val="24"/>
          <w:szCs w:val="24"/>
        </w:rPr>
      </w:pPr>
      <w:r w:rsidRPr="000D1392">
        <w:rPr>
          <w:rFonts w:eastAsia="Times New Roman"/>
          <w:sz w:val="24"/>
          <w:szCs w:val="24"/>
        </w:rPr>
        <w:lastRenderedPageBreak/>
        <w:t xml:space="preserve">Submit the LSE’s compliance filings for the current RA program, due by the applicable compliance filing deadline. </w:t>
      </w:r>
    </w:p>
    <w:p w:rsidRPr="006E004D" w:rsidR="006E004D" w:rsidP="006E004D" w:rsidRDefault="006E004D" w14:paraId="3D1CCEDE" w14:textId="77777777">
      <w:pPr>
        <w:spacing w:line="240" w:lineRule="auto"/>
        <w:ind w:firstLine="0"/>
        <w:rPr>
          <w:rFonts w:eastAsia="Times New Roman"/>
          <w:sz w:val="24"/>
          <w:szCs w:val="24"/>
        </w:rPr>
      </w:pPr>
    </w:p>
    <w:p w:rsidRPr="006E004D" w:rsidR="006E004D" w:rsidP="006E004D" w:rsidRDefault="006E004D" w14:paraId="1538DF23" w14:textId="77777777">
      <w:pPr>
        <w:keepNext/>
        <w:keepLines/>
        <w:numPr>
          <w:ilvl w:val="0"/>
          <w:numId w:val="32"/>
        </w:numPr>
        <w:autoSpaceDE w:val="0"/>
        <w:autoSpaceDN w:val="0"/>
        <w:adjustRightInd w:val="0"/>
        <w:spacing w:after="160" w:line="240" w:lineRule="auto"/>
        <w:ind w:left="360"/>
        <w:contextualSpacing/>
        <w:rPr>
          <w:rFonts w:cs="Calibri-Light"/>
          <w:b/>
          <w:bCs/>
          <w:szCs w:val="26"/>
        </w:rPr>
      </w:pPr>
      <w:r w:rsidRPr="006E004D">
        <w:rPr>
          <w:rFonts w:cs="Calibri-Light"/>
          <w:b/>
          <w:bCs/>
          <w:szCs w:val="26"/>
        </w:rPr>
        <w:t>Showing Mechanics</w:t>
      </w:r>
    </w:p>
    <w:p w:rsidRPr="006E004D" w:rsidR="006E004D" w:rsidP="006E004D" w:rsidRDefault="006E004D" w14:paraId="41D4F5F1" w14:textId="77777777">
      <w:pPr>
        <w:keepNext/>
        <w:keepLines/>
        <w:autoSpaceDE w:val="0"/>
        <w:autoSpaceDN w:val="0"/>
        <w:adjustRightInd w:val="0"/>
        <w:spacing w:line="240" w:lineRule="auto"/>
        <w:ind w:firstLine="0"/>
        <w:rPr>
          <w:rFonts w:cs="Calibri-Light"/>
          <w:b/>
          <w:bCs/>
          <w:szCs w:val="26"/>
        </w:rPr>
      </w:pPr>
    </w:p>
    <w:p w:rsidRPr="006E004D" w:rsidR="006E004D" w:rsidP="006E004D" w:rsidRDefault="006E004D" w14:paraId="21EBE92E" w14:textId="77777777">
      <w:pPr>
        <w:keepNext/>
        <w:keepLines/>
        <w:autoSpaceDE w:val="0"/>
        <w:autoSpaceDN w:val="0"/>
        <w:adjustRightInd w:val="0"/>
        <w:spacing w:line="240" w:lineRule="auto"/>
        <w:ind w:firstLine="0"/>
        <w:rPr>
          <w:rFonts w:cs="Calibri-Light"/>
          <w:b/>
          <w:bCs/>
          <w:sz w:val="24"/>
          <w:szCs w:val="24"/>
        </w:rPr>
      </w:pPr>
      <w:r w:rsidRPr="006E004D">
        <w:rPr>
          <w:rFonts w:cs="Calibri-Light"/>
          <w:b/>
          <w:bCs/>
          <w:sz w:val="24"/>
          <w:szCs w:val="24"/>
        </w:rPr>
        <w:t>RA Master Resource Database</w:t>
      </w:r>
    </w:p>
    <w:p w:rsidRPr="006E004D" w:rsidR="006E004D" w:rsidP="006E004D" w:rsidRDefault="006E004D" w14:paraId="725D6040" w14:textId="77777777">
      <w:pPr>
        <w:keepNext/>
        <w:keepLines/>
        <w:autoSpaceDE w:val="0"/>
        <w:autoSpaceDN w:val="0"/>
        <w:adjustRightInd w:val="0"/>
        <w:spacing w:line="240" w:lineRule="auto"/>
        <w:ind w:left="720" w:firstLine="0"/>
        <w:contextualSpacing/>
        <w:rPr>
          <w:rFonts w:cs="Calibri-Light"/>
          <w:color w:val="1F3763"/>
          <w:szCs w:val="26"/>
        </w:rPr>
      </w:pPr>
    </w:p>
    <w:p w:rsidRPr="006E004D" w:rsidR="006E004D" w:rsidP="006E004D" w:rsidRDefault="006E004D" w14:paraId="03426F97" w14:textId="77777777">
      <w:pPr>
        <w:keepNext/>
        <w:keepLines/>
        <w:autoSpaceDE w:val="0"/>
        <w:autoSpaceDN w:val="0"/>
        <w:adjustRightInd w:val="0"/>
        <w:spacing w:line="240" w:lineRule="auto"/>
        <w:ind w:firstLine="0"/>
        <w:rPr>
          <w:rFonts w:cs="Calibri"/>
          <w:color w:val="000000"/>
          <w:sz w:val="24"/>
          <w:szCs w:val="24"/>
        </w:rPr>
      </w:pPr>
      <w:r w:rsidRPr="006E004D">
        <w:rPr>
          <w:rFonts w:cs="Calibri"/>
          <w:color w:val="000000"/>
          <w:sz w:val="24"/>
          <w:szCs w:val="24"/>
        </w:rPr>
        <w:t>The Commission will maintain an official database of resources eligible to sell RA that includes their key attributes, as listed below.  Resources must be fully represented in the MRD to be eligible for use in the Commission’s 24-hour slice RA showing.  The database shall include:</w:t>
      </w:r>
    </w:p>
    <w:p w:rsidRPr="006E004D" w:rsidR="006E004D" w:rsidP="006E004D" w:rsidRDefault="006E004D" w14:paraId="26BF9C8B" w14:textId="77777777">
      <w:pPr>
        <w:keepNext/>
        <w:keepLines/>
        <w:autoSpaceDE w:val="0"/>
        <w:autoSpaceDN w:val="0"/>
        <w:adjustRightInd w:val="0"/>
        <w:spacing w:line="240" w:lineRule="auto"/>
        <w:ind w:firstLine="0"/>
        <w:rPr>
          <w:rFonts w:cs="Calibri"/>
          <w:color w:val="000000"/>
          <w:sz w:val="24"/>
          <w:szCs w:val="24"/>
        </w:rPr>
      </w:pPr>
    </w:p>
    <w:p w:rsidRPr="006E004D" w:rsidR="006E004D" w:rsidP="006E004D" w:rsidRDefault="006E004D" w14:paraId="1FE54C2E" w14:textId="77777777">
      <w:pPr>
        <w:numPr>
          <w:ilvl w:val="0"/>
          <w:numId w:val="23"/>
        </w:numPr>
        <w:autoSpaceDE w:val="0"/>
        <w:autoSpaceDN w:val="0"/>
        <w:adjustRightInd w:val="0"/>
        <w:spacing w:after="160" w:line="240" w:lineRule="auto"/>
        <w:ind w:left="720"/>
        <w:contextualSpacing/>
        <w:rPr>
          <w:rFonts w:cs="Calibri"/>
          <w:color w:val="000000"/>
          <w:sz w:val="24"/>
          <w:szCs w:val="24"/>
        </w:rPr>
      </w:pPr>
      <w:r w:rsidRPr="006E004D">
        <w:rPr>
          <w:rFonts w:cs="Calibri"/>
          <w:color w:val="000000"/>
          <w:sz w:val="24"/>
          <w:szCs w:val="24"/>
        </w:rPr>
        <w:t>Resource ID</w:t>
      </w:r>
    </w:p>
    <w:p w:rsidRPr="006E004D" w:rsidR="006E004D" w:rsidP="006E004D" w:rsidRDefault="006E004D" w14:paraId="3AA8365C" w14:textId="77777777">
      <w:pPr>
        <w:numPr>
          <w:ilvl w:val="0"/>
          <w:numId w:val="23"/>
        </w:numPr>
        <w:autoSpaceDE w:val="0"/>
        <w:autoSpaceDN w:val="0"/>
        <w:adjustRightInd w:val="0"/>
        <w:spacing w:after="160" w:line="240" w:lineRule="auto"/>
        <w:ind w:left="720"/>
        <w:contextualSpacing/>
        <w:rPr>
          <w:rFonts w:cs="Calibri"/>
          <w:color w:val="000000"/>
          <w:sz w:val="24"/>
          <w:szCs w:val="24"/>
        </w:rPr>
      </w:pPr>
      <w:r w:rsidRPr="006E004D">
        <w:rPr>
          <w:rFonts w:cs="Calibri"/>
          <w:color w:val="000000"/>
          <w:sz w:val="24"/>
          <w:szCs w:val="24"/>
        </w:rPr>
        <w:t>Available MW of RA capacity</w:t>
      </w:r>
    </w:p>
    <w:p w:rsidRPr="006E004D" w:rsidR="006E004D" w:rsidP="006E004D" w:rsidRDefault="006E004D" w14:paraId="623A435B" w14:textId="77777777">
      <w:pPr>
        <w:numPr>
          <w:ilvl w:val="0"/>
          <w:numId w:val="23"/>
        </w:numPr>
        <w:autoSpaceDE w:val="0"/>
        <w:autoSpaceDN w:val="0"/>
        <w:adjustRightInd w:val="0"/>
        <w:spacing w:after="160" w:line="240" w:lineRule="auto"/>
        <w:ind w:left="720"/>
        <w:contextualSpacing/>
        <w:rPr>
          <w:rFonts w:cs="Calibri"/>
          <w:color w:val="000000"/>
          <w:sz w:val="24"/>
          <w:szCs w:val="24"/>
        </w:rPr>
      </w:pPr>
      <w:r w:rsidRPr="006E004D">
        <w:rPr>
          <w:rFonts w:cs="Calibri"/>
          <w:color w:val="000000"/>
          <w:sz w:val="24"/>
          <w:szCs w:val="24"/>
        </w:rPr>
        <w:t xml:space="preserve">Hours available for production—represents the hours of its must-offer obligation and will set the parameters on how it can be shown in the Commission’s RA </w:t>
      </w:r>
      <w:proofErr w:type="gramStart"/>
      <w:r w:rsidRPr="006E004D">
        <w:rPr>
          <w:rFonts w:cs="Calibri"/>
          <w:color w:val="000000"/>
          <w:sz w:val="24"/>
          <w:szCs w:val="24"/>
        </w:rPr>
        <w:t>showing</w:t>
      </w:r>
      <w:proofErr w:type="gramEnd"/>
    </w:p>
    <w:p w:rsidRPr="006E004D" w:rsidR="006E004D" w:rsidP="006E004D" w:rsidRDefault="006E004D" w14:paraId="7036F563" w14:textId="77777777">
      <w:pPr>
        <w:numPr>
          <w:ilvl w:val="0"/>
          <w:numId w:val="23"/>
        </w:numPr>
        <w:autoSpaceDE w:val="0"/>
        <w:autoSpaceDN w:val="0"/>
        <w:adjustRightInd w:val="0"/>
        <w:spacing w:after="160" w:line="240" w:lineRule="auto"/>
        <w:ind w:left="720"/>
        <w:contextualSpacing/>
        <w:rPr>
          <w:rFonts w:cs="Calibri"/>
          <w:color w:val="000000"/>
          <w:sz w:val="24"/>
          <w:szCs w:val="24"/>
        </w:rPr>
      </w:pPr>
      <w:r w:rsidRPr="006E004D">
        <w:rPr>
          <w:rFonts w:cs="Calibri"/>
          <w:color w:val="000000"/>
          <w:sz w:val="24"/>
          <w:szCs w:val="24"/>
        </w:rPr>
        <w:t>Other use-limitations (</w:t>
      </w:r>
      <w:r w:rsidRPr="006E004D">
        <w:rPr>
          <w:rFonts w:cs="Calibri-Italic"/>
          <w:i/>
          <w:iCs/>
          <w:color w:val="000000"/>
          <w:sz w:val="24"/>
          <w:szCs w:val="24"/>
        </w:rPr>
        <w:t xml:space="preserve">e.g., </w:t>
      </w:r>
      <w:proofErr w:type="spellStart"/>
      <w:r w:rsidRPr="006E004D">
        <w:rPr>
          <w:rFonts w:cs="Calibri"/>
          <w:color w:val="000000"/>
          <w:sz w:val="24"/>
          <w:szCs w:val="24"/>
        </w:rPr>
        <w:t>peaker</w:t>
      </w:r>
      <w:proofErr w:type="spellEnd"/>
      <w:r w:rsidRPr="006E004D">
        <w:rPr>
          <w:rFonts w:cs="Calibri"/>
          <w:color w:val="000000"/>
          <w:sz w:val="24"/>
          <w:szCs w:val="24"/>
        </w:rPr>
        <w:t xml:space="preserve"> permit limits)</w:t>
      </w:r>
    </w:p>
    <w:p w:rsidRPr="006E004D" w:rsidR="006E004D" w:rsidP="006E004D" w:rsidRDefault="006E004D" w14:paraId="0770D66C" w14:textId="77777777">
      <w:pPr>
        <w:numPr>
          <w:ilvl w:val="0"/>
          <w:numId w:val="23"/>
        </w:numPr>
        <w:autoSpaceDE w:val="0"/>
        <w:autoSpaceDN w:val="0"/>
        <w:adjustRightInd w:val="0"/>
        <w:spacing w:after="160" w:line="240" w:lineRule="auto"/>
        <w:ind w:left="720"/>
        <w:contextualSpacing/>
        <w:rPr>
          <w:rFonts w:cs="Calibri"/>
          <w:color w:val="000000"/>
          <w:sz w:val="24"/>
          <w:szCs w:val="24"/>
        </w:rPr>
      </w:pPr>
      <w:r w:rsidRPr="006E004D">
        <w:rPr>
          <w:rFonts w:cs="Calibri"/>
          <w:color w:val="000000"/>
          <w:sz w:val="24"/>
          <w:szCs w:val="24"/>
        </w:rPr>
        <w:t>Max continuous energy and max daily energy MWh</w:t>
      </w:r>
    </w:p>
    <w:p w:rsidRPr="006E004D" w:rsidR="006E004D" w:rsidP="006E004D" w:rsidRDefault="006E004D" w14:paraId="0EDE9FAA" w14:textId="77777777">
      <w:pPr>
        <w:numPr>
          <w:ilvl w:val="0"/>
          <w:numId w:val="23"/>
        </w:numPr>
        <w:autoSpaceDE w:val="0"/>
        <w:autoSpaceDN w:val="0"/>
        <w:adjustRightInd w:val="0"/>
        <w:spacing w:after="160" w:line="240" w:lineRule="auto"/>
        <w:ind w:left="720"/>
        <w:contextualSpacing/>
        <w:rPr>
          <w:rFonts w:cs="Calibri"/>
          <w:color w:val="000000"/>
          <w:sz w:val="24"/>
          <w:szCs w:val="24"/>
        </w:rPr>
      </w:pPr>
      <w:r w:rsidRPr="006E004D">
        <w:rPr>
          <w:rFonts w:cs="Calibri"/>
          <w:color w:val="000000"/>
          <w:sz w:val="24"/>
          <w:szCs w:val="24"/>
        </w:rPr>
        <w:t>Charging efficiency (storage)</w:t>
      </w:r>
    </w:p>
    <w:p w:rsidRPr="006E004D" w:rsidR="006E004D" w:rsidP="006E004D" w:rsidRDefault="006E004D" w14:paraId="0D9FF99A" w14:textId="77777777">
      <w:pPr>
        <w:numPr>
          <w:ilvl w:val="0"/>
          <w:numId w:val="23"/>
        </w:numPr>
        <w:autoSpaceDE w:val="0"/>
        <w:autoSpaceDN w:val="0"/>
        <w:adjustRightInd w:val="0"/>
        <w:spacing w:after="160" w:line="240" w:lineRule="auto"/>
        <w:ind w:left="720"/>
        <w:contextualSpacing/>
        <w:rPr>
          <w:rFonts w:cs="Calibri"/>
          <w:color w:val="000000"/>
          <w:sz w:val="24"/>
          <w:szCs w:val="24"/>
        </w:rPr>
      </w:pPr>
      <w:r w:rsidRPr="006E004D">
        <w:rPr>
          <w:rFonts w:cs="Calibri"/>
          <w:color w:val="000000"/>
          <w:sz w:val="24"/>
          <w:szCs w:val="24"/>
        </w:rPr>
        <w:t>Daily storage cycles (contractual and physical ability)</w:t>
      </w:r>
    </w:p>
    <w:p w:rsidRPr="006E004D" w:rsidR="006E004D" w:rsidP="006E004D" w:rsidRDefault="006E004D" w14:paraId="4D374F4D" w14:textId="77777777">
      <w:pPr>
        <w:numPr>
          <w:ilvl w:val="0"/>
          <w:numId w:val="23"/>
        </w:numPr>
        <w:autoSpaceDE w:val="0"/>
        <w:autoSpaceDN w:val="0"/>
        <w:adjustRightInd w:val="0"/>
        <w:spacing w:after="160" w:line="240" w:lineRule="auto"/>
        <w:ind w:left="720"/>
        <w:contextualSpacing/>
        <w:rPr>
          <w:rFonts w:cs="Calibri"/>
          <w:color w:val="000000"/>
          <w:sz w:val="24"/>
          <w:szCs w:val="24"/>
        </w:rPr>
      </w:pPr>
      <w:r w:rsidRPr="006E004D">
        <w:rPr>
          <w:rFonts w:cs="Calibri"/>
          <w:color w:val="000000"/>
          <w:sz w:val="24"/>
          <w:szCs w:val="24"/>
        </w:rPr>
        <w:t>Configurations (hybrid and co-located)</w:t>
      </w:r>
    </w:p>
    <w:p w:rsidRPr="006E004D" w:rsidR="006E004D" w:rsidP="006E004D" w:rsidRDefault="006E004D" w14:paraId="5DEA2C51" w14:textId="77777777">
      <w:pPr>
        <w:numPr>
          <w:ilvl w:val="0"/>
          <w:numId w:val="23"/>
        </w:numPr>
        <w:autoSpaceDE w:val="0"/>
        <w:autoSpaceDN w:val="0"/>
        <w:adjustRightInd w:val="0"/>
        <w:spacing w:after="160" w:line="240" w:lineRule="auto"/>
        <w:ind w:left="720"/>
        <w:contextualSpacing/>
        <w:rPr>
          <w:rFonts w:cs="Calibri"/>
          <w:color w:val="000000"/>
          <w:sz w:val="24"/>
          <w:szCs w:val="24"/>
        </w:rPr>
      </w:pPr>
      <w:r w:rsidRPr="006E004D">
        <w:rPr>
          <w:rFonts w:cs="Calibri"/>
          <w:color w:val="000000"/>
          <w:sz w:val="24"/>
          <w:szCs w:val="24"/>
        </w:rPr>
        <w:t>Applicable hourly profile for solar and wind</w:t>
      </w:r>
    </w:p>
    <w:p w:rsidR="006E004D" w:rsidP="006E004D" w:rsidRDefault="006E004D" w14:paraId="7BB2F61D" w14:textId="7FDE773B">
      <w:pPr>
        <w:numPr>
          <w:ilvl w:val="0"/>
          <w:numId w:val="23"/>
        </w:numPr>
        <w:autoSpaceDE w:val="0"/>
        <w:autoSpaceDN w:val="0"/>
        <w:adjustRightInd w:val="0"/>
        <w:spacing w:after="160" w:line="240" w:lineRule="auto"/>
        <w:ind w:left="720"/>
        <w:contextualSpacing/>
        <w:rPr>
          <w:rFonts w:cs="Calibri"/>
          <w:color w:val="000000"/>
          <w:sz w:val="24"/>
          <w:szCs w:val="24"/>
        </w:rPr>
      </w:pPr>
      <w:r w:rsidRPr="006E004D">
        <w:rPr>
          <w:rFonts w:cs="Calibri"/>
          <w:color w:val="000000"/>
          <w:sz w:val="24"/>
          <w:szCs w:val="24"/>
        </w:rPr>
        <w:t xml:space="preserve">Allows charging exclusively on-site and allows for grid </w:t>
      </w:r>
      <w:proofErr w:type="gramStart"/>
      <w:r w:rsidRPr="006E004D">
        <w:rPr>
          <w:rFonts w:cs="Calibri"/>
          <w:color w:val="000000"/>
          <w:sz w:val="24"/>
          <w:szCs w:val="24"/>
        </w:rPr>
        <w:t>charging</w:t>
      </w:r>
      <w:proofErr w:type="gramEnd"/>
    </w:p>
    <w:p w:rsidR="00E86F8F" w:rsidP="006E004D" w:rsidRDefault="00E86F8F" w14:paraId="14911855" w14:textId="39732B41">
      <w:pPr>
        <w:numPr>
          <w:ilvl w:val="0"/>
          <w:numId w:val="23"/>
        </w:numPr>
        <w:autoSpaceDE w:val="0"/>
        <w:autoSpaceDN w:val="0"/>
        <w:adjustRightInd w:val="0"/>
        <w:spacing w:after="160" w:line="240" w:lineRule="auto"/>
        <w:ind w:left="720"/>
        <w:contextualSpacing/>
        <w:rPr>
          <w:rFonts w:cs="Calibri"/>
          <w:color w:val="000000"/>
          <w:sz w:val="24"/>
          <w:szCs w:val="24"/>
        </w:rPr>
      </w:pPr>
      <w:r>
        <w:rPr>
          <w:rFonts w:cs="Calibri"/>
          <w:color w:val="000000"/>
          <w:sz w:val="24"/>
          <w:szCs w:val="24"/>
        </w:rPr>
        <w:t xml:space="preserve">Whether the resource </w:t>
      </w:r>
      <w:proofErr w:type="gramStart"/>
      <w:r>
        <w:rPr>
          <w:rFonts w:cs="Calibri"/>
          <w:color w:val="000000"/>
          <w:sz w:val="24"/>
          <w:szCs w:val="24"/>
        </w:rPr>
        <w:t>is located in</w:t>
      </w:r>
      <w:proofErr w:type="gramEnd"/>
      <w:r>
        <w:rPr>
          <w:rFonts w:cs="Calibri"/>
          <w:color w:val="000000"/>
          <w:sz w:val="24"/>
          <w:szCs w:val="24"/>
        </w:rPr>
        <w:t xml:space="preserve"> an LCR area</w:t>
      </w:r>
    </w:p>
    <w:p w:rsidRPr="002D1029" w:rsidR="002D1029" w:rsidP="006E004D" w:rsidRDefault="002D1029" w14:paraId="124F2F0A" w14:textId="3DF7DD1F">
      <w:pPr>
        <w:numPr>
          <w:ilvl w:val="0"/>
          <w:numId w:val="23"/>
        </w:numPr>
        <w:autoSpaceDE w:val="0"/>
        <w:autoSpaceDN w:val="0"/>
        <w:adjustRightInd w:val="0"/>
        <w:spacing w:after="160" w:line="240" w:lineRule="auto"/>
        <w:ind w:left="720"/>
        <w:contextualSpacing/>
        <w:rPr>
          <w:rFonts w:cs="Calibri"/>
          <w:color w:val="000000"/>
          <w:sz w:val="24"/>
          <w:szCs w:val="24"/>
        </w:rPr>
      </w:pPr>
      <w:r w:rsidRPr="008D7713">
        <w:rPr>
          <w:sz w:val="24"/>
          <w:szCs w:val="24"/>
        </w:rPr>
        <w:t xml:space="preserve">An “under-construction” tab with resources that have not yet come online as of the date of the annual </w:t>
      </w:r>
      <w:proofErr w:type="gramStart"/>
      <w:r w:rsidRPr="008D7713">
        <w:rPr>
          <w:sz w:val="24"/>
          <w:szCs w:val="24"/>
        </w:rPr>
        <w:t>filing</w:t>
      </w:r>
      <w:proofErr w:type="gramEnd"/>
    </w:p>
    <w:p w:rsidRPr="006E004D" w:rsidR="006E004D" w:rsidP="006E004D" w:rsidRDefault="006E004D" w14:paraId="1B98BCCF" w14:textId="77777777">
      <w:pPr>
        <w:autoSpaceDE w:val="0"/>
        <w:autoSpaceDN w:val="0"/>
        <w:adjustRightInd w:val="0"/>
        <w:spacing w:line="240" w:lineRule="auto"/>
        <w:ind w:firstLine="0"/>
        <w:rPr>
          <w:rFonts w:cs="Calibri-LightItalic"/>
          <w:i/>
          <w:iCs/>
          <w:color w:val="2F5497"/>
          <w:sz w:val="24"/>
          <w:szCs w:val="24"/>
        </w:rPr>
      </w:pPr>
    </w:p>
    <w:p w:rsidRPr="006E004D" w:rsidR="006E004D" w:rsidP="006E004D" w:rsidRDefault="006E004D" w14:paraId="4D9017DB" w14:textId="77777777">
      <w:pPr>
        <w:keepNext/>
        <w:keepLines/>
        <w:autoSpaceDE w:val="0"/>
        <w:autoSpaceDN w:val="0"/>
        <w:adjustRightInd w:val="0"/>
        <w:spacing w:line="240" w:lineRule="auto"/>
        <w:ind w:firstLine="0"/>
        <w:rPr>
          <w:rFonts w:cs="Calibri"/>
          <w:color w:val="000000"/>
          <w:sz w:val="24"/>
          <w:szCs w:val="24"/>
        </w:rPr>
      </w:pPr>
      <w:r w:rsidRPr="006E004D">
        <w:rPr>
          <w:rFonts w:cs="Calibri"/>
          <w:color w:val="000000"/>
          <w:sz w:val="24"/>
          <w:szCs w:val="24"/>
        </w:rPr>
        <w:t>Energy Division’s proposed process will be used to develop the MRD for use in the 24-hour SOD framework.  Energy Division is authorized to publish the draft MRD to the Commission’s website, with service to the service list in this proceeding, and request that generators respond with corrections to the MRD.  Energy Division is authorized to solicit informal feedback from parties, compare feedback from generators with information in CAISO’s Master File, and incorporate corrections and feedback into the MRD, as warranted.  The MRD will be updated annually for deliverability and net qualifying capacity updates.</w:t>
      </w:r>
    </w:p>
    <w:p w:rsidRPr="006E004D" w:rsidR="006E004D" w:rsidP="006E004D" w:rsidRDefault="006E004D" w14:paraId="2BF0116A" w14:textId="77777777">
      <w:pPr>
        <w:autoSpaceDE w:val="0"/>
        <w:autoSpaceDN w:val="0"/>
        <w:adjustRightInd w:val="0"/>
        <w:spacing w:line="240" w:lineRule="auto"/>
        <w:ind w:firstLine="0"/>
        <w:rPr>
          <w:rFonts w:cs="Calibri"/>
          <w:color w:val="000000"/>
          <w:sz w:val="24"/>
          <w:szCs w:val="24"/>
        </w:rPr>
      </w:pPr>
    </w:p>
    <w:p w:rsidRPr="006E004D" w:rsidR="006E004D" w:rsidP="006E004D" w:rsidRDefault="006E004D" w14:paraId="33D8D5B7" w14:textId="77777777">
      <w:pPr>
        <w:autoSpaceDE w:val="0"/>
        <w:autoSpaceDN w:val="0"/>
        <w:adjustRightInd w:val="0"/>
        <w:spacing w:line="240" w:lineRule="auto"/>
        <w:ind w:firstLine="0"/>
        <w:rPr>
          <w:rFonts w:cs="Calibri-Light"/>
          <w:b/>
          <w:bCs/>
          <w:sz w:val="24"/>
          <w:szCs w:val="24"/>
        </w:rPr>
      </w:pPr>
      <w:r w:rsidRPr="006E004D">
        <w:rPr>
          <w:rFonts w:cs="Calibri-Light"/>
          <w:b/>
          <w:bCs/>
          <w:sz w:val="24"/>
          <w:szCs w:val="24"/>
        </w:rPr>
        <w:t>Showing Template</w:t>
      </w:r>
    </w:p>
    <w:p w:rsidRPr="006E004D" w:rsidR="006E004D" w:rsidP="006E004D" w:rsidRDefault="006E004D" w14:paraId="208BAEE4" w14:textId="77777777">
      <w:pPr>
        <w:autoSpaceDE w:val="0"/>
        <w:autoSpaceDN w:val="0"/>
        <w:adjustRightInd w:val="0"/>
        <w:spacing w:line="240" w:lineRule="auto"/>
        <w:ind w:left="720" w:firstLine="0"/>
        <w:contextualSpacing/>
        <w:rPr>
          <w:rFonts w:cs="Calibri-Light"/>
          <w:color w:val="1F3763"/>
          <w:szCs w:val="26"/>
        </w:rPr>
      </w:pPr>
    </w:p>
    <w:p w:rsidR="000A5273" w:rsidP="006E004D" w:rsidRDefault="006E004D" w14:paraId="7D6D5F70" w14:textId="6F6AC14C">
      <w:pPr>
        <w:autoSpaceDE w:val="0"/>
        <w:autoSpaceDN w:val="0"/>
        <w:adjustRightInd w:val="0"/>
        <w:spacing w:line="240" w:lineRule="auto"/>
        <w:ind w:firstLine="0"/>
        <w:rPr>
          <w:rFonts w:cs="Calibri"/>
          <w:szCs w:val="26"/>
        </w:rPr>
      </w:pPr>
      <w:r w:rsidRPr="006E004D">
        <w:rPr>
          <w:rFonts w:cs="Calibri"/>
          <w:color w:val="000000"/>
          <w:sz w:val="24"/>
          <w:szCs w:val="24"/>
        </w:rPr>
        <w:t xml:space="preserve">A single system monthly RA showing shall cover all 24 slices.  SCE’s LSE Showing Tool approach is adopted.  Energy Division is authorized to implement Clean Power Alliance’s energy storage sufficiency logic into SCE’s LSE Showing Tool approach, to </w:t>
      </w:r>
      <w:r w:rsidRPr="006E004D">
        <w:rPr>
          <w:rFonts w:cs="Calibri"/>
          <w:color w:val="000000"/>
          <w:sz w:val="24"/>
          <w:szCs w:val="24"/>
        </w:rPr>
        <w:lastRenderedPageBreak/>
        <w:t>the extent possible.  Energy Division is directed to publish a draft LSE Showing Tool on the Commission’s website and solicit informal party comments.</w:t>
      </w:r>
    </w:p>
    <w:p w:rsidRPr="006E004D" w:rsidR="000A5273" w:rsidP="006E004D" w:rsidRDefault="000A5273" w14:paraId="7D1D6B47" w14:textId="77777777">
      <w:pPr>
        <w:autoSpaceDE w:val="0"/>
        <w:autoSpaceDN w:val="0"/>
        <w:adjustRightInd w:val="0"/>
        <w:spacing w:line="240" w:lineRule="auto"/>
        <w:ind w:firstLine="0"/>
        <w:rPr>
          <w:rFonts w:cs="Calibri"/>
          <w:szCs w:val="26"/>
        </w:rPr>
      </w:pPr>
    </w:p>
    <w:p w:rsidRPr="006E004D" w:rsidR="006E004D" w:rsidP="006E004D" w:rsidRDefault="006E004D" w14:paraId="215134AF" w14:textId="77777777">
      <w:pPr>
        <w:autoSpaceDE w:val="0"/>
        <w:autoSpaceDN w:val="0"/>
        <w:adjustRightInd w:val="0"/>
        <w:spacing w:line="240" w:lineRule="auto"/>
        <w:ind w:firstLine="0"/>
        <w:rPr>
          <w:rFonts w:cs="Calibri-Light"/>
          <w:b/>
          <w:bCs/>
          <w:sz w:val="24"/>
          <w:szCs w:val="24"/>
        </w:rPr>
      </w:pPr>
      <w:r w:rsidRPr="006E004D">
        <w:rPr>
          <w:rFonts w:cs="Calibri-Light"/>
          <w:b/>
          <w:bCs/>
          <w:sz w:val="24"/>
          <w:szCs w:val="24"/>
        </w:rPr>
        <w:t>Compliance Verification</w:t>
      </w:r>
    </w:p>
    <w:p w:rsidRPr="006E004D" w:rsidR="006E004D" w:rsidP="006E004D" w:rsidRDefault="006E004D" w14:paraId="435EDEFD" w14:textId="77777777">
      <w:pPr>
        <w:autoSpaceDE w:val="0"/>
        <w:autoSpaceDN w:val="0"/>
        <w:adjustRightInd w:val="0"/>
        <w:spacing w:line="240" w:lineRule="auto"/>
        <w:ind w:firstLine="0"/>
        <w:rPr>
          <w:rFonts w:cs="Calibri"/>
          <w:color w:val="000000"/>
          <w:szCs w:val="26"/>
        </w:rPr>
      </w:pPr>
    </w:p>
    <w:p w:rsidRPr="006E004D" w:rsidR="006E004D" w:rsidP="006E004D" w:rsidRDefault="006E004D" w14:paraId="299D5957" w14:textId="77777777">
      <w:pPr>
        <w:autoSpaceDE w:val="0"/>
        <w:autoSpaceDN w:val="0"/>
        <w:adjustRightInd w:val="0"/>
        <w:spacing w:line="240" w:lineRule="auto"/>
        <w:ind w:firstLine="0"/>
        <w:rPr>
          <w:rFonts w:cs="Calibri"/>
          <w:color w:val="000000"/>
          <w:sz w:val="24"/>
          <w:szCs w:val="24"/>
        </w:rPr>
      </w:pPr>
      <w:r w:rsidRPr="006E004D">
        <w:rPr>
          <w:rFonts w:cs="Calibri"/>
          <w:color w:val="000000"/>
          <w:sz w:val="24"/>
          <w:szCs w:val="24"/>
        </w:rPr>
        <w:t>The Commission will verify the following to confirm an LSE has satisfied its RA requirements:</w:t>
      </w:r>
    </w:p>
    <w:p w:rsidRPr="006E004D" w:rsidR="006E004D" w:rsidP="006E004D" w:rsidRDefault="006E004D" w14:paraId="147938BF" w14:textId="77777777">
      <w:pPr>
        <w:autoSpaceDE w:val="0"/>
        <w:autoSpaceDN w:val="0"/>
        <w:adjustRightInd w:val="0"/>
        <w:spacing w:line="240" w:lineRule="auto"/>
        <w:ind w:firstLine="0"/>
        <w:rPr>
          <w:rFonts w:cs="SymbolMT"/>
          <w:color w:val="000000"/>
          <w:sz w:val="24"/>
          <w:szCs w:val="24"/>
        </w:rPr>
      </w:pPr>
    </w:p>
    <w:p w:rsidRPr="006E004D" w:rsidR="006E004D" w:rsidP="006E004D" w:rsidRDefault="006E004D" w14:paraId="0982BE92" w14:textId="77777777">
      <w:pPr>
        <w:numPr>
          <w:ilvl w:val="0"/>
          <w:numId w:val="23"/>
        </w:numPr>
        <w:autoSpaceDE w:val="0"/>
        <w:autoSpaceDN w:val="0"/>
        <w:adjustRightInd w:val="0"/>
        <w:spacing w:after="160" w:line="240" w:lineRule="auto"/>
        <w:ind w:left="720"/>
        <w:contextualSpacing/>
        <w:rPr>
          <w:rFonts w:cs="Calibri"/>
          <w:color w:val="000000"/>
          <w:sz w:val="24"/>
          <w:szCs w:val="24"/>
        </w:rPr>
      </w:pPr>
      <w:r w:rsidRPr="006E004D">
        <w:rPr>
          <w:rFonts w:cs="Calibri-Bold"/>
          <w:b/>
          <w:bCs/>
          <w:color w:val="000000"/>
          <w:sz w:val="24"/>
          <w:szCs w:val="24"/>
        </w:rPr>
        <w:t xml:space="preserve">Resources are being shown within their capability.  </w:t>
      </w:r>
      <w:r w:rsidRPr="006E004D">
        <w:rPr>
          <w:rFonts w:cs="Calibri"/>
          <w:color w:val="000000"/>
          <w:sz w:val="24"/>
          <w:szCs w:val="24"/>
        </w:rPr>
        <w:t xml:space="preserve">The MRD is used to validate that LSEs have represented their contracted resources accurately.  </w:t>
      </w:r>
    </w:p>
    <w:p w:rsidRPr="006E004D" w:rsidR="006E004D" w:rsidP="006E004D" w:rsidRDefault="006E004D" w14:paraId="77D5AFF1" w14:textId="77777777">
      <w:pPr>
        <w:autoSpaceDE w:val="0"/>
        <w:autoSpaceDN w:val="0"/>
        <w:adjustRightInd w:val="0"/>
        <w:spacing w:line="240" w:lineRule="auto"/>
        <w:ind w:left="720" w:firstLine="0"/>
        <w:contextualSpacing/>
        <w:rPr>
          <w:rFonts w:cs="Calibri"/>
          <w:color w:val="000000"/>
          <w:sz w:val="24"/>
          <w:szCs w:val="24"/>
        </w:rPr>
      </w:pPr>
    </w:p>
    <w:p w:rsidRPr="006E004D" w:rsidR="006E004D" w:rsidP="006E004D" w:rsidRDefault="006E004D" w14:paraId="5BCBA6A3" w14:textId="77777777">
      <w:pPr>
        <w:numPr>
          <w:ilvl w:val="0"/>
          <w:numId w:val="23"/>
        </w:numPr>
        <w:autoSpaceDE w:val="0"/>
        <w:autoSpaceDN w:val="0"/>
        <w:adjustRightInd w:val="0"/>
        <w:spacing w:after="160" w:line="240" w:lineRule="auto"/>
        <w:ind w:left="720"/>
        <w:contextualSpacing/>
        <w:rPr>
          <w:rFonts w:cs="Calibri"/>
          <w:color w:val="000000"/>
          <w:sz w:val="24"/>
          <w:szCs w:val="24"/>
        </w:rPr>
      </w:pPr>
      <w:r w:rsidRPr="006E004D">
        <w:rPr>
          <w:rFonts w:cs="Calibri-Bold"/>
          <w:b/>
          <w:bCs/>
          <w:color w:val="000000"/>
          <w:sz w:val="24"/>
          <w:szCs w:val="24"/>
        </w:rPr>
        <w:t xml:space="preserve">Hourly requirements must be met or exceeded.  </w:t>
      </w:r>
      <w:r w:rsidRPr="006E004D">
        <w:rPr>
          <w:rFonts w:cs="Calibri"/>
          <w:color w:val="000000"/>
          <w:sz w:val="24"/>
          <w:szCs w:val="24"/>
        </w:rPr>
        <w:t>LSEs must show they have met hourly RA requirements.</w:t>
      </w:r>
    </w:p>
    <w:p w:rsidRPr="006E004D" w:rsidR="006E004D" w:rsidP="006E004D" w:rsidRDefault="006E004D" w14:paraId="2EC49F3F" w14:textId="77777777">
      <w:pPr>
        <w:autoSpaceDE w:val="0"/>
        <w:autoSpaceDN w:val="0"/>
        <w:adjustRightInd w:val="0"/>
        <w:spacing w:line="240" w:lineRule="auto"/>
        <w:ind w:left="720" w:firstLine="0"/>
        <w:contextualSpacing/>
        <w:rPr>
          <w:rFonts w:cs="Calibri"/>
          <w:color w:val="000000"/>
          <w:sz w:val="24"/>
          <w:szCs w:val="24"/>
        </w:rPr>
      </w:pPr>
    </w:p>
    <w:p w:rsidRPr="006E004D" w:rsidR="006E004D" w:rsidP="006E004D" w:rsidRDefault="006E004D" w14:paraId="481DFA2B" w14:textId="77777777">
      <w:pPr>
        <w:numPr>
          <w:ilvl w:val="0"/>
          <w:numId w:val="23"/>
        </w:numPr>
        <w:autoSpaceDE w:val="0"/>
        <w:autoSpaceDN w:val="0"/>
        <w:adjustRightInd w:val="0"/>
        <w:spacing w:after="160" w:line="240" w:lineRule="auto"/>
        <w:ind w:left="720"/>
        <w:contextualSpacing/>
        <w:rPr>
          <w:rFonts w:cs="Calibri"/>
          <w:color w:val="000000"/>
          <w:sz w:val="24"/>
          <w:szCs w:val="24"/>
        </w:rPr>
      </w:pPr>
      <w:r w:rsidRPr="006E004D">
        <w:rPr>
          <w:rFonts w:cs="Calibri-Bold"/>
          <w:b/>
          <w:bCs/>
          <w:color w:val="000000"/>
          <w:sz w:val="24"/>
          <w:szCs w:val="24"/>
        </w:rPr>
        <w:t xml:space="preserve">Excess capacity must be shown to cover </w:t>
      </w:r>
      <w:proofErr w:type="gramStart"/>
      <w:r w:rsidRPr="006E004D">
        <w:rPr>
          <w:rFonts w:cs="Calibri-Bold"/>
          <w:b/>
          <w:bCs/>
          <w:color w:val="000000"/>
          <w:sz w:val="24"/>
          <w:szCs w:val="24"/>
        </w:rPr>
        <w:t>shown</w:t>
      </w:r>
      <w:proofErr w:type="gramEnd"/>
      <w:r w:rsidRPr="006E004D">
        <w:rPr>
          <w:rFonts w:cs="Calibri-Bold"/>
          <w:b/>
          <w:bCs/>
          <w:color w:val="000000"/>
          <w:sz w:val="24"/>
          <w:szCs w:val="24"/>
        </w:rPr>
        <w:t xml:space="preserve"> battery capacity.  </w:t>
      </w:r>
      <w:r w:rsidRPr="006E004D">
        <w:rPr>
          <w:rFonts w:cs="Calibri"/>
          <w:color w:val="000000"/>
          <w:sz w:val="24"/>
          <w:szCs w:val="24"/>
        </w:rPr>
        <w:t>LSEs must show they have enough excess capacity to cover all shown battery capacity (plus efficiency losses).</w:t>
      </w:r>
    </w:p>
    <w:p w:rsidRPr="006E004D" w:rsidR="006E004D" w:rsidP="006E004D" w:rsidRDefault="006E004D" w14:paraId="41132BFF" w14:textId="77777777">
      <w:pPr>
        <w:autoSpaceDE w:val="0"/>
        <w:autoSpaceDN w:val="0"/>
        <w:adjustRightInd w:val="0"/>
        <w:spacing w:line="240" w:lineRule="auto"/>
        <w:ind w:firstLine="0"/>
        <w:rPr>
          <w:rFonts w:cs="Calibri"/>
          <w:color w:val="000000"/>
          <w:szCs w:val="26"/>
        </w:rPr>
      </w:pPr>
    </w:p>
    <w:p w:rsidRPr="006E004D" w:rsidR="006E004D" w:rsidP="006E004D" w:rsidRDefault="006E004D" w14:paraId="178BB074" w14:textId="77777777">
      <w:pPr>
        <w:autoSpaceDE w:val="0"/>
        <w:autoSpaceDN w:val="0"/>
        <w:adjustRightInd w:val="0"/>
        <w:spacing w:line="240" w:lineRule="auto"/>
        <w:ind w:firstLine="0"/>
        <w:rPr>
          <w:rFonts w:cs="Calibri-Light"/>
          <w:b/>
          <w:bCs/>
          <w:sz w:val="24"/>
          <w:szCs w:val="24"/>
        </w:rPr>
      </w:pPr>
      <w:r w:rsidRPr="006E004D">
        <w:rPr>
          <w:rFonts w:cs="Calibri-Light"/>
          <w:b/>
          <w:bCs/>
          <w:sz w:val="24"/>
          <w:szCs w:val="24"/>
        </w:rPr>
        <w:t>Penalty Process</w:t>
      </w:r>
    </w:p>
    <w:p w:rsidRPr="006E004D" w:rsidR="006E004D" w:rsidP="006E004D" w:rsidRDefault="006E004D" w14:paraId="64FD0B4F" w14:textId="77777777">
      <w:pPr>
        <w:autoSpaceDE w:val="0"/>
        <w:autoSpaceDN w:val="0"/>
        <w:adjustRightInd w:val="0"/>
        <w:spacing w:line="240" w:lineRule="auto"/>
        <w:ind w:left="1080" w:firstLine="0"/>
        <w:contextualSpacing/>
        <w:rPr>
          <w:rFonts w:cs="Calibri-Light"/>
          <w:szCs w:val="26"/>
        </w:rPr>
      </w:pPr>
    </w:p>
    <w:p w:rsidRPr="006E004D" w:rsidR="006E004D" w:rsidP="006E004D" w:rsidRDefault="006E004D" w14:paraId="5AA7C63D" w14:textId="77777777">
      <w:pPr>
        <w:autoSpaceDE w:val="0"/>
        <w:autoSpaceDN w:val="0"/>
        <w:adjustRightInd w:val="0"/>
        <w:spacing w:line="240" w:lineRule="auto"/>
        <w:ind w:firstLine="0"/>
        <w:rPr>
          <w:rFonts w:cs="Calibri" w:asciiTheme="minorHAnsi" w:hAnsiTheme="minorHAnsi"/>
          <w:color w:val="000000"/>
          <w:sz w:val="24"/>
          <w:szCs w:val="24"/>
        </w:rPr>
      </w:pPr>
      <w:r w:rsidRPr="006E004D">
        <w:rPr>
          <w:rFonts w:cs="Calibri"/>
          <w:color w:val="000000"/>
          <w:sz w:val="24"/>
          <w:szCs w:val="24"/>
        </w:rPr>
        <w:t xml:space="preserve">The current Commission penalty framework, </w:t>
      </w:r>
      <w:bookmarkStart w:name="_Hlk103798526" w:id="89"/>
      <w:r w:rsidRPr="006E004D">
        <w:rPr>
          <w:rFonts w:cs="Calibri"/>
          <w:color w:val="000000"/>
          <w:sz w:val="24"/>
          <w:szCs w:val="24"/>
        </w:rPr>
        <w:t xml:space="preserve">including the point system adopted in D.21-06-029, </w:t>
      </w:r>
      <w:bookmarkEnd w:id="89"/>
      <w:r w:rsidRPr="006E004D">
        <w:rPr>
          <w:rFonts w:cs="Calibri"/>
          <w:color w:val="000000"/>
          <w:sz w:val="24"/>
          <w:szCs w:val="24"/>
        </w:rPr>
        <w:t xml:space="preserve">shall be applied when an LSE fails its monthly showing.  An LSE “fails” the Commission showing if it fails to meet its requirement in any of the 24-hours; if the LSE fails in multiple hours, the penalty should be assessed based on the hour with the largest deficiency.  </w:t>
      </w:r>
    </w:p>
    <w:p w:rsidRPr="006E004D" w:rsidR="006E004D" w:rsidP="006E004D" w:rsidRDefault="006E004D" w14:paraId="716D0B9E" w14:textId="77777777">
      <w:pPr>
        <w:autoSpaceDE w:val="0"/>
        <w:autoSpaceDN w:val="0"/>
        <w:adjustRightInd w:val="0"/>
        <w:spacing w:line="240" w:lineRule="auto"/>
        <w:ind w:firstLine="0"/>
        <w:rPr>
          <w:rFonts w:cs="Calibri"/>
          <w:color w:val="000000"/>
          <w:szCs w:val="26"/>
        </w:rPr>
      </w:pPr>
    </w:p>
    <w:p w:rsidRPr="006E004D" w:rsidR="006E004D" w:rsidP="006E004D" w:rsidRDefault="006E004D" w14:paraId="7F639718" w14:textId="77777777">
      <w:pPr>
        <w:numPr>
          <w:ilvl w:val="0"/>
          <w:numId w:val="32"/>
        </w:numPr>
        <w:autoSpaceDE w:val="0"/>
        <w:autoSpaceDN w:val="0"/>
        <w:adjustRightInd w:val="0"/>
        <w:spacing w:after="160" w:line="240" w:lineRule="auto"/>
        <w:ind w:left="360"/>
        <w:contextualSpacing/>
        <w:rPr>
          <w:rFonts w:cs="Calibri-Light"/>
          <w:b/>
          <w:bCs/>
          <w:szCs w:val="26"/>
        </w:rPr>
      </w:pPr>
      <w:r w:rsidRPr="006E004D">
        <w:rPr>
          <w:rFonts w:cs="Calibri-Light"/>
          <w:b/>
          <w:bCs/>
          <w:szCs w:val="26"/>
        </w:rPr>
        <w:t>Contracting Mechanics</w:t>
      </w:r>
    </w:p>
    <w:p w:rsidRPr="006E004D" w:rsidR="006E004D" w:rsidP="006E004D" w:rsidRDefault="006E004D" w14:paraId="2AA866BC" w14:textId="77777777">
      <w:pPr>
        <w:autoSpaceDE w:val="0"/>
        <w:autoSpaceDN w:val="0"/>
        <w:adjustRightInd w:val="0"/>
        <w:spacing w:line="240" w:lineRule="auto"/>
        <w:ind w:firstLine="0"/>
        <w:rPr>
          <w:rFonts w:cs="Calibri"/>
          <w:color w:val="000000"/>
          <w:szCs w:val="26"/>
        </w:rPr>
      </w:pPr>
    </w:p>
    <w:p w:rsidRPr="006E004D" w:rsidR="006E004D" w:rsidP="006E004D" w:rsidRDefault="006E004D" w14:paraId="197A0D3F" w14:textId="77777777">
      <w:pPr>
        <w:autoSpaceDE w:val="0"/>
        <w:autoSpaceDN w:val="0"/>
        <w:adjustRightInd w:val="0"/>
        <w:spacing w:line="240" w:lineRule="auto"/>
        <w:ind w:firstLine="0"/>
        <w:rPr>
          <w:rFonts w:cs="Calibri-Light"/>
          <w:b/>
          <w:bCs/>
          <w:sz w:val="24"/>
          <w:szCs w:val="24"/>
        </w:rPr>
      </w:pPr>
      <w:r w:rsidRPr="006E004D">
        <w:rPr>
          <w:rFonts w:cs="Calibri-Light"/>
          <w:b/>
          <w:bCs/>
          <w:sz w:val="24"/>
          <w:szCs w:val="24"/>
        </w:rPr>
        <w:t>Existing Contracts</w:t>
      </w:r>
    </w:p>
    <w:p w:rsidRPr="006E004D" w:rsidR="006E004D" w:rsidP="006E004D" w:rsidRDefault="006E004D" w14:paraId="7A5AE048" w14:textId="77777777">
      <w:pPr>
        <w:autoSpaceDE w:val="0"/>
        <w:autoSpaceDN w:val="0"/>
        <w:adjustRightInd w:val="0"/>
        <w:spacing w:line="240" w:lineRule="auto"/>
        <w:ind w:left="720" w:firstLine="0"/>
        <w:contextualSpacing/>
        <w:rPr>
          <w:rFonts w:cs="Calibri-Light"/>
          <w:color w:val="1F3763"/>
          <w:szCs w:val="26"/>
        </w:rPr>
      </w:pPr>
    </w:p>
    <w:p w:rsidRPr="006E004D" w:rsidR="006E004D" w:rsidP="006E004D" w:rsidRDefault="006E004D" w14:paraId="0B5B256B" w14:textId="77777777">
      <w:pPr>
        <w:autoSpaceDE w:val="0"/>
        <w:autoSpaceDN w:val="0"/>
        <w:adjustRightInd w:val="0"/>
        <w:spacing w:line="240" w:lineRule="auto"/>
        <w:ind w:firstLine="0"/>
        <w:rPr>
          <w:rFonts w:cs="Calibri"/>
          <w:color w:val="000000"/>
          <w:sz w:val="24"/>
          <w:szCs w:val="24"/>
        </w:rPr>
      </w:pPr>
      <w:r w:rsidRPr="006E004D">
        <w:rPr>
          <w:rFonts w:cs="Calibri"/>
          <w:color w:val="000000"/>
          <w:sz w:val="24"/>
          <w:szCs w:val="24"/>
        </w:rPr>
        <w:t>Existing contracts are expected to continue without modification or with minor changes under the 24-hour framework.  RA attributes must continue to be bundled and contracted resources continue to have a must-offer requirement based on their operational capability and the amount of monthly RA capacity sold.</w:t>
      </w:r>
    </w:p>
    <w:p w:rsidRPr="006E004D" w:rsidR="006E004D" w:rsidP="006E004D" w:rsidRDefault="006E004D" w14:paraId="42B725B4" w14:textId="77777777">
      <w:pPr>
        <w:autoSpaceDE w:val="0"/>
        <w:autoSpaceDN w:val="0"/>
        <w:adjustRightInd w:val="0"/>
        <w:spacing w:line="240" w:lineRule="auto"/>
        <w:ind w:firstLine="0"/>
        <w:rPr>
          <w:rFonts w:cs="Calibri-Light"/>
          <w:color w:val="1F3763"/>
          <w:szCs w:val="26"/>
        </w:rPr>
      </w:pPr>
    </w:p>
    <w:p w:rsidRPr="006E004D" w:rsidR="006E004D" w:rsidP="006E004D" w:rsidRDefault="006E004D" w14:paraId="072E4E33" w14:textId="77777777">
      <w:pPr>
        <w:autoSpaceDE w:val="0"/>
        <w:autoSpaceDN w:val="0"/>
        <w:adjustRightInd w:val="0"/>
        <w:spacing w:line="240" w:lineRule="auto"/>
        <w:ind w:firstLine="0"/>
        <w:rPr>
          <w:rFonts w:cs="Calibri-Light"/>
          <w:b/>
          <w:bCs/>
          <w:sz w:val="24"/>
          <w:szCs w:val="24"/>
        </w:rPr>
      </w:pPr>
      <w:r w:rsidRPr="006E004D">
        <w:rPr>
          <w:rFonts w:cs="Calibri-Light"/>
          <w:b/>
          <w:bCs/>
          <w:sz w:val="24"/>
          <w:szCs w:val="24"/>
        </w:rPr>
        <w:t>Transactability</w:t>
      </w:r>
    </w:p>
    <w:p w:rsidRPr="006E004D" w:rsidR="006E004D" w:rsidP="006E004D" w:rsidRDefault="006E004D" w14:paraId="167AABE8" w14:textId="77777777">
      <w:pPr>
        <w:autoSpaceDE w:val="0"/>
        <w:autoSpaceDN w:val="0"/>
        <w:adjustRightInd w:val="0"/>
        <w:spacing w:line="240" w:lineRule="auto"/>
        <w:ind w:left="720" w:firstLine="0"/>
        <w:contextualSpacing/>
        <w:rPr>
          <w:rFonts w:cs="Calibri-Light"/>
          <w:color w:val="1F3763"/>
          <w:szCs w:val="26"/>
        </w:rPr>
      </w:pPr>
    </w:p>
    <w:p w:rsidR="006E004D" w:rsidP="006E004D" w:rsidRDefault="006E004D" w14:paraId="7B21B1A7" w14:textId="030D4DCC">
      <w:pPr>
        <w:autoSpaceDE w:val="0"/>
        <w:autoSpaceDN w:val="0"/>
        <w:adjustRightInd w:val="0"/>
        <w:spacing w:line="240" w:lineRule="auto"/>
        <w:ind w:firstLine="0"/>
        <w:rPr>
          <w:rFonts w:cs="Calibri"/>
          <w:color w:val="000000"/>
          <w:sz w:val="24"/>
          <w:szCs w:val="24"/>
        </w:rPr>
      </w:pPr>
      <w:r w:rsidRPr="006E004D">
        <w:rPr>
          <w:rFonts w:cs="Calibri"/>
          <w:color w:val="000000"/>
          <w:sz w:val="24"/>
          <w:szCs w:val="24"/>
        </w:rPr>
        <w:t xml:space="preserve">The 24-hour framework will result in highly transactable RA products.  RA capacity will continue to trade as it does today because it keeps all attributes “bundled.”  All market participants will know the RA capability of all resources on a 24-hour basis because the MRD will be public.  This transparency will facilitate both direct </w:t>
      </w:r>
      <w:r w:rsidRPr="006E004D">
        <w:rPr>
          <w:rFonts w:cs="Calibri"/>
          <w:color w:val="000000"/>
          <w:sz w:val="24"/>
          <w:szCs w:val="24"/>
        </w:rPr>
        <w:lastRenderedPageBreak/>
        <w:t xml:space="preserve">contracting and secondary trading and will allow LSEs to pursue RA resources that best fit their needs. </w:t>
      </w:r>
    </w:p>
    <w:p w:rsidRPr="006E004D" w:rsidR="0038609C" w:rsidP="006E004D" w:rsidRDefault="0038609C" w14:paraId="306E318D" w14:textId="77777777">
      <w:pPr>
        <w:autoSpaceDE w:val="0"/>
        <w:autoSpaceDN w:val="0"/>
        <w:adjustRightInd w:val="0"/>
        <w:spacing w:line="240" w:lineRule="auto"/>
        <w:ind w:firstLine="0"/>
        <w:rPr>
          <w:rFonts w:cs="Calibri"/>
          <w:color w:val="000000"/>
          <w:sz w:val="24"/>
          <w:szCs w:val="24"/>
        </w:rPr>
      </w:pPr>
    </w:p>
    <w:p w:rsidRPr="006E004D" w:rsidR="006E004D" w:rsidP="006E004D" w:rsidRDefault="006E004D" w14:paraId="38FDA405" w14:textId="77777777">
      <w:pPr>
        <w:numPr>
          <w:ilvl w:val="0"/>
          <w:numId w:val="32"/>
        </w:numPr>
        <w:autoSpaceDE w:val="0"/>
        <w:autoSpaceDN w:val="0"/>
        <w:adjustRightInd w:val="0"/>
        <w:spacing w:after="160" w:line="240" w:lineRule="auto"/>
        <w:ind w:left="360"/>
        <w:contextualSpacing/>
        <w:rPr>
          <w:rFonts w:cs="Calibri-Light"/>
          <w:b/>
          <w:bCs/>
          <w:szCs w:val="26"/>
        </w:rPr>
      </w:pPr>
      <w:r w:rsidRPr="006E004D">
        <w:rPr>
          <w:rFonts w:cs="Calibri-Light"/>
          <w:b/>
          <w:bCs/>
          <w:szCs w:val="26"/>
        </w:rPr>
        <w:t>Test Year Mechanics</w:t>
      </w:r>
    </w:p>
    <w:p w:rsidRPr="006E004D" w:rsidR="006E004D" w:rsidP="006E004D" w:rsidRDefault="006E004D" w14:paraId="758A160D" w14:textId="77777777">
      <w:pPr>
        <w:autoSpaceDE w:val="0"/>
        <w:autoSpaceDN w:val="0"/>
        <w:adjustRightInd w:val="0"/>
        <w:spacing w:line="240" w:lineRule="auto"/>
        <w:ind w:left="360" w:firstLine="0"/>
        <w:contextualSpacing/>
        <w:rPr>
          <w:rFonts w:cs="Calibri-Light"/>
          <w:b/>
          <w:bCs/>
          <w:sz w:val="24"/>
          <w:szCs w:val="24"/>
        </w:rPr>
      </w:pPr>
    </w:p>
    <w:p w:rsidRPr="006E004D" w:rsidR="006E004D" w:rsidP="006E004D" w:rsidRDefault="006E004D" w14:paraId="4D7CE071" w14:textId="77777777">
      <w:pPr>
        <w:spacing w:line="240" w:lineRule="auto"/>
        <w:ind w:firstLine="0"/>
        <w:rPr>
          <w:sz w:val="24"/>
          <w:szCs w:val="24"/>
        </w:rPr>
      </w:pPr>
      <w:r w:rsidRPr="006E004D">
        <w:rPr>
          <w:sz w:val="24"/>
          <w:szCs w:val="24"/>
        </w:rPr>
        <w:t xml:space="preserve">For the 2024 test year, LSEs shall submit a year-ahead compliance showing by November 30, 2023.  Month-ahead compliance showings shall be limited to March, June, and September and shall be submitted by the first day of the showing month.  </w:t>
      </w:r>
    </w:p>
    <w:p w:rsidRPr="006E004D" w:rsidR="006E004D" w:rsidP="006E004D" w:rsidRDefault="006E004D" w14:paraId="4ABB224C" w14:textId="77777777">
      <w:pPr>
        <w:spacing w:line="240" w:lineRule="auto"/>
        <w:ind w:firstLine="0"/>
        <w:rPr>
          <w:sz w:val="24"/>
          <w:szCs w:val="24"/>
        </w:rPr>
      </w:pPr>
    </w:p>
    <w:p w:rsidRPr="006E004D" w:rsidR="006E004D" w:rsidP="006E004D" w:rsidRDefault="006E004D" w14:paraId="081F8FE2" w14:textId="7AAC045A">
      <w:pPr>
        <w:spacing w:line="240" w:lineRule="auto"/>
        <w:ind w:firstLine="0"/>
        <w:rPr>
          <w:sz w:val="24"/>
          <w:szCs w:val="24"/>
        </w:rPr>
      </w:pPr>
      <w:r w:rsidRPr="006E004D">
        <w:rPr>
          <w:sz w:val="24"/>
          <w:szCs w:val="24"/>
        </w:rPr>
        <w:t>Energy Division is authorized to solicit informal feedback from parties after key milestones during the 2024 test year.  Energy Division is directed to prepare a report summarizing comments and feedback after the year-ahead test showings to be submitted to the Commission by February 1, 2024.</w:t>
      </w:r>
      <w:r w:rsidR="00831A3F">
        <w:rPr>
          <w:sz w:val="24"/>
          <w:szCs w:val="24"/>
        </w:rPr>
        <w:t xml:space="preserve">  Parties will have an opportunity to provide formal comment on </w:t>
      </w:r>
      <w:proofErr w:type="gramStart"/>
      <w:r w:rsidR="00831A3F">
        <w:rPr>
          <w:sz w:val="24"/>
          <w:szCs w:val="24"/>
        </w:rPr>
        <w:t>Energy</w:t>
      </w:r>
      <w:proofErr w:type="gramEnd"/>
      <w:r w:rsidR="00831A3F">
        <w:rPr>
          <w:sz w:val="24"/>
          <w:szCs w:val="24"/>
        </w:rPr>
        <w:t xml:space="preserve"> Division’s report. </w:t>
      </w:r>
    </w:p>
    <w:p w:rsidRPr="006E004D" w:rsidR="006E004D" w:rsidP="006E004D" w:rsidRDefault="006E004D" w14:paraId="3DDF9583" w14:textId="77777777">
      <w:pPr>
        <w:autoSpaceDE w:val="0"/>
        <w:autoSpaceDN w:val="0"/>
        <w:adjustRightInd w:val="0"/>
        <w:spacing w:line="240" w:lineRule="auto"/>
        <w:ind w:firstLine="0"/>
        <w:rPr>
          <w:rFonts w:cs="Calibri-Light"/>
          <w:color w:val="2F5497"/>
          <w:szCs w:val="26"/>
        </w:rPr>
      </w:pPr>
    </w:p>
    <w:p w:rsidRPr="006E004D" w:rsidR="006E004D" w:rsidP="006E004D" w:rsidRDefault="006E004D" w14:paraId="45779636" w14:textId="77777777">
      <w:pPr>
        <w:numPr>
          <w:ilvl w:val="0"/>
          <w:numId w:val="32"/>
        </w:numPr>
        <w:autoSpaceDE w:val="0"/>
        <w:autoSpaceDN w:val="0"/>
        <w:adjustRightInd w:val="0"/>
        <w:spacing w:after="160" w:line="240" w:lineRule="auto"/>
        <w:ind w:left="360"/>
        <w:contextualSpacing/>
        <w:rPr>
          <w:rFonts w:cs="Calibri-Light"/>
          <w:b/>
          <w:bCs/>
          <w:szCs w:val="26"/>
        </w:rPr>
      </w:pPr>
      <w:r w:rsidRPr="006E004D">
        <w:rPr>
          <w:rFonts w:cs="Calibri-Light"/>
          <w:b/>
          <w:bCs/>
          <w:szCs w:val="26"/>
        </w:rPr>
        <w:t>Tools Required for Implementation</w:t>
      </w:r>
    </w:p>
    <w:p w:rsidRPr="006E004D" w:rsidR="006E004D" w:rsidP="006E004D" w:rsidRDefault="006E004D" w14:paraId="17CA645F" w14:textId="77777777">
      <w:pPr>
        <w:autoSpaceDE w:val="0"/>
        <w:autoSpaceDN w:val="0"/>
        <w:adjustRightInd w:val="0"/>
        <w:spacing w:line="240" w:lineRule="auto"/>
        <w:ind w:left="720" w:firstLine="0"/>
        <w:contextualSpacing/>
        <w:rPr>
          <w:rFonts w:cs="Calibri-Light"/>
          <w:color w:val="2F5497"/>
          <w:szCs w:val="26"/>
        </w:rPr>
      </w:pPr>
    </w:p>
    <w:p w:rsidRPr="006E004D" w:rsidR="006E004D" w:rsidP="006E004D" w:rsidRDefault="006E004D" w14:paraId="4A794051" w14:textId="77777777">
      <w:pPr>
        <w:autoSpaceDE w:val="0"/>
        <w:autoSpaceDN w:val="0"/>
        <w:adjustRightInd w:val="0"/>
        <w:spacing w:line="240" w:lineRule="auto"/>
        <w:ind w:firstLine="0"/>
        <w:rPr>
          <w:rFonts w:cs="Calibri"/>
          <w:color w:val="000000"/>
          <w:sz w:val="24"/>
          <w:szCs w:val="24"/>
        </w:rPr>
      </w:pPr>
      <w:r w:rsidRPr="006E004D">
        <w:rPr>
          <w:rFonts w:cs="Calibri"/>
          <w:color w:val="000000"/>
          <w:sz w:val="24"/>
          <w:szCs w:val="24"/>
        </w:rPr>
        <w:t xml:space="preserve">Several new administrative tools must be developed to implement the 24-hour framework.  The tools ensure that all parties agree on the RA capability of each resource, have sufficient information to design RA portfolios, can submit the showings, and can demonstrate compliance to the Commission.  </w:t>
      </w:r>
    </w:p>
    <w:p w:rsidRPr="006E004D" w:rsidR="006E004D" w:rsidP="006E004D" w:rsidRDefault="006E004D" w14:paraId="28A538EC" w14:textId="77777777">
      <w:pPr>
        <w:autoSpaceDE w:val="0"/>
        <w:autoSpaceDN w:val="0"/>
        <w:adjustRightInd w:val="0"/>
        <w:spacing w:line="240" w:lineRule="auto"/>
        <w:ind w:firstLine="0"/>
        <w:rPr>
          <w:rFonts w:cs="Calibri"/>
          <w:color w:val="000000"/>
          <w:szCs w:val="26"/>
        </w:rPr>
      </w:pPr>
    </w:p>
    <w:p w:rsidRPr="006E004D" w:rsidR="006E004D" w:rsidP="006E004D" w:rsidRDefault="006E004D" w14:paraId="658572E0" w14:textId="77777777">
      <w:pPr>
        <w:keepNext/>
        <w:keepLines/>
        <w:autoSpaceDE w:val="0"/>
        <w:autoSpaceDN w:val="0"/>
        <w:adjustRightInd w:val="0"/>
        <w:spacing w:line="240" w:lineRule="auto"/>
        <w:ind w:firstLine="0"/>
        <w:rPr>
          <w:rFonts w:cs="Calibri-Light"/>
          <w:b/>
          <w:bCs/>
          <w:sz w:val="24"/>
          <w:szCs w:val="24"/>
        </w:rPr>
      </w:pPr>
      <w:r w:rsidRPr="006E004D">
        <w:rPr>
          <w:rFonts w:cs="Calibri-Light"/>
          <w:b/>
          <w:bCs/>
          <w:sz w:val="24"/>
          <w:szCs w:val="24"/>
        </w:rPr>
        <w:t>RA Master Resource Database</w:t>
      </w:r>
    </w:p>
    <w:p w:rsidRPr="006E004D" w:rsidR="006E004D" w:rsidP="006E004D" w:rsidRDefault="006E004D" w14:paraId="4B94DD9B" w14:textId="77777777">
      <w:pPr>
        <w:keepNext/>
        <w:keepLines/>
        <w:autoSpaceDE w:val="0"/>
        <w:autoSpaceDN w:val="0"/>
        <w:adjustRightInd w:val="0"/>
        <w:spacing w:line="240" w:lineRule="auto"/>
        <w:ind w:left="720" w:firstLine="0"/>
        <w:contextualSpacing/>
        <w:rPr>
          <w:rFonts w:cs="Calibri-Light"/>
          <w:color w:val="1F3763"/>
          <w:szCs w:val="26"/>
        </w:rPr>
      </w:pPr>
    </w:p>
    <w:p w:rsidRPr="006E004D" w:rsidR="006E004D" w:rsidP="006E004D" w:rsidRDefault="006E004D" w14:paraId="2906622B" w14:textId="77777777">
      <w:pPr>
        <w:keepNext/>
        <w:keepLines/>
        <w:numPr>
          <w:ilvl w:val="0"/>
          <w:numId w:val="23"/>
        </w:numPr>
        <w:autoSpaceDE w:val="0"/>
        <w:autoSpaceDN w:val="0"/>
        <w:adjustRightInd w:val="0"/>
        <w:spacing w:after="160" w:line="240" w:lineRule="auto"/>
        <w:ind w:left="720"/>
        <w:contextualSpacing/>
        <w:rPr>
          <w:rFonts w:cs="Calibri"/>
          <w:color w:val="000000"/>
          <w:sz w:val="24"/>
          <w:szCs w:val="24"/>
        </w:rPr>
      </w:pPr>
      <w:r w:rsidRPr="006E004D">
        <w:rPr>
          <w:rFonts w:cs="Calibri"/>
          <w:color w:val="000000"/>
          <w:sz w:val="24"/>
          <w:szCs w:val="24"/>
        </w:rPr>
        <w:t xml:space="preserve">Contains a list of all resources (within the CAISO) eligible to sell RA, their resource ID, their maximum RA capacity, and hours of availability within a 24-hour </w:t>
      </w:r>
      <w:proofErr w:type="gramStart"/>
      <w:r w:rsidRPr="006E004D">
        <w:rPr>
          <w:rFonts w:cs="Calibri"/>
          <w:color w:val="000000"/>
          <w:sz w:val="24"/>
          <w:szCs w:val="24"/>
        </w:rPr>
        <w:t>window;</w:t>
      </w:r>
      <w:proofErr w:type="gramEnd"/>
    </w:p>
    <w:p w:rsidRPr="006E004D" w:rsidR="006E004D" w:rsidP="006E004D" w:rsidRDefault="006E004D" w14:paraId="74F0E3CF" w14:textId="77777777">
      <w:pPr>
        <w:autoSpaceDE w:val="0"/>
        <w:autoSpaceDN w:val="0"/>
        <w:adjustRightInd w:val="0"/>
        <w:spacing w:line="240" w:lineRule="auto"/>
        <w:ind w:left="720" w:firstLine="0"/>
        <w:contextualSpacing/>
        <w:rPr>
          <w:rFonts w:cs="Calibri"/>
          <w:color w:val="000000"/>
          <w:sz w:val="24"/>
          <w:szCs w:val="24"/>
        </w:rPr>
      </w:pPr>
    </w:p>
    <w:p w:rsidRPr="006E004D" w:rsidR="006E004D" w:rsidP="006E004D" w:rsidRDefault="006E004D" w14:paraId="58607462" w14:textId="77777777">
      <w:pPr>
        <w:numPr>
          <w:ilvl w:val="0"/>
          <w:numId w:val="23"/>
        </w:numPr>
        <w:autoSpaceDE w:val="0"/>
        <w:autoSpaceDN w:val="0"/>
        <w:adjustRightInd w:val="0"/>
        <w:spacing w:after="160" w:line="240" w:lineRule="auto"/>
        <w:ind w:left="720"/>
        <w:contextualSpacing/>
        <w:rPr>
          <w:rFonts w:cs="Calibri"/>
          <w:color w:val="000000"/>
          <w:sz w:val="24"/>
          <w:szCs w:val="24"/>
        </w:rPr>
      </w:pPr>
      <w:r w:rsidRPr="006E004D">
        <w:rPr>
          <w:rFonts w:cs="Calibri"/>
          <w:color w:val="000000"/>
          <w:sz w:val="24"/>
          <w:szCs w:val="24"/>
        </w:rPr>
        <w:t xml:space="preserve">For solar and wind, identifies the profile associated with the </w:t>
      </w:r>
      <w:proofErr w:type="gramStart"/>
      <w:r w:rsidRPr="006E004D">
        <w:rPr>
          <w:rFonts w:cs="Calibri"/>
          <w:color w:val="000000"/>
          <w:sz w:val="24"/>
          <w:szCs w:val="24"/>
        </w:rPr>
        <w:t>resource;</w:t>
      </w:r>
      <w:proofErr w:type="gramEnd"/>
      <w:r w:rsidRPr="006E004D">
        <w:rPr>
          <w:rFonts w:cs="Calibri"/>
          <w:color w:val="000000"/>
          <w:sz w:val="24"/>
          <w:szCs w:val="24"/>
        </w:rPr>
        <w:t xml:space="preserve"> </w:t>
      </w:r>
    </w:p>
    <w:p w:rsidRPr="006E004D" w:rsidR="006E004D" w:rsidP="006E004D" w:rsidRDefault="006E004D" w14:paraId="075DBAEE" w14:textId="77777777">
      <w:pPr>
        <w:spacing w:after="160" w:line="259" w:lineRule="auto"/>
        <w:ind w:left="720" w:firstLine="0"/>
        <w:contextualSpacing/>
        <w:rPr>
          <w:rFonts w:cs="Calibri"/>
          <w:color w:val="000000"/>
          <w:sz w:val="24"/>
          <w:szCs w:val="24"/>
        </w:rPr>
      </w:pPr>
    </w:p>
    <w:p w:rsidRPr="006E004D" w:rsidR="006E004D" w:rsidP="006E004D" w:rsidRDefault="006E004D" w14:paraId="31D90272" w14:textId="77777777">
      <w:pPr>
        <w:numPr>
          <w:ilvl w:val="0"/>
          <w:numId w:val="23"/>
        </w:numPr>
        <w:autoSpaceDE w:val="0"/>
        <w:autoSpaceDN w:val="0"/>
        <w:adjustRightInd w:val="0"/>
        <w:spacing w:after="160" w:line="240" w:lineRule="auto"/>
        <w:ind w:left="720"/>
        <w:contextualSpacing/>
        <w:rPr>
          <w:rFonts w:cs="Calibri"/>
          <w:color w:val="000000"/>
          <w:sz w:val="24"/>
          <w:szCs w:val="24"/>
        </w:rPr>
      </w:pPr>
      <w:r w:rsidRPr="006E004D">
        <w:rPr>
          <w:rFonts w:cs="Calibri"/>
          <w:color w:val="000000"/>
          <w:sz w:val="24"/>
          <w:szCs w:val="24"/>
        </w:rPr>
        <w:t xml:space="preserve">For storage, includes the charging efficiency, maximum continuous energy, maximum daily energy, whether the resource is charging exclusively on-site or allows for grid charging and daily </w:t>
      </w:r>
      <w:proofErr w:type="gramStart"/>
      <w:r w:rsidRPr="006E004D">
        <w:rPr>
          <w:rFonts w:cs="Calibri"/>
          <w:color w:val="000000"/>
          <w:sz w:val="24"/>
          <w:szCs w:val="24"/>
        </w:rPr>
        <w:t>cycles;</w:t>
      </w:r>
      <w:proofErr w:type="gramEnd"/>
    </w:p>
    <w:p w:rsidRPr="006E004D" w:rsidR="006E004D" w:rsidP="006E004D" w:rsidRDefault="006E004D" w14:paraId="6D3F9BEA" w14:textId="77777777">
      <w:pPr>
        <w:spacing w:after="160" w:line="259" w:lineRule="auto"/>
        <w:ind w:left="720" w:firstLine="0"/>
        <w:contextualSpacing/>
        <w:rPr>
          <w:rFonts w:cs="Calibri"/>
          <w:color w:val="000000"/>
          <w:sz w:val="24"/>
          <w:szCs w:val="24"/>
        </w:rPr>
      </w:pPr>
    </w:p>
    <w:p w:rsidRPr="006E004D" w:rsidR="006E004D" w:rsidP="006E004D" w:rsidRDefault="006E004D" w14:paraId="3C4D4B4E" w14:textId="77777777">
      <w:pPr>
        <w:numPr>
          <w:ilvl w:val="0"/>
          <w:numId w:val="23"/>
        </w:numPr>
        <w:autoSpaceDE w:val="0"/>
        <w:autoSpaceDN w:val="0"/>
        <w:adjustRightInd w:val="0"/>
        <w:spacing w:after="160" w:line="240" w:lineRule="auto"/>
        <w:ind w:left="720"/>
        <w:contextualSpacing/>
        <w:rPr>
          <w:rFonts w:cs="Calibri"/>
          <w:color w:val="000000"/>
          <w:sz w:val="24"/>
          <w:szCs w:val="24"/>
        </w:rPr>
      </w:pPr>
      <w:r w:rsidRPr="006E004D">
        <w:rPr>
          <w:rFonts w:cs="Calibri"/>
          <w:color w:val="000000"/>
          <w:sz w:val="24"/>
          <w:szCs w:val="24"/>
        </w:rPr>
        <w:t xml:space="preserve">For hybrid and co-located resources, includes configurations to describe </w:t>
      </w:r>
      <w:proofErr w:type="gramStart"/>
      <w:r w:rsidRPr="006E004D">
        <w:rPr>
          <w:rFonts w:cs="Calibri"/>
          <w:color w:val="000000"/>
          <w:sz w:val="24"/>
          <w:szCs w:val="24"/>
        </w:rPr>
        <w:t>capabilities;</w:t>
      </w:r>
      <w:proofErr w:type="gramEnd"/>
    </w:p>
    <w:p w:rsidRPr="006E004D" w:rsidR="006E004D" w:rsidP="006E004D" w:rsidRDefault="006E004D" w14:paraId="7C4ECD5E" w14:textId="77777777">
      <w:pPr>
        <w:spacing w:after="160" w:line="259" w:lineRule="auto"/>
        <w:ind w:left="720" w:firstLine="0"/>
        <w:contextualSpacing/>
        <w:rPr>
          <w:rFonts w:cs="Calibri"/>
          <w:color w:val="000000"/>
          <w:sz w:val="24"/>
          <w:szCs w:val="24"/>
        </w:rPr>
      </w:pPr>
    </w:p>
    <w:p w:rsidRPr="006E004D" w:rsidR="006E004D" w:rsidP="006E004D" w:rsidRDefault="006E004D" w14:paraId="76298DC6" w14:textId="77777777">
      <w:pPr>
        <w:numPr>
          <w:ilvl w:val="0"/>
          <w:numId w:val="23"/>
        </w:numPr>
        <w:autoSpaceDE w:val="0"/>
        <w:autoSpaceDN w:val="0"/>
        <w:adjustRightInd w:val="0"/>
        <w:spacing w:after="160" w:line="240" w:lineRule="auto"/>
        <w:ind w:left="720"/>
        <w:contextualSpacing/>
        <w:rPr>
          <w:rFonts w:cs="Calibri"/>
          <w:color w:val="000000"/>
          <w:sz w:val="24"/>
          <w:szCs w:val="24"/>
        </w:rPr>
      </w:pPr>
      <w:r w:rsidRPr="006E004D">
        <w:rPr>
          <w:rFonts w:cs="Calibri"/>
          <w:color w:val="000000"/>
          <w:sz w:val="24"/>
          <w:szCs w:val="24"/>
        </w:rPr>
        <w:t xml:space="preserve">Contains data for each </w:t>
      </w:r>
      <w:proofErr w:type="gramStart"/>
      <w:r w:rsidRPr="006E004D">
        <w:rPr>
          <w:rFonts w:cs="Calibri"/>
          <w:color w:val="000000"/>
          <w:sz w:val="24"/>
          <w:szCs w:val="24"/>
        </w:rPr>
        <w:t>month;</w:t>
      </w:r>
      <w:proofErr w:type="gramEnd"/>
    </w:p>
    <w:p w:rsidRPr="006E004D" w:rsidR="006E004D" w:rsidP="006E004D" w:rsidRDefault="006E004D" w14:paraId="3330E43C" w14:textId="77777777">
      <w:pPr>
        <w:spacing w:after="160" w:line="259" w:lineRule="auto"/>
        <w:ind w:left="720" w:firstLine="0"/>
        <w:contextualSpacing/>
        <w:rPr>
          <w:rFonts w:cs="Calibri"/>
          <w:color w:val="000000"/>
          <w:sz w:val="24"/>
          <w:szCs w:val="24"/>
        </w:rPr>
      </w:pPr>
    </w:p>
    <w:p w:rsidRPr="006E004D" w:rsidR="006E004D" w:rsidP="006E004D" w:rsidRDefault="006E004D" w14:paraId="75B09CA6" w14:textId="77777777">
      <w:pPr>
        <w:numPr>
          <w:ilvl w:val="0"/>
          <w:numId w:val="23"/>
        </w:numPr>
        <w:autoSpaceDE w:val="0"/>
        <w:autoSpaceDN w:val="0"/>
        <w:adjustRightInd w:val="0"/>
        <w:spacing w:after="160" w:line="240" w:lineRule="auto"/>
        <w:ind w:left="720"/>
        <w:contextualSpacing/>
        <w:rPr>
          <w:rFonts w:cs="Calibri"/>
          <w:color w:val="000000"/>
          <w:sz w:val="24"/>
          <w:szCs w:val="24"/>
        </w:rPr>
      </w:pPr>
      <w:r w:rsidRPr="006E004D">
        <w:rPr>
          <w:rFonts w:cs="Calibri"/>
          <w:color w:val="000000"/>
          <w:sz w:val="24"/>
          <w:szCs w:val="24"/>
        </w:rPr>
        <w:t>Information is public and available to inform trading and resource portfolio development.</w:t>
      </w:r>
    </w:p>
    <w:p w:rsidRPr="006E004D" w:rsidR="006E004D" w:rsidP="006E004D" w:rsidRDefault="006E004D" w14:paraId="42DCECDF" w14:textId="77777777">
      <w:pPr>
        <w:autoSpaceDE w:val="0"/>
        <w:autoSpaceDN w:val="0"/>
        <w:adjustRightInd w:val="0"/>
        <w:spacing w:line="240" w:lineRule="auto"/>
        <w:ind w:firstLine="0"/>
        <w:rPr>
          <w:rFonts w:cs="Calibri-Light"/>
          <w:sz w:val="24"/>
          <w:szCs w:val="24"/>
        </w:rPr>
      </w:pPr>
      <w:r w:rsidRPr="006E004D">
        <w:rPr>
          <w:rFonts w:cs="Calibri-Light"/>
          <w:b/>
          <w:bCs/>
          <w:sz w:val="24"/>
          <w:szCs w:val="24"/>
        </w:rPr>
        <w:lastRenderedPageBreak/>
        <w:t>LSE Requirement Database</w:t>
      </w:r>
      <w:r w:rsidRPr="006E004D">
        <w:rPr>
          <w:rFonts w:cs="Calibri-Light"/>
          <w:sz w:val="24"/>
          <w:szCs w:val="24"/>
        </w:rPr>
        <w:t xml:space="preserve"> </w:t>
      </w:r>
    </w:p>
    <w:p w:rsidRPr="006E004D" w:rsidR="006E004D" w:rsidP="006E004D" w:rsidRDefault="006E004D" w14:paraId="307804F9" w14:textId="77777777">
      <w:pPr>
        <w:autoSpaceDE w:val="0"/>
        <w:autoSpaceDN w:val="0"/>
        <w:adjustRightInd w:val="0"/>
        <w:spacing w:line="240" w:lineRule="auto"/>
        <w:ind w:left="720" w:firstLine="0"/>
        <w:contextualSpacing/>
        <w:rPr>
          <w:rFonts w:cs="Calibri-Light"/>
          <w:color w:val="1F3763"/>
          <w:szCs w:val="26"/>
        </w:rPr>
      </w:pPr>
    </w:p>
    <w:p w:rsidRPr="006E004D" w:rsidR="006E004D" w:rsidP="006E004D" w:rsidRDefault="006E004D" w14:paraId="076395C2" w14:textId="77777777">
      <w:pPr>
        <w:numPr>
          <w:ilvl w:val="0"/>
          <w:numId w:val="23"/>
        </w:numPr>
        <w:autoSpaceDE w:val="0"/>
        <w:autoSpaceDN w:val="0"/>
        <w:adjustRightInd w:val="0"/>
        <w:spacing w:before="240" w:after="160" w:line="240" w:lineRule="auto"/>
        <w:ind w:left="720"/>
        <w:contextualSpacing/>
        <w:rPr>
          <w:rFonts w:cs="Calibri"/>
          <w:color w:val="000000"/>
          <w:sz w:val="24"/>
          <w:szCs w:val="24"/>
        </w:rPr>
      </w:pPr>
      <w:r w:rsidRPr="006E004D">
        <w:rPr>
          <w:rFonts w:cs="Calibri-Light"/>
          <w:sz w:val="24"/>
          <w:szCs w:val="24"/>
        </w:rPr>
        <w:t xml:space="preserve">This will populate the LSE allocation tab used in the LSE compliance </w:t>
      </w:r>
      <w:proofErr w:type="gramStart"/>
      <w:r w:rsidRPr="006E004D">
        <w:rPr>
          <w:rFonts w:cs="Calibri-Light"/>
          <w:sz w:val="24"/>
          <w:szCs w:val="24"/>
        </w:rPr>
        <w:t>showing;</w:t>
      </w:r>
      <w:proofErr w:type="gramEnd"/>
    </w:p>
    <w:p w:rsidRPr="006E004D" w:rsidR="006E004D" w:rsidP="006E004D" w:rsidRDefault="006E004D" w14:paraId="1274EA07" w14:textId="77777777">
      <w:pPr>
        <w:autoSpaceDE w:val="0"/>
        <w:autoSpaceDN w:val="0"/>
        <w:adjustRightInd w:val="0"/>
        <w:spacing w:before="240" w:after="160" w:line="240" w:lineRule="auto"/>
        <w:ind w:left="720" w:firstLine="0"/>
        <w:contextualSpacing/>
        <w:rPr>
          <w:rFonts w:cs="Calibri"/>
          <w:color w:val="000000"/>
          <w:sz w:val="24"/>
          <w:szCs w:val="24"/>
        </w:rPr>
      </w:pPr>
    </w:p>
    <w:p w:rsidRPr="006E004D" w:rsidR="006E004D" w:rsidP="006E004D" w:rsidRDefault="006E004D" w14:paraId="2A42CB03" w14:textId="77777777">
      <w:pPr>
        <w:numPr>
          <w:ilvl w:val="0"/>
          <w:numId w:val="23"/>
        </w:numPr>
        <w:autoSpaceDE w:val="0"/>
        <w:autoSpaceDN w:val="0"/>
        <w:adjustRightInd w:val="0"/>
        <w:spacing w:before="240" w:after="160" w:line="240" w:lineRule="auto"/>
        <w:ind w:left="720"/>
        <w:contextualSpacing/>
        <w:rPr>
          <w:rFonts w:cs="Calibri"/>
          <w:color w:val="000000"/>
          <w:sz w:val="24"/>
          <w:szCs w:val="24"/>
        </w:rPr>
      </w:pPr>
      <w:r w:rsidRPr="006E004D">
        <w:rPr>
          <w:rFonts w:cs="Calibri"/>
          <w:color w:val="000000"/>
          <w:sz w:val="24"/>
          <w:szCs w:val="24"/>
        </w:rPr>
        <w:t xml:space="preserve">Contains the official requirements of each LSE (hourly load + PRM), by month, for all 24 </w:t>
      </w:r>
      <w:proofErr w:type="gramStart"/>
      <w:r w:rsidRPr="006E004D">
        <w:rPr>
          <w:rFonts w:cs="Calibri"/>
          <w:color w:val="000000"/>
          <w:sz w:val="24"/>
          <w:szCs w:val="24"/>
        </w:rPr>
        <w:t>hours;</w:t>
      </w:r>
      <w:proofErr w:type="gramEnd"/>
    </w:p>
    <w:p w:rsidRPr="006E004D" w:rsidR="006E004D" w:rsidP="006E004D" w:rsidRDefault="006E004D" w14:paraId="5F72FBF8" w14:textId="77777777">
      <w:pPr>
        <w:autoSpaceDE w:val="0"/>
        <w:autoSpaceDN w:val="0"/>
        <w:adjustRightInd w:val="0"/>
        <w:spacing w:before="240" w:after="160" w:line="240" w:lineRule="auto"/>
        <w:ind w:left="720" w:firstLine="0"/>
        <w:contextualSpacing/>
        <w:rPr>
          <w:rFonts w:cs="Calibri"/>
          <w:color w:val="000000"/>
          <w:sz w:val="24"/>
          <w:szCs w:val="24"/>
        </w:rPr>
      </w:pPr>
    </w:p>
    <w:p w:rsidRPr="006E004D" w:rsidR="006E004D" w:rsidP="006E004D" w:rsidRDefault="006E004D" w14:paraId="593936AE" w14:textId="77777777">
      <w:pPr>
        <w:numPr>
          <w:ilvl w:val="0"/>
          <w:numId w:val="23"/>
        </w:numPr>
        <w:autoSpaceDE w:val="0"/>
        <w:autoSpaceDN w:val="0"/>
        <w:adjustRightInd w:val="0"/>
        <w:spacing w:before="240" w:after="160" w:line="240" w:lineRule="auto"/>
        <w:ind w:left="720"/>
        <w:contextualSpacing/>
        <w:rPr>
          <w:rFonts w:cs="Calibri"/>
          <w:color w:val="000000"/>
          <w:sz w:val="24"/>
          <w:szCs w:val="24"/>
        </w:rPr>
      </w:pPr>
      <w:r w:rsidRPr="006E004D">
        <w:rPr>
          <w:rFonts w:cs="Calibri"/>
          <w:color w:val="000000"/>
          <w:sz w:val="24"/>
          <w:szCs w:val="24"/>
        </w:rPr>
        <w:t xml:space="preserve">Is used by each LSE to determine its monthly 24-hour showing </w:t>
      </w:r>
      <w:proofErr w:type="gramStart"/>
      <w:r w:rsidRPr="006E004D">
        <w:rPr>
          <w:rFonts w:cs="Calibri"/>
          <w:color w:val="000000"/>
          <w:sz w:val="24"/>
          <w:szCs w:val="24"/>
        </w:rPr>
        <w:t>requirement;</w:t>
      </w:r>
      <w:proofErr w:type="gramEnd"/>
    </w:p>
    <w:p w:rsidRPr="006E004D" w:rsidR="006E004D" w:rsidP="006E004D" w:rsidRDefault="006E004D" w14:paraId="02F38609" w14:textId="77777777">
      <w:pPr>
        <w:autoSpaceDE w:val="0"/>
        <w:autoSpaceDN w:val="0"/>
        <w:adjustRightInd w:val="0"/>
        <w:spacing w:before="240" w:after="160" w:line="240" w:lineRule="auto"/>
        <w:ind w:left="720" w:firstLine="0"/>
        <w:contextualSpacing/>
        <w:rPr>
          <w:rFonts w:cs="Calibri"/>
          <w:color w:val="000000"/>
          <w:sz w:val="24"/>
          <w:szCs w:val="24"/>
        </w:rPr>
      </w:pPr>
    </w:p>
    <w:p w:rsidRPr="006E004D" w:rsidR="006E004D" w:rsidP="006E004D" w:rsidRDefault="006E004D" w14:paraId="5369AC0F" w14:textId="77777777">
      <w:pPr>
        <w:numPr>
          <w:ilvl w:val="0"/>
          <w:numId w:val="23"/>
        </w:numPr>
        <w:autoSpaceDE w:val="0"/>
        <w:autoSpaceDN w:val="0"/>
        <w:adjustRightInd w:val="0"/>
        <w:spacing w:before="240" w:after="160" w:line="240" w:lineRule="auto"/>
        <w:ind w:left="720"/>
        <w:contextualSpacing/>
        <w:rPr>
          <w:rFonts w:cs="Calibri"/>
          <w:color w:val="000000"/>
          <w:sz w:val="24"/>
          <w:szCs w:val="24"/>
        </w:rPr>
      </w:pPr>
      <w:r w:rsidRPr="006E004D">
        <w:rPr>
          <w:rFonts w:cs="Calibri"/>
          <w:color w:val="000000"/>
          <w:sz w:val="24"/>
          <w:szCs w:val="24"/>
        </w:rPr>
        <w:t>Is used by the Commission to ensure each LSE meets its monthly 24-hour showing requirement;</w:t>
      </w:r>
    </w:p>
    <w:p w:rsidRPr="006E004D" w:rsidR="006E004D" w:rsidP="006E004D" w:rsidRDefault="006E004D" w14:paraId="17FA9C69" w14:textId="77777777">
      <w:pPr>
        <w:autoSpaceDE w:val="0"/>
        <w:autoSpaceDN w:val="0"/>
        <w:adjustRightInd w:val="0"/>
        <w:spacing w:before="240" w:after="160" w:line="240" w:lineRule="auto"/>
        <w:ind w:left="720" w:firstLine="0"/>
        <w:contextualSpacing/>
        <w:rPr>
          <w:rFonts w:cs="Calibri"/>
          <w:color w:val="000000"/>
          <w:sz w:val="24"/>
          <w:szCs w:val="24"/>
        </w:rPr>
      </w:pPr>
    </w:p>
    <w:p w:rsidRPr="006E004D" w:rsidR="006E004D" w:rsidP="006E004D" w:rsidRDefault="006E004D" w14:paraId="044F3447" w14:textId="77777777">
      <w:pPr>
        <w:numPr>
          <w:ilvl w:val="0"/>
          <w:numId w:val="23"/>
        </w:numPr>
        <w:autoSpaceDE w:val="0"/>
        <w:autoSpaceDN w:val="0"/>
        <w:adjustRightInd w:val="0"/>
        <w:spacing w:before="240" w:after="160" w:line="240" w:lineRule="auto"/>
        <w:ind w:left="720"/>
        <w:contextualSpacing/>
        <w:rPr>
          <w:rFonts w:cs="Calibri"/>
          <w:color w:val="000000"/>
          <w:sz w:val="24"/>
          <w:szCs w:val="24"/>
        </w:rPr>
      </w:pPr>
      <w:r w:rsidRPr="006E004D">
        <w:rPr>
          <w:rFonts w:cs="Calibri"/>
          <w:color w:val="000000"/>
          <w:sz w:val="24"/>
          <w:szCs w:val="24"/>
        </w:rPr>
        <w:t>Is developed by the Commission in communication with the CEC after the CEC finalizes the monthly, 24-hour load shape for each LSE;</w:t>
      </w:r>
    </w:p>
    <w:p w:rsidRPr="006E004D" w:rsidR="006E004D" w:rsidP="006E004D" w:rsidRDefault="006E004D" w14:paraId="6D9529E2" w14:textId="77777777">
      <w:pPr>
        <w:autoSpaceDE w:val="0"/>
        <w:autoSpaceDN w:val="0"/>
        <w:adjustRightInd w:val="0"/>
        <w:spacing w:before="240" w:after="160" w:line="240" w:lineRule="auto"/>
        <w:ind w:left="720" w:firstLine="0"/>
        <w:contextualSpacing/>
        <w:rPr>
          <w:rFonts w:cs="Calibri"/>
          <w:color w:val="000000"/>
          <w:sz w:val="24"/>
          <w:szCs w:val="24"/>
        </w:rPr>
      </w:pPr>
    </w:p>
    <w:p w:rsidRPr="006E004D" w:rsidR="006E004D" w:rsidP="006E004D" w:rsidRDefault="006E004D" w14:paraId="0E74B5BF" w14:textId="77777777">
      <w:pPr>
        <w:numPr>
          <w:ilvl w:val="0"/>
          <w:numId w:val="23"/>
        </w:numPr>
        <w:autoSpaceDE w:val="0"/>
        <w:autoSpaceDN w:val="0"/>
        <w:adjustRightInd w:val="0"/>
        <w:spacing w:before="240" w:after="160" w:line="240" w:lineRule="auto"/>
        <w:ind w:left="720"/>
        <w:contextualSpacing/>
        <w:rPr>
          <w:rFonts w:cs="Calibri"/>
          <w:color w:val="000000"/>
          <w:sz w:val="24"/>
          <w:szCs w:val="24"/>
        </w:rPr>
      </w:pPr>
      <w:r w:rsidRPr="006E004D">
        <w:rPr>
          <w:rFonts w:cs="Calibri"/>
          <w:color w:val="000000"/>
          <w:sz w:val="24"/>
          <w:szCs w:val="24"/>
        </w:rPr>
        <w:t>Database is non-public.  Each LSE has access to only its requirements; the Commission has access to all data.</w:t>
      </w:r>
    </w:p>
    <w:p w:rsidRPr="006E004D" w:rsidR="006E004D" w:rsidP="006E004D" w:rsidRDefault="006E004D" w14:paraId="2E6D1091" w14:textId="77777777">
      <w:pPr>
        <w:keepNext/>
        <w:keepLines/>
        <w:autoSpaceDE w:val="0"/>
        <w:autoSpaceDN w:val="0"/>
        <w:adjustRightInd w:val="0"/>
        <w:spacing w:before="240" w:after="160" w:line="240" w:lineRule="auto"/>
        <w:ind w:firstLine="0"/>
        <w:rPr>
          <w:rFonts w:cs="Calibri-Light"/>
          <w:b/>
          <w:bCs/>
          <w:sz w:val="24"/>
          <w:szCs w:val="24"/>
        </w:rPr>
      </w:pPr>
      <w:r w:rsidRPr="006E004D">
        <w:rPr>
          <w:rFonts w:cs="Calibri-Light"/>
          <w:b/>
          <w:bCs/>
          <w:sz w:val="24"/>
          <w:szCs w:val="24"/>
        </w:rPr>
        <w:t>LSE Showing Tool</w:t>
      </w:r>
    </w:p>
    <w:p w:rsidRPr="006E004D" w:rsidR="006E004D" w:rsidP="006E004D" w:rsidRDefault="006E004D" w14:paraId="29215CA6" w14:textId="77777777">
      <w:pPr>
        <w:keepNext/>
        <w:keepLines/>
        <w:numPr>
          <w:ilvl w:val="0"/>
          <w:numId w:val="23"/>
        </w:numPr>
        <w:autoSpaceDE w:val="0"/>
        <w:autoSpaceDN w:val="0"/>
        <w:adjustRightInd w:val="0"/>
        <w:spacing w:before="240" w:after="160" w:line="240" w:lineRule="auto"/>
        <w:ind w:left="720"/>
        <w:contextualSpacing/>
        <w:rPr>
          <w:rFonts w:cs="Calibri"/>
          <w:color w:val="000000"/>
          <w:sz w:val="24"/>
          <w:szCs w:val="24"/>
        </w:rPr>
      </w:pPr>
      <w:r w:rsidRPr="006E004D">
        <w:rPr>
          <w:rFonts w:cs="Calibri"/>
          <w:color w:val="000000"/>
          <w:sz w:val="24"/>
          <w:szCs w:val="24"/>
        </w:rPr>
        <w:t xml:space="preserve">Spreadsheet tool used by each LSE to submit their monthly, 24-hour showing to the </w:t>
      </w:r>
      <w:proofErr w:type="gramStart"/>
      <w:r w:rsidRPr="006E004D">
        <w:rPr>
          <w:rFonts w:cs="Calibri"/>
          <w:color w:val="000000"/>
          <w:sz w:val="24"/>
          <w:szCs w:val="24"/>
        </w:rPr>
        <w:t>Commission;</w:t>
      </w:r>
      <w:proofErr w:type="gramEnd"/>
    </w:p>
    <w:p w:rsidRPr="006E004D" w:rsidR="006E004D" w:rsidP="006E004D" w:rsidRDefault="006E004D" w14:paraId="7FEC1B33" w14:textId="77777777">
      <w:pPr>
        <w:keepNext/>
        <w:keepLines/>
        <w:autoSpaceDE w:val="0"/>
        <w:autoSpaceDN w:val="0"/>
        <w:adjustRightInd w:val="0"/>
        <w:spacing w:before="240" w:after="160" w:line="240" w:lineRule="auto"/>
        <w:ind w:left="720" w:firstLine="0"/>
        <w:contextualSpacing/>
        <w:rPr>
          <w:rFonts w:cs="Calibri"/>
          <w:color w:val="000000"/>
          <w:sz w:val="24"/>
          <w:szCs w:val="24"/>
        </w:rPr>
      </w:pPr>
    </w:p>
    <w:p w:rsidRPr="006E004D" w:rsidR="006E004D" w:rsidP="006E004D" w:rsidRDefault="006E004D" w14:paraId="1FDC7DFF" w14:textId="77777777">
      <w:pPr>
        <w:keepNext/>
        <w:keepLines/>
        <w:numPr>
          <w:ilvl w:val="0"/>
          <w:numId w:val="23"/>
        </w:numPr>
        <w:autoSpaceDE w:val="0"/>
        <w:autoSpaceDN w:val="0"/>
        <w:adjustRightInd w:val="0"/>
        <w:spacing w:before="240" w:after="160" w:line="240" w:lineRule="auto"/>
        <w:ind w:left="720"/>
        <w:contextualSpacing/>
        <w:rPr>
          <w:rFonts w:cs="Calibri"/>
          <w:color w:val="000000"/>
          <w:sz w:val="24"/>
          <w:szCs w:val="24"/>
        </w:rPr>
      </w:pPr>
      <w:r w:rsidRPr="006E004D">
        <w:rPr>
          <w:rFonts w:cs="Calibri"/>
          <w:color w:val="000000"/>
          <w:sz w:val="24"/>
          <w:szCs w:val="24"/>
        </w:rPr>
        <w:t xml:space="preserve">Contains a standard format for listing the resources in an LSE’s portfolio including the resource ID found in the Master Database, their MW quantity associated with the must-offer requirement, and the capacity used in each of the 24 hours of the </w:t>
      </w:r>
      <w:proofErr w:type="gramStart"/>
      <w:r w:rsidRPr="006E004D">
        <w:rPr>
          <w:rFonts w:cs="Calibri"/>
          <w:color w:val="000000"/>
          <w:sz w:val="24"/>
          <w:szCs w:val="24"/>
        </w:rPr>
        <w:t>showing;</w:t>
      </w:r>
      <w:proofErr w:type="gramEnd"/>
    </w:p>
    <w:p w:rsidRPr="006E004D" w:rsidR="006E004D" w:rsidP="006E004D" w:rsidRDefault="006E004D" w14:paraId="68DA6CE3" w14:textId="77777777">
      <w:pPr>
        <w:autoSpaceDE w:val="0"/>
        <w:autoSpaceDN w:val="0"/>
        <w:adjustRightInd w:val="0"/>
        <w:spacing w:before="240" w:after="160" w:line="240" w:lineRule="auto"/>
        <w:ind w:left="720" w:firstLine="0"/>
        <w:contextualSpacing/>
        <w:rPr>
          <w:rFonts w:cs="Calibri"/>
          <w:color w:val="000000"/>
          <w:sz w:val="24"/>
          <w:szCs w:val="24"/>
        </w:rPr>
      </w:pPr>
    </w:p>
    <w:p w:rsidRPr="006E004D" w:rsidR="006E004D" w:rsidP="006E004D" w:rsidRDefault="006E004D" w14:paraId="1E9024B9" w14:textId="77777777">
      <w:pPr>
        <w:numPr>
          <w:ilvl w:val="0"/>
          <w:numId w:val="23"/>
        </w:numPr>
        <w:autoSpaceDE w:val="0"/>
        <w:autoSpaceDN w:val="0"/>
        <w:adjustRightInd w:val="0"/>
        <w:spacing w:before="240" w:after="160" w:line="240" w:lineRule="auto"/>
        <w:ind w:left="720"/>
        <w:contextualSpacing/>
        <w:rPr>
          <w:rFonts w:cs="Calibri"/>
          <w:color w:val="000000"/>
          <w:sz w:val="24"/>
          <w:szCs w:val="24"/>
        </w:rPr>
      </w:pPr>
      <w:r w:rsidRPr="006E004D">
        <w:rPr>
          <w:rFonts w:cs="Calibri"/>
          <w:color w:val="000000"/>
          <w:sz w:val="24"/>
          <w:szCs w:val="24"/>
        </w:rPr>
        <w:t xml:space="preserve">The tool should include pass/fail logic identical to the Commission Verification Tool, so LSEs know in advance if they will pass Commission </w:t>
      </w:r>
      <w:proofErr w:type="gramStart"/>
      <w:r w:rsidRPr="006E004D">
        <w:rPr>
          <w:rFonts w:cs="Calibri"/>
          <w:color w:val="000000"/>
          <w:sz w:val="24"/>
          <w:szCs w:val="24"/>
        </w:rPr>
        <w:t>verification;</w:t>
      </w:r>
      <w:proofErr w:type="gramEnd"/>
    </w:p>
    <w:p w:rsidRPr="006E004D" w:rsidR="006E004D" w:rsidP="006E004D" w:rsidRDefault="006E004D" w14:paraId="1ADD8209" w14:textId="77777777">
      <w:pPr>
        <w:autoSpaceDE w:val="0"/>
        <w:autoSpaceDN w:val="0"/>
        <w:adjustRightInd w:val="0"/>
        <w:spacing w:before="240" w:after="160" w:line="240" w:lineRule="auto"/>
        <w:ind w:left="720" w:firstLine="0"/>
        <w:contextualSpacing/>
        <w:rPr>
          <w:rFonts w:cs="Calibri"/>
          <w:color w:val="000000"/>
          <w:sz w:val="24"/>
          <w:szCs w:val="24"/>
        </w:rPr>
      </w:pPr>
    </w:p>
    <w:p w:rsidRPr="006E004D" w:rsidR="006E004D" w:rsidP="006E004D" w:rsidRDefault="006E004D" w14:paraId="3ED248EB" w14:textId="77777777">
      <w:pPr>
        <w:numPr>
          <w:ilvl w:val="0"/>
          <w:numId w:val="23"/>
        </w:numPr>
        <w:autoSpaceDE w:val="0"/>
        <w:autoSpaceDN w:val="0"/>
        <w:adjustRightInd w:val="0"/>
        <w:spacing w:before="240" w:after="160" w:line="240" w:lineRule="auto"/>
        <w:ind w:left="720"/>
        <w:contextualSpacing/>
        <w:rPr>
          <w:rFonts w:cs="Calibri"/>
          <w:color w:val="000000"/>
          <w:sz w:val="24"/>
          <w:szCs w:val="24"/>
        </w:rPr>
      </w:pPr>
      <w:r w:rsidRPr="006E004D">
        <w:rPr>
          <w:rFonts w:cs="Calibri"/>
          <w:color w:val="000000"/>
          <w:sz w:val="24"/>
          <w:szCs w:val="24"/>
        </w:rPr>
        <w:t xml:space="preserve">This showing may also be used to provide </w:t>
      </w:r>
      <w:proofErr w:type="gramStart"/>
      <w:r w:rsidRPr="006E004D">
        <w:rPr>
          <w:rFonts w:cs="Calibri"/>
          <w:color w:val="000000"/>
          <w:sz w:val="24"/>
          <w:szCs w:val="24"/>
        </w:rPr>
        <w:t>CAISO</w:t>
      </w:r>
      <w:proofErr w:type="gramEnd"/>
      <w:r w:rsidRPr="006E004D">
        <w:rPr>
          <w:rFonts w:cs="Calibri"/>
          <w:color w:val="000000"/>
          <w:sz w:val="24"/>
          <w:szCs w:val="24"/>
        </w:rPr>
        <w:t xml:space="preserve"> the information it will need to determine the must-offer requirements of all resources, and the correct RA capacity values to use when performing their single-hour deficiency test.</w:t>
      </w:r>
    </w:p>
    <w:p w:rsidRPr="006E004D" w:rsidR="006E004D" w:rsidP="006E004D" w:rsidRDefault="006E004D" w14:paraId="24443B4F" w14:textId="77777777">
      <w:pPr>
        <w:autoSpaceDE w:val="0"/>
        <w:autoSpaceDN w:val="0"/>
        <w:adjustRightInd w:val="0"/>
        <w:spacing w:line="240" w:lineRule="auto"/>
        <w:ind w:left="720" w:firstLine="0"/>
        <w:contextualSpacing/>
        <w:rPr>
          <w:rFonts w:cs="Calibri-Light"/>
          <w:color w:val="1F3763"/>
          <w:sz w:val="24"/>
          <w:szCs w:val="24"/>
        </w:rPr>
      </w:pPr>
    </w:p>
    <w:p w:rsidRPr="006E004D" w:rsidR="006E004D" w:rsidP="006E004D" w:rsidRDefault="006E004D" w14:paraId="68A41AAA" w14:textId="77777777">
      <w:pPr>
        <w:autoSpaceDE w:val="0"/>
        <w:autoSpaceDN w:val="0"/>
        <w:adjustRightInd w:val="0"/>
        <w:spacing w:line="240" w:lineRule="auto"/>
        <w:ind w:firstLine="0"/>
        <w:rPr>
          <w:rFonts w:cs="Calibri-Light"/>
          <w:b/>
          <w:bCs/>
          <w:sz w:val="24"/>
          <w:szCs w:val="24"/>
        </w:rPr>
      </w:pPr>
      <w:r w:rsidRPr="006E004D">
        <w:rPr>
          <w:rFonts w:cs="Calibri-Light"/>
          <w:b/>
          <w:bCs/>
          <w:sz w:val="24"/>
          <w:szCs w:val="24"/>
        </w:rPr>
        <w:t>Commission Verification Tool</w:t>
      </w:r>
    </w:p>
    <w:p w:rsidRPr="006E004D" w:rsidR="006E004D" w:rsidP="006E004D" w:rsidRDefault="006E004D" w14:paraId="7A9FEB35" w14:textId="77777777">
      <w:pPr>
        <w:autoSpaceDE w:val="0"/>
        <w:autoSpaceDN w:val="0"/>
        <w:adjustRightInd w:val="0"/>
        <w:spacing w:line="240" w:lineRule="auto"/>
        <w:ind w:left="720" w:firstLine="0"/>
        <w:contextualSpacing/>
        <w:rPr>
          <w:rFonts w:cs="Calibri-Light"/>
          <w:color w:val="1F3763"/>
          <w:szCs w:val="26"/>
        </w:rPr>
      </w:pPr>
    </w:p>
    <w:p w:rsidRPr="006E004D" w:rsidR="006E004D" w:rsidP="006E004D" w:rsidRDefault="006E004D" w14:paraId="640F4F55" w14:textId="77777777">
      <w:pPr>
        <w:numPr>
          <w:ilvl w:val="0"/>
          <w:numId w:val="23"/>
        </w:numPr>
        <w:autoSpaceDE w:val="0"/>
        <w:autoSpaceDN w:val="0"/>
        <w:adjustRightInd w:val="0"/>
        <w:spacing w:after="160" w:line="240" w:lineRule="auto"/>
        <w:ind w:left="720"/>
        <w:contextualSpacing/>
        <w:rPr>
          <w:rFonts w:cs="Calibri"/>
          <w:color w:val="000000"/>
          <w:sz w:val="24"/>
          <w:szCs w:val="24"/>
        </w:rPr>
      </w:pPr>
      <w:r w:rsidRPr="006E004D">
        <w:rPr>
          <w:rFonts w:cs="Calibri"/>
          <w:color w:val="000000"/>
          <w:sz w:val="24"/>
          <w:szCs w:val="24"/>
        </w:rPr>
        <w:t xml:space="preserve">The tool is designed to use the data submitted through the LSE Showing </w:t>
      </w:r>
      <w:proofErr w:type="gramStart"/>
      <w:r w:rsidRPr="006E004D">
        <w:rPr>
          <w:rFonts w:cs="Calibri"/>
          <w:color w:val="000000"/>
          <w:sz w:val="24"/>
          <w:szCs w:val="24"/>
        </w:rPr>
        <w:t>Tool;</w:t>
      </w:r>
      <w:proofErr w:type="gramEnd"/>
    </w:p>
    <w:p w:rsidRPr="006E004D" w:rsidR="006E004D" w:rsidP="006E004D" w:rsidRDefault="006E004D" w14:paraId="3A634C1E" w14:textId="77777777">
      <w:pPr>
        <w:autoSpaceDE w:val="0"/>
        <w:autoSpaceDN w:val="0"/>
        <w:adjustRightInd w:val="0"/>
        <w:spacing w:line="240" w:lineRule="auto"/>
        <w:ind w:left="720" w:firstLine="0"/>
        <w:contextualSpacing/>
        <w:rPr>
          <w:rFonts w:cs="Calibri"/>
          <w:color w:val="000000"/>
          <w:sz w:val="24"/>
          <w:szCs w:val="24"/>
        </w:rPr>
      </w:pPr>
    </w:p>
    <w:p w:rsidRPr="006E004D" w:rsidR="006E004D" w:rsidP="006E004D" w:rsidRDefault="006E004D" w14:paraId="0E6BE561" w14:textId="77777777">
      <w:pPr>
        <w:numPr>
          <w:ilvl w:val="0"/>
          <w:numId w:val="23"/>
        </w:numPr>
        <w:autoSpaceDE w:val="0"/>
        <w:autoSpaceDN w:val="0"/>
        <w:adjustRightInd w:val="0"/>
        <w:spacing w:after="160" w:line="240" w:lineRule="auto"/>
        <w:ind w:left="720"/>
        <w:contextualSpacing/>
        <w:rPr>
          <w:rFonts w:cs="Calibri"/>
          <w:color w:val="000000"/>
          <w:sz w:val="24"/>
          <w:szCs w:val="24"/>
        </w:rPr>
      </w:pPr>
      <w:r w:rsidRPr="006E004D">
        <w:rPr>
          <w:rFonts w:cs="Calibri"/>
          <w:color w:val="000000"/>
          <w:sz w:val="24"/>
          <w:szCs w:val="24"/>
        </w:rPr>
        <w:t xml:space="preserve">The Commission uses the data submitted by the LSE in its showing, in conjunction with the RA Resource Master Database, which will include solar and wind profiles to determine if an LSE passes the 24-hour RA requirement in each </w:t>
      </w:r>
      <w:proofErr w:type="gramStart"/>
      <w:r w:rsidRPr="006E004D">
        <w:rPr>
          <w:rFonts w:cs="Calibri"/>
          <w:color w:val="000000"/>
          <w:sz w:val="24"/>
          <w:szCs w:val="24"/>
        </w:rPr>
        <w:t>month;</w:t>
      </w:r>
      <w:proofErr w:type="gramEnd"/>
    </w:p>
    <w:p w:rsidRPr="006E004D" w:rsidR="006E004D" w:rsidP="006E004D" w:rsidRDefault="006E004D" w14:paraId="57E772AE" w14:textId="77777777">
      <w:pPr>
        <w:numPr>
          <w:ilvl w:val="0"/>
          <w:numId w:val="23"/>
        </w:numPr>
        <w:autoSpaceDE w:val="0"/>
        <w:autoSpaceDN w:val="0"/>
        <w:adjustRightInd w:val="0"/>
        <w:spacing w:after="160" w:line="240" w:lineRule="auto"/>
        <w:ind w:left="720"/>
        <w:contextualSpacing/>
        <w:rPr>
          <w:rFonts w:cs="Calibri"/>
          <w:color w:val="000000"/>
          <w:sz w:val="24"/>
          <w:szCs w:val="24"/>
        </w:rPr>
      </w:pPr>
      <w:r w:rsidRPr="006E004D">
        <w:rPr>
          <w:rFonts w:cs="Calibri"/>
          <w:color w:val="000000"/>
          <w:sz w:val="24"/>
          <w:szCs w:val="24"/>
        </w:rPr>
        <w:lastRenderedPageBreak/>
        <w:t xml:space="preserve">The tool contains basic logic to ensure the showing is consistent with the capabilities of the resources submitted, that sufficient capacity has been brought to meet the LSE’s requirement in all 24 hours, and that sufficient excess capacity has been shown to meet the capacity requirements for </w:t>
      </w:r>
      <w:proofErr w:type="gramStart"/>
      <w:r w:rsidRPr="006E004D">
        <w:rPr>
          <w:rFonts w:cs="Calibri"/>
          <w:color w:val="000000"/>
          <w:sz w:val="24"/>
          <w:szCs w:val="24"/>
        </w:rPr>
        <w:t>storage;</w:t>
      </w:r>
      <w:proofErr w:type="gramEnd"/>
    </w:p>
    <w:p w:rsidRPr="006E004D" w:rsidR="006E004D" w:rsidP="006E004D" w:rsidRDefault="006E004D" w14:paraId="652771B9" w14:textId="77777777">
      <w:pPr>
        <w:autoSpaceDE w:val="0"/>
        <w:autoSpaceDN w:val="0"/>
        <w:adjustRightInd w:val="0"/>
        <w:spacing w:line="240" w:lineRule="auto"/>
        <w:ind w:left="720" w:firstLine="0"/>
        <w:contextualSpacing/>
        <w:rPr>
          <w:rFonts w:cs="Calibri"/>
          <w:color w:val="000000"/>
          <w:sz w:val="24"/>
          <w:szCs w:val="24"/>
        </w:rPr>
      </w:pPr>
    </w:p>
    <w:p w:rsidRPr="006E004D" w:rsidR="006E004D" w:rsidP="006E004D" w:rsidRDefault="006E004D" w14:paraId="3542B15B" w14:textId="77777777">
      <w:pPr>
        <w:numPr>
          <w:ilvl w:val="0"/>
          <w:numId w:val="23"/>
        </w:numPr>
        <w:autoSpaceDE w:val="0"/>
        <w:autoSpaceDN w:val="0"/>
        <w:adjustRightInd w:val="0"/>
        <w:spacing w:after="160" w:line="240" w:lineRule="auto"/>
        <w:ind w:left="720"/>
        <w:contextualSpacing/>
        <w:rPr>
          <w:rFonts w:cs="Calibri"/>
          <w:color w:val="000000"/>
          <w:sz w:val="24"/>
          <w:szCs w:val="24"/>
        </w:rPr>
      </w:pPr>
      <w:r w:rsidRPr="006E004D">
        <w:rPr>
          <w:rFonts w:cs="Calibri"/>
          <w:color w:val="000000"/>
          <w:sz w:val="24"/>
          <w:szCs w:val="24"/>
        </w:rPr>
        <w:t xml:space="preserve">LSEs must pass all 24 hours, all logic tests, and the excess capacity requirement to pass the </w:t>
      </w:r>
      <w:proofErr w:type="gramStart"/>
      <w:r w:rsidRPr="006E004D">
        <w:rPr>
          <w:rFonts w:cs="Calibri"/>
          <w:color w:val="000000"/>
          <w:sz w:val="24"/>
          <w:szCs w:val="24"/>
        </w:rPr>
        <w:t>showing;</w:t>
      </w:r>
      <w:proofErr w:type="gramEnd"/>
    </w:p>
    <w:p w:rsidRPr="006E004D" w:rsidR="006E004D" w:rsidP="006E004D" w:rsidRDefault="006E004D" w14:paraId="5A9AC028" w14:textId="77777777">
      <w:pPr>
        <w:autoSpaceDE w:val="0"/>
        <w:autoSpaceDN w:val="0"/>
        <w:adjustRightInd w:val="0"/>
        <w:spacing w:line="240" w:lineRule="auto"/>
        <w:ind w:left="720" w:firstLine="0"/>
        <w:contextualSpacing/>
        <w:rPr>
          <w:rFonts w:cs="Calibri"/>
          <w:color w:val="000000"/>
          <w:sz w:val="24"/>
          <w:szCs w:val="24"/>
        </w:rPr>
      </w:pPr>
    </w:p>
    <w:p w:rsidRPr="006E004D" w:rsidR="006E004D" w:rsidP="006E004D" w:rsidRDefault="006E004D" w14:paraId="7DCA9F09" w14:textId="77777777">
      <w:pPr>
        <w:numPr>
          <w:ilvl w:val="0"/>
          <w:numId w:val="23"/>
        </w:numPr>
        <w:autoSpaceDE w:val="0"/>
        <w:autoSpaceDN w:val="0"/>
        <w:adjustRightInd w:val="0"/>
        <w:spacing w:after="160" w:line="240" w:lineRule="auto"/>
        <w:ind w:left="720"/>
        <w:contextualSpacing/>
        <w:rPr>
          <w:rFonts w:cs="Calibri"/>
          <w:color w:val="000000"/>
          <w:sz w:val="24"/>
          <w:szCs w:val="24"/>
        </w:rPr>
      </w:pPr>
      <w:r w:rsidRPr="006E004D">
        <w:rPr>
          <w:rFonts w:cs="Calibri"/>
          <w:color w:val="000000"/>
          <w:sz w:val="24"/>
          <w:szCs w:val="24"/>
        </w:rPr>
        <w:t>The tool notes any hour(s) of failure along with the maximum capacity shortfall within the 24 hours.</w:t>
      </w:r>
    </w:p>
    <w:p w:rsidR="006E004D" w:rsidP="006E004D" w:rsidRDefault="006E004D" w14:paraId="0CC022D0" w14:textId="13D8AD2B">
      <w:pPr>
        <w:autoSpaceDE w:val="0"/>
        <w:autoSpaceDN w:val="0"/>
        <w:adjustRightInd w:val="0"/>
        <w:spacing w:line="240" w:lineRule="auto"/>
        <w:ind w:firstLine="0"/>
        <w:rPr>
          <w:rFonts w:cs="Calibri"/>
          <w:color w:val="000000"/>
          <w:szCs w:val="26"/>
        </w:rPr>
      </w:pPr>
    </w:p>
    <w:p w:rsidR="00AB5B18" w:rsidP="006E004D" w:rsidRDefault="00AB5B18" w14:paraId="7A780716" w14:textId="4050516A">
      <w:pPr>
        <w:autoSpaceDE w:val="0"/>
        <w:autoSpaceDN w:val="0"/>
        <w:adjustRightInd w:val="0"/>
        <w:spacing w:line="240" w:lineRule="auto"/>
        <w:ind w:firstLine="0"/>
        <w:rPr>
          <w:rFonts w:cs="Calibri"/>
          <w:color w:val="000000"/>
          <w:szCs w:val="26"/>
        </w:rPr>
      </w:pPr>
    </w:p>
    <w:p w:rsidR="000A5273" w:rsidP="006E004D" w:rsidRDefault="000A5273" w14:paraId="64503003" w14:textId="734EE17E">
      <w:pPr>
        <w:autoSpaceDE w:val="0"/>
        <w:autoSpaceDN w:val="0"/>
        <w:adjustRightInd w:val="0"/>
        <w:spacing w:line="240" w:lineRule="auto"/>
        <w:ind w:firstLine="0"/>
        <w:rPr>
          <w:rFonts w:cs="Calibri"/>
          <w:color w:val="000000"/>
          <w:szCs w:val="26"/>
        </w:rPr>
      </w:pPr>
    </w:p>
    <w:p w:rsidR="000A5273" w:rsidP="006E004D" w:rsidRDefault="000A5273" w14:paraId="342D8906" w14:textId="0577D3E6">
      <w:pPr>
        <w:autoSpaceDE w:val="0"/>
        <w:autoSpaceDN w:val="0"/>
        <w:adjustRightInd w:val="0"/>
        <w:spacing w:line="240" w:lineRule="auto"/>
        <w:ind w:firstLine="0"/>
        <w:rPr>
          <w:rFonts w:cs="Calibri"/>
          <w:color w:val="000000"/>
          <w:szCs w:val="26"/>
        </w:rPr>
      </w:pPr>
    </w:p>
    <w:p w:rsidR="007001D0" w:rsidP="006E004D" w:rsidRDefault="007001D0" w14:paraId="6108E24A" w14:textId="2CDE1284">
      <w:pPr>
        <w:autoSpaceDE w:val="0"/>
        <w:autoSpaceDN w:val="0"/>
        <w:adjustRightInd w:val="0"/>
        <w:spacing w:line="240" w:lineRule="auto"/>
        <w:ind w:firstLine="0"/>
        <w:rPr>
          <w:rFonts w:cs="Calibri"/>
          <w:color w:val="000000"/>
          <w:szCs w:val="26"/>
        </w:rPr>
      </w:pPr>
    </w:p>
    <w:p w:rsidR="007001D0" w:rsidP="006E004D" w:rsidRDefault="007001D0" w14:paraId="5E791F6D" w14:textId="77777777">
      <w:pPr>
        <w:autoSpaceDE w:val="0"/>
        <w:autoSpaceDN w:val="0"/>
        <w:adjustRightInd w:val="0"/>
        <w:spacing w:line="240" w:lineRule="auto"/>
        <w:ind w:firstLine="0"/>
        <w:rPr>
          <w:rFonts w:cs="Calibri"/>
          <w:color w:val="000000"/>
          <w:szCs w:val="26"/>
        </w:rPr>
      </w:pPr>
    </w:p>
    <w:p w:rsidRPr="006E004D" w:rsidR="000A5273" w:rsidP="006E004D" w:rsidRDefault="000A5273" w14:paraId="43F97EF1" w14:textId="77777777">
      <w:pPr>
        <w:autoSpaceDE w:val="0"/>
        <w:autoSpaceDN w:val="0"/>
        <w:adjustRightInd w:val="0"/>
        <w:spacing w:line="240" w:lineRule="auto"/>
        <w:ind w:firstLine="0"/>
        <w:rPr>
          <w:rFonts w:cs="Calibri"/>
          <w:color w:val="000000"/>
          <w:szCs w:val="26"/>
        </w:rPr>
      </w:pPr>
    </w:p>
    <w:p w:rsidRPr="006E004D" w:rsidR="006E004D" w:rsidP="006E004D" w:rsidRDefault="006E004D" w14:paraId="42042F5F" w14:textId="77777777">
      <w:pPr>
        <w:autoSpaceDE w:val="0"/>
        <w:autoSpaceDN w:val="0"/>
        <w:adjustRightInd w:val="0"/>
        <w:spacing w:line="240" w:lineRule="auto"/>
        <w:ind w:firstLine="0"/>
        <w:rPr>
          <w:rFonts w:cs="Calibri-Light"/>
          <w:color w:val="1F3763"/>
          <w:szCs w:val="26"/>
        </w:rPr>
      </w:pPr>
    </w:p>
    <w:p w:rsidRPr="006E004D" w:rsidR="006E004D" w:rsidP="006E004D" w:rsidRDefault="006E004D" w14:paraId="359A36FD" w14:textId="77777777">
      <w:pPr>
        <w:spacing w:after="160" w:line="259" w:lineRule="auto"/>
        <w:ind w:firstLine="0"/>
        <w:jc w:val="center"/>
        <w:rPr>
          <w:b/>
          <w:bCs/>
          <w:sz w:val="24"/>
          <w:szCs w:val="24"/>
        </w:rPr>
      </w:pPr>
      <w:r w:rsidRPr="006E004D">
        <w:rPr>
          <w:b/>
          <w:bCs/>
          <w:sz w:val="24"/>
          <w:szCs w:val="24"/>
        </w:rPr>
        <w:t>(END OF APPENDIX A)</w:t>
      </w:r>
    </w:p>
    <w:sectPr w:rsidRPr="006E004D" w:rsidR="006E004D" w:rsidSect="00AB5B18">
      <w:headerReference w:type="default" r:id="rId19"/>
      <w:footerReference w:type="default" r:id="rId20"/>
      <w:headerReference w:type="first" r:id="rId21"/>
      <w:footerReference w:type="first" r:id="rId22"/>
      <w:pgSz w:w="12240" w:h="15840" w:code="1"/>
      <w:pgMar w:top="1728"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00CE8" w14:textId="77777777" w:rsidR="00ED23B1" w:rsidRDefault="00ED23B1" w:rsidP="0098138E">
      <w:pPr>
        <w:spacing w:line="240" w:lineRule="auto"/>
      </w:pPr>
      <w:r>
        <w:separator/>
      </w:r>
    </w:p>
  </w:endnote>
  <w:endnote w:type="continuationSeparator" w:id="0">
    <w:p w14:paraId="22F3A1F8" w14:textId="77777777" w:rsidR="00ED23B1" w:rsidRDefault="00ED23B1"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LightItalic">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7FC7" w14:textId="3D6C92B3" w:rsidR="00133FAD" w:rsidRDefault="00D958E4" w:rsidP="007E0FEE">
    <w:pPr>
      <w:tabs>
        <w:tab w:val="center" w:pos="4680"/>
      </w:tabs>
      <w:ind w:firstLine="0"/>
      <w:rPr>
        <w:noProof/>
      </w:rPr>
    </w:pPr>
    <w:r w:rsidRPr="00D958E4">
      <w:rPr>
        <w:rFonts w:cs="Arial"/>
        <w:color w:val="000000"/>
        <w:sz w:val="16"/>
        <w:szCs w:val="16"/>
        <w:shd w:val="clear" w:color="auto" w:fill="FFFFFF"/>
      </w:rPr>
      <w:t>505753716</w:t>
    </w:r>
    <w:sdt>
      <w:sdtPr>
        <w:rPr>
          <w:sz w:val="16"/>
          <w:szCs w:val="16"/>
        </w:rPr>
        <w:id w:val="1635526083"/>
        <w:docPartObj>
          <w:docPartGallery w:val="Page Numbers (Bottom of Page)"/>
          <w:docPartUnique/>
        </w:docPartObj>
      </w:sdtPr>
      <w:sdtEndPr>
        <w:rPr>
          <w:noProof/>
          <w:sz w:val="26"/>
          <w:szCs w:val="22"/>
        </w:rPr>
      </w:sdtEndPr>
      <w:sdtContent>
        <w:r w:rsidR="00133FAD" w:rsidRPr="008D7713">
          <w:rPr>
            <w:rFonts w:ascii="Arial" w:hAnsi="Arial" w:cs="Arial"/>
            <w:sz w:val="16"/>
            <w:szCs w:val="16"/>
          </w:rPr>
          <w:tab/>
        </w:r>
        <w:r w:rsidR="00133FAD">
          <w:t xml:space="preserve">- </w:t>
        </w:r>
        <w:r w:rsidR="00133FAD">
          <w:fldChar w:fldCharType="begin"/>
        </w:r>
        <w:r w:rsidR="00133FAD">
          <w:instrText xml:space="preserve"> PAGE   \* MERGEFORMAT </w:instrText>
        </w:r>
        <w:r w:rsidR="00133FAD">
          <w:fldChar w:fldCharType="separate"/>
        </w:r>
        <w:r w:rsidR="00133FAD">
          <w:rPr>
            <w:noProof/>
          </w:rPr>
          <w:t>2</w:t>
        </w:r>
        <w:r w:rsidR="00133FAD">
          <w:rPr>
            <w:noProof/>
          </w:rPr>
          <w:fldChar w:fldCharType="end"/>
        </w:r>
      </w:sdtContent>
    </w:sdt>
    <w:r w:rsidR="00133FAD">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1D9A" w14:textId="77777777" w:rsidR="00E23CBB" w:rsidRDefault="00E23CBB" w:rsidP="007E0FEE">
    <w:pPr>
      <w:ind w:firstLine="0"/>
      <w:jc w:val="center"/>
    </w:pPr>
    <w:r>
      <w:t>-</w:t>
    </w:r>
    <w:r w:rsidR="00EE4315">
      <w:t xml:space="preserve"> </w:t>
    </w:r>
    <w:sdt>
      <w:sdtPr>
        <w:id w:val="17931696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sidR="00EE4315">
          <w:rPr>
            <w:noProof/>
          </w:rPr>
          <w:t xml:space="preserve"> </w:t>
        </w:r>
        <w:r>
          <w:rPr>
            <w:noProof/>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E2C7" w14:textId="6EE146BD" w:rsidR="00E23CBB" w:rsidRDefault="001A45A6" w:rsidP="001A45A6">
    <w:pPr>
      <w:pStyle w:val="Footer"/>
      <w:ind w:firstLine="0"/>
      <w:jc w:val="center"/>
    </w:pPr>
    <w:r>
      <w:t xml:space="preserve">- </w:t>
    </w:r>
    <w:sdt>
      <w:sdtPr>
        <w:id w:val="-6626196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58A4" w14:textId="5FE3BDB7" w:rsidR="004A4E54" w:rsidRDefault="004A4E54" w:rsidP="001A45A6">
    <w:pPr>
      <w:pStyle w:val="Footer"/>
      <w:ind w:firstLine="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68C4" w14:textId="6F99FA82" w:rsidR="00AB5B18" w:rsidRDefault="00AB5B18" w:rsidP="00AB5B18">
    <w:pPr>
      <w:pStyle w:val="Footer"/>
      <w:ind w:firstLine="0"/>
      <w:jc w:val="center"/>
    </w:pPr>
    <w:r>
      <w:t>A-</w:t>
    </w:r>
    <w:sdt>
      <w:sdtPr>
        <w:id w:val="16605733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5BD4" w14:textId="29BF374B" w:rsidR="00C11CED" w:rsidRPr="00C11CED" w:rsidRDefault="00AB5B18" w:rsidP="00AB5B18">
    <w:pPr>
      <w:pStyle w:val="Footer"/>
      <w:jc w:val="center"/>
    </w:pPr>
    <w:r>
      <w:t>A-</w:t>
    </w:r>
    <w:sdt>
      <w:sdtPr>
        <w:id w:val="16074717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29FE9" w14:textId="77777777" w:rsidR="00ED23B1" w:rsidRDefault="00ED23B1" w:rsidP="00DF58E7">
      <w:pPr>
        <w:spacing w:line="240" w:lineRule="auto"/>
        <w:ind w:firstLine="0"/>
      </w:pPr>
      <w:r>
        <w:separator/>
      </w:r>
    </w:p>
  </w:footnote>
  <w:footnote w:type="continuationSeparator" w:id="0">
    <w:p w14:paraId="2BDB848D" w14:textId="77777777" w:rsidR="00ED23B1" w:rsidRDefault="00ED23B1" w:rsidP="00DF58E7">
      <w:pPr>
        <w:spacing w:line="240" w:lineRule="auto"/>
        <w:ind w:firstLine="0"/>
      </w:pPr>
      <w:r>
        <w:continuationSeparator/>
      </w:r>
    </w:p>
  </w:footnote>
  <w:footnote w:type="continuationNotice" w:id="1">
    <w:p w14:paraId="795ED9AF" w14:textId="77777777" w:rsidR="00ED23B1" w:rsidRPr="00DF58E7" w:rsidRDefault="00ED23B1" w:rsidP="00DF58E7">
      <w:pPr>
        <w:spacing w:line="240" w:lineRule="auto"/>
        <w:ind w:firstLine="0"/>
        <w:jc w:val="right"/>
        <w:rPr>
          <w:i/>
          <w:sz w:val="22"/>
        </w:rPr>
      </w:pPr>
      <w:r w:rsidRPr="00DF58E7">
        <w:rPr>
          <w:i/>
          <w:sz w:val="22"/>
        </w:rPr>
        <w:t xml:space="preserve">Footnote </w:t>
      </w:r>
      <w:proofErr w:type="gramStart"/>
      <w:r w:rsidRPr="00DF58E7">
        <w:rPr>
          <w:i/>
          <w:sz w:val="22"/>
        </w:rPr>
        <w:t>continued on</w:t>
      </w:r>
      <w:proofErr w:type="gramEnd"/>
      <w:r w:rsidRPr="00DF58E7">
        <w:rPr>
          <w:i/>
          <w:sz w:val="22"/>
        </w:rPr>
        <w:t xml:space="preserve"> next page.</w:t>
      </w:r>
    </w:p>
  </w:footnote>
  <w:footnote w:id="2">
    <w:p w14:paraId="39906821" w14:textId="4017496F" w:rsidR="00B0301C" w:rsidRPr="00ED5B0E" w:rsidRDefault="00B0301C" w:rsidP="008D7713">
      <w:pPr>
        <w:pStyle w:val="FootnoteText"/>
        <w:ind w:left="288" w:hanging="288"/>
        <w:rPr>
          <w:szCs w:val="22"/>
        </w:rPr>
      </w:pPr>
      <w:r w:rsidRPr="00ED5B0E">
        <w:rPr>
          <w:rStyle w:val="FootnoteReference"/>
          <w:szCs w:val="22"/>
        </w:rPr>
        <w:footnoteRef/>
      </w:r>
      <w:r w:rsidRPr="00ED5B0E">
        <w:rPr>
          <w:szCs w:val="22"/>
        </w:rPr>
        <w:tab/>
      </w:r>
      <w:r w:rsidRPr="00ED5B0E">
        <w:rPr>
          <w:i/>
          <w:iCs/>
          <w:szCs w:val="22"/>
        </w:rPr>
        <w:t>See</w:t>
      </w:r>
      <w:r w:rsidRPr="00ED5B0E">
        <w:rPr>
          <w:szCs w:val="22"/>
        </w:rPr>
        <w:t xml:space="preserve"> D.21</w:t>
      </w:r>
      <w:r w:rsidR="00874693">
        <w:rPr>
          <w:szCs w:val="22"/>
        </w:rPr>
        <w:noBreakHyphen/>
      </w:r>
      <w:r w:rsidRPr="00ED5B0E">
        <w:rPr>
          <w:szCs w:val="22"/>
        </w:rPr>
        <w:t>07</w:t>
      </w:r>
      <w:r w:rsidR="00874693">
        <w:rPr>
          <w:szCs w:val="22"/>
        </w:rPr>
        <w:noBreakHyphen/>
      </w:r>
      <w:r w:rsidRPr="00ED5B0E">
        <w:rPr>
          <w:szCs w:val="22"/>
        </w:rPr>
        <w:t>014 at</w:t>
      </w:r>
      <w:r w:rsidR="00874693">
        <w:rPr>
          <w:szCs w:val="22"/>
        </w:rPr>
        <w:t> </w:t>
      </w:r>
      <w:r w:rsidRPr="00ED5B0E">
        <w:rPr>
          <w:szCs w:val="22"/>
        </w:rPr>
        <w:t>5-7.</w:t>
      </w:r>
    </w:p>
  </w:footnote>
  <w:footnote w:id="3">
    <w:p w14:paraId="73F79446" w14:textId="79B73D1F" w:rsidR="00B0301C" w:rsidRPr="00ED5B0E" w:rsidRDefault="00B0301C" w:rsidP="008D7713">
      <w:pPr>
        <w:pStyle w:val="FootnoteText"/>
        <w:ind w:left="288" w:hanging="288"/>
        <w:rPr>
          <w:szCs w:val="22"/>
        </w:rPr>
      </w:pPr>
      <w:r w:rsidRPr="00ED5B0E">
        <w:rPr>
          <w:rStyle w:val="FootnoteReference"/>
          <w:szCs w:val="22"/>
        </w:rPr>
        <w:footnoteRef/>
      </w:r>
      <w:r w:rsidRPr="00ED5B0E">
        <w:rPr>
          <w:szCs w:val="22"/>
        </w:rPr>
        <w:tab/>
        <w:t>Further detail on each of these principles can be found in D.21</w:t>
      </w:r>
      <w:r w:rsidR="00874693">
        <w:rPr>
          <w:szCs w:val="22"/>
        </w:rPr>
        <w:noBreakHyphen/>
      </w:r>
      <w:r w:rsidRPr="00ED5B0E">
        <w:rPr>
          <w:szCs w:val="22"/>
        </w:rPr>
        <w:t>07</w:t>
      </w:r>
      <w:r w:rsidR="00874693">
        <w:rPr>
          <w:szCs w:val="22"/>
        </w:rPr>
        <w:noBreakHyphen/>
      </w:r>
      <w:r w:rsidRPr="00ED5B0E">
        <w:rPr>
          <w:szCs w:val="22"/>
        </w:rPr>
        <w:t>014 at</w:t>
      </w:r>
      <w:r w:rsidR="00874693">
        <w:rPr>
          <w:szCs w:val="22"/>
        </w:rPr>
        <w:t> </w:t>
      </w:r>
      <w:r w:rsidRPr="00ED5B0E">
        <w:rPr>
          <w:szCs w:val="22"/>
        </w:rPr>
        <w:t>25</w:t>
      </w:r>
      <w:r w:rsidR="00874693">
        <w:rPr>
          <w:szCs w:val="22"/>
        </w:rPr>
        <w:noBreakHyphen/>
      </w:r>
      <w:r w:rsidRPr="00ED5B0E">
        <w:rPr>
          <w:szCs w:val="22"/>
        </w:rPr>
        <w:t>28.</w:t>
      </w:r>
    </w:p>
  </w:footnote>
  <w:footnote w:id="4">
    <w:p w14:paraId="7C003CE8" w14:textId="4CB78F2D" w:rsidR="00B0301C" w:rsidRPr="00ED5B0E" w:rsidRDefault="00B0301C" w:rsidP="008D7713">
      <w:pPr>
        <w:pStyle w:val="FootnoteText"/>
        <w:ind w:left="288" w:hanging="288"/>
        <w:rPr>
          <w:szCs w:val="22"/>
        </w:rPr>
      </w:pPr>
      <w:r w:rsidRPr="00ED5B0E">
        <w:rPr>
          <w:rStyle w:val="FootnoteReference"/>
          <w:szCs w:val="22"/>
        </w:rPr>
        <w:footnoteRef/>
      </w:r>
      <w:r w:rsidRPr="00ED5B0E">
        <w:rPr>
          <w:szCs w:val="22"/>
        </w:rPr>
        <w:tab/>
        <w:t>D.21</w:t>
      </w:r>
      <w:r w:rsidR="00874693">
        <w:rPr>
          <w:szCs w:val="22"/>
        </w:rPr>
        <w:noBreakHyphen/>
      </w:r>
      <w:r w:rsidRPr="00ED5B0E">
        <w:rPr>
          <w:szCs w:val="22"/>
        </w:rPr>
        <w:t>07</w:t>
      </w:r>
      <w:r w:rsidR="00874693">
        <w:rPr>
          <w:szCs w:val="22"/>
        </w:rPr>
        <w:noBreakHyphen/>
      </w:r>
      <w:r w:rsidRPr="00ED5B0E">
        <w:rPr>
          <w:szCs w:val="22"/>
        </w:rPr>
        <w:t>014 at</w:t>
      </w:r>
      <w:r w:rsidR="00874693">
        <w:rPr>
          <w:szCs w:val="22"/>
        </w:rPr>
        <w:t> </w:t>
      </w:r>
      <w:r w:rsidRPr="00ED5B0E">
        <w:rPr>
          <w:szCs w:val="22"/>
        </w:rPr>
        <w:t>38.  A detailed description of PG&amp;E’s slice</w:t>
      </w:r>
      <w:r w:rsidR="00874693">
        <w:rPr>
          <w:szCs w:val="22"/>
        </w:rPr>
        <w:noBreakHyphen/>
      </w:r>
      <w:r w:rsidRPr="00ED5B0E">
        <w:rPr>
          <w:szCs w:val="22"/>
        </w:rPr>
        <w:t>of</w:t>
      </w:r>
      <w:r w:rsidR="00874693">
        <w:rPr>
          <w:szCs w:val="22"/>
        </w:rPr>
        <w:noBreakHyphen/>
      </w:r>
      <w:r w:rsidRPr="00ED5B0E">
        <w:rPr>
          <w:szCs w:val="22"/>
        </w:rPr>
        <w:t xml:space="preserve">day proposal can be found </w:t>
      </w:r>
      <w:r w:rsidR="004B46BA">
        <w:rPr>
          <w:szCs w:val="22"/>
        </w:rPr>
        <w:t>in </w:t>
      </w:r>
      <w:r w:rsidRPr="00ED5B0E">
        <w:rPr>
          <w:szCs w:val="22"/>
        </w:rPr>
        <w:t>D.21-07-014 at</w:t>
      </w:r>
      <w:r w:rsidR="00874693">
        <w:rPr>
          <w:szCs w:val="22"/>
        </w:rPr>
        <w:t> </w:t>
      </w:r>
      <w:r w:rsidRPr="00ED5B0E">
        <w:rPr>
          <w:szCs w:val="22"/>
        </w:rPr>
        <w:t>12</w:t>
      </w:r>
      <w:r w:rsidR="00874693">
        <w:rPr>
          <w:szCs w:val="22"/>
        </w:rPr>
        <w:noBreakHyphen/>
      </w:r>
      <w:r w:rsidRPr="00ED5B0E">
        <w:rPr>
          <w:szCs w:val="22"/>
        </w:rPr>
        <w:t>16.</w:t>
      </w:r>
    </w:p>
  </w:footnote>
  <w:footnote w:id="5">
    <w:p w14:paraId="302D9DAC" w14:textId="1B3EA067" w:rsidR="00B0301C" w:rsidRPr="00322749" w:rsidRDefault="00B0301C" w:rsidP="008D7713">
      <w:pPr>
        <w:pStyle w:val="FootnoteText"/>
        <w:ind w:left="288" w:hanging="288"/>
        <w:rPr>
          <w:lang w:val="en-ZW"/>
        </w:rPr>
      </w:pPr>
      <w:r>
        <w:rPr>
          <w:rStyle w:val="FootnoteReference"/>
        </w:rPr>
        <w:footnoteRef/>
      </w:r>
      <w:r w:rsidR="00874693">
        <w:rPr>
          <w:lang w:val="en-ZW"/>
        </w:rPr>
        <w:tab/>
      </w:r>
      <w:r>
        <w:rPr>
          <w:lang w:val="en-ZW"/>
        </w:rPr>
        <w:t>D.22</w:t>
      </w:r>
      <w:r w:rsidR="00874693">
        <w:rPr>
          <w:lang w:val="en-ZW"/>
        </w:rPr>
        <w:noBreakHyphen/>
      </w:r>
      <w:r>
        <w:rPr>
          <w:lang w:val="en-ZW"/>
        </w:rPr>
        <w:t>06</w:t>
      </w:r>
      <w:r w:rsidR="00874693">
        <w:rPr>
          <w:lang w:val="en-ZW"/>
        </w:rPr>
        <w:noBreakHyphen/>
      </w:r>
      <w:r>
        <w:rPr>
          <w:lang w:val="en-ZW"/>
        </w:rPr>
        <w:t>050 at</w:t>
      </w:r>
      <w:r w:rsidR="00874693">
        <w:rPr>
          <w:lang w:val="en-ZW"/>
        </w:rPr>
        <w:t> </w:t>
      </w:r>
      <w:r>
        <w:rPr>
          <w:lang w:val="en-ZW"/>
        </w:rPr>
        <w:t>76.</w:t>
      </w:r>
    </w:p>
  </w:footnote>
  <w:footnote w:id="6">
    <w:p w14:paraId="1A5B9164" w14:textId="4E518121" w:rsidR="00B0301C" w:rsidRPr="007336DF" w:rsidRDefault="00B0301C" w:rsidP="008D7713">
      <w:pPr>
        <w:pStyle w:val="FootnoteText"/>
        <w:ind w:left="288" w:hanging="288"/>
        <w:rPr>
          <w:lang w:val="en-ZW"/>
        </w:rPr>
      </w:pPr>
      <w:r>
        <w:rPr>
          <w:rStyle w:val="FootnoteReference"/>
        </w:rPr>
        <w:footnoteRef/>
      </w:r>
      <w:r w:rsidR="00874693">
        <w:tab/>
      </w:r>
      <w:r w:rsidR="004B46BA" w:rsidRPr="00CA46DC">
        <w:rPr>
          <w:i/>
          <w:iCs/>
          <w:lang w:val="en-ZW"/>
        </w:rPr>
        <w:t>Id</w:t>
      </w:r>
      <w:r w:rsidR="004B46BA">
        <w:rPr>
          <w:lang w:val="en-ZW"/>
        </w:rPr>
        <w:t>.</w:t>
      </w:r>
      <w:r>
        <w:rPr>
          <w:lang w:val="en-ZW"/>
        </w:rPr>
        <w:t xml:space="preserve"> at Ordering</w:t>
      </w:r>
      <w:r w:rsidR="00874693">
        <w:rPr>
          <w:lang w:val="en-ZW"/>
        </w:rPr>
        <w:t> </w:t>
      </w:r>
      <w:r>
        <w:rPr>
          <w:lang w:val="en-ZW"/>
        </w:rPr>
        <w:t>Paragraph</w:t>
      </w:r>
      <w:r w:rsidR="00874693">
        <w:rPr>
          <w:lang w:val="en-ZW"/>
        </w:rPr>
        <w:t> </w:t>
      </w:r>
      <w:r>
        <w:rPr>
          <w:lang w:val="en-ZW"/>
        </w:rPr>
        <w:t>(OP)</w:t>
      </w:r>
      <w:r w:rsidR="00874693">
        <w:rPr>
          <w:lang w:val="en-ZW"/>
        </w:rPr>
        <w:t> </w:t>
      </w:r>
      <w:r>
        <w:rPr>
          <w:lang w:val="en-ZW"/>
        </w:rPr>
        <w:t>27.</w:t>
      </w:r>
    </w:p>
  </w:footnote>
  <w:footnote w:id="7">
    <w:p w14:paraId="196951CD" w14:textId="1283CCBE" w:rsidR="006243A0" w:rsidRPr="00CA46DC" w:rsidRDefault="006243A0" w:rsidP="008D7713">
      <w:pPr>
        <w:pStyle w:val="FootnoteText"/>
        <w:ind w:left="288" w:hanging="288"/>
        <w:rPr>
          <w:lang w:val="en-ZW"/>
        </w:rPr>
      </w:pPr>
      <w:r>
        <w:rPr>
          <w:rStyle w:val="FootnoteReference"/>
        </w:rPr>
        <w:footnoteRef/>
      </w:r>
      <w:r>
        <w:t xml:space="preserve"> </w:t>
      </w:r>
      <w:r>
        <w:tab/>
      </w:r>
      <w:r>
        <w:rPr>
          <w:lang w:val="en-ZW"/>
        </w:rPr>
        <w:t xml:space="preserve">Resource Master Database and Master Resource Database have been used interchangeably </w:t>
      </w:r>
      <w:r w:rsidR="00CA6016">
        <w:rPr>
          <w:lang w:val="en-ZW"/>
        </w:rPr>
        <w:t>during the Working Group process</w:t>
      </w:r>
      <w:r>
        <w:rPr>
          <w:lang w:val="en-ZW"/>
        </w:rPr>
        <w:t xml:space="preserve">.  </w:t>
      </w:r>
      <w:r w:rsidR="00CA6016">
        <w:rPr>
          <w:lang w:val="en-ZW"/>
        </w:rPr>
        <w:t>For consistency, t</w:t>
      </w:r>
      <w:r>
        <w:rPr>
          <w:lang w:val="en-ZW"/>
        </w:rPr>
        <w:t xml:space="preserve">he database will hereinafter </w:t>
      </w:r>
      <w:r w:rsidR="0022306E">
        <w:rPr>
          <w:lang w:val="en-ZW"/>
        </w:rPr>
        <w:t xml:space="preserve">be </w:t>
      </w:r>
      <w:r>
        <w:rPr>
          <w:lang w:val="en-ZW"/>
        </w:rPr>
        <w:t>referred to as the Master Resource Database</w:t>
      </w:r>
      <w:r w:rsidR="00FA059F">
        <w:rPr>
          <w:lang w:val="en-ZW"/>
        </w:rPr>
        <w:t xml:space="preserve"> or MRD</w:t>
      </w:r>
      <w:r>
        <w:rPr>
          <w:lang w:val="en-ZW"/>
        </w:rPr>
        <w:t>.</w:t>
      </w:r>
    </w:p>
  </w:footnote>
  <w:footnote w:id="8">
    <w:p w14:paraId="3F635A5B" w14:textId="3241B7CE" w:rsidR="00B0301C" w:rsidRPr="00B65A6B" w:rsidRDefault="00B0301C" w:rsidP="008D7713">
      <w:pPr>
        <w:pStyle w:val="FootnoteText"/>
        <w:ind w:left="288" w:hanging="288"/>
        <w:rPr>
          <w:lang w:val="en-ZW"/>
        </w:rPr>
      </w:pPr>
      <w:r>
        <w:rPr>
          <w:rStyle w:val="FootnoteReference"/>
        </w:rPr>
        <w:footnoteRef/>
      </w:r>
      <w:r w:rsidR="00874693">
        <w:tab/>
      </w:r>
      <w:r>
        <w:rPr>
          <w:lang w:val="en-ZW"/>
        </w:rPr>
        <w:t>D.22-06-050, Appendix</w:t>
      </w:r>
      <w:r w:rsidR="00874693">
        <w:rPr>
          <w:lang w:val="en-ZW"/>
        </w:rPr>
        <w:t> </w:t>
      </w:r>
      <w:r>
        <w:rPr>
          <w:lang w:val="en-ZW"/>
        </w:rPr>
        <w:t>A at</w:t>
      </w:r>
      <w:r w:rsidR="00874693">
        <w:rPr>
          <w:lang w:val="en-ZW"/>
        </w:rPr>
        <w:t> </w:t>
      </w:r>
      <w:r>
        <w:rPr>
          <w:lang w:val="en-ZW"/>
        </w:rPr>
        <w:t>5.</w:t>
      </w:r>
    </w:p>
  </w:footnote>
  <w:footnote w:id="9">
    <w:p w14:paraId="618E1E43" w14:textId="016D573F" w:rsidR="00B0301C" w:rsidRPr="001A15BC" w:rsidRDefault="00B0301C" w:rsidP="008D7713">
      <w:pPr>
        <w:pStyle w:val="FootnoteText"/>
        <w:ind w:left="288" w:hanging="288"/>
        <w:rPr>
          <w:lang w:val="en-ZW"/>
        </w:rPr>
      </w:pPr>
      <w:r>
        <w:rPr>
          <w:rStyle w:val="FootnoteReference"/>
        </w:rPr>
        <w:footnoteRef/>
      </w:r>
      <w:r w:rsidR="00874693">
        <w:tab/>
      </w:r>
      <w:r w:rsidR="004B46BA" w:rsidRPr="00CA46DC">
        <w:rPr>
          <w:i/>
          <w:iCs/>
          <w:lang w:val="en-ZW"/>
        </w:rPr>
        <w:t>Id</w:t>
      </w:r>
      <w:r w:rsidR="004B46BA">
        <w:rPr>
          <w:lang w:val="en-ZW"/>
        </w:rPr>
        <w:t>.</w:t>
      </w:r>
      <w:r>
        <w:rPr>
          <w:lang w:val="en-ZW"/>
        </w:rPr>
        <w:t>, Appendix</w:t>
      </w:r>
      <w:r w:rsidR="00874693">
        <w:rPr>
          <w:lang w:val="en-ZW"/>
        </w:rPr>
        <w:t> </w:t>
      </w:r>
      <w:r>
        <w:rPr>
          <w:lang w:val="en-ZW"/>
        </w:rPr>
        <w:t>A at</w:t>
      </w:r>
      <w:r w:rsidR="00874693">
        <w:rPr>
          <w:lang w:val="en-ZW"/>
        </w:rPr>
        <w:t> </w:t>
      </w:r>
      <w:r>
        <w:rPr>
          <w:lang w:val="en-ZW"/>
        </w:rPr>
        <w:t>7.</w:t>
      </w:r>
    </w:p>
  </w:footnote>
  <w:footnote w:id="10">
    <w:p w14:paraId="242BDBF0" w14:textId="25C7B45F" w:rsidR="00B0301C" w:rsidRPr="00B65A6B" w:rsidRDefault="00B0301C" w:rsidP="008D7713">
      <w:pPr>
        <w:pStyle w:val="FootnoteText"/>
        <w:ind w:left="288" w:hanging="288"/>
        <w:rPr>
          <w:lang w:val="en-ZW"/>
        </w:rPr>
      </w:pPr>
      <w:r>
        <w:rPr>
          <w:rStyle w:val="FootnoteReference"/>
        </w:rPr>
        <w:footnoteRef/>
      </w:r>
      <w:r w:rsidR="00874693">
        <w:tab/>
      </w:r>
      <w:r w:rsidRPr="00DF7945">
        <w:rPr>
          <w:i/>
          <w:iCs/>
          <w:lang w:val="en-ZW"/>
        </w:rPr>
        <w:t>Id</w:t>
      </w:r>
      <w:r>
        <w:rPr>
          <w:lang w:val="en-ZW"/>
        </w:rPr>
        <w:t xml:space="preserve">. </w:t>
      </w:r>
    </w:p>
  </w:footnote>
  <w:footnote w:id="11">
    <w:p w14:paraId="41A159BC" w14:textId="3D2FD708" w:rsidR="00B0301C" w:rsidRPr="00DF42BC" w:rsidRDefault="00B0301C" w:rsidP="008D7713">
      <w:pPr>
        <w:pStyle w:val="FootnoteText"/>
        <w:ind w:left="288" w:hanging="288"/>
        <w:rPr>
          <w:lang w:val="en-ZW"/>
        </w:rPr>
      </w:pPr>
      <w:r>
        <w:rPr>
          <w:rStyle w:val="FootnoteReference"/>
        </w:rPr>
        <w:footnoteRef/>
      </w:r>
      <w:r w:rsidR="00874693">
        <w:tab/>
      </w:r>
      <w:r>
        <w:rPr>
          <w:lang w:val="en-ZW"/>
        </w:rPr>
        <w:t>WG</w:t>
      </w:r>
      <w:r w:rsidR="00874693">
        <w:rPr>
          <w:lang w:val="en-ZW"/>
        </w:rPr>
        <w:t> </w:t>
      </w:r>
      <w:r>
        <w:rPr>
          <w:lang w:val="en-ZW"/>
        </w:rPr>
        <w:t>Report at</w:t>
      </w:r>
      <w:r w:rsidR="00874693">
        <w:rPr>
          <w:lang w:val="en-ZW"/>
        </w:rPr>
        <w:t> </w:t>
      </w:r>
      <w:r>
        <w:rPr>
          <w:lang w:val="en-ZW"/>
        </w:rPr>
        <w:t>13.</w:t>
      </w:r>
    </w:p>
  </w:footnote>
  <w:footnote w:id="12">
    <w:p w14:paraId="65FC4914" w14:textId="3DA63893" w:rsidR="00B0301C" w:rsidRPr="00E65987" w:rsidRDefault="00B0301C" w:rsidP="008D7713">
      <w:pPr>
        <w:pStyle w:val="FootnoteText"/>
        <w:ind w:left="288" w:hanging="288"/>
        <w:rPr>
          <w:lang w:val="en-ZW"/>
        </w:rPr>
      </w:pPr>
      <w:r>
        <w:rPr>
          <w:rStyle w:val="FootnoteReference"/>
        </w:rPr>
        <w:footnoteRef/>
      </w:r>
      <w:r w:rsidR="00E44D0A">
        <w:tab/>
      </w:r>
      <w:r>
        <w:rPr>
          <w:lang w:val="en-ZW"/>
        </w:rPr>
        <w:t>MRP Opening</w:t>
      </w:r>
      <w:r w:rsidR="00E44D0A">
        <w:rPr>
          <w:lang w:val="en-ZW"/>
        </w:rPr>
        <w:t> </w:t>
      </w:r>
      <w:r>
        <w:rPr>
          <w:lang w:val="en-ZW"/>
        </w:rPr>
        <w:t>Comments at</w:t>
      </w:r>
      <w:r w:rsidR="00E44D0A">
        <w:rPr>
          <w:lang w:val="en-ZW"/>
        </w:rPr>
        <w:t> </w:t>
      </w:r>
      <w:r>
        <w:rPr>
          <w:lang w:val="en-ZW"/>
        </w:rPr>
        <w:t>5,</w:t>
      </w:r>
      <w:r w:rsidRPr="00270F15">
        <w:rPr>
          <w:lang w:val="en-ZW"/>
        </w:rPr>
        <w:t xml:space="preserve"> </w:t>
      </w:r>
      <w:r>
        <w:rPr>
          <w:lang w:val="en-ZW"/>
        </w:rPr>
        <w:t>PG&amp;E Opening</w:t>
      </w:r>
      <w:r w:rsidR="00E44D0A">
        <w:rPr>
          <w:lang w:val="en-ZW"/>
        </w:rPr>
        <w:t> </w:t>
      </w:r>
      <w:r>
        <w:rPr>
          <w:lang w:val="en-ZW"/>
        </w:rPr>
        <w:t>Comments at</w:t>
      </w:r>
      <w:r w:rsidR="00E44D0A">
        <w:rPr>
          <w:lang w:val="en-ZW"/>
        </w:rPr>
        <w:t> </w:t>
      </w:r>
      <w:r>
        <w:rPr>
          <w:lang w:val="en-ZW"/>
        </w:rPr>
        <w:t>2.</w:t>
      </w:r>
    </w:p>
  </w:footnote>
  <w:footnote w:id="13">
    <w:p w14:paraId="1A8C5E8F" w14:textId="3A9FDD33" w:rsidR="00B0301C" w:rsidRPr="00035F13" w:rsidRDefault="00B0301C" w:rsidP="008D7713">
      <w:pPr>
        <w:pStyle w:val="FootnoteText"/>
        <w:ind w:left="288" w:hanging="288"/>
        <w:rPr>
          <w:lang w:val="en-ZW"/>
        </w:rPr>
      </w:pPr>
      <w:r>
        <w:rPr>
          <w:rStyle w:val="FootnoteReference"/>
        </w:rPr>
        <w:footnoteRef/>
      </w:r>
      <w:r w:rsidR="00E44D0A">
        <w:tab/>
      </w:r>
      <w:r w:rsidR="0036297A">
        <w:rPr>
          <w:lang w:val="en-ZW"/>
        </w:rPr>
        <w:t>CEJA/CEERT Reply Comments at 4</w:t>
      </w:r>
      <w:r>
        <w:rPr>
          <w:lang w:val="en-ZW"/>
        </w:rPr>
        <w:t>.</w:t>
      </w:r>
    </w:p>
  </w:footnote>
  <w:footnote w:id="14">
    <w:p w14:paraId="161442B5" w14:textId="00646D49" w:rsidR="00B0301C" w:rsidRPr="00FC778B" w:rsidRDefault="00B0301C" w:rsidP="008D7713">
      <w:pPr>
        <w:pStyle w:val="FootnoteText"/>
        <w:ind w:left="288" w:hanging="288"/>
        <w:rPr>
          <w:lang w:val="en-ZW"/>
        </w:rPr>
      </w:pPr>
      <w:r>
        <w:rPr>
          <w:rStyle w:val="FootnoteReference"/>
        </w:rPr>
        <w:footnoteRef/>
      </w:r>
      <w:r w:rsidR="00F94FFF">
        <w:rPr>
          <w:lang w:val="en-ZW"/>
        </w:rPr>
        <w:tab/>
      </w:r>
      <w:r>
        <w:rPr>
          <w:lang w:val="en-ZW"/>
        </w:rPr>
        <w:t>IEP Reply Comments at</w:t>
      </w:r>
      <w:r w:rsidR="00F94FFF">
        <w:rPr>
          <w:lang w:val="en-ZW"/>
        </w:rPr>
        <w:t> </w:t>
      </w:r>
      <w:r>
        <w:rPr>
          <w:lang w:val="en-ZW"/>
        </w:rPr>
        <w:t>4.</w:t>
      </w:r>
    </w:p>
  </w:footnote>
  <w:footnote w:id="15">
    <w:p w14:paraId="71FFC039" w14:textId="6570EA31" w:rsidR="006243A0" w:rsidRPr="00AA5742" w:rsidRDefault="006243A0" w:rsidP="008D7713">
      <w:pPr>
        <w:pStyle w:val="FootnoteText"/>
        <w:ind w:left="288" w:hanging="288"/>
        <w:rPr>
          <w:lang w:val="en-ZW"/>
        </w:rPr>
      </w:pPr>
      <w:r>
        <w:rPr>
          <w:rStyle w:val="FootnoteReference"/>
        </w:rPr>
        <w:footnoteRef/>
      </w:r>
      <w:r>
        <w:t xml:space="preserve"> </w:t>
      </w:r>
      <w:r>
        <w:tab/>
      </w:r>
      <w:r>
        <w:rPr>
          <w:lang w:val="en-ZW"/>
        </w:rPr>
        <w:t>WG Report at 15.</w:t>
      </w:r>
    </w:p>
  </w:footnote>
  <w:footnote w:id="16">
    <w:p w14:paraId="6D5820E5" w14:textId="6D302045" w:rsidR="00132248" w:rsidRPr="0023183C" w:rsidRDefault="00132248" w:rsidP="008D7713">
      <w:pPr>
        <w:pStyle w:val="FootnoteText"/>
        <w:ind w:left="288" w:hanging="288"/>
        <w:rPr>
          <w:lang w:val="en-ZW"/>
        </w:rPr>
      </w:pPr>
      <w:r>
        <w:rPr>
          <w:rStyle w:val="FootnoteReference"/>
        </w:rPr>
        <w:footnoteRef/>
      </w:r>
      <w:r w:rsidR="00F94FFF">
        <w:rPr>
          <w:i/>
          <w:iCs/>
          <w:lang w:val="en-ZW"/>
        </w:rPr>
        <w:tab/>
      </w:r>
      <w:r w:rsidRPr="00DF7945">
        <w:rPr>
          <w:i/>
          <w:iCs/>
          <w:lang w:val="en-ZW"/>
        </w:rPr>
        <w:t>See</w:t>
      </w:r>
      <w:r>
        <w:rPr>
          <w:lang w:val="en-ZW"/>
        </w:rPr>
        <w:t xml:space="preserve"> D.06-07-031 at Conclusion of Law (COL) 8. </w:t>
      </w:r>
    </w:p>
  </w:footnote>
  <w:footnote w:id="17">
    <w:p w14:paraId="768B50AA" w14:textId="21F5D142" w:rsidR="00132248" w:rsidRPr="008106A7" w:rsidRDefault="00132248" w:rsidP="008D7713">
      <w:pPr>
        <w:pStyle w:val="FootnoteText"/>
        <w:ind w:left="288" w:hanging="288"/>
        <w:rPr>
          <w:lang w:val="en-ZW"/>
        </w:rPr>
      </w:pPr>
      <w:r>
        <w:rPr>
          <w:rStyle w:val="FootnoteReference"/>
        </w:rPr>
        <w:footnoteRef/>
      </w:r>
      <w:r w:rsidR="00F94FFF">
        <w:tab/>
      </w:r>
      <w:r>
        <w:rPr>
          <w:lang w:val="en-ZW"/>
        </w:rPr>
        <w:t>D.22-06-050, Appendix</w:t>
      </w:r>
      <w:r w:rsidR="00F94FFF">
        <w:rPr>
          <w:lang w:val="en-ZW"/>
        </w:rPr>
        <w:t> </w:t>
      </w:r>
      <w:r>
        <w:rPr>
          <w:lang w:val="en-ZW"/>
        </w:rPr>
        <w:t>A at</w:t>
      </w:r>
      <w:r w:rsidR="00F94FFF">
        <w:rPr>
          <w:lang w:val="en-ZW"/>
        </w:rPr>
        <w:t> </w:t>
      </w:r>
      <w:r w:rsidR="0022306E">
        <w:rPr>
          <w:lang w:val="en-ZW"/>
        </w:rPr>
        <w:t>8</w:t>
      </w:r>
      <w:r>
        <w:rPr>
          <w:lang w:val="en-ZW"/>
        </w:rPr>
        <w:t>.</w:t>
      </w:r>
    </w:p>
  </w:footnote>
  <w:footnote w:id="18">
    <w:p w14:paraId="59A278A7" w14:textId="656F153E" w:rsidR="00132248" w:rsidRPr="000F6F07" w:rsidRDefault="00132248" w:rsidP="008D7713">
      <w:pPr>
        <w:pStyle w:val="FootnoteText"/>
        <w:ind w:left="288" w:hanging="288"/>
        <w:rPr>
          <w:lang w:val="en-ZW"/>
        </w:rPr>
      </w:pPr>
      <w:r>
        <w:rPr>
          <w:rStyle w:val="FootnoteReference"/>
        </w:rPr>
        <w:footnoteRef/>
      </w:r>
      <w:r w:rsidR="00F94FFF">
        <w:tab/>
      </w:r>
      <w:r w:rsidR="004B46BA" w:rsidRPr="00CA46DC">
        <w:rPr>
          <w:i/>
          <w:iCs/>
          <w:lang w:val="en-ZW"/>
        </w:rPr>
        <w:t>Id</w:t>
      </w:r>
      <w:r w:rsidR="004B46BA">
        <w:rPr>
          <w:lang w:val="en-ZW"/>
        </w:rPr>
        <w:t>.</w:t>
      </w:r>
      <w:r>
        <w:rPr>
          <w:lang w:val="en-ZW"/>
        </w:rPr>
        <w:t>, Appendix</w:t>
      </w:r>
      <w:r w:rsidR="00F94FFF">
        <w:rPr>
          <w:lang w:val="en-ZW"/>
        </w:rPr>
        <w:t> </w:t>
      </w:r>
      <w:r>
        <w:rPr>
          <w:lang w:val="en-ZW"/>
        </w:rPr>
        <w:t>A at</w:t>
      </w:r>
      <w:r w:rsidR="00F94FFF">
        <w:rPr>
          <w:lang w:val="en-ZW"/>
        </w:rPr>
        <w:t> </w:t>
      </w:r>
      <w:r>
        <w:rPr>
          <w:lang w:val="en-ZW"/>
        </w:rPr>
        <w:t>5, 8.</w:t>
      </w:r>
    </w:p>
  </w:footnote>
  <w:footnote w:id="19">
    <w:p w14:paraId="48FB71EA" w14:textId="5DDA1E54" w:rsidR="00132248" w:rsidRPr="008B044E" w:rsidRDefault="00132248" w:rsidP="008D7713">
      <w:pPr>
        <w:pStyle w:val="FootnoteText"/>
        <w:ind w:left="288" w:hanging="288"/>
        <w:rPr>
          <w:lang w:val="en-ZW"/>
        </w:rPr>
      </w:pPr>
      <w:r>
        <w:rPr>
          <w:rStyle w:val="FootnoteReference"/>
        </w:rPr>
        <w:footnoteRef/>
      </w:r>
      <w:r w:rsidR="00F94FFF">
        <w:tab/>
      </w:r>
      <w:r>
        <w:rPr>
          <w:lang w:val="en-ZW"/>
        </w:rPr>
        <w:t>WG Report at</w:t>
      </w:r>
      <w:r w:rsidR="00F94FFF">
        <w:rPr>
          <w:lang w:val="en-ZW"/>
        </w:rPr>
        <w:t> </w:t>
      </w:r>
      <w:r>
        <w:rPr>
          <w:lang w:val="en-ZW"/>
        </w:rPr>
        <w:t>15.</w:t>
      </w:r>
    </w:p>
  </w:footnote>
  <w:footnote w:id="20">
    <w:p w14:paraId="714DF047" w14:textId="6F337891" w:rsidR="00132248" w:rsidRPr="006B7B5F" w:rsidRDefault="00132248" w:rsidP="008D7713">
      <w:pPr>
        <w:pStyle w:val="FootnoteText"/>
        <w:ind w:left="288" w:hanging="288"/>
        <w:rPr>
          <w:lang w:val="en-ZW"/>
        </w:rPr>
      </w:pPr>
      <w:r>
        <w:rPr>
          <w:rStyle w:val="FootnoteReference"/>
        </w:rPr>
        <w:footnoteRef/>
      </w:r>
      <w:r w:rsidR="00F94FFF">
        <w:tab/>
      </w:r>
      <w:r w:rsidR="004B46BA" w:rsidRPr="00CA46DC">
        <w:rPr>
          <w:i/>
          <w:iCs/>
          <w:lang w:val="en-ZW"/>
        </w:rPr>
        <w:t>Id</w:t>
      </w:r>
      <w:r w:rsidR="004B46BA" w:rsidRPr="004B46BA">
        <w:rPr>
          <w:lang w:val="en-ZW"/>
        </w:rPr>
        <w:t>.</w:t>
      </w:r>
      <w:r>
        <w:rPr>
          <w:lang w:val="en-ZW"/>
        </w:rPr>
        <w:t xml:space="preserve"> at</w:t>
      </w:r>
      <w:r w:rsidR="00F94FFF">
        <w:rPr>
          <w:lang w:val="en-ZW"/>
        </w:rPr>
        <w:t> </w:t>
      </w:r>
      <w:r>
        <w:rPr>
          <w:lang w:val="en-ZW"/>
        </w:rPr>
        <w:t>17.</w:t>
      </w:r>
    </w:p>
  </w:footnote>
  <w:footnote w:id="21">
    <w:p w14:paraId="543426B0" w14:textId="6FEC6795" w:rsidR="00132248" w:rsidRPr="00375C01" w:rsidRDefault="00132248" w:rsidP="008D7713">
      <w:pPr>
        <w:pStyle w:val="FootnoteText"/>
        <w:ind w:left="288" w:hanging="288"/>
        <w:rPr>
          <w:lang w:val="en-ZW"/>
        </w:rPr>
      </w:pPr>
      <w:r>
        <w:rPr>
          <w:rStyle w:val="FootnoteReference"/>
        </w:rPr>
        <w:footnoteRef/>
      </w:r>
      <w:r w:rsidR="00CB558B">
        <w:rPr>
          <w:lang w:val="en-ZW"/>
        </w:rPr>
        <w:tab/>
      </w:r>
      <w:r>
        <w:rPr>
          <w:lang w:val="en-ZW"/>
        </w:rPr>
        <w:t>D.22-06-050 at OP</w:t>
      </w:r>
      <w:r w:rsidR="00CB558B">
        <w:rPr>
          <w:lang w:val="en-ZW"/>
        </w:rPr>
        <w:t> </w:t>
      </w:r>
      <w:r>
        <w:rPr>
          <w:lang w:val="en-ZW"/>
        </w:rPr>
        <w:t>27.</w:t>
      </w:r>
    </w:p>
  </w:footnote>
  <w:footnote w:id="22">
    <w:p w14:paraId="6FBD1988" w14:textId="73558B7C" w:rsidR="00132248" w:rsidRPr="00DB648D" w:rsidRDefault="00132248" w:rsidP="008D7713">
      <w:pPr>
        <w:pStyle w:val="FootnoteText"/>
        <w:ind w:left="288" w:hanging="288"/>
        <w:rPr>
          <w:lang w:val="en-ZW"/>
        </w:rPr>
      </w:pPr>
      <w:r>
        <w:rPr>
          <w:rStyle w:val="FootnoteReference"/>
        </w:rPr>
        <w:footnoteRef/>
      </w:r>
      <w:r w:rsidR="00CB558B">
        <w:rPr>
          <w:lang w:val="en-ZW"/>
        </w:rPr>
        <w:tab/>
      </w:r>
      <w:r w:rsidR="004B46BA" w:rsidRPr="00CA46DC">
        <w:rPr>
          <w:i/>
          <w:iCs/>
          <w:lang w:val="en-ZW"/>
        </w:rPr>
        <w:t>Id</w:t>
      </w:r>
      <w:r w:rsidR="004B46BA">
        <w:rPr>
          <w:lang w:val="en-ZW"/>
        </w:rPr>
        <w:t>.</w:t>
      </w:r>
      <w:r>
        <w:rPr>
          <w:lang w:val="en-ZW"/>
        </w:rPr>
        <w:t xml:space="preserve"> at</w:t>
      </w:r>
      <w:r w:rsidR="00CB558B">
        <w:rPr>
          <w:lang w:val="en-ZW"/>
        </w:rPr>
        <w:t> </w:t>
      </w:r>
      <w:r>
        <w:rPr>
          <w:lang w:val="en-ZW"/>
        </w:rPr>
        <w:t>78.</w:t>
      </w:r>
    </w:p>
  </w:footnote>
  <w:footnote w:id="23">
    <w:p w14:paraId="44897051" w14:textId="0C01806B" w:rsidR="00132248" w:rsidRPr="000F6F07" w:rsidRDefault="00132248" w:rsidP="008D7713">
      <w:pPr>
        <w:pStyle w:val="FootnoteText"/>
        <w:ind w:left="288" w:hanging="288"/>
        <w:rPr>
          <w:lang w:val="en-ZW"/>
        </w:rPr>
      </w:pPr>
      <w:r>
        <w:rPr>
          <w:rStyle w:val="FootnoteReference"/>
        </w:rPr>
        <w:footnoteRef/>
      </w:r>
      <w:r w:rsidR="00CB558B">
        <w:rPr>
          <w:lang w:val="en-ZW"/>
        </w:rPr>
        <w:tab/>
      </w:r>
      <w:r w:rsidR="004B46BA" w:rsidRPr="00CA46DC">
        <w:rPr>
          <w:i/>
          <w:iCs/>
          <w:lang w:val="en-ZW"/>
        </w:rPr>
        <w:t>Id</w:t>
      </w:r>
      <w:r w:rsidR="004B46BA">
        <w:rPr>
          <w:lang w:val="en-ZW"/>
        </w:rPr>
        <w:t>.</w:t>
      </w:r>
      <w:r>
        <w:rPr>
          <w:lang w:val="en-ZW"/>
        </w:rPr>
        <w:t>, Appendix</w:t>
      </w:r>
      <w:r w:rsidR="00CB558B">
        <w:rPr>
          <w:lang w:val="en-ZW"/>
        </w:rPr>
        <w:t> </w:t>
      </w:r>
      <w:r>
        <w:rPr>
          <w:lang w:val="en-ZW"/>
        </w:rPr>
        <w:t>A at</w:t>
      </w:r>
      <w:r w:rsidR="00CB558B">
        <w:rPr>
          <w:lang w:val="en-ZW"/>
        </w:rPr>
        <w:t> </w:t>
      </w:r>
      <w:r>
        <w:rPr>
          <w:lang w:val="en-ZW"/>
        </w:rPr>
        <w:t>7.</w:t>
      </w:r>
    </w:p>
  </w:footnote>
  <w:footnote w:id="24">
    <w:p w14:paraId="67A69B48" w14:textId="6338CC57" w:rsidR="00132248" w:rsidRPr="00D55C2E" w:rsidRDefault="00132248" w:rsidP="008D7713">
      <w:pPr>
        <w:pStyle w:val="FootnoteText"/>
        <w:ind w:left="288" w:hanging="288"/>
        <w:rPr>
          <w:lang w:val="en-ZW"/>
        </w:rPr>
      </w:pPr>
      <w:r>
        <w:rPr>
          <w:rStyle w:val="FootnoteReference"/>
        </w:rPr>
        <w:footnoteRef/>
      </w:r>
      <w:r w:rsidR="00CB558B">
        <w:tab/>
      </w:r>
      <w:r>
        <w:rPr>
          <w:lang w:val="en-ZW"/>
        </w:rPr>
        <w:t>WG</w:t>
      </w:r>
      <w:r w:rsidR="00CB558B">
        <w:rPr>
          <w:lang w:val="en-ZW"/>
        </w:rPr>
        <w:t> </w:t>
      </w:r>
      <w:r>
        <w:rPr>
          <w:lang w:val="en-ZW"/>
        </w:rPr>
        <w:t>Report at</w:t>
      </w:r>
      <w:r w:rsidR="00CB558B">
        <w:rPr>
          <w:lang w:val="en-ZW"/>
        </w:rPr>
        <w:t> </w:t>
      </w:r>
      <w:r>
        <w:rPr>
          <w:lang w:val="en-ZW"/>
        </w:rPr>
        <w:t>18.</w:t>
      </w:r>
    </w:p>
  </w:footnote>
  <w:footnote w:id="25">
    <w:p w14:paraId="7D9FFA69" w14:textId="1EB5DF98" w:rsidR="00132248" w:rsidRPr="001E56A7" w:rsidRDefault="00132248" w:rsidP="008D7713">
      <w:pPr>
        <w:pStyle w:val="FootnoteText"/>
        <w:ind w:left="288" w:hanging="288"/>
        <w:rPr>
          <w:lang w:val="en-ZW"/>
        </w:rPr>
      </w:pPr>
      <w:r>
        <w:rPr>
          <w:rStyle w:val="FootnoteReference"/>
        </w:rPr>
        <w:footnoteRef/>
      </w:r>
      <w:r w:rsidR="00CB558B">
        <w:tab/>
      </w:r>
      <w:r w:rsidRPr="00CD3FEA">
        <w:rPr>
          <w:i/>
          <w:iCs/>
          <w:lang w:val="en-ZW"/>
        </w:rPr>
        <w:t>Id</w:t>
      </w:r>
      <w:r>
        <w:rPr>
          <w:lang w:val="en-ZW"/>
        </w:rPr>
        <w:t>.</w:t>
      </w:r>
    </w:p>
  </w:footnote>
  <w:footnote w:id="26">
    <w:p w14:paraId="4726C85D" w14:textId="476FAE59" w:rsidR="00132248" w:rsidRPr="009C0AF9" w:rsidRDefault="00132248" w:rsidP="008D7713">
      <w:pPr>
        <w:pStyle w:val="FootnoteText"/>
        <w:ind w:left="288" w:hanging="288"/>
        <w:rPr>
          <w:lang w:val="en-ZW"/>
        </w:rPr>
      </w:pPr>
      <w:r>
        <w:rPr>
          <w:rStyle w:val="FootnoteReference"/>
        </w:rPr>
        <w:footnoteRef/>
      </w:r>
      <w:r w:rsidR="00CB558B">
        <w:tab/>
      </w:r>
      <w:r>
        <w:rPr>
          <w:lang w:val="en-ZW"/>
        </w:rPr>
        <w:t>D.22-06-050 at</w:t>
      </w:r>
      <w:r w:rsidR="00CB558B">
        <w:rPr>
          <w:lang w:val="en-ZW"/>
        </w:rPr>
        <w:t> </w:t>
      </w:r>
      <w:r>
        <w:rPr>
          <w:lang w:val="en-ZW"/>
        </w:rPr>
        <w:t>OP</w:t>
      </w:r>
      <w:r w:rsidR="00CB558B">
        <w:rPr>
          <w:lang w:val="en-ZW"/>
        </w:rPr>
        <w:t> </w:t>
      </w:r>
      <w:r>
        <w:rPr>
          <w:lang w:val="en-ZW"/>
        </w:rPr>
        <w:t>27.</w:t>
      </w:r>
    </w:p>
  </w:footnote>
  <w:footnote w:id="27">
    <w:p w14:paraId="35E160FE" w14:textId="14D9125A" w:rsidR="00132248" w:rsidRPr="00211EEC" w:rsidRDefault="00132248" w:rsidP="008D7713">
      <w:pPr>
        <w:pStyle w:val="FootnoteText"/>
        <w:ind w:left="288" w:hanging="288"/>
        <w:rPr>
          <w:lang w:val="en-ZW"/>
        </w:rPr>
      </w:pPr>
      <w:r>
        <w:rPr>
          <w:rStyle w:val="FootnoteReference"/>
        </w:rPr>
        <w:footnoteRef/>
      </w:r>
      <w:r w:rsidR="00CB558B">
        <w:tab/>
      </w:r>
      <w:r>
        <w:rPr>
          <w:lang w:val="en-ZW"/>
        </w:rPr>
        <w:t>WG</w:t>
      </w:r>
      <w:r w:rsidR="00CB558B">
        <w:rPr>
          <w:lang w:val="en-ZW"/>
        </w:rPr>
        <w:t> </w:t>
      </w:r>
      <w:r>
        <w:rPr>
          <w:lang w:val="en-ZW"/>
        </w:rPr>
        <w:t>Report at</w:t>
      </w:r>
      <w:r w:rsidR="00CB558B">
        <w:rPr>
          <w:lang w:val="en-ZW"/>
        </w:rPr>
        <w:t> </w:t>
      </w:r>
      <w:r>
        <w:rPr>
          <w:lang w:val="en-ZW"/>
        </w:rPr>
        <w:t>22.</w:t>
      </w:r>
    </w:p>
  </w:footnote>
  <w:footnote w:id="28">
    <w:p w14:paraId="2252B582" w14:textId="3E88137C" w:rsidR="00132248" w:rsidRPr="0031022B" w:rsidRDefault="00132248" w:rsidP="008D7713">
      <w:pPr>
        <w:pStyle w:val="FootnoteText"/>
        <w:ind w:left="288" w:hanging="288"/>
        <w:rPr>
          <w:lang w:val="en-ZW"/>
        </w:rPr>
      </w:pPr>
      <w:r>
        <w:rPr>
          <w:rStyle w:val="FootnoteReference"/>
        </w:rPr>
        <w:footnoteRef/>
      </w:r>
      <w:r w:rsidR="00CB558B">
        <w:rPr>
          <w:i/>
          <w:iCs/>
          <w:lang w:val="en-ZW"/>
        </w:rPr>
        <w:tab/>
      </w:r>
      <w:r w:rsidRPr="00CD3FEA">
        <w:rPr>
          <w:i/>
          <w:iCs/>
          <w:lang w:val="en-ZW"/>
        </w:rPr>
        <w:t>Id</w:t>
      </w:r>
      <w:r>
        <w:rPr>
          <w:lang w:val="en-ZW"/>
        </w:rPr>
        <w:t>.</w:t>
      </w:r>
    </w:p>
  </w:footnote>
  <w:footnote w:id="29">
    <w:p w14:paraId="5A0A0FC5" w14:textId="6751FE8E" w:rsidR="00132248" w:rsidRPr="00C644A0" w:rsidRDefault="00132248" w:rsidP="008D7713">
      <w:pPr>
        <w:pStyle w:val="FootnoteText"/>
        <w:ind w:left="288" w:hanging="288"/>
        <w:rPr>
          <w:lang w:val="en-ZW"/>
        </w:rPr>
      </w:pPr>
      <w:r>
        <w:rPr>
          <w:rStyle w:val="FootnoteReference"/>
        </w:rPr>
        <w:footnoteRef/>
      </w:r>
      <w:r w:rsidR="00CB558B">
        <w:tab/>
      </w:r>
      <w:proofErr w:type="spellStart"/>
      <w:r>
        <w:rPr>
          <w:lang w:val="en-ZW"/>
        </w:rPr>
        <w:t>CalCCA</w:t>
      </w:r>
      <w:proofErr w:type="spellEnd"/>
      <w:r>
        <w:rPr>
          <w:lang w:val="en-ZW"/>
        </w:rPr>
        <w:t xml:space="preserve"> Opening</w:t>
      </w:r>
      <w:r w:rsidR="00DA7998">
        <w:rPr>
          <w:lang w:val="en-ZW"/>
        </w:rPr>
        <w:t> </w:t>
      </w:r>
      <w:r>
        <w:rPr>
          <w:lang w:val="en-ZW"/>
        </w:rPr>
        <w:t>Comments at</w:t>
      </w:r>
      <w:r w:rsidR="00DA7998">
        <w:rPr>
          <w:lang w:val="en-ZW"/>
        </w:rPr>
        <w:t> </w:t>
      </w:r>
      <w:r>
        <w:rPr>
          <w:lang w:val="en-ZW"/>
        </w:rPr>
        <w:t>12.</w:t>
      </w:r>
    </w:p>
  </w:footnote>
  <w:footnote w:id="30">
    <w:p w14:paraId="4F0BE6B6" w14:textId="7D88D9E3" w:rsidR="00132248" w:rsidRPr="00537BB2" w:rsidRDefault="00132248" w:rsidP="008D7713">
      <w:pPr>
        <w:pStyle w:val="FootnoteText"/>
        <w:ind w:left="288" w:hanging="288"/>
        <w:rPr>
          <w:lang w:val="en-ZW"/>
        </w:rPr>
      </w:pPr>
      <w:r>
        <w:rPr>
          <w:rStyle w:val="FootnoteReference"/>
        </w:rPr>
        <w:footnoteRef/>
      </w:r>
      <w:r w:rsidR="00CB558B">
        <w:tab/>
      </w:r>
      <w:proofErr w:type="spellStart"/>
      <w:r>
        <w:rPr>
          <w:lang w:val="en-ZW"/>
        </w:rPr>
        <w:t>AReM</w:t>
      </w:r>
      <w:proofErr w:type="spellEnd"/>
      <w:r>
        <w:rPr>
          <w:lang w:val="en-ZW"/>
        </w:rPr>
        <w:t xml:space="preserve"> Opening</w:t>
      </w:r>
      <w:r w:rsidR="00DA7998">
        <w:rPr>
          <w:lang w:val="en-ZW"/>
        </w:rPr>
        <w:t> </w:t>
      </w:r>
      <w:r>
        <w:rPr>
          <w:lang w:val="en-ZW"/>
        </w:rPr>
        <w:t>Comments at</w:t>
      </w:r>
      <w:r w:rsidR="00DA7998">
        <w:rPr>
          <w:lang w:val="en-ZW"/>
        </w:rPr>
        <w:t> </w:t>
      </w:r>
      <w:r>
        <w:rPr>
          <w:lang w:val="en-ZW"/>
        </w:rPr>
        <w:t>3,</w:t>
      </w:r>
      <w:r w:rsidRPr="00C9740C">
        <w:rPr>
          <w:lang w:val="en-ZW"/>
        </w:rPr>
        <w:t xml:space="preserve"> </w:t>
      </w:r>
      <w:proofErr w:type="spellStart"/>
      <w:r>
        <w:rPr>
          <w:lang w:val="en-ZW"/>
        </w:rPr>
        <w:t>CalCCA</w:t>
      </w:r>
      <w:proofErr w:type="spellEnd"/>
      <w:r>
        <w:rPr>
          <w:lang w:val="en-ZW"/>
        </w:rPr>
        <w:t xml:space="preserve"> Opening</w:t>
      </w:r>
      <w:r w:rsidR="00DA7998">
        <w:rPr>
          <w:lang w:val="en-ZW"/>
        </w:rPr>
        <w:t> </w:t>
      </w:r>
      <w:r>
        <w:rPr>
          <w:lang w:val="en-ZW"/>
        </w:rPr>
        <w:t>Comments at</w:t>
      </w:r>
      <w:r w:rsidR="00DA7998">
        <w:rPr>
          <w:lang w:val="en-ZW"/>
        </w:rPr>
        <w:t> </w:t>
      </w:r>
      <w:r>
        <w:rPr>
          <w:lang w:val="en-ZW"/>
        </w:rPr>
        <w:t>11.</w:t>
      </w:r>
    </w:p>
  </w:footnote>
  <w:footnote w:id="31">
    <w:p w14:paraId="169EAE69" w14:textId="09B97420" w:rsidR="00132248" w:rsidRPr="00092A20" w:rsidRDefault="00132248" w:rsidP="008D7713">
      <w:pPr>
        <w:pStyle w:val="FootnoteText"/>
        <w:ind w:left="288" w:hanging="288"/>
        <w:rPr>
          <w:lang w:val="en-ZW"/>
        </w:rPr>
      </w:pPr>
      <w:r>
        <w:rPr>
          <w:rStyle w:val="FootnoteReference"/>
        </w:rPr>
        <w:footnoteRef/>
      </w:r>
      <w:r w:rsidR="00CB558B">
        <w:tab/>
      </w:r>
      <w:r>
        <w:rPr>
          <w:lang w:val="en-ZW"/>
        </w:rPr>
        <w:t>PG&amp;E Opening</w:t>
      </w:r>
      <w:r w:rsidR="00DA7998">
        <w:rPr>
          <w:lang w:val="en-ZW"/>
        </w:rPr>
        <w:t> </w:t>
      </w:r>
      <w:r>
        <w:rPr>
          <w:lang w:val="en-ZW"/>
        </w:rPr>
        <w:t>Comments at</w:t>
      </w:r>
      <w:r w:rsidR="00DA7998">
        <w:rPr>
          <w:lang w:val="en-ZW"/>
        </w:rPr>
        <w:t> </w:t>
      </w:r>
      <w:r>
        <w:rPr>
          <w:lang w:val="en-ZW"/>
        </w:rPr>
        <w:t>3.</w:t>
      </w:r>
    </w:p>
  </w:footnote>
  <w:footnote w:id="32">
    <w:p w14:paraId="6095A0E6" w14:textId="5E420AAB" w:rsidR="00132248" w:rsidRPr="00E30959" w:rsidRDefault="00132248" w:rsidP="008D7713">
      <w:pPr>
        <w:pStyle w:val="FootnoteText"/>
        <w:ind w:left="288" w:hanging="288"/>
        <w:rPr>
          <w:lang w:val="en-ZW"/>
        </w:rPr>
      </w:pPr>
      <w:r>
        <w:rPr>
          <w:rStyle w:val="FootnoteReference"/>
        </w:rPr>
        <w:footnoteRef/>
      </w:r>
      <w:r w:rsidR="00CB558B">
        <w:tab/>
      </w:r>
      <w:r>
        <w:rPr>
          <w:lang w:val="en-ZW"/>
        </w:rPr>
        <w:t>Cal</w:t>
      </w:r>
      <w:r w:rsidR="00DA7998">
        <w:rPr>
          <w:lang w:val="en-ZW"/>
        </w:rPr>
        <w:t> </w:t>
      </w:r>
      <w:r>
        <w:rPr>
          <w:lang w:val="en-ZW"/>
        </w:rPr>
        <w:t>Advocates Opening</w:t>
      </w:r>
      <w:r w:rsidR="00DA7998">
        <w:rPr>
          <w:lang w:val="en-ZW"/>
        </w:rPr>
        <w:t> </w:t>
      </w:r>
      <w:r>
        <w:rPr>
          <w:lang w:val="en-ZW"/>
        </w:rPr>
        <w:t>Comments at</w:t>
      </w:r>
      <w:r w:rsidR="00DA7998">
        <w:rPr>
          <w:lang w:val="en-ZW"/>
        </w:rPr>
        <w:t> </w:t>
      </w:r>
      <w:r>
        <w:rPr>
          <w:lang w:val="en-ZW"/>
        </w:rPr>
        <w:t>2.</w:t>
      </w:r>
    </w:p>
  </w:footnote>
  <w:footnote w:id="33">
    <w:p w14:paraId="496798A3" w14:textId="7E720634" w:rsidR="00132248" w:rsidRPr="006D7B47" w:rsidRDefault="00132248" w:rsidP="008D7713">
      <w:pPr>
        <w:pStyle w:val="FootnoteText"/>
        <w:ind w:left="288" w:hanging="288"/>
        <w:rPr>
          <w:lang w:val="en-ZW"/>
        </w:rPr>
      </w:pPr>
      <w:r>
        <w:rPr>
          <w:rStyle w:val="FootnoteReference"/>
        </w:rPr>
        <w:footnoteRef/>
      </w:r>
      <w:r w:rsidR="00DA7998">
        <w:tab/>
      </w:r>
      <w:r>
        <w:rPr>
          <w:lang w:val="en-ZW"/>
        </w:rPr>
        <w:t>D.22-06-050 at</w:t>
      </w:r>
      <w:r w:rsidR="00DA7998">
        <w:rPr>
          <w:lang w:val="en-ZW"/>
        </w:rPr>
        <w:t> </w:t>
      </w:r>
      <w:r>
        <w:rPr>
          <w:lang w:val="en-ZW"/>
        </w:rPr>
        <w:t>80.</w:t>
      </w:r>
    </w:p>
  </w:footnote>
  <w:footnote w:id="34">
    <w:p w14:paraId="26579409" w14:textId="752B0A7C" w:rsidR="00132248" w:rsidRPr="006D7B47" w:rsidRDefault="00132248" w:rsidP="008D7713">
      <w:pPr>
        <w:pStyle w:val="FootnoteText"/>
        <w:ind w:left="288" w:hanging="288"/>
        <w:rPr>
          <w:lang w:val="en-ZW"/>
        </w:rPr>
      </w:pPr>
      <w:r>
        <w:rPr>
          <w:rStyle w:val="FootnoteReference"/>
        </w:rPr>
        <w:footnoteRef/>
      </w:r>
      <w:r w:rsidR="00DA7998">
        <w:tab/>
      </w:r>
      <w:r w:rsidRPr="00CD3FEA">
        <w:rPr>
          <w:i/>
          <w:iCs/>
          <w:lang w:val="en-ZW"/>
        </w:rPr>
        <w:t>Id</w:t>
      </w:r>
      <w:r>
        <w:rPr>
          <w:lang w:val="en-ZW"/>
        </w:rPr>
        <w:t>.</w:t>
      </w:r>
    </w:p>
  </w:footnote>
  <w:footnote w:id="35">
    <w:p w14:paraId="1B9A7662" w14:textId="6FDE6E38" w:rsidR="00132248" w:rsidRPr="006D7B47" w:rsidRDefault="00132248" w:rsidP="008D7713">
      <w:pPr>
        <w:pStyle w:val="FootnoteText"/>
        <w:ind w:left="288" w:hanging="288"/>
        <w:rPr>
          <w:lang w:val="en-ZW"/>
        </w:rPr>
      </w:pPr>
      <w:r>
        <w:rPr>
          <w:rStyle w:val="FootnoteReference"/>
        </w:rPr>
        <w:footnoteRef/>
      </w:r>
      <w:r w:rsidR="00DA7998">
        <w:tab/>
      </w:r>
      <w:r>
        <w:rPr>
          <w:lang w:val="en-ZW"/>
        </w:rPr>
        <w:t>WG Report at</w:t>
      </w:r>
      <w:r w:rsidR="00DA7998">
        <w:rPr>
          <w:lang w:val="en-ZW"/>
        </w:rPr>
        <w:t> </w:t>
      </w:r>
      <w:r>
        <w:rPr>
          <w:lang w:val="en-ZW"/>
        </w:rPr>
        <w:t>26.</w:t>
      </w:r>
    </w:p>
  </w:footnote>
  <w:footnote w:id="36">
    <w:p w14:paraId="0FBC5E9A" w14:textId="411D1422" w:rsidR="00132248" w:rsidRPr="00B2371E" w:rsidRDefault="00132248" w:rsidP="008D7713">
      <w:pPr>
        <w:pStyle w:val="FootnoteText"/>
        <w:ind w:left="288" w:hanging="288"/>
        <w:rPr>
          <w:lang w:val="en-ZW"/>
        </w:rPr>
      </w:pPr>
      <w:r>
        <w:rPr>
          <w:rStyle w:val="FootnoteReference"/>
        </w:rPr>
        <w:footnoteRef/>
      </w:r>
      <w:r w:rsidR="00DA7998">
        <w:tab/>
      </w:r>
      <w:r w:rsidR="004B46BA" w:rsidRPr="00CA46DC">
        <w:rPr>
          <w:i/>
          <w:iCs/>
          <w:lang w:val="en-ZW"/>
        </w:rPr>
        <w:t>Id</w:t>
      </w:r>
      <w:r w:rsidR="004B46BA">
        <w:rPr>
          <w:lang w:val="en-ZW"/>
        </w:rPr>
        <w:t>.</w:t>
      </w:r>
      <w:r>
        <w:rPr>
          <w:lang w:val="en-ZW"/>
        </w:rPr>
        <w:t xml:space="preserve"> at</w:t>
      </w:r>
      <w:r w:rsidR="00DA7998">
        <w:rPr>
          <w:lang w:val="en-ZW"/>
        </w:rPr>
        <w:t> </w:t>
      </w:r>
      <w:r>
        <w:rPr>
          <w:lang w:val="en-ZW"/>
        </w:rPr>
        <w:t>54.</w:t>
      </w:r>
    </w:p>
  </w:footnote>
  <w:footnote w:id="37">
    <w:p w14:paraId="4885FAFC" w14:textId="1EAAA123" w:rsidR="00132248" w:rsidRPr="0090013A" w:rsidRDefault="00132248" w:rsidP="008D7713">
      <w:pPr>
        <w:pStyle w:val="FootnoteText"/>
        <w:ind w:left="288" w:hanging="288"/>
        <w:rPr>
          <w:lang w:val="en-ZW"/>
        </w:rPr>
      </w:pPr>
      <w:r>
        <w:rPr>
          <w:rStyle w:val="FootnoteReference"/>
        </w:rPr>
        <w:footnoteRef/>
      </w:r>
      <w:r w:rsidR="00DA7998">
        <w:tab/>
      </w:r>
      <w:r w:rsidR="004B46BA" w:rsidRPr="00CA46DC">
        <w:rPr>
          <w:i/>
          <w:iCs/>
          <w:lang w:val="en-ZW"/>
        </w:rPr>
        <w:t>Id</w:t>
      </w:r>
      <w:r w:rsidR="004B46BA">
        <w:rPr>
          <w:lang w:val="en-ZW"/>
        </w:rPr>
        <w:t>.</w:t>
      </w:r>
      <w:r>
        <w:rPr>
          <w:lang w:val="en-ZW"/>
        </w:rPr>
        <w:t xml:space="preserve"> at</w:t>
      </w:r>
      <w:r w:rsidR="00DA7998">
        <w:rPr>
          <w:lang w:val="en-ZW"/>
        </w:rPr>
        <w:t> </w:t>
      </w:r>
      <w:r>
        <w:rPr>
          <w:lang w:val="en-ZW"/>
        </w:rPr>
        <w:t>43.</w:t>
      </w:r>
    </w:p>
  </w:footnote>
  <w:footnote w:id="38">
    <w:p w14:paraId="06212F6A" w14:textId="10058E75" w:rsidR="00ED00C4" w:rsidRPr="00CA46DC" w:rsidRDefault="00ED00C4" w:rsidP="008D7713">
      <w:pPr>
        <w:pStyle w:val="FootnoteText"/>
        <w:ind w:left="288" w:hanging="288"/>
        <w:rPr>
          <w:lang w:val="en-ZW"/>
        </w:rPr>
      </w:pPr>
      <w:r>
        <w:rPr>
          <w:rStyle w:val="FootnoteReference"/>
        </w:rPr>
        <w:footnoteRef/>
      </w:r>
      <w:r>
        <w:t xml:space="preserve"> </w:t>
      </w:r>
      <w:r>
        <w:tab/>
      </w:r>
      <w:r w:rsidR="004B46BA" w:rsidRPr="00CA46DC">
        <w:rPr>
          <w:i/>
          <w:iCs/>
          <w:lang w:val="en-ZW"/>
        </w:rPr>
        <w:t>Id</w:t>
      </w:r>
      <w:r w:rsidR="004B46BA">
        <w:rPr>
          <w:lang w:val="en-ZW"/>
        </w:rPr>
        <w:t>.</w:t>
      </w:r>
      <w:r>
        <w:rPr>
          <w:lang w:val="en-ZW"/>
        </w:rPr>
        <w:t xml:space="preserve"> at 50.</w:t>
      </w:r>
    </w:p>
  </w:footnote>
  <w:footnote w:id="39">
    <w:p w14:paraId="74153C3E" w14:textId="1695D1F9" w:rsidR="00ED00C4" w:rsidRPr="00CA46DC" w:rsidRDefault="00ED00C4" w:rsidP="008D7713">
      <w:pPr>
        <w:pStyle w:val="FootnoteText"/>
        <w:ind w:left="288" w:hanging="288"/>
        <w:rPr>
          <w:lang w:val="en-ZW"/>
        </w:rPr>
      </w:pPr>
      <w:r>
        <w:rPr>
          <w:rStyle w:val="FootnoteReference"/>
        </w:rPr>
        <w:footnoteRef/>
      </w:r>
      <w:r>
        <w:t xml:space="preserve"> </w:t>
      </w:r>
      <w:r>
        <w:tab/>
      </w:r>
      <w:r w:rsidR="004B46BA" w:rsidRPr="00CA46DC">
        <w:rPr>
          <w:i/>
          <w:iCs/>
          <w:lang w:val="en-ZW"/>
        </w:rPr>
        <w:t>Id</w:t>
      </w:r>
      <w:r w:rsidR="004B46BA">
        <w:rPr>
          <w:lang w:val="en-ZW"/>
        </w:rPr>
        <w:t>.</w:t>
      </w:r>
      <w:r>
        <w:rPr>
          <w:lang w:val="en-ZW"/>
        </w:rPr>
        <w:t xml:space="preserve"> at 47.</w:t>
      </w:r>
    </w:p>
  </w:footnote>
  <w:footnote w:id="40">
    <w:p w14:paraId="56FA627F" w14:textId="4A84EC7E" w:rsidR="00132248" w:rsidRPr="00C92E45" w:rsidRDefault="00132248" w:rsidP="008D7713">
      <w:pPr>
        <w:pStyle w:val="FootnoteText"/>
        <w:ind w:left="288" w:hanging="288"/>
        <w:rPr>
          <w:lang w:val="en-ZW"/>
        </w:rPr>
      </w:pPr>
      <w:r>
        <w:rPr>
          <w:rStyle w:val="FootnoteReference"/>
        </w:rPr>
        <w:footnoteRef/>
      </w:r>
      <w:r w:rsidR="00D05F00">
        <w:tab/>
      </w:r>
      <w:r w:rsidR="004B46BA" w:rsidRPr="00CA46DC">
        <w:rPr>
          <w:i/>
          <w:iCs/>
          <w:lang w:val="en-ZW"/>
        </w:rPr>
        <w:t>Id</w:t>
      </w:r>
      <w:r w:rsidR="004B46BA">
        <w:rPr>
          <w:lang w:val="en-ZW"/>
        </w:rPr>
        <w:t>.</w:t>
      </w:r>
      <w:r>
        <w:rPr>
          <w:lang w:val="en-ZW"/>
        </w:rPr>
        <w:t xml:space="preserve"> at</w:t>
      </w:r>
      <w:r w:rsidR="00D05F00">
        <w:rPr>
          <w:lang w:val="en-ZW"/>
        </w:rPr>
        <w:t> </w:t>
      </w:r>
      <w:r>
        <w:rPr>
          <w:lang w:val="en-ZW"/>
        </w:rPr>
        <w:t>48.</w:t>
      </w:r>
    </w:p>
  </w:footnote>
  <w:footnote w:id="41">
    <w:p w14:paraId="5EA190E1" w14:textId="43194A5D" w:rsidR="00132248" w:rsidRPr="00B708F9" w:rsidRDefault="00132248" w:rsidP="008D7713">
      <w:pPr>
        <w:pStyle w:val="FootnoteText"/>
        <w:ind w:left="288" w:hanging="288"/>
        <w:rPr>
          <w:lang w:val="en-ZW"/>
        </w:rPr>
      </w:pPr>
      <w:r>
        <w:rPr>
          <w:rStyle w:val="FootnoteReference"/>
        </w:rPr>
        <w:footnoteRef/>
      </w:r>
      <w:r w:rsidR="00D05F00">
        <w:tab/>
      </w:r>
      <w:r>
        <w:rPr>
          <w:lang w:val="en-ZW"/>
        </w:rPr>
        <w:t>Cal</w:t>
      </w:r>
      <w:r w:rsidR="00D05F00">
        <w:rPr>
          <w:lang w:val="en-ZW"/>
        </w:rPr>
        <w:t> </w:t>
      </w:r>
      <w:r>
        <w:rPr>
          <w:lang w:val="en-ZW"/>
        </w:rPr>
        <w:t>Advocates Opening</w:t>
      </w:r>
      <w:r w:rsidR="00D05F00">
        <w:rPr>
          <w:lang w:val="en-ZW"/>
        </w:rPr>
        <w:t> </w:t>
      </w:r>
      <w:r>
        <w:rPr>
          <w:lang w:val="en-ZW"/>
        </w:rPr>
        <w:t>Comments at</w:t>
      </w:r>
      <w:r w:rsidR="00D05F00">
        <w:rPr>
          <w:lang w:val="en-ZW"/>
        </w:rPr>
        <w:t> </w:t>
      </w:r>
      <w:r>
        <w:rPr>
          <w:lang w:val="en-ZW"/>
        </w:rPr>
        <w:t>5.</w:t>
      </w:r>
    </w:p>
  </w:footnote>
  <w:footnote w:id="42">
    <w:p w14:paraId="773FF368" w14:textId="2B9EEE54" w:rsidR="00132248" w:rsidRPr="00472767" w:rsidRDefault="00132248" w:rsidP="008D7713">
      <w:pPr>
        <w:pStyle w:val="FootnoteText"/>
        <w:ind w:left="288" w:hanging="288"/>
        <w:rPr>
          <w:lang w:val="en-ZW"/>
        </w:rPr>
      </w:pPr>
      <w:r>
        <w:rPr>
          <w:rStyle w:val="FootnoteReference"/>
        </w:rPr>
        <w:footnoteRef/>
      </w:r>
      <w:r w:rsidR="00D05F00">
        <w:tab/>
      </w:r>
      <w:r>
        <w:rPr>
          <w:lang w:val="en-ZW"/>
        </w:rPr>
        <w:t>WG</w:t>
      </w:r>
      <w:r w:rsidR="00D05F00">
        <w:rPr>
          <w:lang w:val="en-ZW"/>
        </w:rPr>
        <w:t> </w:t>
      </w:r>
      <w:r>
        <w:rPr>
          <w:lang w:val="en-ZW"/>
        </w:rPr>
        <w:t>Report at</w:t>
      </w:r>
      <w:r w:rsidR="00D05F00">
        <w:rPr>
          <w:lang w:val="en-ZW"/>
        </w:rPr>
        <w:t> </w:t>
      </w:r>
      <w:r>
        <w:rPr>
          <w:lang w:val="en-ZW"/>
        </w:rPr>
        <w:t>39.</w:t>
      </w:r>
    </w:p>
  </w:footnote>
  <w:footnote w:id="43">
    <w:p w14:paraId="6B69DDA8" w14:textId="2457EA9A" w:rsidR="00132248" w:rsidRPr="003C5E67" w:rsidRDefault="00132248" w:rsidP="008D7713">
      <w:pPr>
        <w:pStyle w:val="FootnoteText"/>
        <w:ind w:left="288" w:hanging="288"/>
        <w:rPr>
          <w:lang w:val="en-ZW"/>
        </w:rPr>
      </w:pPr>
      <w:r>
        <w:rPr>
          <w:rStyle w:val="FootnoteReference"/>
        </w:rPr>
        <w:footnoteRef/>
      </w:r>
      <w:r w:rsidR="00D05F00">
        <w:tab/>
      </w:r>
      <w:r w:rsidR="004B46BA" w:rsidRPr="00CA46DC">
        <w:rPr>
          <w:i/>
          <w:iCs/>
          <w:lang w:val="en-ZW"/>
        </w:rPr>
        <w:t>Id</w:t>
      </w:r>
      <w:r w:rsidR="004B46BA">
        <w:rPr>
          <w:lang w:val="en-ZW"/>
        </w:rPr>
        <w:t>.</w:t>
      </w:r>
      <w:r>
        <w:rPr>
          <w:lang w:val="en-ZW"/>
        </w:rPr>
        <w:t xml:space="preserve"> at</w:t>
      </w:r>
      <w:r w:rsidR="00D05F00">
        <w:rPr>
          <w:lang w:val="en-ZW"/>
        </w:rPr>
        <w:t> </w:t>
      </w:r>
      <w:r>
        <w:rPr>
          <w:lang w:val="en-ZW"/>
        </w:rPr>
        <w:t>38.</w:t>
      </w:r>
    </w:p>
  </w:footnote>
  <w:footnote w:id="44">
    <w:p w14:paraId="301D1DA9" w14:textId="4F912D55" w:rsidR="00132248" w:rsidRPr="00E10619" w:rsidRDefault="00132248" w:rsidP="008D7713">
      <w:pPr>
        <w:pStyle w:val="FootnoteText"/>
        <w:ind w:left="288" w:hanging="288"/>
        <w:rPr>
          <w:lang w:val="en-ZW"/>
        </w:rPr>
      </w:pPr>
      <w:r>
        <w:rPr>
          <w:rStyle w:val="FootnoteReference"/>
        </w:rPr>
        <w:footnoteRef/>
      </w:r>
      <w:r w:rsidR="00D05F00">
        <w:tab/>
      </w:r>
      <w:r w:rsidR="004B46BA" w:rsidRPr="00CA46DC">
        <w:rPr>
          <w:i/>
          <w:iCs/>
          <w:lang w:val="en-ZW"/>
        </w:rPr>
        <w:t>Id</w:t>
      </w:r>
      <w:r w:rsidR="004B46BA">
        <w:rPr>
          <w:lang w:val="en-ZW"/>
        </w:rPr>
        <w:t>.</w:t>
      </w:r>
      <w:r>
        <w:rPr>
          <w:lang w:val="en-ZW"/>
        </w:rPr>
        <w:t xml:space="preserve"> at</w:t>
      </w:r>
      <w:r w:rsidR="00D05F00">
        <w:rPr>
          <w:lang w:val="en-ZW"/>
        </w:rPr>
        <w:t> </w:t>
      </w:r>
      <w:r>
        <w:rPr>
          <w:lang w:val="en-ZW"/>
        </w:rPr>
        <w:t>29.</w:t>
      </w:r>
    </w:p>
  </w:footnote>
  <w:footnote w:id="45">
    <w:p w14:paraId="7F269798" w14:textId="1A2A7897" w:rsidR="00ED00C4" w:rsidRPr="001D7D14" w:rsidRDefault="00ED00C4" w:rsidP="008D7713">
      <w:pPr>
        <w:pStyle w:val="FootnoteText"/>
        <w:ind w:left="288" w:hanging="288"/>
        <w:rPr>
          <w:lang w:val="en-ZW"/>
        </w:rPr>
      </w:pPr>
      <w:r>
        <w:rPr>
          <w:rStyle w:val="FootnoteReference"/>
        </w:rPr>
        <w:footnoteRef/>
      </w:r>
      <w:r>
        <w:t xml:space="preserve"> </w:t>
      </w:r>
      <w:r>
        <w:tab/>
      </w:r>
      <w:r w:rsidR="004B46BA" w:rsidRPr="00CA46DC">
        <w:rPr>
          <w:i/>
          <w:iCs/>
          <w:lang w:val="en-ZW"/>
        </w:rPr>
        <w:t>Id</w:t>
      </w:r>
      <w:r w:rsidR="004B46BA">
        <w:rPr>
          <w:lang w:val="en-ZW"/>
        </w:rPr>
        <w:t>.</w:t>
      </w:r>
      <w:r>
        <w:rPr>
          <w:lang w:val="en-ZW"/>
        </w:rPr>
        <w:t xml:space="preserve"> at 31.</w:t>
      </w:r>
    </w:p>
  </w:footnote>
  <w:footnote w:id="46">
    <w:p w14:paraId="6807B3E9" w14:textId="7D40113B" w:rsidR="00132248" w:rsidRPr="005372AE" w:rsidRDefault="00132248" w:rsidP="008D7713">
      <w:pPr>
        <w:pStyle w:val="FootnoteText"/>
        <w:ind w:left="288" w:hanging="288"/>
        <w:rPr>
          <w:lang w:val="en-ZW"/>
        </w:rPr>
      </w:pPr>
      <w:r>
        <w:rPr>
          <w:rStyle w:val="FootnoteReference"/>
        </w:rPr>
        <w:footnoteRef/>
      </w:r>
      <w:r w:rsidR="00D05F00">
        <w:tab/>
      </w:r>
      <w:r w:rsidR="004B46BA" w:rsidRPr="00CA46DC">
        <w:rPr>
          <w:i/>
          <w:iCs/>
          <w:lang w:val="en-ZW"/>
        </w:rPr>
        <w:t>Id</w:t>
      </w:r>
      <w:r w:rsidR="004B46BA">
        <w:rPr>
          <w:lang w:val="en-ZW"/>
        </w:rPr>
        <w:t>.</w:t>
      </w:r>
      <w:r>
        <w:rPr>
          <w:lang w:val="en-ZW"/>
        </w:rPr>
        <w:t xml:space="preserve"> at</w:t>
      </w:r>
      <w:r w:rsidR="00D05F00">
        <w:rPr>
          <w:lang w:val="en-ZW"/>
        </w:rPr>
        <w:t> </w:t>
      </w:r>
      <w:r>
        <w:rPr>
          <w:lang w:val="en-ZW"/>
        </w:rPr>
        <w:t>37.</w:t>
      </w:r>
    </w:p>
  </w:footnote>
  <w:footnote w:id="47">
    <w:p w14:paraId="0A8DD17B" w14:textId="622A6E4E" w:rsidR="00132248" w:rsidRPr="00C91A29" w:rsidRDefault="00132248" w:rsidP="008D7713">
      <w:pPr>
        <w:pStyle w:val="FootnoteText"/>
        <w:ind w:left="288" w:hanging="288"/>
        <w:rPr>
          <w:lang w:val="en-ZW"/>
        </w:rPr>
      </w:pPr>
      <w:r>
        <w:rPr>
          <w:rStyle w:val="FootnoteReference"/>
        </w:rPr>
        <w:footnoteRef/>
      </w:r>
      <w:r w:rsidR="00D05F00">
        <w:tab/>
      </w:r>
      <w:proofErr w:type="spellStart"/>
      <w:r>
        <w:rPr>
          <w:lang w:val="en-ZW"/>
        </w:rPr>
        <w:t>CalWEA</w:t>
      </w:r>
      <w:proofErr w:type="spellEnd"/>
      <w:r>
        <w:rPr>
          <w:lang w:val="en-ZW"/>
        </w:rPr>
        <w:t xml:space="preserve"> Opening Comments at</w:t>
      </w:r>
      <w:r w:rsidR="00D05F00">
        <w:rPr>
          <w:lang w:val="en-ZW"/>
        </w:rPr>
        <w:t> </w:t>
      </w:r>
      <w:r>
        <w:rPr>
          <w:lang w:val="en-ZW"/>
        </w:rPr>
        <w:t>2.</w:t>
      </w:r>
    </w:p>
  </w:footnote>
  <w:footnote w:id="48">
    <w:p w14:paraId="4E6505AD" w14:textId="7B451318" w:rsidR="00132248" w:rsidRPr="004D7AB7" w:rsidRDefault="00132248" w:rsidP="008D7713">
      <w:pPr>
        <w:pStyle w:val="FootnoteText"/>
        <w:ind w:left="288" w:hanging="288"/>
        <w:rPr>
          <w:lang w:val="en-ZW"/>
        </w:rPr>
      </w:pPr>
      <w:r>
        <w:rPr>
          <w:rStyle w:val="FootnoteReference"/>
        </w:rPr>
        <w:footnoteRef/>
      </w:r>
      <w:r w:rsidR="00D05F00">
        <w:tab/>
      </w:r>
      <w:r>
        <w:rPr>
          <w:lang w:val="en-ZW"/>
        </w:rPr>
        <w:t>WG Report at</w:t>
      </w:r>
      <w:r w:rsidR="00D05F00">
        <w:rPr>
          <w:lang w:val="en-ZW"/>
        </w:rPr>
        <w:t> </w:t>
      </w:r>
      <w:r>
        <w:rPr>
          <w:lang w:val="en-ZW"/>
        </w:rPr>
        <w:t>38, AES Opening</w:t>
      </w:r>
      <w:r w:rsidR="00D05F00">
        <w:rPr>
          <w:lang w:val="en-ZW"/>
        </w:rPr>
        <w:t> </w:t>
      </w:r>
      <w:r>
        <w:rPr>
          <w:lang w:val="en-ZW"/>
        </w:rPr>
        <w:t>Comments at</w:t>
      </w:r>
      <w:r w:rsidR="00D05F00">
        <w:rPr>
          <w:lang w:val="en-ZW"/>
        </w:rPr>
        <w:t> </w:t>
      </w:r>
      <w:r>
        <w:rPr>
          <w:lang w:val="en-ZW"/>
        </w:rPr>
        <w:t>2.</w:t>
      </w:r>
    </w:p>
  </w:footnote>
  <w:footnote w:id="49">
    <w:p w14:paraId="14979C7C" w14:textId="30240483" w:rsidR="00132248" w:rsidRPr="00150A21" w:rsidRDefault="00132248" w:rsidP="008D7713">
      <w:pPr>
        <w:pStyle w:val="FootnoteText"/>
        <w:ind w:left="288" w:hanging="288"/>
        <w:rPr>
          <w:lang w:val="en-ZW"/>
        </w:rPr>
      </w:pPr>
      <w:r>
        <w:rPr>
          <w:rStyle w:val="FootnoteReference"/>
        </w:rPr>
        <w:footnoteRef/>
      </w:r>
      <w:r w:rsidR="00D05F00">
        <w:tab/>
      </w:r>
      <w:r>
        <w:rPr>
          <w:lang w:val="en-ZW"/>
        </w:rPr>
        <w:t>IEP Opening</w:t>
      </w:r>
      <w:r w:rsidR="00D05F00">
        <w:rPr>
          <w:lang w:val="en-ZW"/>
        </w:rPr>
        <w:t> </w:t>
      </w:r>
      <w:r>
        <w:rPr>
          <w:lang w:val="en-ZW"/>
        </w:rPr>
        <w:t>Comments at</w:t>
      </w:r>
      <w:r w:rsidR="00D05F00">
        <w:rPr>
          <w:lang w:val="en-ZW"/>
        </w:rPr>
        <w:t> </w:t>
      </w:r>
      <w:r>
        <w:rPr>
          <w:lang w:val="en-ZW"/>
        </w:rPr>
        <w:t>8.</w:t>
      </w:r>
    </w:p>
  </w:footnote>
  <w:footnote w:id="50">
    <w:p w14:paraId="175B0456" w14:textId="2725039C" w:rsidR="00132248" w:rsidRPr="001817FD" w:rsidRDefault="00132248" w:rsidP="008D7713">
      <w:pPr>
        <w:pStyle w:val="FootnoteText"/>
        <w:ind w:left="288" w:hanging="288"/>
        <w:rPr>
          <w:lang w:val="en-ZW"/>
        </w:rPr>
      </w:pPr>
      <w:r>
        <w:rPr>
          <w:rStyle w:val="FootnoteReference"/>
        </w:rPr>
        <w:footnoteRef/>
      </w:r>
      <w:r w:rsidR="00D05F00">
        <w:tab/>
      </w:r>
      <w:r>
        <w:rPr>
          <w:lang w:val="en-ZW"/>
        </w:rPr>
        <w:t>PG&amp;E Reply</w:t>
      </w:r>
      <w:r w:rsidR="00D05F00">
        <w:rPr>
          <w:lang w:val="en-ZW"/>
        </w:rPr>
        <w:t> </w:t>
      </w:r>
      <w:r>
        <w:rPr>
          <w:lang w:val="en-ZW"/>
        </w:rPr>
        <w:t>Comments at</w:t>
      </w:r>
      <w:r w:rsidR="00D05F00">
        <w:rPr>
          <w:lang w:val="en-ZW"/>
        </w:rPr>
        <w:t> </w:t>
      </w:r>
      <w:r>
        <w:rPr>
          <w:lang w:val="en-ZW"/>
        </w:rPr>
        <w:t>2.</w:t>
      </w:r>
    </w:p>
  </w:footnote>
  <w:footnote w:id="51">
    <w:p w14:paraId="19C20F11" w14:textId="06B57D1C" w:rsidR="00132248" w:rsidRPr="0022069E" w:rsidRDefault="00132248" w:rsidP="008D7713">
      <w:pPr>
        <w:pStyle w:val="FootnoteText"/>
        <w:ind w:left="288" w:hanging="288"/>
        <w:rPr>
          <w:lang w:val="en-ZW"/>
        </w:rPr>
      </w:pPr>
      <w:r>
        <w:rPr>
          <w:rStyle w:val="FootnoteReference"/>
        </w:rPr>
        <w:footnoteRef/>
      </w:r>
      <w:r w:rsidR="00D05F00">
        <w:tab/>
      </w:r>
      <w:proofErr w:type="spellStart"/>
      <w:r>
        <w:rPr>
          <w:lang w:val="en-ZW"/>
        </w:rPr>
        <w:t>CalWEA</w:t>
      </w:r>
      <w:proofErr w:type="spellEnd"/>
      <w:r>
        <w:rPr>
          <w:lang w:val="en-ZW"/>
        </w:rPr>
        <w:t xml:space="preserve"> Opening</w:t>
      </w:r>
      <w:r w:rsidR="00D05F00">
        <w:rPr>
          <w:lang w:val="en-ZW"/>
        </w:rPr>
        <w:t> </w:t>
      </w:r>
      <w:r>
        <w:rPr>
          <w:lang w:val="en-ZW"/>
        </w:rPr>
        <w:t>Comments at</w:t>
      </w:r>
      <w:r w:rsidR="00D05F00">
        <w:rPr>
          <w:lang w:val="en-ZW"/>
        </w:rPr>
        <w:t> </w:t>
      </w:r>
      <w:r>
        <w:rPr>
          <w:lang w:val="en-ZW"/>
        </w:rPr>
        <w:t>3, CESA Opening Comments at</w:t>
      </w:r>
      <w:r w:rsidR="00D05F00">
        <w:rPr>
          <w:lang w:val="en-ZW"/>
        </w:rPr>
        <w:t> </w:t>
      </w:r>
      <w:r>
        <w:rPr>
          <w:lang w:val="en-ZW"/>
        </w:rPr>
        <w:t>6.</w:t>
      </w:r>
    </w:p>
  </w:footnote>
  <w:footnote w:id="52">
    <w:p w14:paraId="44C8BF04" w14:textId="47F6BD44" w:rsidR="00132248" w:rsidRPr="00973D7A" w:rsidRDefault="00132248" w:rsidP="008D7713">
      <w:pPr>
        <w:pStyle w:val="FootnoteText"/>
        <w:ind w:left="288" w:hanging="288"/>
        <w:rPr>
          <w:lang w:val="en-ZW"/>
        </w:rPr>
      </w:pPr>
      <w:r>
        <w:rPr>
          <w:rStyle w:val="FootnoteReference"/>
        </w:rPr>
        <w:footnoteRef/>
      </w:r>
      <w:r w:rsidR="00E92BAA">
        <w:tab/>
      </w:r>
      <w:r>
        <w:rPr>
          <w:lang w:val="en-ZW"/>
        </w:rPr>
        <w:t>WG Report at</w:t>
      </w:r>
      <w:r w:rsidR="00E92BAA">
        <w:rPr>
          <w:lang w:val="en-ZW"/>
        </w:rPr>
        <w:t> </w:t>
      </w:r>
      <w:r>
        <w:rPr>
          <w:lang w:val="en-ZW"/>
        </w:rPr>
        <w:t>51, CAISO Opening Comments at</w:t>
      </w:r>
      <w:r w:rsidR="00E92BAA">
        <w:rPr>
          <w:lang w:val="en-ZW"/>
        </w:rPr>
        <w:t> </w:t>
      </w:r>
      <w:r>
        <w:rPr>
          <w:lang w:val="en-ZW"/>
        </w:rPr>
        <w:t xml:space="preserve">8. </w:t>
      </w:r>
    </w:p>
  </w:footnote>
  <w:footnote w:id="53">
    <w:p w14:paraId="6454CD00" w14:textId="15F41B92" w:rsidR="00132248" w:rsidRPr="00C036D8" w:rsidRDefault="00132248" w:rsidP="008D7713">
      <w:pPr>
        <w:pStyle w:val="FootnoteText"/>
        <w:ind w:left="288" w:hanging="288"/>
        <w:rPr>
          <w:lang w:val="en-ZW"/>
        </w:rPr>
      </w:pPr>
      <w:r>
        <w:rPr>
          <w:rStyle w:val="FootnoteReference"/>
        </w:rPr>
        <w:footnoteRef/>
      </w:r>
      <w:r w:rsidR="00E92BAA">
        <w:tab/>
      </w:r>
      <w:proofErr w:type="spellStart"/>
      <w:r>
        <w:rPr>
          <w:lang w:val="en-ZW"/>
        </w:rPr>
        <w:t>CalWEA</w:t>
      </w:r>
      <w:proofErr w:type="spellEnd"/>
      <w:r>
        <w:rPr>
          <w:lang w:val="en-ZW"/>
        </w:rPr>
        <w:t xml:space="preserve"> Opening</w:t>
      </w:r>
      <w:r w:rsidR="00E92BAA">
        <w:rPr>
          <w:lang w:val="en-ZW"/>
        </w:rPr>
        <w:t> </w:t>
      </w:r>
      <w:r>
        <w:rPr>
          <w:lang w:val="en-ZW"/>
        </w:rPr>
        <w:t>Comments at</w:t>
      </w:r>
      <w:r w:rsidR="00E92BAA">
        <w:rPr>
          <w:lang w:val="en-ZW"/>
        </w:rPr>
        <w:t> </w:t>
      </w:r>
      <w:r>
        <w:rPr>
          <w:lang w:val="en-ZW"/>
        </w:rPr>
        <w:t>2, CESA Opening</w:t>
      </w:r>
      <w:r w:rsidR="00E92BAA">
        <w:rPr>
          <w:lang w:val="en-ZW"/>
        </w:rPr>
        <w:t> </w:t>
      </w:r>
      <w:r>
        <w:rPr>
          <w:lang w:val="en-ZW"/>
        </w:rPr>
        <w:t>Comments at</w:t>
      </w:r>
      <w:r w:rsidR="00E92BAA">
        <w:rPr>
          <w:lang w:val="en-ZW"/>
        </w:rPr>
        <w:t> </w:t>
      </w:r>
      <w:r>
        <w:rPr>
          <w:lang w:val="en-ZW"/>
        </w:rPr>
        <w:t>6, CLECA Opening</w:t>
      </w:r>
      <w:r w:rsidR="00E92BAA">
        <w:rPr>
          <w:lang w:val="en-ZW"/>
        </w:rPr>
        <w:t> </w:t>
      </w:r>
      <w:r>
        <w:rPr>
          <w:lang w:val="en-ZW"/>
        </w:rPr>
        <w:t>Comments at</w:t>
      </w:r>
      <w:r w:rsidR="00E92BAA">
        <w:rPr>
          <w:lang w:val="en-ZW"/>
        </w:rPr>
        <w:t> </w:t>
      </w:r>
      <w:r>
        <w:rPr>
          <w:lang w:val="en-ZW"/>
        </w:rPr>
        <w:t>5, SEIA Opening</w:t>
      </w:r>
      <w:r w:rsidR="00E92BAA">
        <w:rPr>
          <w:lang w:val="en-ZW"/>
        </w:rPr>
        <w:t> </w:t>
      </w:r>
      <w:r>
        <w:rPr>
          <w:lang w:val="en-ZW"/>
        </w:rPr>
        <w:t>Comments at</w:t>
      </w:r>
      <w:r w:rsidR="00E92BAA">
        <w:rPr>
          <w:lang w:val="en-ZW"/>
        </w:rPr>
        <w:t> </w:t>
      </w:r>
      <w:r>
        <w:rPr>
          <w:lang w:val="en-ZW"/>
        </w:rPr>
        <w:t>5.</w:t>
      </w:r>
    </w:p>
  </w:footnote>
  <w:footnote w:id="54">
    <w:p w14:paraId="24495CF5" w14:textId="54C233B0" w:rsidR="00132248" w:rsidRPr="00961517" w:rsidRDefault="00132248" w:rsidP="008D7713">
      <w:pPr>
        <w:pStyle w:val="FootnoteText"/>
        <w:ind w:left="288" w:hanging="288"/>
        <w:rPr>
          <w:lang w:val="en-ZW"/>
        </w:rPr>
      </w:pPr>
      <w:r>
        <w:rPr>
          <w:rStyle w:val="FootnoteReference"/>
        </w:rPr>
        <w:footnoteRef/>
      </w:r>
      <w:r w:rsidR="00E92BAA">
        <w:tab/>
      </w:r>
      <w:r>
        <w:rPr>
          <w:lang w:val="en-ZW"/>
        </w:rPr>
        <w:t>Cal</w:t>
      </w:r>
      <w:r w:rsidR="00E92BAA">
        <w:rPr>
          <w:lang w:val="en-ZW"/>
        </w:rPr>
        <w:t> </w:t>
      </w:r>
      <w:r>
        <w:rPr>
          <w:lang w:val="en-ZW"/>
        </w:rPr>
        <w:t>Advocates Opening</w:t>
      </w:r>
      <w:r w:rsidR="00E92BAA">
        <w:rPr>
          <w:lang w:val="en-ZW"/>
        </w:rPr>
        <w:t> </w:t>
      </w:r>
      <w:r>
        <w:rPr>
          <w:lang w:val="en-ZW"/>
        </w:rPr>
        <w:t>Comments at</w:t>
      </w:r>
      <w:r w:rsidR="00E92BAA">
        <w:rPr>
          <w:lang w:val="en-ZW"/>
        </w:rPr>
        <w:t> </w:t>
      </w:r>
      <w:r>
        <w:rPr>
          <w:lang w:val="en-ZW"/>
        </w:rPr>
        <w:t>5, CAISO Opening</w:t>
      </w:r>
      <w:r w:rsidR="00E92BAA">
        <w:rPr>
          <w:lang w:val="en-ZW"/>
        </w:rPr>
        <w:t> </w:t>
      </w:r>
      <w:r>
        <w:rPr>
          <w:lang w:val="en-ZW"/>
        </w:rPr>
        <w:t>Comments at</w:t>
      </w:r>
      <w:r w:rsidR="00E92BAA">
        <w:rPr>
          <w:lang w:val="en-ZW"/>
        </w:rPr>
        <w:t> </w:t>
      </w:r>
      <w:r>
        <w:rPr>
          <w:lang w:val="en-ZW"/>
        </w:rPr>
        <w:t>5, DMM Opening</w:t>
      </w:r>
      <w:r w:rsidR="00E92BAA">
        <w:rPr>
          <w:lang w:val="en-ZW"/>
        </w:rPr>
        <w:t> </w:t>
      </w:r>
      <w:r>
        <w:rPr>
          <w:lang w:val="en-ZW"/>
        </w:rPr>
        <w:t>Comments at</w:t>
      </w:r>
      <w:r w:rsidR="00E92BAA">
        <w:rPr>
          <w:lang w:val="en-ZW"/>
        </w:rPr>
        <w:t> </w:t>
      </w:r>
      <w:r>
        <w:rPr>
          <w:lang w:val="en-ZW"/>
        </w:rPr>
        <w:t>2, PG&amp;E Opening</w:t>
      </w:r>
      <w:r w:rsidR="00E92BAA">
        <w:rPr>
          <w:lang w:val="en-ZW"/>
        </w:rPr>
        <w:t> </w:t>
      </w:r>
      <w:r>
        <w:rPr>
          <w:lang w:val="en-ZW"/>
        </w:rPr>
        <w:t>Comments at</w:t>
      </w:r>
      <w:r w:rsidR="00E92BAA">
        <w:rPr>
          <w:lang w:val="en-ZW"/>
        </w:rPr>
        <w:t> </w:t>
      </w:r>
      <w:r>
        <w:rPr>
          <w:lang w:val="en-ZW"/>
        </w:rPr>
        <w:t>4.</w:t>
      </w:r>
    </w:p>
  </w:footnote>
  <w:footnote w:id="55">
    <w:p w14:paraId="2D7FE252" w14:textId="4F48776B" w:rsidR="00132248" w:rsidRPr="00193217" w:rsidRDefault="00132248" w:rsidP="008D7713">
      <w:pPr>
        <w:pStyle w:val="FootnoteText"/>
        <w:ind w:left="288" w:hanging="288"/>
        <w:rPr>
          <w:lang w:val="en-ZW"/>
        </w:rPr>
      </w:pPr>
      <w:r>
        <w:rPr>
          <w:rStyle w:val="FootnoteReference"/>
        </w:rPr>
        <w:footnoteRef/>
      </w:r>
      <w:r w:rsidR="00E92BAA">
        <w:tab/>
      </w:r>
      <w:proofErr w:type="spellStart"/>
      <w:r>
        <w:rPr>
          <w:lang w:val="en-ZW"/>
        </w:rPr>
        <w:t>CalWEA</w:t>
      </w:r>
      <w:proofErr w:type="spellEnd"/>
      <w:r>
        <w:rPr>
          <w:lang w:val="en-ZW"/>
        </w:rPr>
        <w:t xml:space="preserve"> Opening</w:t>
      </w:r>
      <w:r w:rsidR="00E92BAA">
        <w:rPr>
          <w:lang w:val="en-ZW"/>
        </w:rPr>
        <w:t> </w:t>
      </w:r>
      <w:r>
        <w:rPr>
          <w:lang w:val="en-ZW"/>
        </w:rPr>
        <w:t>Comments at</w:t>
      </w:r>
      <w:r w:rsidR="00E92BAA">
        <w:rPr>
          <w:lang w:val="en-ZW"/>
        </w:rPr>
        <w:t> </w:t>
      </w:r>
      <w:r>
        <w:rPr>
          <w:lang w:val="en-ZW"/>
        </w:rPr>
        <w:t>6, SEIA Opening</w:t>
      </w:r>
      <w:r w:rsidR="00E92BAA">
        <w:rPr>
          <w:lang w:val="en-ZW"/>
        </w:rPr>
        <w:t> </w:t>
      </w:r>
      <w:r>
        <w:rPr>
          <w:lang w:val="en-ZW"/>
        </w:rPr>
        <w:t>Comments at</w:t>
      </w:r>
      <w:r w:rsidR="00E92BAA">
        <w:rPr>
          <w:lang w:val="en-ZW"/>
        </w:rPr>
        <w:t> </w:t>
      </w:r>
      <w:r>
        <w:rPr>
          <w:lang w:val="en-ZW"/>
        </w:rPr>
        <w:t>6.</w:t>
      </w:r>
    </w:p>
  </w:footnote>
  <w:footnote w:id="56">
    <w:p w14:paraId="1E1A29ED" w14:textId="7DA69612" w:rsidR="00132248" w:rsidRPr="00DA2D0D" w:rsidRDefault="00132248" w:rsidP="008D7713">
      <w:pPr>
        <w:pStyle w:val="FootnoteText"/>
        <w:ind w:left="288" w:hanging="288"/>
        <w:rPr>
          <w:lang w:val="en-ZW"/>
        </w:rPr>
      </w:pPr>
      <w:r>
        <w:rPr>
          <w:rStyle w:val="FootnoteReference"/>
        </w:rPr>
        <w:footnoteRef/>
      </w:r>
      <w:r w:rsidR="00E92BAA">
        <w:tab/>
      </w:r>
      <w:r>
        <w:rPr>
          <w:lang w:val="en-ZW"/>
        </w:rPr>
        <w:t>SEIA Reply</w:t>
      </w:r>
      <w:r w:rsidR="00E92BAA">
        <w:rPr>
          <w:lang w:val="en-ZW"/>
        </w:rPr>
        <w:t> </w:t>
      </w:r>
      <w:r>
        <w:rPr>
          <w:lang w:val="en-ZW"/>
        </w:rPr>
        <w:t>Comments at</w:t>
      </w:r>
      <w:r w:rsidR="00E92BAA">
        <w:rPr>
          <w:lang w:val="en-ZW"/>
        </w:rPr>
        <w:t> </w:t>
      </w:r>
      <w:r>
        <w:rPr>
          <w:lang w:val="en-ZW"/>
        </w:rPr>
        <w:t>2.</w:t>
      </w:r>
    </w:p>
  </w:footnote>
  <w:footnote w:id="57">
    <w:p w14:paraId="6CC71D2C" w14:textId="2448B1EC" w:rsidR="00132248" w:rsidRPr="00C93F5B" w:rsidRDefault="00132248" w:rsidP="008D7713">
      <w:pPr>
        <w:pStyle w:val="FootnoteText"/>
        <w:ind w:left="288" w:hanging="288"/>
        <w:rPr>
          <w:lang w:val="en-ZW"/>
        </w:rPr>
      </w:pPr>
      <w:r>
        <w:rPr>
          <w:rStyle w:val="FootnoteReference"/>
        </w:rPr>
        <w:footnoteRef/>
      </w:r>
      <w:r w:rsidR="00E92BAA">
        <w:tab/>
      </w:r>
      <w:r>
        <w:rPr>
          <w:lang w:val="en-ZW"/>
        </w:rPr>
        <w:t>Calpine Opening</w:t>
      </w:r>
      <w:r w:rsidR="00E92BAA">
        <w:rPr>
          <w:lang w:val="en-ZW"/>
        </w:rPr>
        <w:t> </w:t>
      </w:r>
      <w:r>
        <w:rPr>
          <w:lang w:val="en-ZW"/>
        </w:rPr>
        <w:t>Comments at</w:t>
      </w:r>
      <w:r w:rsidR="00E92BAA">
        <w:rPr>
          <w:lang w:val="en-ZW"/>
        </w:rPr>
        <w:t> </w:t>
      </w:r>
      <w:r>
        <w:rPr>
          <w:lang w:val="en-ZW"/>
        </w:rPr>
        <w:t>2.</w:t>
      </w:r>
    </w:p>
  </w:footnote>
  <w:footnote w:id="58">
    <w:p w14:paraId="2DB7040B" w14:textId="1918F626" w:rsidR="00132248" w:rsidRPr="00590155" w:rsidRDefault="00132248" w:rsidP="008D7713">
      <w:pPr>
        <w:pStyle w:val="FootnoteText"/>
        <w:ind w:left="288" w:hanging="288"/>
        <w:rPr>
          <w:lang w:val="en-ZW"/>
        </w:rPr>
      </w:pPr>
      <w:r>
        <w:rPr>
          <w:rStyle w:val="FootnoteReference"/>
        </w:rPr>
        <w:footnoteRef/>
      </w:r>
      <w:r w:rsidR="00E92BAA">
        <w:tab/>
      </w:r>
      <w:r>
        <w:rPr>
          <w:lang w:val="en-ZW"/>
        </w:rPr>
        <w:t>Cal</w:t>
      </w:r>
      <w:r w:rsidR="00E92BAA">
        <w:rPr>
          <w:lang w:val="en-ZW"/>
        </w:rPr>
        <w:t> </w:t>
      </w:r>
      <w:r>
        <w:rPr>
          <w:lang w:val="en-ZW"/>
        </w:rPr>
        <w:t>Advocates Opening</w:t>
      </w:r>
      <w:r w:rsidR="00E92BAA">
        <w:rPr>
          <w:lang w:val="en-ZW"/>
        </w:rPr>
        <w:t> </w:t>
      </w:r>
      <w:r>
        <w:rPr>
          <w:lang w:val="en-ZW"/>
        </w:rPr>
        <w:t>Comments at</w:t>
      </w:r>
      <w:r w:rsidR="00E92BAA">
        <w:rPr>
          <w:lang w:val="en-ZW"/>
        </w:rPr>
        <w:t> </w:t>
      </w:r>
      <w:r>
        <w:rPr>
          <w:lang w:val="en-ZW"/>
        </w:rPr>
        <w:t xml:space="preserve">7, </w:t>
      </w:r>
      <w:proofErr w:type="spellStart"/>
      <w:r>
        <w:rPr>
          <w:lang w:val="en-ZW"/>
        </w:rPr>
        <w:t>CalWEA</w:t>
      </w:r>
      <w:proofErr w:type="spellEnd"/>
      <w:r>
        <w:rPr>
          <w:lang w:val="en-ZW"/>
        </w:rPr>
        <w:t xml:space="preserve"> Opening</w:t>
      </w:r>
      <w:r w:rsidR="00E92BAA">
        <w:rPr>
          <w:lang w:val="en-ZW"/>
        </w:rPr>
        <w:t> </w:t>
      </w:r>
      <w:r>
        <w:rPr>
          <w:lang w:val="en-ZW"/>
        </w:rPr>
        <w:t>Comments at</w:t>
      </w:r>
      <w:r w:rsidR="00E92BAA">
        <w:rPr>
          <w:lang w:val="en-ZW"/>
        </w:rPr>
        <w:t> </w:t>
      </w:r>
      <w:r>
        <w:rPr>
          <w:lang w:val="en-ZW"/>
        </w:rPr>
        <w:t>6, CLECA Opening</w:t>
      </w:r>
      <w:r w:rsidR="00E92BAA">
        <w:rPr>
          <w:lang w:val="en-ZW"/>
        </w:rPr>
        <w:t> </w:t>
      </w:r>
      <w:r>
        <w:rPr>
          <w:lang w:val="en-ZW"/>
        </w:rPr>
        <w:t>Comments at</w:t>
      </w:r>
      <w:r w:rsidR="00E92BAA">
        <w:rPr>
          <w:lang w:val="en-ZW"/>
        </w:rPr>
        <w:t> </w:t>
      </w:r>
      <w:r>
        <w:rPr>
          <w:lang w:val="en-ZW"/>
        </w:rPr>
        <w:t xml:space="preserve">6, </w:t>
      </w:r>
      <w:r w:rsidR="00ED00C4">
        <w:rPr>
          <w:lang w:val="en-ZW"/>
        </w:rPr>
        <w:t xml:space="preserve">IEP Opening Comments at 6, </w:t>
      </w:r>
      <w:r>
        <w:t>MRP Reply</w:t>
      </w:r>
      <w:r w:rsidR="00E92BAA">
        <w:t> </w:t>
      </w:r>
      <w:r>
        <w:rPr>
          <w:lang w:val="en-ZW"/>
        </w:rPr>
        <w:t>Comments</w:t>
      </w:r>
      <w:r>
        <w:t xml:space="preserve"> at</w:t>
      </w:r>
      <w:r w:rsidR="00E92BAA">
        <w:t> </w:t>
      </w:r>
      <w:r>
        <w:t xml:space="preserve">3, </w:t>
      </w:r>
      <w:r>
        <w:rPr>
          <w:lang w:val="en-ZW"/>
        </w:rPr>
        <w:t>PCE Opening</w:t>
      </w:r>
      <w:r w:rsidR="00E92BAA">
        <w:rPr>
          <w:lang w:val="en-ZW"/>
        </w:rPr>
        <w:t> </w:t>
      </w:r>
      <w:r>
        <w:rPr>
          <w:lang w:val="en-ZW"/>
        </w:rPr>
        <w:t>Comments at</w:t>
      </w:r>
      <w:r w:rsidR="00E92BAA">
        <w:rPr>
          <w:lang w:val="en-ZW"/>
        </w:rPr>
        <w:t> </w:t>
      </w:r>
      <w:r>
        <w:rPr>
          <w:lang w:val="en-ZW"/>
        </w:rPr>
        <w:t>4.</w:t>
      </w:r>
    </w:p>
  </w:footnote>
  <w:footnote w:id="59">
    <w:p w14:paraId="6122D291" w14:textId="1D6BABD9" w:rsidR="00132248" w:rsidRPr="0055659A" w:rsidRDefault="00132248" w:rsidP="008D7713">
      <w:pPr>
        <w:pStyle w:val="FootnoteText"/>
        <w:ind w:left="288" w:hanging="288"/>
        <w:rPr>
          <w:lang w:val="en-ZW"/>
        </w:rPr>
      </w:pPr>
      <w:r>
        <w:rPr>
          <w:rStyle w:val="FootnoteReference"/>
        </w:rPr>
        <w:footnoteRef/>
      </w:r>
      <w:r w:rsidR="00E92BAA">
        <w:tab/>
      </w:r>
      <w:proofErr w:type="spellStart"/>
      <w:r>
        <w:rPr>
          <w:lang w:val="en-ZW"/>
        </w:rPr>
        <w:t>CalWEA</w:t>
      </w:r>
      <w:proofErr w:type="spellEnd"/>
      <w:r>
        <w:rPr>
          <w:lang w:val="en-ZW"/>
        </w:rPr>
        <w:t xml:space="preserve"> Opening</w:t>
      </w:r>
      <w:r w:rsidR="00E92BAA">
        <w:rPr>
          <w:lang w:val="en-ZW"/>
        </w:rPr>
        <w:t> </w:t>
      </w:r>
      <w:r>
        <w:rPr>
          <w:lang w:val="en-ZW"/>
        </w:rPr>
        <w:t>Comments at</w:t>
      </w:r>
      <w:r w:rsidR="00E92BAA">
        <w:rPr>
          <w:lang w:val="en-ZW"/>
        </w:rPr>
        <w:t> </w:t>
      </w:r>
      <w:r>
        <w:rPr>
          <w:lang w:val="en-ZW"/>
        </w:rPr>
        <w:t>7, IEP Opening</w:t>
      </w:r>
      <w:r w:rsidR="00E92BAA">
        <w:rPr>
          <w:lang w:val="en-ZW"/>
        </w:rPr>
        <w:t> </w:t>
      </w:r>
      <w:r>
        <w:rPr>
          <w:lang w:val="en-ZW"/>
        </w:rPr>
        <w:t>Comments at</w:t>
      </w:r>
      <w:r w:rsidR="00E92BAA">
        <w:rPr>
          <w:lang w:val="en-ZW"/>
        </w:rPr>
        <w:t> </w:t>
      </w:r>
      <w:r>
        <w:rPr>
          <w:lang w:val="en-ZW"/>
        </w:rPr>
        <w:t>5.</w:t>
      </w:r>
    </w:p>
  </w:footnote>
  <w:footnote w:id="60">
    <w:p w14:paraId="0FF4E3D7" w14:textId="1997495B" w:rsidR="00132248" w:rsidRPr="00523CAD" w:rsidRDefault="00132248" w:rsidP="008D7713">
      <w:pPr>
        <w:pStyle w:val="FootnoteText"/>
        <w:ind w:left="288" w:hanging="288"/>
        <w:rPr>
          <w:lang w:val="en-ZW"/>
        </w:rPr>
      </w:pPr>
      <w:r>
        <w:rPr>
          <w:rStyle w:val="FootnoteReference"/>
        </w:rPr>
        <w:footnoteRef/>
      </w:r>
      <w:r w:rsidR="00E92BAA">
        <w:tab/>
      </w:r>
      <w:r>
        <w:rPr>
          <w:lang w:val="en-ZW"/>
        </w:rPr>
        <w:t>AES Opening</w:t>
      </w:r>
      <w:r w:rsidR="00E92BAA">
        <w:rPr>
          <w:lang w:val="en-ZW"/>
        </w:rPr>
        <w:t> </w:t>
      </w:r>
      <w:r>
        <w:rPr>
          <w:lang w:val="en-ZW"/>
        </w:rPr>
        <w:t>Comments at</w:t>
      </w:r>
      <w:r w:rsidR="00E92BAA">
        <w:rPr>
          <w:lang w:val="en-ZW"/>
        </w:rPr>
        <w:t> </w:t>
      </w:r>
      <w:r>
        <w:rPr>
          <w:lang w:val="en-ZW"/>
        </w:rPr>
        <w:t>2, Cal</w:t>
      </w:r>
      <w:r w:rsidR="00E92BAA">
        <w:rPr>
          <w:lang w:val="en-ZW"/>
        </w:rPr>
        <w:t> </w:t>
      </w:r>
      <w:r>
        <w:rPr>
          <w:lang w:val="en-ZW"/>
        </w:rPr>
        <w:t>Advocates Opening</w:t>
      </w:r>
      <w:r w:rsidR="00E92BAA">
        <w:rPr>
          <w:lang w:val="en-ZW"/>
        </w:rPr>
        <w:t> </w:t>
      </w:r>
      <w:r>
        <w:rPr>
          <w:lang w:val="en-ZW"/>
        </w:rPr>
        <w:t>Comments at</w:t>
      </w:r>
      <w:r w:rsidR="00E92BAA">
        <w:rPr>
          <w:lang w:val="en-ZW"/>
        </w:rPr>
        <w:t> </w:t>
      </w:r>
      <w:r>
        <w:rPr>
          <w:lang w:val="en-ZW"/>
        </w:rPr>
        <w:t xml:space="preserve">8, </w:t>
      </w:r>
      <w:proofErr w:type="spellStart"/>
      <w:r>
        <w:rPr>
          <w:lang w:val="en-ZW"/>
        </w:rPr>
        <w:t>CalWEA</w:t>
      </w:r>
      <w:proofErr w:type="spellEnd"/>
      <w:r>
        <w:rPr>
          <w:lang w:val="en-ZW"/>
        </w:rPr>
        <w:t xml:space="preserve"> Opening</w:t>
      </w:r>
      <w:r w:rsidR="00E92BAA">
        <w:rPr>
          <w:lang w:val="en-ZW"/>
        </w:rPr>
        <w:t> C</w:t>
      </w:r>
      <w:r>
        <w:rPr>
          <w:lang w:val="en-ZW"/>
        </w:rPr>
        <w:t>omments at</w:t>
      </w:r>
      <w:r w:rsidR="00E92BAA">
        <w:rPr>
          <w:lang w:val="en-ZW"/>
        </w:rPr>
        <w:t> </w:t>
      </w:r>
      <w:r>
        <w:rPr>
          <w:lang w:val="en-ZW"/>
        </w:rPr>
        <w:t>8, MRP Opening</w:t>
      </w:r>
      <w:r w:rsidR="00E92BAA">
        <w:rPr>
          <w:lang w:val="en-ZW"/>
        </w:rPr>
        <w:t> </w:t>
      </w:r>
      <w:r>
        <w:rPr>
          <w:lang w:val="en-ZW"/>
        </w:rPr>
        <w:t>Comments at</w:t>
      </w:r>
      <w:r w:rsidR="00E92BAA">
        <w:rPr>
          <w:lang w:val="en-ZW"/>
        </w:rPr>
        <w:t> </w:t>
      </w:r>
      <w:r>
        <w:rPr>
          <w:lang w:val="en-ZW"/>
        </w:rPr>
        <w:t>11, PG&amp;E Opening</w:t>
      </w:r>
      <w:r w:rsidR="00E92BAA">
        <w:rPr>
          <w:lang w:val="en-ZW"/>
        </w:rPr>
        <w:t> </w:t>
      </w:r>
      <w:r>
        <w:rPr>
          <w:lang w:val="en-ZW"/>
        </w:rPr>
        <w:t>Comments at</w:t>
      </w:r>
      <w:r w:rsidR="00E92BAA">
        <w:rPr>
          <w:lang w:val="en-ZW"/>
        </w:rPr>
        <w:t> </w:t>
      </w:r>
      <w:r>
        <w:rPr>
          <w:lang w:val="en-ZW"/>
        </w:rPr>
        <w:t>4, SEIA Opening Comments at 4.</w:t>
      </w:r>
    </w:p>
  </w:footnote>
  <w:footnote w:id="61">
    <w:p w14:paraId="40D55671" w14:textId="7569BB73" w:rsidR="00132248" w:rsidRPr="00393EF7" w:rsidRDefault="00132248" w:rsidP="008D7713">
      <w:pPr>
        <w:pStyle w:val="FootnoteText"/>
        <w:ind w:left="288" w:hanging="288"/>
        <w:rPr>
          <w:lang w:val="en-ZW"/>
        </w:rPr>
      </w:pPr>
      <w:r>
        <w:rPr>
          <w:rStyle w:val="FootnoteReference"/>
        </w:rPr>
        <w:footnoteRef/>
      </w:r>
      <w:r w:rsidR="00E92BAA">
        <w:tab/>
      </w:r>
      <w:r>
        <w:rPr>
          <w:lang w:val="en-ZW"/>
        </w:rPr>
        <w:t>MRP Opening</w:t>
      </w:r>
      <w:r w:rsidR="00E92BAA">
        <w:rPr>
          <w:lang w:val="en-ZW"/>
        </w:rPr>
        <w:t> </w:t>
      </w:r>
      <w:r>
        <w:rPr>
          <w:lang w:val="en-ZW"/>
        </w:rPr>
        <w:t>Comments at</w:t>
      </w:r>
      <w:r w:rsidR="00E92BAA">
        <w:rPr>
          <w:lang w:val="en-ZW"/>
        </w:rPr>
        <w:t> </w:t>
      </w:r>
      <w:r>
        <w:rPr>
          <w:lang w:val="en-ZW"/>
        </w:rPr>
        <w:t>13.</w:t>
      </w:r>
    </w:p>
  </w:footnote>
  <w:footnote w:id="62">
    <w:p w14:paraId="536214C0" w14:textId="410D15FD" w:rsidR="00132248" w:rsidRPr="00545232" w:rsidRDefault="00132248" w:rsidP="008D7713">
      <w:pPr>
        <w:pStyle w:val="FootnoteText"/>
        <w:ind w:left="288" w:hanging="288"/>
        <w:rPr>
          <w:lang w:val="en-ZW"/>
        </w:rPr>
      </w:pPr>
      <w:r>
        <w:rPr>
          <w:rStyle w:val="FootnoteReference"/>
        </w:rPr>
        <w:footnoteRef/>
      </w:r>
      <w:r w:rsidR="00E92BAA">
        <w:tab/>
      </w:r>
      <w:r>
        <w:rPr>
          <w:lang w:val="en-ZW"/>
        </w:rPr>
        <w:t>PG&amp;E Opening</w:t>
      </w:r>
      <w:r w:rsidR="00E92BAA">
        <w:rPr>
          <w:lang w:val="en-ZW"/>
        </w:rPr>
        <w:t> </w:t>
      </w:r>
      <w:r>
        <w:rPr>
          <w:lang w:val="en-ZW"/>
        </w:rPr>
        <w:t>Comments at</w:t>
      </w:r>
      <w:r w:rsidR="00E92BAA">
        <w:rPr>
          <w:lang w:val="en-ZW"/>
        </w:rPr>
        <w:t> </w:t>
      </w:r>
      <w:r>
        <w:rPr>
          <w:lang w:val="en-ZW"/>
        </w:rPr>
        <w:t>5.</w:t>
      </w:r>
      <w:r w:rsidRPr="00A33271">
        <w:rPr>
          <w:lang w:val="en-ZW"/>
        </w:rPr>
        <w:t xml:space="preserve"> </w:t>
      </w:r>
    </w:p>
  </w:footnote>
  <w:footnote w:id="63">
    <w:p w14:paraId="74C2F292" w14:textId="7438D20D" w:rsidR="00132248" w:rsidRPr="00475A3B" w:rsidRDefault="00132248" w:rsidP="008D7713">
      <w:pPr>
        <w:pStyle w:val="FootnoteText"/>
        <w:ind w:left="288" w:hanging="288"/>
        <w:rPr>
          <w:lang w:val="en-ZW"/>
        </w:rPr>
      </w:pPr>
      <w:r>
        <w:rPr>
          <w:rStyle w:val="FootnoteReference"/>
        </w:rPr>
        <w:footnoteRef/>
      </w:r>
      <w:r w:rsidR="00E92BAA">
        <w:tab/>
      </w:r>
      <w:r>
        <w:rPr>
          <w:lang w:val="en-ZW"/>
        </w:rPr>
        <w:t>IEP Opening</w:t>
      </w:r>
      <w:r w:rsidRPr="000E50FD">
        <w:rPr>
          <w:lang w:val="en-ZW"/>
        </w:rPr>
        <w:t xml:space="preserve"> </w:t>
      </w:r>
      <w:r>
        <w:rPr>
          <w:lang w:val="en-ZW"/>
        </w:rPr>
        <w:t>Comments at</w:t>
      </w:r>
      <w:r w:rsidR="00E92BAA">
        <w:rPr>
          <w:lang w:val="en-ZW"/>
        </w:rPr>
        <w:t> </w:t>
      </w:r>
      <w:r>
        <w:rPr>
          <w:lang w:val="en-ZW"/>
        </w:rPr>
        <w:t>9,</w:t>
      </w:r>
      <w:r w:rsidRPr="00A33271">
        <w:rPr>
          <w:lang w:val="en-ZW"/>
        </w:rPr>
        <w:t xml:space="preserve"> </w:t>
      </w:r>
      <w:r>
        <w:rPr>
          <w:lang w:val="en-ZW"/>
        </w:rPr>
        <w:t>AES Opening Comments at 2, SEIA Opening Comments at</w:t>
      </w:r>
      <w:r w:rsidR="00E92BAA">
        <w:rPr>
          <w:lang w:val="en-ZW"/>
        </w:rPr>
        <w:t> </w:t>
      </w:r>
      <w:r>
        <w:rPr>
          <w:lang w:val="en-ZW"/>
        </w:rPr>
        <w:t>6.</w:t>
      </w:r>
    </w:p>
  </w:footnote>
  <w:footnote w:id="64">
    <w:p w14:paraId="75E0CFA9" w14:textId="56821EC3" w:rsidR="00132248" w:rsidRPr="00393EF7" w:rsidRDefault="00132248" w:rsidP="008D7713">
      <w:pPr>
        <w:pStyle w:val="FootnoteText"/>
        <w:ind w:left="288" w:hanging="288"/>
        <w:rPr>
          <w:lang w:val="en-ZW"/>
        </w:rPr>
      </w:pPr>
      <w:r>
        <w:rPr>
          <w:rStyle w:val="FootnoteReference"/>
        </w:rPr>
        <w:footnoteRef/>
      </w:r>
      <w:r w:rsidR="00E92BAA">
        <w:tab/>
      </w:r>
      <w:r>
        <w:rPr>
          <w:lang w:val="en-ZW"/>
        </w:rPr>
        <w:t>MRP Opening Comments at</w:t>
      </w:r>
      <w:r w:rsidR="00E92BAA">
        <w:rPr>
          <w:lang w:val="en-ZW"/>
        </w:rPr>
        <w:t> </w:t>
      </w:r>
      <w:r>
        <w:rPr>
          <w:lang w:val="en-ZW"/>
        </w:rPr>
        <w:t>13, PCE Opening Comments at</w:t>
      </w:r>
      <w:r w:rsidR="00E92BAA">
        <w:rPr>
          <w:lang w:val="en-ZW"/>
        </w:rPr>
        <w:t> </w:t>
      </w:r>
      <w:r>
        <w:rPr>
          <w:lang w:val="en-ZW"/>
        </w:rPr>
        <w:t>5.</w:t>
      </w:r>
    </w:p>
  </w:footnote>
  <w:footnote w:id="65">
    <w:p w14:paraId="4C8B73B7" w14:textId="7D834219" w:rsidR="00132248" w:rsidRPr="00D7406C" w:rsidRDefault="00132248" w:rsidP="008D7713">
      <w:pPr>
        <w:pStyle w:val="FootnoteText"/>
        <w:ind w:left="288" w:hanging="288"/>
        <w:rPr>
          <w:lang w:val="en-ZW"/>
        </w:rPr>
      </w:pPr>
      <w:r>
        <w:rPr>
          <w:rStyle w:val="FootnoteReference"/>
        </w:rPr>
        <w:footnoteRef/>
      </w:r>
      <w:r w:rsidR="00E92BAA">
        <w:tab/>
      </w:r>
      <w:r>
        <w:rPr>
          <w:lang w:val="en-ZW"/>
        </w:rPr>
        <w:t>PG&amp;E Opening Comments at</w:t>
      </w:r>
      <w:r w:rsidR="00E92BAA">
        <w:rPr>
          <w:lang w:val="en-ZW"/>
        </w:rPr>
        <w:t> </w:t>
      </w:r>
      <w:r>
        <w:rPr>
          <w:lang w:val="en-ZW"/>
        </w:rPr>
        <w:t>5.</w:t>
      </w:r>
    </w:p>
  </w:footnote>
  <w:footnote w:id="66">
    <w:p w14:paraId="1CE30DEC" w14:textId="1D3EE37B" w:rsidR="00132248" w:rsidRPr="004329EB" w:rsidRDefault="00132248" w:rsidP="008D7713">
      <w:pPr>
        <w:pStyle w:val="FootnoteText"/>
        <w:ind w:left="288" w:hanging="288"/>
        <w:rPr>
          <w:lang w:val="en-ZW"/>
        </w:rPr>
      </w:pPr>
      <w:r>
        <w:rPr>
          <w:rStyle w:val="FootnoteReference"/>
        </w:rPr>
        <w:footnoteRef/>
      </w:r>
      <w:r w:rsidR="00E92BAA">
        <w:tab/>
      </w:r>
      <w:r>
        <w:rPr>
          <w:lang w:val="en-ZW"/>
        </w:rPr>
        <w:t>MRP Opening Comments at</w:t>
      </w:r>
      <w:r w:rsidR="00E92BAA">
        <w:rPr>
          <w:lang w:val="en-ZW"/>
        </w:rPr>
        <w:t> </w:t>
      </w:r>
      <w:r>
        <w:rPr>
          <w:lang w:val="en-ZW"/>
        </w:rPr>
        <w:t>14.</w:t>
      </w:r>
    </w:p>
  </w:footnote>
  <w:footnote w:id="67">
    <w:p w14:paraId="0E161529" w14:textId="43F769DB" w:rsidR="00132248" w:rsidRPr="00B1603D" w:rsidRDefault="00132248" w:rsidP="008D7713">
      <w:pPr>
        <w:pStyle w:val="FootnoteText"/>
        <w:ind w:left="288" w:hanging="288"/>
        <w:rPr>
          <w:lang w:val="en-ZW"/>
        </w:rPr>
      </w:pPr>
      <w:r>
        <w:rPr>
          <w:rStyle w:val="FootnoteReference"/>
        </w:rPr>
        <w:footnoteRef/>
      </w:r>
      <w:r w:rsidR="00E92BAA">
        <w:tab/>
      </w:r>
      <w:r>
        <w:rPr>
          <w:lang w:val="en-ZW"/>
        </w:rPr>
        <w:t>D.22-06-050 at 80.</w:t>
      </w:r>
    </w:p>
  </w:footnote>
  <w:footnote w:id="68">
    <w:p w14:paraId="0036764D" w14:textId="1D5A7C0F" w:rsidR="00132248" w:rsidRPr="00E734B3" w:rsidRDefault="00132248" w:rsidP="008D7713">
      <w:pPr>
        <w:pStyle w:val="FootnoteText"/>
        <w:ind w:left="288" w:hanging="288"/>
        <w:rPr>
          <w:lang w:val="en-ZW"/>
        </w:rPr>
      </w:pPr>
      <w:r>
        <w:rPr>
          <w:rStyle w:val="FootnoteReference"/>
        </w:rPr>
        <w:footnoteRef/>
      </w:r>
      <w:r w:rsidR="00E92BAA">
        <w:tab/>
      </w:r>
      <w:r w:rsidRPr="00D24D3F">
        <w:rPr>
          <w:i/>
          <w:iCs/>
          <w:lang w:val="en-ZW"/>
        </w:rPr>
        <w:t>Id</w:t>
      </w:r>
      <w:r>
        <w:rPr>
          <w:lang w:val="en-ZW"/>
        </w:rPr>
        <w:t>.</w:t>
      </w:r>
    </w:p>
  </w:footnote>
  <w:footnote w:id="69">
    <w:p w14:paraId="582CDE28" w14:textId="1DE20BFB" w:rsidR="0022688B" w:rsidRPr="00562E1B" w:rsidRDefault="0022688B" w:rsidP="008D7713">
      <w:pPr>
        <w:pStyle w:val="FootnoteText"/>
        <w:ind w:left="288" w:hanging="288"/>
        <w:rPr>
          <w:lang w:val="en-ZW"/>
        </w:rPr>
      </w:pPr>
      <w:r>
        <w:rPr>
          <w:rStyle w:val="FootnoteReference"/>
        </w:rPr>
        <w:footnoteRef/>
      </w:r>
      <w:r w:rsidR="008F3C18">
        <w:tab/>
      </w:r>
      <w:r>
        <w:rPr>
          <w:lang w:val="en-ZW"/>
        </w:rPr>
        <w:t xml:space="preserve">D.22-06-050 at </w:t>
      </w:r>
      <w:r w:rsidR="008D2A60">
        <w:rPr>
          <w:lang w:val="en-ZW"/>
        </w:rPr>
        <w:t>88</w:t>
      </w:r>
      <w:r>
        <w:rPr>
          <w:lang w:val="en-ZW"/>
        </w:rPr>
        <w:t>.</w:t>
      </w:r>
    </w:p>
  </w:footnote>
  <w:footnote w:id="70">
    <w:p w14:paraId="4C539573" w14:textId="5600D452" w:rsidR="0022688B" w:rsidRPr="00562E1B" w:rsidRDefault="0022688B" w:rsidP="008D7713">
      <w:pPr>
        <w:pStyle w:val="FootnoteText"/>
        <w:ind w:left="288" w:hanging="288"/>
        <w:rPr>
          <w:lang w:val="en-ZW"/>
        </w:rPr>
      </w:pPr>
      <w:r>
        <w:rPr>
          <w:rStyle w:val="FootnoteReference"/>
        </w:rPr>
        <w:footnoteRef/>
      </w:r>
      <w:r w:rsidR="008F3C18">
        <w:tab/>
      </w:r>
      <w:r w:rsidRPr="00D24D3F">
        <w:rPr>
          <w:i/>
          <w:iCs/>
          <w:lang w:val="en-ZW"/>
        </w:rPr>
        <w:t>Id</w:t>
      </w:r>
      <w:r>
        <w:rPr>
          <w:lang w:val="en-ZW"/>
        </w:rPr>
        <w:t>. at</w:t>
      </w:r>
      <w:r w:rsidR="008F3C18">
        <w:rPr>
          <w:lang w:val="en-ZW"/>
        </w:rPr>
        <w:t> </w:t>
      </w:r>
      <w:r>
        <w:rPr>
          <w:lang w:val="en-ZW"/>
        </w:rPr>
        <w:t>88.</w:t>
      </w:r>
    </w:p>
  </w:footnote>
  <w:footnote w:id="71">
    <w:p w14:paraId="3D992C5A" w14:textId="245F783D" w:rsidR="0022688B" w:rsidRPr="00562E1B" w:rsidRDefault="0022688B" w:rsidP="008D7713">
      <w:pPr>
        <w:pStyle w:val="FootnoteText"/>
        <w:ind w:left="288" w:hanging="288"/>
        <w:rPr>
          <w:lang w:val="en-ZW"/>
        </w:rPr>
      </w:pPr>
      <w:r>
        <w:rPr>
          <w:rStyle w:val="FootnoteReference"/>
        </w:rPr>
        <w:footnoteRef/>
      </w:r>
      <w:r w:rsidR="008F3C18">
        <w:tab/>
      </w:r>
      <w:r>
        <w:rPr>
          <w:lang w:val="en-ZW"/>
        </w:rPr>
        <w:t>WG Report at 80.</w:t>
      </w:r>
    </w:p>
  </w:footnote>
  <w:footnote w:id="72">
    <w:p w14:paraId="38474ECA" w14:textId="054AF104" w:rsidR="0022688B" w:rsidRPr="00952971" w:rsidRDefault="0022688B" w:rsidP="008D7713">
      <w:pPr>
        <w:pStyle w:val="FootnoteText"/>
        <w:ind w:left="288" w:hanging="288"/>
        <w:rPr>
          <w:lang w:val="en-ZW"/>
        </w:rPr>
      </w:pPr>
      <w:r>
        <w:rPr>
          <w:rStyle w:val="FootnoteReference"/>
        </w:rPr>
        <w:footnoteRef/>
      </w:r>
      <w:r w:rsidR="008F3C18">
        <w:tab/>
      </w:r>
      <w:r w:rsidR="00EA04E5" w:rsidRPr="00CA46DC">
        <w:rPr>
          <w:i/>
          <w:iCs/>
          <w:lang w:val="en-ZW"/>
        </w:rPr>
        <w:t>Id</w:t>
      </w:r>
      <w:r>
        <w:rPr>
          <w:lang w:val="en-ZW"/>
        </w:rPr>
        <w:t>.</w:t>
      </w:r>
    </w:p>
  </w:footnote>
  <w:footnote w:id="73">
    <w:p w14:paraId="22A669E9" w14:textId="30766F23" w:rsidR="0022688B" w:rsidRPr="000373CA" w:rsidRDefault="0022688B" w:rsidP="008D7713">
      <w:pPr>
        <w:pStyle w:val="FootnoteText"/>
        <w:ind w:left="288" w:hanging="288"/>
        <w:rPr>
          <w:lang w:val="en-ZW"/>
        </w:rPr>
      </w:pPr>
      <w:r>
        <w:rPr>
          <w:rStyle w:val="FootnoteReference"/>
        </w:rPr>
        <w:footnoteRef/>
      </w:r>
      <w:r w:rsidR="008F3C18">
        <w:tab/>
      </w:r>
      <w:r w:rsidR="00EA04E5" w:rsidRPr="00CA46DC">
        <w:rPr>
          <w:i/>
          <w:iCs/>
          <w:lang w:val="en-ZW"/>
        </w:rPr>
        <w:t>Id</w:t>
      </w:r>
      <w:r w:rsidR="00EA04E5">
        <w:rPr>
          <w:lang w:val="en-ZW"/>
        </w:rPr>
        <w:t>.</w:t>
      </w:r>
      <w:r>
        <w:rPr>
          <w:lang w:val="en-ZW"/>
        </w:rPr>
        <w:t xml:space="preserve"> at 87.</w:t>
      </w:r>
    </w:p>
  </w:footnote>
  <w:footnote w:id="74">
    <w:p w14:paraId="6539D0E8" w14:textId="6DB0BE34" w:rsidR="0022688B" w:rsidRPr="00896911" w:rsidRDefault="0022688B" w:rsidP="008D7713">
      <w:pPr>
        <w:pStyle w:val="FootnoteText"/>
        <w:ind w:left="288" w:hanging="288"/>
        <w:rPr>
          <w:lang w:val="en-ZW"/>
        </w:rPr>
      </w:pPr>
      <w:r>
        <w:rPr>
          <w:rStyle w:val="FootnoteReference"/>
        </w:rPr>
        <w:footnoteRef/>
      </w:r>
      <w:r w:rsidR="008F3C18">
        <w:tab/>
      </w:r>
      <w:r w:rsidR="00EA04E5" w:rsidRPr="00CA46DC">
        <w:rPr>
          <w:i/>
          <w:iCs/>
          <w:lang w:val="en-ZW"/>
        </w:rPr>
        <w:t>Id</w:t>
      </w:r>
      <w:r w:rsidR="00EA04E5">
        <w:rPr>
          <w:lang w:val="en-ZW"/>
        </w:rPr>
        <w:t>.</w:t>
      </w:r>
      <w:r>
        <w:rPr>
          <w:lang w:val="en-ZW"/>
        </w:rPr>
        <w:t xml:space="preserve"> at 82.</w:t>
      </w:r>
    </w:p>
  </w:footnote>
  <w:footnote w:id="75">
    <w:p w14:paraId="0CB7565C" w14:textId="311CFD11" w:rsidR="008D2A60" w:rsidRPr="001D7D14" w:rsidRDefault="008D2A60" w:rsidP="008D7713">
      <w:pPr>
        <w:pStyle w:val="FootnoteText"/>
        <w:ind w:left="288" w:hanging="288"/>
        <w:rPr>
          <w:lang w:val="en-ZW"/>
        </w:rPr>
      </w:pPr>
      <w:r>
        <w:rPr>
          <w:rStyle w:val="FootnoteReference"/>
        </w:rPr>
        <w:footnoteRef/>
      </w:r>
      <w:r>
        <w:t xml:space="preserve"> </w:t>
      </w:r>
      <w:r>
        <w:tab/>
      </w:r>
      <w:r w:rsidR="00EA04E5" w:rsidRPr="00CA46DC">
        <w:rPr>
          <w:i/>
          <w:iCs/>
          <w:lang w:val="en-ZW"/>
        </w:rPr>
        <w:t>Id</w:t>
      </w:r>
      <w:r w:rsidR="00EA04E5">
        <w:rPr>
          <w:lang w:val="en-ZW"/>
        </w:rPr>
        <w:t>.</w:t>
      </w:r>
      <w:r>
        <w:rPr>
          <w:lang w:val="en-ZW"/>
        </w:rPr>
        <w:t xml:space="preserve"> at 83.</w:t>
      </w:r>
    </w:p>
  </w:footnote>
  <w:footnote w:id="76">
    <w:p w14:paraId="76103622" w14:textId="6563DC1F" w:rsidR="0022688B" w:rsidRPr="00952971" w:rsidRDefault="0022688B" w:rsidP="008D7713">
      <w:pPr>
        <w:pStyle w:val="FootnoteText"/>
        <w:ind w:left="288" w:hanging="288"/>
        <w:rPr>
          <w:lang w:val="en-ZW"/>
        </w:rPr>
      </w:pPr>
      <w:r>
        <w:rPr>
          <w:rStyle w:val="FootnoteReference"/>
        </w:rPr>
        <w:footnoteRef/>
      </w:r>
      <w:r w:rsidR="008F3C18">
        <w:tab/>
      </w:r>
      <w:r w:rsidR="00EA04E5" w:rsidRPr="00CA46DC">
        <w:rPr>
          <w:i/>
          <w:iCs/>
          <w:lang w:val="en-ZW"/>
        </w:rPr>
        <w:t>Id</w:t>
      </w:r>
      <w:r w:rsidR="00EA04E5">
        <w:rPr>
          <w:lang w:val="en-ZW"/>
        </w:rPr>
        <w:t>.</w:t>
      </w:r>
      <w:r>
        <w:rPr>
          <w:lang w:val="en-ZW"/>
        </w:rPr>
        <w:t xml:space="preserve"> at 81.</w:t>
      </w:r>
    </w:p>
  </w:footnote>
  <w:footnote w:id="77">
    <w:p w14:paraId="66F9BF18" w14:textId="025033AA" w:rsidR="0022688B" w:rsidRPr="000B4132" w:rsidRDefault="0022688B" w:rsidP="008D7713">
      <w:pPr>
        <w:pStyle w:val="FootnoteText"/>
        <w:ind w:left="288" w:hanging="288"/>
        <w:rPr>
          <w:lang w:val="en-ZW"/>
        </w:rPr>
      </w:pPr>
      <w:r>
        <w:rPr>
          <w:rStyle w:val="FootnoteReference"/>
        </w:rPr>
        <w:footnoteRef/>
      </w:r>
      <w:r w:rsidR="008F3C18">
        <w:tab/>
      </w:r>
      <w:r w:rsidR="00EA04E5" w:rsidRPr="00CA46DC">
        <w:rPr>
          <w:i/>
          <w:iCs/>
          <w:lang w:val="en-ZW"/>
        </w:rPr>
        <w:t>Id</w:t>
      </w:r>
      <w:r w:rsidR="00EA04E5">
        <w:rPr>
          <w:lang w:val="en-ZW"/>
        </w:rPr>
        <w:t>.</w:t>
      </w:r>
      <w:r>
        <w:rPr>
          <w:lang w:val="en-ZW"/>
        </w:rPr>
        <w:t xml:space="preserve"> at 83.</w:t>
      </w:r>
    </w:p>
  </w:footnote>
  <w:footnote w:id="78">
    <w:p w14:paraId="6F5D1D82" w14:textId="456F9695" w:rsidR="0022688B" w:rsidRPr="00FA32EF" w:rsidRDefault="0022688B" w:rsidP="008D7713">
      <w:pPr>
        <w:pStyle w:val="FootnoteText"/>
        <w:ind w:left="288" w:hanging="288"/>
        <w:rPr>
          <w:lang w:val="en-ZW"/>
        </w:rPr>
      </w:pPr>
      <w:r>
        <w:rPr>
          <w:rStyle w:val="FootnoteReference"/>
        </w:rPr>
        <w:footnoteRef/>
      </w:r>
      <w:r w:rsidR="008F3C18">
        <w:tab/>
      </w:r>
      <w:r>
        <w:rPr>
          <w:lang w:val="en-ZW"/>
        </w:rPr>
        <w:t>AES Opening</w:t>
      </w:r>
      <w:r w:rsidR="008F3C18">
        <w:rPr>
          <w:lang w:val="en-ZW"/>
        </w:rPr>
        <w:t> </w:t>
      </w:r>
      <w:r>
        <w:rPr>
          <w:lang w:val="en-ZW"/>
        </w:rPr>
        <w:t>Comments at</w:t>
      </w:r>
      <w:r w:rsidR="008F3C18">
        <w:rPr>
          <w:lang w:val="en-ZW"/>
        </w:rPr>
        <w:t> </w:t>
      </w:r>
      <w:r>
        <w:rPr>
          <w:lang w:val="en-ZW"/>
        </w:rPr>
        <w:t>4,</w:t>
      </w:r>
      <w:r w:rsidRPr="00BA30A9">
        <w:rPr>
          <w:lang w:val="en-ZW"/>
        </w:rPr>
        <w:t xml:space="preserve"> </w:t>
      </w:r>
      <w:r>
        <w:rPr>
          <w:lang w:val="en-ZW"/>
        </w:rPr>
        <w:t>Cal</w:t>
      </w:r>
      <w:r w:rsidR="008F3C18">
        <w:rPr>
          <w:lang w:val="en-ZW"/>
        </w:rPr>
        <w:t> </w:t>
      </w:r>
      <w:r>
        <w:rPr>
          <w:lang w:val="en-ZW"/>
        </w:rPr>
        <w:t>Advocates Opening</w:t>
      </w:r>
      <w:r w:rsidR="008F3C18">
        <w:rPr>
          <w:lang w:val="en-ZW"/>
        </w:rPr>
        <w:t> </w:t>
      </w:r>
      <w:r>
        <w:rPr>
          <w:lang w:val="en-ZW"/>
        </w:rPr>
        <w:t>Comments at</w:t>
      </w:r>
      <w:r w:rsidR="008F3C18">
        <w:rPr>
          <w:lang w:val="en-ZW"/>
        </w:rPr>
        <w:t> </w:t>
      </w:r>
      <w:r>
        <w:rPr>
          <w:lang w:val="en-ZW"/>
        </w:rPr>
        <w:t xml:space="preserve">11, </w:t>
      </w:r>
      <w:proofErr w:type="spellStart"/>
      <w:r>
        <w:rPr>
          <w:lang w:val="en-ZW"/>
        </w:rPr>
        <w:t>CalCCA</w:t>
      </w:r>
      <w:proofErr w:type="spellEnd"/>
      <w:r>
        <w:rPr>
          <w:lang w:val="en-ZW"/>
        </w:rPr>
        <w:t xml:space="preserve"> Opening</w:t>
      </w:r>
      <w:r w:rsidR="008F3C18">
        <w:rPr>
          <w:lang w:val="en-ZW"/>
        </w:rPr>
        <w:t> </w:t>
      </w:r>
      <w:r>
        <w:rPr>
          <w:lang w:val="en-ZW"/>
        </w:rPr>
        <w:t>Comments at 13, CAISO Opening</w:t>
      </w:r>
      <w:r w:rsidR="008F3C18">
        <w:rPr>
          <w:lang w:val="en-ZW"/>
        </w:rPr>
        <w:t> </w:t>
      </w:r>
      <w:r>
        <w:rPr>
          <w:lang w:val="en-ZW"/>
        </w:rPr>
        <w:t>Comments at</w:t>
      </w:r>
      <w:r w:rsidR="008F3C18">
        <w:rPr>
          <w:lang w:val="en-ZW"/>
        </w:rPr>
        <w:t> </w:t>
      </w:r>
      <w:r>
        <w:rPr>
          <w:lang w:val="en-ZW"/>
        </w:rPr>
        <w:t>8, CESA Opening</w:t>
      </w:r>
      <w:r w:rsidR="008F3C18">
        <w:rPr>
          <w:lang w:val="en-ZW"/>
        </w:rPr>
        <w:t> </w:t>
      </w:r>
      <w:r>
        <w:rPr>
          <w:lang w:val="en-ZW"/>
        </w:rPr>
        <w:t>Comments at</w:t>
      </w:r>
      <w:r w:rsidR="008F3C18">
        <w:rPr>
          <w:lang w:val="en-ZW"/>
        </w:rPr>
        <w:t> </w:t>
      </w:r>
      <w:r>
        <w:rPr>
          <w:lang w:val="en-ZW"/>
        </w:rPr>
        <w:t>7, NRDC Reply</w:t>
      </w:r>
      <w:r w:rsidR="008F3C18">
        <w:rPr>
          <w:lang w:val="en-ZW"/>
        </w:rPr>
        <w:t> </w:t>
      </w:r>
      <w:r>
        <w:rPr>
          <w:lang w:val="en-ZW"/>
        </w:rPr>
        <w:t>Comments at</w:t>
      </w:r>
      <w:r w:rsidR="008F3C18">
        <w:rPr>
          <w:lang w:val="en-ZW"/>
        </w:rPr>
        <w:t> </w:t>
      </w:r>
      <w:r>
        <w:rPr>
          <w:lang w:val="en-ZW"/>
        </w:rPr>
        <w:t>4, PG&amp;E Opening</w:t>
      </w:r>
      <w:r w:rsidR="008F3C18">
        <w:rPr>
          <w:lang w:val="en-ZW"/>
        </w:rPr>
        <w:t> </w:t>
      </w:r>
      <w:r>
        <w:rPr>
          <w:lang w:val="en-ZW"/>
        </w:rPr>
        <w:t>Comments at</w:t>
      </w:r>
      <w:r w:rsidR="008F3C18">
        <w:rPr>
          <w:lang w:val="en-ZW"/>
        </w:rPr>
        <w:t> </w:t>
      </w:r>
      <w:r>
        <w:rPr>
          <w:lang w:val="en-ZW"/>
        </w:rPr>
        <w:t>5, SEIA Opening</w:t>
      </w:r>
      <w:r w:rsidR="008F3C18">
        <w:rPr>
          <w:lang w:val="en-ZW"/>
        </w:rPr>
        <w:t> </w:t>
      </w:r>
      <w:r>
        <w:rPr>
          <w:lang w:val="en-ZW"/>
        </w:rPr>
        <w:t>Comments at</w:t>
      </w:r>
      <w:r w:rsidR="008F3C18">
        <w:rPr>
          <w:lang w:val="en-ZW"/>
        </w:rPr>
        <w:t> </w:t>
      </w:r>
      <w:r>
        <w:rPr>
          <w:lang w:val="en-ZW"/>
        </w:rPr>
        <w:t>7.</w:t>
      </w:r>
    </w:p>
  </w:footnote>
  <w:footnote w:id="79">
    <w:p w14:paraId="6241F66B" w14:textId="326EFBC6" w:rsidR="0022688B" w:rsidRPr="007F594D" w:rsidRDefault="0022688B" w:rsidP="008D7713">
      <w:pPr>
        <w:pStyle w:val="FootnoteText"/>
        <w:ind w:left="288" w:hanging="288"/>
        <w:rPr>
          <w:lang w:val="en-ZW"/>
        </w:rPr>
      </w:pPr>
      <w:r>
        <w:rPr>
          <w:rStyle w:val="FootnoteReference"/>
        </w:rPr>
        <w:footnoteRef/>
      </w:r>
      <w:r w:rsidR="008F3C18">
        <w:tab/>
      </w:r>
      <w:r>
        <w:rPr>
          <w:lang w:val="en-ZW"/>
        </w:rPr>
        <w:t>Cal Advocates Opening Comments at 11, CAISO Opening Comments at 9,</w:t>
      </w:r>
      <w:r w:rsidRPr="00565C2F">
        <w:rPr>
          <w:lang w:val="en-ZW"/>
        </w:rPr>
        <w:t xml:space="preserve"> </w:t>
      </w:r>
      <w:r>
        <w:rPr>
          <w:lang w:val="en-ZW"/>
        </w:rPr>
        <w:t>PG&amp;E Opening</w:t>
      </w:r>
      <w:r w:rsidR="008F3C18">
        <w:rPr>
          <w:lang w:val="en-ZW"/>
        </w:rPr>
        <w:t> </w:t>
      </w:r>
      <w:r>
        <w:rPr>
          <w:lang w:val="en-ZW"/>
        </w:rPr>
        <w:t>Comments at</w:t>
      </w:r>
      <w:r w:rsidR="008F3C18">
        <w:rPr>
          <w:lang w:val="en-ZW"/>
        </w:rPr>
        <w:t> </w:t>
      </w:r>
      <w:r>
        <w:rPr>
          <w:lang w:val="en-ZW"/>
        </w:rPr>
        <w:t>5.</w:t>
      </w:r>
    </w:p>
  </w:footnote>
  <w:footnote w:id="80">
    <w:p w14:paraId="179750E6" w14:textId="6108583C" w:rsidR="0022688B" w:rsidRPr="00C86C33" w:rsidRDefault="0022688B" w:rsidP="008D7713">
      <w:pPr>
        <w:pStyle w:val="FootnoteText"/>
        <w:ind w:left="288" w:hanging="288"/>
        <w:rPr>
          <w:lang w:val="en-ZW"/>
        </w:rPr>
      </w:pPr>
      <w:r>
        <w:rPr>
          <w:rStyle w:val="FootnoteReference"/>
        </w:rPr>
        <w:footnoteRef/>
      </w:r>
      <w:r w:rsidR="008F3C18">
        <w:tab/>
      </w:r>
      <w:r>
        <w:rPr>
          <w:lang w:val="en-ZW"/>
        </w:rPr>
        <w:t>AES Opening</w:t>
      </w:r>
      <w:r w:rsidR="008F3C18">
        <w:rPr>
          <w:lang w:val="en-ZW"/>
        </w:rPr>
        <w:t> </w:t>
      </w:r>
      <w:r>
        <w:rPr>
          <w:lang w:val="en-ZW"/>
        </w:rPr>
        <w:t>Comments at</w:t>
      </w:r>
      <w:r w:rsidR="008F3C18">
        <w:rPr>
          <w:lang w:val="en-ZW"/>
        </w:rPr>
        <w:t> </w:t>
      </w:r>
      <w:r>
        <w:rPr>
          <w:lang w:val="en-ZW"/>
        </w:rPr>
        <w:t>4.</w:t>
      </w:r>
    </w:p>
  </w:footnote>
  <w:footnote w:id="81">
    <w:p w14:paraId="23073BDB" w14:textId="7857ED71" w:rsidR="0022688B" w:rsidRPr="00046672" w:rsidRDefault="0022688B" w:rsidP="008D7713">
      <w:pPr>
        <w:pStyle w:val="FootnoteText"/>
        <w:ind w:left="288" w:hanging="288"/>
        <w:rPr>
          <w:lang w:val="en-ZW"/>
        </w:rPr>
      </w:pPr>
      <w:r>
        <w:rPr>
          <w:rStyle w:val="FootnoteReference"/>
        </w:rPr>
        <w:footnoteRef/>
      </w:r>
      <w:r w:rsidR="008F3C18">
        <w:tab/>
      </w:r>
      <w:r>
        <w:t xml:space="preserve">CAISO </w:t>
      </w:r>
      <w:r>
        <w:rPr>
          <w:lang w:val="en-ZW"/>
        </w:rPr>
        <w:t>Opening</w:t>
      </w:r>
      <w:r w:rsidR="0040440E">
        <w:rPr>
          <w:lang w:val="en-ZW"/>
        </w:rPr>
        <w:t> </w:t>
      </w:r>
      <w:r>
        <w:rPr>
          <w:lang w:val="en-ZW"/>
        </w:rPr>
        <w:t xml:space="preserve">Comments </w:t>
      </w:r>
      <w:r>
        <w:t>at</w:t>
      </w:r>
      <w:r w:rsidR="0040440E">
        <w:t> </w:t>
      </w:r>
      <w:r>
        <w:t xml:space="preserve">8, MRP </w:t>
      </w:r>
      <w:r>
        <w:rPr>
          <w:lang w:val="en-ZW"/>
        </w:rPr>
        <w:t>Opening</w:t>
      </w:r>
      <w:r w:rsidR="0040440E">
        <w:rPr>
          <w:lang w:val="en-ZW"/>
        </w:rPr>
        <w:t> </w:t>
      </w:r>
      <w:r>
        <w:rPr>
          <w:lang w:val="en-ZW"/>
        </w:rPr>
        <w:t xml:space="preserve">Comments </w:t>
      </w:r>
      <w:r>
        <w:t>at</w:t>
      </w:r>
      <w:r w:rsidR="0040440E">
        <w:t> </w:t>
      </w:r>
      <w:r>
        <w:t>4.</w:t>
      </w:r>
    </w:p>
  </w:footnote>
  <w:footnote w:id="82">
    <w:p w14:paraId="67901227" w14:textId="3B1D77E7" w:rsidR="0022688B" w:rsidRPr="00A11935" w:rsidRDefault="0022688B" w:rsidP="008D7713">
      <w:pPr>
        <w:pStyle w:val="FootnoteText"/>
        <w:ind w:left="288" w:hanging="288"/>
        <w:rPr>
          <w:lang w:val="en-ZW"/>
        </w:rPr>
      </w:pPr>
      <w:r>
        <w:rPr>
          <w:rStyle w:val="FootnoteReference"/>
        </w:rPr>
        <w:footnoteRef/>
      </w:r>
      <w:r w:rsidR="008F3C18">
        <w:tab/>
      </w:r>
      <w:proofErr w:type="spellStart"/>
      <w:r>
        <w:rPr>
          <w:lang w:val="en-ZW"/>
        </w:rPr>
        <w:t>CalCCA</w:t>
      </w:r>
      <w:proofErr w:type="spellEnd"/>
      <w:r>
        <w:rPr>
          <w:lang w:val="en-ZW"/>
        </w:rPr>
        <w:t xml:space="preserve"> Reply</w:t>
      </w:r>
      <w:r w:rsidR="0040440E">
        <w:rPr>
          <w:lang w:val="en-ZW"/>
        </w:rPr>
        <w:t> </w:t>
      </w:r>
      <w:r>
        <w:rPr>
          <w:lang w:val="en-ZW"/>
        </w:rPr>
        <w:t>Comments at</w:t>
      </w:r>
      <w:r w:rsidR="0040440E">
        <w:rPr>
          <w:lang w:val="en-ZW"/>
        </w:rPr>
        <w:t> </w:t>
      </w:r>
      <w:r>
        <w:rPr>
          <w:lang w:val="en-ZW"/>
        </w:rPr>
        <w:t>6, CESA Reply</w:t>
      </w:r>
      <w:r w:rsidR="0040440E">
        <w:rPr>
          <w:lang w:val="en-ZW"/>
        </w:rPr>
        <w:t> </w:t>
      </w:r>
      <w:r>
        <w:rPr>
          <w:lang w:val="en-ZW"/>
        </w:rPr>
        <w:t>Comments at</w:t>
      </w:r>
      <w:r w:rsidR="0040440E">
        <w:rPr>
          <w:lang w:val="en-ZW"/>
        </w:rPr>
        <w:t> </w:t>
      </w:r>
      <w:r>
        <w:rPr>
          <w:lang w:val="en-ZW"/>
        </w:rPr>
        <w:t>2.</w:t>
      </w:r>
    </w:p>
  </w:footnote>
  <w:footnote w:id="83">
    <w:p w14:paraId="1D155AF4" w14:textId="13481524" w:rsidR="0022688B" w:rsidRPr="005138BC" w:rsidRDefault="0022688B" w:rsidP="008D7713">
      <w:pPr>
        <w:pStyle w:val="FootnoteText"/>
        <w:ind w:left="288" w:hanging="288"/>
        <w:rPr>
          <w:lang w:val="en-ZW"/>
        </w:rPr>
      </w:pPr>
      <w:r>
        <w:rPr>
          <w:rStyle w:val="FootnoteReference"/>
        </w:rPr>
        <w:footnoteRef/>
      </w:r>
      <w:r w:rsidR="008F3C18">
        <w:tab/>
      </w:r>
      <w:r>
        <w:rPr>
          <w:lang w:val="en-ZW"/>
        </w:rPr>
        <w:t>MRP Opening</w:t>
      </w:r>
      <w:r w:rsidR="0040440E">
        <w:rPr>
          <w:lang w:val="en-ZW"/>
        </w:rPr>
        <w:t> </w:t>
      </w:r>
      <w:r>
        <w:rPr>
          <w:lang w:val="en-ZW"/>
        </w:rPr>
        <w:t>Comments at</w:t>
      </w:r>
      <w:r w:rsidR="0040440E">
        <w:rPr>
          <w:lang w:val="en-ZW"/>
        </w:rPr>
        <w:t> </w:t>
      </w:r>
      <w:r>
        <w:rPr>
          <w:lang w:val="en-ZW"/>
        </w:rPr>
        <w:t>15.</w:t>
      </w:r>
    </w:p>
  </w:footnote>
  <w:footnote w:id="84">
    <w:p w14:paraId="574F14FC" w14:textId="43E192B6" w:rsidR="0022688B" w:rsidRPr="004312D9" w:rsidRDefault="0022688B" w:rsidP="008D7713">
      <w:pPr>
        <w:pStyle w:val="FootnoteText"/>
        <w:ind w:left="288" w:hanging="288"/>
        <w:rPr>
          <w:lang w:val="en-ZW"/>
        </w:rPr>
      </w:pPr>
      <w:r>
        <w:rPr>
          <w:rStyle w:val="FootnoteReference"/>
        </w:rPr>
        <w:footnoteRef/>
      </w:r>
      <w:r w:rsidR="008F3C18">
        <w:tab/>
      </w:r>
      <w:r>
        <w:rPr>
          <w:lang w:val="en-ZW"/>
        </w:rPr>
        <w:t>IEP Reply</w:t>
      </w:r>
      <w:r w:rsidR="0040440E">
        <w:rPr>
          <w:lang w:val="en-ZW"/>
        </w:rPr>
        <w:t> </w:t>
      </w:r>
      <w:r>
        <w:rPr>
          <w:lang w:val="en-ZW"/>
        </w:rPr>
        <w:t>Comments at</w:t>
      </w:r>
      <w:r w:rsidR="0040440E">
        <w:rPr>
          <w:lang w:val="en-ZW"/>
        </w:rPr>
        <w:t> </w:t>
      </w:r>
      <w:r>
        <w:rPr>
          <w:lang w:val="en-ZW"/>
        </w:rPr>
        <w:t>4.</w:t>
      </w:r>
    </w:p>
  </w:footnote>
  <w:footnote w:id="85">
    <w:p w14:paraId="0FE4F94B" w14:textId="59DAB236" w:rsidR="0022688B" w:rsidRPr="007D421A" w:rsidRDefault="0022688B" w:rsidP="008D7713">
      <w:pPr>
        <w:pStyle w:val="FootnoteText"/>
        <w:ind w:left="288" w:hanging="288"/>
        <w:rPr>
          <w:lang w:val="en-ZW"/>
        </w:rPr>
      </w:pPr>
      <w:r>
        <w:rPr>
          <w:rStyle w:val="FootnoteReference"/>
        </w:rPr>
        <w:footnoteRef/>
      </w:r>
      <w:r w:rsidR="008F3C18">
        <w:tab/>
      </w:r>
      <w:proofErr w:type="spellStart"/>
      <w:r>
        <w:rPr>
          <w:lang w:val="en-ZW"/>
        </w:rPr>
        <w:t>CalCCA</w:t>
      </w:r>
      <w:proofErr w:type="spellEnd"/>
      <w:r>
        <w:rPr>
          <w:lang w:val="en-ZW"/>
        </w:rPr>
        <w:t xml:space="preserve"> Opening</w:t>
      </w:r>
      <w:r w:rsidR="0040440E">
        <w:rPr>
          <w:lang w:val="en-ZW"/>
        </w:rPr>
        <w:t> </w:t>
      </w:r>
      <w:r>
        <w:rPr>
          <w:lang w:val="en-ZW"/>
        </w:rPr>
        <w:t>Comments at</w:t>
      </w:r>
      <w:r w:rsidR="0040440E">
        <w:rPr>
          <w:lang w:val="en-ZW"/>
        </w:rPr>
        <w:t> </w:t>
      </w:r>
      <w:r>
        <w:rPr>
          <w:lang w:val="en-ZW"/>
        </w:rPr>
        <w:t>14, CAISO Opening</w:t>
      </w:r>
      <w:r w:rsidR="0040440E">
        <w:rPr>
          <w:lang w:val="en-ZW"/>
        </w:rPr>
        <w:t> </w:t>
      </w:r>
      <w:r>
        <w:rPr>
          <w:lang w:val="en-ZW"/>
        </w:rPr>
        <w:t>Comments at</w:t>
      </w:r>
      <w:r w:rsidR="0040440E">
        <w:rPr>
          <w:lang w:val="en-ZW"/>
        </w:rPr>
        <w:t> </w:t>
      </w:r>
      <w:r w:rsidR="008D2A60">
        <w:rPr>
          <w:lang w:val="en-ZW"/>
        </w:rPr>
        <w:t>1</w:t>
      </w:r>
      <w:r>
        <w:rPr>
          <w:lang w:val="en-ZW"/>
        </w:rPr>
        <w:t>.</w:t>
      </w:r>
    </w:p>
  </w:footnote>
  <w:footnote w:id="86">
    <w:p w14:paraId="4A137905" w14:textId="5B9A254E" w:rsidR="0022688B" w:rsidRPr="00B52C14" w:rsidRDefault="0022688B" w:rsidP="008D7713">
      <w:pPr>
        <w:pStyle w:val="FootnoteText"/>
        <w:ind w:left="288" w:hanging="288"/>
        <w:rPr>
          <w:lang w:val="en-ZW"/>
        </w:rPr>
      </w:pPr>
      <w:r>
        <w:rPr>
          <w:rStyle w:val="FootnoteReference"/>
        </w:rPr>
        <w:footnoteRef/>
      </w:r>
      <w:r w:rsidR="0040440E">
        <w:tab/>
      </w:r>
      <w:r>
        <w:rPr>
          <w:lang w:val="en-ZW"/>
        </w:rPr>
        <w:t>D.22-06-050 at</w:t>
      </w:r>
      <w:r w:rsidR="0040440E">
        <w:rPr>
          <w:lang w:val="en-ZW"/>
        </w:rPr>
        <w:t> </w:t>
      </w:r>
      <w:r>
        <w:rPr>
          <w:lang w:val="en-ZW"/>
        </w:rPr>
        <w:t>99.</w:t>
      </w:r>
    </w:p>
  </w:footnote>
  <w:footnote w:id="87">
    <w:p w14:paraId="68168583" w14:textId="6FDC9076" w:rsidR="0022688B" w:rsidRPr="00044815" w:rsidRDefault="0022688B" w:rsidP="008D7713">
      <w:pPr>
        <w:pStyle w:val="FootnoteText"/>
        <w:ind w:left="288" w:hanging="288"/>
        <w:rPr>
          <w:lang w:val="en-ZW"/>
        </w:rPr>
      </w:pPr>
      <w:r>
        <w:rPr>
          <w:rStyle w:val="FootnoteReference"/>
        </w:rPr>
        <w:footnoteRef/>
      </w:r>
      <w:r w:rsidR="0040440E">
        <w:tab/>
      </w:r>
      <w:r>
        <w:rPr>
          <w:lang w:val="en-ZW"/>
        </w:rPr>
        <w:t>WG Report at</w:t>
      </w:r>
      <w:r w:rsidR="0040440E">
        <w:rPr>
          <w:lang w:val="en-ZW"/>
        </w:rPr>
        <w:t> </w:t>
      </w:r>
      <w:r>
        <w:rPr>
          <w:lang w:val="en-ZW"/>
        </w:rPr>
        <w:t>24.</w:t>
      </w:r>
    </w:p>
  </w:footnote>
  <w:footnote w:id="88">
    <w:p w14:paraId="430CE47B" w14:textId="35F396F7" w:rsidR="0022688B" w:rsidRPr="00194617" w:rsidRDefault="0022688B" w:rsidP="008D7713">
      <w:pPr>
        <w:pStyle w:val="FootnoteText"/>
        <w:ind w:left="288" w:hanging="288"/>
        <w:rPr>
          <w:lang w:val="en-ZW"/>
        </w:rPr>
      </w:pPr>
      <w:r>
        <w:rPr>
          <w:rStyle w:val="FootnoteReference"/>
        </w:rPr>
        <w:footnoteRef/>
      </w:r>
      <w:r w:rsidR="0040440E">
        <w:tab/>
      </w:r>
      <w:r>
        <w:rPr>
          <w:lang w:val="en-ZW"/>
        </w:rPr>
        <w:t>IEP Opening</w:t>
      </w:r>
      <w:r w:rsidR="0040440E">
        <w:rPr>
          <w:lang w:val="en-ZW"/>
        </w:rPr>
        <w:t> </w:t>
      </w:r>
      <w:r>
        <w:rPr>
          <w:lang w:val="en-ZW"/>
        </w:rPr>
        <w:t>Comments at</w:t>
      </w:r>
      <w:r w:rsidR="0040440E">
        <w:rPr>
          <w:lang w:val="en-ZW"/>
        </w:rPr>
        <w:t> </w:t>
      </w:r>
      <w:r>
        <w:rPr>
          <w:lang w:val="en-ZW"/>
        </w:rPr>
        <w:t>9.</w:t>
      </w:r>
    </w:p>
  </w:footnote>
  <w:footnote w:id="89">
    <w:p w14:paraId="60A6201E" w14:textId="6099B516" w:rsidR="0022688B" w:rsidRPr="00AA4C85" w:rsidRDefault="0022688B" w:rsidP="008D7713">
      <w:pPr>
        <w:pStyle w:val="FootnoteText"/>
        <w:ind w:left="288" w:hanging="288"/>
        <w:rPr>
          <w:lang w:val="en-ZW"/>
        </w:rPr>
      </w:pPr>
      <w:r>
        <w:rPr>
          <w:rStyle w:val="FootnoteReference"/>
        </w:rPr>
        <w:footnoteRef/>
      </w:r>
      <w:r w:rsidR="0040440E">
        <w:tab/>
      </w:r>
      <w:r>
        <w:rPr>
          <w:lang w:val="en-ZW"/>
        </w:rPr>
        <w:t xml:space="preserve">CAISO Opening Comments at 9, </w:t>
      </w:r>
      <w:proofErr w:type="spellStart"/>
      <w:r>
        <w:rPr>
          <w:lang w:val="en-ZW"/>
        </w:rPr>
        <w:t>CalCCA</w:t>
      </w:r>
      <w:proofErr w:type="spellEnd"/>
      <w:r>
        <w:rPr>
          <w:lang w:val="en-ZW"/>
        </w:rPr>
        <w:t xml:space="preserve"> Opening</w:t>
      </w:r>
      <w:r w:rsidRPr="00FD406B">
        <w:rPr>
          <w:lang w:val="en-ZW"/>
        </w:rPr>
        <w:t xml:space="preserve"> </w:t>
      </w:r>
      <w:r>
        <w:rPr>
          <w:lang w:val="en-ZW"/>
        </w:rPr>
        <w:t>Comments at 15,</w:t>
      </w:r>
      <w:r w:rsidRPr="00CD0BDD">
        <w:rPr>
          <w:lang w:val="en-ZW"/>
        </w:rPr>
        <w:t xml:space="preserve"> </w:t>
      </w:r>
      <w:proofErr w:type="spellStart"/>
      <w:r>
        <w:rPr>
          <w:lang w:val="en-ZW"/>
        </w:rPr>
        <w:t>Fervo</w:t>
      </w:r>
      <w:proofErr w:type="spellEnd"/>
      <w:r>
        <w:rPr>
          <w:lang w:val="en-ZW"/>
        </w:rPr>
        <w:t xml:space="preserve"> Opening</w:t>
      </w:r>
      <w:r w:rsidR="0040440E">
        <w:rPr>
          <w:lang w:val="en-ZW"/>
        </w:rPr>
        <w:t> </w:t>
      </w:r>
      <w:r>
        <w:rPr>
          <w:lang w:val="en-ZW"/>
        </w:rPr>
        <w:t>Comments at 4,</w:t>
      </w:r>
      <w:r w:rsidRPr="000932CC">
        <w:rPr>
          <w:lang w:val="en-ZW"/>
        </w:rPr>
        <w:t xml:space="preserve"> </w:t>
      </w:r>
      <w:r>
        <w:rPr>
          <w:lang w:val="en-ZW"/>
        </w:rPr>
        <w:t>MRP Opening Comments at 18, NRDC Reply Comments at</w:t>
      </w:r>
      <w:r w:rsidR="0040440E">
        <w:rPr>
          <w:lang w:val="en-ZW"/>
        </w:rPr>
        <w:t> </w:t>
      </w:r>
      <w:r>
        <w:rPr>
          <w:lang w:val="en-ZW"/>
        </w:rPr>
        <w:t>5, PG&amp;E Opening</w:t>
      </w:r>
      <w:r w:rsidR="0040440E">
        <w:rPr>
          <w:lang w:val="en-ZW"/>
        </w:rPr>
        <w:t> </w:t>
      </w:r>
      <w:r>
        <w:rPr>
          <w:lang w:val="en-ZW"/>
        </w:rPr>
        <w:t>Comments at</w:t>
      </w:r>
      <w:r w:rsidR="0040440E">
        <w:rPr>
          <w:lang w:val="en-ZW"/>
        </w:rPr>
        <w:t> </w:t>
      </w:r>
      <w:r>
        <w:rPr>
          <w:lang w:val="en-ZW"/>
        </w:rPr>
        <w:t>7.</w:t>
      </w:r>
      <w:r w:rsidRPr="000932CC">
        <w:rPr>
          <w:lang w:val="en-ZW"/>
        </w:rPr>
        <w:t xml:space="preserve"> </w:t>
      </w:r>
    </w:p>
  </w:footnote>
  <w:footnote w:id="90">
    <w:p w14:paraId="602B0C24" w14:textId="298CCBDC" w:rsidR="0022688B" w:rsidRPr="00BE61A3" w:rsidRDefault="0022688B" w:rsidP="008D7713">
      <w:pPr>
        <w:pStyle w:val="FootnoteText"/>
        <w:ind w:left="288" w:hanging="288"/>
        <w:rPr>
          <w:lang w:val="en-ZW"/>
        </w:rPr>
      </w:pPr>
      <w:r>
        <w:rPr>
          <w:rStyle w:val="FootnoteReference"/>
        </w:rPr>
        <w:footnoteRef/>
      </w:r>
      <w:r w:rsidR="0040440E">
        <w:tab/>
      </w:r>
      <w:proofErr w:type="spellStart"/>
      <w:r>
        <w:rPr>
          <w:lang w:val="en-ZW"/>
        </w:rPr>
        <w:t>AReM</w:t>
      </w:r>
      <w:proofErr w:type="spellEnd"/>
      <w:r>
        <w:rPr>
          <w:lang w:val="en-ZW"/>
        </w:rPr>
        <w:t xml:space="preserve"> Opening</w:t>
      </w:r>
      <w:r w:rsidR="0040440E">
        <w:rPr>
          <w:lang w:val="en-ZW"/>
        </w:rPr>
        <w:t> </w:t>
      </w:r>
      <w:r>
        <w:rPr>
          <w:lang w:val="en-ZW"/>
        </w:rPr>
        <w:t>Comments at</w:t>
      </w:r>
      <w:r w:rsidR="0040440E">
        <w:rPr>
          <w:lang w:val="en-ZW"/>
        </w:rPr>
        <w:t> </w:t>
      </w:r>
      <w:r>
        <w:rPr>
          <w:lang w:val="en-ZW"/>
        </w:rPr>
        <w:t>4,</w:t>
      </w:r>
      <w:r w:rsidRPr="000932CC">
        <w:rPr>
          <w:lang w:val="en-ZW"/>
        </w:rPr>
        <w:t xml:space="preserve"> </w:t>
      </w:r>
      <w:r>
        <w:rPr>
          <w:lang w:val="en-ZW"/>
        </w:rPr>
        <w:t>Cal</w:t>
      </w:r>
      <w:r w:rsidR="0040440E">
        <w:rPr>
          <w:lang w:val="en-ZW"/>
        </w:rPr>
        <w:t> </w:t>
      </w:r>
      <w:r>
        <w:rPr>
          <w:lang w:val="en-ZW"/>
        </w:rPr>
        <w:t>Advocates Opening</w:t>
      </w:r>
      <w:r w:rsidR="0040440E">
        <w:rPr>
          <w:lang w:val="en-ZW"/>
        </w:rPr>
        <w:t> </w:t>
      </w:r>
      <w:r>
        <w:rPr>
          <w:lang w:val="en-ZW"/>
        </w:rPr>
        <w:t>Comments at</w:t>
      </w:r>
      <w:r w:rsidR="0040440E">
        <w:rPr>
          <w:lang w:val="en-ZW"/>
        </w:rPr>
        <w:t> </w:t>
      </w:r>
      <w:r>
        <w:rPr>
          <w:lang w:val="en-ZW"/>
        </w:rPr>
        <w:t>14,</w:t>
      </w:r>
      <w:r w:rsidRPr="000932CC">
        <w:rPr>
          <w:lang w:val="en-ZW"/>
        </w:rPr>
        <w:t xml:space="preserve"> </w:t>
      </w:r>
      <w:r>
        <w:rPr>
          <w:lang w:val="en-ZW"/>
        </w:rPr>
        <w:t>GPI Reply</w:t>
      </w:r>
      <w:r w:rsidR="0040440E">
        <w:rPr>
          <w:lang w:val="en-ZW"/>
        </w:rPr>
        <w:t> </w:t>
      </w:r>
      <w:r>
        <w:rPr>
          <w:lang w:val="en-ZW"/>
        </w:rPr>
        <w:t>Comments at</w:t>
      </w:r>
      <w:r w:rsidR="0040440E">
        <w:rPr>
          <w:lang w:val="en-ZW"/>
        </w:rPr>
        <w:t> </w:t>
      </w:r>
      <w:r>
        <w:rPr>
          <w:lang w:val="en-ZW"/>
        </w:rPr>
        <w:t>3.</w:t>
      </w:r>
    </w:p>
  </w:footnote>
  <w:footnote w:id="91">
    <w:p w14:paraId="6E7DBAD6" w14:textId="3EDBB3B6" w:rsidR="0022688B" w:rsidRPr="00474E0C" w:rsidRDefault="0022688B" w:rsidP="008D7713">
      <w:pPr>
        <w:pStyle w:val="FootnoteText"/>
        <w:ind w:left="288" w:hanging="288"/>
        <w:rPr>
          <w:lang w:val="en-ZW"/>
        </w:rPr>
      </w:pPr>
      <w:r>
        <w:rPr>
          <w:rStyle w:val="FootnoteReference"/>
        </w:rPr>
        <w:footnoteRef/>
      </w:r>
      <w:r w:rsidR="0040440E">
        <w:tab/>
      </w:r>
      <w:r>
        <w:rPr>
          <w:lang w:val="en-ZW"/>
        </w:rPr>
        <w:t>CESA Opening</w:t>
      </w:r>
      <w:r w:rsidR="0040440E">
        <w:rPr>
          <w:lang w:val="en-ZW"/>
        </w:rPr>
        <w:t> </w:t>
      </w:r>
      <w:r>
        <w:rPr>
          <w:lang w:val="en-ZW"/>
        </w:rPr>
        <w:t>Comments at</w:t>
      </w:r>
      <w:r w:rsidR="0040440E">
        <w:rPr>
          <w:lang w:val="en-ZW"/>
        </w:rPr>
        <w:t> </w:t>
      </w:r>
      <w:r>
        <w:rPr>
          <w:lang w:val="en-ZW"/>
        </w:rPr>
        <w:t>12,</w:t>
      </w:r>
      <w:r w:rsidRPr="00CD0BDD">
        <w:rPr>
          <w:lang w:val="en-ZW"/>
        </w:rPr>
        <w:t xml:space="preserve"> </w:t>
      </w:r>
      <w:proofErr w:type="spellStart"/>
      <w:r>
        <w:rPr>
          <w:lang w:val="en-ZW"/>
        </w:rPr>
        <w:t>Hydrostor</w:t>
      </w:r>
      <w:proofErr w:type="spellEnd"/>
      <w:r>
        <w:rPr>
          <w:lang w:val="en-ZW"/>
        </w:rPr>
        <w:t xml:space="preserve"> Opening</w:t>
      </w:r>
      <w:r w:rsidR="0040440E">
        <w:rPr>
          <w:lang w:val="en-ZW"/>
        </w:rPr>
        <w:t> </w:t>
      </w:r>
      <w:r>
        <w:rPr>
          <w:lang w:val="en-ZW"/>
        </w:rPr>
        <w:t>Comments at</w:t>
      </w:r>
      <w:r w:rsidR="0040440E">
        <w:rPr>
          <w:lang w:val="en-ZW"/>
        </w:rPr>
        <w:t> </w:t>
      </w:r>
      <w:r>
        <w:rPr>
          <w:lang w:val="en-ZW"/>
        </w:rPr>
        <w:t>2, MRP Opening</w:t>
      </w:r>
      <w:r w:rsidR="0040440E">
        <w:rPr>
          <w:lang w:val="en-ZW"/>
        </w:rPr>
        <w:t> </w:t>
      </w:r>
      <w:r>
        <w:rPr>
          <w:lang w:val="en-ZW"/>
        </w:rPr>
        <w:t>Comments at</w:t>
      </w:r>
      <w:r w:rsidR="0040440E">
        <w:rPr>
          <w:lang w:val="en-ZW"/>
        </w:rPr>
        <w:t> </w:t>
      </w:r>
      <w:r>
        <w:rPr>
          <w:lang w:val="en-ZW"/>
        </w:rPr>
        <w:t>18.</w:t>
      </w:r>
    </w:p>
  </w:footnote>
  <w:footnote w:id="92">
    <w:p w14:paraId="687583F3" w14:textId="075E9E2E" w:rsidR="0022688B" w:rsidRPr="002B0BC0" w:rsidRDefault="0022688B" w:rsidP="008D7713">
      <w:pPr>
        <w:pStyle w:val="FootnoteText"/>
        <w:ind w:left="288" w:hanging="288"/>
        <w:rPr>
          <w:lang w:val="en-ZW"/>
        </w:rPr>
      </w:pPr>
      <w:r>
        <w:rPr>
          <w:rStyle w:val="FootnoteReference"/>
        </w:rPr>
        <w:footnoteRef/>
      </w:r>
      <w:r w:rsidR="0040440E">
        <w:tab/>
      </w:r>
      <w:r>
        <w:rPr>
          <w:lang w:val="en-ZW"/>
        </w:rPr>
        <w:t>D.22-06-050 at</w:t>
      </w:r>
      <w:r w:rsidR="0040440E">
        <w:rPr>
          <w:lang w:val="en-ZW"/>
        </w:rPr>
        <w:t> </w:t>
      </w:r>
      <w:r>
        <w:rPr>
          <w:lang w:val="en-ZW"/>
        </w:rPr>
        <w:t>98.</w:t>
      </w:r>
    </w:p>
  </w:footnote>
  <w:footnote w:id="93">
    <w:p w14:paraId="53A2E49E" w14:textId="5BF575F2" w:rsidR="008D2A60" w:rsidRPr="001D7D14" w:rsidRDefault="008D2A60" w:rsidP="008D7713">
      <w:pPr>
        <w:pStyle w:val="FootnoteText"/>
        <w:ind w:left="288" w:hanging="288"/>
        <w:rPr>
          <w:lang w:val="en-ZW"/>
        </w:rPr>
      </w:pPr>
      <w:r>
        <w:rPr>
          <w:rStyle w:val="FootnoteReference"/>
        </w:rPr>
        <w:footnoteRef/>
      </w:r>
      <w:r>
        <w:t xml:space="preserve"> </w:t>
      </w:r>
      <w:r>
        <w:tab/>
      </w:r>
      <w:r w:rsidRPr="001D7D14">
        <w:rPr>
          <w:i/>
          <w:iCs/>
          <w:lang w:val="en-ZW"/>
        </w:rPr>
        <w:t>See</w:t>
      </w:r>
      <w:r>
        <w:rPr>
          <w:lang w:val="en-ZW"/>
        </w:rPr>
        <w:t xml:space="preserve"> </w:t>
      </w:r>
      <w:r w:rsidR="00EA04E5" w:rsidRPr="00CA46DC">
        <w:rPr>
          <w:i/>
          <w:iCs/>
          <w:lang w:val="en-ZW"/>
        </w:rPr>
        <w:t>id</w:t>
      </w:r>
      <w:r w:rsidR="00EA04E5">
        <w:rPr>
          <w:lang w:val="en-ZW"/>
        </w:rPr>
        <w:t>.</w:t>
      </w:r>
      <w:r>
        <w:rPr>
          <w:lang w:val="en-ZW"/>
        </w:rPr>
        <w:t xml:space="preserve"> at 84.</w:t>
      </w:r>
    </w:p>
  </w:footnote>
  <w:footnote w:id="94">
    <w:p w14:paraId="51B58316" w14:textId="7C1BA397" w:rsidR="0022688B" w:rsidRPr="00734F93" w:rsidRDefault="0022688B" w:rsidP="008D7713">
      <w:pPr>
        <w:pStyle w:val="FootnoteText"/>
        <w:ind w:left="288" w:hanging="288"/>
        <w:rPr>
          <w:lang w:val="en-ZW"/>
        </w:rPr>
      </w:pPr>
      <w:r>
        <w:rPr>
          <w:rStyle w:val="FootnoteReference"/>
        </w:rPr>
        <w:footnoteRef/>
      </w:r>
      <w:r w:rsidR="007F7C0E">
        <w:rPr>
          <w:lang w:val="en-ZW"/>
        </w:rPr>
        <w:tab/>
      </w:r>
      <w:r w:rsidR="00EA04E5" w:rsidRPr="00CA46DC">
        <w:rPr>
          <w:i/>
          <w:iCs/>
          <w:lang w:val="en-ZW"/>
        </w:rPr>
        <w:t>Id</w:t>
      </w:r>
      <w:r w:rsidR="00EA04E5">
        <w:rPr>
          <w:lang w:val="en-ZW"/>
        </w:rPr>
        <w:t>.</w:t>
      </w:r>
      <w:r>
        <w:rPr>
          <w:lang w:val="en-ZW"/>
        </w:rPr>
        <w:t xml:space="preserve"> at 86.</w:t>
      </w:r>
    </w:p>
  </w:footnote>
  <w:footnote w:id="95">
    <w:p w14:paraId="3B72C347" w14:textId="37B40067" w:rsidR="0022688B" w:rsidRPr="00734F93" w:rsidRDefault="0022688B" w:rsidP="008D7713">
      <w:pPr>
        <w:pStyle w:val="FootnoteText"/>
        <w:ind w:left="288" w:hanging="288"/>
        <w:rPr>
          <w:lang w:val="en-ZW"/>
        </w:rPr>
      </w:pPr>
      <w:r>
        <w:rPr>
          <w:rStyle w:val="FootnoteReference"/>
        </w:rPr>
        <w:footnoteRef/>
      </w:r>
      <w:r w:rsidR="007F7C0E">
        <w:tab/>
      </w:r>
      <w:r w:rsidR="00EA04E5" w:rsidRPr="00CA46DC">
        <w:rPr>
          <w:i/>
          <w:iCs/>
          <w:lang w:val="en-ZW"/>
        </w:rPr>
        <w:t>Id</w:t>
      </w:r>
      <w:r>
        <w:rPr>
          <w:lang w:val="en-ZW"/>
        </w:rPr>
        <w:t>.</w:t>
      </w:r>
    </w:p>
  </w:footnote>
  <w:footnote w:id="96">
    <w:p w14:paraId="3CBA3DEE" w14:textId="55C9A0CB" w:rsidR="0022688B" w:rsidRPr="00330DA2" w:rsidRDefault="0022688B" w:rsidP="008D7713">
      <w:pPr>
        <w:pStyle w:val="FootnoteText"/>
        <w:ind w:left="288" w:hanging="288"/>
        <w:rPr>
          <w:lang w:val="en-ZW"/>
        </w:rPr>
      </w:pPr>
      <w:r>
        <w:rPr>
          <w:rStyle w:val="FootnoteReference"/>
        </w:rPr>
        <w:footnoteRef/>
      </w:r>
      <w:r w:rsidR="007F7C0E">
        <w:tab/>
      </w:r>
      <w:r w:rsidRPr="00E96DE8">
        <w:rPr>
          <w:i/>
          <w:iCs/>
          <w:lang w:val="en-ZW"/>
        </w:rPr>
        <w:t>Id</w:t>
      </w:r>
      <w:r>
        <w:rPr>
          <w:lang w:val="en-ZW"/>
        </w:rPr>
        <w:t>. at 87.</w:t>
      </w:r>
    </w:p>
  </w:footnote>
  <w:footnote w:id="97">
    <w:p w14:paraId="4FE6A3B5" w14:textId="00C35067" w:rsidR="0022688B" w:rsidRPr="00D266AF" w:rsidRDefault="0022688B" w:rsidP="008D7713">
      <w:pPr>
        <w:pStyle w:val="FootnoteText"/>
        <w:ind w:left="288" w:hanging="288"/>
        <w:rPr>
          <w:lang w:val="en-ZW"/>
        </w:rPr>
      </w:pPr>
      <w:r>
        <w:rPr>
          <w:rStyle w:val="FootnoteReference"/>
        </w:rPr>
        <w:footnoteRef/>
      </w:r>
      <w:r w:rsidR="007F7C0E">
        <w:tab/>
      </w:r>
      <w:r w:rsidRPr="00411F0D">
        <w:rPr>
          <w:i/>
          <w:iCs/>
          <w:lang w:val="en-ZW"/>
        </w:rPr>
        <w:t>Id</w:t>
      </w:r>
      <w:r>
        <w:rPr>
          <w:lang w:val="en-ZW"/>
        </w:rPr>
        <w:t>.</w:t>
      </w:r>
    </w:p>
  </w:footnote>
  <w:footnote w:id="98">
    <w:p w14:paraId="653631E5" w14:textId="46C0E392" w:rsidR="0022688B" w:rsidRPr="00D266AF" w:rsidRDefault="0022688B" w:rsidP="008D7713">
      <w:pPr>
        <w:pStyle w:val="FootnoteText"/>
        <w:ind w:left="288" w:hanging="288"/>
        <w:rPr>
          <w:lang w:val="en-ZW"/>
        </w:rPr>
      </w:pPr>
      <w:r>
        <w:rPr>
          <w:rStyle w:val="FootnoteReference"/>
        </w:rPr>
        <w:footnoteRef/>
      </w:r>
      <w:r w:rsidR="007F7C0E">
        <w:tab/>
      </w:r>
      <w:r w:rsidR="00EA04E5" w:rsidRPr="00CA46DC">
        <w:rPr>
          <w:i/>
          <w:iCs/>
          <w:lang w:val="en-ZW"/>
        </w:rPr>
        <w:t>Id</w:t>
      </w:r>
      <w:r w:rsidR="00EA04E5">
        <w:rPr>
          <w:lang w:val="en-ZW"/>
        </w:rPr>
        <w:t>.</w:t>
      </w:r>
      <w:r>
        <w:rPr>
          <w:lang w:val="en-ZW"/>
        </w:rPr>
        <w:t xml:space="preserve"> at 86. </w:t>
      </w:r>
    </w:p>
  </w:footnote>
  <w:footnote w:id="99">
    <w:p w14:paraId="6B24FCD3" w14:textId="1A2403D8" w:rsidR="0022688B" w:rsidRPr="001B2DFE" w:rsidRDefault="0022688B" w:rsidP="008D7713">
      <w:pPr>
        <w:pStyle w:val="FootnoteText"/>
        <w:ind w:left="288" w:hanging="288"/>
        <w:rPr>
          <w:lang w:val="en-ZW"/>
        </w:rPr>
      </w:pPr>
      <w:r>
        <w:rPr>
          <w:rStyle w:val="FootnoteReference"/>
        </w:rPr>
        <w:footnoteRef/>
      </w:r>
      <w:r w:rsidR="007F7C0E">
        <w:tab/>
      </w:r>
      <w:proofErr w:type="spellStart"/>
      <w:r>
        <w:rPr>
          <w:lang w:val="en-ZW"/>
        </w:rPr>
        <w:t>CalCCA</w:t>
      </w:r>
      <w:proofErr w:type="spellEnd"/>
      <w:r>
        <w:rPr>
          <w:lang w:val="en-ZW"/>
        </w:rPr>
        <w:t xml:space="preserve"> Reply</w:t>
      </w:r>
      <w:r w:rsidR="007F7C0E">
        <w:rPr>
          <w:lang w:val="en-ZW"/>
        </w:rPr>
        <w:t> </w:t>
      </w:r>
      <w:r>
        <w:rPr>
          <w:lang w:val="en-ZW"/>
        </w:rPr>
        <w:t>Comments at</w:t>
      </w:r>
      <w:r w:rsidR="007F7C0E">
        <w:rPr>
          <w:lang w:val="en-ZW"/>
        </w:rPr>
        <w:t> </w:t>
      </w:r>
      <w:r>
        <w:rPr>
          <w:lang w:val="en-ZW"/>
        </w:rPr>
        <w:t>5, Cal</w:t>
      </w:r>
      <w:r w:rsidR="007F7C0E">
        <w:rPr>
          <w:lang w:val="en-ZW"/>
        </w:rPr>
        <w:t> </w:t>
      </w:r>
      <w:r>
        <w:rPr>
          <w:lang w:val="en-ZW"/>
        </w:rPr>
        <w:t>Advocates Opening</w:t>
      </w:r>
      <w:r w:rsidR="007F7C0E">
        <w:rPr>
          <w:lang w:val="en-ZW"/>
        </w:rPr>
        <w:t> </w:t>
      </w:r>
      <w:r>
        <w:rPr>
          <w:lang w:val="en-ZW"/>
        </w:rPr>
        <w:t>Comments at</w:t>
      </w:r>
      <w:r w:rsidR="007F7C0E">
        <w:rPr>
          <w:lang w:val="en-ZW"/>
        </w:rPr>
        <w:t> </w:t>
      </w:r>
      <w:r>
        <w:rPr>
          <w:lang w:val="en-ZW"/>
        </w:rPr>
        <w:t>13, PG&amp;E Opening</w:t>
      </w:r>
      <w:r w:rsidR="007F7C0E">
        <w:rPr>
          <w:lang w:val="en-ZW"/>
        </w:rPr>
        <w:t> </w:t>
      </w:r>
      <w:r>
        <w:rPr>
          <w:lang w:val="en-ZW"/>
        </w:rPr>
        <w:t>Comments at</w:t>
      </w:r>
      <w:r w:rsidR="007F7C0E">
        <w:rPr>
          <w:lang w:val="en-ZW"/>
        </w:rPr>
        <w:t> </w:t>
      </w:r>
      <w:r>
        <w:rPr>
          <w:lang w:val="en-ZW"/>
        </w:rPr>
        <w:t>6.</w:t>
      </w:r>
    </w:p>
  </w:footnote>
  <w:footnote w:id="100">
    <w:p w14:paraId="0504144E" w14:textId="2C7E0459" w:rsidR="0022688B" w:rsidRPr="00665F0E" w:rsidRDefault="0022688B" w:rsidP="008D7713">
      <w:pPr>
        <w:pStyle w:val="FootnoteText"/>
        <w:ind w:left="288" w:hanging="288"/>
        <w:rPr>
          <w:lang w:val="en-ZW"/>
        </w:rPr>
      </w:pPr>
      <w:r>
        <w:rPr>
          <w:rStyle w:val="FootnoteReference"/>
        </w:rPr>
        <w:footnoteRef/>
      </w:r>
      <w:r w:rsidR="007F7C0E">
        <w:tab/>
      </w:r>
      <w:r>
        <w:rPr>
          <w:lang w:val="en-ZW"/>
        </w:rPr>
        <w:t>MRP Opening</w:t>
      </w:r>
      <w:r w:rsidR="007F7C0E">
        <w:rPr>
          <w:lang w:val="en-ZW"/>
        </w:rPr>
        <w:t> </w:t>
      </w:r>
      <w:r>
        <w:rPr>
          <w:lang w:val="en-ZW"/>
        </w:rPr>
        <w:t>Comments at</w:t>
      </w:r>
      <w:r w:rsidR="007F7C0E">
        <w:rPr>
          <w:lang w:val="en-ZW"/>
        </w:rPr>
        <w:t> </w:t>
      </w:r>
      <w:r>
        <w:rPr>
          <w:lang w:val="en-ZW"/>
        </w:rPr>
        <w:t>16.</w:t>
      </w:r>
    </w:p>
  </w:footnote>
  <w:footnote w:id="101">
    <w:p w14:paraId="3A50AAD2" w14:textId="7BD6FE2F" w:rsidR="0022688B" w:rsidRPr="00C50423" w:rsidRDefault="0022688B" w:rsidP="008D7713">
      <w:pPr>
        <w:pStyle w:val="FootnoteText"/>
        <w:ind w:left="288" w:hanging="288"/>
        <w:rPr>
          <w:lang w:val="en-ZW"/>
        </w:rPr>
      </w:pPr>
      <w:r>
        <w:rPr>
          <w:rStyle w:val="FootnoteReference"/>
        </w:rPr>
        <w:footnoteRef/>
      </w:r>
      <w:r w:rsidR="007F7C0E">
        <w:tab/>
      </w:r>
      <w:r>
        <w:rPr>
          <w:lang w:val="en-ZW"/>
        </w:rPr>
        <w:t>WG Report at 85.</w:t>
      </w:r>
    </w:p>
  </w:footnote>
  <w:footnote w:id="102">
    <w:p w14:paraId="43B61541" w14:textId="646016D9" w:rsidR="0022688B" w:rsidRPr="006F4622" w:rsidRDefault="0022688B" w:rsidP="008D7713">
      <w:pPr>
        <w:pStyle w:val="FootnoteText"/>
        <w:ind w:left="288" w:hanging="288"/>
        <w:rPr>
          <w:lang w:val="en-ZW"/>
        </w:rPr>
      </w:pPr>
      <w:r>
        <w:rPr>
          <w:rStyle w:val="FootnoteReference"/>
        </w:rPr>
        <w:footnoteRef/>
      </w:r>
      <w:r w:rsidR="007F7C0E">
        <w:tab/>
      </w:r>
      <w:r>
        <w:rPr>
          <w:lang w:val="en-ZW"/>
        </w:rPr>
        <w:t>AES Opening Comments at 5, Form Energy Opening Comments at</w:t>
      </w:r>
      <w:r w:rsidR="007F7C0E">
        <w:rPr>
          <w:lang w:val="en-ZW"/>
        </w:rPr>
        <w:t> </w:t>
      </w:r>
      <w:r>
        <w:rPr>
          <w:lang w:val="en-ZW"/>
        </w:rPr>
        <w:t>2.</w:t>
      </w:r>
    </w:p>
  </w:footnote>
  <w:footnote w:id="103">
    <w:p w14:paraId="3B5A25B9" w14:textId="647A4895" w:rsidR="0022688B" w:rsidRPr="00E83FC8" w:rsidRDefault="0022688B" w:rsidP="008D7713">
      <w:pPr>
        <w:pStyle w:val="FootnoteText"/>
        <w:ind w:left="288" w:hanging="288"/>
        <w:rPr>
          <w:lang w:val="en-ZW"/>
        </w:rPr>
      </w:pPr>
      <w:r>
        <w:rPr>
          <w:rStyle w:val="FootnoteReference"/>
        </w:rPr>
        <w:footnoteRef/>
      </w:r>
      <w:r w:rsidR="007F7C0E">
        <w:tab/>
      </w:r>
      <w:r>
        <w:rPr>
          <w:lang w:val="en-ZW"/>
        </w:rPr>
        <w:t>Cal Advocates Opening Comments at 13,</w:t>
      </w:r>
      <w:r w:rsidRPr="00AE5977">
        <w:rPr>
          <w:lang w:val="en-ZW"/>
        </w:rPr>
        <w:t xml:space="preserve"> </w:t>
      </w:r>
      <w:r>
        <w:rPr>
          <w:lang w:val="en-ZW"/>
        </w:rPr>
        <w:t>GPI Reply Comments at 5, IEP Reply Comments at</w:t>
      </w:r>
      <w:r w:rsidR="007F7C0E">
        <w:rPr>
          <w:lang w:val="en-ZW"/>
        </w:rPr>
        <w:t> </w:t>
      </w:r>
      <w:r>
        <w:rPr>
          <w:lang w:val="en-ZW"/>
        </w:rPr>
        <w:t>3, MRP Opening Comments at 17, PG&amp;E Opening</w:t>
      </w:r>
      <w:r w:rsidRPr="00AE5977">
        <w:rPr>
          <w:lang w:val="en-ZW"/>
        </w:rPr>
        <w:t xml:space="preserve"> </w:t>
      </w:r>
      <w:r>
        <w:rPr>
          <w:lang w:val="en-ZW"/>
        </w:rPr>
        <w:t>Comments at 7.</w:t>
      </w:r>
    </w:p>
  </w:footnote>
  <w:footnote w:id="104">
    <w:p w14:paraId="0C65EC26" w14:textId="7C5D3E11" w:rsidR="0022688B" w:rsidRPr="00B04EF4" w:rsidRDefault="0022688B" w:rsidP="008D7713">
      <w:pPr>
        <w:pStyle w:val="FootnoteText"/>
        <w:ind w:left="288" w:hanging="288"/>
        <w:rPr>
          <w:lang w:val="en-ZW"/>
        </w:rPr>
      </w:pPr>
      <w:r>
        <w:rPr>
          <w:rStyle w:val="FootnoteReference"/>
        </w:rPr>
        <w:footnoteRef/>
      </w:r>
      <w:r w:rsidR="007F7C0E">
        <w:tab/>
      </w:r>
      <w:r>
        <w:rPr>
          <w:lang w:val="en-ZW"/>
        </w:rPr>
        <w:t>Calpine Opening Comments at 3,</w:t>
      </w:r>
      <w:r w:rsidRPr="00E4591A">
        <w:rPr>
          <w:lang w:val="en-ZW"/>
        </w:rPr>
        <w:t xml:space="preserve"> </w:t>
      </w:r>
      <w:r>
        <w:rPr>
          <w:lang w:val="en-ZW"/>
        </w:rPr>
        <w:t>MRP Opening Comments at 16.</w:t>
      </w:r>
    </w:p>
  </w:footnote>
  <w:footnote w:id="105">
    <w:p w14:paraId="743A19F6" w14:textId="4BFBF112" w:rsidR="004D5D8A" w:rsidRPr="00330DA2" w:rsidRDefault="004D5D8A" w:rsidP="008D7713">
      <w:pPr>
        <w:pStyle w:val="FootnoteText"/>
        <w:ind w:left="288" w:hanging="288"/>
        <w:rPr>
          <w:lang w:val="en-ZW"/>
        </w:rPr>
      </w:pPr>
      <w:r>
        <w:rPr>
          <w:rStyle w:val="FootnoteReference"/>
        </w:rPr>
        <w:footnoteRef/>
      </w:r>
      <w:r>
        <w:tab/>
      </w:r>
      <w:r>
        <w:rPr>
          <w:lang w:val="en-ZW"/>
        </w:rPr>
        <w:t>D.22-06-050 at 87.</w:t>
      </w:r>
    </w:p>
  </w:footnote>
  <w:footnote w:id="106">
    <w:p w14:paraId="3D211B49" w14:textId="156F9F33" w:rsidR="0022688B" w:rsidRPr="008610F3" w:rsidRDefault="0022688B" w:rsidP="008D7713">
      <w:pPr>
        <w:pStyle w:val="FootnoteText"/>
        <w:ind w:left="288" w:hanging="288"/>
        <w:rPr>
          <w:lang w:val="en-ZW"/>
        </w:rPr>
      </w:pPr>
      <w:r>
        <w:rPr>
          <w:rStyle w:val="FootnoteReference"/>
        </w:rPr>
        <w:footnoteRef/>
      </w:r>
      <w:r w:rsidR="007F7C0E">
        <w:tab/>
      </w:r>
      <w:r>
        <w:t xml:space="preserve">D.21-06-035 at </w:t>
      </w:r>
      <w:r w:rsidR="00DC4120">
        <w:t>35.</w:t>
      </w:r>
    </w:p>
  </w:footnote>
  <w:footnote w:id="107">
    <w:p w14:paraId="3A20A32D" w14:textId="7903C04E" w:rsidR="0022688B" w:rsidRPr="00330DA2" w:rsidRDefault="0022688B" w:rsidP="008D7713">
      <w:pPr>
        <w:pStyle w:val="FootnoteText"/>
        <w:ind w:left="288" w:hanging="288"/>
        <w:rPr>
          <w:lang w:val="en-ZW"/>
        </w:rPr>
      </w:pPr>
      <w:r>
        <w:rPr>
          <w:rStyle w:val="FootnoteReference"/>
        </w:rPr>
        <w:footnoteRef/>
      </w:r>
      <w:r w:rsidR="007F7C0E">
        <w:tab/>
      </w:r>
      <w:r w:rsidR="00DC4120" w:rsidRPr="00CA46DC">
        <w:rPr>
          <w:i/>
          <w:iCs/>
        </w:rPr>
        <w:t>See</w:t>
      </w:r>
      <w:r w:rsidR="00DC4120">
        <w:t xml:space="preserve"> </w:t>
      </w:r>
      <w:r>
        <w:rPr>
          <w:lang w:val="en-ZW"/>
        </w:rPr>
        <w:t>D.22-06-050 at 86.</w:t>
      </w:r>
    </w:p>
  </w:footnote>
  <w:footnote w:id="108">
    <w:p w14:paraId="5179B6E8" w14:textId="53DB4ECB" w:rsidR="0022688B" w:rsidRPr="006B3B59" w:rsidRDefault="0022688B" w:rsidP="008D7713">
      <w:pPr>
        <w:pStyle w:val="FootnoteText"/>
        <w:ind w:left="288" w:hanging="288"/>
        <w:rPr>
          <w:lang w:val="en-ZW"/>
        </w:rPr>
      </w:pPr>
      <w:r>
        <w:rPr>
          <w:rStyle w:val="FootnoteReference"/>
        </w:rPr>
        <w:footnoteRef/>
      </w:r>
      <w:r w:rsidR="007F7C0E">
        <w:tab/>
      </w:r>
      <w:r w:rsidR="00EA04E5" w:rsidRPr="00CA46DC">
        <w:rPr>
          <w:i/>
          <w:iCs/>
          <w:lang w:val="en-ZW"/>
        </w:rPr>
        <w:t>Id</w:t>
      </w:r>
      <w:r w:rsidR="00EA04E5">
        <w:rPr>
          <w:lang w:val="en-ZW"/>
        </w:rPr>
        <w:t>.</w:t>
      </w:r>
      <w:r>
        <w:rPr>
          <w:lang w:val="en-ZW"/>
        </w:rPr>
        <w:t xml:space="preserve"> at 89.</w:t>
      </w:r>
    </w:p>
  </w:footnote>
  <w:footnote w:id="109">
    <w:p w14:paraId="456AB0CE" w14:textId="5EE31194" w:rsidR="0022688B" w:rsidRPr="000D7FB6" w:rsidRDefault="0022688B" w:rsidP="008D7713">
      <w:pPr>
        <w:pStyle w:val="FootnoteText"/>
        <w:ind w:left="288" w:hanging="288"/>
        <w:rPr>
          <w:lang w:val="en-ZW"/>
        </w:rPr>
      </w:pPr>
      <w:r>
        <w:rPr>
          <w:rStyle w:val="FootnoteReference"/>
        </w:rPr>
        <w:footnoteRef/>
      </w:r>
      <w:r w:rsidR="007F7C0E">
        <w:tab/>
      </w:r>
      <w:r>
        <w:rPr>
          <w:lang w:val="en-ZW"/>
        </w:rPr>
        <w:t>WG Report at 113.</w:t>
      </w:r>
    </w:p>
  </w:footnote>
  <w:footnote w:id="110">
    <w:p w14:paraId="290DB677" w14:textId="64FB04FC" w:rsidR="0022688B" w:rsidRPr="00E75615" w:rsidRDefault="0022688B" w:rsidP="008D7713">
      <w:pPr>
        <w:pStyle w:val="FootnoteText"/>
        <w:ind w:left="288" w:hanging="288"/>
        <w:rPr>
          <w:lang w:val="en-ZW"/>
        </w:rPr>
      </w:pPr>
      <w:r>
        <w:rPr>
          <w:rStyle w:val="FootnoteReference"/>
        </w:rPr>
        <w:footnoteRef/>
      </w:r>
      <w:r w:rsidR="00305204">
        <w:rPr>
          <w:lang w:val="en-ZW"/>
        </w:rPr>
        <w:tab/>
      </w:r>
      <w:r>
        <w:rPr>
          <w:lang w:val="en-ZW"/>
        </w:rPr>
        <w:t>MRP Opening Comments at 19.</w:t>
      </w:r>
    </w:p>
  </w:footnote>
  <w:footnote w:id="111">
    <w:p w14:paraId="609ED1B2" w14:textId="19663727" w:rsidR="0022688B" w:rsidRPr="004A4BFB" w:rsidRDefault="0022688B" w:rsidP="008D7713">
      <w:pPr>
        <w:pStyle w:val="FootnoteText"/>
        <w:ind w:left="288" w:hanging="288"/>
        <w:rPr>
          <w:lang w:val="en-ZW"/>
        </w:rPr>
      </w:pPr>
      <w:r>
        <w:rPr>
          <w:rStyle w:val="FootnoteReference"/>
        </w:rPr>
        <w:footnoteRef/>
      </w:r>
      <w:r w:rsidR="00305204">
        <w:tab/>
      </w:r>
      <w:r>
        <w:rPr>
          <w:lang w:val="en-ZW"/>
        </w:rPr>
        <w:t>D.22-08-039 at 11.</w:t>
      </w:r>
    </w:p>
  </w:footnote>
  <w:footnote w:id="112">
    <w:p w14:paraId="47DF8D34" w14:textId="5A637E32" w:rsidR="0022688B" w:rsidRPr="006F5842" w:rsidRDefault="0022688B" w:rsidP="008D7713">
      <w:pPr>
        <w:pStyle w:val="FootnoteText"/>
        <w:ind w:left="288" w:hanging="288"/>
        <w:rPr>
          <w:lang w:val="en-ZW"/>
        </w:rPr>
      </w:pPr>
      <w:r>
        <w:rPr>
          <w:rStyle w:val="FootnoteReference"/>
        </w:rPr>
        <w:footnoteRef/>
      </w:r>
      <w:r w:rsidR="00305204">
        <w:tab/>
      </w:r>
      <w:r w:rsidR="00EA04E5" w:rsidRPr="00CA46DC">
        <w:rPr>
          <w:i/>
          <w:iCs/>
          <w:lang w:val="en-ZW"/>
        </w:rPr>
        <w:t>Id</w:t>
      </w:r>
      <w:r w:rsidR="00EA04E5">
        <w:rPr>
          <w:lang w:val="en-ZW"/>
        </w:rPr>
        <w:t>.</w:t>
      </w:r>
      <w:r>
        <w:rPr>
          <w:lang w:val="en-ZW"/>
        </w:rPr>
        <w:t xml:space="preserve"> at OP 2</w:t>
      </w:r>
    </w:p>
  </w:footnote>
  <w:footnote w:id="113">
    <w:p w14:paraId="4830D235" w14:textId="29D465C9" w:rsidR="0022688B" w:rsidRPr="00A02F09" w:rsidRDefault="0022688B" w:rsidP="008D7713">
      <w:pPr>
        <w:pStyle w:val="FootnoteText"/>
        <w:ind w:left="288" w:hanging="288"/>
        <w:rPr>
          <w:lang w:val="en-ZW"/>
        </w:rPr>
      </w:pPr>
      <w:r>
        <w:rPr>
          <w:rStyle w:val="FootnoteReference"/>
        </w:rPr>
        <w:footnoteRef/>
      </w:r>
      <w:r w:rsidR="00305204">
        <w:tab/>
      </w:r>
      <w:r>
        <w:rPr>
          <w:lang w:val="en-ZW"/>
        </w:rPr>
        <w:t>WG Report at 97.</w:t>
      </w:r>
    </w:p>
  </w:footnote>
  <w:footnote w:id="114">
    <w:p w14:paraId="13FD05D0" w14:textId="6437A2F3" w:rsidR="0022688B" w:rsidRPr="0068615B" w:rsidRDefault="0022688B" w:rsidP="008D7713">
      <w:pPr>
        <w:pStyle w:val="FootnoteText"/>
        <w:ind w:left="288" w:hanging="288"/>
        <w:rPr>
          <w:lang w:val="en-ZW"/>
        </w:rPr>
      </w:pPr>
      <w:r>
        <w:rPr>
          <w:rStyle w:val="FootnoteReference"/>
        </w:rPr>
        <w:footnoteRef/>
      </w:r>
      <w:r w:rsidR="00305204">
        <w:tab/>
      </w:r>
      <w:r w:rsidR="00EA04E5" w:rsidRPr="00CA46DC">
        <w:rPr>
          <w:i/>
          <w:iCs/>
          <w:lang w:val="en-ZW"/>
        </w:rPr>
        <w:t>Id</w:t>
      </w:r>
      <w:r w:rsidR="00EA04E5">
        <w:rPr>
          <w:lang w:val="en-ZW"/>
        </w:rPr>
        <w:t>.</w:t>
      </w:r>
      <w:r>
        <w:rPr>
          <w:lang w:val="en-ZW"/>
        </w:rPr>
        <w:t xml:space="preserve"> at 98.</w:t>
      </w:r>
    </w:p>
  </w:footnote>
  <w:footnote w:id="115">
    <w:p w14:paraId="6CD4A5C5" w14:textId="6CBEB1EA" w:rsidR="0022688B" w:rsidRPr="00E25CA0" w:rsidRDefault="0022688B" w:rsidP="008D7713">
      <w:pPr>
        <w:pStyle w:val="FootnoteText"/>
        <w:ind w:left="288" w:hanging="288"/>
        <w:rPr>
          <w:lang w:val="en-ZW"/>
        </w:rPr>
      </w:pPr>
      <w:r>
        <w:rPr>
          <w:rStyle w:val="FootnoteReference"/>
        </w:rPr>
        <w:footnoteRef/>
      </w:r>
      <w:r w:rsidR="00305204">
        <w:tab/>
      </w:r>
      <w:r w:rsidR="00EA04E5" w:rsidRPr="00CA46DC">
        <w:rPr>
          <w:i/>
          <w:iCs/>
          <w:lang w:val="en-ZW"/>
        </w:rPr>
        <w:t>Id</w:t>
      </w:r>
      <w:r w:rsidR="00EA04E5">
        <w:rPr>
          <w:lang w:val="en-ZW"/>
        </w:rPr>
        <w:t>.</w:t>
      </w:r>
      <w:r>
        <w:rPr>
          <w:lang w:val="en-ZW"/>
        </w:rPr>
        <w:t xml:space="preserve"> at 100.</w:t>
      </w:r>
    </w:p>
  </w:footnote>
  <w:footnote w:id="116">
    <w:p w14:paraId="34E87306" w14:textId="6ABC3C7D" w:rsidR="0022688B" w:rsidRPr="0061015A" w:rsidRDefault="0022688B" w:rsidP="008D7713">
      <w:pPr>
        <w:pStyle w:val="FootnoteText"/>
        <w:ind w:left="288" w:hanging="288"/>
        <w:rPr>
          <w:lang w:val="en-ZW"/>
        </w:rPr>
      </w:pPr>
      <w:r>
        <w:rPr>
          <w:rStyle w:val="FootnoteReference"/>
        </w:rPr>
        <w:footnoteRef/>
      </w:r>
      <w:r w:rsidR="00305204">
        <w:tab/>
      </w:r>
      <w:r w:rsidR="00EA04E5" w:rsidRPr="00CA46DC">
        <w:rPr>
          <w:i/>
          <w:iCs/>
          <w:lang w:val="en-ZW"/>
        </w:rPr>
        <w:t>Id</w:t>
      </w:r>
      <w:r w:rsidR="00EA04E5">
        <w:rPr>
          <w:lang w:val="en-ZW"/>
        </w:rPr>
        <w:t xml:space="preserve">. </w:t>
      </w:r>
      <w:r>
        <w:rPr>
          <w:lang w:val="en-ZW"/>
        </w:rPr>
        <w:t>at 109.</w:t>
      </w:r>
    </w:p>
  </w:footnote>
  <w:footnote w:id="117">
    <w:p w14:paraId="54917BC7" w14:textId="64C5363A" w:rsidR="0022688B" w:rsidRPr="00A71021" w:rsidRDefault="0022688B" w:rsidP="008D7713">
      <w:pPr>
        <w:pStyle w:val="FootnoteText"/>
        <w:ind w:left="288" w:hanging="288"/>
        <w:rPr>
          <w:lang w:val="en-ZW"/>
        </w:rPr>
      </w:pPr>
      <w:r>
        <w:rPr>
          <w:rStyle w:val="FootnoteReference"/>
        </w:rPr>
        <w:footnoteRef/>
      </w:r>
      <w:r w:rsidR="00305204">
        <w:tab/>
      </w:r>
      <w:r>
        <w:rPr>
          <w:lang w:val="en-ZW"/>
        </w:rPr>
        <w:t xml:space="preserve">CLECA Opening Comments at 9, </w:t>
      </w:r>
      <w:proofErr w:type="spellStart"/>
      <w:r>
        <w:rPr>
          <w:lang w:val="en-ZW"/>
        </w:rPr>
        <w:t>OhmConnect</w:t>
      </w:r>
      <w:proofErr w:type="spellEnd"/>
      <w:r>
        <w:rPr>
          <w:lang w:val="en-ZW"/>
        </w:rPr>
        <w:t xml:space="preserve"> Reply Comments at 2,</w:t>
      </w:r>
      <w:r w:rsidRPr="00A02F09">
        <w:rPr>
          <w:lang w:val="en-ZW"/>
        </w:rPr>
        <w:t xml:space="preserve"> </w:t>
      </w:r>
      <w:r>
        <w:rPr>
          <w:lang w:val="en-ZW"/>
        </w:rPr>
        <w:t>SCE Opening</w:t>
      </w:r>
      <w:r w:rsidR="00305204">
        <w:rPr>
          <w:lang w:val="en-ZW"/>
        </w:rPr>
        <w:t> </w:t>
      </w:r>
      <w:r>
        <w:rPr>
          <w:lang w:val="en-ZW"/>
        </w:rPr>
        <w:t>Comments at</w:t>
      </w:r>
      <w:r w:rsidR="00305204">
        <w:rPr>
          <w:lang w:val="en-ZW"/>
        </w:rPr>
        <w:t> </w:t>
      </w:r>
      <w:r>
        <w:rPr>
          <w:lang w:val="en-ZW"/>
        </w:rPr>
        <w:t>1.</w:t>
      </w:r>
    </w:p>
  </w:footnote>
  <w:footnote w:id="118">
    <w:p w14:paraId="6C466FE2" w14:textId="06FD5A99" w:rsidR="0022688B" w:rsidRPr="001D5AE5" w:rsidRDefault="0022688B" w:rsidP="008D7713">
      <w:pPr>
        <w:pStyle w:val="FootnoteText"/>
        <w:ind w:left="288" w:hanging="288"/>
        <w:rPr>
          <w:lang w:val="en-ZW"/>
        </w:rPr>
      </w:pPr>
      <w:r>
        <w:rPr>
          <w:rStyle w:val="FootnoteReference"/>
        </w:rPr>
        <w:footnoteRef/>
      </w:r>
      <w:r w:rsidR="00305204">
        <w:tab/>
      </w:r>
      <w:r w:rsidR="00EA04E5" w:rsidRPr="00CA46DC">
        <w:rPr>
          <w:i/>
          <w:iCs/>
          <w:lang w:val="en-ZW"/>
        </w:rPr>
        <w:t>Id</w:t>
      </w:r>
      <w:r>
        <w:rPr>
          <w:lang w:val="en-ZW"/>
        </w:rPr>
        <w:t>.</w:t>
      </w:r>
    </w:p>
  </w:footnote>
  <w:footnote w:id="119">
    <w:p w14:paraId="653F3533" w14:textId="79DFE21A" w:rsidR="0022688B" w:rsidRPr="00053F23" w:rsidRDefault="0022688B" w:rsidP="008D7713">
      <w:pPr>
        <w:pStyle w:val="FootnoteText"/>
        <w:ind w:left="288" w:hanging="288"/>
        <w:rPr>
          <w:lang w:val="en-ZW"/>
        </w:rPr>
      </w:pPr>
      <w:r>
        <w:rPr>
          <w:rStyle w:val="FootnoteReference"/>
        </w:rPr>
        <w:footnoteRef/>
      </w:r>
      <w:r w:rsidR="00305204">
        <w:rPr>
          <w:lang w:val="en-ZW"/>
        </w:rPr>
        <w:tab/>
      </w:r>
      <w:r>
        <w:rPr>
          <w:lang w:val="en-ZW"/>
        </w:rPr>
        <w:t>PG&amp;E Opening Comments at 2.</w:t>
      </w:r>
    </w:p>
  </w:footnote>
  <w:footnote w:id="120">
    <w:p w14:paraId="44E8C85C" w14:textId="42E98D9D" w:rsidR="0022688B" w:rsidRPr="002A6B8C" w:rsidRDefault="0022688B" w:rsidP="008D7713">
      <w:pPr>
        <w:pStyle w:val="FootnoteText"/>
        <w:ind w:left="288" w:hanging="288"/>
        <w:rPr>
          <w:lang w:val="en-ZW"/>
        </w:rPr>
      </w:pPr>
      <w:r>
        <w:rPr>
          <w:rStyle w:val="FootnoteReference"/>
        </w:rPr>
        <w:footnoteRef/>
      </w:r>
      <w:r w:rsidR="00305204">
        <w:tab/>
      </w:r>
      <w:bookmarkStart w:id="50" w:name="_Hlk127905172"/>
      <w:r w:rsidR="00DC4120">
        <w:rPr>
          <w:lang w:val="en-ZW"/>
        </w:rPr>
        <w:t xml:space="preserve">SCE Opening Comments at 1, CLECA Opening Comments at </w:t>
      </w:r>
      <w:r w:rsidR="009129AD">
        <w:rPr>
          <w:lang w:val="en-ZW"/>
        </w:rPr>
        <w:t>8</w:t>
      </w:r>
      <w:r w:rsidR="00DC4120">
        <w:rPr>
          <w:lang w:val="en-ZW"/>
        </w:rPr>
        <w:t xml:space="preserve">, </w:t>
      </w:r>
      <w:proofErr w:type="spellStart"/>
      <w:r w:rsidR="00DC4120">
        <w:rPr>
          <w:lang w:val="en-ZW"/>
        </w:rPr>
        <w:t>OhmConnect</w:t>
      </w:r>
      <w:proofErr w:type="spellEnd"/>
      <w:r w:rsidR="00DC4120">
        <w:rPr>
          <w:lang w:val="en-ZW"/>
        </w:rPr>
        <w:t xml:space="preserve"> </w:t>
      </w:r>
      <w:r w:rsidR="00F74EDD">
        <w:rPr>
          <w:lang w:val="en-ZW"/>
        </w:rPr>
        <w:t xml:space="preserve">Reply Comments </w:t>
      </w:r>
      <w:r w:rsidR="00DC4120">
        <w:rPr>
          <w:lang w:val="en-ZW"/>
        </w:rPr>
        <w:t>at 2.</w:t>
      </w:r>
      <w:bookmarkEnd w:id="50"/>
    </w:p>
  </w:footnote>
  <w:footnote w:id="121">
    <w:p w14:paraId="315B3B4D" w14:textId="14EA9349" w:rsidR="0022688B" w:rsidRPr="003F3058" w:rsidRDefault="0022688B" w:rsidP="008D7713">
      <w:pPr>
        <w:pStyle w:val="FootnoteText"/>
        <w:ind w:left="288" w:hanging="288"/>
        <w:rPr>
          <w:lang w:val="en-ZW"/>
        </w:rPr>
      </w:pPr>
      <w:r>
        <w:rPr>
          <w:rStyle w:val="FootnoteReference"/>
        </w:rPr>
        <w:footnoteRef/>
      </w:r>
      <w:r w:rsidR="00305204">
        <w:tab/>
      </w:r>
      <w:r>
        <w:rPr>
          <w:lang w:val="en-ZW"/>
        </w:rPr>
        <w:t>CLECA Opening Comments at 11.</w:t>
      </w:r>
    </w:p>
  </w:footnote>
  <w:footnote w:id="122">
    <w:p w14:paraId="13FED690" w14:textId="463009BE" w:rsidR="0022688B" w:rsidRPr="007332FC" w:rsidRDefault="0022688B" w:rsidP="008D7713">
      <w:pPr>
        <w:pStyle w:val="FootnoteText"/>
        <w:ind w:left="288" w:hanging="288"/>
        <w:rPr>
          <w:lang w:val="en-ZW"/>
        </w:rPr>
      </w:pPr>
      <w:r>
        <w:rPr>
          <w:rStyle w:val="FootnoteReference"/>
        </w:rPr>
        <w:footnoteRef/>
      </w:r>
      <w:r w:rsidR="00305204">
        <w:tab/>
      </w:r>
      <w:proofErr w:type="spellStart"/>
      <w:r>
        <w:rPr>
          <w:lang w:val="en-ZW"/>
        </w:rPr>
        <w:t>OhmConnect</w:t>
      </w:r>
      <w:proofErr w:type="spellEnd"/>
      <w:r>
        <w:rPr>
          <w:lang w:val="en-ZW"/>
        </w:rPr>
        <w:t xml:space="preserve"> Reply Comments at 3.</w:t>
      </w:r>
    </w:p>
  </w:footnote>
  <w:footnote w:id="123">
    <w:p w14:paraId="327A00C5" w14:textId="669E9519" w:rsidR="0022688B" w:rsidRPr="00736DAD" w:rsidRDefault="0022688B" w:rsidP="008D7713">
      <w:pPr>
        <w:pStyle w:val="FootnoteText"/>
        <w:ind w:left="288" w:hanging="288"/>
        <w:rPr>
          <w:lang w:val="en-ZW"/>
        </w:rPr>
      </w:pPr>
      <w:r>
        <w:rPr>
          <w:rStyle w:val="FootnoteReference"/>
        </w:rPr>
        <w:footnoteRef/>
      </w:r>
      <w:r w:rsidR="00305204">
        <w:tab/>
      </w:r>
      <w:r>
        <w:rPr>
          <w:lang w:val="en-ZW"/>
        </w:rPr>
        <w:t>CEDMC Opening Comments at 6.</w:t>
      </w:r>
    </w:p>
  </w:footnote>
  <w:footnote w:id="124">
    <w:p w14:paraId="0D7C50B9" w14:textId="7C7B0619" w:rsidR="0022688B" w:rsidRPr="0009489F" w:rsidRDefault="0022688B" w:rsidP="008D7713">
      <w:pPr>
        <w:pStyle w:val="FootnoteText"/>
        <w:ind w:left="288" w:hanging="288"/>
        <w:rPr>
          <w:lang w:val="en-ZW"/>
        </w:rPr>
      </w:pPr>
      <w:r>
        <w:rPr>
          <w:rStyle w:val="FootnoteReference"/>
        </w:rPr>
        <w:footnoteRef/>
      </w:r>
      <w:r w:rsidR="005D394B">
        <w:tab/>
      </w:r>
      <w:r w:rsidR="00EA04E5" w:rsidRPr="00CA46DC">
        <w:rPr>
          <w:i/>
          <w:iCs/>
          <w:lang w:val="en-ZW"/>
        </w:rPr>
        <w:t>Id</w:t>
      </w:r>
      <w:r w:rsidR="00EA04E5">
        <w:rPr>
          <w:lang w:val="en-ZW"/>
        </w:rPr>
        <w:t>.</w:t>
      </w:r>
      <w:r>
        <w:rPr>
          <w:lang w:val="en-ZW"/>
        </w:rPr>
        <w:t xml:space="preserve"> at 2.</w:t>
      </w:r>
    </w:p>
  </w:footnote>
  <w:footnote w:id="125">
    <w:p w14:paraId="4CE2E23E" w14:textId="4C99FFC2" w:rsidR="0022688B" w:rsidRPr="00C345F3" w:rsidRDefault="0022688B" w:rsidP="008D7713">
      <w:pPr>
        <w:pStyle w:val="FootnoteText"/>
        <w:ind w:left="288" w:hanging="288"/>
        <w:rPr>
          <w:lang w:val="en-ZW"/>
        </w:rPr>
      </w:pPr>
      <w:r>
        <w:rPr>
          <w:rStyle w:val="FootnoteReference"/>
        </w:rPr>
        <w:footnoteRef/>
      </w:r>
      <w:r w:rsidR="005D394B">
        <w:tab/>
      </w:r>
      <w:r>
        <w:rPr>
          <w:lang w:val="en-ZW"/>
        </w:rPr>
        <w:t>CLECA Opening Comments at 8.</w:t>
      </w:r>
    </w:p>
  </w:footnote>
  <w:footnote w:id="126">
    <w:p w14:paraId="45462D8E" w14:textId="47A7DDB2" w:rsidR="0022688B" w:rsidRPr="00207120" w:rsidRDefault="0022688B" w:rsidP="008D7713">
      <w:pPr>
        <w:pStyle w:val="FootnoteText"/>
        <w:ind w:left="288" w:hanging="288"/>
        <w:rPr>
          <w:lang w:val="en-ZW"/>
        </w:rPr>
      </w:pPr>
      <w:r>
        <w:rPr>
          <w:rStyle w:val="FootnoteReference"/>
        </w:rPr>
        <w:footnoteRef/>
      </w:r>
      <w:r w:rsidR="005D394B">
        <w:tab/>
      </w:r>
      <w:r>
        <w:rPr>
          <w:lang w:val="en-ZW"/>
        </w:rPr>
        <w:t>WG Report at 98, 111.</w:t>
      </w:r>
    </w:p>
  </w:footnote>
  <w:footnote w:id="127">
    <w:p w14:paraId="304E679F" w14:textId="760001AD" w:rsidR="0022688B" w:rsidRPr="00FB7F58" w:rsidRDefault="0022688B" w:rsidP="008D7713">
      <w:pPr>
        <w:pStyle w:val="FootnoteText"/>
        <w:ind w:left="288" w:hanging="288"/>
        <w:rPr>
          <w:lang w:val="en-ZW"/>
        </w:rPr>
      </w:pPr>
      <w:r>
        <w:rPr>
          <w:rStyle w:val="FootnoteReference"/>
        </w:rPr>
        <w:footnoteRef/>
      </w:r>
      <w:r w:rsidR="005D394B">
        <w:tab/>
      </w:r>
      <w:r w:rsidR="00EA04E5" w:rsidRPr="00CA46DC">
        <w:rPr>
          <w:i/>
          <w:iCs/>
          <w:lang w:val="en-ZW"/>
        </w:rPr>
        <w:t>Id</w:t>
      </w:r>
      <w:r w:rsidR="00EA04E5">
        <w:rPr>
          <w:lang w:val="en-ZW"/>
        </w:rPr>
        <w:t>.</w:t>
      </w:r>
      <w:r>
        <w:rPr>
          <w:lang w:val="en-ZW"/>
        </w:rPr>
        <w:t xml:space="preserve"> at 101.</w:t>
      </w:r>
    </w:p>
  </w:footnote>
  <w:footnote w:id="128">
    <w:p w14:paraId="4AE9F9BB" w14:textId="22E86006" w:rsidR="0022688B" w:rsidRPr="00E05630" w:rsidRDefault="0022688B" w:rsidP="008D7713">
      <w:pPr>
        <w:pStyle w:val="FootnoteText"/>
        <w:ind w:left="288" w:hanging="288"/>
        <w:rPr>
          <w:lang w:val="en-ZW"/>
        </w:rPr>
      </w:pPr>
      <w:r>
        <w:rPr>
          <w:rStyle w:val="FootnoteReference"/>
        </w:rPr>
        <w:footnoteRef/>
      </w:r>
      <w:r w:rsidR="005D394B">
        <w:tab/>
      </w:r>
      <w:r w:rsidR="00EA04E5" w:rsidRPr="00CA46DC">
        <w:rPr>
          <w:i/>
          <w:iCs/>
          <w:lang w:val="en-ZW"/>
        </w:rPr>
        <w:t>Id</w:t>
      </w:r>
      <w:r w:rsidR="00EA04E5">
        <w:rPr>
          <w:lang w:val="en-ZW"/>
        </w:rPr>
        <w:t>.</w:t>
      </w:r>
      <w:r>
        <w:rPr>
          <w:lang w:val="en-ZW"/>
        </w:rPr>
        <w:t xml:space="preserve"> at 111.</w:t>
      </w:r>
    </w:p>
  </w:footnote>
  <w:footnote w:id="129">
    <w:p w14:paraId="0D1E52E7" w14:textId="48016B96" w:rsidR="0022688B" w:rsidRPr="009C4B3F" w:rsidRDefault="0022688B" w:rsidP="008D7713">
      <w:pPr>
        <w:pStyle w:val="FootnoteText"/>
        <w:ind w:left="288" w:hanging="288"/>
        <w:rPr>
          <w:lang w:val="en-ZW"/>
        </w:rPr>
      </w:pPr>
      <w:r>
        <w:rPr>
          <w:rStyle w:val="FootnoteReference"/>
        </w:rPr>
        <w:footnoteRef/>
      </w:r>
      <w:r w:rsidR="005D394B">
        <w:tab/>
      </w:r>
      <w:r>
        <w:rPr>
          <w:lang w:val="en-ZW"/>
        </w:rPr>
        <w:t>CEDMC Opening Comments at 5.</w:t>
      </w:r>
    </w:p>
  </w:footnote>
  <w:footnote w:id="130">
    <w:p w14:paraId="5F5F24D5" w14:textId="47B88D70" w:rsidR="0022688B" w:rsidRPr="00FB7F58" w:rsidRDefault="0022688B" w:rsidP="008D7713">
      <w:pPr>
        <w:pStyle w:val="FootnoteText"/>
        <w:ind w:left="288" w:hanging="288"/>
        <w:rPr>
          <w:lang w:val="en-ZW"/>
        </w:rPr>
      </w:pPr>
      <w:r>
        <w:rPr>
          <w:rStyle w:val="FootnoteReference"/>
        </w:rPr>
        <w:footnoteRef/>
      </w:r>
      <w:r w:rsidR="005D394B">
        <w:tab/>
      </w:r>
      <w:r>
        <w:rPr>
          <w:lang w:val="en-ZW"/>
        </w:rPr>
        <w:t>WG Report at 1</w:t>
      </w:r>
      <w:r w:rsidR="00311064">
        <w:rPr>
          <w:lang w:val="en-ZW"/>
        </w:rPr>
        <w:t>01</w:t>
      </w:r>
      <w:r>
        <w:rPr>
          <w:lang w:val="en-ZW"/>
        </w:rPr>
        <w:t>.</w:t>
      </w:r>
    </w:p>
  </w:footnote>
  <w:footnote w:id="131">
    <w:p w14:paraId="6014F311" w14:textId="67FD9169" w:rsidR="0022688B" w:rsidRPr="00FB7F58" w:rsidRDefault="0022688B" w:rsidP="008D7713">
      <w:pPr>
        <w:pStyle w:val="FootnoteText"/>
        <w:ind w:left="288" w:hanging="288"/>
        <w:rPr>
          <w:lang w:val="en-ZW"/>
        </w:rPr>
      </w:pPr>
      <w:r>
        <w:rPr>
          <w:rStyle w:val="FootnoteReference"/>
        </w:rPr>
        <w:footnoteRef/>
      </w:r>
      <w:r w:rsidR="005D394B">
        <w:tab/>
      </w:r>
      <w:r w:rsidR="00EA04E5" w:rsidRPr="00CA46DC">
        <w:rPr>
          <w:i/>
          <w:iCs/>
          <w:lang w:val="en-ZW"/>
        </w:rPr>
        <w:t>Id</w:t>
      </w:r>
      <w:r w:rsidR="00EA04E5">
        <w:rPr>
          <w:lang w:val="en-ZW"/>
        </w:rPr>
        <w:t>.</w:t>
      </w:r>
      <w:r>
        <w:rPr>
          <w:lang w:val="en-ZW"/>
        </w:rPr>
        <w:t xml:space="preserve"> at </w:t>
      </w:r>
      <w:r w:rsidR="00311064">
        <w:rPr>
          <w:lang w:val="en-ZW"/>
        </w:rPr>
        <w:t>98</w:t>
      </w:r>
      <w:r>
        <w:rPr>
          <w:lang w:val="en-ZW"/>
        </w:rPr>
        <w:t>.</w:t>
      </w:r>
    </w:p>
  </w:footnote>
  <w:footnote w:id="132">
    <w:p w14:paraId="6B595F74" w14:textId="038E64BF" w:rsidR="008E7075" w:rsidRPr="001D7D14" w:rsidRDefault="008E7075" w:rsidP="008D7713">
      <w:pPr>
        <w:pStyle w:val="FootnoteText"/>
        <w:ind w:left="288" w:hanging="288"/>
        <w:rPr>
          <w:lang w:val="en-ZW"/>
        </w:rPr>
      </w:pPr>
      <w:r>
        <w:rPr>
          <w:rStyle w:val="FootnoteReference"/>
        </w:rPr>
        <w:footnoteRef/>
      </w:r>
      <w:r>
        <w:t xml:space="preserve"> </w:t>
      </w:r>
      <w:r>
        <w:tab/>
      </w:r>
      <w:r>
        <w:rPr>
          <w:lang w:val="en-ZW"/>
        </w:rPr>
        <w:t>D.22-06-050 at OP 8.</w:t>
      </w:r>
    </w:p>
  </w:footnote>
  <w:footnote w:id="133">
    <w:p w14:paraId="72E5B4B8" w14:textId="3E20F4D6" w:rsidR="0022688B" w:rsidRPr="006945E1" w:rsidRDefault="0022688B" w:rsidP="008D7713">
      <w:pPr>
        <w:pStyle w:val="FootnoteText"/>
        <w:ind w:left="288" w:hanging="288"/>
        <w:rPr>
          <w:lang w:val="en-ZW"/>
        </w:rPr>
      </w:pPr>
      <w:r>
        <w:rPr>
          <w:rStyle w:val="FootnoteReference"/>
        </w:rPr>
        <w:footnoteRef/>
      </w:r>
      <w:r w:rsidR="005D394B">
        <w:tab/>
      </w:r>
      <w:r w:rsidR="00EA04E5" w:rsidRPr="00CA46DC">
        <w:rPr>
          <w:i/>
          <w:iCs/>
        </w:rPr>
        <w:t>Id</w:t>
      </w:r>
      <w:r w:rsidR="00EA04E5">
        <w:t>.</w:t>
      </w:r>
      <w:r>
        <w:t xml:space="preserve"> at 92.</w:t>
      </w:r>
    </w:p>
  </w:footnote>
  <w:footnote w:id="134">
    <w:p w14:paraId="7152D9F9" w14:textId="4DC753E3" w:rsidR="0022688B" w:rsidRPr="00515537" w:rsidRDefault="0022688B" w:rsidP="008D7713">
      <w:pPr>
        <w:pStyle w:val="FootnoteText"/>
        <w:ind w:left="288" w:hanging="288"/>
        <w:rPr>
          <w:lang w:val="en-ZW"/>
        </w:rPr>
      </w:pPr>
      <w:r>
        <w:rPr>
          <w:rStyle w:val="FootnoteReference"/>
        </w:rPr>
        <w:footnoteRef/>
      </w:r>
      <w:r w:rsidR="005D394B">
        <w:tab/>
      </w:r>
      <w:r w:rsidR="00EA04E5" w:rsidRPr="00CA46DC">
        <w:rPr>
          <w:i/>
          <w:iCs/>
          <w:lang w:val="en-ZW"/>
        </w:rPr>
        <w:t>Id</w:t>
      </w:r>
      <w:r w:rsidR="00EA04E5">
        <w:rPr>
          <w:lang w:val="en-ZW"/>
        </w:rPr>
        <w:t>.</w:t>
      </w:r>
      <w:r>
        <w:rPr>
          <w:lang w:val="en-ZW"/>
        </w:rPr>
        <w:t>, Appendix A at 2.</w:t>
      </w:r>
    </w:p>
  </w:footnote>
  <w:footnote w:id="135">
    <w:p w14:paraId="12810B4A" w14:textId="157136C1" w:rsidR="0022688B" w:rsidRPr="002628C1" w:rsidRDefault="0022688B" w:rsidP="008D7713">
      <w:pPr>
        <w:pStyle w:val="FootnoteText"/>
        <w:ind w:left="288" w:hanging="288"/>
        <w:rPr>
          <w:lang w:val="en-ZW"/>
        </w:rPr>
      </w:pPr>
      <w:r>
        <w:rPr>
          <w:rStyle w:val="FootnoteReference"/>
        </w:rPr>
        <w:footnoteRef/>
      </w:r>
      <w:r w:rsidR="005D394B">
        <w:tab/>
      </w:r>
      <w:r>
        <w:rPr>
          <w:lang w:val="en-ZW"/>
        </w:rPr>
        <w:t>Amended Scoping Memo at 4.</w:t>
      </w:r>
    </w:p>
  </w:footnote>
  <w:footnote w:id="136">
    <w:p w14:paraId="7B9AC3A9" w14:textId="5F1B934E" w:rsidR="0022688B" w:rsidRPr="00D74BB9" w:rsidRDefault="0022688B" w:rsidP="008D7713">
      <w:pPr>
        <w:pStyle w:val="FootnoteText"/>
        <w:ind w:left="288" w:hanging="288"/>
        <w:rPr>
          <w:lang w:val="en-ZW"/>
        </w:rPr>
      </w:pPr>
      <w:r>
        <w:rPr>
          <w:rStyle w:val="FootnoteReference"/>
        </w:rPr>
        <w:footnoteRef/>
      </w:r>
      <w:r w:rsidR="005D394B">
        <w:tab/>
      </w:r>
      <w:r>
        <w:rPr>
          <w:lang w:val="en-ZW"/>
        </w:rPr>
        <w:t>WG Report at 117, 122.</w:t>
      </w:r>
    </w:p>
  </w:footnote>
  <w:footnote w:id="137">
    <w:p w14:paraId="7B5129EB" w14:textId="16505938" w:rsidR="0022688B" w:rsidRPr="007F2B77" w:rsidRDefault="0022688B" w:rsidP="008D7713">
      <w:pPr>
        <w:pStyle w:val="FootnoteText"/>
        <w:ind w:left="288" w:hanging="288"/>
        <w:rPr>
          <w:lang w:val="en-ZW"/>
        </w:rPr>
      </w:pPr>
      <w:r>
        <w:rPr>
          <w:rStyle w:val="FootnoteReference"/>
        </w:rPr>
        <w:footnoteRef/>
      </w:r>
      <w:r w:rsidR="005D394B">
        <w:tab/>
      </w:r>
      <w:r w:rsidR="00EA04E5" w:rsidRPr="00CA46DC">
        <w:rPr>
          <w:i/>
          <w:iCs/>
          <w:lang w:val="en-ZW"/>
        </w:rPr>
        <w:t>Id</w:t>
      </w:r>
      <w:r w:rsidR="00EA04E5">
        <w:rPr>
          <w:lang w:val="en-ZW"/>
        </w:rPr>
        <w:t>.</w:t>
      </w:r>
      <w:r>
        <w:rPr>
          <w:lang w:val="en-ZW"/>
        </w:rPr>
        <w:t xml:space="preserve"> at 123.</w:t>
      </w:r>
    </w:p>
  </w:footnote>
  <w:footnote w:id="138">
    <w:p w14:paraId="73C22291" w14:textId="51E4FC22" w:rsidR="0022688B" w:rsidRPr="009D17F6" w:rsidRDefault="0022688B" w:rsidP="008D7713">
      <w:pPr>
        <w:pStyle w:val="FootnoteText"/>
        <w:ind w:left="288" w:hanging="288"/>
        <w:rPr>
          <w:lang w:val="en-ZW"/>
        </w:rPr>
      </w:pPr>
      <w:r>
        <w:rPr>
          <w:rStyle w:val="FootnoteReference"/>
        </w:rPr>
        <w:footnoteRef/>
      </w:r>
      <w:r w:rsidR="005D394B">
        <w:tab/>
      </w:r>
      <w:r w:rsidR="00EA04E5" w:rsidRPr="00CA46DC">
        <w:rPr>
          <w:i/>
          <w:iCs/>
          <w:lang w:val="en-ZW"/>
        </w:rPr>
        <w:t>Id</w:t>
      </w:r>
      <w:r w:rsidR="00EA04E5">
        <w:rPr>
          <w:lang w:val="en-ZW"/>
        </w:rPr>
        <w:t>.</w:t>
      </w:r>
      <w:r>
        <w:rPr>
          <w:lang w:val="en-ZW"/>
        </w:rPr>
        <w:t xml:space="preserve"> at 124.</w:t>
      </w:r>
    </w:p>
  </w:footnote>
  <w:footnote w:id="139">
    <w:p w14:paraId="79B4FACD" w14:textId="78583B1C" w:rsidR="0022688B" w:rsidRPr="00866572" w:rsidRDefault="0022688B" w:rsidP="008D7713">
      <w:pPr>
        <w:pStyle w:val="FootnoteText"/>
        <w:ind w:left="288" w:hanging="288"/>
        <w:rPr>
          <w:lang w:val="en-ZW"/>
        </w:rPr>
      </w:pPr>
      <w:r>
        <w:rPr>
          <w:rStyle w:val="FootnoteReference"/>
        </w:rPr>
        <w:footnoteRef/>
      </w:r>
      <w:r w:rsidR="005D394B">
        <w:tab/>
      </w:r>
      <w:r w:rsidR="00EA04E5" w:rsidRPr="00CA46DC">
        <w:rPr>
          <w:i/>
          <w:iCs/>
          <w:lang w:val="en-ZW"/>
        </w:rPr>
        <w:t>Id</w:t>
      </w:r>
      <w:r w:rsidR="00EA04E5">
        <w:rPr>
          <w:lang w:val="en-ZW"/>
        </w:rPr>
        <w:t>.</w:t>
      </w:r>
      <w:r>
        <w:rPr>
          <w:lang w:val="en-ZW"/>
        </w:rPr>
        <w:t xml:space="preserve"> at</w:t>
      </w:r>
      <w:r w:rsidR="005D394B">
        <w:rPr>
          <w:lang w:val="en-ZW"/>
        </w:rPr>
        <w:t> </w:t>
      </w:r>
      <w:r>
        <w:rPr>
          <w:lang w:val="en-ZW"/>
        </w:rPr>
        <w:t>126.</w:t>
      </w:r>
    </w:p>
  </w:footnote>
  <w:footnote w:id="140">
    <w:p w14:paraId="48235BD4" w14:textId="178DE174" w:rsidR="00947B08" w:rsidRPr="00265248" w:rsidRDefault="00947B08" w:rsidP="008D7713">
      <w:pPr>
        <w:pStyle w:val="FootnoteText"/>
        <w:ind w:left="288" w:hanging="288"/>
        <w:rPr>
          <w:lang w:val="en-ZW"/>
        </w:rPr>
      </w:pPr>
      <w:r>
        <w:rPr>
          <w:rStyle w:val="FootnoteReference"/>
        </w:rPr>
        <w:footnoteRef/>
      </w:r>
      <w:r w:rsidR="005D394B">
        <w:tab/>
      </w:r>
      <w:r>
        <w:rPr>
          <w:lang w:val="en-ZW"/>
        </w:rPr>
        <w:t>Calpine Opening</w:t>
      </w:r>
      <w:r w:rsidR="005D394B">
        <w:rPr>
          <w:lang w:val="en-ZW"/>
        </w:rPr>
        <w:t> </w:t>
      </w:r>
      <w:r>
        <w:rPr>
          <w:lang w:val="en-ZW"/>
        </w:rPr>
        <w:t>Comments at 4, IEP Opening</w:t>
      </w:r>
      <w:r w:rsidR="00152336">
        <w:rPr>
          <w:lang w:val="en-ZW"/>
        </w:rPr>
        <w:t> </w:t>
      </w:r>
      <w:r>
        <w:rPr>
          <w:lang w:val="en-ZW"/>
        </w:rPr>
        <w:t>Comments at 13,</w:t>
      </w:r>
      <w:r w:rsidRPr="00265248">
        <w:rPr>
          <w:lang w:val="en-ZW"/>
        </w:rPr>
        <w:t xml:space="preserve"> </w:t>
      </w:r>
      <w:r>
        <w:rPr>
          <w:lang w:val="en-ZW"/>
        </w:rPr>
        <w:t>PG&amp;E Opening</w:t>
      </w:r>
      <w:r w:rsidR="00152336">
        <w:rPr>
          <w:lang w:val="en-ZW"/>
        </w:rPr>
        <w:t> </w:t>
      </w:r>
      <w:r>
        <w:rPr>
          <w:lang w:val="en-ZW"/>
        </w:rPr>
        <w:t>Comments at</w:t>
      </w:r>
      <w:r w:rsidR="00152336">
        <w:rPr>
          <w:lang w:val="en-ZW"/>
        </w:rPr>
        <w:t> </w:t>
      </w:r>
      <w:r>
        <w:rPr>
          <w:lang w:val="en-ZW"/>
        </w:rPr>
        <w:t>8, WPTF Opening</w:t>
      </w:r>
      <w:r w:rsidR="00152336">
        <w:rPr>
          <w:lang w:val="en-ZW"/>
        </w:rPr>
        <w:t> </w:t>
      </w:r>
      <w:r>
        <w:rPr>
          <w:lang w:val="en-ZW"/>
        </w:rPr>
        <w:t>Comments at</w:t>
      </w:r>
      <w:r w:rsidR="00152336">
        <w:rPr>
          <w:lang w:val="en-ZW"/>
        </w:rPr>
        <w:t> </w:t>
      </w:r>
      <w:r>
        <w:rPr>
          <w:lang w:val="en-ZW"/>
        </w:rPr>
        <w:t>10.</w:t>
      </w:r>
    </w:p>
  </w:footnote>
  <w:footnote w:id="141">
    <w:p w14:paraId="0F86A325" w14:textId="64958E5D" w:rsidR="00947B08" w:rsidRPr="0000722C" w:rsidRDefault="00947B08" w:rsidP="008D7713">
      <w:pPr>
        <w:pStyle w:val="FootnoteText"/>
        <w:ind w:left="288" w:hanging="288"/>
        <w:rPr>
          <w:lang w:val="en-ZW"/>
        </w:rPr>
      </w:pPr>
      <w:r>
        <w:rPr>
          <w:rStyle w:val="FootnoteReference"/>
        </w:rPr>
        <w:footnoteRef/>
      </w:r>
      <w:r w:rsidR="005D394B">
        <w:tab/>
      </w:r>
      <w:r>
        <w:t>Calpine Opening</w:t>
      </w:r>
      <w:r w:rsidR="00152336">
        <w:t> </w:t>
      </w:r>
      <w:r>
        <w:t>Comments at</w:t>
      </w:r>
      <w:r w:rsidR="00152336">
        <w:t> </w:t>
      </w:r>
      <w:r>
        <w:t>4.</w:t>
      </w:r>
    </w:p>
  </w:footnote>
  <w:footnote w:id="142">
    <w:p w14:paraId="3B2D6EBA" w14:textId="6BE0942F" w:rsidR="00947B08" w:rsidRPr="00265248" w:rsidRDefault="00947B08" w:rsidP="008D7713">
      <w:pPr>
        <w:pStyle w:val="FootnoteText"/>
        <w:ind w:left="288" w:hanging="288"/>
        <w:rPr>
          <w:lang w:val="en-ZW"/>
        </w:rPr>
      </w:pPr>
      <w:r>
        <w:rPr>
          <w:rStyle w:val="FootnoteReference"/>
        </w:rPr>
        <w:footnoteRef/>
      </w:r>
      <w:r w:rsidR="005D394B">
        <w:tab/>
      </w:r>
      <w:proofErr w:type="spellStart"/>
      <w:r>
        <w:rPr>
          <w:lang w:val="en-ZW"/>
        </w:rPr>
        <w:t>AReM</w:t>
      </w:r>
      <w:proofErr w:type="spellEnd"/>
      <w:r>
        <w:rPr>
          <w:lang w:val="en-ZW"/>
        </w:rPr>
        <w:t xml:space="preserve"> Openin</w:t>
      </w:r>
      <w:r w:rsidR="00152336">
        <w:rPr>
          <w:lang w:val="en-ZW"/>
        </w:rPr>
        <w:t>g </w:t>
      </w:r>
      <w:r>
        <w:rPr>
          <w:lang w:val="en-ZW"/>
        </w:rPr>
        <w:t>Comments at</w:t>
      </w:r>
      <w:r w:rsidR="00152336">
        <w:rPr>
          <w:lang w:val="en-ZW"/>
        </w:rPr>
        <w:t> </w:t>
      </w:r>
      <w:r>
        <w:rPr>
          <w:lang w:val="en-ZW"/>
        </w:rPr>
        <w:t>5, IEP Opening</w:t>
      </w:r>
      <w:r w:rsidR="00152336">
        <w:rPr>
          <w:lang w:val="en-ZW"/>
        </w:rPr>
        <w:t> </w:t>
      </w:r>
      <w:r>
        <w:rPr>
          <w:lang w:val="en-ZW"/>
        </w:rPr>
        <w:t>Comments at</w:t>
      </w:r>
      <w:r w:rsidR="00152336">
        <w:rPr>
          <w:lang w:val="en-ZW"/>
        </w:rPr>
        <w:t> </w:t>
      </w:r>
      <w:r>
        <w:rPr>
          <w:lang w:val="en-ZW"/>
        </w:rPr>
        <w:t>13, MRP Opening</w:t>
      </w:r>
      <w:r w:rsidR="00152336">
        <w:rPr>
          <w:lang w:val="en-ZW"/>
        </w:rPr>
        <w:t> </w:t>
      </w:r>
      <w:r>
        <w:rPr>
          <w:lang w:val="en-ZW"/>
        </w:rPr>
        <w:t>Comments at</w:t>
      </w:r>
      <w:r w:rsidR="005D394B">
        <w:rPr>
          <w:lang w:val="en-ZW"/>
        </w:rPr>
        <w:t> </w:t>
      </w:r>
      <w:r>
        <w:rPr>
          <w:lang w:val="en-ZW"/>
        </w:rPr>
        <w:t>22, SCE Reply</w:t>
      </w:r>
      <w:r w:rsidR="00152336">
        <w:rPr>
          <w:lang w:val="en-ZW"/>
        </w:rPr>
        <w:t> </w:t>
      </w:r>
      <w:r>
        <w:rPr>
          <w:lang w:val="en-ZW"/>
        </w:rPr>
        <w:t>Comments a</w:t>
      </w:r>
      <w:r w:rsidR="00FE032B">
        <w:rPr>
          <w:lang w:val="en-ZW"/>
        </w:rPr>
        <w:t>t</w:t>
      </w:r>
      <w:r w:rsidR="00152336">
        <w:rPr>
          <w:lang w:val="en-ZW"/>
        </w:rPr>
        <w:t> </w:t>
      </w:r>
      <w:r>
        <w:rPr>
          <w:lang w:val="en-ZW"/>
        </w:rPr>
        <w:t>2.</w:t>
      </w:r>
    </w:p>
  </w:footnote>
  <w:footnote w:id="143">
    <w:p w14:paraId="58FD9675" w14:textId="788A18CA" w:rsidR="00947B08" w:rsidRPr="0019450B" w:rsidRDefault="00947B08" w:rsidP="008D7713">
      <w:pPr>
        <w:pStyle w:val="FootnoteText"/>
        <w:ind w:left="288" w:hanging="288"/>
        <w:rPr>
          <w:lang w:val="en-ZW"/>
        </w:rPr>
      </w:pPr>
      <w:r>
        <w:rPr>
          <w:rStyle w:val="FootnoteReference"/>
        </w:rPr>
        <w:footnoteRef/>
      </w:r>
      <w:r w:rsidR="00152336">
        <w:tab/>
      </w:r>
      <w:r>
        <w:rPr>
          <w:lang w:val="en-ZW"/>
        </w:rPr>
        <w:t>AES Opening</w:t>
      </w:r>
      <w:r w:rsidR="00152336">
        <w:rPr>
          <w:lang w:val="en-ZW"/>
        </w:rPr>
        <w:t> </w:t>
      </w:r>
      <w:r>
        <w:rPr>
          <w:lang w:val="en-ZW"/>
        </w:rPr>
        <w:t>Comments at</w:t>
      </w:r>
      <w:r w:rsidR="00152336">
        <w:rPr>
          <w:lang w:val="en-ZW"/>
        </w:rPr>
        <w:t> </w:t>
      </w:r>
      <w:r>
        <w:rPr>
          <w:lang w:val="en-ZW"/>
        </w:rPr>
        <w:t>6, PG&amp;E Opening</w:t>
      </w:r>
      <w:r w:rsidR="00152336">
        <w:rPr>
          <w:lang w:val="en-ZW"/>
        </w:rPr>
        <w:t> </w:t>
      </w:r>
      <w:r>
        <w:rPr>
          <w:lang w:val="en-ZW"/>
        </w:rPr>
        <w:t>Comments at</w:t>
      </w:r>
      <w:r w:rsidR="00152336">
        <w:rPr>
          <w:lang w:val="en-ZW"/>
        </w:rPr>
        <w:t> </w:t>
      </w:r>
      <w:r>
        <w:rPr>
          <w:lang w:val="en-ZW"/>
        </w:rPr>
        <w:t>9.</w:t>
      </w:r>
    </w:p>
  </w:footnote>
  <w:footnote w:id="144">
    <w:p w14:paraId="1381EBE3" w14:textId="33B61AA5" w:rsidR="00947B08" w:rsidRPr="00D62021" w:rsidRDefault="00947B08" w:rsidP="008D7713">
      <w:pPr>
        <w:pStyle w:val="FootnoteText"/>
        <w:ind w:left="288" w:hanging="288"/>
        <w:rPr>
          <w:lang w:val="en-ZW"/>
        </w:rPr>
      </w:pPr>
      <w:r>
        <w:rPr>
          <w:rStyle w:val="FootnoteReference"/>
        </w:rPr>
        <w:footnoteRef/>
      </w:r>
      <w:r w:rsidR="00152336">
        <w:tab/>
      </w:r>
      <w:r>
        <w:rPr>
          <w:lang w:val="en-ZW"/>
        </w:rPr>
        <w:t>CAISO Opening</w:t>
      </w:r>
      <w:r w:rsidR="00152336">
        <w:rPr>
          <w:lang w:val="en-ZW"/>
        </w:rPr>
        <w:t> </w:t>
      </w:r>
      <w:r>
        <w:rPr>
          <w:lang w:val="en-ZW"/>
        </w:rPr>
        <w:t>Comments at</w:t>
      </w:r>
      <w:r w:rsidR="00152336">
        <w:rPr>
          <w:lang w:val="en-ZW"/>
        </w:rPr>
        <w:t> </w:t>
      </w:r>
      <w:r>
        <w:rPr>
          <w:lang w:val="en-ZW"/>
        </w:rPr>
        <w:t>3.</w:t>
      </w:r>
    </w:p>
  </w:footnote>
  <w:footnote w:id="145">
    <w:p w14:paraId="7A430DB9" w14:textId="4EDEDEA1" w:rsidR="00947B08" w:rsidRPr="008F7AC8" w:rsidRDefault="00947B08" w:rsidP="008D7713">
      <w:pPr>
        <w:pStyle w:val="FootnoteText"/>
        <w:ind w:left="288" w:hanging="288"/>
        <w:rPr>
          <w:lang w:val="en-ZW"/>
        </w:rPr>
      </w:pPr>
      <w:r>
        <w:rPr>
          <w:rStyle w:val="FootnoteReference"/>
        </w:rPr>
        <w:footnoteRef/>
      </w:r>
      <w:r w:rsidR="00152336">
        <w:tab/>
      </w:r>
      <w:r>
        <w:rPr>
          <w:lang w:val="en-ZW"/>
        </w:rPr>
        <w:t>SCE Opening</w:t>
      </w:r>
      <w:r w:rsidR="00152336">
        <w:rPr>
          <w:lang w:val="en-ZW"/>
        </w:rPr>
        <w:t> </w:t>
      </w:r>
      <w:r>
        <w:rPr>
          <w:lang w:val="en-ZW"/>
        </w:rPr>
        <w:t>Comments at</w:t>
      </w:r>
      <w:r w:rsidR="00152336">
        <w:rPr>
          <w:lang w:val="en-ZW"/>
        </w:rPr>
        <w:t> </w:t>
      </w:r>
      <w:r>
        <w:rPr>
          <w:lang w:val="en-ZW"/>
        </w:rPr>
        <w:t>2,</w:t>
      </w:r>
      <w:r w:rsidRPr="00F84994">
        <w:rPr>
          <w:lang w:val="en-ZW"/>
        </w:rPr>
        <w:t xml:space="preserve"> </w:t>
      </w:r>
      <w:r>
        <w:rPr>
          <w:lang w:val="en-ZW"/>
        </w:rPr>
        <w:t>NRDC Opening</w:t>
      </w:r>
      <w:r w:rsidR="00152336">
        <w:rPr>
          <w:lang w:val="en-ZW"/>
        </w:rPr>
        <w:t> </w:t>
      </w:r>
      <w:r>
        <w:rPr>
          <w:lang w:val="en-ZW"/>
        </w:rPr>
        <w:t>Comments at</w:t>
      </w:r>
      <w:r w:rsidR="00152336">
        <w:rPr>
          <w:lang w:val="en-ZW"/>
        </w:rPr>
        <w:t> </w:t>
      </w:r>
      <w:r>
        <w:rPr>
          <w:lang w:val="en-ZW"/>
        </w:rPr>
        <w:t>2.</w:t>
      </w:r>
    </w:p>
  </w:footnote>
  <w:footnote w:id="146">
    <w:p w14:paraId="79725D20" w14:textId="21A1C863" w:rsidR="00947B08" w:rsidRPr="00575E22" w:rsidRDefault="00947B08" w:rsidP="008D7713">
      <w:pPr>
        <w:pStyle w:val="FootnoteText"/>
        <w:ind w:left="288" w:hanging="288"/>
        <w:rPr>
          <w:lang w:val="en-ZW"/>
        </w:rPr>
      </w:pPr>
      <w:r>
        <w:rPr>
          <w:rStyle w:val="FootnoteReference"/>
        </w:rPr>
        <w:footnoteRef/>
      </w:r>
      <w:r w:rsidR="00152336">
        <w:tab/>
      </w:r>
      <w:r>
        <w:rPr>
          <w:lang w:val="en-ZW"/>
        </w:rPr>
        <w:t>CAISO Opening</w:t>
      </w:r>
      <w:r w:rsidR="00152336">
        <w:rPr>
          <w:lang w:val="en-ZW"/>
        </w:rPr>
        <w:t> </w:t>
      </w:r>
      <w:r>
        <w:rPr>
          <w:lang w:val="en-ZW"/>
        </w:rPr>
        <w:t>Comments at</w:t>
      </w:r>
      <w:r w:rsidR="00152336">
        <w:rPr>
          <w:lang w:val="en-ZW"/>
        </w:rPr>
        <w:t> </w:t>
      </w:r>
      <w:r>
        <w:rPr>
          <w:lang w:val="en-ZW"/>
        </w:rPr>
        <w:t xml:space="preserve">1, </w:t>
      </w:r>
      <w:r w:rsidRPr="003E3A86">
        <w:rPr>
          <w:lang w:val="en-ZW"/>
        </w:rPr>
        <w:t>Calpine Opening</w:t>
      </w:r>
      <w:r w:rsidR="00152336">
        <w:rPr>
          <w:lang w:val="en-ZW"/>
        </w:rPr>
        <w:t> </w:t>
      </w:r>
      <w:r w:rsidRPr="003E3A86">
        <w:rPr>
          <w:lang w:val="en-ZW"/>
        </w:rPr>
        <w:t>Comments at</w:t>
      </w:r>
      <w:r w:rsidR="00152336">
        <w:rPr>
          <w:lang w:val="en-ZW"/>
        </w:rPr>
        <w:t> </w:t>
      </w:r>
      <w:r>
        <w:rPr>
          <w:lang w:val="en-ZW"/>
        </w:rPr>
        <w:t>5, MRP Opening</w:t>
      </w:r>
      <w:r w:rsidR="00152336">
        <w:rPr>
          <w:lang w:val="en-ZW"/>
        </w:rPr>
        <w:t> </w:t>
      </w:r>
      <w:r>
        <w:rPr>
          <w:lang w:val="en-ZW"/>
        </w:rPr>
        <w:t>Comments at</w:t>
      </w:r>
      <w:r w:rsidR="00152336">
        <w:rPr>
          <w:lang w:val="en-ZW"/>
        </w:rPr>
        <w:t> </w:t>
      </w:r>
      <w:r>
        <w:rPr>
          <w:lang w:val="en-ZW"/>
        </w:rPr>
        <w:t>21</w:t>
      </w:r>
      <w:r w:rsidR="00EA04E5">
        <w:rPr>
          <w:lang w:val="en-ZW"/>
        </w:rPr>
        <w:t>,</w:t>
      </w:r>
      <w:r>
        <w:rPr>
          <w:lang w:val="en-ZW"/>
        </w:rPr>
        <w:t xml:space="preserve"> PG&amp;E Opening</w:t>
      </w:r>
      <w:r w:rsidR="00152336">
        <w:rPr>
          <w:lang w:val="en-ZW"/>
        </w:rPr>
        <w:t> </w:t>
      </w:r>
      <w:r>
        <w:rPr>
          <w:lang w:val="en-ZW"/>
        </w:rPr>
        <w:t>Comments at</w:t>
      </w:r>
      <w:r w:rsidR="00152336">
        <w:rPr>
          <w:lang w:val="en-ZW"/>
        </w:rPr>
        <w:t> </w:t>
      </w:r>
      <w:r>
        <w:rPr>
          <w:lang w:val="en-ZW"/>
        </w:rPr>
        <w:t>8, WPTF Opening</w:t>
      </w:r>
      <w:r w:rsidR="00152336">
        <w:rPr>
          <w:lang w:val="en-ZW"/>
        </w:rPr>
        <w:t> </w:t>
      </w:r>
      <w:r>
        <w:rPr>
          <w:lang w:val="en-ZW"/>
        </w:rPr>
        <w:t>Comments at</w:t>
      </w:r>
      <w:r w:rsidR="00152336">
        <w:rPr>
          <w:lang w:val="en-ZW"/>
        </w:rPr>
        <w:t> </w:t>
      </w:r>
      <w:r>
        <w:rPr>
          <w:lang w:val="en-ZW"/>
        </w:rPr>
        <w:t>12</w:t>
      </w:r>
      <w:r w:rsidR="00152336">
        <w:rPr>
          <w:lang w:val="en-ZW"/>
        </w:rPr>
        <w:t>.</w:t>
      </w:r>
      <w:r>
        <w:rPr>
          <w:lang w:val="en-ZW"/>
        </w:rPr>
        <w:t xml:space="preserve"> </w:t>
      </w:r>
    </w:p>
  </w:footnote>
  <w:footnote w:id="147">
    <w:p w14:paraId="336B9C9F" w14:textId="141A3995" w:rsidR="00947B08" w:rsidRPr="00466FA1" w:rsidRDefault="00947B08" w:rsidP="008D7713">
      <w:pPr>
        <w:pStyle w:val="FootnoteText"/>
        <w:ind w:left="288" w:hanging="288"/>
        <w:rPr>
          <w:lang w:val="en-ZW"/>
        </w:rPr>
      </w:pPr>
      <w:r>
        <w:rPr>
          <w:rStyle w:val="FootnoteReference"/>
        </w:rPr>
        <w:footnoteRef/>
      </w:r>
      <w:r w:rsidR="00152336">
        <w:tab/>
      </w:r>
      <w:proofErr w:type="spellStart"/>
      <w:r>
        <w:t>AReM</w:t>
      </w:r>
      <w:proofErr w:type="spellEnd"/>
      <w:r>
        <w:t xml:space="preserve"> </w:t>
      </w:r>
      <w:r>
        <w:rPr>
          <w:lang w:val="en-ZW"/>
        </w:rPr>
        <w:t>Opening</w:t>
      </w:r>
      <w:r w:rsidR="00152336">
        <w:rPr>
          <w:lang w:val="en-ZW"/>
        </w:rPr>
        <w:t> </w:t>
      </w:r>
      <w:r>
        <w:rPr>
          <w:lang w:val="en-ZW"/>
        </w:rPr>
        <w:t xml:space="preserve">Comments </w:t>
      </w:r>
      <w:r>
        <w:t>at</w:t>
      </w:r>
      <w:r w:rsidR="00152336">
        <w:t> </w:t>
      </w:r>
      <w:r>
        <w:t>6,</w:t>
      </w:r>
      <w:r w:rsidRPr="00026E71">
        <w:rPr>
          <w:lang w:val="en-ZW"/>
        </w:rPr>
        <w:t xml:space="preserve"> </w:t>
      </w:r>
      <w:r>
        <w:rPr>
          <w:lang w:val="en-ZW"/>
        </w:rPr>
        <w:t>NRDC Opening</w:t>
      </w:r>
      <w:r w:rsidR="00152336">
        <w:rPr>
          <w:lang w:val="en-ZW"/>
        </w:rPr>
        <w:t> </w:t>
      </w:r>
      <w:r>
        <w:rPr>
          <w:lang w:val="en-ZW"/>
        </w:rPr>
        <w:t>Comments at</w:t>
      </w:r>
      <w:r w:rsidR="00152336">
        <w:rPr>
          <w:lang w:val="en-ZW"/>
        </w:rPr>
        <w:t> </w:t>
      </w:r>
      <w:r>
        <w:rPr>
          <w:lang w:val="en-ZW"/>
        </w:rPr>
        <w:t>5.</w:t>
      </w:r>
    </w:p>
  </w:footnote>
  <w:footnote w:id="148">
    <w:p w14:paraId="7BEAC0CA" w14:textId="576389D4" w:rsidR="00947B08" w:rsidRPr="002E459B" w:rsidRDefault="00947B08" w:rsidP="008D7713">
      <w:pPr>
        <w:pStyle w:val="FootnoteText"/>
        <w:ind w:left="288" w:hanging="288"/>
        <w:rPr>
          <w:lang w:val="en-ZW"/>
        </w:rPr>
      </w:pPr>
      <w:r>
        <w:rPr>
          <w:rStyle w:val="FootnoteReference"/>
        </w:rPr>
        <w:footnoteRef/>
      </w:r>
      <w:r w:rsidR="00152336">
        <w:tab/>
      </w:r>
      <w:r w:rsidRPr="00C80398">
        <w:rPr>
          <w:i/>
          <w:iCs/>
          <w:lang w:val="en-ZW"/>
        </w:rPr>
        <w:t>See</w:t>
      </w:r>
      <w:r>
        <w:rPr>
          <w:lang w:val="en-ZW"/>
        </w:rPr>
        <w:t xml:space="preserve"> Amended Scoping</w:t>
      </w:r>
      <w:r w:rsidR="00152336">
        <w:rPr>
          <w:lang w:val="en-ZW"/>
        </w:rPr>
        <w:t> </w:t>
      </w:r>
      <w:r>
        <w:rPr>
          <w:lang w:val="en-ZW"/>
        </w:rPr>
        <w:t>Memo at</w:t>
      </w:r>
      <w:r w:rsidR="00152336">
        <w:rPr>
          <w:lang w:val="en-ZW"/>
        </w:rPr>
        <w:t> </w:t>
      </w:r>
      <w:r>
        <w:rPr>
          <w:lang w:val="en-ZW"/>
        </w:rPr>
        <w:t>4.</w:t>
      </w:r>
    </w:p>
  </w:footnote>
  <w:footnote w:id="149">
    <w:p w14:paraId="56D8CE5C" w14:textId="63BDC548" w:rsidR="00947B08" w:rsidRPr="00564807" w:rsidRDefault="00947B08" w:rsidP="008D7713">
      <w:pPr>
        <w:pStyle w:val="FootnoteText"/>
        <w:ind w:left="288" w:hanging="288"/>
        <w:rPr>
          <w:lang w:val="en-ZW"/>
        </w:rPr>
      </w:pPr>
      <w:r>
        <w:rPr>
          <w:rStyle w:val="FootnoteReference"/>
        </w:rPr>
        <w:footnoteRef/>
      </w:r>
      <w:r w:rsidR="00A13BF1">
        <w:tab/>
      </w:r>
      <w:r>
        <w:rPr>
          <w:lang w:val="en-ZW"/>
        </w:rPr>
        <w:t>D.22-06-050 at</w:t>
      </w:r>
      <w:r w:rsidR="00A13BF1">
        <w:rPr>
          <w:lang w:val="en-ZW"/>
        </w:rPr>
        <w:t> </w:t>
      </w:r>
      <w:r>
        <w:rPr>
          <w:lang w:val="en-ZW"/>
        </w:rPr>
        <w:t>100.</w:t>
      </w:r>
    </w:p>
  </w:footnote>
  <w:footnote w:id="150">
    <w:p w14:paraId="56717C1B" w14:textId="0B58A949" w:rsidR="00947B08" w:rsidRPr="00515A75" w:rsidRDefault="00947B08" w:rsidP="008D7713">
      <w:pPr>
        <w:pStyle w:val="FootnoteText"/>
        <w:ind w:left="288" w:hanging="288"/>
        <w:rPr>
          <w:lang w:val="en-ZW"/>
        </w:rPr>
      </w:pPr>
      <w:r>
        <w:rPr>
          <w:rStyle w:val="FootnoteReference"/>
        </w:rPr>
        <w:footnoteRef/>
      </w:r>
      <w:r w:rsidR="00A13BF1">
        <w:tab/>
      </w:r>
      <w:r w:rsidRPr="00515A75">
        <w:rPr>
          <w:i/>
          <w:iCs/>
          <w:lang w:val="en-ZW"/>
        </w:rPr>
        <w:t>Id</w:t>
      </w:r>
      <w:r>
        <w:rPr>
          <w:lang w:val="en-ZW"/>
        </w:rPr>
        <w:t>.</w:t>
      </w:r>
    </w:p>
  </w:footnote>
  <w:footnote w:id="151">
    <w:p w14:paraId="5AB30C19" w14:textId="5CCA7105" w:rsidR="00947B08" w:rsidRPr="00CC3358" w:rsidRDefault="00947B08" w:rsidP="008D7713">
      <w:pPr>
        <w:pStyle w:val="FootnoteText"/>
        <w:ind w:left="288" w:hanging="288"/>
        <w:rPr>
          <w:lang w:val="en-ZW"/>
        </w:rPr>
      </w:pPr>
      <w:r>
        <w:rPr>
          <w:rStyle w:val="FootnoteReference"/>
        </w:rPr>
        <w:footnoteRef/>
      </w:r>
      <w:r w:rsidR="00A13BF1">
        <w:tab/>
      </w:r>
      <w:r w:rsidRPr="00515A75">
        <w:rPr>
          <w:i/>
          <w:iCs/>
          <w:lang w:val="en-ZW"/>
        </w:rPr>
        <w:t>Id</w:t>
      </w:r>
      <w:r>
        <w:rPr>
          <w:lang w:val="en-ZW"/>
        </w:rPr>
        <w:t>. at</w:t>
      </w:r>
      <w:r w:rsidR="00A13BF1">
        <w:rPr>
          <w:lang w:val="en-ZW"/>
        </w:rPr>
        <w:t> </w:t>
      </w:r>
      <w:r>
        <w:rPr>
          <w:lang w:val="en-ZW"/>
        </w:rPr>
        <w:t>101.</w:t>
      </w:r>
    </w:p>
  </w:footnote>
  <w:footnote w:id="152">
    <w:p w14:paraId="21E3F154" w14:textId="1506AE5F" w:rsidR="00947B08" w:rsidRPr="001C23D6" w:rsidRDefault="00947B08" w:rsidP="008D7713">
      <w:pPr>
        <w:pStyle w:val="FootnoteText"/>
        <w:ind w:left="288" w:hanging="288"/>
        <w:rPr>
          <w:lang w:val="en-ZW"/>
        </w:rPr>
      </w:pPr>
      <w:r>
        <w:rPr>
          <w:rStyle w:val="FootnoteReference"/>
        </w:rPr>
        <w:footnoteRef/>
      </w:r>
      <w:r w:rsidR="00A13BF1">
        <w:tab/>
      </w:r>
      <w:r>
        <w:rPr>
          <w:lang w:val="en-ZW"/>
        </w:rPr>
        <w:t>WG Report at</w:t>
      </w:r>
      <w:r w:rsidR="00A13BF1">
        <w:rPr>
          <w:lang w:val="en-ZW"/>
        </w:rPr>
        <w:t> </w:t>
      </w:r>
      <w:r>
        <w:rPr>
          <w:lang w:val="en-ZW"/>
        </w:rPr>
        <w:t>139.</w:t>
      </w:r>
    </w:p>
  </w:footnote>
  <w:footnote w:id="153">
    <w:p w14:paraId="40ADD99D" w14:textId="1B95888D" w:rsidR="00947B08" w:rsidRPr="00D94F59" w:rsidRDefault="00947B08" w:rsidP="008D7713">
      <w:pPr>
        <w:pStyle w:val="FootnoteText"/>
        <w:ind w:left="288" w:hanging="288"/>
        <w:rPr>
          <w:lang w:val="en-ZW"/>
        </w:rPr>
      </w:pPr>
      <w:r>
        <w:rPr>
          <w:rStyle w:val="FootnoteReference"/>
        </w:rPr>
        <w:footnoteRef/>
      </w:r>
      <w:r w:rsidR="00A13BF1">
        <w:tab/>
      </w:r>
      <w:r w:rsidR="00EA04E5" w:rsidRPr="00CA46DC">
        <w:rPr>
          <w:i/>
          <w:iCs/>
          <w:lang w:val="en-ZW"/>
        </w:rPr>
        <w:t>Id</w:t>
      </w:r>
      <w:r w:rsidR="00EA04E5">
        <w:rPr>
          <w:lang w:val="en-ZW"/>
        </w:rPr>
        <w:t>.</w:t>
      </w:r>
      <w:r>
        <w:rPr>
          <w:lang w:val="en-ZW"/>
        </w:rPr>
        <w:t xml:space="preserve"> at 140.</w:t>
      </w:r>
    </w:p>
  </w:footnote>
  <w:footnote w:id="154">
    <w:p w14:paraId="68823B6B" w14:textId="3F83C9B6" w:rsidR="00947B08" w:rsidRPr="00333E95" w:rsidRDefault="00947B08" w:rsidP="008D7713">
      <w:pPr>
        <w:pStyle w:val="FootnoteText"/>
        <w:ind w:left="288" w:hanging="288"/>
        <w:rPr>
          <w:lang w:val="en-ZW"/>
        </w:rPr>
      </w:pPr>
      <w:r>
        <w:rPr>
          <w:rStyle w:val="FootnoteReference"/>
        </w:rPr>
        <w:footnoteRef/>
      </w:r>
      <w:r w:rsidR="00A13BF1">
        <w:tab/>
      </w:r>
      <w:r w:rsidR="00EA04E5" w:rsidRPr="00CA46DC">
        <w:rPr>
          <w:i/>
          <w:iCs/>
          <w:lang w:val="en-ZW"/>
        </w:rPr>
        <w:t>Id</w:t>
      </w:r>
      <w:r>
        <w:rPr>
          <w:lang w:val="en-ZW"/>
        </w:rPr>
        <w:t>.</w:t>
      </w:r>
    </w:p>
  </w:footnote>
  <w:footnote w:id="155">
    <w:p w14:paraId="11F0C98B" w14:textId="3DDE2AE0" w:rsidR="00947B08" w:rsidRPr="00AF3E4A" w:rsidRDefault="00947B08" w:rsidP="008D7713">
      <w:pPr>
        <w:pStyle w:val="FootnoteText"/>
        <w:ind w:left="288" w:hanging="288"/>
        <w:rPr>
          <w:lang w:val="en-ZW"/>
        </w:rPr>
      </w:pPr>
      <w:r>
        <w:rPr>
          <w:rStyle w:val="FootnoteReference"/>
        </w:rPr>
        <w:footnoteRef/>
      </w:r>
      <w:r w:rsidR="00A13BF1">
        <w:tab/>
      </w:r>
      <w:r>
        <w:rPr>
          <w:lang w:val="en-ZW"/>
        </w:rPr>
        <w:t>AES Opening</w:t>
      </w:r>
      <w:r w:rsidR="00A13BF1">
        <w:rPr>
          <w:lang w:val="en-ZW"/>
        </w:rPr>
        <w:t> </w:t>
      </w:r>
      <w:r>
        <w:rPr>
          <w:lang w:val="en-ZW"/>
        </w:rPr>
        <w:t>Comments at</w:t>
      </w:r>
      <w:r w:rsidR="00A13BF1">
        <w:rPr>
          <w:lang w:val="en-ZW"/>
        </w:rPr>
        <w:t> </w:t>
      </w:r>
      <w:r>
        <w:rPr>
          <w:lang w:val="en-ZW"/>
        </w:rPr>
        <w:t xml:space="preserve">7, </w:t>
      </w:r>
      <w:proofErr w:type="spellStart"/>
      <w:r>
        <w:rPr>
          <w:lang w:val="en-ZW"/>
        </w:rPr>
        <w:t>AReM</w:t>
      </w:r>
      <w:proofErr w:type="spellEnd"/>
      <w:r>
        <w:rPr>
          <w:lang w:val="en-ZW"/>
        </w:rPr>
        <w:t xml:space="preserve"> Opening</w:t>
      </w:r>
      <w:r w:rsidR="00A13BF1">
        <w:rPr>
          <w:lang w:val="en-ZW"/>
        </w:rPr>
        <w:t> </w:t>
      </w:r>
      <w:r>
        <w:rPr>
          <w:lang w:val="en-ZW"/>
        </w:rPr>
        <w:t xml:space="preserve">Comments at </w:t>
      </w:r>
      <w:r w:rsidR="00F9384B">
        <w:rPr>
          <w:lang w:val="en-ZW"/>
        </w:rPr>
        <w:t>9</w:t>
      </w:r>
      <w:r>
        <w:rPr>
          <w:lang w:val="en-ZW"/>
        </w:rPr>
        <w:t>, CEJA/CEERT Opening</w:t>
      </w:r>
      <w:r w:rsidR="00A13BF1">
        <w:t> </w:t>
      </w:r>
      <w:r>
        <w:rPr>
          <w:lang w:val="en-ZW"/>
        </w:rPr>
        <w:t>Comments at</w:t>
      </w:r>
      <w:r w:rsidR="008807B8">
        <w:rPr>
          <w:lang w:val="en-ZW"/>
        </w:rPr>
        <w:t> </w:t>
      </w:r>
      <w:r>
        <w:rPr>
          <w:lang w:val="en-ZW"/>
        </w:rPr>
        <w:t>7, CLECA Opening Comments at</w:t>
      </w:r>
      <w:r w:rsidR="008807B8">
        <w:rPr>
          <w:lang w:val="en-ZW"/>
        </w:rPr>
        <w:t> </w:t>
      </w:r>
      <w:r>
        <w:rPr>
          <w:lang w:val="en-ZW"/>
        </w:rPr>
        <w:t>12, Form Energy Opening</w:t>
      </w:r>
      <w:r w:rsidR="008807B8">
        <w:rPr>
          <w:lang w:val="en-ZW"/>
        </w:rPr>
        <w:t> </w:t>
      </w:r>
      <w:r>
        <w:rPr>
          <w:lang w:val="en-ZW"/>
        </w:rPr>
        <w:t>Comments at</w:t>
      </w:r>
      <w:r w:rsidR="008807B8">
        <w:rPr>
          <w:lang w:val="en-ZW"/>
        </w:rPr>
        <w:t> </w:t>
      </w:r>
      <w:r>
        <w:rPr>
          <w:lang w:val="en-ZW"/>
        </w:rPr>
        <w:t>5, PG&amp;E Reply</w:t>
      </w:r>
      <w:r w:rsidR="008807B8">
        <w:rPr>
          <w:lang w:val="en-ZW"/>
        </w:rPr>
        <w:t> </w:t>
      </w:r>
      <w:r>
        <w:rPr>
          <w:lang w:val="en-ZW"/>
        </w:rPr>
        <w:t>Comments at</w:t>
      </w:r>
      <w:r w:rsidR="008807B8">
        <w:rPr>
          <w:lang w:val="en-ZW"/>
        </w:rPr>
        <w:t> </w:t>
      </w:r>
      <w:r>
        <w:rPr>
          <w:lang w:val="en-ZW"/>
        </w:rPr>
        <w:t>3.</w:t>
      </w:r>
    </w:p>
  </w:footnote>
  <w:footnote w:id="156">
    <w:p w14:paraId="5D70A459" w14:textId="70701770" w:rsidR="00947B08" w:rsidRPr="002E6121" w:rsidRDefault="00947B08" w:rsidP="008D7713">
      <w:pPr>
        <w:pStyle w:val="FootnoteText"/>
        <w:ind w:left="288" w:hanging="288"/>
        <w:rPr>
          <w:lang w:val="en-ZW"/>
        </w:rPr>
      </w:pPr>
      <w:r>
        <w:rPr>
          <w:rStyle w:val="FootnoteReference"/>
        </w:rPr>
        <w:footnoteRef/>
      </w:r>
      <w:r w:rsidR="00A13BF1">
        <w:tab/>
      </w:r>
      <w:r>
        <w:rPr>
          <w:lang w:val="en-ZW"/>
        </w:rPr>
        <w:t>CLECA Opening</w:t>
      </w:r>
      <w:r w:rsidR="008807B8">
        <w:rPr>
          <w:lang w:val="en-ZW"/>
        </w:rPr>
        <w:t> </w:t>
      </w:r>
      <w:r>
        <w:rPr>
          <w:lang w:val="en-ZW"/>
        </w:rPr>
        <w:t>Comments at</w:t>
      </w:r>
      <w:r w:rsidR="008807B8">
        <w:rPr>
          <w:lang w:val="en-ZW"/>
        </w:rPr>
        <w:t> </w:t>
      </w:r>
      <w:r>
        <w:rPr>
          <w:lang w:val="en-ZW"/>
        </w:rPr>
        <w:t>12,</w:t>
      </w:r>
      <w:r w:rsidRPr="00441568">
        <w:rPr>
          <w:lang w:val="en-ZW"/>
        </w:rPr>
        <w:t xml:space="preserve"> </w:t>
      </w:r>
      <w:r>
        <w:rPr>
          <w:lang w:val="en-ZW"/>
        </w:rPr>
        <w:t>CEJA/CEERT Opening</w:t>
      </w:r>
      <w:r w:rsidR="008807B8">
        <w:rPr>
          <w:lang w:val="en-ZW"/>
        </w:rPr>
        <w:t> </w:t>
      </w:r>
      <w:r>
        <w:rPr>
          <w:lang w:val="en-ZW"/>
        </w:rPr>
        <w:t>Comments at</w:t>
      </w:r>
      <w:r w:rsidR="008807B8">
        <w:rPr>
          <w:lang w:val="en-ZW"/>
        </w:rPr>
        <w:t> </w:t>
      </w:r>
      <w:r>
        <w:rPr>
          <w:lang w:val="en-ZW"/>
        </w:rPr>
        <w:t>7.</w:t>
      </w:r>
    </w:p>
  </w:footnote>
  <w:footnote w:id="157">
    <w:p w14:paraId="455DD5C7" w14:textId="3457A2C8" w:rsidR="00947B08" w:rsidRPr="007C29E7" w:rsidRDefault="00947B08" w:rsidP="008D7713">
      <w:pPr>
        <w:pStyle w:val="FootnoteText"/>
        <w:ind w:left="288" w:hanging="288"/>
        <w:rPr>
          <w:lang w:val="en-ZW"/>
        </w:rPr>
      </w:pPr>
      <w:r>
        <w:rPr>
          <w:rStyle w:val="FootnoteReference"/>
        </w:rPr>
        <w:footnoteRef/>
      </w:r>
      <w:r w:rsidR="008807B8">
        <w:tab/>
      </w:r>
      <w:r>
        <w:rPr>
          <w:lang w:val="en-ZW"/>
        </w:rPr>
        <w:t>PG&amp;E Opening</w:t>
      </w:r>
      <w:r w:rsidR="008807B8">
        <w:rPr>
          <w:lang w:val="en-ZW"/>
        </w:rPr>
        <w:t> </w:t>
      </w:r>
      <w:r>
        <w:rPr>
          <w:lang w:val="en-ZW"/>
        </w:rPr>
        <w:t>Comments at</w:t>
      </w:r>
      <w:r w:rsidR="008807B8">
        <w:rPr>
          <w:lang w:val="en-ZW"/>
        </w:rPr>
        <w:t> </w:t>
      </w:r>
      <w:r>
        <w:rPr>
          <w:lang w:val="en-ZW"/>
        </w:rPr>
        <w:t>11,</w:t>
      </w:r>
      <w:r w:rsidRPr="00293011">
        <w:rPr>
          <w:lang w:val="en-ZW"/>
        </w:rPr>
        <w:t xml:space="preserve"> </w:t>
      </w:r>
      <w:r>
        <w:rPr>
          <w:lang w:val="en-ZW"/>
        </w:rPr>
        <w:t>PG&amp;E Reply</w:t>
      </w:r>
      <w:r w:rsidR="008807B8">
        <w:rPr>
          <w:lang w:val="en-ZW"/>
        </w:rPr>
        <w:t> </w:t>
      </w:r>
      <w:r>
        <w:rPr>
          <w:lang w:val="en-ZW"/>
        </w:rPr>
        <w:t>Comments at</w:t>
      </w:r>
      <w:r w:rsidR="008807B8">
        <w:rPr>
          <w:lang w:val="en-ZW"/>
        </w:rPr>
        <w:t> </w:t>
      </w:r>
      <w:r>
        <w:rPr>
          <w:lang w:val="en-ZW"/>
        </w:rPr>
        <w:t>4.</w:t>
      </w:r>
    </w:p>
  </w:footnote>
  <w:footnote w:id="158">
    <w:p w14:paraId="3BDF1F44" w14:textId="310653DC" w:rsidR="00947B08" w:rsidRPr="006F0D2F" w:rsidRDefault="00947B08" w:rsidP="008D7713">
      <w:pPr>
        <w:pStyle w:val="FootnoteText"/>
        <w:ind w:left="288" w:hanging="288"/>
        <w:rPr>
          <w:lang w:val="en-ZW"/>
        </w:rPr>
      </w:pPr>
      <w:r>
        <w:rPr>
          <w:rStyle w:val="FootnoteReference"/>
        </w:rPr>
        <w:footnoteRef/>
      </w:r>
      <w:r w:rsidR="008807B8">
        <w:tab/>
      </w:r>
      <w:r>
        <w:rPr>
          <w:lang w:val="en-ZW"/>
        </w:rPr>
        <w:t>CEDMC Reply</w:t>
      </w:r>
      <w:r w:rsidR="008807B8">
        <w:rPr>
          <w:lang w:val="en-ZW"/>
        </w:rPr>
        <w:t> </w:t>
      </w:r>
      <w:r>
        <w:rPr>
          <w:lang w:val="en-ZW"/>
        </w:rPr>
        <w:t>Comments at</w:t>
      </w:r>
      <w:r w:rsidR="008807B8">
        <w:rPr>
          <w:lang w:val="en-ZW"/>
        </w:rPr>
        <w:t> </w:t>
      </w:r>
      <w:r>
        <w:rPr>
          <w:lang w:val="en-ZW"/>
        </w:rPr>
        <w:t xml:space="preserve">5, </w:t>
      </w:r>
      <w:proofErr w:type="spellStart"/>
      <w:r>
        <w:rPr>
          <w:lang w:val="en-ZW"/>
        </w:rPr>
        <w:t>OhmConnect</w:t>
      </w:r>
      <w:proofErr w:type="spellEnd"/>
      <w:r>
        <w:rPr>
          <w:lang w:val="en-ZW"/>
        </w:rPr>
        <w:t xml:space="preserve"> Reply</w:t>
      </w:r>
      <w:r w:rsidR="008807B8">
        <w:rPr>
          <w:lang w:val="en-ZW"/>
        </w:rPr>
        <w:t> </w:t>
      </w:r>
      <w:r>
        <w:rPr>
          <w:lang w:val="en-ZW"/>
        </w:rPr>
        <w:t>Comments at</w:t>
      </w:r>
      <w:r w:rsidR="008807B8">
        <w:rPr>
          <w:lang w:val="en-ZW"/>
        </w:rPr>
        <w:t> </w:t>
      </w:r>
      <w:r>
        <w:rPr>
          <w:lang w:val="en-ZW"/>
        </w:rPr>
        <w:t>4.</w:t>
      </w:r>
    </w:p>
  </w:footnote>
  <w:footnote w:id="159">
    <w:p w14:paraId="79BF43B9" w14:textId="06119B23" w:rsidR="00947B08" w:rsidRPr="007A6E40" w:rsidRDefault="00947B08" w:rsidP="008D7713">
      <w:pPr>
        <w:pStyle w:val="FootnoteText"/>
        <w:ind w:left="288" w:hanging="288"/>
        <w:rPr>
          <w:lang w:val="en-ZW"/>
        </w:rPr>
      </w:pPr>
      <w:r>
        <w:rPr>
          <w:rStyle w:val="FootnoteReference"/>
        </w:rPr>
        <w:footnoteRef/>
      </w:r>
      <w:r w:rsidR="008807B8">
        <w:tab/>
      </w:r>
      <w:proofErr w:type="spellStart"/>
      <w:r>
        <w:rPr>
          <w:lang w:val="en-ZW"/>
        </w:rPr>
        <w:t>Hydrostor</w:t>
      </w:r>
      <w:proofErr w:type="spellEnd"/>
      <w:r>
        <w:rPr>
          <w:lang w:val="en-ZW"/>
        </w:rPr>
        <w:t xml:space="preserve"> Reply</w:t>
      </w:r>
      <w:r w:rsidR="008807B8">
        <w:rPr>
          <w:lang w:val="en-ZW"/>
        </w:rPr>
        <w:t> </w:t>
      </w:r>
      <w:r>
        <w:rPr>
          <w:lang w:val="en-ZW"/>
        </w:rPr>
        <w:t>Comments at</w:t>
      </w:r>
      <w:r w:rsidR="008807B8">
        <w:rPr>
          <w:lang w:val="en-ZW"/>
        </w:rPr>
        <w:t> </w:t>
      </w:r>
      <w:r>
        <w:rPr>
          <w:lang w:val="en-ZW"/>
        </w:rPr>
        <w:t>2, MRP Opening</w:t>
      </w:r>
      <w:r w:rsidR="008807B8">
        <w:rPr>
          <w:lang w:val="en-ZW"/>
        </w:rPr>
        <w:t> </w:t>
      </w:r>
      <w:r>
        <w:rPr>
          <w:lang w:val="en-ZW"/>
        </w:rPr>
        <w:t>Comments at</w:t>
      </w:r>
      <w:r w:rsidR="008807B8">
        <w:rPr>
          <w:lang w:val="en-ZW"/>
        </w:rPr>
        <w:t> </w:t>
      </w:r>
      <w:r>
        <w:rPr>
          <w:lang w:val="en-ZW"/>
        </w:rPr>
        <w:t>27, SCE Reply</w:t>
      </w:r>
      <w:r w:rsidR="008807B8">
        <w:rPr>
          <w:lang w:val="en-ZW"/>
        </w:rPr>
        <w:t> </w:t>
      </w:r>
      <w:r>
        <w:rPr>
          <w:lang w:val="en-ZW"/>
        </w:rPr>
        <w:t>Comments at</w:t>
      </w:r>
      <w:r w:rsidR="008807B8">
        <w:rPr>
          <w:lang w:val="en-ZW"/>
        </w:rPr>
        <w:t> </w:t>
      </w:r>
      <w:r>
        <w:rPr>
          <w:lang w:val="en-ZW"/>
        </w:rPr>
        <w:t>1.</w:t>
      </w:r>
    </w:p>
  </w:footnote>
  <w:footnote w:id="160">
    <w:p w14:paraId="3996101C" w14:textId="1AEB7F78" w:rsidR="00947B08" w:rsidRPr="00862011" w:rsidRDefault="00947B08" w:rsidP="008D7713">
      <w:pPr>
        <w:pStyle w:val="FootnoteText"/>
        <w:ind w:left="288" w:hanging="288"/>
        <w:rPr>
          <w:lang w:val="en-ZW"/>
        </w:rPr>
      </w:pPr>
      <w:r>
        <w:rPr>
          <w:rStyle w:val="FootnoteReference"/>
        </w:rPr>
        <w:footnoteRef/>
      </w:r>
      <w:r w:rsidR="008807B8">
        <w:tab/>
      </w:r>
      <w:proofErr w:type="spellStart"/>
      <w:r>
        <w:rPr>
          <w:lang w:val="en-ZW"/>
        </w:rPr>
        <w:t>AReM</w:t>
      </w:r>
      <w:proofErr w:type="spellEnd"/>
      <w:r>
        <w:rPr>
          <w:lang w:val="en-ZW"/>
        </w:rPr>
        <w:t xml:space="preserve"> Opening</w:t>
      </w:r>
      <w:r w:rsidR="008807B8">
        <w:rPr>
          <w:lang w:val="en-ZW"/>
        </w:rPr>
        <w:t> </w:t>
      </w:r>
      <w:r>
        <w:rPr>
          <w:lang w:val="en-ZW"/>
        </w:rPr>
        <w:t>Comments at</w:t>
      </w:r>
      <w:r w:rsidR="008807B8">
        <w:rPr>
          <w:lang w:val="en-ZW"/>
        </w:rPr>
        <w:t> </w:t>
      </w:r>
      <w:r>
        <w:rPr>
          <w:lang w:val="en-ZW"/>
        </w:rPr>
        <w:t>9, CESA Opening</w:t>
      </w:r>
      <w:r w:rsidR="008807B8">
        <w:rPr>
          <w:lang w:val="en-ZW"/>
        </w:rPr>
        <w:t> </w:t>
      </w:r>
      <w:r>
        <w:rPr>
          <w:lang w:val="en-ZW"/>
        </w:rPr>
        <w:t>Comments at 12,</w:t>
      </w:r>
      <w:r w:rsidRPr="00AA5D6B">
        <w:rPr>
          <w:lang w:val="en-ZW"/>
        </w:rPr>
        <w:t xml:space="preserve"> </w:t>
      </w:r>
      <w:r>
        <w:rPr>
          <w:lang w:val="en-ZW"/>
        </w:rPr>
        <w:t>PG&amp;E</w:t>
      </w:r>
      <w:r w:rsidR="00EA04E5">
        <w:rPr>
          <w:lang w:val="en-ZW"/>
        </w:rPr>
        <w:t xml:space="preserve"> </w:t>
      </w:r>
      <w:r>
        <w:rPr>
          <w:lang w:val="en-ZW"/>
        </w:rPr>
        <w:t>Opening</w:t>
      </w:r>
      <w:r w:rsidR="00EA04E5">
        <w:rPr>
          <w:lang w:val="en-ZW"/>
        </w:rPr>
        <w:t xml:space="preserve"> </w:t>
      </w:r>
      <w:r>
        <w:rPr>
          <w:lang w:val="en-ZW"/>
        </w:rPr>
        <w:t>Comments at</w:t>
      </w:r>
      <w:r w:rsidR="008807B8">
        <w:rPr>
          <w:lang w:val="en-ZW"/>
        </w:rPr>
        <w:t> </w:t>
      </w:r>
      <w:r>
        <w:rPr>
          <w:lang w:val="en-ZW"/>
        </w:rPr>
        <w:t>12.</w:t>
      </w:r>
    </w:p>
  </w:footnote>
  <w:footnote w:id="161">
    <w:p w14:paraId="409AE3A3" w14:textId="21A58DCA" w:rsidR="00F9384B" w:rsidRPr="001D7D14" w:rsidRDefault="00F9384B" w:rsidP="008D7713">
      <w:pPr>
        <w:pStyle w:val="FootnoteText"/>
        <w:ind w:left="288" w:hanging="288"/>
        <w:rPr>
          <w:lang w:val="en-ZW"/>
        </w:rPr>
      </w:pPr>
      <w:r>
        <w:rPr>
          <w:rStyle w:val="FootnoteReference"/>
        </w:rPr>
        <w:footnoteRef/>
      </w:r>
      <w:r>
        <w:t xml:space="preserve"> </w:t>
      </w:r>
      <w:r>
        <w:tab/>
      </w:r>
      <w:r>
        <w:rPr>
          <w:lang w:val="en-ZW"/>
        </w:rPr>
        <w:t>PG&amp;E Reply Comments at 3.</w:t>
      </w:r>
    </w:p>
  </w:footnote>
  <w:footnote w:id="162">
    <w:p w14:paraId="4CF4DE68" w14:textId="758DD2D5" w:rsidR="00947B08" w:rsidRPr="006B000F" w:rsidRDefault="00947B08" w:rsidP="008D7713">
      <w:pPr>
        <w:pStyle w:val="FootnoteText"/>
        <w:ind w:left="288" w:hanging="288"/>
        <w:rPr>
          <w:lang w:val="en-ZW"/>
        </w:rPr>
      </w:pPr>
      <w:r>
        <w:rPr>
          <w:rStyle w:val="FootnoteReference"/>
        </w:rPr>
        <w:footnoteRef/>
      </w:r>
      <w:r w:rsidR="008807B8">
        <w:tab/>
      </w:r>
      <w:r>
        <w:rPr>
          <w:lang w:val="en-ZW"/>
        </w:rPr>
        <w:t>MRP Opening</w:t>
      </w:r>
      <w:r w:rsidR="008807B8">
        <w:rPr>
          <w:lang w:val="en-ZW"/>
        </w:rPr>
        <w:t> </w:t>
      </w:r>
      <w:r>
        <w:rPr>
          <w:lang w:val="en-ZW"/>
        </w:rPr>
        <w:t>Comments at</w:t>
      </w:r>
      <w:r w:rsidR="008807B8">
        <w:rPr>
          <w:lang w:val="en-ZW"/>
        </w:rPr>
        <w:t> </w:t>
      </w:r>
      <w:r>
        <w:rPr>
          <w:lang w:val="en-ZW"/>
        </w:rPr>
        <w:t>28.</w:t>
      </w:r>
    </w:p>
  </w:footnote>
  <w:footnote w:id="163">
    <w:p w14:paraId="69052C9F" w14:textId="717A792A" w:rsidR="00947B08" w:rsidRPr="00E3235D" w:rsidRDefault="00947B08" w:rsidP="008D7713">
      <w:pPr>
        <w:pStyle w:val="FootnoteText"/>
        <w:ind w:left="288" w:hanging="288"/>
        <w:rPr>
          <w:lang w:val="en-ZW"/>
        </w:rPr>
      </w:pPr>
      <w:r>
        <w:rPr>
          <w:rStyle w:val="FootnoteReference"/>
        </w:rPr>
        <w:footnoteRef/>
      </w:r>
      <w:r w:rsidR="008807B8">
        <w:tab/>
      </w:r>
      <w:r>
        <w:rPr>
          <w:lang w:val="en-ZW"/>
        </w:rPr>
        <w:t>PG&amp;E Reply</w:t>
      </w:r>
      <w:r w:rsidR="008807B8">
        <w:rPr>
          <w:lang w:val="en-ZW"/>
        </w:rPr>
        <w:t> </w:t>
      </w:r>
      <w:r>
        <w:rPr>
          <w:lang w:val="en-ZW"/>
        </w:rPr>
        <w:t>Comments at</w:t>
      </w:r>
      <w:r w:rsidR="008807B8">
        <w:rPr>
          <w:lang w:val="en-ZW"/>
        </w:rPr>
        <w:t> </w:t>
      </w:r>
      <w:r>
        <w:rPr>
          <w:lang w:val="en-ZW"/>
        </w:rPr>
        <w:t>3.</w:t>
      </w:r>
    </w:p>
  </w:footnote>
  <w:footnote w:id="164">
    <w:p w14:paraId="068DBEBC" w14:textId="18F09678" w:rsidR="00947B08" w:rsidRPr="00B81FF9" w:rsidRDefault="00947B08" w:rsidP="008D7713">
      <w:pPr>
        <w:pStyle w:val="FootnoteText"/>
        <w:ind w:left="288" w:hanging="288"/>
        <w:rPr>
          <w:lang w:val="en-ZW"/>
        </w:rPr>
      </w:pPr>
      <w:r>
        <w:rPr>
          <w:rStyle w:val="FootnoteReference"/>
        </w:rPr>
        <w:footnoteRef/>
      </w:r>
      <w:r w:rsidR="008807B8">
        <w:tab/>
      </w:r>
      <w:r>
        <w:rPr>
          <w:lang w:val="en-ZW"/>
        </w:rPr>
        <w:t>AES Opening</w:t>
      </w:r>
      <w:r w:rsidR="008807B8">
        <w:rPr>
          <w:lang w:val="en-ZW"/>
        </w:rPr>
        <w:t> </w:t>
      </w:r>
      <w:r>
        <w:rPr>
          <w:lang w:val="en-ZW"/>
        </w:rPr>
        <w:t>Comments at</w:t>
      </w:r>
      <w:r w:rsidR="008807B8">
        <w:rPr>
          <w:lang w:val="en-ZW"/>
        </w:rPr>
        <w:t> </w:t>
      </w:r>
      <w:r>
        <w:rPr>
          <w:lang w:val="en-ZW"/>
        </w:rPr>
        <w:t>7, Form Energy Opening</w:t>
      </w:r>
      <w:r w:rsidR="008807B8">
        <w:rPr>
          <w:lang w:val="en-ZW"/>
        </w:rPr>
        <w:t> </w:t>
      </w:r>
      <w:r>
        <w:rPr>
          <w:lang w:val="en-ZW"/>
        </w:rPr>
        <w:t>Comments at</w:t>
      </w:r>
      <w:r w:rsidR="008807B8">
        <w:rPr>
          <w:lang w:val="en-ZW"/>
        </w:rPr>
        <w:t> </w:t>
      </w:r>
      <w:r>
        <w:rPr>
          <w:lang w:val="en-ZW"/>
        </w:rPr>
        <w:t>4.</w:t>
      </w:r>
    </w:p>
  </w:footnote>
  <w:footnote w:id="165">
    <w:p w14:paraId="411FD5F8" w14:textId="7DE122B3" w:rsidR="00BD41B6" w:rsidRPr="001D7D14" w:rsidRDefault="00BD41B6" w:rsidP="008D7713">
      <w:pPr>
        <w:pStyle w:val="FootnoteText"/>
        <w:ind w:left="288" w:hanging="288"/>
        <w:rPr>
          <w:lang w:val="en-ZW"/>
        </w:rPr>
      </w:pPr>
      <w:r>
        <w:rPr>
          <w:rStyle w:val="FootnoteReference"/>
        </w:rPr>
        <w:footnoteRef/>
      </w:r>
      <w:r>
        <w:t xml:space="preserve"> </w:t>
      </w:r>
      <w:r w:rsidR="00EA04E5">
        <w:tab/>
      </w:r>
      <w:r>
        <w:rPr>
          <w:lang w:val="en-ZW"/>
        </w:rPr>
        <w:t>D.22-06-050 at 101.</w:t>
      </w:r>
    </w:p>
  </w:footnote>
  <w:footnote w:id="166">
    <w:p w14:paraId="7327495F" w14:textId="2DBBF355" w:rsidR="00BD41B6" w:rsidRPr="001D7D14" w:rsidRDefault="00BD41B6" w:rsidP="008D7713">
      <w:pPr>
        <w:pStyle w:val="FootnoteText"/>
        <w:ind w:left="288" w:hanging="288"/>
        <w:rPr>
          <w:lang w:val="en-ZW"/>
        </w:rPr>
      </w:pPr>
      <w:r>
        <w:rPr>
          <w:rStyle w:val="FootnoteReference"/>
        </w:rPr>
        <w:footnoteRef/>
      </w:r>
      <w:r>
        <w:t xml:space="preserve"> </w:t>
      </w:r>
      <w:r w:rsidR="00EA04E5">
        <w:tab/>
      </w:r>
      <w:r>
        <w:rPr>
          <w:lang w:val="en-ZW"/>
        </w:rPr>
        <w:t>PG&amp;E Opening Comments at 5.</w:t>
      </w:r>
    </w:p>
  </w:footnote>
  <w:footnote w:id="167">
    <w:p w14:paraId="37A06459" w14:textId="0E7F0CEE" w:rsidR="00947B08" w:rsidRPr="00985F27" w:rsidRDefault="00947B08" w:rsidP="008D7713">
      <w:pPr>
        <w:pStyle w:val="FootnoteText"/>
        <w:ind w:left="288" w:hanging="288"/>
        <w:rPr>
          <w:lang w:val="en-ZW"/>
        </w:rPr>
      </w:pPr>
      <w:r>
        <w:rPr>
          <w:rStyle w:val="FootnoteReference"/>
        </w:rPr>
        <w:footnoteRef/>
      </w:r>
      <w:r w:rsidR="008807B8">
        <w:tab/>
      </w:r>
      <w:r w:rsidRPr="000661FE">
        <w:rPr>
          <w:i/>
          <w:iCs/>
          <w:lang w:val="en-ZW"/>
        </w:rPr>
        <w:t>See</w:t>
      </w:r>
      <w:r>
        <w:rPr>
          <w:lang w:val="en-ZW"/>
        </w:rPr>
        <w:t xml:space="preserve"> SCE Reply Comments at</w:t>
      </w:r>
      <w:r w:rsidR="008807B8">
        <w:rPr>
          <w:lang w:val="en-ZW"/>
        </w:rPr>
        <w:t> </w:t>
      </w:r>
      <w:r>
        <w:rPr>
          <w:lang w:val="en-ZW"/>
        </w:rPr>
        <w:t>1.</w:t>
      </w:r>
    </w:p>
  </w:footnote>
  <w:footnote w:id="168">
    <w:p w14:paraId="1F8BDB9C" w14:textId="5D4372C6" w:rsidR="00947B08" w:rsidRPr="00EB1060" w:rsidRDefault="00947B08" w:rsidP="008D7713">
      <w:pPr>
        <w:pStyle w:val="FootnoteText"/>
        <w:ind w:left="288" w:hanging="288"/>
        <w:rPr>
          <w:lang w:val="en-ZW"/>
        </w:rPr>
      </w:pPr>
      <w:r>
        <w:rPr>
          <w:rStyle w:val="FootnoteReference"/>
        </w:rPr>
        <w:footnoteRef/>
      </w:r>
      <w:r w:rsidR="00B770B1">
        <w:tab/>
      </w:r>
      <w:r>
        <w:rPr>
          <w:lang w:val="en-ZW"/>
        </w:rPr>
        <w:t>D.22</w:t>
      </w:r>
      <w:r w:rsidR="00B770B1">
        <w:rPr>
          <w:lang w:val="en-ZW"/>
        </w:rPr>
        <w:noBreakHyphen/>
      </w:r>
      <w:r>
        <w:rPr>
          <w:lang w:val="en-ZW"/>
        </w:rPr>
        <w:t>06</w:t>
      </w:r>
      <w:r w:rsidR="00B770B1">
        <w:rPr>
          <w:lang w:val="en-ZW"/>
        </w:rPr>
        <w:noBreakHyphen/>
      </w:r>
      <w:r>
        <w:rPr>
          <w:lang w:val="en-ZW"/>
        </w:rPr>
        <w:t>050 at</w:t>
      </w:r>
      <w:r w:rsidR="00B770B1">
        <w:rPr>
          <w:lang w:val="en-ZW"/>
        </w:rPr>
        <w:t> </w:t>
      </w:r>
      <w:r>
        <w:rPr>
          <w:lang w:val="en-ZW"/>
        </w:rPr>
        <w:t>OP</w:t>
      </w:r>
      <w:r w:rsidR="00B770B1">
        <w:rPr>
          <w:lang w:val="en-ZW"/>
        </w:rPr>
        <w:t> </w:t>
      </w:r>
      <w:r>
        <w:rPr>
          <w:lang w:val="en-ZW"/>
        </w:rPr>
        <w:t>15.</w:t>
      </w:r>
    </w:p>
  </w:footnote>
  <w:footnote w:id="169">
    <w:p w14:paraId="5374A6E5" w14:textId="4BAF0D53" w:rsidR="00947B08" w:rsidRPr="004D25D6" w:rsidRDefault="00947B08" w:rsidP="008D7713">
      <w:pPr>
        <w:pStyle w:val="FootnoteText"/>
        <w:ind w:left="288" w:hanging="288"/>
        <w:rPr>
          <w:lang w:val="en-ZW"/>
        </w:rPr>
      </w:pPr>
      <w:r>
        <w:rPr>
          <w:rStyle w:val="FootnoteReference"/>
        </w:rPr>
        <w:footnoteRef/>
      </w:r>
      <w:r w:rsidR="00B770B1">
        <w:tab/>
      </w:r>
      <w:r>
        <w:rPr>
          <w:lang w:val="en-ZW"/>
        </w:rPr>
        <w:t>WG</w:t>
      </w:r>
      <w:r w:rsidR="00B770B1">
        <w:rPr>
          <w:lang w:val="en-ZW"/>
        </w:rPr>
        <w:t> </w:t>
      </w:r>
      <w:r>
        <w:rPr>
          <w:lang w:val="en-ZW"/>
        </w:rPr>
        <w:t>Report at</w:t>
      </w:r>
      <w:r w:rsidR="00B770B1">
        <w:rPr>
          <w:lang w:val="en-ZW"/>
        </w:rPr>
        <w:t> </w:t>
      </w:r>
      <w:r>
        <w:rPr>
          <w:lang w:val="en-ZW"/>
        </w:rPr>
        <w:t>133.</w:t>
      </w:r>
    </w:p>
  </w:footnote>
  <w:footnote w:id="170">
    <w:p w14:paraId="3D337403" w14:textId="4E0E1F99" w:rsidR="00947B08" w:rsidRPr="00866572" w:rsidRDefault="00947B08" w:rsidP="008D7713">
      <w:pPr>
        <w:pStyle w:val="FootnoteText"/>
        <w:ind w:left="288" w:hanging="288"/>
        <w:rPr>
          <w:lang w:val="en-ZW"/>
        </w:rPr>
      </w:pPr>
      <w:r>
        <w:rPr>
          <w:rStyle w:val="FootnoteReference"/>
        </w:rPr>
        <w:footnoteRef/>
      </w:r>
      <w:r w:rsidR="00B770B1">
        <w:tab/>
      </w:r>
      <w:r w:rsidR="00EA04E5" w:rsidRPr="00CA46DC">
        <w:rPr>
          <w:i/>
          <w:iCs/>
          <w:lang w:val="en-ZW"/>
        </w:rPr>
        <w:t>Id</w:t>
      </w:r>
      <w:r w:rsidR="00EA04E5">
        <w:rPr>
          <w:lang w:val="en-ZW"/>
        </w:rPr>
        <w:t>.</w:t>
      </w:r>
      <w:r>
        <w:rPr>
          <w:lang w:val="en-ZW"/>
        </w:rPr>
        <w:t xml:space="preserve"> at</w:t>
      </w:r>
      <w:r w:rsidR="00B770B1">
        <w:rPr>
          <w:lang w:val="en-ZW"/>
        </w:rPr>
        <w:t> </w:t>
      </w:r>
      <w:r>
        <w:rPr>
          <w:lang w:val="en-ZW"/>
        </w:rPr>
        <w:t>134</w:t>
      </w:r>
    </w:p>
  </w:footnote>
  <w:footnote w:id="171">
    <w:p w14:paraId="79F6623D" w14:textId="205183DF" w:rsidR="00947B08" w:rsidRPr="00874F40" w:rsidRDefault="00947B08" w:rsidP="008D7713">
      <w:pPr>
        <w:pStyle w:val="FootnoteText"/>
        <w:ind w:left="288" w:hanging="288"/>
        <w:rPr>
          <w:lang w:val="en-ZW"/>
        </w:rPr>
      </w:pPr>
      <w:r>
        <w:rPr>
          <w:rStyle w:val="FootnoteReference"/>
        </w:rPr>
        <w:footnoteRef/>
      </w:r>
      <w:r w:rsidR="00B770B1">
        <w:tab/>
      </w:r>
      <w:r w:rsidR="00EA04E5" w:rsidRPr="00CA46DC">
        <w:rPr>
          <w:i/>
          <w:iCs/>
          <w:lang w:val="en-ZW"/>
        </w:rPr>
        <w:t>Id</w:t>
      </w:r>
      <w:r w:rsidR="00EA04E5">
        <w:rPr>
          <w:lang w:val="en-ZW"/>
        </w:rPr>
        <w:t>.</w:t>
      </w:r>
      <w:r>
        <w:rPr>
          <w:lang w:val="en-ZW"/>
        </w:rPr>
        <w:t xml:space="preserve"> at</w:t>
      </w:r>
      <w:r w:rsidR="00B770B1">
        <w:rPr>
          <w:lang w:val="en-ZW"/>
        </w:rPr>
        <w:t> </w:t>
      </w:r>
      <w:r>
        <w:rPr>
          <w:lang w:val="en-ZW"/>
        </w:rPr>
        <w:t>169.</w:t>
      </w:r>
    </w:p>
  </w:footnote>
  <w:footnote w:id="172">
    <w:p w14:paraId="6788F345" w14:textId="19F16D04" w:rsidR="00947B08" w:rsidRPr="006923DD" w:rsidRDefault="00947B08" w:rsidP="008D7713">
      <w:pPr>
        <w:pStyle w:val="FootnoteText"/>
        <w:ind w:left="288" w:hanging="288"/>
        <w:rPr>
          <w:lang w:val="en-ZW"/>
        </w:rPr>
      </w:pPr>
      <w:r>
        <w:rPr>
          <w:rStyle w:val="FootnoteReference"/>
        </w:rPr>
        <w:footnoteRef/>
      </w:r>
      <w:r w:rsidR="00B770B1">
        <w:tab/>
      </w:r>
      <w:r>
        <w:rPr>
          <w:lang w:val="en-ZW"/>
        </w:rPr>
        <w:t>PG&amp;E Opening</w:t>
      </w:r>
      <w:r w:rsidR="00B770B1">
        <w:rPr>
          <w:lang w:val="en-ZW"/>
        </w:rPr>
        <w:t> </w:t>
      </w:r>
      <w:r>
        <w:rPr>
          <w:lang w:val="en-ZW"/>
        </w:rPr>
        <w:t>Comments at</w:t>
      </w:r>
      <w:r w:rsidR="00B770B1">
        <w:rPr>
          <w:lang w:val="en-ZW"/>
        </w:rPr>
        <w:t> </w:t>
      </w:r>
      <w:r>
        <w:rPr>
          <w:lang w:val="en-ZW"/>
        </w:rPr>
        <w:t>9.</w:t>
      </w:r>
    </w:p>
  </w:footnote>
  <w:footnote w:id="173">
    <w:p w14:paraId="0BE97B6E" w14:textId="6DF0AB4A" w:rsidR="00947B08" w:rsidRPr="00C3183B" w:rsidRDefault="00947B08" w:rsidP="008D7713">
      <w:pPr>
        <w:pStyle w:val="FootnoteText"/>
        <w:ind w:left="288" w:hanging="288"/>
        <w:rPr>
          <w:lang w:val="en-ZW"/>
        </w:rPr>
      </w:pPr>
      <w:r>
        <w:rPr>
          <w:rStyle w:val="FootnoteReference"/>
        </w:rPr>
        <w:footnoteRef/>
      </w:r>
      <w:r w:rsidR="00B770B1">
        <w:tab/>
      </w:r>
      <w:r>
        <w:rPr>
          <w:lang w:val="en-ZW"/>
        </w:rPr>
        <w:t>WPTF Opening</w:t>
      </w:r>
      <w:r w:rsidR="00B770B1">
        <w:rPr>
          <w:lang w:val="en-ZW"/>
        </w:rPr>
        <w:t> </w:t>
      </w:r>
      <w:r>
        <w:rPr>
          <w:lang w:val="en-ZW"/>
        </w:rPr>
        <w:t>Comments at</w:t>
      </w:r>
      <w:r w:rsidR="00B770B1">
        <w:rPr>
          <w:lang w:val="en-ZW"/>
        </w:rPr>
        <w:t> </w:t>
      </w:r>
      <w:r>
        <w:rPr>
          <w:lang w:val="en-ZW"/>
        </w:rPr>
        <w:t>2.</w:t>
      </w:r>
    </w:p>
  </w:footnote>
  <w:footnote w:id="174">
    <w:p w14:paraId="1730EAE1" w14:textId="56A8D289" w:rsidR="00947B08" w:rsidRPr="00EF2819" w:rsidRDefault="00947B08" w:rsidP="008D7713">
      <w:pPr>
        <w:pStyle w:val="FootnoteText"/>
        <w:ind w:left="288" w:hanging="288"/>
        <w:rPr>
          <w:lang w:val="en-ZW"/>
        </w:rPr>
      </w:pPr>
      <w:r>
        <w:rPr>
          <w:rStyle w:val="FootnoteReference"/>
        </w:rPr>
        <w:footnoteRef/>
      </w:r>
      <w:r w:rsidR="00B770B1">
        <w:tab/>
      </w:r>
      <w:r>
        <w:rPr>
          <w:lang w:val="en-ZW"/>
        </w:rPr>
        <w:t>MRP Opening</w:t>
      </w:r>
      <w:r w:rsidR="00B770B1">
        <w:rPr>
          <w:lang w:val="en-ZW"/>
        </w:rPr>
        <w:t> </w:t>
      </w:r>
      <w:r>
        <w:rPr>
          <w:lang w:val="en-ZW"/>
        </w:rPr>
        <w:t>Comments at</w:t>
      </w:r>
      <w:r w:rsidR="00B770B1">
        <w:rPr>
          <w:lang w:val="en-ZW"/>
        </w:rPr>
        <w:t> </w:t>
      </w:r>
      <w:r>
        <w:rPr>
          <w:lang w:val="en-ZW"/>
        </w:rPr>
        <w:t>25.</w:t>
      </w:r>
    </w:p>
  </w:footnote>
  <w:footnote w:id="175">
    <w:p w14:paraId="4AAF6AE4" w14:textId="78DCAD07" w:rsidR="00947B08" w:rsidRPr="009B6033" w:rsidRDefault="00947B08" w:rsidP="008D7713">
      <w:pPr>
        <w:pStyle w:val="FootnoteText"/>
        <w:ind w:left="288" w:hanging="288"/>
        <w:rPr>
          <w:lang w:val="en-ZW"/>
        </w:rPr>
      </w:pPr>
      <w:r>
        <w:rPr>
          <w:rStyle w:val="FootnoteReference"/>
        </w:rPr>
        <w:footnoteRef/>
      </w:r>
      <w:r w:rsidR="00B770B1">
        <w:tab/>
      </w:r>
      <w:r>
        <w:rPr>
          <w:lang w:val="en-ZW"/>
        </w:rPr>
        <w:t>Cal</w:t>
      </w:r>
      <w:r w:rsidR="00B770B1">
        <w:rPr>
          <w:lang w:val="en-ZW"/>
        </w:rPr>
        <w:t> </w:t>
      </w:r>
      <w:r>
        <w:rPr>
          <w:lang w:val="en-ZW"/>
        </w:rPr>
        <w:t>Advocates Opening</w:t>
      </w:r>
      <w:r w:rsidR="00B770B1">
        <w:rPr>
          <w:lang w:val="en-ZW"/>
        </w:rPr>
        <w:t> </w:t>
      </w:r>
      <w:r>
        <w:rPr>
          <w:lang w:val="en-ZW"/>
        </w:rPr>
        <w:t>Comments at</w:t>
      </w:r>
      <w:r w:rsidR="00B770B1">
        <w:rPr>
          <w:lang w:val="en-ZW"/>
        </w:rPr>
        <w:t> </w:t>
      </w:r>
      <w:r>
        <w:rPr>
          <w:lang w:val="en-ZW"/>
        </w:rPr>
        <w:t>16.</w:t>
      </w:r>
    </w:p>
  </w:footnote>
  <w:footnote w:id="176">
    <w:p w14:paraId="46A48CA9" w14:textId="63950449" w:rsidR="00947B08" w:rsidRPr="000C169C" w:rsidRDefault="00947B08" w:rsidP="008D7713">
      <w:pPr>
        <w:pStyle w:val="FootnoteText"/>
        <w:ind w:left="288" w:hanging="288"/>
        <w:rPr>
          <w:lang w:val="en-ZW"/>
        </w:rPr>
      </w:pPr>
      <w:r>
        <w:rPr>
          <w:rStyle w:val="FootnoteReference"/>
        </w:rPr>
        <w:footnoteRef/>
      </w:r>
      <w:r w:rsidR="00B770B1">
        <w:tab/>
      </w:r>
      <w:r>
        <w:rPr>
          <w:lang w:val="en-ZW"/>
        </w:rPr>
        <w:t>ACP-CA Opening</w:t>
      </w:r>
      <w:r w:rsidR="00B770B1">
        <w:rPr>
          <w:lang w:val="en-ZW"/>
        </w:rPr>
        <w:t> </w:t>
      </w:r>
      <w:r>
        <w:rPr>
          <w:lang w:val="en-ZW"/>
        </w:rPr>
        <w:t>Comments at</w:t>
      </w:r>
      <w:r w:rsidR="00B770B1">
        <w:rPr>
          <w:lang w:val="en-ZW"/>
        </w:rPr>
        <w:t> </w:t>
      </w:r>
      <w:r>
        <w:rPr>
          <w:lang w:val="en-ZW"/>
        </w:rPr>
        <w:t>4.</w:t>
      </w:r>
    </w:p>
  </w:footnote>
  <w:footnote w:id="177">
    <w:p w14:paraId="31B51573" w14:textId="385E59E3" w:rsidR="00947B08" w:rsidRPr="00E060FA" w:rsidRDefault="00947B08" w:rsidP="008D7713">
      <w:pPr>
        <w:pStyle w:val="FootnoteText"/>
        <w:ind w:left="288" w:hanging="288"/>
        <w:rPr>
          <w:lang w:val="en-ZW"/>
        </w:rPr>
      </w:pPr>
      <w:r>
        <w:rPr>
          <w:rStyle w:val="FootnoteReference"/>
        </w:rPr>
        <w:footnoteRef/>
      </w:r>
      <w:r w:rsidR="00B770B1">
        <w:tab/>
      </w:r>
      <w:r>
        <w:rPr>
          <w:lang w:val="en-ZW"/>
        </w:rPr>
        <w:t>CEJA/CEERT Opening</w:t>
      </w:r>
      <w:r w:rsidR="00B770B1">
        <w:rPr>
          <w:lang w:val="en-ZW"/>
        </w:rPr>
        <w:t> </w:t>
      </w:r>
      <w:r>
        <w:rPr>
          <w:lang w:val="en-ZW"/>
        </w:rPr>
        <w:t>Comments at</w:t>
      </w:r>
      <w:r w:rsidR="00B770B1">
        <w:rPr>
          <w:lang w:val="en-ZW"/>
        </w:rPr>
        <w:t> </w:t>
      </w:r>
      <w:r>
        <w:rPr>
          <w:lang w:val="en-ZW"/>
        </w:rPr>
        <w:t>7.</w:t>
      </w:r>
    </w:p>
  </w:footnote>
  <w:footnote w:id="178">
    <w:p w14:paraId="0B049F64" w14:textId="76634C7D" w:rsidR="00947B08" w:rsidRPr="00D6427A" w:rsidRDefault="00947B08" w:rsidP="008D7713">
      <w:pPr>
        <w:pStyle w:val="FootnoteText"/>
        <w:ind w:left="288" w:hanging="288"/>
        <w:rPr>
          <w:lang w:val="en-ZW"/>
        </w:rPr>
      </w:pPr>
      <w:r>
        <w:rPr>
          <w:rStyle w:val="FootnoteReference"/>
        </w:rPr>
        <w:footnoteRef/>
      </w:r>
      <w:r w:rsidR="00B770B1">
        <w:tab/>
      </w:r>
      <w:proofErr w:type="spellStart"/>
      <w:r>
        <w:rPr>
          <w:lang w:val="en-ZW"/>
        </w:rPr>
        <w:t>CalCCA</w:t>
      </w:r>
      <w:proofErr w:type="spellEnd"/>
      <w:r>
        <w:rPr>
          <w:lang w:val="en-ZW"/>
        </w:rPr>
        <w:t xml:space="preserve"> Opening</w:t>
      </w:r>
      <w:r w:rsidR="00B770B1">
        <w:rPr>
          <w:lang w:val="en-ZW"/>
        </w:rPr>
        <w:t> </w:t>
      </w:r>
      <w:r>
        <w:rPr>
          <w:lang w:val="en-ZW"/>
        </w:rPr>
        <w:t>Comments at</w:t>
      </w:r>
      <w:r w:rsidR="00B770B1">
        <w:rPr>
          <w:lang w:val="en-ZW"/>
        </w:rPr>
        <w:t> </w:t>
      </w:r>
      <w:r>
        <w:rPr>
          <w:lang w:val="en-ZW"/>
        </w:rPr>
        <w:t>4.</w:t>
      </w:r>
    </w:p>
  </w:footnote>
  <w:footnote w:id="179">
    <w:p w14:paraId="4B638529" w14:textId="568FB260" w:rsidR="00947B08" w:rsidRPr="007B7B36" w:rsidRDefault="00947B08" w:rsidP="008D7713">
      <w:pPr>
        <w:pStyle w:val="FootnoteText"/>
        <w:ind w:left="288" w:hanging="288"/>
        <w:rPr>
          <w:lang w:val="en-ZW"/>
        </w:rPr>
      </w:pPr>
      <w:r>
        <w:rPr>
          <w:rStyle w:val="FootnoteReference"/>
        </w:rPr>
        <w:footnoteRef/>
      </w:r>
      <w:r w:rsidR="00B770B1">
        <w:tab/>
      </w:r>
      <w:proofErr w:type="spellStart"/>
      <w:r>
        <w:rPr>
          <w:lang w:val="en-ZW"/>
        </w:rPr>
        <w:t>AReM</w:t>
      </w:r>
      <w:proofErr w:type="spellEnd"/>
      <w:r>
        <w:rPr>
          <w:lang w:val="en-ZW"/>
        </w:rPr>
        <w:t xml:space="preserve"> Opening</w:t>
      </w:r>
      <w:r w:rsidR="00B770B1">
        <w:rPr>
          <w:lang w:val="en-ZW"/>
        </w:rPr>
        <w:t> </w:t>
      </w:r>
      <w:r>
        <w:rPr>
          <w:lang w:val="en-ZW"/>
        </w:rPr>
        <w:t>Comments at</w:t>
      </w:r>
      <w:r w:rsidR="00B770B1">
        <w:rPr>
          <w:lang w:val="en-ZW"/>
        </w:rPr>
        <w:t> </w:t>
      </w:r>
      <w:r>
        <w:rPr>
          <w:lang w:val="en-ZW"/>
        </w:rPr>
        <w:t>7, Cal</w:t>
      </w:r>
      <w:r w:rsidR="00B770B1">
        <w:rPr>
          <w:lang w:val="en-ZW"/>
        </w:rPr>
        <w:t> </w:t>
      </w:r>
      <w:r>
        <w:rPr>
          <w:lang w:val="en-ZW"/>
        </w:rPr>
        <w:t>Advocates Opening</w:t>
      </w:r>
      <w:r w:rsidR="00B770B1">
        <w:rPr>
          <w:lang w:val="en-ZW"/>
        </w:rPr>
        <w:t> </w:t>
      </w:r>
      <w:r>
        <w:rPr>
          <w:lang w:val="en-ZW"/>
        </w:rPr>
        <w:t>Comments at</w:t>
      </w:r>
      <w:r w:rsidR="00B770B1">
        <w:rPr>
          <w:lang w:val="en-ZW"/>
        </w:rPr>
        <w:t> </w:t>
      </w:r>
      <w:r>
        <w:rPr>
          <w:lang w:val="en-ZW"/>
        </w:rPr>
        <w:t>17, MRP Opening</w:t>
      </w:r>
      <w:r w:rsidR="00B770B1">
        <w:rPr>
          <w:lang w:val="en-ZW"/>
        </w:rPr>
        <w:t> </w:t>
      </w:r>
      <w:r>
        <w:rPr>
          <w:lang w:val="en-ZW"/>
        </w:rPr>
        <w:t>Comments at</w:t>
      </w:r>
      <w:r w:rsidR="00B770B1">
        <w:rPr>
          <w:lang w:val="en-ZW"/>
        </w:rPr>
        <w:t> </w:t>
      </w:r>
      <w:r>
        <w:rPr>
          <w:lang w:val="en-ZW"/>
        </w:rPr>
        <w:t>27, PG&amp;E Opening</w:t>
      </w:r>
      <w:r w:rsidR="00B770B1">
        <w:rPr>
          <w:lang w:val="en-ZW"/>
        </w:rPr>
        <w:t> </w:t>
      </w:r>
      <w:r>
        <w:rPr>
          <w:lang w:val="en-ZW"/>
        </w:rPr>
        <w:t>Comments at</w:t>
      </w:r>
      <w:r w:rsidR="00B770B1">
        <w:rPr>
          <w:lang w:val="en-ZW"/>
        </w:rPr>
        <w:t> </w:t>
      </w:r>
      <w:r>
        <w:rPr>
          <w:lang w:val="en-ZW"/>
        </w:rPr>
        <w:t>9, WPTF Opening</w:t>
      </w:r>
      <w:r w:rsidR="00B770B1">
        <w:rPr>
          <w:lang w:val="en-ZW"/>
        </w:rPr>
        <w:t> </w:t>
      </w:r>
      <w:r>
        <w:rPr>
          <w:lang w:val="en-ZW"/>
        </w:rPr>
        <w:t>Comments at</w:t>
      </w:r>
      <w:r w:rsidR="00B770B1">
        <w:rPr>
          <w:lang w:val="en-ZW"/>
        </w:rPr>
        <w:t> </w:t>
      </w:r>
      <w:r>
        <w:rPr>
          <w:lang w:val="en-ZW"/>
        </w:rPr>
        <w:t>7.</w:t>
      </w:r>
    </w:p>
  </w:footnote>
  <w:footnote w:id="180">
    <w:p w14:paraId="43F85AD3" w14:textId="6C2331AC" w:rsidR="00947B08" w:rsidRPr="00ED1E7E" w:rsidRDefault="00947B08" w:rsidP="008D7713">
      <w:pPr>
        <w:pStyle w:val="FootnoteText"/>
        <w:ind w:left="288" w:hanging="288"/>
        <w:rPr>
          <w:lang w:val="en-ZW"/>
        </w:rPr>
      </w:pPr>
      <w:r>
        <w:rPr>
          <w:rStyle w:val="FootnoteReference"/>
        </w:rPr>
        <w:footnoteRef/>
      </w:r>
      <w:r w:rsidR="00B770B1">
        <w:tab/>
      </w:r>
      <w:r>
        <w:rPr>
          <w:lang w:val="en-ZW"/>
        </w:rPr>
        <w:t>PG&amp;E Reply</w:t>
      </w:r>
      <w:r w:rsidR="00B770B1">
        <w:rPr>
          <w:lang w:val="en-ZW"/>
        </w:rPr>
        <w:t> </w:t>
      </w:r>
      <w:r>
        <w:rPr>
          <w:lang w:val="en-ZW"/>
        </w:rPr>
        <w:t>Comments at</w:t>
      </w:r>
      <w:r w:rsidR="00B770B1">
        <w:rPr>
          <w:lang w:val="en-ZW"/>
        </w:rPr>
        <w:t> </w:t>
      </w:r>
      <w:r>
        <w:rPr>
          <w:lang w:val="en-ZW"/>
        </w:rPr>
        <w:t>7.</w:t>
      </w:r>
    </w:p>
  </w:footnote>
  <w:footnote w:id="181">
    <w:p w14:paraId="29C11DD5" w14:textId="6612A67B" w:rsidR="00947B08" w:rsidRPr="006152E7" w:rsidRDefault="00947B08" w:rsidP="008D7713">
      <w:pPr>
        <w:pStyle w:val="FootnoteText"/>
        <w:ind w:left="288" w:hanging="288"/>
        <w:rPr>
          <w:lang w:val="en-ZW"/>
        </w:rPr>
      </w:pPr>
      <w:r>
        <w:rPr>
          <w:rStyle w:val="FootnoteReference"/>
        </w:rPr>
        <w:footnoteRef/>
      </w:r>
      <w:r w:rsidR="00B770B1">
        <w:tab/>
      </w:r>
      <w:proofErr w:type="spellStart"/>
      <w:r>
        <w:rPr>
          <w:lang w:val="en-ZW"/>
        </w:rPr>
        <w:t>CalCCA</w:t>
      </w:r>
      <w:proofErr w:type="spellEnd"/>
      <w:r>
        <w:rPr>
          <w:lang w:val="en-ZW"/>
        </w:rPr>
        <w:t xml:space="preserve"> Opening</w:t>
      </w:r>
      <w:r w:rsidR="00B770B1">
        <w:rPr>
          <w:lang w:val="en-ZW"/>
        </w:rPr>
        <w:t> </w:t>
      </w:r>
      <w:r>
        <w:rPr>
          <w:lang w:val="en-ZW"/>
        </w:rPr>
        <w:t>Comments at</w:t>
      </w:r>
      <w:r w:rsidR="00B770B1">
        <w:rPr>
          <w:lang w:val="en-ZW"/>
        </w:rPr>
        <w:t> </w:t>
      </w:r>
      <w:r>
        <w:rPr>
          <w:lang w:val="en-ZW"/>
        </w:rPr>
        <w:t>4.</w:t>
      </w:r>
    </w:p>
  </w:footnote>
  <w:footnote w:id="182">
    <w:p w14:paraId="70A22B4C" w14:textId="18093F15" w:rsidR="00947B08" w:rsidRPr="003D4886" w:rsidRDefault="00947B08" w:rsidP="008D7713">
      <w:pPr>
        <w:pStyle w:val="FootnoteText"/>
        <w:ind w:left="288" w:hanging="288"/>
        <w:rPr>
          <w:lang w:val="en-ZW"/>
        </w:rPr>
      </w:pPr>
      <w:r>
        <w:rPr>
          <w:rStyle w:val="FootnoteReference"/>
        </w:rPr>
        <w:footnoteRef/>
      </w:r>
      <w:r w:rsidR="00B770B1">
        <w:rPr>
          <w:lang w:val="en-ZW"/>
        </w:rPr>
        <w:tab/>
      </w:r>
      <w:r>
        <w:rPr>
          <w:lang w:val="en-ZW"/>
        </w:rPr>
        <w:t>WPTF Opening</w:t>
      </w:r>
      <w:r w:rsidR="00B770B1">
        <w:rPr>
          <w:lang w:val="en-ZW"/>
        </w:rPr>
        <w:t> </w:t>
      </w:r>
      <w:r>
        <w:rPr>
          <w:lang w:val="en-ZW"/>
        </w:rPr>
        <w:t>Comments at</w:t>
      </w:r>
      <w:r w:rsidR="00B770B1">
        <w:rPr>
          <w:lang w:val="en-ZW"/>
        </w:rPr>
        <w:t> </w:t>
      </w:r>
      <w:r>
        <w:rPr>
          <w:lang w:val="en-ZW"/>
        </w:rPr>
        <w:t>7, MRP Reply</w:t>
      </w:r>
      <w:r w:rsidR="00B770B1">
        <w:rPr>
          <w:lang w:val="en-ZW"/>
        </w:rPr>
        <w:t> </w:t>
      </w:r>
      <w:r>
        <w:rPr>
          <w:lang w:val="en-ZW"/>
        </w:rPr>
        <w:t>Comments at</w:t>
      </w:r>
      <w:r w:rsidR="00B770B1">
        <w:rPr>
          <w:lang w:val="en-ZW"/>
        </w:rPr>
        <w:t> </w:t>
      </w:r>
      <w:r>
        <w:rPr>
          <w:lang w:val="en-ZW"/>
        </w:rPr>
        <w:t>9.</w:t>
      </w:r>
    </w:p>
  </w:footnote>
  <w:footnote w:id="183">
    <w:p w14:paraId="18640849" w14:textId="27880773" w:rsidR="00947B08" w:rsidRPr="00C3183B" w:rsidRDefault="00947B08" w:rsidP="008D7713">
      <w:pPr>
        <w:pStyle w:val="FootnoteText"/>
        <w:ind w:left="288" w:hanging="288"/>
        <w:rPr>
          <w:lang w:val="en-ZW"/>
        </w:rPr>
      </w:pPr>
      <w:r>
        <w:rPr>
          <w:rStyle w:val="FootnoteReference"/>
        </w:rPr>
        <w:footnoteRef/>
      </w:r>
      <w:r w:rsidR="00B770B1">
        <w:rPr>
          <w:lang w:val="en-ZW"/>
        </w:rPr>
        <w:tab/>
      </w:r>
      <w:r>
        <w:rPr>
          <w:lang w:val="en-ZW"/>
        </w:rPr>
        <w:t>WPTF Opening</w:t>
      </w:r>
      <w:r w:rsidR="00B770B1">
        <w:rPr>
          <w:lang w:val="en-ZW"/>
        </w:rPr>
        <w:t> </w:t>
      </w:r>
      <w:r>
        <w:rPr>
          <w:lang w:val="en-ZW"/>
        </w:rPr>
        <w:t>Comments at</w:t>
      </w:r>
      <w:r w:rsidR="00B770B1">
        <w:rPr>
          <w:lang w:val="en-ZW"/>
        </w:rPr>
        <w:t> </w:t>
      </w:r>
      <w:r>
        <w:rPr>
          <w:lang w:val="en-ZW"/>
        </w:rPr>
        <w:t>2.</w:t>
      </w:r>
    </w:p>
  </w:footnote>
  <w:footnote w:id="184">
    <w:p w14:paraId="509E8DCB" w14:textId="640BEEFA" w:rsidR="00947B08" w:rsidRPr="006D2BA9" w:rsidRDefault="00947B08" w:rsidP="008D7713">
      <w:pPr>
        <w:pStyle w:val="FootnoteText"/>
        <w:ind w:left="288" w:hanging="288"/>
        <w:rPr>
          <w:lang w:val="en-ZW"/>
        </w:rPr>
      </w:pPr>
      <w:r>
        <w:rPr>
          <w:rStyle w:val="FootnoteReference"/>
        </w:rPr>
        <w:footnoteRef/>
      </w:r>
      <w:r w:rsidR="00B770B1">
        <w:tab/>
      </w:r>
      <w:r>
        <w:rPr>
          <w:lang w:val="en-ZW"/>
        </w:rPr>
        <w:t>PG&amp;E Reply</w:t>
      </w:r>
      <w:r w:rsidR="00B770B1">
        <w:rPr>
          <w:lang w:val="en-ZW"/>
        </w:rPr>
        <w:t> </w:t>
      </w:r>
      <w:r>
        <w:rPr>
          <w:lang w:val="en-ZW"/>
        </w:rPr>
        <w:t>Comments at</w:t>
      </w:r>
      <w:r w:rsidR="00B770B1">
        <w:rPr>
          <w:lang w:val="en-ZW"/>
        </w:rPr>
        <w:t> </w:t>
      </w:r>
      <w:r>
        <w:rPr>
          <w:lang w:val="en-ZW"/>
        </w:rPr>
        <w:t>6.</w:t>
      </w:r>
    </w:p>
  </w:footnote>
  <w:footnote w:id="185">
    <w:p w14:paraId="27810327" w14:textId="571F6105" w:rsidR="00947B08" w:rsidRPr="004C5C30" w:rsidRDefault="00947B08" w:rsidP="008D7713">
      <w:pPr>
        <w:pStyle w:val="FootnoteText"/>
        <w:ind w:left="288" w:hanging="288"/>
        <w:rPr>
          <w:lang w:val="en-ZW"/>
        </w:rPr>
      </w:pPr>
      <w:r>
        <w:rPr>
          <w:rStyle w:val="FootnoteReference"/>
        </w:rPr>
        <w:footnoteRef/>
      </w:r>
      <w:r w:rsidR="001869AC">
        <w:tab/>
      </w:r>
      <w:r>
        <w:rPr>
          <w:lang w:val="en-ZW"/>
        </w:rPr>
        <w:t>D.22-06-050 at 97.</w:t>
      </w:r>
    </w:p>
  </w:footnote>
  <w:footnote w:id="186">
    <w:p w14:paraId="3354E345" w14:textId="1F3C0060" w:rsidR="00947B08" w:rsidRPr="00733124" w:rsidRDefault="00947B08" w:rsidP="008D7713">
      <w:pPr>
        <w:pStyle w:val="FootnoteText"/>
        <w:ind w:left="288" w:hanging="288"/>
        <w:rPr>
          <w:lang w:val="en-ZW"/>
        </w:rPr>
      </w:pPr>
      <w:r>
        <w:rPr>
          <w:rStyle w:val="FootnoteReference"/>
        </w:rPr>
        <w:footnoteRef/>
      </w:r>
      <w:r w:rsidR="001869AC">
        <w:tab/>
      </w:r>
      <w:r w:rsidR="00EA04E5" w:rsidRPr="00CA46DC">
        <w:rPr>
          <w:i/>
          <w:iCs/>
          <w:lang w:val="en-ZW"/>
        </w:rPr>
        <w:t>Id</w:t>
      </w:r>
      <w:r w:rsidR="00EA04E5">
        <w:rPr>
          <w:lang w:val="en-ZW"/>
        </w:rPr>
        <w:t>.</w:t>
      </w:r>
      <w:r>
        <w:rPr>
          <w:lang w:val="en-ZW"/>
        </w:rPr>
        <w:t xml:space="preserve"> at</w:t>
      </w:r>
      <w:r w:rsidR="001869AC">
        <w:rPr>
          <w:lang w:val="en-ZW"/>
        </w:rPr>
        <w:t> </w:t>
      </w:r>
      <w:r>
        <w:rPr>
          <w:lang w:val="en-ZW"/>
        </w:rPr>
        <w:t>95.</w:t>
      </w:r>
    </w:p>
  </w:footnote>
  <w:footnote w:id="187">
    <w:p w14:paraId="5A9FAAC0" w14:textId="4EC6A489" w:rsidR="00947B08" w:rsidRPr="0073577D" w:rsidRDefault="00947B08" w:rsidP="008D7713">
      <w:pPr>
        <w:pStyle w:val="FootnoteText"/>
        <w:ind w:left="288" w:hanging="288"/>
        <w:rPr>
          <w:lang w:val="en-ZW"/>
        </w:rPr>
      </w:pPr>
      <w:r>
        <w:rPr>
          <w:rStyle w:val="FootnoteReference"/>
        </w:rPr>
        <w:footnoteRef/>
      </w:r>
      <w:r w:rsidR="001869AC">
        <w:tab/>
      </w:r>
      <w:r w:rsidR="00EA04E5" w:rsidRPr="00CA46DC">
        <w:rPr>
          <w:i/>
          <w:iCs/>
          <w:lang w:val="en-ZW"/>
        </w:rPr>
        <w:t>Id</w:t>
      </w:r>
      <w:r w:rsidR="00EA04E5">
        <w:rPr>
          <w:lang w:val="en-ZW"/>
        </w:rPr>
        <w:t>.</w:t>
      </w:r>
      <w:r>
        <w:rPr>
          <w:lang w:val="en-ZW"/>
        </w:rPr>
        <w:t xml:space="preserve"> at</w:t>
      </w:r>
      <w:r w:rsidR="001869AC">
        <w:rPr>
          <w:lang w:val="en-ZW"/>
        </w:rPr>
        <w:t> </w:t>
      </w:r>
      <w:r>
        <w:rPr>
          <w:lang w:val="en-ZW"/>
        </w:rPr>
        <w:t>OP</w:t>
      </w:r>
      <w:r w:rsidR="001869AC">
        <w:rPr>
          <w:lang w:val="en-ZW"/>
        </w:rPr>
        <w:t> </w:t>
      </w:r>
      <w:r>
        <w:rPr>
          <w:lang w:val="en-ZW"/>
        </w:rPr>
        <w:t>27.</w:t>
      </w:r>
    </w:p>
  </w:footnote>
  <w:footnote w:id="188">
    <w:p w14:paraId="3A667C0A" w14:textId="287D4F51" w:rsidR="00947B08" w:rsidRPr="0081647B" w:rsidRDefault="00947B08" w:rsidP="008D7713">
      <w:pPr>
        <w:pStyle w:val="FootnoteText"/>
        <w:ind w:left="288" w:hanging="288"/>
        <w:rPr>
          <w:lang w:val="en-ZW"/>
        </w:rPr>
      </w:pPr>
      <w:r>
        <w:rPr>
          <w:rStyle w:val="FootnoteReference"/>
        </w:rPr>
        <w:footnoteRef/>
      </w:r>
      <w:r w:rsidR="001869AC">
        <w:tab/>
      </w:r>
      <w:r>
        <w:rPr>
          <w:lang w:val="en-ZW"/>
        </w:rPr>
        <w:t>WG Report at</w:t>
      </w:r>
      <w:r w:rsidR="001869AC">
        <w:rPr>
          <w:lang w:val="en-ZW"/>
        </w:rPr>
        <w:t> </w:t>
      </w:r>
      <w:r>
        <w:rPr>
          <w:lang w:val="en-ZW"/>
        </w:rPr>
        <w:t>144.</w:t>
      </w:r>
    </w:p>
  </w:footnote>
  <w:footnote w:id="189">
    <w:p w14:paraId="08B161E1" w14:textId="4808A119" w:rsidR="00947B08" w:rsidRPr="00AC6800" w:rsidRDefault="00947B08" w:rsidP="008D7713">
      <w:pPr>
        <w:pStyle w:val="FootnoteText"/>
        <w:ind w:left="288" w:hanging="288"/>
        <w:rPr>
          <w:lang w:val="en-ZW"/>
        </w:rPr>
      </w:pPr>
      <w:r>
        <w:rPr>
          <w:rStyle w:val="FootnoteReference"/>
        </w:rPr>
        <w:footnoteRef/>
      </w:r>
      <w:r w:rsidR="001869AC">
        <w:tab/>
      </w:r>
      <w:r>
        <w:rPr>
          <w:lang w:val="en-ZW"/>
        </w:rPr>
        <w:t>CAISO Opening Comments at 10.</w:t>
      </w:r>
    </w:p>
  </w:footnote>
  <w:footnote w:id="190">
    <w:p w14:paraId="1804AAD7" w14:textId="75703920" w:rsidR="00947B08" w:rsidRPr="00A26210" w:rsidRDefault="00947B08" w:rsidP="008D7713">
      <w:pPr>
        <w:pStyle w:val="FootnoteText"/>
        <w:ind w:left="288" w:hanging="288"/>
        <w:rPr>
          <w:lang w:val="en-ZW"/>
        </w:rPr>
      </w:pPr>
      <w:r>
        <w:rPr>
          <w:rStyle w:val="FootnoteReference"/>
        </w:rPr>
        <w:footnoteRef/>
      </w:r>
      <w:r w:rsidR="001869AC">
        <w:tab/>
      </w:r>
      <w:r>
        <w:rPr>
          <w:lang w:val="en-ZW"/>
        </w:rPr>
        <w:t>WG Report at 145.</w:t>
      </w:r>
    </w:p>
  </w:footnote>
  <w:footnote w:id="191">
    <w:p w14:paraId="061AB321" w14:textId="472579CF" w:rsidR="00947B08" w:rsidRPr="003030FB" w:rsidRDefault="00947B08" w:rsidP="008D7713">
      <w:pPr>
        <w:pStyle w:val="FootnoteText"/>
        <w:ind w:left="288" w:hanging="288"/>
        <w:rPr>
          <w:lang w:val="en-ZW"/>
        </w:rPr>
      </w:pPr>
      <w:r>
        <w:rPr>
          <w:rStyle w:val="FootnoteReference"/>
        </w:rPr>
        <w:footnoteRef/>
      </w:r>
      <w:r w:rsidR="001869AC">
        <w:tab/>
      </w:r>
      <w:r w:rsidR="00EA04E5" w:rsidRPr="00CA46DC">
        <w:rPr>
          <w:i/>
          <w:iCs/>
          <w:lang w:val="en-ZW"/>
        </w:rPr>
        <w:t>Id</w:t>
      </w:r>
      <w:r>
        <w:rPr>
          <w:lang w:val="en-ZW"/>
        </w:rPr>
        <w:t>.</w:t>
      </w:r>
    </w:p>
  </w:footnote>
  <w:footnote w:id="192">
    <w:p w14:paraId="4956B53B" w14:textId="74B09C2B" w:rsidR="00947B08" w:rsidRPr="00A26E99" w:rsidRDefault="00947B08" w:rsidP="008D7713">
      <w:pPr>
        <w:pStyle w:val="FootnoteText"/>
        <w:ind w:left="288" w:hanging="288"/>
        <w:rPr>
          <w:lang w:val="en-ZW"/>
        </w:rPr>
      </w:pPr>
      <w:r>
        <w:rPr>
          <w:rStyle w:val="FootnoteReference"/>
        </w:rPr>
        <w:footnoteRef/>
      </w:r>
      <w:r w:rsidR="001869AC">
        <w:tab/>
      </w:r>
      <w:r>
        <w:rPr>
          <w:lang w:val="en-ZW"/>
        </w:rPr>
        <w:t>PG&amp;E Opening</w:t>
      </w:r>
      <w:r w:rsidR="001869AC">
        <w:rPr>
          <w:lang w:val="en-ZW"/>
        </w:rPr>
        <w:t> </w:t>
      </w:r>
      <w:r>
        <w:rPr>
          <w:lang w:val="en-ZW"/>
        </w:rPr>
        <w:t>Comments at</w:t>
      </w:r>
      <w:r w:rsidR="001869AC">
        <w:rPr>
          <w:lang w:val="en-ZW"/>
        </w:rPr>
        <w:t> </w:t>
      </w:r>
      <w:r>
        <w:rPr>
          <w:lang w:val="en-ZW"/>
        </w:rPr>
        <w:t>12.</w:t>
      </w:r>
    </w:p>
  </w:footnote>
  <w:footnote w:id="193">
    <w:p w14:paraId="1E7373C6" w14:textId="42A7CE8F" w:rsidR="00947B08" w:rsidRPr="00EA7F4A" w:rsidRDefault="00947B08" w:rsidP="008D7713">
      <w:pPr>
        <w:pStyle w:val="FootnoteText"/>
        <w:ind w:left="288" w:hanging="288"/>
        <w:rPr>
          <w:lang w:val="en-ZW"/>
        </w:rPr>
      </w:pPr>
      <w:r>
        <w:rPr>
          <w:rStyle w:val="FootnoteReference"/>
        </w:rPr>
        <w:footnoteRef/>
      </w:r>
      <w:r w:rsidR="001869AC">
        <w:tab/>
      </w:r>
      <w:r>
        <w:rPr>
          <w:lang w:val="en-ZW"/>
        </w:rPr>
        <w:t>CESA Opening</w:t>
      </w:r>
      <w:r w:rsidR="001869AC">
        <w:rPr>
          <w:lang w:val="en-ZW"/>
        </w:rPr>
        <w:t> </w:t>
      </w:r>
      <w:r>
        <w:rPr>
          <w:lang w:val="en-ZW"/>
        </w:rPr>
        <w:t>Comments at</w:t>
      </w:r>
      <w:r w:rsidR="001869AC">
        <w:rPr>
          <w:lang w:val="en-ZW"/>
        </w:rPr>
        <w:t> </w:t>
      </w:r>
      <w:r>
        <w:rPr>
          <w:lang w:val="en-ZW"/>
        </w:rPr>
        <w:t>4.</w:t>
      </w:r>
    </w:p>
  </w:footnote>
  <w:footnote w:id="194">
    <w:p w14:paraId="4E2D3684" w14:textId="07B5FA8F" w:rsidR="00947B08" w:rsidRPr="003C76CE" w:rsidRDefault="00947B08" w:rsidP="008D7713">
      <w:pPr>
        <w:pStyle w:val="FootnoteText"/>
        <w:ind w:left="288" w:hanging="288"/>
        <w:rPr>
          <w:lang w:val="en-ZW"/>
        </w:rPr>
      </w:pPr>
      <w:r>
        <w:rPr>
          <w:rStyle w:val="FootnoteReference"/>
        </w:rPr>
        <w:footnoteRef/>
      </w:r>
      <w:r w:rsidR="001869AC">
        <w:tab/>
      </w:r>
      <w:r>
        <w:rPr>
          <w:lang w:val="en-ZW"/>
        </w:rPr>
        <w:t>CAISO Opening</w:t>
      </w:r>
      <w:r w:rsidR="001869AC">
        <w:rPr>
          <w:lang w:val="en-ZW"/>
        </w:rPr>
        <w:t> </w:t>
      </w:r>
      <w:r>
        <w:rPr>
          <w:lang w:val="en-ZW"/>
        </w:rPr>
        <w:t>Comments at</w:t>
      </w:r>
      <w:r w:rsidR="001869AC">
        <w:rPr>
          <w:lang w:val="en-ZW"/>
        </w:rPr>
        <w:t> </w:t>
      </w:r>
      <w:r>
        <w:rPr>
          <w:lang w:val="en-ZW"/>
        </w:rPr>
        <w:t>10.</w:t>
      </w:r>
    </w:p>
  </w:footnote>
  <w:footnote w:id="195">
    <w:p w14:paraId="379139A6" w14:textId="4A2B2931" w:rsidR="00947B08" w:rsidRPr="003E54A2" w:rsidRDefault="00947B08" w:rsidP="008D7713">
      <w:pPr>
        <w:pStyle w:val="FootnoteText"/>
        <w:ind w:left="288" w:hanging="288"/>
        <w:rPr>
          <w:lang w:val="en-ZW"/>
        </w:rPr>
      </w:pPr>
      <w:r>
        <w:rPr>
          <w:rStyle w:val="FootnoteReference"/>
        </w:rPr>
        <w:footnoteRef/>
      </w:r>
      <w:r w:rsidR="001869AC">
        <w:tab/>
      </w:r>
      <w:proofErr w:type="spellStart"/>
      <w:r>
        <w:rPr>
          <w:lang w:val="en-ZW"/>
        </w:rPr>
        <w:t>CalCCA</w:t>
      </w:r>
      <w:proofErr w:type="spellEnd"/>
      <w:r>
        <w:rPr>
          <w:lang w:val="en-ZW"/>
        </w:rPr>
        <w:t xml:space="preserve"> Reply</w:t>
      </w:r>
      <w:r w:rsidR="001869AC">
        <w:rPr>
          <w:lang w:val="en-ZW"/>
        </w:rPr>
        <w:t> </w:t>
      </w:r>
      <w:r>
        <w:rPr>
          <w:lang w:val="en-ZW"/>
        </w:rPr>
        <w:t>Comments at</w:t>
      </w:r>
      <w:r w:rsidR="001869AC">
        <w:rPr>
          <w:lang w:val="en-ZW"/>
        </w:rPr>
        <w:t> </w:t>
      </w:r>
      <w:r>
        <w:rPr>
          <w:lang w:val="en-ZW"/>
        </w:rPr>
        <w:t>6.</w:t>
      </w:r>
    </w:p>
  </w:footnote>
  <w:footnote w:id="196">
    <w:p w14:paraId="595D6B05" w14:textId="39E85A76" w:rsidR="00947B08" w:rsidRPr="00EA4A7B" w:rsidRDefault="00947B08" w:rsidP="008D7713">
      <w:pPr>
        <w:pStyle w:val="FootnoteText"/>
        <w:ind w:left="288" w:hanging="288"/>
        <w:rPr>
          <w:lang w:val="en-ZW"/>
        </w:rPr>
      </w:pPr>
      <w:r>
        <w:rPr>
          <w:rStyle w:val="FootnoteReference"/>
        </w:rPr>
        <w:footnoteRef/>
      </w:r>
      <w:r w:rsidR="001869AC">
        <w:tab/>
      </w:r>
      <w:r>
        <w:rPr>
          <w:lang w:val="en-ZW"/>
        </w:rPr>
        <w:t>CLECA Reply</w:t>
      </w:r>
      <w:r w:rsidR="001869AC">
        <w:rPr>
          <w:lang w:val="en-ZW"/>
        </w:rPr>
        <w:t> </w:t>
      </w:r>
      <w:r>
        <w:rPr>
          <w:lang w:val="en-ZW"/>
        </w:rPr>
        <w:t>Comments at</w:t>
      </w:r>
      <w:r w:rsidR="001869AC">
        <w:rPr>
          <w:lang w:val="en-ZW"/>
        </w:rPr>
        <w:t> </w:t>
      </w:r>
      <w:r>
        <w:rPr>
          <w:lang w:val="en-ZW"/>
        </w:rPr>
        <w:t>3 (citing CAISO Opening</w:t>
      </w:r>
      <w:r w:rsidR="001869AC">
        <w:rPr>
          <w:lang w:val="en-ZW"/>
        </w:rPr>
        <w:t> </w:t>
      </w:r>
      <w:r>
        <w:rPr>
          <w:lang w:val="en-ZW"/>
        </w:rPr>
        <w:t>Comments at</w:t>
      </w:r>
      <w:r w:rsidR="001869AC">
        <w:rPr>
          <w:lang w:val="en-ZW"/>
        </w:rPr>
        <w:t> </w:t>
      </w:r>
      <w:r>
        <w:rPr>
          <w:lang w:val="en-ZW"/>
        </w:rPr>
        <w:t>10).</w:t>
      </w:r>
    </w:p>
  </w:footnote>
  <w:footnote w:id="197">
    <w:p w14:paraId="6FDF9739" w14:textId="203013E9" w:rsidR="00947B08" w:rsidRPr="00D72E6A" w:rsidRDefault="00947B08" w:rsidP="008D7713">
      <w:pPr>
        <w:pStyle w:val="FootnoteText"/>
        <w:ind w:left="288" w:hanging="288"/>
        <w:rPr>
          <w:lang w:val="en-ZW"/>
        </w:rPr>
      </w:pPr>
      <w:r>
        <w:rPr>
          <w:rStyle w:val="FootnoteReference"/>
        </w:rPr>
        <w:footnoteRef/>
      </w:r>
      <w:r w:rsidR="001869AC">
        <w:tab/>
      </w:r>
      <w:proofErr w:type="spellStart"/>
      <w:r>
        <w:rPr>
          <w:lang w:val="en-ZW"/>
        </w:rPr>
        <w:t>AReM</w:t>
      </w:r>
      <w:proofErr w:type="spellEnd"/>
      <w:r>
        <w:rPr>
          <w:lang w:val="en-ZW"/>
        </w:rPr>
        <w:t xml:space="preserve"> Opening</w:t>
      </w:r>
      <w:r w:rsidR="001869AC">
        <w:rPr>
          <w:lang w:val="en-ZW"/>
        </w:rPr>
        <w:t> </w:t>
      </w:r>
      <w:r>
        <w:rPr>
          <w:lang w:val="en-ZW"/>
        </w:rPr>
        <w:t>Comments at</w:t>
      </w:r>
      <w:r w:rsidR="001869AC">
        <w:rPr>
          <w:lang w:val="en-ZW"/>
        </w:rPr>
        <w:t> </w:t>
      </w:r>
      <w:r>
        <w:rPr>
          <w:lang w:val="en-ZW"/>
        </w:rPr>
        <w:t>9.</w:t>
      </w:r>
    </w:p>
  </w:footnote>
  <w:footnote w:id="198">
    <w:p w14:paraId="6FB961F0" w14:textId="5A9BACA7" w:rsidR="00947B08" w:rsidRPr="00983BD4" w:rsidRDefault="00947B08" w:rsidP="008D7713">
      <w:pPr>
        <w:pStyle w:val="FootnoteText"/>
        <w:ind w:left="288" w:hanging="288"/>
        <w:rPr>
          <w:lang w:val="en-ZW"/>
        </w:rPr>
      </w:pPr>
      <w:r>
        <w:rPr>
          <w:rStyle w:val="FootnoteReference"/>
        </w:rPr>
        <w:footnoteRef/>
      </w:r>
      <w:r w:rsidR="001869AC">
        <w:tab/>
      </w:r>
      <w:r>
        <w:rPr>
          <w:lang w:val="en-ZW"/>
        </w:rPr>
        <w:t>CAISO Reply</w:t>
      </w:r>
      <w:r w:rsidR="001869AC">
        <w:rPr>
          <w:lang w:val="en-ZW"/>
        </w:rPr>
        <w:t> </w:t>
      </w:r>
      <w:r>
        <w:rPr>
          <w:lang w:val="en-ZW"/>
        </w:rPr>
        <w:t>Comments at</w:t>
      </w:r>
      <w:r w:rsidR="001869AC">
        <w:rPr>
          <w:lang w:val="en-ZW"/>
        </w:rPr>
        <w:t> </w:t>
      </w:r>
      <w:r>
        <w:rPr>
          <w:lang w:val="en-ZW"/>
        </w:rPr>
        <w:t>3.</w:t>
      </w:r>
    </w:p>
  </w:footnote>
  <w:footnote w:id="199">
    <w:p w14:paraId="44D921AC" w14:textId="44D3E938" w:rsidR="00947B08" w:rsidRPr="00935DFE" w:rsidRDefault="00947B08" w:rsidP="008D7713">
      <w:pPr>
        <w:pStyle w:val="FootnoteText"/>
        <w:ind w:left="288" w:hanging="288"/>
        <w:rPr>
          <w:lang w:val="en-ZW"/>
        </w:rPr>
      </w:pPr>
      <w:r>
        <w:rPr>
          <w:rStyle w:val="FootnoteReference"/>
        </w:rPr>
        <w:footnoteRef/>
      </w:r>
      <w:r w:rsidR="00F00B2F">
        <w:tab/>
      </w:r>
      <w:r>
        <w:rPr>
          <w:lang w:val="en-ZW"/>
        </w:rPr>
        <w:t>D.22</w:t>
      </w:r>
      <w:r w:rsidR="00F00B2F">
        <w:rPr>
          <w:lang w:val="en-ZW"/>
        </w:rPr>
        <w:noBreakHyphen/>
      </w:r>
      <w:r>
        <w:rPr>
          <w:lang w:val="en-ZW"/>
        </w:rPr>
        <w:t>06</w:t>
      </w:r>
      <w:r w:rsidR="00F00B2F">
        <w:rPr>
          <w:lang w:val="en-ZW"/>
        </w:rPr>
        <w:noBreakHyphen/>
      </w:r>
      <w:r>
        <w:rPr>
          <w:lang w:val="en-ZW"/>
        </w:rPr>
        <w:t>050 at</w:t>
      </w:r>
      <w:r w:rsidR="00F00B2F">
        <w:rPr>
          <w:lang w:val="en-ZW"/>
        </w:rPr>
        <w:t> </w:t>
      </w:r>
      <w:r>
        <w:rPr>
          <w:lang w:val="en-ZW"/>
        </w:rPr>
        <w:t>102.</w:t>
      </w:r>
    </w:p>
  </w:footnote>
  <w:footnote w:id="200">
    <w:p w14:paraId="58ED9D52" w14:textId="6E0A2C5F" w:rsidR="00947B08" w:rsidRPr="002619E1" w:rsidRDefault="00947B08" w:rsidP="008D7713">
      <w:pPr>
        <w:pStyle w:val="FootnoteText"/>
        <w:ind w:left="288" w:hanging="288"/>
        <w:rPr>
          <w:lang w:val="en-ZW"/>
        </w:rPr>
      </w:pPr>
      <w:r>
        <w:rPr>
          <w:rStyle w:val="FootnoteReference"/>
        </w:rPr>
        <w:footnoteRef/>
      </w:r>
      <w:r w:rsidR="00F00B2F">
        <w:tab/>
      </w:r>
      <w:r>
        <w:rPr>
          <w:lang w:val="en-ZW"/>
        </w:rPr>
        <w:t>WG Report at</w:t>
      </w:r>
      <w:r w:rsidR="00F00B2F">
        <w:rPr>
          <w:lang w:val="en-ZW"/>
        </w:rPr>
        <w:t> </w:t>
      </w:r>
      <w:r>
        <w:rPr>
          <w:lang w:val="en-ZW"/>
        </w:rPr>
        <w:t>149.</w:t>
      </w:r>
    </w:p>
  </w:footnote>
  <w:footnote w:id="201">
    <w:p w14:paraId="2EB94AD3" w14:textId="1D1E2F78" w:rsidR="00947B08" w:rsidRPr="00FA6233" w:rsidRDefault="00947B08" w:rsidP="008D7713">
      <w:pPr>
        <w:pStyle w:val="FootnoteText"/>
        <w:ind w:left="288" w:hanging="288"/>
        <w:rPr>
          <w:lang w:val="en-ZW"/>
        </w:rPr>
      </w:pPr>
      <w:r>
        <w:rPr>
          <w:rStyle w:val="FootnoteReference"/>
        </w:rPr>
        <w:footnoteRef/>
      </w:r>
      <w:r w:rsidR="00F00B2F">
        <w:tab/>
      </w:r>
      <w:proofErr w:type="spellStart"/>
      <w:r>
        <w:rPr>
          <w:lang w:val="en-ZW"/>
        </w:rPr>
        <w:t>AReM</w:t>
      </w:r>
      <w:proofErr w:type="spellEnd"/>
      <w:r>
        <w:rPr>
          <w:lang w:val="en-ZW"/>
        </w:rPr>
        <w:t xml:space="preserve"> Opening</w:t>
      </w:r>
      <w:r w:rsidR="00F00B2F">
        <w:rPr>
          <w:lang w:val="en-ZW"/>
        </w:rPr>
        <w:t> </w:t>
      </w:r>
      <w:r>
        <w:rPr>
          <w:lang w:val="en-ZW"/>
        </w:rPr>
        <w:t>Comments at</w:t>
      </w:r>
      <w:r w:rsidR="00F00B2F">
        <w:rPr>
          <w:lang w:val="en-ZW"/>
        </w:rPr>
        <w:t> </w:t>
      </w:r>
      <w:r>
        <w:rPr>
          <w:lang w:val="en-ZW"/>
        </w:rPr>
        <w:t>10, AES Opening</w:t>
      </w:r>
      <w:r w:rsidR="00F00B2F">
        <w:rPr>
          <w:lang w:val="en-ZW"/>
        </w:rPr>
        <w:t> </w:t>
      </w:r>
      <w:r>
        <w:rPr>
          <w:lang w:val="en-ZW"/>
        </w:rPr>
        <w:t>Comments at</w:t>
      </w:r>
      <w:r w:rsidR="00F00B2F">
        <w:rPr>
          <w:lang w:val="en-ZW"/>
        </w:rPr>
        <w:t> </w:t>
      </w:r>
      <w:r>
        <w:rPr>
          <w:lang w:val="en-ZW"/>
        </w:rPr>
        <w:t>8,</w:t>
      </w:r>
      <w:r w:rsidRPr="00856A33">
        <w:rPr>
          <w:lang w:val="en-ZW"/>
        </w:rPr>
        <w:t xml:space="preserve"> </w:t>
      </w:r>
      <w:r>
        <w:rPr>
          <w:lang w:val="en-ZW"/>
        </w:rPr>
        <w:t>GPI Reply</w:t>
      </w:r>
      <w:r w:rsidR="00F00B2F">
        <w:rPr>
          <w:lang w:val="en-ZW"/>
        </w:rPr>
        <w:t> </w:t>
      </w:r>
      <w:r>
        <w:rPr>
          <w:lang w:val="en-ZW"/>
        </w:rPr>
        <w:t>Comments at</w:t>
      </w:r>
      <w:r w:rsidR="00F00B2F">
        <w:rPr>
          <w:lang w:val="en-ZW"/>
        </w:rPr>
        <w:t> </w:t>
      </w:r>
      <w:r>
        <w:rPr>
          <w:lang w:val="en-ZW"/>
        </w:rPr>
        <w:t>5, MRP Opening</w:t>
      </w:r>
      <w:r w:rsidR="00F00B2F">
        <w:rPr>
          <w:lang w:val="en-ZW"/>
        </w:rPr>
        <w:t> </w:t>
      </w:r>
      <w:r>
        <w:rPr>
          <w:lang w:val="en-ZW"/>
        </w:rPr>
        <w:t>Comments at</w:t>
      </w:r>
      <w:r w:rsidR="00F00B2F">
        <w:rPr>
          <w:lang w:val="en-ZW"/>
        </w:rPr>
        <w:t> </w:t>
      </w:r>
      <w:r>
        <w:rPr>
          <w:lang w:val="en-ZW"/>
        </w:rPr>
        <w:t>29, PG&amp;E Opening</w:t>
      </w:r>
      <w:r w:rsidR="00F00B2F">
        <w:rPr>
          <w:lang w:val="en-ZW"/>
        </w:rPr>
        <w:t> </w:t>
      </w:r>
      <w:r>
        <w:rPr>
          <w:lang w:val="en-ZW"/>
        </w:rPr>
        <w:t>Comments at</w:t>
      </w:r>
      <w:r w:rsidR="00F00B2F">
        <w:rPr>
          <w:lang w:val="en-ZW"/>
        </w:rPr>
        <w:t> </w:t>
      </w:r>
      <w:r>
        <w:rPr>
          <w:lang w:val="en-ZW"/>
        </w:rPr>
        <w:t>13.</w:t>
      </w:r>
    </w:p>
  </w:footnote>
  <w:footnote w:id="202">
    <w:p w14:paraId="15785A0B" w14:textId="65DE4584" w:rsidR="00947B08" w:rsidRPr="0032070C" w:rsidRDefault="00947B08" w:rsidP="008D7713">
      <w:pPr>
        <w:pStyle w:val="FootnoteText"/>
        <w:ind w:left="288" w:hanging="288"/>
        <w:rPr>
          <w:lang w:val="en-ZW"/>
        </w:rPr>
      </w:pPr>
      <w:r>
        <w:rPr>
          <w:rStyle w:val="FootnoteReference"/>
        </w:rPr>
        <w:footnoteRef/>
      </w:r>
      <w:r w:rsidR="00F00B2F">
        <w:tab/>
      </w:r>
      <w:r>
        <w:rPr>
          <w:lang w:val="en-ZW"/>
        </w:rPr>
        <w:t>CAISO Opening</w:t>
      </w:r>
      <w:r w:rsidR="00F00B2F">
        <w:rPr>
          <w:lang w:val="en-ZW"/>
        </w:rPr>
        <w:t> </w:t>
      </w:r>
      <w:r>
        <w:rPr>
          <w:lang w:val="en-ZW"/>
        </w:rPr>
        <w:t>Comments at</w:t>
      </w:r>
      <w:r w:rsidR="00F00B2F">
        <w:rPr>
          <w:lang w:val="en-ZW"/>
        </w:rPr>
        <w:t> </w:t>
      </w:r>
      <w:r>
        <w:rPr>
          <w:lang w:val="en-ZW"/>
        </w:rPr>
        <w:t>11.</w:t>
      </w:r>
    </w:p>
  </w:footnote>
  <w:footnote w:id="203">
    <w:p w14:paraId="141F88C9" w14:textId="35A1941C" w:rsidR="00947B08" w:rsidRPr="00AE0494" w:rsidRDefault="00947B08" w:rsidP="008D7713">
      <w:pPr>
        <w:pStyle w:val="FootnoteText"/>
        <w:ind w:left="288" w:hanging="288"/>
        <w:rPr>
          <w:lang w:val="en-ZW"/>
        </w:rPr>
      </w:pPr>
      <w:r>
        <w:rPr>
          <w:rStyle w:val="FootnoteReference"/>
        </w:rPr>
        <w:footnoteRef/>
      </w:r>
      <w:r w:rsidR="00F00B2F">
        <w:tab/>
      </w:r>
      <w:r>
        <w:rPr>
          <w:lang w:val="en-ZW"/>
        </w:rPr>
        <w:t>Amended Scoping</w:t>
      </w:r>
      <w:r w:rsidR="00F00B2F">
        <w:rPr>
          <w:lang w:val="en-ZW"/>
        </w:rPr>
        <w:t> </w:t>
      </w:r>
      <w:r>
        <w:rPr>
          <w:lang w:val="en-ZW"/>
        </w:rPr>
        <w:t>Memo at</w:t>
      </w:r>
      <w:r w:rsidR="00F00B2F">
        <w:rPr>
          <w:lang w:val="en-ZW"/>
        </w:rPr>
        <w:t> </w:t>
      </w:r>
      <w:r>
        <w:rPr>
          <w:lang w:val="en-ZW"/>
        </w:rPr>
        <w:t>5.</w:t>
      </w:r>
    </w:p>
  </w:footnote>
  <w:footnote w:id="204">
    <w:p w14:paraId="18CF4763" w14:textId="3753E37F" w:rsidR="00947B08" w:rsidRPr="006C5D5C" w:rsidRDefault="00947B08" w:rsidP="008D7713">
      <w:pPr>
        <w:pStyle w:val="FootnoteText"/>
        <w:ind w:left="288" w:hanging="288"/>
        <w:rPr>
          <w:lang w:val="en-ZW"/>
        </w:rPr>
      </w:pPr>
      <w:r>
        <w:rPr>
          <w:rStyle w:val="FootnoteReference"/>
        </w:rPr>
        <w:footnoteRef/>
      </w:r>
      <w:r w:rsidR="00F00B2F">
        <w:tab/>
      </w:r>
      <w:r w:rsidRPr="006F71EC">
        <w:rPr>
          <w:i/>
          <w:iCs/>
          <w:lang w:val="en-ZW"/>
        </w:rPr>
        <w:t>See</w:t>
      </w:r>
      <w:r>
        <w:rPr>
          <w:lang w:val="en-ZW"/>
        </w:rPr>
        <w:t xml:space="preserve"> Budget Act of 2010, Stats. 2010, Ch.</w:t>
      </w:r>
      <w:r w:rsidR="00F00B2F">
        <w:rPr>
          <w:lang w:val="en-ZW"/>
        </w:rPr>
        <w:t> </w:t>
      </w:r>
      <w:r>
        <w:rPr>
          <w:lang w:val="en-ZW"/>
        </w:rPr>
        <w:t>712, Item 8660-001-0462(6).</w:t>
      </w:r>
    </w:p>
  </w:footnote>
  <w:footnote w:id="205">
    <w:p w14:paraId="62F25590" w14:textId="42B2A17E" w:rsidR="00947B08" w:rsidRPr="006C5D5C" w:rsidRDefault="00947B08" w:rsidP="008D7713">
      <w:pPr>
        <w:pStyle w:val="FootnoteText"/>
        <w:ind w:left="288" w:hanging="288"/>
        <w:rPr>
          <w:lang w:val="en-ZW"/>
        </w:rPr>
      </w:pPr>
      <w:r>
        <w:rPr>
          <w:rStyle w:val="FootnoteReference"/>
        </w:rPr>
        <w:footnoteRef/>
      </w:r>
      <w:r w:rsidR="00F00B2F">
        <w:tab/>
      </w:r>
      <w:r w:rsidRPr="004C1122">
        <w:rPr>
          <w:i/>
          <w:iCs/>
        </w:rPr>
        <w:t>See, e.g</w:t>
      </w:r>
      <w:r>
        <w:t xml:space="preserve">., </w:t>
      </w:r>
      <w:r>
        <w:rPr>
          <w:lang w:val="en-ZW"/>
        </w:rPr>
        <w:t>D.18</w:t>
      </w:r>
      <w:r w:rsidR="00F00B2F">
        <w:rPr>
          <w:lang w:val="en-ZW"/>
        </w:rPr>
        <w:noBreakHyphen/>
      </w:r>
      <w:r>
        <w:rPr>
          <w:lang w:val="en-ZW"/>
        </w:rPr>
        <w:t>02</w:t>
      </w:r>
      <w:r w:rsidR="00F00B2F">
        <w:rPr>
          <w:lang w:val="en-ZW"/>
        </w:rPr>
        <w:noBreakHyphen/>
      </w:r>
      <w:r>
        <w:rPr>
          <w:lang w:val="en-ZW"/>
        </w:rPr>
        <w:t>018 at</w:t>
      </w:r>
      <w:r w:rsidR="00F00B2F">
        <w:rPr>
          <w:lang w:val="en-ZW"/>
        </w:rPr>
        <w:t> </w:t>
      </w:r>
      <w:r>
        <w:rPr>
          <w:lang w:val="en-ZW"/>
        </w:rPr>
        <w:t>150.</w:t>
      </w:r>
    </w:p>
  </w:footnote>
  <w:footnote w:id="206">
    <w:p w14:paraId="58CF0BE5" w14:textId="1FA4F1FC" w:rsidR="00296743" w:rsidRPr="00C96664" w:rsidRDefault="00296743" w:rsidP="008D7713">
      <w:pPr>
        <w:pStyle w:val="FootnoteText"/>
        <w:ind w:left="288" w:hanging="288"/>
        <w:rPr>
          <w:lang w:val="en-ZW"/>
        </w:rPr>
      </w:pPr>
      <w:r>
        <w:rPr>
          <w:rStyle w:val="FootnoteReference"/>
        </w:rPr>
        <w:footnoteRef/>
      </w:r>
      <w:r>
        <w:t xml:space="preserve"> </w:t>
      </w:r>
      <w:r w:rsidR="00770B2F">
        <w:tab/>
      </w:r>
      <w:r>
        <w:rPr>
          <w:lang w:val="en-ZW"/>
        </w:rPr>
        <w:t>PG&amp;E Opening Comments on Proposed Decision at 3.</w:t>
      </w:r>
    </w:p>
  </w:footnote>
  <w:footnote w:id="207">
    <w:p w14:paraId="41667BA2" w14:textId="12FE8BDD" w:rsidR="005C4335" w:rsidRPr="00C96664" w:rsidRDefault="005C4335" w:rsidP="008D7713">
      <w:pPr>
        <w:pStyle w:val="FootnoteText"/>
        <w:ind w:left="288" w:hanging="288"/>
        <w:rPr>
          <w:lang w:val="en-ZW"/>
        </w:rPr>
      </w:pPr>
      <w:r>
        <w:rPr>
          <w:rStyle w:val="FootnoteReference"/>
        </w:rPr>
        <w:footnoteRef/>
      </w:r>
      <w:r>
        <w:t xml:space="preserve"> </w:t>
      </w:r>
      <w:r w:rsidR="00770B2F">
        <w:tab/>
      </w:r>
      <w:r>
        <w:rPr>
          <w:lang w:val="en-ZW"/>
        </w:rPr>
        <w:t xml:space="preserve">SCE </w:t>
      </w:r>
      <w:r w:rsidR="00513BB8">
        <w:rPr>
          <w:lang w:val="en-ZW"/>
        </w:rPr>
        <w:t xml:space="preserve">Opening Comments on Proposed Decision </w:t>
      </w:r>
      <w:r>
        <w:rPr>
          <w:lang w:val="en-ZW"/>
        </w:rPr>
        <w:t>at 4.</w:t>
      </w:r>
    </w:p>
  </w:footnote>
  <w:footnote w:id="208">
    <w:p w14:paraId="070AAC6C" w14:textId="762F76D3" w:rsidR="00B248EF" w:rsidRPr="00C40406" w:rsidRDefault="00B248EF" w:rsidP="008D7713">
      <w:pPr>
        <w:pStyle w:val="FootnoteText"/>
        <w:ind w:left="288" w:hanging="288"/>
        <w:rPr>
          <w:lang w:val="en-ZW"/>
        </w:rPr>
      </w:pPr>
      <w:r>
        <w:rPr>
          <w:rStyle w:val="FootnoteReference"/>
        </w:rPr>
        <w:footnoteRef/>
      </w:r>
      <w:r>
        <w:t xml:space="preserve"> </w:t>
      </w:r>
      <w:r w:rsidR="00770B2F">
        <w:tab/>
      </w:r>
      <w:r>
        <w:rPr>
          <w:lang w:val="en-ZW"/>
        </w:rPr>
        <w:t xml:space="preserve">IEP </w:t>
      </w:r>
      <w:r w:rsidR="00513BB8">
        <w:rPr>
          <w:lang w:val="en-ZW"/>
        </w:rPr>
        <w:t xml:space="preserve">Opening Comments on Proposed Decision </w:t>
      </w:r>
      <w:r>
        <w:rPr>
          <w:lang w:val="en-ZW"/>
        </w:rPr>
        <w:t>at 2.</w:t>
      </w:r>
    </w:p>
  </w:footnote>
  <w:footnote w:id="209">
    <w:p w14:paraId="1DBFDF0E" w14:textId="6D2BEEE7" w:rsidR="005A3D7D" w:rsidRPr="00C40406" w:rsidRDefault="005A3D7D" w:rsidP="008D7713">
      <w:pPr>
        <w:pStyle w:val="FootnoteText"/>
        <w:ind w:left="288" w:hanging="288"/>
        <w:rPr>
          <w:lang w:val="en-ZW"/>
        </w:rPr>
      </w:pPr>
      <w:r>
        <w:rPr>
          <w:rStyle w:val="FootnoteReference"/>
        </w:rPr>
        <w:footnoteRef/>
      </w:r>
      <w:r>
        <w:t xml:space="preserve"> </w:t>
      </w:r>
      <w:r w:rsidR="00770B2F">
        <w:tab/>
      </w:r>
      <w:r>
        <w:t xml:space="preserve">MRP </w:t>
      </w:r>
      <w:r w:rsidR="00513BB8">
        <w:rPr>
          <w:lang w:val="en-ZW"/>
        </w:rPr>
        <w:t xml:space="preserve">Opening Comments on Proposed Decision </w:t>
      </w:r>
      <w:r>
        <w:t>at 6.</w:t>
      </w:r>
    </w:p>
  </w:footnote>
  <w:footnote w:id="210">
    <w:p w14:paraId="12837462" w14:textId="5D3084E1" w:rsidR="00D948AF" w:rsidRPr="008D7713" w:rsidRDefault="00D948AF" w:rsidP="008D7713">
      <w:pPr>
        <w:pStyle w:val="FootnoteText"/>
        <w:ind w:left="288" w:hanging="288"/>
        <w:rPr>
          <w:lang w:val="en-ZW"/>
        </w:rPr>
      </w:pPr>
      <w:r>
        <w:rPr>
          <w:rStyle w:val="FootnoteReference"/>
        </w:rPr>
        <w:footnoteRef/>
      </w:r>
      <w:r>
        <w:t xml:space="preserve"> </w:t>
      </w:r>
      <w:r w:rsidR="00770B2F">
        <w:tab/>
      </w:r>
      <w:r>
        <w:rPr>
          <w:lang w:val="en-ZW"/>
        </w:rPr>
        <w:t>MRP Reply Comments on Proposed Decision at 2.</w:t>
      </w:r>
    </w:p>
  </w:footnote>
  <w:footnote w:id="211">
    <w:p w14:paraId="4B7BBF15" w14:textId="2A9CA0E9" w:rsidR="0076236A" w:rsidRPr="008D7713" w:rsidRDefault="0076236A" w:rsidP="008D7713">
      <w:pPr>
        <w:pStyle w:val="FootnoteText"/>
        <w:ind w:left="288" w:hanging="288"/>
        <w:rPr>
          <w:lang w:val="en-ZW"/>
        </w:rPr>
      </w:pPr>
      <w:r>
        <w:rPr>
          <w:rStyle w:val="FootnoteReference"/>
        </w:rPr>
        <w:footnoteRef/>
      </w:r>
      <w:r>
        <w:t xml:space="preserve"> </w:t>
      </w:r>
      <w:r w:rsidR="00770B2F">
        <w:tab/>
      </w:r>
      <w:r>
        <w:rPr>
          <w:lang w:val="en-ZW"/>
        </w:rPr>
        <w:t>CAISO Reply Comments on Proposed Decision at 2.</w:t>
      </w:r>
    </w:p>
  </w:footnote>
  <w:footnote w:id="212">
    <w:p w14:paraId="13A1BEE9" w14:textId="1E2E6C2B" w:rsidR="005C4335" w:rsidRPr="00C96664" w:rsidRDefault="005C4335" w:rsidP="008D7713">
      <w:pPr>
        <w:pStyle w:val="FootnoteText"/>
        <w:ind w:left="288" w:hanging="288"/>
        <w:rPr>
          <w:lang w:val="en-ZW"/>
        </w:rPr>
      </w:pPr>
      <w:r>
        <w:rPr>
          <w:rStyle w:val="FootnoteReference"/>
        </w:rPr>
        <w:footnoteRef/>
      </w:r>
      <w:r>
        <w:t xml:space="preserve"> </w:t>
      </w:r>
      <w:r w:rsidR="00770B2F">
        <w:tab/>
      </w:r>
      <w:r>
        <w:rPr>
          <w:lang w:val="en-ZW"/>
        </w:rPr>
        <w:t xml:space="preserve">Cal Advocates </w:t>
      </w:r>
      <w:r w:rsidR="00513BB8">
        <w:rPr>
          <w:lang w:val="en-ZW"/>
        </w:rPr>
        <w:t xml:space="preserve">Opening Comments on Proposed Decision </w:t>
      </w:r>
      <w:r>
        <w:rPr>
          <w:lang w:val="en-ZW"/>
        </w:rPr>
        <w:t>at 1.</w:t>
      </w:r>
    </w:p>
  </w:footnote>
  <w:footnote w:id="213">
    <w:p w14:paraId="0DA0C821" w14:textId="60C4ED44" w:rsidR="004F41B4" w:rsidRPr="00C96664" w:rsidRDefault="004F41B4" w:rsidP="008D7713">
      <w:pPr>
        <w:pStyle w:val="FootnoteText"/>
        <w:ind w:left="288" w:hanging="288"/>
        <w:rPr>
          <w:lang w:val="en-ZW"/>
        </w:rPr>
      </w:pPr>
      <w:r>
        <w:rPr>
          <w:rStyle w:val="FootnoteReference"/>
        </w:rPr>
        <w:footnoteRef/>
      </w:r>
      <w:r>
        <w:t xml:space="preserve"> </w:t>
      </w:r>
      <w:r w:rsidR="00770B2F">
        <w:tab/>
      </w:r>
      <w:r>
        <w:rPr>
          <w:lang w:val="en-ZW"/>
        </w:rPr>
        <w:t xml:space="preserve">ACP-CA </w:t>
      </w:r>
      <w:r w:rsidR="00513BB8">
        <w:rPr>
          <w:lang w:val="en-ZW"/>
        </w:rPr>
        <w:t xml:space="preserve">Opening Comments on Proposed Decision </w:t>
      </w:r>
      <w:r>
        <w:rPr>
          <w:lang w:val="en-ZW"/>
        </w:rPr>
        <w:t>at 3</w:t>
      </w:r>
      <w:r w:rsidR="00770B2F">
        <w:rPr>
          <w:lang w:val="en-ZW"/>
        </w:rPr>
        <w:t>,</w:t>
      </w:r>
      <w:r w:rsidRPr="004F41B4">
        <w:rPr>
          <w:lang w:val="en-ZW"/>
        </w:rPr>
        <w:t xml:space="preserve"> </w:t>
      </w:r>
      <w:r>
        <w:rPr>
          <w:lang w:val="en-ZW"/>
        </w:rPr>
        <w:t xml:space="preserve">Pattern </w:t>
      </w:r>
      <w:r w:rsidR="00513BB8">
        <w:rPr>
          <w:lang w:val="en-ZW"/>
        </w:rPr>
        <w:t xml:space="preserve">Opening Comments on Proposed Decision </w:t>
      </w:r>
      <w:r>
        <w:rPr>
          <w:lang w:val="en-ZW"/>
        </w:rPr>
        <w:t>at 3.</w:t>
      </w:r>
    </w:p>
  </w:footnote>
  <w:footnote w:id="214">
    <w:p w14:paraId="0388D4A1" w14:textId="4DA1C423" w:rsidR="0040159A" w:rsidRPr="00C96664" w:rsidRDefault="0040159A" w:rsidP="008D7713">
      <w:pPr>
        <w:pStyle w:val="FootnoteText"/>
        <w:ind w:left="288" w:hanging="288"/>
        <w:rPr>
          <w:lang w:val="en-ZW"/>
        </w:rPr>
      </w:pPr>
      <w:r>
        <w:rPr>
          <w:rStyle w:val="FootnoteReference"/>
        </w:rPr>
        <w:footnoteRef/>
      </w:r>
      <w:r>
        <w:t xml:space="preserve"> </w:t>
      </w:r>
      <w:r w:rsidR="00770B2F">
        <w:tab/>
      </w:r>
      <w:r>
        <w:rPr>
          <w:lang w:val="en-ZW"/>
        </w:rPr>
        <w:t xml:space="preserve">MRP </w:t>
      </w:r>
      <w:r w:rsidR="00513BB8">
        <w:rPr>
          <w:lang w:val="en-ZW"/>
        </w:rPr>
        <w:t xml:space="preserve">Opening Comments on Proposed Decision </w:t>
      </w:r>
      <w:r>
        <w:rPr>
          <w:lang w:val="en-ZW"/>
        </w:rPr>
        <w:t>at 13.</w:t>
      </w:r>
    </w:p>
  </w:footnote>
  <w:footnote w:id="215">
    <w:p w14:paraId="04D70F0F" w14:textId="1B11A2BE" w:rsidR="00673382" w:rsidRPr="00C96664" w:rsidRDefault="00673382" w:rsidP="008D7713">
      <w:pPr>
        <w:pStyle w:val="FootnoteText"/>
        <w:ind w:left="288" w:hanging="288"/>
        <w:rPr>
          <w:lang w:val="en-ZW"/>
        </w:rPr>
      </w:pPr>
      <w:r>
        <w:rPr>
          <w:rStyle w:val="FootnoteReference"/>
        </w:rPr>
        <w:footnoteRef/>
      </w:r>
      <w:r>
        <w:t xml:space="preserve"> </w:t>
      </w:r>
      <w:r w:rsidR="00770B2F">
        <w:tab/>
      </w:r>
      <w:r>
        <w:rPr>
          <w:lang w:val="en-ZW"/>
        </w:rPr>
        <w:t xml:space="preserve">SCE </w:t>
      </w:r>
      <w:r w:rsidR="00513BB8">
        <w:rPr>
          <w:lang w:val="en-ZW"/>
        </w:rPr>
        <w:t xml:space="preserve">Opening Comments on Proposed Decision </w:t>
      </w:r>
      <w:r>
        <w:rPr>
          <w:lang w:val="en-ZW"/>
        </w:rPr>
        <w:t>at 3.</w:t>
      </w:r>
    </w:p>
  </w:footnote>
  <w:footnote w:id="216">
    <w:p w14:paraId="49695D88" w14:textId="1FEACD42" w:rsidR="00673382" w:rsidRPr="00C96664" w:rsidRDefault="00673382" w:rsidP="008D7713">
      <w:pPr>
        <w:pStyle w:val="FootnoteText"/>
        <w:ind w:left="288" w:hanging="288"/>
        <w:rPr>
          <w:lang w:val="en-ZW"/>
        </w:rPr>
      </w:pPr>
      <w:r>
        <w:rPr>
          <w:rStyle w:val="FootnoteReference"/>
        </w:rPr>
        <w:footnoteRef/>
      </w:r>
      <w:r>
        <w:t xml:space="preserve"> </w:t>
      </w:r>
      <w:r w:rsidR="00770B2F">
        <w:tab/>
      </w:r>
      <w:r>
        <w:rPr>
          <w:lang w:val="en-ZW"/>
        </w:rPr>
        <w:t xml:space="preserve">NRDC </w:t>
      </w:r>
      <w:r w:rsidR="00513BB8">
        <w:rPr>
          <w:lang w:val="en-ZW"/>
        </w:rPr>
        <w:t xml:space="preserve">Opening Comments on Proposed Decision </w:t>
      </w:r>
      <w:r>
        <w:rPr>
          <w:lang w:val="en-ZW"/>
        </w:rPr>
        <w:t>at 4.</w:t>
      </w:r>
    </w:p>
  </w:footnote>
  <w:footnote w:id="217">
    <w:p w14:paraId="481E4891" w14:textId="545E58D8" w:rsidR="00910D21" w:rsidRPr="008D7713" w:rsidRDefault="00910D21" w:rsidP="008D7713">
      <w:pPr>
        <w:pStyle w:val="FootnoteText"/>
        <w:ind w:left="288" w:hanging="288"/>
        <w:rPr>
          <w:lang w:val="en-ZW"/>
        </w:rPr>
      </w:pPr>
      <w:r>
        <w:rPr>
          <w:rStyle w:val="FootnoteReference"/>
        </w:rPr>
        <w:footnoteRef/>
      </w:r>
      <w:r>
        <w:t xml:space="preserve"> </w:t>
      </w:r>
      <w:r w:rsidR="00770B2F">
        <w:tab/>
      </w:r>
      <w:proofErr w:type="spellStart"/>
      <w:r>
        <w:rPr>
          <w:lang w:val="en-ZW"/>
        </w:rPr>
        <w:t>AReM</w:t>
      </w:r>
      <w:proofErr w:type="spellEnd"/>
      <w:r>
        <w:rPr>
          <w:lang w:val="en-ZW"/>
        </w:rPr>
        <w:t xml:space="preserve"> Reply Comments on Proposed Decision at 2.</w:t>
      </w:r>
    </w:p>
  </w:footnote>
  <w:footnote w:id="218">
    <w:p w14:paraId="24EB946C" w14:textId="51189D05" w:rsidR="00C810E2" w:rsidRPr="00965C3A" w:rsidRDefault="00C810E2" w:rsidP="008D7713">
      <w:pPr>
        <w:pStyle w:val="FootnoteText"/>
        <w:ind w:left="288" w:hanging="288"/>
        <w:rPr>
          <w:lang w:val="en-ZW"/>
        </w:rPr>
      </w:pPr>
      <w:r>
        <w:rPr>
          <w:rStyle w:val="FootnoteReference"/>
        </w:rPr>
        <w:footnoteRef/>
      </w:r>
      <w:r>
        <w:t xml:space="preserve"> </w:t>
      </w:r>
      <w:r w:rsidR="00770B2F">
        <w:tab/>
      </w:r>
      <w:r>
        <w:rPr>
          <w:lang w:val="en-ZW"/>
        </w:rPr>
        <w:t>CAISO Opening Comments on Proposed Decision at 2</w:t>
      </w:r>
      <w:r w:rsidR="00770B2F">
        <w:rPr>
          <w:lang w:val="en-ZW"/>
        </w:rPr>
        <w:t>,</w:t>
      </w:r>
      <w:r>
        <w:rPr>
          <w:lang w:val="en-ZW"/>
        </w:rPr>
        <w:t xml:space="preserve"> </w:t>
      </w:r>
      <w:proofErr w:type="spellStart"/>
      <w:r>
        <w:rPr>
          <w:lang w:val="en-ZW"/>
        </w:rPr>
        <w:t>AReM</w:t>
      </w:r>
      <w:proofErr w:type="spellEnd"/>
      <w:r>
        <w:rPr>
          <w:lang w:val="en-ZW"/>
        </w:rPr>
        <w:t xml:space="preserve"> Opening Comments on Proposed Decision at 2</w:t>
      </w:r>
      <w:r w:rsidR="00770B2F">
        <w:rPr>
          <w:lang w:val="en-ZW"/>
        </w:rPr>
        <w:t>,</w:t>
      </w:r>
      <w:r w:rsidRPr="00465F14">
        <w:rPr>
          <w:lang w:val="en-ZW"/>
        </w:rPr>
        <w:t xml:space="preserve"> </w:t>
      </w:r>
      <w:r>
        <w:rPr>
          <w:lang w:val="en-ZW"/>
        </w:rPr>
        <w:t>MRP Opening Comments on Proposed Decision at 2</w:t>
      </w:r>
      <w:r w:rsidR="00770B2F">
        <w:rPr>
          <w:lang w:val="en-ZW"/>
        </w:rPr>
        <w:t>,</w:t>
      </w:r>
      <w:r>
        <w:rPr>
          <w:lang w:val="en-ZW"/>
        </w:rPr>
        <w:t xml:space="preserve"> WPTF Opening Comments on Proposed Decision at 2.</w:t>
      </w:r>
    </w:p>
  </w:footnote>
  <w:footnote w:id="219">
    <w:p w14:paraId="2583BEC6" w14:textId="263298DC" w:rsidR="00E67131" w:rsidRPr="000772ED" w:rsidRDefault="00E67131" w:rsidP="008D7713">
      <w:pPr>
        <w:pStyle w:val="FootnoteText"/>
        <w:ind w:left="288" w:hanging="288"/>
        <w:rPr>
          <w:lang w:val="en-ZW"/>
        </w:rPr>
      </w:pPr>
      <w:r>
        <w:rPr>
          <w:rStyle w:val="FootnoteReference"/>
        </w:rPr>
        <w:footnoteRef/>
      </w:r>
      <w:r>
        <w:t xml:space="preserve"> </w:t>
      </w:r>
      <w:r>
        <w:rPr>
          <w:lang w:val="en-ZW"/>
        </w:rPr>
        <w:t xml:space="preserve">CAISO </w:t>
      </w:r>
      <w:r w:rsidR="00513BB8">
        <w:rPr>
          <w:lang w:val="en-ZW"/>
        </w:rPr>
        <w:t xml:space="preserve">Opening Comments on Proposed Decision </w:t>
      </w:r>
      <w:r>
        <w:rPr>
          <w:lang w:val="en-ZW"/>
        </w:rPr>
        <w:t>at 6.</w:t>
      </w:r>
    </w:p>
  </w:footnote>
  <w:footnote w:id="220">
    <w:p w14:paraId="5FC04E51" w14:textId="7074D326" w:rsidR="00E33D15" w:rsidRPr="00C96664" w:rsidRDefault="00E33D15" w:rsidP="008D7713">
      <w:pPr>
        <w:pStyle w:val="FootnoteText"/>
        <w:ind w:left="288" w:hanging="288"/>
        <w:rPr>
          <w:lang w:val="en-ZW"/>
        </w:rPr>
      </w:pPr>
      <w:r>
        <w:rPr>
          <w:rStyle w:val="FootnoteReference"/>
        </w:rPr>
        <w:footnoteRef/>
      </w:r>
      <w:r>
        <w:t xml:space="preserve"> </w:t>
      </w:r>
      <w:r w:rsidR="00770B2F" w:rsidRPr="008D7713">
        <w:rPr>
          <w:i/>
          <w:iCs/>
          <w:lang w:val="en-ZW"/>
        </w:rPr>
        <w:t>Id</w:t>
      </w:r>
      <w:r>
        <w:rPr>
          <w:lang w:val="en-ZW"/>
        </w:rPr>
        <w:t>.</w:t>
      </w:r>
    </w:p>
  </w:footnote>
  <w:footnote w:id="221">
    <w:p w14:paraId="45DD248B" w14:textId="77777777" w:rsidR="00C810E2" w:rsidRPr="00965C3A" w:rsidRDefault="00C810E2" w:rsidP="008D7713">
      <w:pPr>
        <w:pStyle w:val="FootnoteText"/>
        <w:ind w:left="288" w:hanging="288"/>
        <w:rPr>
          <w:lang w:val="en-ZW"/>
        </w:rPr>
      </w:pPr>
      <w:r>
        <w:rPr>
          <w:rStyle w:val="FootnoteReference"/>
        </w:rPr>
        <w:footnoteRef/>
      </w:r>
      <w:r>
        <w:t xml:space="preserve"> </w:t>
      </w:r>
      <w:proofErr w:type="spellStart"/>
      <w:r>
        <w:rPr>
          <w:lang w:val="en-ZW"/>
        </w:rPr>
        <w:t>CalCCA</w:t>
      </w:r>
      <w:proofErr w:type="spellEnd"/>
      <w:r>
        <w:rPr>
          <w:lang w:val="en-ZW"/>
        </w:rPr>
        <w:t xml:space="preserve"> Reply Comments on Proposed Decision at 4.</w:t>
      </w:r>
    </w:p>
  </w:footnote>
  <w:footnote w:id="222">
    <w:p w14:paraId="5BF78DFE" w14:textId="59876FDB" w:rsidR="00E33D15" w:rsidRPr="00C96664" w:rsidRDefault="00E33D15" w:rsidP="008D7713">
      <w:pPr>
        <w:pStyle w:val="FootnoteText"/>
        <w:ind w:left="288" w:hanging="288"/>
        <w:rPr>
          <w:lang w:val="en-ZW"/>
        </w:rPr>
      </w:pPr>
      <w:r>
        <w:rPr>
          <w:rStyle w:val="FootnoteReference"/>
        </w:rPr>
        <w:footnoteRef/>
      </w:r>
      <w:r>
        <w:t xml:space="preserve"> </w:t>
      </w:r>
      <w:r>
        <w:rPr>
          <w:lang w:val="en-ZW"/>
        </w:rPr>
        <w:t xml:space="preserve">MRP </w:t>
      </w:r>
      <w:r w:rsidR="00513BB8">
        <w:rPr>
          <w:lang w:val="en-ZW"/>
        </w:rPr>
        <w:t xml:space="preserve">Opening Comments on Proposed Decision </w:t>
      </w:r>
      <w:r>
        <w:rPr>
          <w:lang w:val="en-ZW"/>
        </w:rPr>
        <w:t>at 4.</w:t>
      </w:r>
    </w:p>
  </w:footnote>
  <w:footnote w:id="223">
    <w:p w14:paraId="14D2BD2E" w14:textId="176B2372" w:rsidR="00F72D0B" w:rsidRPr="008D7713" w:rsidRDefault="00F72D0B" w:rsidP="008D7713">
      <w:pPr>
        <w:pStyle w:val="FootnoteText"/>
        <w:ind w:left="288" w:hanging="288"/>
        <w:rPr>
          <w:lang w:val="en-ZW"/>
        </w:rPr>
      </w:pPr>
      <w:r>
        <w:rPr>
          <w:rStyle w:val="FootnoteReference"/>
        </w:rPr>
        <w:footnoteRef/>
      </w:r>
      <w:r>
        <w:t xml:space="preserve"> </w:t>
      </w:r>
      <w:proofErr w:type="spellStart"/>
      <w:r>
        <w:rPr>
          <w:lang w:val="en-ZW"/>
        </w:rPr>
        <w:t>AReM</w:t>
      </w:r>
      <w:proofErr w:type="spellEnd"/>
      <w:r>
        <w:rPr>
          <w:lang w:val="en-ZW"/>
        </w:rPr>
        <w:t xml:space="preserve"> Reply Comments on Proposed Decision at 3.</w:t>
      </w:r>
    </w:p>
  </w:footnote>
  <w:footnote w:id="224">
    <w:p w14:paraId="1591ACC5" w14:textId="038DAAAA" w:rsidR="005C4335" w:rsidRPr="00C96664" w:rsidRDefault="005C4335" w:rsidP="008D7713">
      <w:pPr>
        <w:pStyle w:val="FootnoteText"/>
        <w:ind w:left="288" w:hanging="288"/>
        <w:rPr>
          <w:lang w:val="en-ZW"/>
        </w:rPr>
      </w:pPr>
      <w:r>
        <w:rPr>
          <w:rStyle w:val="FootnoteReference"/>
        </w:rPr>
        <w:footnoteRef/>
      </w:r>
      <w:r>
        <w:t xml:space="preserve"> </w:t>
      </w:r>
      <w:r w:rsidR="0088751F">
        <w:tab/>
      </w:r>
      <w:r>
        <w:rPr>
          <w:lang w:val="en-ZW"/>
        </w:rPr>
        <w:t xml:space="preserve">CESA </w:t>
      </w:r>
      <w:r w:rsidR="00513BB8">
        <w:rPr>
          <w:lang w:val="en-ZW"/>
        </w:rPr>
        <w:t xml:space="preserve">Opening Comments on Proposed Decision at </w:t>
      </w:r>
      <w:r>
        <w:rPr>
          <w:lang w:val="en-ZW"/>
        </w:rPr>
        <w:t>2</w:t>
      </w:r>
      <w:r w:rsidR="00513BB8">
        <w:rPr>
          <w:lang w:val="en-ZW"/>
        </w:rPr>
        <w:t xml:space="preserve">, </w:t>
      </w:r>
      <w:r>
        <w:rPr>
          <w:lang w:val="en-ZW"/>
        </w:rPr>
        <w:t xml:space="preserve">SCE </w:t>
      </w:r>
      <w:r w:rsidR="00513BB8">
        <w:rPr>
          <w:lang w:val="en-ZW"/>
        </w:rPr>
        <w:t xml:space="preserve">Opening Comments on Proposed Decision </w:t>
      </w:r>
      <w:r>
        <w:rPr>
          <w:lang w:val="en-ZW"/>
        </w:rPr>
        <w:t>at 6.</w:t>
      </w:r>
    </w:p>
  </w:footnote>
  <w:footnote w:id="225">
    <w:p w14:paraId="5CA9CF88" w14:textId="10438D75" w:rsidR="00CF2144" w:rsidRPr="008D7713" w:rsidRDefault="00CF2144" w:rsidP="008D7713">
      <w:pPr>
        <w:pStyle w:val="FootnoteText"/>
        <w:ind w:left="288" w:hanging="288"/>
        <w:rPr>
          <w:lang w:val="en-ZW"/>
        </w:rPr>
      </w:pPr>
      <w:r>
        <w:rPr>
          <w:rStyle w:val="FootnoteReference"/>
        </w:rPr>
        <w:footnoteRef/>
      </w:r>
      <w:r>
        <w:t xml:space="preserve"> </w:t>
      </w:r>
      <w:r>
        <w:rPr>
          <w:lang w:val="en-ZW"/>
        </w:rPr>
        <w:t>MRP Reply Comments on Proposed Decision at 4.</w:t>
      </w:r>
    </w:p>
  </w:footnote>
  <w:footnote w:id="226">
    <w:p w14:paraId="76445B81" w14:textId="60219F54" w:rsidR="00D15373" w:rsidRPr="008D7713" w:rsidRDefault="00D15373" w:rsidP="008D7713">
      <w:pPr>
        <w:pStyle w:val="FootnoteText"/>
        <w:ind w:left="288" w:hanging="288"/>
        <w:rPr>
          <w:lang w:val="en-ZW"/>
        </w:rPr>
      </w:pPr>
      <w:r>
        <w:rPr>
          <w:rStyle w:val="FootnoteReference"/>
        </w:rPr>
        <w:footnoteRef/>
      </w:r>
      <w:r>
        <w:t xml:space="preserve"> </w:t>
      </w:r>
      <w:proofErr w:type="spellStart"/>
      <w:r>
        <w:rPr>
          <w:lang w:val="en-ZW"/>
        </w:rPr>
        <w:t>CalCCA</w:t>
      </w:r>
      <w:proofErr w:type="spellEnd"/>
      <w:r>
        <w:rPr>
          <w:lang w:val="en-ZW"/>
        </w:rPr>
        <w:t xml:space="preserve"> Reply Comments on Proposed Decision at </w:t>
      </w:r>
      <w:r w:rsidR="00C14480">
        <w:rPr>
          <w:lang w:val="en-ZW"/>
        </w:rPr>
        <w:t>2.</w:t>
      </w:r>
    </w:p>
  </w:footnote>
  <w:footnote w:id="227">
    <w:p w14:paraId="6A7BE58A" w14:textId="2CB1B45B" w:rsidR="008D4321" w:rsidRPr="00C96664" w:rsidRDefault="008D4321" w:rsidP="008D7713">
      <w:pPr>
        <w:pStyle w:val="FootnoteText"/>
        <w:ind w:left="288" w:hanging="288"/>
        <w:rPr>
          <w:lang w:val="en-ZW"/>
        </w:rPr>
      </w:pPr>
      <w:r>
        <w:rPr>
          <w:rStyle w:val="FootnoteReference"/>
        </w:rPr>
        <w:footnoteRef/>
      </w:r>
      <w:r>
        <w:t xml:space="preserve"> </w:t>
      </w:r>
      <w:r w:rsidR="0088751F">
        <w:tab/>
      </w:r>
      <w:r>
        <w:rPr>
          <w:lang w:val="en-ZW"/>
        </w:rPr>
        <w:t>CEERT Opening Comments on Proposed Decision at 4, CEJA Opening Comments on Proposed Decision at 2, NRDC Opening Comments on Proposed Decision at 5,</w:t>
      </w:r>
      <w:r w:rsidRPr="00A74507">
        <w:rPr>
          <w:lang w:val="en-ZW"/>
        </w:rPr>
        <w:t xml:space="preserve"> </w:t>
      </w:r>
      <w:r>
        <w:rPr>
          <w:lang w:val="en-ZW"/>
        </w:rPr>
        <w:t>Cal Advocates Opening Comments on Proposed Decision at 8.</w:t>
      </w:r>
    </w:p>
  </w:footnote>
  <w:footnote w:id="228">
    <w:p w14:paraId="2E21CDA7" w14:textId="77777777" w:rsidR="008D4321" w:rsidRPr="00965C3A" w:rsidRDefault="008D4321" w:rsidP="008D7713">
      <w:pPr>
        <w:pStyle w:val="FootnoteText"/>
        <w:ind w:left="288" w:hanging="288"/>
        <w:rPr>
          <w:lang w:val="en-ZW"/>
        </w:rPr>
      </w:pPr>
      <w:r>
        <w:rPr>
          <w:rStyle w:val="FootnoteReference"/>
        </w:rPr>
        <w:footnoteRef/>
      </w:r>
      <w:r>
        <w:t xml:space="preserve"> </w:t>
      </w:r>
      <w:r>
        <w:rPr>
          <w:lang w:val="en-ZW"/>
        </w:rPr>
        <w:t>Shell Reply Comments on Proposed Decision at 3.</w:t>
      </w:r>
    </w:p>
  </w:footnote>
  <w:footnote w:id="229">
    <w:p w14:paraId="7EE62B1C" w14:textId="48063412" w:rsidR="000B693D" w:rsidRPr="00965C3A" w:rsidRDefault="000B693D" w:rsidP="008D7713">
      <w:pPr>
        <w:pStyle w:val="FootnoteText"/>
        <w:ind w:left="288" w:hanging="288"/>
        <w:rPr>
          <w:lang w:val="en-ZW"/>
        </w:rPr>
      </w:pPr>
      <w:r>
        <w:rPr>
          <w:rStyle w:val="FootnoteReference"/>
        </w:rPr>
        <w:footnoteRef/>
      </w:r>
      <w:r>
        <w:t xml:space="preserve"> </w:t>
      </w:r>
      <w:r>
        <w:rPr>
          <w:lang w:val="en-ZW"/>
        </w:rPr>
        <w:t>AES Opening Comments on Proposed Decision at 2</w:t>
      </w:r>
      <w:r w:rsidR="0088751F">
        <w:rPr>
          <w:lang w:val="en-ZW"/>
        </w:rPr>
        <w:t>,</w:t>
      </w:r>
      <w:r w:rsidRPr="004F41B4">
        <w:rPr>
          <w:lang w:val="en-ZW"/>
        </w:rPr>
        <w:t xml:space="preserve"> </w:t>
      </w:r>
      <w:r>
        <w:rPr>
          <w:lang w:val="en-ZW"/>
        </w:rPr>
        <w:t>IEP Opening Comments on Proposed Decision at 3</w:t>
      </w:r>
      <w:r w:rsidR="0088751F">
        <w:rPr>
          <w:lang w:val="en-ZW"/>
        </w:rPr>
        <w:t>,</w:t>
      </w:r>
      <w:r>
        <w:rPr>
          <w:lang w:val="en-ZW"/>
        </w:rPr>
        <w:t xml:space="preserve"> CESA Opening Comments on Proposed Decision at 6.</w:t>
      </w:r>
    </w:p>
  </w:footnote>
  <w:footnote w:id="230">
    <w:p w14:paraId="5F10CBE7" w14:textId="77777777" w:rsidR="000B693D" w:rsidRPr="00965C3A" w:rsidRDefault="000B693D" w:rsidP="008D7713">
      <w:pPr>
        <w:pStyle w:val="FootnoteText"/>
        <w:ind w:left="288" w:hanging="288"/>
        <w:rPr>
          <w:lang w:val="en-ZW"/>
        </w:rPr>
      </w:pPr>
      <w:r>
        <w:rPr>
          <w:rStyle w:val="FootnoteReference"/>
        </w:rPr>
        <w:footnoteRef/>
      </w:r>
      <w:r>
        <w:t xml:space="preserve"> </w:t>
      </w:r>
      <w:r>
        <w:rPr>
          <w:lang w:val="en-ZW"/>
        </w:rPr>
        <w:t>MRP Reply Comments on Proposed Decision at 3.</w:t>
      </w:r>
    </w:p>
  </w:footnote>
  <w:footnote w:id="231">
    <w:p w14:paraId="226B4B24" w14:textId="77777777" w:rsidR="000B693D" w:rsidRPr="00965C3A" w:rsidRDefault="000B693D" w:rsidP="008D7713">
      <w:pPr>
        <w:pStyle w:val="FootnoteText"/>
        <w:ind w:left="288" w:hanging="288"/>
        <w:rPr>
          <w:lang w:val="en-ZW"/>
        </w:rPr>
      </w:pPr>
      <w:r>
        <w:rPr>
          <w:rStyle w:val="FootnoteReference"/>
        </w:rPr>
        <w:footnoteRef/>
      </w:r>
      <w:r>
        <w:t xml:space="preserve"> </w:t>
      </w:r>
      <w:r>
        <w:rPr>
          <w:lang w:val="en-ZW"/>
        </w:rPr>
        <w:t>SCE Reply Comments on Proposed Decision at 2.</w:t>
      </w:r>
    </w:p>
  </w:footnote>
  <w:footnote w:id="232">
    <w:p w14:paraId="092E5EFA" w14:textId="77777777" w:rsidR="000B693D" w:rsidRPr="00C96664" w:rsidRDefault="000B693D" w:rsidP="008D7713">
      <w:pPr>
        <w:pStyle w:val="FootnoteText"/>
        <w:ind w:left="288" w:hanging="288"/>
        <w:rPr>
          <w:lang w:val="en-ZW"/>
        </w:rPr>
      </w:pPr>
      <w:r>
        <w:rPr>
          <w:rStyle w:val="FootnoteReference"/>
        </w:rPr>
        <w:footnoteRef/>
      </w:r>
      <w:r>
        <w:t xml:space="preserve"> </w:t>
      </w:r>
      <w:r>
        <w:rPr>
          <w:lang w:val="en-ZW"/>
        </w:rPr>
        <w:t>IEP Opening Comments on Proposed Decision at 4.</w:t>
      </w:r>
    </w:p>
  </w:footnote>
  <w:footnote w:id="233">
    <w:p w14:paraId="52FE4774" w14:textId="77777777" w:rsidR="000B693D" w:rsidRPr="00965C3A" w:rsidRDefault="000B693D" w:rsidP="008D7713">
      <w:pPr>
        <w:pStyle w:val="FootnoteText"/>
        <w:ind w:left="288" w:hanging="288"/>
        <w:rPr>
          <w:lang w:val="en-ZW"/>
        </w:rPr>
      </w:pPr>
      <w:r>
        <w:rPr>
          <w:rStyle w:val="FootnoteReference"/>
        </w:rPr>
        <w:footnoteRef/>
      </w:r>
      <w:r>
        <w:t xml:space="preserve"> </w:t>
      </w:r>
      <w:r>
        <w:rPr>
          <w:lang w:val="en-ZW"/>
        </w:rPr>
        <w:t>CAISO Reply Comments on Proposed Decision at 3.</w:t>
      </w:r>
    </w:p>
  </w:footnote>
  <w:footnote w:id="234">
    <w:p w14:paraId="0008148C" w14:textId="77777777" w:rsidR="000B693D" w:rsidRPr="00965C3A" w:rsidRDefault="000B693D" w:rsidP="008D7713">
      <w:pPr>
        <w:pStyle w:val="FootnoteText"/>
        <w:ind w:left="288" w:hanging="288"/>
        <w:rPr>
          <w:lang w:val="en-ZW"/>
        </w:rPr>
      </w:pPr>
      <w:r>
        <w:rPr>
          <w:rStyle w:val="FootnoteReference"/>
        </w:rPr>
        <w:footnoteRef/>
      </w:r>
      <w:r>
        <w:t xml:space="preserve"> </w:t>
      </w:r>
      <w:r>
        <w:rPr>
          <w:lang w:val="en-ZW"/>
        </w:rPr>
        <w:t>D.22-06-050 at 95.</w:t>
      </w:r>
    </w:p>
  </w:footnote>
  <w:footnote w:id="235">
    <w:p w14:paraId="1B67520B" w14:textId="1C282A79" w:rsidR="00847B48" w:rsidRPr="008D7713" w:rsidRDefault="00847B48" w:rsidP="008D7713">
      <w:pPr>
        <w:pStyle w:val="FootnoteText"/>
        <w:ind w:left="288" w:hanging="288"/>
        <w:rPr>
          <w:lang w:val="en-ZW"/>
        </w:rPr>
      </w:pPr>
      <w:r>
        <w:rPr>
          <w:rStyle w:val="FootnoteReference"/>
        </w:rPr>
        <w:footnoteRef/>
      </w:r>
      <w:r>
        <w:t xml:space="preserve"> </w:t>
      </w:r>
      <w:proofErr w:type="spellStart"/>
      <w:r>
        <w:rPr>
          <w:lang w:val="en-ZW"/>
        </w:rPr>
        <w:t>AReM</w:t>
      </w:r>
      <w:proofErr w:type="spellEnd"/>
      <w:r>
        <w:rPr>
          <w:lang w:val="en-ZW"/>
        </w:rPr>
        <w:t xml:space="preserve"> </w:t>
      </w:r>
      <w:r w:rsidR="00513BB8">
        <w:rPr>
          <w:lang w:val="en-ZW"/>
        </w:rPr>
        <w:t xml:space="preserve">Opening Comments on Proposed Decision </w:t>
      </w:r>
      <w:r>
        <w:rPr>
          <w:lang w:val="en-ZW"/>
        </w:rPr>
        <w:t>at 3.</w:t>
      </w:r>
    </w:p>
  </w:footnote>
  <w:footnote w:id="236">
    <w:p w14:paraId="5FBDC378" w14:textId="1A35E6A0" w:rsidR="00C22D52" w:rsidRPr="008D7713" w:rsidRDefault="00C22D52" w:rsidP="008D7713">
      <w:pPr>
        <w:pStyle w:val="FootnoteText"/>
        <w:ind w:left="288" w:hanging="288"/>
        <w:rPr>
          <w:lang w:val="en-ZW"/>
        </w:rPr>
      </w:pPr>
      <w:r>
        <w:rPr>
          <w:rStyle w:val="FootnoteReference"/>
        </w:rPr>
        <w:footnoteRef/>
      </w:r>
      <w:r>
        <w:t xml:space="preserve"> </w:t>
      </w:r>
      <w:r>
        <w:rPr>
          <w:lang w:val="en-ZW"/>
        </w:rPr>
        <w:t>SCE Reply Comments on Proposed Decision at 3.</w:t>
      </w:r>
    </w:p>
  </w:footnote>
  <w:footnote w:id="237">
    <w:p w14:paraId="50632A5E" w14:textId="4B36CDE4" w:rsidR="00E33D15" w:rsidRPr="00C96664" w:rsidRDefault="00E33D15" w:rsidP="008D7713">
      <w:pPr>
        <w:pStyle w:val="FootnoteText"/>
        <w:ind w:left="288" w:hanging="288"/>
        <w:rPr>
          <w:lang w:val="en-ZW"/>
        </w:rPr>
      </w:pPr>
      <w:r>
        <w:rPr>
          <w:rStyle w:val="FootnoteReference"/>
        </w:rPr>
        <w:footnoteRef/>
      </w:r>
      <w:r>
        <w:t xml:space="preserve"> </w:t>
      </w:r>
      <w:proofErr w:type="spellStart"/>
      <w:r>
        <w:rPr>
          <w:lang w:val="en-ZW"/>
        </w:rPr>
        <w:t>CalCCA</w:t>
      </w:r>
      <w:proofErr w:type="spellEnd"/>
      <w:r>
        <w:rPr>
          <w:lang w:val="en-ZW"/>
        </w:rPr>
        <w:t xml:space="preserve"> </w:t>
      </w:r>
      <w:r w:rsidR="00513BB8">
        <w:rPr>
          <w:lang w:val="en-ZW"/>
        </w:rPr>
        <w:t xml:space="preserve">Opening Comments on Proposed Decision </w:t>
      </w:r>
      <w:r>
        <w:rPr>
          <w:lang w:val="en-ZW"/>
        </w:rPr>
        <w:t>at 9.</w:t>
      </w:r>
    </w:p>
  </w:footnote>
  <w:footnote w:id="238">
    <w:p w14:paraId="6D84FF40" w14:textId="55BAD562" w:rsidR="003616BD" w:rsidRPr="00C96664" w:rsidRDefault="003616BD" w:rsidP="008D7713">
      <w:pPr>
        <w:pStyle w:val="FootnoteText"/>
        <w:ind w:left="288" w:hanging="288"/>
        <w:rPr>
          <w:lang w:val="en-ZW"/>
        </w:rPr>
      </w:pPr>
      <w:r>
        <w:rPr>
          <w:rStyle w:val="FootnoteReference"/>
        </w:rPr>
        <w:footnoteRef/>
      </w:r>
      <w:r>
        <w:t xml:space="preserve"> </w:t>
      </w:r>
      <w:r w:rsidR="0088751F" w:rsidRPr="008D7713">
        <w:rPr>
          <w:i/>
          <w:iCs/>
          <w:lang w:val="en-ZW"/>
        </w:rPr>
        <w:t>Id</w:t>
      </w:r>
      <w:r w:rsidR="0088751F">
        <w:rPr>
          <w:lang w:val="en-ZW"/>
        </w:rPr>
        <w:t>.</w:t>
      </w:r>
      <w:r w:rsidR="00513BB8">
        <w:rPr>
          <w:lang w:val="en-ZW"/>
        </w:rPr>
        <w:t xml:space="preserve"> </w:t>
      </w:r>
      <w:r>
        <w:rPr>
          <w:lang w:val="en-ZW"/>
        </w:rPr>
        <w:t>at 11.</w:t>
      </w:r>
    </w:p>
  </w:footnote>
  <w:footnote w:id="239">
    <w:p w14:paraId="4FCC1AFA" w14:textId="6BB04017" w:rsidR="003616BD" w:rsidRPr="00C96664" w:rsidRDefault="003616BD" w:rsidP="008D7713">
      <w:pPr>
        <w:pStyle w:val="FootnoteText"/>
        <w:ind w:left="288" w:hanging="288"/>
        <w:rPr>
          <w:lang w:val="en-ZW"/>
        </w:rPr>
      </w:pPr>
      <w:r>
        <w:rPr>
          <w:rStyle w:val="FootnoteReference"/>
        </w:rPr>
        <w:footnoteRef/>
      </w:r>
      <w:r>
        <w:t xml:space="preserve"> </w:t>
      </w:r>
      <w:r w:rsidR="0088751F" w:rsidRPr="008D7713">
        <w:rPr>
          <w:i/>
          <w:iCs/>
          <w:lang w:val="en-ZW"/>
        </w:rPr>
        <w:t>Id</w:t>
      </w:r>
      <w:r>
        <w:rPr>
          <w:lang w:val="en-ZW"/>
        </w:rPr>
        <w:t>.</w:t>
      </w:r>
    </w:p>
  </w:footnote>
  <w:footnote w:id="240">
    <w:p w14:paraId="591C644A" w14:textId="1D2AF2FF" w:rsidR="00A74507" w:rsidRPr="00C96664" w:rsidRDefault="00A74507" w:rsidP="008D7713">
      <w:pPr>
        <w:pStyle w:val="FootnoteText"/>
        <w:ind w:left="288" w:hanging="288"/>
        <w:rPr>
          <w:lang w:val="en-ZW"/>
        </w:rPr>
      </w:pPr>
      <w:r>
        <w:rPr>
          <w:rStyle w:val="FootnoteReference"/>
        </w:rPr>
        <w:footnoteRef/>
      </w:r>
      <w:r>
        <w:t xml:space="preserve"> </w:t>
      </w:r>
      <w:r>
        <w:rPr>
          <w:lang w:val="en-ZW"/>
        </w:rPr>
        <w:t xml:space="preserve">CEDMC/Leap </w:t>
      </w:r>
      <w:r w:rsidR="00513BB8">
        <w:rPr>
          <w:lang w:val="en-ZW"/>
        </w:rPr>
        <w:t xml:space="preserve">Opening Comments on Proposed Decision </w:t>
      </w:r>
      <w:r>
        <w:rPr>
          <w:lang w:val="en-ZW"/>
        </w:rPr>
        <w:t>at 3</w:t>
      </w:r>
      <w:r w:rsidR="00513BB8">
        <w:rPr>
          <w:lang w:val="en-ZW"/>
        </w:rPr>
        <w:t xml:space="preserve">, </w:t>
      </w:r>
      <w:proofErr w:type="spellStart"/>
      <w:r>
        <w:rPr>
          <w:lang w:val="en-ZW"/>
        </w:rPr>
        <w:t>OhmConnect</w:t>
      </w:r>
      <w:proofErr w:type="spellEnd"/>
      <w:r>
        <w:rPr>
          <w:lang w:val="en-ZW"/>
        </w:rPr>
        <w:t xml:space="preserve"> </w:t>
      </w:r>
      <w:r w:rsidR="00513BB8">
        <w:rPr>
          <w:lang w:val="en-ZW"/>
        </w:rPr>
        <w:t xml:space="preserve">Opening Comments on Proposed Decision </w:t>
      </w:r>
      <w:r>
        <w:rPr>
          <w:lang w:val="en-ZW"/>
        </w:rPr>
        <w:t>at 2.</w:t>
      </w:r>
    </w:p>
  </w:footnote>
  <w:footnote w:id="241">
    <w:p w14:paraId="07C43C79" w14:textId="77777777" w:rsidR="00B1416C" w:rsidRPr="00965C3A" w:rsidRDefault="00B1416C" w:rsidP="008D7713">
      <w:pPr>
        <w:pStyle w:val="FootnoteText"/>
        <w:ind w:left="288" w:hanging="288"/>
        <w:rPr>
          <w:lang w:val="en-ZW"/>
        </w:rPr>
      </w:pPr>
      <w:r>
        <w:rPr>
          <w:rStyle w:val="FootnoteReference"/>
        </w:rPr>
        <w:footnoteRef/>
      </w:r>
      <w:r>
        <w:t xml:space="preserve"> </w:t>
      </w:r>
      <w:r>
        <w:rPr>
          <w:lang w:val="en-ZW"/>
        </w:rPr>
        <w:t>SCE Reply Comments on Proposed Decision at 4.</w:t>
      </w:r>
    </w:p>
  </w:footnote>
  <w:footnote w:id="242">
    <w:p w14:paraId="4E0703FD" w14:textId="22D67F23" w:rsidR="00B1416C" w:rsidRPr="00965C3A" w:rsidRDefault="00B1416C" w:rsidP="008D7713">
      <w:pPr>
        <w:pStyle w:val="FootnoteText"/>
        <w:ind w:left="288" w:hanging="288"/>
        <w:rPr>
          <w:lang w:val="en-ZW"/>
        </w:rPr>
      </w:pPr>
      <w:r>
        <w:rPr>
          <w:rStyle w:val="FootnoteReference"/>
        </w:rPr>
        <w:footnoteRef/>
      </w:r>
      <w:r>
        <w:t xml:space="preserve"> </w:t>
      </w:r>
      <w:r w:rsidR="0088751F">
        <w:tab/>
      </w:r>
      <w:r>
        <w:rPr>
          <w:lang w:val="en-ZW"/>
        </w:rPr>
        <w:t>United Reply Comments on Proposed Decision at 2.</w:t>
      </w:r>
    </w:p>
  </w:footnote>
  <w:footnote w:id="243">
    <w:p w14:paraId="15213C76" w14:textId="37115EB8" w:rsidR="00F833E8" w:rsidRPr="008D7713" w:rsidRDefault="00F833E8" w:rsidP="008D7713">
      <w:pPr>
        <w:pStyle w:val="FootnoteText"/>
        <w:ind w:left="288" w:hanging="288"/>
        <w:rPr>
          <w:lang w:val="en-ZW"/>
        </w:rPr>
      </w:pPr>
      <w:r>
        <w:rPr>
          <w:rStyle w:val="FootnoteReference"/>
        </w:rPr>
        <w:footnoteRef/>
      </w:r>
      <w:r>
        <w:t xml:space="preserve"> </w:t>
      </w:r>
      <w:r w:rsidR="0088751F">
        <w:tab/>
      </w:r>
      <w:r>
        <w:rPr>
          <w:lang w:val="en-ZW"/>
        </w:rPr>
        <w:t xml:space="preserve">CEDMC/Leap </w:t>
      </w:r>
      <w:r w:rsidR="00513BB8">
        <w:rPr>
          <w:lang w:val="en-ZW"/>
        </w:rPr>
        <w:t xml:space="preserve">Opening Comments on Proposed Decision </w:t>
      </w:r>
      <w:r>
        <w:rPr>
          <w:lang w:val="en-ZW"/>
        </w:rPr>
        <w:t>at 3</w:t>
      </w:r>
      <w:r w:rsidR="00513BB8">
        <w:rPr>
          <w:lang w:val="en-ZW"/>
        </w:rPr>
        <w:t xml:space="preserve">, </w:t>
      </w:r>
      <w:proofErr w:type="spellStart"/>
      <w:r w:rsidR="00A74507">
        <w:t>OhmConnect</w:t>
      </w:r>
      <w:proofErr w:type="spellEnd"/>
      <w:r w:rsidR="00A74507">
        <w:t xml:space="preserve"> </w:t>
      </w:r>
      <w:r w:rsidR="00513BB8">
        <w:rPr>
          <w:lang w:val="en-ZW"/>
        </w:rPr>
        <w:t xml:space="preserve">Opening Comments on Proposed Decision </w:t>
      </w:r>
      <w:r w:rsidR="00A74507">
        <w:t>at 3</w:t>
      </w:r>
      <w:r w:rsidR="001D763A">
        <w:t>, CLECA Reply Comments on Proposed Decision at 1</w:t>
      </w:r>
      <w:r w:rsidR="00516BA2">
        <w:t xml:space="preserve">, </w:t>
      </w:r>
      <w:r w:rsidR="00516BA2">
        <w:rPr>
          <w:lang w:val="en-ZW"/>
        </w:rPr>
        <w:t>SCE Reply Comments on Proposed Decision at 4.</w:t>
      </w:r>
    </w:p>
  </w:footnote>
  <w:footnote w:id="244">
    <w:p w14:paraId="070BF498" w14:textId="340B242E" w:rsidR="00E33D15" w:rsidRPr="00C96664" w:rsidRDefault="00E33D15" w:rsidP="008D7713">
      <w:pPr>
        <w:pStyle w:val="FootnoteText"/>
        <w:ind w:left="288" w:hanging="288"/>
        <w:rPr>
          <w:lang w:val="en-ZW"/>
        </w:rPr>
      </w:pPr>
      <w:r>
        <w:rPr>
          <w:rStyle w:val="FootnoteReference"/>
        </w:rPr>
        <w:footnoteRef/>
      </w:r>
      <w:r>
        <w:t xml:space="preserve"> </w:t>
      </w:r>
      <w:proofErr w:type="spellStart"/>
      <w:r>
        <w:t>OhmConnect</w:t>
      </w:r>
      <w:proofErr w:type="spellEnd"/>
      <w:r>
        <w:t xml:space="preserve"> </w:t>
      </w:r>
      <w:r w:rsidR="00513BB8">
        <w:rPr>
          <w:lang w:val="en-ZW"/>
        </w:rPr>
        <w:t xml:space="preserve">Opening Comments on Proposed Decision </w:t>
      </w:r>
      <w:r>
        <w:t>at 3.</w:t>
      </w:r>
    </w:p>
  </w:footnote>
  <w:footnote w:id="245">
    <w:p w14:paraId="756377C0" w14:textId="6870038D" w:rsidR="00E33D15" w:rsidRPr="00C96664" w:rsidRDefault="00E33D15" w:rsidP="008D7713">
      <w:pPr>
        <w:pStyle w:val="FootnoteText"/>
        <w:ind w:left="288" w:hanging="288"/>
        <w:rPr>
          <w:lang w:val="en-ZW"/>
        </w:rPr>
      </w:pPr>
      <w:r>
        <w:rPr>
          <w:rStyle w:val="FootnoteReference"/>
        </w:rPr>
        <w:footnoteRef/>
      </w:r>
      <w:r>
        <w:t xml:space="preserve"> </w:t>
      </w:r>
      <w:r>
        <w:rPr>
          <w:lang w:val="en-ZW"/>
        </w:rPr>
        <w:t xml:space="preserve">CEERT </w:t>
      </w:r>
      <w:r w:rsidR="00513BB8">
        <w:rPr>
          <w:lang w:val="en-ZW"/>
        </w:rPr>
        <w:t xml:space="preserve">Opening Comments on Proposed Decision </w:t>
      </w:r>
      <w:r>
        <w:rPr>
          <w:lang w:val="en-ZW"/>
        </w:rPr>
        <w:t>at 4</w:t>
      </w:r>
      <w:r w:rsidR="00513BB8">
        <w:rPr>
          <w:lang w:val="en-ZW"/>
        </w:rPr>
        <w:t xml:space="preserve">, </w:t>
      </w:r>
      <w:r w:rsidR="006A2B2B">
        <w:rPr>
          <w:lang w:val="en-ZW"/>
        </w:rPr>
        <w:t xml:space="preserve">NRDC </w:t>
      </w:r>
      <w:r w:rsidR="00513BB8">
        <w:rPr>
          <w:lang w:val="en-ZW"/>
        </w:rPr>
        <w:t xml:space="preserve">Opening Comments on Proposed Decision </w:t>
      </w:r>
      <w:r w:rsidR="006A2B2B">
        <w:rPr>
          <w:lang w:val="en-ZW"/>
        </w:rPr>
        <w:t>at 3.</w:t>
      </w:r>
    </w:p>
  </w:footnote>
  <w:footnote w:id="246">
    <w:p w14:paraId="5442D817" w14:textId="079BABA5" w:rsidR="007A4296" w:rsidRPr="008D7713" w:rsidRDefault="007A4296" w:rsidP="008D7713">
      <w:pPr>
        <w:pStyle w:val="FootnoteText"/>
        <w:ind w:left="288" w:hanging="288"/>
        <w:rPr>
          <w:lang w:val="en-ZW"/>
        </w:rPr>
      </w:pPr>
      <w:r>
        <w:rPr>
          <w:rStyle w:val="FootnoteReference"/>
        </w:rPr>
        <w:footnoteRef/>
      </w:r>
      <w:r>
        <w:t xml:space="preserve"> </w:t>
      </w:r>
      <w:proofErr w:type="spellStart"/>
      <w:r>
        <w:rPr>
          <w:lang w:val="en-ZW"/>
        </w:rPr>
        <w:t>AReM</w:t>
      </w:r>
      <w:proofErr w:type="spellEnd"/>
      <w:r>
        <w:rPr>
          <w:lang w:val="en-ZW"/>
        </w:rPr>
        <w:t xml:space="preserve"> Reply Comments on Proposed Decision at 2</w:t>
      </w:r>
      <w:r w:rsidR="00B1416C">
        <w:rPr>
          <w:lang w:val="en-ZW"/>
        </w:rPr>
        <w:t xml:space="preserve">, </w:t>
      </w:r>
      <w:proofErr w:type="spellStart"/>
      <w:r w:rsidR="00B1416C">
        <w:rPr>
          <w:lang w:val="en-ZW"/>
        </w:rPr>
        <w:t>CalCCA</w:t>
      </w:r>
      <w:proofErr w:type="spellEnd"/>
      <w:r w:rsidR="00B1416C">
        <w:rPr>
          <w:lang w:val="en-ZW"/>
        </w:rPr>
        <w:t xml:space="preserve"> Reply Comments on Proposed Decision at 5, MRP Reply Comments on Proposed Decision at 4.</w:t>
      </w:r>
    </w:p>
  </w:footnote>
  <w:footnote w:id="247">
    <w:p w14:paraId="1EBD0E75" w14:textId="6CF568B2" w:rsidR="005C4335" w:rsidRPr="00C96664" w:rsidRDefault="005C4335" w:rsidP="008D7713">
      <w:pPr>
        <w:pStyle w:val="FootnoteText"/>
        <w:ind w:left="288" w:hanging="288"/>
        <w:rPr>
          <w:lang w:val="en-ZW"/>
        </w:rPr>
      </w:pPr>
      <w:r>
        <w:rPr>
          <w:rStyle w:val="FootnoteReference"/>
        </w:rPr>
        <w:footnoteRef/>
      </w:r>
      <w:r>
        <w:t xml:space="preserve"> </w:t>
      </w:r>
      <w:r>
        <w:rPr>
          <w:lang w:val="en-ZW"/>
        </w:rPr>
        <w:t xml:space="preserve">WPTF </w:t>
      </w:r>
      <w:r w:rsidR="00513BB8">
        <w:rPr>
          <w:lang w:val="en-ZW"/>
        </w:rPr>
        <w:t xml:space="preserve">Opening Comments on Proposed Decision </w:t>
      </w:r>
      <w:r>
        <w:rPr>
          <w:lang w:val="en-ZW"/>
        </w:rPr>
        <w:t>at 6.</w:t>
      </w:r>
    </w:p>
  </w:footnote>
  <w:footnote w:id="248">
    <w:p w14:paraId="74B39594" w14:textId="5F667D2A" w:rsidR="00D63AF5" w:rsidRPr="008D7713" w:rsidRDefault="00D63AF5" w:rsidP="008D7713">
      <w:pPr>
        <w:pStyle w:val="FootnoteText"/>
        <w:ind w:left="288" w:hanging="288"/>
        <w:rPr>
          <w:lang w:val="en-ZW"/>
        </w:rPr>
      </w:pPr>
      <w:r>
        <w:rPr>
          <w:rStyle w:val="FootnoteReference"/>
        </w:rPr>
        <w:footnoteRef/>
      </w:r>
      <w:r>
        <w:t xml:space="preserve"> </w:t>
      </w:r>
      <w:r w:rsidR="0088751F">
        <w:tab/>
      </w:r>
      <w:r>
        <w:rPr>
          <w:lang w:val="en-ZW"/>
        </w:rPr>
        <w:t xml:space="preserve">PG&amp;E </w:t>
      </w:r>
      <w:r w:rsidR="00513BB8">
        <w:rPr>
          <w:lang w:val="en-ZW"/>
        </w:rPr>
        <w:t xml:space="preserve">Opening Comments on Proposed Decision </w:t>
      </w:r>
      <w:r>
        <w:rPr>
          <w:lang w:val="en-ZW"/>
        </w:rPr>
        <w:t>at 4.</w:t>
      </w:r>
    </w:p>
  </w:footnote>
  <w:footnote w:id="249">
    <w:p w14:paraId="62FC5A32" w14:textId="7176763E" w:rsidR="00AB7269" w:rsidRPr="008D7713" w:rsidRDefault="00AB7269" w:rsidP="008D7713">
      <w:pPr>
        <w:pStyle w:val="FootnoteText"/>
        <w:ind w:left="288" w:hanging="288"/>
        <w:rPr>
          <w:lang w:val="en-ZW"/>
        </w:rPr>
      </w:pPr>
      <w:r>
        <w:rPr>
          <w:rStyle w:val="FootnoteReference"/>
        </w:rPr>
        <w:footnoteRef/>
      </w:r>
      <w:r>
        <w:t xml:space="preserve"> </w:t>
      </w:r>
      <w:r w:rsidR="0088751F">
        <w:tab/>
      </w:r>
      <w:r w:rsidR="0088751F" w:rsidRPr="008D7713">
        <w:rPr>
          <w:i/>
          <w:iCs/>
          <w:lang w:val="en-ZW"/>
        </w:rPr>
        <w:t>Id</w:t>
      </w:r>
      <w:r>
        <w:rPr>
          <w:lang w:val="en-ZW"/>
        </w:rPr>
        <w:t>.</w:t>
      </w:r>
    </w:p>
  </w:footnote>
  <w:footnote w:id="250">
    <w:p w14:paraId="08DBDE5B" w14:textId="077FEA92" w:rsidR="002A1403" w:rsidRPr="008D7713" w:rsidRDefault="002A1403" w:rsidP="008D7713">
      <w:pPr>
        <w:pStyle w:val="FootnoteText"/>
        <w:ind w:left="288" w:hanging="288"/>
        <w:rPr>
          <w:lang w:val="en-ZW"/>
        </w:rPr>
      </w:pPr>
      <w:r>
        <w:rPr>
          <w:rStyle w:val="FootnoteReference"/>
        </w:rPr>
        <w:footnoteRef/>
      </w:r>
      <w:r>
        <w:t xml:space="preserve"> </w:t>
      </w:r>
      <w:proofErr w:type="spellStart"/>
      <w:r>
        <w:rPr>
          <w:lang w:val="en-ZW"/>
        </w:rPr>
        <w:t>CalCCA</w:t>
      </w:r>
      <w:proofErr w:type="spellEnd"/>
      <w:r>
        <w:rPr>
          <w:lang w:val="en-ZW"/>
        </w:rPr>
        <w:t xml:space="preserve"> Reply Comments on Proposed Decision at 4.</w:t>
      </w:r>
    </w:p>
  </w:footnote>
  <w:footnote w:id="251">
    <w:p w14:paraId="5C7BC3F2" w14:textId="6CEA4479" w:rsidR="00310317" w:rsidRPr="00C96664" w:rsidRDefault="00310317" w:rsidP="008D7713">
      <w:pPr>
        <w:pStyle w:val="FootnoteText"/>
        <w:ind w:left="288" w:hanging="288"/>
        <w:rPr>
          <w:lang w:val="en-ZW"/>
        </w:rPr>
      </w:pPr>
      <w:r>
        <w:rPr>
          <w:rStyle w:val="FootnoteReference"/>
        </w:rPr>
        <w:footnoteRef/>
      </w:r>
      <w:r>
        <w:t xml:space="preserve"> </w:t>
      </w:r>
      <w:r>
        <w:rPr>
          <w:lang w:val="en-ZW"/>
        </w:rPr>
        <w:t xml:space="preserve">SCE </w:t>
      </w:r>
      <w:r w:rsidR="00513BB8">
        <w:rPr>
          <w:lang w:val="en-ZW"/>
        </w:rPr>
        <w:t xml:space="preserve">Opening Comments on Proposed Decision </w:t>
      </w:r>
      <w:r>
        <w:rPr>
          <w:lang w:val="en-ZW"/>
        </w:rPr>
        <w:t>at 6.</w:t>
      </w:r>
    </w:p>
  </w:footnote>
  <w:footnote w:id="252">
    <w:p w14:paraId="01CF411D" w14:textId="6598A227" w:rsidR="00784284" w:rsidRPr="008D7713" w:rsidRDefault="00784284" w:rsidP="008D7713">
      <w:pPr>
        <w:pStyle w:val="FootnoteText"/>
        <w:ind w:left="288" w:hanging="288"/>
        <w:rPr>
          <w:lang w:val="en-ZW"/>
        </w:rPr>
      </w:pPr>
      <w:r>
        <w:rPr>
          <w:rStyle w:val="FootnoteReference"/>
        </w:rPr>
        <w:footnoteRef/>
      </w:r>
      <w:r>
        <w:t xml:space="preserve"> </w:t>
      </w:r>
      <w:proofErr w:type="spellStart"/>
      <w:r>
        <w:rPr>
          <w:lang w:val="en-ZW"/>
        </w:rPr>
        <w:t>Hydrostor</w:t>
      </w:r>
      <w:proofErr w:type="spellEnd"/>
      <w:r>
        <w:rPr>
          <w:lang w:val="en-ZW"/>
        </w:rPr>
        <w:t xml:space="preserve"> Reply Comments on Proposed Decision at 4.</w:t>
      </w:r>
    </w:p>
  </w:footnote>
  <w:footnote w:id="253">
    <w:p w14:paraId="3938814C" w14:textId="70E9C671" w:rsidR="00030252" w:rsidRPr="008D7713" w:rsidRDefault="00030252" w:rsidP="008D7713">
      <w:pPr>
        <w:pStyle w:val="FootnoteText"/>
        <w:ind w:left="288" w:hanging="288"/>
        <w:rPr>
          <w:lang w:val="en-ZW"/>
        </w:rPr>
      </w:pPr>
      <w:r>
        <w:rPr>
          <w:rStyle w:val="FootnoteReference"/>
        </w:rPr>
        <w:footnoteRef/>
      </w:r>
      <w:r>
        <w:t xml:space="preserve"> </w:t>
      </w:r>
      <w:r>
        <w:rPr>
          <w:lang w:val="en-ZW"/>
        </w:rPr>
        <w:t xml:space="preserve">SCE </w:t>
      </w:r>
      <w:r w:rsidR="00513BB8">
        <w:rPr>
          <w:lang w:val="en-ZW"/>
        </w:rPr>
        <w:t xml:space="preserve">Opening Comments on Proposed Decision </w:t>
      </w:r>
      <w:r>
        <w:rPr>
          <w:lang w:val="en-ZW"/>
        </w:rPr>
        <w:t>at 5.</w:t>
      </w:r>
    </w:p>
  </w:footnote>
  <w:footnote w:id="254">
    <w:p w14:paraId="72439574" w14:textId="63C94106" w:rsidR="006A2B2B" w:rsidRPr="00C96664" w:rsidRDefault="006A2B2B" w:rsidP="008D7713">
      <w:pPr>
        <w:pStyle w:val="FootnoteText"/>
        <w:ind w:left="288" w:hanging="288"/>
        <w:rPr>
          <w:lang w:val="en-ZW"/>
        </w:rPr>
      </w:pPr>
      <w:r>
        <w:rPr>
          <w:rStyle w:val="FootnoteReference"/>
        </w:rPr>
        <w:footnoteRef/>
      </w:r>
      <w:r>
        <w:t xml:space="preserve"> </w:t>
      </w:r>
      <w:r>
        <w:rPr>
          <w:lang w:val="en-ZW"/>
        </w:rPr>
        <w:t xml:space="preserve">SDG&amp;E </w:t>
      </w:r>
      <w:r w:rsidR="00513BB8">
        <w:rPr>
          <w:lang w:val="en-ZW"/>
        </w:rPr>
        <w:t xml:space="preserve">Opening Comments on Proposed Decision </w:t>
      </w:r>
      <w:r>
        <w:rPr>
          <w:lang w:val="en-ZW"/>
        </w:rPr>
        <w:t>at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B3C6" w14:textId="00504C7A" w:rsidR="00133FAD" w:rsidRPr="00AB5B18" w:rsidRDefault="00133FAD" w:rsidP="00AB5B18">
    <w:pPr>
      <w:pStyle w:val="Header"/>
      <w:tabs>
        <w:tab w:val="clear" w:pos="4680"/>
      </w:tabs>
      <w:ind w:firstLine="0"/>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C0F2" w14:textId="7734D1CC" w:rsidR="00B3087D" w:rsidRPr="000A5273" w:rsidRDefault="00B14C85" w:rsidP="00B3087D">
    <w:pPr>
      <w:pStyle w:val="Header"/>
      <w:tabs>
        <w:tab w:val="clear" w:pos="4680"/>
      </w:tabs>
      <w:ind w:firstLine="0"/>
      <w:rPr>
        <w:b/>
      </w:rPr>
    </w:pPr>
    <w:r w:rsidRPr="00B14C85">
      <w:t>R.21-10-</w:t>
    </w:r>
    <w:proofErr w:type="gramStart"/>
    <w:r w:rsidRPr="00B14C85">
      <w:t>002</w:t>
    </w:r>
    <w:r w:rsidR="00E23CBB">
      <w:t xml:space="preserve">  </w:t>
    </w:r>
    <w:r w:rsidR="004A4E54">
      <w:t>ALJ</w:t>
    </w:r>
    <w:proofErr w:type="gramEnd"/>
    <w:r w:rsidR="004A4E54">
      <w:t>/DBB</w:t>
    </w:r>
    <w:r w:rsidR="00E23CBB">
      <w:t>/</w:t>
    </w:r>
    <w:r w:rsidR="004A4E54">
      <w:t>SR6</w:t>
    </w:r>
    <w:r w:rsidR="00E23CBB">
      <w:t>/</w:t>
    </w:r>
    <w:r w:rsidR="001A45A6">
      <w:t>mef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96C5" w14:textId="002A2B70" w:rsidR="00FE2351" w:rsidRDefault="004A4E54" w:rsidP="00EE4315">
    <w:pPr>
      <w:pStyle w:val="Header"/>
      <w:tabs>
        <w:tab w:val="clear" w:pos="4680"/>
      </w:tabs>
      <w:ind w:firstLine="0"/>
      <w:rPr>
        <w:b/>
      </w:rPr>
    </w:pPr>
    <w:r w:rsidRPr="00B14C85">
      <w:t>R.21-10-</w:t>
    </w:r>
    <w:proofErr w:type="gramStart"/>
    <w:r w:rsidRPr="00B14C85">
      <w:t>002</w:t>
    </w:r>
    <w:r>
      <w:t xml:space="preserve">  ALJ</w:t>
    </w:r>
    <w:proofErr w:type="gramEnd"/>
    <w:r>
      <w:t>/DBB/SR6/mef</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4840" w14:textId="00BB7FE9" w:rsidR="004A4E54" w:rsidRDefault="004A4E54" w:rsidP="00EE4315">
    <w:pPr>
      <w:pStyle w:val="Header"/>
      <w:tabs>
        <w:tab w:val="clear" w:pos="4680"/>
      </w:tabs>
      <w:ind w:firstLine="0"/>
      <w:rPr>
        <w:b/>
      </w:rPr>
    </w:pPr>
    <w:r w:rsidRPr="00B14C85">
      <w:t>R.21-10-002</w:t>
    </w:r>
    <w:r>
      <w:t xml:space="preserve">  ALJ/DBB/SR6/mef</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1C64" w14:textId="49F635B9" w:rsidR="007D5C1A" w:rsidRDefault="007D5C1A" w:rsidP="00EE4315">
    <w:pPr>
      <w:pStyle w:val="Header"/>
      <w:tabs>
        <w:tab w:val="clear" w:pos="4680"/>
      </w:tabs>
      <w:ind w:firstLine="0"/>
      <w:rPr>
        <w:b/>
      </w:rPr>
    </w:pPr>
    <w:r w:rsidRPr="00B14C85">
      <w:t>R.21-10-002</w:t>
    </w:r>
    <w:r>
      <w:t xml:space="preserve">  ALJ/DBB/SR6/mef</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484F" w14:textId="59620984" w:rsidR="00AB5B18" w:rsidRPr="00AB5B18" w:rsidRDefault="00AB5B18" w:rsidP="00AB5B18">
    <w:pPr>
      <w:pStyle w:val="Header"/>
      <w:tabs>
        <w:tab w:val="clear" w:pos="4680"/>
      </w:tabs>
      <w:ind w:firstLine="0"/>
      <w:rPr>
        <w:b/>
      </w:rPr>
    </w:pPr>
    <w:r w:rsidRPr="00B14C85">
      <w:t>R.21-10-</w:t>
    </w:r>
    <w:proofErr w:type="gramStart"/>
    <w:r w:rsidRPr="00B14C85">
      <w:t>002</w:t>
    </w:r>
    <w:r>
      <w:t xml:space="preserve">  ALJ</w:t>
    </w:r>
    <w:proofErr w:type="gramEnd"/>
    <w:r>
      <w:t>/DBB/SR6/me</w:t>
    </w:r>
    <w:r w:rsidR="007001D0">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94021"/>
    <w:multiLevelType w:val="multilevel"/>
    <w:tmpl w:val="18F4A5AC"/>
    <w:lvl w:ilvl="0">
      <w:start w:val="1"/>
      <w:numFmt w:val="decima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2" w15:restartNumberingAfterBreak="0">
    <w:nsid w:val="0A371D12"/>
    <w:multiLevelType w:val="hybridMultilevel"/>
    <w:tmpl w:val="D5F6D732"/>
    <w:lvl w:ilvl="0" w:tplc="4DEE0CD0">
      <w:start w:val="9"/>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D35B01"/>
    <w:multiLevelType w:val="hybridMultilevel"/>
    <w:tmpl w:val="0DCCBA64"/>
    <w:lvl w:ilvl="0" w:tplc="20248D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43E885F6">
      <w:start w:val="1"/>
      <w:numFmt w:val="decimal"/>
      <w:lvlText w:val="(%3)"/>
      <w:lvlJc w:val="left"/>
      <w:pPr>
        <w:ind w:left="2340" w:hanging="360"/>
      </w:pPr>
      <w:rPr>
        <w:rFonts w:cs="Calibri"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5" w15:restartNumberingAfterBreak="0">
    <w:nsid w:val="15F056CB"/>
    <w:multiLevelType w:val="multilevel"/>
    <w:tmpl w:val="18F4A5AC"/>
    <w:numStyleLink w:val="FoFCoLOP"/>
  </w:abstractNum>
  <w:abstractNum w:abstractNumId="6" w15:restartNumberingAfterBreak="0">
    <w:nsid w:val="19741ED8"/>
    <w:multiLevelType w:val="hybridMultilevel"/>
    <w:tmpl w:val="0A5A6CC2"/>
    <w:lvl w:ilvl="0" w:tplc="B852A0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70038F"/>
    <w:multiLevelType w:val="multilevel"/>
    <w:tmpl w:val="3C526EDE"/>
    <w:numStyleLink w:val="Headings"/>
  </w:abstractNum>
  <w:abstractNum w:abstractNumId="9" w15:restartNumberingAfterBreak="0">
    <w:nsid w:val="1E2242C9"/>
    <w:multiLevelType w:val="multilevel"/>
    <w:tmpl w:val="3C526EDE"/>
    <w:numStyleLink w:val="Headings"/>
  </w:abstractNum>
  <w:abstractNum w:abstractNumId="10" w15:restartNumberingAfterBreak="0">
    <w:nsid w:val="21FB58FE"/>
    <w:multiLevelType w:val="multilevel"/>
    <w:tmpl w:val="3C526EDE"/>
    <w:numStyleLink w:val="Headings"/>
  </w:abstractNum>
  <w:abstractNum w:abstractNumId="11" w15:restartNumberingAfterBreak="0">
    <w:nsid w:val="243663A0"/>
    <w:multiLevelType w:val="multilevel"/>
    <w:tmpl w:val="3C526EDE"/>
    <w:numStyleLink w:val="Headings"/>
  </w:abstractNum>
  <w:abstractNum w:abstractNumId="12" w15:restartNumberingAfterBreak="0">
    <w:nsid w:val="2B8124D7"/>
    <w:multiLevelType w:val="multilevel"/>
    <w:tmpl w:val="3C526EDE"/>
    <w:numStyleLink w:val="Headings"/>
  </w:abstractNum>
  <w:abstractNum w:abstractNumId="13" w15:restartNumberingAfterBreak="0">
    <w:nsid w:val="2D083F40"/>
    <w:multiLevelType w:val="hybridMultilevel"/>
    <w:tmpl w:val="FD1EFAC4"/>
    <w:lvl w:ilvl="0" w:tplc="EA4C060C">
      <w:start w:val="1"/>
      <w:numFmt w:val="upperLetter"/>
      <w:lvlText w:val="%1."/>
      <w:lvlJc w:val="left"/>
      <w:pPr>
        <w:ind w:left="1080" w:hanging="360"/>
      </w:pPr>
      <w:rPr>
        <w:rFonts w:hint="default"/>
      </w:rPr>
    </w:lvl>
    <w:lvl w:ilvl="1" w:tplc="F756401A">
      <w:start w:val="1"/>
      <w:numFmt w:val="decimal"/>
      <w:lvlText w:val="%2."/>
      <w:lvlJc w:val="left"/>
      <w:pPr>
        <w:ind w:left="1800" w:hanging="360"/>
      </w:pPr>
      <w:rPr>
        <w:rFonts w:ascii="Book Antiqua" w:eastAsiaTheme="minorHAnsi" w:hAnsi="Book Antiqua"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156402"/>
    <w:multiLevelType w:val="multilevel"/>
    <w:tmpl w:val="B78C03C8"/>
    <w:lvl w:ilvl="0">
      <w:start w:val="5"/>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8"/>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14:cntxtAlts w14:val="0"/>
      </w:rPr>
    </w:lvl>
    <w:lvl w:ilvl="2">
      <w:start w:val="2"/>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1F6D42"/>
    <w:multiLevelType w:val="multilevel"/>
    <w:tmpl w:val="3C526EDE"/>
    <w:styleLink w:val="Headings"/>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6" w15:restartNumberingAfterBreak="0">
    <w:nsid w:val="396C2BA3"/>
    <w:multiLevelType w:val="hybridMultilevel"/>
    <w:tmpl w:val="619CFE02"/>
    <w:lvl w:ilvl="0" w:tplc="109A36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935813"/>
    <w:multiLevelType w:val="hybridMultilevel"/>
    <w:tmpl w:val="5424608E"/>
    <w:lvl w:ilvl="0" w:tplc="5074D636">
      <w:start w:val="1"/>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FF1502"/>
    <w:multiLevelType w:val="hybridMultilevel"/>
    <w:tmpl w:val="030890AA"/>
    <w:lvl w:ilvl="0" w:tplc="02C0F0D6">
      <w:start w:val="1"/>
      <w:numFmt w:val="decimal"/>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CA0B6E"/>
    <w:multiLevelType w:val="hybridMultilevel"/>
    <w:tmpl w:val="E11EF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81419"/>
    <w:multiLevelType w:val="multilevel"/>
    <w:tmpl w:val="A99A191A"/>
    <w:lvl w:ilvl="0">
      <w:start w:val="1"/>
      <w:numFmt w:val="lowerRoman"/>
      <w:lvlText w:val="%1."/>
      <w:lvlJc w:val="left"/>
      <w:pPr>
        <w:ind w:left="900" w:hanging="360"/>
      </w:pPr>
      <w:rPr>
        <w:rFonts w:ascii="Book Antiqua" w:eastAsiaTheme="minorHAnsi" w:hAnsi="Book Antiqua" w:cs="Book Antiqua"/>
        <w:b w:val="0"/>
        <w:bCs/>
        <w:i w:val="0"/>
        <w:caps w:val="0"/>
        <w:strike w:val="0"/>
        <w:dstrike w:val="0"/>
        <w:vanish w:val="0"/>
        <w:webHidden w:val="0"/>
        <w:color w:val="auto"/>
        <w:kern w:val="0"/>
        <w:position w:val="0"/>
        <w:sz w:val="26"/>
        <w:u w:val="none"/>
        <w:effect w:val="none"/>
        <w:vertAlign w:val="baseline"/>
        <w:specVanish w:val="0"/>
        <w14:ligatures w14:val="none"/>
        <w14:numSpacing w14:val="default"/>
        <w14:cntxtAlts w14:val="0"/>
      </w:rPr>
    </w:lvl>
    <w:lvl w:ilvl="1">
      <w:start w:val="1"/>
      <w:numFmt w:val="decimal"/>
      <w:lvlText w:val="%1.%2."/>
      <w:lvlJc w:val="left"/>
      <w:pPr>
        <w:tabs>
          <w:tab w:val="num" w:pos="720"/>
        </w:tabs>
        <w:ind w:left="1368" w:hanging="648"/>
      </w:pPr>
      <w:rPr>
        <w:rFonts w:ascii="Arial" w:hAnsi="Arial" w:cs="Times New Roman" w:hint="default"/>
        <w:b/>
        <w:i w:val="0"/>
        <w:caps w:val="0"/>
        <w:strike w:val="0"/>
        <w:dstrike w:val="0"/>
        <w:vanish w:val="0"/>
        <w:webHidden w:val="0"/>
        <w:color w:val="auto"/>
        <w:kern w:val="0"/>
        <w:sz w:val="26"/>
        <w:u w:val="none"/>
        <w:effect w:val="none"/>
        <w:vertAlign w:val="baseline"/>
        <w:specVanish w:val="0"/>
        <w14:cntxtAlts w14:val="0"/>
      </w:rPr>
    </w:lvl>
    <w:lvl w:ilvl="2">
      <w:start w:val="1"/>
      <w:numFmt w:val="decimal"/>
      <w:lvlText w:val="%1.%2.%3."/>
      <w:lvlJc w:val="left"/>
      <w:pPr>
        <w:tabs>
          <w:tab w:val="num" w:pos="1440"/>
        </w:tabs>
        <w:ind w:left="2304" w:hanging="864"/>
      </w:pPr>
      <w:rPr>
        <w:rFonts w:ascii="Arial" w:hAnsi="Arial" w:cs="Times New Roman" w:hint="default"/>
        <w:b/>
        <w:i w:val="0"/>
        <w:caps w:val="0"/>
        <w:strike w:val="0"/>
        <w:dstrike w:val="0"/>
        <w:vanish w:val="0"/>
        <w:webHidden w:val="0"/>
        <w:color w:val="auto"/>
        <w:kern w:val="0"/>
        <w:sz w:val="26"/>
        <w:u w:val="none"/>
        <w:effect w:val="none"/>
        <w:vertAlign w:val="baseline"/>
        <w:specVanish w:val="0"/>
        <w14:cntxtAlts w14:val="0"/>
      </w:rPr>
    </w:lvl>
    <w:lvl w:ilvl="3">
      <w:start w:val="1"/>
      <w:numFmt w:val="decimal"/>
      <w:lvlText w:val="%1.%2.%3.%4."/>
      <w:lvlJc w:val="left"/>
      <w:pPr>
        <w:tabs>
          <w:tab w:val="num" w:pos="2160"/>
        </w:tabs>
        <w:ind w:left="3240" w:hanging="1080"/>
      </w:pPr>
      <w:rPr>
        <w:rFonts w:ascii="Arial" w:hAnsi="Arial" w:cs="Times New Roman" w:hint="default"/>
        <w:b/>
        <w:i w:val="0"/>
        <w:caps w:val="0"/>
        <w:strike w:val="0"/>
        <w:dstrike w:val="0"/>
        <w:vanish w:val="0"/>
        <w:webHidden w:val="0"/>
        <w:kern w:val="0"/>
        <w:sz w:val="26"/>
        <w:u w:val="none"/>
        <w:effect w:val="none"/>
        <w:vertAlign w:val="baseline"/>
        <w:specVanish w:val="0"/>
        <w14:cntxtAlts w14:val="0"/>
      </w:rPr>
    </w:lvl>
    <w:lvl w:ilvl="4">
      <w:start w:val="1"/>
      <w:numFmt w:val="decimal"/>
      <w:lvlText w:val="%1.%2.%3.%4.%5."/>
      <w:lvlJc w:val="left"/>
      <w:pPr>
        <w:tabs>
          <w:tab w:val="num" w:pos="2880"/>
        </w:tabs>
        <w:ind w:left="4176" w:hanging="1296"/>
      </w:pPr>
      <w:rPr>
        <w:rFonts w:ascii="Arial" w:hAnsi="Arial" w:cs="Times New Roman" w:hint="default"/>
        <w:b/>
        <w:i w:val="0"/>
        <w:sz w:val="26"/>
      </w:rPr>
    </w:lvl>
    <w:lvl w:ilvl="5">
      <w:start w:val="1"/>
      <w:numFmt w:val="decimal"/>
      <w:lvlText w:val="%1.%2.%3.%4.%5.%6."/>
      <w:lvlJc w:val="left"/>
      <w:pPr>
        <w:tabs>
          <w:tab w:val="num" w:pos="3600"/>
        </w:tabs>
        <w:ind w:left="5112" w:hanging="1512"/>
      </w:pPr>
      <w:rPr>
        <w:rFonts w:ascii="Arial" w:hAnsi="Arial" w:cs="Times New Roman" w:hint="default"/>
        <w:b/>
        <w:i w:val="0"/>
        <w:sz w:val="26"/>
      </w:rPr>
    </w:lvl>
    <w:lvl w:ilvl="6">
      <w:start w:val="1"/>
      <w:numFmt w:val="decimal"/>
      <w:lvlText w:val="%1.%2.%3.%4.%5.%6.%7."/>
      <w:lvlJc w:val="left"/>
      <w:pPr>
        <w:tabs>
          <w:tab w:val="num" w:pos="4320"/>
        </w:tabs>
        <w:ind w:left="5760" w:hanging="1440"/>
      </w:pPr>
      <w:rPr>
        <w:rFonts w:ascii="Arial" w:hAnsi="Arial" w:cs="Times New Roman" w:hint="default"/>
        <w:b/>
        <w:i w:val="0"/>
        <w:sz w:val="26"/>
      </w:rPr>
    </w:lvl>
    <w:lvl w:ilvl="7">
      <w:start w:val="1"/>
      <w:numFmt w:val="decimal"/>
      <w:lvlText w:val="%8."/>
      <w:lvlJc w:val="left"/>
      <w:pPr>
        <w:ind w:left="1080" w:hanging="360"/>
      </w:pPr>
      <w:rPr>
        <w:sz w:val="26"/>
      </w:rPr>
    </w:lvl>
    <w:lvl w:ilvl="8">
      <w:start w:val="1"/>
      <w:numFmt w:val="lowerLetter"/>
      <w:lvlText w:val="%9."/>
      <w:lvlJc w:val="left"/>
      <w:pPr>
        <w:ind w:left="3240" w:hanging="360"/>
      </w:pPr>
    </w:lvl>
  </w:abstractNum>
  <w:abstractNum w:abstractNumId="21" w15:restartNumberingAfterBreak="0">
    <w:nsid w:val="45255361"/>
    <w:multiLevelType w:val="hybridMultilevel"/>
    <w:tmpl w:val="EBCCA6C2"/>
    <w:lvl w:ilvl="0" w:tplc="7C6C9C54">
      <w:start w:val="2"/>
      <w:numFmt w:val="bullet"/>
      <w:lvlText w:val="•"/>
      <w:lvlJc w:val="left"/>
      <w:pPr>
        <w:ind w:left="1800" w:hanging="360"/>
      </w:pPr>
      <w:rPr>
        <w:rFonts w:ascii="Book Antiqua" w:eastAsiaTheme="minorHAnsi" w:hAnsi="Book Antiqua" w:cs="SymbolMT"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5AD4DA7"/>
    <w:multiLevelType w:val="hybridMultilevel"/>
    <w:tmpl w:val="62167DB6"/>
    <w:lvl w:ilvl="0" w:tplc="0882A26A">
      <w:start w:val="1"/>
      <w:numFmt w:val="bullet"/>
      <w:lvlText w:val="-"/>
      <w:lvlJc w:val="left"/>
      <w:pPr>
        <w:ind w:left="1440" w:hanging="360"/>
      </w:pPr>
      <w:rPr>
        <w:rFonts w:ascii="Book Antiqua" w:eastAsiaTheme="minorHAnsi" w:hAnsi="Book Antiqu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E60087"/>
    <w:multiLevelType w:val="multilevel"/>
    <w:tmpl w:val="A99A191A"/>
    <w:lvl w:ilvl="0">
      <w:start w:val="1"/>
      <w:numFmt w:val="lowerRoman"/>
      <w:lvlText w:val="%1."/>
      <w:lvlJc w:val="left"/>
      <w:pPr>
        <w:ind w:left="900" w:hanging="360"/>
      </w:pPr>
      <w:rPr>
        <w:rFonts w:ascii="Book Antiqua" w:eastAsiaTheme="minorHAnsi" w:hAnsi="Book Antiqua" w:cs="Book Antiqua"/>
        <w:b w:val="0"/>
        <w:bCs/>
        <w:i w:val="0"/>
        <w:caps w:val="0"/>
        <w:strike w:val="0"/>
        <w:dstrike w:val="0"/>
        <w:vanish w:val="0"/>
        <w:webHidden w:val="0"/>
        <w:color w:val="auto"/>
        <w:kern w:val="0"/>
        <w:position w:val="0"/>
        <w:sz w:val="26"/>
        <w:u w:val="none"/>
        <w:effect w:val="none"/>
        <w:vertAlign w:val="baseline"/>
        <w:specVanish w:val="0"/>
        <w14:ligatures w14:val="none"/>
        <w14:numSpacing w14:val="default"/>
        <w14:cntxtAlts w14:val="0"/>
      </w:rPr>
    </w:lvl>
    <w:lvl w:ilvl="1">
      <w:start w:val="1"/>
      <w:numFmt w:val="decimal"/>
      <w:lvlText w:val="%1.%2."/>
      <w:lvlJc w:val="left"/>
      <w:pPr>
        <w:tabs>
          <w:tab w:val="num" w:pos="720"/>
        </w:tabs>
        <w:ind w:left="1368" w:hanging="648"/>
      </w:pPr>
      <w:rPr>
        <w:rFonts w:ascii="Arial" w:hAnsi="Arial" w:cs="Times New Roman" w:hint="default"/>
        <w:b/>
        <w:i w:val="0"/>
        <w:caps w:val="0"/>
        <w:strike w:val="0"/>
        <w:dstrike w:val="0"/>
        <w:vanish w:val="0"/>
        <w:webHidden w:val="0"/>
        <w:color w:val="auto"/>
        <w:kern w:val="0"/>
        <w:sz w:val="26"/>
        <w:u w:val="none"/>
        <w:effect w:val="none"/>
        <w:vertAlign w:val="baseline"/>
        <w:specVanish w:val="0"/>
        <w14:cntxtAlts w14:val="0"/>
      </w:rPr>
    </w:lvl>
    <w:lvl w:ilvl="2">
      <w:start w:val="1"/>
      <w:numFmt w:val="decimal"/>
      <w:lvlText w:val="%1.%2.%3."/>
      <w:lvlJc w:val="left"/>
      <w:pPr>
        <w:tabs>
          <w:tab w:val="num" w:pos="1440"/>
        </w:tabs>
        <w:ind w:left="2304" w:hanging="864"/>
      </w:pPr>
      <w:rPr>
        <w:rFonts w:ascii="Arial" w:hAnsi="Arial" w:cs="Times New Roman" w:hint="default"/>
        <w:b/>
        <w:i w:val="0"/>
        <w:caps w:val="0"/>
        <w:strike w:val="0"/>
        <w:dstrike w:val="0"/>
        <w:vanish w:val="0"/>
        <w:webHidden w:val="0"/>
        <w:color w:val="auto"/>
        <w:kern w:val="0"/>
        <w:sz w:val="26"/>
        <w:u w:val="none"/>
        <w:effect w:val="none"/>
        <w:vertAlign w:val="baseline"/>
        <w:specVanish w:val="0"/>
        <w14:cntxtAlts w14:val="0"/>
      </w:rPr>
    </w:lvl>
    <w:lvl w:ilvl="3">
      <w:start w:val="1"/>
      <w:numFmt w:val="decimal"/>
      <w:lvlText w:val="%1.%2.%3.%4."/>
      <w:lvlJc w:val="left"/>
      <w:pPr>
        <w:tabs>
          <w:tab w:val="num" w:pos="2160"/>
        </w:tabs>
        <w:ind w:left="3240" w:hanging="1080"/>
      </w:pPr>
      <w:rPr>
        <w:rFonts w:ascii="Arial" w:hAnsi="Arial" w:cs="Times New Roman" w:hint="default"/>
        <w:b/>
        <w:i w:val="0"/>
        <w:caps w:val="0"/>
        <w:strike w:val="0"/>
        <w:dstrike w:val="0"/>
        <w:vanish w:val="0"/>
        <w:webHidden w:val="0"/>
        <w:kern w:val="0"/>
        <w:sz w:val="26"/>
        <w:u w:val="none"/>
        <w:effect w:val="none"/>
        <w:vertAlign w:val="baseline"/>
        <w:specVanish w:val="0"/>
        <w14:cntxtAlts w14:val="0"/>
      </w:rPr>
    </w:lvl>
    <w:lvl w:ilvl="4">
      <w:start w:val="1"/>
      <w:numFmt w:val="decimal"/>
      <w:lvlText w:val="%1.%2.%3.%4.%5."/>
      <w:lvlJc w:val="left"/>
      <w:pPr>
        <w:tabs>
          <w:tab w:val="num" w:pos="2880"/>
        </w:tabs>
        <w:ind w:left="4176" w:hanging="1296"/>
      </w:pPr>
      <w:rPr>
        <w:rFonts w:ascii="Arial" w:hAnsi="Arial" w:cs="Times New Roman" w:hint="default"/>
        <w:b/>
        <w:i w:val="0"/>
        <w:sz w:val="26"/>
      </w:rPr>
    </w:lvl>
    <w:lvl w:ilvl="5">
      <w:start w:val="1"/>
      <w:numFmt w:val="decimal"/>
      <w:lvlText w:val="%1.%2.%3.%4.%5.%6."/>
      <w:lvlJc w:val="left"/>
      <w:pPr>
        <w:tabs>
          <w:tab w:val="num" w:pos="3600"/>
        </w:tabs>
        <w:ind w:left="5112" w:hanging="1512"/>
      </w:pPr>
      <w:rPr>
        <w:rFonts w:ascii="Arial" w:hAnsi="Arial" w:cs="Times New Roman" w:hint="default"/>
        <w:b/>
        <w:i w:val="0"/>
        <w:sz w:val="26"/>
      </w:rPr>
    </w:lvl>
    <w:lvl w:ilvl="6">
      <w:start w:val="1"/>
      <w:numFmt w:val="decimal"/>
      <w:lvlText w:val="%1.%2.%3.%4.%5.%6.%7."/>
      <w:lvlJc w:val="left"/>
      <w:pPr>
        <w:tabs>
          <w:tab w:val="num" w:pos="4320"/>
        </w:tabs>
        <w:ind w:left="5760" w:hanging="1440"/>
      </w:pPr>
      <w:rPr>
        <w:rFonts w:ascii="Arial" w:hAnsi="Arial" w:cs="Times New Roman" w:hint="default"/>
        <w:b/>
        <w:i w:val="0"/>
        <w:sz w:val="26"/>
      </w:rPr>
    </w:lvl>
    <w:lvl w:ilvl="7">
      <w:start w:val="1"/>
      <w:numFmt w:val="decimal"/>
      <w:lvlText w:val="%8."/>
      <w:lvlJc w:val="left"/>
      <w:pPr>
        <w:ind w:left="1080" w:hanging="360"/>
      </w:pPr>
      <w:rPr>
        <w:sz w:val="26"/>
      </w:rPr>
    </w:lvl>
    <w:lvl w:ilvl="8">
      <w:start w:val="1"/>
      <w:numFmt w:val="lowerLetter"/>
      <w:lvlText w:val="%9."/>
      <w:lvlJc w:val="left"/>
      <w:pPr>
        <w:ind w:left="3240" w:hanging="360"/>
      </w:pPr>
    </w:lvl>
  </w:abstractNum>
  <w:abstractNum w:abstractNumId="24" w15:restartNumberingAfterBreak="0">
    <w:nsid w:val="54075AEA"/>
    <w:multiLevelType w:val="hybridMultilevel"/>
    <w:tmpl w:val="634E29D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59D042D7"/>
    <w:multiLevelType w:val="multilevel"/>
    <w:tmpl w:val="18F4A5AC"/>
    <w:numStyleLink w:val="FoFCoLOP"/>
  </w:abstractNum>
  <w:abstractNum w:abstractNumId="26" w15:restartNumberingAfterBreak="0">
    <w:nsid w:val="5A9E2171"/>
    <w:multiLevelType w:val="multilevel"/>
    <w:tmpl w:val="3C526EDE"/>
    <w:numStyleLink w:val="Headings"/>
  </w:abstractNum>
  <w:abstractNum w:abstractNumId="27" w15:restartNumberingAfterBreak="0">
    <w:nsid w:val="61926253"/>
    <w:multiLevelType w:val="hybridMultilevel"/>
    <w:tmpl w:val="5428F860"/>
    <w:lvl w:ilvl="0" w:tplc="E8F460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A25780"/>
    <w:multiLevelType w:val="multilevel"/>
    <w:tmpl w:val="3C526EDE"/>
    <w:numStyleLink w:val="Headings"/>
  </w:abstractNum>
  <w:abstractNum w:abstractNumId="29" w15:restartNumberingAfterBreak="0">
    <w:nsid w:val="646B1D1D"/>
    <w:multiLevelType w:val="hybridMultilevel"/>
    <w:tmpl w:val="2146D13C"/>
    <w:lvl w:ilvl="0" w:tplc="3174B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F403E0"/>
    <w:multiLevelType w:val="multilevel"/>
    <w:tmpl w:val="C338D4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89A0AFE"/>
    <w:multiLevelType w:val="multilevel"/>
    <w:tmpl w:val="18F4A5AC"/>
    <w:numStyleLink w:val="FoFCoLOP"/>
  </w:abstractNum>
  <w:abstractNum w:abstractNumId="33" w15:restartNumberingAfterBreak="0">
    <w:nsid w:val="78A128C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D531D93"/>
    <w:multiLevelType w:val="hybridMultilevel"/>
    <w:tmpl w:val="080C0698"/>
    <w:lvl w:ilvl="0" w:tplc="9EFEDF6E">
      <w:start w:val="1"/>
      <w:numFmt w:val="decimal"/>
      <w:lvlText w:val="(%1)"/>
      <w:lvlJc w:val="left"/>
      <w:pPr>
        <w:ind w:left="1080" w:hanging="360"/>
      </w:pPr>
      <w:rPr>
        <w:rFonts w:cs="Book Antiqu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B407C1"/>
    <w:multiLevelType w:val="hybridMultilevel"/>
    <w:tmpl w:val="634E29DE"/>
    <w:lvl w:ilvl="0" w:tplc="D72E8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54526949">
    <w:abstractNumId w:val="26"/>
  </w:num>
  <w:num w:numId="2" w16cid:durableId="140774137">
    <w:abstractNumId w:val="4"/>
  </w:num>
  <w:num w:numId="3" w16cid:durableId="1898543446">
    <w:abstractNumId w:val="25"/>
  </w:num>
  <w:num w:numId="4" w16cid:durableId="701521005">
    <w:abstractNumId w:val="5"/>
  </w:num>
  <w:num w:numId="5" w16cid:durableId="2017029027">
    <w:abstractNumId w:val="32"/>
  </w:num>
  <w:num w:numId="6" w16cid:durableId="973756952">
    <w:abstractNumId w:val="15"/>
  </w:num>
  <w:num w:numId="7" w16cid:durableId="827667741">
    <w:abstractNumId w:val="9"/>
  </w:num>
  <w:num w:numId="8" w16cid:durableId="1760327020">
    <w:abstractNumId w:val="31"/>
  </w:num>
  <w:num w:numId="9" w16cid:durableId="816924040">
    <w:abstractNumId w:val="0"/>
  </w:num>
  <w:num w:numId="10" w16cid:durableId="1817916489">
    <w:abstractNumId w:val="8"/>
  </w:num>
  <w:num w:numId="11" w16cid:durableId="291985460">
    <w:abstractNumId w:val="10"/>
  </w:num>
  <w:num w:numId="12" w16cid:durableId="467941983">
    <w:abstractNumId w:val="7"/>
  </w:num>
  <w:num w:numId="13" w16cid:durableId="712996464">
    <w:abstractNumId w:val="11"/>
  </w:num>
  <w:num w:numId="14" w16cid:durableId="1303778653">
    <w:abstractNumId w:val="12"/>
  </w:num>
  <w:num w:numId="15" w16cid:durableId="1714382259">
    <w:abstractNumId w:val="28"/>
  </w:num>
  <w:num w:numId="16" w16cid:durableId="5481076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3114753">
    <w:abstractNumId w:val="17"/>
  </w:num>
  <w:num w:numId="18" w16cid:durableId="1333295418">
    <w:abstractNumId w:val="22"/>
  </w:num>
  <w:num w:numId="19" w16cid:durableId="1327587505">
    <w:abstractNumId w:val="23"/>
  </w:num>
  <w:num w:numId="20" w16cid:durableId="783161391">
    <w:abstractNumId w:val="20"/>
  </w:num>
  <w:num w:numId="21" w16cid:durableId="453449818">
    <w:abstractNumId w:val="19"/>
  </w:num>
  <w:num w:numId="22" w16cid:durableId="258415014">
    <w:abstractNumId w:val="3"/>
  </w:num>
  <w:num w:numId="23" w16cid:durableId="1204829929">
    <w:abstractNumId w:val="21"/>
  </w:num>
  <w:num w:numId="24" w16cid:durableId="592199824">
    <w:abstractNumId w:val="33"/>
  </w:num>
  <w:num w:numId="25" w16cid:durableId="343241483">
    <w:abstractNumId w:val="29"/>
  </w:num>
  <w:num w:numId="26" w16cid:durableId="2094424240">
    <w:abstractNumId w:val="18"/>
  </w:num>
  <w:num w:numId="27" w16cid:durableId="495464029">
    <w:abstractNumId w:val="14"/>
  </w:num>
  <w:num w:numId="28" w16cid:durableId="1700397115">
    <w:abstractNumId w:val="34"/>
  </w:num>
  <w:num w:numId="29" w16cid:durableId="1583634859">
    <w:abstractNumId w:val="32"/>
    <w:lvlOverride w:ilvl="0">
      <w:lvl w:ilvl="0">
        <w:start w:val="1"/>
        <w:numFmt w:val="decimal"/>
        <w:pStyle w:val="OP"/>
        <w:lvlText w:val="%1."/>
        <w:lvlJc w:val="right"/>
        <w:pPr>
          <w:ind w:left="0" w:firstLine="540"/>
        </w:pPr>
        <w:rPr>
          <w:rFonts w:ascii="Book Antiqua" w:hAnsi="Book Antiqua" w:hint="default"/>
          <w:sz w:val="26"/>
          <w:szCs w:val="26"/>
        </w:rPr>
      </w:lvl>
    </w:lvlOverride>
  </w:num>
  <w:num w:numId="30" w16cid:durableId="1172527472">
    <w:abstractNumId w:val="1"/>
  </w:num>
  <w:num w:numId="31" w16cid:durableId="532041118">
    <w:abstractNumId w:val="35"/>
  </w:num>
  <w:num w:numId="32" w16cid:durableId="1103962198">
    <w:abstractNumId w:val="27"/>
  </w:num>
  <w:num w:numId="33" w16cid:durableId="803691224">
    <w:abstractNumId w:val="6"/>
  </w:num>
  <w:num w:numId="34" w16cid:durableId="1715806681">
    <w:abstractNumId w:val="13"/>
  </w:num>
  <w:num w:numId="35" w16cid:durableId="1289430220">
    <w:abstractNumId w:val="16"/>
  </w:num>
  <w:num w:numId="36" w16cid:durableId="12422528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05804075">
    <w:abstractNumId w:val="24"/>
  </w:num>
  <w:num w:numId="38" w16cid:durableId="249512836">
    <w:abstractNumId w:val="30"/>
  </w:num>
  <w:num w:numId="39" w16cid:durableId="65418193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B7"/>
    <w:rsid w:val="00000F6A"/>
    <w:rsid w:val="0000116D"/>
    <w:rsid w:val="00002A7E"/>
    <w:rsid w:val="00003EA2"/>
    <w:rsid w:val="00004171"/>
    <w:rsid w:val="000055F0"/>
    <w:rsid w:val="00014EF7"/>
    <w:rsid w:val="000230AD"/>
    <w:rsid w:val="00030252"/>
    <w:rsid w:val="00030D72"/>
    <w:rsid w:val="000348FA"/>
    <w:rsid w:val="00040049"/>
    <w:rsid w:val="00044DBD"/>
    <w:rsid w:val="000543CE"/>
    <w:rsid w:val="00060480"/>
    <w:rsid w:val="00060CBE"/>
    <w:rsid w:val="0007115A"/>
    <w:rsid w:val="000772ED"/>
    <w:rsid w:val="000818F9"/>
    <w:rsid w:val="000842C2"/>
    <w:rsid w:val="000870C6"/>
    <w:rsid w:val="00087A26"/>
    <w:rsid w:val="00091A80"/>
    <w:rsid w:val="000934D1"/>
    <w:rsid w:val="000973C8"/>
    <w:rsid w:val="000A2AA9"/>
    <w:rsid w:val="000A5273"/>
    <w:rsid w:val="000A56F2"/>
    <w:rsid w:val="000A6E05"/>
    <w:rsid w:val="000A7B4A"/>
    <w:rsid w:val="000B0DD9"/>
    <w:rsid w:val="000B12FA"/>
    <w:rsid w:val="000B2AD2"/>
    <w:rsid w:val="000B4782"/>
    <w:rsid w:val="000B5726"/>
    <w:rsid w:val="000B693D"/>
    <w:rsid w:val="000B7DE4"/>
    <w:rsid w:val="000C08BF"/>
    <w:rsid w:val="000C3B9A"/>
    <w:rsid w:val="000C7DD7"/>
    <w:rsid w:val="000D2419"/>
    <w:rsid w:val="000D25A8"/>
    <w:rsid w:val="000E270A"/>
    <w:rsid w:val="000E4C53"/>
    <w:rsid w:val="000E7376"/>
    <w:rsid w:val="000F1EC7"/>
    <w:rsid w:val="000F48C6"/>
    <w:rsid w:val="000F79B2"/>
    <w:rsid w:val="00102DFA"/>
    <w:rsid w:val="0010545D"/>
    <w:rsid w:val="00121089"/>
    <w:rsid w:val="00123B27"/>
    <w:rsid w:val="00132248"/>
    <w:rsid w:val="00133FAD"/>
    <w:rsid w:val="00134501"/>
    <w:rsid w:val="00134BDD"/>
    <w:rsid w:val="00136F55"/>
    <w:rsid w:val="00140BDD"/>
    <w:rsid w:val="00140C7F"/>
    <w:rsid w:val="00152336"/>
    <w:rsid w:val="001559DF"/>
    <w:rsid w:val="00163526"/>
    <w:rsid w:val="0016483E"/>
    <w:rsid w:val="0016760B"/>
    <w:rsid w:val="00170FBB"/>
    <w:rsid w:val="00175170"/>
    <w:rsid w:val="00180E22"/>
    <w:rsid w:val="00184A8F"/>
    <w:rsid w:val="001869AC"/>
    <w:rsid w:val="00190BC3"/>
    <w:rsid w:val="00195ACE"/>
    <w:rsid w:val="00196EE1"/>
    <w:rsid w:val="001978A8"/>
    <w:rsid w:val="001A45A6"/>
    <w:rsid w:val="001B04A9"/>
    <w:rsid w:val="001B058C"/>
    <w:rsid w:val="001B0708"/>
    <w:rsid w:val="001B4F21"/>
    <w:rsid w:val="001B61E2"/>
    <w:rsid w:val="001C363F"/>
    <w:rsid w:val="001C3FC6"/>
    <w:rsid w:val="001C7632"/>
    <w:rsid w:val="001D143A"/>
    <w:rsid w:val="001D38BF"/>
    <w:rsid w:val="001D763A"/>
    <w:rsid w:val="001E2A62"/>
    <w:rsid w:val="001E3ECA"/>
    <w:rsid w:val="001E7D21"/>
    <w:rsid w:val="001F237C"/>
    <w:rsid w:val="001F2819"/>
    <w:rsid w:val="001F75D5"/>
    <w:rsid w:val="002027D4"/>
    <w:rsid w:val="002036EB"/>
    <w:rsid w:val="002043EC"/>
    <w:rsid w:val="00205C46"/>
    <w:rsid w:val="00215570"/>
    <w:rsid w:val="00216AF0"/>
    <w:rsid w:val="0022306E"/>
    <w:rsid w:val="00224DAA"/>
    <w:rsid w:val="00225A85"/>
    <w:rsid w:val="0022688B"/>
    <w:rsid w:val="00227222"/>
    <w:rsid w:val="002364EE"/>
    <w:rsid w:val="00242732"/>
    <w:rsid w:val="00243DC0"/>
    <w:rsid w:val="00245096"/>
    <w:rsid w:val="00247477"/>
    <w:rsid w:val="00252F59"/>
    <w:rsid w:val="00255592"/>
    <w:rsid w:val="00262B57"/>
    <w:rsid w:val="00267369"/>
    <w:rsid w:val="00270440"/>
    <w:rsid w:val="00270CD7"/>
    <w:rsid w:val="0027137C"/>
    <w:rsid w:val="00282FC6"/>
    <w:rsid w:val="00284D8D"/>
    <w:rsid w:val="00287415"/>
    <w:rsid w:val="00287BC5"/>
    <w:rsid w:val="0029137D"/>
    <w:rsid w:val="00293DEE"/>
    <w:rsid w:val="00295AF4"/>
    <w:rsid w:val="0029645B"/>
    <w:rsid w:val="00296550"/>
    <w:rsid w:val="00296743"/>
    <w:rsid w:val="002A0B5D"/>
    <w:rsid w:val="002A1403"/>
    <w:rsid w:val="002A62A0"/>
    <w:rsid w:val="002B19DD"/>
    <w:rsid w:val="002B43DF"/>
    <w:rsid w:val="002B60E2"/>
    <w:rsid w:val="002B7A4E"/>
    <w:rsid w:val="002C42E0"/>
    <w:rsid w:val="002C7FE9"/>
    <w:rsid w:val="002D0DC5"/>
    <w:rsid w:val="002D1029"/>
    <w:rsid w:val="002D4EFD"/>
    <w:rsid w:val="002D5E6C"/>
    <w:rsid w:val="002D6DEE"/>
    <w:rsid w:val="002E224B"/>
    <w:rsid w:val="002E3D49"/>
    <w:rsid w:val="002E5435"/>
    <w:rsid w:val="002F3A07"/>
    <w:rsid w:val="002F3CA5"/>
    <w:rsid w:val="00305204"/>
    <w:rsid w:val="00310317"/>
    <w:rsid w:val="00311064"/>
    <w:rsid w:val="00312AA0"/>
    <w:rsid w:val="00315A97"/>
    <w:rsid w:val="00316071"/>
    <w:rsid w:val="003212ED"/>
    <w:rsid w:val="00323C77"/>
    <w:rsid w:val="00324570"/>
    <w:rsid w:val="003340D9"/>
    <w:rsid w:val="00336D84"/>
    <w:rsid w:val="00343E5C"/>
    <w:rsid w:val="00344FB8"/>
    <w:rsid w:val="00347D31"/>
    <w:rsid w:val="00352D3C"/>
    <w:rsid w:val="00353D2C"/>
    <w:rsid w:val="0036017B"/>
    <w:rsid w:val="003616BD"/>
    <w:rsid w:val="00362755"/>
    <w:rsid w:val="0036297A"/>
    <w:rsid w:val="00365717"/>
    <w:rsid w:val="0036688A"/>
    <w:rsid w:val="00367B0D"/>
    <w:rsid w:val="00367E48"/>
    <w:rsid w:val="00373B93"/>
    <w:rsid w:val="00374521"/>
    <w:rsid w:val="00380CD1"/>
    <w:rsid w:val="0038609C"/>
    <w:rsid w:val="00392249"/>
    <w:rsid w:val="00392CF4"/>
    <w:rsid w:val="003A02CA"/>
    <w:rsid w:val="003A0BCC"/>
    <w:rsid w:val="003A38F0"/>
    <w:rsid w:val="003A39A6"/>
    <w:rsid w:val="003B2C05"/>
    <w:rsid w:val="003C0464"/>
    <w:rsid w:val="003C10A9"/>
    <w:rsid w:val="003C15F0"/>
    <w:rsid w:val="003D033D"/>
    <w:rsid w:val="003E407D"/>
    <w:rsid w:val="003E4557"/>
    <w:rsid w:val="003E66F9"/>
    <w:rsid w:val="003E7313"/>
    <w:rsid w:val="003F069A"/>
    <w:rsid w:val="003F3F57"/>
    <w:rsid w:val="003F4329"/>
    <w:rsid w:val="0040159A"/>
    <w:rsid w:val="00404239"/>
    <w:rsid w:val="0040440E"/>
    <w:rsid w:val="00412534"/>
    <w:rsid w:val="00412C83"/>
    <w:rsid w:val="00412D7B"/>
    <w:rsid w:val="004246E2"/>
    <w:rsid w:val="00426014"/>
    <w:rsid w:val="00426681"/>
    <w:rsid w:val="004274FB"/>
    <w:rsid w:val="00427D05"/>
    <w:rsid w:val="0043081D"/>
    <w:rsid w:val="0043111F"/>
    <w:rsid w:val="00435415"/>
    <w:rsid w:val="00437D31"/>
    <w:rsid w:val="004403D8"/>
    <w:rsid w:val="00441FF0"/>
    <w:rsid w:val="00444AEF"/>
    <w:rsid w:val="0044617E"/>
    <w:rsid w:val="00460B7D"/>
    <w:rsid w:val="004614C8"/>
    <w:rsid w:val="0046386C"/>
    <w:rsid w:val="00464A40"/>
    <w:rsid w:val="00465F14"/>
    <w:rsid w:val="00471781"/>
    <w:rsid w:val="00471AFA"/>
    <w:rsid w:val="00471BF4"/>
    <w:rsid w:val="00480C06"/>
    <w:rsid w:val="00480CB0"/>
    <w:rsid w:val="004A4E54"/>
    <w:rsid w:val="004A752E"/>
    <w:rsid w:val="004B083D"/>
    <w:rsid w:val="004B34EA"/>
    <w:rsid w:val="004B46BA"/>
    <w:rsid w:val="004B5494"/>
    <w:rsid w:val="004C138F"/>
    <w:rsid w:val="004C2711"/>
    <w:rsid w:val="004C7A2B"/>
    <w:rsid w:val="004C7D3A"/>
    <w:rsid w:val="004D07E1"/>
    <w:rsid w:val="004D5041"/>
    <w:rsid w:val="004D5D8A"/>
    <w:rsid w:val="004E70D3"/>
    <w:rsid w:val="004F41B4"/>
    <w:rsid w:val="005018A8"/>
    <w:rsid w:val="00502045"/>
    <w:rsid w:val="00502227"/>
    <w:rsid w:val="00504A3C"/>
    <w:rsid w:val="00505A39"/>
    <w:rsid w:val="00505F24"/>
    <w:rsid w:val="00510618"/>
    <w:rsid w:val="00513BB8"/>
    <w:rsid w:val="0051615E"/>
    <w:rsid w:val="00516BA2"/>
    <w:rsid w:val="005240BF"/>
    <w:rsid w:val="005305FC"/>
    <w:rsid w:val="00535DD7"/>
    <w:rsid w:val="00551165"/>
    <w:rsid w:val="0055243E"/>
    <w:rsid w:val="00554450"/>
    <w:rsid w:val="0057424A"/>
    <w:rsid w:val="00577BD9"/>
    <w:rsid w:val="00585390"/>
    <w:rsid w:val="00585420"/>
    <w:rsid w:val="0059012D"/>
    <w:rsid w:val="005939A5"/>
    <w:rsid w:val="005941A3"/>
    <w:rsid w:val="00594B23"/>
    <w:rsid w:val="00594CD7"/>
    <w:rsid w:val="005959DF"/>
    <w:rsid w:val="005A148C"/>
    <w:rsid w:val="005A21D6"/>
    <w:rsid w:val="005A3D7D"/>
    <w:rsid w:val="005B2EAD"/>
    <w:rsid w:val="005B428F"/>
    <w:rsid w:val="005C4335"/>
    <w:rsid w:val="005C58FA"/>
    <w:rsid w:val="005C77FF"/>
    <w:rsid w:val="005D394B"/>
    <w:rsid w:val="005D3D2D"/>
    <w:rsid w:val="005D6DCD"/>
    <w:rsid w:val="005E25DF"/>
    <w:rsid w:val="005E7E5D"/>
    <w:rsid w:val="005E7EA3"/>
    <w:rsid w:val="005F0029"/>
    <w:rsid w:val="005F0170"/>
    <w:rsid w:val="006001A2"/>
    <w:rsid w:val="00603238"/>
    <w:rsid w:val="006032D9"/>
    <w:rsid w:val="00603A69"/>
    <w:rsid w:val="00604727"/>
    <w:rsid w:val="00615F72"/>
    <w:rsid w:val="00623C00"/>
    <w:rsid w:val="006243A0"/>
    <w:rsid w:val="00632154"/>
    <w:rsid w:val="00632190"/>
    <w:rsid w:val="00632207"/>
    <w:rsid w:val="0063491C"/>
    <w:rsid w:val="0063638C"/>
    <w:rsid w:val="00637DD4"/>
    <w:rsid w:val="00641A5C"/>
    <w:rsid w:val="0065017D"/>
    <w:rsid w:val="0065245C"/>
    <w:rsid w:val="00653182"/>
    <w:rsid w:val="00655B8E"/>
    <w:rsid w:val="0065702A"/>
    <w:rsid w:val="00657633"/>
    <w:rsid w:val="00660E03"/>
    <w:rsid w:val="00661AFE"/>
    <w:rsid w:val="00673382"/>
    <w:rsid w:val="006754BC"/>
    <w:rsid w:val="00676171"/>
    <w:rsid w:val="00676DFA"/>
    <w:rsid w:val="006774C8"/>
    <w:rsid w:val="00680F19"/>
    <w:rsid w:val="00681313"/>
    <w:rsid w:val="00687026"/>
    <w:rsid w:val="00687AC2"/>
    <w:rsid w:val="006A2B2B"/>
    <w:rsid w:val="006A355E"/>
    <w:rsid w:val="006A6E5D"/>
    <w:rsid w:val="006C1F10"/>
    <w:rsid w:val="006E004D"/>
    <w:rsid w:val="006E4F0D"/>
    <w:rsid w:val="006E5E28"/>
    <w:rsid w:val="006E6574"/>
    <w:rsid w:val="006E774A"/>
    <w:rsid w:val="007001D0"/>
    <w:rsid w:val="007003BE"/>
    <w:rsid w:val="0070436A"/>
    <w:rsid w:val="007072F3"/>
    <w:rsid w:val="00713E48"/>
    <w:rsid w:val="00714CF2"/>
    <w:rsid w:val="007156B9"/>
    <w:rsid w:val="007165EA"/>
    <w:rsid w:val="007168B9"/>
    <w:rsid w:val="00717F7C"/>
    <w:rsid w:val="007207CB"/>
    <w:rsid w:val="00720817"/>
    <w:rsid w:val="0072267B"/>
    <w:rsid w:val="00722850"/>
    <w:rsid w:val="00722AD9"/>
    <w:rsid w:val="0073066D"/>
    <w:rsid w:val="0073337B"/>
    <w:rsid w:val="0073353F"/>
    <w:rsid w:val="00735A91"/>
    <w:rsid w:val="00740E68"/>
    <w:rsid w:val="00742A39"/>
    <w:rsid w:val="00742E45"/>
    <w:rsid w:val="007447AF"/>
    <w:rsid w:val="00745E46"/>
    <w:rsid w:val="007467A2"/>
    <w:rsid w:val="00750816"/>
    <w:rsid w:val="0076236A"/>
    <w:rsid w:val="007657C1"/>
    <w:rsid w:val="00767F50"/>
    <w:rsid w:val="00770B2F"/>
    <w:rsid w:val="00772CAE"/>
    <w:rsid w:val="0077755F"/>
    <w:rsid w:val="0078216D"/>
    <w:rsid w:val="00784284"/>
    <w:rsid w:val="00785848"/>
    <w:rsid w:val="00793EB5"/>
    <w:rsid w:val="007A1166"/>
    <w:rsid w:val="007A406D"/>
    <w:rsid w:val="007A4296"/>
    <w:rsid w:val="007A62B0"/>
    <w:rsid w:val="007A7127"/>
    <w:rsid w:val="007C4C02"/>
    <w:rsid w:val="007C5A0C"/>
    <w:rsid w:val="007C6E2E"/>
    <w:rsid w:val="007C7002"/>
    <w:rsid w:val="007D5461"/>
    <w:rsid w:val="007D5C1A"/>
    <w:rsid w:val="007E0FEE"/>
    <w:rsid w:val="007E1A7E"/>
    <w:rsid w:val="007F2017"/>
    <w:rsid w:val="007F2492"/>
    <w:rsid w:val="007F28EA"/>
    <w:rsid w:val="007F7C0E"/>
    <w:rsid w:val="00800AA5"/>
    <w:rsid w:val="0080390E"/>
    <w:rsid w:val="00805B7D"/>
    <w:rsid w:val="008123FD"/>
    <w:rsid w:val="00813952"/>
    <w:rsid w:val="008159CF"/>
    <w:rsid w:val="00815A78"/>
    <w:rsid w:val="00816E05"/>
    <w:rsid w:val="00831A3F"/>
    <w:rsid w:val="008338DA"/>
    <w:rsid w:val="008339BB"/>
    <w:rsid w:val="00834795"/>
    <w:rsid w:val="008356B2"/>
    <w:rsid w:val="008367DF"/>
    <w:rsid w:val="00840C32"/>
    <w:rsid w:val="00847B48"/>
    <w:rsid w:val="00852374"/>
    <w:rsid w:val="00855C40"/>
    <w:rsid w:val="00856C6F"/>
    <w:rsid w:val="0086419A"/>
    <w:rsid w:val="00864C09"/>
    <w:rsid w:val="008670F3"/>
    <w:rsid w:val="0087023B"/>
    <w:rsid w:val="00872CBD"/>
    <w:rsid w:val="00874693"/>
    <w:rsid w:val="0087552F"/>
    <w:rsid w:val="00875B3A"/>
    <w:rsid w:val="00876ADC"/>
    <w:rsid w:val="00877438"/>
    <w:rsid w:val="00877C1F"/>
    <w:rsid w:val="008807B8"/>
    <w:rsid w:val="00881CEB"/>
    <w:rsid w:val="00883471"/>
    <w:rsid w:val="0088751F"/>
    <w:rsid w:val="00890BB4"/>
    <w:rsid w:val="00892FEA"/>
    <w:rsid w:val="008A15DD"/>
    <w:rsid w:val="008A179F"/>
    <w:rsid w:val="008A56B9"/>
    <w:rsid w:val="008B0864"/>
    <w:rsid w:val="008B2176"/>
    <w:rsid w:val="008B46EC"/>
    <w:rsid w:val="008B7257"/>
    <w:rsid w:val="008C39A8"/>
    <w:rsid w:val="008C3CB7"/>
    <w:rsid w:val="008C3FCA"/>
    <w:rsid w:val="008C7413"/>
    <w:rsid w:val="008D16B7"/>
    <w:rsid w:val="008D2A60"/>
    <w:rsid w:val="008D4123"/>
    <w:rsid w:val="008D4321"/>
    <w:rsid w:val="008D4E4F"/>
    <w:rsid w:val="008D5B3E"/>
    <w:rsid w:val="008D7713"/>
    <w:rsid w:val="008E67B0"/>
    <w:rsid w:val="008E6AE6"/>
    <w:rsid w:val="008E7075"/>
    <w:rsid w:val="008F0116"/>
    <w:rsid w:val="008F143D"/>
    <w:rsid w:val="008F14A2"/>
    <w:rsid w:val="008F3C18"/>
    <w:rsid w:val="00910D21"/>
    <w:rsid w:val="009129AD"/>
    <w:rsid w:val="00922521"/>
    <w:rsid w:val="009232EB"/>
    <w:rsid w:val="009234BA"/>
    <w:rsid w:val="009251AF"/>
    <w:rsid w:val="00926239"/>
    <w:rsid w:val="009322A8"/>
    <w:rsid w:val="00932548"/>
    <w:rsid w:val="00932865"/>
    <w:rsid w:val="00935723"/>
    <w:rsid w:val="00941D0D"/>
    <w:rsid w:val="009459FF"/>
    <w:rsid w:val="0094712F"/>
    <w:rsid w:val="00947B08"/>
    <w:rsid w:val="00950783"/>
    <w:rsid w:val="00953157"/>
    <w:rsid w:val="00954CAB"/>
    <w:rsid w:val="0096424B"/>
    <w:rsid w:val="009652BA"/>
    <w:rsid w:val="009659BD"/>
    <w:rsid w:val="00966ED2"/>
    <w:rsid w:val="00971E21"/>
    <w:rsid w:val="00974115"/>
    <w:rsid w:val="00975E22"/>
    <w:rsid w:val="00976AA2"/>
    <w:rsid w:val="00977D6F"/>
    <w:rsid w:val="0098138E"/>
    <w:rsid w:val="00986473"/>
    <w:rsid w:val="0098655A"/>
    <w:rsid w:val="00986EAA"/>
    <w:rsid w:val="00987519"/>
    <w:rsid w:val="009970E8"/>
    <w:rsid w:val="009A3B79"/>
    <w:rsid w:val="009A6E36"/>
    <w:rsid w:val="009B5735"/>
    <w:rsid w:val="009B5ECC"/>
    <w:rsid w:val="009B6774"/>
    <w:rsid w:val="009C130F"/>
    <w:rsid w:val="009D30C1"/>
    <w:rsid w:val="009D3992"/>
    <w:rsid w:val="009D45C8"/>
    <w:rsid w:val="009D464F"/>
    <w:rsid w:val="009D63C6"/>
    <w:rsid w:val="009E200B"/>
    <w:rsid w:val="009E2D15"/>
    <w:rsid w:val="009E5224"/>
    <w:rsid w:val="009E6052"/>
    <w:rsid w:val="009E638B"/>
    <w:rsid w:val="009E7C7F"/>
    <w:rsid w:val="00A02CD2"/>
    <w:rsid w:val="00A06DCF"/>
    <w:rsid w:val="00A13BF1"/>
    <w:rsid w:val="00A15D6D"/>
    <w:rsid w:val="00A17CE0"/>
    <w:rsid w:val="00A23D48"/>
    <w:rsid w:val="00A4054C"/>
    <w:rsid w:val="00A42306"/>
    <w:rsid w:val="00A44E8D"/>
    <w:rsid w:val="00A46EA8"/>
    <w:rsid w:val="00A5320F"/>
    <w:rsid w:val="00A55ACD"/>
    <w:rsid w:val="00A61F5B"/>
    <w:rsid w:val="00A65170"/>
    <w:rsid w:val="00A71B1E"/>
    <w:rsid w:val="00A74507"/>
    <w:rsid w:val="00A74519"/>
    <w:rsid w:val="00A75544"/>
    <w:rsid w:val="00A83F80"/>
    <w:rsid w:val="00A84666"/>
    <w:rsid w:val="00A84EDB"/>
    <w:rsid w:val="00A85D27"/>
    <w:rsid w:val="00A903BD"/>
    <w:rsid w:val="00A92366"/>
    <w:rsid w:val="00A928D2"/>
    <w:rsid w:val="00A9389F"/>
    <w:rsid w:val="00AA5087"/>
    <w:rsid w:val="00AB32EC"/>
    <w:rsid w:val="00AB5B18"/>
    <w:rsid w:val="00AB6F92"/>
    <w:rsid w:val="00AB7269"/>
    <w:rsid w:val="00AB7875"/>
    <w:rsid w:val="00AB7FDD"/>
    <w:rsid w:val="00AC121E"/>
    <w:rsid w:val="00AC639D"/>
    <w:rsid w:val="00AC68EE"/>
    <w:rsid w:val="00AD1EF6"/>
    <w:rsid w:val="00AE0643"/>
    <w:rsid w:val="00AE3582"/>
    <w:rsid w:val="00B01F7E"/>
    <w:rsid w:val="00B0301C"/>
    <w:rsid w:val="00B07F6B"/>
    <w:rsid w:val="00B12DF6"/>
    <w:rsid w:val="00B1416C"/>
    <w:rsid w:val="00B14C85"/>
    <w:rsid w:val="00B16C2A"/>
    <w:rsid w:val="00B224A9"/>
    <w:rsid w:val="00B248EF"/>
    <w:rsid w:val="00B24CB4"/>
    <w:rsid w:val="00B3087D"/>
    <w:rsid w:val="00B3310B"/>
    <w:rsid w:val="00B34794"/>
    <w:rsid w:val="00B44576"/>
    <w:rsid w:val="00B463EF"/>
    <w:rsid w:val="00B5010D"/>
    <w:rsid w:val="00B553D9"/>
    <w:rsid w:val="00B55ABE"/>
    <w:rsid w:val="00B578C9"/>
    <w:rsid w:val="00B60421"/>
    <w:rsid w:val="00B6421D"/>
    <w:rsid w:val="00B674EA"/>
    <w:rsid w:val="00B7579E"/>
    <w:rsid w:val="00B770B1"/>
    <w:rsid w:val="00B803E0"/>
    <w:rsid w:val="00B81EB6"/>
    <w:rsid w:val="00BA5205"/>
    <w:rsid w:val="00BA7CE3"/>
    <w:rsid w:val="00BB0243"/>
    <w:rsid w:val="00BB0E4F"/>
    <w:rsid w:val="00BB4F2C"/>
    <w:rsid w:val="00BB780E"/>
    <w:rsid w:val="00BC347A"/>
    <w:rsid w:val="00BC48B2"/>
    <w:rsid w:val="00BC5284"/>
    <w:rsid w:val="00BD1E2B"/>
    <w:rsid w:val="00BD41B6"/>
    <w:rsid w:val="00BD5924"/>
    <w:rsid w:val="00BD74E3"/>
    <w:rsid w:val="00BE0889"/>
    <w:rsid w:val="00BE25A2"/>
    <w:rsid w:val="00BE269F"/>
    <w:rsid w:val="00BE3742"/>
    <w:rsid w:val="00BE529D"/>
    <w:rsid w:val="00BF19E7"/>
    <w:rsid w:val="00BF2D17"/>
    <w:rsid w:val="00BF5492"/>
    <w:rsid w:val="00C00484"/>
    <w:rsid w:val="00C10B5F"/>
    <w:rsid w:val="00C132E3"/>
    <w:rsid w:val="00C14480"/>
    <w:rsid w:val="00C175C7"/>
    <w:rsid w:val="00C17C10"/>
    <w:rsid w:val="00C20120"/>
    <w:rsid w:val="00C22D52"/>
    <w:rsid w:val="00C26CEB"/>
    <w:rsid w:val="00C3094A"/>
    <w:rsid w:val="00C30B3C"/>
    <w:rsid w:val="00C35175"/>
    <w:rsid w:val="00C365FE"/>
    <w:rsid w:val="00C37148"/>
    <w:rsid w:val="00C3722A"/>
    <w:rsid w:val="00C40406"/>
    <w:rsid w:val="00C47506"/>
    <w:rsid w:val="00C47EEE"/>
    <w:rsid w:val="00C6263D"/>
    <w:rsid w:val="00C66C9C"/>
    <w:rsid w:val="00C7086B"/>
    <w:rsid w:val="00C7133E"/>
    <w:rsid w:val="00C810E2"/>
    <w:rsid w:val="00C84706"/>
    <w:rsid w:val="00C8596B"/>
    <w:rsid w:val="00C86EDE"/>
    <w:rsid w:val="00C878D5"/>
    <w:rsid w:val="00C9033B"/>
    <w:rsid w:val="00C90B85"/>
    <w:rsid w:val="00C913A1"/>
    <w:rsid w:val="00CA3C13"/>
    <w:rsid w:val="00CA3D63"/>
    <w:rsid w:val="00CA46DC"/>
    <w:rsid w:val="00CA6016"/>
    <w:rsid w:val="00CB429C"/>
    <w:rsid w:val="00CB558B"/>
    <w:rsid w:val="00CB791A"/>
    <w:rsid w:val="00CC04E5"/>
    <w:rsid w:val="00CC1E5A"/>
    <w:rsid w:val="00CC3EDB"/>
    <w:rsid w:val="00CC65A6"/>
    <w:rsid w:val="00CC6A99"/>
    <w:rsid w:val="00CD4D66"/>
    <w:rsid w:val="00CE0E29"/>
    <w:rsid w:val="00CE2378"/>
    <w:rsid w:val="00CF1FED"/>
    <w:rsid w:val="00CF2144"/>
    <w:rsid w:val="00CF3145"/>
    <w:rsid w:val="00D00AA3"/>
    <w:rsid w:val="00D0504E"/>
    <w:rsid w:val="00D05AC0"/>
    <w:rsid w:val="00D05F00"/>
    <w:rsid w:val="00D07F73"/>
    <w:rsid w:val="00D07F87"/>
    <w:rsid w:val="00D10B5E"/>
    <w:rsid w:val="00D14844"/>
    <w:rsid w:val="00D15373"/>
    <w:rsid w:val="00D1771B"/>
    <w:rsid w:val="00D2041C"/>
    <w:rsid w:val="00D25ADE"/>
    <w:rsid w:val="00D30A02"/>
    <w:rsid w:val="00D351D7"/>
    <w:rsid w:val="00D41656"/>
    <w:rsid w:val="00D43297"/>
    <w:rsid w:val="00D44471"/>
    <w:rsid w:val="00D44DB6"/>
    <w:rsid w:val="00D50119"/>
    <w:rsid w:val="00D63AF5"/>
    <w:rsid w:val="00D6534C"/>
    <w:rsid w:val="00D66B6E"/>
    <w:rsid w:val="00D67793"/>
    <w:rsid w:val="00D7096F"/>
    <w:rsid w:val="00D71C85"/>
    <w:rsid w:val="00D72801"/>
    <w:rsid w:val="00D82A43"/>
    <w:rsid w:val="00D902EC"/>
    <w:rsid w:val="00D948AF"/>
    <w:rsid w:val="00D958E4"/>
    <w:rsid w:val="00D97123"/>
    <w:rsid w:val="00DA458A"/>
    <w:rsid w:val="00DA6156"/>
    <w:rsid w:val="00DA7998"/>
    <w:rsid w:val="00DA7B5D"/>
    <w:rsid w:val="00DB424B"/>
    <w:rsid w:val="00DB46FA"/>
    <w:rsid w:val="00DB7A61"/>
    <w:rsid w:val="00DC1E5D"/>
    <w:rsid w:val="00DC4120"/>
    <w:rsid w:val="00DC4B95"/>
    <w:rsid w:val="00DC7ACC"/>
    <w:rsid w:val="00DD3D37"/>
    <w:rsid w:val="00DE3355"/>
    <w:rsid w:val="00DE6FFB"/>
    <w:rsid w:val="00DF4F22"/>
    <w:rsid w:val="00DF58E7"/>
    <w:rsid w:val="00DF5C44"/>
    <w:rsid w:val="00DF6CCF"/>
    <w:rsid w:val="00E02DEF"/>
    <w:rsid w:val="00E02F50"/>
    <w:rsid w:val="00E046A2"/>
    <w:rsid w:val="00E11875"/>
    <w:rsid w:val="00E11876"/>
    <w:rsid w:val="00E12C51"/>
    <w:rsid w:val="00E17D1C"/>
    <w:rsid w:val="00E208AA"/>
    <w:rsid w:val="00E21356"/>
    <w:rsid w:val="00E23CBB"/>
    <w:rsid w:val="00E252A3"/>
    <w:rsid w:val="00E25BCE"/>
    <w:rsid w:val="00E302C7"/>
    <w:rsid w:val="00E33D15"/>
    <w:rsid w:val="00E3596C"/>
    <w:rsid w:val="00E37B59"/>
    <w:rsid w:val="00E40144"/>
    <w:rsid w:val="00E41E16"/>
    <w:rsid w:val="00E44D0A"/>
    <w:rsid w:val="00E47FF5"/>
    <w:rsid w:val="00E53438"/>
    <w:rsid w:val="00E56F98"/>
    <w:rsid w:val="00E67131"/>
    <w:rsid w:val="00E725FC"/>
    <w:rsid w:val="00E80665"/>
    <w:rsid w:val="00E81669"/>
    <w:rsid w:val="00E86F8F"/>
    <w:rsid w:val="00E92BAA"/>
    <w:rsid w:val="00EA04E5"/>
    <w:rsid w:val="00EA36C6"/>
    <w:rsid w:val="00EA51AE"/>
    <w:rsid w:val="00EB0D7B"/>
    <w:rsid w:val="00EB6DFA"/>
    <w:rsid w:val="00EC0966"/>
    <w:rsid w:val="00EC0E81"/>
    <w:rsid w:val="00EC1E8D"/>
    <w:rsid w:val="00EC30F9"/>
    <w:rsid w:val="00ED00C4"/>
    <w:rsid w:val="00ED0219"/>
    <w:rsid w:val="00ED1459"/>
    <w:rsid w:val="00ED23B1"/>
    <w:rsid w:val="00ED5725"/>
    <w:rsid w:val="00ED7031"/>
    <w:rsid w:val="00ED79B3"/>
    <w:rsid w:val="00EE0C8A"/>
    <w:rsid w:val="00EE3060"/>
    <w:rsid w:val="00EE4315"/>
    <w:rsid w:val="00EF1457"/>
    <w:rsid w:val="00EF56E4"/>
    <w:rsid w:val="00EF6925"/>
    <w:rsid w:val="00F00B2F"/>
    <w:rsid w:val="00F078C9"/>
    <w:rsid w:val="00F11FD8"/>
    <w:rsid w:val="00F12118"/>
    <w:rsid w:val="00F15A35"/>
    <w:rsid w:val="00F202FA"/>
    <w:rsid w:val="00F20C47"/>
    <w:rsid w:val="00F236CC"/>
    <w:rsid w:val="00F26DBF"/>
    <w:rsid w:val="00F26ED3"/>
    <w:rsid w:val="00F36763"/>
    <w:rsid w:val="00F42220"/>
    <w:rsid w:val="00F44EC8"/>
    <w:rsid w:val="00F52193"/>
    <w:rsid w:val="00F532AD"/>
    <w:rsid w:val="00F57679"/>
    <w:rsid w:val="00F605D5"/>
    <w:rsid w:val="00F62B7A"/>
    <w:rsid w:val="00F6397D"/>
    <w:rsid w:val="00F63ED7"/>
    <w:rsid w:val="00F6403D"/>
    <w:rsid w:val="00F65110"/>
    <w:rsid w:val="00F7293E"/>
    <w:rsid w:val="00F72D0B"/>
    <w:rsid w:val="00F7362A"/>
    <w:rsid w:val="00F73634"/>
    <w:rsid w:val="00F74702"/>
    <w:rsid w:val="00F74EDD"/>
    <w:rsid w:val="00F76650"/>
    <w:rsid w:val="00F833E8"/>
    <w:rsid w:val="00F841A4"/>
    <w:rsid w:val="00F9187B"/>
    <w:rsid w:val="00F92385"/>
    <w:rsid w:val="00F9384B"/>
    <w:rsid w:val="00F949E6"/>
    <w:rsid w:val="00F94FFF"/>
    <w:rsid w:val="00FA059F"/>
    <w:rsid w:val="00FA1B4F"/>
    <w:rsid w:val="00FA24F8"/>
    <w:rsid w:val="00FB3355"/>
    <w:rsid w:val="00FB349B"/>
    <w:rsid w:val="00FB5602"/>
    <w:rsid w:val="00FB75DD"/>
    <w:rsid w:val="00FC1A07"/>
    <w:rsid w:val="00FC47F9"/>
    <w:rsid w:val="00FC74AA"/>
    <w:rsid w:val="00FC762D"/>
    <w:rsid w:val="00FD4480"/>
    <w:rsid w:val="00FD7A6B"/>
    <w:rsid w:val="00FE032B"/>
    <w:rsid w:val="00FE1B36"/>
    <w:rsid w:val="00FE2351"/>
    <w:rsid w:val="00FE337D"/>
    <w:rsid w:val="00FE5580"/>
    <w:rsid w:val="00FE5E05"/>
    <w:rsid w:val="00FF060A"/>
    <w:rsid w:val="00FF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13CF9"/>
  <w15:chartTrackingRefBased/>
  <w15:docId w15:val="{CE8BD8F9-0288-43E2-8E86-EDE8FDB509AA}"/>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numPr>
        <w:numId w:val="15"/>
      </w:numPr>
      <w:ind w:right="2160"/>
    </w:pPr>
    <w:rPr>
      <w:rFonts w:eastAsiaTheme="majorEastAsia" w:cstheme="majorBidi"/>
      <w:szCs w:val="32"/>
    </w:rPr>
  </w:style>
  <w:style w:type="paragraph" w:styleId="Heading2">
    <w:name w:val="heading 2"/>
    <w:basedOn w:val="Dummy"/>
    <w:next w:val="Standard"/>
    <w:link w:val="Heading2Char"/>
    <w:uiPriority w:val="4"/>
    <w:qFormat/>
    <w:rsid w:val="000E270A"/>
    <w:pPr>
      <w:numPr>
        <w:ilvl w:val="1"/>
        <w:numId w:val="15"/>
      </w:numPr>
      <w:ind w:right="2160"/>
      <w:outlineLvl w:val="1"/>
    </w:pPr>
  </w:style>
  <w:style w:type="paragraph" w:styleId="Heading3">
    <w:name w:val="heading 3"/>
    <w:basedOn w:val="Dummy"/>
    <w:next w:val="Standard"/>
    <w:link w:val="Heading3Char"/>
    <w:uiPriority w:val="4"/>
    <w:qFormat/>
    <w:rsid w:val="000E270A"/>
    <w:pPr>
      <w:numPr>
        <w:ilvl w:val="2"/>
        <w:numId w:val="15"/>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0E270A"/>
    <w:pPr>
      <w:numPr>
        <w:ilvl w:val="3"/>
        <w:numId w:val="15"/>
      </w:numPr>
      <w:ind w:right="2160"/>
      <w:outlineLvl w:val="3"/>
    </w:pPr>
    <w:rPr>
      <w:rFonts w:eastAsiaTheme="majorEastAsia" w:cstheme="majorBidi"/>
      <w:iCs/>
    </w:rPr>
  </w:style>
  <w:style w:type="paragraph" w:styleId="Heading5">
    <w:name w:val="heading 5"/>
    <w:basedOn w:val="Dummy"/>
    <w:next w:val="Standard"/>
    <w:link w:val="Heading5Char"/>
    <w:uiPriority w:val="4"/>
    <w:rsid w:val="000E270A"/>
    <w:pPr>
      <w:numPr>
        <w:ilvl w:val="4"/>
        <w:numId w:val="15"/>
      </w:numPr>
      <w:ind w:right="2160"/>
      <w:outlineLvl w:val="4"/>
    </w:pPr>
    <w:rPr>
      <w:rFonts w:eastAsiaTheme="majorEastAsia" w:cstheme="majorBidi"/>
    </w:rPr>
  </w:style>
  <w:style w:type="paragraph" w:styleId="Heading6">
    <w:name w:val="heading 6"/>
    <w:basedOn w:val="Dummy"/>
    <w:next w:val="Standard"/>
    <w:link w:val="Heading6Char"/>
    <w:uiPriority w:val="4"/>
    <w:rsid w:val="000E270A"/>
    <w:pPr>
      <w:numPr>
        <w:ilvl w:val="5"/>
        <w:numId w:val="15"/>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aliases w:val="Footnote Text Char Char,Footnote Text Char2 Char,Footnote Text Char Char Char,Footnote Text Char2 Char Char Char,Footnote Text Char Char Char Char Char,Footnote Text Char2 Char Char Char Char1 Char,fn,Footnote Text Char2,ALTS FOOTNOTE"/>
    <w:basedOn w:val="Normal"/>
    <w:link w:val="FootnoteTextChar"/>
    <w:uiPriority w:val="99"/>
    <w:qFormat/>
    <w:rsid w:val="00B01F7E"/>
    <w:pPr>
      <w:spacing w:after="120" w:line="240" w:lineRule="auto"/>
      <w:ind w:firstLine="0"/>
    </w:pPr>
    <w:rPr>
      <w:sz w:val="22"/>
      <w:szCs w:val="20"/>
    </w:rPr>
  </w:style>
  <w:style w:type="character" w:customStyle="1" w:styleId="FootnoteTextChar">
    <w:name w:val="Footnote Text Char"/>
    <w:aliases w:val="Footnote Text Char Char Char1,Footnote Text Char2 Char Char,Footnote Text Char Char Char Char,Footnote Text Char2 Char Char Char Char,Footnote Text Char Char Char Char Char Char,Footnote Text Char2 Char Char Char Char1 Char Char"/>
    <w:basedOn w:val="DefaultParagraphFont"/>
    <w:link w:val="FootnoteText"/>
    <w:uiPriority w:val="99"/>
    <w:rsid w:val="007657C1"/>
    <w:rPr>
      <w:rFonts w:ascii="Book Antiqua" w:hAnsi="Book Antiqua"/>
      <w:szCs w:val="20"/>
    </w:rPr>
  </w:style>
  <w:style w:type="character" w:styleId="FootnoteReference">
    <w:name w:val="footnote reference"/>
    <w:aliases w:val="o,fr,o1,o2,o3,o4,o5,o6,o11,o21,o7,Style 12,(NECG) Footnote Reference,Appel note de bas de p,Style 124,o + Times New Roman,Style 3,Style 17,Style 20,Style 13,fr1,fr2,fr3,Style 58,Style 15,Style 9,Style 18,Style 7,Style 8,Style 19,Styl"/>
    <w:basedOn w:val="DefaultParagraphFont"/>
    <w:uiPriority w:val="99"/>
    <w:unhideWhenUsed/>
    <w:qFormat/>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uiPriority w:val="99"/>
    <w:qFormat/>
    <w:rsid w:val="007A406D"/>
  </w:style>
  <w:style w:type="paragraph" w:customStyle="1" w:styleId="ListAlpha">
    <w:name w:val="List Alpha"/>
    <w:basedOn w:val="Standard"/>
    <w:uiPriority w:val="4"/>
    <w:qFormat/>
    <w:rsid w:val="000E270A"/>
    <w:pPr>
      <w:numPr>
        <w:ilvl w:val="7"/>
        <w:numId w:val="15"/>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15"/>
      </w:numPr>
      <w:spacing w:after="120" w:line="240" w:lineRule="auto"/>
    </w:pPr>
  </w:style>
  <w:style w:type="paragraph" w:styleId="ListParagraph">
    <w:name w:val="List Paragraph"/>
    <w:basedOn w:val="Normal"/>
    <w:uiPriority w:val="34"/>
    <w:qFormat/>
    <w:rsid w:val="00B0301C"/>
    <w:pPr>
      <w:ind w:left="720"/>
      <w:contextualSpacing/>
    </w:pPr>
  </w:style>
  <w:style w:type="paragraph" w:styleId="Revision">
    <w:name w:val="Revision"/>
    <w:hidden/>
    <w:uiPriority w:val="99"/>
    <w:semiHidden/>
    <w:rsid w:val="00A84666"/>
    <w:pPr>
      <w:spacing w:after="0" w:line="240" w:lineRule="auto"/>
    </w:pPr>
    <w:rPr>
      <w:rFonts w:ascii="Book Antiqua" w:hAnsi="Book Antiqua"/>
      <w:sz w:val="26"/>
    </w:rPr>
  </w:style>
  <w:style w:type="character" w:styleId="CommentReference">
    <w:name w:val="annotation reference"/>
    <w:basedOn w:val="DefaultParagraphFont"/>
    <w:uiPriority w:val="99"/>
    <w:semiHidden/>
    <w:unhideWhenUsed/>
    <w:rsid w:val="006243A0"/>
    <w:rPr>
      <w:sz w:val="16"/>
      <w:szCs w:val="16"/>
    </w:rPr>
  </w:style>
  <w:style w:type="paragraph" w:styleId="CommentText">
    <w:name w:val="annotation text"/>
    <w:basedOn w:val="Normal"/>
    <w:link w:val="CommentTextChar"/>
    <w:uiPriority w:val="99"/>
    <w:unhideWhenUsed/>
    <w:rsid w:val="006243A0"/>
    <w:pPr>
      <w:spacing w:line="240" w:lineRule="auto"/>
    </w:pPr>
    <w:rPr>
      <w:sz w:val="20"/>
      <w:szCs w:val="20"/>
    </w:rPr>
  </w:style>
  <w:style w:type="character" w:customStyle="1" w:styleId="CommentTextChar">
    <w:name w:val="Comment Text Char"/>
    <w:basedOn w:val="DefaultParagraphFont"/>
    <w:link w:val="CommentText"/>
    <w:uiPriority w:val="99"/>
    <w:rsid w:val="006243A0"/>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1B04A9"/>
    <w:rPr>
      <w:b/>
      <w:bCs/>
    </w:rPr>
  </w:style>
  <w:style w:type="character" w:customStyle="1" w:styleId="CommentSubjectChar">
    <w:name w:val="Comment Subject Char"/>
    <w:basedOn w:val="CommentTextChar"/>
    <w:link w:val="CommentSubject"/>
    <w:uiPriority w:val="99"/>
    <w:semiHidden/>
    <w:rsid w:val="001B04A9"/>
    <w:rPr>
      <w:rFonts w:ascii="Book Antiqua" w:hAnsi="Book Antiqua"/>
      <w:b/>
      <w:bCs/>
      <w:sz w:val="20"/>
      <w:szCs w:val="20"/>
    </w:rPr>
  </w:style>
  <w:style w:type="numbering" w:customStyle="1" w:styleId="FoFCoLOP1">
    <w:name w:val="FoF/CoL/OP1"/>
    <w:uiPriority w:val="99"/>
    <w:rsid w:val="006E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4110">
      <w:bodyDiv w:val="1"/>
      <w:marLeft w:val="0"/>
      <w:marRight w:val="0"/>
      <w:marTop w:val="0"/>
      <w:marBottom w:val="0"/>
      <w:divBdr>
        <w:top w:val="none" w:sz="0" w:space="0" w:color="auto"/>
        <w:left w:val="none" w:sz="0" w:space="0" w:color="auto"/>
        <w:bottom w:val="none" w:sz="0" w:space="0" w:color="auto"/>
        <w:right w:val="none" w:sz="0" w:space="0" w:color="auto"/>
      </w:divBdr>
    </w:div>
    <w:div w:id="234050233">
      <w:bodyDiv w:val="1"/>
      <w:marLeft w:val="0"/>
      <w:marRight w:val="0"/>
      <w:marTop w:val="0"/>
      <w:marBottom w:val="0"/>
      <w:divBdr>
        <w:top w:val="none" w:sz="0" w:space="0" w:color="auto"/>
        <w:left w:val="none" w:sz="0" w:space="0" w:color="auto"/>
        <w:bottom w:val="none" w:sz="0" w:space="0" w:color="auto"/>
        <w:right w:val="none" w:sz="0" w:space="0" w:color="auto"/>
      </w:divBdr>
    </w:div>
    <w:div w:id="840004558">
      <w:bodyDiv w:val="1"/>
      <w:marLeft w:val="0"/>
      <w:marRight w:val="0"/>
      <w:marTop w:val="0"/>
      <w:marBottom w:val="0"/>
      <w:divBdr>
        <w:top w:val="none" w:sz="0" w:space="0" w:color="auto"/>
        <w:left w:val="none" w:sz="0" w:space="0" w:color="auto"/>
        <w:bottom w:val="none" w:sz="0" w:space="0" w:color="auto"/>
        <w:right w:val="none" w:sz="0" w:space="0" w:color="auto"/>
      </w:divBdr>
    </w:div>
    <w:div w:id="879394471">
      <w:bodyDiv w:val="1"/>
      <w:marLeft w:val="0"/>
      <w:marRight w:val="0"/>
      <w:marTop w:val="0"/>
      <w:marBottom w:val="0"/>
      <w:divBdr>
        <w:top w:val="none" w:sz="0" w:space="0" w:color="auto"/>
        <w:left w:val="none" w:sz="0" w:space="0" w:color="auto"/>
        <w:bottom w:val="none" w:sz="0" w:space="0" w:color="auto"/>
        <w:right w:val="none" w:sz="0" w:space="0" w:color="auto"/>
      </w:divBdr>
    </w:div>
    <w:div w:id="111243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B8BADF2214F6448E5045310EA9B796" ma:contentTypeVersion="12" ma:contentTypeDescription="Create a new document." ma:contentTypeScope="" ma:versionID="4225d45ddd1a7a5828db1e92e0ebaa6f">
  <xsd:schema xmlns:xsd="http://www.w3.org/2001/XMLSchema" xmlns:xs="http://www.w3.org/2001/XMLSchema" xmlns:p="http://schemas.microsoft.com/office/2006/metadata/properties" xmlns:ns2="40c2bee6-72d2-4c4b-bbf2-19a975248824" xmlns:ns3="ef7e321c-44a6-4cb5-81f0-0bfd95ece253" targetNamespace="http://schemas.microsoft.com/office/2006/metadata/properties" ma:root="true" ma:fieldsID="a878a72dfcf12e16a82a81229ed307c1" ns2:_="" ns3:_="">
    <xsd:import namespace="40c2bee6-72d2-4c4b-bbf2-19a975248824"/>
    <xsd:import namespace="ef7e321c-44a6-4cb5-81f0-0bfd95ece2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2bee6-72d2-4c4b-bbf2-19a9752488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cd35960-7829-44dd-b243-a39bb7be529f}" ma:internalName="TaxCatchAll" ma:showField="CatchAllData" ma:web="40c2bee6-72d2-4c4b-bbf2-19a9752488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7e321c-44a6-4cb5-81f0-0bfd95ece2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0c2bee6-72d2-4c4b-bbf2-19a975248824">
      <UserInfo>
        <DisplayName>Doherty, Patrick</DisplayName>
        <AccountId>53</AccountId>
        <AccountType/>
      </UserInfo>
      <UserInfo>
        <DisplayName>McKinney, Jeanne</DisplayName>
        <AccountId>29</AccountId>
        <AccountType/>
      </UserInfo>
      <UserInfo>
        <DisplayName>Kim, Kimberly</DisplayName>
        <AccountId>12</AccountId>
        <AccountType/>
      </UserInfo>
      <UserInfo>
        <DisplayName>MacDonald, Katherine</DisplayName>
        <AccountId>33</AccountId>
        <AccountType/>
      </UserInfo>
      <UserInfo>
        <DisplayName>Odell, Eileen</DisplayName>
        <AccountId>362</AccountId>
        <AccountType/>
      </UserInfo>
    </SharedWithUsers>
    <lcf76f155ced4ddcb4097134ff3c332f xmlns="ef7e321c-44a6-4cb5-81f0-0bfd95ece253">
      <Terms xmlns="http://schemas.microsoft.com/office/infopath/2007/PartnerControls"/>
    </lcf76f155ced4ddcb4097134ff3c332f>
    <TaxCatchAll xmlns="40c2bee6-72d2-4c4b-bbf2-19a97524882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E42826-C640-46EA-8DE6-7521634A8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2bee6-72d2-4c4b-bbf2-19a975248824"/>
    <ds:schemaRef ds:uri="ef7e321c-44a6-4cb5-81f0-0bfd95ec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0E4752-B270-4867-90BA-5719077E84AA}">
  <ds:schemaRefs>
    <ds:schemaRef ds:uri="http://schemas.microsoft.com/office/2006/metadata/properties"/>
    <ds:schemaRef ds:uri="http://schemas.microsoft.com/office/infopath/2007/PartnerControls"/>
    <ds:schemaRef ds:uri="40c2bee6-72d2-4c4b-bbf2-19a975248824"/>
    <ds:schemaRef ds:uri="ef7e321c-44a6-4cb5-81f0-0bfd95ece253"/>
  </ds:schemaRefs>
</ds:datastoreItem>
</file>

<file path=customXml/itemProps3.xml><?xml version="1.0" encoding="utf-8"?>
<ds:datastoreItem xmlns:ds="http://schemas.openxmlformats.org/officeDocument/2006/customXml" ds:itemID="{42692CBF-97EE-47CC-813F-1B66EA5AD97B}">
  <ds:schemaRefs>
    <ds:schemaRef ds:uri="http://schemas.openxmlformats.org/officeDocument/2006/bibliography"/>
  </ds:schemaRefs>
</ds:datastoreItem>
</file>

<file path=customXml/itemProps4.xml><?xml version="1.0" encoding="utf-8"?>
<ds:datastoreItem xmlns:ds="http://schemas.openxmlformats.org/officeDocument/2006/customXml" ds:itemID="{B930DE7C-9577-4EA8-AC89-8E2B6CC952CB}">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124</ap:Pages>
  <ap:Words>29236</ap:Words>
  <ap:Characters>166647</ap:Characters>
  <ap:Application>Microsoft Office Word</ap:Application>
  <ap:DocSecurity>0</ap:DocSecurity>
  <ap:Lines>1388</ap:Lines>
  <ap:Paragraphs>390</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195493</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2023-04-03T23:44:00Z</cp:lastPrinted>
  <dcterms:created xsi:type="dcterms:W3CDTF">2023-04-07T12:37:02Z</dcterms:created>
  <dcterms:modified xsi:type="dcterms:W3CDTF">2023-04-07T12:37:02Z</dcterms:modified>
</cp:coreProperties>
</file>